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7A45BB" w:rsidP="007A45BB" w14:paraId="6E0BD564" w14:textId="70E9F8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bookmarkStart w:id="0" w:name="_Hlk96610834"/>
      <w:r>
        <w:rPr>
          <w:rFonts w:ascii="Times New Roman" w:hAnsi="Times New Roman"/>
          <w:b/>
          <w:bCs/>
          <w:sz w:val="24"/>
        </w:rPr>
        <w:t>BEFORE</w:t>
      </w:r>
    </w:p>
    <w:p w:rsidR="007A45BB" w:rsidP="007A45BB" w14:paraId="57064F5E"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7A45BB" w:rsidP="007A45BB" w14:paraId="281FB4AC" w14:textId="77777777">
      <w:pPr>
        <w:pStyle w:val="HTMLPreformatted"/>
        <w:rPr>
          <w:rFonts w:ascii="Times New Roman" w:hAnsi="Times New Roman"/>
          <w:sz w:val="12"/>
          <w:szCs w:val="12"/>
        </w:rPr>
      </w:pPr>
    </w:p>
    <w:tbl>
      <w:tblPr>
        <w:tblW w:w="8640" w:type="dxa"/>
        <w:tblLook w:val="01E0"/>
      </w:tblPr>
      <w:tblGrid>
        <w:gridCol w:w="4230"/>
        <w:gridCol w:w="360"/>
        <w:gridCol w:w="4050"/>
      </w:tblGrid>
      <w:tr w14:paraId="395566E0" w14:textId="77777777" w:rsidTr="00AB7B0C">
        <w:tblPrEx>
          <w:tblW w:w="8640" w:type="dxa"/>
          <w:tblLook w:val="01E0"/>
        </w:tblPrEx>
        <w:trPr>
          <w:trHeight w:val="807"/>
        </w:trPr>
        <w:tc>
          <w:tcPr>
            <w:tcW w:w="4230" w:type="dxa"/>
            <w:shd w:val="clear" w:color="auto" w:fill="auto"/>
          </w:tcPr>
          <w:p w:rsidR="007A45BB" w:rsidP="00AB7B0C" w14:paraId="66ACECB6" w14:textId="61C0415E">
            <w:pPr>
              <w:autoSpaceDE w:val="0"/>
              <w:autoSpaceDN w:val="0"/>
              <w:adjustRightInd w:val="0"/>
              <w:spacing w:after="0" w:line="240" w:lineRule="auto"/>
              <w:rPr>
                <w:szCs w:val="24"/>
              </w:rPr>
            </w:pPr>
            <w:r>
              <w:rPr>
                <w:szCs w:val="24"/>
              </w:rPr>
              <w:t>In the Matter of the Application of Aqua Ohio, Inc. to Increase its Rates and</w:t>
            </w:r>
          </w:p>
          <w:p w:rsidR="007A45BB" w:rsidP="00AB7B0C" w14:paraId="01935327" w14:textId="358BAD2F">
            <w:pPr>
              <w:autoSpaceDE w:val="0"/>
              <w:autoSpaceDN w:val="0"/>
              <w:adjustRightInd w:val="0"/>
              <w:rPr>
                <w:szCs w:val="24"/>
              </w:rPr>
            </w:pPr>
            <w:r>
              <w:rPr>
                <w:szCs w:val="24"/>
              </w:rPr>
              <w:t>Charges for Its Waterworks Service.</w:t>
            </w:r>
          </w:p>
        </w:tc>
        <w:tc>
          <w:tcPr>
            <w:tcW w:w="360" w:type="dxa"/>
            <w:shd w:val="clear" w:color="auto" w:fill="auto"/>
          </w:tcPr>
          <w:p w:rsidR="007A45BB" w:rsidP="006609BD" w14:paraId="0BE9A768" w14:textId="77777777">
            <w:pPr>
              <w:pStyle w:val="HTMLPreformatted"/>
              <w:rPr>
                <w:rFonts w:ascii="Times New Roman" w:hAnsi="Times New Roman"/>
                <w:sz w:val="24"/>
                <w:szCs w:val="24"/>
              </w:rPr>
            </w:pPr>
            <w:r>
              <w:rPr>
                <w:rFonts w:ascii="Times New Roman" w:hAnsi="Times New Roman"/>
                <w:sz w:val="24"/>
                <w:szCs w:val="24"/>
              </w:rPr>
              <w:t>)</w:t>
            </w:r>
          </w:p>
          <w:p w:rsidR="007A45BB" w:rsidP="006609BD" w14:paraId="1DC80904" w14:textId="77777777">
            <w:pPr>
              <w:pStyle w:val="HTMLPreformatted"/>
              <w:rPr>
                <w:rFonts w:ascii="Times New Roman" w:hAnsi="Times New Roman"/>
                <w:sz w:val="24"/>
                <w:szCs w:val="24"/>
              </w:rPr>
            </w:pPr>
            <w:r>
              <w:rPr>
                <w:rFonts w:ascii="Times New Roman" w:hAnsi="Times New Roman"/>
                <w:sz w:val="24"/>
                <w:szCs w:val="24"/>
              </w:rPr>
              <w:t>)</w:t>
            </w:r>
          </w:p>
          <w:p w:rsidR="007A45BB" w:rsidP="006609BD" w14:paraId="324FDE8F" w14:textId="6CD2A901">
            <w:pPr>
              <w:pStyle w:val="HTMLPreformatted"/>
              <w:rPr>
                <w:rFonts w:ascii="Times New Roman" w:hAnsi="Times New Roman"/>
                <w:sz w:val="24"/>
                <w:szCs w:val="24"/>
              </w:rPr>
            </w:pPr>
            <w:r>
              <w:rPr>
                <w:rFonts w:ascii="Times New Roman" w:hAnsi="Times New Roman"/>
                <w:sz w:val="24"/>
                <w:szCs w:val="24"/>
              </w:rPr>
              <w:t>)</w:t>
            </w:r>
          </w:p>
          <w:p w:rsidR="007A45BB" w:rsidP="006609BD" w14:paraId="3D19D746" w14:textId="77777777">
            <w:pPr>
              <w:pStyle w:val="HTMLPreformatted"/>
              <w:rPr>
                <w:rFonts w:ascii="Times New Roman" w:hAnsi="Times New Roman"/>
                <w:sz w:val="24"/>
                <w:szCs w:val="24"/>
              </w:rPr>
            </w:pPr>
          </w:p>
        </w:tc>
        <w:tc>
          <w:tcPr>
            <w:tcW w:w="4050" w:type="dxa"/>
            <w:shd w:val="clear" w:color="auto" w:fill="auto"/>
          </w:tcPr>
          <w:p w:rsidR="007A45BB" w:rsidP="006609BD" w14:paraId="236466EB" w14:textId="77777777">
            <w:pPr>
              <w:pStyle w:val="HTMLPreformatted"/>
              <w:rPr>
                <w:rFonts w:ascii="Times New Roman" w:hAnsi="Times New Roman"/>
                <w:sz w:val="24"/>
                <w:szCs w:val="24"/>
              </w:rPr>
            </w:pPr>
          </w:p>
          <w:p w:rsidR="007A45BB" w:rsidP="006609BD" w14:paraId="5DCD164B" w14:textId="5CC5558D">
            <w:pPr>
              <w:pStyle w:val="HTMLPreformatted"/>
              <w:rPr>
                <w:rFonts w:ascii="Times New Roman" w:hAnsi="Times New Roman"/>
                <w:sz w:val="24"/>
                <w:szCs w:val="24"/>
              </w:rPr>
            </w:pPr>
            <w:r>
              <w:rPr>
                <w:rFonts w:ascii="Times New Roman" w:hAnsi="Times New Roman"/>
                <w:sz w:val="24"/>
                <w:szCs w:val="24"/>
              </w:rPr>
              <w:t xml:space="preserve">Case No. </w:t>
            </w:r>
            <w:r w:rsidR="00186E08">
              <w:rPr>
                <w:rFonts w:ascii="Times New Roman" w:hAnsi="Times New Roman"/>
                <w:sz w:val="24"/>
                <w:szCs w:val="24"/>
              </w:rPr>
              <w:t>22-1094-WW-AIR</w:t>
            </w:r>
          </w:p>
          <w:p w:rsidR="007A45BB" w:rsidP="006609BD" w14:paraId="007BB34A" w14:textId="77777777">
            <w:pPr>
              <w:pStyle w:val="HTMLPreformatted"/>
              <w:rPr>
                <w:rFonts w:ascii="Times New Roman" w:hAnsi="Times New Roman"/>
                <w:sz w:val="24"/>
                <w:szCs w:val="24"/>
              </w:rPr>
            </w:pPr>
          </w:p>
          <w:p w:rsidR="007A45BB" w:rsidP="006609BD" w14:paraId="2499BF87" w14:textId="77777777">
            <w:pPr>
              <w:pStyle w:val="HTMLPreformatted"/>
              <w:rPr>
                <w:rFonts w:ascii="Times New Roman" w:hAnsi="Times New Roman"/>
                <w:sz w:val="24"/>
                <w:szCs w:val="24"/>
              </w:rPr>
            </w:pPr>
          </w:p>
        </w:tc>
      </w:tr>
    </w:tbl>
    <w:p w:rsidR="00AB7B0C" w:rsidRPr="00FD62BA" w:rsidP="00AB7B0C" w14:paraId="5DD6B0CD" w14:textId="77777777">
      <w:pPr>
        <w:pBdr>
          <w:top w:val="single" w:sz="12" w:space="0" w:color="auto"/>
        </w:pBdr>
        <w:tabs>
          <w:tab w:val="left" w:pos="-720"/>
        </w:tabs>
        <w:suppressAutoHyphens/>
        <w:spacing w:after="0"/>
        <w:jc w:val="center"/>
        <w:rPr>
          <w:b/>
          <w:bCs/>
          <w:spacing w:val="-3"/>
        </w:rPr>
      </w:pPr>
    </w:p>
    <w:p w:rsidR="007A44C5" w:rsidP="001C4850" w14:paraId="2E803A56" w14:textId="77777777">
      <w:pPr>
        <w:tabs>
          <w:tab w:val="left" w:pos="4770"/>
          <w:tab w:val="left" w:pos="6480"/>
        </w:tabs>
        <w:spacing w:after="0"/>
        <w:jc w:val="center"/>
        <w:rPr>
          <w:b/>
        </w:rPr>
      </w:pPr>
      <w:r>
        <w:rPr>
          <w:b/>
        </w:rPr>
        <w:t>MEMORANDUM CONTRA AQUA OHIO</w:t>
      </w:r>
      <w:r w:rsidR="00A1140C">
        <w:rPr>
          <w:b/>
        </w:rPr>
        <w:t>’S</w:t>
      </w:r>
      <w:r>
        <w:rPr>
          <w:b/>
        </w:rPr>
        <w:t xml:space="preserve"> MOTION TO STRIKE </w:t>
      </w:r>
    </w:p>
    <w:p w:rsidR="001C4850" w:rsidP="001C4850" w14:paraId="08CD92A4" w14:textId="046EECD4">
      <w:pPr>
        <w:tabs>
          <w:tab w:val="left" w:pos="4770"/>
          <w:tab w:val="left" w:pos="6480"/>
        </w:tabs>
        <w:spacing w:after="0"/>
        <w:jc w:val="center"/>
        <w:rPr>
          <w:b/>
          <w:bCs/>
          <w:szCs w:val="24"/>
        </w:rPr>
      </w:pPr>
      <w:r>
        <w:rPr>
          <w:b/>
        </w:rPr>
        <w:t xml:space="preserve">OCC’S </w:t>
      </w:r>
      <w:r w:rsidR="005B6E0A">
        <w:rPr>
          <w:b/>
        </w:rPr>
        <w:t>OBJECTIONS</w:t>
      </w:r>
      <w:r w:rsidRPr="00FD62BA" w:rsidR="005B6E0A">
        <w:rPr>
          <w:b/>
        </w:rPr>
        <w:t xml:space="preserve"> TO </w:t>
      </w:r>
      <w:r w:rsidRPr="002177A2" w:rsidR="005B6E0A">
        <w:rPr>
          <w:b/>
          <w:bCs/>
          <w:szCs w:val="24"/>
        </w:rPr>
        <w:t xml:space="preserve">THE PUCO STAFF REPORT </w:t>
      </w:r>
    </w:p>
    <w:p w:rsidR="001C4850" w:rsidRPr="00FD62BA" w:rsidP="001C4850" w14:paraId="517F6403" w14:textId="77777777">
      <w:pPr>
        <w:tabs>
          <w:tab w:val="left" w:pos="4770"/>
          <w:tab w:val="left" w:pos="6480"/>
        </w:tabs>
        <w:spacing w:after="0"/>
        <w:jc w:val="center"/>
        <w:rPr>
          <w:b/>
        </w:rPr>
      </w:pPr>
      <w:r w:rsidRPr="00FD62BA">
        <w:rPr>
          <w:b/>
        </w:rPr>
        <w:t>BY</w:t>
      </w:r>
    </w:p>
    <w:p w:rsidR="001C4850" w:rsidRPr="00FD62BA" w:rsidP="001C4850" w14:paraId="1F2C970A" w14:textId="77777777">
      <w:pPr>
        <w:tabs>
          <w:tab w:val="left" w:pos="4770"/>
          <w:tab w:val="left" w:pos="6480"/>
        </w:tabs>
        <w:spacing w:after="0"/>
        <w:jc w:val="center"/>
        <w:rPr>
          <w:b/>
        </w:rPr>
      </w:pPr>
      <w:r w:rsidRPr="00FD62BA">
        <w:rPr>
          <w:b/>
        </w:rPr>
        <w:t>OFFICE OF THE OHIO CONSUMERS’ COUNSEL</w:t>
      </w:r>
    </w:p>
    <w:p w:rsidR="001C4850" w:rsidRPr="00FD62BA" w:rsidP="001C4850" w14:paraId="0CAB2D35" w14:textId="77777777">
      <w:pPr>
        <w:pBdr>
          <w:bottom w:val="single" w:sz="12" w:space="1" w:color="auto"/>
        </w:pBdr>
        <w:tabs>
          <w:tab w:val="left" w:pos="-720"/>
        </w:tabs>
        <w:suppressAutoHyphens/>
        <w:jc w:val="center"/>
        <w:rPr>
          <w:b/>
          <w:bCs/>
          <w:spacing w:val="-3"/>
        </w:rPr>
      </w:pPr>
    </w:p>
    <w:p w:rsidR="007A44C5" w:rsidRPr="007A44C5" w:rsidP="00DF6086" w14:paraId="13F910AC" w14:textId="06B8978B">
      <w:pPr>
        <w:pStyle w:val="ListParagraph"/>
        <w:numPr>
          <w:ilvl w:val="0"/>
          <w:numId w:val="10"/>
        </w:numPr>
        <w:spacing w:after="0" w:line="480" w:lineRule="auto"/>
        <w:ind w:left="720"/>
        <w:rPr>
          <w:rFonts w:ascii="Times New Roman" w:hAnsi="Times New Roman" w:cs="Times New Roman"/>
          <w:b/>
          <w:bCs/>
          <w:sz w:val="24"/>
          <w:szCs w:val="24"/>
        </w:rPr>
      </w:pPr>
      <w:r w:rsidRPr="007A44C5">
        <w:rPr>
          <w:rFonts w:ascii="Times New Roman" w:hAnsi="Times New Roman" w:cs="Times New Roman"/>
          <w:b/>
          <w:bCs/>
          <w:sz w:val="24"/>
          <w:szCs w:val="24"/>
        </w:rPr>
        <w:t>INTRODUCTION</w:t>
      </w:r>
    </w:p>
    <w:p w:rsidR="00045C8D" w:rsidP="00F9472B" w14:paraId="34B6E37C" w14:textId="2D619760">
      <w:pPr>
        <w:spacing w:after="0" w:line="480" w:lineRule="auto"/>
        <w:ind w:firstLine="720"/>
        <w:rPr>
          <w:rFonts w:cs="Times New Roman"/>
          <w:szCs w:val="24"/>
        </w:rPr>
      </w:pPr>
      <w:r>
        <w:rPr>
          <w:rFonts w:cs="Times New Roman"/>
          <w:szCs w:val="24"/>
        </w:rPr>
        <w:t xml:space="preserve">The </w:t>
      </w:r>
      <w:r w:rsidR="001C4850">
        <w:rPr>
          <w:rFonts w:cs="Times New Roman"/>
          <w:szCs w:val="24"/>
        </w:rPr>
        <w:t>Office of the Ohio Consumers’ Counsel’s Objections</w:t>
      </w:r>
      <w:r w:rsidR="00D37113">
        <w:rPr>
          <w:rFonts w:cs="Times New Roman"/>
          <w:szCs w:val="24"/>
        </w:rPr>
        <w:t xml:space="preserve"> (“OCC Objections”)</w:t>
      </w:r>
      <w:r>
        <w:rPr>
          <w:rStyle w:val="FootnoteReference"/>
          <w:rFonts w:cs="Times New Roman"/>
          <w:szCs w:val="24"/>
        </w:rPr>
        <w:footnoteReference w:id="2"/>
      </w:r>
      <w:r w:rsidR="001C4850">
        <w:rPr>
          <w:rFonts w:cs="Times New Roman"/>
          <w:szCs w:val="24"/>
        </w:rPr>
        <w:t xml:space="preserve"> to the Public Utilities Commission of Ohio (“PUCO”) Staff </w:t>
      </w:r>
      <w:r w:rsidR="00D37113">
        <w:rPr>
          <w:rFonts w:cs="Times New Roman"/>
          <w:szCs w:val="24"/>
        </w:rPr>
        <w:t>R</w:t>
      </w:r>
      <w:r w:rsidR="001C4850">
        <w:rPr>
          <w:rFonts w:cs="Times New Roman"/>
          <w:szCs w:val="24"/>
        </w:rPr>
        <w:t>eport</w:t>
      </w:r>
      <w:r>
        <w:rPr>
          <w:rStyle w:val="FootnoteReference"/>
          <w:rFonts w:cs="Times New Roman"/>
          <w:szCs w:val="24"/>
        </w:rPr>
        <w:footnoteReference w:id="3"/>
      </w:r>
      <w:r w:rsidR="001C4850">
        <w:rPr>
          <w:rFonts w:cs="Times New Roman"/>
          <w:szCs w:val="24"/>
        </w:rPr>
        <w:t xml:space="preserve"> </w:t>
      </w:r>
      <w:r w:rsidR="00343A78">
        <w:rPr>
          <w:rFonts w:cs="Times New Roman"/>
          <w:szCs w:val="24"/>
        </w:rPr>
        <w:t>are</w:t>
      </w:r>
      <w:r w:rsidR="001C4850">
        <w:rPr>
          <w:rFonts w:cs="Times New Roman"/>
          <w:szCs w:val="24"/>
        </w:rPr>
        <w:t xml:space="preserve"> proper and conform to the </w:t>
      </w:r>
      <w:r w:rsidR="006B6F52">
        <w:rPr>
          <w:rFonts w:cs="Times New Roman"/>
          <w:szCs w:val="24"/>
        </w:rPr>
        <w:t>requirements</w:t>
      </w:r>
      <w:r w:rsidR="001C4850">
        <w:rPr>
          <w:rFonts w:cs="Times New Roman"/>
          <w:szCs w:val="24"/>
        </w:rPr>
        <w:t xml:space="preserve"> in the PUCO’s rules.</w:t>
      </w:r>
      <w:r>
        <w:rPr>
          <w:rStyle w:val="FootnoteReference"/>
          <w:rFonts w:cs="Times New Roman"/>
          <w:szCs w:val="24"/>
        </w:rPr>
        <w:footnoteReference w:id="4"/>
      </w:r>
      <w:r w:rsidR="000369CC">
        <w:rPr>
          <w:rFonts w:cs="Times New Roman"/>
          <w:szCs w:val="24"/>
        </w:rPr>
        <w:t xml:space="preserve"> </w:t>
      </w:r>
      <w:r w:rsidR="001C4850">
        <w:rPr>
          <w:rFonts w:cs="Times New Roman"/>
          <w:szCs w:val="24"/>
        </w:rPr>
        <w:t>OCC’s Objections relate to the “finding</w:t>
      </w:r>
      <w:r>
        <w:rPr>
          <w:rFonts w:cs="Times New Roman"/>
          <w:szCs w:val="24"/>
        </w:rPr>
        <w:t>s</w:t>
      </w:r>
      <w:r w:rsidR="001C4850">
        <w:rPr>
          <w:rFonts w:cs="Times New Roman"/>
          <w:szCs w:val="24"/>
        </w:rPr>
        <w:t>, conclusions, or recommendations contained in the report,</w:t>
      </w:r>
      <w:r w:rsidR="0091247B">
        <w:rPr>
          <w:rFonts w:cs="Times New Roman"/>
          <w:szCs w:val="24"/>
        </w:rPr>
        <w:t xml:space="preserve"> or to the failure to address” specific items in the report.</w:t>
      </w:r>
      <w:r>
        <w:rPr>
          <w:rStyle w:val="FootnoteReference"/>
          <w:rFonts w:cs="Times New Roman"/>
          <w:szCs w:val="24"/>
        </w:rPr>
        <w:footnoteReference w:id="5"/>
      </w:r>
      <w:r w:rsidR="000369CC">
        <w:rPr>
          <w:rFonts w:cs="Times New Roman"/>
          <w:szCs w:val="24"/>
        </w:rPr>
        <w:t xml:space="preserve"> </w:t>
      </w:r>
      <w:r w:rsidR="001C4850">
        <w:rPr>
          <w:rFonts w:cs="Times New Roman"/>
          <w:szCs w:val="24"/>
        </w:rPr>
        <w:t xml:space="preserve">OCC’s Objections </w:t>
      </w:r>
      <w:r w:rsidR="00343A78">
        <w:rPr>
          <w:rFonts w:cs="Times New Roman"/>
          <w:szCs w:val="24"/>
        </w:rPr>
        <w:t>are</w:t>
      </w:r>
      <w:r w:rsidR="00ED6F7B">
        <w:rPr>
          <w:rFonts w:cs="Times New Roman"/>
          <w:szCs w:val="24"/>
        </w:rPr>
        <w:t xml:space="preserve"> also</w:t>
      </w:r>
      <w:r w:rsidR="001C4850">
        <w:rPr>
          <w:rFonts w:cs="Times New Roman"/>
          <w:szCs w:val="24"/>
        </w:rPr>
        <w:t xml:space="preserve"> “specific”</w:t>
      </w:r>
      <w:r w:rsidR="008F75B3">
        <w:rPr>
          <w:rFonts w:cs="Times New Roman"/>
          <w:szCs w:val="24"/>
        </w:rPr>
        <w:t xml:space="preserve"> and “frame the issues” OCC plans to litigate at hearing.</w:t>
      </w:r>
      <w:r>
        <w:rPr>
          <w:rStyle w:val="FootnoteReference"/>
          <w:rFonts w:cs="Times New Roman"/>
          <w:szCs w:val="24"/>
        </w:rPr>
        <w:footnoteReference w:id="6"/>
      </w:r>
      <w:r w:rsidR="000369CC">
        <w:rPr>
          <w:rFonts w:cs="Times New Roman"/>
          <w:szCs w:val="24"/>
        </w:rPr>
        <w:t xml:space="preserve"> </w:t>
      </w:r>
    </w:p>
    <w:p w:rsidR="000369CC" w:rsidRPr="007A44C5" w:rsidP="007A44C5" w14:paraId="7CE77CAB" w14:textId="3D9C437E">
      <w:pPr>
        <w:spacing w:after="0" w:line="480" w:lineRule="auto"/>
        <w:ind w:firstLine="720"/>
        <w:rPr>
          <w:rFonts w:cs="Times New Roman"/>
          <w:szCs w:val="24"/>
        </w:rPr>
      </w:pPr>
      <w:r>
        <w:rPr>
          <w:rFonts w:cs="Times New Roman"/>
          <w:szCs w:val="24"/>
        </w:rPr>
        <w:t xml:space="preserve">Despite OCC’s Objections </w:t>
      </w:r>
      <w:r w:rsidR="00F41DA5">
        <w:rPr>
          <w:rFonts w:cs="Times New Roman"/>
          <w:szCs w:val="24"/>
        </w:rPr>
        <w:t xml:space="preserve">fully </w:t>
      </w:r>
      <w:r>
        <w:rPr>
          <w:rFonts w:cs="Times New Roman"/>
          <w:szCs w:val="24"/>
        </w:rPr>
        <w:t>conform</w:t>
      </w:r>
      <w:r w:rsidR="00C3073E">
        <w:rPr>
          <w:rFonts w:cs="Times New Roman"/>
          <w:szCs w:val="24"/>
        </w:rPr>
        <w:t>ing</w:t>
      </w:r>
      <w:r>
        <w:rPr>
          <w:rFonts w:cs="Times New Roman"/>
          <w:szCs w:val="24"/>
        </w:rPr>
        <w:t xml:space="preserve"> to the PUCO’s rules, </w:t>
      </w:r>
      <w:r w:rsidR="00C23211">
        <w:rPr>
          <w:rFonts w:cs="Times New Roman"/>
          <w:szCs w:val="24"/>
        </w:rPr>
        <w:t xml:space="preserve">Aqua Ohio, Inc. (“Aqua”) </w:t>
      </w:r>
      <w:r w:rsidR="00AF7726">
        <w:rPr>
          <w:rFonts w:cs="Times New Roman"/>
          <w:szCs w:val="24"/>
        </w:rPr>
        <w:t xml:space="preserve">has </w:t>
      </w:r>
      <w:r w:rsidR="00C23211">
        <w:rPr>
          <w:rFonts w:cs="Times New Roman"/>
          <w:szCs w:val="24"/>
        </w:rPr>
        <w:t>moved to strike</w:t>
      </w:r>
      <w:r>
        <w:rPr>
          <w:rStyle w:val="FootnoteReference"/>
          <w:rFonts w:cs="Times New Roman"/>
          <w:szCs w:val="24"/>
        </w:rPr>
        <w:footnoteReference w:id="7"/>
      </w:r>
      <w:r w:rsidR="00C23211">
        <w:rPr>
          <w:rFonts w:cs="Times New Roman"/>
          <w:szCs w:val="24"/>
        </w:rPr>
        <w:t xml:space="preserve"> </w:t>
      </w:r>
      <w:r w:rsidR="00667BDD">
        <w:rPr>
          <w:rFonts w:cs="Times New Roman"/>
          <w:szCs w:val="24"/>
        </w:rPr>
        <w:t>three</w:t>
      </w:r>
      <w:r w:rsidR="00C23211">
        <w:rPr>
          <w:rFonts w:cs="Times New Roman"/>
          <w:szCs w:val="24"/>
        </w:rPr>
        <w:t xml:space="preserve"> of OCC’s Objections. Aqua’s motio</w:t>
      </w:r>
      <w:r w:rsidR="00045C8D">
        <w:rPr>
          <w:rFonts w:cs="Times New Roman"/>
          <w:szCs w:val="24"/>
        </w:rPr>
        <w:t>n should be denied</w:t>
      </w:r>
      <w:r w:rsidR="00B74588">
        <w:rPr>
          <w:rFonts w:cs="Times New Roman"/>
          <w:szCs w:val="24"/>
        </w:rPr>
        <w:t>.</w:t>
      </w:r>
      <w:r w:rsidR="00045C8D">
        <w:rPr>
          <w:rFonts w:cs="Times New Roman"/>
          <w:szCs w:val="24"/>
        </w:rPr>
        <w:t xml:space="preserve"> </w:t>
      </w:r>
      <w:r w:rsidRPr="007B2D26" w:rsidR="00045C8D">
        <w:rPr>
          <w:rFonts w:cs="Times New Roman"/>
          <w:szCs w:val="24"/>
        </w:rPr>
        <w:t>The three objections</w:t>
      </w:r>
      <w:r>
        <w:rPr>
          <w:rStyle w:val="FootnoteReference"/>
          <w:rFonts w:cs="Times New Roman"/>
          <w:szCs w:val="24"/>
        </w:rPr>
        <w:footnoteReference w:id="8"/>
      </w:r>
      <w:r w:rsidRPr="007B2D26" w:rsidR="00045C8D">
        <w:rPr>
          <w:rFonts w:cs="Times New Roman"/>
          <w:szCs w:val="24"/>
        </w:rPr>
        <w:t xml:space="preserve"> that Aqua request</w:t>
      </w:r>
      <w:r w:rsidR="007A44C5">
        <w:rPr>
          <w:rFonts w:cs="Times New Roman"/>
          <w:szCs w:val="24"/>
        </w:rPr>
        <w:t xml:space="preserve">s </w:t>
      </w:r>
      <w:r w:rsidR="009519DD">
        <w:rPr>
          <w:rFonts w:cs="Times New Roman"/>
          <w:szCs w:val="24"/>
        </w:rPr>
        <w:t xml:space="preserve">to strike concern </w:t>
      </w:r>
      <w:r w:rsidRPr="007B2D26" w:rsidR="00045C8D">
        <w:rPr>
          <w:rFonts w:cs="Times New Roman"/>
          <w:szCs w:val="24"/>
        </w:rPr>
        <w:t>bill payment assistance</w:t>
      </w:r>
      <w:r w:rsidR="009519DD">
        <w:rPr>
          <w:rFonts w:cs="Times New Roman"/>
          <w:szCs w:val="24"/>
        </w:rPr>
        <w:t xml:space="preserve"> </w:t>
      </w:r>
      <w:r w:rsidR="009519DD">
        <w:rPr>
          <w:rFonts w:cs="Times New Roman"/>
          <w:szCs w:val="24"/>
        </w:rPr>
        <w:t>for consumers</w:t>
      </w:r>
      <w:r w:rsidRPr="007B2D26" w:rsidR="00045C8D">
        <w:rPr>
          <w:rFonts w:cs="Times New Roman"/>
          <w:szCs w:val="24"/>
        </w:rPr>
        <w:t>,</w:t>
      </w:r>
      <w:r w:rsidR="008F75B3">
        <w:rPr>
          <w:rFonts w:cs="Times New Roman"/>
          <w:szCs w:val="24"/>
        </w:rPr>
        <w:t xml:space="preserve"> </w:t>
      </w:r>
      <w:r w:rsidR="009519DD">
        <w:rPr>
          <w:rFonts w:cs="Times New Roman"/>
          <w:szCs w:val="24"/>
        </w:rPr>
        <w:t xml:space="preserve">Aqua’s </w:t>
      </w:r>
      <w:r w:rsidR="008F75B3">
        <w:rPr>
          <w:rFonts w:cs="Times New Roman"/>
          <w:szCs w:val="24"/>
        </w:rPr>
        <w:t>publication of</w:t>
      </w:r>
      <w:r w:rsidRPr="007B2D26" w:rsidR="00045C8D">
        <w:rPr>
          <w:rFonts w:cs="Times New Roman"/>
          <w:szCs w:val="24"/>
        </w:rPr>
        <w:t xml:space="preserve"> disconnection </w:t>
      </w:r>
      <w:r w:rsidR="008F75B3">
        <w:rPr>
          <w:rFonts w:cs="Times New Roman"/>
          <w:szCs w:val="24"/>
        </w:rPr>
        <w:t>data</w:t>
      </w:r>
      <w:r w:rsidRPr="007B2D26" w:rsidR="00045C8D">
        <w:rPr>
          <w:rFonts w:cs="Times New Roman"/>
          <w:szCs w:val="24"/>
        </w:rPr>
        <w:t xml:space="preserve">, and public hearings in this </w:t>
      </w:r>
      <w:r w:rsidR="009519DD">
        <w:rPr>
          <w:rFonts w:cs="Times New Roman"/>
          <w:szCs w:val="24"/>
        </w:rPr>
        <w:t xml:space="preserve">rate case </w:t>
      </w:r>
      <w:r w:rsidRPr="007B2D26" w:rsidR="00045C8D">
        <w:rPr>
          <w:rFonts w:cs="Times New Roman"/>
          <w:szCs w:val="24"/>
        </w:rPr>
        <w:t>proceeding.</w:t>
      </w:r>
      <w:r w:rsidR="00045C8D">
        <w:rPr>
          <w:rFonts w:cs="Times New Roman"/>
          <w:szCs w:val="24"/>
        </w:rPr>
        <w:t xml:space="preserve"> These items are directly related to the “findings, conclusions or recommendations” contained in the PUCO Staff Report and</w:t>
      </w:r>
      <w:r w:rsidR="007A44C5">
        <w:rPr>
          <w:rFonts w:cs="Times New Roman"/>
          <w:szCs w:val="24"/>
        </w:rPr>
        <w:t xml:space="preserve"> </w:t>
      </w:r>
      <w:r w:rsidR="00B74588">
        <w:rPr>
          <w:rFonts w:cs="Times New Roman"/>
          <w:szCs w:val="24"/>
        </w:rPr>
        <w:t xml:space="preserve">are specific. </w:t>
      </w:r>
      <w:r w:rsidR="007A44C5">
        <w:rPr>
          <w:rFonts w:cs="Times New Roman"/>
          <w:szCs w:val="24"/>
        </w:rPr>
        <w:t xml:space="preserve">Thus, </w:t>
      </w:r>
      <w:r w:rsidR="00045C8D">
        <w:t>Aqua’s motion to strike OCC’s Objections should be denied</w:t>
      </w:r>
      <w:r w:rsidR="007A44C5">
        <w:t>.</w:t>
      </w:r>
    </w:p>
    <w:p w:rsidR="0091184E" w:rsidRPr="00E36E59" w:rsidP="001300BA" w14:paraId="27250C9A" w14:textId="7C305038">
      <w:pPr>
        <w:pStyle w:val="Heading1"/>
        <w:rPr>
          <w:rFonts w:cs="Times New Roman"/>
          <w:szCs w:val="24"/>
        </w:rPr>
      </w:pPr>
      <w:r w:rsidRPr="00F41DA5">
        <w:rPr>
          <w:rFonts w:cs="Times New Roman"/>
          <w:szCs w:val="24"/>
        </w:rPr>
        <w:t>I</w:t>
      </w:r>
      <w:r w:rsidR="00DF6086">
        <w:rPr>
          <w:rFonts w:cs="Times New Roman"/>
          <w:szCs w:val="24"/>
        </w:rPr>
        <w:t>I</w:t>
      </w:r>
      <w:r w:rsidRPr="00F41DA5">
        <w:rPr>
          <w:rFonts w:cs="Times New Roman"/>
          <w:szCs w:val="24"/>
        </w:rPr>
        <w:t xml:space="preserve">. </w:t>
      </w:r>
      <w:r w:rsidR="000369CC">
        <w:rPr>
          <w:rFonts w:cs="Times New Roman"/>
          <w:szCs w:val="24"/>
        </w:rPr>
        <w:tab/>
      </w:r>
      <w:bookmarkStart w:id="1" w:name="_Toc97814045"/>
      <w:r w:rsidRPr="00E36E59" w:rsidR="000B1816">
        <w:t>ARGUMENT</w:t>
      </w:r>
      <w:bookmarkEnd w:id="1"/>
    </w:p>
    <w:p w:rsidR="007B2D26" w:rsidRPr="00E36E59" w:rsidP="001300BA" w14:paraId="15ADDE5C" w14:textId="49EC7A62">
      <w:pPr>
        <w:pStyle w:val="ListParagraph"/>
        <w:numPr>
          <w:ilvl w:val="0"/>
          <w:numId w:val="7"/>
        </w:numPr>
        <w:spacing w:after="0" w:line="240" w:lineRule="auto"/>
        <w:ind w:left="1440" w:hanging="720"/>
        <w:rPr>
          <w:rFonts w:ascii="Times New Roman" w:hAnsi="Times New Roman" w:cs="Times New Roman"/>
          <w:b/>
          <w:bCs/>
          <w:sz w:val="24"/>
          <w:szCs w:val="24"/>
        </w:rPr>
      </w:pPr>
      <w:r w:rsidRPr="00E36E59">
        <w:rPr>
          <w:rFonts w:ascii="Times New Roman" w:hAnsi="Times New Roman" w:cs="Times New Roman"/>
          <w:b/>
          <w:bCs/>
          <w:sz w:val="24"/>
          <w:szCs w:val="24"/>
        </w:rPr>
        <w:t>OCC</w:t>
      </w:r>
      <w:r w:rsidRPr="00E36E59" w:rsidR="00E36E59">
        <w:rPr>
          <w:rFonts w:ascii="Times New Roman" w:hAnsi="Times New Roman" w:cs="Times New Roman"/>
          <w:b/>
          <w:bCs/>
          <w:sz w:val="24"/>
          <w:szCs w:val="24"/>
        </w:rPr>
        <w:t>’s</w:t>
      </w:r>
      <w:r w:rsidRPr="00E36E59">
        <w:rPr>
          <w:rFonts w:ascii="Times New Roman" w:hAnsi="Times New Roman" w:cs="Times New Roman"/>
          <w:b/>
          <w:bCs/>
          <w:sz w:val="24"/>
          <w:szCs w:val="24"/>
        </w:rPr>
        <w:t xml:space="preserve"> objections </w:t>
      </w:r>
      <w:r w:rsidRPr="00E36E59" w:rsidR="00E36E59">
        <w:rPr>
          <w:rFonts w:ascii="Times New Roman" w:hAnsi="Times New Roman" w:cs="Times New Roman"/>
          <w:b/>
          <w:bCs/>
          <w:sz w:val="24"/>
          <w:szCs w:val="24"/>
        </w:rPr>
        <w:t>to the Staff Report are specific</w:t>
      </w:r>
      <w:r w:rsidR="001F1F86">
        <w:rPr>
          <w:rFonts w:ascii="Times New Roman" w:hAnsi="Times New Roman" w:cs="Times New Roman"/>
          <w:b/>
          <w:bCs/>
          <w:sz w:val="24"/>
          <w:szCs w:val="24"/>
        </w:rPr>
        <w:t xml:space="preserve"> and should not be stricken. OCC’s objections </w:t>
      </w:r>
      <w:r w:rsidR="00045C8D">
        <w:rPr>
          <w:rFonts w:ascii="Times New Roman" w:hAnsi="Times New Roman" w:cs="Times New Roman"/>
          <w:b/>
          <w:bCs/>
          <w:sz w:val="24"/>
          <w:szCs w:val="24"/>
        </w:rPr>
        <w:t xml:space="preserve">provide Aqua </w:t>
      </w:r>
      <w:r w:rsidR="00567931">
        <w:rPr>
          <w:rFonts w:ascii="Times New Roman" w:hAnsi="Times New Roman" w:cs="Times New Roman"/>
          <w:b/>
          <w:bCs/>
          <w:sz w:val="24"/>
          <w:szCs w:val="24"/>
        </w:rPr>
        <w:t xml:space="preserve">unambiguous </w:t>
      </w:r>
      <w:r w:rsidR="00045C8D">
        <w:rPr>
          <w:rFonts w:ascii="Times New Roman" w:hAnsi="Times New Roman" w:cs="Times New Roman"/>
          <w:b/>
          <w:bCs/>
          <w:sz w:val="24"/>
          <w:szCs w:val="24"/>
        </w:rPr>
        <w:t>notice of the issues OCC intends to litigate at hearing</w:t>
      </w:r>
      <w:r w:rsidRPr="00E36E59" w:rsidR="00E36E59">
        <w:rPr>
          <w:rFonts w:ascii="Times New Roman" w:hAnsi="Times New Roman" w:cs="Times New Roman"/>
          <w:b/>
          <w:bCs/>
          <w:sz w:val="24"/>
          <w:szCs w:val="24"/>
        </w:rPr>
        <w:t>.</w:t>
      </w:r>
    </w:p>
    <w:p w:rsidR="00573B49" w:rsidRPr="00E36E59" w:rsidP="001300BA" w14:paraId="1D2FE292" w14:textId="77777777">
      <w:pPr>
        <w:pStyle w:val="ListParagraph"/>
        <w:spacing w:after="0" w:line="240" w:lineRule="auto"/>
        <w:ind w:left="1440"/>
        <w:rPr>
          <w:rFonts w:ascii="Times New Roman" w:hAnsi="Times New Roman" w:cs="Times New Roman"/>
          <w:b/>
          <w:bCs/>
          <w:sz w:val="24"/>
          <w:szCs w:val="24"/>
        </w:rPr>
      </w:pPr>
    </w:p>
    <w:p w:rsidR="0066544D" w:rsidP="0066544D" w14:paraId="61F2C715" w14:textId="101FEA21">
      <w:pPr>
        <w:spacing w:after="0" w:line="480" w:lineRule="auto"/>
        <w:ind w:firstLine="720"/>
        <w:rPr>
          <w:rFonts w:cs="Times New Roman"/>
          <w:szCs w:val="24"/>
        </w:rPr>
      </w:pPr>
      <w:r w:rsidRPr="00E36E59">
        <w:rPr>
          <w:rFonts w:cs="Times New Roman"/>
          <w:szCs w:val="24"/>
        </w:rPr>
        <w:t>Aqua moves to strike OCC’s 15</w:t>
      </w:r>
      <w:r w:rsidRPr="00E36E59">
        <w:rPr>
          <w:rFonts w:cs="Times New Roman"/>
          <w:szCs w:val="24"/>
          <w:vertAlign w:val="superscript"/>
        </w:rPr>
        <w:t>th</w:t>
      </w:r>
      <w:r w:rsidRPr="00E36E59">
        <w:rPr>
          <w:rFonts w:cs="Times New Roman"/>
          <w:szCs w:val="24"/>
        </w:rPr>
        <w:t>, 16</w:t>
      </w:r>
      <w:r w:rsidRPr="00E36E59">
        <w:rPr>
          <w:rFonts w:cs="Times New Roman"/>
          <w:szCs w:val="24"/>
          <w:vertAlign w:val="superscript"/>
        </w:rPr>
        <w:t>th</w:t>
      </w:r>
      <w:r w:rsidRPr="00E36E59">
        <w:rPr>
          <w:rFonts w:cs="Times New Roman"/>
          <w:szCs w:val="24"/>
        </w:rPr>
        <w:t>, and 17</w:t>
      </w:r>
      <w:r w:rsidRPr="00E36E59">
        <w:rPr>
          <w:rFonts w:cs="Times New Roman"/>
          <w:szCs w:val="24"/>
          <w:vertAlign w:val="superscript"/>
        </w:rPr>
        <w:t>th</w:t>
      </w:r>
      <w:r w:rsidRPr="00E36E59">
        <w:rPr>
          <w:rFonts w:cs="Times New Roman"/>
          <w:szCs w:val="24"/>
        </w:rPr>
        <w:t xml:space="preserve"> objections to the Staff Report.</w:t>
      </w:r>
      <w:r>
        <w:rPr>
          <w:rStyle w:val="FootnoteReference"/>
          <w:rFonts w:cs="Times New Roman"/>
          <w:szCs w:val="24"/>
        </w:rPr>
        <w:footnoteReference w:id="9"/>
      </w:r>
      <w:r w:rsidRPr="00E36E59">
        <w:rPr>
          <w:rFonts w:cs="Times New Roman"/>
          <w:szCs w:val="24"/>
        </w:rPr>
        <w:t xml:space="preserve"> Aqua claims that these objections “were not made with specificity</w:t>
      </w:r>
      <w:r w:rsidRPr="00E36E59">
        <w:t>”</w:t>
      </w:r>
      <w:r>
        <w:t xml:space="preserve"> because OCC did </w:t>
      </w:r>
      <w:r>
        <w:rPr>
          <w:rFonts w:cs="Times New Roman"/>
          <w:szCs w:val="24"/>
        </w:rPr>
        <w:t>not provide “support” or “legal basis</w:t>
      </w:r>
      <w:r w:rsidR="00567931">
        <w:rPr>
          <w:rFonts w:cs="Times New Roman"/>
          <w:szCs w:val="24"/>
        </w:rPr>
        <w:t>.</w:t>
      </w:r>
      <w:r>
        <w:rPr>
          <w:rFonts w:cs="Times New Roman"/>
          <w:szCs w:val="24"/>
        </w:rPr>
        <w:t>”</w:t>
      </w:r>
      <w:r>
        <w:rPr>
          <w:rStyle w:val="FootnoteReference"/>
        </w:rPr>
        <w:footnoteReference w:id="10"/>
      </w:r>
      <w:r>
        <w:rPr>
          <w:rFonts w:cs="Times New Roman"/>
          <w:szCs w:val="24"/>
        </w:rPr>
        <w:t xml:space="preserve"> </w:t>
      </w:r>
      <w:r w:rsidR="00F63549">
        <w:rPr>
          <w:rFonts w:cs="Times New Roman"/>
          <w:szCs w:val="24"/>
        </w:rPr>
        <w:t xml:space="preserve">That argument should be rejected. </w:t>
      </w:r>
    </w:p>
    <w:p w:rsidR="00A404B3" w:rsidP="0066544D" w14:paraId="1E9B0371" w14:textId="3FD6BCDD">
      <w:pPr>
        <w:spacing w:after="0" w:line="480" w:lineRule="auto"/>
        <w:ind w:firstLine="720"/>
        <w:rPr>
          <w:rFonts w:cs="Times New Roman"/>
        </w:rPr>
      </w:pPr>
      <w:r>
        <w:rPr>
          <w:rFonts w:cs="Times New Roman"/>
        </w:rPr>
        <w:t xml:space="preserve">O.A.C. </w:t>
      </w:r>
      <w:r w:rsidR="003F573A">
        <w:rPr>
          <w:rFonts w:cs="Times New Roman"/>
        </w:rPr>
        <w:t>4901-1-28</w:t>
      </w:r>
      <w:r w:rsidR="00ED6F7B">
        <w:rPr>
          <w:rFonts w:cs="Times New Roman"/>
        </w:rPr>
        <w:t>(B)</w:t>
      </w:r>
      <w:r w:rsidR="003F573A">
        <w:rPr>
          <w:rFonts w:cs="Times New Roman"/>
          <w:position w:val="8"/>
        </w:rPr>
        <w:t xml:space="preserve"> </w:t>
      </w:r>
      <w:r w:rsidR="003F573A">
        <w:rPr>
          <w:rFonts w:cs="Times New Roman"/>
        </w:rPr>
        <w:t xml:space="preserve">governs </w:t>
      </w:r>
      <w:r w:rsidR="00ED6F7B">
        <w:rPr>
          <w:rFonts w:cs="Times New Roman"/>
        </w:rPr>
        <w:t>objections</w:t>
      </w:r>
      <w:r w:rsidR="003F573A">
        <w:rPr>
          <w:rFonts w:cs="Times New Roman"/>
        </w:rPr>
        <w:t xml:space="preserve">, stating that </w:t>
      </w:r>
      <w:r w:rsidR="00F63549">
        <w:rPr>
          <w:rFonts w:cs="Times New Roman"/>
        </w:rPr>
        <w:t>“</w:t>
      </w:r>
      <w:r w:rsidR="003F573A">
        <w:rPr>
          <w:rFonts w:cs="Times New Roman"/>
        </w:rPr>
        <w:t xml:space="preserve">objections may relate to the findings, conclusions, or recommendations contained in the report, </w:t>
      </w:r>
      <w:r w:rsidRPr="00E352A1" w:rsidR="003F573A">
        <w:rPr>
          <w:rFonts w:cs="Times New Roman"/>
          <w:iCs/>
        </w:rPr>
        <w:t>or to the failure of the report to address one</w:t>
      </w:r>
      <w:r>
        <w:rPr>
          <w:rFonts w:cs="Times New Roman"/>
          <w:iCs/>
        </w:rPr>
        <w:t xml:space="preserve"> or</w:t>
      </w:r>
      <w:r w:rsidRPr="00E352A1" w:rsidR="003F573A">
        <w:rPr>
          <w:rFonts w:cs="Times New Roman"/>
          <w:iCs/>
        </w:rPr>
        <w:t xml:space="preserve"> more</w:t>
      </w:r>
      <w:r w:rsidRPr="00E352A1" w:rsidR="003F573A">
        <w:rPr>
          <w:rFonts w:cs="Times New Roman"/>
          <w:iCs/>
          <w:spacing w:val="-6"/>
        </w:rPr>
        <w:t xml:space="preserve"> </w:t>
      </w:r>
      <w:r w:rsidRPr="00E352A1" w:rsidR="003F573A">
        <w:rPr>
          <w:rFonts w:cs="Times New Roman"/>
          <w:iCs/>
        </w:rPr>
        <w:t>specific</w:t>
      </w:r>
      <w:r w:rsidRPr="00E352A1" w:rsidR="003F573A">
        <w:rPr>
          <w:rFonts w:cs="Times New Roman"/>
          <w:iCs/>
          <w:spacing w:val="-6"/>
        </w:rPr>
        <w:t xml:space="preserve"> </w:t>
      </w:r>
      <w:r w:rsidRPr="00E352A1" w:rsidR="003F573A">
        <w:rPr>
          <w:rFonts w:cs="Times New Roman"/>
          <w:iCs/>
        </w:rPr>
        <w:t>items.</w:t>
      </w:r>
      <w:r w:rsidRPr="00E352A1" w:rsidR="003F573A">
        <w:rPr>
          <w:rFonts w:cs="Times New Roman"/>
          <w:iCs/>
          <w:spacing w:val="-6"/>
        </w:rPr>
        <w:t xml:space="preserve"> </w:t>
      </w:r>
      <w:r w:rsidR="003F573A">
        <w:rPr>
          <w:rFonts w:cs="Times New Roman"/>
        </w:rPr>
        <w:t>All</w:t>
      </w:r>
      <w:r w:rsidR="003F573A">
        <w:rPr>
          <w:rFonts w:cs="Times New Roman"/>
          <w:spacing w:val="-6"/>
        </w:rPr>
        <w:t xml:space="preserve"> </w:t>
      </w:r>
      <w:r w:rsidR="003F573A">
        <w:rPr>
          <w:rFonts w:cs="Times New Roman"/>
        </w:rPr>
        <w:t>objections</w:t>
      </w:r>
      <w:r w:rsidR="003F573A">
        <w:rPr>
          <w:rFonts w:cs="Times New Roman"/>
          <w:spacing w:val="-5"/>
        </w:rPr>
        <w:t xml:space="preserve"> </w:t>
      </w:r>
      <w:r w:rsidR="003F573A">
        <w:rPr>
          <w:rFonts w:cs="Times New Roman"/>
        </w:rPr>
        <w:t>must</w:t>
      </w:r>
      <w:r w:rsidR="003F573A">
        <w:rPr>
          <w:rFonts w:cs="Times New Roman"/>
          <w:spacing w:val="-6"/>
        </w:rPr>
        <w:t xml:space="preserve"> </w:t>
      </w:r>
      <w:r w:rsidR="003F573A">
        <w:rPr>
          <w:rFonts w:cs="Times New Roman"/>
        </w:rPr>
        <w:t>be</w:t>
      </w:r>
      <w:r w:rsidR="003F573A">
        <w:rPr>
          <w:rFonts w:cs="Times New Roman"/>
          <w:spacing w:val="-6"/>
        </w:rPr>
        <w:t xml:space="preserve"> </w:t>
      </w:r>
      <w:r w:rsidR="003F573A">
        <w:rPr>
          <w:rFonts w:cs="Times New Roman"/>
        </w:rPr>
        <w:t>specific,</w:t>
      </w:r>
      <w:r w:rsidR="003F573A">
        <w:rPr>
          <w:rFonts w:cs="Times New Roman"/>
          <w:spacing w:val="-5"/>
        </w:rPr>
        <w:t xml:space="preserve"> </w:t>
      </w:r>
      <w:r w:rsidR="003F573A">
        <w:rPr>
          <w:rFonts w:cs="Times New Roman"/>
        </w:rPr>
        <w:t>and</w:t>
      </w:r>
      <w:r w:rsidR="003F573A">
        <w:rPr>
          <w:rFonts w:cs="Times New Roman"/>
          <w:spacing w:val="-6"/>
        </w:rPr>
        <w:t xml:space="preserve"> </w:t>
      </w:r>
      <w:r w:rsidR="003F573A">
        <w:rPr>
          <w:rFonts w:cs="Times New Roman"/>
        </w:rPr>
        <w:t>objections</w:t>
      </w:r>
      <w:r w:rsidR="003F573A">
        <w:rPr>
          <w:rFonts w:cs="Times New Roman"/>
          <w:spacing w:val="-6"/>
        </w:rPr>
        <w:t xml:space="preserve"> </w:t>
      </w:r>
      <w:r w:rsidR="003F573A">
        <w:rPr>
          <w:rFonts w:cs="Times New Roman"/>
        </w:rPr>
        <w:t>which</w:t>
      </w:r>
      <w:r w:rsidR="003F573A">
        <w:rPr>
          <w:rFonts w:cs="Times New Roman"/>
          <w:spacing w:val="-6"/>
        </w:rPr>
        <w:t xml:space="preserve"> </w:t>
      </w:r>
      <w:r w:rsidR="003F573A">
        <w:rPr>
          <w:rFonts w:cs="Times New Roman"/>
        </w:rPr>
        <w:t>fail</w:t>
      </w:r>
      <w:r w:rsidR="003F573A">
        <w:rPr>
          <w:rFonts w:cs="Times New Roman"/>
          <w:spacing w:val="-6"/>
        </w:rPr>
        <w:t xml:space="preserve"> </w:t>
      </w:r>
      <w:r w:rsidR="003F573A">
        <w:rPr>
          <w:rFonts w:cs="Times New Roman"/>
        </w:rPr>
        <w:t>to</w:t>
      </w:r>
      <w:r w:rsidR="003F573A">
        <w:rPr>
          <w:rFonts w:cs="Times New Roman"/>
          <w:spacing w:val="-6"/>
        </w:rPr>
        <w:t xml:space="preserve"> </w:t>
      </w:r>
      <w:r w:rsidR="003F573A">
        <w:rPr>
          <w:rFonts w:cs="Times New Roman"/>
        </w:rPr>
        <w:t>meet</w:t>
      </w:r>
      <w:r w:rsidR="003F573A">
        <w:rPr>
          <w:rFonts w:cs="Times New Roman"/>
          <w:spacing w:val="-6"/>
        </w:rPr>
        <w:t xml:space="preserve"> </w:t>
      </w:r>
      <w:r w:rsidR="003F573A">
        <w:rPr>
          <w:rFonts w:cs="Times New Roman"/>
        </w:rPr>
        <w:t>this requirement may be stricken.</w:t>
      </w:r>
      <w:r w:rsidR="00F63549">
        <w:rPr>
          <w:rFonts w:cs="Times New Roman"/>
        </w:rPr>
        <w:t>”</w:t>
      </w:r>
      <w:r w:rsidR="003F573A">
        <w:rPr>
          <w:rFonts w:cs="Times New Roman"/>
        </w:rPr>
        <w:t xml:space="preserve"> </w:t>
      </w:r>
      <w:r w:rsidR="003F573A">
        <w:rPr>
          <w:rFonts w:cs="Times New Roman"/>
          <w:szCs w:val="24"/>
        </w:rPr>
        <w:t>Objections</w:t>
      </w:r>
      <w:r w:rsidR="00567931">
        <w:rPr>
          <w:rFonts w:cs="Times New Roman"/>
          <w:szCs w:val="24"/>
        </w:rPr>
        <w:t xml:space="preserve"> also</w:t>
      </w:r>
      <w:r w:rsidR="003F573A">
        <w:rPr>
          <w:rFonts w:cs="Times New Roman"/>
          <w:szCs w:val="24"/>
        </w:rPr>
        <w:t xml:space="preserve"> “shall frame the issues in the proceeding,”</w:t>
      </w:r>
      <w:r>
        <w:rPr>
          <w:rStyle w:val="FootnoteReference"/>
          <w:rFonts w:cs="Times New Roman"/>
          <w:szCs w:val="24"/>
        </w:rPr>
        <w:footnoteReference w:id="11"/>
      </w:r>
      <w:r w:rsidR="003F573A">
        <w:rPr>
          <w:rFonts w:cs="Times New Roman"/>
          <w:szCs w:val="24"/>
        </w:rPr>
        <w:t xml:space="preserve"> meaning the</w:t>
      </w:r>
      <w:r w:rsidR="00567931">
        <w:rPr>
          <w:rFonts w:cs="Times New Roman"/>
          <w:szCs w:val="24"/>
        </w:rPr>
        <w:t>ir purpose is to afford</w:t>
      </w:r>
      <w:r w:rsidR="003F573A">
        <w:rPr>
          <w:rFonts w:cs="Times New Roman"/>
          <w:szCs w:val="24"/>
        </w:rPr>
        <w:t xml:space="preserve"> parties and the PUCO notice of what issues </w:t>
      </w:r>
      <w:r w:rsidR="00567931">
        <w:rPr>
          <w:rFonts w:cs="Times New Roman"/>
          <w:szCs w:val="24"/>
        </w:rPr>
        <w:t>the objector</w:t>
      </w:r>
      <w:r w:rsidR="003F573A">
        <w:rPr>
          <w:rFonts w:cs="Times New Roman"/>
          <w:szCs w:val="24"/>
        </w:rPr>
        <w:t xml:space="preserve"> intends to litigate at hearing. </w:t>
      </w:r>
      <w:r w:rsidR="0066544D">
        <w:rPr>
          <w:rFonts w:cs="Times New Roman"/>
          <w:szCs w:val="24"/>
        </w:rPr>
        <w:t>The intrinsic merit, or lack of merit, of any particular objection, must be dealt with following the evidentiary hearing on the matter, not by striking it prior to that time.</w:t>
      </w:r>
      <w:r>
        <w:rPr>
          <w:rStyle w:val="FootnoteReference"/>
          <w:rFonts w:cs="Times New Roman"/>
          <w:szCs w:val="24"/>
        </w:rPr>
        <w:footnoteReference w:id="12"/>
      </w:r>
    </w:p>
    <w:p w:rsidR="00A404B3" w:rsidP="00A404B3" w14:paraId="36CE4ACB" w14:textId="2C183CDC">
      <w:pPr>
        <w:spacing w:after="0" w:line="480" w:lineRule="auto"/>
        <w:ind w:firstLine="720"/>
        <w:rPr>
          <w:rFonts w:cs="Times New Roman"/>
          <w:szCs w:val="24"/>
        </w:rPr>
      </w:pPr>
      <w:r>
        <w:rPr>
          <w:rFonts w:cs="Times New Roman"/>
          <w:szCs w:val="24"/>
        </w:rPr>
        <w:t xml:space="preserve">OCC’s objections are specific because they provide Aqua </w:t>
      </w:r>
      <w:r w:rsidR="008F75B3">
        <w:rPr>
          <w:rFonts w:cs="Times New Roman"/>
          <w:szCs w:val="24"/>
        </w:rPr>
        <w:t xml:space="preserve">unambiguous </w:t>
      </w:r>
      <w:r>
        <w:rPr>
          <w:rFonts w:cs="Times New Roman"/>
          <w:szCs w:val="24"/>
        </w:rPr>
        <w:t>notice of issues OCC will pursue at hearing. OCC’s 15</w:t>
      </w:r>
      <w:r w:rsidRPr="00045C8D">
        <w:rPr>
          <w:rFonts w:cs="Times New Roman"/>
          <w:szCs w:val="24"/>
          <w:vertAlign w:val="superscript"/>
        </w:rPr>
        <w:t>th</w:t>
      </w:r>
      <w:r>
        <w:rPr>
          <w:rFonts w:cs="Times New Roman"/>
          <w:szCs w:val="24"/>
        </w:rPr>
        <w:t xml:space="preserve"> objection states that the </w:t>
      </w:r>
      <w:r w:rsidR="00567931">
        <w:rPr>
          <w:rFonts w:cs="Times New Roman"/>
          <w:szCs w:val="24"/>
        </w:rPr>
        <w:t>“</w:t>
      </w:r>
      <w:r>
        <w:rPr>
          <w:rFonts w:cs="Times New Roman"/>
          <w:szCs w:val="24"/>
        </w:rPr>
        <w:t>PUCO Staff erred by not recommending that annual shareholder funding of $20,000 or more be provided…for a bill payment assistance program.”</w:t>
      </w:r>
      <w:r>
        <w:rPr>
          <w:rStyle w:val="FootnoteReference"/>
          <w:rFonts w:cs="Times New Roman"/>
          <w:szCs w:val="24"/>
        </w:rPr>
        <w:footnoteReference w:id="13"/>
      </w:r>
      <w:r>
        <w:rPr>
          <w:rFonts w:cs="Times New Roman"/>
          <w:szCs w:val="24"/>
        </w:rPr>
        <w:t xml:space="preserve"> This puts Aqua on notice of OCC’s intent to recommend shareholder funding for bill payment assistance at hearing</w:t>
      </w:r>
      <w:r w:rsidR="00567931">
        <w:rPr>
          <w:rFonts w:cs="Times New Roman"/>
          <w:szCs w:val="24"/>
        </w:rPr>
        <w:t xml:space="preserve"> in the amount of $20,000</w:t>
      </w:r>
      <w:r>
        <w:rPr>
          <w:rFonts w:cs="Times New Roman"/>
          <w:szCs w:val="24"/>
        </w:rPr>
        <w:t>. OCC’s objection need not provide support</w:t>
      </w:r>
      <w:r w:rsidR="00ED6F7B">
        <w:rPr>
          <w:rFonts w:cs="Times New Roman"/>
          <w:szCs w:val="24"/>
        </w:rPr>
        <w:t xml:space="preserve"> </w:t>
      </w:r>
      <w:r>
        <w:rPr>
          <w:rFonts w:cs="Times New Roman"/>
          <w:szCs w:val="24"/>
        </w:rPr>
        <w:t>or legal basis</w:t>
      </w:r>
      <w:r w:rsidR="00ED6F7B">
        <w:rPr>
          <w:rFonts w:cs="Times New Roman"/>
          <w:szCs w:val="24"/>
        </w:rPr>
        <w:t xml:space="preserve"> </w:t>
      </w:r>
      <w:r>
        <w:rPr>
          <w:rFonts w:cs="Times New Roman"/>
          <w:szCs w:val="24"/>
        </w:rPr>
        <w:t>for this recommendation at the objection stage</w:t>
      </w:r>
      <w:r w:rsidR="00567931">
        <w:rPr>
          <w:rFonts w:cs="Times New Roman"/>
          <w:szCs w:val="24"/>
        </w:rPr>
        <w:t xml:space="preserve"> to be specific</w:t>
      </w:r>
      <w:r>
        <w:rPr>
          <w:rFonts w:cs="Times New Roman"/>
          <w:szCs w:val="24"/>
        </w:rPr>
        <w:t>, as Aqua mistakenly argues. That will be provided at hearing</w:t>
      </w:r>
      <w:r w:rsidR="00F63549">
        <w:rPr>
          <w:rFonts w:cs="Times New Roman"/>
          <w:szCs w:val="24"/>
        </w:rPr>
        <w:t xml:space="preserve">, </w:t>
      </w:r>
      <w:r w:rsidR="00AD5E67">
        <w:rPr>
          <w:rFonts w:cs="Times New Roman"/>
          <w:szCs w:val="24"/>
        </w:rPr>
        <w:t>through testimony</w:t>
      </w:r>
      <w:r w:rsidR="00F63549">
        <w:rPr>
          <w:rFonts w:cs="Times New Roman"/>
          <w:szCs w:val="24"/>
        </w:rPr>
        <w:t>, and through briefs</w:t>
      </w:r>
      <w:r>
        <w:rPr>
          <w:rFonts w:cs="Times New Roman"/>
          <w:szCs w:val="24"/>
        </w:rPr>
        <w:t>.</w:t>
      </w:r>
      <w:r w:rsidR="0066544D">
        <w:rPr>
          <w:rFonts w:cs="Times New Roman"/>
          <w:szCs w:val="24"/>
        </w:rPr>
        <w:t xml:space="preserve"> Aqua will have the opportunity to address the merits of OCC’s objections </w:t>
      </w:r>
      <w:r w:rsidR="00075781">
        <w:rPr>
          <w:rFonts w:cs="Times New Roman"/>
          <w:szCs w:val="24"/>
        </w:rPr>
        <w:t xml:space="preserve"> during</w:t>
      </w:r>
      <w:r w:rsidR="0066544D">
        <w:rPr>
          <w:rFonts w:cs="Times New Roman"/>
          <w:szCs w:val="24"/>
        </w:rPr>
        <w:t xml:space="preserve"> the evidentiary hearing</w:t>
      </w:r>
      <w:r w:rsidR="00075781">
        <w:rPr>
          <w:rFonts w:cs="Times New Roman"/>
          <w:szCs w:val="24"/>
        </w:rPr>
        <w:t xml:space="preserve"> and on brief</w:t>
      </w:r>
      <w:r w:rsidR="0066544D">
        <w:rPr>
          <w:rFonts w:cs="Times New Roman"/>
          <w:szCs w:val="24"/>
        </w:rPr>
        <w:t>.</w:t>
      </w:r>
      <w:r w:rsidR="00DF6086">
        <w:rPr>
          <w:rFonts w:cs="Times New Roman"/>
          <w:szCs w:val="24"/>
        </w:rPr>
        <w:t xml:space="preserve"> </w:t>
      </w:r>
      <w:r w:rsidR="0066544D">
        <w:rPr>
          <w:rFonts w:cs="Times New Roman"/>
          <w:szCs w:val="24"/>
        </w:rPr>
        <w:t>Consistent with PUCO precedent, it is not proper to strike OCCC’s objection prior to that time.</w:t>
      </w:r>
      <w:r w:rsidR="00DF6086">
        <w:rPr>
          <w:rFonts w:cs="Times New Roman"/>
          <w:szCs w:val="24"/>
        </w:rPr>
        <w:t xml:space="preserve"> </w:t>
      </w:r>
    </w:p>
    <w:p w:rsidR="0066544D" w:rsidP="0066544D" w14:paraId="1A291536" w14:textId="67F7C22E">
      <w:pPr>
        <w:spacing w:after="0" w:line="480" w:lineRule="auto"/>
        <w:ind w:firstLine="720"/>
        <w:rPr>
          <w:rFonts w:ascii="Times" w:hAnsi="Times"/>
        </w:rPr>
      </w:pPr>
      <w:r w:rsidRPr="00A404B3">
        <w:rPr>
          <w:rFonts w:cs="Times New Roman"/>
          <w:szCs w:val="24"/>
        </w:rPr>
        <w:t>OCC’s 16</w:t>
      </w:r>
      <w:r w:rsidRPr="00A404B3">
        <w:rPr>
          <w:rFonts w:cs="Times New Roman"/>
          <w:szCs w:val="24"/>
          <w:vertAlign w:val="superscript"/>
        </w:rPr>
        <w:t>th</w:t>
      </w:r>
      <w:r w:rsidRPr="00A404B3">
        <w:rPr>
          <w:rFonts w:cs="Times New Roman"/>
          <w:szCs w:val="24"/>
        </w:rPr>
        <w:t xml:space="preserve"> objection</w:t>
      </w:r>
      <w:r w:rsidR="00567931">
        <w:rPr>
          <w:rFonts w:cs="Times New Roman"/>
          <w:szCs w:val="24"/>
        </w:rPr>
        <w:t xml:space="preserve"> is specific too. It </w:t>
      </w:r>
      <w:r w:rsidRPr="00A404B3">
        <w:rPr>
          <w:rFonts w:cs="Times New Roman"/>
          <w:szCs w:val="24"/>
        </w:rPr>
        <w:t>states that the PUCO Staff erred by not requiring Aqua to provide quarterly reports providing information related to six pieces of disconnection data.</w:t>
      </w:r>
      <w:r>
        <w:rPr>
          <w:rStyle w:val="FootnoteReference"/>
          <w:rFonts w:cs="Times New Roman"/>
          <w:szCs w:val="24"/>
        </w:rPr>
        <w:footnoteReference w:id="14"/>
      </w:r>
      <w:r w:rsidRPr="00A404B3">
        <w:rPr>
          <w:rFonts w:cs="Times New Roman"/>
          <w:szCs w:val="24"/>
        </w:rPr>
        <w:t xml:space="preserve"> OCC’s objection lists six pieces of disconnection data Aqua should make public, including: </w:t>
      </w:r>
      <w:r>
        <w:rPr>
          <w:rFonts w:cs="Times New Roman"/>
          <w:szCs w:val="24"/>
        </w:rPr>
        <w:t>“</w:t>
      </w:r>
      <w:r w:rsidRPr="00A404B3">
        <w:rPr>
          <w:rFonts w:ascii="Times" w:hAnsi="Times"/>
        </w:rPr>
        <w:t>(1) the number of final notices along with dollar amounts; (ii) the number of disconnections by service area along with dollar amounts; (iii) the number of accounts in 60-days arrears along with dollar amounts; (iv) the number of Aqua customers on payment plans along with dollar amounts; (v) the number of reconnections by service area, and (vi) the number of Aqua residential consumers by service area.</w:t>
      </w:r>
      <w:r>
        <w:rPr>
          <w:rFonts w:ascii="Times" w:hAnsi="Times"/>
        </w:rPr>
        <w:t>”</w:t>
      </w:r>
      <w:r>
        <w:rPr>
          <w:rStyle w:val="FootnoteReference"/>
          <w:rFonts w:ascii="Times" w:hAnsi="Times"/>
        </w:rPr>
        <w:footnoteReference w:id="15"/>
      </w:r>
      <w:r>
        <w:rPr>
          <w:rFonts w:ascii="Times" w:hAnsi="Times"/>
        </w:rPr>
        <w:t xml:space="preserve"> </w:t>
      </w:r>
    </w:p>
    <w:p w:rsidR="006712D9" w:rsidP="0066544D" w14:paraId="4018914B" w14:textId="4960A48D">
      <w:pPr>
        <w:spacing w:after="0" w:line="480" w:lineRule="auto"/>
        <w:ind w:firstLine="720"/>
        <w:rPr>
          <w:rFonts w:cs="Times New Roman"/>
          <w:szCs w:val="24"/>
        </w:rPr>
      </w:pPr>
      <w:r>
        <w:rPr>
          <w:rFonts w:ascii="Times" w:hAnsi="Times"/>
        </w:rPr>
        <w:t xml:space="preserve">OCC’s objection is specific because it gives Aqua notice of every disconnection metric it will request at hearing </w:t>
      </w:r>
      <w:r w:rsidR="00567931">
        <w:rPr>
          <w:rFonts w:ascii="Times" w:hAnsi="Times"/>
        </w:rPr>
        <w:t xml:space="preserve">that </w:t>
      </w:r>
      <w:r>
        <w:rPr>
          <w:rFonts w:ascii="Times" w:hAnsi="Times"/>
        </w:rPr>
        <w:t>Aqua make public. OCC has</w:t>
      </w:r>
      <w:r w:rsidR="00567931">
        <w:rPr>
          <w:rFonts w:ascii="Times" w:hAnsi="Times"/>
        </w:rPr>
        <w:t xml:space="preserve"> thus</w:t>
      </w:r>
      <w:r>
        <w:rPr>
          <w:rFonts w:ascii="Times" w:hAnsi="Times"/>
        </w:rPr>
        <w:t xml:space="preserve"> provided Aqua notice that it will litigate Aqua’s failure to </w:t>
      </w:r>
      <w:r w:rsidR="00567931">
        <w:rPr>
          <w:rFonts w:ascii="Times" w:hAnsi="Times"/>
        </w:rPr>
        <w:t>publish</w:t>
      </w:r>
      <w:r>
        <w:rPr>
          <w:rFonts w:ascii="Times" w:hAnsi="Times"/>
        </w:rPr>
        <w:t xml:space="preserve"> disconnection data at hearing. OCC need not provide support or legal basis in its objections.</w:t>
      </w:r>
    </w:p>
    <w:p w:rsidR="00736F38" w:rsidP="00973EF2" w14:paraId="60C3ECB0" w14:textId="77777777">
      <w:pPr>
        <w:spacing w:after="0" w:line="480" w:lineRule="auto"/>
        <w:ind w:firstLine="720"/>
        <w:rPr>
          <w:rFonts w:cs="Times New Roman"/>
          <w:szCs w:val="24"/>
        </w:rPr>
      </w:pPr>
      <w:r>
        <w:rPr>
          <w:rFonts w:cs="Times New Roman"/>
          <w:szCs w:val="24"/>
        </w:rPr>
        <w:t>Lastly, OCC’s 17</w:t>
      </w:r>
      <w:r w:rsidRPr="006712D9">
        <w:rPr>
          <w:rFonts w:cs="Times New Roman"/>
          <w:szCs w:val="24"/>
          <w:vertAlign w:val="superscript"/>
        </w:rPr>
        <w:t>th</w:t>
      </w:r>
      <w:r>
        <w:rPr>
          <w:rFonts w:cs="Times New Roman"/>
          <w:szCs w:val="24"/>
        </w:rPr>
        <w:t xml:space="preserve"> objection states that the PUCO Staff erred by failing to recommend “that there be virtual local hearings” “scheduled for Aqua consumers in this case….”</w:t>
      </w:r>
      <w:r>
        <w:rPr>
          <w:rStyle w:val="FootnoteReference"/>
          <w:rFonts w:cs="Times New Roman"/>
          <w:szCs w:val="24"/>
        </w:rPr>
        <w:footnoteReference w:id="16"/>
      </w:r>
      <w:r>
        <w:rPr>
          <w:rFonts w:cs="Times New Roman"/>
          <w:szCs w:val="24"/>
        </w:rPr>
        <w:t xml:space="preserve"> There is no ambiguity in this request; the PUCO itself acknowledged </w:t>
      </w:r>
      <w:r w:rsidR="0034598C">
        <w:rPr>
          <w:rFonts w:cs="Times New Roman"/>
          <w:szCs w:val="24"/>
        </w:rPr>
        <w:t xml:space="preserve">in a previous entry in this rate case </w:t>
      </w:r>
      <w:r>
        <w:rPr>
          <w:rFonts w:cs="Times New Roman"/>
          <w:szCs w:val="24"/>
        </w:rPr>
        <w:t>that it has “previously provided the opportunity for remote testimony relative to local public hearings.”</w:t>
      </w:r>
      <w:r>
        <w:rPr>
          <w:rStyle w:val="FootnoteReference"/>
          <w:rFonts w:cs="Times New Roman"/>
          <w:szCs w:val="24"/>
        </w:rPr>
        <w:footnoteReference w:id="17"/>
      </w:r>
      <w:r>
        <w:rPr>
          <w:rFonts w:cs="Times New Roman"/>
          <w:szCs w:val="24"/>
        </w:rPr>
        <w:t xml:space="preserve"> Thus, OCC’s objection makes clear OCC’s position on this matter: there should be</w:t>
      </w:r>
      <w:r w:rsidR="00567931">
        <w:rPr>
          <w:rFonts w:cs="Times New Roman"/>
          <w:szCs w:val="24"/>
        </w:rPr>
        <w:t xml:space="preserve"> virtual</w:t>
      </w:r>
      <w:r>
        <w:rPr>
          <w:rFonts w:cs="Times New Roman"/>
          <w:szCs w:val="24"/>
        </w:rPr>
        <w:t xml:space="preserve"> local public hearings in this case. </w:t>
      </w:r>
    </w:p>
    <w:p w:rsidR="00973EF2" w:rsidRPr="00B1017B" w:rsidP="00B1017B" w14:paraId="18F9DA42" w14:textId="58D270E4">
      <w:pPr>
        <w:spacing w:after="0" w:line="480" w:lineRule="auto"/>
        <w:ind w:firstLine="720"/>
        <w:rPr>
          <w:rFonts w:cs="Times New Roman"/>
        </w:rPr>
      </w:pPr>
      <w:r>
        <w:rPr>
          <w:rFonts w:cs="Times New Roman"/>
          <w:szCs w:val="24"/>
        </w:rPr>
        <w:t>Aqua requests support and legal basis for OCC’s request for local public hearings</w:t>
      </w:r>
      <w:r w:rsidR="0034598C">
        <w:rPr>
          <w:rFonts w:cs="Times New Roman"/>
          <w:szCs w:val="24"/>
        </w:rPr>
        <w:t>, but</w:t>
      </w:r>
      <w:r>
        <w:rPr>
          <w:rFonts w:cs="Times New Roman"/>
          <w:szCs w:val="24"/>
        </w:rPr>
        <w:t xml:space="preserve"> none is required at this stage. OCC’s 17</w:t>
      </w:r>
      <w:r w:rsidRPr="00777FD0">
        <w:rPr>
          <w:rFonts w:cs="Times New Roman"/>
          <w:szCs w:val="24"/>
          <w:vertAlign w:val="superscript"/>
        </w:rPr>
        <w:t>th</w:t>
      </w:r>
      <w:r>
        <w:rPr>
          <w:rFonts w:cs="Times New Roman"/>
          <w:szCs w:val="24"/>
        </w:rPr>
        <w:t xml:space="preserve"> objection provides Aqua adequate notice of OCC’s position on virtual local public hearings and that OCC </w:t>
      </w:r>
      <w:r w:rsidR="00567931">
        <w:rPr>
          <w:rFonts w:cs="Times New Roman"/>
          <w:szCs w:val="24"/>
        </w:rPr>
        <w:t>contests</w:t>
      </w:r>
      <w:r>
        <w:rPr>
          <w:rFonts w:cs="Times New Roman"/>
          <w:szCs w:val="24"/>
        </w:rPr>
        <w:t xml:space="preserve"> this issue. Thus, this objection is proper and should not be stricken</w:t>
      </w:r>
      <w:r w:rsidR="00567931">
        <w:rPr>
          <w:rFonts w:cs="Times New Roman"/>
          <w:szCs w:val="24"/>
        </w:rPr>
        <w:t xml:space="preserve"> for lack of specificity. </w:t>
      </w:r>
      <w:r w:rsidR="00736F38">
        <w:rPr>
          <w:rFonts w:cs="Times New Roman"/>
          <w:szCs w:val="24"/>
        </w:rPr>
        <w:t>Arguments on the merits or the legal basis for an objection simply are not required, contrary to Aqua’s assertion. The intrinsic merit, or lack of merit, of any particular objection, must be dealt with following the evidentiary hearing on the matter, not by striking it prior to that time.</w:t>
      </w:r>
      <w:r>
        <w:rPr>
          <w:rStyle w:val="FootnoteReference"/>
          <w:rFonts w:cs="Times New Roman"/>
          <w:szCs w:val="24"/>
        </w:rPr>
        <w:footnoteReference w:id="18"/>
      </w:r>
    </w:p>
    <w:p w:rsidR="0034598C" w:rsidRPr="00E36E59" w:rsidP="00D42B73" w14:paraId="5DDB4567" w14:textId="00DB2CB6">
      <w:pPr>
        <w:spacing w:after="0" w:line="480" w:lineRule="auto"/>
        <w:ind w:firstLine="720"/>
        <w:rPr>
          <w:rFonts w:cs="Times New Roman"/>
          <w:szCs w:val="24"/>
        </w:rPr>
      </w:pPr>
      <w:r>
        <w:rPr>
          <w:rFonts w:cs="Times New Roman"/>
          <w:szCs w:val="24"/>
        </w:rPr>
        <w:t>Further,</w:t>
      </w:r>
      <w:r w:rsidR="00AD5E67">
        <w:rPr>
          <w:rFonts w:cs="Times New Roman"/>
          <w:szCs w:val="24"/>
        </w:rPr>
        <w:t xml:space="preserve"> </w:t>
      </w:r>
      <w:r w:rsidR="00973EF2">
        <w:rPr>
          <w:rFonts w:cs="Times New Roman"/>
          <w:szCs w:val="24"/>
        </w:rPr>
        <w:t xml:space="preserve">Aqua </w:t>
      </w:r>
      <w:r w:rsidR="00AD5E67">
        <w:rPr>
          <w:rFonts w:cs="Times New Roman"/>
          <w:szCs w:val="24"/>
        </w:rPr>
        <w:t xml:space="preserve">itself </w:t>
      </w:r>
      <w:r w:rsidR="00973EF2">
        <w:rPr>
          <w:rFonts w:cs="Times New Roman"/>
          <w:szCs w:val="24"/>
        </w:rPr>
        <w:t>objected</w:t>
      </w:r>
      <w:r w:rsidR="00AD5E67">
        <w:rPr>
          <w:rFonts w:cs="Times New Roman"/>
          <w:szCs w:val="24"/>
        </w:rPr>
        <w:t xml:space="preserve"> to the Staff Report</w:t>
      </w:r>
      <w:r w:rsidR="00973EF2">
        <w:rPr>
          <w:rFonts w:cs="Times New Roman"/>
          <w:szCs w:val="24"/>
        </w:rPr>
        <w:t xml:space="preserve"> on several grounds with no</w:t>
      </w:r>
      <w:r>
        <w:rPr>
          <w:rFonts w:cs="Times New Roman"/>
          <w:szCs w:val="24"/>
        </w:rPr>
        <w:t xml:space="preserve"> explanation</w:t>
      </w:r>
      <w:r w:rsidR="00860043">
        <w:rPr>
          <w:rFonts w:cs="Times New Roman"/>
          <w:szCs w:val="24"/>
        </w:rPr>
        <w:t xml:space="preserve"> or support</w:t>
      </w:r>
      <w:r w:rsidR="00973EF2">
        <w:rPr>
          <w:rFonts w:cs="Times New Roman"/>
          <w:szCs w:val="24"/>
        </w:rPr>
        <w:t>. For example, Aqua’s 1</w:t>
      </w:r>
      <w:r w:rsidR="00AA2CF7">
        <w:rPr>
          <w:rFonts w:cs="Times New Roman"/>
          <w:szCs w:val="24"/>
        </w:rPr>
        <w:t>3</w:t>
      </w:r>
      <w:r w:rsidRPr="00973EF2" w:rsidR="00973EF2">
        <w:rPr>
          <w:rFonts w:cs="Times New Roman"/>
          <w:szCs w:val="24"/>
          <w:vertAlign w:val="superscript"/>
        </w:rPr>
        <w:t>th</w:t>
      </w:r>
      <w:r w:rsidR="00973EF2">
        <w:rPr>
          <w:rFonts w:cs="Times New Roman"/>
          <w:szCs w:val="24"/>
        </w:rPr>
        <w:t xml:space="preserve"> Objection baldly states that Aqua “objects to the extent that the Audit Report’s adjustments described in these objections affect the calculation of federal income and excise tax included in rates.”</w:t>
      </w:r>
      <w:r>
        <w:rPr>
          <w:rStyle w:val="FootnoteReference"/>
          <w:rFonts w:cs="Times New Roman"/>
          <w:szCs w:val="24"/>
        </w:rPr>
        <w:footnoteReference w:id="19"/>
      </w:r>
      <w:r w:rsidR="004B2FC7">
        <w:rPr>
          <w:rFonts w:cs="Times New Roman"/>
          <w:szCs w:val="24"/>
        </w:rPr>
        <w:t xml:space="preserve"> </w:t>
      </w:r>
      <w:r w:rsidR="00D42B73">
        <w:t>Aqua’s 14</w:t>
      </w:r>
      <w:r w:rsidRPr="00D42B73" w:rsidR="00D42B73">
        <w:rPr>
          <w:vertAlign w:val="superscript"/>
        </w:rPr>
        <w:t>th</w:t>
      </w:r>
      <w:r w:rsidR="00D42B73">
        <w:t xml:space="preserve"> Objection claims that “Aqua objects to the extent the Audit Report’s adjustments described in these objections affect the calculation of interest synchronization included in rates.”</w:t>
      </w:r>
      <w:r>
        <w:rPr>
          <w:rStyle w:val="FootnoteReference"/>
        </w:rPr>
        <w:footnoteReference w:id="20"/>
      </w:r>
      <w:r w:rsidR="00D42B73">
        <w:t xml:space="preserve"> </w:t>
      </w:r>
      <w:r w:rsidR="00860043">
        <w:t>The same is true for Aqua’s 8</w:t>
      </w:r>
      <w:r w:rsidRPr="00D34224" w:rsidR="00860043">
        <w:rPr>
          <w:vertAlign w:val="superscript"/>
        </w:rPr>
        <w:t>th</w:t>
      </w:r>
      <w:r w:rsidR="00860043">
        <w:t xml:space="preserve"> and 26</w:t>
      </w:r>
      <w:r w:rsidRPr="00D34224" w:rsidR="00860043">
        <w:rPr>
          <w:vertAlign w:val="superscript"/>
        </w:rPr>
        <w:t>th</w:t>
      </w:r>
      <w:r w:rsidR="00860043">
        <w:t xml:space="preserve"> objections. None of these</w:t>
      </w:r>
      <w:r w:rsidR="00D42B73">
        <w:rPr>
          <w:rFonts w:cs="Times New Roman"/>
          <w:szCs w:val="24"/>
        </w:rPr>
        <w:t xml:space="preserve"> Aqua</w:t>
      </w:r>
      <w:r w:rsidR="004B2FC7">
        <w:rPr>
          <w:rFonts w:cs="Times New Roman"/>
          <w:szCs w:val="24"/>
        </w:rPr>
        <w:t xml:space="preserve"> objection</w:t>
      </w:r>
      <w:r w:rsidR="00D42B73">
        <w:rPr>
          <w:rFonts w:cs="Times New Roman"/>
          <w:szCs w:val="24"/>
        </w:rPr>
        <w:t>s</w:t>
      </w:r>
      <w:r w:rsidR="004B2FC7">
        <w:rPr>
          <w:rFonts w:cs="Times New Roman"/>
          <w:szCs w:val="24"/>
        </w:rPr>
        <w:t xml:space="preserve"> provide the support or legal basis</w:t>
      </w:r>
      <w:r w:rsidR="00860043">
        <w:rPr>
          <w:rFonts w:cs="Times New Roman"/>
          <w:szCs w:val="24"/>
        </w:rPr>
        <w:t xml:space="preserve"> that</w:t>
      </w:r>
      <w:r w:rsidR="004B2FC7">
        <w:rPr>
          <w:rFonts w:cs="Times New Roman"/>
          <w:szCs w:val="24"/>
        </w:rPr>
        <w:t xml:space="preserve"> Aqua demands from OCC. Aqua</w:t>
      </w:r>
      <w:r w:rsidR="00AD5E67">
        <w:rPr>
          <w:rFonts w:cs="Times New Roman"/>
          <w:szCs w:val="24"/>
        </w:rPr>
        <w:t xml:space="preserve">’s claims that </w:t>
      </w:r>
      <w:r w:rsidR="004B2FC7">
        <w:rPr>
          <w:rFonts w:cs="Times New Roman"/>
          <w:szCs w:val="24"/>
        </w:rPr>
        <w:t>OCC’s</w:t>
      </w:r>
      <w:r w:rsidR="00AD5E67">
        <w:rPr>
          <w:rFonts w:cs="Times New Roman"/>
          <w:szCs w:val="24"/>
        </w:rPr>
        <w:t xml:space="preserve"> objections should be stricken should be rejected.</w:t>
      </w:r>
    </w:p>
    <w:p w:rsidR="00B5001F" w:rsidRPr="006712D9" w:rsidP="001300BA" w14:paraId="2E338CB1" w14:textId="7A2510F8">
      <w:pPr>
        <w:pStyle w:val="ListParagraph"/>
        <w:numPr>
          <w:ilvl w:val="0"/>
          <w:numId w:val="7"/>
        </w:numPr>
        <w:spacing w:line="240" w:lineRule="auto"/>
        <w:ind w:left="1440" w:hanging="720"/>
        <w:rPr>
          <w:rFonts w:ascii="Times New Roman" w:hAnsi="Times New Roman" w:cs="Times New Roman"/>
          <w:b/>
          <w:bCs/>
          <w:sz w:val="24"/>
          <w:szCs w:val="24"/>
        </w:rPr>
      </w:pPr>
      <w:r w:rsidRPr="006712D9">
        <w:rPr>
          <w:rFonts w:ascii="Times New Roman" w:hAnsi="Times New Roman" w:cs="Times New Roman"/>
          <w:b/>
          <w:bCs/>
          <w:sz w:val="24"/>
          <w:szCs w:val="24"/>
        </w:rPr>
        <w:t>OCC’s objections</w:t>
      </w:r>
      <w:r w:rsidR="0034598C">
        <w:rPr>
          <w:rFonts w:ascii="Times New Roman" w:hAnsi="Times New Roman" w:cs="Times New Roman"/>
          <w:b/>
          <w:bCs/>
          <w:sz w:val="24"/>
          <w:szCs w:val="24"/>
        </w:rPr>
        <w:t xml:space="preserve"> </w:t>
      </w:r>
      <w:r w:rsidRPr="006712D9">
        <w:rPr>
          <w:rFonts w:ascii="Times New Roman" w:hAnsi="Times New Roman" w:cs="Times New Roman"/>
          <w:b/>
          <w:bCs/>
          <w:sz w:val="24"/>
          <w:szCs w:val="24"/>
        </w:rPr>
        <w:t xml:space="preserve">are not </w:t>
      </w:r>
      <w:r w:rsidRPr="006712D9" w:rsidR="003464D8">
        <w:rPr>
          <w:rFonts w:ascii="Times New Roman" w:hAnsi="Times New Roman" w:cs="Times New Roman"/>
          <w:b/>
          <w:bCs/>
          <w:sz w:val="24"/>
          <w:szCs w:val="24"/>
        </w:rPr>
        <w:t>“</w:t>
      </w:r>
      <w:r w:rsidRPr="006712D9">
        <w:rPr>
          <w:rFonts w:ascii="Times New Roman" w:hAnsi="Times New Roman" w:cs="Times New Roman"/>
          <w:b/>
          <w:bCs/>
          <w:sz w:val="24"/>
          <w:szCs w:val="24"/>
        </w:rPr>
        <w:t>outside the scope of this cas</w:t>
      </w:r>
      <w:r w:rsidRPr="006712D9" w:rsidR="00045C8D">
        <w:rPr>
          <w:rFonts w:ascii="Times New Roman" w:hAnsi="Times New Roman" w:cs="Times New Roman"/>
          <w:b/>
          <w:bCs/>
          <w:sz w:val="24"/>
          <w:szCs w:val="24"/>
        </w:rPr>
        <w:t>e”</w:t>
      </w:r>
      <w:r w:rsidRPr="006712D9">
        <w:rPr>
          <w:rFonts w:ascii="Times New Roman" w:hAnsi="Times New Roman" w:cs="Times New Roman"/>
          <w:b/>
          <w:bCs/>
          <w:sz w:val="24"/>
          <w:szCs w:val="24"/>
        </w:rPr>
        <w:t xml:space="preserve"> because they concern findings or deficiencies in the Staff Report</w:t>
      </w:r>
      <w:r w:rsidRPr="006712D9" w:rsidR="006712D9">
        <w:rPr>
          <w:rFonts w:ascii="Times New Roman" w:hAnsi="Times New Roman" w:cs="Times New Roman"/>
          <w:b/>
          <w:bCs/>
          <w:sz w:val="24"/>
          <w:szCs w:val="24"/>
        </w:rPr>
        <w:t xml:space="preserve"> or prior PUCO rulings in this rate case</w:t>
      </w:r>
      <w:r w:rsidRPr="006712D9">
        <w:rPr>
          <w:rFonts w:ascii="Times New Roman" w:hAnsi="Times New Roman" w:cs="Times New Roman"/>
          <w:b/>
          <w:bCs/>
          <w:sz w:val="24"/>
          <w:szCs w:val="24"/>
        </w:rPr>
        <w:t>.</w:t>
      </w:r>
    </w:p>
    <w:p w:rsidR="00736F38" w:rsidP="00736F38" w14:paraId="7EB9E7DB" w14:textId="35048E49">
      <w:pPr>
        <w:spacing w:after="0" w:line="480" w:lineRule="auto"/>
        <w:ind w:firstLine="720"/>
        <w:rPr>
          <w:rFonts w:cs="Times New Roman"/>
        </w:rPr>
      </w:pPr>
      <w:r>
        <w:t>Aqua argues that OCC’s objections should be stricken because they “contravene Commission precedent.</w:t>
      </w:r>
      <w:r w:rsidR="00AD5E67">
        <w:t>”</w:t>
      </w:r>
      <w:r>
        <w:rPr>
          <w:rStyle w:val="FootnoteReference"/>
        </w:rPr>
        <w:footnoteReference w:id="21"/>
      </w:r>
      <w:r>
        <w:t xml:space="preserve"> Again, Aqua mistakenly focuses on the merits of the objection. </w:t>
      </w:r>
      <w:r>
        <w:rPr>
          <w:rFonts w:cs="Times New Roman"/>
          <w:szCs w:val="24"/>
        </w:rPr>
        <w:t>The intrinsic merit, or lack of merit, of any particular objection, must be dealt with following the evidentiary hearing on the matter, not by striking it prior to that time.</w:t>
      </w:r>
      <w:r>
        <w:rPr>
          <w:rStyle w:val="FootnoteReference"/>
          <w:rFonts w:cs="Times New Roman"/>
          <w:szCs w:val="24"/>
        </w:rPr>
        <w:footnoteReference w:id="22"/>
      </w:r>
    </w:p>
    <w:p w:rsidR="0001453E" w:rsidRPr="0034598C" w:rsidP="007A44C5" w14:paraId="266306EB" w14:textId="43862346">
      <w:pPr>
        <w:pStyle w:val="BodyText"/>
        <w:spacing w:line="480" w:lineRule="auto"/>
        <w:ind w:firstLine="720"/>
        <w:jc w:val="left"/>
      </w:pPr>
      <w:r>
        <w:t>T</w:t>
      </w:r>
      <w:r w:rsidR="00E352A1">
        <w:t xml:space="preserve">he PUCO has explained that “the </w:t>
      </w:r>
      <w:r w:rsidR="00E352A1">
        <w:rPr>
          <w:i/>
        </w:rPr>
        <w:t xml:space="preserve">only </w:t>
      </w:r>
      <w:r w:rsidR="00E352A1">
        <w:t xml:space="preserve">requirements as to objections are that they must </w:t>
      </w:r>
      <w:r w:rsidRPr="0034598C" w:rsidR="00E352A1">
        <w:rPr>
          <w:i/>
          <w:iCs/>
        </w:rPr>
        <w:t>relate</w:t>
      </w:r>
      <w:r w:rsidR="00E352A1">
        <w:t xml:space="preserve"> to findings, conclusions, or recommendation in a staff report, or must relate to the failure of the staff report to address as items, and must be specific.”</w:t>
      </w:r>
      <w:r>
        <w:rPr>
          <w:rStyle w:val="FootnoteReference"/>
          <w:rFonts w:eastAsiaTheme="majorEastAsia"/>
        </w:rPr>
        <w:footnoteReference w:id="23"/>
      </w:r>
      <w:r w:rsidR="00E352A1">
        <w:t xml:space="preserve"> </w:t>
      </w:r>
      <w:r>
        <w:t>The merits of objections</w:t>
      </w:r>
      <w:r w:rsidR="00E36E59">
        <w:t xml:space="preserve"> are appropriately considered, if at all, through testimony, hearing (cross-examination), and briefing.</w:t>
      </w:r>
      <w:r>
        <w:rPr>
          <w:rStyle w:val="FootnoteReference"/>
        </w:rPr>
        <w:footnoteReference w:id="24"/>
      </w:r>
      <w:r w:rsidR="0034598C">
        <w:rPr>
          <w:b/>
          <w:bCs/>
          <w:szCs w:val="24"/>
        </w:rPr>
        <w:t xml:space="preserve"> </w:t>
      </w:r>
    </w:p>
    <w:p w:rsidR="0001453E" w:rsidP="007A44C5" w14:paraId="392642F6" w14:textId="64FBFF96">
      <w:pPr>
        <w:pStyle w:val="BodyText"/>
        <w:spacing w:line="480" w:lineRule="auto"/>
        <w:ind w:firstLine="720"/>
        <w:jc w:val="left"/>
      </w:pPr>
      <w:r>
        <w:t>Aqua’s</w:t>
      </w:r>
      <w:r w:rsidR="00E352A1">
        <w:t xml:space="preserve"> </w:t>
      </w:r>
      <w:r w:rsidR="0034598C">
        <w:t>request</w:t>
      </w:r>
      <w:r w:rsidR="00E352A1">
        <w:t xml:space="preserve"> </w:t>
      </w:r>
      <w:r>
        <w:t>to strike OCC’s 16</w:t>
      </w:r>
      <w:r w:rsidRPr="0001453E">
        <w:rPr>
          <w:vertAlign w:val="superscript"/>
        </w:rPr>
        <w:t>th</w:t>
      </w:r>
      <w:r>
        <w:t xml:space="preserve"> and 17</w:t>
      </w:r>
      <w:r w:rsidRPr="0001453E">
        <w:rPr>
          <w:vertAlign w:val="superscript"/>
        </w:rPr>
        <w:t>th</w:t>
      </w:r>
      <w:r>
        <w:t xml:space="preserve"> </w:t>
      </w:r>
      <w:r w:rsidR="00A5253A">
        <w:t>o</w:t>
      </w:r>
      <w:r>
        <w:t xml:space="preserve">bjections </w:t>
      </w:r>
      <w:r w:rsidR="00A5253A">
        <w:t>for violating PUCO precedent</w:t>
      </w:r>
      <w:r>
        <w:t xml:space="preserve"> </w:t>
      </w:r>
      <w:r w:rsidR="00E352A1">
        <w:t xml:space="preserve">clearly </w:t>
      </w:r>
      <w:r w:rsidR="0098797A">
        <w:t>concerns the</w:t>
      </w:r>
      <w:r w:rsidR="00E352A1">
        <w:t xml:space="preserve"> merits</w:t>
      </w:r>
      <w:r>
        <w:t xml:space="preserve"> of this case. </w:t>
      </w:r>
      <w:r w:rsidR="00E36E59">
        <w:t>Where an objection is specific and relates to a finding, conclusion, or recommendation in the Staff Report, or failure of the Staff Report to address an issue, that objection is proper.</w:t>
      </w:r>
      <w:r>
        <w:rPr>
          <w:rStyle w:val="FootnoteReference"/>
        </w:rPr>
        <w:footnoteReference w:id="25"/>
      </w:r>
      <w:r w:rsidR="00E36E59">
        <w:t xml:space="preserve"> Whether OCC’s objections correctly state the law is an issue for </w:t>
      </w:r>
      <w:r w:rsidR="00F22AC0">
        <w:t xml:space="preserve"> hearing and legal </w:t>
      </w:r>
      <w:r w:rsidR="00E36E59">
        <w:t>brief</w:t>
      </w:r>
      <w:r w:rsidR="00F22AC0">
        <w:t>s</w:t>
      </w:r>
      <w:r w:rsidR="00E36E59">
        <w:t xml:space="preserve">. </w:t>
      </w:r>
      <w:r>
        <w:t xml:space="preserve">The PUCO should reject Aqua’s motion to strike OCC’s objections on </w:t>
      </w:r>
      <w:r w:rsidR="00E36E59">
        <w:t>the basis that they</w:t>
      </w:r>
      <w:r w:rsidR="00F22AC0">
        <w:t xml:space="preserve"> purportedly</w:t>
      </w:r>
      <w:r w:rsidR="00E36E59">
        <w:t xml:space="preserve"> contradict precedent.</w:t>
      </w:r>
      <w:r w:rsidR="004A0431">
        <w:t xml:space="preserve"> </w:t>
      </w:r>
    </w:p>
    <w:p w:rsidR="00FD7464" w:rsidP="0001453E" w14:paraId="6A26A037" w14:textId="703C2192">
      <w:pPr>
        <w:pStyle w:val="BodyText"/>
        <w:spacing w:line="480" w:lineRule="auto"/>
        <w:ind w:firstLine="720"/>
      </w:pPr>
      <w:r>
        <w:t>Aqua’s</w:t>
      </w:r>
      <w:r w:rsidR="00F22AC0">
        <w:t xml:space="preserve"> motion</w:t>
      </w:r>
      <w:r>
        <w:t xml:space="preserve"> </w:t>
      </w:r>
      <w:r w:rsidR="0034598C">
        <w:t>also asks the PUCO to strike</w:t>
      </w:r>
      <w:r>
        <w:t xml:space="preserve"> OCC’s 16</w:t>
      </w:r>
      <w:r w:rsidRPr="0001453E">
        <w:rPr>
          <w:vertAlign w:val="superscript"/>
        </w:rPr>
        <w:t>th</w:t>
      </w:r>
      <w:r>
        <w:t xml:space="preserve"> and 17</w:t>
      </w:r>
      <w:r w:rsidRPr="0001453E">
        <w:rPr>
          <w:vertAlign w:val="superscript"/>
        </w:rPr>
        <w:t>th</w:t>
      </w:r>
      <w:r>
        <w:t xml:space="preserve"> objections </w:t>
      </w:r>
      <w:r w:rsidR="0034598C">
        <w:t>because</w:t>
      </w:r>
      <w:r>
        <w:t xml:space="preserve"> </w:t>
      </w:r>
      <w:r w:rsidR="00F22AC0">
        <w:t xml:space="preserve">in Aqua’s view </w:t>
      </w:r>
      <w:r>
        <w:t xml:space="preserve">they </w:t>
      </w:r>
      <w:r w:rsidRPr="00FD7464">
        <w:t>“address issues beyond the scope of a rate case.”</w:t>
      </w:r>
      <w:r>
        <w:rPr>
          <w:rStyle w:val="FootnoteReference"/>
        </w:rPr>
        <w:footnoteReference w:id="26"/>
      </w:r>
      <w:r>
        <w:t xml:space="preserve"> </w:t>
      </w:r>
      <w:r w:rsidR="009E6AF5">
        <w:t>Again, this is not a proper basis for striking objections.</w:t>
      </w:r>
      <w:r w:rsidR="004A0431">
        <w:t xml:space="preserve"> </w:t>
      </w:r>
      <w:r>
        <w:t>An objection is proper if it is specific and related to either</w:t>
      </w:r>
      <w:r w:rsidR="009E6AF5">
        <w:t xml:space="preserve"> a finding, conclusion or recommendation in the </w:t>
      </w:r>
      <w:r>
        <w:t>Staff Report</w:t>
      </w:r>
      <w:r w:rsidR="009E6AF5">
        <w:t xml:space="preserve"> o</w:t>
      </w:r>
      <w:r>
        <w:t xml:space="preserve">r to Staff’s failure to address an </w:t>
      </w:r>
      <w:r w:rsidR="00045C8D">
        <w:t>item</w:t>
      </w:r>
      <w:r>
        <w:t xml:space="preserve"> in the Staff Report.</w:t>
      </w:r>
      <w:r>
        <w:rPr>
          <w:rStyle w:val="FootnoteReference"/>
        </w:rPr>
        <w:footnoteReference w:id="27"/>
      </w:r>
      <w:r>
        <w:t xml:space="preserve"> OCC’s objections satisfy these requirements and should not be prematurely stricken.</w:t>
      </w:r>
    </w:p>
    <w:p w:rsidR="00A5253A" w:rsidP="00E36E59" w14:paraId="02F0DB77" w14:textId="0E0306C2">
      <w:pPr>
        <w:spacing w:after="0" w:line="480" w:lineRule="auto"/>
        <w:ind w:firstLine="720"/>
      </w:pPr>
      <w:r>
        <w:t xml:space="preserve"> OCC’s 16</w:t>
      </w:r>
      <w:r w:rsidRPr="00FD7464">
        <w:rPr>
          <w:vertAlign w:val="superscript"/>
        </w:rPr>
        <w:t>th</w:t>
      </w:r>
      <w:r>
        <w:t xml:space="preserve"> objection </w:t>
      </w:r>
      <w:r w:rsidR="00ED6F7B">
        <w:t>properly relates</w:t>
      </w:r>
      <w:r>
        <w:t xml:space="preserve"> to Staff’s failure to address an </w:t>
      </w:r>
      <w:r w:rsidR="00045C8D">
        <w:t>item</w:t>
      </w:r>
      <w:r>
        <w:t xml:space="preserve"> in the Staff Report. </w:t>
      </w:r>
      <w:r w:rsidRPr="00FD7464">
        <w:rPr>
          <w:szCs w:val="24"/>
        </w:rPr>
        <w:t>OCC’s 16</w:t>
      </w:r>
      <w:r w:rsidRPr="00FD7464">
        <w:rPr>
          <w:szCs w:val="24"/>
          <w:vertAlign w:val="superscript"/>
        </w:rPr>
        <w:t>th</w:t>
      </w:r>
      <w:r w:rsidRPr="00FD7464">
        <w:rPr>
          <w:szCs w:val="24"/>
        </w:rPr>
        <w:t xml:space="preserve"> objection addresses the failure of the Staff Report to perform an analysis of disconnection reports that it obtains from Aqua and recommend</w:t>
      </w:r>
      <w:r w:rsidR="00ED6F7B">
        <w:rPr>
          <w:szCs w:val="24"/>
        </w:rPr>
        <w:t>s</w:t>
      </w:r>
      <w:r w:rsidRPr="00FD7464">
        <w:rPr>
          <w:szCs w:val="24"/>
        </w:rPr>
        <w:t xml:space="preserve"> ways that Aqua consumers can be better protected.</w:t>
      </w:r>
      <w:r>
        <w:rPr>
          <w:rStyle w:val="FootnoteReference"/>
          <w:szCs w:val="24"/>
        </w:rPr>
        <w:footnoteReference w:id="28"/>
      </w:r>
      <w:r w:rsidRPr="00FD7464">
        <w:rPr>
          <w:szCs w:val="24"/>
        </w:rPr>
        <w:t xml:space="preserve"> </w:t>
      </w:r>
      <w:r w:rsidRPr="0098797A" w:rsidR="00E36E59">
        <w:rPr>
          <w:szCs w:val="24"/>
        </w:rPr>
        <w:t xml:space="preserve">The Staff Report states that </w:t>
      </w:r>
      <w:r w:rsidR="007A44C5">
        <w:rPr>
          <w:szCs w:val="24"/>
        </w:rPr>
        <w:t>Staff</w:t>
      </w:r>
      <w:r w:rsidRPr="0098797A" w:rsidR="00E36E59">
        <w:rPr>
          <w:szCs w:val="24"/>
        </w:rPr>
        <w:t xml:space="preserve"> reviewed the customer contacts to the PUCO’s call center for a one-year period and notes the number of contacts concerning billing matters or payment arrangements.</w:t>
      </w:r>
      <w:r w:rsidRPr="00EF2683" w:rsidR="00EF2683">
        <w:rPr>
          <w:rStyle w:val="FootnoteReference"/>
        </w:rPr>
        <w:t xml:space="preserve"> </w:t>
      </w:r>
      <w:r>
        <w:rPr>
          <w:rStyle w:val="FootnoteReference"/>
        </w:rPr>
        <w:footnoteReference w:id="29"/>
      </w:r>
      <w:r w:rsidRPr="0098797A" w:rsidR="00EF2683">
        <w:t xml:space="preserve"> </w:t>
      </w:r>
      <w:r w:rsidRPr="0098797A" w:rsidR="00E36E59">
        <w:rPr>
          <w:szCs w:val="24"/>
        </w:rPr>
        <w:t xml:space="preserve">But there is no </w:t>
      </w:r>
      <w:r w:rsidRPr="0098797A" w:rsidR="00E36E59">
        <w:t>analysis regarding consumer contacts to the PUCO call center and the disconnection data that Aqua routinely provides to the Staff, and this was the basis of OCC’s specific objections regarding this part of the Staff Report.</w:t>
      </w:r>
      <w:r>
        <w:t xml:space="preserve"> </w:t>
      </w:r>
    </w:p>
    <w:p w:rsidR="00E352A1" w:rsidRPr="00E36E59" w:rsidP="00E36E59" w14:paraId="3127BBA9" w14:textId="32891A79">
      <w:pPr>
        <w:spacing w:after="0" w:line="480" w:lineRule="auto"/>
        <w:ind w:firstLine="720"/>
        <w:rPr>
          <w:szCs w:val="24"/>
          <w:highlight w:val="yellow"/>
        </w:rPr>
      </w:pPr>
      <w:r>
        <w:t>Notably, Aqua moved to strike a</w:t>
      </w:r>
      <w:r w:rsidR="00F22AC0">
        <w:t xml:space="preserve"> similar</w:t>
      </w:r>
      <w:r w:rsidR="00973EF2">
        <w:t xml:space="preserve"> </w:t>
      </w:r>
      <w:r>
        <w:t xml:space="preserve">OCC objection in </w:t>
      </w:r>
      <w:r w:rsidR="00973EF2">
        <w:t>its</w:t>
      </w:r>
      <w:r>
        <w:t xml:space="preserve"> last rate case</w:t>
      </w:r>
      <w:r w:rsidR="00973EF2">
        <w:t xml:space="preserve"> for this same reason - “ignor[ing] Commission precedent and address[ing] issues beyond the scope of a rate case.”</w:t>
      </w:r>
      <w:r>
        <w:rPr>
          <w:rStyle w:val="FootnoteReference"/>
        </w:rPr>
        <w:footnoteReference w:id="30"/>
      </w:r>
      <w:r>
        <w:t xml:space="preserve"> </w:t>
      </w:r>
      <w:r w:rsidR="00973EF2">
        <w:t xml:space="preserve">In that case, </w:t>
      </w:r>
      <w:r>
        <w:t>OCC objected that the Staff Report erred because it did not “require Aqua to expand the data in its disconnection reporting and publicly file the data.”</w:t>
      </w:r>
      <w:r>
        <w:rPr>
          <w:rStyle w:val="FootnoteReference"/>
        </w:rPr>
        <w:footnoteReference w:id="31"/>
      </w:r>
      <w:r>
        <w:t xml:space="preserve"> The PUCO </w:t>
      </w:r>
      <w:r w:rsidR="00AD176C">
        <w:t>did not grant</w:t>
      </w:r>
      <w:r>
        <w:t xml:space="preserve"> Aqua’s motion </w:t>
      </w:r>
      <w:r w:rsidR="00AD176C">
        <w:t xml:space="preserve">to strike </w:t>
      </w:r>
      <w:r w:rsidR="00EF2683">
        <w:t>in that case</w:t>
      </w:r>
      <w:r>
        <w:t>.</w:t>
      </w:r>
      <w:r w:rsidR="00AD176C">
        <w:t xml:space="preserve"> The PUCO should not grant Aqua’s motion to strike OCC’s objections here either.</w:t>
      </w:r>
      <w:r>
        <w:t xml:space="preserve"> </w:t>
      </w:r>
    </w:p>
    <w:p w:rsidR="00B5001F" w:rsidRPr="0098797A" w:rsidP="007A44C5" w14:paraId="494CAF8D" w14:textId="1FC712B2">
      <w:pPr>
        <w:pStyle w:val="BodyText"/>
        <w:spacing w:line="480" w:lineRule="auto"/>
        <w:ind w:firstLine="720"/>
        <w:jc w:val="left"/>
      </w:pPr>
      <w:r>
        <w:t>Aqua also argues OCC’s 1</w:t>
      </w:r>
      <w:r w:rsidR="00FD7464">
        <w:t>7</w:t>
      </w:r>
      <w:r w:rsidRPr="00623AB6">
        <w:rPr>
          <w:vertAlign w:val="superscript"/>
        </w:rPr>
        <w:t>th</w:t>
      </w:r>
      <w:r>
        <w:t xml:space="preserve"> objection – that the PUCO Staff report </w:t>
      </w:r>
      <w:r w:rsidR="009E6AF5">
        <w:t>erred by</w:t>
      </w:r>
      <w:r>
        <w:t xml:space="preserve"> not </w:t>
      </w:r>
      <w:r w:rsidR="009E6AF5">
        <w:t>recommending virtual local public hearings in this proceeding – is outside the scope of this rate case.</w:t>
      </w:r>
      <w:r>
        <w:rPr>
          <w:rStyle w:val="FootnoteReference"/>
        </w:rPr>
        <w:footnoteReference w:id="32"/>
      </w:r>
      <w:r w:rsidR="009E6AF5">
        <w:t xml:space="preserve"> </w:t>
      </w:r>
      <w:r w:rsidR="00FD7464">
        <w:t>Not so</w:t>
      </w:r>
      <w:r w:rsidR="0001453E">
        <w:t xml:space="preserve">. </w:t>
      </w:r>
      <w:r w:rsidR="00FB7659">
        <w:t xml:space="preserve">Aqua’s motion to strike </w:t>
      </w:r>
      <w:r>
        <w:t xml:space="preserve">itself </w:t>
      </w:r>
      <w:r w:rsidR="00FB7659">
        <w:t xml:space="preserve">demonstrates this by </w:t>
      </w:r>
      <w:r>
        <w:t>discussing</w:t>
      </w:r>
      <w:r w:rsidR="00FB7659">
        <w:t xml:space="preserve"> a PUCO ruling </w:t>
      </w:r>
      <w:r w:rsidR="00FB7659">
        <w:rPr>
          <w:i/>
          <w:iCs/>
        </w:rPr>
        <w:t xml:space="preserve">in this very rate case </w:t>
      </w:r>
      <w:r w:rsidR="00FB7659">
        <w:t xml:space="preserve">on a previous OCC request for </w:t>
      </w:r>
      <w:r>
        <w:t xml:space="preserve">virtual local </w:t>
      </w:r>
      <w:r w:rsidR="00FB7659">
        <w:t>public hearings.</w:t>
      </w:r>
      <w:r>
        <w:rPr>
          <w:rStyle w:val="FootnoteReference"/>
        </w:rPr>
        <w:footnoteReference w:id="33"/>
      </w:r>
      <w:r w:rsidR="00FB7659">
        <w:t xml:space="preserve"> An issue the PUCO has already ruled on in this case </w:t>
      </w:r>
      <w:r>
        <w:t>is not</w:t>
      </w:r>
      <w:r w:rsidR="00FB7659">
        <w:t xml:space="preserve"> “outside the scope” of this case. </w:t>
      </w:r>
      <w:r w:rsidR="00973EF2">
        <w:rPr>
          <w:szCs w:val="24"/>
        </w:rPr>
        <w:t>And the PUCO itself acknowledged in a previous entry in this rate case that it has “previously provided the opportunity for remote testimony relative to local public hearings.”</w:t>
      </w:r>
      <w:r>
        <w:rPr>
          <w:rStyle w:val="FootnoteReference"/>
          <w:szCs w:val="24"/>
        </w:rPr>
        <w:footnoteReference w:id="34"/>
      </w:r>
      <w:r w:rsidR="00973EF2">
        <w:rPr>
          <w:szCs w:val="24"/>
        </w:rPr>
        <w:t xml:space="preserve"> Virtual local public hearings are not outside the scope of a rate case</w:t>
      </w:r>
      <w:r w:rsidR="00EF2683">
        <w:rPr>
          <w:szCs w:val="24"/>
        </w:rPr>
        <w:t xml:space="preserve"> because the PUCO has ruled on this topic in previous rate cases, including this one</w:t>
      </w:r>
      <w:r w:rsidR="00973EF2">
        <w:rPr>
          <w:szCs w:val="24"/>
        </w:rPr>
        <w:t>. OCC’s objection on this issue should not be stricken.</w:t>
      </w:r>
    </w:p>
    <w:p w:rsidR="00BF41E2" w:rsidP="000369CC" w14:paraId="28C38061" w14:textId="278C46BE">
      <w:pPr>
        <w:spacing w:after="0" w:line="480" w:lineRule="auto"/>
        <w:ind w:firstLine="720"/>
      </w:pPr>
      <w:r w:rsidRPr="0098797A">
        <w:t xml:space="preserve">Aqua’s motion to strike </w:t>
      </w:r>
      <w:r w:rsidR="0098797A">
        <w:t>OCC’s 16</w:t>
      </w:r>
      <w:r w:rsidRPr="0098797A" w:rsidR="0098797A">
        <w:rPr>
          <w:vertAlign w:val="superscript"/>
        </w:rPr>
        <w:t>th</w:t>
      </w:r>
      <w:r w:rsidR="0098797A">
        <w:t xml:space="preserve"> and 17</w:t>
      </w:r>
      <w:r w:rsidRPr="0098797A" w:rsidR="0098797A">
        <w:rPr>
          <w:vertAlign w:val="superscript"/>
        </w:rPr>
        <w:t>th</w:t>
      </w:r>
      <w:r w:rsidR="0098797A">
        <w:t xml:space="preserve"> </w:t>
      </w:r>
      <w:r w:rsidRPr="0098797A" w:rsidR="0098797A">
        <w:t>objections</w:t>
      </w:r>
      <w:r w:rsidRPr="0098797A">
        <w:t xml:space="preserve"> should be denied because </w:t>
      </w:r>
      <w:r w:rsidRPr="0098797A" w:rsidR="0098797A">
        <w:t>they</w:t>
      </w:r>
      <w:r w:rsidRPr="0098797A" w:rsidR="000459D7">
        <w:t xml:space="preserve"> </w:t>
      </w:r>
      <w:r w:rsidRPr="0098797A">
        <w:t xml:space="preserve">specifically </w:t>
      </w:r>
      <w:r w:rsidRPr="0098797A" w:rsidR="00343A78">
        <w:t xml:space="preserve">respond to </w:t>
      </w:r>
      <w:r w:rsidRPr="0098797A" w:rsidR="006A56F4">
        <w:t>findings and</w:t>
      </w:r>
      <w:r w:rsidRPr="0098797A" w:rsidR="000459D7">
        <w:t xml:space="preserve"> deficienc</w:t>
      </w:r>
      <w:r w:rsidRPr="0098797A" w:rsidR="006A56F4">
        <w:t>ies</w:t>
      </w:r>
      <w:r w:rsidRPr="0098797A" w:rsidR="000459D7">
        <w:t xml:space="preserve"> in the </w:t>
      </w:r>
      <w:r w:rsidRPr="0098797A">
        <w:t xml:space="preserve">Staff </w:t>
      </w:r>
      <w:r w:rsidRPr="0098797A" w:rsidR="00D37113">
        <w:t>R</w:t>
      </w:r>
      <w:r w:rsidRPr="0098797A">
        <w:t xml:space="preserve">eport. </w:t>
      </w:r>
    </w:p>
    <w:p w:rsidR="00585329" w:rsidRPr="00973EF2" w:rsidP="001300BA" w14:paraId="1530F3DC" w14:textId="42D56B26">
      <w:pPr>
        <w:pStyle w:val="Heading1"/>
      </w:pPr>
      <w:bookmarkStart w:id="2" w:name="_Toc97814058"/>
      <w:r>
        <w:t>II.</w:t>
      </w:r>
      <w:r>
        <w:tab/>
      </w:r>
      <w:r w:rsidRPr="00973EF2" w:rsidR="002A586C">
        <w:t>CONCLUSION</w:t>
      </w:r>
      <w:bookmarkStart w:id="3" w:name="_Toc80200615"/>
      <w:bookmarkEnd w:id="2"/>
    </w:p>
    <w:p w:rsidR="001300BA" w:rsidP="00AD176C" w14:paraId="3C9161A0" w14:textId="535032BD">
      <w:pPr>
        <w:pStyle w:val="FootnoteText"/>
        <w:spacing w:line="480" w:lineRule="auto"/>
        <w:ind w:firstLine="720"/>
        <w:rPr>
          <w:rFonts w:cs="Times New Roman"/>
          <w:color w:val="000000" w:themeColor="text1"/>
          <w:szCs w:val="24"/>
        </w:rPr>
      </w:pPr>
      <w:r w:rsidRPr="00973EF2">
        <w:rPr>
          <w:rFonts w:ascii="Times New Roman" w:hAnsi="Times New Roman" w:cs="Times New Roman"/>
          <w:color w:val="000000" w:themeColor="text1"/>
          <w:sz w:val="24"/>
          <w:szCs w:val="24"/>
        </w:rPr>
        <w:t xml:space="preserve">OCC’s </w:t>
      </w:r>
      <w:r w:rsidR="00973EF2">
        <w:rPr>
          <w:rFonts w:ascii="Times New Roman" w:hAnsi="Times New Roman" w:cs="Times New Roman"/>
          <w:color w:val="000000" w:themeColor="text1"/>
          <w:sz w:val="24"/>
          <w:szCs w:val="24"/>
        </w:rPr>
        <w:t>o</w:t>
      </w:r>
      <w:r w:rsidRPr="00973EF2">
        <w:rPr>
          <w:rFonts w:ascii="Times New Roman" w:hAnsi="Times New Roman" w:cs="Times New Roman"/>
          <w:color w:val="000000" w:themeColor="text1"/>
          <w:sz w:val="24"/>
          <w:szCs w:val="24"/>
        </w:rPr>
        <w:t xml:space="preserve">bjections conform to the requirements of O.A.C. 4901-1-28(B). Aqua’s motion to strike OCC’s </w:t>
      </w:r>
      <w:r w:rsidR="00973EF2">
        <w:rPr>
          <w:rFonts w:ascii="Times New Roman" w:hAnsi="Times New Roman" w:cs="Times New Roman"/>
          <w:color w:val="000000" w:themeColor="text1"/>
          <w:sz w:val="24"/>
          <w:szCs w:val="24"/>
        </w:rPr>
        <w:t>o</w:t>
      </w:r>
      <w:r w:rsidRPr="00973EF2">
        <w:rPr>
          <w:rFonts w:ascii="Times New Roman" w:hAnsi="Times New Roman" w:cs="Times New Roman"/>
          <w:color w:val="000000" w:themeColor="text1"/>
          <w:sz w:val="24"/>
          <w:szCs w:val="24"/>
        </w:rPr>
        <w:t xml:space="preserve">bjections </w:t>
      </w:r>
      <w:r w:rsidR="00AD176C">
        <w:rPr>
          <w:rFonts w:ascii="Times New Roman" w:hAnsi="Times New Roman" w:cs="Times New Roman"/>
          <w:color w:val="000000" w:themeColor="text1"/>
          <w:sz w:val="24"/>
          <w:szCs w:val="24"/>
        </w:rPr>
        <w:t>is improper</w:t>
      </w:r>
      <w:r w:rsidRPr="00973EF2" w:rsidR="00343A78">
        <w:rPr>
          <w:rFonts w:ascii="Times New Roman" w:hAnsi="Times New Roman" w:cs="Times New Roman"/>
          <w:color w:val="000000" w:themeColor="text1"/>
          <w:sz w:val="24"/>
          <w:szCs w:val="24"/>
        </w:rPr>
        <w:t xml:space="preserve"> and </w:t>
      </w:r>
      <w:r w:rsidRPr="00973EF2">
        <w:rPr>
          <w:rFonts w:ascii="Times New Roman" w:hAnsi="Times New Roman" w:cs="Times New Roman"/>
          <w:color w:val="000000" w:themeColor="text1"/>
          <w:sz w:val="24"/>
          <w:szCs w:val="24"/>
        </w:rPr>
        <w:t>should be denied</w:t>
      </w:r>
      <w:r w:rsidRPr="00973EF2" w:rsidR="00973EF2">
        <w:rPr>
          <w:rFonts w:ascii="Times New Roman" w:hAnsi="Times New Roman" w:cs="Times New Roman"/>
          <w:color w:val="000000" w:themeColor="text1"/>
          <w:sz w:val="24"/>
          <w:szCs w:val="24"/>
        </w:rPr>
        <w:t>.</w:t>
      </w:r>
    </w:p>
    <w:p w:rsidR="00343A78" w:rsidP="006D3D1C" w14:paraId="6B17BCC9" w14:textId="77777777">
      <w:pPr>
        <w:spacing w:after="0" w:line="259" w:lineRule="auto"/>
        <w:ind w:left="3600" w:firstLine="720"/>
        <w:rPr>
          <w:szCs w:val="24"/>
        </w:rPr>
      </w:pPr>
      <w:r>
        <w:rPr>
          <w:szCs w:val="24"/>
        </w:rPr>
        <w:t>Respectfully submitted,</w:t>
      </w:r>
    </w:p>
    <w:p w:rsidR="00343A78" w:rsidP="001300BA" w14:paraId="08B26921" w14:textId="77777777">
      <w:pPr>
        <w:spacing w:after="0" w:line="240" w:lineRule="auto"/>
        <w:ind w:left="3600" w:firstLine="720"/>
        <w:rPr>
          <w:szCs w:val="24"/>
        </w:rPr>
      </w:pPr>
    </w:p>
    <w:p w:rsidR="00343A78" w:rsidP="001300BA" w14:paraId="3F77BF13" w14:textId="77777777">
      <w:pPr>
        <w:spacing w:after="0" w:line="240" w:lineRule="auto"/>
        <w:ind w:left="3600" w:firstLine="720"/>
        <w:rPr>
          <w:szCs w:val="24"/>
        </w:rPr>
      </w:pPr>
      <w:r>
        <w:rPr>
          <w:szCs w:val="24"/>
        </w:rPr>
        <w:t>Bruce Weston (0016973)</w:t>
      </w:r>
    </w:p>
    <w:p w:rsidR="00343A78" w:rsidP="001300BA" w14:paraId="6FEA1C8F" w14:textId="77777777">
      <w:pPr>
        <w:tabs>
          <w:tab w:val="left" w:pos="4320"/>
        </w:tabs>
        <w:spacing w:after="0" w:line="240" w:lineRule="auto"/>
        <w:rPr>
          <w:szCs w:val="24"/>
        </w:rPr>
      </w:pPr>
      <w:r>
        <w:rPr>
          <w:szCs w:val="24"/>
        </w:rPr>
        <w:tab/>
        <w:t xml:space="preserve">Ohio Consumers’ Counsel </w:t>
      </w:r>
    </w:p>
    <w:p w:rsidR="00343A78" w:rsidP="001300BA" w14:paraId="03567FEE" w14:textId="77777777">
      <w:pPr>
        <w:tabs>
          <w:tab w:val="left" w:pos="4320"/>
        </w:tabs>
        <w:spacing w:line="240" w:lineRule="auto"/>
        <w:rPr>
          <w:sz w:val="16"/>
          <w:szCs w:val="24"/>
        </w:rPr>
      </w:pPr>
    </w:p>
    <w:p w:rsidR="00343A78" w:rsidP="001300BA" w14:paraId="2876892E" w14:textId="614CD9CB">
      <w:pPr>
        <w:pStyle w:val="EndnoteText"/>
        <w:ind w:left="3600" w:firstLine="720"/>
        <w:rPr>
          <w:sz w:val="24"/>
          <w:szCs w:val="24"/>
        </w:rPr>
      </w:pPr>
      <w:r>
        <w:rPr>
          <w:i/>
          <w:sz w:val="24"/>
          <w:szCs w:val="24"/>
          <w:u w:val="single"/>
        </w:rPr>
        <w:t xml:space="preserve">/s/ </w:t>
      </w:r>
      <w:r w:rsidR="00186E08">
        <w:rPr>
          <w:i/>
          <w:sz w:val="24"/>
          <w:szCs w:val="24"/>
          <w:u w:val="single"/>
        </w:rPr>
        <w:t>Angela</w:t>
      </w:r>
      <w:r>
        <w:rPr>
          <w:i/>
          <w:sz w:val="24"/>
          <w:szCs w:val="24"/>
          <w:u w:val="single"/>
        </w:rPr>
        <w:t xml:space="preserve"> D. O’Brien</w:t>
      </w:r>
      <w:r>
        <w:rPr>
          <w:i/>
          <w:sz w:val="24"/>
          <w:szCs w:val="24"/>
          <w:u w:val="single"/>
        </w:rPr>
        <w:tab/>
      </w:r>
    </w:p>
    <w:p w:rsidR="00343A78" w:rsidP="001300BA" w14:paraId="66797AA2" w14:textId="491056AC">
      <w:pPr>
        <w:spacing w:after="0" w:line="240" w:lineRule="auto"/>
        <w:ind w:left="4320"/>
        <w:rPr>
          <w:szCs w:val="24"/>
        </w:rPr>
      </w:pPr>
      <w:r>
        <w:rPr>
          <w:szCs w:val="24"/>
        </w:rPr>
        <w:t>Angela</w:t>
      </w:r>
      <w:r w:rsidR="005B6E0A">
        <w:rPr>
          <w:szCs w:val="24"/>
        </w:rPr>
        <w:t xml:space="preserve"> D.</w:t>
      </w:r>
      <w:r>
        <w:rPr>
          <w:szCs w:val="24"/>
        </w:rPr>
        <w:t xml:space="preserve"> O’Brien (0097579)</w:t>
      </w:r>
    </w:p>
    <w:p w:rsidR="00343A78" w:rsidP="001300BA" w14:paraId="5D627948" w14:textId="77777777">
      <w:pPr>
        <w:spacing w:after="0" w:line="240" w:lineRule="auto"/>
        <w:ind w:left="4320"/>
        <w:rPr>
          <w:szCs w:val="24"/>
        </w:rPr>
      </w:pPr>
      <w:r>
        <w:rPr>
          <w:szCs w:val="24"/>
        </w:rPr>
        <w:t>Counsel of Record</w:t>
      </w:r>
    </w:p>
    <w:p w:rsidR="00343A78" w:rsidP="001300BA" w14:paraId="25D3B698" w14:textId="0BDDDA5D">
      <w:pPr>
        <w:tabs>
          <w:tab w:val="left" w:pos="4320"/>
        </w:tabs>
        <w:spacing w:after="0" w:line="240" w:lineRule="auto"/>
        <w:ind w:firstLine="3600"/>
        <w:rPr>
          <w:szCs w:val="24"/>
        </w:rPr>
      </w:pPr>
      <w:r>
        <w:rPr>
          <w:szCs w:val="24"/>
        </w:rPr>
        <w:tab/>
      </w:r>
      <w:r w:rsidR="00C3073E">
        <w:rPr>
          <w:szCs w:val="24"/>
        </w:rPr>
        <w:t xml:space="preserve">Connor </w:t>
      </w:r>
      <w:r>
        <w:rPr>
          <w:szCs w:val="24"/>
        </w:rPr>
        <w:t xml:space="preserve">D. </w:t>
      </w:r>
      <w:r w:rsidR="00C3073E">
        <w:rPr>
          <w:szCs w:val="24"/>
        </w:rPr>
        <w:t>Semple (0101102)</w:t>
      </w:r>
    </w:p>
    <w:p w:rsidR="00C3073E" w:rsidP="001300BA" w14:paraId="080B2D6C" w14:textId="43081F1A">
      <w:pPr>
        <w:tabs>
          <w:tab w:val="left" w:pos="4320"/>
        </w:tabs>
        <w:spacing w:after="0" w:line="240" w:lineRule="auto"/>
        <w:ind w:firstLine="3600"/>
        <w:rPr>
          <w:szCs w:val="24"/>
        </w:rPr>
      </w:pPr>
      <w:r>
        <w:rPr>
          <w:szCs w:val="24"/>
        </w:rPr>
        <w:tab/>
        <w:t>Donald J. Kral (0042091)</w:t>
      </w:r>
    </w:p>
    <w:p w:rsidR="00343A78" w:rsidP="001300BA" w14:paraId="4610AD3A" w14:textId="77777777">
      <w:pPr>
        <w:spacing w:after="0" w:line="240" w:lineRule="auto"/>
        <w:ind w:left="4320"/>
        <w:rPr>
          <w:szCs w:val="24"/>
        </w:rPr>
      </w:pPr>
      <w:r>
        <w:rPr>
          <w:szCs w:val="24"/>
        </w:rPr>
        <w:t>Assistant Consumers’ Counsel</w:t>
      </w:r>
    </w:p>
    <w:p w:rsidR="006D3D1C" w:rsidP="001300BA" w14:paraId="788051BB" w14:textId="77777777">
      <w:pPr>
        <w:spacing w:after="0" w:line="240" w:lineRule="auto"/>
        <w:ind w:left="4320"/>
        <w:rPr>
          <w:b/>
          <w:szCs w:val="24"/>
        </w:rPr>
      </w:pPr>
    </w:p>
    <w:p w:rsidR="00343A78" w:rsidP="001300BA" w14:paraId="07C330AD" w14:textId="61FB15CD">
      <w:pPr>
        <w:spacing w:after="0" w:line="240" w:lineRule="auto"/>
        <w:ind w:left="4320"/>
        <w:rPr>
          <w:b/>
          <w:szCs w:val="24"/>
        </w:rPr>
      </w:pPr>
      <w:r>
        <w:rPr>
          <w:b/>
          <w:szCs w:val="24"/>
        </w:rPr>
        <w:t>Office of the Ohio Consumers’ Counsel</w:t>
      </w:r>
    </w:p>
    <w:p w:rsidR="00343A78" w:rsidP="001300BA" w14:paraId="662F1EA2" w14:textId="77777777">
      <w:pPr>
        <w:spacing w:after="0" w:line="240" w:lineRule="auto"/>
        <w:ind w:left="4320"/>
        <w:rPr>
          <w:szCs w:val="24"/>
        </w:rPr>
      </w:pPr>
      <w:r>
        <w:rPr>
          <w:szCs w:val="24"/>
        </w:rPr>
        <w:t>65 East State Street, Suite 700</w:t>
      </w:r>
    </w:p>
    <w:p w:rsidR="00343A78" w:rsidP="001300BA" w14:paraId="38B71920" w14:textId="107C5EF5">
      <w:pPr>
        <w:spacing w:after="0" w:line="240" w:lineRule="auto"/>
        <w:ind w:left="4320"/>
        <w:rPr>
          <w:szCs w:val="24"/>
        </w:rPr>
      </w:pPr>
      <w:r>
        <w:rPr>
          <w:szCs w:val="24"/>
        </w:rPr>
        <w:t>Columbus, Ohio 43215</w:t>
      </w:r>
    </w:p>
    <w:p w:rsidR="00343A78" w:rsidP="001300BA" w14:paraId="36A0F0FA" w14:textId="59B5932F">
      <w:pPr>
        <w:spacing w:after="0" w:line="240" w:lineRule="auto"/>
        <w:ind w:left="4320"/>
        <w:rPr>
          <w:szCs w:val="24"/>
        </w:rPr>
      </w:pPr>
      <w:r>
        <w:rPr>
          <w:szCs w:val="24"/>
        </w:rPr>
        <w:t>Telephone [O’Brien] (614) 466-9531</w:t>
      </w:r>
    </w:p>
    <w:p w:rsidR="00C3073E" w:rsidP="001300BA" w14:paraId="129ABC2E" w14:textId="436A4383">
      <w:pPr>
        <w:spacing w:after="0" w:line="240" w:lineRule="auto"/>
        <w:ind w:left="4320"/>
        <w:rPr>
          <w:szCs w:val="24"/>
        </w:rPr>
      </w:pPr>
      <w:r>
        <w:rPr>
          <w:szCs w:val="24"/>
        </w:rPr>
        <w:t>Telephone [Semple] (614) 466-9565</w:t>
      </w:r>
    </w:p>
    <w:p w:rsidR="00C3073E" w:rsidP="001300BA" w14:paraId="24B5F2CB" w14:textId="0A9B2B5B">
      <w:pPr>
        <w:spacing w:after="0" w:line="240" w:lineRule="auto"/>
        <w:ind w:left="4320"/>
        <w:rPr>
          <w:szCs w:val="24"/>
        </w:rPr>
      </w:pPr>
      <w:r>
        <w:rPr>
          <w:szCs w:val="24"/>
        </w:rPr>
        <w:t>Telephone [Karl] (614) 466-9571</w:t>
      </w:r>
    </w:p>
    <w:p w:rsidR="00C3073E" w:rsidP="001300BA" w14:paraId="5304C636" w14:textId="5FD31B3F">
      <w:pPr>
        <w:spacing w:after="0" w:line="240" w:lineRule="auto"/>
        <w:ind w:left="4320"/>
        <w:rPr>
          <w:szCs w:val="24"/>
        </w:rPr>
      </w:pPr>
      <w:hyperlink r:id="rId6" w:history="1">
        <w:r w:rsidRPr="00EB7D85" w:rsidR="003F573A">
          <w:rPr>
            <w:rStyle w:val="Hyperlink"/>
            <w:szCs w:val="24"/>
          </w:rPr>
          <w:t>angela.obrien@occ.ohio.gov</w:t>
        </w:r>
      </w:hyperlink>
    </w:p>
    <w:p w:rsidR="00C3073E" w:rsidP="001300BA" w14:paraId="3F4CD255" w14:textId="319772A4">
      <w:pPr>
        <w:spacing w:after="0" w:line="240" w:lineRule="auto"/>
        <w:ind w:left="4320"/>
        <w:rPr>
          <w:szCs w:val="24"/>
        </w:rPr>
      </w:pPr>
      <w:hyperlink r:id="rId7" w:history="1">
        <w:r w:rsidRPr="00EB7D85" w:rsidR="003F573A">
          <w:rPr>
            <w:rStyle w:val="Hyperlink"/>
            <w:szCs w:val="24"/>
          </w:rPr>
          <w:t>connor.semple@occ.ohio.gov</w:t>
        </w:r>
      </w:hyperlink>
    </w:p>
    <w:p w:rsidR="00C3073E" w:rsidP="001300BA" w14:paraId="00CC842A" w14:textId="5AC3C5D2">
      <w:pPr>
        <w:spacing w:after="0" w:line="240" w:lineRule="auto"/>
        <w:ind w:left="4320"/>
        <w:rPr>
          <w:szCs w:val="24"/>
        </w:rPr>
      </w:pPr>
      <w:hyperlink r:id="rId8" w:history="1">
        <w:r w:rsidRPr="00EB7D85" w:rsidR="003F573A">
          <w:rPr>
            <w:rStyle w:val="Hyperlink"/>
            <w:szCs w:val="24"/>
          </w:rPr>
          <w:t>donald.kral@occ.ohio.gov</w:t>
        </w:r>
      </w:hyperlink>
    </w:p>
    <w:p w:rsidR="00343A78" w:rsidP="001300BA" w14:paraId="57496DDA" w14:textId="77777777">
      <w:pPr>
        <w:spacing w:after="0" w:line="240" w:lineRule="auto"/>
        <w:ind w:left="4320"/>
        <w:rPr>
          <w:szCs w:val="24"/>
        </w:rPr>
      </w:pPr>
      <w:r>
        <w:rPr>
          <w:szCs w:val="24"/>
        </w:rPr>
        <w:t>(willing to accept service by e-mail)</w:t>
      </w:r>
    </w:p>
    <w:p w:rsidR="00AB7B0C" w:rsidP="006D3D1C" w14:paraId="5F299289" w14:textId="613955C8">
      <w:pPr>
        <w:spacing w:after="160" w:line="259" w:lineRule="auto"/>
        <w:rPr>
          <w:szCs w:val="24"/>
        </w:rPr>
      </w:pPr>
      <w:r>
        <w:rPr>
          <w:szCs w:val="24"/>
        </w:rPr>
        <w:br w:type="page"/>
      </w:r>
    </w:p>
    <w:p w:rsidR="00AB7B0C" w:rsidP="00EF08E3" w14:paraId="58E78E00" w14:textId="77777777">
      <w:pPr>
        <w:spacing w:after="0" w:line="240" w:lineRule="auto"/>
        <w:jc w:val="center"/>
        <w:rPr>
          <w:b/>
          <w:bCs/>
          <w:u w:val="single"/>
        </w:rPr>
      </w:pPr>
      <w:r>
        <w:rPr>
          <w:b/>
          <w:bCs/>
          <w:u w:val="single"/>
        </w:rPr>
        <w:t>CERTIFICATE OF SERVICE</w:t>
      </w:r>
    </w:p>
    <w:p w:rsidR="00AB7B0C" w:rsidP="00AB7B0C" w14:paraId="463F75FC" w14:textId="3A87D781">
      <w:pPr>
        <w:spacing w:before="240" w:line="480" w:lineRule="atLeast"/>
        <w:ind w:firstLine="720"/>
      </w:pPr>
      <w:r>
        <w:t>I hereby certify that a copy of th</w:t>
      </w:r>
      <w:r w:rsidR="00343A78">
        <w:t>is Memorandum Contra Motion to Strike</w:t>
      </w:r>
      <w:r>
        <w:t xml:space="preserve"> was served on the persons stated below via electronic transmission, this </w:t>
      </w:r>
      <w:r w:rsidR="00186E08">
        <w:t>28</w:t>
      </w:r>
      <w:r w:rsidRPr="00343A78" w:rsidR="00343A78">
        <w:rPr>
          <w:vertAlign w:val="superscript"/>
        </w:rPr>
        <w:t>th</w:t>
      </w:r>
      <w:r w:rsidR="00343A78">
        <w:t xml:space="preserve"> </w:t>
      </w:r>
      <w:r>
        <w:t xml:space="preserve">day of </w:t>
      </w:r>
      <w:r w:rsidR="00186E08">
        <w:t>August</w:t>
      </w:r>
      <w:r>
        <w:t xml:space="preserve"> 202</w:t>
      </w:r>
      <w:r w:rsidR="00186E08">
        <w:t>3</w:t>
      </w:r>
      <w:r>
        <w:t>.</w:t>
      </w:r>
    </w:p>
    <w:p w:rsidR="00AB7B0C" w:rsidP="006D3D1C" w14:paraId="4A2C02B7" w14:textId="18CE061B">
      <w:pPr>
        <w:tabs>
          <w:tab w:val="left" w:pos="4320"/>
        </w:tabs>
        <w:spacing w:after="0"/>
      </w:pPr>
      <w:r>
        <w:tab/>
      </w:r>
      <w:r>
        <w:rPr>
          <w:i/>
          <w:u w:val="single"/>
        </w:rPr>
        <w:t>/s/ A</w:t>
      </w:r>
      <w:r w:rsidR="00186E08">
        <w:rPr>
          <w:i/>
          <w:u w:val="single"/>
        </w:rPr>
        <w:t>ngela</w:t>
      </w:r>
      <w:r>
        <w:rPr>
          <w:i/>
          <w:u w:val="single"/>
        </w:rPr>
        <w:t xml:space="preserve"> D.</w:t>
      </w:r>
      <w:r w:rsidR="00186E08">
        <w:rPr>
          <w:i/>
          <w:u w:val="single"/>
        </w:rPr>
        <w:t xml:space="preserve"> O’Brien</w:t>
      </w:r>
      <w:r>
        <w:rPr>
          <w:i/>
          <w:u w:val="single"/>
        </w:rPr>
        <w:tab/>
      </w:r>
    </w:p>
    <w:p w:rsidR="00AB7B0C" w:rsidP="00EF08E3" w14:paraId="1571136E" w14:textId="3B35151E">
      <w:pPr>
        <w:tabs>
          <w:tab w:val="left" w:pos="4320"/>
        </w:tabs>
        <w:spacing w:after="0" w:line="240" w:lineRule="auto"/>
      </w:pPr>
      <w:r>
        <w:tab/>
      </w:r>
      <w:r w:rsidR="00186E08">
        <w:t>Angela</w:t>
      </w:r>
      <w:r>
        <w:t xml:space="preserve"> D. O’Brien</w:t>
      </w:r>
    </w:p>
    <w:p w:rsidR="00AB7B0C" w:rsidP="00EF08E3" w14:paraId="2E031A7C" w14:textId="77777777">
      <w:pPr>
        <w:tabs>
          <w:tab w:val="left" w:pos="4320"/>
        </w:tabs>
        <w:spacing w:after="0" w:line="240" w:lineRule="auto"/>
      </w:pPr>
      <w:r>
        <w:tab/>
        <w:t>Assistant Consumers’ Counsel</w:t>
      </w:r>
    </w:p>
    <w:p w:rsidR="00AB7B0C" w:rsidP="00AB7B0C" w14:paraId="481BD160" w14:textId="77777777">
      <w:pPr>
        <w:pStyle w:val="CommentText"/>
      </w:pPr>
    </w:p>
    <w:p w:rsidR="00AB7B0C" w:rsidP="00AB7B0C" w14:paraId="6E3C30E8" w14:textId="77777777">
      <w:pPr>
        <w:pStyle w:val="CommentText"/>
      </w:pPr>
      <w:r>
        <w:t>The PUCO’s e-filing system will electronically serve notice of the filing of this document on the following parties:</w:t>
      </w:r>
    </w:p>
    <w:p w:rsidR="00AB7B0C" w:rsidP="00AB7B0C" w14:paraId="162D16BD" w14:textId="77777777">
      <w:pPr>
        <w:pStyle w:val="CommentText"/>
      </w:pPr>
    </w:p>
    <w:p w:rsidR="00AB7B0C" w:rsidP="00AB7B0C" w14:paraId="5ACE1E36" w14:textId="77777777">
      <w:pPr>
        <w:pStyle w:val="CommentText"/>
        <w:jc w:val="center"/>
        <w:rPr>
          <w:b/>
          <w:u w:val="single"/>
        </w:rPr>
      </w:pPr>
      <w:r>
        <w:rPr>
          <w:b/>
          <w:u w:val="single"/>
        </w:rPr>
        <w:t>SERVICE LIST</w:t>
      </w:r>
    </w:p>
    <w:p w:rsidR="00AB7B0C" w:rsidP="00AB7B0C" w14:paraId="3069D762" w14:textId="77777777">
      <w:pPr>
        <w:pStyle w:val="CommentText"/>
        <w:jc w:val="center"/>
        <w:rPr>
          <w:bCs/>
          <w:u w:val="single"/>
        </w:rPr>
      </w:pPr>
    </w:p>
    <w:tbl>
      <w:tblPr>
        <w:tblW w:w="0" w:type="auto"/>
        <w:tblLook w:val="04A0"/>
      </w:tblPr>
      <w:tblGrid>
        <w:gridCol w:w="4323"/>
        <w:gridCol w:w="4317"/>
      </w:tblGrid>
      <w:tr w14:paraId="24C857A1" w14:textId="77777777" w:rsidTr="00B7111C">
        <w:tblPrEx>
          <w:tblW w:w="0" w:type="auto"/>
          <w:tblLook w:val="04A0"/>
        </w:tblPrEx>
        <w:tc>
          <w:tcPr>
            <w:tcW w:w="4428" w:type="dxa"/>
            <w:shd w:val="clear" w:color="auto" w:fill="auto"/>
          </w:tcPr>
          <w:p w:rsidR="005B6E0A" w:rsidP="00B7111C" w14:paraId="149CBD90" w14:textId="77777777">
            <w:pPr>
              <w:pStyle w:val="CommentText"/>
              <w:rPr>
                <w:bCs/>
                <w:u w:val="single"/>
              </w:rPr>
            </w:pPr>
            <w:hyperlink r:id="rId9" w:history="1">
              <w:r w:rsidRPr="00EB518D" w:rsidR="003F573A">
                <w:rPr>
                  <w:rStyle w:val="Hyperlink"/>
                  <w:bCs/>
                </w:rPr>
                <w:t>Robert.eubanks@ohioAGO.gov</w:t>
              </w:r>
            </w:hyperlink>
          </w:p>
          <w:p w:rsidR="005B6E0A" w:rsidP="00B7111C" w14:paraId="5C20FF66" w14:textId="77777777">
            <w:pPr>
              <w:pStyle w:val="CommentText"/>
              <w:rPr>
                <w:bCs/>
                <w:u w:val="single"/>
              </w:rPr>
            </w:pPr>
            <w:hyperlink r:id="rId10" w:history="1">
              <w:r w:rsidRPr="00EB518D" w:rsidR="003F573A">
                <w:rPr>
                  <w:rStyle w:val="Hyperlink"/>
                  <w:bCs/>
                </w:rPr>
                <w:t>Rhiannon.Howard@ohioAGO.gov</w:t>
              </w:r>
            </w:hyperlink>
          </w:p>
          <w:p w:rsidR="005B6E0A" w:rsidP="00B7111C" w14:paraId="78F2CDD5" w14:textId="77777777">
            <w:pPr>
              <w:pStyle w:val="CommentText"/>
              <w:rPr>
                <w:bCs/>
                <w:u w:val="single"/>
              </w:rPr>
            </w:pPr>
          </w:p>
          <w:p w:rsidR="005B6E0A" w:rsidP="00B7111C" w14:paraId="15CF6628" w14:textId="77777777">
            <w:pPr>
              <w:pStyle w:val="CommentText"/>
              <w:rPr>
                <w:bCs/>
                <w:u w:val="single"/>
              </w:rPr>
            </w:pPr>
            <w:r>
              <w:rPr>
                <w:bCs/>
                <w:u w:val="single"/>
              </w:rPr>
              <w:t>Attorney Examiners:</w:t>
            </w:r>
          </w:p>
          <w:p w:rsidR="005B6E0A" w:rsidRPr="00C96099" w:rsidP="00B7111C" w14:paraId="508ED716" w14:textId="77777777">
            <w:pPr>
              <w:pStyle w:val="CommentText"/>
              <w:rPr>
                <w:bCs/>
                <w:u w:val="single"/>
              </w:rPr>
            </w:pPr>
            <w:hyperlink r:id="rId11" w:history="1">
              <w:r w:rsidRPr="00C96099" w:rsidR="003F573A">
                <w:rPr>
                  <w:rStyle w:val="Hyperlink"/>
                  <w:bCs/>
                </w:rPr>
                <w:t>Jay.agranoff@puco.ohio.gov</w:t>
              </w:r>
            </w:hyperlink>
          </w:p>
          <w:p w:rsidR="005B6E0A" w:rsidRPr="00C96099" w:rsidP="00B7111C" w14:paraId="12DE3692" w14:textId="77777777">
            <w:pPr>
              <w:pStyle w:val="CommentText"/>
              <w:rPr>
                <w:bCs/>
                <w:u w:val="single"/>
              </w:rPr>
            </w:pPr>
            <w:hyperlink r:id="rId12" w:history="1">
              <w:r w:rsidRPr="00C96099" w:rsidR="003F573A">
                <w:rPr>
                  <w:rStyle w:val="Hyperlink"/>
                </w:rPr>
                <w:t>clint</w:t>
              </w:r>
              <w:r w:rsidRPr="00C96099" w:rsidR="003F573A">
                <w:rPr>
                  <w:rStyle w:val="Hyperlink"/>
                  <w:bCs/>
                </w:rPr>
                <w:t>.white@puco.ohio.gov</w:t>
              </w:r>
            </w:hyperlink>
          </w:p>
          <w:p w:rsidR="005B6E0A" w:rsidRPr="00F977C2" w:rsidP="00B7111C" w14:paraId="71E02EC4" w14:textId="77777777">
            <w:pPr>
              <w:pStyle w:val="CommentText"/>
              <w:rPr>
                <w:bCs/>
                <w:u w:val="single"/>
              </w:rPr>
            </w:pPr>
          </w:p>
        </w:tc>
        <w:tc>
          <w:tcPr>
            <w:tcW w:w="4428" w:type="dxa"/>
            <w:shd w:val="clear" w:color="auto" w:fill="auto"/>
          </w:tcPr>
          <w:p w:rsidR="005B6E0A" w:rsidP="00B7111C" w14:paraId="406F0A17" w14:textId="77777777">
            <w:pPr>
              <w:pStyle w:val="CommentText"/>
              <w:rPr>
                <w:bCs/>
                <w:u w:val="single"/>
              </w:rPr>
            </w:pPr>
            <w:hyperlink r:id="rId13" w:history="1">
              <w:r w:rsidRPr="00EB518D" w:rsidR="003F573A">
                <w:rPr>
                  <w:rStyle w:val="Hyperlink"/>
                  <w:bCs/>
                </w:rPr>
                <w:t>Christopher.miller@icemiller.com</w:t>
              </w:r>
            </w:hyperlink>
          </w:p>
          <w:p w:rsidR="005B6E0A" w:rsidP="00B7111C" w14:paraId="7EE2FBFA" w14:textId="77777777">
            <w:pPr>
              <w:pStyle w:val="CommentText"/>
              <w:rPr>
                <w:bCs/>
                <w:u w:val="single"/>
              </w:rPr>
            </w:pPr>
            <w:hyperlink r:id="rId14" w:history="1">
              <w:r w:rsidRPr="00EB518D" w:rsidR="003F573A">
                <w:rPr>
                  <w:rStyle w:val="Hyperlink"/>
                  <w:bCs/>
                </w:rPr>
                <w:t>Nicole.woods@icemiller.com</w:t>
              </w:r>
            </w:hyperlink>
          </w:p>
          <w:p w:rsidR="005B6E0A" w:rsidRPr="00752E15" w:rsidP="00B7111C" w14:paraId="64E9AE0A" w14:textId="77777777">
            <w:pPr>
              <w:pStyle w:val="CommentText"/>
              <w:rPr>
                <w:u w:val="single"/>
              </w:rPr>
            </w:pPr>
            <w:hyperlink r:id="rId15" w:history="1">
              <w:r w:rsidRPr="00752E15" w:rsidR="003F573A">
                <w:rPr>
                  <w:rStyle w:val="Hyperlink"/>
                  <w:bCs/>
                </w:rPr>
                <w:t>l</w:t>
              </w:r>
              <w:r w:rsidRPr="00752E15" w:rsidR="003F573A">
                <w:rPr>
                  <w:rStyle w:val="Hyperlink"/>
                </w:rPr>
                <w:t>awdirectormarion@gmail.com</w:t>
              </w:r>
            </w:hyperlink>
          </w:p>
          <w:p w:rsidR="005B6E0A" w:rsidRPr="00F977C2" w:rsidP="00B7111C" w14:paraId="73C69829" w14:textId="77777777">
            <w:pPr>
              <w:pStyle w:val="CommentText"/>
              <w:rPr>
                <w:bCs/>
                <w:u w:val="single"/>
              </w:rPr>
            </w:pPr>
          </w:p>
        </w:tc>
      </w:tr>
    </w:tbl>
    <w:p w:rsidR="00AB7B0C" w:rsidP="00AB7B0C" w14:paraId="73954097" w14:textId="77777777">
      <w:pPr>
        <w:pStyle w:val="CommentText"/>
        <w:jc w:val="center"/>
        <w:rPr>
          <w:b/>
          <w:u w:val="single"/>
        </w:rPr>
      </w:pPr>
    </w:p>
    <w:p w:rsidR="00AB7B0C" w:rsidP="00AB7B0C" w14:paraId="3FDBE867" w14:textId="77777777">
      <w:pPr>
        <w:pStyle w:val="CommentText"/>
        <w:jc w:val="center"/>
        <w:rPr>
          <w:b/>
          <w:u w:val="single"/>
        </w:rPr>
      </w:pPr>
    </w:p>
    <w:p w:rsidR="00AB7B0C" w:rsidP="00AB7B0C" w14:paraId="726F8185" w14:textId="77777777">
      <w:pPr>
        <w:pStyle w:val="CommentText"/>
        <w:rPr>
          <w:b/>
          <w:u w:val="single"/>
        </w:rPr>
      </w:pPr>
    </w:p>
    <w:p w:rsidR="00AB7B0C" w:rsidP="00AB7B0C" w14:paraId="3AC8BDCF" w14:textId="77777777">
      <w:pPr>
        <w:pStyle w:val="BodyText"/>
        <w:rPr>
          <w:bCs/>
        </w:rPr>
      </w:pPr>
    </w:p>
    <w:p w:rsidR="00AB7B0C" w:rsidP="00AB7B0C" w14:paraId="422676A8" w14:textId="77777777"/>
    <w:bookmarkEnd w:id="0"/>
    <w:bookmarkEnd w:id="3"/>
    <w:p w:rsidR="00CB6CAC" w14:paraId="02A4A2D7" w14:textId="77777777"/>
    <w:sectPr w:rsidSect="000369CC">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E73" w14:paraId="2210A5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04048003"/>
      <w:docPartObj>
        <w:docPartGallery w:val="Page Numbers (Bottom of Page)"/>
        <w:docPartUnique/>
      </w:docPartObj>
    </w:sdtPr>
    <w:sdtEndPr>
      <w:rPr>
        <w:noProof/>
      </w:rPr>
    </w:sdtEndPr>
    <w:sdtContent>
      <w:p w:rsidR="000369CC" w14:paraId="0EEA73A1" w14:textId="07A675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E73" w14:paraId="7612BA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573A" w:rsidP="0009490A" w14:paraId="20871518" w14:textId="77777777">
      <w:pPr>
        <w:spacing w:after="0" w:line="240" w:lineRule="auto"/>
      </w:pPr>
      <w:r>
        <w:separator/>
      </w:r>
    </w:p>
  </w:footnote>
  <w:footnote w:type="continuationSeparator" w:id="1">
    <w:p w:rsidR="003F573A" w:rsidP="0009490A" w14:paraId="4FD1CF8B" w14:textId="77777777">
      <w:pPr>
        <w:spacing w:after="0" w:line="240" w:lineRule="auto"/>
      </w:pPr>
      <w:r>
        <w:continuationSeparator/>
      </w:r>
    </w:p>
  </w:footnote>
  <w:footnote w:id="2">
    <w:p w:rsidR="00D045A2" w:rsidRPr="00DF6086" w:rsidP="00DF6086" w14:paraId="705DA544" w14:textId="1F86D3A2">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Objections to the PUCO Staff Report by Office of the Ohio Consumers’ Counsel (“OCC Objections”)</w:t>
      </w:r>
      <w:r w:rsidRPr="00DF6086" w:rsidR="006B6F52">
        <w:rPr>
          <w:rFonts w:ascii="Times New Roman" w:hAnsi="Times New Roman" w:cs="Times New Roman"/>
          <w:color w:val="000000" w:themeColor="text1"/>
        </w:rPr>
        <w:t>,</w:t>
      </w:r>
      <w:r w:rsidRPr="00DF6086">
        <w:rPr>
          <w:rFonts w:ascii="Times New Roman" w:hAnsi="Times New Roman" w:cs="Times New Roman"/>
          <w:color w:val="000000" w:themeColor="text1"/>
        </w:rPr>
        <w:t xml:space="preserve"> Case No. </w:t>
      </w:r>
      <w:r w:rsidRPr="00DF6086" w:rsidR="00186E08">
        <w:rPr>
          <w:rFonts w:ascii="Times New Roman" w:hAnsi="Times New Roman" w:cs="Times New Roman"/>
          <w:color w:val="000000" w:themeColor="text1"/>
        </w:rPr>
        <w:t>22-1094-WW-AIR (August 14, 2023</w:t>
      </w:r>
      <w:r w:rsidRPr="00DF6086">
        <w:rPr>
          <w:rFonts w:ascii="Times New Roman" w:hAnsi="Times New Roman" w:cs="Times New Roman"/>
          <w:color w:val="000000" w:themeColor="text1"/>
        </w:rPr>
        <w:t>).</w:t>
      </w:r>
    </w:p>
  </w:footnote>
  <w:footnote w:id="3">
    <w:p w:rsidR="00A1140C" w:rsidRPr="00DF6086" w:rsidP="00DF6086" w14:paraId="7AFE3BCA" w14:textId="236449C5">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sidR="000369CC">
        <w:rPr>
          <w:rFonts w:ascii="Times New Roman" w:hAnsi="Times New Roman" w:cs="Times New Roman"/>
          <w:color w:val="000000" w:themeColor="text1"/>
        </w:rPr>
        <w:t xml:space="preserve"> </w:t>
      </w:r>
      <w:r w:rsidRPr="00DF6086">
        <w:rPr>
          <w:rFonts w:ascii="Times New Roman" w:hAnsi="Times New Roman" w:cs="Times New Roman"/>
          <w:color w:val="000000" w:themeColor="text1"/>
        </w:rPr>
        <w:t>A Report by the Staff of the Public Utilities Commission of Ohio (“Staff Report”) (</w:t>
      </w:r>
      <w:r w:rsidRPr="00DF6086" w:rsidR="00186E08">
        <w:rPr>
          <w:rFonts w:ascii="Times New Roman" w:hAnsi="Times New Roman" w:cs="Times New Roman"/>
          <w:color w:val="000000" w:themeColor="text1"/>
        </w:rPr>
        <w:t>July l3, 2023</w:t>
      </w:r>
      <w:r w:rsidRPr="00DF6086">
        <w:rPr>
          <w:rFonts w:ascii="Times New Roman" w:hAnsi="Times New Roman" w:cs="Times New Roman"/>
          <w:color w:val="000000" w:themeColor="text1"/>
        </w:rPr>
        <w:t>)</w:t>
      </w:r>
      <w:r w:rsidRPr="00DF6086" w:rsidR="00186E08">
        <w:rPr>
          <w:rFonts w:ascii="Times New Roman" w:hAnsi="Times New Roman" w:cs="Times New Roman"/>
          <w:color w:val="000000" w:themeColor="text1"/>
        </w:rPr>
        <w:t>.</w:t>
      </w:r>
    </w:p>
  </w:footnote>
  <w:footnote w:id="4">
    <w:p w:rsidR="001C4850" w:rsidRPr="00DF6086" w:rsidP="00DF6086" w14:paraId="683AE925" w14:textId="5B1C3015">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O.A.C. 4901-1-28 (B)</w:t>
      </w:r>
      <w:r w:rsidRPr="00DF6086" w:rsidR="008F75B3">
        <w:rPr>
          <w:rFonts w:ascii="Times New Roman" w:hAnsi="Times New Roman" w:cs="Times New Roman"/>
          <w:color w:val="000000" w:themeColor="text1"/>
        </w:rPr>
        <w:t xml:space="preserve"> and (C)</w:t>
      </w:r>
      <w:r w:rsidRPr="00DF6086">
        <w:rPr>
          <w:rFonts w:ascii="Times New Roman" w:hAnsi="Times New Roman" w:cs="Times New Roman"/>
          <w:color w:val="000000" w:themeColor="text1"/>
        </w:rPr>
        <w:t xml:space="preserve">. </w:t>
      </w:r>
    </w:p>
  </w:footnote>
  <w:footnote w:id="5">
    <w:p w:rsidR="0091247B" w:rsidRPr="00DF6086" w:rsidP="00DF6086" w14:paraId="65541792" w14:textId="5D93933F">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w:t>
      </w:r>
      <w:r w:rsidRPr="00DF6086">
        <w:rPr>
          <w:rFonts w:ascii="Times New Roman" w:hAnsi="Times New Roman" w:cs="Times New Roman"/>
          <w:i/>
          <w:iCs/>
          <w:color w:val="000000" w:themeColor="text1"/>
        </w:rPr>
        <w:t>Id</w:t>
      </w:r>
      <w:r w:rsidRPr="00DF6086">
        <w:rPr>
          <w:rFonts w:ascii="Times New Roman" w:hAnsi="Times New Roman" w:cs="Times New Roman"/>
          <w:color w:val="000000" w:themeColor="text1"/>
        </w:rPr>
        <w:t>.</w:t>
      </w:r>
    </w:p>
  </w:footnote>
  <w:footnote w:id="6">
    <w:p w:rsidR="001C4850" w:rsidRPr="00DF6086" w:rsidP="00DF6086" w14:paraId="7F8F545A" w14:textId="7FAA8989">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w:t>
      </w:r>
      <w:r w:rsidRPr="00DF6086" w:rsidR="0091247B">
        <w:rPr>
          <w:rFonts w:ascii="Times New Roman" w:hAnsi="Times New Roman" w:cs="Times New Roman"/>
          <w:i/>
          <w:iCs/>
          <w:color w:val="000000" w:themeColor="text1"/>
        </w:rPr>
        <w:t>Id</w:t>
      </w:r>
      <w:r w:rsidRPr="00DF6086" w:rsidR="0091247B">
        <w:rPr>
          <w:rFonts w:ascii="Times New Roman" w:hAnsi="Times New Roman" w:cs="Times New Roman"/>
          <w:color w:val="000000" w:themeColor="text1"/>
        </w:rPr>
        <w:t>.</w:t>
      </w:r>
    </w:p>
  </w:footnote>
  <w:footnote w:id="7">
    <w:p w:rsidR="00C23211" w:rsidRPr="00DF6086" w:rsidP="00DF6086" w14:paraId="79DC378A" w14:textId="2C3B5B1D">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Aqua Ohio, Inc.’s Motion to Strike Objections to the PUCO Staff Report filed by Office of the Ohio Consumers’ Counsel </w:t>
      </w:r>
      <w:r w:rsidRPr="00DF6086" w:rsidR="00ED6F7B">
        <w:rPr>
          <w:rFonts w:ascii="Times New Roman" w:hAnsi="Times New Roman" w:cs="Times New Roman"/>
          <w:color w:val="000000" w:themeColor="text1"/>
        </w:rPr>
        <w:t xml:space="preserve">(“Aqua Motion”) </w:t>
      </w:r>
      <w:r w:rsidRPr="00DF6086">
        <w:rPr>
          <w:rFonts w:ascii="Times New Roman" w:hAnsi="Times New Roman" w:cs="Times New Roman"/>
          <w:color w:val="000000" w:themeColor="text1"/>
        </w:rPr>
        <w:t>(A</w:t>
      </w:r>
      <w:r w:rsidRPr="00DF6086" w:rsidR="00186E08">
        <w:rPr>
          <w:rFonts w:ascii="Times New Roman" w:hAnsi="Times New Roman" w:cs="Times New Roman"/>
          <w:color w:val="000000" w:themeColor="text1"/>
        </w:rPr>
        <w:t>ugust 21</w:t>
      </w:r>
      <w:r w:rsidRPr="00DF6086">
        <w:rPr>
          <w:rFonts w:ascii="Times New Roman" w:hAnsi="Times New Roman" w:cs="Times New Roman"/>
          <w:color w:val="000000" w:themeColor="text1"/>
        </w:rPr>
        <w:t>, 2022).</w:t>
      </w:r>
    </w:p>
  </w:footnote>
  <w:footnote w:id="8">
    <w:p w:rsidR="00045C8D" w:rsidRPr="00DF6086" w:rsidP="00DF6086" w14:paraId="22A7B63B" w14:textId="77777777">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w:t>
      </w:r>
      <w:r w:rsidRPr="00DF6086">
        <w:rPr>
          <w:rFonts w:ascii="Times New Roman" w:hAnsi="Times New Roman" w:cs="Times New Roman"/>
          <w:i/>
          <w:iCs/>
          <w:color w:val="000000" w:themeColor="text1"/>
        </w:rPr>
        <w:t>See</w:t>
      </w:r>
      <w:r w:rsidRPr="00DF6086">
        <w:rPr>
          <w:rFonts w:ascii="Times New Roman" w:hAnsi="Times New Roman" w:cs="Times New Roman"/>
          <w:color w:val="000000" w:themeColor="text1"/>
        </w:rPr>
        <w:t xml:space="preserve"> OCC Objections at 21 (Objections 15, 16, and 17).</w:t>
      </w:r>
    </w:p>
  </w:footnote>
  <w:footnote w:id="9">
    <w:p w:rsidR="008F75B3" w:rsidRPr="00DF6086" w:rsidP="00DF6086" w14:paraId="6277B4EA" w14:textId="77777777">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Aqua Motion at 3.</w:t>
      </w:r>
    </w:p>
  </w:footnote>
  <w:footnote w:id="10">
    <w:p w:rsidR="008F75B3" w:rsidRPr="00DF6086" w:rsidP="00DF6086" w14:paraId="773F9452" w14:textId="77777777">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w:t>
      </w:r>
      <w:r w:rsidRPr="00DF6086">
        <w:rPr>
          <w:rFonts w:ascii="Times New Roman" w:hAnsi="Times New Roman" w:cs="Times New Roman"/>
          <w:i/>
          <w:iCs/>
          <w:color w:val="000000" w:themeColor="text1"/>
        </w:rPr>
        <w:t xml:space="preserve">Id. </w:t>
      </w:r>
    </w:p>
  </w:footnote>
  <w:footnote w:id="11">
    <w:p w:rsidR="008F75B3" w:rsidRPr="00DF6086" w:rsidP="00DF6086" w14:paraId="6F49D2C8" w14:textId="77777777">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O.A.C. 4901-1-28(C).</w:t>
      </w:r>
    </w:p>
  </w:footnote>
  <w:footnote w:id="12">
    <w:p w:rsidR="0066544D" w:rsidRPr="00DF6086" w:rsidP="00DF6086" w14:paraId="3534F30D" w14:textId="667F6623">
      <w:pPr>
        <w:pStyle w:val="FootnoteText"/>
        <w:spacing w:after="120"/>
        <w:rPr>
          <w:rFonts w:ascii="Times New Roman" w:hAnsi="Times New Roman" w:cs="Times New Roman"/>
        </w:rPr>
      </w:pPr>
      <w:r w:rsidRPr="00DF6086">
        <w:rPr>
          <w:rStyle w:val="FootnoteReference"/>
          <w:rFonts w:ascii="Times New Roman" w:hAnsi="Times New Roman" w:cs="Times New Roman"/>
        </w:rPr>
        <w:footnoteRef/>
      </w:r>
      <w:r w:rsidRPr="00DF6086">
        <w:rPr>
          <w:rFonts w:ascii="Times New Roman" w:hAnsi="Times New Roman" w:cs="Times New Roman"/>
        </w:rPr>
        <w:t xml:space="preserve"> </w:t>
      </w:r>
      <w:r w:rsidRPr="00DF6086">
        <w:rPr>
          <w:rFonts w:ascii="Times New Roman" w:hAnsi="Times New Roman" w:cs="Times New Roman"/>
          <w:i/>
          <w:iCs/>
        </w:rPr>
        <w:t xml:space="preserve">In the Matter of the Application of Water and Sewer LLC for an </w:t>
      </w:r>
      <w:r w:rsidRPr="00DF6086" w:rsidR="00D53A5C">
        <w:rPr>
          <w:rFonts w:ascii="Times New Roman" w:hAnsi="Times New Roman" w:cs="Times New Roman"/>
          <w:i/>
          <w:iCs/>
        </w:rPr>
        <w:t>I</w:t>
      </w:r>
      <w:r w:rsidRPr="00DF6086">
        <w:rPr>
          <w:rFonts w:ascii="Times New Roman" w:hAnsi="Times New Roman" w:cs="Times New Roman"/>
          <w:i/>
          <w:iCs/>
        </w:rPr>
        <w:t xml:space="preserve">ncrease in </w:t>
      </w:r>
      <w:r w:rsidRPr="00DF6086" w:rsidR="00D53A5C">
        <w:rPr>
          <w:rFonts w:ascii="Times New Roman" w:hAnsi="Times New Roman" w:cs="Times New Roman"/>
          <w:i/>
          <w:iCs/>
        </w:rPr>
        <w:t>R</w:t>
      </w:r>
      <w:r w:rsidRPr="00DF6086">
        <w:rPr>
          <w:rFonts w:ascii="Times New Roman" w:hAnsi="Times New Roman" w:cs="Times New Roman"/>
          <w:i/>
          <w:iCs/>
        </w:rPr>
        <w:t xml:space="preserve">ates and </w:t>
      </w:r>
      <w:r w:rsidRPr="00DF6086" w:rsidR="00D53A5C">
        <w:rPr>
          <w:rFonts w:ascii="Times New Roman" w:hAnsi="Times New Roman" w:cs="Times New Roman"/>
          <w:i/>
          <w:iCs/>
        </w:rPr>
        <w:t>C</w:t>
      </w:r>
      <w:r w:rsidRPr="00DF6086">
        <w:rPr>
          <w:rFonts w:ascii="Times New Roman" w:hAnsi="Times New Roman" w:cs="Times New Roman"/>
          <w:i/>
          <w:iCs/>
        </w:rPr>
        <w:t>harges</w:t>
      </w:r>
      <w:r w:rsidRPr="00DF6086">
        <w:rPr>
          <w:rFonts w:ascii="Times New Roman" w:hAnsi="Times New Roman" w:cs="Times New Roman"/>
        </w:rPr>
        <w:t>, Case No. 08-227-WS-AIR, Entry (Apr</w:t>
      </w:r>
      <w:r w:rsidRPr="00DF6086" w:rsidR="00DF6086">
        <w:rPr>
          <w:rFonts w:ascii="Times New Roman" w:hAnsi="Times New Roman" w:cs="Times New Roman"/>
        </w:rPr>
        <w:t>il</w:t>
      </w:r>
      <w:r w:rsidRPr="00DF6086">
        <w:rPr>
          <w:rFonts w:ascii="Times New Roman" w:hAnsi="Times New Roman" w:cs="Times New Roman"/>
        </w:rPr>
        <w:t xml:space="preserve"> 14, 2009).</w:t>
      </w:r>
      <w:r w:rsidRPr="00DF6086" w:rsidR="00DF6086">
        <w:rPr>
          <w:rFonts w:ascii="Times New Roman" w:hAnsi="Times New Roman" w:cs="Times New Roman"/>
        </w:rPr>
        <w:t xml:space="preserve"> </w:t>
      </w:r>
    </w:p>
  </w:footnote>
  <w:footnote w:id="13">
    <w:p w:rsidR="00A404B3" w:rsidRPr="00DF6086" w:rsidP="00DF6086" w14:paraId="172DF438" w14:textId="0553B28A">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Objection</w:t>
      </w:r>
      <w:r w:rsidRPr="00DF6086" w:rsidR="008F75B3">
        <w:rPr>
          <w:rFonts w:ascii="Times New Roman" w:hAnsi="Times New Roman" w:cs="Times New Roman"/>
          <w:color w:val="000000" w:themeColor="text1"/>
        </w:rPr>
        <w:t xml:space="preserve">s </w:t>
      </w:r>
      <w:r w:rsidRPr="00DF6086">
        <w:rPr>
          <w:rFonts w:ascii="Times New Roman" w:hAnsi="Times New Roman" w:cs="Times New Roman"/>
          <w:color w:val="000000" w:themeColor="text1"/>
        </w:rPr>
        <w:t xml:space="preserve">at 21. </w:t>
      </w:r>
    </w:p>
  </w:footnote>
  <w:footnote w:id="14">
    <w:p w:rsidR="00ED6F7B" w:rsidRPr="00DF6086" w:rsidP="00DF6086" w14:paraId="67581486" w14:textId="38FB98FF">
      <w:pPr>
        <w:pStyle w:val="FootnoteText"/>
        <w:spacing w:after="120"/>
        <w:rPr>
          <w:rFonts w:ascii="Times New Roman" w:hAnsi="Times New Roman" w:cs="Times New Roman"/>
          <w:i/>
          <w:iCs/>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w:t>
      </w:r>
      <w:r w:rsidRPr="00DF6086">
        <w:rPr>
          <w:rFonts w:ascii="Times New Roman" w:hAnsi="Times New Roman" w:cs="Times New Roman"/>
          <w:i/>
          <w:iCs/>
          <w:color w:val="000000" w:themeColor="text1"/>
        </w:rPr>
        <w:t xml:space="preserve">Id. </w:t>
      </w:r>
    </w:p>
  </w:footnote>
  <w:footnote w:id="15">
    <w:p w:rsidR="00A404B3" w:rsidRPr="00DF6086" w:rsidP="00DF6086" w14:paraId="4BA36A21" w14:textId="31B4EAF1">
      <w:pPr>
        <w:pStyle w:val="FootnoteText"/>
        <w:spacing w:after="120"/>
        <w:rPr>
          <w:rFonts w:ascii="Times New Roman" w:hAnsi="Times New Roman" w:cs="Times New Roman"/>
          <w:i/>
          <w:iCs/>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w:t>
      </w:r>
      <w:r w:rsidRPr="00DF6086" w:rsidR="0034598C">
        <w:rPr>
          <w:rFonts w:ascii="Times New Roman" w:hAnsi="Times New Roman" w:cs="Times New Roman"/>
          <w:i/>
          <w:iCs/>
          <w:color w:val="000000" w:themeColor="text1"/>
        </w:rPr>
        <w:t>Id.</w:t>
      </w:r>
    </w:p>
  </w:footnote>
  <w:footnote w:id="16">
    <w:p w:rsidR="0034598C" w:rsidRPr="00DF6086" w:rsidP="00DF6086" w14:paraId="75389146" w14:textId="0404D622">
      <w:pPr>
        <w:pStyle w:val="FootnoteText"/>
        <w:spacing w:after="120"/>
        <w:rPr>
          <w:rFonts w:ascii="Times New Roman" w:hAnsi="Times New Roman" w:cs="Times New Roman"/>
          <w:i/>
          <w:iCs/>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w:t>
      </w:r>
      <w:r w:rsidRPr="00DF6086">
        <w:rPr>
          <w:rFonts w:ascii="Times New Roman" w:hAnsi="Times New Roman" w:cs="Times New Roman"/>
          <w:i/>
          <w:iCs/>
          <w:color w:val="000000" w:themeColor="text1"/>
        </w:rPr>
        <w:t xml:space="preserve">Id. </w:t>
      </w:r>
    </w:p>
  </w:footnote>
  <w:footnote w:id="17">
    <w:p w:rsidR="006712D9" w:rsidRPr="00DF6086" w:rsidP="00DF6086" w14:paraId="3A0688A2" w14:textId="54B3769B">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w:t>
      </w:r>
      <w:r w:rsidRPr="00DF6086" w:rsidR="00B1648D">
        <w:rPr>
          <w:rFonts w:ascii="Times New Roman" w:hAnsi="Times New Roman" w:cs="Times New Roman"/>
          <w:color w:val="000000" w:themeColor="text1"/>
        </w:rPr>
        <w:t xml:space="preserve">Entry (August 11, 2023) at </w:t>
      </w:r>
      <w:r w:rsidRPr="00DF6086" w:rsidR="00ED6F7B">
        <w:rPr>
          <w:rFonts w:ascii="Times New Roman" w:hAnsi="Times New Roman" w:cs="Times New Roman"/>
          <w:color w:val="000000" w:themeColor="text1"/>
          <w:szCs w:val="24"/>
        </w:rPr>
        <w:t>¶</w:t>
      </w:r>
      <w:r w:rsidRPr="00DF6086" w:rsidR="00563A9D">
        <w:rPr>
          <w:rFonts w:ascii="Times New Roman" w:hAnsi="Times New Roman" w:cs="Times New Roman"/>
          <w:color w:val="000000" w:themeColor="text1"/>
          <w:szCs w:val="24"/>
        </w:rPr>
        <w:t xml:space="preserve"> </w:t>
      </w:r>
      <w:r w:rsidRPr="00DF6086" w:rsidR="00ED6F7B">
        <w:rPr>
          <w:rFonts w:ascii="Times New Roman" w:hAnsi="Times New Roman" w:cs="Times New Roman"/>
          <w:color w:val="000000" w:themeColor="text1"/>
          <w:szCs w:val="24"/>
        </w:rPr>
        <w:t>9.</w:t>
      </w:r>
    </w:p>
  </w:footnote>
  <w:footnote w:id="18">
    <w:p w:rsidR="00563A9D" w:rsidRPr="00DF6086" w:rsidP="00DF6086" w14:paraId="671FA191" w14:textId="43113A01">
      <w:pPr>
        <w:pStyle w:val="FootnoteText"/>
        <w:spacing w:after="120"/>
        <w:rPr>
          <w:rFonts w:ascii="Times New Roman" w:hAnsi="Times New Roman" w:cs="Times New Roman"/>
        </w:rPr>
      </w:pPr>
      <w:r w:rsidRPr="00DF6086">
        <w:rPr>
          <w:rStyle w:val="FootnoteReference"/>
          <w:rFonts w:ascii="Times New Roman" w:hAnsi="Times New Roman" w:cs="Times New Roman"/>
        </w:rPr>
        <w:footnoteRef/>
      </w:r>
      <w:r w:rsidRPr="00DF6086">
        <w:rPr>
          <w:rFonts w:ascii="Times New Roman" w:hAnsi="Times New Roman" w:cs="Times New Roman"/>
        </w:rPr>
        <w:t xml:space="preserve"> </w:t>
      </w:r>
      <w:r w:rsidRPr="00DF6086">
        <w:rPr>
          <w:rFonts w:ascii="Times New Roman" w:hAnsi="Times New Roman" w:cs="Times New Roman"/>
          <w:i/>
          <w:iCs/>
        </w:rPr>
        <w:t>In the Matter of the Application of Water and Sewer LLC for an Increase in Rates and Charges</w:t>
      </w:r>
      <w:r w:rsidRPr="00DF6086">
        <w:rPr>
          <w:rFonts w:ascii="Times New Roman" w:hAnsi="Times New Roman" w:cs="Times New Roman"/>
        </w:rPr>
        <w:t>, Case No. 08-227-WS-AIR, Entry (Apr</w:t>
      </w:r>
      <w:r w:rsidR="00DF6086">
        <w:rPr>
          <w:rFonts w:ascii="Times New Roman" w:hAnsi="Times New Roman" w:cs="Times New Roman"/>
        </w:rPr>
        <w:t>il</w:t>
      </w:r>
      <w:r w:rsidRPr="00DF6086">
        <w:rPr>
          <w:rFonts w:ascii="Times New Roman" w:hAnsi="Times New Roman" w:cs="Times New Roman"/>
        </w:rPr>
        <w:t xml:space="preserve"> 14, 2009), at ¶ 6.</w:t>
      </w:r>
      <w:r w:rsidRPr="00DF6086" w:rsidR="00DF6086">
        <w:rPr>
          <w:rFonts w:ascii="Times New Roman" w:hAnsi="Times New Roman" w:cs="Times New Roman"/>
        </w:rPr>
        <w:t xml:space="preserve"> </w:t>
      </w:r>
    </w:p>
  </w:footnote>
  <w:footnote w:id="19">
    <w:p w:rsidR="004B2FC7" w:rsidRPr="00DF6086" w:rsidP="00DF6086" w14:paraId="777FB88E" w14:textId="53D1D225">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Objections to the Staff Report of Investigation and Audit of the Application to Increase Rates by Aqua Ohio, Inc. (August 14, 2023) at 1</w:t>
      </w:r>
      <w:r w:rsidRPr="00DF6086" w:rsidR="00AA2CF7">
        <w:rPr>
          <w:rFonts w:ascii="Times New Roman" w:hAnsi="Times New Roman" w:cs="Times New Roman"/>
          <w:color w:val="000000" w:themeColor="text1"/>
        </w:rPr>
        <w:t>1</w:t>
      </w:r>
      <w:r w:rsidRPr="00DF6086">
        <w:rPr>
          <w:rFonts w:ascii="Times New Roman" w:hAnsi="Times New Roman" w:cs="Times New Roman"/>
          <w:color w:val="000000" w:themeColor="text1"/>
        </w:rPr>
        <w:t>.</w:t>
      </w:r>
    </w:p>
  </w:footnote>
  <w:footnote w:id="20">
    <w:p w:rsidR="00D42B73" w:rsidRPr="00DF6086" w:rsidP="00DF6086" w14:paraId="05080E89" w14:textId="09FE18C9">
      <w:pPr>
        <w:pStyle w:val="FootnoteText"/>
        <w:spacing w:after="120"/>
        <w:rPr>
          <w:rFonts w:ascii="Times New Roman" w:hAnsi="Times New Roman" w:cs="Times New Roman"/>
        </w:rPr>
      </w:pPr>
      <w:r w:rsidRPr="00DF6086">
        <w:rPr>
          <w:rStyle w:val="FootnoteReference"/>
          <w:rFonts w:ascii="Times New Roman" w:hAnsi="Times New Roman" w:cs="Times New Roman"/>
        </w:rPr>
        <w:footnoteRef/>
      </w:r>
      <w:r w:rsidRPr="00DF6086">
        <w:rPr>
          <w:rFonts w:ascii="Times New Roman" w:hAnsi="Times New Roman" w:cs="Times New Roman"/>
        </w:rPr>
        <w:t xml:space="preserve"> </w:t>
      </w:r>
      <w:r w:rsidRPr="00DF6086">
        <w:rPr>
          <w:rFonts w:ascii="Times New Roman" w:hAnsi="Times New Roman" w:cs="Times New Roman"/>
          <w:i/>
          <w:iCs/>
        </w:rPr>
        <w:t>Id.</w:t>
      </w:r>
      <w:r w:rsidRPr="00DF6086" w:rsidR="00563A9D">
        <w:rPr>
          <w:rFonts w:ascii="Times New Roman" w:hAnsi="Times New Roman" w:cs="Times New Roman"/>
          <w:i/>
          <w:iCs/>
        </w:rPr>
        <w:t xml:space="preserve"> See also </w:t>
      </w:r>
      <w:r w:rsidRPr="00DF6086" w:rsidR="00563A9D">
        <w:rPr>
          <w:rFonts w:ascii="Times New Roman" w:hAnsi="Times New Roman" w:cs="Times New Roman"/>
        </w:rPr>
        <w:t>Aqua Objection Nos. 8 and 26.</w:t>
      </w:r>
    </w:p>
  </w:footnote>
  <w:footnote w:id="21">
    <w:p w:rsidR="0034598C" w:rsidRPr="00DF6086" w:rsidP="00DF6086" w14:paraId="497A9B3E" w14:textId="4305D9D6">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Aqua Motion at 4. </w:t>
      </w:r>
    </w:p>
  </w:footnote>
  <w:footnote w:id="22">
    <w:p w:rsidR="00736F38" w:rsidRPr="00DF6086" w:rsidP="00DF6086" w14:paraId="5FE07BF6" w14:textId="30926B6F">
      <w:pPr>
        <w:pStyle w:val="FootnoteText"/>
        <w:spacing w:after="120"/>
        <w:rPr>
          <w:rFonts w:ascii="Times New Roman" w:hAnsi="Times New Roman" w:cs="Times New Roman"/>
        </w:rPr>
      </w:pPr>
      <w:r w:rsidRPr="00DF6086">
        <w:rPr>
          <w:rStyle w:val="FootnoteReference"/>
          <w:rFonts w:ascii="Times New Roman" w:hAnsi="Times New Roman" w:cs="Times New Roman"/>
        </w:rPr>
        <w:footnoteRef/>
      </w:r>
      <w:r w:rsidRPr="00DF6086">
        <w:rPr>
          <w:rFonts w:ascii="Times New Roman" w:hAnsi="Times New Roman" w:cs="Times New Roman"/>
        </w:rPr>
        <w:t xml:space="preserve"> </w:t>
      </w:r>
      <w:r w:rsidRPr="00DF6086">
        <w:rPr>
          <w:rFonts w:ascii="Times New Roman" w:hAnsi="Times New Roman" w:cs="Times New Roman"/>
          <w:i/>
          <w:iCs/>
        </w:rPr>
        <w:t>In the Matter of the Application of Water and Sewer LLC for an increase in rates and charges</w:t>
      </w:r>
      <w:r w:rsidRPr="00DF6086">
        <w:rPr>
          <w:rFonts w:ascii="Times New Roman" w:hAnsi="Times New Roman" w:cs="Times New Roman"/>
        </w:rPr>
        <w:t>, Case No. 08-227-WS-AIR, Entry (Apr</w:t>
      </w:r>
      <w:r w:rsidR="00DF6086">
        <w:rPr>
          <w:rFonts w:ascii="Times New Roman" w:hAnsi="Times New Roman" w:cs="Times New Roman"/>
        </w:rPr>
        <w:t>il</w:t>
      </w:r>
      <w:r w:rsidRPr="00DF6086">
        <w:rPr>
          <w:rFonts w:ascii="Times New Roman" w:hAnsi="Times New Roman" w:cs="Times New Roman"/>
        </w:rPr>
        <w:t xml:space="preserve"> 14, 2009).</w:t>
      </w:r>
      <w:r w:rsidRPr="00DF6086" w:rsidR="00DF6086">
        <w:rPr>
          <w:rFonts w:ascii="Times New Roman" w:hAnsi="Times New Roman" w:cs="Times New Roman"/>
        </w:rPr>
        <w:t xml:space="preserve"> </w:t>
      </w:r>
    </w:p>
  </w:footnote>
  <w:footnote w:id="23">
    <w:p w:rsidR="00E352A1" w:rsidRPr="00DF6086" w:rsidP="00DF6086" w14:paraId="0FD510D4" w14:textId="46305586">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w:t>
      </w:r>
      <w:r w:rsidRPr="00DF6086">
        <w:rPr>
          <w:rFonts w:ascii="Times New Roman" w:hAnsi="Times New Roman" w:cs="Times New Roman"/>
          <w:i/>
          <w:color w:val="000000" w:themeColor="text1"/>
        </w:rPr>
        <w:t>In the Matter of the Application of Water and Sewer LLC for an Increase in its Rates and Charges</w:t>
      </w:r>
      <w:r w:rsidRPr="00DF6086">
        <w:rPr>
          <w:rFonts w:ascii="Times New Roman" w:hAnsi="Times New Roman" w:cs="Times New Roman"/>
          <w:color w:val="000000" w:themeColor="text1"/>
        </w:rPr>
        <w:t>, Case</w:t>
      </w:r>
      <w:r w:rsidRPr="00DF6086">
        <w:rPr>
          <w:rFonts w:ascii="Times New Roman" w:hAnsi="Times New Roman" w:cs="Times New Roman"/>
          <w:color w:val="000000" w:themeColor="text1"/>
          <w:spacing w:val="-14"/>
        </w:rPr>
        <w:t xml:space="preserve"> </w:t>
      </w:r>
      <w:r w:rsidRPr="00DF6086">
        <w:rPr>
          <w:rFonts w:ascii="Times New Roman" w:hAnsi="Times New Roman" w:cs="Times New Roman"/>
          <w:color w:val="000000" w:themeColor="text1"/>
        </w:rPr>
        <w:t xml:space="preserve">No. 08-227-WS-AIR, </w:t>
      </w:r>
      <w:r w:rsidRPr="00DF6086" w:rsidR="009E6AF5">
        <w:rPr>
          <w:rFonts w:ascii="Times New Roman" w:hAnsi="Times New Roman" w:cs="Times New Roman"/>
          <w:color w:val="000000" w:themeColor="text1"/>
        </w:rPr>
        <w:t>Entry at</w:t>
      </w:r>
      <w:r w:rsidRPr="00DF6086">
        <w:rPr>
          <w:rFonts w:ascii="Times New Roman" w:hAnsi="Times New Roman" w:cs="Times New Roman"/>
          <w:color w:val="000000" w:themeColor="text1"/>
        </w:rPr>
        <w:t xml:space="preserve"> ¶ </w:t>
      </w:r>
      <w:r w:rsidRPr="00DF6086" w:rsidR="00563A9D">
        <w:rPr>
          <w:rFonts w:ascii="Times New Roman" w:hAnsi="Times New Roman" w:cs="Times New Roman"/>
          <w:color w:val="000000" w:themeColor="text1"/>
        </w:rPr>
        <w:t>6</w:t>
      </w:r>
      <w:r w:rsidRPr="00DF6086">
        <w:rPr>
          <w:rFonts w:ascii="Times New Roman" w:hAnsi="Times New Roman" w:cs="Times New Roman"/>
          <w:color w:val="000000" w:themeColor="text1"/>
        </w:rPr>
        <w:t xml:space="preserve"> (Apr</w:t>
      </w:r>
      <w:r w:rsidRPr="00DF6086" w:rsidR="004A0431">
        <w:rPr>
          <w:rFonts w:ascii="Times New Roman" w:hAnsi="Times New Roman" w:cs="Times New Roman"/>
          <w:color w:val="000000" w:themeColor="text1"/>
        </w:rPr>
        <w:t>il</w:t>
      </w:r>
      <w:r w:rsidRPr="00DF6086">
        <w:rPr>
          <w:rFonts w:ascii="Times New Roman" w:hAnsi="Times New Roman" w:cs="Times New Roman"/>
          <w:color w:val="000000" w:themeColor="text1"/>
        </w:rPr>
        <w:t xml:space="preserve"> 14, 2009) (emphasis</w:t>
      </w:r>
      <w:r w:rsidRPr="00DF6086">
        <w:rPr>
          <w:rFonts w:ascii="Times New Roman" w:hAnsi="Times New Roman" w:cs="Times New Roman"/>
          <w:color w:val="000000" w:themeColor="text1"/>
          <w:spacing w:val="-11"/>
        </w:rPr>
        <w:t xml:space="preserve"> </w:t>
      </w:r>
      <w:r w:rsidRPr="00DF6086">
        <w:rPr>
          <w:rFonts w:ascii="Times New Roman" w:hAnsi="Times New Roman" w:cs="Times New Roman"/>
          <w:color w:val="000000" w:themeColor="text1"/>
        </w:rPr>
        <w:t>added).</w:t>
      </w:r>
    </w:p>
  </w:footnote>
  <w:footnote w:id="24">
    <w:p w:rsidR="00563A9D" w:rsidRPr="00DF6086" w:rsidP="00DF6086" w14:paraId="0C0407FA" w14:textId="6DEFE2BD">
      <w:pPr>
        <w:pStyle w:val="FootnoteText"/>
        <w:spacing w:after="120"/>
        <w:rPr>
          <w:rFonts w:ascii="Times New Roman" w:hAnsi="Times New Roman" w:cs="Times New Roman"/>
          <w:i/>
          <w:iCs/>
        </w:rPr>
      </w:pPr>
      <w:r w:rsidRPr="00DF6086">
        <w:rPr>
          <w:rStyle w:val="FootnoteReference"/>
          <w:rFonts w:ascii="Times New Roman" w:hAnsi="Times New Roman" w:cs="Times New Roman"/>
        </w:rPr>
        <w:footnoteRef/>
      </w:r>
      <w:r w:rsidRPr="00DF6086">
        <w:rPr>
          <w:rFonts w:ascii="Times New Roman" w:hAnsi="Times New Roman" w:cs="Times New Roman"/>
        </w:rPr>
        <w:t xml:space="preserve"> </w:t>
      </w:r>
      <w:r w:rsidRPr="00DF6086">
        <w:rPr>
          <w:rFonts w:ascii="Times New Roman" w:hAnsi="Times New Roman" w:cs="Times New Roman"/>
          <w:i/>
          <w:iCs/>
        </w:rPr>
        <w:t>Id.</w:t>
      </w:r>
    </w:p>
  </w:footnote>
  <w:footnote w:id="25">
    <w:p w:rsidR="00ED6F7B" w:rsidRPr="00DF6086" w:rsidP="00DF6086" w14:paraId="75CE59A8" w14:textId="60D53EC8">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O.A.C. 4901-1-28(B).</w:t>
      </w:r>
    </w:p>
  </w:footnote>
  <w:footnote w:id="26">
    <w:p w:rsidR="0001453E" w:rsidRPr="00DF6086" w:rsidP="00DF6086" w14:paraId="5DAB3263" w14:textId="50DADBC1">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Aqua Motion at 4.</w:t>
      </w:r>
    </w:p>
  </w:footnote>
  <w:footnote w:id="27">
    <w:p w:rsidR="0034598C" w:rsidRPr="00DF6086" w:rsidP="00DF6086" w14:paraId="46E4F474" w14:textId="1E4BB3C4">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O.A.C. 4901-1-28(B).</w:t>
      </w:r>
    </w:p>
  </w:footnote>
  <w:footnote w:id="28">
    <w:p w:rsidR="00FD7464" w:rsidRPr="00DF6086" w:rsidP="00DF6086" w14:paraId="71A4138B" w14:textId="3D131473">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OCC Objections at 8. </w:t>
      </w:r>
    </w:p>
  </w:footnote>
  <w:footnote w:id="29">
    <w:p w:rsidR="00EF2683" w:rsidRPr="00DF6086" w:rsidP="00DF6086" w14:paraId="6B1989A9" w14:textId="77777777">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Staff Report at 13.</w:t>
      </w:r>
    </w:p>
  </w:footnote>
  <w:footnote w:id="30">
    <w:p w:rsidR="00973EF2" w:rsidRPr="00DF6086" w:rsidP="00DF6086" w14:paraId="73AD677E" w14:textId="3A176101">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Case No. 21-0595-WW-AIR, Aqua Ohio, Inc.’s Motion to Strike Objections to the PUCO Staff Report filed by Office of The Ohio Consumers’ Counsel (April 11, 2022) at 4.</w:t>
      </w:r>
    </w:p>
  </w:footnote>
  <w:footnote w:id="31">
    <w:p w:rsidR="00A5253A" w:rsidRPr="00DF6086" w:rsidP="00DF6086" w14:paraId="412E2F26" w14:textId="59A6D1A6">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Case No. 21-0595-WW-AIR, Objections to the PUCO Staff Report by Office of the Ohio Consumers’ Counsel (</w:t>
      </w:r>
      <w:r w:rsidRPr="00DF6086" w:rsidR="00973EF2">
        <w:rPr>
          <w:rFonts w:ascii="Times New Roman" w:hAnsi="Times New Roman" w:cs="Times New Roman"/>
          <w:color w:val="000000" w:themeColor="text1"/>
        </w:rPr>
        <w:t xml:space="preserve">March 14, 2022) </w:t>
      </w:r>
      <w:r w:rsidRPr="00DF6086">
        <w:rPr>
          <w:rFonts w:ascii="Times New Roman" w:hAnsi="Times New Roman" w:cs="Times New Roman"/>
          <w:color w:val="000000" w:themeColor="text1"/>
        </w:rPr>
        <w:t>at 13.</w:t>
      </w:r>
    </w:p>
  </w:footnote>
  <w:footnote w:id="32">
    <w:p w:rsidR="009E6AF5" w:rsidRPr="00DF6086" w:rsidP="00DF6086" w14:paraId="4083618B" w14:textId="3AC7A476">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Aqua Motion at 5.</w:t>
      </w:r>
    </w:p>
  </w:footnote>
  <w:footnote w:id="33">
    <w:p w:rsidR="00FB7659" w:rsidRPr="00DF6086" w:rsidP="00DF6086" w14:paraId="364215B8" w14:textId="5A7C2B62">
      <w:pPr>
        <w:pStyle w:val="FootnoteText"/>
        <w:spacing w:after="120"/>
        <w:rPr>
          <w:rFonts w:ascii="Times New Roman" w:hAnsi="Times New Roman" w:cs="Times New Roman"/>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w:t>
      </w:r>
      <w:r w:rsidRPr="00DF6086" w:rsidR="009E6AF5">
        <w:rPr>
          <w:rFonts w:ascii="Times New Roman" w:hAnsi="Times New Roman" w:cs="Times New Roman"/>
          <w:i/>
          <w:iCs/>
          <w:color w:val="000000" w:themeColor="text1"/>
        </w:rPr>
        <w:t>Id.</w:t>
      </w:r>
      <w:r w:rsidRPr="00DF6086" w:rsidR="009E6AF5">
        <w:rPr>
          <w:rFonts w:ascii="Times New Roman" w:hAnsi="Times New Roman" w:cs="Times New Roman"/>
          <w:color w:val="000000" w:themeColor="text1"/>
        </w:rPr>
        <w:t xml:space="preserve">, </w:t>
      </w:r>
      <w:r w:rsidRPr="00DF6086">
        <w:rPr>
          <w:rFonts w:ascii="Times New Roman" w:hAnsi="Times New Roman" w:cs="Times New Roman"/>
          <w:i/>
          <w:iCs/>
          <w:color w:val="000000" w:themeColor="text1"/>
        </w:rPr>
        <w:t xml:space="preserve">See </w:t>
      </w:r>
      <w:r w:rsidRPr="00DF6086">
        <w:rPr>
          <w:rFonts w:ascii="Times New Roman" w:hAnsi="Times New Roman" w:cs="Times New Roman"/>
          <w:color w:val="000000" w:themeColor="text1"/>
        </w:rPr>
        <w:t>Entry (August 11, 2023) at</w:t>
      </w:r>
      <w:r w:rsidRPr="00DF6086">
        <w:rPr>
          <w:rFonts w:ascii="Times New Roman" w:hAnsi="Times New Roman" w:cs="Times New Roman"/>
          <w:color w:val="000000" w:themeColor="text1"/>
          <w:szCs w:val="24"/>
        </w:rPr>
        <w:t xml:space="preserve"> ¶ 9.</w:t>
      </w:r>
    </w:p>
  </w:footnote>
  <w:footnote w:id="34">
    <w:p w:rsidR="00973EF2" w:rsidRPr="00DF6086" w:rsidP="00DF6086" w14:paraId="56FF5EB1" w14:textId="06304896">
      <w:pPr>
        <w:pStyle w:val="FootnoteText"/>
        <w:spacing w:after="120"/>
        <w:rPr>
          <w:rFonts w:ascii="Times New Roman" w:hAnsi="Times New Roman" w:cs="Times New Roman"/>
          <w:i/>
          <w:iCs/>
          <w:color w:val="000000" w:themeColor="text1"/>
        </w:rPr>
      </w:pPr>
      <w:r w:rsidRPr="00DF6086">
        <w:rPr>
          <w:rStyle w:val="FootnoteReference"/>
          <w:rFonts w:ascii="Times New Roman" w:hAnsi="Times New Roman" w:cs="Times New Roman"/>
          <w:color w:val="000000" w:themeColor="text1"/>
        </w:rPr>
        <w:footnoteRef/>
      </w:r>
      <w:r w:rsidRPr="00DF6086">
        <w:rPr>
          <w:rFonts w:ascii="Times New Roman" w:hAnsi="Times New Roman" w:cs="Times New Roman"/>
          <w:color w:val="000000" w:themeColor="text1"/>
        </w:rPr>
        <w:t xml:space="preserve"> </w:t>
      </w:r>
      <w:r w:rsidRPr="00DF6086" w:rsidR="00B1648D">
        <w:rPr>
          <w:rFonts w:ascii="Times New Roman" w:hAnsi="Times New Roman" w:cs="Times New Roman"/>
          <w:i/>
          <w:iCs/>
          <w:color w:val="000000" w:themeColor="text1"/>
        </w:rPr>
        <w:t xml:space="preserve">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E73" w14:paraId="64BBCA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E73" w14:paraId="6614F13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E73" w14:paraId="627193D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852F47"/>
    <w:multiLevelType w:val="hybridMultilevel"/>
    <w:tmpl w:val="D86895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76522CC"/>
    <w:multiLevelType w:val="hybridMultilevel"/>
    <w:tmpl w:val="BB04178E"/>
    <w:lvl w:ilvl="0">
      <w:start w:val="4"/>
      <w:numFmt w:val="upperRoman"/>
      <w:lvlText w:val="%1."/>
      <w:lvlJc w:val="left"/>
      <w:pPr>
        <w:ind w:left="20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3F1B0A"/>
    <w:multiLevelType w:val="hybridMultilevel"/>
    <w:tmpl w:val="8768050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41C49C1"/>
    <w:multiLevelType w:val="hybridMultilevel"/>
    <w:tmpl w:val="80BC26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45CE3BC8"/>
    <w:multiLevelType w:val="hybridMultilevel"/>
    <w:tmpl w:val="61080DD6"/>
    <w:lvl w:ilvl="0">
      <w:start w:val="1"/>
      <w:numFmt w:val="upperLetter"/>
      <w:lvlText w:val="%1."/>
      <w:lvlJc w:val="left"/>
      <w:pPr>
        <w:ind w:left="144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597A713B"/>
    <w:multiLevelType w:val="hybridMultilevel"/>
    <w:tmpl w:val="5106D72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BDF403E"/>
    <w:multiLevelType w:val="hybridMultilevel"/>
    <w:tmpl w:val="FFF635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EC5771E"/>
    <w:multiLevelType w:val="hybridMultilevel"/>
    <w:tmpl w:val="5268B814"/>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DD851C6"/>
    <w:multiLevelType w:val="hybridMultilevel"/>
    <w:tmpl w:val="049AF17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16865AC"/>
    <w:multiLevelType w:val="hybridMultilevel"/>
    <w:tmpl w:val="EA06A082"/>
    <w:lvl w:ilvl="0">
      <w:start w:val="2"/>
      <w:numFmt w:val="upperRoman"/>
      <w:lvlText w:val="%1."/>
      <w:lvlJc w:val="left"/>
      <w:pPr>
        <w:ind w:left="1080" w:hanging="720"/>
      </w:pPr>
      <w:rPr>
        <w:rFonts w:cstheme="maj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1"/>
  </w:num>
  <w:num w:numId="6">
    <w:abstractNumId w:val="9"/>
  </w:num>
  <w:num w:numId="7">
    <w:abstractNumId w:val="7"/>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0A"/>
    <w:rsid w:val="00005EE4"/>
    <w:rsid w:val="0001453E"/>
    <w:rsid w:val="00026FAB"/>
    <w:rsid w:val="00027D7B"/>
    <w:rsid w:val="000369CC"/>
    <w:rsid w:val="000459D7"/>
    <w:rsid w:val="00045C8D"/>
    <w:rsid w:val="0006317A"/>
    <w:rsid w:val="00075781"/>
    <w:rsid w:val="0009490A"/>
    <w:rsid w:val="000A41C3"/>
    <w:rsid w:val="000B1816"/>
    <w:rsid w:val="000C0050"/>
    <w:rsid w:val="000D519A"/>
    <w:rsid w:val="000E49A3"/>
    <w:rsid w:val="00110E6F"/>
    <w:rsid w:val="00115B4A"/>
    <w:rsid w:val="001300BA"/>
    <w:rsid w:val="0015714D"/>
    <w:rsid w:val="001703E0"/>
    <w:rsid w:val="001753CA"/>
    <w:rsid w:val="00186E08"/>
    <w:rsid w:val="00187B4C"/>
    <w:rsid w:val="001A29F3"/>
    <w:rsid w:val="001B4E8F"/>
    <w:rsid w:val="001C4850"/>
    <w:rsid w:val="001F1F86"/>
    <w:rsid w:val="002008AC"/>
    <w:rsid w:val="00216F2C"/>
    <w:rsid w:val="002177A2"/>
    <w:rsid w:val="00225B68"/>
    <w:rsid w:val="002263DE"/>
    <w:rsid w:val="0023435C"/>
    <w:rsid w:val="00250B58"/>
    <w:rsid w:val="0026329B"/>
    <w:rsid w:val="002757DF"/>
    <w:rsid w:val="00275E9E"/>
    <w:rsid w:val="00284044"/>
    <w:rsid w:val="002A3843"/>
    <w:rsid w:val="002A586C"/>
    <w:rsid w:val="002A67F1"/>
    <w:rsid w:val="002A78D5"/>
    <w:rsid w:val="002B04DE"/>
    <w:rsid w:val="002B7847"/>
    <w:rsid w:val="002C34C3"/>
    <w:rsid w:val="002D33CA"/>
    <w:rsid w:val="002D3E9A"/>
    <w:rsid w:val="002E4F3F"/>
    <w:rsid w:val="00306A06"/>
    <w:rsid w:val="00320115"/>
    <w:rsid w:val="0032057E"/>
    <w:rsid w:val="00330E34"/>
    <w:rsid w:val="0034351A"/>
    <w:rsid w:val="00343A78"/>
    <w:rsid w:val="0034598C"/>
    <w:rsid w:val="003464D8"/>
    <w:rsid w:val="0035211B"/>
    <w:rsid w:val="00373345"/>
    <w:rsid w:val="003842BB"/>
    <w:rsid w:val="0039796F"/>
    <w:rsid w:val="003B0F02"/>
    <w:rsid w:val="003B1519"/>
    <w:rsid w:val="003B1A32"/>
    <w:rsid w:val="003C000C"/>
    <w:rsid w:val="003C751D"/>
    <w:rsid w:val="003E6E29"/>
    <w:rsid w:val="003F25CA"/>
    <w:rsid w:val="003F573A"/>
    <w:rsid w:val="004000AC"/>
    <w:rsid w:val="0042518D"/>
    <w:rsid w:val="00436E2A"/>
    <w:rsid w:val="004548E8"/>
    <w:rsid w:val="004615B5"/>
    <w:rsid w:val="00464638"/>
    <w:rsid w:val="00467FE3"/>
    <w:rsid w:val="004770A5"/>
    <w:rsid w:val="0048543B"/>
    <w:rsid w:val="004871BC"/>
    <w:rsid w:val="004A0431"/>
    <w:rsid w:val="004B2FC7"/>
    <w:rsid w:val="004B5AC9"/>
    <w:rsid w:val="004D2A6C"/>
    <w:rsid w:val="004D768F"/>
    <w:rsid w:val="004E46EF"/>
    <w:rsid w:val="004F2E45"/>
    <w:rsid w:val="00547B20"/>
    <w:rsid w:val="00563A9D"/>
    <w:rsid w:val="00567931"/>
    <w:rsid w:val="00573B49"/>
    <w:rsid w:val="00585329"/>
    <w:rsid w:val="005913BB"/>
    <w:rsid w:val="00596E0A"/>
    <w:rsid w:val="005A605E"/>
    <w:rsid w:val="005B6E0A"/>
    <w:rsid w:val="005D7836"/>
    <w:rsid w:val="005E39DC"/>
    <w:rsid w:val="005F5820"/>
    <w:rsid w:val="00603C75"/>
    <w:rsid w:val="006062F7"/>
    <w:rsid w:val="00607BB8"/>
    <w:rsid w:val="006117FA"/>
    <w:rsid w:val="00617664"/>
    <w:rsid w:val="00623AB6"/>
    <w:rsid w:val="006502AF"/>
    <w:rsid w:val="006609BD"/>
    <w:rsid w:val="0066544D"/>
    <w:rsid w:val="00665B84"/>
    <w:rsid w:val="00667BDD"/>
    <w:rsid w:val="006712D9"/>
    <w:rsid w:val="00673663"/>
    <w:rsid w:val="00680E59"/>
    <w:rsid w:val="00686065"/>
    <w:rsid w:val="0069140C"/>
    <w:rsid w:val="006A28E7"/>
    <w:rsid w:val="006A56F4"/>
    <w:rsid w:val="006B05CD"/>
    <w:rsid w:val="006B4C96"/>
    <w:rsid w:val="006B6F52"/>
    <w:rsid w:val="006C0546"/>
    <w:rsid w:val="006D3D1C"/>
    <w:rsid w:val="006E1AC2"/>
    <w:rsid w:val="006F5B9B"/>
    <w:rsid w:val="00704BC7"/>
    <w:rsid w:val="00720093"/>
    <w:rsid w:val="007212C8"/>
    <w:rsid w:val="0072651C"/>
    <w:rsid w:val="00731B17"/>
    <w:rsid w:val="00736F38"/>
    <w:rsid w:val="00752611"/>
    <w:rsid w:val="00752936"/>
    <w:rsid w:val="00752E15"/>
    <w:rsid w:val="007551AE"/>
    <w:rsid w:val="00755E54"/>
    <w:rsid w:val="00763E05"/>
    <w:rsid w:val="00767C70"/>
    <w:rsid w:val="00773D72"/>
    <w:rsid w:val="00777FD0"/>
    <w:rsid w:val="00784662"/>
    <w:rsid w:val="00795B55"/>
    <w:rsid w:val="00797A0D"/>
    <w:rsid w:val="007A215C"/>
    <w:rsid w:val="007A44C5"/>
    <w:rsid w:val="007A45BB"/>
    <w:rsid w:val="007A6CB7"/>
    <w:rsid w:val="007B2D26"/>
    <w:rsid w:val="007D75CE"/>
    <w:rsid w:val="007D77B0"/>
    <w:rsid w:val="007E247D"/>
    <w:rsid w:val="007E4A3A"/>
    <w:rsid w:val="007E5022"/>
    <w:rsid w:val="008031D4"/>
    <w:rsid w:val="00814898"/>
    <w:rsid w:val="008222BA"/>
    <w:rsid w:val="00826332"/>
    <w:rsid w:val="00826BE3"/>
    <w:rsid w:val="00830AC5"/>
    <w:rsid w:val="00843841"/>
    <w:rsid w:val="00847615"/>
    <w:rsid w:val="008524A8"/>
    <w:rsid w:val="00860043"/>
    <w:rsid w:val="008656E4"/>
    <w:rsid w:val="00873FC3"/>
    <w:rsid w:val="00886B32"/>
    <w:rsid w:val="00890908"/>
    <w:rsid w:val="00892E73"/>
    <w:rsid w:val="008A66B0"/>
    <w:rsid w:val="008A676C"/>
    <w:rsid w:val="008A73D5"/>
    <w:rsid w:val="008C76E8"/>
    <w:rsid w:val="008E0AAF"/>
    <w:rsid w:val="008E2289"/>
    <w:rsid w:val="008F1163"/>
    <w:rsid w:val="008F2776"/>
    <w:rsid w:val="008F75B3"/>
    <w:rsid w:val="009041E2"/>
    <w:rsid w:val="00910A9D"/>
    <w:rsid w:val="0091184E"/>
    <w:rsid w:val="0091247B"/>
    <w:rsid w:val="00917D9C"/>
    <w:rsid w:val="00921744"/>
    <w:rsid w:val="00923762"/>
    <w:rsid w:val="009307D0"/>
    <w:rsid w:val="00932059"/>
    <w:rsid w:val="009341F8"/>
    <w:rsid w:val="009411F4"/>
    <w:rsid w:val="0095156D"/>
    <w:rsid w:val="009519DD"/>
    <w:rsid w:val="00961095"/>
    <w:rsid w:val="00965E02"/>
    <w:rsid w:val="00973EF2"/>
    <w:rsid w:val="0098797A"/>
    <w:rsid w:val="009A70CE"/>
    <w:rsid w:val="009D7F2A"/>
    <w:rsid w:val="009E3659"/>
    <w:rsid w:val="009E66C1"/>
    <w:rsid w:val="009E6AF5"/>
    <w:rsid w:val="009F7558"/>
    <w:rsid w:val="00A0528D"/>
    <w:rsid w:val="00A1140C"/>
    <w:rsid w:val="00A2544E"/>
    <w:rsid w:val="00A34705"/>
    <w:rsid w:val="00A362BC"/>
    <w:rsid w:val="00A404B3"/>
    <w:rsid w:val="00A42D96"/>
    <w:rsid w:val="00A461C0"/>
    <w:rsid w:val="00A5253A"/>
    <w:rsid w:val="00A61E76"/>
    <w:rsid w:val="00A63DDB"/>
    <w:rsid w:val="00A7638B"/>
    <w:rsid w:val="00A8026F"/>
    <w:rsid w:val="00A83A12"/>
    <w:rsid w:val="00AA2CF7"/>
    <w:rsid w:val="00AA5501"/>
    <w:rsid w:val="00AA779C"/>
    <w:rsid w:val="00AB7B0C"/>
    <w:rsid w:val="00AC1872"/>
    <w:rsid w:val="00AD176C"/>
    <w:rsid w:val="00AD29E1"/>
    <w:rsid w:val="00AD3088"/>
    <w:rsid w:val="00AD5E67"/>
    <w:rsid w:val="00AF7726"/>
    <w:rsid w:val="00B07266"/>
    <w:rsid w:val="00B1017B"/>
    <w:rsid w:val="00B1648D"/>
    <w:rsid w:val="00B17560"/>
    <w:rsid w:val="00B2539A"/>
    <w:rsid w:val="00B35B2B"/>
    <w:rsid w:val="00B37EB1"/>
    <w:rsid w:val="00B5001F"/>
    <w:rsid w:val="00B62AC6"/>
    <w:rsid w:val="00B645ED"/>
    <w:rsid w:val="00B7111C"/>
    <w:rsid w:val="00B74588"/>
    <w:rsid w:val="00B9109B"/>
    <w:rsid w:val="00BC0226"/>
    <w:rsid w:val="00BC2FE8"/>
    <w:rsid w:val="00BC5F47"/>
    <w:rsid w:val="00BC7850"/>
    <w:rsid w:val="00BD7502"/>
    <w:rsid w:val="00BF41E2"/>
    <w:rsid w:val="00C062A0"/>
    <w:rsid w:val="00C110D0"/>
    <w:rsid w:val="00C23211"/>
    <w:rsid w:val="00C3073E"/>
    <w:rsid w:val="00C314F3"/>
    <w:rsid w:val="00C3799F"/>
    <w:rsid w:val="00C40316"/>
    <w:rsid w:val="00C4482E"/>
    <w:rsid w:val="00C455C2"/>
    <w:rsid w:val="00C6561E"/>
    <w:rsid w:val="00C66B94"/>
    <w:rsid w:val="00C72944"/>
    <w:rsid w:val="00C83270"/>
    <w:rsid w:val="00C90C37"/>
    <w:rsid w:val="00C96099"/>
    <w:rsid w:val="00CA25A8"/>
    <w:rsid w:val="00CB2D0B"/>
    <w:rsid w:val="00CB6CAC"/>
    <w:rsid w:val="00CC7822"/>
    <w:rsid w:val="00CE48B2"/>
    <w:rsid w:val="00D045A2"/>
    <w:rsid w:val="00D26BC2"/>
    <w:rsid w:val="00D34224"/>
    <w:rsid w:val="00D37113"/>
    <w:rsid w:val="00D42B73"/>
    <w:rsid w:val="00D53A5C"/>
    <w:rsid w:val="00D70644"/>
    <w:rsid w:val="00DA26E9"/>
    <w:rsid w:val="00DC7005"/>
    <w:rsid w:val="00DD2A70"/>
    <w:rsid w:val="00DE5AC2"/>
    <w:rsid w:val="00DF6086"/>
    <w:rsid w:val="00E134B7"/>
    <w:rsid w:val="00E16CD1"/>
    <w:rsid w:val="00E2165B"/>
    <w:rsid w:val="00E22556"/>
    <w:rsid w:val="00E352A1"/>
    <w:rsid w:val="00E36E59"/>
    <w:rsid w:val="00E466F7"/>
    <w:rsid w:val="00E52888"/>
    <w:rsid w:val="00E716C6"/>
    <w:rsid w:val="00E75FCB"/>
    <w:rsid w:val="00E91DF2"/>
    <w:rsid w:val="00E93163"/>
    <w:rsid w:val="00EB518D"/>
    <w:rsid w:val="00EB7D85"/>
    <w:rsid w:val="00ED67BB"/>
    <w:rsid w:val="00ED6F7B"/>
    <w:rsid w:val="00EE7D25"/>
    <w:rsid w:val="00EF08E3"/>
    <w:rsid w:val="00EF248F"/>
    <w:rsid w:val="00EF2683"/>
    <w:rsid w:val="00F22AC0"/>
    <w:rsid w:val="00F34420"/>
    <w:rsid w:val="00F41DA5"/>
    <w:rsid w:val="00F612BA"/>
    <w:rsid w:val="00F63549"/>
    <w:rsid w:val="00F744C0"/>
    <w:rsid w:val="00F86E2E"/>
    <w:rsid w:val="00F9472B"/>
    <w:rsid w:val="00F977C2"/>
    <w:rsid w:val="00FB7659"/>
    <w:rsid w:val="00FC2591"/>
    <w:rsid w:val="00FD62BA"/>
    <w:rsid w:val="00FD6A83"/>
    <w:rsid w:val="00FD7464"/>
    <w:rsid w:val="00FE2203"/>
    <w:rsid w:val="00FF21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796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9CC"/>
    <w:pPr>
      <w:spacing w:after="200" w:line="276" w:lineRule="auto"/>
    </w:pPr>
    <w:rPr>
      <w:rFonts w:ascii="Times New Roman" w:hAnsi="Times New Roman"/>
      <w:sz w:val="24"/>
    </w:rPr>
  </w:style>
  <w:style w:type="paragraph" w:styleId="Heading1">
    <w:name w:val="heading 1"/>
    <w:basedOn w:val="Normal"/>
    <w:next w:val="Normal"/>
    <w:link w:val="Heading1Char"/>
    <w:autoRedefine/>
    <w:uiPriority w:val="9"/>
    <w:qFormat/>
    <w:rsid w:val="001300BA"/>
    <w:pPr>
      <w:keepNext/>
      <w:keepLines/>
      <w:spacing w:before="240" w:after="0" w:line="480" w:lineRule="auto"/>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uiPriority w:val="9"/>
    <w:unhideWhenUsed/>
    <w:qFormat/>
    <w:rsid w:val="0069140C"/>
    <w:pPr>
      <w:keepNext/>
      <w:keepLines/>
      <w:spacing w:after="240" w:line="240" w:lineRule="auto"/>
      <w:ind w:left="1440" w:hanging="720"/>
      <w:outlineLvl w:val="1"/>
    </w:pPr>
    <w:rPr>
      <w:rFonts w:ascii="Times New Roman Bold" w:hAnsi="Times New Roman Bold" w:eastAsiaTheme="majorEastAsia" w:cstheme="majorBidi"/>
      <w:b/>
      <w:szCs w:val="26"/>
    </w:rPr>
  </w:style>
  <w:style w:type="paragraph" w:styleId="Heading3">
    <w:name w:val="heading 3"/>
    <w:basedOn w:val="Normal"/>
    <w:next w:val="Normal"/>
    <w:link w:val="Heading3Char"/>
    <w:uiPriority w:val="9"/>
    <w:unhideWhenUsed/>
    <w:qFormat/>
    <w:rsid w:val="0069140C"/>
    <w:pPr>
      <w:keepNext/>
      <w:keepLines/>
      <w:spacing w:after="240" w:line="240" w:lineRule="auto"/>
      <w:outlineLvl w:val="2"/>
    </w:pPr>
    <w:rPr>
      <w:rFonts w:ascii="Times New Roman Bold" w:hAnsi="Times New Roman Bold"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0BA"/>
    <w:rPr>
      <w:rFonts w:ascii="Times New Roman Bold" w:hAnsi="Times New Roman Bold" w:eastAsiaTheme="majorEastAsia" w:cstheme="majorBidi"/>
      <w:b/>
      <w:bCs/>
      <w:sz w:val="24"/>
      <w:szCs w:val="28"/>
    </w:rPr>
  </w:style>
  <w:style w:type="paragraph" w:styleId="FootnoteText">
    <w:name w:val="footnote text"/>
    <w:aliases w:val="ALTS FOOTNOTE,Footnote Text Cha,Footnote Text Char Char,Footnote Text Char Char Char Char,Footnote Text Char1,Footnote Text Char1 Char Char1,Footnote Text Char1 Char Char1 Char Char Char,Footnote Text Char2 Char Char Char Char1,fn,fn C,ft"/>
    <w:basedOn w:val="Normal"/>
    <w:link w:val="FootnoteTextChar"/>
    <w:uiPriority w:val="99"/>
    <w:unhideWhenUsed/>
    <w:rsid w:val="0009490A"/>
    <w:pPr>
      <w:spacing w:after="0" w:line="240" w:lineRule="auto"/>
    </w:pPr>
    <w:rPr>
      <w:rFonts w:asciiTheme="minorHAnsi" w:hAnsiTheme="minorHAnsi"/>
      <w:sz w:val="20"/>
      <w:szCs w:val="20"/>
    </w:rPr>
  </w:style>
  <w:style w:type="character" w:customStyle="1" w:styleId="FootnoteTextChar">
    <w:name w:val="Footnote Text Char"/>
    <w:aliases w:val="ALTS FOOTNOTE Char,Footnote Text Cha Char,Footnote Text Char Char Char,Footnote Text Char Char Char Char Char,Footnote Text Char1 Char,Footnote Text Char1 Char Char1 Char,Footnote Text Char1 Char Char1 Char Char Char Char,fn Char"/>
    <w:basedOn w:val="DefaultParagraphFont"/>
    <w:link w:val="FootnoteText"/>
    <w:uiPriority w:val="99"/>
    <w:rsid w:val="0009490A"/>
    <w:rPr>
      <w:sz w:val="20"/>
      <w:szCs w:val="20"/>
    </w:rPr>
  </w:style>
  <w:style w:type="paragraph" w:styleId="ListParagraph">
    <w:name w:val="List Paragraph"/>
    <w:basedOn w:val="Normal"/>
    <w:uiPriority w:val="34"/>
    <w:qFormat/>
    <w:rsid w:val="0009490A"/>
    <w:pPr>
      <w:ind w:left="720"/>
      <w:contextualSpacing/>
    </w:pPr>
    <w:rPr>
      <w:rFonts w:asciiTheme="minorHAnsi" w:hAnsiTheme="minorHAnsi"/>
      <w:sz w:val="22"/>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09490A"/>
    <w:rPr>
      <w:vertAlign w:val="superscript"/>
    </w:rPr>
  </w:style>
  <w:style w:type="paragraph" w:styleId="CommentText">
    <w:name w:val="annotation text"/>
    <w:basedOn w:val="Normal"/>
    <w:link w:val="CommentTextChar"/>
    <w:uiPriority w:val="99"/>
    <w:unhideWhenUsed/>
    <w:rsid w:val="0009490A"/>
    <w:pPr>
      <w:spacing w:after="0" w:line="240" w:lineRule="auto"/>
    </w:pPr>
    <w:rPr>
      <w:rFonts w:eastAsia="Times New Roman" w:cs="Times New Roman"/>
      <w:szCs w:val="24"/>
    </w:rPr>
  </w:style>
  <w:style w:type="character" w:customStyle="1" w:styleId="CommentTextChar">
    <w:name w:val="Comment Text Char"/>
    <w:basedOn w:val="DefaultParagraphFont"/>
    <w:link w:val="CommentText"/>
    <w:uiPriority w:val="99"/>
    <w:rsid w:val="0009490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490A"/>
    <w:rPr>
      <w:sz w:val="16"/>
      <w:szCs w:val="16"/>
    </w:rPr>
  </w:style>
  <w:style w:type="paragraph" w:styleId="BalloonText">
    <w:name w:val="Balloon Text"/>
    <w:basedOn w:val="Normal"/>
    <w:link w:val="BalloonTextChar"/>
    <w:uiPriority w:val="99"/>
    <w:semiHidden/>
    <w:unhideWhenUsed/>
    <w:rsid w:val="00094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90A"/>
    <w:rPr>
      <w:rFonts w:ascii="Segoe UI" w:hAnsi="Segoe UI" w:cs="Segoe UI"/>
      <w:sz w:val="18"/>
      <w:szCs w:val="18"/>
    </w:rPr>
  </w:style>
  <w:style w:type="character" w:customStyle="1" w:styleId="Heading2Char">
    <w:name w:val="Heading 2 Char"/>
    <w:basedOn w:val="DefaultParagraphFont"/>
    <w:link w:val="Heading2"/>
    <w:uiPriority w:val="9"/>
    <w:rsid w:val="0069140C"/>
    <w:rPr>
      <w:rFonts w:ascii="Times New Roman Bold" w:hAnsi="Times New Roman Bold" w:eastAsiaTheme="majorEastAsia" w:cstheme="majorBidi"/>
      <w:b/>
      <w:sz w:val="24"/>
      <w:szCs w:val="26"/>
    </w:rPr>
  </w:style>
  <w:style w:type="paragraph" w:styleId="CommentSubject">
    <w:name w:val="annotation subject"/>
    <w:basedOn w:val="CommentText"/>
    <w:next w:val="CommentText"/>
    <w:link w:val="CommentSubjectChar"/>
    <w:uiPriority w:val="99"/>
    <w:semiHidden/>
    <w:unhideWhenUsed/>
    <w:rsid w:val="002A78D5"/>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2A78D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69140C"/>
    <w:rPr>
      <w:rFonts w:ascii="Times New Roman Bold" w:hAnsi="Times New Roman Bold" w:eastAsiaTheme="majorEastAsia" w:cstheme="majorBidi"/>
      <w:b/>
      <w:sz w:val="24"/>
      <w:szCs w:val="24"/>
    </w:rPr>
  </w:style>
  <w:style w:type="paragraph" w:styleId="Header">
    <w:name w:val="header"/>
    <w:basedOn w:val="Normal"/>
    <w:link w:val="HeaderChar"/>
    <w:uiPriority w:val="99"/>
    <w:unhideWhenUsed/>
    <w:rsid w:val="00DD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70"/>
    <w:rPr>
      <w:rFonts w:ascii="Times New Roman" w:hAnsi="Times New Roman"/>
      <w:sz w:val="24"/>
    </w:rPr>
  </w:style>
  <w:style w:type="paragraph" w:styleId="Footer">
    <w:name w:val="footer"/>
    <w:basedOn w:val="Normal"/>
    <w:link w:val="FooterChar"/>
    <w:uiPriority w:val="99"/>
    <w:unhideWhenUsed/>
    <w:rsid w:val="00DD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70"/>
    <w:rPr>
      <w:rFonts w:ascii="Times New Roman" w:hAnsi="Times New Roman"/>
      <w:sz w:val="24"/>
    </w:rPr>
  </w:style>
  <w:style w:type="paragraph" w:styleId="HTMLPreformatted">
    <w:name w:val="HTML Preformatted"/>
    <w:basedOn w:val="Normal"/>
    <w:link w:val="HTMLPreformattedChar"/>
    <w:rsid w:val="007A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A45BB"/>
    <w:rPr>
      <w:rFonts w:ascii="Courier New" w:eastAsia="Courier New" w:hAnsi="Courier New" w:cs="Courier New"/>
      <w:sz w:val="20"/>
      <w:szCs w:val="20"/>
    </w:r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E22556"/>
  </w:style>
  <w:style w:type="table" w:styleId="TableGrid">
    <w:name w:val="Table Grid"/>
    <w:basedOn w:val="TableNormal"/>
    <w:uiPriority w:val="59"/>
    <w:rsid w:val="008524A8"/>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0226"/>
    <w:rPr>
      <w:color w:val="0000FF"/>
      <w:u w:val="single"/>
    </w:rPr>
  </w:style>
  <w:style w:type="paragraph" w:styleId="BodyText">
    <w:name w:val="Body Text"/>
    <w:basedOn w:val="Normal"/>
    <w:link w:val="BodyTextChar"/>
    <w:rsid w:val="00AB7B0C"/>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AB7B0C"/>
    <w:rPr>
      <w:rFonts w:ascii="Times New Roman" w:eastAsia="Times New Roman" w:hAnsi="Times New Roman" w:cs="Times New Roman"/>
      <w:sz w:val="24"/>
      <w:szCs w:val="20"/>
    </w:rPr>
  </w:style>
  <w:style w:type="paragraph" w:styleId="EndnoteText">
    <w:name w:val="endnote text"/>
    <w:basedOn w:val="Normal"/>
    <w:link w:val="EndnoteTextChar"/>
    <w:semiHidden/>
    <w:rsid w:val="00AB7B0C"/>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AB7B0C"/>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767C70"/>
    <w:pPr>
      <w:tabs>
        <w:tab w:val="decimal" w:leader="dot" w:pos="9360"/>
      </w:tabs>
      <w:spacing w:after="240" w:line="240" w:lineRule="auto"/>
      <w:ind w:left="720" w:hanging="720"/>
    </w:pPr>
  </w:style>
  <w:style w:type="paragraph" w:styleId="TOC2">
    <w:name w:val="toc 2"/>
    <w:basedOn w:val="Normal"/>
    <w:next w:val="Normal"/>
    <w:autoRedefine/>
    <w:uiPriority w:val="39"/>
    <w:unhideWhenUsed/>
    <w:rsid w:val="00026FAB"/>
    <w:pPr>
      <w:tabs>
        <w:tab w:val="decimal" w:leader="dot" w:pos="9360"/>
      </w:tabs>
      <w:spacing w:after="240" w:line="240" w:lineRule="auto"/>
      <w:ind w:left="1440" w:hanging="720"/>
    </w:pPr>
    <w:rPr>
      <w:rFonts w:eastAsiaTheme="majorEastAsia" w:cstheme="majorBidi"/>
      <w:noProof/>
    </w:rPr>
  </w:style>
  <w:style w:type="paragraph" w:styleId="TOC3">
    <w:name w:val="toc 3"/>
    <w:basedOn w:val="Normal"/>
    <w:next w:val="Normal"/>
    <w:autoRedefine/>
    <w:uiPriority w:val="39"/>
    <w:unhideWhenUsed/>
    <w:rsid w:val="00026FAB"/>
    <w:pPr>
      <w:tabs>
        <w:tab w:val="decimal" w:leader="dot" w:pos="9360"/>
      </w:tabs>
      <w:spacing w:after="240" w:line="240" w:lineRule="auto"/>
    </w:pPr>
    <w:rPr>
      <w:rFonts w:eastAsiaTheme="majorEastAsia" w:cstheme="majorBidi"/>
      <w:noProof/>
    </w:rPr>
  </w:style>
  <w:style w:type="paragraph" w:styleId="NoSpacing">
    <w:name w:val="No Spacing"/>
    <w:uiPriority w:val="1"/>
    <w:qFormat/>
    <w:rsid w:val="00026FAB"/>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6D3D1C"/>
    <w:rPr>
      <w:color w:val="605E5C"/>
      <w:shd w:val="clear" w:color="auto" w:fill="E1DFDD"/>
    </w:rPr>
  </w:style>
  <w:style w:type="character" w:styleId="FollowedHyperlink">
    <w:name w:val="FollowedHyperlink"/>
    <w:basedOn w:val="DefaultParagraphFont"/>
    <w:uiPriority w:val="99"/>
    <w:semiHidden/>
    <w:unhideWhenUsed/>
    <w:rsid w:val="00186E08"/>
    <w:rPr>
      <w:color w:val="954F72" w:themeColor="followedHyperlink"/>
      <w:u w:val="single"/>
    </w:rPr>
  </w:style>
  <w:style w:type="character" w:customStyle="1" w:styleId="UnresolvedMention2">
    <w:name w:val="Unresolved Mention2"/>
    <w:basedOn w:val="DefaultParagraphFont"/>
    <w:uiPriority w:val="99"/>
    <w:rsid w:val="00C3073E"/>
    <w:rPr>
      <w:color w:val="605E5C"/>
      <w:shd w:val="clear" w:color="auto" w:fill="E1DFDD"/>
    </w:rPr>
  </w:style>
  <w:style w:type="paragraph" w:styleId="NormalWeb">
    <w:name w:val="Normal (Web)"/>
    <w:basedOn w:val="Normal"/>
    <w:uiPriority w:val="99"/>
    <w:semiHidden/>
    <w:unhideWhenUsed/>
    <w:rsid w:val="00A404B3"/>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AD5E6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hiannon.Howard@ohioAGO.gov" TargetMode="External" /><Relationship Id="rId11" Type="http://schemas.openxmlformats.org/officeDocument/2006/relationships/hyperlink" Target="mailto:Jay.agranoff@puco.ohio.gov" TargetMode="External" /><Relationship Id="rId12" Type="http://schemas.openxmlformats.org/officeDocument/2006/relationships/hyperlink" Target="mailto:clint.white@puco.ohio.gov" TargetMode="External" /><Relationship Id="rId13" Type="http://schemas.openxmlformats.org/officeDocument/2006/relationships/hyperlink" Target="mailto:Christopher.miller@icemiller.com" TargetMode="External" /><Relationship Id="rId14" Type="http://schemas.openxmlformats.org/officeDocument/2006/relationships/hyperlink" Target="mailto:Nicole.woods@icemiller.com" TargetMode="External" /><Relationship Id="rId15" Type="http://schemas.openxmlformats.org/officeDocument/2006/relationships/hyperlink" Target="mailto:lawdirectormarion@gmail.com" TargetMode="Externa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ettings" Target="setting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connor.semple@occ.ohio.gov" TargetMode="External" /><Relationship Id="rId8" Type="http://schemas.openxmlformats.org/officeDocument/2006/relationships/hyperlink" Target="mailto:donald.kral@occ.ohio.gov" TargetMode="External" /><Relationship Id="rId9" Type="http://schemas.openxmlformats.org/officeDocument/2006/relationships/hyperlink" Target="mailto:Robert.eubanks@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DF7C-52E6-4EFB-A3A6-8CD3756A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2023-08-28T19:53:46Z</dcterms:created>
  <dcterms:modified xsi:type="dcterms:W3CDTF">2023-08-28T19:53:46Z</dcterms:modified>
</cp:coreProperties>
</file>