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CB" w:rsidRPr="005D7ACB" w:rsidRDefault="005D7ACB" w:rsidP="004302B8">
      <w:pPr>
        <w:spacing w:line="240" w:lineRule="auto"/>
        <w:ind w:firstLine="0"/>
        <w:jc w:val="center"/>
        <w:rPr>
          <w:rFonts w:eastAsia="Times New Roman" w:cs="Arial"/>
          <w:b/>
          <w:smallCaps/>
          <w:sz w:val="28"/>
        </w:rPr>
      </w:pPr>
      <w:bookmarkStart w:id="0" w:name="_GoBack"/>
      <w:bookmarkEnd w:id="0"/>
      <w:r w:rsidRPr="005D7ACB">
        <w:rPr>
          <w:rFonts w:eastAsia="Times New Roman" w:cs="Arial"/>
          <w:b/>
          <w:smallCaps/>
          <w:sz w:val="28"/>
        </w:rPr>
        <w:t>Before</w:t>
      </w:r>
    </w:p>
    <w:p w:rsidR="005D7ACB" w:rsidRPr="005D7ACB" w:rsidRDefault="005D7ACB" w:rsidP="004302B8">
      <w:pPr>
        <w:spacing w:line="240" w:lineRule="auto"/>
        <w:ind w:firstLine="0"/>
        <w:jc w:val="center"/>
        <w:rPr>
          <w:rFonts w:eastAsia="Times New Roman" w:cs="Arial"/>
          <w:smallCaps/>
          <w:sz w:val="28"/>
        </w:rPr>
      </w:pPr>
      <w:r w:rsidRPr="005D7ACB">
        <w:rPr>
          <w:rFonts w:eastAsia="Times New Roman" w:cs="Arial"/>
          <w:b/>
          <w:smallCaps/>
          <w:sz w:val="28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5D7ACB">
            <w:rPr>
              <w:rFonts w:eastAsia="Times New Roman" w:cs="Arial"/>
              <w:b/>
              <w:smallCaps/>
              <w:sz w:val="28"/>
            </w:rPr>
            <w:t>Ohio</w:t>
          </w:r>
        </w:smartTag>
      </w:smartTag>
    </w:p>
    <w:p w:rsidR="005D7ACB" w:rsidRPr="005D7ACB" w:rsidRDefault="005D7ACB" w:rsidP="004302B8">
      <w:pPr>
        <w:spacing w:line="240" w:lineRule="auto"/>
        <w:ind w:firstLine="0"/>
        <w:rPr>
          <w:rFonts w:eastAsia="Times New Roman" w:cs="Arial"/>
        </w:rPr>
      </w:pPr>
    </w:p>
    <w:p w:rsidR="005D7ACB" w:rsidRPr="005D7ACB" w:rsidRDefault="005D7ACB" w:rsidP="004302B8">
      <w:pPr>
        <w:tabs>
          <w:tab w:val="left" w:pos="4050"/>
          <w:tab w:val="left" w:pos="4680"/>
        </w:tabs>
        <w:spacing w:line="240" w:lineRule="auto"/>
        <w:ind w:firstLine="0"/>
        <w:rPr>
          <w:rFonts w:eastAsia="Times New Roman" w:cs="Arial"/>
        </w:rPr>
      </w:pPr>
      <w:r w:rsidRPr="005D7ACB">
        <w:rPr>
          <w:rFonts w:eastAsia="Times New Roman" w:cs="Arial"/>
        </w:rPr>
        <w:t>In the Matter of the Application of</w:t>
      </w:r>
      <w:r w:rsidRPr="005D7ACB">
        <w:rPr>
          <w:rFonts w:eastAsia="Times New Roman" w:cs="Arial"/>
        </w:rPr>
        <w:tab/>
        <w:t>)</w:t>
      </w:r>
    </w:p>
    <w:p w:rsidR="005D7ACB" w:rsidRPr="005D7ACB" w:rsidRDefault="005D7ACB" w:rsidP="004302B8">
      <w:pPr>
        <w:tabs>
          <w:tab w:val="left" w:pos="4050"/>
          <w:tab w:val="left" w:pos="4680"/>
        </w:tabs>
        <w:spacing w:line="240" w:lineRule="auto"/>
        <w:ind w:firstLine="0"/>
        <w:rPr>
          <w:rFonts w:eastAsia="Times New Roman" w:cs="Arial"/>
        </w:rPr>
      </w:pPr>
      <w:r w:rsidRPr="005D7ACB">
        <w:rPr>
          <w:rFonts w:eastAsia="Times New Roman" w:cs="Arial"/>
        </w:rPr>
        <w:t>Ohio Power Company to Establish</w:t>
      </w:r>
      <w:r w:rsidRPr="005D7ACB">
        <w:rPr>
          <w:rFonts w:eastAsia="Times New Roman" w:cs="Arial"/>
        </w:rPr>
        <w:tab/>
        <w:t>)</w:t>
      </w:r>
      <w:r w:rsidRPr="005D7ACB">
        <w:rPr>
          <w:rFonts w:eastAsia="Times New Roman" w:cs="Arial"/>
        </w:rPr>
        <w:tab/>
        <w:t>Case No. 12-3255-EL-RDR</w:t>
      </w:r>
    </w:p>
    <w:p w:rsidR="005D7ACB" w:rsidRPr="005D7ACB" w:rsidRDefault="005D7ACB" w:rsidP="004302B8">
      <w:pPr>
        <w:tabs>
          <w:tab w:val="left" w:pos="4050"/>
          <w:tab w:val="left" w:pos="4680"/>
        </w:tabs>
        <w:spacing w:line="240" w:lineRule="auto"/>
        <w:ind w:firstLine="0"/>
        <w:rPr>
          <w:rFonts w:eastAsia="Times New Roman" w:cs="Arial"/>
        </w:rPr>
      </w:pPr>
      <w:r w:rsidRPr="005D7ACB">
        <w:rPr>
          <w:rFonts w:eastAsia="Times New Roman" w:cs="Arial"/>
        </w:rPr>
        <w:t xml:space="preserve">Initial Storm Damage Recovery </w:t>
      </w:r>
      <w:r w:rsidRPr="005D7ACB">
        <w:rPr>
          <w:rFonts w:eastAsia="Times New Roman" w:cs="Arial"/>
        </w:rPr>
        <w:tab/>
        <w:t>)</w:t>
      </w:r>
    </w:p>
    <w:p w:rsidR="005D7ACB" w:rsidRPr="004302B8" w:rsidRDefault="005D7ACB" w:rsidP="004302B8">
      <w:pPr>
        <w:tabs>
          <w:tab w:val="left" w:pos="4050"/>
          <w:tab w:val="left" w:pos="4680"/>
        </w:tabs>
        <w:spacing w:line="240" w:lineRule="auto"/>
        <w:ind w:firstLine="0"/>
        <w:rPr>
          <w:rFonts w:eastAsia="Times New Roman" w:cs="Arial"/>
        </w:rPr>
      </w:pPr>
      <w:r w:rsidRPr="005D7ACB">
        <w:rPr>
          <w:rFonts w:eastAsia="Times New Roman" w:cs="Arial"/>
        </w:rPr>
        <w:t>Rider Rates</w:t>
      </w:r>
      <w:r w:rsidRPr="005D7ACB">
        <w:rPr>
          <w:rFonts w:eastAsia="Times New Roman" w:cs="Arial"/>
        </w:rPr>
        <w:tab/>
        <w:t>)</w:t>
      </w:r>
    </w:p>
    <w:p w:rsidR="005D7ACB" w:rsidRPr="005D7ACB" w:rsidRDefault="005D7ACB" w:rsidP="004302B8">
      <w:pPr>
        <w:tabs>
          <w:tab w:val="left" w:pos="4050"/>
          <w:tab w:val="left" w:pos="4680"/>
        </w:tabs>
        <w:spacing w:line="240" w:lineRule="auto"/>
        <w:ind w:firstLine="0"/>
        <w:rPr>
          <w:rFonts w:eastAsia="Times New Roman" w:cs="Arial"/>
        </w:rPr>
      </w:pPr>
    </w:p>
    <w:p w:rsidR="005D7ACB" w:rsidRPr="005D7ACB" w:rsidRDefault="005D7ACB" w:rsidP="004302B8">
      <w:pPr>
        <w:ind w:firstLine="0"/>
        <w:rPr>
          <w:rFonts w:cs="Arial"/>
          <w:b/>
        </w:rPr>
      </w:pPr>
      <w:r w:rsidRPr="005D7ACB">
        <w:rPr>
          <w:rFonts w:cs="Arial"/>
          <w:b/>
        </w:rPr>
        <w:t>______________________________________________________________________</w:t>
      </w:r>
    </w:p>
    <w:p w:rsidR="005D7ACB" w:rsidRPr="005D7ACB" w:rsidRDefault="005D7ACB" w:rsidP="004302B8">
      <w:pPr>
        <w:spacing w:line="240" w:lineRule="auto"/>
        <w:ind w:firstLine="0"/>
        <w:jc w:val="center"/>
        <w:rPr>
          <w:rFonts w:cs="Arial"/>
          <w:b/>
        </w:rPr>
      </w:pPr>
      <w:r w:rsidRPr="004302B8">
        <w:rPr>
          <w:rFonts w:cs="Arial"/>
          <w:b/>
        </w:rPr>
        <w:t>REPLY</w:t>
      </w:r>
      <w:r w:rsidRPr="005D7ACB">
        <w:rPr>
          <w:rFonts w:cs="Arial"/>
          <w:b/>
        </w:rPr>
        <w:t xml:space="preserve"> BRIEF OF INDUSTRIAL ENERGY USERS-OHIO</w:t>
      </w:r>
    </w:p>
    <w:p w:rsidR="005D7ACB" w:rsidRPr="005D7ACB" w:rsidRDefault="005D7ACB" w:rsidP="004302B8">
      <w:pPr>
        <w:ind w:firstLine="0"/>
        <w:rPr>
          <w:rFonts w:cs="Arial"/>
          <w:b/>
        </w:rPr>
      </w:pPr>
      <w:r w:rsidRPr="005D7ACB">
        <w:rPr>
          <w:rFonts w:cs="Arial"/>
          <w:b/>
        </w:rPr>
        <w:t>______________________________________________________________________</w:t>
      </w:r>
    </w:p>
    <w:p w:rsidR="005D7ACB" w:rsidRPr="005D7ACB" w:rsidRDefault="005D7ACB" w:rsidP="004302B8">
      <w:pPr>
        <w:ind w:firstLine="0"/>
        <w:rPr>
          <w:rFonts w:cs="Arial"/>
          <w:b/>
        </w:rPr>
      </w:pPr>
    </w:p>
    <w:p w:rsidR="005D7ACB" w:rsidRPr="005D7ACB" w:rsidRDefault="005D7ACB" w:rsidP="004302B8">
      <w:pPr>
        <w:ind w:firstLine="0"/>
        <w:rPr>
          <w:rFonts w:cs="Arial"/>
          <w:b/>
        </w:rPr>
      </w:pPr>
    </w:p>
    <w:p w:rsidR="005D7ACB" w:rsidRPr="005D7ACB" w:rsidRDefault="005D7ACB" w:rsidP="004302B8">
      <w:pPr>
        <w:ind w:firstLine="0"/>
        <w:rPr>
          <w:rFonts w:cs="Arial"/>
          <w:b/>
        </w:rPr>
      </w:pPr>
    </w:p>
    <w:p w:rsidR="005D7ACB" w:rsidRPr="005D7ACB" w:rsidRDefault="005D7ACB" w:rsidP="004302B8">
      <w:pPr>
        <w:ind w:firstLine="0"/>
        <w:rPr>
          <w:rFonts w:cs="Arial"/>
          <w:b/>
        </w:rPr>
      </w:pPr>
    </w:p>
    <w:p w:rsidR="005D7ACB" w:rsidRPr="004302B8" w:rsidRDefault="005D7ACB" w:rsidP="004302B8">
      <w:pPr>
        <w:ind w:firstLine="0"/>
        <w:rPr>
          <w:rFonts w:cs="Arial"/>
          <w:b/>
        </w:rPr>
      </w:pPr>
    </w:p>
    <w:p w:rsidR="005D7ACB" w:rsidRPr="004302B8" w:rsidRDefault="005D7ACB" w:rsidP="004302B8">
      <w:pPr>
        <w:ind w:firstLine="0"/>
        <w:rPr>
          <w:rFonts w:cs="Arial"/>
          <w:b/>
        </w:rPr>
      </w:pPr>
    </w:p>
    <w:p w:rsidR="005D7ACB" w:rsidRPr="005D7ACB" w:rsidRDefault="005D7ACB" w:rsidP="004302B8">
      <w:pPr>
        <w:ind w:firstLine="0"/>
        <w:rPr>
          <w:rFonts w:cs="Arial"/>
          <w:b/>
        </w:rPr>
      </w:pPr>
    </w:p>
    <w:p w:rsidR="005D7ACB" w:rsidRPr="005D7ACB" w:rsidRDefault="005D7ACB" w:rsidP="004302B8">
      <w:pPr>
        <w:ind w:firstLine="0"/>
        <w:rPr>
          <w:rFonts w:cs="Arial"/>
          <w:b/>
        </w:rPr>
      </w:pPr>
    </w:p>
    <w:p w:rsidR="005D7ACB" w:rsidRPr="005D7ACB" w:rsidRDefault="005D7ACB" w:rsidP="004302B8">
      <w:pPr>
        <w:tabs>
          <w:tab w:val="left" w:pos="4320"/>
          <w:tab w:val="right" w:pos="8640"/>
        </w:tabs>
        <w:spacing w:line="240" w:lineRule="auto"/>
        <w:ind w:left="4320" w:firstLine="0"/>
        <w:rPr>
          <w:rFonts w:eastAsia="Times New Roman" w:cs="Arial"/>
        </w:rPr>
      </w:pPr>
      <w:r w:rsidRPr="005D7ACB">
        <w:rPr>
          <w:rFonts w:eastAsia="Times New Roman" w:cs="Arial"/>
        </w:rPr>
        <w:t>Samuel C. Randazzo (Counsel of Record)</w:t>
      </w:r>
    </w:p>
    <w:p w:rsidR="005D7ACB" w:rsidRPr="005D7ACB" w:rsidRDefault="005D7ACB" w:rsidP="004302B8">
      <w:pPr>
        <w:widowControl w:val="0"/>
        <w:tabs>
          <w:tab w:val="left" w:pos="4320"/>
        </w:tabs>
        <w:spacing w:line="240" w:lineRule="auto"/>
        <w:ind w:left="4320" w:firstLine="0"/>
        <w:rPr>
          <w:rFonts w:eastAsia="Times New Roman" w:cs="Arial"/>
          <w:bCs/>
          <w:szCs w:val="20"/>
        </w:rPr>
      </w:pPr>
      <w:r w:rsidRPr="005D7ACB">
        <w:rPr>
          <w:rFonts w:eastAsia="Times New Roman" w:cs="Arial"/>
          <w:bCs/>
          <w:szCs w:val="20"/>
        </w:rPr>
        <w:t>Frank P. Darr</w:t>
      </w:r>
    </w:p>
    <w:p w:rsidR="005D7ACB" w:rsidRPr="005D7ACB" w:rsidRDefault="005D7ACB" w:rsidP="004302B8">
      <w:pPr>
        <w:widowControl w:val="0"/>
        <w:tabs>
          <w:tab w:val="left" w:pos="4320"/>
        </w:tabs>
        <w:spacing w:line="240" w:lineRule="auto"/>
        <w:ind w:left="4320" w:firstLine="0"/>
        <w:rPr>
          <w:rFonts w:eastAsia="Times New Roman" w:cs="Arial"/>
          <w:bCs/>
          <w:szCs w:val="20"/>
        </w:rPr>
      </w:pPr>
      <w:r w:rsidRPr="005D7ACB">
        <w:rPr>
          <w:rFonts w:eastAsia="Times New Roman" w:cs="Arial"/>
          <w:bCs/>
          <w:szCs w:val="20"/>
        </w:rPr>
        <w:t>Joseph E. Oliker</w:t>
      </w:r>
    </w:p>
    <w:p w:rsidR="005D7ACB" w:rsidRPr="005D7ACB" w:rsidRDefault="005D7ACB" w:rsidP="004302B8">
      <w:pPr>
        <w:widowControl w:val="0"/>
        <w:tabs>
          <w:tab w:val="left" w:pos="4320"/>
        </w:tabs>
        <w:spacing w:line="240" w:lineRule="auto"/>
        <w:ind w:left="4320" w:firstLine="0"/>
        <w:rPr>
          <w:rFonts w:eastAsia="Times New Roman" w:cs="Arial"/>
          <w:bCs/>
          <w:szCs w:val="20"/>
        </w:rPr>
      </w:pPr>
      <w:r w:rsidRPr="005D7ACB">
        <w:rPr>
          <w:rFonts w:eastAsia="Times New Roman" w:cs="Arial"/>
          <w:bCs/>
          <w:szCs w:val="20"/>
        </w:rPr>
        <w:t>Matthew R. Pritchard</w:t>
      </w:r>
    </w:p>
    <w:p w:rsidR="005D7ACB" w:rsidRPr="005D7ACB" w:rsidRDefault="005D7ACB" w:rsidP="004302B8">
      <w:pPr>
        <w:widowControl w:val="0"/>
        <w:tabs>
          <w:tab w:val="left" w:pos="4320"/>
        </w:tabs>
        <w:spacing w:line="240" w:lineRule="auto"/>
        <w:ind w:left="4320" w:firstLine="0"/>
        <w:rPr>
          <w:rFonts w:eastAsia="Times New Roman" w:cs="Arial"/>
          <w:bCs/>
          <w:smallCaps/>
        </w:rPr>
      </w:pPr>
      <w:r w:rsidRPr="005D7ACB">
        <w:rPr>
          <w:rFonts w:eastAsia="Times New Roman" w:cs="Arial"/>
          <w:bCs/>
          <w:smallCaps/>
        </w:rPr>
        <w:t>McNees Wallace &amp; Nurick LLC</w:t>
      </w:r>
    </w:p>
    <w:p w:rsidR="005D7ACB" w:rsidRPr="005D7ACB" w:rsidRDefault="005D7ACB" w:rsidP="004302B8">
      <w:pPr>
        <w:widowControl w:val="0"/>
        <w:tabs>
          <w:tab w:val="left" w:pos="4320"/>
        </w:tabs>
        <w:spacing w:line="240" w:lineRule="auto"/>
        <w:ind w:left="4320" w:firstLine="0"/>
        <w:rPr>
          <w:rFonts w:eastAsia="Times New Roman" w:cs="Arial"/>
          <w:bCs/>
          <w:szCs w:val="20"/>
        </w:rPr>
      </w:pPr>
      <w:r w:rsidRPr="005D7ACB">
        <w:rPr>
          <w:rFonts w:eastAsia="Times New Roman" w:cs="Arial"/>
          <w:bCs/>
          <w:szCs w:val="20"/>
        </w:rPr>
        <w:t>21 East State Street, 17</w:t>
      </w:r>
      <w:r w:rsidRPr="005D7ACB">
        <w:rPr>
          <w:rFonts w:eastAsia="Times New Roman" w:cs="Arial"/>
          <w:bCs/>
          <w:szCs w:val="20"/>
          <w:vertAlign w:val="superscript"/>
        </w:rPr>
        <w:t>TH</w:t>
      </w:r>
      <w:r w:rsidRPr="005D7ACB">
        <w:rPr>
          <w:rFonts w:eastAsia="Times New Roman" w:cs="Arial"/>
          <w:bCs/>
          <w:szCs w:val="20"/>
        </w:rPr>
        <w:t xml:space="preserve"> Floor</w:t>
      </w:r>
    </w:p>
    <w:p w:rsidR="005D7ACB" w:rsidRPr="005D7ACB" w:rsidRDefault="005D7ACB" w:rsidP="004302B8">
      <w:pPr>
        <w:tabs>
          <w:tab w:val="left" w:pos="4320"/>
        </w:tabs>
        <w:spacing w:line="240" w:lineRule="auto"/>
        <w:ind w:left="4320" w:firstLine="0"/>
        <w:rPr>
          <w:rFonts w:eastAsia="Times New Roman" w:cs="Arial"/>
        </w:rPr>
      </w:pPr>
      <w:r w:rsidRPr="005D7ACB">
        <w:rPr>
          <w:rFonts w:eastAsia="Times New Roman" w:cs="Arial"/>
        </w:rPr>
        <w:t>Columbus, OH  43215</w:t>
      </w:r>
    </w:p>
    <w:p w:rsidR="005D7ACB" w:rsidRPr="005D7ACB" w:rsidRDefault="005D7ACB" w:rsidP="004302B8">
      <w:pPr>
        <w:tabs>
          <w:tab w:val="left" w:pos="4320"/>
        </w:tabs>
        <w:spacing w:line="240" w:lineRule="auto"/>
        <w:ind w:left="4320" w:firstLine="0"/>
        <w:rPr>
          <w:rFonts w:eastAsia="Times New Roman" w:cs="Arial"/>
        </w:rPr>
      </w:pPr>
      <w:r w:rsidRPr="005D7ACB">
        <w:rPr>
          <w:rFonts w:eastAsia="Times New Roman" w:cs="Arial"/>
        </w:rPr>
        <w:t>Telephone:  (614) 469-8000</w:t>
      </w:r>
    </w:p>
    <w:p w:rsidR="005D7ACB" w:rsidRPr="005D7ACB" w:rsidRDefault="005D7ACB" w:rsidP="004302B8">
      <w:pPr>
        <w:tabs>
          <w:tab w:val="left" w:pos="4320"/>
        </w:tabs>
        <w:spacing w:line="240" w:lineRule="auto"/>
        <w:ind w:left="4320" w:firstLine="0"/>
        <w:rPr>
          <w:rFonts w:eastAsia="Times New Roman" w:cs="Arial"/>
        </w:rPr>
      </w:pPr>
      <w:r w:rsidRPr="005D7ACB">
        <w:rPr>
          <w:rFonts w:eastAsia="Times New Roman" w:cs="Arial"/>
        </w:rPr>
        <w:t>Telecopier:  (614) 469-4653</w:t>
      </w:r>
    </w:p>
    <w:p w:rsidR="005D7ACB" w:rsidRPr="005D7ACB" w:rsidRDefault="005D7ACB" w:rsidP="004302B8">
      <w:pPr>
        <w:spacing w:line="240" w:lineRule="auto"/>
        <w:ind w:left="4320" w:firstLine="0"/>
        <w:rPr>
          <w:rFonts w:eastAsia="Times New Roman" w:cs="Arial"/>
        </w:rPr>
      </w:pPr>
      <w:r w:rsidRPr="005D7ACB">
        <w:rPr>
          <w:rFonts w:eastAsia="Times New Roman" w:cs="Arial"/>
        </w:rPr>
        <w:t>sam@mwncmh.com</w:t>
      </w:r>
    </w:p>
    <w:p w:rsidR="005D7ACB" w:rsidRPr="005D7ACB" w:rsidRDefault="005D7ACB" w:rsidP="004302B8">
      <w:pPr>
        <w:spacing w:line="240" w:lineRule="auto"/>
        <w:ind w:left="4320" w:firstLine="0"/>
        <w:rPr>
          <w:rFonts w:eastAsia="Times New Roman" w:cs="Arial"/>
        </w:rPr>
      </w:pPr>
      <w:r w:rsidRPr="005D7ACB">
        <w:rPr>
          <w:rFonts w:eastAsia="Times New Roman" w:cs="Arial"/>
        </w:rPr>
        <w:t>fdarr@mwncmh.com</w:t>
      </w:r>
    </w:p>
    <w:p w:rsidR="005D7ACB" w:rsidRPr="005D7ACB" w:rsidRDefault="005D7ACB" w:rsidP="004302B8">
      <w:pPr>
        <w:spacing w:line="240" w:lineRule="auto"/>
        <w:ind w:left="4320" w:firstLine="0"/>
        <w:rPr>
          <w:rFonts w:eastAsia="Times New Roman" w:cs="Arial"/>
        </w:rPr>
      </w:pPr>
      <w:r w:rsidRPr="005D7ACB">
        <w:rPr>
          <w:rFonts w:eastAsia="Times New Roman" w:cs="Arial"/>
        </w:rPr>
        <w:t>joliker@mwncmh.com</w:t>
      </w:r>
    </w:p>
    <w:p w:rsidR="005D7ACB" w:rsidRPr="005D7ACB" w:rsidRDefault="005D7ACB" w:rsidP="004302B8">
      <w:pPr>
        <w:spacing w:line="240" w:lineRule="auto"/>
        <w:ind w:left="4320" w:firstLine="0"/>
        <w:rPr>
          <w:rFonts w:eastAsia="Times New Roman" w:cs="Arial"/>
        </w:rPr>
      </w:pPr>
      <w:r w:rsidRPr="005D7ACB">
        <w:rPr>
          <w:rFonts w:eastAsia="Times New Roman" w:cs="Arial"/>
        </w:rPr>
        <w:t>mpritchard@mwncmh.com</w:t>
      </w:r>
    </w:p>
    <w:p w:rsidR="005D7ACB" w:rsidRPr="005D7ACB" w:rsidRDefault="005D7ACB" w:rsidP="004302B8">
      <w:pPr>
        <w:spacing w:line="240" w:lineRule="auto"/>
        <w:ind w:left="5040" w:hanging="5040"/>
        <w:rPr>
          <w:rFonts w:eastAsia="Times New Roman" w:cs="Arial"/>
        </w:rPr>
      </w:pPr>
    </w:p>
    <w:p w:rsidR="005D7ACB" w:rsidRPr="005D7ACB" w:rsidRDefault="005D7ACB" w:rsidP="004302B8">
      <w:pPr>
        <w:spacing w:line="240" w:lineRule="auto"/>
        <w:ind w:left="4320" w:hanging="4320"/>
        <w:rPr>
          <w:rFonts w:eastAsia="Times New Roman" w:cs="Arial"/>
          <w:b/>
        </w:rPr>
      </w:pPr>
      <w:r w:rsidRPr="005D7ACB">
        <w:rPr>
          <w:rFonts w:eastAsia="Times New Roman" w:cs="Arial"/>
          <w:b/>
        </w:rPr>
        <w:t xml:space="preserve">March </w:t>
      </w:r>
      <w:r w:rsidRPr="004302B8">
        <w:rPr>
          <w:rFonts w:eastAsia="Times New Roman" w:cs="Arial"/>
          <w:b/>
        </w:rPr>
        <w:t>17</w:t>
      </w:r>
      <w:r w:rsidRPr="005D7ACB">
        <w:rPr>
          <w:rFonts w:eastAsia="Times New Roman" w:cs="Arial"/>
          <w:b/>
        </w:rPr>
        <w:t>, 2014</w:t>
      </w:r>
      <w:r w:rsidRPr="005D7ACB">
        <w:rPr>
          <w:rFonts w:eastAsia="Times New Roman" w:cs="Arial"/>
          <w:b/>
        </w:rPr>
        <w:tab/>
        <w:t>Attorneys for Industrial Energy Users-Ohio</w:t>
      </w:r>
    </w:p>
    <w:p w:rsidR="005D7ACB" w:rsidRPr="005D7ACB" w:rsidRDefault="005D7ACB" w:rsidP="004302B8">
      <w:pPr>
        <w:ind w:firstLine="0"/>
        <w:rPr>
          <w:rFonts w:cs="Arial"/>
          <w:b/>
        </w:rPr>
      </w:pPr>
    </w:p>
    <w:p w:rsidR="005D7ACB" w:rsidRPr="005D7ACB" w:rsidRDefault="005D7ACB" w:rsidP="004302B8">
      <w:pPr>
        <w:ind w:firstLine="0"/>
        <w:rPr>
          <w:rFonts w:cs="Arial"/>
          <w:b/>
        </w:rPr>
        <w:sectPr w:rsidR="005D7ACB" w:rsidRPr="005D7ACB" w:rsidSect="00C040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D7ACB" w:rsidRPr="005D7ACB" w:rsidRDefault="005D7ACB" w:rsidP="004302B8">
      <w:pPr>
        <w:spacing w:line="240" w:lineRule="auto"/>
        <w:ind w:firstLine="0"/>
        <w:jc w:val="center"/>
        <w:rPr>
          <w:rFonts w:eastAsia="Times New Roman" w:cs="Arial"/>
          <w:b/>
          <w:smallCaps/>
          <w:sz w:val="28"/>
        </w:rPr>
      </w:pPr>
      <w:r w:rsidRPr="005D7ACB">
        <w:rPr>
          <w:rFonts w:eastAsia="Times New Roman" w:cs="Arial"/>
          <w:b/>
          <w:smallCaps/>
          <w:sz w:val="28"/>
        </w:rPr>
        <w:lastRenderedPageBreak/>
        <w:t>Before</w:t>
      </w:r>
    </w:p>
    <w:p w:rsidR="005D7ACB" w:rsidRPr="005D7ACB" w:rsidRDefault="005D7ACB" w:rsidP="004302B8">
      <w:pPr>
        <w:spacing w:line="240" w:lineRule="auto"/>
        <w:ind w:firstLine="0"/>
        <w:jc w:val="center"/>
        <w:rPr>
          <w:rFonts w:eastAsia="Times New Roman" w:cs="Arial"/>
          <w:smallCaps/>
          <w:sz w:val="28"/>
        </w:rPr>
      </w:pPr>
      <w:r w:rsidRPr="005D7ACB">
        <w:rPr>
          <w:rFonts w:eastAsia="Times New Roman" w:cs="Arial"/>
          <w:b/>
          <w:smallCaps/>
          <w:sz w:val="28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5D7ACB">
            <w:rPr>
              <w:rFonts w:eastAsia="Times New Roman" w:cs="Arial"/>
              <w:b/>
              <w:smallCaps/>
              <w:sz w:val="28"/>
            </w:rPr>
            <w:t>Ohio</w:t>
          </w:r>
        </w:smartTag>
      </w:smartTag>
    </w:p>
    <w:p w:rsidR="005D7ACB" w:rsidRPr="005D7ACB" w:rsidRDefault="005D7ACB" w:rsidP="004302B8">
      <w:pPr>
        <w:spacing w:line="240" w:lineRule="auto"/>
        <w:ind w:firstLine="0"/>
        <w:rPr>
          <w:rFonts w:eastAsia="Times New Roman" w:cs="Arial"/>
        </w:rPr>
      </w:pPr>
    </w:p>
    <w:p w:rsidR="005D7ACB" w:rsidRPr="005D7ACB" w:rsidRDefault="005D7ACB" w:rsidP="004302B8">
      <w:pPr>
        <w:tabs>
          <w:tab w:val="left" w:pos="4050"/>
          <w:tab w:val="left" w:pos="4680"/>
        </w:tabs>
        <w:spacing w:line="240" w:lineRule="auto"/>
        <w:ind w:firstLine="0"/>
        <w:rPr>
          <w:rFonts w:eastAsia="Times New Roman" w:cs="Arial"/>
        </w:rPr>
      </w:pPr>
      <w:r w:rsidRPr="005D7ACB">
        <w:rPr>
          <w:rFonts w:eastAsia="Times New Roman" w:cs="Arial"/>
        </w:rPr>
        <w:t>In the Matter of the Application of</w:t>
      </w:r>
      <w:r w:rsidRPr="005D7ACB">
        <w:rPr>
          <w:rFonts w:eastAsia="Times New Roman" w:cs="Arial"/>
        </w:rPr>
        <w:tab/>
        <w:t>)</w:t>
      </w:r>
    </w:p>
    <w:p w:rsidR="005D7ACB" w:rsidRPr="005D7ACB" w:rsidRDefault="005D7ACB" w:rsidP="004302B8">
      <w:pPr>
        <w:tabs>
          <w:tab w:val="left" w:pos="4050"/>
          <w:tab w:val="left" w:pos="4680"/>
        </w:tabs>
        <w:spacing w:line="240" w:lineRule="auto"/>
        <w:ind w:firstLine="0"/>
        <w:rPr>
          <w:rFonts w:eastAsia="Times New Roman" w:cs="Arial"/>
        </w:rPr>
      </w:pPr>
      <w:r w:rsidRPr="005D7ACB">
        <w:rPr>
          <w:rFonts w:eastAsia="Times New Roman" w:cs="Arial"/>
        </w:rPr>
        <w:t>Ohio Power Company to Establish</w:t>
      </w:r>
      <w:r w:rsidRPr="005D7ACB">
        <w:rPr>
          <w:rFonts w:eastAsia="Times New Roman" w:cs="Arial"/>
        </w:rPr>
        <w:tab/>
        <w:t>)</w:t>
      </w:r>
      <w:r w:rsidRPr="005D7ACB">
        <w:rPr>
          <w:rFonts w:eastAsia="Times New Roman" w:cs="Arial"/>
        </w:rPr>
        <w:tab/>
        <w:t>Case No. 12-3255-EL-RDR</w:t>
      </w:r>
    </w:p>
    <w:p w:rsidR="005D7ACB" w:rsidRPr="005D7ACB" w:rsidRDefault="005D7ACB" w:rsidP="004302B8">
      <w:pPr>
        <w:tabs>
          <w:tab w:val="left" w:pos="4050"/>
          <w:tab w:val="left" w:pos="4680"/>
        </w:tabs>
        <w:spacing w:line="240" w:lineRule="auto"/>
        <w:ind w:firstLine="0"/>
        <w:rPr>
          <w:rFonts w:eastAsia="Times New Roman" w:cs="Arial"/>
        </w:rPr>
      </w:pPr>
      <w:r w:rsidRPr="005D7ACB">
        <w:rPr>
          <w:rFonts w:eastAsia="Times New Roman" w:cs="Arial"/>
        </w:rPr>
        <w:t xml:space="preserve">Initial Storm Damage Recovery </w:t>
      </w:r>
      <w:r w:rsidRPr="005D7ACB">
        <w:rPr>
          <w:rFonts w:eastAsia="Times New Roman" w:cs="Arial"/>
        </w:rPr>
        <w:tab/>
        <w:t>)</w:t>
      </w:r>
    </w:p>
    <w:p w:rsidR="005D7ACB" w:rsidRPr="004302B8" w:rsidRDefault="005D7ACB" w:rsidP="004302B8">
      <w:pPr>
        <w:tabs>
          <w:tab w:val="left" w:pos="4050"/>
          <w:tab w:val="left" w:pos="4680"/>
        </w:tabs>
        <w:spacing w:line="240" w:lineRule="auto"/>
        <w:ind w:firstLine="0"/>
        <w:rPr>
          <w:rFonts w:eastAsia="Times New Roman" w:cs="Arial"/>
        </w:rPr>
      </w:pPr>
      <w:r w:rsidRPr="005D7ACB">
        <w:rPr>
          <w:rFonts w:eastAsia="Times New Roman" w:cs="Arial"/>
        </w:rPr>
        <w:t>Rider Rates</w:t>
      </w:r>
      <w:r w:rsidRPr="005D7ACB">
        <w:rPr>
          <w:rFonts w:eastAsia="Times New Roman" w:cs="Arial"/>
        </w:rPr>
        <w:tab/>
        <w:t>)</w:t>
      </w:r>
    </w:p>
    <w:p w:rsidR="005D7ACB" w:rsidRPr="005D7ACB" w:rsidRDefault="005D7ACB" w:rsidP="004302B8">
      <w:pPr>
        <w:tabs>
          <w:tab w:val="left" w:pos="4050"/>
          <w:tab w:val="left" w:pos="4680"/>
        </w:tabs>
        <w:spacing w:line="240" w:lineRule="auto"/>
        <w:ind w:firstLine="0"/>
        <w:rPr>
          <w:rFonts w:eastAsia="Times New Roman" w:cs="Arial"/>
        </w:rPr>
      </w:pPr>
    </w:p>
    <w:p w:rsidR="005D7ACB" w:rsidRPr="005D7ACB" w:rsidRDefault="005D7ACB" w:rsidP="004302B8">
      <w:pPr>
        <w:ind w:firstLine="0"/>
        <w:rPr>
          <w:rFonts w:cs="Arial"/>
          <w:b/>
        </w:rPr>
      </w:pPr>
      <w:r w:rsidRPr="005D7ACB">
        <w:rPr>
          <w:rFonts w:cs="Arial"/>
          <w:b/>
        </w:rPr>
        <w:t>______________________________________________________________________</w:t>
      </w:r>
    </w:p>
    <w:p w:rsidR="005D7ACB" w:rsidRPr="005D7ACB" w:rsidRDefault="005D7ACB" w:rsidP="004302B8">
      <w:pPr>
        <w:spacing w:line="240" w:lineRule="auto"/>
        <w:ind w:firstLine="0"/>
        <w:jc w:val="center"/>
        <w:rPr>
          <w:rFonts w:cs="Arial"/>
          <w:b/>
        </w:rPr>
      </w:pPr>
      <w:r w:rsidRPr="004302B8">
        <w:rPr>
          <w:rFonts w:cs="Arial"/>
          <w:b/>
        </w:rPr>
        <w:t>REPLY</w:t>
      </w:r>
      <w:r w:rsidRPr="005D7ACB">
        <w:rPr>
          <w:rFonts w:cs="Arial"/>
          <w:b/>
        </w:rPr>
        <w:t xml:space="preserve"> BRIEF OF INDUSTRIAL ENERGY USERS-OHIO</w:t>
      </w:r>
    </w:p>
    <w:p w:rsidR="005D7ACB" w:rsidRPr="004302B8" w:rsidRDefault="005D7ACB" w:rsidP="004302B8">
      <w:pPr>
        <w:spacing w:after="240"/>
        <w:ind w:firstLine="0"/>
        <w:rPr>
          <w:rFonts w:cs="Arial"/>
        </w:rPr>
      </w:pPr>
      <w:r w:rsidRPr="005D7ACB">
        <w:rPr>
          <w:rFonts w:cs="Arial"/>
          <w:b/>
        </w:rPr>
        <w:t>______________________________________________________________________</w:t>
      </w:r>
    </w:p>
    <w:p w:rsidR="00AA43D5" w:rsidRPr="00C76D67" w:rsidRDefault="00AA43D5" w:rsidP="004302B8">
      <w:pPr>
        <w:pStyle w:val="Heading1"/>
        <w:rPr>
          <w:u w:val="none"/>
        </w:rPr>
      </w:pPr>
      <w:r w:rsidRPr="00C76D67">
        <w:rPr>
          <w:u w:val="none"/>
        </w:rPr>
        <w:t>Introduction</w:t>
      </w:r>
    </w:p>
    <w:p w:rsidR="007632D6" w:rsidRPr="004302B8" w:rsidRDefault="00AA43D5" w:rsidP="004302B8">
      <w:pPr>
        <w:rPr>
          <w:rFonts w:cs="Arial"/>
        </w:rPr>
      </w:pPr>
      <w:r w:rsidRPr="004302B8">
        <w:rPr>
          <w:rFonts w:cs="Arial"/>
        </w:rPr>
        <w:t>The Ohio Power Company (“AEP-Ohio”),</w:t>
      </w:r>
      <w:r w:rsidRPr="004302B8">
        <w:rPr>
          <w:rStyle w:val="FootnoteReference"/>
          <w:rFonts w:cs="Arial"/>
        </w:rPr>
        <w:footnoteReference w:id="1"/>
      </w:r>
      <w:r w:rsidRPr="004302B8">
        <w:rPr>
          <w:rFonts w:cs="Arial"/>
        </w:rPr>
        <w:t xml:space="preserve"> the Staff (“Staff”)</w:t>
      </w:r>
      <w:r w:rsidR="003852E3" w:rsidRPr="004302B8">
        <w:rPr>
          <w:rFonts w:cs="Arial"/>
        </w:rPr>
        <w:t xml:space="preserve"> of the Public Utilities Commission of Ohio (“Commission”)</w:t>
      </w:r>
      <w:r w:rsidRPr="004302B8">
        <w:rPr>
          <w:rFonts w:cs="Arial"/>
        </w:rPr>
        <w:t>,</w:t>
      </w:r>
      <w:r w:rsidRPr="004302B8">
        <w:rPr>
          <w:rStyle w:val="FootnoteReference"/>
          <w:rFonts w:cs="Arial"/>
        </w:rPr>
        <w:footnoteReference w:id="2"/>
      </w:r>
      <w:r w:rsidRPr="004302B8">
        <w:rPr>
          <w:rFonts w:cs="Arial"/>
        </w:rPr>
        <w:t xml:space="preserve"> and Industrial Energy Users-Ohio (“IEU-Ohio”)</w:t>
      </w:r>
      <w:r w:rsidRPr="004302B8">
        <w:rPr>
          <w:rStyle w:val="FootnoteReference"/>
          <w:rFonts w:cs="Arial"/>
        </w:rPr>
        <w:footnoteReference w:id="3"/>
      </w:r>
      <w:r w:rsidRPr="004302B8">
        <w:rPr>
          <w:rFonts w:cs="Arial"/>
        </w:rPr>
        <w:t xml:space="preserve"> have filed briefs in support of the Stipulation in this case.  </w:t>
      </w:r>
      <w:r w:rsidR="007632D6" w:rsidRPr="004302B8">
        <w:rPr>
          <w:rFonts w:cs="Arial"/>
        </w:rPr>
        <w:t xml:space="preserve">As each </w:t>
      </w:r>
      <w:r w:rsidR="008A014C">
        <w:rPr>
          <w:rFonts w:cs="Arial"/>
        </w:rPr>
        <w:t xml:space="preserve">supporting party </w:t>
      </w:r>
      <w:r w:rsidR="007632D6" w:rsidRPr="004302B8">
        <w:rPr>
          <w:rFonts w:cs="Arial"/>
        </w:rPr>
        <w:t>demonstrate</w:t>
      </w:r>
      <w:r w:rsidR="00121388">
        <w:rPr>
          <w:rFonts w:cs="Arial"/>
        </w:rPr>
        <w:t>s</w:t>
      </w:r>
      <w:r w:rsidR="007632D6" w:rsidRPr="004302B8">
        <w:rPr>
          <w:rFonts w:cs="Arial"/>
        </w:rPr>
        <w:t>, the Joint Stipulation and Recommendation (“Stipulation”) satisfies the three-prong test the Commission routinely applies when reviewing a settlement.</w:t>
      </w:r>
    </w:p>
    <w:p w:rsidR="00AA43D5" w:rsidRPr="004302B8" w:rsidRDefault="00AB0C34" w:rsidP="004302B8">
      <w:pPr>
        <w:spacing w:after="240"/>
        <w:rPr>
          <w:rFonts w:cs="Arial"/>
        </w:rPr>
      </w:pPr>
      <w:r w:rsidRPr="004302B8">
        <w:rPr>
          <w:rFonts w:cs="Arial"/>
        </w:rPr>
        <w:t>The Office of the Ohio Consumers’ Counsel (“OC</w:t>
      </w:r>
      <w:r>
        <w:rPr>
          <w:rFonts w:cs="Arial"/>
        </w:rPr>
        <w:t>C”)</w:t>
      </w:r>
      <w:r w:rsidR="00AA43D5" w:rsidRPr="004302B8">
        <w:rPr>
          <w:rFonts w:cs="Arial"/>
        </w:rPr>
        <w:t>, however, maintains that the Commission should substantially revise the terms of the Stipulation.</w:t>
      </w:r>
      <w:r w:rsidR="00AA43D5" w:rsidRPr="004302B8">
        <w:rPr>
          <w:rStyle w:val="FootnoteReference"/>
          <w:rFonts w:cs="Arial"/>
        </w:rPr>
        <w:footnoteReference w:id="4"/>
      </w:r>
      <w:r w:rsidR="007632D6" w:rsidRPr="004302B8">
        <w:rPr>
          <w:rFonts w:cs="Arial"/>
        </w:rPr>
        <w:t xml:space="preserve">  In support of its position, OCC argues that the Stipulation does not satisfy the first prong of the three prong test because it is not a signatory party.</w:t>
      </w:r>
      <w:r w:rsidR="003852E3" w:rsidRPr="004302B8">
        <w:rPr>
          <w:rStyle w:val="FootnoteReference"/>
          <w:rFonts w:cs="Arial"/>
        </w:rPr>
        <w:footnoteReference w:id="5"/>
      </w:r>
      <w:r w:rsidR="007632D6" w:rsidRPr="004302B8">
        <w:rPr>
          <w:rFonts w:cs="Arial"/>
        </w:rPr>
        <w:t xml:space="preserve">  Additionally, it argues that the substantive terms of the agreement are unreasonable for a variety of reasons including </w:t>
      </w:r>
      <w:r w:rsidR="007632D6" w:rsidRPr="004302B8">
        <w:rPr>
          <w:rFonts w:cs="Arial"/>
        </w:rPr>
        <w:lastRenderedPageBreak/>
        <w:t>a claim that the revenue allocation should be modified so that it is based on “energy.”</w:t>
      </w:r>
      <w:r w:rsidR="003852E3" w:rsidRPr="004302B8">
        <w:rPr>
          <w:rStyle w:val="FootnoteReference"/>
          <w:rFonts w:cs="Arial"/>
        </w:rPr>
        <w:footnoteReference w:id="6"/>
      </w:r>
      <w:r w:rsidR="007632D6" w:rsidRPr="004302B8">
        <w:rPr>
          <w:rFonts w:cs="Arial"/>
        </w:rPr>
        <w:t xml:space="preserve">  </w:t>
      </w:r>
      <w:r w:rsidR="008A014C">
        <w:rPr>
          <w:rFonts w:cs="Arial"/>
        </w:rPr>
        <w:t>The</w:t>
      </w:r>
      <w:r w:rsidR="007632D6" w:rsidRPr="004302B8">
        <w:rPr>
          <w:rFonts w:cs="Arial"/>
        </w:rPr>
        <w:t xml:space="preserve"> Commission should reject </w:t>
      </w:r>
      <w:r w:rsidR="00121388">
        <w:rPr>
          <w:rFonts w:cs="Arial"/>
        </w:rPr>
        <w:t>these two arguments of OCC</w:t>
      </w:r>
      <w:r w:rsidR="007632D6" w:rsidRPr="004302B8">
        <w:rPr>
          <w:rFonts w:cs="Arial"/>
        </w:rPr>
        <w:t>.</w:t>
      </w:r>
      <w:r w:rsidR="007632D6" w:rsidRPr="004302B8">
        <w:rPr>
          <w:rStyle w:val="FootnoteReference"/>
          <w:rFonts w:cs="Arial"/>
        </w:rPr>
        <w:footnoteReference w:id="7"/>
      </w:r>
    </w:p>
    <w:p w:rsidR="008E3BF4" w:rsidRPr="00C76D67" w:rsidRDefault="00074DEC" w:rsidP="004302B8">
      <w:pPr>
        <w:pStyle w:val="Heading1"/>
        <w:rPr>
          <w:u w:val="none"/>
        </w:rPr>
      </w:pPr>
      <w:r w:rsidRPr="00C76D67">
        <w:rPr>
          <w:u w:val="none"/>
        </w:rPr>
        <w:t>The Stipulation is a product of serious bargaining among capable and knowledgeable parties representing diverse interests</w:t>
      </w:r>
    </w:p>
    <w:p w:rsidR="00074DEC" w:rsidRPr="004302B8" w:rsidRDefault="00074DEC" w:rsidP="004302B8">
      <w:pPr>
        <w:rPr>
          <w:rFonts w:cs="Arial"/>
        </w:rPr>
      </w:pPr>
      <w:r w:rsidRPr="004302B8">
        <w:rPr>
          <w:rFonts w:cs="Arial"/>
        </w:rPr>
        <w:t>In the initial comments, the parties other than OCC agree that the Stipulation satisfies the first prong of the test for approval of a stipulation because it is the product of serious bargaining among capable and knowledgeable parties representing diverse interests.</w:t>
      </w:r>
      <w:r w:rsidR="001D7609" w:rsidRPr="004302B8">
        <w:rPr>
          <w:rStyle w:val="FootnoteReference"/>
          <w:rFonts w:cs="Arial"/>
        </w:rPr>
        <w:footnoteReference w:id="8"/>
      </w:r>
      <w:r w:rsidRPr="004302B8">
        <w:rPr>
          <w:rFonts w:cs="Arial"/>
        </w:rPr>
        <w:t xml:space="preserve">  </w:t>
      </w:r>
      <w:r w:rsidR="00AB0C34">
        <w:rPr>
          <w:rFonts w:cs="Arial"/>
        </w:rPr>
        <w:t xml:space="preserve">In response, </w:t>
      </w:r>
      <w:r w:rsidRPr="004302B8">
        <w:rPr>
          <w:rFonts w:cs="Arial"/>
        </w:rPr>
        <w:t>OCC argues that the Commission should reject the Stipulation because it did not sign the Stipulation.</w:t>
      </w:r>
      <w:r w:rsidRPr="004302B8">
        <w:rPr>
          <w:rStyle w:val="FootnoteReference"/>
          <w:rFonts w:cs="Arial"/>
        </w:rPr>
        <w:footnoteReference w:id="9"/>
      </w:r>
      <w:r w:rsidRPr="004302B8">
        <w:rPr>
          <w:rFonts w:cs="Arial"/>
        </w:rPr>
        <w:t xml:space="preserve">  OCC’s failure to sign the Stipulation, however, does not demonstrate that the Stipulation is not the product of serious bargaining among capable and knowledgeable </w:t>
      </w:r>
      <w:r w:rsidR="001D7609" w:rsidRPr="004302B8">
        <w:rPr>
          <w:rFonts w:cs="Arial"/>
        </w:rPr>
        <w:t>parties</w:t>
      </w:r>
      <w:r w:rsidRPr="004302B8">
        <w:rPr>
          <w:rFonts w:cs="Arial"/>
        </w:rPr>
        <w:t>.</w:t>
      </w:r>
    </w:p>
    <w:p w:rsidR="00800ADD" w:rsidRPr="004302B8" w:rsidRDefault="001D7609" w:rsidP="004302B8">
      <w:pPr>
        <w:rPr>
          <w:rFonts w:cs="Arial"/>
        </w:rPr>
      </w:pPr>
      <w:r w:rsidRPr="004302B8">
        <w:rPr>
          <w:rFonts w:cs="Arial"/>
        </w:rPr>
        <w:t xml:space="preserve">As it did at the hearing, </w:t>
      </w:r>
      <w:r w:rsidR="00074DEC" w:rsidRPr="004302B8">
        <w:rPr>
          <w:rFonts w:cs="Arial"/>
        </w:rPr>
        <w:t xml:space="preserve">OCC </w:t>
      </w:r>
      <w:r w:rsidRPr="004302B8">
        <w:rPr>
          <w:rFonts w:cs="Arial"/>
        </w:rPr>
        <w:t>continues</w:t>
      </w:r>
      <w:r w:rsidR="00074DEC" w:rsidRPr="004302B8">
        <w:rPr>
          <w:rFonts w:cs="Arial"/>
        </w:rPr>
        <w:t xml:space="preserve"> to advance the argument that the Commission must reject the Stipulation </w:t>
      </w:r>
      <w:r w:rsidR="00800ADD" w:rsidRPr="004302B8">
        <w:rPr>
          <w:rFonts w:cs="Arial"/>
        </w:rPr>
        <w:t xml:space="preserve">because </w:t>
      </w:r>
      <w:r w:rsidR="008A49A3" w:rsidRPr="004302B8">
        <w:rPr>
          <w:rFonts w:cs="Arial"/>
        </w:rPr>
        <w:t>“</w:t>
      </w:r>
      <w:r w:rsidR="008A49A3" w:rsidRPr="004302B8">
        <w:rPr>
          <w:rFonts w:cs="Arial"/>
          <w:i/>
        </w:rPr>
        <w:t xml:space="preserve">the </w:t>
      </w:r>
      <w:r w:rsidR="00694160">
        <w:rPr>
          <w:rFonts w:cs="Arial"/>
          <w:i/>
        </w:rPr>
        <w:t>settlement</w:t>
      </w:r>
      <w:r w:rsidR="00694160" w:rsidRPr="004302B8">
        <w:rPr>
          <w:rFonts w:cs="Arial"/>
        </w:rPr>
        <w:t xml:space="preserve"> </w:t>
      </w:r>
      <w:r w:rsidR="00800ADD" w:rsidRPr="004302B8">
        <w:rPr>
          <w:rFonts w:cs="Arial"/>
        </w:rPr>
        <w:t xml:space="preserve">does not represent diverse </w:t>
      </w:r>
      <w:r w:rsidR="00694160">
        <w:rPr>
          <w:rFonts w:cs="Arial"/>
        </w:rPr>
        <w:t>interests</w:t>
      </w:r>
      <w:r w:rsidR="00800ADD" w:rsidRPr="004302B8">
        <w:rPr>
          <w:rFonts w:cs="Arial"/>
        </w:rPr>
        <w:t>”</w:t>
      </w:r>
      <w:r w:rsidR="00800ADD" w:rsidRPr="004302B8">
        <w:rPr>
          <w:rStyle w:val="FootnoteReference"/>
          <w:rFonts w:cs="Arial"/>
        </w:rPr>
        <w:footnoteReference w:id="10"/>
      </w:r>
      <w:r w:rsidR="008A014C">
        <w:rPr>
          <w:rFonts w:cs="Arial"/>
        </w:rPr>
        <w:t xml:space="preserve"> and points to the fact that it did not sign the Stipulation as support for this claim.</w:t>
      </w:r>
      <w:r w:rsidR="00074DEC" w:rsidRPr="004302B8">
        <w:rPr>
          <w:rFonts w:cs="Arial"/>
        </w:rPr>
        <w:t xml:space="preserve">  </w:t>
      </w:r>
      <w:r w:rsidR="00800ADD" w:rsidRPr="004302B8">
        <w:rPr>
          <w:rFonts w:cs="Arial"/>
        </w:rPr>
        <w:t xml:space="preserve">Its </w:t>
      </w:r>
      <w:r w:rsidRPr="004302B8">
        <w:rPr>
          <w:rFonts w:cs="Arial"/>
        </w:rPr>
        <w:t>sole</w:t>
      </w:r>
      <w:r w:rsidR="00800ADD" w:rsidRPr="004302B8">
        <w:rPr>
          <w:rFonts w:cs="Arial"/>
        </w:rPr>
        <w:t xml:space="preserve"> citation in support </w:t>
      </w:r>
      <w:r w:rsidR="00694160">
        <w:rPr>
          <w:rFonts w:cs="Arial"/>
        </w:rPr>
        <w:t xml:space="preserve">of </w:t>
      </w:r>
      <w:r w:rsidR="008A49A3" w:rsidRPr="004302B8">
        <w:rPr>
          <w:rFonts w:cs="Arial"/>
        </w:rPr>
        <w:t>its position that it must be a signatory party for the first prong to be satisfied</w:t>
      </w:r>
      <w:r w:rsidR="00800ADD" w:rsidRPr="004302B8">
        <w:rPr>
          <w:rFonts w:cs="Arial"/>
        </w:rPr>
        <w:t xml:space="preserve"> </w:t>
      </w:r>
      <w:r w:rsidRPr="004302B8">
        <w:rPr>
          <w:rFonts w:cs="Arial"/>
        </w:rPr>
        <w:t xml:space="preserve">is </w:t>
      </w:r>
      <w:r w:rsidR="00800ADD" w:rsidRPr="004302B8">
        <w:rPr>
          <w:rFonts w:cs="Arial"/>
        </w:rPr>
        <w:t>the Commission’s decision approving the stipulation in AEP-Ohio’s last distribution rate case.</w:t>
      </w:r>
      <w:r w:rsidR="00800ADD" w:rsidRPr="004302B8">
        <w:rPr>
          <w:rStyle w:val="FootnoteReference"/>
          <w:rFonts w:cs="Arial"/>
        </w:rPr>
        <w:footnoteReference w:id="11"/>
      </w:r>
      <w:r w:rsidR="00800ADD" w:rsidRPr="004302B8">
        <w:rPr>
          <w:rFonts w:cs="Arial"/>
        </w:rPr>
        <w:t xml:space="preserve">  The decision relied upon by OCC, however, </w:t>
      </w:r>
      <w:r w:rsidR="00800ADD" w:rsidRPr="004302B8">
        <w:rPr>
          <w:rFonts w:cs="Arial"/>
        </w:rPr>
        <w:lastRenderedPageBreak/>
        <w:t xml:space="preserve">is inapposite.  The </w:t>
      </w:r>
      <w:r w:rsidR="00C13F43">
        <w:rPr>
          <w:rFonts w:cs="Arial"/>
        </w:rPr>
        <w:t>s</w:t>
      </w:r>
      <w:r w:rsidR="00C13F43" w:rsidRPr="004302B8">
        <w:rPr>
          <w:rFonts w:cs="Arial"/>
        </w:rPr>
        <w:t xml:space="preserve">tipulation </w:t>
      </w:r>
      <w:r w:rsidR="00800ADD" w:rsidRPr="004302B8">
        <w:rPr>
          <w:rFonts w:cs="Arial"/>
        </w:rPr>
        <w:t xml:space="preserve">in </w:t>
      </w:r>
      <w:r w:rsidRPr="004302B8">
        <w:rPr>
          <w:rFonts w:cs="Arial"/>
        </w:rPr>
        <w:t>the AEP-Ohio distribution case</w:t>
      </w:r>
      <w:r w:rsidR="00800ADD" w:rsidRPr="004302B8">
        <w:rPr>
          <w:rFonts w:cs="Arial"/>
        </w:rPr>
        <w:t xml:space="preserve"> was uncontested.  Thus, the Commission’s </w:t>
      </w:r>
      <w:r w:rsidR="00121388">
        <w:rPr>
          <w:rFonts w:cs="Arial"/>
        </w:rPr>
        <w:t>statement that</w:t>
      </w:r>
      <w:r w:rsidR="00800ADD" w:rsidRPr="004302B8">
        <w:rPr>
          <w:rFonts w:cs="Arial"/>
        </w:rPr>
        <w:t xml:space="preserve"> signatory parties</w:t>
      </w:r>
      <w:r w:rsidR="00800ADD" w:rsidRPr="00163C79">
        <w:rPr>
          <w:rFonts w:cs="Arial"/>
          <w:b/>
        </w:rPr>
        <w:t xml:space="preserve"> </w:t>
      </w:r>
      <w:r w:rsidR="00800ADD" w:rsidRPr="004302B8">
        <w:rPr>
          <w:rFonts w:cs="Arial"/>
        </w:rPr>
        <w:t>were diverse</w:t>
      </w:r>
      <w:r w:rsidR="00121388">
        <w:rPr>
          <w:rFonts w:cs="Arial"/>
        </w:rPr>
        <w:t xml:space="preserve"> is correct</w:t>
      </w:r>
      <w:r w:rsidR="00800ADD" w:rsidRPr="004302B8">
        <w:rPr>
          <w:rFonts w:cs="Arial"/>
        </w:rPr>
        <w:t xml:space="preserve">, but </w:t>
      </w:r>
      <w:r w:rsidRPr="004302B8">
        <w:rPr>
          <w:rFonts w:cs="Arial"/>
        </w:rPr>
        <w:t xml:space="preserve">the Commission </w:t>
      </w:r>
      <w:r w:rsidR="00800ADD" w:rsidRPr="004302B8">
        <w:rPr>
          <w:rFonts w:cs="Arial"/>
        </w:rPr>
        <w:t xml:space="preserve">did not address the situation presented here </w:t>
      </w:r>
      <w:r w:rsidRPr="004302B8">
        <w:rPr>
          <w:rFonts w:cs="Arial"/>
        </w:rPr>
        <w:t>in which</w:t>
      </w:r>
      <w:r w:rsidR="00800ADD" w:rsidRPr="004302B8">
        <w:rPr>
          <w:rFonts w:cs="Arial"/>
        </w:rPr>
        <w:t xml:space="preserve"> OCC participated in the negotiations</w:t>
      </w:r>
      <w:r w:rsidR="00F00AB9">
        <w:rPr>
          <w:rFonts w:cs="Arial"/>
        </w:rPr>
        <w:t xml:space="preserve"> resulting in the Stipulation</w:t>
      </w:r>
      <w:r w:rsidR="00800ADD" w:rsidRPr="004302B8">
        <w:rPr>
          <w:rFonts w:cs="Arial"/>
        </w:rPr>
        <w:t xml:space="preserve">, but </w:t>
      </w:r>
      <w:r w:rsidRPr="004302B8">
        <w:rPr>
          <w:rFonts w:cs="Arial"/>
        </w:rPr>
        <w:t>concluded that it could not</w:t>
      </w:r>
      <w:r w:rsidR="00800ADD" w:rsidRPr="004302B8">
        <w:rPr>
          <w:rFonts w:cs="Arial"/>
        </w:rPr>
        <w:t xml:space="preserve"> sign </w:t>
      </w:r>
      <w:r w:rsidR="00F00AB9">
        <w:rPr>
          <w:rFonts w:cs="Arial"/>
        </w:rPr>
        <w:t>it</w:t>
      </w:r>
      <w:r w:rsidR="00800ADD" w:rsidRPr="004302B8">
        <w:rPr>
          <w:rFonts w:cs="Arial"/>
        </w:rPr>
        <w:t xml:space="preserve">.  </w:t>
      </w:r>
    </w:p>
    <w:p w:rsidR="00074DEC" w:rsidRPr="004302B8" w:rsidRDefault="00586C3E" w:rsidP="004302B8">
      <w:pPr>
        <w:spacing w:after="240"/>
        <w:rPr>
          <w:rFonts w:cs="Arial"/>
        </w:rPr>
      </w:pPr>
      <w:r>
        <w:rPr>
          <w:rFonts w:cs="Arial"/>
        </w:rPr>
        <w:t>As demonstrated previously in IEU-Ohio’s initial brief</w:t>
      </w:r>
      <w:r w:rsidR="001D7609" w:rsidRPr="004302B8">
        <w:rPr>
          <w:rFonts w:cs="Arial"/>
        </w:rPr>
        <w:t>, s</w:t>
      </w:r>
      <w:r w:rsidR="003E28E5" w:rsidRPr="004302B8">
        <w:rPr>
          <w:rFonts w:cs="Arial"/>
        </w:rPr>
        <w:t>atisfaction of the first prong</w:t>
      </w:r>
      <w:r w:rsidR="001D7609" w:rsidRPr="004302B8">
        <w:rPr>
          <w:rFonts w:cs="Arial"/>
        </w:rPr>
        <w:t xml:space="preserve"> </w:t>
      </w:r>
      <w:r w:rsidR="003E28E5" w:rsidRPr="004302B8">
        <w:rPr>
          <w:rFonts w:cs="Arial"/>
        </w:rPr>
        <w:t xml:space="preserve">does not require that OCC </w:t>
      </w:r>
      <w:r>
        <w:rPr>
          <w:rFonts w:cs="Arial"/>
        </w:rPr>
        <w:t>sign the Stipulation</w:t>
      </w:r>
      <w:r w:rsidR="003E28E5" w:rsidRPr="004302B8">
        <w:rPr>
          <w:rFonts w:cs="Arial"/>
        </w:rPr>
        <w:t xml:space="preserve">.  </w:t>
      </w:r>
      <w:r>
        <w:rPr>
          <w:rFonts w:cs="Arial"/>
        </w:rPr>
        <w:t>The Commission has</w:t>
      </w:r>
      <w:r w:rsidR="003E28E5" w:rsidRPr="004302B8">
        <w:rPr>
          <w:rFonts w:cs="Arial"/>
        </w:rPr>
        <w:t xml:space="preserve"> </w:t>
      </w:r>
      <w:r>
        <w:rPr>
          <w:rFonts w:cs="Arial"/>
        </w:rPr>
        <w:t>“</w:t>
      </w:r>
      <w:r w:rsidR="003E28E5" w:rsidRPr="004302B8">
        <w:rPr>
          <w:rFonts w:cs="Arial"/>
        </w:rPr>
        <w:t>repeatedly held that [it] will not require any single party, including OCC, to agree to a stipulation in order to meet the first prong of the three-prong test.”</w:t>
      </w:r>
      <w:r w:rsidR="003E28E5" w:rsidRPr="004302B8">
        <w:rPr>
          <w:rStyle w:val="FootnoteReference"/>
          <w:rFonts w:cs="Arial"/>
        </w:rPr>
        <w:footnoteReference w:id="12"/>
      </w:r>
      <w:r w:rsidR="003E28E5" w:rsidRPr="004302B8">
        <w:rPr>
          <w:rFonts w:cs="Arial"/>
        </w:rPr>
        <w:t xml:space="preserve">  </w:t>
      </w:r>
      <w:r>
        <w:rPr>
          <w:rFonts w:cs="Arial"/>
        </w:rPr>
        <w:t xml:space="preserve">To hold otherwise would give one party a veto over the outcome of the negotiations.  </w:t>
      </w:r>
      <w:r w:rsidR="001D7609" w:rsidRPr="004302B8">
        <w:rPr>
          <w:rFonts w:cs="Arial"/>
        </w:rPr>
        <w:t>Accordingly, the Commission should reject OCC’s argument that the Stipulation does not satisfy the first prong of the three-prong test.</w:t>
      </w:r>
    </w:p>
    <w:p w:rsidR="00074DEC" w:rsidRPr="00C76D67" w:rsidRDefault="00734262" w:rsidP="004302B8">
      <w:pPr>
        <w:pStyle w:val="Heading1"/>
        <w:rPr>
          <w:u w:val="none"/>
        </w:rPr>
      </w:pPr>
      <w:r w:rsidRPr="00C76D67">
        <w:rPr>
          <w:u w:val="none"/>
        </w:rPr>
        <w:t>The Stipulation correctly allocates the recovery of the major storm costs on the basis of distribution revenue</w:t>
      </w:r>
    </w:p>
    <w:p w:rsidR="00734262" w:rsidRPr="004302B8" w:rsidRDefault="008438B3" w:rsidP="004302B8">
      <w:pPr>
        <w:rPr>
          <w:rFonts w:cs="Arial"/>
        </w:rPr>
      </w:pPr>
      <w:r w:rsidRPr="004302B8">
        <w:rPr>
          <w:rFonts w:cs="Arial"/>
        </w:rPr>
        <w:t xml:space="preserve">OCC also argues that the Stipulation’s </w:t>
      </w:r>
      <w:r w:rsidR="00586C3E">
        <w:rPr>
          <w:rFonts w:cs="Arial"/>
        </w:rPr>
        <w:t xml:space="preserve">proposed </w:t>
      </w:r>
      <w:r w:rsidRPr="004302B8">
        <w:rPr>
          <w:rFonts w:cs="Arial"/>
        </w:rPr>
        <w:t xml:space="preserve">allocation of the revenue authorized for recovery is unreasonable.  Repeating its position at hearing, it </w:t>
      </w:r>
      <w:r w:rsidR="00586C3E">
        <w:rPr>
          <w:rFonts w:cs="Arial"/>
        </w:rPr>
        <w:t xml:space="preserve">first </w:t>
      </w:r>
      <w:r w:rsidRPr="004302B8">
        <w:rPr>
          <w:rFonts w:cs="Arial"/>
        </w:rPr>
        <w:t>argues tha</w:t>
      </w:r>
      <w:r w:rsidR="00586C3E">
        <w:rPr>
          <w:rFonts w:cs="Arial"/>
        </w:rPr>
        <w:t>t the use of distribution revenue</w:t>
      </w:r>
      <w:r w:rsidRPr="004302B8">
        <w:rPr>
          <w:rFonts w:cs="Arial"/>
        </w:rPr>
        <w:t xml:space="preserve"> </w:t>
      </w:r>
      <w:r w:rsidR="00586C3E">
        <w:rPr>
          <w:rFonts w:cs="Arial"/>
        </w:rPr>
        <w:t>to set the allocation is inappropriate because distribution revenue includes</w:t>
      </w:r>
      <w:r w:rsidRPr="004302B8">
        <w:rPr>
          <w:rFonts w:cs="Arial"/>
        </w:rPr>
        <w:t xml:space="preserve"> customer charge</w:t>
      </w:r>
      <w:r w:rsidR="00586C3E">
        <w:rPr>
          <w:rFonts w:cs="Arial"/>
        </w:rPr>
        <w:t>s</w:t>
      </w:r>
      <w:r w:rsidRPr="004302B8">
        <w:rPr>
          <w:rFonts w:cs="Arial"/>
        </w:rPr>
        <w:t>.</w:t>
      </w:r>
      <w:r w:rsidRPr="004302B8">
        <w:rPr>
          <w:rStyle w:val="FootnoteReference"/>
          <w:rFonts w:cs="Arial"/>
        </w:rPr>
        <w:footnoteReference w:id="13"/>
      </w:r>
      <w:r w:rsidRPr="004302B8">
        <w:rPr>
          <w:rFonts w:cs="Arial"/>
        </w:rPr>
        <w:t xml:space="preserve">  Second, it </w:t>
      </w:r>
      <w:r w:rsidR="00D905DA" w:rsidRPr="004302B8">
        <w:rPr>
          <w:rFonts w:cs="Arial"/>
        </w:rPr>
        <w:t>urges that residential customers should face a lower revenue responsibility since “they are near the bottom of the restoration hierarchy.”</w:t>
      </w:r>
      <w:r w:rsidR="00D905DA" w:rsidRPr="004302B8">
        <w:rPr>
          <w:rStyle w:val="FootnoteReference"/>
          <w:rFonts w:cs="Arial"/>
        </w:rPr>
        <w:footnoteReference w:id="14"/>
      </w:r>
      <w:r w:rsidR="00D905DA" w:rsidRPr="004302B8">
        <w:rPr>
          <w:rFonts w:cs="Arial"/>
        </w:rPr>
        <w:t xml:space="preserve">  Finally, OCC urges that customers want “energy.”</w:t>
      </w:r>
      <w:r w:rsidR="00D905DA" w:rsidRPr="004302B8">
        <w:rPr>
          <w:rStyle w:val="FootnoteReference"/>
          <w:rFonts w:cs="Arial"/>
        </w:rPr>
        <w:footnoteReference w:id="15"/>
      </w:r>
    </w:p>
    <w:p w:rsidR="00D905DA" w:rsidRPr="004302B8" w:rsidRDefault="00F00AB9" w:rsidP="00163C79">
      <w:pPr>
        <w:rPr>
          <w:rFonts w:cs="Arial"/>
        </w:rPr>
      </w:pPr>
      <w:r>
        <w:rPr>
          <w:rFonts w:cs="Arial"/>
        </w:rPr>
        <w:lastRenderedPageBreak/>
        <w:t xml:space="preserve">OCC’s arguments fail to demonstrate that the allocation of revenue violates a significant ratemaking principle.  </w:t>
      </w:r>
      <w:r w:rsidR="00D905DA" w:rsidRPr="004302B8">
        <w:rPr>
          <w:rFonts w:cs="Arial"/>
        </w:rPr>
        <w:t>As provided by the Stipulation, the approved revenue is allocated based on residential and nonresidential base distribution revenue.</w:t>
      </w:r>
      <w:r w:rsidR="00D905DA" w:rsidRPr="004302B8">
        <w:rPr>
          <w:rStyle w:val="FootnoteReference"/>
          <w:rFonts w:cs="Arial"/>
        </w:rPr>
        <w:footnoteReference w:id="16"/>
      </w:r>
      <w:r w:rsidR="00D905DA" w:rsidRPr="004302B8">
        <w:rPr>
          <w:rFonts w:cs="Arial"/>
        </w:rPr>
        <w:t xml:space="preserve">  Because the </w:t>
      </w:r>
      <w:r w:rsidR="00C76D67">
        <w:rPr>
          <w:rFonts w:cs="Arial"/>
        </w:rPr>
        <w:t xml:space="preserve">major </w:t>
      </w:r>
      <w:r w:rsidR="00D905DA" w:rsidRPr="004302B8">
        <w:rPr>
          <w:rFonts w:cs="Arial"/>
        </w:rPr>
        <w:t xml:space="preserve">storm repair costs relate to maintenance expenses associated with the restoration of the distribution system, the allocation is consistent with the revenue responsibility </w:t>
      </w:r>
      <w:r w:rsidR="00586C3E">
        <w:rPr>
          <w:rFonts w:cs="Arial"/>
        </w:rPr>
        <w:t>for distribution related services</w:t>
      </w:r>
      <w:r w:rsidR="00D905DA" w:rsidRPr="004302B8">
        <w:rPr>
          <w:rFonts w:cs="Arial"/>
        </w:rPr>
        <w:t>.</w:t>
      </w:r>
      <w:r w:rsidR="00D905DA" w:rsidRPr="004302B8">
        <w:rPr>
          <w:rStyle w:val="FootnoteReference"/>
          <w:rFonts w:cs="Arial"/>
        </w:rPr>
        <w:footnoteReference w:id="17"/>
      </w:r>
    </w:p>
    <w:p w:rsidR="0054155A" w:rsidRPr="004302B8" w:rsidRDefault="0054155A" w:rsidP="00C76D67">
      <w:pPr>
        <w:spacing w:after="240"/>
        <w:rPr>
          <w:rFonts w:cs="Arial"/>
        </w:rPr>
      </w:pPr>
      <w:r w:rsidRPr="004302B8">
        <w:rPr>
          <w:rFonts w:cs="Arial"/>
        </w:rPr>
        <w:t xml:space="preserve">Additionally, OCC’s position is internally inconsistent.  </w:t>
      </w:r>
      <w:r w:rsidR="0009519C" w:rsidRPr="004302B8">
        <w:rPr>
          <w:rFonts w:cs="Arial"/>
        </w:rPr>
        <w:t xml:space="preserve">Its first criticism </w:t>
      </w:r>
      <w:r w:rsidR="00586C3E" w:rsidRPr="004302B8">
        <w:rPr>
          <w:rFonts w:cs="Arial"/>
        </w:rPr>
        <w:t>urges</w:t>
      </w:r>
      <w:r w:rsidR="0009519C" w:rsidRPr="004302B8">
        <w:rPr>
          <w:rFonts w:cs="Arial"/>
        </w:rPr>
        <w:t xml:space="preserve"> </w:t>
      </w:r>
      <w:r w:rsidR="00A21550">
        <w:rPr>
          <w:rFonts w:cs="Arial"/>
        </w:rPr>
        <w:t>that the Stipulation is inconsistent with principles of cost causation</w:t>
      </w:r>
      <w:r w:rsidR="0009519C" w:rsidRPr="004302B8">
        <w:rPr>
          <w:rFonts w:cs="Arial"/>
        </w:rPr>
        <w:t xml:space="preserve">.  </w:t>
      </w:r>
      <w:r w:rsidR="00A21550">
        <w:rPr>
          <w:rFonts w:cs="Arial"/>
        </w:rPr>
        <w:t xml:space="preserve">Yet, </w:t>
      </w:r>
      <w:r w:rsidR="00F00AB9">
        <w:rPr>
          <w:rFonts w:cs="Arial"/>
        </w:rPr>
        <w:t xml:space="preserve">OCC’s own witness </w:t>
      </w:r>
      <w:r w:rsidR="00A21550">
        <w:rPr>
          <w:rFonts w:cs="Arial"/>
        </w:rPr>
        <w:t>testified that</w:t>
      </w:r>
      <w:r w:rsidR="00F00AB9">
        <w:rPr>
          <w:rFonts w:cs="Arial"/>
        </w:rPr>
        <w:t xml:space="preserve"> costs associated with distribution and production plant should not be allocated in the same manner</w:t>
      </w:r>
      <w:r w:rsidR="00F00AB9" w:rsidRPr="004302B8">
        <w:rPr>
          <w:rFonts w:cs="Arial"/>
        </w:rPr>
        <w:t>.</w:t>
      </w:r>
      <w:r w:rsidR="00F00AB9" w:rsidRPr="004302B8">
        <w:rPr>
          <w:rStyle w:val="FootnoteReference"/>
          <w:rFonts w:cs="Arial"/>
        </w:rPr>
        <w:footnoteReference w:id="18"/>
      </w:r>
      <w:r w:rsidR="00F00AB9" w:rsidRPr="004302B8">
        <w:rPr>
          <w:rFonts w:cs="Arial"/>
        </w:rPr>
        <w:t xml:space="preserve">  </w:t>
      </w:r>
      <w:r w:rsidR="00AB0C34">
        <w:rPr>
          <w:rFonts w:cs="Arial"/>
        </w:rPr>
        <w:t xml:space="preserve">Ignoring the difference between distribution and production plant, </w:t>
      </w:r>
      <w:r w:rsidR="00F00AB9">
        <w:rPr>
          <w:rFonts w:cs="Arial"/>
        </w:rPr>
        <w:t>OCC</w:t>
      </w:r>
      <w:r w:rsidR="00A21550">
        <w:rPr>
          <w:rFonts w:cs="Arial"/>
        </w:rPr>
        <w:t xml:space="preserve"> then</w:t>
      </w:r>
      <w:r w:rsidR="00F00AB9" w:rsidRPr="004302B8">
        <w:rPr>
          <w:rFonts w:cs="Arial"/>
        </w:rPr>
        <w:t xml:space="preserve"> </w:t>
      </w:r>
      <w:r w:rsidR="0009519C" w:rsidRPr="004302B8">
        <w:rPr>
          <w:rFonts w:cs="Arial"/>
        </w:rPr>
        <w:t xml:space="preserve">urges that the Commission base distribution related charges on </w:t>
      </w:r>
      <w:r w:rsidR="00AB0C34">
        <w:rPr>
          <w:rFonts w:cs="Arial"/>
        </w:rPr>
        <w:t>what amount</w:t>
      </w:r>
      <w:r w:rsidR="00A21550">
        <w:rPr>
          <w:rFonts w:cs="Arial"/>
        </w:rPr>
        <w:t>s</w:t>
      </w:r>
      <w:r w:rsidR="00AB0C34">
        <w:rPr>
          <w:rFonts w:cs="Arial"/>
        </w:rPr>
        <w:t xml:space="preserve"> to an allocation based on production, its “energy”-based allocation</w:t>
      </w:r>
      <w:r w:rsidR="00A21550">
        <w:rPr>
          <w:rFonts w:cs="Arial"/>
        </w:rPr>
        <w:t>.</w:t>
      </w:r>
      <w:r w:rsidR="0009519C" w:rsidRPr="004302B8">
        <w:rPr>
          <w:rFonts w:cs="Arial"/>
        </w:rPr>
        <w:t xml:space="preserve">  Further</w:t>
      </w:r>
      <w:r w:rsidR="00500B24">
        <w:rPr>
          <w:rFonts w:cs="Arial"/>
        </w:rPr>
        <w:t xml:space="preserve"> drifting from its “cost causation” claims</w:t>
      </w:r>
      <w:r w:rsidR="0009519C" w:rsidRPr="004302B8">
        <w:rPr>
          <w:rFonts w:cs="Arial"/>
        </w:rPr>
        <w:t xml:space="preserve">, OCC also appears to be suggesting that the Commission consider </w:t>
      </w:r>
      <w:r w:rsidR="00500B24">
        <w:rPr>
          <w:rFonts w:cs="Arial"/>
        </w:rPr>
        <w:t>a</w:t>
      </w:r>
      <w:r w:rsidR="0009519C" w:rsidRPr="004302B8">
        <w:rPr>
          <w:rFonts w:cs="Arial"/>
        </w:rPr>
        <w:t xml:space="preserve"> “value of service” alternative </w:t>
      </w:r>
      <w:r w:rsidR="00500B24">
        <w:rPr>
          <w:rFonts w:cs="Arial"/>
        </w:rPr>
        <w:t xml:space="preserve">for allocating revenue responsibility </w:t>
      </w:r>
      <w:r w:rsidR="0009519C" w:rsidRPr="004302B8">
        <w:rPr>
          <w:rFonts w:cs="Arial"/>
        </w:rPr>
        <w:t xml:space="preserve">by pointing to the “restoration hierarchy” that places the restoration of service to emergency services as a </w:t>
      </w:r>
      <w:r w:rsidR="00586C3E" w:rsidRPr="004302B8">
        <w:rPr>
          <w:rFonts w:cs="Arial"/>
        </w:rPr>
        <w:t>priority</w:t>
      </w:r>
      <w:r w:rsidR="0009519C" w:rsidRPr="004302B8">
        <w:rPr>
          <w:rFonts w:cs="Arial"/>
        </w:rPr>
        <w:t>.  Certainly, OCC has not suggested that restoration of high priority services should be altered, but t</w:t>
      </w:r>
      <w:r w:rsidRPr="004302B8">
        <w:rPr>
          <w:rFonts w:cs="Arial"/>
        </w:rPr>
        <w:t xml:space="preserve">here </w:t>
      </w:r>
      <w:r w:rsidR="0009519C" w:rsidRPr="004302B8">
        <w:rPr>
          <w:rFonts w:cs="Arial"/>
        </w:rPr>
        <w:t xml:space="preserve">also </w:t>
      </w:r>
      <w:r w:rsidRPr="004302B8">
        <w:rPr>
          <w:rFonts w:cs="Arial"/>
        </w:rPr>
        <w:t xml:space="preserve">is no indication that the “restoration hierarchy” has anything to do with </w:t>
      </w:r>
      <w:r w:rsidR="00586C3E">
        <w:rPr>
          <w:rFonts w:cs="Arial"/>
        </w:rPr>
        <w:t>cost causation “principles</w:t>
      </w:r>
      <w:r w:rsidR="0009519C" w:rsidRPr="004302B8">
        <w:rPr>
          <w:rFonts w:cs="Arial"/>
        </w:rPr>
        <w:t>.</w:t>
      </w:r>
      <w:r w:rsidRPr="004302B8">
        <w:rPr>
          <w:rFonts w:cs="Arial"/>
        </w:rPr>
        <w:t>”</w:t>
      </w:r>
      <w:r w:rsidR="00500B24">
        <w:rPr>
          <w:rFonts w:cs="Arial"/>
        </w:rPr>
        <w:t xml:space="preserve">  </w:t>
      </w:r>
      <w:r w:rsidR="00B557FF">
        <w:rPr>
          <w:rFonts w:cs="Arial"/>
        </w:rPr>
        <w:t xml:space="preserve">Thus, OCC’s argument is internally </w:t>
      </w:r>
      <w:r w:rsidR="003032F7">
        <w:rPr>
          <w:rFonts w:cs="Arial"/>
        </w:rPr>
        <w:t>in</w:t>
      </w:r>
      <w:r w:rsidR="00B557FF">
        <w:rPr>
          <w:rFonts w:cs="Arial"/>
        </w:rPr>
        <w:t>consistent and should be rejected</w:t>
      </w:r>
      <w:r w:rsidR="00AB0C34">
        <w:rPr>
          <w:rFonts w:cs="Arial"/>
        </w:rPr>
        <w:t xml:space="preserve"> </w:t>
      </w:r>
      <w:r w:rsidR="00AB0C34">
        <w:rPr>
          <w:rFonts w:cs="Arial"/>
        </w:rPr>
        <w:lastRenderedPageBreak/>
        <w:t>because the revenue allocation proposed in the Stipulation does not violate any important regulatory principles.</w:t>
      </w:r>
    </w:p>
    <w:p w:rsidR="003852E3" w:rsidRPr="00C76D67" w:rsidRDefault="003852E3" w:rsidP="004302B8">
      <w:pPr>
        <w:pStyle w:val="Heading1"/>
        <w:rPr>
          <w:u w:val="none"/>
        </w:rPr>
      </w:pPr>
      <w:r w:rsidRPr="00C76D67">
        <w:rPr>
          <w:u w:val="none"/>
        </w:rPr>
        <w:t>Conclusion</w:t>
      </w:r>
    </w:p>
    <w:p w:rsidR="003852E3" w:rsidRPr="004302B8" w:rsidRDefault="001664ED" w:rsidP="00163C79">
      <w:pPr>
        <w:rPr>
          <w:rFonts w:cs="Arial"/>
        </w:rPr>
      </w:pPr>
      <w:r>
        <w:rPr>
          <w:rFonts w:cs="Arial"/>
        </w:rPr>
        <w:t xml:space="preserve">As to the issues addressed above, OCC’s initial brief does not provide a basis for modifying the Stipulation.  </w:t>
      </w:r>
      <w:r w:rsidR="003852E3" w:rsidRPr="004302B8">
        <w:rPr>
          <w:rFonts w:cs="Arial"/>
        </w:rPr>
        <w:t>Accordingly, the Commission should approve the Stipulation</w:t>
      </w:r>
      <w:r w:rsidR="00163C79">
        <w:rPr>
          <w:rFonts w:cs="Arial"/>
        </w:rPr>
        <w:t xml:space="preserve"> for the reasons demonstrated in the initial briefs of AEP-Ohio, the Staff, and IEU-Ohio</w:t>
      </w:r>
      <w:r w:rsidR="003852E3" w:rsidRPr="004302B8">
        <w:rPr>
          <w:rFonts w:cs="Arial"/>
        </w:rPr>
        <w:t>.</w:t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3600"/>
          <w:tab w:val="left" w:pos="4320"/>
        </w:tabs>
        <w:spacing w:line="240" w:lineRule="auto"/>
        <w:ind w:left="4320" w:firstLine="0"/>
        <w:rPr>
          <w:rFonts w:eastAsia="Times New Roman" w:cs="Arial"/>
          <w:color w:val="000000"/>
          <w:lang w:val="de-DE"/>
        </w:rPr>
      </w:pPr>
      <w:r w:rsidRPr="005D7ACB">
        <w:rPr>
          <w:rFonts w:eastAsia="Times New Roman" w:cs="Arial"/>
          <w:color w:val="000000"/>
          <w:lang w:val="de-DE"/>
        </w:rPr>
        <w:t>Respectfully submitted,</w:t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3600"/>
          <w:tab w:val="left" w:pos="4320"/>
        </w:tabs>
        <w:spacing w:line="240" w:lineRule="auto"/>
        <w:ind w:left="4320" w:firstLine="0"/>
        <w:rPr>
          <w:rFonts w:eastAsia="Times New Roman" w:cs="Arial"/>
          <w:color w:val="000000"/>
          <w:lang w:val="de-DE"/>
        </w:rPr>
      </w:pPr>
    </w:p>
    <w:p w:rsidR="005D7ACB" w:rsidRPr="005D7ACB" w:rsidRDefault="005D7ACB" w:rsidP="004302B8">
      <w:pPr>
        <w:tabs>
          <w:tab w:val="left" w:pos="-1440"/>
          <w:tab w:val="left" w:pos="-720"/>
          <w:tab w:val="left" w:pos="4320"/>
          <w:tab w:val="right" w:pos="9360"/>
        </w:tabs>
        <w:spacing w:line="240" w:lineRule="auto"/>
        <w:ind w:left="4320" w:firstLine="0"/>
        <w:rPr>
          <w:rFonts w:eastAsia="Times New Roman" w:cs="Arial"/>
          <w:color w:val="000000"/>
          <w:u w:val="single"/>
          <w:lang w:val="de-DE"/>
        </w:rPr>
      </w:pPr>
      <w:r w:rsidRPr="005D7ACB">
        <w:rPr>
          <w:rFonts w:eastAsia="Times New Roman" w:cs="Arial"/>
          <w:color w:val="000000"/>
          <w:u w:val="single"/>
          <w:lang w:val="de-DE"/>
        </w:rPr>
        <w:t>/s/ Frank P. Darr</w:t>
      </w:r>
      <w:r w:rsidRPr="005D7ACB">
        <w:rPr>
          <w:rFonts w:eastAsia="Times New Roman" w:cs="Arial"/>
          <w:color w:val="000000"/>
          <w:u w:val="single"/>
          <w:lang w:val="de-DE"/>
        </w:rPr>
        <w:tab/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3600"/>
          <w:tab w:val="left" w:pos="4320"/>
        </w:tabs>
        <w:spacing w:line="240" w:lineRule="auto"/>
        <w:ind w:left="4320" w:firstLine="0"/>
        <w:rPr>
          <w:rFonts w:eastAsia="Times New Roman" w:cs="Arial"/>
          <w:color w:val="000000"/>
          <w:lang w:val="de-DE"/>
        </w:rPr>
      </w:pPr>
      <w:r w:rsidRPr="005D7ACB">
        <w:rPr>
          <w:rFonts w:eastAsia="Times New Roman" w:cs="Arial"/>
          <w:color w:val="000000"/>
          <w:lang w:val="de-DE"/>
        </w:rPr>
        <w:t>Samuel C. Randazzo (Counsel of Record)</w:t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3600"/>
          <w:tab w:val="left" w:pos="4320"/>
        </w:tabs>
        <w:spacing w:line="240" w:lineRule="auto"/>
        <w:ind w:left="4320" w:firstLine="0"/>
        <w:rPr>
          <w:rFonts w:eastAsia="Times New Roman" w:cs="Arial"/>
          <w:color w:val="000000"/>
          <w:lang w:val="de-DE"/>
        </w:rPr>
      </w:pPr>
      <w:r w:rsidRPr="005D7ACB">
        <w:rPr>
          <w:rFonts w:eastAsia="Times New Roman" w:cs="Arial"/>
          <w:color w:val="000000"/>
          <w:lang w:val="de-DE"/>
        </w:rPr>
        <w:t xml:space="preserve">Frank P. Darr </w:t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3600"/>
          <w:tab w:val="left" w:pos="4320"/>
        </w:tabs>
        <w:spacing w:line="240" w:lineRule="auto"/>
        <w:ind w:left="4320" w:firstLine="0"/>
        <w:rPr>
          <w:rFonts w:eastAsia="Times New Roman" w:cs="Arial"/>
          <w:color w:val="000000"/>
          <w:lang w:val="de-DE"/>
        </w:rPr>
      </w:pPr>
      <w:r w:rsidRPr="005D7ACB">
        <w:rPr>
          <w:rFonts w:eastAsia="Times New Roman" w:cs="Arial"/>
          <w:color w:val="000000"/>
          <w:lang w:val="de-DE"/>
        </w:rPr>
        <w:t>Matthew R. Pritchard</w:t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3600"/>
          <w:tab w:val="left" w:pos="4320"/>
        </w:tabs>
        <w:spacing w:line="240" w:lineRule="auto"/>
        <w:ind w:left="4320" w:firstLine="0"/>
        <w:rPr>
          <w:rFonts w:eastAsia="Times New Roman" w:cs="Arial"/>
          <w:color w:val="000000"/>
          <w:lang w:val="de-DE"/>
        </w:rPr>
      </w:pPr>
      <w:r w:rsidRPr="005D7ACB">
        <w:rPr>
          <w:rFonts w:eastAsia="Times New Roman" w:cs="Arial"/>
          <w:color w:val="000000"/>
          <w:lang w:val="de-DE"/>
        </w:rPr>
        <w:t>Joseph E. Oliker</w:t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3600"/>
          <w:tab w:val="left" w:pos="4320"/>
        </w:tabs>
        <w:spacing w:line="240" w:lineRule="auto"/>
        <w:ind w:left="4320" w:firstLine="0"/>
        <w:rPr>
          <w:rFonts w:eastAsia="Times New Roman" w:cs="Arial"/>
          <w:smallCaps/>
          <w:color w:val="000000"/>
        </w:rPr>
      </w:pPr>
      <w:r w:rsidRPr="005D7ACB">
        <w:rPr>
          <w:rFonts w:eastAsia="Times New Roman" w:cs="Arial"/>
          <w:smallCaps/>
          <w:color w:val="000000"/>
        </w:rPr>
        <w:t>McNees Wallace &amp; Nurick LLC</w:t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3600"/>
          <w:tab w:val="left" w:pos="4320"/>
        </w:tabs>
        <w:spacing w:line="240" w:lineRule="auto"/>
        <w:ind w:left="4320" w:firstLine="0"/>
        <w:rPr>
          <w:rFonts w:eastAsia="Times New Roman" w:cs="Arial"/>
          <w:color w:val="000000"/>
        </w:rPr>
      </w:pPr>
      <w:r w:rsidRPr="005D7ACB">
        <w:rPr>
          <w:rFonts w:eastAsia="Times New Roman" w:cs="Arial"/>
          <w:color w:val="000000"/>
        </w:rPr>
        <w:t>21 East State Street, 17</w:t>
      </w:r>
      <w:r w:rsidRPr="005D7ACB">
        <w:rPr>
          <w:rFonts w:eastAsia="Times New Roman" w:cs="Arial"/>
          <w:color w:val="000000"/>
          <w:vertAlign w:val="superscript"/>
        </w:rPr>
        <w:t>th</w:t>
      </w:r>
      <w:r w:rsidRPr="005D7ACB">
        <w:rPr>
          <w:rFonts w:eastAsia="Times New Roman" w:cs="Arial"/>
          <w:color w:val="000000"/>
        </w:rPr>
        <w:t xml:space="preserve"> Floor</w:t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4320"/>
        </w:tabs>
        <w:spacing w:line="240" w:lineRule="auto"/>
        <w:ind w:left="4320" w:firstLine="0"/>
        <w:rPr>
          <w:rFonts w:eastAsia="Times New Roman" w:cs="Arial"/>
          <w:color w:val="000000"/>
        </w:rPr>
      </w:pPr>
      <w:r w:rsidRPr="005D7ACB">
        <w:rPr>
          <w:rFonts w:eastAsia="Times New Roman" w:cs="Arial"/>
          <w:color w:val="000000"/>
        </w:rPr>
        <w:t>Columbus, OH  43215-4228</w:t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4320"/>
        </w:tabs>
        <w:spacing w:line="240" w:lineRule="auto"/>
        <w:ind w:left="4320" w:firstLine="0"/>
        <w:rPr>
          <w:rFonts w:eastAsia="Times New Roman" w:cs="Arial"/>
          <w:color w:val="000000"/>
        </w:rPr>
      </w:pPr>
      <w:r w:rsidRPr="005D7ACB">
        <w:rPr>
          <w:rFonts w:eastAsia="Times New Roman" w:cs="Arial"/>
          <w:color w:val="000000"/>
        </w:rPr>
        <w:t>Telephone:  (614) 469-8000</w:t>
      </w:r>
    </w:p>
    <w:p w:rsidR="005D7ACB" w:rsidRPr="005D7ACB" w:rsidRDefault="005D7ACB" w:rsidP="004302B8">
      <w:pPr>
        <w:tabs>
          <w:tab w:val="left" w:pos="4320"/>
        </w:tabs>
        <w:spacing w:beforeLines="1" w:before="2" w:line="240" w:lineRule="auto"/>
        <w:ind w:left="4320" w:firstLine="0"/>
        <w:rPr>
          <w:rFonts w:eastAsia="Times New Roman" w:cs="Arial"/>
          <w:color w:val="000000"/>
        </w:rPr>
      </w:pPr>
      <w:r w:rsidRPr="005D7ACB">
        <w:rPr>
          <w:rFonts w:eastAsia="Times New Roman" w:cs="Arial"/>
          <w:color w:val="000000"/>
        </w:rPr>
        <w:t>Telecopier:  (614) 469-4653</w:t>
      </w:r>
    </w:p>
    <w:p w:rsidR="005D7ACB" w:rsidRPr="005D7ACB" w:rsidRDefault="005D7ACB" w:rsidP="004302B8">
      <w:pPr>
        <w:spacing w:beforeLines="1" w:before="2" w:line="240" w:lineRule="auto"/>
        <w:ind w:left="4320" w:firstLine="0"/>
        <w:rPr>
          <w:rFonts w:eastAsia="Times New Roman" w:cs="Arial"/>
          <w:color w:val="000000"/>
        </w:rPr>
      </w:pPr>
      <w:r w:rsidRPr="005D7ACB">
        <w:rPr>
          <w:rFonts w:eastAsia="Times New Roman" w:cs="Arial"/>
          <w:color w:val="000000"/>
        </w:rPr>
        <w:t>sam@mwncmh.com</w:t>
      </w:r>
    </w:p>
    <w:p w:rsidR="005D7ACB" w:rsidRPr="005D7ACB" w:rsidRDefault="005D7ACB" w:rsidP="004302B8">
      <w:pPr>
        <w:spacing w:beforeLines="1" w:before="2" w:line="240" w:lineRule="auto"/>
        <w:ind w:left="4320" w:firstLine="0"/>
        <w:rPr>
          <w:rFonts w:eastAsia="Times New Roman" w:cs="Arial"/>
          <w:color w:val="000000"/>
        </w:rPr>
      </w:pPr>
      <w:r w:rsidRPr="005D7ACB">
        <w:rPr>
          <w:rFonts w:eastAsia="Times New Roman" w:cs="Arial"/>
          <w:color w:val="000000"/>
        </w:rPr>
        <w:t>fdarr@mwncmh.com</w:t>
      </w:r>
    </w:p>
    <w:p w:rsidR="005D7ACB" w:rsidRPr="005D7ACB" w:rsidRDefault="005D7ACB" w:rsidP="004302B8">
      <w:pPr>
        <w:spacing w:beforeLines="1" w:before="2" w:line="240" w:lineRule="auto"/>
        <w:ind w:left="4320" w:firstLine="0"/>
        <w:rPr>
          <w:rFonts w:eastAsia="Times New Roman" w:cs="Arial"/>
          <w:color w:val="000000"/>
        </w:rPr>
      </w:pPr>
      <w:r w:rsidRPr="005D7ACB">
        <w:rPr>
          <w:rFonts w:eastAsia="Times New Roman" w:cs="Arial"/>
          <w:color w:val="000000"/>
        </w:rPr>
        <w:t>mpritchard@mwncmh.com</w:t>
      </w:r>
    </w:p>
    <w:p w:rsidR="005D7ACB" w:rsidRPr="005D7ACB" w:rsidRDefault="005D7ACB" w:rsidP="004302B8">
      <w:pPr>
        <w:spacing w:line="240" w:lineRule="auto"/>
        <w:ind w:left="4320" w:firstLine="0"/>
        <w:rPr>
          <w:rFonts w:eastAsia="Times New Roman" w:cs="Arial"/>
        </w:rPr>
      </w:pPr>
      <w:r w:rsidRPr="005D7ACB">
        <w:rPr>
          <w:rFonts w:eastAsia="Times New Roman" w:cs="Arial"/>
        </w:rPr>
        <w:t>joliker@mwncmh.com</w:t>
      </w:r>
    </w:p>
    <w:p w:rsidR="005D7ACB" w:rsidRPr="005D7ACB" w:rsidRDefault="005D7ACB" w:rsidP="004302B8">
      <w:pPr>
        <w:spacing w:line="240" w:lineRule="auto"/>
        <w:ind w:left="4320" w:firstLine="0"/>
        <w:rPr>
          <w:rFonts w:eastAsia="Times New Roman" w:cs="Arial"/>
          <w:color w:val="000000"/>
        </w:rPr>
      </w:pPr>
    </w:p>
    <w:p w:rsidR="005D7ACB" w:rsidRPr="005D7ACB" w:rsidRDefault="005D7ACB" w:rsidP="004302B8">
      <w:pPr>
        <w:ind w:left="3600"/>
        <w:rPr>
          <w:rFonts w:eastAsia="Times New Roman" w:cs="Arial"/>
          <w:b/>
        </w:rPr>
        <w:sectPr w:rsidR="005D7ACB" w:rsidRPr="005D7ACB" w:rsidSect="001F6B3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5D7ACB">
        <w:rPr>
          <w:rFonts w:eastAsia="Times New Roman" w:cs="Arial"/>
          <w:b/>
        </w:rPr>
        <w:t>Attorneys for Industrial Energy Users-Ohio</w:t>
      </w:r>
    </w:p>
    <w:p w:rsidR="005D7ACB" w:rsidRPr="004302B8" w:rsidRDefault="005D7ACB" w:rsidP="004302B8">
      <w:pPr>
        <w:ind w:firstLine="0"/>
        <w:jc w:val="center"/>
        <w:rPr>
          <w:rFonts w:cs="Arial"/>
          <w:b/>
          <w:caps/>
        </w:rPr>
      </w:pPr>
      <w:r w:rsidRPr="004302B8">
        <w:rPr>
          <w:rFonts w:cs="Arial"/>
          <w:b/>
          <w:caps/>
        </w:rPr>
        <w:lastRenderedPageBreak/>
        <w:t>Certificate of Service</w:t>
      </w:r>
    </w:p>
    <w:p w:rsidR="005D7ACB" w:rsidRPr="005D7ACB" w:rsidRDefault="005D7ACB" w:rsidP="004302B8">
      <w:pPr>
        <w:spacing w:line="240" w:lineRule="auto"/>
        <w:ind w:firstLine="0"/>
        <w:rPr>
          <w:rFonts w:eastAsia="Times New Roman" w:cs="Arial"/>
        </w:rPr>
      </w:pPr>
    </w:p>
    <w:p w:rsidR="005D7ACB" w:rsidRPr="005D7ACB" w:rsidRDefault="005D7ACB" w:rsidP="004302B8">
      <w:pPr>
        <w:rPr>
          <w:rFonts w:eastAsia="Times New Roman" w:cs="Arial"/>
          <w:b/>
          <w:smallCaps/>
        </w:rPr>
      </w:pPr>
      <w:r w:rsidRPr="005D7ACB">
        <w:rPr>
          <w:rFonts w:eastAsia="Times New Roman" w:cs="Arial"/>
        </w:rPr>
        <w:t xml:space="preserve">I hereby certify that a copy of the foregoing </w:t>
      </w:r>
      <w:r w:rsidRPr="004302B8">
        <w:rPr>
          <w:rFonts w:eastAsia="Times New Roman" w:cs="Arial"/>
          <w:i/>
          <w:iCs/>
        </w:rPr>
        <w:t>Reply Brief of Industrial Energy Users-Ohio</w:t>
      </w:r>
      <w:r w:rsidRPr="005D7ACB">
        <w:rPr>
          <w:rFonts w:eastAsia="Times New Roman" w:cs="Arial"/>
          <w:i/>
          <w:iCs/>
        </w:rPr>
        <w:t xml:space="preserve"> </w:t>
      </w:r>
      <w:r w:rsidRPr="005D7ACB">
        <w:rPr>
          <w:rFonts w:eastAsia="Times New Roman" w:cs="Arial"/>
        </w:rPr>
        <w:t xml:space="preserve">was served upon the following parties of record this </w:t>
      </w:r>
      <w:r w:rsidRPr="004302B8">
        <w:rPr>
          <w:rFonts w:eastAsia="Times New Roman" w:cs="Arial"/>
        </w:rPr>
        <w:t>17th</w:t>
      </w:r>
      <w:r w:rsidRPr="005D7ACB">
        <w:rPr>
          <w:rFonts w:eastAsia="Times New Roman" w:cs="Arial"/>
        </w:rPr>
        <w:t xml:space="preserve"> day of </w:t>
      </w:r>
      <w:r w:rsidRPr="004302B8">
        <w:rPr>
          <w:rFonts w:eastAsia="Times New Roman" w:cs="Arial"/>
        </w:rPr>
        <w:t>March</w:t>
      </w:r>
      <w:r w:rsidRPr="005D7ACB">
        <w:rPr>
          <w:rFonts w:eastAsia="Times New Roman" w:cs="Arial"/>
        </w:rPr>
        <w:t xml:space="preserve"> 201</w:t>
      </w:r>
      <w:r w:rsidRPr="004302B8">
        <w:rPr>
          <w:rFonts w:eastAsia="Times New Roman" w:cs="Arial"/>
        </w:rPr>
        <w:t>4</w:t>
      </w:r>
      <w:r w:rsidRPr="005D7ACB">
        <w:rPr>
          <w:rFonts w:eastAsia="Times New Roman" w:cs="Arial"/>
        </w:rPr>
        <w:t xml:space="preserve">, </w:t>
      </w:r>
      <w:r w:rsidRPr="005D7ACB">
        <w:rPr>
          <w:rFonts w:eastAsia="Times New Roman" w:cs="Arial"/>
          <w:i/>
        </w:rPr>
        <w:t>via</w:t>
      </w:r>
      <w:r w:rsidRPr="005D7ACB">
        <w:rPr>
          <w:rFonts w:eastAsia="Times New Roman" w:cs="Arial"/>
        </w:rPr>
        <w:t xml:space="preserve"> electronic transmission, hand-delivery or first class U.S. mail, postage prepaid.</w:t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5040"/>
          <w:tab w:val="center" w:pos="7200"/>
          <w:tab w:val="right" w:pos="9360"/>
        </w:tabs>
        <w:spacing w:line="240" w:lineRule="auto"/>
        <w:ind w:firstLine="5040"/>
        <w:rPr>
          <w:rFonts w:eastAsia="Times New Roman" w:cs="Arial"/>
        </w:rPr>
      </w:pPr>
      <w:r w:rsidRPr="005D7ACB">
        <w:rPr>
          <w:rFonts w:eastAsia="Times New Roman" w:cs="Arial"/>
          <w:u w:val="single"/>
        </w:rPr>
        <w:t xml:space="preserve">  /s/ </w:t>
      </w:r>
      <w:r w:rsidRPr="004302B8">
        <w:rPr>
          <w:rFonts w:eastAsia="Times New Roman" w:cs="Arial"/>
          <w:u w:val="single"/>
        </w:rPr>
        <w:t>Frank P. Darr</w:t>
      </w:r>
      <w:r w:rsidRPr="004302B8">
        <w:rPr>
          <w:rFonts w:eastAsia="Times New Roman" w:cs="Arial"/>
          <w:u w:val="single"/>
        </w:rPr>
        <w:tab/>
      </w:r>
      <w:r w:rsidRPr="005D7ACB">
        <w:rPr>
          <w:rFonts w:eastAsia="Times New Roman" w:cs="Arial"/>
          <w:u w:val="single"/>
        </w:rPr>
        <w:tab/>
      </w:r>
    </w:p>
    <w:p w:rsidR="005D7ACB" w:rsidRPr="005D7ACB" w:rsidRDefault="005D7ACB" w:rsidP="004302B8">
      <w:pPr>
        <w:tabs>
          <w:tab w:val="left" w:pos="-1440"/>
          <w:tab w:val="left" w:pos="-720"/>
          <w:tab w:val="left" w:pos="5040"/>
          <w:tab w:val="center" w:pos="7200"/>
        </w:tabs>
        <w:spacing w:line="240" w:lineRule="auto"/>
        <w:ind w:firstLine="5040"/>
        <w:rPr>
          <w:rFonts w:eastAsia="Times New Roman" w:cs="Arial"/>
        </w:rPr>
      </w:pPr>
      <w:r w:rsidRPr="005D7ACB">
        <w:rPr>
          <w:rFonts w:eastAsia="Times New Roman" w:cs="Arial"/>
        </w:rPr>
        <w:tab/>
      </w:r>
      <w:r w:rsidRPr="004302B8">
        <w:rPr>
          <w:rFonts w:eastAsia="Times New Roman" w:cs="Arial"/>
        </w:rPr>
        <w:t>Frank P. Darr</w:t>
      </w:r>
    </w:p>
    <w:p w:rsidR="005D7ACB" w:rsidRPr="004302B8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rPr>
          <w:rFonts w:eastAsia="Times New Roman" w:cs="Arial"/>
          <w:color w:val="000000" w:themeColor="text1"/>
          <w:sz w:val="22"/>
          <w:szCs w:val="22"/>
        </w:rPr>
        <w:sectPr w:rsidR="005D7ACB" w:rsidRPr="005D7AC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lastRenderedPageBreak/>
        <w:t>Steven T. Nourse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Matthew J. Satterwhite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American Electric Power Service Corporation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1 Riverside Plaza, 29</w:t>
      </w:r>
      <w:r w:rsidRPr="005D7ACB">
        <w:rPr>
          <w:rFonts w:eastAsia="Times New Roman" w:cs="Arial"/>
          <w:color w:val="000000" w:themeColor="text1"/>
          <w:sz w:val="22"/>
          <w:szCs w:val="22"/>
          <w:vertAlign w:val="superscript"/>
        </w:rPr>
        <w:t>th</w:t>
      </w:r>
      <w:r w:rsidRPr="005D7ACB">
        <w:rPr>
          <w:rFonts w:eastAsia="Times New Roman" w:cs="Arial"/>
          <w:color w:val="000000" w:themeColor="text1"/>
          <w:sz w:val="22"/>
          <w:szCs w:val="22"/>
        </w:rPr>
        <w:t xml:space="preserve"> Floor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Columbus, OH  43215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stnourse@aep.com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mjsatterwhite@aep.com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b/>
          <w:smallCaps/>
          <w:color w:val="000000" w:themeColor="text1"/>
          <w:sz w:val="22"/>
          <w:szCs w:val="22"/>
        </w:rPr>
      </w:pPr>
      <w:r w:rsidRPr="005D7ACB">
        <w:rPr>
          <w:rFonts w:eastAsia="Times New Roman" w:cs="Arial"/>
          <w:b/>
          <w:smallCaps/>
          <w:color w:val="000000" w:themeColor="text1"/>
          <w:sz w:val="22"/>
          <w:szCs w:val="22"/>
        </w:rPr>
        <w:t>On Behalf of Ohio Power Company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David F. Boehm</w:t>
      </w: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Michael L. Kurtz</w:t>
      </w: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Jody Kyler Cohn</w:t>
      </w: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Boehm, Kurtz &amp; Lowry</w:t>
      </w: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36 East Seventh Street, Suite 1510</w:t>
      </w: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Cincinnati, OH  45202</w:t>
      </w:r>
    </w:p>
    <w:p w:rsidR="005D7ACB" w:rsidRPr="005D7ACB" w:rsidRDefault="00525C71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hyperlink r:id="rId26" w:history="1">
        <w:r w:rsidR="005D7ACB" w:rsidRPr="004302B8">
          <w:rPr>
            <w:rFonts w:eastAsia="Times New Roman" w:cs="Arial"/>
            <w:color w:val="000000" w:themeColor="text1"/>
            <w:sz w:val="22"/>
            <w:szCs w:val="22"/>
          </w:rPr>
          <w:t>dboehm@BKLlawfirm.com</w:t>
        </w:r>
      </w:hyperlink>
    </w:p>
    <w:p w:rsidR="005D7ACB" w:rsidRPr="005D7ACB" w:rsidRDefault="00525C71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hyperlink r:id="rId27" w:history="1">
        <w:r w:rsidR="005D7ACB" w:rsidRPr="004302B8">
          <w:rPr>
            <w:rFonts w:eastAsia="Times New Roman" w:cs="Arial"/>
            <w:color w:val="000000" w:themeColor="text1"/>
            <w:sz w:val="22"/>
            <w:szCs w:val="22"/>
          </w:rPr>
          <w:t>mkurtz@BKLlawfirm.com</w:t>
        </w:r>
      </w:hyperlink>
    </w:p>
    <w:p w:rsidR="005D7ACB" w:rsidRPr="005D7ACB" w:rsidRDefault="00525C71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hyperlink r:id="rId28" w:history="1">
        <w:r w:rsidR="005D7ACB" w:rsidRPr="004302B8">
          <w:rPr>
            <w:rFonts w:eastAsia="Times New Roman" w:cs="Arial"/>
            <w:color w:val="000000" w:themeColor="text1"/>
            <w:sz w:val="22"/>
            <w:szCs w:val="22"/>
          </w:rPr>
          <w:t>jkyler@BKLlawfirm.com</w:t>
        </w:r>
      </w:hyperlink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b/>
          <w:smallCaps/>
          <w:color w:val="000000" w:themeColor="text1"/>
          <w:sz w:val="22"/>
          <w:szCs w:val="22"/>
        </w:rPr>
      </w:pPr>
      <w:r w:rsidRPr="005D7ACB">
        <w:rPr>
          <w:rFonts w:eastAsia="Times New Roman" w:cs="Arial"/>
          <w:b/>
          <w:smallCaps/>
          <w:color w:val="000000" w:themeColor="text1"/>
          <w:sz w:val="22"/>
          <w:szCs w:val="22"/>
        </w:rPr>
        <w:t>On Behalf of the Ohio Energy Group</w:t>
      </w: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4302B8">
        <w:rPr>
          <w:rFonts w:eastAsia="Times New Roman" w:cs="Arial"/>
          <w:color w:val="000000" w:themeColor="text1"/>
          <w:sz w:val="22"/>
          <w:szCs w:val="22"/>
        </w:rPr>
        <w:br w:type="column"/>
      </w:r>
      <w:r w:rsidRPr="005D7ACB">
        <w:rPr>
          <w:rFonts w:eastAsia="Times New Roman" w:cs="Arial"/>
          <w:color w:val="000000" w:themeColor="text1"/>
          <w:sz w:val="22"/>
          <w:szCs w:val="22"/>
        </w:rPr>
        <w:lastRenderedPageBreak/>
        <w:t>Terry L. Etter, Counsel of Record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Associate Consumers’ Counsel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Office of the Ohio Consumers’ Counsel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10 W. Broad Street, 18</w:t>
      </w:r>
      <w:r w:rsidRPr="005D7ACB">
        <w:rPr>
          <w:rFonts w:eastAsia="Times New Roman" w:cs="Arial"/>
          <w:color w:val="000000" w:themeColor="text1"/>
          <w:sz w:val="22"/>
          <w:szCs w:val="22"/>
          <w:vertAlign w:val="superscript"/>
        </w:rPr>
        <w:t>th</w:t>
      </w:r>
      <w:r w:rsidRPr="005D7ACB">
        <w:rPr>
          <w:rFonts w:eastAsia="Times New Roman" w:cs="Arial"/>
          <w:color w:val="000000" w:themeColor="text1"/>
          <w:sz w:val="22"/>
          <w:szCs w:val="22"/>
        </w:rPr>
        <w:t xml:space="preserve"> Floor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Columbus, OH  43215-3485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etter@occ.state.oh.us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Kimberly W. Bojko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Carpenter Lipps &amp; Leland LLP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280 Plaza, Suite 1300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280 N. High Street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Columbus, OH  43215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bojko@carpenterlipps.com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b/>
          <w:smallCaps/>
          <w:color w:val="000000" w:themeColor="text1"/>
          <w:sz w:val="22"/>
          <w:szCs w:val="22"/>
        </w:rPr>
      </w:pPr>
      <w:r w:rsidRPr="005D7ACB">
        <w:rPr>
          <w:rFonts w:eastAsia="Times New Roman" w:cs="Arial"/>
          <w:b/>
          <w:smallCaps/>
          <w:color w:val="000000" w:themeColor="text1"/>
          <w:sz w:val="22"/>
          <w:szCs w:val="22"/>
        </w:rPr>
        <w:t>On Behalf of the Office of the Ohio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b/>
          <w:smallCaps/>
          <w:color w:val="000000" w:themeColor="text1"/>
          <w:sz w:val="22"/>
          <w:szCs w:val="22"/>
        </w:rPr>
      </w:pPr>
      <w:r w:rsidRPr="005D7ACB">
        <w:rPr>
          <w:rFonts w:eastAsia="Times New Roman" w:cs="Arial"/>
          <w:b/>
          <w:smallCaps/>
          <w:color w:val="000000" w:themeColor="text1"/>
          <w:sz w:val="22"/>
          <w:szCs w:val="22"/>
        </w:rPr>
        <w:t>Consumers’ Counsel</w:t>
      </w:r>
    </w:p>
    <w:p w:rsidR="005D7ACB" w:rsidRPr="004302B8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Mark S. Yurick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Zachary D. Kravitz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  <w:r w:rsidRPr="005D7ACB">
        <w:rPr>
          <w:rFonts w:cs="Arial"/>
          <w:color w:val="000000" w:themeColor="text1"/>
          <w:sz w:val="22"/>
          <w:szCs w:val="22"/>
        </w:rPr>
        <w:t>Taft Stettinius &amp; Hollister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65 East State Street, Suite 1000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Columbus, OH  43215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myurick@taftlaw.com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zkravitz@taftlaw.com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b/>
          <w:smallCaps/>
          <w:color w:val="000000" w:themeColor="text1"/>
          <w:sz w:val="22"/>
          <w:szCs w:val="22"/>
        </w:rPr>
      </w:pPr>
      <w:r w:rsidRPr="005D7ACB">
        <w:rPr>
          <w:rFonts w:eastAsia="Times New Roman" w:cs="Arial"/>
          <w:b/>
          <w:smallCaps/>
          <w:color w:val="000000" w:themeColor="text1"/>
          <w:sz w:val="22"/>
          <w:szCs w:val="22"/>
        </w:rPr>
        <w:t>On Behalf of The Kroger Co.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b/>
          <w:smallCaps/>
          <w:color w:val="000000" w:themeColor="text1"/>
          <w:sz w:val="22"/>
          <w:szCs w:val="22"/>
        </w:rPr>
      </w:pPr>
    </w:p>
    <w:p w:rsidR="005D7ACB" w:rsidRPr="004302B8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  <w:sectPr w:rsidR="005D7ACB" w:rsidRPr="004302B8" w:rsidSect="00BE31C7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2240" w:h="15840" w:code="1"/>
          <w:pgMar w:top="1440" w:right="1440" w:bottom="1141" w:left="1440" w:header="720" w:footer="720" w:gutter="0"/>
          <w:pgNumType w:start="1"/>
          <w:cols w:num="2" w:space="720"/>
          <w:titlePg/>
          <w:docGrid w:linePitch="326"/>
        </w:sectPr>
      </w:pP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lastRenderedPageBreak/>
        <w:t>Robert A. Brundrett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The Ohio Manufacturers’ Association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33 North High Street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Columbus, OH  43215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rbrundrett@ohiomfg.com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Calibri" w:cs="Arial"/>
          <w:b/>
          <w:smallCaps/>
          <w:color w:val="000000" w:themeColor="text1"/>
          <w:sz w:val="22"/>
          <w:szCs w:val="22"/>
        </w:rPr>
      </w:pPr>
      <w:r w:rsidRPr="005D7ACB">
        <w:rPr>
          <w:rFonts w:eastAsia="Calibri" w:cs="Arial"/>
          <w:b/>
          <w:smallCaps/>
          <w:color w:val="000000" w:themeColor="text1"/>
          <w:sz w:val="22"/>
          <w:szCs w:val="22"/>
        </w:rPr>
        <w:t>On Behalf of The OMA Energy Group</w:t>
      </w: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Richard L. Sites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General Counsel &amp; Senior Director of Health Policy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Ohio Hospital Association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155 East Broad Street, 15</w:t>
      </w:r>
      <w:r w:rsidRPr="005D7ACB">
        <w:rPr>
          <w:rFonts w:eastAsia="Calibri" w:cs="Arial"/>
          <w:color w:val="000000" w:themeColor="text1"/>
          <w:sz w:val="22"/>
          <w:szCs w:val="22"/>
          <w:vertAlign w:val="superscript"/>
        </w:rPr>
        <w:t>th</w:t>
      </w:r>
      <w:r w:rsidRPr="005D7ACB">
        <w:rPr>
          <w:rFonts w:eastAsia="Calibri" w:cs="Arial"/>
          <w:color w:val="000000" w:themeColor="text1"/>
          <w:sz w:val="22"/>
          <w:szCs w:val="22"/>
        </w:rPr>
        <w:t xml:space="preserve"> Floor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Columbus, OH  43215-3620</w:t>
      </w:r>
    </w:p>
    <w:p w:rsidR="005D7ACB" w:rsidRPr="005D7ACB" w:rsidRDefault="00525C71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hyperlink r:id="rId35" w:history="1">
        <w:r w:rsidR="005D7ACB" w:rsidRPr="004302B8">
          <w:rPr>
            <w:rFonts w:eastAsia="Calibri" w:cs="Arial"/>
            <w:color w:val="000000" w:themeColor="text1"/>
            <w:sz w:val="22"/>
            <w:szCs w:val="22"/>
          </w:rPr>
          <w:t>ricks@ohanet.org</w:t>
        </w:r>
      </w:hyperlink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Thomas J. O’Brien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Bricker &amp; Eckler LLP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100 South Third Street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Columbus, OH  43215-4291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  <w:r w:rsidRPr="005D7ACB">
        <w:rPr>
          <w:rFonts w:eastAsia="Calibri" w:cs="Arial"/>
          <w:color w:val="000000" w:themeColor="text1"/>
          <w:sz w:val="22"/>
          <w:szCs w:val="22"/>
        </w:rPr>
        <w:t>tobrien@bricker.com</w:t>
      </w:r>
    </w:p>
    <w:p w:rsidR="005D7ACB" w:rsidRPr="005D7ACB" w:rsidRDefault="005D7ACB" w:rsidP="004302B8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Calibri" w:cs="Arial"/>
          <w:b/>
          <w:smallCaps/>
          <w:color w:val="000000" w:themeColor="text1"/>
          <w:sz w:val="22"/>
          <w:szCs w:val="22"/>
        </w:rPr>
      </w:pPr>
      <w:r w:rsidRPr="005D7ACB">
        <w:rPr>
          <w:rFonts w:eastAsia="Calibri" w:cs="Arial"/>
          <w:b/>
          <w:smallCaps/>
          <w:color w:val="000000" w:themeColor="text1"/>
          <w:sz w:val="22"/>
          <w:szCs w:val="22"/>
        </w:rPr>
        <w:t>On Behalf of the Ohio Hospital Association</w:t>
      </w: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Werner Margard</w:t>
      </w: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Ryan O’Rourke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Assistant Attorneys General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Public Utilities Section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180 E. Broad Street, 6</w:t>
      </w:r>
      <w:r w:rsidRPr="005D7ACB">
        <w:rPr>
          <w:rFonts w:eastAsia="Times New Roman" w:cs="Arial"/>
          <w:color w:val="000000" w:themeColor="text1"/>
          <w:sz w:val="22"/>
          <w:szCs w:val="22"/>
          <w:vertAlign w:val="superscript"/>
        </w:rPr>
        <w:t>th</w:t>
      </w:r>
      <w:r w:rsidRPr="005D7ACB">
        <w:rPr>
          <w:rFonts w:eastAsia="Times New Roman" w:cs="Arial"/>
          <w:color w:val="000000" w:themeColor="text1"/>
          <w:sz w:val="22"/>
          <w:szCs w:val="22"/>
        </w:rPr>
        <w:t xml:space="preserve"> Floor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Columbus, OH  43215-3793</w:t>
      </w:r>
    </w:p>
    <w:p w:rsidR="005D7ACB" w:rsidRPr="005D7ACB" w:rsidRDefault="00525C71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hyperlink r:id="rId36" w:history="1">
        <w:r w:rsidR="005D7ACB" w:rsidRPr="004302B8">
          <w:rPr>
            <w:rFonts w:eastAsia="Times New Roman" w:cs="Arial"/>
            <w:color w:val="000000" w:themeColor="text1"/>
            <w:sz w:val="22"/>
            <w:szCs w:val="22"/>
          </w:rPr>
          <w:t>werner.margard@puc.state.oh.us</w:t>
        </w:r>
      </w:hyperlink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ryan.o'rourke@puc.state.oh.us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b/>
          <w:smallCaps/>
          <w:color w:val="000000" w:themeColor="text1"/>
          <w:sz w:val="22"/>
          <w:szCs w:val="22"/>
        </w:rPr>
      </w:pPr>
      <w:r w:rsidRPr="005D7ACB">
        <w:rPr>
          <w:rFonts w:eastAsia="Times New Roman" w:cs="Arial"/>
          <w:b/>
          <w:smallCaps/>
          <w:color w:val="000000" w:themeColor="text1"/>
          <w:sz w:val="22"/>
          <w:szCs w:val="22"/>
        </w:rPr>
        <w:t>On Behalf of the Staff of the Public Utilities Commission of Ohio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4302B8">
        <w:rPr>
          <w:rFonts w:eastAsia="Times New Roman" w:cs="Arial"/>
          <w:color w:val="000000" w:themeColor="text1"/>
          <w:sz w:val="22"/>
          <w:szCs w:val="22"/>
        </w:rPr>
        <w:br w:type="column"/>
      </w:r>
      <w:r w:rsidRPr="005D7ACB">
        <w:rPr>
          <w:rFonts w:eastAsia="Times New Roman" w:cs="Arial"/>
          <w:color w:val="000000" w:themeColor="text1"/>
          <w:sz w:val="22"/>
          <w:szCs w:val="22"/>
        </w:rPr>
        <w:lastRenderedPageBreak/>
        <w:t>Sarah Parrott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Jonathan Tauber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Attorney Examiners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Public Utilities Commission of Ohio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180 E. Broad Street, 12</w:t>
      </w:r>
      <w:r w:rsidRPr="005D7ACB">
        <w:rPr>
          <w:rFonts w:eastAsia="Times New Roman" w:cs="Arial"/>
          <w:color w:val="000000" w:themeColor="text1"/>
          <w:sz w:val="22"/>
          <w:szCs w:val="22"/>
          <w:vertAlign w:val="superscript"/>
        </w:rPr>
        <w:t>th</w:t>
      </w:r>
      <w:r w:rsidRPr="005D7ACB">
        <w:rPr>
          <w:rFonts w:eastAsia="Times New Roman" w:cs="Arial"/>
          <w:color w:val="000000" w:themeColor="text1"/>
          <w:sz w:val="22"/>
          <w:szCs w:val="22"/>
        </w:rPr>
        <w:t xml:space="preserve"> Floor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Columbus, OH  43215-3793</w:t>
      </w: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r w:rsidRPr="005D7ACB">
        <w:rPr>
          <w:rFonts w:eastAsia="Times New Roman" w:cs="Arial"/>
          <w:color w:val="000000" w:themeColor="text1"/>
          <w:sz w:val="22"/>
          <w:szCs w:val="22"/>
        </w:rPr>
        <w:t>Sarah.Parrot@puc.state.oh.us</w:t>
      </w:r>
    </w:p>
    <w:p w:rsidR="005D7ACB" w:rsidRPr="005D7ACB" w:rsidRDefault="00525C71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  <w:hyperlink r:id="rId37" w:history="1">
        <w:r w:rsidR="005D7ACB" w:rsidRPr="004302B8">
          <w:rPr>
            <w:rFonts w:eastAsia="Times New Roman" w:cs="Arial"/>
            <w:color w:val="000000" w:themeColor="text1"/>
            <w:sz w:val="22"/>
            <w:szCs w:val="22"/>
          </w:rPr>
          <w:t>jonathan.tauber@puc.state.oh.us</w:t>
        </w:r>
      </w:hyperlink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b/>
          <w:smallCaps/>
          <w:color w:val="000000" w:themeColor="text1"/>
          <w:sz w:val="22"/>
          <w:szCs w:val="22"/>
        </w:rPr>
      </w:pPr>
      <w:r w:rsidRPr="005D7ACB">
        <w:rPr>
          <w:rFonts w:eastAsia="Times New Roman" w:cs="Arial"/>
          <w:b/>
          <w:smallCaps/>
          <w:color w:val="000000" w:themeColor="text1"/>
          <w:sz w:val="22"/>
          <w:szCs w:val="22"/>
        </w:rPr>
        <w:t>Attorney Examiners</w:t>
      </w: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tabs>
          <w:tab w:val="left" w:pos="2160"/>
          <w:tab w:val="left" w:pos="2280"/>
        </w:tabs>
        <w:spacing w:line="240" w:lineRule="auto"/>
        <w:ind w:firstLine="0"/>
        <w:jc w:val="left"/>
        <w:rPr>
          <w:rFonts w:eastAsia="Times New Roman" w:cs="Arial"/>
          <w:b/>
          <w:smallCaps/>
          <w:color w:val="000000" w:themeColor="text1"/>
          <w:sz w:val="22"/>
          <w:szCs w:val="22"/>
        </w:rPr>
      </w:pPr>
    </w:p>
    <w:p w:rsidR="005D7ACB" w:rsidRPr="005D7ACB" w:rsidRDefault="005D7ACB" w:rsidP="004302B8">
      <w:pPr>
        <w:spacing w:line="240" w:lineRule="auto"/>
        <w:ind w:firstLine="0"/>
        <w:jc w:val="left"/>
        <w:rPr>
          <w:rFonts w:eastAsia="Times New Roman" w:cs="Arial"/>
        </w:rPr>
      </w:pPr>
    </w:p>
    <w:p w:rsidR="005D7ACB" w:rsidRPr="004302B8" w:rsidRDefault="005D7ACB" w:rsidP="004302B8">
      <w:pPr>
        <w:ind w:firstLine="0"/>
        <w:jc w:val="left"/>
        <w:rPr>
          <w:rFonts w:cs="Arial"/>
        </w:rPr>
      </w:pPr>
    </w:p>
    <w:sectPr w:rsidR="005D7ACB" w:rsidRPr="004302B8" w:rsidSect="005D7ACB">
      <w:pgSz w:w="12240" w:h="15840" w:code="1"/>
      <w:pgMar w:top="1440" w:right="1440" w:bottom="1141" w:left="1440" w:header="720" w:footer="720" w:gutter="0"/>
      <w:pgNumType w:start="1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D8" w:rsidRDefault="004C53D8" w:rsidP="00074DEC">
      <w:pPr>
        <w:spacing w:line="240" w:lineRule="auto"/>
      </w:pPr>
      <w:r>
        <w:separator/>
      </w:r>
    </w:p>
  </w:endnote>
  <w:endnote w:type="continuationSeparator" w:id="0">
    <w:p w:rsidR="004C53D8" w:rsidRDefault="004C53D8" w:rsidP="00074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BC" w:rsidRDefault="007463BC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42" w:rsidRDefault="00525C71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42" w:rsidRPr="00F16EE5" w:rsidRDefault="00525C71">
    <w:pPr>
      <w:pStyle w:val="Footer"/>
    </w:pPr>
    <w:r w:rsidRPr="00525C71">
      <w:rPr>
        <w:noProof/>
        <w:sz w:val="16"/>
      </w:rPr>
      <w:t>{C43003:3 }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42" w:rsidRPr="00F16EE5" w:rsidRDefault="00525C71" w:rsidP="004302B8">
    <w:pPr>
      <w:pStyle w:val="Footer"/>
      <w:ind w:firstLine="0"/>
    </w:pPr>
    <w:r w:rsidRPr="00525C71">
      <w:rPr>
        <w:noProof/>
        <w:sz w:val="16"/>
      </w:rPr>
      <w:t>{C43003:3 }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Pr="004A225A" w:rsidRDefault="00525C71">
    <w:pPr>
      <w:pStyle w:val="Footer"/>
    </w:pPr>
    <w:r w:rsidRPr="00525C71">
      <w:rPr>
        <w:noProof/>
        <w:sz w:val="16"/>
      </w:rPr>
      <w:t>{C43003:3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Pr="004A225A" w:rsidRDefault="00525C71" w:rsidP="00C3640E">
    <w:pPr>
      <w:pStyle w:val="Footer"/>
      <w:ind w:firstLine="0"/>
    </w:pPr>
    <w:r w:rsidRPr="00525C71">
      <w:rPr>
        <w:noProof/>
        <w:sz w:val="16"/>
      </w:rPr>
      <w:t>{C43003:3 }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D7AC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Pr="001F6B30" w:rsidRDefault="00525C71" w:rsidP="00C3640E">
    <w:pPr>
      <w:pStyle w:val="Footer"/>
      <w:ind w:firstLine="0"/>
    </w:pPr>
    <w:r w:rsidRPr="00525C71">
      <w:rPr>
        <w:noProof/>
        <w:sz w:val="16"/>
      </w:rPr>
      <w:t>{C43003:3 }</w:t>
    </w:r>
    <w:sdt>
      <w:sdtPr>
        <w:id w:val="-4859302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D7ACB">
          <w:tab/>
        </w:r>
        <w:r w:rsidR="005D7ACB" w:rsidRPr="001F6B30">
          <w:fldChar w:fldCharType="begin"/>
        </w:r>
        <w:r w:rsidR="005D7ACB" w:rsidRPr="001F6B30">
          <w:instrText xml:space="preserve"> PAGE   \* MERGEFORMAT </w:instrText>
        </w:r>
        <w:r w:rsidR="005D7ACB" w:rsidRPr="001F6B30">
          <w:fldChar w:fldCharType="separate"/>
        </w:r>
        <w:r>
          <w:rPr>
            <w:noProof/>
          </w:rPr>
          <w:t>5</w:t>
        </w:r>
        <w:r w:rsidR="005D7ACB" w:rsidRPr="001F6B30">
          <w:rPr>
            <w:noProof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Pr="001F6B30" w:rsidRDefault="00525C71" w:rsidP="00C3640E">
    <w:pPr>
      <w:pStyle w:val="Footer"/>
      <w:ind w:firstLine="0"/>
    </w:pPr>
    <w:r w:rsidRPr="00525C71">
      <w:rPr>
        <w:noProof/>
        <w:sz w:val="16"/>
      </w:rPr>
      <w:t>{C43003:3 }</w:t>
    </w:r>
    <w:r w:rsidR="005D7ACB">
      <w:rPr>
        <w:noProof/>
        <w:sz w:val="16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D7ACB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25C71">
    <w:pPr>
      <w:pStyle w:val="Footer"/>
    </w:pPr>
    <w:r w:rsidRPr="00525C71">
      <w:rPr>
        <w:noProof/>
        <w:sz w:val="16"/>
      </w:rPr>
      <w:t>{C43003:3 }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25C71" w:rsidP="004302B8">
    <w:pPr>
      <w:pStyle w:val="Footer"/>
      <w:ind w:firstLine="0"/>
    </w:pPr>
    <w:r w:rsidRPr="00525C71">
      <w:rPr>
        <w:noProof/>
        <w:sz w:val="16"/>
      </w:rPr>
      <w:t>{C43003:3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D8" w:rsidRDefault="004C53D8" w:rsidP="00074DEC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C53D8" w:rsidRDefault="004C53D8" w:rsidP="00074DEC">
      <w:pPr>
        <w:spacing w:line="240" w:lineRule="auto"/>
      </w:pPr>
      <w:r>
        <w:continuationSeparator/>
      </w:r>
    </w:p>
  </w:footnote>
  <w:footnote w:id="1">
    <w:p w:rsidR="00AA43D5" w:rsidRDefault="00AA43D5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Initial Post Hearing Brief of Ohio Power Company in Support of the Joint Stipulation (Mar. 3, 2014) (“AEP-Ohio Brief”).</w:t>
      </w:r>
    </w:p>
  </w:footnote>
  <w:footnote w:id="2">
    <w:p w:rsidR="00AA43D5" w:rsidRDefault="00AA43D5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Initial Post-Hearing Brief Submitted on Behalf of the Staff of the Public Utilities Commission of Ohio (Mar. 3, 2014) (“Staff Brief”).</w:t>
      </w:r>
    </w:p>
  </w:footnote>
  <w:footnote w:id="3">
    <w:p w:rsidR="00AA43D5" w:rsidRDefault="00AA43D5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Initial Brief of Industrial Energy Users-Ohio (Mar. 3, 2014) (“IEU-Ohio Brief”).</w:t>
      </w:r>
    </w:p>
  </w:footnote>
  <w:footnote w:id="4">
    <w:p w:rsidR="00AA43D5" w:rsidRDefault="00AA43D5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Initial Post-Hearing Brief by the Office of the Ohio Consumers’ Counsel </w:t>
      </w:r>
      <w:r w:rsidR="003852E3">
        <w:t xml:space="preserve">at </w:t>
      </w:r>
      <w:r w:rsidR="002E58F0">
        <w:t xml:space="preserve">1, </w:t>
      </w:r>
      <w:r w:rsidR="00694160">
        <w:t xml:space="preserve">4 </w:t>
      </w:r>
      <w:r>
        <w:t>(Mar. 3, 2014) (“OCC Brief”)</w:t>
      </w:r>
      <w:r w:rsidR="003852E3">
        <w:t xml:space="preserve"> (Commission should limit total recovery to </w:t>
      </w:r>
      <w:r w:rsidR="00694160">
        <w:t xml:space="preserve">no more than </w:t>
      </w:r>
      <w:r w:rsidR="003852E3">
        <w:t>$24.2 million)</w:t>
      </w:r>
      <w:r w:rsidR="00694160">
        <w:t>.</w:t>
      </w:r>
    </w:p>
  </w:footnote>
  <w:footnote w:id="5">
    <w:p w:rsidR="003852E3" w:rsidRDefault="003852E3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Pr="00C76D67">
        <w:rPr>
          <w:i/>
        </w:rPr>
        <w:t>Id</w:t>
      </w:r>
      <w:r>
        <w:t>. at 8-9.</w:t>
      </w:r>
    </w:p>
  </w:footnote>
  <w:footnote w:id="6">
    <w:p w:rsidR="003852E3" w:rsidRDefault="003852E3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Pr="00C76D67">
        <w:rPr>
          <w:i/>
        </w:rPr>
        <w:t>Id</w:t>
      </w:r>
      <w:r>
        <w:t>. at 38-39.</w:t>
      </w:r>
    </w:p>
  </w:footnote>
  <w:footnote w:id="7">
    <w:p w:rsidR="007632D6" w:rsidRDefault="007632D6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Once again, IEU-Ohio does not take a position regarding the Stipulation’s recommendation for a carrying charge, and it leaves the defense of Storm Services, a contractor used by AEP-Ohio to address the Derecho-related restoration work, to AEP-Ohio.</w:t>
      </w:r>
    </w:p>
  </w:footnote>
  <w:footnote w:id="8">
    <w:p w:rsidR="001D7609" w:rsidRDefault="001D7609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="008A49A3">
        <w:t>AEP-Ohio Brief at 8-11; Staff Brief at unnumbered page 2; IEU-Ohio Brief at 4-5.</w:t>
      </w:r>
    </w:p>
  </w:footnote>
  <w:footnote w:id="9">
    <w:p w:rsidR="00074DEC" w:rsidRDefault="00074DEC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="00AB0C34">
        <w:t xml:space="preserve">OCC Brief </w:t>
      </w:r>
      <w:r>
        <w:t>at 4.</w:t>
      </w:r>
      <w:r w:rsidR="00694160">
        <w:t xml:space="preserve"> </w:t>
      </w:r>
    </w:p>
  </w:footnote>
  <w:footnote w:id="10">
    <w:p w:rsidR="00800ADD" w:rsidRDefault="00800ADD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="002E58F0" w:rsidRPr="00C76D67">
        <w:rPr>
          <w:i/>
        </w:rPr>
        <w:t>Id</w:t>
      </w:r>
      <w:r w:rsidR="002E58F0">
        <w:t>.</w:t>
      </w:r>
      <w:r>
        <w:t xml:space="preserve"> at 8</w:t>
      </w:r>
      <w:r w:rsidR="008A49A3">
        <w:t xml:space="preserve"> (emphasis added)</w:t>
      </w:r>
      <w:r>
        <w:t>.</w:t>
      </w:r>
    </w:p>
  </w:footnote>
  <w:footnote w:id="11">
    <w:p w:rsidR="00800ADD" w:rsidRDefault="00800ADD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Pr="00163C79">
        <w:rPr>
          <w:i/>
        </w:rPr>
        <w:t>Id</w:t>
      </w:r>
      <w:r>
        <w:t xml:space="preserve">. at 7, citing </w:t>
      </w:r>
      <w:r w:rsidRPr="00163C79">
        <w:rPr>
          <w:i/>
        </w:rPr>
        <w:t>In the Matter of the Application of Columbus Southern Power Company and Ohio Power Company, Individually and, if Their Proposed Merger is Approved, as a Merged Company (Collectively AEP-Ohio) for an Increase in Electric Distribution Rates,</w:t>
      </w:r>
      <w:r>
        <w:t xml:space="preserve"> Case No. 11-351</w:t>
      </w:r>
      <w:r w:rsidR="00694160">
        <w:t>-EL-AIR</w:t>
      </w:r>
      <w:r>
        <w:t xml:space="preserve">, </w:t>
      </w:r>
      <w:r w:rsidRPr="00163C79">
        <w:rPr>
          <w:i/>
        </w:rPr>
        <w:t>et al</w:t>
      </w:r>
      <w:r>
        <w:t>., Opinion and Order at 9 (Dec. 14, 2011.)</w:t>
      </w:r>
    </w:p>
  </w:footnote>
  <w:footnote w:id="12">
    <w:p w:rsidR="003E28E5" w:rsidRDefault="003E28E5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Pr="003E28E5">
        <w:rPr>
          <w:i/>
        </w:rPr>
        <w:t>In the Matter of the Application of Vectren Energy Delivery of Ohio, Inc., for Approval of an Alternative Rate Plan for Continuation of its Distribution Replacement Rider</w:t>
      </w:r>
      <w:r w:rsidRPr="003E28E5">
        <w:t>, Case No. 13-1571-GA-ALT, Opinion and Order at 10 (Feb. 19, 2014).</w:t>
      </w:r>
    </w:p>
  </w:footnote>
  <w:footnote w:id="13">
    <w:p w:rsidR="008438B3" w:rsidRDefault="008438B3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OCC </w:t>
      </w:r>
      <w:r w:rsidR="002E58F0">
        <w:t>Brief</w:t>
      </w:r>
      <w:r>
        <w:t xml:space="preserve"> at 38.</w:t>
      </w:r>
    </w:p>
  </w:footnote>
  <w:footnote w:id="14">
    <w:p w:rsidR="00D905DA" w:rsidRDefault="00D905DA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Pr="00163C79">
        <w:rPr>
          <w:i/>
        </w:rPr>
        <w:t>Id</w:t>
      </w:r>
      <w:r>
        <w:t>. at 38-39.</w:t>
      </w:r>
    </w:p>
  </w:footnote>
  <w:footnote w:id="15">
    <w:p w:rsidR="00D905DA" w:rsidRDefault="00D905DA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Pr="00163C79">
        <w:rPr>
          <w:i/>
        </w:rPr>
        <w:t>Id</w:t>
      </w:r>
      <w:r>
        <w:t>. at 39.</w:t>
      </w:r>
    </w:p>
  </w:footnote>
  <w:footnote w:id="16">
    <w:p w:rsidR="00D905DA" w:rsidRDefault="00D905DA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Stipulation at 4</w:t>
      </w:r>
      <w:r w:rsidR="00694160">
        <w:t>.</w:t>
      </w:r>
    </w:p>
  </w:footnote>
  <w:footnote w:id="17">
    <w:p w:rsidR="00D905DA" w:rsidRDefault="00D905DA" w:rsidP="00BE6BE0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="00C76D67">
        <w:t xml:space="preserve">OCC’s witness indicates that that allocation of revenue should be guided by cost-causation principles.  </w:t>
      </w:r>
      <w:r>
        <w:t xml:space="preserve">Tr. Vol. V at 898.  </w:t>
      </w:r>
    </w:p>
  </w:footnote>
  <w:footnote w:id="18">
    <w:p w:rsidR="00F00AB9" w:rsidRDefault="00F00AB9" w:rsidP="00F00AB9">
      <w:pPr>
        <w:pStyle w:val="FootnoteText"/>
        <w:spacing w:after="120"/>
        <w:ind w:firstLine="0"/>
      </w:pPr>
      <w:r>
        <w:rPr>
          <w:rStyle w:val="FootnoteReference"/>
        </w:rPr>
        <w:footnoteRef/>
      </w:r>
      <w:r>
        <w:t xml:space="preserve"> </w:t>
      </w:r>
      <w:r w:rsidR="002E58F0" w:rsidRPr="00C76D67">
        <w:rPr>
          <w:i/>
        </w:rPr>
        <w:t>Id</w:t>
      </w:r>
      <w:r w:rsidR="002E58F0">
        <w:t>.</w:t>
      </w:r>
      <w:r>
        <w:t xml:space="preserve"> at 899.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BC" w:rsidRDefault="007463BC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42" w:rsidRDefault="00525C71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42" w:rsidRDefault="00525C71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42" w:rsidRDefault="00525C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BC" w:rsidRDefault="007463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D7ACB" w:rsidP="00C3640E">
    <w:pPr>
      <w:pStyle w:val="Header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D7AC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D7ACB" w:rsidP="00C3640E">
    <w:pPr>
      <w:pStyle w:val="Header"/>
      <w:ind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D7ACB" w:rsidP="00C3640E">
    <w:pPr>
      <w:pStyle w:val="Header"/>
      <w:ind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D7ACB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D7ACB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CB" w:rsidRDefault="005D7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B6D6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704C4B"/>
    <w:multiLevelType w:val="multilevel"/>
    <w:tmpl w:val="996E93E6"/>
    <w:name w:val="Ind. Energy Users Group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i/>
        <w:caps w:val="0"/>
        <w:color w:val="01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faultNumberOfLevelsInTOCForThisScheme" w:val="3"/>
    <w:docVar w:name="LastSchemeChoice" w:val="Ind. Energy Users Group"/>
    <w:docVar w:name="LastSchemeUniqueID" w:val="1"/>
    <w:docVar w:name="Option0True" w:val="False"/>
    <w:docVar w:name="Option1True" w:val="False"/>
    <w:docVar w:name="Option2True" w:val="False"/>
  </w:docVars>
  <w:rsids>
    <w:rsidRoot w:val="00074DEC"/>
    <w:rsid w:val="00074DEC"/>
    <w:rsid w:val="0009519C"/>
    <w:rsid w:val="00121388"/>
    <w:rsid w:val="00163C79"/>
    <w:rsid w:val="001664ED"/>
    <w:rsid w:val="001D7609"/>
    <w:rsid w:val="002C3865"/>
    <w:rsid w:val="002E58F0"/>
    <w:rsid w:val="003032F7"/>
    <w:rsid w:val="00321A5B"/>
    <w:rsid w:val="003852E3"/>
    <w:rsid w:val="003E28E5"/>
    <w:rsid w:val="004302B8"/>
    <w:rsid w:val="004C53D8"/>
    <w:rsid w:val="00500B24"/>
    <w:rsid w:val="00525C71"/>
    <w:rsid w:val="0054155A"/>
    <w:rsid w:val="00586C3E"/>
    <w:rsid w:val="005D7ACB"/>
    <w:rsid w:val="00694160"/>
    <w:rsid w:val="00734262"/>
    <w:rsid w:val="0074301A"/>
    <w:rsid w:val="007463BC"/>
    <w:rsid w:val="007632D6"/>
    <w:rsid w:val="00763C0B"/>
    <w:rsid w:val="00800ADD"/>
    <w:rsid w:val="008438B3"/>
    <w:rsid w:val="008A014C"/>
    <w:rsid w:val="008A49A3"/>
    <w:rsid w:val="008D130B"/>
    <w:rsid w:val="008E3BF4"/>
    <w:rsid w:val="00960912"/>
    <w:rsid w:val="009874C0"/>
    <w:rsid w:val="00A21550"/>
    <w:rsid w:val="00AA43D5"/>
    <w:rsid w:val="00AB0C34"/>
    <w:rsid w:val="00B557FF"/>
    <w:rsid w:val="00BC7533"/>
    <w:rsid w:val="00BE6BE0"/>
    <w:rsid w:val="00C0405A"/>
    <w:rsid w:val="00C13F43"/>
    <w:rsid w:val="00C633A9"/>
    <w:rsid w:val="00C76D67"/>
    <w:rsid w:val="00D905DA"/>
    <w:rsid w:val="00F00AB9"/>
    <w:rsid w:val="00F1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0B"/>
  </w:style>
  <w:style w:type="paragraph" w:styleId="Heading1">
    <w:name w:val="heading 1"/>
    <w:basedOn w:val="Normal"/>
    <w:next w:val="Normal"/>
    <w:link w:val="Heading1Char"/>
    <w:uiPriority w:val="9"/>
    <w:qFormat/>
    <w:rsid w:val="003852E3"/>
    <w:pPr>
      <w:numPr>
        <w:numId w:val="1"/>
      </w:numPr>
      <w:tabs>
        <w:tab w:val="clear" w:pos="720"/>
      </w:tabs>
      <w:spacing w:after="240" w:line="240" w:lineRule="auto"/>
      <w:outlineLvl w:val="0"/>
    </w:pPr>
    <w:rPr>
      <w:rFonts w:eastAsiaTheme="majorEastAsia" w:cs="Arial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2E3"/>
    <w:pPr>
      <w:numPr>
        <w:ilvl w:val="1"/>
        <w:numId w:val="1"/>
      </w:numPr>
      <w:spacing w:after="240" w:line="240" w:lineRule="auto"/>
      <w:outlineLvl w:val="1"/>
    </w:pPr>
    <w:rPr>
      <w:rFonts w:eastAsiaTheme="majorEastAsia" w:cs="Arial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2E3"/>
    <w:pPr>
      <w:numPr>
        <w:ilvl w:val="2"/>
        <w:numId w:val="1"/>
      </w:numPr>
      <w:spacing w:after="240" w:line="240" w:lineRule="auto"/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2E3"/>
    <w:pPr>
      <w:numPr>
        <w:ilvl w:val="3"/>
        <w:numId w:val="1"/>
      </w:numPr>
      <w:spacing w:after="240" w:line="240" w:lineRule="auto"/>
      <w:outlineLvl w:val="3"/>
    </w:pPr>
    <w:rPr>
      <w:rFonts w:eastAsiaTheme="majorEastAsia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2E3"/>
    <w:pPr>
      <w:numPr>
        <w:ilvl w:val="4"/>
        <w:numId w:val="1"/>
      </w:numPr>
      <w:spacing w:after="240" w:line="240" w:lineRule="auto"/>
      <w:outlineLvl w:val="4"/>
    </w:pPr>
    <w:rPr>
      <w:rFonts w:asciiTheme="majorHAnsi" w:eastAsiaTheme="majorEastAsia" w:hAnsiTheme="majorHAnsi" w:cs="Arial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2E3"/>
    <w:pPr>
      <w:numPr>
        <w:ilvl w:val="5"/>
        <w:numId w:val="1"/>
      </w:numPr>
      <w:spacing w:after="240" w:line="240" w:lineRule="auto"/>
      <w:outlineLvl w:val="5"/>
    </w:pPr>
    <w:rPr>
      <w:rFonts w:asciiTheme="majorHAnsi" w:eastAsiaTheme="majorEastAsia" w:hAnsiTheme="majorHAnsi" w:cs="Arial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2E3"/>
    <w:pPr>
      <w:numPr>
        <w:ilvl w:val="6"/>
        <w:numId w:val="1"/>
      </w:numPr>
      <w:spacing w:after="240" w:line="240" w:lineRule="auto"/>
      <w:outlineLvl w:val="6"/>
    </w:pPr>
    <w:rPr>
      <w:rFonts w:asciiTheme="majorHAnsi" w:eastAsiaTheme="majorEastAsia" w:hAnsiTheme="majorHAnsi" w:cs="Arial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2E3"/>
    <w:pPr>
      <w:numPr>
        <w:ilvl w:val="7"/>
        <w:numId w:val="1"/>
      </w:numPr>
      <w:spacing w:after="240" w:line="240" w:lineRule="auto"/>
      <w:outlineLvl w:val="7"/>
    </w:pPr>
    <w:rPr>
      <w:rFonts w:asciiTheme="majorHAnsi" w:eastAsiaTheme="majorEastAsia" w:hAnsiTheme="majorHAnsi" w:cs="Arial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2E3"/>
    <w:pPr>
      <w:numPr>
        <w:ilvl w:val="8"/>
        <w:numId w:val="1"/>
      </w:numPr>
      <w:spacing w:after="240" w:line="240" w:lineRule="auto"/>
      <w:outlineLvl w:val="8"/>
    </w:pPr>
    <w:rPr>
      <w:rFonts w:asciiTheme="majorHAnsi" w:eastAsiaTheme="majorEastAsia" w:hAnsiTheme="majorHAnsi" w:cs="Arial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301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0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4D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75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33"/>
  </w:style>
  <w:style w:type="paragraph" w:styleId="Footer">
    <w:name w:val="footer"/>
    <w:basedOn w:val="Normal"/>
    <w:link w:val="FooterChar"/>
    <w:uiPriority w:val="99"/>
    <w:unhideWhenUsed/>
    <w:rsid w:val="00BC75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33"/>
  </w:style>
  <w:style w:type="character" w:customStyle="1" w:styleId="Heading1Char">
    <w:name w:val="Heading 1 Char"/>
    <w:basedOn w:val="DefaultParagraphFont"/>
    <w:link w:val="Heading1"/>
    <w:uiPriority w:val="9"/>
    <w:rsid w:val="003852E3"/>
    <w:rPr>
      <w:rFonts w:eastAsiaTheme="majorEastAsia" w:cs="Arial"/>
      <w:b/>
      <w:bCs/>
      <w:cap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2E3"/>
    <w:rPr>
      <w:rFonts w:eastAsiaTheme="majorEastAsia" w:cs="Arial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2E3"/>
    <w:rPr>
      <w:rFonts w:eastAsiaTheme="majorEastAsia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2E3"/>
    <w:rPr>
      <w:rFonts w:eastAsiaTheme="majorEastAsia" w:cs="Arial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2E3"/>
    <w:rPr>
      <w:rFonts w:asciiTheme="majorHAnsi" w:eastAsiaTheme="majorEastAsia" w:hAnsiTheme="majorHAnsi" w:cs="Ari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2E3"/>
    <w:rPr>
      <w:rFonts w:asciiTheme="majorHAnsi" w:eastAsiaTheme="majorEastAsia" w:hAnsiTheme="majorHAnsi" w:cs="Arial"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2E3"/>
    <w:rPr>
      <w:rFonts w:asciiTheme="majorHAnsi" w:eastAsiaTheme="majorEastAsia" w:hAnsiTheme="majorHAnsi" w:cs="Arial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2E3"/>
    <w:rPr>
      <w:rFonts w:asciiTheme="majorHAnsi" w:eastAsiaTheme="majorEastAsia" w:hAnsiTheme="majorHAnsi" w:cs="Arial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2E3"/>
    <w:rPr>
      <w:rFonts w:asciiTheme="majorHAnsi" w:eastAsiaTheme="majorEastAsia" w:hAnsiTheme="majorHAnsi" w:cs="Arial"/>
      <w:iCs/>
      <w:color w:val="404040" w:themeColor="text1" w:themeTint="BF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85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52E3"/>
  </w:style>
  <w:style w:type="paragraph" w:styleId="BalloonText">
    <w:name w:val="Balloon Text"/>
    <w:basedOn w:val="Normal"/>
    <w:link w:val="BalloonTextChar"/>
    <w:uiPriority w:val="99"/>
    <w:semiHidden/>
    <w:unhideWhenUsed/>
    <w:rsid w:val="00694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6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9416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0B"/>
  </w:style>
  <w:style w:type="paragraph" w:styleId="Heading1">
    <w:name w:val="heading 1"/>
    <w:basedOn w:val="Normal"/>
    <w:next w:val="Normal"/>
    <w:link w:val="Heading1Char"/>
    <w:uiPriority w:val="9"/>
    <w:qFormat/>
    <w:rsid w:val="003852E3"/>
    <w:pPr>
      <w:numPr>
        <w:numId w:val="1"/>
      </w:numPr>
      <w:tabs>
        <w:tab w:val="clear" w:pos="720"/>
      </w:tabs>
      <w:spacing w:after="240" w:line="240" w:lineRule="auto"/>
      <w:outlineLvl w:val="0"/>
    </w:pPr>
    <w:rPr>
      <w:rFonts w:eastAsiaTheme="majorEastAsia" w:cs="Arial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2E3"/>
    <w:pPr>
      <w:numPr>
        <w:ilvl w:val="1"/>
        <w:numId w:val="1"/>
      </w:numPr>
      <w:spacing w:after="240" w:line="240" w:lineRule="auto"/>
      <w:outlineLvl w:val="1"/>
    </w:pPr>
    <w:rPr>
      <w:rFonts w:eastAsiaTheme="majorEastAsia" w:cs="Arial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2E3"/>
    <w:pPr>
      <w:numPr>
        <w:ilvl w:val="2"/>
        <w:numId w:val="1"/>
      </w:numPr>
      <w:spacing w:after="240" w:line="240" w:lineRule="auto"/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2E3"/>
    <w:pPr>
      <w:numPr>
        <w:ilvl w:val="3"/>
        <w:numId w:val="1"/>
      </w:numPr>
      <w:spacing w:after="240" w:line="240" w:lineRule="auto"/>
      <w:outlineLvl w:val="3"/>
    </w:pPr>
    <w:rPr>
      <w:rFonts w:eastAsiaTheme="majorEastAsia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2E3"/>
    <w:pPr>
      <w:numPr>
        <w:ilvl w:val="4"/>
        <w:numId w:val="1"/>
      </w:numPr>
      <w:spacing w:after="240" w:line="240" w:lineRule="auto"/>
      <w:outlineLvl w:val="4"/>
    </w:pPr>
    <w:rPr>
      <w:rFonts w:asciiTheme="majorHAnsi" w:eastAsiaTheme="majorEastAsia" w:hAnsiTheme="majorHAnsi" w:cs="Arial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2E3"/>
    <w:pPr>
      <w:numPr>
        <w:ilvl w:val="5"/>
        <w:numId w:val="1"/>
      </w:numPr>
      <w:spacing w:after="240" w:line="240" w:lineRule="auto"/>
      <w:outlineLvl w:val="5"/>
    </w:pPr>
    <w:rPr>
      <w:rFonts w:asciiTheme="majorHAnsi" w:eastAsiaTheme="majorEastAsia" w:hAnsiTheme="majorHAnsi" w:cs="Arial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2E3"/>
    <w:pPr>
      <w:numPr>
        <w:ilvl w:val="6"/>
        <w:numId w:val="1"/>
      </w:numPr>
      <w:spacing w:after="240" w:line="240" w:lineRule="auto"/>
      <w:outlineLvl w:val="6"/>
    </w:pPr>
    <w:rPr>
      <w:rFonts w:asciiTheme="majorHAnsi" w:eastAsiaTheme="majorEastAsia" w:hAnsiTheme="majorHAnsi" w:cs="Arial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2E3"/>
    <w:pPr>
      <w:numPr>
        <w:ilvl w:val="7"/>
        <w:numId w:val="1"/>
      </w:numPr>
      <w:spacing w:after="240" w:line="240" w:lineRule="auto"/>
      <w:outlineLvl w:val="7"/>
    </w:pPr>
    <w:rPr>
      <w:rFonts w:asciiTheme="majorHAnsi" w:eastAsiaTheme="majorEastAsia" w:hAnsiTheme="majorHAnsi" w:cs="Arial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2E3"/>
    <w:pPr>
      <w:numPr>
        <w:ilvl w:val="8"/>
        <w:numId w:val="1"/>
      </w:numPr>
      <w:spacing w:after="240" w:line="240" w:lineRule="auto"/>
      <w:outlineLvl w:val="8"/>
    </w:pPr>
    <w:rPr>
      <w:rFonts w:asciiTheme="majorHAnsi" w:eastAsiaTheme="majorEastAsia" w:hAnsiTheme="majorHAnsi" w:cs="Arial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301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0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4D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75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33"/>
  </w:style>
  <w:style w:type="paragraph" w:styleId="Footer">
    <w:name w:val="footer"/>
    <w:basedOn w:val="Normal"/>
    <w:link w:val="FooterChar"/>
    <w:uiPriority w:val="99"/>
    <w:unhideWhenUsed/>
    <w:rsid w:val="00BC75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33"/>
  </w:style>
  <w:style w:type="character" w:customStyle="1" w:styleId="Heading1Char">
    <w:name w:val="Heading 1 Char"/>
    <w:basedOn w:val="DefaultParagraphFont"/>
    <w:link w:val="Heading1"/>
    <w:uiPriority w:val="9"/>
    <w:rsid w:val="003852E3"/>
    <w:rPr>
      <w:rFonts w:eastAsiaTheme="majorEastAsia" w:cs="Arial"/>
      <w:b/>
      <w:bCs/>
      <w:cap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2E3"/>
    <w:rPr>
      <w:rFonts w:eastAsiaTheme="majorEastAsia" w:cs="Arial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2E3"/>
    <w:rPr>
      <w:rFonts w:eastAsiaTheme="majorEastAsia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2E3"/>
    <w:rPr>
      <w:rFonts w:eastAsiaTheme="majorEastAsia" w:cs="Arial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2E3"/>
    <w:rPr>
      <w:rFonts w:asciiTheme="majorHAnsi" w:eastAsiaTheme="majorEastAsia" w:hAnsiTheme="majorHAnsi" w:cs="Ari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2E3"/>
    <w:rPr>
      <w:rFonts w:asciiTheme="majorHAnsi" w:eastAsiaTheme="majorEastAsia" w:hAnsiTheme="majorHAnsi" w:cs="Arial"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2E3"/>
    <w:rPr>
      <w:rFonts w:asciiTheme="majorHAnsi" w:eastAsiaTheme="majorEastAsia" w:hAnsiTheme="majorHAnsi" w:cs="Arial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2E3"/>
    <w:rPr>
      <w:rFonts w:asciiTheme="majorHAnsi" w:eastAsiaTheme="majorEastAsia" w:hAnsiTheme="majorHAnsi" w:cs="Arial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2E3"/>
    <w:rPr>
      <w:rFonts w:asciiTheme="majorHAnsi" w:eastAsiaTheme="majorEastAsia" w:hAnsiTheme="majorHAnsi" w:cs="Arial"/>
      <w:iCs/>
      <w:color w:val="404040" w:themeColor="text1" w:themeTint="BF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85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52E3"/>
  </w:style>
  <w:style w:type="paragraph" w:styleId="BalloonText">
    <w:name w:val="Balloon Text"/>
    <w:basedOn w:val="Normal"/>
    <w:link w:val="BalloonTextChar"/>
    <w:uiPriority w:val="99"/>
    <w:semiHidden/>
    <w:unhideWhenUsed/>
    <w:rsid w:val="00694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6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9416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mailto:dboehm@BKLlawfirm.co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1.xml"/><Relationship Id="rId37" Type="http://schemas.openxmlformats.org/officeDocument/2006/relationships/hyperlink" Target="mailto:jonathan.tauber@puc.state.oh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yperlink" Target="mailto:jkyler@BKLlawfirm.com" TargetMode="External"/><Relationship Id="rId36" Type="http://schemas.openxmlformats.org/officeDocument/2006/relationships/hyperlink" Target="mailto:werner.margard@puc.state.oh.us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yperlink" Target="mailto:mkurtz@BKLlawfirm.com" TargetMode="External"/><Relationship Id="rId30" Type="http://schemas.openxmlformats.org/officeDocument/2006/relationships/header" Target="header11.xml"/><Relationship Id="rId35" Type="http://schemas.openxmlformats.org/officeDocument/2006/relationships/hyperlink" Target="mailto:ricks@oha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1331</Words>
  <Characters>8064</Characters>
  <Application>Microsoft Office Word</Application>
  <DocSecurity>0</DocSecurity>
  <PresentationFormat/>
  <Lines>253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storm case; reply brief (C43003-3).DOCX</vt:lpstr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 case; reply brief (C43003-3).DOCX</dc:title>
  <dc:subject>C43003:3 /font=8</dc:subject>
  <dc:creator>Frank Darr</dc:creator>
  <cp:keywords/>
  <dc:description/>
  <cp:lastModifiedBy>kbowman</cp:lastModifiedBy>
  <cp:revision>8</cp:revision>
  <dcterms:created xsi:type="dcterms:W3CDTF">2014-03-11T20:00:00Z</dcterms:created>
  <dcterms:modified xsi:type="dcterms:W3CDTF">2014-03-17T18:54:00Z</dcterms:modified>
</cp:coreProperties>
</file>