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9369F" w:rsidRPr="0085159F" w:rsidP="0039369F" w14:paraId="51451AE3" w14:textId="77777777">
      <w:pPr>
        <w:jc w:val="center"/>
        <w:rPr>
          <w:b/>
        </w:rPr>
      </w:pPr>
      <w:bookmarkStart w:id="0" w:name="_GoBack"/>
      <w:bookmarkEnd w:id="0"/>
      <w:r w:rsidRPr="0085159F">
        <w:rPr>
          <w:b/>
        </w:rPr>
        <w:t>BEFORE</w:t>
      </w:r>
    </w:p>
    <w:p w:rsidR="0039369F" w:rsidRPr="0085159F" w:rsidP="0039369F" w14:paraId="63255134" w14:textId="77777777">
      <w:pPr>
        <w:jc w:val="center"/>
        <w:rPr>
          <w:b/>
        </w:rPr>
      </w:pPr>
      <w:r w:rsidRPr="0085159F">
        <w:rPr>
          <w:b/>
        </w:rPr>
        <w:t>THE PUBLIC UTILITIES COMMISSION OF OHIO</w:t>
      </w:r>
    </w:p>
    <w:p w:rsidR="0039369F" w:rsidRPr="0085159F" w:rsidP="0039369F" w14:paraId="55E926C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tbl>
      <w:tblPr>
        <w:tblW w:w="8766" w:type="dxa"/>
        <w:tblLook w:val="00A0"/>
      </w:tblPr>
      <w:tblGrid>
        <w:gridCol w:w="3888"/>
        <w:gridCol w:w="1170"/>
        <w:gridCol w:w="3708"/>
      </w:tblGrid>
      <w:tr w14:paraId="4DFDDE3D" w14:textId="77777777" w:rsidTr="00812E26">
        <w:tblPrEx>
          <w:tblW w:w="8766" w:type="dxa"/>
          <w:tblLook w:val="00A0"/>
        </w:tblPrEx>
        <w:trPr>
          <w:trHeight w:val="1512"/>
        </w:trPr>
        <w:tc>
          <w:tcPr>
            <w:tcW w:w="3888" w:type="dxa"/>
            <w:shd w:val="clear" w:color="auto" w:fill="auto"/>
          </w:tcPr>
          <w:p w:rsidR="008A43C1" w:rsidRPr="0085159F" w:rsidP="008A43C1" w14:paraId="6C827F8E" w14:textId="77777777">
            <w:pPr>
              <w:pStyle w:val="HTMLPreformatted"/>
              <w:rPr>
                <w:rFonts w:ascii="Times New Roman" w:hAnsi="Times New Roman" w:cs="Times New Roman"/>
                <w:sz w:val="24"/>
                <w:szCs w:val="24"/>
              </w:rPr>
            </w:pPr>
            <w:r w:rsidRPr="0085159F">
              <w:rPr>
                <w:rFonts w:ascii="Times New Roman" w:hAnsi="Times New Roman" w:cs="Times New Roman"/>
                <w:sz w:val="24"/>
                <w:szCs w:val="24"/>
              </w:rPr>
              <w:t>In the Matter of the Commission’s Investigation into PALMco Power OH, LLC, d/b/a Indra Energy and PALMco Energy OH, LLC d/b/a Indra Energy’s Compliance with the Ohio Administrative Code and Potential Remedial Action.</w:t>
            </w:r>
          </w:p>
          <w:p w:rsidR="008A43C1" w:rsidRPr="0085159F" w:rsidP="008A43C1" w14:paraId="656458CE" w14:textId="55736B56"/>
        </w:tc>
        <w:tc>
          <w:tcPr>
            <w:tcW w:w="1170" w:type="dxa"/>
            <w:shd w:val="clear" w:color="auto" w:fill="auto"/>
          </w:tcPr>
          <w:p w:rsidR="008A43C1" w:rsidRPr="0085159F" w:rsidP="008A43C1" w14:paraId="55AFB82B" w14:textId="77777777">
            <w:pPr>
              <w:pStyle w:val="HTMLPreformatted"/>
              <w:rPr>
                <w:rFonts w:ascii="Times New Roman" w:hAnsi="Times New Roman" w:cs="Times New Roman"/>
                <w:sz w:val="24"/>
                <w:szCs w:val="24"/>
              </w:rPr>
            </w:pPr>
            <w:r w:rsidRPr="0085159F">
              <w:rPr>
                <w:rFonts w:ascii="Times New Roman" w:hAnsi="Times New Roman" w:cs="Times New Roman"/>
                <w:sz w:val="24"/>
                <w:szCs w:val="24"/>
              </w:rPr>
              <w:t>)</w:t>
            </w:r>
          </w:p>
          <w:p w:rsidR="008A43C1" w:rsidRPr="0085159F" w:rsidP="008A43C1" w14:paraId="51392196" w14:textId="77777777">
            <w:pPr>
              <w:pStyle w:val="HTMLPreformatted"/>
              <w:rPr>
                <w:rFonts w:ascii="Times New Roman" w:hAnsi="Times New Roman" w:cs="Times New Roman"/>
                <w:sz w:val="24"/>
                <w:szCs w:val="24"/>
              </w:rPr>
            </w:pPr>
            <w:r w:rsidRPr="0085159F">
              <w:rPr>
                <w:rFonts w:ascii="Times New Roman" w:hAnsi="Times New Roman" w:cs="Times New Roman"/>
                <w:sz w:val="24"/>
                <w:szCs w:val="24"/>
              </w:rPr>
              <w:t>)</w:t>
            </w:r>
          </w:p>
          <w:p w:rsidR="008A43C1" w:rsidRPr="0085159F" w:rsidP="008A43C1" w14:paraId="17CA5AC6" w14:textId="77777777">
            <w:pPr>
              <w:pStyle w:val="HTMLPreformatted"/>
              <w:rPr>
                <w:rFonts w:ascii="Times New Roman" w:hAnsi="Times New Roman" w:cs="Times New Roman"/>
                <w:sz w:val="24"/>
                <w:szCs w:val="24"/>
              </w:rPr>
            </w:pPr>
            <w:r w:rsidRPr="0085159F">
              <w:rPr>
                <w:rFonts w:ascii="Times New Roman" w:hAnsi="Times New Roman" w:cs="Times New Roman"/>
                <w:sz w:val="24"/>
                <w:szCs w:val="24"/>
              </w:rPr>
              <w:t>)</w:t>
            </w:r>
          </w:p>
          <w:p w:rsidR="008A43C1" w:rsidRPr="0085159F" w:rsidP="008A43C1" w14:paraId="49092B41" w14:textId="77777777">
            <w:pPr>
              <w:pStyle w:val="HTMLPreformatted"/>
              <w:rPr>
                <w:rFonts w:ascii="Times New Roman" w:hAnsi="Times New Roman" w:cs="Times New Roman"/>
                <w:sz w:val="24"/>
                <w:szCs w:val="24"/>
              </w:rPr>
            </w:pPr>
            <w:r w:rsidRPr="0085159F">
              <w:rPr>
                <w:rFonts w:ascii="Times New Roman" w:hAnsi="Times New Roman" w:cs="Times New Roman"/>
                <w:sz w:val="24"/>
                <w:szCs w:val="24"/>
              </w:rPr>
              <w:t>)</w:t>
            </w:r>
          </w:p>
          <w:p w:rsidR="008A43C1" w:rsidRPr="0085159F" w:rsidP="008A43C1" w14:paraId="7FCD47D5" w14:textId="77777777">
            <w:pPr>
              <w:pStyle w:val="HTMLPreformatted"/>
              <w:rPr>
                <w:rFonts w:ascii="Times New Roman" w:hAnsi="Times New Roman" w:cs="Times New Roman"/>
                <w:sz w:val="24"/>
                <w:szCs w:val="24"/>
              </w:rPr>
            </w:pPr>
            <w:r w:rsidRPr="0085159F">
              <w:rPr>
                <w:rFonts w:ascii="Times New Roman" w:hAnsi="Times New Roman" w:cs="Times New Roman"/>
                <w:sz w:val="24"/>
                <w:szCs w:val="24"/>
              </w:rPr>
              <w:t>)</w:t>
            </w:r>
          </w:p>
          <w:p w:rsidR="008A43C1" w:rsidRPr="0085159F" w:rsidP="008A43C1" w14:paraId="0149B3D0" w14:textId="77777777">
            <w:pPr>
              <w:pStyle w:val="HTMLPreformatted"/>
              <w:rPr>
                <w:rFonts w:ascii="Times New Roman" w:hAnsi="Times New Roman" w:cs="Times New Roman"/>
                <w:sz w:val="24"/>
                <w:szCs w:val="24"/>
              </w:rPr>
            </w:pPr>
            <w:r w:rsidRPr="0085159F">
              <w:rPr>
                <w:rFonts w:ascii="Times New Roman" w:hAnsi="Times New Roman" w:cs="Times New Roman"/>
                <w:sz w:val="24"/>
                <w:szCs w:val="24"/>
              </w:rPr>
              <w:t>)</w:t>
            </w:r>
          </w:p>
          <w:p w:rsidR="008A43C1" w:rsidRPr="0085159F" w:rsidP="00CB5DDE" w14:paraId="15814C70" w14:textId="0D2A5521">
            <w:r w:rsidRPr="0085159F">
              <w:t>)</w:t>
            </w:r>
          </w:p>
        </w:tc>
        <w:tc>
          <w:tcPr>
            <w:tcW w:w="3708" w:type="dxa"/>
            <w:shd w:val="clear" w:color="auto" w:fill="auto"/>
          </w:tcPr>
          <w:p w:rsidR="008A43C1" w:rsidRPr="0085159F" w:rsidP="008A43C1" w14:paraId="1C5E1BB0" w14:textId="77777777">
            <w:pPr>
              <w:pStyle w:val="HTMLPreformatted"/>
              <w:rPr>
                <w:rFonts w:ascii="Times New Roman" w:hAnsi="Times New Roman" w:cs="Times New Roman"/>
                <w:sz w:val="24"/>
                <w:szCs w:val="24"/>
              </w:rPr>
            </w:pPr>
          </w:p>
          <w:p w:rsidR="008A43C1" w:rsidRPr="0085159F" w:rsidP="008A43C1" w14:paraId="6158EEDA" w14:textId="77777777">
            <w:pPr>
              <w:pStyle w:val="HTMLPreformatted"/>
              <w:rPr>
                <w:rFonts w:ascii="Times New Roman" w:hAnsi="Times New Roman" w:cs="Times New Roman"/>
                <w:sz w:val="24"/>
                <w:szCs w:val="24"/>
              </w:rPr>
            </w:pPr>
          </w:p>
          <w:p w:rsidR="008A43C1" w:rsidRPr="0085159F" w:rsidP="008A43C1" w14:paraId="2BCFF8B7" w14:textId="77777777">
            <w:pPr>
              <w:pStyle w:val="HTMLPreformatted"/>
              <w:rPr>
                <w:rFonts w:ascii="Times New Roman" w:hAnsi="Times New Roman" w:cs="Times New Roman"/>
                <w:sz w:val="24"/>
                <w:szCs w:val="24"/>
              </w:rPr>
            </w:pPr>
            <w:r w:rsidRPr="0085159F">
              <w:rPr>
                <w:rFonts w:ascii="Times New Roman" w:hAnsi="Times New Roman" w:cs="Times New Roman"/>
                <w:sz w:val="24"/>
                <w:szCs w:val="24"/>
              </w:rPr>
              <w:t xml:space="preserve">Case No. 19-2153-GE-COI </w:t>
            </w:r>
          </w:p>
          <w:p w:rsidR="008A43C1" w:rsidRPr="0085159F" w:rsidP="008A43C1" w14:paraId="0346CB9C" w14:textId="73139F8F"/>
        </w:tc>
      </w:tr>
    </w:tbl>
    <w:p w:rsidR="0039369F" w:rsidRPr="0085159F" w:rsidP="0039369F" w14:paraId="1F439757" w14:textId="77777777">
      <w:pPr>
        <w:pBdr>
          <w:top w:val="single" w:sz="4" w:space="1" w:color="auto"/>
          <w:bottom w:val="single" w:sz="4" w:space="1" w:color="auto"/>
        </w:pBdr>
        <w:jc w:val="center"/>
        <w:rPr>
          <w:b/>
        </w:rPr>
      </w:pPr>
    </w:p>
    <w:p w:rsidR="0039369F" w:rsidRPr="0085159F" w:rsidP="0039369F" w14:paraId="64FAE1A6" w14:textId="6E573399">
      <w:pPr>
        <w:pBdr>
          <w:top w:val="single" w:sz="4" w:space="1" w:color="auto"/>
          <w:bottom w:val="single" w:sz="4" w:space="1" w:color="auto"/>
        </w:pBdr>
        <w:jc w:val="center"/>
        <w:rPr>
          <w:b/>
        </w:rPr>
      </w:pPr>
      <w:r w:rsidRPr="0085159F">
        <w:rPr>
          <w:b/>
        </w:rPr>
        <w:t xml:space="preserve">MEMORANDUM CONTRA PALMCO’S MOTION </w:t>
      </w:r>
      <w:r w:rsidRPr="0085159F" w:rsidR="001E0D1C">
        <w:rPr>
          <w:b/>
        </w:rPr>
        <w:t>FOR EXTENSION</w:t>
      </w:r>
    </w:p>
    <w:p w:rsidR="0039369F" w:rsidRPr="0085159F" w:rsidP="0039369F" w14:paraId="07AF79D8" w14:textId="77777777">
      <w:pPr>
        <w:pBdr>
          <w:top w:val="single" w:sz="4" w:space="1" w:color="auto"/>
          <w:bottom w:val="single" w:sz="4" w:space="1" w:color="auto"/>
        </w:pBdr>
        <w:jc w:val="center"/>
        <w:rPr>
          <w:b/>
        </w:rPr>
      </w:pPr>
      <w:r w:rsidRPr="0085159F">
        <w:rPr>
          <w:b/>
        </w:rPr>
        <w:t>BY</w:t>
      </w:r>
    </w:p>
    <w:p w:rsidR="0039369F" w:rsidRPr="0085159F" w:rsidP="0039369F" w14:paraId="71E21374" w14:textId="78CE0EDB">
      <w:pPr>
        <w:pBdr>
          <w:top w:val="single" w:sz="4" w:space="1" w:color="auto"/>
          <w:bottom w:val="single" w:sz="4" w:space="1" w:color="auto"/>
        </w:pBdr>
        <w:jc w:val="center"/>
        <w:rPr>
          <w:b/>
        </w:rPr>
      </w:pPr>
      <w:r w:rsidRPr="0085159F">
        <w:rPr>
          <w:b/>
        </w:rPr>
        <w:t>OFFICE OF THE OHIO CONSUMERS’ COUNSEL</w:t>
      </w:r>
    </w:p>
    <w:p w:rsidR="0039369F" w:rsidRPr="0085159F" w:rsidP="0039369F" w14:paraId="09114DFE" w14:textId="77777777">
      <w:pPr>
        <w:pBdr>
          <w:top w:val="single" w:sz="4" w:space="1" w:color="auto"/>
          <w:bottom w:val="single" w:sz="4" w:space="1" w:color="auto"/>
        </w:pBdr>
        <w:jc w:val="center"/>
      </w:pPr>
    </w:p>
    <w:p w:rsidR="0039369F" w:rsidRPr="0085159F" w:rsidP="0039369F" w14:paraId="77E9BEB2" w14:textId="77777777">
      <w:pPr>
        <w:jc w:val="center"/>
        <w:rPr>
          <w:b/>
        </w:rPr>
      </w:pPr>
    </w:p>
    <w:p w:rsidR="00982A9D" w:rsidRPr="0085159F" w:rsidP="00902D61" w14:paraId="45A0B3ED" w14:textId="647B90C1">
      <w:pPr>
        <w:pStyle w:val="ListParagraph"/>
        <w:numPr>
          <w:ilvl w:val="0"/>
          <w:numId w:val="2"/>
        </w:numPr>
        <w:spacing w:line="480" w:lineRule="auto"/>
        <w:ind w:left="720"/>
        <w:rPr>
          <w:b/>
          <w:bCs/>
        </w:rPr>
      </w:pPr>
      <w:r w:rsidRPr="0085159F">
        <w:rPr>
          <w:b/>
          <w:bCs/>
        </w:rPr>
        <w:t>INTRODUCTION</w:t>
      </w:r>
    </w:p>
    <w:p w:rsidR="00EF0ECA" w:rsidRPr="0085159F" w:rsidP="00982A9D" w14:paraId="65B00502" w14:textId="051773D7">
      <w:pPr>
        <w:spacing w:line="480" w:lineRule="auto"/>
        <w:ind w:firstLine="720"/>
      </w:pPr>
      <w:r w:rsidRPr="0085159F">
        <w:t>From the beginning of this proceeding, PALMco</w:t>
      </w:r>
      <w:r>
        <w:rPr>
          <w:rStyle w:val="FootnoteReference"/>
          <w:sz w:val="24"/>
        </w:rPr>
        <w:footnoteReference w:id="2"/>
      </w:r>
      <w:r w:rsidRPr="0085159F">
        <w:t xml:space="preserve"> </w:t>
      </w:r>
      <w:r w:rsidRPr="0085159F" w:rsidR="00941E51">
        <w:t>has done everything it can to</w:t>
      </w:r>
      <w:r w:rsidRPr="0085159F">
        <w:t xml:space="preserve"> prevent OCC – the statutory legal representative of the Ohio residential consumers PALMco abused – from preparing a case for consumer protection. PALMco</w:t>
      </w:r>
      <w:r w:rsidRPr="0085159F" w:rsidR="00772ACE">
        <w:t xml:space="preserve"> vigorously opposed OCC’s intervention in this case and it has</w:t>
      </w:r>
      <w:r w:rsidRPr="0085159F">
        <w:t xml:space="preserve"> refuse</w:t>
      </w:r>
      <w:r w:rsidRPr="0085159F" w:rsidR="00772ACE">
        <w:t>d</w:t>
      </w:r>
      <w:r w:rsidRPr="0085159F">
        <w:t xml:space="preserve"> to abide by </w:t>
      </w:r>
      <w:r w:rsidRPr="0085159F" w:rsidR="00A87668">
        <w:t>the Attorney Examiner</w:t>
      </w:r>
      <w:r w:rsidRPr="0085159F" w:rsidR="007E11F5">
        <w:t>’</w:t>
      </w:r>
      <w:r w:rsidRPr="0085159F" w:rsidR="00A87668">
        <w:t xml:space="preserve">s </w:t>
      </w:r>
      <w:r w:rsidRPr="0085159F" w:rsidR="00941E51">
        <w:t>orders</w:t>
      </w:r>
      <w:r w:rsidRPr="0085159F">
        <w:t xml:space="preserve"> to produce discovery to OCC</w:t>
      </w:r>
      <w:r w:rsidRPr="0085159F" w:rsidR="0052648A">
        <w:t>,</w:t>
      </w:r>
      <w:r w:rsidRPr="0085159F" w:rsidR="00A87668">
        <w:t xml:space="preserve"> forcing </w:t>
      </w:r>
      <w:r w:rsidRPr="0085159F" w:rsidR="00772ACE">
        <w:t>OCC to expend considerable resources to</w:t>
      </w:r>
      <w:r w:rsidRPr="0085159F" w:rsidR="005C1763">
        <w:t xml:space="preserve"> advocate for consumers</w:t>
      </w:r>
      <w:r w:rsidRPr="0085159F">
        <w:t xml:space="preserve">. PALMco now </w:t>
      </w:r>
      <w:r w:rsidRPr="0085159F" w:rsidR="00772ACE">
        <w:t xml:space="preserve">asks </w:t>
      </w:r>
      <w:r w:rsidRPr="0085159F" w:rsidR="005C1763">
        <w:t xml:space="preserve">the </w:t>
      </w:r>
      <w:r w:rsidRPr="0085159F" w:rsidR="004C2026">
        <w:t>Public Utilities Commission of Ohio (“</w:t>
      </w:r>
      <w:r w:rsidRPr="0085159F" w:rsidR="005C1763">
        <w:t>PUCO</w:t>
      </w:r>
      <w:r w:rsidRPr="0085159F" w:rsidR="004C2026">
        <w:t>”)</w:t>
      </w:r>
      <w:r w:rsidRPr="0085159F" w:rsidR="005C1763">
        <w:t xml:space="preserve"> </w:t>
      </w:r>
      <w:r w:rsidRPr="0085159F" w:rsidR="00B72844">
        <w:t xml:space="preserve">for </w:t>
      </w:r>
      <w:r w:rsidRPr="0085159F" w:rsidR="00772ACE">
        <w:t>a</w:t>
      </w:r>
      <w:r w:rsidRPr="0085159F" w:rsidR="00164C7B">
        <w:t xml:space="preserve"> </w:t>
      </w:r>
      <w:r w:rsidRPr="0085159F" w:rsidR="00772ACE">
        <w:t xml:space="preserve">14-day extension to respond to OCC’s </w:t>
      </w:r>
      <w:r w:rsidRPr="0085159F" w:rsidR="00772ACE">
        <w:rPr>
          <w:i/>
          <w:iCs/>
        </w:rPr>
        <w:t>third</w:t>
      </w:r>
      <w:r w:rsidRPr="0085159F" w:rsidR="00772ACE">
        <w:t xml:space="preserve"> Motion to Compel and renewed Motion for Sanctions</w:t>
      </w:r>
      <w:r w:rsidRPr="0085159F" w:rsidR="0052648A">
        <w:t>.</w:t>
      </w:r>
      <w:r w:rsidRPr="0085159F" w:rsidR="003E00B1">
        <w:t xml:space="preserve"> </w:t>
      </w:r>
      <w:r w:rsidRPr="0085159F">
        <w:t xml:space="preserve">A request that will further delay discovery while PALMco has a motion pending for an expedited procedural schedule. </w:t>
      </w:r>
    </w:p>
    <w:p w:rsidR="008E4C93" w:rsidRPr="0085159F" w:rsidP="004610FE" w14:paraId="64A729E3" w14:textId="05DE00B5">
      <w:pPr>
        <w:spacing w:line="480" w:lineRule="auto"/>
        <w:ind w:firstLine="720"/>
      </w:pPr>
      <w:r w:rsidRPr="0085159F">
        <w:t>PALMco’s motion should be denied</w:t>
      </w:r>
      <w:r w:rsidRPr="0085159F" w:rsidR="00941E51">
        <w:t xml:space="preserve"> and the PUCO should (again) order PALMco to respond to OCC’s discovery </w:t>
      </w:r>
      <w:r w:rsidRPr="0085159F" w:rsidR="00941E51">
        <w:rPr>
          <w:i/>
          <w:iCs/>
        </w:rPr>
        <w:t>immediately</w:t>
      </w:r>
      <w:r w:rsidRPr="0085159F">
        <w:t xml:space="preserve">. </w:t>
      </w:r>
      <w:r w:rsidRPr="0085159F" w:rsidR="00941E51">
        <w:t xml:space="preserve">There is no good </w:t>
      </w:r>
      <w:r w:rsidRPr="0085159F" w:rsidR="005C1763">
        <w:t>cause</w:t>
      </w:r>
      <w:r w:rsidRPr="0085159F" w:rsidR="00941E51">
        <w:t xml:space="preserve"> to</w:t>
      </w:r>
      <w:r w:rsidRPr="0085159F" w:rsidR="00D52E4C">
        <w:t xml:space="preserve"> allow PALMco to </w:t>
      </w:r>
      <w:r w:rsidRPr="0085159F" w:rsidR="00D52E4C">
        <w:t xml:space="preserve">continue withholding </w:t>
      </w:r>
      <w:r w:rsidRPr="0085159F" w:rsidR="00941E51">
        <w:t>discovery</w:t>
      </w:r>
      <w:r w:rsidRPr="0085159F" w:rsidR="0031519E">
        <w:t xml:space="preserve"> that </w:t>
      </w:r>
      <w:r w:rsidRPr="0085159F" w:rsidR="00D52E4C">
        <w:t>OCC needs to</w:t>
      </w:r>
      <w:r w:rsidRPr="0085159F">
        <w:t xml:space="preserve"> prepare its case</w:t>
      </w:r>
      <w:r w:rsidRPr="0085159F" w:rsidR="00D52E4C">
        <w:t xml:space="preserve"> </w:t>
      </w:r>
      <w:r w:rsidRPr="0085159F" w:rsidR="00941E51">
        <w:t>and doing so would severely prejudice Ohio consumers.</w:t>
      </w:r>
    </w:p>
    <w:p w:rsidR="00982A9D" w:rsidRPr="0085159F" w:rsidP="00902D61" w14:paraId="3D03CB63" w14:textId="6975542F">
      <w:pPr>
        <w:pStyle w:val="ListParagraph"/>
        <w:numPr>
          <w:ilvl w:val="0"/>
          <w:numId w:val="2"/>
        </w:numPr>
        <w:spacing w:line="480" w:lineRule="auto"/>
        <w:ind w:left="720"/>
        <w:rPr>
          <w:b/>
          <w:bCs/>
        </w:rPr>
      </w:pPr>
      <w:r w:rsidRPr="0085159F">
        <w:rPr>
          <w:b/>
          <w:bCs/>
        </w:rPr>
        <w:t>ARGUMENT</w:t>
      </w:r>
    </w:p>
    <w:p w:rsidR="00FA4655" w:rsidRPr="0085159F" w:rsidP="00902D61" w14:paraId="4F688040" w14:textId="4B259F91">
      <w:pPr>
        <w:pStyle w:val="ListParagraph"/>
        <w:numPr>
          <w:ilvl w:val="0"/>
          <w:numId w:val="3"/>
        </w:numPr>
        <w:ind w:hanging="720"/>
        <w:rPr>
          <w:b/>
          <w:bCs/>
        </w:rPr>
      </w:pPr>
      <w:r w:rsidRPr="0085159F">
        <w:rPr>
          <w:b/>
          <w:bCs/>
        </w:rPr>
        <w:t>Granting PALMco’s motion to further delay discovery would severely prejudice Ohio consumers.</w:t>
      </w:r>
    </w:p>
    <w:p w:rsidR="00234F03" w:rsidRPr="0085159F" w:rsidP="00FA4655" w14:paraId="552B6C36" w14:textId="19BBA9A9">
      <w:pPr>
        <w:pStyle w:val="ListParagraph"/>
        <w:ind w:left="1440"/>
        <w:rPr>
          <w:b/>
          <w:bCs/>
        </w:rPr>
      </w:pPr>
      <w:r w:rsidRPr="0085159F">
        <w:rPr>
          <w:b/>
          <w:bCs/>
        </w:rPr>
        <w:tab/>
      </w:r>
    </w:p>
    <w:p w:rsidR="00CF58B9" w:rsidRPr="0085159F" w:rsidP="00CF58B9" w14:paraId="3CF3733B" w14:textId="77777777">
      <w:pPr>
        <w:spacing w:line="480" w:lineRule="auto"/>
        <w:ind w:firstLine="720"/>
      </w:pPr>
      <w:r w:rsidRPr="0085159F">
        <w:t>PALMco correctly represents that it is involved in settlement discussions with OCC and the PUCO Staff</w:t>
      </w:r>
      <w:r w:rsidRPr="0085159F" w:rsidR="00FA4655">
        <w:t xml:space="preserve">. However, that is no reason for </w:t>
      </w:r>
      <w:r w:rsidRPr="0085159F" w:rsidR="005B71D4">
        <w:t>interrupting</w:t>
      </w:r>
      <w:r w:rsidRPr="0085159F" w:rsidR="00FA4655">
        <w:t xml:space="preserve"> OCC’s </w:t>
      </w:r>
      <w:r w:rsidRPr="0085159F" w:rsidR="005B71D4">
        <w:t>case preparation for consumer protection</w:t>
      </w:r>
      <w:r w:rsidRPr="0085159F" w:rsidR="00005A60">
        <w:t>.</w:t>
      </w:r>
      <w:r w:rsidRPr="0085159F" w:rsidR="00EF0ECA">
        <w:t xml:space="preserve"> </w:t>
      </w:r>
      <w:r w:rsidRPr="0085159F" w:rsidR="00B72844">
        <w:t>Discovery is an important tool needed for both litigation and settlement</w:t>
      </w:r>
      <w:r w:rsidRPr="0085159F">
        <w:t xml:space="preserve">. </w:t>
      </w:r>
      <w:r w:rsidRPr="0085159F" w:rsidR="00EF0ECA">
        <w:t xml:space="preserve">Discovery is needed to flesh out a party’s litigation and settlement positions.  </w:t>
      </w:r>
    </w:p>
    <w:p w:rsidR="008B276E" w:rsidRPr="0085159F" w:rsidP="00CF58B9" w14:paraId="186C8124" w14:textId="16F7D6AD">
      <w:pPr>
        <w:spacing w:line="480" w:lineRule="auto"/>
        <w:ind w:firstLine="720"/>
      </w:pPr>
      <w:r w:rsidRPr="0085159F">
        <w:t xml:space="preserve">Additionally, </w:t>
      </w:r>
      <w:r w:rsidRPr="0085159F" w:rsidR="0031519E">
        <w:t>OCC, the PUCO Staff, and other parties to PUCO proceedings often pursue settlement and litigation simultaneously.</w:t>
      </w:r>
      <w:r w:rsidRPr="0085159F" w:rsidR="00A676B6">
        <w:t xml:space="preserve"> </w:t>
      </w:r>
      <w:r w:rsidRPr="0085159F" w:rsidR="00A36FFE">
        <w:t>As stated in OCC’s</w:t>
      </w:r>
      <w:r w:rsidRPr="0085159F" w:rsidR="00A87668">
        <w:t xml:space="preserve"> third Motion to Compel</w:t>
      </w:r>
      <w:r w:rsidRPr="0085159F" w:rsidR="00A36FFE">
        <w:t>, OCC is still waiting on responses to discovery tha</w:t>
      </w:r>
      <w:r w:rsidRPr="0085159F">
        <w:t>t OCC served on PALMco</w:t>
      </w:r>
      <w:r w:rsidRPr="0085159F" w:rsidR="00A36FFE">
        <w:t xml:space="preserve"> in January and February. </w:t>
      </w:r>
      <w:r w:rsidRPr="0085159F" w:rsidR="00AC46A6">
        <w:t>Granting PALMco’s requested extension woul</w:t>
      </w:r>
      <w:r w:rsidRPr="0085159F">
        <w:t>d further delay</w:t>
      </w:r>
      <w:r w:rsidRPr="0085159F" w:rsidR="00AC46A6">
        <w:t xml:space="preserve"> OCC’s</w:t>
      </w:r>
      <w:r w:rsidRPr="0085159F" w:rsidR="006473D7">
        <w:t xml:space="preserve"> receipt of </w:t>
      </w:r>
      <w:r w:rsidRPr="0085159F" w:rsidR="00865E89">
        <w:t xml:space="preserve">this information and hinder OCC’s ability to prepare </w:t>
      </w:r>
      <w:r w:rsidRPr="0085159F">
        <w:t xml:space="preserve">its </w:t>
      </w:r>
      <w:r w:rsidRPr="0085159F" w:rsidR="00865E89">
        <w:t>case</w:t>
      </w:r>
      <w:r w:rsidRPr="0085159F">
        <w:t xml:space="preserve">, as well as formulate settlement positions.  </w:t>
      </w:r>
    </w:p>
    <w:p w:rsidR="00865E89" w:rsidRPr="0085159F" w:rsidP="008B276E" w14:paraId="271D3EB7" w14:textId="4A6DAEFD">
      <w:pPr>
        <w:spacing w:line="480" w:lineRule="auto"/>
        <w:ind w:firstLine="720"/>
      </w:pPr>
      <w:r w:rsidRPr="0085159F">
        <w:t xml:space="preserve">The prejudice to consumers in granting PALMco’s motion </w:t>
      </w:r>
      <w:r w:rsidRPr="0085159F" w:rsidR="00DA14F3">
        <w:t>is</w:t>
      </w:r>
      <w:r w:rsidRPr="0085159F">
        <w:t xml:space="preserve"> compounded </w:t>
      </w:r>
      <w:r w:rsidRPr="0085159F" w:rsidR="0093404E">
        <w:t>by</w:t>
      </w:r>
      <w:r w:rsidRPr="0085159F">
        <w:t xml:space="preserve"> PALMco’s </w:t>
      </w:r>
      <w:r w:rsidRPr="0085159F" w:rsidR="00A36FFE">
        <w:t>October 13, 2020 motion to establish a</w:t>
      </w:r>
      <w:r w:rsidRPr="0085159F" w:rsidR="00DA14F3">
        <w:t>n expedited</w:t>
      </w:r>
      <w:r w:rsidRPr="0085159F" w:rsidR="00A36FFE">
        <w:t xml:space="preserve"> procedural schedule</w:t>
      </w:r>
      <w:r w:rsidRPr="0085159F">
        <w:t xml:space="preserve">. </w:t>
      </w:r>
      <w:r w:rsidRPr="0085159F" w:rsidR="0093404E">
        <w:t xml:space="preserve">In that motion, </w:t>
      </w:r>
      <w:r w:rsidRPr="0085159F">
        <w:t>PALMco proposed</w:t>
      </w:r>
      <w:r w:rsidRPr="0085159F" w:rsidR="0093404E">
        <w:t xml:space="preserve"> a</w:t>
      </w:r>
      <w:r w:rsidRPr="0085159F">
        <w:t xml:space="preserve"> procedural schedule </w:t>
      </w:r>
      <w:r w:rsidRPr="0085159F" w:rsidR="0093404E">
        <w:t>that</w:t>
      </w:r>
      <w:r w:rsidRPr="0085159F">
        <w:t xml:space="preserve"> unreasonably</w:t>
      </w:r>
      <w:r w:rsidRPr="0085159F" w:rsidR="0093404E">
        <w:t xml:space="preserve"> </w:t>
      </w:r>
      <w:r w:rsidRPr="0085159F">
        <w:t xml:space="preserve">short-circuits </w:t>
      </w:r>
      <w:r w:rsidRPr="0085159F" w:rsidR="0093404E">
        <w:t>OCC’s ability to conduct any additional discovery by requesting a discovery cutoff of November 9, 2020 (including notices for deposition).</w:t>
      </w:r>
      <w:r>
        <w:rPr>
          <w:rStyle w:val="FootnoteReference"/>
          <w:sz w:val="24"/>
        </w:rPr>
        <w:footnoteReference w:id="3"/>
      </w:r>
      <w:r w:rsidRPr="0085159F" w:rsidR="0093404E">
        <w:t xml:space="preserve"> </w:t>
      </w:r>
      <w:r w:rsidRPr="0085159F" w:rsidR="006504B3">
        <w:t>PALMco’s proposed schedule also requests</w:t>
      </w:r>
      <w:r w:rsidRPr="0085159F" w:rsidR="00A36FFE">
        <w:t xml:space="preserve"> an evidentiary hearing date of December 7, 2020</w:t>
      </w:r>
      <w:r w:rsidRPr="0085159F" w:rsidR="0093404E">
        <w:t xml:space="preserve"> –</w:t>
      </w:r>
      <w:r w:rsidRPr="0085159F" w:rsidR="00A36FFE">
        <w:t xml:space="preserve"> </w:t>
      </w:r>
      <w:r w:rsidRPr="0085159F" w:rsidR="0093404E">
        <w:t>less</w:t>
      </w:r>
      <w:r w:rsidRPr="0085159F" w:rsidR="00A36FFE">
        <w:t xml:space="preserve"> than three weeks from </w:t>
      </w:r>
      <w:r w:rsidRPr="0085159F" w:rsidR="00A36FFE">
        <w:t>now.</w:t>
      </w:r>
      <w:r>
        <w:rPr>
          <w:rStyle w:val="FootnoteReference"/>
          <w:sz w:val="24"/>
        </w:rPr>
        <w:footnoteReference w:id="4"/>
      </w:r>
      <w:r w:rsidRPr="0085159F" w:rsidR="00A36FFE">
        <w:t xml:space="preserve"> </w:t>
      </w:r>
      <w:r w:rsidRPr="0085159F">
        <w:rPr>
          <w:i/>
          <w:iCs/>
        </w:rPr>
        <w:t>Yet PALMco still refuses to respond fully to OCC’s discovery served at the beginning of this year.</w:t>
      </w:r>
      <w:r w:rsidRPr="0085159F">
        <w:t xml:space="preserve"> </w:t>
      </w:r>
    </w:p>
    <w:p w:rsidR="00A36FFE" w:rsidRPr="0085159F" w:rsidP="008B276E" w14:paraId="7ECB0F7D" w14:textId="65A4BCE9">
      <w:pPr>
        <w:spacing w:line="480" w:lineRule="auto"/>
        <w:ind w:firstLine="720"/>
      </w:pPr>
      <w:r w:rsidRPr="0085159F">
        <w:t>OCC filed a memorandum contra opposing PALMco’s motion and proposing a more reasonable schedule that would allow OCC time to receive, review, and conduct follow up discovery if necessary in preparation for an evidentiary hearing.</w:t>
      </w:r>
      <w:r>
        <w:rPr>
          <w:rStyle w:val="FootnoteReference"/>
          <w:sz w:val="24"/>
        </w:rPr>
        <w:footnoteReference w:id="5"/>
      </w:r>
      <w:r w:rsidRPr="0085159F">
        <w:t xml:space="preserve"> </w:t>
      </w:r>
      <w:r w:rsidRPr="0085159F" w:rsidR="004C2026">
        <w:t xml:space="preserve">The </w:t>
      </w:r>
      <w:r w:rsidRPr="0085159F">
        <w:t xml:space="preserve">PUCO Staff also opposed PALMco’s motion for </w:t>
      </w:r>
      <w:r w:rsidRPr="0085159F" w:rsidR="00865E89">
        <w:t xml:space="preserve">a </w:t>
      </w:r>
      <w:r w:rsidRPr="0085159F">
        <w:t>procedural schedule.</w:t>
      </w:r>
      <w:r>
        <w:rPr>
          <w:rStyle w:val="FootnoteReference"/>
          <w:sz w:val="24"/>
        </w:rPr>
        <w:footnoteReference w:id="6"/>
      </w:r>
      <w:r w:rsidRPr="0085159F">
        <w:t xml:space="preserve"> PALMco’s </w:t>
      </w:r>
      <w:r w:rsidRPr="0085159F" w:rsidR="006504B3">
        <w:t>current</w:t>
      </w:r>
      <w:r w:rsidRPr="0085159F">
        <w:t xml:space="preserve"> motion for a 14-day extension to respond to OCC’s third </w:t>
      </w:r>
      <w:r w:rsidRPr="0085159F" w:rsidR="00865E89">
        <w:t>M</w:t>
      </w:r>
      <w:r w:rsidRPr="0085159F">
        <w:t xml:space="preserve">otion to </w:t>
      </w:r>
      <w:r w:rsidRPr="0085159F" w:rsidR="00865E89">
        <w:t>C</w:t>
      </w:r>
      <w:r w:rsidRPr="0085159F">
        <w:t>ompel would further delay resolution of discovery issues causing more prejudice to Ohio consumers.</w:t>
      </w:r>
      <w:r w:rsidRPr="0085159F" w:rsidR="00941E51">
        <w:t xml:space="preserve"> </w:t>
      </w:r>
    </w:p>
    <w:p w:rsidR="00A36FFE" w:rsidRPr="0085159F" w:rsidP="006504B3" w14:paraId="16070AD2" w14:textId="58AFD227">
      <w:pPr>
        <w:spacing w:line="480" w:lineRule="auto"/>
        <w:ind w:firstLine="720"/>
      </w:pPr>
      <w:r w:rsidRPr="0085159F">
        <w:t>Before PALMco filed its motion</w:t>
      </w:r>
      <w:r w:rsidRPr="0085159F" w:rsidR="00447C3D">
        <w:t xml:space="preserve"> for extension</w:t>
      </w:r>
      <w:r w:rsidRPr="0085159F">
        <w:t>, PALMco asked OCC to agree to a</w:t>
      </w:r>
      <w:r w:rsidRPr="0085159F" w:rsidR="00447C3D">
        <w:t>n extension of</w:t>
      </w:r>
      <w:r w:rsidRPr="0085159F">
        <w:t xml:space="preserve"> 14</w:t>
      </w:r>
      <w:r w:rsidRPr="0085159F" w:rsidR="00447C3D">
        <w:t xml:space="preserve"> </w:t>
      </w:r>
      <w:r w:rsidRPr="0085159F" w:rsidR="005373AE">
        <w:t>day</w:t>
      </w:r>
      <w:r w:rsidRPr="0085159F" w:rsidR="00447C3D">
        <w:t>s</w:t>
      </w:r>
      <w:r w:rsidRPr="0085159F">
        <w:t>. OCC generally</w:t>
      </w:r>
      <w:r w:rsidRPr="0085159F" w:rsidR="00612620">
        <w:t xml:space="preserve"> attempts</w:t>
      </w:r>
      <w:r w:rsidRPr="0085159F">
        <w:t xml:space="preserve"> </w:t>
      </w:r>
      <w:r w:rsidRPr="0085159F" w:rsidR="00A32907">
        <w:t xml:space="preserve">to </w:t>
      </w:r>
      <w:r w:rsidRPr="0085159F">
        <w:t>cooperate with parties on extension requests</w:t>
      </w:r>
      <w:r w:rsidRPr="0085159F" w:rsidR="005373AE">
        <w:t>. However,</w:t>
      </w:r>
      <w:r w:rsidRPr="0085159F">
        <w:t xml:space="preserve"> PALMco’s</w:t>
      </w:r>
      <w:r w:rsidRPr="0085159F" w:rsidR="005373AE">
        <w:t xml:space="preserve"> continued</w:t>
      </w:r>
      <w:r w:rsidRPr="0085159F">
        <w:t xml:space="preserve"> </w:t>
      </w:r>
      <w:r w:rsidRPr="0085159F" w:rsidR="005373AE">
        <w:t>refusal to</w:t>
      </w:r>
      <w:r w:rsidRPr="0085159F">
        <w:t xml:space="preserve"> abide by the</w:t>
      </w:r>
      <w:r w:rsidRPr="0085159F" w:rsidR="00941E51">
        <w:t xml:space="preserve"> Attorney Examiner</w:t>
      </w:r>
      <w:r w:rsidRPr="0085159F" w:rsidR="007E11F5">
        <w:t>’</w:t>
      </w:r>
      <w:r w:rsidRPr="0085159F" w:rsidR="00941E51">
        <w:t>s orders</w:t>
      </w:r>
      <w:r w:rsidRPr="0085159F">
        <w:t xml:space="preserve"> to produce discovery to OCC</w:t>
      </w:r>
      <w:r w:rsidRPr="0085159F" w:rsidR="00A32907">
        <w:t>,</w:t>
      </w:r>
      <w:r>
        <w:rPr>
          <w:rStyle w:val="FootnoteReference"/>
          <w:sz w:val="24"/>
        </w:rPr>
        <w:footnoteReference w:id="7"/>
      </w:r>
      <w:r w:rsidRPr="0085159F">
        <w:t xml:space="preserve"> along </w:t>
      </w:r>
      <w:r w:rsidRPr="0085159F" w:rsidR="00A32907">
        <w:t xml:space="preserve">with the unreasonably </w:t>
      </w:r>
      <w:r w:rsidRPr="0085159F" w:rsidR="00DA14F3">
        <w:t xml:space="preserve">expedited </w:t>
      </w:r>
      <w:r w:rsidRPr="0085159F">
        <w:t>procedural schedule</w:t>
      </w:r>
      <w:r w:rsidRPr="0085159F" w:rsidR="00A32907">
        <w:t xml:space="preserve"> </w:t>
      </w:r>
      <w:r w:rsidRPr="0085159F" w:rsidR="00DA14F3">
        <w:t xml:space="preserve">proposed by </w:t>
      </w:r>
      <w:r w:rsidRPr="0085159F" w:rsidR="00A32907">
        <w:t>PALMco</w:t>
      </w:r>
      <w:r w:rsidRPr="0085159F">
        <w:t>, made OCC’s “unconditional”</w:t>
      </w:r>
      <w:r>
        <w:rPr>
          <w:rStyle w:val="FootnoteReference"/>
          <w:sz w:val="24"/>
        </w:rPr>
        <w:footnoteReference w:id="8"/>
      </w:r>
      <w:r w:rsidRPr="0085159F">
        <w:t xml:space="preserve"> agreement to PALMco’s extension impossible. </w:t>
      </w:r>
      <w:r w:rsidRPr="0085159F" w:rsidR="00A32907">
        <w:t>Nevertheless</w:t>
      </w:r>
      <w:r w:rsidRPr="0085159F">
        <w:t>,</w:t>
      </w:r>
      <w:r w:rsidRPr="0085159F" w:rsidR="00A32907">
        <w:t xml:space="preserve"> in the spirit of cooperation,</w:t>
      </w:r>
      <w:r w:rsidRPr="0085159F">
        <w:t xml:space="preserve"> OCC </w:t>
      </w:r>
      <w:r w:rsidRPr="0085159F" w:rsidR="00DA14F3">
        <w:t xml:space="preserve">explained </w:t>
      </w:r>
      <w:r w:rsidRPr="0085159F" w:rsidR="00A32907">
        <w:t>to PALMco</w:t>
      </w:r>
      <w:r w:rsidRPr="0085159F">
        <w:t xml:space="preserve"> that </w:t>
      </w:r>
      <w:r w:rsidRPr="0085159F" w:rsidR="00A32907">
        <w:t>OCC</w:t>
      </w:r>
      <w:r w:rsidRPr="0085159F">
        <w:t xml:space="preserve"> would agree to </w:t>
      </w:r>
      <w:r w:rsidRPr="0085159F" w:rsidR="00DA14F3">
        <w:t xml:space="preserve">a 10-day </w:t>
      </w:r>
      <w:r w:rsidRPr="0085159F">
        <w:t>extension</w:t>
      </w:r>
      <w:r w:rsidRPr="0085159F" w:rsidR="0076219A">
        <w:t xml:space="preserve"> </w:t>
      </w:r>
      <w:r w:rsidRPr="0085159F">
        <w:t xml:space="preserve">if PALMco would withdraw its </w:t>
      </w:r>
      <w:r w:rsidRPr="0085159F" w:rsidR="00FB4673">
        <w:t xml:space="preserve">unnecessarily restrictive </w:t>
      </w:r>
      <w:r w:rsidRPr="0085159F">
        <w:t xml:space="preserve">motion for procedural schedule. PALMco did not respond and </w:t>
      </w:r>
      <w:r w:rsidRPr="0085159F" w:rsidR="00FB4673">
        <w:t xml:space="preserve">instead </w:t>
      </w:r>
      <w:r w:rsidRPr="0085159F" w:rsidR="00A32907">
        <w:t>file</w:t>
      </w:r>
      <w:r w:rsidRPr="0085159F" w:rsidR="00FB4673">
        <w:t>d</w:t>
      </w:r>
      <w:r w:rsidRPr="0085159F">
        <w:t xml:space="preserve"> its motion for a</w:t>
      </w:r>
      <w:r w:rsidRPr="0085159F" w:rsidR="004C2026">
        <w:t xml:space="preserve"> 14-day</w:t>
      </w:r>
      <w:r w:rsidRPr="0085159F">
        <w:t xml:space="preserve"> extension</w:t>
      </w:r>
      <w:r w:rsidRPr="0085159F" w:rsidR="004C2026">
        <w:t>.</w:t>
      </w:r>
    </w:p>
    <w:p w:rsidR="002C17D3" w:rsidRPr="0085159F" w:rsidP="00F50576" w14:paraId="00832255" w14:textId="5ABB9E01">
      <w:pPr>
        <w:spacing w:line="480" w:lineRule="auto"/>
        <w:ind w:firstLine="720"/>
      </w:pPr>
      <w:r w:rsidRPr="0085159F">
        <w:t xml:space="preserve">Simply put, </w:t>
      </w:r>
      <w:r w:rsidRPr="0085159F" w:rsidR="00DA14F3">
        <w:t>because of</w:t>
      </w:r>
      <w:r w:rsidRPr="0085159F" w:rsidR="00B72844">
        <w:t xml:space="preserve"> PALMco’s </w:t>
      </w:r>
      <w:r w:rsidRPr="0085159F" w:rsidR="00DA14F3">
        <w:t xml:space="preserve">continued delay </w:t>
      </w:r>
      <w:r w:rsidRPr="0085159F" w:rsidR="006E53E3">
        <w:t xml:space="preserve">(almost 10 months) </w:t>
      </w:r>
      <w:r w:rsidRPr="0085159F" w:rsidR="00DA14F3">
        <w:t>in</w:t>
      </w:r>
      <w:r w:rsidRPr="0085159F" w:rsidR="006E53E3">
        <w:t xml:space="preserve"> producing discovery </w:t>
      </w:r>
      <w:r w:rsidRPr="0085159F" w:rsidR="00DA14F3">
        <w:t xml:space="preserve">and </w:t>
      </w:r>
      <w:r w:rsidRPr="0085159F" w:rsidR="006E53E3">
        <w:t xml:space="preserve">its </w:t>
      </w:r>
      <w:r w:rsidRPr="0085159F" w:rsidR="00DA14F3">
        <w:t xml:space="preserve">reluctance to </w:t>
      </w:r>
      <w:r w:rsidRPr="0085159F" w:rsidR="006E53E3">
        <w:t xml:space="preserve">comply with </w:t>
      </w:r>
      <w:r w:rsidRPr="0085159F" w:rsidR="00DA14F3">
        <w:t>PUC</w:t>
      </w:r>
      <w:r w:rsidRPr="0085159F" w:rsidR="00F53CFE">
        <w:t>O</w:t>
      </w:r>
      <w:r w:rsidRPr="0085159F" w:rsidR="00977FC7">
        <w:t xml:space="preserve"> </w:t>
      </w:r>
      <w:r w:rsidRPr="0085159F" w:rsidR="00DA14F3">
        <w:t xml:space="preserve">directives compelling discovery, </w:t>
      </w:r>
      <w:r w:rsidRPr="0085159F" w:rsidR="00447C3D">
        <w:t xml:space="preserve">OCC does not have the luxury of suspending its case preparation </w:t>
      </w:r>
      <w:r w:rsidRPr="0085159F" w:rsidR="00DA14F3">
        <w:t xml:space="preserve">for two weeks, including </w:t>
      </w:r>
      <w:r w:rsidRPr="0085159F" w:rsidR="00447C3D">
        <w:t>during settlement negotiations. PALMco should know this, as t</w:t>
      </w:r>
      <w:r w:rsidRPr="0085159F" w:rsidR="00F50576">
        <w:t>h</w:t>
      </w:r>
      <w:r w:rsidRPr="0085159F" w:rsidR="00447C3D">
        <w:t>e</w:t>
      </w:r>
      <w:r w:rsidRPr="0085159F" w:rsidR="00F50576">
        <w:t xml:space="preserve"> Attorney Examiner</w:t>
      </w:r>
      <w:r w:rsidRPr="0085159F">
        <w:t xml:space="preserve"> in</w:t>
      </w:r>
      <w:r w:rsidRPr="0085159F" w:rsidR="00F50576">
        <w:t xml:space="preserve"> the first investigation by the PUCO into PALMco’s unconscionable and deceptive marketing practices (Case No. 19-957-GE-COI (“PALMco 1”)) made clear that</w:t>
      </w:r>
      <w:r w:rsidRPr="0085159F" w:rsidR="00FB4673">
        <w:t xml:space="preserve"> OCC </w:t>
      </w:r>
      <w:r w:rsidRPr="0085159F" w:rsidR="00F50576">
        <w:rPr>
          <w:i/>
          <w:iCs/>
        </w:rPr>
        <w:t>must</w:t>
      </w:r>
      <w:r w:rsidRPr="0085159F" w:rsidR="00F50576">
        <w:t xml:space="preserve"> continue to pursue discovery even while participating in settlement negotiations</w:t>
      </w:r>
      <w:r w:rsidRPr="0085159F" w:rsidR="00953048">
        <w:t xml:space="preserve"> to prevent prejudice to consumers.</w:t>
      </w:r>
      <w:r>
        <w:rPr>
          <w:rStyle w:val="FootnoteReference"/>
          <w:sz w:val="24"/>
        </w:rPr>
        <w:footnoteReference w:id="9"/>
      </w:r>
      <w:r w:rsidRPr="0085159F" w:rsidR="00F50576">
        <w:t xml:space="preserve"> </w:t>
      </w:r>
      <w:r w:rsidRPr="0085159F" w:rsidR="00953048">
        <w:t xml:space="preserve">OCC is doing exactly that, and PALMco should not be allowed </w:t>
      </w:r>
      <w:r w:rsidRPr="0085159F" w:rsidR="00447C3D">
        <w:t>to impose</w:t>
      </w:r>
      <w:r w:rsidRPr="0085159F" w:rsidR="006A0DB8">
        <w:t xml:space="preserve"> further</w:t>
      </w:r>
      <w:r w:rsidRPr="0085159F" w:rsidR="00447C3D">
        <w:t xml:space="preserve"> </w:t>
      </w:r>
      <w:r w:rsidRPr="0085159F" w:rsidR="006A0DB8">
        <w:t>delay</w:t>
      </w:r>
      <w:r w:rsidRPr="0085159F" w:rsidR="00447C3D">
        <w:t xml:space="preserve"> on</w:t>
      </w:r>
      <w:r w:rsidRPr="0085159F" w:rsidR="00953048">
        <w:t xml:space="preserve"> OCC’s case preparation while the parties discuss settlement. This is especially true</w:t>
      </w:r>
      <w:r w:rsidRPr="0085159F">
        <w:t xml:space="preserve"> given</w:t>
      </w:r>
      <w:r w:rsidRPr="0085159F" w:rsidR="00953048">
        <w:t xml:space="preserve"> PALMco</w:t>
      </w:r>
      <w:r w:rsidRPr="0085159F" w:rsidR="006A0DB8">
        <w:t>’s</w:t>
      </w:r>
      <w:r w:rsidRPr="0085159F" w:rsidR="00953048">
        <w:t xml:space="preserve"> </w:t>
      </w:r>
      <w:r w:rsidRPr="0085159F" w:rsidR="00447C3D">
        <w:t xml:space="preserve">own </w:t>
      </w:r>
      <w:r w:rsidRPr="0085159F" w:rsidR="00953048">
        <w:t>a</w:t>
      </w:r>
      <w:r w:rsidRPr="0085159F" w:rsidR="006A0DB8">
        <w:t xml:space="preserve">dmission that it is withholding discovery from </w:t>
      </w:r>
      <w:r w:rsidRPr="0085159F" w:rsidR="00953048">
        <w:t>OCC</w:t>
      </w:r>
      <w:r w:rsidRPr="0085159F" w:rsidR="006A0DB8">
        <w:t xml:space="preserve"> based solely on the fact that the PUCO has not ruled on PALMco’s Motion for Waiver of Rules Governing Disclosure of Customer </w:t>
      </w:r>
      <w:r w:rsidRPr="0085159F" w:rsidR="00447C3D">
        <w:t>I</w:t>
      </w:r>
      <w:r w:rsidRPr="0085159F" w:rsidR="006A0DB8">
        <w:t>nformation.</w:t>
      </w:r>
      <w:r>
        <w:rPr>
          <w:rStyle w:val="FootnoteReference"/>
          <w:sz w:val="24"/>
        </w:rPr>
        <w:footnoteReference w:id="10"/>
      </w:r>
      <w:r w:rsidRPr="0085159F" w:rsidR="00953048">
        <w:t xml:space="preserve"> </w:t>
      </w:r>
      <w:r w:rsidRPr="0085159F" w:rsidR="006A0DB8">
        <w:t>The Attorney Examiner</w:t>
      </w:r>
      <w:r w:rsidRPr="0085159F" w:rsidR="00447C3D">
        <w:t xml:space="preserve"> unequivocally</w:t>
      </w:r>
      <w:r w:rsidRPr="0085159F" w:rsidR="006A0DB8">
        <w:t xml:space="preserve"> </w:t>
      </w:r>
      <w:r w:rsidRPr="0085159F" w:rsidR="006A0DB8">
        <w:rPr>
          <w:i/>
          <w:iCs/>
        </w:rPr>
        <w:t xml:space="preserve">ordered </w:t>
      </w:r>
      <w:r w:rsidRPr="0085159F" w:rsidR="006A0DB8">
        <w:t xml:space="preserve">PALMco to respond to OCC’s </w:t>
      </w:r>
      <w:r w:rsidRPr="0085159F" w:rsidR="00DA14F3">
        <w:t xml:space="preserve">January and February </w:t>
      </w:r>
      <w:r w:rsidRPr="0085159F" w:rsidR="006A0DB8">
        <w:t>discovery in the April 6, 2020 and the August 6, 2020 Entries</w:t>
      </w:r>
      <w:r w:rsidRPr="0085159F" w:rsidR="00DA14F3">
        <w:t>. It is now near the end of November and PALMco still has not provided the requisite discovery.</w:t>
      </w:r>
      <w:r w:rsidRPr="0085159F">
        <w:t xml:space="preserve"> PALMco should</w:t>
      </w:r>
      <w:r w:rsidRPr="0085159F" w:rsidR="00447C3D">
        <w:t xml:space="preserve"> be required to</w:t>
      </w:r>
      <w:r w:rsidRPr="0085159F">
        <w:t xml:space="preserve"> respond immediately.</w:t>
      </w:r>
      <w:r w:rsidRPr="0085159F" w:rsidR="006A0DB8">
        <w:t xml:space="preserve"> </w:t>
      </w:r>
    </w:p>
    <w:p w:rsidR="00FA4655" w:rsidRPr="0085159F" w:rsidP="005C1763" w14:paraId="54F2E00C" w14:textId="1522BF05">
      <w:pPr>
        <w:spacing w:line="480" w:lineRule="auto"/>
        <w:ind w:firstLine="720"/>
      </w:pPr>
      <w:r w:rsidRPr="0085159F">
        <w:t>In the interest of consumers</w:t>
      </w:r>
      <w:r w:rsidRPr="0085159F" w:rsidR="0043068A">
        <w:t xml:space="preserve"> (and to prevent other marketers from engaging in similar behavior),</w:t>
      </w:r>
      <w:r w:rsidRPr="0085159F">
        <w:t xml:space="preserve"> t</w:t>
      </w:r>
      <w:r w:rsidRPr="0085159F" w:rsidR="006A0DB8">
        <w:t xml:space="preserve">he PUCO </w:t>
      </w:r>
      <w:r w:rsidRPr="0085159F">
        <w:t>should</w:t>
      </w:r>
      <w:r w:rsidRPr="0085159F" w:rsidR="006A0DB8">
        <w:t xml:space="preserve"> put an end to </w:t>
      </w:r>
      <w:r w:rsidRPr="0085159F" w:rsidR="00953048">
        <w:t>PALMco</w:t>
      </w:r>
      <w:r w:rsidRPr="0085159F" w:rsidR="006A0DB8">
        <w:t>’s</w:t>
      </w:r>
      <w:r w:rsidRPr="0085159F" w:rsidR="00953048">
        <w:t xml:space="preserve"> </w:t>
      </w:r>
      <w:r w:rsidRPr="0085159F" w:rsidR="006A0DB8">
        <w:t>delay tactics and defiance of the Attorney Examiner</w:t>
      </w:r>
      <w:r w:rsidRPr="0085159F" w:rsidR="007E11F5">
        <w:t>’</w:t>
      </w:r>
      <w:r w:rsidRPr="0085159F" w:rsidR="006A0DB8">
        <w:t>s orders</w:t>
      </w:r>
      <w:r w:rsidRPr="0085159F" w:rsidR="00447C3D">
        <w:t xml:space="preserve"> and the PUCO’s rules. The PUCO should protect</w:t>
      </w:r>
      <w:r w:rsidRPr="0085159F" w:rsidR="002C17D3">
        <w:t xml:space="preserve"> OCC</w:t>
      </w:r>
      <w:r w:rsidRPr="0085159F" w:rsidR="00447C3D">
        <w:t>’s</w:t>
      </w:r>
      <w:r w:rsidRPr="0085159F" w:rsidR="002C17D3">
        <w:t xml:space="preserve"> ability to prepare its case. </w:t>
      </w:r>
      <w:r w:rsidRPr="0085159F" w:rsidR="00953048">
        <w:t xml:space="preserve">Granting PALMco’s motion for extension </w:t>
      </w:r>
      <w:r w:rsidRPr="0085159F" w:rsidR="002C17D3">
        <w:t>would force</w:t>
      </w:r>
      <w:r w:rsidRPr="0085159F" w:rsidR="00953048">
        <w:t xml:space="preserve"> OCC to wait even longer for responses to discovery</w:t>
      </w:r>
      <w:r w:rsidRPr="0085159F" w:rsidR="002C17D3">
        <w:t xml:space="preserve"> (served </w:t>
      </w:r>
      <w:r w:rsidRPr="0085159F" w:rsidR="00DA14F3">
        <w:t xml:space="preserve">10 </w:t>
      </w:r>
      <w:r w:rsidRPr="0085159F" w:rsidR="002C17D3">
        <w:t>months ago) and</w:t>
      </w:r>
      <w:r w:rsidRPr="0085159F" w:rsidR="00953048">
        <w:t xml:space="preserve"> would seriously harm consumers. </w:t>
      </w:r>
      <w:r w:rsidRPr="0085159F" w:rsidR="002C17D3">
        <w:t>PALMco’s motion should be denied.</w:t>
      </w:r>
    </w:p>
    <w:p w:rsidR="00982A9D" w:rsidRPr="0085159F" w:rsidP="00902D61" w14:paraId="29427FBB" w14:textId="42C48E04">
      <w:pPr>
        <w:pStyle w:val="ListParagraph"/>
        <w:numPr>
          <w:ilvl w:val="0"/>
          <w:numId w:val="3"/>
        </w:numPr>
        <w:ind w:hanging="720"/>
        <w:rPr>
          <w:b/>
          <w:bCs/>
        </w:rPr>
      </w:pPr>
      <w:r w:rsidRPr="0085159F">
        <w:rPr>
          <w:b/>
          <w:bCs/>
        </w:rPr>
        <w:t xml:space="preserve">There is no good cause for delaying the resolution of the discovery dispute pending settlement negotiations. </w:t>
      </w:r>
    </w:p>
    <w:p w:rsidR="002C17D3" w:rsidRPr="0085159F" w:rsidP="002C17D3" w14:paraId="098917D5" w14:textId="77777777">
      <w:pPr>
        <w:pStyle w:val="ListParagraph"/>
        <w:ind w:left="1440"/>
        <w:rPr>
          <w:b/>
          <w:bCs/>
        </w:rPr>
      </w:pPr>
    </w:p>
    <w:p w:rsidR="002A63EE" w:rsidRPr="0085159F" w:rsidP="00AF01F4" w14:paraId="173CD616" w14:textId="0F8A5816">
      <w:pPr>
        <w:spacing w:line="480" w:lineRule="auto"/>
        <w:ind w:firstLine="720"/>
      </w:pPr>
      <w:r w:rsidRPr="0085159F">
        <w:t xml:space="preserve">PALMco asserts that there is good cause for delaying resolution of </w:t>
      </w:r>
      <w:r w:rsidRPr="0085159F" w:rsidR="00790DEB">
        <w:t xml:space="preserve">the </w:t>
      </w:r>
      <w:r w:rsidRPr="0085159F">
        <w:t>discovery dispute because PALMco should</w:t>
      </w:r>
      <w:r w:rsidRPr="0085159F" w:rsidR="00790DEB">
        <w:t xml:space="preserve"> (in its view)</w:t>
      </w:r>
      <w:r w:rsidRPr="0085159F">
        <w:t xml:space="preserve"> be allowed to “conserve its resources” during </w:t>
      </w:r>
      <w:r w:rsidRPr="0085159F" w:rsidR="00790DEB">
        <w:t>settlement</w:t>
      </w:r>
      <w:r w:rsidRPr="0085159F">
        <w:t xml:space="preserve"> negotiations.</w:t>
      </w:r>
      <w:r>
        <w:rPr>
          <w:rStyle w:val="FootnoteReference"/>
          <w:sz w:val="24"/>
        </w:rPr>
        <w:footnoteReference w:id="11"/>
      </w:r>
      <w:r w:rsidRPr="0085159F">
        <w:t xml:space="preserve"> PALMco is wrong and its motion should be denied.   </w:t>
      </w:r>
    </w:p>
    <w:p w:rsidR="003F6B27" w:rsidRPr="0085159F" w:rsidP="00AF01F4" w14:paraId="272F36A9" w14:textId="71644542">
      <w:pPr>
        <w:spacing w:line="480" w:lineRule="auto"/>
        <w:ind w:firstLine="720"/>
      </w:pPr>
      <w:r w:rsidRPr="0085159F">
        <w:t xml:space="preserve">In this case, there </w:t>
      </w:r>
      <w:r w:rsidRPr="0085159F" w:rsidR="0043068A">
        <w:t xml:space="preserve">actually </w:t>
      </w:r>
      <w:r w:rsidRPr="0085159F">
        <w:t>is good cause to deny PALMco’s motion given its delay tactics and refusal to comply with</w:t>
      </w:r>
      <w:r w:rsidRPr="0085159F" w:rsidR="00790DEB">
        <w:t xml:space="preserve"> the Attorney Examiner</w:t>
      </w:r>
      <w:r w:rsidRPr="0085159F" w:rsidR="007E11F5">
        <w:t>’</w:t>
      </w:r>
      <w:r w:rsidRPr="0085159F" w:rsidR="00790DEB">
        <w:t>s</w:t>
      </w:r>
      <w:r w:rsidRPr="0085159F">
        <w:t xml:space="preserve"> orders</w:t>
      </w:r>
      <w:r w:rsidRPr="0085159F" w:rsidR="0043068A">
        <w:t xml:space="preserve"> and the PUCO’s rules</w:t>
      </w:r>
      <w:r w:rsidRPr="0085159F">
        <w:t xml:space="preserve">. Indeed, PALMco’s opposition to OCC’s intervention in this case to protect consumers and PALMco’s refusal to respond and baseless objections to OCC’s lawful discovery have forced OCC to devote </w:t>
      </w:r>
      <w:r w:rsidRPr="0085159F" w:rsidR="0043068A">
        <w:t>significant</w:t>
      </w:r>
      <w:r w:rsidRPr="0085159F">
        <w:t xml:space="preserve"> time and resources to this case. PALMco cannot </w:t>
      </w:r>
      <w:r w:rsidRPr="0085159F" w:rsidR="0043068A">
        <w:t xml:space="preserve">now </w:t>
      </w:r>
      <w:r w:rsidRPr="0085159F">
        <w:t xml:space="preserve">cry foul because it does not want to spend the time or money to provide an answer as to why </w:t>
      </w:r>
      <w:r w:rsidRPr="0085159F" w:rsidR="00155BA9">
        <w:t xml:space="preserve">it </w:t>
      </w:r>
      <w:r w:rsidRPr="0085159F">
        <w:rPr>
          <w:i/>
          <w:iCs/>
        </w:rPr>
        <w:t>still</w:t>
      </w:r>
      <w:r w:rsidRPr="0085159F">
        <w:t xml:space="preserve"> refuses to produce discovery to OCC in defiance of the </w:t>
      </w:r>
      <w:r w:rsidRPr="0085159F" w:rsidR="0043068A">
        <w:t>Attorney Examiner</w:t>
      </w:r>
      <w:r w:rsidRPr="0085159F" w:rsidR="007E11F5">
        <w:t>’</w:t>
      </w:r>
      <w:r w:rsidRPr="0085159F" w:rsidR="0043068A">
        <w:t>s</w:t>
      </w:r>
      <w:r w:rsidRPr="0085159F">
        <w:t xml:space="preserve"> orders.  </w:t>
      </w:r>
    </w:p>
    <w:p w:rsidR="00790DEB" w:rsidRPr="0085159F" w:rsidP="00AF01F4" w14:paraId="1811D63D" w14:textId="2F146687">
      <w:pPr>
        <w:spacing w:line="480" w:lineRule="auto"/>
        <w:ind w:firstLine="720"/>
      </w:pPr>
      <w:r w:rsidRPr="0085159F">
        <w:t xml:space="preserve">As noted above, </w:t>
      </w:r>
      <w:r w:rsidRPr="0085159F" w:rsidR="00DA14F3">
        <w:t xml:space="preserve">not only is discovery needed for the settlement phase of a proceeding, </w:t>
      </w:r>
      <w:r w:rsidRPr="0085159F">
        <w:t>OCC, the PUCO Staff, and other parties routinely proceed on dual settlement and litigation tracks in PUCO proceedings. And as the Attorney Examiner in PALMco I noted, OCC is expected to continue pursuing discovery during settlement negotiations because if a contested settlement is filed, there will not be much time between the filing of the settlement and the evidentiary hearing to continue discovery.</w:t>
      </w:r>
      <w:r>
        <w:rPr>
          <w:rStyle w:val="FootnoteReference"/>
          <w:sz w:val="24"/>
        </w:rPr>
        <w:footnoteReference w:id="12"/>
      </w:r>
    </w:p>
    <w:p w:rsidR="009C63DF" w:rsidRPr="0085159F" w:rsidP="00AF01F4" w14:paraId="32A3CB49" w14:textId="2EC1DD47">
      <w:pPr>
        <w:spacing w:line="480" w:lineRule="auto"/>
        <w:ind w:firstLine="720"/>
      </w:pPr>
      <w:r w:rsidRPr="0085159F">
        <w:t>Finally</w:t>
      </w:r>
      <w:r w:rsidRPr="0085159F" w:rsidR="003F6B27">
        <w:t>, OCC</w:t>
      </w:r>
      <w:r w:rsidRPr="0085159F">
        <w:t xml:space="preserve"> offered to</w:t>
      </w:r>
      <w:r w:rsidRPr="0085159F" w:rsidR="003F6B27">
        <w:t xml:space="preserve"> agree to a 10</w:t>
      </w:r>
      <w:r w:rsidRPr="0085159F">
        <w:t>-</w:t>
      </w:r>
      <w:r w:rsidRPr="0085159F" w:rsidR="003F6B27">
        <w:t xml:space="preserve">day extension </w:t>
      </w:r>
      <w:r w:rsidRPr="0085159F">
        <w:t xml:space="preserve">for PALMco to respond </w:t>
      </w:r>
      <w:r w:rsidRPr="0085159F" w:rsidR="003F6B27">
        <w:t xml:space="preserve">if PALMco </w:t>
      </w:r>
      <w:r w:rsidRPr="0085159F">
        <w:t>agreed to</w:t>
      </w:r>
      <w:r w:rsidRPr="0085159F" w:rsidR="003F6B27">
        <w:t xml:space="preserve"> withdraw its unreasonable motion for </w:t>
      </w:r>
      <w:r w:rsidRPr="0085159F" w:rsidR="00BB79BA">
        <w:t xml:space="preserve">an expedited </w:t>
      </w:r>
      <w:r w:rsidRPr="0085159F" w:rsidR="003F6B27">
        <w:t xml:space="preserve">procedural schedule. </w:t>
      </w:r>
      <w:r w:rsidRPr="0085159F">
        <w:t xml:space="preserve">But </w:t>
      </w:r>
      <w:r w:rsidRPr="0085159F" w:rsidR="003F6B27">
        <w:t>PALMco refus</w:t>
      </w:r>
      <w:r w:rsidRPr="0085159F">
        <w:t xml:space="preserve">ed. This demonstrates that PALMco’s true motives in seeking an extension are not to conserve resources for a potential settlement, but to impede OCC’s ability to prepare its case. </w:t>
      </w:r>
      <w:r w:rsidRPr="0085159F" w:rsidR="00790DEB">
        <w:t>In sum, there</w:t>
      </w:r>
      <w:r w:rsidRPr="0085159F">
        <w:t xml:space="preserve"> is no good cause for granting PALMco’s motion and it should be denied.</w:t>
      </w:r>
    </w:p>
    <w:p w:rsidR="001E2B50" w:rsidRPr="0085159F" w:rsidP="00902D61" w14:paraId="5F558DAC" w14:textId="77777777">
      <w:pPr>
        <w:pStyle w:val="ListParagraph"/>
        <w:numPr>
          <w:ilvl w:val="0"/>
          <w:numId w:val="2"/>
        </w:numPr>
        <w:spacing w:line="480" w:lineRule="auto"/>
        <w:ind w:left="720"/>
      </w:pPr>
      <w:r w:rsidRPr="0085159F">
        <w:rPr>
          <w:b/>
          <w:bCs/>
        </w:rPr>
        <w:t>CONCLUSION</w:t>
      </w:r>
    </w:p>
    <w:p w:rsidR="00AC5716" w:rsidRPr="0085159F" w:rsidP="00A87668" w14:paraId="48FD1440" w14:textId="787A07E2">
      <w:pPr>
        <w:spacing w:line="480" w:lineRule="auto"/>
        <w:ind w:firstLine="720"/>
      </w:pPr>
      <w:r w:rsidRPr="0085159F">
        <w:t xml:space="preserve">For the reasons explained above, the PUCO should deny </w:t>
      </w:r>
      <w:r w:rsidRPr="0085159F" w:rsidR="00A87668">
        <w:t xml:space="preserve">PALMco’s motion for an extension to respond to OCC’s third </w:t>
      </w:r>
      <w:r w:rsidRPr="0085159F" w:rsidR="00790DEB">
        <w:t>M</w:t>
      </w:r>
      <w:r w:rsidRPr="0085159F" w:rsidR="00A87668">
        <w:t xml:space="preserve">otion to </w:t>
      </w:r>
      <w:r w:rsidRPr="0085159F" w:rsidR="00790DEB">
        <w:t>C</w:t>
      </w:r>
      <w:r w:rsidRPr="0085159F" w:rsidR="00A87668">
        <w:t xml:space="preserve">ompel and renewed </w:t>
      </w:r>
      <w:r w:rsidRPr="0085159F" w:rsidR="00790DEB">
        <w:t>M</w:t>
      </w:r>
      <w:r w:rsidRPr="0085159F" w:rsidR="00A87668">
        <w:t xml:space="preserve">otion for </w:t>
      </w:r>
      <w:r w:rsidRPr="0085159F" w:rsidR="00790DEB">
        <w:t>S</w:t>
      </w:r>
      <w:r w:rsidRPr="0085159F" w:rsidR="00A87668">
        <w:t>anctions. The PUCO should grant OCC’s motions and order PALMco to respond to OCC’s outstanding discovery requests immediately so that OCC can</w:t>
      </w:r>
      <w:r w:rsidRPr="0085159F" w:rsidR="00790DEB">
        <w:t xml:space="preserve"> fully</w:t>
      </w:r>
      <w:r w:rsidRPr="0085159F" w:rsidR="00A87668">
        <w:t xml:space="preserve"> prepare its case</w:t>
      </w:r>
      <w:r w:rsidRPr="0085159F" w:rsidR="00790DEB">
        <w:t xml:space="preserve"> for consumers</w:t>
      </w:r>
      <w:r w:rsidRPr="0085159F" w:rsidR="00A87668">
        <w:t>.</w:t>
      </w:r>
      <w:r w:rsidRPr="0085159F" w:rsidR="003F6B27">
        <w:t xml:space="preserve"> </w:t>
      </w:r>
      <w:r w:rsidRPr="0085159F" w:rsidR="0031519E">
        <w:t xml:space="preserve"> </w:t>
      </w:r>
    </w:p>
    <w:p w:rsidR="00CF4FCF" w:rsidRPr="0085159F" w:rsidP="0043068A" w14:paraId="114D8EE3" w14:textId="26616D6C">
      <w:pPr>
        <w:spacing w:line="480" w:lineRule="auto"/>
      </w:pPr>
      <w:r w:rsidRPr="0085159F">
        <w:t xml:space="preserve">  </w:t>
      </w:r>
    </w:p>
    <w:p w:rsidR="004F64AF" w:rsidRPr="0085159F" w:rsidP="004F64AF" w14:paraId="3295592A" w14:textId="63D55621">
      <w:pPr>
        <w:ind w:left="3960"/>
      </w:pPr>
      <w:r w:rsidRPr="0085159F">
        <w:t>Respectfully submitted,</w:t>
      </w:r>
    </w:p>
    <w:p w:rsidR="004F64AF" w:rsidRPr="0085159F" w:rsidP="004F64AF" w14:paraId="268A7C6C" w14:textId="77777777">
      <w:pPr>
        <w:ind w:left="4320"/>
      </w:pPr>
    </w:p>
    <w:p w:rsidR="004F64AF" w:rsidRPr="0085159F" w:rsidP="004F64AF" w14:paraId="29D3FEBF" w14:textId="442AE56E">
      <w:pPr>
        <w:ind w:left="3960"/>
      </w:pPr>
      <w:r w:rsidRPr="0085159F">
        <w:t>Bruce Weston (0016973)</w:t>
      </w:r>
    </w:p>
    <w:p w:rsidR="004F64AF" w:rsidRPr="0085159F" w:rsidP="004F64AF" w14:paraId="44E0B21D" w14:textId="3FAEA3C8">
      <w:pPr>
        <w:ind w:left="3960"/>
      </w:pPr>
      <w:r w:rsidRPr="0085159F">
        <w:t>Ohio Consumers’ Counsel</w:t>
      </w:r>
    </w:p>
    <w:p w:rsidR="004F64AF" w:rsidRPr="0085159F" w:rsidP="004F64AF" w14:paraId="7B1DDC5F" w14:textId="77777777">
      <w:pPr>
        <w:ind w:left="4320"/>
      </w:pPr>
    </w:p>
    <w:p w:rsidR="001902FE" w:rsidRPr="0085159F" w:rsidP="001902FE" w14:paraId="029AA8FC" w14:textId="2FD92EC2">
      <w:pPr>
        <w:tabs>
          <w:tab w:val="left" w:pos="4320"/>
        </w:tabs>
        <w:ind w:left="3960"/>
        <w:rPr>
          <w:i/>
          <w:u w:val="single"/>
        </w:rPr>
      </w:pPr>
      <w:r w:rsidRPr="0085159F">
        <w:rPr>
          <w:i/>
          <w:iCs/>
          <w:u w:val="single"/>
        </w:rPr>
        <w:t>/s/ Angela D. O’Brien_____</w:t>
      </w:r>
    </w:p>
    <w:p w:rsidR="00E65D68" w:rsidRPr="0085159F" w:rsidP="00A15AB4" w14:paraId="57997466" w14:textId="1DD4AA6C">
      <w:pPr>
        <w:tabs>
          <w:tab w:val="left" w:pos="4320"/>
        </w:tabs>
        <w:ind w:left="3960"/>
      </w:pPr>
      <w:r w:rsidRPr="0085159F">
        <w:t xml:space="preserve">Angela D. O’Brien (0097579) </w:t>
      </w:r>
    </w:p>
    <w:p w:rsidR="00E65D68" w:rsidRPr="0085159F" w:rsidP="00A15AB4" w14:paraId="35134938" w14:textId="77777777">
      <w:pPr>
        <w:tabs>
          <w:tab w:val="left" w:pos="4320"/>
        </w:tabs>
        <w:ind w:left="3960"/>
      </w:pPr>
      <w:r w:rsidRPr="0085159F">
        <w:t>Counsel of Record</w:t>
      </w:r>
    </w:p>
    <w:p w:rsidR="00E65D68" w:rsidRPr="0085159F" w:rsidP="00A15AB4" w14:paraId="3FECACDB" w14:textId="77777777">
      <w:pPr>
        <w:tabs>
          <w:tab w:val="left" w:pos="4320"/>
        </w:tabs>
        <w:ind w:left="3960"/>
      </w:pPr>
      <w:r w:rsidRPr="0085159F">
        <w:t>Christopher Healey (0086027)</w:t>
      </w:r>
    </w:p>
    <w:p w:rsidR="00E65D68" w:rsidRPr="0085159F" w:rsidP="00A15AB4" w14:paraId="75B01A48" w14:textId="77777777">
      <w:pPr>
        <w:tabs>
          <w:tab w:val="left" w:pos="4320"/>
        </w:tabs>
        <w:ind w:left="3960"/>
      </w:pPr>
      <w:r w:rsidRPr="0085159F">
        <w:t>Assistant Consumers’ Counsel</w:t>
      </w:r>
    </w:p>
    <w:p w:rsidR="00E65D68" w:rsidRPr="0085159F" w:rsidP="00A15AB4" w14:paraId="7FED3C5B" w14:textId="77777777">
      <w:pPr>
        <w:tabs>
          <w:tab w:val="left" w:pos="4320"/>
        </w:tabs>
        <w:ind w:left="3960"/>
      </w:pPr>
    </w:p>
    <w:p w:rsidR="00E65D68" w:rsidRPr="0085159F" w:rsidP="00A15AB4" w14:paraId="70C58DBF" w14:textId="77777777">
      <w:pPr>
        <w:ind w:left="3960"/>
        <w:rPr>
          <w:b/>
          <w:bCs/>
        </w:rPr>
      </w:pPr>
      <w:r w:rsidRPr="0085159F">
        <w:rPr>
          <w:b/>
          <w:bCs/>
        </w:rPr>
        <w:t>Office of the Ohio Consumers’ Counsel</w:t>
      </w:r>
    </w:p>
    <w:p w:rsidR="00E65D68" w:rsidRPr="0085159F" w:rsidP="00A15AB4" w14:paraId="65DBC781" w14:textId="77777777">
      <w:pPr>
        <w:ind w:left="3960"/>
        <w:rPr>
          <w:b/>
        </w:rPr>
      </w:pPr>
      <w:r w:rsidRPr="0085159F">
        <w:t>65 East State Street, 7th Floor</w:t>
      </w:r>
    </w:p>
    <w:p w:rsidR="00E65D68" w:rsidRPr="0085159F" w:rsidP="00A15AB4" w14:paraId="3B818817" w14:textId="77777777">
      <w:pPr>
        <w:ind w:left="3960"/>
        <w:rPr>
          <w:b/>
        </w:rPr>
      </w:pPr>
      <w:r w:rsidRPr="0085159F">
        <w:t>Columbus, Ohio 43215-4213</w:t>
      </w:r>
    </w:p>
    <w:p w:rsidR="00E65D68" w:rsidRPr="0085159F" w:rsidP="00A15AB4" w14:paraId="734EA73B" w14:textId="77777777">
      <w:pPr>
        <w:autoSpaceDE w:val="0"/>
        <w:autoSpaceDN w:val="0"/>
        <w:adjustRightInd w:val="0"/>
        <w:ind w:left="3960"/>
      </w:pPr>
      <w:r w:rsidRPr="0085159F">
        <w:t>Telephone [O’Brien]: (614) 466-9531</w:t>
      </w:r>
    </w:p>
    <w:p w:rsidR="00E65D68" w:rsidRPr="0085159F" w:rsidP="00A15AB4" w14:paraId="2B726A36" w14:textId="77777777">
      <w:pPr>
        <w:autoSpaceDE w:val="0"/>
        <w:autoSpaceDN w:val="0"/>
        <w:adjustRightInd w:val="0"/>
        <w:ind w:left="3960"/>
      </w:pPr>
      <w:r w:rsidRPr="0085159F">
        <w:t>Telephone [Healey]: (614) 466-9571</w:t>
      </w:r>
    </w:p>
    <w:p w:rsidR="00E65D68" w:rsidRPr="0085159F" w:rsidP="00A15AB4" w14:paraId="5F61631F" w14:textId="3287086F">
      <w:pPr>
        <w:tabs>
          <w:tab w:val="left" w:pos="3960"/>
        </w:tabs>
        <w:ind w:left="360"/>
      </w:pPr>
      <w:r w:rsidRPr="0085159F">
        <w:tab/>
      </w:r>
      <w:hyperlink r:id="rId6" w:history="1">
        <w:r w:rsidRPr="0085159F">
          <w:rPr>
            <w:rStyle w:val="Hyperlink"/>
          </w:rPr>
          <w:t>angela.obrien@occ.ohio.gov</w:t>
        </w:r>
      </w:hyperlink>
      <w:r w:rsidRPr="0085159F">
        <w:t xml:space="preserve"> </w:t>
      </w:r>
    </w:p>
    <w:p w:rsidR="00E65D68" w:rsidRPr="0085159F" w:rsidP="00A15AB4" w14:paraId="36247D5F" w14:textId="33297B8C">
      <w:pPr>
        <w:tabs>
          <w:tab w:val="left" w:pos="3960"/>
        </w:tabs>
        <w:ind w:left="360"/>
      </w:pPr>
      <w:r w:rsidRPr="0085159F">
        <w:tab/>
      </w:r>
      <w:hyperlink r:id="rId7" w:history="1">
        <w:r w:rsidRPr="0085159F">
          <w:rPr>
            <w:rStyle w:val="Hyperlink"/>
          </w:rPr>
          <w:t>christopher.healey@occ.ohio.gov</w:t>
        </w:r>
      </w:hyperlink>
    </w:p>
    <w:p w:rsidR="00E65D68" w:rsidRPr="0085159F" w:rsidP="00A15AB4" w14:paraId="30EA6893" w14:textId="77777777">
      <w:pPr>
        <w:ind w:left="3960"/>
      </w:pPr>
      <w:r w:rsidRPr="0085159F">
        <w:t>(willing to accept service by e-mail)</w:t>
      </w:r>
    </w:p>
    <w:p w:rsidR="00E65D68" w:rsidRPr="0085159F" w:rsidP="00E65D68" w14:paraId="2BBA98AF" w14:textId="77777777"/>
    <w:p w:rsidR="004F64AF" w:rsidRPr="0085159F" w:rsidP="004F64AF" w14:paraId="7254B8E8" w14:textId="38FC8B41">
      <w:pPr>
        <w:ind w:left="4320"/>
      </w:pPr>
    </w:p>
    <w:p w:rsidR="00A0746E" w:rsidRPr="0085159F" w:rsidP="00A0746E" w14:paraId="6AFCE75F" w14:textId="787BE097">
      <w:pPr>
        <w:tabs>
          <w:tab w:val="left" w:pos="4320"/>
        </w:tabs>
        <w:ind w:left="3960"/>
      </w:pPr>
      <w:r w:rsidRPr="0085159F">
        <w:tab/>
      </w:r>
      <w:r w:rsidRPr="0085159F">
        <w:tab/>
      </w:r>
      <w:r w:rsidRPr="0085159F">
        <w:tab/>
      </w:r>
      <w:r w:rsidRPr="0085159F">
        <w:tab/>
      </w:r>
      <w:r w:rsidRPr="0085159F">
        <w:tab/>
      </w:r>
    </w:p>
    <w:p w:rsidR="004F64AF" w:rsidRPr="0085159F" w:rsidP="004F64AF" w14:paraId="37469032" w14:textId="77777777">
      <w:pPr>
        <w:widowControl w:val="0"/>
        <w:tabs>
          <w:tab w:val="center" w:pos="4680"/>
          <w:tab w:val="right" w:pos="9360"/>
        </w:tabs>
        <w:ind w:left="3960"/>
        <w:rPr>
          <w:rFonts w:eastAsiaTheme="minorHAnsi"/>
        </w:rPr>
      </w:pPr>
      <w:r w:rsidRPr="0085159F">
        <w:rPr>
          <w:rFonts w:eastAsiaTheme="minorHAnsi"/>
        </w:rPr>
        <w:t>Kimberly W. Bojko (0069402)</w:t>
      </w:r>
    </w:p>
    <w:p w:rsidR="004F64AF" w:rsidRPr="0085159F" w:rsidP="004F64AF" w14:paraId="2916A801" w14:textId="77777777">
      <w:pPr>
        <w:widowControl w:val="0"/>
        <w:tabs>
          <w:tab w:val="center" w:pos="4680"/>
          <w:tab w:val="right" w:pos="9360"/>
        </w:tabs>
        <w:ind w:left="3960"/>
        <w:rPr>
          <w:rFonts w:eastAsiaTheme="minorHAnsi"/>
        </w:rPr>
      </w:pPr>
      <w:r w:rsidRPr="0085159F">
        <w:rPr>
          <w:rFonts w:eastAsiaTheme="minorHAnsi"/>
        </w:rPr>
        <w:t>Carpenter Lipps &amp; Leland LLP</w:t>
      </w:r>
    </w:p>
    <w:p w:rsidR="004F64AF" w:rsidRPr="0085159F" w:rsidP="004F64AF" w14:paraId="65380008" w14:textId="77777777">
      <w:pPr>
        <w:widowControl w:val="0"/>
        <w:tabs>
          <w:tab w:val="center" w:pos="4680"/>
          <w:tab w:val="right" w:pos="9360"/>
        </w:tabs>
        <w:ind w:left="3960"/>
        <w:rPr>
          <w:rFonts w:eastAsiaTheme="minorHAnsi"/>
        </w:rPr>
      </w:pPr>
      <w:r w:rsidRPr="0085159F">
        <w:rPr>
          <w:rFonts w:eastAsiaTheme="minorHAnsi"/>
        </w:rPr>
        <w:t>280 North High Street, Suite 1300</w:t>
      </w:r>
    </w:p>
    <w:p w:rsidR="004F64AF" w:rsidRPr="0085159F" w:rsidP="004F64AF" w14:paraId="306632A9" w14:textId="77777777">
      <w:pPr>
        <w:widowControl w:val="0"/>
        <w:tabs>
          <w:tab w:val="center" w:pos="4680"/>
          <w:tab w:val="right" w:pos="9360"/>
        </w:tabs>
        <w:ind w:left="3960"/>
        <w:rPr>
          <w:rFonts w:eastAsiaTheme="minorHAnsi"/>
        </w:rPr>
      </w:pPr>
      <w:r w:rsidRPr="0085159F">
        <w:rPr>
          <w:rFonts w:eastAsiaTheme="minorHAnsi"/>
        </w:rPr>
        <w:t>Columbus, Ohio 43215</w:t>
      </w:r>
    </w:p>
    <w:p w:rsidR="004F64AF" w:rsidRPr="0085159F" w:rsidP="004F64AF" w14:paraId="5BB24B9E" w14:textId="77777777">
      <w:pPr>
        <w:widowControl w:val="0"/>
        <w:tabs>
          <w:tab w:val="center" w:pos="4680"/>
          <w:tab w:val="right" w:pos="9360"/>
        </w:tabs>
        <w:ind w:left="3960"/>
        <w:rPr>
          <w:rFonts w:eastAsiaTheme="minorHAnsi"/>
        </w:rPr>
      </w:pPr>
      <w:r w:rsidRPr="0085159F">
        <w:rPr>
          <w:rFonts w:eastAsiaTheme="minorHAnsi"/>
        </w:rPr>
        <w:t>Telephone: (614) 365-4100</w:t>
      </w:r>
    </w:p>
    <w:p w:rsidR="004F64AF" w:rsidRPr="0085159F" w:rsidP="004F64AF" w14:paraId="620BDE83" w14:textId="77777777">
      <w:pPr>
        <w:widowControl w:val="0"/>
        <w:tabs>
          <w:tab w:val="center" w:pos="4680"/>
          <w:tab w:val="right" w:pos="9360"/>
        </w:tabs>
        <w:ind w:left="3960"/>
        <w:rPr>
          <w:rFonts w:eastAsiaTheme="minorHAnsi"/>
        </w:rPr>
      </w:pPr>
      <w:hyperlink r:id="rId8" w:history="1">
        <w:r w:rsidRPr="0085159F" w:rsidR="00994525">
          <w:rPr>
            <w:rFonts w:eastAsiaTheme="minorHAnsi"/>
            <w:color w:val="0563C1" w:themeColor="hyperlink"/>
            <w:u w:val="single"/>
          </w:rPr>
          <w:t>bojko@carpenterlipps.com</w:t>
        </w:r>
      </w:hyperlink>
    </w:p>
    <w:p w:rsidR="004F64AF" w:rsidRPr="0085159F" w:rsidP="004F64AF" w14:paraId="7C6439ED" w14:textId="77777777">
      <w:pPr>
        <w:widowControl w:val="0"/>
        <w:tabs>
          <w:tab w:val="center" w:pos="4680"/>
          <w:tab w:val="right" w:pos="9360"/>
        </w:tabs>
        <w:ind w:left="3960"/>
        <w:rPr>
          <w:rFonts w:eastAsiaTheme="minorHAnsi"/>
        </w:rPr>
      </w:pPr>
      <w:r w:rsidRPr="0085159F">
        <w:rPr>
          <w:rFonts w:eastAsiaTheme="minorHAnsi"/>
        </w:rPr>
        <w:t>(willing to accept service by e-mail)</w:t>
      </w:r>
    </w:p>
    <w:p w:rsidR="004F64AF" w:rsidRPr="0085159F" w:rsidP="004F64AF" w14:paraId="2C0F4058" w14:textId="77777777">
      <w:pPr>
        <w:widowControl w:val="0"/>
        <w:tabs>
          <w:tab w:val="center" w:pos="4680"/>
          <w:tab w:val="right" w:pos="9360"/>
        </w:tabs>
        <w:ind w:firstLine="4320"/>
        <w:rPr>
          <w:rFonts w:eastAsiaTheme="minorHAnsi"/>
        </w:rPr>
      </w:pPr>
    </w:p>
    <w:p w:rsidR="004F64AF" w:rsidRPr="0085159F" w:rsidP="004F64AF" w14:paraId="60244490" w14:textId="529D4149">
      <w:pPr>
        <w:widowControl w:val="0"/>
        <w:tabs>
          <w:tab w:val="center" w:pos="4680"/>
          <w:tab w:val="right" w:pos="9360"/>
        </w:tabs>
        <w:ind w:left="3960"/>
        <w:rPr>
          <w:rFonts w:eastAsiaTheme="minorHAnsi"/>
          <w:i/>
        </w:rPr>
      </w:pPr>
      <w:r w:rsidRPr="0085159F">
        <w:rPr>
          <w:rFonts w:eastAsiaTheme="minorHAnsi"/>
          <w:i/>
        </w:rPr>
        <w:t>Special Counsel for the</w:t>
      </w:r>
    </w:p>
    <w:p w:rsidR="004F64AF" w:rsidRPr="0085159F" w:rsidP="004F64AF" w14:paraId="6A6724EC" w14:textId="77777777">
      <w:pPr>
        <w:ind w:left="3960"/>
      </w:pPr>
      <w:r w:rsidRPr="0085159F">
        <w:rPr>
          <w:rFonts w:eastAsiaTheme="minorHAnsi"/>
          <w:i/>
        </w:rPr>
        <w:t>Office of the Ohio Consumers’ Counsel</w:t>
      </w:r>
    </w:p>
    <w:p w:rsidR="004F64AF" w:rsidRPr="0085159F" w:rsidP="004F64AF" w14:paraId="12005F0F" w14:textId="77777777">
      <w:pPr>
        <w:ind w:left="24"/>
        <w:jc w:val="center"/>
        <w:rPr>
          <w:b/>
          <w:u w:val="single"/>
        </w:rPr>
      </w:pPr>
      <w:r w:rsidRPr="0085159F">
        <w:rPr>
          <w:b/>
          <w:u w:val="single"/>
        </w:rPr>
        <w:br w:type="page"/>
        <w:t>CERTIFICATE OF SERVICE</w:t>
      </w:r>
    </w:p>
    <w:p w:rsidR="004F64AF" w:rsidRPr="0085159F" w:rsidP="004F64AF" w14:paraId="334B7673" w14:textId="77777777">
      <w:pPr>
        <w:rPr>
          <w:u w:val="single"/>
        </w:rPr>
      </w:pPr>
    </w:p>
    <w:p w:rsidR="008B1C45" w:rsidRPr="0085159F" w:rsidP="008B1C45" w14:paraId="475C0732" w14:textId="3BD747D3">
      <w:pPr>
        <w:spacing w:line="480" w:lineRule="auto"/>
        <w:ind w:firstLine="720"/>
        <w:rPr>
          <w:i/>
          <w:iCs/>
        </w:rPr>
      </w:pPr>
      <w:r w:rsidRPr="0085159F">
        <w:t xml:space="preserve">I hereby certify that a copy of this Memorandum Contra was served on the persons stated below via electronic transmission, this </w:t>
      </w:r>
      <w:r w:rsidRPr="0085159F" w:rsidR="00790DEB">
        <w:t>19</w:t>
      </w:r>
      <w:r w:rsidRPr="0085159F" w:rsidR="00790DEB">
        <w:rPr>
          <w:vertAlign w:val="superscript"/>
        </w:rPr>
        <w:t>th</w:t>
      </w:r>
      <w:r w:rsidRPr="0085159F">
        <w:t xml:space="preserve"> day of </w:t>
      </w:r>
      <w:r w:rsidRPr="0085159F" w:rsidR="00790DEB">
        <w:t>November</w:t>
      </w:r>
      <w:r w:rsidRPr="0085159F">
        <w:t xml:space="preserve"> 2020.</w:t>
      </w:r>
    </w:p>
    <w:p w:rsidR="008B1C45" w:rsidRPr="0085159F" w:rsidP="008B1C45" w14:paraId="272CD7B4" w14:textId="77777777">
      <w:pPr>
        <w:tabs>
          <w:tab w:val="left" w:pos="4320"/>
        </w:tabs>
        <w:rPr>
          <w:i/>
          <w:u w:val="single"/>
        </w:rPr>
      </w:pPr>
      <w:r w:rsidRPr="0085159F">
        <w:tab/>
      </w:r>
      <w:r w:rsidRPr="0085159F">
        <w:rPr>
          <w:i/>
          <w:iCs/>
          <w:u w:val="single"/>
        </w:rPr>
        <w:t>/s/</w:t>
      </w:r>
      <w:r w:rsidRPr="0085159F">
        <w:rPr>
          <w:u w:val="single"/>
        </w:rPr>
        <w:t xml:space="preserve"> </w:t>
      </w:r>
      <w:r w:rsidRPr="0085159F">
        <w:rPr>
          <w:i/>
          <w:u w:val="single"/>
        </w:rPr>
        <w:t>Angela D. O’Brien</w:t>
      </w:r>
      <w:r w:rsidRPr="0085159F">
        <w:rPr>
          <w:i/>
          <w:u w:val="single"/>
        </w:rPr>
        <w:tab/>
      </w:r>
      <w:r w:rsidRPr="0085159F">
        <w:rPr>
          <w:i/>
          <w:u w:val="single"/>
        </w:rPr>
        <w:tab/>
      </w:r>
    </w:p>
    <w:p w:rsidR="008B1C45" w:rsidRPr="0085159F" w:rsidP="008B1C45" w14:paraId="7E5BCEFB" w14:textId="77777777">
      <w:pPr>
        <w:tabs>
          <w:tab w:val="left" w:pos="4320"/>
        </w:tabs>
      </w:pPr>
      <w:r w:rsidRPr="0085159F">
        <w:tab/>
        <w:t>Angela D. O’Brien</w:t>
      </w:r>
    </w:p>
    <w:p w:rsidR="008B1C45" w:rsidRPr="0085159F" w:rsidP="008B1C45" w14:paraId="23207509" w14:textId="77777777">
      <w:pPr>
        <w:tabs>
          <w:tab w:val="left" w:pos="4320"/>
        </w:tabs>
      </w:pPr>
      <w:r w:rsidRPr="0085159F">
        <w:tab/>
        <w:t>Assistant Consumers’ Counsel</w:t>
      </w:r>
    </w:p>
    <w:p w:rsidR="008B1C45" w:rsidRPr="0085159F" w:rsidP="008B1C45" w14:paraId="2F36ABDE" w14:textId="77777777">
      <w:pPr>
        <w:tabs>
          <w:tab w:val="left" w:pos="4320"/>
        </w:tabs>
      </w:pPr>
    </w:p>
    <w:p w:rsidR="008B1C45" w:rsidRPr="0085159F" w:rsidP="008B1C45" w14:paraId="5F6C3611" w14:textId="77777777">
      <w:pPr>
        <w:pStyle w:val="CommentSubject"/>
        <w:rPr>
          <w:sz w:val="24"/>
          <w:szCs w:val="24"/>
        </w:rPr>
      </w:pPr>
    </w:p>
    <w:p w:rsidR="008B1C45" w:rsidRPr="0085159F" w:rsidP="008B1C45" w14:paraId="556322E2" w14:textId="77777777">
      <w:r w:rsidRPr="0085159F">
        <w:t>The PUCO’s e-filing system will electronically serve notice of the filing of this document on the following parties:</w:t>
      </w:r>
    </w:p>
    <w:p w:rsidR="008B1C45" w:rsidRPr="0085159F" w:rsidP="008B1C45" w14:paraId="573E29D7" w14:textId="77777777"/>
    <w:p w:rsidR="004F64AF" w:rsidRPr="0085159F" w:rsidP="004F64AF" w14:paraId="54C4C741" w14:textId="03DF42B4">
      <w:pPr>
        <w:pStyle w:val="CommentText"/>
        <w:jc w:val="center"/>
        <w:rPr>
          <w:b/>
          <w:szCs w:val="24"/>
          <w:u w:val="single"/>
        </w:rPr>
      </w:pPr>
      <w:r w:rsidRPr="0085159F">
        <w:rPr>
          <w:b/>
          <w:szCs w:val="24"/>
          <w:u w:val="single"/>
        </w:rPr>
        <w:t>SERVICE LIST</w:t>
      </w:r>
    </w:p>
    <w:p w:rsidR="006215CC" w:rsidRPr="0085159F" w:rsidP="006215CC" w14:paraId="6471813A" w14:textId="77777777">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6"/>
        <w:gridCol w:w="4414"/>
      </w:tblGrid>
      <w:tr w14:paraId="3DB5DE10" w14:textId="77777777" w:rsidTr="009F291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97" w:type="dxa"/>
            <w:tcBorders>
              <w:top w:val="nil"/>
              <w:left w:val="nil"/>
              <w:bottom w:val="nil"/>
              <w:right w:val="nil"/>
            </w:tcBorders>
            <w:shd w:val="clear" w:color="auto" w:fill="auto"/>
          </w:tcPr>
          <w:p w:rsidR="006215CC" w:rsidRPr="0085159F" w:rsidP="009F2912" w14:paraId="7177776B" w14:textId="77777777">
            <w:pPr>
              <w:rPr>
                <w:color w:val="0000FF"/>
                <w:u w:val="single"/>
              </w:rPr>
            </w:pPr>
            <w:hyperlink r:id="rId9" w:history="1">
              <w:r w:rsidRPr="0085159F" w:rsidR="00994525">
                <w:rPr>
                  <w:color w:val="0000FF"/>
                  <w:u w:val="single"/>
                </w:rPr>
                <w:t>jodi.bair@ohioattorneygeneral.gov</w:t>
              </w:r>
            </w:hyperlink>
          </w:p>
          <w:p w:rsidR="006215CC" w:rsidRPr="0085159F" w:rsidP="009F2912" w14:paraId="0F2D2C8D" w14:textId="77777777">
            <w:pPr>
              <w:rPr>
                <w:color w:val="0000FF"/>
                <w:u w:val="single"/>
              </w:rPr>
            </w:pPr>
          </w:p>
          <w:p w:rsidR="006215CC" w:rsidRPr="0085159F" w:rsidP="009F2912" w14:paraId="5312C742" w14:textId="77777777">
            <w:r w:rsidRPr="0085159F">
              <w:t>Attorney Examiners:</w:t>
            </w:r>
          </w:p>
          <w:p w:rsidR="006215CC" w:rsidRPr="0085159F" w:rsidP="009F2912" w14:paraId="127304FF" w14:textId="77777777"/>
          <w:p w:rsidR="006215CC" w:rsidRPr="0085159F" w:rsidP="009F2912" w14:paraId="61937231" w14:textId="77777777">
            <w:hyperlink r:id="rId10" w:history="1">
              <w:r w:rsidRPr="0085159F" w:rsidR="00994525">
                <w:rPr>
                  <w:color w:val="0000FF"/>
                  <w:u w:val="single"/>
                </w:rPr>
                <w:t>Gregory.price@puco.ohio.gov</w:t>
              </w:r>
            </w:hyperlink>
          </w:p>
          <w:p w:rsidR="006215CC" w:rsidRPr="0085159F" w:rsidP="009F2912" w14:paraId="7090AD8C" w14:textId="77777777">
            <w:hyperlink r:id="rId11" w:history="1">
              <w:r w:rsidRPr="0085159F" w:rsidR="00994525">
                <w:rPr>
                  <w:color w:val="0000FF"/>
                  <w:u w:val="single"/>
                </w:rPr>
                <w:t>Anna.sanyal@puco.ohio.gov</w:t>
              </w:r>
            </w:hyperlink>
          </w:p>
          <w:p w:rsidR="006215CC" w:rsidRPr="0085159F" w:rsidP="009F2912" w14:paraId="795EB557" w14:textId="77777777"/>
        </w:tc>
        <w:tc>
          <w:tcPr>
            <w:tcW w:w="4459" w:type="dxa"/>
            <w:tcBorders>
              <w:top w:val="nil"/>
              <w:left w:val="nil"/>
              <w:bottom w:val="nil"/>
              <w:right w:val="nil"/>
            </w:tcBorders>
            <w:shd w:val="clear" w:color="auto" w:fill="auto"/>
          </w:tcPr>
          <w:p w:rsidR="006215CC" w:rsidRPr="0085159F" w:rsidP="009F2912" w14:paraId="79F4B689" w14:textId="77777777">
            <w:pPr>
              <w:autoSpaceDE w:val="0"/>
              <w:autoSpaceDN w:val="0"/>
              <w:adjustRightInd w:val="0"/>
              <w:ind w:left="1296"/>
              <w:rPr>
                <w:rStyle w:val="Hyperlink"/>
              </w:rPr>
            </w:pPr>
            <w:hyperlink r:id="rId12" w:history="1">
              <w:r w:rsidRPr="0085159F" w:rsidR="00994525">
                <w:rPr>
                  <w:rStyle w:val="Hyperlink"/>
                </w:rPr>
                <w:t>mmcguire@HuntonAK.com</w:t>
              </w:r>
            </w:hyperlink>
          </w:p>
          <w:p w:rsidR="006215CC" w:rsidRPr="0085159F" w:rsidP="009F2912" w14:paraId="3C0BAC91" w14:textId="40453AAC">
            <w:pPr>
              <w:autoSpaceDE w:val="0"/>
              <w:autoSpaceDN w:val="0"/>
              <w:adjustRightInd w:val="0"/>
              <w:ind w:left="1296"/>
              <w:rPr>
                <w:rStyle w:val="Hyperlink"/>
              </w:rPr>
            </w:pPr>
            <w:hyperlink r:id="rId13" w:history="1">
              <w:r w:rsidRPr="0085159F" w:rsidR="00994525">
                <w:rPr>
                  <w:rStyle w:val="Hyperlink"/>
                </w:rPr>
                <w:t>cpardo@HuntonAK.com</w:t>
              </w:r>
            </w:hyperlink>
          </w:p>
          <w:p w:rsidR="006215CC" w:rsidRPr="0085159F" w:rsidP="006215CC" w14:paraId="67656F70" w14:textId="487246DB">
            <w:pPr>
              <w:autoSpaceDE w:val="0"/>
              <w:autoSpaceDN w:val="0"/>
              <w:adjustRightInd w:val="0"/>
              <w:ind w:left="1248"/>
              <w:rPr>
                <w:rFonts w:eastAsiaTheme="minorHAnsi"/>
              </w:rPr>
            </w:pPr>
            <w:r w:rsidRPr="0085159F">
              <w:rPr>
                <w:rFonts w:eastAsiaTheme="minorHAnsi"/>
              </w:rPr>
              <w:t xml:space="preserve"> </w:t>
            </w:r>
            <w:hyperlink r:id="rId14" w:history="1">
              <w:r w:rsidRPr="0085159F">
                <w:rPr>
                  <w:rStyle w:val="Hyperlink"/>
                  <w:rFonts w:eastAsiaTheme="minorHAnsi"/>
                </w:rPr>
                <w:t>egallon@porterwright.com</w:t>
              </w:r>
            </w:hyperlink>
          </w:p>
          <w:p w:rsidR="006215CC" w:rsidRPr="0085159F" w:rsidP="006215CC" w14:paraId="3AE8BE63" w14:textId="45E25917">
            <w:pPr>
              <w:autoSpaceDE w:val="0"/>
              <w:autoSpaceDN w:val="0"/>
              <w:adjustRightInd w:val="0"/>
              <w:ind w:left="1296"/>
              <w:rPr>
                <w:rFonts w:eastAsiaTheme="minorHAnsi"/>
              </w:rPr>
            </w:pPr>
            <w:hyperlink r:id="rId15" w:history="1">
              <w:r w:rsidRPr="0085159F" w:rsidR="00994525">
                <w:rPr>
                  <w:rStyle w:val="Hyperlink"/>
                  <w:rFonts w:eastAsiaTheme="minorHAnsi"/>
                </w:rPr>
                <w:t>acarter@porterwright.com</w:t>
              </w:r>
            </w:hyperlink>
          </w:p>
          <w:p w:rsidR="006215CC" w:rsidRPr="0085159F" w:rsidP="006215CC" w14:paraId="3990A5D8" w14:textId="77777777">
            <w:pPr>
              <w:autoSpaceDE w:val="0"/>
              <w:autoSpaceDN w:val="0"/>
              <w:adjustRightInd w:val="0"/>
              <w:ind w:left="1296"/>
            </w:pPr>
          </w:p>
          <w:p w:rsidR="006215CC" w:rsidRPr="0085159F" w:rsidP="009F2912" w14:paraId="26E807D3" w14:textId="77777777">
            <w:pPr>
              <w:autoSpaceDE w:val="0"/>
              <w:autoSpaceDN w:val="0"/>
              <w:adjustRightInd w:val="0"/>
              <w:ind w:left="1296"/>
            </w:pPr>
          </w:p>
          <w:p w:rsidR="006215CC" w:rsidRPr="0085159F" w:rsidP="009F2912" w14:paraId="2E80F8A1" w14:textId="77777777">
            <w:pPr>
              <w:autoSpaceDE w:val="0"/>
              <w:autoSpaceDN w:val="0"/>
              <w:adjustRightInd w:val="0"/>
              <w:ind w:left="1296"/>
            </w:pPr>
          </w:p>
          <w:p w:rsidR="006215CC" w:rsidRPr="0085159F" w:rsidP="009F2912" w14:paraId="24CEFD33" w14:textId="77777777">
            <w:pPr>
              <w:autoSpaceDE w:val="0"/>
              <w:autoSpaceDN w:val="0"/>
              <w:adjustRightInd w:val="0"/>
              <w:ind w:left="1296"/>
            </w:pPr>
          </w:p>
          <w:p w:rsidR="006215CC" w:rsidRPr="0085159F" w:rsidP="009F2912" w14:paraId="33D456A9" w14:textId="77777777">
            <w:pPr>
              <w:ind w:left="1416"/>
              <w:jc w:val="both"/>
            </w:pPr>
            <w:r w:rsidRPr="0085159F">
              <w:t xml:space="preserve"> </w:t>
            </w:r>
          </w:p>
          <w:p w:rsidR="006215CC" w:rsidRPr="0085159F" w:rsidP="009F2912" w14:paraId="740D4FA8" w14:textId="77777777">
            <w:pPr>
              <w:rPr>
                <w:b/>
                <w:u w:val="single"/>
              </w:rPr>
            </w:pPr>
          </w:p>
        </w:tc>
      </w:tr>
    </w:tbl>
    <w:p w:rsidR="004F64AF" w:rsidRPr="0085159F" w:rsidP="00CF4FCF" w14:paraId="1C1CDA36" w14:textId="77777777">
      <w:pPr>
        <w:pStyle w:val="ListParagraph"/>
        <w:spacing w:line="480" w:lineRule="auto"/>
        <w:ind w:left="0" w:firstLine="720"/>
        <w:jc w:val="both"/>
      </w:pPr>
    </w:p>
    <w:sectPr w:rsidSect="006215CC">
      <w:footerReference w:type="default" r:id="rId16"/>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5312379"/>
      <w:docPartObj>
        <w:docPartGallery w:val="Page Numbers (Bottom of Page)"/>
        <w:docPartUnique/>
      </w:docPartObj>
    </w:sdtPr>
    <w:sdtEndPr>
      <w:rPr>
        <w:noProof/>
      </w:rPr>
    </w:sdtEndPr>
    <w:sdtContent>
      <w:p w:rsidR="00325B54" w14:paraId="45BEAE50" w14:textId="3441A864">
        <w:pPr>
          <w:pStyle w:val="Footer"/>
          <w:jc w:val="center"/>
        </w:pPr>
        <w:r>
          <w:fldChar w:fldCharType="begin"/>
        </w:r>
        <w:r>
          <w:instrText xml:space="preserve"> PAGE   \* MERGEFORMAT </w:instrText>
        </w:r>
        <w:r>
          <w:fldChar w:fldCharType="separate"/>
        </w:r>
        <w:r w:rsidR="00944510">
          <w:rPr>
            <w:noProof/>
          </w:rPr>
          <w:t>7</w:t>
        </w:r>
        <w:r>
          <w:rPr>
            <w:noProof/>
          </w:rPr>
          <w:fldChar w:fldCharType="end"/>
        </w:r>
      </w:p>
    </w:sdtContent>
  </w:sdt>
  <w:p w:rsidR="00325B54" w14:paraId="3F321B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618E2" w:rsidP="00216FBA" w14:paraId="4FB90C8B" w14:textId="77777777">
      <w:r>
        <w:separator/>
      </w:r>
    </w:p>
  </w:footnote>
  <w:footnote w:type="continuationSeparator" w:id="1">
    <w:p w:rsidR="005618E2" w:rsidP="00216FBA" w14:paraId="1F4DA28E" w14:textId="77777777">
      <w:r>
        <w:continuationSeparator/>
      </w:r>
    </w:p>
  </w:footnote>
  <w:footnote w:id="2">
    <w:p w:rsidR="00FD2244" w:rsidRPr="00B93441" w:rsidP="009A596A" w14:paraId="7890FC71" w14:textId="6A61D98E">
      <w:pPr>
        <w:pStyle w:val="FootnoteText"/>
        <w:spacing w:after="120"/>
        <w:jc w:val="both"/>
      </w:pPr>
      <w:r>
        <w:rPr>
          <w:rStyle w:val="FootnoteReference"/>
        </w:rPr>
        <w:footnoteRef/>
      </w:r>
      <w:r>
        <w:rPr>
          <w:lang w:val="en-US"/>
        </w:rPr>
        <w:t xml:space="preserve"> </w:t>
      </w:r>
      <w:r>
        <w:t xml:space="preserve">“PALMco” refers to </w:t>
      </w:r>
      <w:r w:rsidRPr="00A5772F">
        <w:t>PALMco Power OH, LLC d</w:t>
      </w:r>
      <w:r w:rsidR="00845AF8">
        <w:rPr>
          <w:lang w:val="en-US"/>
        </w:rPr>
        <w:t>/</w:t>
      </w:r>
      <w:r w:rsidRPr="00A5772F">
        <w:t>b</w:t>
      </w:r>
      <w:r w:rsidR="00845AF8">
        <w:rPr>
          <w:lang w:val="en-US"/>
        </w:rPr>
        <w:t>/</w:t>
      </w:r>
      <w:r w:rsidRPr="00A5772F">
        <w:t>a Indra Energy and PALMco Energy OH, LLC d</w:t>
      </w:r>
      <w:r w:rsidR="00845AF8">
        <w:rPr>
          <w:lang w:val="en-US"/>
        </w:rPr>
        <w:t>/</w:t>
      </w:r>
      <w:r w:rsidRPr="00A5772F">
        <w:t>b</w:t>
      </w:r>
      <w:r w:rsidR="00845AF8">
        <w:rPr>
          <w:lang w:val="en-US"/>
        </w:rPr>
        <w:t>/</w:t>
      </w:r>
      <w:r w:rsidRPr="00A5772F">
        <w:t>a Indra Energy</w:t>
      </w:r>
      <w:r>
        <w:t>.</w:t>
      </w:r>
    </w:p>
  </w:footnote>
  <w:footnote w:id="3">
    <w:p w:rsidR="0093404E" w:rsidP="009A596A" w14:paraId="390CDDF8" w14:textId="43226D69">
      <w:pPr>
        <w:pStyle w:val="FootnoteText"/>
        <w:spacing w:after="120"/>
        <w:rPr>
          <w:lang w:val="en-US"/>
        </w:rPr>
      </w:pPr>
      <w:r>
        <w:rPr>
          <w:rStyle w:val="FootnoteReference"/>
        </w:rPr>
        <w:footnoteRef/>
      </w:r>
      <w:r>
        <w:t xml:space="preserve"> </w:t>
      </w:r>
      <w:r>
        <w:rPr>
          <w:i/>
          <w:iCs/>
          <w:lang w:val="en-US"/>
        </w:rPr>
        <w:t xml:space="preserve">See </w:t>
      </w:r>
      <w:r>
        <w:rPr>
          <w:lang w:val="en-US"/>
        </w:rPr>
        <w:t xml:space="preserve">PALMco’s Motion to Establish a Procedural Schedule (Oct. </w:t>
      </w:r>
      <w:r w:rsidR="00CF58B9">
        <w:rPr>
          <w:lang w:val="en-US"/>
        </w:rPr>
        <w:t>13</w:t>
      </w:r>
      <w:r>
        <w:rPr>
          <w:lang w:val="en-US"/>
        </w:rPr>
        <w:t>, 2020)</w:t>
      </w:r>
      <w:r w:rsidR="006504B3">
        <w:rPr>
          <w:lang w:val="en-US"/>
        </w:rPr>
        <w:t>.</w:t>
      </w:r>
    </w:p>
    <w:p w:rsidR="006504B3" w:rsidRPr="0093404E" w:rsidP="009A596A" w14:paraId="2330A22E" w14:textId="77777777">
      <w:pPr>
        <w:pStyle w:val="FootnoteText"/>
        <w:spacing w:after="120"/>
        <w:rPr>
          <w:i/>
          <w:iCs/>
          <w:lang w:val="en-US"/>
        </w:rPr>
      </w:pPr>
    </w:p>
  </w:footnote>
  <w:footnote w:id="4">
    <w:p w:rsidR="006504B3" w:rsidRPr="006504B3" w:rsidP="009A596A" w14:paraId="43E6E671" w14:textId="7EE4CC9C">
      <w:pPr>
        <w:pStyle w:val="FootnoteText"/>
        <w:spacing w:after="120"/>
        <w:rPr>
          <w:i/>
          <w:iCs/>
          <w:lang w:val="en-US"/>
        </w:rPr>
      </w:pPr>
      <w:r>
        <w:rPr>
          <w:rStyle w:val="FootnoteReference"/>
        </w:rPr>
        <w:footnoteRef/>
      </w:r>
      <w:r>
        <w:t xml:space="preserve"> </w:t>
      </w:r>
      <w:r>
        <w:rPr>
          <w:i/>
          <w:iCs/>
          <w:lang w:val="en-US"/>
        </w:rPr>
        <w:t>Id.</w:t>
      </w:r>
    </w:p>
  </w:footnote>
  <w:footnote w:id="5">
    <w:p w:rsidR="00A36FFE" w:rsidRPr="009D2C70" w:rsidP="009A596A" w14:paraId="738AA6DB" w14:textId="2A8A72B0">
      <w:pPr>
        <w:pStyle w:val="FootnoteText"/>
        <w:spacing w:after="120"/>
        <w:rPr>
          <w:lang w:val="en-US"/>
        </w:rPr>
      </w:pPr>
      <w:r>
        <w:rPr>
          <w:rStyle w:val="FootnoteReference"/>
        </w:rPr>
        <w:footnoteRef/>
      </w:r>
      <w:r>
        <w:t xml:space="preserve"> </w:t>
      </w:r>
      <w:r>
        <w:rPr>
          <w:i/>
          <w:iCs/>
          <w:lang w:val="en-US"/>
        </w:rPr>
        <w:t xml:space="preserve">See </w:t>
      </w:r>
      <w:r>
        <w:rPr>
          <w:lang w:val="en-US"/>
        </w:rPr>
        <w:t>OCC’s Memorandum Contra PALMco’s Motion to Establish a Procedural Schedule (Oct. 28, 2020).</w:t>
      </w:r>
    </w:p>
  </w:footnote>
  <w:footnote w:id="6">
    <w:p w:rsidR="005373AE" w:rsidRPr="00FD2244" w:rsidP="009A596A" w14:paraId="627A908A" w14:textId="1C5E80B6">
      <w:pPr>
        <w:pStyle w:val="FootnoteText"/>
        <w:spacing w:after="120"/>
        <w:rPr>
          <w:lang w:val="en-US"/>
        </w:rPr>
      </w:pPr>
      <w:r>
        <w:rPr>
          <w:rStyle w:val="FootnoteReference"/>
        </w:rPr>
        <w:footnoteRef/>
      </w:r>
      <w:r>
        <w:t xml:space="preserve"> </w:t>
      </w:r>
      <w:r>
        <w:rPr>
          <w:i/>
          <w:iCs/>
          <w:lang w:val="en-US"/>
        </w:rPr>
        <w:t>See</w:t>
      </w:r>
      <w:r>
        <w:rPr>
          <w:lang w:val="en-US"/>
        </w:rPr>
        <w:t xml:space="preserve"> PUCO Staff Memorandum Contra PALMco’s Motion to Establish a Procedural Schedule (Oct. 28, 2020).</w:t>
      </w:r>
    </w:p>
  </w:footnote>
  <w:footnote w:id="7">
    <w:p w:rsidR="005373AE" w:rsidRPr="005373AE" w:rsidP="009A596A" w14:paraId="37FF2CAC" w14:textId="707C977D">
      <w:pPr>
        <w:pStyle w:val="FootnoteText"/>
        <w:spacing w:after="120"/>
        <w:rPr>
          <w:lang w:val="en-US"/>
        </w:rPr>
      </w:pPr>
      <w:r>
        <w:rPr>
          <w:rStyle w:val="FootnoteReference"/>
        </w:rPr>
        <w:footnoteRef/>
      </w:r>
      <w:r>
        <w:t xml:space="preserve"> </w:t>
      </w:r>
      <w:r>
        <w:rPr>
          <w:i/>
          <w:iCs/>
          <w:lang w:val="en-US"/>
        </w:rPr>
        <w:t xml:space="preserve">See </w:t>
      </w:r>
      <w:r>
        <w:rPr>
          <w:lang w:val="en-US"/>
        </w:rPr>
        <w:t>April 6 Entry, at ¶19; August 6 Entry, at ¶21.</w:t>
      </w:r>
    </w:p>
  </w:footnote>
  <w:footnote w:id="8">
    <w:p w:rsidR="00A36FFE" w:rsidP="009A596A" w14:paraId="3605D02D" w14:textId="5A216B0A">
      <w:pPr>
        <w:pStyle w:val="FootnoteText"/>
        <w:spacing w:after="120"/>
        <w:rPr>
          <w:lang w:val="en-US"/>
        </w:rPr>
      </w:pPr>
      <w:r>
        <w:rPr>
          <w:rStyle w:val="FootnoteReference"/>
        </w:rPr>
        <w:footnoteRef/>
      </w:r>
      <w:r>
        <w:t xml:space="preserve"> </w:t>
      </w:r>
      <w:r w:rsidR="00612620">
        <w:rPr>
          <w:lang w:val="en-US"/>
        </w:rPr>
        <w:t>PALMco Motion for Extension Memorandum in Support</w:t>
      </w:r>
      <w:r w:rsidR="00A32907">
        <w:rPr>
          <w:lang w:val="en-US"/>
        </w:rPr>
        <w:t>, at 2.</w:t>
      </w:r>
    </w:p>
    <w:p w:rsidR="00F50576" w:rsidRPr="00931FE1" w:rsidP="009A596A" w14:paraId="4F143F71" w14:textId="77777777">
      <w:pPr>
        <w:pStyle w:val="FootnoteText"/>
        <w:spacing w:after="120"/>
        <w:rPr>
          <w:lang w:val="en-US"/>
        </w:rPr>
      </w:pPr>
    </w:p>
  </w:footnote>
  <w:footnote w:id="9">
    <w:p w:rsidR="00790DEB" w:rsidRPr="00FB7164" w:rsidP="009A596A" w14:paraId="4FF1F629" w14:textId="7029287C">
      <w:pPr>
        <w:pStyle w:val="FootnoteText"/>
        <w:spacing w:after="120"/>
        <w:rPr>
          <w:lang w:val="en-US"/>
        </w:rPr>
      </w:pPr>
      <w:r>
        <w:rPr>
          <w:rStyle w:val="FootnoteReference"/>
        </w:rPr>
        <w:footnoteRef/>
      </w:r>
      <w:r>
        <w:t xml:space="preserve"> </w:t>
      </w:r>
      <w:r w:rsidR="00F50576">
        <w:rPr>
          <w:i/>
          <w:iCs/>
          <w:lang w:val="en-US"/>
        </w:rPr>
        <w:t xml:space="preserve">See </w:t>
      </w:r>
      <w:r w:rsidR="00FB7164">
        <w:rPr>
          <w:i/>
          <w:iCs/>
          <w:lang w:val="en-US"/>
        </w:rPr>
        <w:t>In the Matter of the Commission’s Investigation into PALMco Power OH, LLC d/b/a Indra Energy and PALMco Energy OH, LLC d/b/a Indra Energy’s Compliance with the Ohio Administrative Code and Potential Remedial Actions for Non-Compliance</w:t>
      </w:r>
      <w:r w:rsidR="00FB7164">
        <w:rPr>
          <w:lang w:val="en-US"/>
        </w:rPr>
        <w:t>, Case No. 19-</w:t>
      </w:r>
      <w:r w:rsidR="00F971CB">
        <w:rPr>
          <w:lang w:val="en-US"/>
        </w:rPr>
        <w:t>957-GE-COI, Sept. 11, 2019</w:t>
      </w:r>
      <w:r w:rsidR="00F50576">
        <w:rPr>
          <w:lang w:val="en-US"/>
        </w:rPr>
        <w:t xml:space="preserve"> Hearing </w:t>
      </w:r>
      <w:r w:rsidR="00F971CB">
        <w:rPr>
          <w:lang w:val="en-US"/>
        </w:rPr>
        <w:t>Tr. at 25: 8-15.</w:t>
      </w:r>
    </w:p>
  </w:footnote>
  <w:footnote w:id="10">
    <w:p w:rsidR="006A0DB8" w:rsidP="009A596A" w14:paraId="32F6C4F1" w14:textId="4B3EB48B">
      <w:pPr>
        <w:pStyle w:val="FootnoteText"/>
        <w:spacing w:after="120"/>
        <w:rPr>
          <w:lang w:val="en-US"/>
        </w:rPr>
      </w:pPr>
      <w:r>
        <w:rPr>
          <w:rStyle w:val="FootnoteReference"/>
        </w:rPr>
        <w:footnoteRef/>
      </w:r>
      <w:r>
        <w:t xml:space="preserve"> </w:t>
      </w:r>
      <w:r>
        <w:rPr>
          <w:lang w:val="en-US"/>
        </w:rPr>
        <w:t>PALMco Motion for Extension Memorandum in Support, at 1.</w:t>
      </w:r>
    </w:p>
    <w:p w:rsidR="00D739F1" w:rsidRPr="006A0DB8" w:rsidP="009A596A" w14:paraId="3FA11D93" w14:textId="77777777">
      <w:pPr>
        <w:pStyle w:val="FootnoteText"/>
        <w:spacing w:after="120"/>
        <w:rPr>
          <w:lang w:val="en-US"/>
        </w:rPr>
      </w:pPr>
    </w:p>
  </w:footnote>
  <w:footnote w:id="11">
    <w:p w:rsidR="003A6FE8" w:rsidRPr="00D739F1" w:rsidP="009A596A" w14:paraId="6DCC3D60" w14:textId="2B1CF039">
      <w:pPr>
        <w:pStyle w:val="FootnoteText"/>
        <w:spacing w:after="120"/>
        <w:rPr>
          <w:lang w:val="en-US"/>
        </w:rPr>
      </w:pPr>
      <w:r>
        <w:rPr>
          <w:rStyle w:val="FootnoteReference"/>
        </w:rPr>
        <w:footnoteRef/>
      </w:r>
      <w:r>
        <w:t xml:space="preserve"> </w:t>
      </w:r>
      <w:r>
        <w:rPr>
          <w:lang w:val="en-US"/>
        </w:rPr>
        <w:t>PALMco Motion for Extension Memorandum in Support, at 1.</w:t>
      </w:r>
    </w:p>
  </w:footnote>
  <w:footnote w:id="12">
    <w:p w:rsidR="00790DEB" w:rsidRPr="002A63EE" w:rsidP="009A596A" w14:paraId="6A484808" w14:textId="77777777">
      <w:pPr>
        <w:pStyle w:val="FootnoteText"/>
        <w:spacing w:after="120"/>
        <w:rPr>
          <w:lang w:val="en-US"/>
        </w:rPr>
      </w:pPr>
      <w:r>
        <w:rPr>
          <w:rStyle w:val="FootnoteReference"/>
        </w:rPr>
        <w:footnoteRef/>
      </w:r>
      <w:r>
        <w:t xml:space="preserve"> </w:t>
      </w:r>
      <w:r>
        <w:rPr>
          <w:lang w:val="en-US"/>
        </w:rPr>
        <w:t>PALMco I, Sept. 11, 2019 Hearing Tr. at 25: 8-15.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0514C2"/>
    <w:multiLevelType w:val="hybridMultilevel"/>
    <w:tmpl w:val="FB00C5C4"/>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0FD1863"/>
    <w:multiLevelType w:val="hybridMultilevel"/>
    <w:tmpl w:val="C06434B6"/>
    <w:lvl w:ilvl="0">
      <w:start w:val="1"/>
      <w:numFmt w:val="upperRoman"/>
      <w:lvlText w:val="%1."/>
      <w:lvlJc w:val="right"/>
      <w:pPr>
        <w:ind w:left="720" w:hanging="360"/>
      </w:p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6947B04"/>
    <w:multiLevelType w:val="hybridMultilevel"/>
    <w:tmpl w:val="A4C0FC50"/>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69F"/>
    <w:rsid w:val="00001CD4"/>
    <w:rsid w:val="00003903"/>
    <w:rsid w:val="00005A60"/>
    <w:rsid w:val="00022D55"/>
    <w:rsid w:val="00025A4A"/>
    <w:rsid w:val="0002649F"/>
    <w:rsid w:val="00040AC6"/>
    <w:rsid w:val="00093AF3"/>
    <w:rsid w:val="000B0151"/>
    <w:rsid w:val="000B076D"/>
    <w:rsid w:val="000B12DA"/>
    <w:rsid w:val="000C3058"/>
    <w:rsid w:val="000E1681"/>
    <w:rsid w:val="000F14B8"/>
    <w:rsid w:val="00104013"/>
    <w:rsid w:val="001167F6"/>
    <w:rsid w:val="00132251"/>
    <w:rsid w:val="00154979"/>
    <w:rsid w:val="00155BA9"/>
    <w:rsid w:val="00164C7B"/>
    <w:rsid w:val="00180B0C"/>
    <w:rsid w:val="00184F99"/>
    <w:rsid w:val="00187A07"/>
    <w:rsid w:val="001902FE"/>
    <w:rsid w:val="001B1CAC"/>
    <w:rsid w:val="001C4191"/>
    <w:rsid w:val="001D46AB"/>
    <w:rsid w:val="001E0D1C"/>
    <w:rsid w:val="001E2B50"/>
    <w:rsid w:val="001F02EC"/>
    <w:rsid w:val="00216FBA"/>
    <w:rsid w:val="00225DF0"/>
    <w:rsid w:val="00234F03"/>
    <w:rsid w:val="002448C2"/>
    <w:rsid w:val="00246A3B"/>
    <w:rsid w:val="0025371A"/>
    <w:rsid w:val="002547AE"/>
    <w:rsid w:val="00262CD3"/>
    <w:rsid w:val="00283B6A"/>
    <w:rsid w:val="002A63EE"/>
    <w:rsid w:val="002A7D65"/>
    <w:rsid w:val="002B0B0D"/>
    <w:rsid w:val="002B4D8E"/>
    <w:rsid w:val="002C17D3"/>
    <w:rsid w:val="002D2BAD"/>
    <w:rsid w:val="0031519E"/>
    <w:rsid w:val="00320C96"/>
    <w:rsid w:val="00325B54"/>
    <w:rsid w:val="003275B1"/>
    <w:rsid w:val="00347DFE"/>
    <w:rsid w:val="0036098A"/>
    <w:rsid w:val="0039369F"/>
    <w:rsid w:val="003A6FE8"/>
    <w:rsid w:val="003C5BA3"/>
    <w:rsid w:val="003E00B1"/>
    <w:rsid w:val="003F6B27"/>
    <w:rsid w:val="0043068A"/>
    <w:rsid w:val="004378C2"/>
    <w:rsid w:val="00447C3D"/>
    <w:rsid w:val="004610FE"/>
    <w:rsid w:val="0046670B"/>
    <w:rsid w:val="004A39C3"/>
    <w:rsid w:val="004B6160"/>
    <w:rsid w:val="004C2026"/>
    <w:rsid w:val="004D4232"/>
    <w:rsid w:val="004F64AF"/>
    <w:rsid w:val="00521ED7"/>
    <w:rsid w:val="0052648A"/>
    <w:rsid w:val="005373AE"/>
    <w:rsid w:val="00552019"/>
    <w:rsid w:val="005618E2"/>
    <w:rsid w:val="005861F2"/>
    <w:rsid w:val="005B044B"/>
    <w:rsid w:val="005B71D4"/>
    <w:rsid w:val="005C1763"/>
    <w:rsid w:val="005D35E1"/>
    <w:rsid w:val="00610469"/>
    <w:rsid w:val="00612620"/>
    <w:rsid w:val="006215CC"/>
    <w:rsid w:val="00623011"/>
    <w:rsid w:val="00632631"/>
    <w:rsid w:val="00636659"/>
    <w:rsid w:val="006473D7"/>
    <w:rsid w:val="006504B3"/>
    <w:rsid w:val="00653605"/>
    <w:rsid w:val="00660E50"/>
    <w:rsid w:val="006810BC"/>
    <w:rsid w:val="00690903"/>
    <w:rsid w:val="006A0DB8"/>
    <w:rsid w:val="006B4C6A"/>
    <w:rsid w:val="006E53E3"/>
    <w:rsid w:val="006F6796"/>
    <w:rsid w:val="006F7AC7"/>
    <w:rsid w:val="0070466B"/>
    <w:rsid w:val="00723211"/>
    <w:rsid w:val="00760542"/>
    <w:rsid w:val="00760E1F"/>
    <w:rsid w:val="0076219A"/>
    <w:rsid w:val="00765269"/>
    <w:rsid w:val="0076526B"/>
    <w:rsid w:val="0076736D"/>
    <w:rsid w:val="00772ACE"/>
    <w:rsid w:val="00777D64"/>
    <w:rsid w:val="0078511C"/>
    <w:rsid w:val="00790DEB"/>
    <w:rsid w:val="00792979"/>
    <w:rsid w:val="007A037D"/>
    <w:rsid w:val="007A05D7"/>
    <w:rsid w:val="007C624B"/>
    <w:rsid w:val="007D7D1C"/>
    <w:rsid w:val="007E11F5"/>
    <w:rsid w:val="007E39E3"/>
    <w:rsid w:val="007E5B2F"/>
    <w:rsid w:val="008142B8"/>
    <w:rsid w:val="008233C2"/>
    <w:rsid w:val="00826F19"/>
    <w:rsid w:val="00845AF8"/>
    <w:rsid w:val="0085159F"/>
    <w:rsid w:val="00854095"/>
    <w:rsid w:val="00865E89"/>
    <w:rsid w:val="00876852"/>
    <w:rsid w:val="008A43C1"/>
    <w:rsid w:val="008B1C45"/>
    <w:rsid w:val="008B276E"/>
    <w:rsid w:val="008C22B1"/>
    <w:rsid w:val="008E4C93"/>
    <w:rsid w:val="008E6E9D"/>
    <w:rsid w:val="008F3C24"/>
    <w:rsid w:val="00902D61"/>
    <w:rsid w:val="00914582"/>
    <w:rsid w:val="00923845"/>
    <w:rsid w:val="00931FE1"/>
    <w:rsid w:val="0093404E"/>
    <w:rsid w:val="00941E51"/>
    <w:rsid w:val="00944510"/>
    <w:rsid w:val="00947005"/>
    <w:rsid w:val="00953048"/>
    <w:rsid w:val="009541B8"/>
    <w:rsid w:val="00965998"/>
    <w:rsid w:val="00970B40"/>
    <w:rsid w:val="00975F29"/>
    <w:rsid w:val="00977FC7"/>
    <w:rsid w:val="00982A9D"/>
    <w:rsid w:val="00994525"/>
    <w:rsid w:val="009A1955"/>
    <w:rsid w:val="009A596A"/>
    <w:rsid w:val="009B2297"/>
    <w:rsid w:val="009C2379"/>
    <w:rsid w:val="009C4849"/>
    <w:rsid w:val="009C63DF"/>
    <w:rsid w:val="009D2C70"/>
    <w:rsid w:val="009E6694"/>
    <w:rsid w:val="009F2912"/>
    <w:rsid w:val="009F3C87"/>
    <w:rsid w:val="00A044B5"/>
    <w:rsid w:val="00A0746E"/>
    <w:rsid w:val="00A15AB4"/>
    <w:rsid w:val="00A27968"/>
    <w:rsid w:val="00A32907"/>
    <w:rsid w:val="00A36846"/>
    <w:rsid w:val="00A36FFE"/>
    <w:rsid w:val="00A44156"/>
    <w:rsid w:val="00A5772F"/>
    <w:rsid w:val="00A6025C"/>
    <w:rsid w:val="00A632CF"/>
    <w:rsid w:val="00A676B6"/>
    <w:rsid w:val="00A87668"/>
    <w:rsid w:val="00A930FA"/>
    <w:rsid w:val="00AA5028"/>
    <w:rsid w:val="00AB58AE"/>
    <w:rsid w:val="00AC46A6"/>
    <w:rsid w:val="00AC5716"/>
    <w:rsid w:val="00AE0336"/>
    <w:rsid w:val="00AF01F4"/>
    <w:rsid w:val="00B06937"/>
    <w:rsid w:val="00B21597"/>
    <w:rsid w:val="00B712B6"/>
    <w:rsid w:val="00B72844"/>
    <w:rsid w:val="00B93441"/>
    <w:rsid w:val="00BA4FD8"/>
    <w:rsid w:val="00BA5EBE"/>
    <w:rsid w:val="00BB482E"/>
    <w:rsid w:val="00BB79BA"/>
    <w:rsid w:val="00BC1008"/>
    <w:rsid w:val="00BC1FCB"/>
    <w:rsid w:val="00C04C7E"/>
    <w:rsid w:val="00C343F9"/>
    <w:rsid w:val="00C44637"/>
    <w:rsid w:val="00C5260B"/>
    <w:rsid w:val="00C532EA"/>
    <w:rsid w:val="00C7015F"/>
    <w:rsid w:val="00C92E8C"/>
    <w:rsid w:val="00CA111F"/>
    <w:rsid w:val="00CB5B5D"/>
    <w:rsid w:val="00CB5DDE"/>
    <w:rsid w:val="00CC2CB6"/>
    <w:rsid w:val="00CC48D2"/>
    <w:rsid w:val="00CE388A"/>
    <w:rsid w:val="00CE6022"/>
    <w:rsid w:val="00CE69AC"/>
    <w:rsid w:val="00CF4FCF"/>
    <w:rsid w:val="00CF58B9"/>
    <w:rsid w:val="00D06CF8"/>
    <w:rsid w:val="00D24953"/>
    <w:rsid w:val="00D52E4C"/>
    <w:rsid w:val="00D54BDE"/>
    <w:rsid w:val="00D563B5"/>
    <w:rsid w:val="00D60924"/>
    <w:rsid w:val="00D63A8B"/>
    <w:rsid w:val="00D739F1"/>
    <w:rsid w:val="00DA14F3"/>
    <w:rsid w:val="00DC2ED6"/>
    <w:rsid w:val="00DD1291"/>
    <w:rsid w:val="00DD75AB"/>
    <w:rsid w:val="00DF0C55"/>
    <w:rsid w:val="00E1695C"/>
    <w:rsid w:val="00E5219D"/>
    <w:rsid w:val="00E60E9B"/>
    <w:rsid w:val="00E64EF6"/>
    <w:rsid w:val="00E65D68"/>
    <w:rsid w:val="00ED188E"/>
    <w:rsid w:val="00EF0ECA"/>
    <w:rsid w:val="00F50576"/>
    <w:rsid w:val="00F53CFE"/>
    <w:rsid w:val="00F62F40"/>
    <w:rsid w:val="00F6533F"/>
    <w:rsid w:val="00F70EB2"/>
    <w:rsid w:val="00F73625"/>
    <w:rsid w:val="00F8539B"/>
    <w:rsid w:val="00F970B9"/>
    <w:rsid w:val="00F971CB"/>
    <w:rsid w:val="00FA22BE"/>
    <w:rsid w:val="00FA4655"/>
    <w:rsid w:val="00FB2039"/>
    <w:rsid w:val="00FB4673"/>
    <w:rsid w:val="00FB7164"/>
    <w:rsid w:val="00FC5EEF"/>
    <w:rsid w:val="00FD2244"/>
    <w:rsid w:val="00FF1519"/>
    <w:rsid w:val="00FF211D"/>
    <w:rsid w:val="00FF58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69F"/>
    <w:pPr>
      <w:jc w:val="lef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826F19"/>
    <w:rPr>
      <w:sz w:val="20"/>
      <w:vertAlign w:val="superscript"/>
    </w:rPr>
  </w:style>
  <w:style w:type="character" w:styleId="PageNumber">
    <w:name w:val="page number"/>
    <w:basedOn w:val="DefaultParagraphFont"/>
    <w:uiPriority w:val="99"/>
    <w:semiHidden/>
    <w:unhideWhenUsed/>
    <w:rsid w:val="00826F19"/>
    <w:rPr>
      <w:rFonts w:ascii="Times New Roman" w:hAnsi="Times New Roman"/>
      <w:sz w:val="24"/>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qFormat/>
    <w:rsid w:val="00F6533F"/>
    <w:pPr>
      <w:overflowPunct w:val="0"/>
      <w:autoSpaceDE w:val="0"/>
      <w:autoSpaceDN w:val="0"/>
      <w:adjustRightInd w:val="0"/>
      <w:textAlignment w:val="baseline"/>
    </w:pPr>
    <w:rPr>
      <w:rFonts w:eastAsia="Times New Roman"/>
      <w:sz w:val="20"/>
      <w:szCs w:val="20"/>
      <w:lang w:val="x-none" w:eastAsia="x-none"/>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rsid w:val="00F6533F"/>
    <w:rPr>
      <w:rFonts w:eastAsia="Times New Roman" w:cs="Times New Roman"/>
      <w:sz w:val="20"/>
      <w:szCs w:val="20"/>
      <w:lang w:val="x-none" w:eastAsia="x-none"/>
    </w:rPr>
  </w:style>
  <w:style w:type="paragraph" w:styleId="ListParagraph">
    <w:name w:val="List Paragraph"/>
    <w:basedOn w:val="Normal"/>
    <w:uiPriority w:val="34"/>
    <w:qFormat/>
    <w:rsid w:val="0039369F"/>
    <w:pPr>
      <w:ind w:left="720"/>
      <w:contextualSpacing/>
    </w:pPr>
  </w:style>
  <w:style w:type="character" w:customStyle="1" w:styleId="FootnoteTextChar3">
    <w:name w:val="Footnote Text Char3"/>
    <w:aliases w:val="Footnote Text Char Char Char Char Char1,Footnote Text Char Char Char1 Char1,Footnote Text Char Char Char2,Footnote Text Char Char1 Char1,Footnote Text Char1 Char Char Char1,Footnote Text Char1 Char1 Char1,Footnote Text Char2 Char2"/>
    <w:uiPriority w:val="99"/>
    <w:locked/>
    <w:rsid w:val="00B93441"/>
    <w:rPr>
      <w:rFonts w:eastAsia="Times New Roman"/>
    </w:rPr>
  </w:style>
  <w:style w:type="paragraph" w:styleId="CommentText">
    <w:name w:val="annotation text"/>
    <w:basedOn w:val="Normal"/>
    <w:link w:val="CommentTextChar"/>
    <w:semiHidden/>
    <w:rsid w:val="004F64AF"/>
    <w:rPr>
      <w:rFonts w:eastAsia="Times New Roman"/>
      <w:szCs w:val="20"/>
    </w:rPr>
  </w:style>
  <w:style w:type="character" w:customStyle="1" w:styleId="CommentTextChar">
    <w:name w:val="Comment Text Char"/>
    <w:basedOn w:val="DefaultParagraphFont"/>
    <w:link w:val="CommentText"/>
    <w:semiHidden/>
    <w:rsid w:val="004F64AF"/>
    <w:rPr>
      <w:rFonts w:eastAsia="Times New Roman" w:cs="Times New Roman"/>
      <w:szCs w:val="20"/>
    </w:rPr>
  </w:style>
  <w:style w:type="character" w:styleId="Hyperlink">
    <w:name w:val="Hyperlink"/>
    <w:uiPriority w:val="99"/>
    <w:rsid w:val="004F64AF"/>
    <w:rPr>
      <w:rFonts w:cs="Times New Roman"/>
      <w:color w:val="0000FF"/>
      <w:u w:val="single"/>
    </w:rPr>
  </w:style>
  <w:style w:type="paragraph" w:styleId="Header">
    <w:name w:val="header"/>
    <w:basedOn w:val="Normal"/>
    <w:link w:val="HeaderChar"/>
    <w:uiPriority w:val="99"/>
    <w:unhideWhenUsed/>
    <w:rsid w:val="00325B54"/>
    <w:pPr>
      <w:tabs>
        <w:tab w:val="center" w:pos="4680"/>
        <w:tab w:val="right" w:pos="9360"/>
      </w:tabs>
    </w:pPr>
  </w:style>
  <w:style w:type="character" w:customStyle="1" w:styleId="HeaderChar">
    <w:name w:val="Header Char"/>
    <w:basedOn w:val="DefaultParagraphFont"/>
    <w:link w:val="Header"/>
    <w:uiPriority w:val="99"/>
    <w:rsid w:val="00325B54"/>
    <w:rPr>
      <w:rFonts w:eastAsia="Calibri" w:cs="Times New Roman"/>
    </w:rPr>
  </w:style>
  <w:style w:type="paragraph" w:styleId="Footer">
    <w:name w:val="footer"/>
    <w:basedOn w:val="Normal"/>
    <w:link w:val="FooterChar"/>
    <w:uiPriority w:val="99"/>
    <w:unhideWhenUsed/>
    <w:rsid w:val="00325B54"/>
    <w:pPr>
      <w:tabs>
        <w:tab w:val="center" w:pos="4680"/>
        <w:tab w:val="right" w:pos="9360"/>
      </w:tabs>
    </w:pPr>
  </w:style>
  <w:style w:type="character" w:customStyle="1" w:styleId="FooterChar">
    <w:name w:val="Footer Char"/>
    <w:basedOn w:val="DefaultParagraphFont"/>
    <w:link w:val="Footer"/>
    <w:uiPriority w:val="99"/>
    <w:rsid w:val="00325B54"/>
    <w:rPr>
      <w:rFonts w:eastAsia="Calibri" w:cs="Times New Roman"/>
    </w:rPr>
  </w:style>
  <w:style w:type="paragraph" w:styleId="HTMLPreformatted">
    <w:name w:val="HTML Preformatted"/>
    <w:basedOn w:val="Normal"/>
    <w:link w:val="HTMLPreformattedChar"/>
    <w:rsid w:val="008A4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8A43C1"/>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8A43C1"/>
    <w:rPr>
      <w:sz w:val="16"/>
      <w:szCs w:val="16"/>
    </w:rPr>
  </w:style>
  <w:style w:type="paragraph" w:styleId="CommentSubject">
    <w:name w:val="annotation subject"/>
    <w:basedOn w:val="CommentText"/>
    <w:next w:val="CommentText"/>
    <w:link w:val="CommentSubjectChar"/>
    <w:semiHidden/>
    <w:unhideWhenUsed/>
    <w:rsid w:val="008A43C1"/>
    <w:rPr>
      <w:rFonts w:eastAsia="Calibri"/>
      <w:b/>
      <w:bCs/>
      <w:sz w:val="20"/>
    </w:rPr>
  </w:style>
  <w:style w:type="character" w:customStyle="1" w:styleId="CommentSubjectChar">
    <w:name w:val="Comment Subject Char"/>
    <w:basedOn w:val="CommentTextChar"/>
    <w:link w:val="CommentSubject"/>
    <w:semiHidden/>
    <w:rsid w:val="008A43C1"/>
    <w:rPr>
      <w:rFonts w:eastAsia="Calibri" w:cs="Times New Roman"/>
      <w:b/>
      <w:bCs/>
      <w:sz w:val="20"/>
      <w:szCs w:val="20"/>
    </w:rPr>
  </w:style>
  <w:style w:type="paragraph" w:styleId="BalloonText">
    <w:name w:val="Balloon Text"/>
    <w:basedOn w:val="Normal"/>
    <w:link w:val="BalloonTextChar"/>
    <w:uiPriority w:val="99"/>
    <w:semiHidden/>
    <w:unhideWhenUsed/>
    <w:rsid w:val="008A4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3C1"/>
    <w:rPr>
      <w:rFonts w:ascii="Segoe UI" w:eastAsia="Calibri" w:hAnsi="Segoe UI" w:cs="Segoe UI"/>
      <w:sz w:val="18"/>
      <w:szCs w:val="18"/>
    </w:rPr>
  </w:style>
  <w:style w:type="paragraph" w:styleId="BodyTextIndent3">
    <w:name w:val="Body Text Indent 3"/>
    <w:basedOn w:val="Normal"/>
    <w:link w:val="BodyTextIndent3Char"/>
    <w:rsid w:val="009C4849"/>
    <w:pPr>
      <w:spacing w:line="480" w:lineRule="atLeast"/>
      <w:ind w:firstLine="720"/>
    </w:pPr>
    <w:rPr>
      <w:rFonts w:eastAsia="Times New Roman"/>
      <w:szCs w:val="20"/>
    </w:rPr>
  </w:style>
  <w:style w:type="character" w:customStyle="1" w:styleId="BodyTextIndent3Char">
    <w:name w:val="Body Text Indent 3 Char"/>
    <w:basedOn w:val="DefaultParagraphFont"/>
    <w:link w:val="BodyTextIndent3"/>
    <w:rsid w:val="009C4849"/>
    <w:rPr>
      <w:rFonts w:eastAsia="Times New Roman" w:cs="Times New Roman"/>
      <w:szCs w:val="20"/>
    </w:rPr>
  </w:style>
  <w:style w:type="character" w:customStyle="1" w:styleId="UnresolvedMention1">
    <w:name w:val="Unresolved Mention1"/>
    <w:basedOn w:val="DefaultParagraphFont"/>
    <w:uiPriority w:val="99"/>
    <w:semiHidden/>
    <w:unhideWhenUsed/>
    <w:rsid w:val="00621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Gregory.price@puco.ohio.gov" TargetMode="External" /><Relationship Id="rId11" Type="http://schemas.openxmlformats.org/officeDocument/2006/relationships/hyperlink" Target="mailto:Anna.sanyal@puco.ohio.gov" TargetMode="External" /><Relationship Id="rId12" Type="http://schemas.openxmlformats.org/officeDocument/2006/relationships/hyperlink" Target="mailto:mmcguire@HuntonAK.com" TargetMode="External" /><Relationship Id="rId13" Type="http://schemas.openxmlformats.org/officeDocument/2006/relationships/hyperlink" Target="mailto:cpardo@HuntonAK.com" TargetMode="External" /><Relationship Id="rId14" Type="http://schemas.openxmlformats.org/officeDocument/2006/relationships/hyperlink" Target="mailto:egallon@porterwright.com" TargetMode="External" /><Relationship Id="rId15" Type="http://schemas.openxmlformats.org/officeDocument/2006/relationships/hyperlink" Target="mailto:acarter@porterwright.com"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christopher.healey@occ.ohio.gov" TargetMode="External" /><Relationship Id="rId8" Type="http://schemas.openxmlformats.org/officeDocument/2006/relationships/hyperlink" Target="mailto:bojko@carpenterlipps.com" TargetMode="External" /><Relationship Id="rId9" Type="http://schemas.openxmlformats.org/officeDocument/2006/relationships/hyperlink" Target="mailto:jodi.bair@ohioattorneygenera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581C-3D39-4DA7-BF38-D314FE34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MC PALMco Mot. for Ext. - 19-2153 w/dfs  (00148499.DOCX;1)</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2020-11-19T16:20:02Z</dcterms:created>
  <dcterms:modified xsi:type="dcterms:W3CDTF">2020-11-19T16:20:02Z</dcterms:modified>
</cp:coreProperties>
</file>