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55176" w:rsidRPr="004534E8" w:rsidP="002E15BF">
      <w:pPr>
        <w:pStyle w:val="HTMLPreformatted"/>
        <w:jc w:val="center"/>
        <w:rPr>
          <w:rFonts w:ascii="Times New Roman" w:hAnsi="Times New Roman"/>
          <w:b/>
          <w:bCs/>
          <w:sz w:val="24"/>
        </w:rPr>
      </w:pPr>
      <w:bookmarkStart w:id="0" w:name="_GoBack"/>
      <w:bookmarkEnd w:id="0"/>
      <w:r w:rsidRPr="004534E8">
        <w:rPr>
          <w:rFonts w:ascii="Times New Roman" w:hAnsi="Times New Roman"/>
          <w:b/>
          <w:bCs/>
          <w:sz w:val="24"/>
        </w:rPr>
        <w:t>BEFORE</w:t>
      </w:r>
    </w:p>
    <w:p w:rsidR="00055176" w:rsidRPr="004534E8" w:rsidP="002E15BF">
      <w:pPr>
        <w:pStyle w:val="HTMLPreformatted"/>
        <w:jc w:val="center"/>
        <w:rPr>
          <w:rFonts w:ascii="Times New Roman" w:hAnsi="Times New Roman"/>
          <w:b/>
          <w:bCs/>
          <w:sz w:val="24"/>
        </w:rPr>
      </w:pPr>
      <w:r w:rsidRPr="004534E8">
        <w:rPr>
          <w:rFonts w:ascii="Times New Roman" w:hAnsi="Times New Roman"/>
          <w:b/>
          <w:bCs/>
          <w:sz w:val="24"/>
        </w:rPr>
        <w:t>THE PUBLIC UTILITIES COMMISSION OF OHIO</w:t>
      </w:r>
    </w:p>
    <w:p w:rsidR="00055176" w:rsidRPr="004534E8" w:rsidP="002E15BF">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055176">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055176"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4534E8">
              <w:rPr>
                <w:rFonts w:ascii="Times New Roman" w:eastAsia="Courier New" w:hAnsi="Times New Roman" w:cs="Times New Roman"/>
                <w:sz w:val="24"/>
                <w:szCs w:val="24"/>
                <w:lang w:val="en-US" w:eastAsia="en-US" w:bidi="ar-SA"/>
              </w:rPr>
              <w:t xml:space="preserve">In the Matter of the </w:t>
            </w:r>
            <w:r w:rsidR="00B233A2">
              <w:rPr>
                <w:rFonts w:ascii="Times New Roman" w:eastAsia="Courier New" w:hAnsi="Times New Roman" w:cs="Times New Roman"/>
                <w:sz w:val="24"/>
                <w:szCs w:val="24"/>
                <w:lang w:val="en-US" w:eastAsia="en-US" w:bidi="ar-SA"/>
              </w:rPr>
              <w:t xml:space="preserve">Application of </w:t>
            </w:r>
            <w:bookmarkStart w:id="1" w:name="_Hlk3816529"/>
            <w:r w:rsidR="00B233A2">
              <w:rPr>
                <w:rFonts w:ascii="Times New Roman" w:eastAsia="Courier New" w:hAnsi="Times New Roman" w:cs="Times New Roman"/>
                <w:sz w:val="24"/>
                <w:szCs w:val="24"/>
                <w:lang w:val="en-US" w:eastAsia="en-US" w:bidi="ar-SA"/>
              </w:rPr>
              <w:t xml:space="preserve">the East Ohio Gas Company d/b/a Dominion Energy Ohio </w:t>
            </w:r>
            <w:bookmarkEnd w:id="1"/>
            <w:r w:rsidR="00B233A2">
              <w:rPr>
                <w:rFonts w:ascii="Times New Roman" w:eastAsia="Courier New" w:hAnsi="Times New Roman" w:cs="Times New Roman"/>
                <w:sz w:val="24"/>
                <w:szCs w:val="24"/>
                <w:lang w:val="en-US" w:eastAsia="en-US" w:bidi="ar-SA"/>
              </w:rPr>
              <w:t>re: Implementation of the Tax Cut and Jobs Act of 2017.</w:t>
            </w:r>
          </w:p>
          <w:p w:rsidR="00055176"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4534E8">
              <w:rPr>
                <w:rFonts w:ascii="Times New Roman" w:eastAsia="Courier New" w:hAnsi="Times New Roman" w:cs="Times New Roman"/>
                <w:sz w:val="24"/>
                <w:szCs w:val="24"/>
                <w:lang w:val="en-US" w:eastAsia="en-US" w:bidi="ar-SA"/>
              </w:rPr>
              <w:t xml:space="preserve">In the Matter of the </w:t>
            </w:r>
            <w:r>
              <w:rPr>
                <w:rFonts w:ascii="Times New Roman" w:eastAsia="Courier New" w:hAnsi="Times New Roman" w:cs="Times New Roman"/>
                <w:sz w:val="24"/>
                <w:szCs w:val="24"/>
                <w:lang w:val="en-US" w:eastAsia="en-US" w:bidi="ar-SA"/>
              </w:rPr>
              <w:t>Application of the East Ohio Gas Company d/b/a Dominion Energy Ohio for Approval of Tariff Revisions.</w:t>
            </w: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055176"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055176"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055176"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055176"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B233A2"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B233A2"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4400" w:type="dxa"/>
            <w:shd w:val="clear" w:color="auto" w:fill="auto"/>
          </w:tcPr>
          <w:p w:rsidR="00055176"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55176"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 xml:space="preserve">Case No. </w:t>
            </w:r>
            <w:r w:rsidR="00BB1A9F">
              <w:rPr>
                <w:rFonts w:ascii="Times New Roman" w:eastAsia="Courier New" w:hAnsi="Times New Roman" w:cs="Courier New"/>
                <w:sz w:val="24"/>
                <w:lang w:val="en-US" w:eastAsia="en-US" w:bidi="ar-SA"/>
              </w:rPr>
              <w:t>18-1908-GA-UNC</w:t>
            </w:r>
          </w:p>
          <w:p w:rsidR="00055176"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233A2"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233A2"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233A2"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233A2" w:rsidRPr="004534E8" w:rsidP="002E15B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 xml:space="preserve">Case No. </w:t>
            </w:r>
            <w:r w:rsidR="00BB1A9F">
              <w:rPr>
                <w:rFonts w:ascii="Times New Roman" w:eastAsia="Courier New" w:hAnsi="Times New Roman" w:cs="Courier New"/>
                <w:sz w:val="24"/>
                <w:lang w:val="en-US" w:eastAsia="en-US" w:bidi="ar-SA"/>
              </w:rPr>
              <w:t>18-1909-GA-ATA</w:t>
            </w:r>
          </w:p>
        </w:tc>
      </w:tr>
    </w:tbl>
    <w:p w:rsidR="00055176" w:rsidRPr="004534E8" w:rsidP="002E15BF">
      <w:pPr>
        <w:pStyle w:val="HTMLPreformatted"/>
        <w:pBdr>
          <w:top w:val="single" w:sz="12" w:space="1" w:color="auto"/>
        </w:pBdr>
        <w:rPr>
          <w:rFonts w:ascii="Times New Roman" w:hAnsi="Times New Roman"/>
          <w:sz w:val="24"/>
        </w:rPr>
      </w:pPr>
    </w:p>
    <w:p w:rsidR="00055176" w:rsidRPr="004534E8" w:rsidP="002E15BF">
      <w:pPr>
        <w:jc w:val="center"/>
        <w:rPr>
          <w:b/>
          <w:bCs/>
        </w:rPr>
      </w:pPr>
      <w:r w:rsidRPr="004534E8">
        <w:rPr>
          <w:b/>
          <w:bCs/>
        </w:rPr>
        <w:t xml:space="preserve">COMMENTS ON </w:t>
      </w:r>
      <w:r w:rsidR="00BB1A9F">
        <w:rPr>
          <w:b/>
          <w:bCs/>
        </w:rPr>
        <w:t>DOMINION’S APPLICATION AND THE PUCO STAFF’S RECOMMENDATIONS</w:t>
      </w:r>
      <w:r w:rsidR="007862A0">
        <w:rPr>
          <w:b/>
          <w:bCs/>
        </w:rPr>
        <w:t xml:space="preserve"> FOR CONVERTING DOMINION’S FEDERAL TAX CUTS INTO RATE CUTS FOR OHIO CONSUMERS</w:t>
      </w:r>
      <w:r w:rsidR="00BB1A9F">
        <w:rPr>
          <w:b/>
          <w:bCs/>
        </w:rPr>
        <w:t xml:space="preserve"> </w:t>
      </w:r>
    </w:p>
    <w:p w:rsidR="00055176" w:rsidRPr="004534E8" w:rsidP="002E15BF">
      <w:pPr>
        <w:jc w:val="center"/>
        <w:rPr>
          <w:b/>
          <w:bCs/>
        </w:rPr>
      </w:pPr>
      <w:r w:rsidRPr="004534E8">
        <w:rPr>
          <w:b/>
          <w:bCs/>
        </w:rPr>
        <w:t>BY</w:t>
      </w:r>
    </w:p>
    <w:p w:rsidR="00055176" w:rsidRPr="004534E8" w:rsidP="002E15BF">
      <w:pPr>
        <w:jc w:val="center"/>
        <w:rPr>
          <w:b/>
          <w:bCs/>
        </w:rPr>
      </w:pPr>
      <w:r w:rsidRPr="004534E8">
        <w:rPr>
          <w:b/>
          <w:bCs/>
        </w:rPr>
        <w:t>THE OFFICE OF THE OHIO CONSUMERS’ COUNSEL</w:t>
      </w:r>
    </w:p>
    <w:p w:rsidR="00055176" w:rsidRPr="004534E8" w:rsidP="002E15BF">
      <w:pPr>
        <w:pBdr>
          <w:bottom w:val="single" w:sz="12" w:space="1" w:color="auto"/>
        </w:pBdr>
        <w:tabs>
          <w:tab w:val="left" w:pos="4320"/>
        </w:tabs>
      </w:pPr>
    </w:p>
    <w:p w:rsidR="00055176" w:rsidRPr="004534E8" w:rsidP="002E15BF">
      <w:pPr>
        <w:tabs>
          <w:tab w:val="left" w:pos="4320"/>
        </w:tabs>
      </w:pPr>
    </w:p>
    <w:p w:rsidR="00055176" w:rsidRPr="004534E8" w:rsidP="002E15BF">
      <w:pPr>
        <w:pStyle w:val="Heading1"/>
      </w:pPr>
      <w:r w:rsidRPr="004534E8">
        <w:t>I.</w:t>
      </w:r>
      <w:r w:rsidRPr="004534E8">
        <w:tab/>
        <w:t>INTRODUCTION</w:t>
      </w:r>
    </w:p>
    <w:p w:rsidR="002E15BF" w:rsidP="002E15BF">
      <w:pPr>
        <w:pStyle w:val="BodyTextIndent3"/>
        <w:spacing w:line="480" w:lineRule="auto"/>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r>
        <w:t xml:space="preserve">A key initiative for </w:t>
      </w:r>
      <w:r w:rsidR="00864EFF">
        <w:t xml:space="preserve">Ohio regulation </w:t>
      </w:r>
      <w:r>
        <w:t xml:space="preserve">has been </w:t>
      </w:r>
      <w:r w:rsidR="00864EFF">
        <w:t>to secure for consumers</w:t>
      </w:r>
      <w:r w:rsidR="00A01B94">
        <w:t xml:space="preserve"> in this state</w:t>
      </w:r>
      <w:r w:rsidR="00864EFF">
        <w:t xml:space="preserve"> </w:t>
      </w:r>
      <w:r w:rsidR="00383520">
        <w:t>their</w:t>
      </w:r>
      <w:r>
        <w:t xml:space="preserve"> full </w:t>
      </w:r>
      <w:r w:rsidR="00383520">
        <w:t>sharing</w:t>
      </w:r>
      <w:r>
        <w:t xml:space="preserve"> of </w:t>
      </w:r>
      <w:r w:rsidR="00053C9C">
        <w:t xml:space="preserve">the </w:t>
      </w:r>
      <w:r w:rsidR="00864EFF">
        <w:t>utilit</w:t>
      </w:r>
      <w:r w:rsidR="00383520">
        <w:t>ies’</w:t>
      </w:r>
      <w:r>
        <w:t xml:space="preserve"> </w:t>
      </w:r>
      <w:r w:rsidR="00864EFF">
        <w:t xml:space="preserve">tax </w:t>
      </w:r>
      <w:r>
        <w:t>savings</w:t>
      </w:r>
      <w:r w:rsidR="00053C9C">
        <w:t xml:space="preserve"> under </w:t>
      </w:r>
      <w:r w:rsidR="00FE61D7">
        <w:t xml:space="preserve">the 2017 </w:t>
      </w:r>
      <w:r w:rsidR="00053C9C">
        <w:t>federal law.</w:t>
      </w:r>
      <w:r>
        <w:t xml:space="preserve"> </w:t>
      </w:r>
      <w:r w:rsidRPr="001F6364">
        <w:t>Dominion Energy Ohio</w:t>
      </w:r>
      <w:r>
        <w:t xml:space="preserve">’s (“Dominion”) application </w:t>
      </w:r>
      <w:r w:rsidR="00D07CAB">
        <w:t>is a good first step to</w:t>
      </w:r>
      <w:r>
        <w:t xml:space="preserve"> help </w:t>
      </w:r>
      <w:r w:rsidR="00933C88">
        <w:t>start</w:t>
      </w:r>
      <w:r>
        <w:t xml:space="preserve"> this process for </w:t>
      </w:r>
      <w:r w:rsidR="00A01B94">
        <w:t>its 1.</w:t>
      </w:r>
      <w:r w:rsidR="00554B74">
        <w:t>2</w:t>
      </w:r>
      <w:r w:rsidR="00A01B94">
        <w:t xml:space="preserve">_ million </w:t>
      </w:r>
      <w:r w:rsidR="005A7C33">
        <w:t>customers</w:t>
      </w:r>
      <w:r>
        <w:t xml:space="preserve">. </w:t>
      </w:r>
      <w:r w:rsidR="0086622E">
        <w:t>In this regard, the most credible approach for transferring a utility’s tax savings to its customers is to use the “AEP model.” Under that approach the PUCO</w:t>
      </w:r>
      <w:r w:rsidR="00933C88">
        <w:t xml:space="preserve"> should</w:t>
      </w:r>
      <w:r w:rsidR="0086622E">
        <w:t xml:space="preserve"> simply require </w:t>
      </w:r>
      <w:r w:rsidR="00933C88">
        <w:t>Dominion</w:t>
      </w:r>
      <w:r w:rsidR="0086622E">
        <w:t xml:space="preserve"> to reduce its consumers’ monthly bills commensurate with </w:t>
      </w:r>
      <w:r w:rsidR="00933C88">
        <w:t>its federal tax savings.</w:t>
      </w:r>
      <w:r w:rsidR="00FE61D7">
        <w:t xml:space="preserve"> That approach is preferable to allowing Dominion to simultaneously increase its rates (for other reasons) to offset the rate decrease for sharing its tax savings</w:t>
      </w:r>
      <w:r w:rsidR="00195427">
        <w:t xml:space="preserve"> with consumers</w:t>
      </w:r>
      <w:r w:rsidR="00FE61D7">
        <w:t>.</w:t>
      </w:r>
      <w:r w:rsidR="00195427">
        <w:t xml:space="preserve"> Further, we note that another significant issue that needs to be addressed in Dominion’s service area is the outrageous charges by some marketers under the innocuously named “Monthly Variable Rate” program.</w:t>
      </w:r>
    </w:p>
    <w:p w:rsidR="000A07E7" w:rsidP="002E15BF">
      <w:pPr>
        <w:pStyle w:val="BodyTextIndent3"/>
        <w:spacing w:line="480" w:lineRule="auto"/>
      </w:pPr>
      <w:r>
        <w:t xml:space="preserve">On </w:t>
      </w:r>
      <w:r>
        <w:t xml:space="preserve">October 24, 2018 in Case No. 18-047-AU-COI, </w:t>
      </w:r>
      <w:r w:rsidR="00166CE8">
        <w:t>t</w:t>
      </w:r>
      <w:r w:rsidRPr="004534E8" w:rsidR="00055176">
        <w:t xml:space="preserve">he Public Utilities Commission of Ohio (“PUCO”) ordered </w:t>
      </w:r>
      <w:r>
        <w:t xml:space="preserve">that “all Ohio rate-regulated utility companies should be directed to file applications </w:t>
      </w:r>
      <w:r w:rsidR="00935CC7">
        <w:t>‘</w:t>
      </w:r>
      <w:r>
        <w:t>not for an increase in rates,’ pursuant to R.C. 4909.18, in a newly initiated proceeding, to pass along to consumers the tax savings resulting from the TCJA</w:t>
      </w:r>
      <w:r w:rsidR="009C41A6">
        <w:t>” (the Tax Cut and Jobs Act of 2017) (hereafter the “18-047 Order”</w:t>
      </w:r>
      <w:r w:rsidR="0031653B">
        <w:t>)</w:t>
      </w:r>
      <w:r w:rsidR="009C41A6">
        <w:t>.</w:t>
      </w:r>
      <w:r>
        <w:rPr>
          <w:rStyle w:val="FootnoteReference"/>
        </w:rPr>
        <w:footnoteReference w:id="2"/>
      </w:r>
      <w:r w:rsidR="009C41A6">
        <w:t xml:space="preserve"> </w:t>
      </w:r>
      <w:r w:rsidR="001F6364">
        <w:t xml:space="preserve">In response to the PUCO’s directive, on December 31, 2018, Dominion filed an application in this proceeding </w:t>
      </w:r>
      <w:r w:rsidR="00B46F74">
        <w:t>“seeking approval to resolve matters related to the [TCJA] by proposing an approach to establish the rates and charges by and through which to fully return TCJA benefits to its customers.”</w:t>
      </w:r>
      <w:r>
        <w:rPr>
          <w:rStyle w:val="FootnoteReference"/>
        </w:rPr>
        <w:footnoteReference w:id="3"/>
      </w:r>
    </w:p>
    <w:p w:rsidR="000C2A5C" w:rsidP="002E15BF">
      <w:pPr>
        <w:pStyle w:val="BodyTextIndent3"/>
        <w:spacing w:line="480" w:lineRule="auto"/>
        <w:jc w:val="both"/>
      </w:pPr>
      <w:r>
        <w:t xml:space="preserve">On March 5, 2019, the PUCO Staff filed </w:t>
      </w:r>
      <w:r w:rsidR="008868B7">
        <w:t xml:space="preserve">its </w:t>
      </w:r>
      <w:r>
        <w:t>Review and Recommendations in the case (“Staff Report”)</w:t>
      </w:r>
      <w:r w:rsidR="008868B7">
        <w:t xml:space="preserve">.  </w:t>
      </w:r>
      <w:r w:rsidR="00514932">
        <w:t xml:space="preserve">The </w:t>
      </w:r>
      <w:r w:rsidR="008868B7">
        <w:t>Staff made</w:t>
      </w:r>
      <w:r>
        <w:t xml:space="preserve"> several recommendations in four general categories in response to Dominion’s Application</w:t>
      </w:r>
      <w:r w:rsidR="00CD2F3A">
        <w:t>: (1) “Reduction in FIT Recommendations</w:t>
      </w:r>
      <w:r w:rsidR="008868B7">
        <w:t>”</w:t>
      </w:r>
      <w:r w:rsidR="00CD2F3A">
        <w:t>;</w:t>
      </w:r>
      <w:r>
        <w:t xml:space="preserve"> </w:t>
      </w:r>
      <w:r w:rsidR="00CD2F3A">
        <w:t>(2) “EDIT Recommendations</w:t>
      </w:r>
      <w:r w:rsidR="008868B7">
        <w:t>”</w:t>
      </w:r>
      <w:r w:rsidR="00CD2F3A">
        <w:t xml:space="preserve">; (3) </w:t>
      </w:r>
      <w:r w:rsidR="008868B7">
        <w:t>“</w:t>
      </w:r>
      <w:r w:rsidR="00CD2F3A">
        <w:t>Financing Costs Recommendations</w:t>
      </w:r>
      <w:r w:rsidR="008868B7">
        <w:t>”</w:t>
      </w:r>
      <w:r w:rsidR="00CD2F3A">
        <w:t xml:space="preserve">; and (4) “True-Up of Pass Back Amounts and Actual TCJA Savings.” As detailed </w:t>
      </w:r>
      <w:r w:rsidR="008868B7">
        <w:t>below</w:t>
      </w:r>
      <w:r w:rsidR="005469DB">
        <w:t>,</w:t>
      </w:r>
      <w:r w:rsidR="00CD2F3A">
        <w:t xml:space="preserve"> on behalf of Dominion’s 1.</w:t>
      </w:r>
      <w:r w:rsidR="00554B74">
        <w:t xml:space="preserve">1 </w:t>
      </w:r>
      <w:r w:rsidR="00CD2F3A">
        <w:t xml:space="preserve">million residential consumers, the Office of the Ohio consumers Counsel (“OCC”) concurs with and supports all </w:t>
      </w:r>
      <w:r w:rsidR="008A4912">
        <w:t xml:space="preserve">of the PUCO Staff’s recommendations. </w:t>
      </w:r>
      <w:r w:rsidR="0039490E">
        <w:t>Also,</w:t>
      </w:r>
      <w:r w:rsidR="008475BB">
        <w:t xml:space="preserve"> as discussed below, </w:t>
      </w:r>
      <w:r w:rsidR="008868B7">
        <w:t>OCC</w:t>
      </w:r>
      <w:r w:rsidR="008A4912">
        <w:t xml:space="preserve"> recommend</w:t>
      </w:r>
      <w:r w:rsidR="008868B7">
        <w:t>s</w:t>
      </w:r>
      <w:r w:rsidR="008475BB">
        <w:t xml:space="preserve"> that Dominion should pass </w:t>
      </w:r>
      <w:r w:rsidR="00166CE8">
        <w:t xml:space="preserve">the federal tax </w:t>
      </w:r>
      <w:r w:rsidR="008868B7">
        <w:t xml:space="preserve">savings </w:t>
      </w:r>
      <w:r w:rsidR="008475BB">
        <w:t xml:space="preserve">back to consumers </w:t>
      </w:r>
      <w:r w:rsidR="00C76554">
        <w:t xml:space="preserve">in accordance with the rate </w:t>
      </w:r>
      <w:r w:rsidR="008475BB">
        <w:t>allocation</w:t>
      </w:r>
      <w:r w:rsidR="00C76554">
        <w:t xml:space="preserve">s established in </w:t>
      </w:r>
      <w:r w:rsidR="008868B7">
        <w:t>its</w:t>
      </w:r>
      <w:r w:rsidR="00C76554">
        <w:t xml:space="preserve"> most recent base rate case that were used to bill consumers for distribution services</w:t>
      </w:r>
      <w:r w:rsidR="00B951AD">
        <w:t>.</w:t>
      </w:r>
      <w:r w:rsidR="00C76554">
        <w:t xml:space="preserve"> </w:t>
      </w:r>
    </w:p>
    <w:p w:rsidR="00055176" w:rsidRPr="004534E8" w:rsidP="002E15BF">
      <w:pPr>
        <w:pStyle w:val="BodyTextIndent3"/>
        <w:spacing w:line="240" w:lineRule="auto"/>
      </w:pPr>
    </w:p>
    <w:p w:rsidR="00055176" w:rsidRPr="004534E8" w:rsidP="002E15BF">
      <w:pPr>
        <w:pStyle w:val="Heading1"/>
      </w:pPr>
      <w:r w:rsidRPr="004534E8">
        <w:t>II</w:t>
      </w:r>
      <w:r w:rsidRPr="004534E8">
        <w:tab/>
        <w:t>RECOMMENDATIONS</w:t>
      </w:r>
    </w:p>
    <w:p w:rsidR="00055176" w:rsidRPr="004534E8" w:rsidP="002E15BF">
      <w:pPr>
        <w:pStyle w:val="Heading2"/>
      </w:pPr>
      <w:r w:rsidRPr="004534E8">
        <w:t>A.</w:t>
      </w:r>
      <w:r w:rsidRPr="004534E8">
        <w:tab/>
      </w:r>
      <w:r w:rsidR="00435AD7">
        <w:t xml:space="preserve">In order to expeditiously </w:t>
      </w:r>
      <w:r w:rsidR="00F04E09">
        <w:t>return</w:t>
      </w:r>
      <w:r w:rsidR="00514932">
        <w:t xml:space="preserve"> to </w:t>
      </w:r>
      <w:r w:rsidR="0039490E">
        <w:t>consumers,</w:t>
      </w:r>
      <w:r w:rsidR="00F04E09">
        <w:t xml:space="preserve"> the full benefit of </w:t>
      </w:r>
      <w:r w:rsidR="00514932">
        <w:t>Dominion’s</w:t>
      </w:r>
      <w:r w:rsidR="00F04E09">
        <w:t xml:space="preserve"> </w:t>
      </w:r>
      <w:r w:rsidR="00514932">
        <w:t xml:space="preserve">federal </w:t>
      </w:r>
      <w:r w:rsidR="00F04E09">
        <w:t xml:space="preserve">tax </w:t>
      </w:r>
      <w:r w:rsidR="00514932">
        <w:t>savings</w:t>
      </w:r>
      <w:r w:rsidR="00F04E09">
        <w:t xml:space="preserve">, </w:t>
      </w:r>
      <w:r w:rsidR="00E57DB3">
        <w:t xml:space="preserve">OCC supports </w:t>
      </w:r>
      <w:r w:rsidR="00514932">
        <w:t>(</w:t>
      </w:r>
      <w:r w:rsidR="00E57DB3">
        <w:t>and the PUCO should adopt</w:t>
      </w:r>
      <w:r w:rsidR="00514932">
        <w:t>)</w:t>
      </w:r>
      <w:r w:rsidR="00E57DB3">
        <w:t xml:space="preserve"> the PUCO Staff</w:t>
      </w:r>
      <w:r w:rsidR="00514932">
        <w:t>’s</w:t>
      </w:r>
      <w:r w:rsidR="00E57DB3">
        <w:t xml:space="preserve"> recommendations</w:t>
      </w:r>
      <w:r w:rsidR="0099048F">
        <w:t>.</w:t>
      </w:r>
      <w:r w:rsidR="0025682A">
        <w:t xml:space="preserve"> </w:t>
      </w:r>
    </w:p>
    <w:p w:rsidR="0099048F" w:rsidP="002E15BF">
      <w:pPr>
        <w:pStyle w:val="BodyTextIndent3"/>
        <w:spacing w:line="480" w:lineRule="auto"/>
      </w:pPr>
      <w:r>
        <w:t xml:space="preserve">The </w:t>
      </w:r>
      <w:r w:rsidR="00166CE8">
        <w:t>federal tax act</w:t>
      </w:r>
      <w:r w:rsidR="00514932">
        <w:t xml:space="preserve"> </w:t>
      </w:r>
      <w:r>
        <w:t xml:space="preserve">reduced the federal corporate </w:t>
      </w:r>
      <w:r w:rsidR="008868B7">
        <w:t xml:space="preserve">income tax </w:t>
      </w:r>
      <w:r>
        <w:t xml:space="preserve">rate from 35% to 21%. </w:t>
      </w:r>
      <w:r w:rsidR="004E63B0">
        <w:t xml:space="preserve">OCC’s recommendation </w:t>
      </w:r>
      <w:r w:rsidR="00F43576">
        <w:t xml:space="preserve">(number 5) </w:t>
      </w:r>
      <w:r w:rsidR="004E63B0">
        <w:t>in addition to t</w:t>
      </w:r>
      <w:r w:rsidRPr="004534E8" w:rsidR="00055176">
        <w:t xml:space="preserve">he </w:t>
      </w:r>
      <w:r w:rsidR="0025682A">
        <w:t xml:space="preserve">PUCO </w:t>
      </w:r>
      <w:r>
        <w:t>Staff</w:t>
      </w:r>
      <w:r w:rsidR="004E63B0">
        <w:t>’s</w:t>
      </w:r>
      <w:r>
        <w:t xml:space="preserve"> </w:t>
      </w:r>
      <w:r w:rsidR="0025682A">
        <w:t xml:space="preserve">four recommendations </w:t>
      </w:r>
      <w:r w:rsidR="00F43576">
        <w:t xml:space="preserve">(numbers 1-4) </w:t>
      </w:r>
      <w:r>
        <w:t>under its general category entitled ‘Reduction in the FIT Recommendations</w:t>
      </w:r>
      <w:r w:rsidR="002E15BF">
        <w:t xml:space="preserve"> </w:t>
      </w:r>
      <w:r>
        <w:t>are</w:t>
      </w:r>
      <w:r w:rsidR="004E63B0">
        <w:t xml:space="preserve"> included below</w:t>
      </w:r>
      <w:r>
        <w:t>:</w:t>
      </w:r>
    </w:p>
    <w:p w:rsidR="0099048F" w:rsidP="002E15BF">
      <w:pPr>
        <w:pStyle w:val="BodyTextIndent3"/>
        <w:numPr>
          <w:ilvl w:val="0"/>
          <w:numId w:val="10"/>
        </w:numPr>
        <w:spacing w:line="480" w:lineRule="auto"/>
        <w:ind w:left="2160" w:hanging="720"/>
      </w:pPr>
      <w:r>
        <w:t xml:space="preserve">Dominion’s </w:t>
      </w:r>
      <w:r w:rsidR="00554B74">
        <w:t>Tax Savings Credit Rider</w:t>
      </w:r>
      <w:r>
        <w:t xml:space="preserve"> </w:t>
      </w:r>
      <w:r w:rsidR="009458E3">
        <w:t>(</w:t>
      </w:r>
      <w:r w:rsidR="00554B74">
        <w:t>“</w:t>
      </w:r>
      <w:r>
        <w:t>TSCR</w:t>
      </w:r>
      <w:r w:rsidR="00554B74">
        <w:t>”</w:t>
      </w:r>
      <w:r w:rsidR="009458E3">
        <w:t>)</w:t>
      </w:r>
      <w:r>
        <w:t xml:space="preserve"> should be established so that</w:t>
      </w:r>
      <w:r w:rsidR="005469DB">
        <w:t>,</w:t>
      </w:r>
      <w:r>
        <w:t xml:space="preserve"> in the first month after the PUCO issues an order in this case</w:t>
      </w:r>
      <w:r w:rsidR="008868B7">
        <w:t>,</w:t>
      </w:r>
      <w:r>
        <w:t xml:space="preserve"> consumers should begin receiving a credit</w:t>
      </w:r>
      <w:r w:rsidR="00935CC7">
        <w:t xml:space="preserve"> on their electric bills</w:t>
      </w:r>
      <w:r>
        <w:t xml:space="preserve"> to recognize </w:t>
      </w:r>
      <w:r w:rsidR="00935CC7">
        <w:t xml:space="preserve">Dominion’s </w:t>
      </w:r>
      <w:r w:rsidR="008868B7">
        <w:t xml:space="preserve">income tax </w:t>
      </w:r>
      <w:r>
        <w:t>rate reduction</w:t>
      </w:r>
      <w:r w:rsidR="000F17E0">
        <w:t xml:space="preserve">s </w:t>
      </w:r>
      <w:r w:rsidR="005469DB">
        <w:t xml:space="preserve">in </w:t>
      </w:r>
      <w:r w:rsidR="00AF7CE7">
        <w:t>ongoing</w:t>
      </w:r>
      <w:r w:rsidR="000F17E0">
        <w:t xml:space="preserve"> base distribution rates</w:t>
      </w:r>
      <w:r w:rsidR="006B26B9">
        <w:t>.</w:t>
      </w:r>
    </w:p>
    <w:p w:rsidR="000F17E0" w:rsidP="002E15BF">
      <w:pPr>
        <w:pStyle w:val="BodyTextIndent3"/>
        <w:numPr>
          <w:ilvl w:val="0"/>
          <w:numId w:val="10"/>
        </w:numPr>
        <w:spacing w:line="480" w:lineRule="auto"/>
        <w:ind w:left="2160" w:hanging="720"/>
      </w:pPr>
      <w:r>
        <w:t>To protect consumers, t</w:t>
      </w:r>
      <w:r>
        <w:t xml:space="preserve">he PUCO should reject Dominion’s proposal to defer the </w:t>
      </w:r>
      <w:r w:rsidR="008868B7">
        <w:t xml:space="preserve">income tax </w:t>
      </w:r>
      <w:r>
        <w:t xml:space="preserve">savings as a regulatory liability and use the liability to offset the regulatory asset created in Case No. </w:t>
      </w:r>
      <w:r w:rsidR="006B26B9">
        <w:t xml:space="preserve">15-1712-GA-AAM for </w:t>
      </w:r>
      <w:r w:rsidR="008868B7">
        <w:t>Dominion’s</w:t>
      </w:r>
      <w:r w:rsidR="006B26B9">
        <w:t xml:space="preserve"> Pipeline Safety Management Program.</w:t>
      </w:r>
      <w:r>
        <w:rPr>
          <w:rStyle w:val="FootnoteReference"/>
        </w:rPr>
        <w:footnoteReference w:id="4"/>
      </w:r>
    </w:p>
    <w:p w:rsidR="00EB709B" w:rsidP="002E15BF">
      <w:pPr>
        <w:pStyle w:val="BodyTextIndent3"/>
        <w:numPr>
          <w:ilvl w:val="0"/>
          <w:numId w:val="10"/>
        </w:numPr>
        <w:spacing w:line="480" w:lineRule="auto"/>
        <w:ind w:left="2160" w:hanging="720"/>
      </w:pPr>
      <w:r>
        <w:t>The amount of taxes collected by Dominion</w:t>
      </w:r>
      <w:r>
        <w:t xml:space="preserve"> for the period January 1, 2018 through the date Rider TSCR becomes effective (sometimes referred to as the “Stub Period”)</w:t>
      </w:r>
      <w:r>
        <w:t>, which exceeds the amount of taxes that Dominion actually paid,</w:t>
      </w:r>
      <w:r>
        <w:t xml:space="preserve"> should be included in </w:t>
      </w:r>
      <w:r>
        <w:t>Rider TSCR and credited to customers over a twelve-month period.</w:t>
      </w:r>
    </w:p>
    <w:p w:rsidR="006B26B9" w:rsidP="002E15BF">
      <w:pPr>
        <w:pStyle w:val="BodyTextIndent3"/>
        <w:numPr>
          <w:ilvl w:val="0"/>
          <w:numId w:val="10"/>
        </w:numPr>
        <w:spacing w:line="480" w:lineRule="auto"/>
        <w:ind w:left="2160" w:hanging="720"/>
      </w:pPr>
      <w:r>
        <w:t>To ensure that consumers get the full benefit of the tax cut, c</w:t>
      </w:r>
      <w:r w:rsidR="00EB709B">
        <w:t>arrying charges at Dominion’s most recently approved cost of long</w:t>
      </w:r>
      <w:r w:rsidR="00AF7CE7">
        <w:t>-</w:t>
      </w:r>
      <w:r w:rsidR="00EB709B">
        <w:t xml:space="preserve">term debt </w:t>
      </w:r>
      <w:r w:rsidR="00AF7CE7">
        <w:t xml:space="preserve">rate </w:t>
      </w:r>
      <w:r w:rsidR="009562E8">
        <w:t xml:space="preserve">should </w:t>
      </w:r>
      <w:r w:rsidR="00EB709B">
        <w:t xml:space="preserve">be applied </w:t>
      </w:r>
      <w:r w:rsidR="009562E8">
        <w:t xml:space="preserve">to the </w:t>
      </w:r>
      <w:r>
        <w:t>excess taxes collected by Dominion during the</w:t>
      </w:r>
      <w:r w:rsidR="009562E8">
        <w:t xml:space="preserve"> Stub Period as illustrated in Attachment A of the Staff Report</w:t>
      </w:r>
      <w:r w:rsidR="00EB709B">
        <w:t xml:space="preserve"> </w:t>
      </w:r>
      <w:r w:rsidR="009562E8">
        <w:t>until Rider TSCR becomes effective.</w:t>
      </w:r>
    </w:p>
    <w:p w:rsidR="004E63B0" w:rsidP="002E15BF">
      <w:pPr>
        <w:pStyle w:val="BodyTextIndent3"/>
        <w:numPr>
          <w:ilvl w:val="0"/>
          <w:numId w:val="10"/>
        </w:numPr>
        <w:spacing w:line="480" w:lineRule="auto"/>
        <w:ind w:left="2160" w:hanging="720"/>
      </w:pPr>
      <w:r>
        <w:t xml:space="preserve">The PUCO should utilize the “AEP model” meaning simply Dominion </w:t>
      </w:r>
      <w:r w:rsidR="00EB26D0">
        <w:t xml:space="preserve">should be required </w:t>
      </w:r>
      <w:r>
        <w:t>to reduce its consumers’ monthly bills commensurate with its federal tax savings without allowing Dominion to simultaneously increase its rates (for other reasons) to offset the tax cuts rate decrease.</w:t>
      </w:r>
    </w:p>
    <w:p w:rsidR="0063474E" w:rsidP="002E15BF">
      <w:pPr>
        <w:pStyle w:val="BodyTextIndent3"/>
        <w:spacing w:line="480" w:lineRule="auto"/>
        <w:ind w:left="720" w:firstLine="0"/>
      </w:pPr>
      <w:r>
        <w:t>OCC concurs with and supports each of these recommendations.</w:t>
      </w:r>
      <w:r w:rsidR="00AF7CE7">
        <w:t xml:space="preserve"> </w:t>
      </w:r>
    </w:p>
    <w:p w:rsidR="00033FC1" w:rsidP="002E15BF">
      <w:pPr>
        <w:pStyle w:val="BodyTextIndent3"/>
        <w:spacing w:line="480" w:lineRule="auto"/>
      </w:pPr>
      <w:r>
        <w:t>OCC agrees with</w:t>
      </w:r>
      <w:r w:rsidR="00AF7CE7">
        <w:t xml:space="preserve"> </w:t>
      </w:r>
      <w:r w:rsidR="00CE035D">
        <w:t xml:space="preserve">Staff’s first </w:t>
      </w:r>
      <w:r w:rsidR="00AF7CE7">
        <w:t>recommendation</w:t>
      </w:r>
      <w:r>
        <w:t>.</w:t>
      </w:r>
      <w:r w:rsidR="00AF7CE7">
        <w:t xml:space="preserve"> Rider TSCR should be established to pass back </w:t>
      </w:r>
      <w:r w:rsidR="00166CE8">
        <w:t xml:space="preserve">federal income tax </w:t>
      </w:r>
      <w:r w:rsidR="00AF7CE7">
        <w:t>savings</w:t>
      </w:r>
      <w:r w:rsidR="0093013D">
        <w:t xml:space="preserve"> to consumers</w:t>
      </w:r>
      <w:r w:rsidR="00AF7CE7">
        <w:t xml:space="preserve"> in the month immediately following a PUCO order in this case</w:t>
      </w:r>
      <w:r>
        <w:t>. Doing so</w:t>
      </w:r>
      <w:r w:rsidR="00AF7CE7">
        <w:t xml:space="preserve"> is consistent with </w:t>
      </w:r>
      <w:r w:rsidR="003534B2">
        <w:t xml:space="preserve">expeditiously passing </w:t>
      </w:r>
      <w:r w:rsidR="00166CE8">
        <w:t xml:space="preserve">federal </w:t>
      </w:r>
      <w:r w:rsidR="003534B2">
        <w:t xml:space="preserve">tax savings to Dominion’s consumers. </w:t>
      </w:r>
    </w:p>
    <w:p w:rsidR="00EB26D0" w:rsidP="002E15BF">
      <w:pPr>
        <w:pStyle w:val="BodyTextIndent3"/>
        <w:spacing w:line="480" w:lineRule="auto"/>
      </w:pPr>
      <w:r>
        <w:t xml:space="preserve">OCC supports </w:t>
      </w:r>
      <w:r w:rsidR="00202F8B">
        <w:t>Staff’s second recommendation</w:t>
      </w:r>
      <w:r>
        <w:t>.</w:t>
      </w:r>
      <w:r w:rsidR="00202F8B">
        <w:t xml:space="preserve"> </w:t>
      </w:r>
      <w:r w:rsidR="003534B2">
        <w:t xml:space="preserve">Dominion’s proposal to record </w:t>
      </w:r>
      <w:r w:rsidR="008868B7">
        <w:t xml:space="preserve">income tax </w:t>
      </w:r>
      <w:r w:rsidR="003534B2">
        <w:t xml:space="preserve">savings as a regulatory liability and use it </w:t>
      </w:r>
      <w:r>
        <w:t>to</w:t>
      </w:r>
      <w:r w:rsidR="003534B2">
        <w:t xml:space="preserve"> offset the </w:t>
      </w:r>
      <w:r>
        <w:t>Pipeline Safety Management Program (“</w:t>
      </w:r>
      <w:r w:rsidR="003534B2">
        <w:t>PSMP</w:t>
      </w:r>
      <w:r>
        <w:t>”)</w:t>
      </w:r>
      <w:r w:rsidR="003534B2">
        <w:t xml:space="preserve"> regulatory asset </w:t>
      </w:r>
      <w:r>
        <w:t xml:space="preserve">should be rejected.   </w:t>
      </w:r>
      <w:r>
        <w:t xml:space="preserve">Dominion’s proposal </w:t>
      </w:r>
      <w:r w:rsidR="003534B2">
        <w:t xml:space="preserve">comingles unrelated cases </w:t>
      </w:r>
      <w:r w:rsidR="004E0915">
        <w:t xml:space="preserve">and </w:t>
      </w:r>
      <w:r w:rsidR="003534B2">
        <w:t xml:space="preserve">adds needless complexity to what should be a straight-forward pass back of savings that are due to consumers. </w:t>
      </w:r>
    </w:p>
    <w:p w:rsidR="00336558" w:rsidP="002E15BF">
      <w:pPr>
        <w:pStyle w:val="BodyTextIndent3"/>
        <w:spacing w:line="480" w:lineRule="auto"/>
      </w:pPr>
      <w:r>
        <w:t>Regarding Staff’s third recommendation, and i</w:t>
      </w:r>
      <w:r w:rsidR="0063474E">
        <w:t xml:space="preserve">n accordance with the 18-047 Order, the TSCR should include the </w:t>
      </w:r>
      <w:r w:rsidR="00B80CBA">
        <w:t>refunds</w:t>
      </w:r>
      <w:r w:rsidR="0063474E">
        <w:t xml:space="preserve"> for the Stub Period.  </w:t>
      </w:r>
      <w:r>
        <w:t xml:space="preserve">Regarding Staff’s fourth recommendation, </w:t>
      </w:r>
      <w:r w:rsidR="0063474E">
        <w:t>OCC agrees with the PUCO Staff that carrying charges set at Dominion’s most recently approved cost of long-term debt rate</w:t>
      </w:r>
      <w:r>
        <w:rPr>
          <w:rStyle w:val="FootnoteReference"/>
        </w:rPr>
        <w:footnoteReference w:id="5"/>
      </w:r>
      <w:r w:rsidR="0063474E">
        <w:t xml:space="preserve"> should </w:t>
      </w:r>
      <w:r w:rsidR="008868B7">
        <w:t xml:space="preserve">be </w:t>
      </w:r>
      <w:r w:rsidR="0063474E">
        <w:t xml:space="preserve">applied to the Stub period </w:t>
      </w:r>
      <w:r w:rsidR="00B80CBA">
        <w:t>refunds</w:t>
      </w:r>
      <w:r w:rsidR="005469DB">
        <w:t xml:space="preserve">. </w:t>
      </w:r>
      <w:r w:rsidR="0042097C">
        <w:t>Dominion’s recommend</w:t>
      </w:r>
      <w:r w:rsidR="005469DB">
        <w:t>ation to use a</w:t>
      </w:r>
      <w:r w:rsidR="0042097C">
        <w:t xml:space="preserve"> 3.0% annual interest rate</w:t>
      </w:r>
      <w:r w:rsidR="005469DB">
        <w:t xml:space="preserve"> should be rejected</w:t>
      </w:r>
      <w:r w:rsidR="0042097C">
        <w:t xml:space="preserve">.  </w:t>
      </w:r>
      <w:r w:rsidRPr="005469DB" w:rsidR="0042097C">
        <w:t>Setting the carrying charge rate at Dominion’s cost of long-term debt is consistent with Dominion riders that provide for carrying costs that are billed to consumers</w:t>
      </w:r>
      <w:r w:rsidR="008868B7">
        <w:t>,</w:t>
      </w:r>
      <w:r w:rsidRPr="005469DB" w:rsidR="0042097C">
        <w:t xml:space="preserve"> such as the Pipeline Infrastructure </w:t>
      </w:r>
      <w:r w:rsidRPr="005469DB" w:rsidR="004E0915">
        <w:t xml:space="preserve">Replacement </w:t>
      </w:r>
      <w:r w:rsidRPr="005469DB" w:rsidR="007C1E2F">
        <w:t xml:space="preserve">Customer </w:t>
      </w:r>
      <w:r w:rsidRPr="005469DB" w:rsidR="0042097C">
        <w:t>Charge</w:t>
      </w:r>
      <w:r>
        <w:rPr>
          <w:rStyle w:val="FootnoteReference"/>
        </w:rPr>
        <w:footnoteReference w:id="6"/>
      </w:r>
      <w:r w:rsidRPr="005469DB" w:rsidR="0042097C">
        <w:t xml:space="preserve"> and </w:t>
      </w:r>
      <w:r w:rsidR="0025458D">
        <w:t xml:space="preserve">Automated Meter Reading (“AMR”) </w:t>
      </w:r>
      <w:r w:rsidRPr="005469DB" w:rsidR="0042097C">
        <w:t>Rider.</w:t>
      </w:r>
      <w:r>
        <w:rPr>
          <w:rStyle w:val="FootnoteReference"/>
        </w:rPr>
        <w:footnoteReference w:id="7"/>
      </w:r>
      <w:r>
        <w:t xml:space="preserve">  In addition, the PUCO should require Dominion to reduce its consumers’ monthly bills commensurate with its federal tax savings without allowing Dominion to simultaneously increase its rates (for other reasons) to offset the rate decrease for sharing its tax savings with consumers.</w:t>
      </w:r>
    </w:p>
    <w:p w:rsidR="002E15BF" w:rsidP="002E15BF">
      <w:pPr>
        <w:pStyle w:val="BodyTextIndent3"/>
        <w:spacing w:line="480" w:lineRule="auto"/>
        <w:sectPr w:rsidSect="002E15BF">
          <w:footerReference w:type="first" r:id="rId11"/>
          <w:pgSz w:w="12240" w:h="15840"/>
          <w:pgMar w:top="1440" w:right="1800" w:bottom="1440" w:left="1800" w:header="720" w:footer="720" w:gutter="0"/>
          <w:pgNumType w:start="2"/>
          <w:cols w:space="720"/>
          <w:titlePg/>
          <w:docGrid w:linePitch="65"/>
        </w:sectPr>
      </w:pPr>
      <w:r>
        <w:t xml:space="preserve">Dominion’s residential consumers </w:t>
      </w:r>
      <w:r w:rsidR="0025458D">
        <w:t xml:space="preserve">should </w:t>
      </w:r>
      <w:r>
        <w:t xml:space="preserve">receive the </w:t>
      </w:r>
      <w:r w:rsidR="007C0224">
        <w:t xml:space="preserve">full </w:t>
      </w:r>
      <w:r>
        <w:t xml:space="preserve">benefit of </w:t>
      </w:r>
      <w:r w:rsidR="007C0224">
        <w:t>the TCJA tax reductions as soon as possible</w:t>
      </w:r>
      <w:r w:rsidR="0025458D">
        <w:t xml:space="preserve">. </w:t>
      </w:r>
      <w:r>
        <w:t xml:space="preserve">OCC recommends that the PUCO adopt all of the PUCO Staff recommendations concerning </w:t>
      </w:r>
      <w:r w:rsidR="00452721">
        <w:t>implementing</w:t>
      </w:r>
      <w:r w:rsidR="007C0224">
        <w:t xml:space="preserve"> the TSCR and </w:t>
      </w:r>
      <w:r w:rsidR="00452721">
        <w:t>establishing</w:t>
      </w:r>
      <w:r w:rsidR="007C0224">
        <w:t xml:space="preserve"> the appropriate carrying charge rate.</w:t>
      </w:r>
      <w:r w:rsidR="00F43576">
        <w:t xml:space="preserve">  </w:t>
      </w:r>
    </w:p>
    <w:p w:rsidR="00055176" w:rsidRPr="004534E8" w:rsidP="002E15BF">
      <w:pPr>
        <w:pStyle w:val="Heading2"/>
      </w:pPr>
      <w:r w:rsidRPr="004534E8">
        <w:t>B.</w:t>
      </w:r>
      <w:r w:rsidRPr="004534E8">
        <w:tab/>
      </w:r>
      <w:r w:rsidR="00F04E09">
        <w:t xml:space="preserve">In order to maximize the return of </w:t>
      </w:r>
      <w:r w:rsidR="00A51761">
        <w:t>Dominion’s</w:t>
      </w:r>
      <w:r w:rsidR="00F04E09">
        <w:t xml:space="preserve"> tax cut </w:t>
      </w:r>
      <w:r w:rsidR="00A51761">
        <w:t>savings</w:t>
      </w:r>
      <w:r w:rsidR="00F04E09">
        <w:t xml:space="preserve"> to consumers, </w:t>
      </w:r>
      <w:r w:rsidR="0042097C">
        <w:t xml:space="preserve">OCC supports </w:t>
      </w:r>
      <w:r w:rsidR="00A51761">
        <w:t>(</w:t>
      </w:r>
      <w:r w:rsidR="0042097C">
        <w:t>and the PUCO should adopt</w:t>
      </w:r>
      <w:r w:rsidR="00A51761">
        <w:t>)</w:t>
      </w:r>
      <w:r w:rsidR="0042097C">
        <w:t xml:space="preserve"> the PUCO Staff</w:t>
      </w:r>
      <w:r w:rsidR="00A51761">
        <w:t>’s</w:t>
      </w:r>
      <w:r w:rsidR="0042097C">
        <w:t xml:space="preserve"> recommendations related </w:t>
      </w:r>
      <w:r w:rsidR="00452721">
        <w:t xml:space="preserve">to </w:t>
      </w:r>
      <w:r w:rsidR="0025458D">
        <w:t>Excess Deferred Income Taxes</w:t>
      </w:r>
      <w:r w:rsidR="0042097C">
        <w:t>.</w:t>
      </w:r>
    </w:p>
    <w:p w:rsidR="007C0224" w:rsidP="002E15BF">
      <w:pPr>
        <w:pStyle w:val="BodyTextIndent3"/>
        <w:spacing w:line="480" w:lineRule="auto"/>
      </w:pPr>
      <w:r>
        <w:t>With the</w:t>
      </w:r>
      <w:r w:rsidR="00B03721">
        <w:t xml:space="preserve"> reduction of the </w:t>
      </w:r>
      <w:r w:rsidR="00452721">
        <w:t xml:space="preserve">income tax </w:t>
      </w:r>
      <w:r w:rsidR="00B03721">
        <w:t xml:space="preserve">rate under the TCJA, </w:t>
      </w:r>
      <w:r w:rsidR="00F47C19">
        <w:t xml:space="preserve">a portion of the </w:t>
      </w:r>
      <w:r w:rsidR="00962E33">
        <w:t>accumulated deferred income taxes</w:t>
      </w:r>
      <w:r w:rsidR="00213BB3">
        <w:t xml:space="preserve"> </w:t>
      </w:r>
      <w:r w:rsidR="00962E33">
        <w:t xml:space="preserve">(“ADIT”) </w:t>
      </w:r>
      <w:r w:rsidR="00213BB3">
        <w:t xml:space="preserve">recorded by public utilities becomes “excess” </w:t>
      </w:r>
      <w:r w:rsidR="00336558">
        <w:t xml:space="preserve">or Excess Deferred Income Taxes </w:t>
      </w:r>
      <w:r w:rsidR="00962E33">
        <w:t>(</w:t>
      </w:r>
      <w:r w:rsidR="00336558">
        <w:t>“</w:t>
      </w:r>
      <w:r w:rsidR="00962E33">
        <w:t>EDIT</w:t>
      </w:r>
      <w:r w:rsidR="00336558">
        <w:t>”</w:t>
      </w:r>
      <w:r w:rsidR="00962E33">
        <w:t xml:space="preserve">) </w:t>
      </w:r>
      <w:r w:rsidR="00213BB3">
        <w:t xml:space="preserve">as the </w:t>
      </w:r>
      <w:r w:rsidR="00452721">
        <w:t xml:space="preserve">income tax </w:t>
      </w:r>
      <w:r w:rsidR="00213BB3">
        <w:t>rate is lowered</w:t>
      </w:r>
      <w:r w:rsidR="00962E33">
        <w:t>. This excess</w:t>
      </w:r>
      <w:r w:rsidR="00213BB3">
        <w:t xml:space="preserve"> should be recognized and returned to consumers. “Protected” </w:t>
      </w:r>
      <w:r w:rsidR="00DC6344">
        <w:t xml:space="preserve">or “Normalized” </w:t>
      </w:r>
      <w:r w:rsidR="00213BB3">
        <w:t xml:space="preserve">EDIT reflects the </w:t>
      </w:r>
      <w:r w:rsidR="00DB21D5">
        <w:t xml:space="preserve">timing differences for utility plant assets that were booked utilizing straight-line deprecation for regulatory purposes but recorded for tax purposes as accelerated depreciation. In accordance </w:t>
      </w:r>
      <w:r w:rsidR="00452721">
        <w:t xml:space="preserve">with </w:t>
      </w:r>
      <w:r w:rsidR="00F47C19">
        <w:t>federal tax normalization requirements,</w:t>
      </w:r>
      <w:r w:rsidR="00DB21D5">
        <w:t>) protected</w:t>
      </w:r>
      <w:r w:rsidR="006A5FA7">
        <w:t>/normalized</w:t>
      </w:r>
      <w:r w:rsidR="00DB21D5">
        <w:t xml:space="preserve"> EDIT should be amortized over a period of time based on the average rate assumption method (“ARAM</w:t>
      </w:r>
      <w:r w:rsidR="00452721">
        <w:t>”</w:t>
      </w:r>
      <w:r w:rsidR="00DB21D5">
        <w:t>)</w:t>
      </w:r>
      <w:r w:rsidR="00F47C19">
        <w:t xml:space="preserve"> to </w:t>
      </w:r>
      <w:r w:rsidR="0033587B">
        <w:t>avoid a tax normalization violation</w:t>
      </w:r>
      <w:r w:rsidR="00DB21D5">
        <w:t>.  Federal law provides that protected</w:t>
      </w:r>
      <w:r w:rsidR="006A5FA7">
        <w:t>/normalized</w:t>
      </w:r>
      <w:r w:rsidR="00DB21D5">
        <w:t xml:space="preserve"> EDIT must be amortized over </w:t>
      </w:r>
      <w:r w:rsidR="00452721">
        <w:t xml:space="preserve">the </w:t>
      </w:r>
      <w:r w:rsidR="00DB21D5">
        <w:t xml:space="preserve">remaining life of the assets.  </w:t>
      </w:r>
      <w:r w:rsidR="00B951AD">
        <w:t xml:space="preserve">“Unprotected’ </w:t>
      </w:r>
      <w:r w:rsidR="00132D72">
        <w:t xml:space="preserve">or “Non-Normalized” </w:t>
      </w:r>
      <w:r w:rsidR="0033587B">
        <w:t xml:space="preserve">property and non-property </w:t>
      </w:r>
      <w:r w:rsidR="00B951AD">
        <w:t xml:space="preserve">EDIT involves </w:t>
      </w:r>
      <w:r w:rsidR="00452721">
        <w:t xml:space="preserve">a </w:t>
      </w:r>
      <w:r w:rsidR="00B951AD">
        <w:t xml:space="preserve">book-to-tax timing difference </w:t>
      </w:r>
      <w:r w:rsidR="00233F3B">
        <w:t>that do</w:t>
      </w:r>
      <w:r w:rsidR="00452721">
        <w:t>es</w:t>
      </w:r>
      <w:r w:rsidR="00233F3B">
        <w:t xml:space="preserve"> not have </w:t>
      </w:r>
      <w:r w:rsidR="00B951AD">
        <w:t xml:space="preserve">federal requirements </w:t>
      </w:r>
      <w:r w:rsidR="00233F3B">
        <w:t>dictat</w:t>
      </w:r>
      <w:r w:rsidR="00452721">
        <w:t>ing</w:t>
      </w:r>
      <w:r w:rsidR="00233F3B">
        <w:t xml:space="preserve"> </w:t>
      </w:r>
      <w:r w:rsidR="00B951AD">
        <w:t>how quickly the excess money held by utilities must be returned to consumers. Therefore, the money should be returned to consumers as expeditiously as possible.</w:t>
      </w:r>
    </w:p>
    <w:p w:rsidR="00962E33" w:rsidP="002E15BF">
      <w:pPr>
        <w:pStyle w:val="BodyTextIndent3"/>
        <w:spacing w:line="480" w:lineRule="auto"/>
      </w:pPr>
      <w:r>
        <w:t xml:space="preserve">In the Staff Report in this case, PUCO Staff makes several recommendations concerning </w:t>
      </w:r>
      <w:r w:rsidR="00132D72">
        <w:t>proper recognition and timing of the return of EDIT.  In summary, these recommendations are:</w:t>
      </w:r>
    </w:p>
    <w:p w:rsidR="00132D72" w:rsidP="002E15BF">
      <w:pPr>
        <w:pStyle w:val="BodyTextIndent3"/>
        <w:numPr>
          <w:ilvl w:val="0"/>
          <w:numId w:val="11"/>
        </w:numPr>
        <w:spacing w:line="480" w:lineRule="auto"/>
        <w:ind w:left="2160" w:right="720" w:hanging="720"/>
      </w:pPr>
      <w:r>
        <w:t>Dominion’s Normalized EDIT should only include balances that are required to be amortized in accordance with ARAM.</w:t>
      </w:r>
    </w:p>
    <w:p w:rsidR="00132D72" w:rsidP="002E15BF">
      <w:pPr>
        <w:pStyle w:val="BodyTextIndent3"/>
        <w:numPr>
          <w:ilvl w:val="0"/>
          <w:numId w:val="11"/>
        </w:numPr>
        <w:spacing w:line="480" w:lineRule="auto"/>
        <w:ind w:left="2160" w:right="720" w:hanging="720"/>
      </w:pPr>
      <w:r>
        <w:t xml:space="preserve">Plant-related EDIT balances not subject to ARAM </w:t>
      </w:r>
      <w:r w:rsidR="000C7C2A">
        <w:t xml:space="preserve">and amortization over the life of the asset </w:t>
      </w:r>
      <w:r>
        <w:t>should be treated the same as Non-Normalized EDIT.</w:t>
      </w:r>
    </w:p>
    <w:p w:rsidR="00132D72" w:rsidP="002E15BF">
      <w:pPr>
        <w:pStyle w:val="BodyTextIndent3"/>
        <w:numPr>
          <w:ilvl w:val="0"/>
          <w:numId w:val="11"/>
        </w:numPr>
        <w:spacing w:line="480" w:lineRule="auto"/>
        <w:ind w:left="2160" w:right="720" w:hanging="720"/>
      </w:pPr>
      <w:r>
        <w:t xml:space="preserve"> </w:t>
      </w:r>
      <w:r w:rsidR="000C7C2A">
        <w:t>Dominion’s Normalized EDIT should be based on ARAM to conform with normalization rules.</w:t>
      </w:r>
    </w:p>
    <w:p w:rsidR="000C7C2A" w:rsidP="002E15BF">
      <w:pPr>
        <w:pStyle w:val="BodyTextIndent3"/>
        <w:numPr>
          <w:ilvl w:val="0"/>
          <w:numId w:val="11"/>
        </w:numPr>
        <w:spacing w:line="480" w:lineRule="auto"/>
        <w:ind w:left="2160" w:right="720" w:hanging="720"/>
      </w:pPr>
      <w:r>
        <w:t xml:space="preserve">The monthly amortization of Dominion’s Normalized EDIT </w:t>
      </w:r>
      <w:r w:rsidR="00455DCD">
        <w:t>included in the TSCR should be based on the balance at December 31, 2017</w:t>
      </w:r>
      <w:r w:rsidR="00452721">
        <w:t>,</w:t>
      </w:r>
      <w:r w:rsidR="00455DCD">
        <w:t xml:space="preserve"> less any balance for </w:t>
      </w:r>
      <w:r w:rsidR="00F575A0">
        <w:t>Normalized EDIT accounted for in Dominion’s PIR and AMR Riders.</w:t>
      </w:r>
    </w:p>
    <w:p w:rsidR="00F575A0" w:rsidP="002E15BF">
      <w:pPr>
        <w:pStyle w:val="BodyTextIndent3"/>
        <w:numPr>
          <w:ilvl w:val="0"/>
          <w:numId w:val="11"/>
        </w:numPr>
        <w:spacing w:line="480" w:lineRule="auto"/>
        <w:ind w:left="2160" w:right="720" w:hanging="720"/>
      </w:pPr>
      <w:r>
        <w:t>Amortization of EDIT related to the PIR and AMR Riders through December 31, 2017 should be recognized in each Rider.</w:t>
      </w:r>
    </w:p>
    <w:p w:rsidR="00F575A0" w:rsidP="002E15BF">
      <w:pPr>
        <w:pStyle w:val="BodyTextIndent3"/>
        <w:numPr>
          <w:ilvl w:val="0"/>
          <w:numId w:val="11"/>
        </w:numPr>
        <w:spacing w:line="480" w:lineRule="auto"/>
        <w:ind w:left="2160" w:right="720" w:hanging="720"/>
      </w:pPr>
      <w:r>
        <w:t>Non-Normalized EDIT should be amortized over 72 months (six years) beginning with the first month that Rider TSCR is effective.</w:t>
      </w:r>
    </w:p>
    <w:p w:rsidR="00F575A0" w:rsidP="002E15BF">
      <w:pPr>
        <w:pStyle w:val="BodyTextIndent3"/>
        <w:spacing w:line="480" w:lineRule="auto"/>
        <w:ind w:firstLine="0"/>
      </w:pPr>
      <w:r>
        <w:t xml:space="preserve">OCC agrees with and supports all of these recommendations. The recommendations are consistent with </w:t>
      </w:r>
      <w:r w:rsidR="0025458D">
        <w:t xml:space="preserve">Generally Accepted Accounting Principles </w:t>
      </w:r>
      <w:r>
        <w:t>and IRS requirements</w:t>
      </w:r>
      <w:r w:rsidR="00E926BA">
        <w:t>. Dominion’s consumers should get back all EDIT as expeditiously as possible. OCC recommends that the PUCO adopt the PUCO Staff’s recommendations.</w:t>
      </w:r>
    </w:p>
    <w:p w:rsidR="00055176" w:rsidRPr="004534E8" w:rsidP="002E15BF">
      <w:pPr>
        <w:pStyle w:val="Heading2"/>
      </w:pPr>
      <w:r w:rsidRPr="004534E8">
        <w:t>C.</w:t>
      </w:r>
      <w:r w:rsidRPr="004534E8">
        <w:tab/>
      </w:r>
      <w:r w:rsidR="00F04E09">
        <w:t>A full rate case review of Dominion’s operations would benefit consumers</w:t>
      </w:r>
      <w:r w:rsidR="005C1363">
        <w:t>; therefore,</w:t>
      </w:r>
      <w:r w:rsidR="00F04E09">
        <w:t xml:space="preserve"> </w:t>
      </w:r>
      <w:r w:rsidR="00E926BA">
        <w:t xml:space="preserve">OCC supports </w:t>
      </w:r>
      <w:r w:rsidR="006F75B1">
        <w:t>(</w:t>
      </w:r>
      <w:r w:rsidR="00E926BA">
        <w:t>and the PUCO should adopt</w:t>
      </w:r>
      <w:r w:rsidR="006F75B1">
        <w:t>)</w:t>
      </w:r>
      <w:r w:rsidR="00E926BA">
        <w:t xml:space="preserve"> the PUCO Staff recommendations concerning financing costs.</w:t>
      </w:r>
    </w:p>
    <w:p w:rsidR="0044699B" w:rsidP="002E15BF">
      <w:pPr>
        <w:pStyle w:val="BodyTextIndent3"/>
        <w:spacing w:line="480" w:lineRule="auto"/>
      </w:pPr>
      <w:r>
        <w:t>Under a heading entitled “Financing Costs Recommendations” in the Staff Report, the PUCO Staff state</w:t>
      </w:r>
      <w:r w:rsidR="00120550">
        <w:t>s</w:t>
      </w:r>
      <w:r>
        <w:t xml:space="preserve"> that amortization of </w:t>
      </w:r>
      <w:r w:rsidR="00120550">
        <w:t>PIR and AMR rider-related EDIT will be recognized in the respective riders</w:t>
      </w:r>
      <w:r w:rsidR="0025458D">
        <w:t>.</w:t>
      </w:r>
      <w:r w:rsidR="00120550">
        <w:t xml:space="preserve"> </w:t>
      </w:r>
      <w:r w:rsidR="0025458D">
        <w:t xml:space="preserve"> It also states </w:t>
      </w:r>
      <w:r w:rsidR="00120550">
        <w:t xml:space="preserve">that Dominion will have an opportunity to </w:t>
      </w:r>
      <w:r w:rsidR="00C62D17">
        <w:t xml:space="preserve">charge consumers for </w:t>
      </w:r>
      <w:r w:rsidR="00120550">
        <w:t xml:space="preserve">any incremental revenue requirements resulting from amortization of PIR and AMR rider-related EDIT in </w:t>
      </w:r>
      <w:bookmarkStart w:id="3" w:name="_Hlk3893038"/>
      <w:r w:rsidR="00120550">
        <w:t>the PIR and AMR riders</w:t>
      </w:r>
      <w:bookmarkEnd w:id="3"/>
      <w:r w:rsidR="00120550">
        <w:t xml:space="preserve">. </w:t>
      </w:r>
      <w:r w:rsidR="00452721">
        <w:t>But</w:t>
      </w:r>
      <w:r w:rsidR="00120550">
        <w:t xml:space="preserve"> </w:t>
      </w:r>
      <w:r w:rsidR="00C62D17">
        <w:t xml:space="preserve">the </w:t>
      </w:r>
      <w:r w:rsidR="00120550">
        <w:t xml:space="preserve">PUCO Staff notes that there currently </w:t>
      </w:r>
      <w:r w:rsidR="00C62D17">
        <w:t xml:space="preserve">is </w:t>
      </w:r>
      <w:r w:rsidR="00120550">
        <w:t xml:space="preserve">no mechanism for Dominion to </w:t>
      </w:r>
      <w:r w:rsidR="00C62D17">
        <w:t xml:space="preserve">charge consumers for </w:t>
      </w:r>
      <w:r w:rsidR="007B476E">
        <w:t xml:space="preserve">any incremental return on rate base associated with amortization of EDIT that is not associated with the PIR and AMR riders.  </w:t>
      </w:r>
      <w:r w:rsidR="00C62D17">
        <w:t xml:space="preserve">The </w:t>
      </w:r>
      <w:r w:rsidR="007B476E">
        <w:t>Staff points out that Dominion is requesting that this incremental return on rate base should be recovered</w:t>
      </w:r>
      <w:r w:rsidR="00C62D17">
        <w:t xml:space="preserve"> from consumers</w:t>
      </w:r>
      <w:r w:rsidR="007B476E">
        <w:t xml:space="preserve"> via a new mechanism incorporated into the TSCR.  </w:t>
      </w:r>
    </w:p>
    <w:p w:rsidR="00E926BA" w:rsidP="002E15BF">
      <w:pPr>
        <w:pStyle w:val="BodyTextIndent3"/>
        <w:spacing w:line="480" w:lineRule="auto"/>
      </w:pPr>
      <w:r>
        <w:t xml:space="preserve">The </w:t>
      </w:r>
      <w:r w:rsidR="007B476E">
        <w:t xml:space="preserve">PUCO Staff recommends that the </w:t>
      </w:r>
      <w:r w:rsidR="00452721">
        <w:t xml:space="preserve">PUCO </w:t>
      </w:r>
      <w:r w:rsidR="007B476E">
        <w:t>reject Dominion’s request for a new mechanism in the TSCR</w:t>
      </w:r>
      <w:r>
        <w:t xml:space="preserve">. Instead, the PUCO Staff </w:t>
      </w:r>
      <w:r w:rsidR="007B476E">
        <w:t>favor</w:t>
      </w:r>
      <w:r w:rsidR="0044699B">
        <w:t>s the filing</w:t>
      </w:r>
      <w:r w:rsidR="007B476E">
        <w:t xml:space="preserve"> of a base rate case</w:t>
      </w:r>
      <w:r w:rsidR="0044699B">
        <w:t xml:space="preserve"> by Dominion</w:t>
      </w:r>
      <w:r w:rsidR="007B476E">
        <w:t xml:space="preserve">. </w:t>
      </w:r>
      <w:r>
        <w:t xml:space="preserve">The </w:t>
      </w:r>
      <w:r w:rsidR="007B476E">
        <w:t xml:space="preserve">Staff states that the appropriate mechanism for </w:t>
      </w:r>
      <w:r w:rsidR="00336558">
        <w:t>collecting</w:t>
      </w:r>
      <w:r w:rsidR="007B476E">
        <w:t xml:space="preserve"> any incremental return on rate base resulting from amortization of EDIT not associated with the PIR and AMR riders</w:t>
      </w:r>
      <w:r w:rsidR="00055176">
        <w:t xml:space="preserve"> </w:t>
      </w:r>
      <w:r w:rsidR="00336558">
        <w:t xml:space="preserve">from customers </w:t>
      </w:r>
      <w:r w:rsidR="00055176">
        <w:t>is a base rate case.</w:t>
      </w:r>
      <w:r w:rsidR="00336558">
        <w:t xml:space="preserve">  These rates were initially set in a base rate case.  Therefore, any incremental revenue requirements resulting from amortizing EDIT associated with these rates should be confirmed and recognized in a base rate case.  </w:t>
      </w:r>
    </w:p>
    <w:p w:rsidR="00336558" w:rsidP="002E15BF">
      <w:pPr>
        <w:pStyle w:val="BodyTextIndent3"/>
        <w:spacing w:line="480" w:lineRule="auto"/>
      </w:pPr>
      <w:r>
        <w:t xml:space="preserve">OCC concurs with and supports this recommendation. As </w:t>
      </w:r>
      <w:r w:rsidR="0044699B">
        <w:t xml:space="preserve">the </w:t>
      </w:r>
      <w:r>
        <w:t xml:space="preserve">PUCO Staff points out, any </w:t>
      </w:r>
      <w:bookmarkStart w:id="4" w:name="_Hlk3893854"/>
      <w:r>
        <w:t xml:space="preserve">incremental revenue requirements resulting from amortization </w:t>
      </w:r>
      <w:bookmarkEnd w:id="4"/>
      <w:r>
        <w:t xml:space="preserve">of PIR and AMR rider-related EDIT in the PIR and AMR riders will be </w:t>
      </w:r>
      <w:r>
        <w:t>collected</w:t>
      </w:r>
      <w:r w:rsidR="0044699B">
        <w:t xml:space="preserve"> from consumers</w:t>
      </w:r>
      <w:r>
        <w:t xml:space="preserve"> in those riders.  </w:t>
      </w:r>
    </w:p>
    <w:p w:rsidR="00055176" w:rsidP="002E15BF">
      <w:pPr>
        <w:pStyle w:val="BodyTextIndent3"/>
        <w:spacing w:line="480" w:lineRule="auto"/>
      </w:pPr>
      <w:r>
        <w:t>Further</w:t>
      </w:r>
      <w:r>
        <w:t xml:space="preserve">, Dominion has not filed a base rate case since 2007. It </w:t>
      </w:r>
      <w:r w:rsidR="00F04E09">
        <w:t xml:space="preserve">has been 12 years since </w:t>
      </w:r>
      <w:r>
        <w:t>Dominion</w:t>
      </w:r>
      <w:r>
        <w:t xml:space="preserve">’s capital investments, depreciation, revenues, expenses, </w:t>
      </w:r>
      <w:r w:rsidR="0025458D">
        <w:t xml:space="preserve">numerous </w:t>
      </w:r>
      <w:r>
        <w:t xml:space="preserve">riders, </w:t>
      </w:r>
      <w:r w:rsidR="00D53E17">
        <w:t xml:space="preserve">as well as any incremental revenue requirements resulting from </w:t>
      </w:r>
      <w:r>
        <w:t xml:space="preserve">amortizing </w:t>
      </w:r>
      <w:r w:rsidR="00D53E17">
        <w:t>EDIT</w:t>
      </w:r>
      <w:r>
        <w:t>,</w:t>
      </w:r>
      <w:r w:rsidR="00D53E17">
        <w:t xml:space="preserve"> </w:t>
      </w:r>
      <w:r w:rsidR="00F04E09">
        <w:t xml:space="preserve">have </w:t>
      </w:r>
      <w:r>
        <w:t>be</w:t>
      </w:r>
      <w:r w:rsidR="00F04E09">
        <w:t>en</w:t>
      </w:r>
      <w:r>
        <w:t xml:space="preserve"> </w:t>
      </w:r>
      <w:r w:rsidR="00D53E17">
        <w:t xml:space="preserve">examined and trued-up in a </w:t>
      </w:r>
      <w:r w:rsidR="00E755C2">
        <w:t xml:space="preserve">case for examining the </w:t>
      </w:r>
      <w:r w:rsidR="00D53E17">
        <w:t>base rate</w:t>
      </w:r>
      <w:r w:rsidR="00E755C2">
        <w:t>s</w:t>
      </w:r>
      <w:r w:rsidR="00D53E17">
        <w:t xml:space="preserve"> </w:t>
      </w:r>
      <w:r w:rsidR="00E755C2">
        <w:t>that consumers pay for natural gas distribution service</w:t>
      </w:r>
      <w:r w:rsidR="00D53E17">
        <w:t xml:space="preserve">. Therefore, OCC recommends that the PUCO adopt </w:t>
      </w:r>
      <w:r w:rsidR="00E755C2">
        <w:t xml:space="preserve">the PUCO </w:t>
      </w:r>
      <w:r w:rsidR="00D53E17">
        <w:t>Staff’s recommendation</w:t>
      </w:r>
      <w:r w:rsidR="00E755C2">
        <w:t xml:space="preserve"> that Dominion </w:t>
      </w:r>
      <w:r w:rsidR="0025458D">
        <w:t>file a base rate case.</w:t>
      </w:r>
    </w:p>
    <w:p w:rsidR="00055176" w:rsidRPr="00467CCF" w:rsidP="002E15BF">
      <w:pPr>
        <w:pStyle w:val="Heading2"/>
      </w:pPr>
      <w:r w:rsidRPr="004534E8">
        <w:t>D.</w:t>
      </w:r>
      <w:r w:rsidRPr="004534E8">
        <w:tab/>
      </w:r>
      <w:r w:rsidR="005C1363">
        <w:t xml:space="preserve">To protect consumers, </w:t>
      </w:r>
      <w:r w:rsidR="00D53E17">
        <w:t xml:space="preserve">OCC supports </w:t>
      </w:r>
      <w:r w:rsidR="007C0ADD">
        <w:t>(</w:t>
      </w:r>
      <w:r w:rsidR="00D53E17">
        <w:t>and the PUCO should adopt</w:t>
      </w:r>
      <w:r w:rsidR="007C0ADD">
        <w:t>)</w:t>
      </w:r>
      <w:r w:rsidR="00D53E17">
        <w:t xml:space="preserve"> the PUCO Staff</w:t>
      </w:r>
      <w:r w:rsidR="007C0ADD">
        <w:t>’s</w:t>
      </w:r>
      <w:r w:rsidR="00D53E17">
        <w:t xml:space="preserve"> recommendation that the TCSR should be trued-up annually.</w:t>
      </w:r>
    </w:p>
    <w:p w:rsidR="00467CCF" w:rsidP="002E15BF">
      <w:pPr>
        <w:pStyle w:val="BodyTextIndent3"/>
        <w:spacing w:line="480" w:lineRule="auto"/>
      </w:pPr>
      <w:r>
        <w:t>To</w:t>
      </w:r>
      <w:r>
        <w:t xml:space="preserve"> avoid potentially large variances between actual TCJA tax impacts and amounts refunded through the TSCR, PUCO Staff recommends that the TSCR be trued up annually. Staff states that such a true-up</w:t>
      </w:r>
      <w:r w:rsidR="003A2EC3">
        <w:t xml:space="preserve"> will contribute towards minimizing the regulatory asset or liability that will be part of the Dominion’s next base rate case. OCC concurs and recommends that the PUCO adopt Staff’s recommendation.</w:t>
      </w:r>
      <w:r w:rsidR="00344C84">
        <w:t xml:space="preserve">  </w:t>
      </w:r>
      <w:r w:rsidR="00D60559">
        <w:t>Staff’s recommendation</w:t>
      </w:r>
      <w:r w:rsidR="00344C84">
        <w:t xml:space="preserve"> will ensure that consumers get the full benefit of the tax reduction.</w:t>
      </w:r>
    </w:p>
    <w:p w:rsidR="00055176" w:rsidRPr="004534E8" w:rsidP="002E15BF">
      <w:pPr>
        <w:pStyle w:val="Heading2"/>
      </w:pPr>
      <w:r w:rsidRPr="004534E8">
        <w:t>E.</w:t>
      </w:r>
      <w:r w:rsidRPr="004534E8">
        <w:tab/>
        <w:t xml:space="preserve">The </w:t>
      </w:r>
      <w:bookmarkStart w:id="5" w:name="_Hlk3897523"/>
      <w:r w:rsidRPr="004534E8">
        <w:t xml:space="preserve">PUCO should </w:t>
      </w:r>
      <w:r w:rsidR="003A2EC3">
        <w:t xml:space="preserve">direct Dominion to return TCJA savings to consumers based on the </w:t>
      </w:r>
      <w:r w:rsidR="00D60559">
        <w:t xml:space="preserve">customer class </w:t>
      </w:r>
      <w:r w:rsidR="003A2EC3">
        <w:t xml:space="preserve">allocation percentages </w:t>
      </w:r>
      <w:r w:rsidR="00D702CC">
        <w:t>adopted in Dominion’s most recent base rate case for billing consumers for services rendered.</w:t>
      </w:r>
      <w:bookmarkEnd w:id="5"/>
    </w:p>
    <w:p w:rsidR="00CE08FC" w:rsidP="002E15BF">
      <w:pPr>
        <w:pStyle w:val="BodyTextIndent3"/>
        <w:spacing w:line="480" w:lineRule="auto"/>
      </w:pPr>
      <w:r>
        <w:t>In addition to the recommendations of the PUCO Staff, t</w:t>
      </w:r>
      <w:r w:rsidR="00452721">
        <w:t>he</w:t>
      </w:r>
      <w:r w:rsidRPr="00D702CC" w:rsidR="00D702CC">
        <w:t xml:space="preserve"> PUCO </w:t>
      </w:r>
      <w:r>
        <w:t xml:space="preserve">also </w:t>
      </w:r>
      <w:r w:rsidR="00452721">
        <w:t xml:space="preserve">should </w:t>
      </w:r>
      <w:r w:rsidR="001557C5">
        <w:t>adopt a fair allocation of Dominion’s total tax savings for sharing among the customer classes (residential,</w:t>
      </w:r>
      <w:r w:rsidR="00344C84">
        <w:t xml:space="preserve"> commercial, industrial, etc.)</w:t>
      </w:r>
      <w:r w:rsidR="001557C5">
        <w:t xml:space="preserve">. A fair allocation for </w:t>
      </w:r>
      <w:r>
        <w:t>residential consumers</w:t>
      </w:r>
      <w:r w:rsidR="001557C5">
        <w:t xml:space="preserve"> and other customer classes is to</w:t>
      </w:r>
      <w:r>
        <w:t xml:space="preserve"> </w:t>
      </w:r>
      <w:r w:rsidR="001557C5">
        <w:t xml:space="preserve">distribute Dominion’s tax savings </w:t>
      </w:r>
      <w:r w:rsidRPr="00D702CC" w:rsidR="00D702CC">
        <w:t>based on the allocation percentages adopted in Dominion’s most recent base rate case.</w:t>
      </w:r>
      <w:r w:rsidR="00D702CC">
        <w:t xml:space="preserve"> Dominion collected rates from consumers based on such allocation percentages and the rates collected give rise to the </w:t>
      </w:r>
      <w:r w:rsidR="00D60559">
        <w:t xml:space="preserve">federal tax cut </w:t>
      </w:r>
      <w:r w:rsidR="00D702CC">
        <w:t xml:space="preserve">refunds </w:t>
      </w:r>
      <w:r w:rsidR="00D60559">
        <w:t>which should be returned to consumers based on the same customer class allocations</w:t>
      </w:r>
      <w:r w:rsidR="00D702CC">
        <w:t xml:space="preserve">.  </w:t>
      </w:r>
    </w:p>
    <w:p w:rsidR="00055176" w:rsidP="002E15BF">
      <w:pPr>
        <w:pStyle w:val="BodyTextIndent3"/>
        <w:spacing w:line="480" w:lineRule="auto"/>
      </w:pPr>
      <w:r>
        <w:t>OCC recommends that t</w:t>
      </w:r>
      <w:r w:rsidR="00D702CC">
        <w:t xml:space="preserve">he PUCO </w:t>
      </w:r>
      <w:bookmarkStart w:id="6" w:name="_Hlk3898376"/>
      <w:r w:rsidR="00D702CC">
        <w:t>direct</w:t>
      </w:r>
      <w:r w:rsidRPr="00D702CC">
        <w:t xml:space="preserve"> Dominion to return </w:t>
      </w:r>
      <w:r w:rsidR="00D60559">
        <w:t>federal tax</w:t>
      </w:r>
      <w:r w:rsidRPr="00D702CC">
        <w:t xml:space="preserve"> savings to consumers </w:t>
      </w:r>
      <w:r>
        <w:t xml:space="preserve">through the TSCR </w:t>
      </w:r>
      <w:r w:rsidRPr="00D702CC">
        <w:t>based on the allocation percentages adopted in Dominion’s most recent base rate case for billing consumers for services rendered.</w:t>
      </w:r>
      <w:bookmarkEnd w:id="6"/>
      <w:r>
        <w:t xml:space="preserve"> </w:t>
      </w:r>
    </w:p>
    <w:p w:rsidR="00ED5983" w:rsidP="002E15BF">
      <w:pPr>
        <w:pStyle w:val="Heading2"/>
      </w:pPr>
      <w:r>
        <w:t>F.</w:t>
      </w:r>
      <w:r>
        <w:tab/>
        <w:t xml:space="preserve">The PUCO should adopt the “AEP Model” to ensure that consumers fully share in Dominion’s tax savings. </w:t>
      </w:r>
    </w:p>
    <w:p w:rsidR="00ED5983" w:rsidRPr="005A5CA1" w:rsidP="002E15BF">
      <w:pPr>
        <w:pStyle w:val="BodyTextIndent3"/>
        <w:spacing w:line="480" w:lineRule="auto"/>
        <w:rPr>
          <w:b/>
        </w:rPr>
      </w:pPr>
      <w:r>
        <w:t xml:space="preserve">Securing for consumers in this state their full sharing of the utilities’ </w:t>
      </w:r>
      <w:r w:rsidR="00D60559">
        <w:t xml:space="preserve">federal </w:t>
      </w:r>
      <w:r>
        <w:t xml:space="preserve">tax savings has been a key regulatory initiative in Ohio. </w:t>
      </w:r>
      <w:r w:rsidRPr="001F6364">
        <w:t>Dominion</w:t>
      </w:r>
      <w:r>
        <w:t>’s</w:t>
      </w:r>
      <w:r w:rsidRPr="001F6364">
        <w:t xml:space="preserve"> </w:t>
      </w:r>
      <w:r>
        <w:t>application is a good first step to help start this process. We believe that the most credible approach for transferring Dominion’s tax savings to its customers is to use the “AEP model.” Under that approach the PUCO should simply require Dominion to reduce its consumers’ monthly bills commensurate with its federal tax savings. That approach is preferable to allowing Dominion to simultaneously increase its rates (for other reasons) to offset the rate decrease for sharing its tax savings with consumers.</w:t>
      </w:r>
    </w:p>
    <w:p w:rsidR="00055176" w:rsidRPr="004534E8" w:rsidP="002E15BF">
      <w:pPr>
        <w:pStyle w:val="BodyTextIndent3"/>
        <w:spacing w:line="240" w:lineRule="auto"/>
      </w:pPr>
    </w:p>
    <w:p w:rsidR="00055176" w:rsidRPr="004534E8" w:rsidP="002E15BF">
      <w:pPr>
        <w:pStyle w:val="Heading1"/>
      </w:pPr>
      <w:r w:rsidRPr="004534E8">
        <w:t>III.</w:t>
      </w:r>
      <w:r w:rsidRPr="004534E8">
        <w:tab/>
        <w:t>CONCLUSION</w:t>
      </w:r>
    </w:p>
    <w:p w:rsidR="002E15BF" w:rsidP="002E15BF">
      <w:pPr>
        <w:pStyle w:val="BodyTextIndent3"/>
        <w:spacing w:line="480" w:lineRule="auto"/>
        <w:sectPr w:rsidSect="002E15BF">
          <w:pgSz w:w="12240" w:h="15840"/>
          <w:pgMar w:top="1440" w:right="1800" w:bottom="1440" w:left="1800" w:header="720" w:footer="720" w:gutter="0"/>
          <w:cols w:space="720"/>
          <w:titlePg/>
          <w:docGrid w:linePitch="65"/>
        </w:sectPr>
      </w:pPr>
      <w:r>
        <w:t>The PUCO should adopt OCC’s</w:t>
      </w:r>
      <w:r w:rsidR="006A5FA7">
        <w:t xml:space="preserve"> recommendations</w:t>
      </w:r>
      <w:r>
        <w:t>, which include support for the PUCO Staff’s recommendations,</w:t>
      </w:r>
      <w:r w:rsidR="006A5FA7">
        <w:t xml:space="preserve"> </w:t>
      </w:r>
      <w:r>
        <w:t xml:space="preserve">to give Dominion’s natural </w:t>
      </w:r>
      <w:r w:rsidR="00ED5983">
        <w:t xml:space="preserve">gas </w:t>
      </w:r>
      <w:r>
        <w:t xml:space="preserve">consumers all the bill reductions </w:t>
      </w:r>
      <w:r w:rsidR="00CE08FC">
        <w:t>they are due</w:t>
      </w:r>
      <w:r>
        <w:t xml:space="preserve"> for Dominion’s federal tax savings</w:t>
      </w:r>
      <w:r w:rsidR="006E3E10">
        <w:t xml:space="preserve"> </w:t>
      </w:r>
      <w:r>
        <w:t>OCC’s recommendations include requir</w:t>
      </w:r>
      <w:r w:rsidR="00DA18AE">
        <w:t>ing</w:t>
      </w:r>
      <w:r w:rsidRPr="00D702CC">
        <w:t xml:space="preserve"> </w:t>
      </w:r>
      <w:r w:rsidRPr="00D702CC" w:rsidR="008641AE">
        <w:t xml:space="preserve">Dominion to </w:t>
      </w:r>
      <w:r w:rsidR="00DA18AE">
        <w:t>fairly distribute</w:t>
      </w:r>
      <w:r w:rsidRPr="00D702CC" w:rsidR="00DA18AE">
        <w:t xml:space="preserve"> </w:t>
      </w:r>
      <w:r>
        <w:t>its tax</w:t>
      </w:r>
      <w:r w:rsidRPr="00D702CC">
        <w:t xml:space="preserve"> </w:t>
      </w:r>
      <w:r w:rsidRPr="00D702CC" w:rsidR="008641AE">
        <w:t xml:space="preserve">savings </w:t>
      </w:r>
      <w:r w:rsidR="00DA18AE">
        <w:t>between</w:t>
      </w:r>
      <w:r w:rsidRPr="00D702CC" w:rsidR="00DA18AE">
        <w:t xml:space="preserve"> </w:t>
      </w:r>
      <w:r w:rsidR="00DA18AE">
        <w:t>the various customer classes, including residential customers,</w:t>
      </w:r>
      <w:r w:rsidRPr="00D702CC" w:rsidR="00DA18AE">
        <w:t xml:space="preserve"> </w:t>
      </w:r>
      <w:r>
        <w:t xml:space="preserve">by using </w:t>
      </w:r>
      <w:r w:rsidRPr="00D702CC" w:rsidR="008641AE">
        <w:t>the allocation percentages adopted in Dominion’s most recent base rate case.</w:t>
      </w:r>
      <w:r w:rsidR="00ED5983">
        <w:t xml:space="preserve">  OCC’s recommendations also include securing for Dominion’s customers their full sharing of Dominion’s tax savings by using the “AEP Model” – requiring Dominion to reduce its consumers’ monthly bills commensurate with its federal tax savings.</w:t>
      </w:r>
    </w:p>
    <w:p w:rsidR="00CE08FC" w:rsidP="002E15BF">
      <w:pPr>
        <w:pStyle w:val="BodyTextIndent3"/>
        <w:spacing w:line="480" w:lineRule="auto"/>
      </w:pPr>
    </w:p>
    <w:p w:rsidR="005A5CA1" w:rsidP="002E15BF">
      <w:pPr>
        <w:pStyle w:val="BodyTextIndent3"/>
        <w:widowControl w:val="0"/>
        <w:spacing w:line="480" w:lineRule="auto"/>
        <w:ind w:left="3600"/>
        <w:rPr>
          <w:szCs w:val="24"/>
        </w:rPr>
      </w:pPr>
    </w:p>
    <w:p w:rsidR="00055176" w:rsidRPr="004534E8" w:rsidP="002E15BF">
      <w:pPr>
        <w:pStyle w:val="BodyTextIndent3"/>
        <w:widowControl w:val="0"/>
        <w:spacing w:line="480" w:lineRule="auto"/>
        <w:ind w:left="3600"/>
        <w:rPr>
          <w:szCs w:val="24"/>
        </w:rPr>
      </w:pPr>
      <w:r w:rsidRPr="004534E8">
        <w:rPr>
          <w:szCs w:val="24"/>
        </w:rPr>
        <w:t>Respectfully submitted,</w:t>
      </w:r>
    </w:p>
    <w:p w:rsidR="00055176" w:rsidRPr="004534E8" w:rsidP="002E15BF">
      <w:pPr>
        <w:ind w:left="4320"/>
      </w:pPr>
      <w:r w:rsidRPr="004534E8">
        <w:t>Bruce Weston (0016973)</w:t>
      </w:r>
    </w:p>
    <w:p w:rsidR="00055176" w:rsidRPr="004534E8" w:rsidP="002E15BF">
      <w:pPr>
        <w:tabs>
          <w:tab w:val="left" w:pos="4320"/>
        </w:tabs>
        <w:ind w:left="4320"/>
      </w:pPr>
      <w:r w:rsidRPr="004534E8">
        <w:t>Ohio Consumers' Counsel</w:t>
      </w:r>
    </w:p>
    <w:p w:rsidR="00055176" w:rsidRPr="004534E8" w:rsidP="002E15BF">
      <w:pPr>
        <w:tabs>
          <w:tab w:val="left" w:pos="4320"/>
        </w:tabs>
        <w:ind w:left="4320"/>
      </w:pPr>
    </w:p>
    <w:p w:rsidR="00055176" w:rsidRPr="00B40DD9" w:rsidP="002E15BF">
      <w:pPr>
        <w:autoSpaceDE w:val="0"/>
        <w:autoSpaceDN w:val="0"/>
        <w:adjustRightInd w:val="0"/>
        <w:ind w:left="4320"/>
        <w:rPr>
          <w:i/>
        </w:rPr>
      </w:pPr>
      <w:r w:rsidRPr="00B40DD9">
        <w:rPr>
          <w:i/>
          <w:u w:val="single"/>
        </w:rPr>
        <w:t xml:space="preserve">/s/ </w:t>
      </w:r>
      <w:r w:rsidRPr="00B40DD9" w:rsidR="00B40DD9">
        <w:rPr>
          <w:i/>
          <w:u w:val="single"/>
        </w:rPr>
        <w:t>William J. Michael__</w:t>
      </w:r>
      <w:r w:rsidRPr="00B40DD9">
        <w:rPr>
          <w:i/>
          <w:u w:val="single"/>
        </w:rPr>
        <w:tab/>
      </w:r>
    </w:p>
    <w:p w:rsidR="00055176" w:rsidRPr="00B40DD9" w:rsidP="002E15BF">
      <w:pPr>
        <w:tabs>
          <w:tab w:val="left" w:pos="4320"/>
        </w:tabs>
        <w:ind w:left="4320"/>
      </w:pPr>
      <w:r w:rsidRPr="00B40DD9">
        <w:t>William J. Michael</w:t>
      </w:r>
      <w:r w:rsidRPr="00B40DD9">
        <w:t xml:space="preserve"> (</w:t>
      </w:r>
      <w:r>
        <w:t>0070921</w:t>
      </w:r>
      <w:r w:rsidRPr="00B40DD9">
        <w:t>)</w:t>
      </w:r>
    </w:p>
    <w:p w:rsidR="00055176" w:rsidRPr="00B40DD9" w:rsidP="002E15BF">
      <w:pPr>
        <w:tabs>
          <w:tab w:val="left" w:pos="4320"/>
        </w:tabs>
        <w:ind w:left="4320"/>
      </w:pPr>
      <w:r w:rsidRPr="00B40DD9">
        <w:t>Counsel of Record</w:t>
      </w:r>
    </w:p>
    <w:p w:rsidR="00055176" w:rsidRPr="00B40DD9" w:rsidP="002E15BF">
      <w:pPr>
        <w:tabs>
          <w:tab w:val="left" w:pos="4320"/>
        </w:tabs>
        <w:ind w:left="4320"/>
      </w:pPr>
      <w:r w:rsidRPr="00B40DD9">
        <w:t>Angel O’Brien</w:t>
      </w:r>
      <w:r w:rsidRPr="00B40DD9">
        <w:t xml:space="preserve"> (</w:t>
      </w:r>
      <w:r>
        <w:t>0097579</w:t>
      </w:r>
      <w:r w:rsidRPr="00B40DD9">
        <w:t>)</w:t>
      </w:r>
    </w:p>
    <w:p w:rsidR="00B40DD9" w:rsidRPr="00B40DD9" w:rsidP="002E15BF">
      <w:pPr>
        <w:tabs>
          <w:tab w:val="left" w:pos="4320"/>
        </w:tabs>
        <w:ind w:left="4320"/>
      </w:pPr>
      <w:r w:rsidRPr="00B40DD9">
        <w:t>Assistant Consumers’ Counsel</w:t>
      </w:r>
    </w:p>
    <w:p w:rsidR="00B40DD9" w:rsidP="002E15BF">
      <w:pPr>
        <w:tabs>
          <w:tab w:val="left" w:pos="4320"/>
        </w:tabs>
        <w:ind w:left="4320"/>
      </w:pPr>
      <w:r>
        <w:t>Ambrosia Logsdon (0096598)</w:t>
      </w:r>
    </w:p>
    <w:p w:rsidR="00055176" w:rsidRPr="004534E8" w:rsidP="002E15BF">
      <w:pPr>
        <w:tabs>
          <w:tab w:val="left" w:pos="4320"/>
        </w:tabs>
        <w:ind w:left="4320"/>
      </w:pPr>
      <w:r>
        <w:t xml:space="preserve">Assistant Consumers’ Counsel </w:t>
      </w:r>
      <w:r w:rsidRPr="004534E8">
        <w:br/>
      </w:r>
    </w:p>
    <w:p w:rsidR="00055176" w:rsidRPr="004534E8" w:rsidP="002E15BF">
      <w:pPr>
        <w:tabs>
          <w:tab w:val="left" w:pos="4320"/>
        </w:tabs>
        <w:ind w:left="4320"/>
        <w:rPr>
          <w:b/>
        </w:rPr>
      </w:pPr>
      <w:r w:rsidRPr="004534E8">
        <w:rPr>
          <w:b/>
        </w:rPr>
        <w:t>Office of the Ohio Consumers' Counsel</w:t>
      </w:r>
    </w:p>
    <w:p w:rsidR="00055176" w:rsidRPr="004534E8" w:rsidP="002E15BF">
      <w:pPr>
        <w:tabs>
          <w:tab w:val="left" w:pos="4320"/>
        </w:tabs>
        <w:ind w:left="4320"/>
      </w:pPr>
      <w:r w:rsidRPr="004534E8">
        <w:t>65 E. State Street, 7</w:t>
      </w:r>
      <w:r w:rsidRPr="004534E8">
        <w:rPr>
          <w:vertAlign w:val="superscript"/>
        </w:rPr>
        <w:t>th</w:t>
      </w:r>
      <w:r w:rsidRPr="004534E8">
        <w:t xml:space="preserve"> Floor</w:t>
      </w:r>
    </w:p>
    <w:p w:rsidR="00055176" w:rsidRPr="004534E8" w:rsidP="002E15BF">
      <w:pPr>
        <w:tabs>
          <w:tab w:val="left" w:pos="4320"/>
        </w:tabs>
        <w:ind w:left="4320"/>
      </w:pPr>
      <w:r w:rsidRPr="004534E8">
        <w:t>Columbus, Ohio 43215</w:t>
      </w:r>
      <w:r>
        <w:t>-4213</w:t>
      </w:r>
    </w:p>
    <w:p w:rsidR="00055176" w:rsidRPr="004534E8" w:rsidP="002E15BF">
      <w:pPr>
        <w:tabs>
          <w:tab w:val="left" w:pos="4320"/>
        </w:tabs>
        <w:ind w:left="4320"/>
      </w:pPr>
      <w:r w:rsidRPr="004534E8">
        <w:t xml:space="preserve">Telephone: (614) </w:t>
      </w:r>
      <w:r w:rsidR="00B40DD9">
        <w:t>4661291</w:t>
      </w:r>
      <w:r w:rsidRPr="004534E8">
        <w:t xml:space="preserve"> (</w:t>
      </w:r>
      <w:r w:rsidR="00B40DD9">
        <w:t>Michael</w:t>
      </w:r>
      <w:r w:rsidRPr="004534E8">
        <w:t>)</w:t>
      </w:r>
    </w:p>
    <w:p w:rsidR="00055176" w:rsidP="002E15BF">
      <w:pPr>
        <w:tabs>
          <w:tab w:val="left" w:pos="4320"/>
        </w:tabs>
        <w:ind w:left="4320"/>
      </w:pPr>
      <w:r w:rsidRPr="004534E8">
        <w:t>Telephone: (614) 466-9585 (</w:t>
      </w:r>
      <w:r w:rsidR="00B40DD9">
        <w:t>O’Brien</w:t>
      </w:r>
      <w:r w:rsidRPr="004534E8">
        <w:t xml:space="preserve">) </w:t>
      </w:r>
    </w:p>
    <w:p w:rsidR="00B40DD9" w:rsidRPr="004534E8" w:rsidP="002E15BF">
      <w:pPr>
        <w:tabs>
          <w:tab w:val="left" w:pos="4320"/>
        </w:tabs>
        <w:ind w:left="4320"/>
      </w:pPr>
      <w:r w:rsidRPr="004534E8">
        <w:t xml:space="preserve">Telephone: (614) </w:t>
      </w:r>
      <w:r>
        <w:t>466-1292</w:t>
      </w:r>
      <w:r w:rsidRPr="004534E8">
        <w:t xml:space="preserve"> (</w:t>
      </w:r>
      <w:r>
        <w:t>Logsdon</w:t>
      </w:r>
      <w:r w:rsidRPr="004534E8">
        <w:t xml:space="preserve">) </w:t>
      </w:r>
    </w:p>
    <w:p w:rsidR="00055176" w:rsidRPr="0099786E" w:rsidP="002E15BF">
      <w:pPr>
        <w:ind w:left="4320"/>
      </w:pPr>
      <w:r>
        <w:t>william.michael</w:t>
      </w:r>
      <w:r w:rsidRPr="0099786E">
        <w:t>@occ.ohio.gov</w:t>
      </w:r>
    </w:p>
    <w:p w:rsidR="00055176" w:rsidRPr="005F7467" w:rsidP="002E15BF">
      <w:pPr>
        <w:ind w:left="4320"/>
      </w:pPr>
      <w:r w:rsidRPr="005F7467" w:rsidR="005F7467">
        <w:rPr>
          <w:rStyle w:val="DefaultParagraphFont"/>
          <w:color w:val="auto"/>
          <w:u w:val="none"/>
        </w:rPr>
        <w:t>angela.obrien@occ.</w:t>
      </w:r>
      <w:r w:rsidRPr="005F7467" w:rsidR="005F7467">
        <w:t>ohio.gov</w:t>
      </w:r>
    </w:p>
    <w:p w:rsidR="005F7467" w:rsidRPr="005F7467" w:rsidP="002E15BF">
      <w:pPr>
        <w:ind w:left="4320"/>
      </w:pPr>
      <w:r w:rsidRPr="005F7467">
        <w:t>ambrosia.logsdon@occ.ohio.gov</w:t>
      </w:r>
    </w:p>
    <w:p w:rsidR="00055176" w:rsidRPr="004534E8" w:rsidP="002E15BF">
      <w:pPr>
        <w:spacing w:line="480" w:lineRule="auto"/>
        <w:ind w:firstLine="4320"/>
      </w:pPr>
      <w:r w:rsidRPr="004534E8">
        <w:t>(</w:t>
      </w:r>
      <w:r w:rsidR="005A5CA1">
        <w:t>will accept service via email</w:t>
      </w:r>
      <w:r w:rsidRPr="004534E8">
        <w:t>)</w:t>
      </w:r>
    </w:p>
    <w:p w:rsidR="00055176" w:rsidP="002E15BF">
      <w:pPr>
        <w:jc w:val="center"/>
        <w:rPr>
          <w:b/>
          <w:bCs/>
          <w:u w:val="single"/>
        </w:rPr>
        <w:sectPr w:rsidSect="002E15BF">
          <w:pgSz w:w="12240" w:h="15840"/>
          <w:pgMar w:top="1440" w:right="1800" w:bottom="1440" w:left="1800" w:header="720" w:footer="720" w:gutter="0"/>
          <w:cols w:space="720"/>
          <w:titlePg/>
          <w:docGrid w:linePitch="65"/>
        </w:sectPr>
      </w:pPr>
    </w:p>
    <w:p w:rsidR="00055176" w:rsidRPr="00B40DD9" w:rsidP="002E15BF">
      <w:pPr>
        <w:jc w:val="center"/>
        <w:rPr>
          <w:b/>
          <w:bCs/>
          <w:u w:val="single"/>
        </w:rPr>
      </w:pPr>
      <w:r w:rsidRPr="00B40DD9">
        <w:rPr>
          <w:b/>
          <w:bCs/>
          <w:u w:val="single"/>
        </w:rPr>
        <w:t>CERTIFICATE OF SERVICE</w:t>
      </w:r>
    </w:p>
    <w:p w:rsidR="00055176" w:rsidRPr="00B40DD9" w:rsidP="002E15BF">
      <w:pPr>
        <w:spacing w:line="480" w:lineRule="atLeast"/>
        <w:ind w:firstLine="720"/>
      </w:pPr>
      <w:r w:rsidRPr="00B40DD9">
        <w:t xml:space="preserve">I hereby certify that a copy of these Comments was served on the persons stated below via electronic transmission, this </w:t>
      </w:r>
      <w:r w:rsidR="002E15BF">
        <w:t>4</w:t>
      </w:r>
      <w:r w:rsidRPr="002E15BF" w:rsidR="002E15BF">
        <w:rPr>
          <w:vertAlign w:val="superscript"/>
        </w:rPr>
        <w:t>th</w:t>
      </w:r>
      <w:r w:rsidR="002E15BF">
        <w:t xml:space="preserve"> </w:t>
      </w:r>
      <w:r w:rsidRPr="00B40DD9">
        <w:t xml:space="preserve">day of </w:t>
      </w:r>
      <w:r w:rsidR="002E15BF">
        <w:t>April</w:t>
      </w:r>
      <w:r w:rsidRPr="00B40DD9">
        <w:t xml:space="preserve"> 201</w:t>
      </w:r>
      <w:r w:rsidR="00B40DD9">
        <w:t>9</w:t>
      </w:r>
      <w:r w:rsidRPr="00B40DD9">
        <w:t>.</w:t>
      </w:r>
    </w:p>
    <w:p w:rsidR="00055176" w:rsidRPr="00B40DD9" w:rsidP="002E15BF">
      <w:pPr>
        <w:spacing w:line="480" w:lineRule="atLeast"/>
      </w:pPr>
    </w:p>
    <w:p w:rsidR="00055176" w:rsidRPr="00B40DD9" w:rsidP="002E15BF">
      <w:pPr>
        <w:tabs>
          <w:tab w:val="left" w:pos="4320"/>
        </w:tabs>
      </w:pPr>
      <w:r w:rsidRPr="00B40DD9">
        <w:tab/>
      </w:r>
      <w:r w:rsidRPr="00B40DD9">
        <w:rPr>
          <w:i/>
          <w:u w:val="single"/>
        </w:rPr>
        <w:t xml:space="preserve">/s/ </w:t>
      </w:r>
      <w:r w:rsidRPr="00B40DD9" w:rsidR="00B40DD9">
        <w:rPr>
          <w:i/>
          <w:u w:val="single"/>
        </w:rPr>
        <w:t>William J. Michael</w:t>
      </w:r>
      <w:r w:rsidRPr="00B40DD9">
        <w:rPr>
          <w:i/>
          <w:u w:val="single"/>
        </w:rPr>
        <w:tab/>
      </w:r>
    </w:p>
    <w:p w:rsidR="00055176" w:rsidRPr="00B40DD9" w:rsidP="002E15BF">
      <w:pPr>
        <w:tabs>
          <w:tab w:val="left" w:pos="4320"/>
        </w:tabs>
      </w:pPr>
      <w:r w:rsidRPr="00B40DD9">
        <w:tab/>
      </w:r>
      <w:r w:rsidRPr="00B40DD9" w:rsidR="00B40DD9">
        <w:t>William J. Michael</w:t>
      </w:r>
    </w:p>
    <w:p w:rsidR="00055176" w:rsidRPr="00B40DD9" w:rsidP="002E15BF">
      <w:pPr>
        <w:tabs>
          <w:tab w:val="left" w:pos="4320"/>
        </w:tabs>
      </w:pPr>
      <w:r w:rsidRPr="00B40DD9">
        <w:tab/>
        <w:t>Counsel of Record</w:t>
      </w:r>
    </w:p>
    <w:p w:rsidR="00055176" w:rsidRPr="00B40DD9" w:rsidP="002E15BF">
      <w:pPr>
        <w:pStyle w:val="CommentSubject"/>
      </w:pPr>
    </w:p>
    <w:p w:rsidR="00055176" w:rsidP="002E15BF">
      <w:pPr>
        <w:pStyle w:val="CommentText"/>
      </w:pPr>
    </w:p>
    <w:p w:rsidR="00B40DD9" w:rsidRPr="00B40DD9" w:rsidP="002E15BF">
      <w:pPr>
        <w:pStyle w:val="CommentText"/>
      </w:pPr>
    </w:p>
    <w:p w:rsidR="00055176" w:rsidRPr="00B40DD9" w:rsidP="002E15BF">
      <w:pPr>
        <w:pStyle w:val="CommentText"/>
        <w:jc w:val="center"/>
        <w:rPr>
          <w:b/>
          <w:u w:val="single"/>
        </w:rPr>
      </w:pPr>
      <w:r w:rsidRPr="00B40DD9">
        <w:rPr>
          <w:b/>
          <w:u w:val="single"/>
        </w:rPr>
        <w:t>SERVICE LIST</w:t>
      </w:r>
    </w:p>
    <w:p w:rsidR="00055176" w:rsidRPr="00B40DD9" w:rsidP="002E15BF">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E312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B40DD9" w:rsidRPr="00B40DD9" w:rsidP="002E15BF">
            <w:pPr>
              <w:pStyle w:val="CommentText"/>
              <w:jc w:val="both"/>
              <w:rPr>
                <w:rStyle w:val="DefaultParagraphFont"/>
                <w:sz w:val="24"/>
                <w:szCs w:val="24"/>
                <w:lang w:val="en-US" w:eastAsia="en-US" w:bidi="ar-SA"/>
              </w:rPr>
            </w:pPr>
            <w:r w:rsidRPr="00B40DD9">
              <w:rPr>
                <w:rStyle w:val="DefaultParagraphFont"/>
                <w:color w:val="auto"/>
                <w:sz w:val="24"/>
                <w:szCs w:val="24"/>
                <w:u w:val="none"/>
                <w:lang w:val="en-US" w:eastAsia="en-US" w:bidi="ar-SA"/>
              </w:rPr>
              <w:t>john.jones@ohioattorneygeneral.gov</w:t>
            </w:r>
          </w:p>
          <w:p w:rsidR="00B40DD9" w:rsidRPr="00B40DD9" w:rsidP="002E15BF">
            <w:pPr>
              <w:pStyle w:val="CommentText"/>
              <w:jc w:val="both"/>
              <w:rPr>
                <w:rStyle w:val="Hyperlink"/>
                <w:color w:val="auto"/>
                <w:sz w:val="24"/>
                <w:szCs w:val="24"/>
                <w:u w:val="none"/>
                <w:lang w:val="en-US" w:eastAsia="en-US" w:bidi="ar-SA"/>
              </w:rPr>
            </w:pPr>
          </w:p>
          <w:p w:rsidR="00B40DD9" w:rsidRPr="00B40DD9" w:rsidP="002E15BF">
            <w:pPr>
              <w:pStyle w:val="CommentText"/>
              <w:jc w:val="both"/>
              <w:rPr>
                <w:rStyle w:val="Hyperlink"/>
                <w:color w:val="auto"/>
                <w:sz w:val="24"/>
                <w:szCs w:val="24"/>
                <w:u w:val="none"/>
                <w:lang w:val="en-US" w:eastAsia="en-US" w:bidi="ar-SA"/>
              </w:rPr>
            </w:pPr>
            <w:r w:rsidRPr="00B40DD9">
              <w:rPr>
                <w:rStyle w:val="Hyperlink"/>
                <w:color w:val="auto"/>
                <w:sz w:val="24"/>
                <w:szCs w:val="24"/>
                <w:u w:val="none"/>
                <w:lang w:val="en-US" w:eastAsia="en-US" w:bidi="ar-SA"/>
              </w:rPr>
              <w:t>Attorney Examiner:</w:t>
            </w:r>
          </w:p>
          <w:p w:rsidR="00B40DD9" w:rsidRPr="00B40DD9" w:rsidP="002E15BF">
            <w:pPr>
              <w:pStyle w:val="CommentText"/>
              <w:jc w:val="both"/>
              <w:rPr>
                <w:rStyle w:val="Hyperlink"/>
                <w:color w:val="auto"/>
                <w:sz w:val="24"/>
                <w:szCs w:val="24"/>
                <w:u w:val="none"/>
                <w:lang w:val="en-US" w:eastAsia="en-US" w:bidi="ar-SA"/>
              </w:rPr>
            </w:pPr>
            <w:r w:rsidRPr="00B40DD9">
              <w:rPr>
                <w:rStyle w:val="DefaultParagraphFont"/>
                <w:color w:val="auto"/>
                <w:sz w:val="24"/>
                <w:szCs w:val="24"/>
                <w:u w:val="none"/>
                <w:lang w:val="en-US" w:eastAsia="en-US" w:bidi="ar-SA"/>
              </w:rPr>
              <w:t>lauren.augostini@puc.state.oh.us</w:t>
            </w:r>
          </w:p>
          <w:p w:rsidR="00B40DD9" w:rsidRPr="00B40DD9" w:rsidP="002E15BF">
            <w:pPr>
              <w:pStyle w:val="CommentText"/>
              <w:jc w:val="both"/>
              <w:rPr>
                <w:rStyle w:val="Hyperlink"/>
                <w:color w:val="auto"/>
                <w:sz w:val="24"/>
                <w:szCs w:val="24"/>
                <w:u w:val="none"/>
                <w:lang w:val="en-US" w:eastAsia="en-US" w:bidi="ar-SA"/>
              </w:rPr>
            </w:pPr>
            <w:r w:rsidRPr="00B40DD9">
              <w:rPr>
                <w:rStyle w:val="DefaultParagraphFont"/>
                <w:color w:val="auto"/>
                <w:sz w:val="24"/>
                <w:szCs w:val="24"/>
                <w:u w:val="none"/>
                <w:lang w:val="en-US" w:eastAsia="en-US" w:bidi="ar-SA"/>
              </w:rPr>
              <w:t>sarah.parrpt@puc.state.oh.us</w:t>
            </w:r>
            <w:r w:rsidRPr="00B40DD9">
              <w:rPr>
                <w:rStyle w:val="DefaultParagraphFont"/>
                <w:color w:val="auto"/>
                <w:sz w:val="24"/>
                <w:szCs w:val="24"/>
                <w:u w:val="none"/>
                <w:lang w:val="en-US" w:eastAsia="en-US" w:bidi="ar-SA"/>
              </w:rPr>
              <w:t xml:space="preserve"> </w:t>
            </w:r>
          </w:p>
          <w:p w:rsidR="00B40DD9" w:rsidRPr="00B40DD9" w:rsidP="002E15BF">
            <w:pPr>
              <w:pStyle w:val="CommentText"/>
              <w:jc w:val="both"/>
              <w:rPr>
                <w:rStyle w:val="DefaultParagraphFont"/>
                <w:sz w:val="24"/>
                <w:szCs w:val="24"/>
                <w:lang w:val="en-US" w:eastAsia="en-US" w:bidi="ar-SA"/>
              </w:rPr>
            </w:pPr>
          </w:p>
          <w:p w:rsidR="00B40DD9" w:rsidRPr="00B40DD9" w:rsidP="002E15BF">
            <w:pPr>
              <w:pStyle w:val="CommentText"/>
              <w:jc w:val="both"/>
              <w:rPr>
                <w:rStyle w:val="DefaultParagraphFont"/>
                <w:sz w:val="24"/>
                <w:szCs w:val="24"/>
                <w:lang w:val="en-US" w:eastAsia="en-US" w:bidi="ar-SA"/>
              </w:rPr>
            </w:pPr>
          </w:p>
        </w:tc>
        <w:tc>
          <w:tcPr>
            <w:tcW w:w="4315" w:type="dxa"/>
          </w:tcPr>
          <w:p w:rsidR="00B40DD9" w:rsidRPr="00B40DD9" w:rsidP="002E15BF">
            <w:pPr>
              <w:pStyle w:val="CommentText"/>
              <w:ind w:left="702"/>
              <w:jc w:val="both"/>
              <w:rPr>
                <w:rStyle w:val="DefaultParagraphFont"/>
                <w:sz w:val="24"/>
                <w:szCs w:val="24"/>
                <w:lang w:val="en-US" w:eastAsia="en-US" w:bidi="ar-SA"/>
              </w:rPr>
            </w:pPr>
            <w:r w:rsidRPr="00B40DD9">
              <w:rPr>
                <w:rStyle w:val="DefaultParagraphFont"/>
                <w:color w:val="auto"/>
                <w:sz w:val="24"/>
                <w:szCs w:val="24"/>
                <w:u w:val="none"/>
                <w:lang w:val="en-US" w:eastAsia="en-US" w:bidi="ar-SA"/>
              </w:rPr>
              <w:t>whitt@whitt-sturtevant.com</w:t>
            </w:r>
          </w:p>
          <w:p w:rsidR="00B40DD9" w:rsidRPr="00B40DD9" w:rsidP="002E15BF">
            <w:pPr>
              <w:pStyle w:val="CommentText"/>
              <w:ind w:left="702"/>
              <w:jc w:val="both"/>
              <w:rPr>
                <w:rStyle w:val="DefaultParagraphFont"/>
                <w:sz w:val="24"/>
                <w:szCs w:val="24"/>
                <w:lang w:val="en-US" w:eastAsia="en-US" w:bidi="ar-SA"/>
              </w:rPr>
            </w:pPr>
            <w:r w:rsidRPr="00B40DD9">
              <w:rPr>
                <w:rStyle w:val="DefaultParagraphFont"/>
                <w:color w:val="auto"/>
                <w:sz w:val="24"/>
                <w:szCs w:val="24"/>
                <w:u w:val="none"/>
                <w:lang w:val="en-US" w:eastAsia="en-US" w:bidi="ar-SA"/>
              </w:rPr>
              <w:t>glover@whitt-sturtevant.com</w:t>
            </w:r>
          </w:p>
          <w:p w:rsidR="00B40DD9" w:rsidRPr="00B40DD9" w:rsidP="002E15BF">
            <w:pPr>
              <w:pStyle w:val="CommentText"/>
              <w:ind w:left="702"/>
              <w:jc w:val="both"/>
              <w:rPr>
                <w:rStyle w:val="DefaultParagraphFont"/>
                <w:sz w:val="24"/>
                <w:szCs w:val="24"/>
                <w:lang w:val="en-US" w:eastAsia="en-US" w:bidi="ar-SA"/>
              </w:rPr>
            </w:pPr>
            <w:r w:rsidRPr="00B40DD9">
              <w:rPr>
                <w:sz w:val="24"/>
                <w:szCs w:val="24"/>
                <w:lang w:val="en-US" w:eastAsia="en-US" w:bidi="ar-SA"/>
              </w:rPr>
              <w:t>kennedy@whitt-sturtevant.com</w:t>
            </w:r>
          </w:p>
          <w:p w:rsidR="00B40DD9" w:rsidRPr="00B40DD9" w:rsidP="002E15BF">
            <w:pPr>
              <w:pStyle w:val="CommentText"/>
              <w:jc w:val="both"/>
              <w:rPr>
                <w:rStyle w:val="DefaultParagraphFont"/>
                <w:b/>
                <w:sz w:val="24"/>
                <w:szCs w:val="24"/>
                <w:lang w:val="en-US" w:eastAsia="en-US" w:bidi="ar-SA"/>
              </w:rPr>
            </w:pPr>
          </w:p>
        </w:tc>
      </w:tr>
    </w:tbl>
    <w:p w:rsidR="00055176" w:rsidP="002E15BF">
      <w:pPr>
        <w:pStyle w:val="CommentText"/>
        <w:rPr>
          <w:b/>
          <w:bCs/>
        </w:rPr>
      </w:pPr>
    </w:p>
    <w:sectPr>
      <w:footerReference w:type="first" r:id="rId12"/>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176" w:rsidRPr="0099786E" w:rsidP="00055176">
    <w:pPr>
      <w:pStyle w:val="Footer"/>
      <w:framePr w:wrap="around" w:vAnchor="text" w:hAnchor="margin" w:xAlign="center" w:y="1"/>
      <w:jc w:val="center"/>
      <w:rPr>
        <w:rStyle w:val="PageNumber"/>
        <w:sz w:val="24"/>
        <w:szCs w:val="24"/>
      </w:rPr>
    </w:pPr>
    <w:r w:rsidRPr="00322D13">
      <w:rPr>
        <w:rStyle w:val="PageNumber"/>
        <w:sz w:val="24"/>
        <w:szCs w:val="24"/>
      </w:rPr>
      <w:fldChar w:fldCharType="begin"/>
    </w:r>
    <w:r w:rsidRPr="00322D13">
      <w:rPr>
        <w:rStyle w:val="PageNumber"/>
        <w:sz w:val="24"/>
        <w:szCs w:val="24"/>
      </w:rPr>
      <w:instrText xml:space="preserve">PAGE  </w:instrText>
    </w:r>
    <w:r w:rsidRPr="00322D13">
      <w:rPr>
        <w:rStyle w:val="PageNumber"/>
        <w:sz w:val="24"/>
        <w:szCs w:val="24"/>
      </w:rPr>
      <w:fldChar w:fldCharType="separate"/>
    </w:r>
    <w:r w:rsidRPr="00322D13">
      <w:rPr>
        <w:rStyle w:val="PageNumber"/>
        <w:sz w:val="24"/>
        <w:szCs w:val="24"/>
      </w:rPr>
      <w:t>10</w:t>
    </w:r>
    <w:r w:rsidRPr="00322D13">
      <w:rPr>
        <w:rStyle w:val="PageNumber"/>
        <w:sz w:val="24"/>
        <w:szCs w:val="24"/>
      </w:rPr>
      <w:fldChar w:fldCharType="end"/>
    </w:r>
  </w:p>
  <w:p w:rsidR="00055176" w:rsidRPr="00322D13" w:rsidP="00055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15BF" w:rsidRPr="002E15BF">
    <w:pPr>
      <w:pStyle w:val="Footer"/>
      <w:jc w:val="center"/>
      <w:rPr>
        <w:sz w:val="24"/>
        <w:szCs w:val="24"/>
      </w:rPr>
    </w:pPr>
  </w:p>
  <w:p w:rsidR="002E15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9590424"/>
      <w:docPartObj>
        <w:docPartGallery w:val="Page Numbers (Bottom of Page)"/>
        <w:docPartUnique/>
      </w:docPartObj>
    </w:sdtPr>
    <w:sdtEndPr>
      <w:rPr>
        <w:noProof/>
        <w:sz w:val="24"/>
        <w:szCs w:val="24"/>
      </w:rPr>
    </w:sdtEndPr>
    <w:sdtContent>
      <w:p w:rsidR="002E15BF" w:rsidRPr="002E15BF">
        <w:pPr>
          <w:pStyle w:val="Footer"/>
          <w:jc w:val="center"/>
          <w:rPr>
            <w:sz w:val="24"/>
            <w:szCs w:val="24"/>
          </w:rPr>
        </w:pPr>
        <w:r w:rsidRPr="002E15BF">
          <w:rPr>
            <w:sz w:val="24"/>
            <w:szCs w:val="24"/>
          </w:rPr>
          <w:fldChar w:fldCharType="begin"/>
        </w:r>
        <w:r w:rsidRPr="002E15BF">
          <w:rPr>
            <w:sz w:val="24"/>
            <w:szCs w:val="24"/>
          </w:rPr>
          <w:instrText xml:space="preserve"> PAGE   \* MERGEFORMAT </w:instrText>
        </w:r>
        <w:r w:rsidRPr="002E15BF">
          <w:rPr>
            <w:sz w:val="24"/>
            <w:szCs w:val="24"/>
          </w:rPr>
          <w:fldChar w:fldCharType="separate"/>
        </w:r>
        <w:r w:rsidRPr="002E15BF">
          <w:rPr>
            <w:noProof/>
            <w:sz w:val="24"/>
            <w:szCs w:val="24"/>
          </w:rPr>
          <w:t>11</w:t>
        </w:r>
        <w:r w:rsidRPr="002E15BF">
          <w:rPr>
            <w:noProof/>
            <w:sz w:val="24"/>
            <w:szCs w:val="24"/>
          </w:rPr>
          <w:fldChar w:fldCharType="end"/>
        </w:r>
      </w:p>
    </w:sdtContent>
  </w:sdt>
  <w:p w:rsidR="002E15B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15BF" w:rsidRPr="002E15BF">
    <w:pPr>
      <w:pStyle w:val="Footer"/>
      <w:jc w:val="center"/>
      <w:rPr>
        <w:sz w:val="24"/>
        <w:szCs w:val="24"/>
      </w:rPr>
    </w:pPr>
  </w:p>
  <w:p w:rsidR="002E1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4AEB">
      <w:r>
        <w:separator/>
      </w:r>
    </w:p>
  </w:footnote>
  <w:footnote w:type="continuationSeparator" w:id="1">
    <w:p w:rsidR="007F4AEB">
      <w:r>
        <w:continuationSeparator/>
      </w:r>
    </w:p>
  </w:footnote>
  <w:footnote w:id="2">
    <w:p w:rsidR="00055176" w:rsidP="00B40DD9">
      <w:pPr>
        <w:pStyle w:val="FootnoteText"/>
        <w:spacing w:after="120"/>
      </w:pPr>
      <w:r>
        <w:rPr>
          <w:rStyle w:val="FootnoteReference"/>
        </w:rPr>
        <w:footnoteRef/>
      </w:r>
      <w:r>
        <w:t xml:space="preserve"> PUCO Finding and Oder in Case No. 18-047-AU-COI, at 18 (October 24, 2018)</w:t>
      </w:r>
      <w:bookmarkStart w:id="2" w:name="_Hlk3815583"/>
      <w:r>
        <w:t>.</w:t>
      </w:r>
    </w:p>
  </w:footnote>
  <w:footnote w:id="3">
    <w:p w:rsidR="00055176" w:rsidP="00B40DD9">
      <w:pPr>
        <w:pStyle w:val="FootnoteText"/>
        <w:spacing w:after="120"/>
      </w:pPr>
      <w:bookmarkEnd w:id="2"/>
      <w:r>
        <w:rPr>
          <w:rStyle w:val="FootnoteReference"/>
        </w:rPr>
        <w:footnoteRef/>
      </w:r>
      <w:r>
        <w:t xml:space="preserve"> Dominion Application at 1 (December 31, 2018).</w:t>
      </w:r>
    </w:p>
  </w:footnote>
  <w:footnote w:id="4">
    <w:p w:rsidR="00055176" w:rsidP="00B40DD9">
      <w:pPr>
        <w:pStyle w:val="FootnoteText"/>
        <w:spacing w:after="120"/>
      </w:pPr>
      <w:r>
        <w:rPr>
          <w:rStyle w:val="FootnoteReference"/>
        </w:rPr>
        <w:footnoteRef/>
      </w:r>
      <w:r>
        <w:t xml:space="preserve"> </w:t>
      </w:r>
      <w:r w:rsidRPr="0094122C">
        <w:rPr>
          <w:i/>
        </w:rPr>
        <w:t xml:space="preserve">See, In re Application of </w:t>
      </w:r>
      <w:r w:rsidR="008641AE">
        <w:rPr>
          <w:i/>
        </w:rPr>
        <w:t xml:space="preserve">The East Ohio Gas Company d/b/a Dominion East Ohio for Approval to Change Accounting Methods Associated with Its Pipeline Safety Management </w:t>
      </w:r>
      <w:r w:rsidRPr="008641AE" w:rsidR="008641AE">
        <w:rPr>
          <w:i/>
        </w:rPr>
        <w:t>Program</w:t>
      </w:r>
      <w:r w:rsidRPr="008641AE">
        <w:t>, Case No. 15-</w:t>
      </w:r>
      <w:r w:rsidRPr="008641AE" w:rsidR="008641AE">
        <w:t>1712</w:t>
      </w:r>
      <w:r w:rsidRPr="008641AE">
        <w:t>-</w:t>
      </w:r>
      <w:r w:rsidRPr="008641AE" w:rsidR="008641AE">
        <w:t>GA</w:t>
      </w:r>
      <w:r w:rsidRPr="008641AE">
        <w:t>-</w:t>
      </w:r>
      <w:r w:rsidRPr="008641AE" w:rsidR="008641AE">
        <w:t>AAM</w:t>
      </w:r>
      <w:r w:rsidRPr="008641AE">
        <w:t xml:space="preserve">, </w:t>
      </w:r>
      <w:r w:rsidRPr="008641AE" w:rsidR="008641AE">
        <w:t>Opinion and Order</w:t>
      </w:r>
      <w:r w:rsidRPr="008641AE">
        <w:t xml:space="preserve"> (</w:t>
      </w:r>
      <w:r w:rsidRPr="008641AE" w:rsidR="008641AE">
        <w:t>November 3,</w:t>
      </w:r>
      <w:r w:rsidRPr="008641AE">
        <w:t xml:space="preserve"> 2016).</w:t>
      </w:r>
    </w:p>
  </w:footnote>
  <w:footnote w:id="5">
    <w:p w:rsidR="00055176" w:rsidP="00B40DD9">
      <w:pPr>
        <w:pStyle w:val="FootnoteText"/>
        <w:spacing w:after="120"/>
      </w:pPr>
      <w:r>
        <w:rPr>
          <w:rStyle w:val="FootnoteReference"/>
        </w:rPr>
        <w:footnoteRef/>
      </w:r>
      <w:r>
        <w:t xml:space="preserve"> </w:t>
      </w:r>
      <w:r w:rsidRPr="006A5FA7">
        <w:t>6.5% as set in Case No. 07-829-GA-AIR.</w:t>
      </w:r>
    </w:p>
  </w:footnote>
  <w:footnote w:id="6">
    <w:p w:rsidR="005469DB" w:rsidP="00B40DD9">
      <w:pPr>
        <w:pStyle w:val="FootnoteText"/>
        <w:spacing w:after="120"/>
      </w:pPr>
      <w:r>
        <w:rPr>
          <w:rStyle w:val="FootnoteReference"/>
        </w:rPr>
        <w:footnoteRef/>
      </w:r>
      <w:r>
        <w:t xml:space="preserve"> </w:t>
      </w:r>
      <w:r w:rsidRPr="0094122C">
        <w:rPr>
          <w:i/>
        </w:rPr>
        <w:t xml:space="preserve">See, In re Application of </w:t>
      </w:r>
      <w:r>
        <w:rPr>
          <w:i/>
        </w:rPr>
        <w:t xml:space="preserve">The East Ohio Gas Company d/b/a Dominion East Ohio for Approval </w:t>
      </w:r>
      <w:r w:rsidR="006A5FA7">
        <w:rPr>
          <w:i/>
        </w:rPr>
        <w:t>of an Alternative Rate Plan for Its Gas Distribution Service</w:t>
      </w:r>
      <w:r w:rsidRPr="008641AE">
        <w:t xml:space="preserve">, Case No. </w:t>
      </w:r>
      <w:r w:rsidR="006A5FA7">
        <w:t xml:space="preserve">07-830-GA-AL, </w:t>
      </w:r>
      <w:r w:rsidRPr="006A5FA7" w:rsidR="006A5FA7">
        <w:rPr>
          <w:i/>
        </w:rPr>
        <w:t>et. al</w:t>
      </w:r>
      <w:r w:rsidR="006A5FA7">
        <w:t xml:space="preserve">. </w:t>
      </w:r>
      <w:r w:rsidRPr="008641AE">
        <w:t xml:space="preserve"> Opinion and Order (</w:t>
      </w:r>
      <w:r w:rsidR="006A5FA7">
        <w:t>October 15, 2008</w:t>
      </w:r>
      <w:r w:rsidRPr="008641AE">
        <w:t>).</w:t>
      </w:r>
    </w:p>
  </w:footnote>
  <w:footnote w:id="7">
    <w:p w:rsidR="005469DB" w:rsidP="00B40DD9">
      <w:pPr>
        <w:pStyle w:val="FootnoteText"/>
        <w:spacing w:after="120"/>
      </w:pPr>
      <w:r>
        <w:rPr>
          <w:rStyle w:val="FootnoteReference"/>
        </w:rPr>
        <w:footnoteRef/>
      </w:r>
      <w:r>
        <w:t xml:space="preserve"> </w:t>
      </w:r>
      <w:r w:rsidRPr="006A5FA7" w:rsidR="006A5FA7">
        <w:rPr>
          <w:i/>
        </w:rPr>
        <w:t>Id</w:t>
      </w:r>
      <w:r w:rsidR="006A5FA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885B3F"/>
    <w:multiLevelType w:val="hybridMultilevel"/>
    <w:tmpl w:val="7E96A1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50A87E2A"/>
    <w:multiLevelType w:val="hybridMultilevel"/>
    <w:tmpl w:val="AED22352"/>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FD07F1D"/>
    <w:multiLevelType w:val="hybridMultilevel"/>
    <w:tmpl w:val="89E6A6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6D494D40"/>
    <w:multiLevelType w:val="hybridMultilevel"/>
    <w:tmpl w:val="F77251EE"/>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F5E2961"/>
    <w:multiLevelType w:val="hybridMultilevel"/>
    <w:tmpl w:val="5582BF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7"/>
  </w:num>
  <w:num w:numId="4">
    <w:abstractNumId w:val="5"/>
  </w:num>
  <w:num w:numId="5">
    <w:abstractNumId w:val="0"/>
  </w:num>
  <w:num w:numId="6">
    <w:abstractNumId w:val="10"/>
  </w:num>
  <w:num w:numId="7">
    <w:abstractNumId w:val="1"/>
  </w:num>
  <w:num w:numId="8">
    <w:abstractNumId w:val="8"/>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5A5CA1"/>
    <w:pPr>
      <w:keepNext/>
      <w:spacing w:after="240"/>
      <w:outlineLvl w:val="0"/>
    </w:pPr>
    <w:rPr>
      <w:rFonts w:ascii="Times New Roman Bold" w:hAnsi="Times New Roman Bold"/>
      <w:b/>
      <w:caps/>
      <w:szCs w:val="24"/>
    </w:rPr>
  </w:style>
  <w:style w:type="paragraph" w:styleId="Heading2">
    <w:name w:val="heading 2"/>
    <w:basedOn w:val="Normal"/>
    <w:next w:val="Normal"/>
    <w:autoRedefine/>
    <w:qFormat/>
    <w:rsid w:val="002E15BF"/>
    <w:pPr>
      <w:keepNext/>
      <w:spacing w:after="240"/>
      <w:ind w:left="1440" w:right="720" w:hanging="720"/>
      <w:outlineLvl w:val="1"/>
    </w:pPr>
    <w:rPr>
      <w:b/>
      <w:szCs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HTMLPreformattedChar">
    <w:name w:val="HTML Preformatted Char"/>
    <w:link w:val="HTMLPreformatted"/>
    <w:locked/>
    <w:rsid w:val="00E3485F"/>
    <w:rPr>
      <w:rFonts w:ascii="Courier New" w:eastAsia="Courier New" w:hAnsi="Courier New" w:cs="Courier New"/>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rsid w:val="00DA5728"/>
  </w:style>
  <w:style w:type="character" w:customStyle="1" w:styleId="UnresolvedMention1">
    <w:name w:val="Unresolved Mention1"/>
    <w:uiPriority w:val="99"/>
    <w:semiHidden/>
    <w:unhideWhenUsed/>
    <w:rsid w:val="00F20D06"/>
    <w:rPr>
      <w:color w:val="605E5C"/>
      <w:shd w:val="clear" w:color="auto" w:fill="E1DFDD"/>
    </w:rPr>
  </w:style>
  <w:style w:type="character" w:customStyle="1" w:styleId="UnresolvedMention">
    <w:name w:val="Unresolved Mention"/>
    <w:basedOn w:val="DefaultParagraphFont"/>
    <w:rsid w:val="00B40DD9"/>
    <w:rPr>
      <w:color w:val="605E5C"/>
      <w:shd w:val="clear" w:color="auto" w:fill="E1DFDD"/>
    </w:rPr>
  </w:style>
  <w:style w:type="character" w:customStyle="1" w:styleId="FooterChar">
    <w:name w:val="Footer Char"/>
    <w:basedOn w:val="DefaultParagraphFont"/>
    <w:link w:val="Footer"/>
    <w:uiPriority w:val="99"/>
    <w:rsid w:val="002E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Dominion.docx</vt:lpstr>
    </vt:vector>
  </TitlesOfParts>
  <Company/>
  <LinksUpToDate>false</LinksUpToDate>
  <CharactersWithSpaces>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2019-04-04T20:55:01Z</dcterms:created>
  <dcterms:modified xsi:type="dcterms:W3CDTF">2019-04-04T20:55:01Z</dcterms:modified>
</cp:coreProperties>
</file>