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41188" w:rsidRPr="00025218" w:rsidP="00041188">
      <w:pPr>
        <w:pStyle w:val="HTMLPreformatted"/>
        <w:jc w:val="center"/>
        <w:rPr>
          <w:rFonts w:ascii="Times New Roman" w:hAnsi="Times New Roman" w:cs="Times New Roman"/>
          <w:b/>
          <w:bCs/>
          <w:sz w:val="24"/>
          <w:szCs w:val="24"/>
        </w:rPr>
      </w:pPr>
      <w:bookmarkStart w:id="0" w:name="_GoBack"/>
      <w:bookmarkEnd w:id="0"/>
      <w:r w:rsidRPr="00025218">
        <w:rPr>
          <w:rFonts w:ascii="Times New Roman" w:hAnsi="Times New Roman" w:cs="Times New Roman"/>
          <w:b/>
          <w:bCs/>
          <w:sz w:val="24"/>
          <w:szCs w:val="24"/>
        </w:rPr>
        <w:t>BEFORE</w:t>
      </w:r>
    </w:p>
    <w:p w:rsidR="00041188" w:rsidRPr="00025218" w:rsidP="00041188">
      <w:pPr>
        <w:pStyle w:val="HTMLPreformatted"/>
        <w:jc w:val="center"/>
        <w:rPr>
          <w:rFonts w:ascii="Times New Roman" w:hAnsi="Times New Roman" w:cs="Times New Roman"/>
          <w:sz w:val="24"/>
          <w:szCs w:val="24"/>
        </w:rPr>
      </w:pPr>
      <w:r w:rsidRPr="00025218">
        <w:rPr>
          <w:rFonts w:ascii="Times New Roman" w:hAnsi="Times New Roman" w:cs="Times New Roman"/>
          <w:b/>
          <w:bCs/>
          <w:sz w:val="24"/>
          <w:szCs w:val="24"/>
        </w:rPr>
        <w:t>THE PUBLIC UTILITIES COMMISSION OF OHIO</w:t>
      </w:r>
    </w:p>
    <w:p w:rsidR="00041188" w:rsidRPr="00025218" w:rsidP="00041188">
      <w:pPr>
        <w:pStyle w:val="HTMLPreformatted"/>
        <w:rPr>
          <w:rFonts w:ascii="Times New Roman" w:hAnsi="Times New Roman" w:cs="Times New Roman"/>
          <w:sz w:val="24"/>
          <w:szCs w:val="24"/>
        </w:rPr>
      </w:pPr>
    </w:p>
    <w:tbl>
      <w:tblPr>
        <w:tblW w:w="9092" w:type="dxa"/>
        <w:tblLook w:val="01E0"/>
      </w:tblPr>
      <w:tblGrid>
        <w:gridCol w:w="4332"/>
        <w:gridCol w:w="360"/>
        <w:gridCol w:w="4400"/>
      </w:tblGrid>
      <w:tr w:rsidTr="00E51472">
        <w:tblPrEx>
          <w:tblW w:w="9092" w:type="dxa"/>
          <w:tblLook w:val="01E0"/>
        </w:tblPrEx>
        <w:trPr>
          <w:trHeight w:val="807"/>
        </w:trPr>
        <w:tc>
          <w:tcPr>
            <w:tcW w:w="4332" w:type="dxa"/>
            <w:shd w:val="clear" w:color="auto" w:fill="auto"/>
          </w:tcPr>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In the Matter of the Application of Duke Energy Ohio, Inc., for Approval of its 2021 Energy Efficiency and Demand Side Management Portfolio of Programs and Cost Recovery Mechanism.</w:t>
            </w:r>
          </w:p>
          <w:p w:rsidR="00041188" w:rsidRPr="00025218" w:rsidP="00E51472">
            <w:pPr>
              <w:pStyle w:val="HTMLPreformatted"/>
              <w:rPr>
                <w:rFonts w:ascii="Times New Roman" w:hAnsi="Times New Roman" w:cs="Times New Roman"/>
                <w:sz w:val="24"/>
                <w:szCs w:val="24"/>
              </w:rPr>
            </w:pP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In the Matter of the Application of Duke Energy Ohio, Inc., for Approval of Tariff Amendments.</w:t>
            </w:r>
          </w:p>
        </w:tc>
        <w:tc>
          <w:tcPr>
            <w:tcW w:w="360" w:type="dxa"/>
            <w:shd w:val="clear" w:color="auto" w:fill="auto"/>
          </w:tcPr>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041188" w:rsidRPr="00025218" w:rsidP="00E51472">
            <w:pPr>
              <w:pStyle w:val="HTMLPreformatted"/>
              <w:rPr>
                <w:rFonts w:ascii="Times New Roman" w:hAnsi="Times New Roman" w:cs="Times New Roman"/>
                <w:sz w:val="24"/>
                <w:szCs w:val="24"/>
              </w:rPr>
            </w:pP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tc>
        <w:tc>
          <w:tcPr>
            <w:tcW w:w="4400" w:type="dxa"/>
            <w:shd w:val="clear" w:color="auto" w:fill="auto"/>
          </w:tcPr>
          <w:p w:rsidR="00041188" w:rsidRPr="00025218" w:rsidP="00E51472">
            <w:pPr>
              <w:pStyle w:val="HTMLPreformatted"/>
              <w:rPr>
                <w:rFonts w:ascii="Times New Roman" w:hAnsi="Times New Roman" w:cs="Times New Roman"/>
                <w:sz w:val="24"/>
                <w:szCs w:val="24"/>
              </w:rPr>
            </w:pPr>
          </w:p>
          <w:p w:rsidR="00041188" w:rsidRPr="00025218" w:rsidP="00E51472">
            <w:pPr>
              <w:pStyle w:val="HTMLPreformatted"/>
              <w:rPr>
                <w:rFonts w:ascii="Times New Roman" w:hAnsi="Times New Roman" w:cs="Times New Roman"/>
                <w:sz w:val="24"/>
                <w:szCs w:val="24"/>
              </w:rPr>
            </w:pP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Case No. 20-1444-EL-POR</w:t>
            </w:r>
          </w:p>
          <w:p w:rsidR="00041188" w:rsidRPr="00025218" w:rsidP="00E51472">
            <w:pPr>
              <w:pStyle w:val="HTMLPreformatted"/>
              <w:rPr>
                <w:rFonts w:ascii="Times New Roman" w:hAnsi="Times New Roman" w:cs="Times New Roman"/>
                <w:sz w:val="24"/>
                <w:szCs w:val="24"/>
              </w:rPr>
            </w:pPr>
          </w:p>
          <w:p w:rsidR="00041188" w:rsidRPr="00025218" w:rsidP="00E51472">
            <w:pPr>
              <w:pStyle w:val="HTMLPreformatted"/>
              <w:rPr>
                <w:rFonts w:ascii="Times New Roman" w:hAnsi="Times New Roman" w:cs="Times New Roman"/>
                <w:sz w:val="24"/>
                <w:szCs w:val="24"/>
              </w:rPr>
            </w:pPr>
          </w:p>
          <w:p w:rsidR="00041188" w:rsidRPr="00025218" w:rsidP="00E51472">
            <w:pPr>
              <w:pStyle w:val="HTMLPreformatted"/>
              <w:rPr>
                <w:rFonts w:ascii="Times New Roman" w:hAnsi="Times New Roman" w:cs="Times New Roman"/>
                <w:sz w:val="24"/>
                <w:szCs w:val="24"/>
              </w:rPr>
            </w:pPr>
          </w:p>
          <w:p w:rsidR="00041188" w:rsidRPr="00025218" w:rsidP="00E51472">
            <w:pPr>
              <w:pStyle w:val="HTMLPreformatted"/>
              <w:rPr>
                <w:rFonts w:ascii="Times New Roman" w:hAnsi="Times New Roman" w:cs="Times New Roman"/>
                <w:sz w:val="24"/>
                <w:szCs w:val="24"/>
              </w:rPr>
            </w:pPr>
          </w:p>
          <w:p w:rsidR="00041188" w:rsidRPr="00025218" w:rsidP="00E51472">
            <w:pPr>
              <w:pStyle w:val="HTMLPreformatted"/>
              <w:rPr>
                <w:rFonts w:ascii="Times New Roman" w:hAnsi="Times New Roman" w:cs="Times New Roman"/>
                <w:sz w:val="24"/>
                <w:szCs w:val="24"/>
              </w:rPr>
            </w:pPr>
            <w:r w:rsidRPr="00025218">
              <w:rPr>
                <w:rFonts w:ascii="Times New Roman" w:hAnsi="Times New Roman" w:cs="Times New Roman"/>
                <w:sz w:val="24"/>
                <w:szCs w:val="24"/>
              </w:rPr>
              <w:t>Case No. 20-1445-EL-ATA</w:t>
            </w:r>
          </w:p>
        </w:tc>
      </w:tr>
    </w:tbl>
    <w:p w:rsidR="00041188" w:rsidRPr="00025218" w:rsidP="00041188">
      <w:pPr>
        <w:pStyle w:val="HTMLPreformatted"/>
        <w:rPr>
          <w:rFonts w:ascii="Times New Roman" w:hAnsi="Times New Roman" w:cs="Times New Roman"/>
          <w:sz w:val="24"/>
          <w:szCs w:val="24"/>
        </w:rPr>
      </w:pPr>
    </w:p>
    <w:p w:rsidR="00041188" w:rsidRPr="00025218" w:rsidP="00041188">
      <w:pPr>
        <w:pStyle w:val="HTMLPreformatted"/>
        <w:pBdr>
          <w:top w:val="single" w:sz="12" w:space="1" w:color="auto"/>
        </w:pBdr>
        <w:rPr>
          <w:rFonts w:ascii="Times New Roman" w:hAnsi="Times New Roman" w:cs="Times New Roman"/>
          <w:sz w:val="24"/>
          <w:szCs w:val="24"/>
        </w:rPr>
      </w:pPr>
    </w:p>
    <w:p w:rsidR="00041188" w:rsidRPr="00025218" w:rsidP="00041188">
      <w:pPr>
        <w:jc w:val="center"/>
        <w:rPr>
          <w:b/>
          <w:bCs/>
          <w:szCs w:val="24"/>
        </w:rPr>
      </w:pPr>
      <w:r w:rsidRPr="00025218">
        <w:rPr>
          <w:b/>
          <w:bCs/>
          <w:szCs w:val="24"/>
        </w:rPr>
        <w:t>COMMENTS</w:t>
      </w:r>
    </w:p>
    <w:p w:rsidR="00041188" w:rsidRPr="00025218" w:rsidP="00041188">
      <w:pPr>
        <w:jc w:val="center"/>
        <w:rPr>
          <w:b/>
          <w:bCs/>
          <w:szCs w:val="24"/>
        </w:rPr>
      </w:pPr>
      <w:r w:rsidRPr="00025218">
        <w:rPr>
          <w:b/>
          <w:bCs/>
          <w:szCs w:val="24"/>
        </w:rPr>
        <w:t>BY</w:t>
      </w:r>
    </w:p>
    <w:p w:rsidR="00041188" w:rsidRPr="00025218" w:rsidP="00041188">
      <w:pPr>
        <w:jc w:val="center"/>
        <w:rPr>
          <w:b/>
          <w:bCs/>
          <w:szCs w:val="24"/>
        </w:rPr>
      </w:pPr>
      <w:r w:rsidRPr="00025218">
        <w:rPr>
          <w:b/>
          <w:bCs/>
          <w:szCs w:val="24"/>
        </w:rPr>
        <w:t>OFFICE OF THE OHIO CONSUMERS’ COUNSEL</w:t>
      </w:r>
    </w:p>
    <w:p w:rsidR="00041188" w:rsidRPr="00025218" w:rsidP="00041188">
      <w:pPr>
        <w:pBdr>
          <w:bottom w:val="single" w:sz="12" w:space="1" w:color="auto"/>
        </w:pBdr>
        <w:tabs>
          <w:tab w:val="left" w:pos="4320"/>
        </w:tabs>
        <w:rPr>
          <w:szCs w:val="24"/>
        </w:rPr>
      </w:pPr>
    </w:p>
    <w:p w:rsidR="00041188" w:rsidRPr="00025218" w:rsidP="00041188">
      <w:pPr>
        <w:tabs>
          <w:tab w:val="left" w:pos="4320"/>
        </w:tabs>
        <w:rPr>
          <w:szCs w:val="24"/>
        </w:rPr>
      </w:pPr>
    </w:p>
    <w:p w:rsidR="00041188">
      <w:pPr>
        <w:rPr>
          <w:rFonts w:eastAsia="Courier New"/>
          <w:b/>
          <w:bCs/>
          <w:szCs w:val="24"/>
        </w:rPr>
      </w:pPr>
    </w:p>
    <w:p w:rsidR="00041188" w:rsidP="00E7356F">
      <w:pPr>
        <w:pStyle w:val="HTMLPreformatted"/>
        <w:jc w:val="center"/>
        <w:rPr>
          <w:rFonts w:ascii="Times New Roman" w:hAnsi="Times New Roman" w:cs="Times New Roman"/>
          <w:b/>
          <w:bCs/>
          <w:sz w:val="24"/>
          <w:szCs w:val="24"/>
        </w:rPr>
      </w:pPr>
    </w:p>
    <w:p w:rsidR="00041188" w:rsidP="00E7356F">
      <w:pPr>
        <w:pStyle w:val="HTMLPreformatted"/>
        <w:jc w:val="center"/>
        <w:rPr>
          <w:rFonts w:ascii="Times New Roman" w:hAnsi="Times New Roman" w:cs="Times New Roman"/>
          <w:b/>
          <w:bCs/>
          <w:sz w:val="24"/>
          <w:szCs w:val="24"/>
        </w:rPr>
      </w:pPr>
    </w:p>
    <w:p w:rsidR="00041188" w:rsidP="00E7356F">
      <w:pPr>
        <w:pStyle w:val="HTMLPreformatted"/>
        <w:jc w:val="center"/>
        <w:rPr>
          <w:rFonts w:ascii="Times New Roman" w:hAnsi="Times New Roman" w:cs="Times New Roman"/>
          <w:b/>
          <w:bCs/>
          <w:sz w:val="24"/>
          <w:szCs w:val="24"/>
        </w:rPr>
      </w:pPr>
    </w:p>
    <w:p w:rsidR="00041188" w:rsidP="00E7356F">
      <w:pPr>
        <w:pStyle w:val="HTMLPreformatted"/>
        <w:jc w:val="center"/>
        <w:rPr>
          <w:rFonts w:ascii="Times New Roman" w:hAnsi="Times New Roman" w:cs="Times New Roman"/>
          <w:b/>
          <w:bCs/>
          <w:sz w:val="24"/>
          <w:szCs w:val="24"/>
        </w:rPr>
      </w:pPr>
    </w:p>
    <w:p w:rsidR="00041188" w:rsidP="00041188">
      <w:pPr>
        <w:pStyle w:val="Footer"/>
        <w:tabs>
          <w:tab w:val="left" w:pos="4320"/>
          <w:tab w:val="clear" w:pos="8640"/>
        </w:tabs>
        <w:spacing w:before="240"/>
        <w:rPr>
          <w:sz w:val="24"/>
          <w:szCs w:val="24"/>
        </w:rPr>
      </w:pPr>
      <w:r>
        <w:rPr>
          <w:sz w:val="24"/>
          <w:szCs w:val="24"/>
        </w:rPr>
        <w:tab/>
      </w:r>
    </w:p>
    <w:p w:rsidR="00041188" w:rsidRPr="00025218" w:rsidP="00041188">
      <w:pPr>
        <w:pStyle w:val="Footer"/>
        <w:tabs>
          <w:tab w:val="left" w:pos="4320"/>
          <w:tab w:val="clear" w:pos="8640"/>
        </w:tabs>
        <w:spacing w:before="240"/>
        <w:rPr>
          <w:sz w:val="24"/>
          <w:szCs w:val="24"/>
        </w:rPr>
      </w:pPr>
      <w:r>
        <w:rPr>
          <w:sz w:val="24"/>
          <w:szCs w:val="24"/>
        </w:rPr>
        <w:tab/>
      </w:r>
      <w:r w:rsidRPr="00025218">
        <w:rPr>
          <w:sz w:val="24"/>
          <w:szCs w:val="24"/>
        </w:rPr>
        <w:t>Bruce Weston (#0016973)</w:t>
      </w:r>
    </w:p>
    <w:p w:rsidR="00041188" w:rsidRPr="00025218" w:rsidP="00041188">
      <w:pPr>
        <w:tabs>
          <w:tab w:val="left" w:pos="4320"/>
        </w:tabs>
        <w:rPr>
          <w:szCs w:val="24"/>
        </w:rPr>
      </w:pPr>
      <w:r w:rsidRPr="00025218">
        <w:rPr>
          <w:szCs w:val="24"/>
        </w:rPr>
        <w:tab/>
        <w:t>Ohio Consumers’ Counsel</w:t>
      </w:r>
    </w:p>
    <w:p w:rsidR="00041188" w:rsidRPr="00025218" w:rsidP="00041188">
      <w:pPr>
        <w:tabs>
          <w:tab w:val="left" w:pos="4320"/>
        </w:tabs>
        <w:rPr>
          <w:szCs w:val="24"/>
        </w:rPr>
      </w:pPr>
      <w:r w:rsidRPr="00025218">
        <w:rPr>
          <w:szCs w:val="24"/>
        </w:rPr>
        <w:tab/>
      </w:r>
    </w:p>
    <w:p w:rsidR="00041188" w:rsidRPr="00025218" w:rsidP="0044347E">
      <w:pPr>
        <w:tabs>
          <w:tab w:val="left" w:pos="4320"/>
        </w:tabs>
        <w:rPr>
          <w:szCs w:val="24"/>
        </w:rPr>
      </w:pPr>
      <w:r w:rsidRPr="00025218">
        <w:rPr>
          <w:szCs w:val="24"/>
        </w:rPr>
        <w:tab/>
        <w:t>Christopher Healey (0086027)</w:t>
      </w:r>
    </w:p>
    <w:p w:rsidR="00041188" w:rsidRPr="00025218" w:rsidP="0044347E">
      <w:pPr>
        <w:tabs>
          <w:tab w:val="left" w:pos="4320"/>
        </w:tabs>
        <w:rPr>
          <w:szCs w:val="24"/>
        </w:rPr>
      </w:pPr>
      <w:r w:rsidRPr="00025218">
        <w:rPr>
          <w:szCs w:val="24"/>
        </w:rPr>
        <w:tab/>
        <w:t>Counsel of Record</w:t>
      </w:r>
    </w:p>
    <w:p w:rsidR="00041188" w:rsidRPr="00025218" w:rsidP="0044347E">
      <w:pPr>
        <w:tabs>
          <w:tab w:val="left" w:pos="4320"/>
        </w:tabs>
        <w:rPr>
          <w:szCs w:val="24"/>
        </w:rPr>
      </w:pPr>
      <w:r w:rsidRPr="00025218">
        <w:rPr>
          <w:szCs w:val="24"/>
        </w:rPr>
        <w:tab/>
        <w:t>Ambrosia E. Wilson (0096598)</w:t>
      </w:r>
    </w:p>
    <w:p w:rsidR="00041188" w:rsidRPr="00025218" w:rsidP="0044347E">
      <w:pPr>
        <w:tabs>
          <w:tab w:val="left" w:pos="4320"/>
        </w:tabs>
        <w:rPr>
          <w:szCs w:val="24"/>
        </w:rPr>
      </w:pPr>
      <w:r w:rsidRPr="00025218">
        <w:rPr>
          <w:szCs w:val="24"/>
        </w:rPr>
        <w:tab/>
        <w:t>Assistant Consumers’ Counsel</w:t>
      </w:r>
    </w:p>
    <w:p w:rsidR="00041188" w:rsidRPr="00025218" w:rsidP="0044347E">
      <w:pPr>
        <w:pStyle w:val="Heading1"/>
        <w:spacing w:after="0"/>
      </w:pPr>
      <w:r w:rsidRPr="00025218">
        <w:tab/>
      </w:r>
    </w:p>
    <w:p w:rsidR="00041188" w:rsidRPr="003F404A" w:rsidP="0044347E">
      <w:pPr>
        <w:ind w:left="3780"/>
        <w:rPr>
          <w:b/>
          <w:bCs/>
        </w:rPr>
      </w:pPr>
      <w:r w:rsidRPr="00025218">
        <w:tab/>
      </w:r>
      <w:r w:rsidRPr="003F404A">
        <w:rPr>
          <w:b/>
          <w:bCs/>
        </w:rPr>
        <w:t>Office of the Ohio Consumers’ Counsel</w:t>
      </w:r>
    </w:p>
    <w:p w:rsidR="00041188" w:rsidRPr="00025218" w:rsidP="0044347E">
      <w:pPr>
        <w:ind w:left="3780"/>
        <w:rPr>
          <w:b/>
        </w:rPr>
      </w:pPr>
      <w:r w:rsidRPr="00025218">
        <w:tab/>
        <w:t>65 East State Street, 7th Floor</w:t>
      </w:r>
    </w:p>
    <w:p w:rsidR="00041188" w:rsidRPr="00025218" w:rsidP="003F404A">
      <w:pPr>
        <w:ind w:left="3780"/>
        <w:rPr>
          <w:b/>
        </w:rPr>
      </w:pPr>
      <w:r w:rsidRPr="00025218">
        <w:tab/>
        <w:t>Columbus, Ohio 43215</w:t>
      </w:r>
    </w:p>
    <w:p w:rsidR="00041188" w:rsidRPr="00025218" w:rsidP="00041188">
      <w:pPr>
        <w:autoSpaceDE w:val="0"/>
        <w:autoSpaceDN w:val="0"/>
        <w:adjustRightInd w:val="0"/>
        <w:ind w:left="3600" w:firstLine="720"/>
        <w:rPr>
          <w:szCs w:val="24"/>
        </w:rPr>
      </w:pPr>
      <w:r w:rsidRPr="00025218">
        <w:rPr>
          <w:szCs w:val="24"/>
        </w:rPr>
        <w:t>Telephone [Healey]: (614) 466-9571</w:t>
      </w:r>
    </w:p>
    <w:p w:rsidR="00041188" w:rsidRPr="00025218" w:rsidP="00041188">
      <w:pPr>
        <w:autoSpaceDE w:val="0"/>
        <w:autoSpaceDN w:val="0"/>
        <w:adjustRightInd w:val="0"/>
        <w:ind w:left="3600" w:firstLine="720"/>
        <w:rPr>
          <w:szCs w:val="24"/>
        </w:rPr>
      </w:pPr>
      <w:r w:rsidRPr="00025218">
        <w:rPr>
          <w:szCs w:val="24"/>
        </w:rPr>
        <w:t>Telephone [Wilson]: (614) 466-1292</w:t>
      </w:r>
    </w:p>
    <w:p w:rsidR="00041188" w:rsidRPr="00025218" w:rsidP="00041188">
      <w:pPr>
        <w:rPr>
          <w:szCs w:val="24"/>
        </w:rPr>
      </w:pPr>
      <w:r w:rsidRPr="00025218">
        <w:rPr>
          <w:szCs w:val="24"/>
        </w:rPr>
        <w:tab/>
      </w:r>
      <w:r w:rsidRPr="00025218">
        <w:rPr>
          <w:szCs w:val="24"/>
        </w:rPr>
        <w:tab/>
      </w:r>
      <w:r w:rsidRPr="00025218">
        <w:rPr>
          <w:szCs w:val="24"/>
        </w:rPr>
        <w:tab/>
      </w:r>
      <w:r w:rsidRPr="00025218">
        <w:rPr>
          <w:szCs w:val="24"/>
        </w:rPr>
        <w:tab/>
      </w:r>
      <w:r w:rsidRPr="00025218">
        <w:rPr>
          <w:szCs w:val="24"/>
        </w:rPr>
        <w:tab/>
      </w:r>
      <w:r w:rsidRPr="00025218">
        <w:rPr>
          <w:szCs w:val="24"/>
        </w:rPr>
        <w:tab/>
      </w:r>
      <w:hyperlink r:id="rId6" w:history="1">
        <w:r w:rsidRPr="00025218">
          <w:rPr>
            <w:rStyle w:val="Hyperlink"/>
            <w:szCs w:val="24"/>
          </w:rPr>
          <w:t>Christopher.healey@occ.ohio.gov</w:t>
        </w:r>
      </w:hyperlink>
      <w:r w:rsidRPr="00025218">
        <w:rPr>
          <w:szCs w:val="24"/>
        </w:rPr>
        <w:t xml:space="preserve"> </w:t>
      </w:r>
    </w:p>
    <w:p w:rsidR="00041188" w:rsidRPr="00025218" w:rsidP="00041188">
      <w:pPr>
        <w:rPr>
          <w:szCs w:val="24"/>
        </w:rPr>
      </w:pPr>
      <w:r w:rsidRPr="00025218">
        <w:rPr>
          <w:szCs w:val="24"/>
        </w:rPr>
        <w:tab/>
      </w:r>
      <w:r w:rsidRPr="00025218">
        <w:rPr>
          <w:szCs w:val="24"/>
        </w:rPr>
        <w:tab/>
      </w:r>
      <w:r w:rsidRPr="00025218">
        <w:rPr>
          <w:szCs w:val="24"/>
        </w:rPr>
        <w:tab/>
      </w:r>
      <w:r w:rsidRPr="00025218">
        <w:rPr>
          <w:szCs w:val="24"/>
        </w:rPr>
        <w:tab/>
      </w:r>
      <w:r w:rsidRPr="00025218">
        <w:rPr>
          <w:szCs w:val="24"/>
        </w:rPr>
        <w:tab/>
      </w:r>
      <w:r w:rsidRPr="00025218">
        <w:rPr>
          <w:szCs w:val="24"/>
        </w:rPr>
        <w:tab/>
      </w:r>
      <w:hyperlink r:id="rId7" w:history="1">
        <w:r w:rsidRPr="00025218">
          <w:rPr>
            <w:rStyle w:val="Hyperlink"/>
            <w:szCs w:val="24"/>
          </w:rPr>
          <w:t>Ambrosia.wilson@occ.ohio.gov</w:t>
        </w:r>
      </w:hyperlink>
    </w:p>
    <w:p w:rsidR="00041188" w:rsidP="00041188">
      <w:pPr>
        <w:rPr>
          <w:szCs w:val="24"/>
        </w:rPr>
      </w:pPr>
      <w:r>
        <w:rPr>
          <w:szCs w:val="24"/>
        </w:rPr>
        <w:t>November 9, 2020</w:t>
      </w:r>
      <w:r>
        <w:rPr>
          <w:szCs w:val="24"/>
        </w:rPr>
        <w:tab/>
      </w:r>
      <w:r>
        <w:rPr>
          <w:szCs w:val="24"/>
        </w:rPr>
        <w:tab/>
      </w:r>
      <w:r>
        <w:rPr>
          <w:szCs w:val="24"/>
        </w:rPr>
        <w:tab/>
      </w:r>
      <w:r>
        <w:rPr>
          <w:szCs w:val="24"/>
        </w:rPr>
        <w:tab/>
      </w:r>
      <w:r w:rsidRPr="00025218">
        <w:rPr>
          <w:szCs w:val="24"/>
        </w:rPr>
        <w:t>(willing to accept service by e-mail)</w:t>
      </w:r>
    </w:p>
    <w:p w:rsidR="00041188" w:rsidP="00041188">
      <w:pPr>
        <w:rPr>
          <w:szCs w:val="24"/>
        </w:rPr>
      </w:pPr>
    </w:p>
    <w:p w:rsidR="00610F66" w:rsidP="00041188">
      <w:pPr>
        <w:rPr>
          <w:szCs w:val="24"/>
        </w:rPr>
        <w:sectPr w:rsidSect="002002F8">
          <w:footerReference w:type="default" r:id="rId8"/>
          <w:footerReference w:type="first" r:id="rId9"/>
          <w:pgSz w:w="12240" w:h="15840"/>
          <w:pgMar w:top="1440" w:right="1440" w:bottom="1440" w:left="1440" w:header="720" w:footer="720" w:gutter="0"/>
          <w:pgNumType w:start="1"/>
          <w:cols w:space="720"/>
          <w:titlePg/>
          <w:docGrid w:linePitch="326"/>
        </w:sectPr>
      </w:pPr>
    </w:p>
    <w:p w:rsidR="00041188" w:rsidRPr="00041188" w:rsidP="00041188">
      <w:pPr>
        <w:pStyle w:val="HTMLPreformatted"/>
        <w:jc w:val="center"/>
        <w:rPr>
          <w:rFonts w:ascii="Times New Roman" w:hAnsi="Times New Roman" w:cs="Times New Roman"/>
          <w:b/>
          <w:bCs/>
          <w:sz w:val="24"/>
          <w:szCs w:val="24"/>
          <w:u w:val="single"/>
        </w:rPr>
      </w:pPr>
      <w:r w:rsidRPr="00041188">
        <w:rPr>
          <w:rFonts w:ascii="Times New Roman" w:hAnsi="Times New Roman" w:cs="Times New Roman"/>
          <w:b/>
          <w:bCs/>
          <w:sz w:val="24"/>
          <w:szCs w:val="24"/>
          <w:u w:val="single"/>
        </w:rPr>
        <w:t>TABLE OF CONTENTS</w:t>
      </w:r>
    </w:p>
    <w:p w:rsidR="00041188" w:rsidP="00041188">
      <w:pPr>
        <w:pStyle w:val="HTMLPreformatted"/>
        <w:rPr>
          <w:rFonts w:ascii="Times New Roman" w:hAnsi="Times New Roman" w:cs="Times New Roman"/>
          <w:b/>
          <w:bCs/>
          <w:sz w:val="24"/>
          <w:szCs w:val="24"/>
        </w:rPr>
      </w:pPr>
    </w:p>
    <w:p w:rsidR="00041188" w:rsidP="00041188">
      <w:pPr>
        <w:pStyle w:val="HTMLPreformatted"/>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10F66">
        <w:rPr>
          <w:rFonts w:ascii="Times New Roman" w:hAnsi="Times New Roman" w:cs="Times New Roman"/>
          <w:b/>
          <w:bCs/>
          <w:sz w:val="24"/>
          <w:szCs w:val="24"/>
        </w:rPr>
        <w:t xml:space="preserve">       </w:t>
      </w:r>
      <w:r>
        <w:rPr>
          <w:rFonts w:ascii="Times New Roman" w:hAnsi="Times New Roman" w:cs="Times New Roman"/>
          <w:b/>
          <w:bCs/>
          <w:sz w:val="24"/>
          <w:szCs w:val="24"/>
        </w:rPr>
        <w:t>PAGE</w:t>
      </w:r>
    </w:p>
    <w:p w:rsidR="00041188" w:rsidP="00041188">
      <w:pPr>
        <w:pStyle w:val="HTMLPreformatted"/>
        <w:rPr>
          <w:rFonts w:ascii="Times New Roman" w:hAnsi="Times New Roman" w:cs="Times New Roman"/>
          <w:b/>
          <w:bCs/>
          <w:sz w:val="24"/>
          <w:szCs w:val="24"/>
        </w:rPr>
      </w:pPr>
    </w:p>
    <w:p w:rsidR="00CF7824">
      <w:pPr>
        <w:pStyle w:val="TOC1"/>
        <w:rPr>
          <w:rFonts w:asciiTheme="minorHAnsi" w:eastAsiaTheme="minorEastAsia" w:hAnsiTheme="minorHAnsi" w:cstheme="minorBidi"/>
          <w:caps w:val="0"/>
          <w:noProof/>
          <w:sz w:val="22"/>
          <w:szCs w:val="22"/>
        </w:rPr>
      </w:pPr>
      <w:r>
        <w:rPr>
          <w:b/>
          <w:bCs/>
          <w:szCs w:val="24"/>
        </w:rPr>
        <w:fldChar w:fldCharType="begin"/>
      </w:r>
      <w:r>
        <w:rPr>
          <w:b/>
          <w:bCs/>
          <w:szCs w:val="24"/>
        </w:rPr>
        <w:instrText xml:space="preserve"> TOC \o "1-2" \h \z \u </w:instrText>
      </w:r>
      <w:r>
        <w:rPr>
          <w:b/>
          <w:bCs/>
          <w:szCs w:val="24"/>
        </w:rPr>
        <w:fldChar w:fldCharType="separate"/>
      </w:r>
      <w:hyperlink w:anchor="_Toc55828280" w:history="1">
        <w:r w:rsidRPr="007E6C6D">
          <w:rPr>
            <w:rStyle w:val="Hyperlink"/>
            <w:noProof/>
          </w:rPr>
          <w:t>I.</w:t>
        </w:r>
        <w:r>
          <w:rPr>
            <w:rFonts w:asciiTheme="minorHAnsi" w:eastAsiaTheme="minorEastAsia" w:hAnsiTheme="minorHAnsi" w:cstheme="minorBidi"/>
            <w:caps w:val="0"/>
            <w:noProof/>
            <w:sz w:val="22"/>
            <w:szCs w:val="22"/>
          </w:rPr>
          <w:tab/>
        </w:r>
        <w:r w:rsidRPr="007E6C6D">
          <w:rPr>
            <w:rStyle w:val="Hyperlink"/>
            <w:noProof/>
          </w:rPr>
          <w:t>INTRODUCTION</w:t>
        </w:r>
        <w:r>
          <w:rPr>
            <w:noProof/>
            <w:webHidden/>
          </w:rPr>
          <w:tab/>
        </w:r>
        <w:r>
          <w:rPr>
            <w:noProof/>
            <w:webHidden/>
          </w:rPr>
          <w:fldChar w:fldCharType="begin"/>
        </w:r>
        <w:r>
          <w:rPr>
            <w:noProof/>
            <w:webHidden/>
          </w:rPr>
          <w:instrText xml:space="preserve"> PAGEREF _Toc55828280 \h </w:instrText>
        </w:r>
        <w:r>
          <w:rPr>
            <w:noProof/>
            <w:webHidden/>
          </w:rPr>
          <w:fldChar w:fldCharType="separate"/>
        </w:r>
        <w:r>
          <w:rPr>
            <w:noProof/>
            <w:webHidden/>
          </w:rPr>
          <w:t>i</w:t>
        </w:r>
        <w:r>
          <w:rPr>
            <w:noProof/>
            <w:webHidden/>
          </w:rPr>
          <w:fldChar w:fldCharType="end"/>
        </w:r>
      </w:hyperlink>
    </w:p>
    <w:p w:rsidR="00CF7824">
      <w:pPr>
        <w:pStyle w:val="TOC1"/>
        <w:rPr>
          <w:rFonts w:asciiTheme="minorHAnsi" w:eastAsiaTheme="minorEastAsia" w:hAnsiTheme="minorHAnsi" w:cstheme="minorBidi"/>
          <w:caps w:val="0"/>
          <w:noProof/>
          <w:sz w:val="22"/>
          <w:szCs w:val="22"/>
        </w:rPr>
      </w:pPr>
      <w:hyperlink w:anchor="_Toc55828281" w:history="1">
        <w:r w:rsidRPr="007E6C6D" w:rsidR="0044347E">
          <w:rPr>
            <w:rStyle w:val="Hyperlink"/>
            <w:noProof/>
          </w:rPr>
          <w:t>II.</w:t>
        </w:r>
        <w:r w:rsidR="0044347E">
          <w:rPr>
            <w:rFonts w:asciiTheme="minorHAnsi" w:eastAsiaTheme="minorEastAsia" w:hAnsiTheme="minorHAnsi" w:cstheme="minorBidi"/>
            <w:caps w:val="0"/>
            <w:noProof/>
            <w:sz w:val="22"/>
            <w:szCs w:val="22"/>
          </w:rPr>
          <w:tab/>
        </w:r>
        <w:r w:rsidRPr="007E6C6D" w:rsidR="0044347E">
          <w:rPr>
            <w:rStyle w:val="Hyperlink"/>
            <w:noProof/>
          </w:rPr>
          <w:t>RECOMMENDATIONS</w:t>
        </w:r>
        <w:r w:rsidR="0044347E">
          <w:rPr>
            <w:noProof/>
            <w:webHidden/>
          </w:rPr>
          <w:tab/>
        </w:r>
        <w:r w:rsidR="0044347E">
          <w:rPr>
            <w:noProof/>
            <w:webHidden/>
          </w:rPr>
          <w:fldChar w:fldCharType="begin"/>
        </w:r>
        <w:r w:rsidR="0044347E">
          <w:rPr>
            <w:noProof/>
            <w:webHidden/>
          </w:rPr>
          <w:instrText xml:space="preserve"> PAGEREF _Toc55828281 \h </w:instrText>
        </w:r>
        <w:r w:rsidR="0044347E">
          <w:rPr>
            <w:noProof/>
            <w:webHidden/>
          </w:rPr>
          <w:fldChar w:fldCharType="separate"/>
        </w:r>
        <w:r w:rsidR="0044347E">
          <w:rPr>
            <w:noProof/>
            <w:webHidden/>
          </w:rPr>
          <w:t>3</w:t>
        </w:r>
        <w:r w:rsidR="0044347E">
          <w:rPr>
            <w:noProof/>
            <w:webHidden/>
          </w:rPr>
          <w:fldChar w:fldCharType="end"/>
        </w:r>
      </w:hyperlink>
    </w:p>
    <w:p w:rsidR="00CF7824">
      <w:pPr>
        <w:pStyle w:val="TOC2"/>
        <w:tabs>
          <w:tab w:val="left" w:pos="1440"/>
        </w:tabs>
        <w:rPr>
          <w:rFonts w:asciiTheme="minorHAnsi" w:eastAsiaTheme="minorEastAsia" w:hAnsiTheme="minorHAnsi" w:cstheme="minorBidi"/>
          <w:noProof/>
          <w:sz w:val="22"/>
          <w:szCs w:val="22"/>
        </w:rPr>
      </w:pPr>
      <w:hyperlink w:anchor="_Toc55828282" w:history="1">
        <w:r w:rsidRPr="007E6C6D" w:rsidR="0044347E">
          <w:rPr>
            <w:rStyle w:val="Hyperlink"/>
            <w:noProof/>
          </w:rPr>
          <w:t>A.</w:t>
        </w:r>
        <w:r w:rsidR="0044347E">
          <w:rPr>
            <w:rFonts w:asciiTheme="minorHAnsi" w:eastAsiaTheme="minorEastAsia" w:hAnsiTheme="minorHAnsi" w:cstheme="minorBidi"/>
            <w:noProof/>
            <w:sz w:val="22"/>
            <w:szCs w:val="22"/>
          </w:rPr>
          <w:tab/>
        </w:r>
        <w:r w:rsidRPr="007E6C6D" w:rsidR="0044347E">
          <w:rPr>
            <w:rStyle w:val="Hyperlink"/>
            <w:noProof/>
          </w:rPr>
          <w:t>The state’s energy efficiency rules (relied upon by Duke) do not apply to (or allow for) Duke’s request for non-mandated energy efficiency programs.</w:t>
        </w:r>
        <w:r w:rsidR="0044347E">
          <w:rPr>
            <w:noProof/>
            <w:webHidden/>
          </w:rPr>
          <w:tab/>
        </w:r>
        <w:r w:rsidR="0044347E">
          <w:rPr>
            <w:noProof/>
            <w:webHidden/>
          </w:rPr>
          <w:fldChar w:fldCharType="begin"/>
        </w:r>
        <w:r w:rsidR="0044347E">
          <w:rPr>
            <w:noProof/>
            <w:webHidden/>
          </w:rPr>
          <w:instrText xml:space="preserve"> PAGEREF _Toc55828282 \h </w:instrText>
        </w:r>
        <w:r w:rsidR="0044347E">
          <w:rPr>
            <w:noProof/>
            <w:webHidden/>
          </w:rPr>
          <w:fldChar w:fldCharType="separate"/>
        </w:r>
        <w:r w:rsidR="0044347E">
          <w:rPr>
            <w:noProof/>
            <w:webHidden/>
          </w:rPr>
          <w:t>3</w:t>
        </w:r>
        <w:r w:rsidR="0044347E">
          <w:rPr>
            <w:noProof/>
            <w:webHidden/>
          </w:rPr>
          <w:fldChar w:fldCharType="end"/>
        </w:r>
      </w:hyperlink>
    </w:p>
    <w:p w:rsidR="00CF7824">
      <w:pPr>
        <w:pStyle w:val="TOC2"/>
        <w:tabs>
          <w:tab w:val="left" w:pos="1440"/>
        </w:tabs>
        <w:rPr>
          <w:rFonts w:asciiTheme="minorHAnsi" w:eastAsiaTheme="minorEastAsia" w:hAnsiTheme="minorHAnsi" w:cstheme="minorBidi"/>
          <w:noProof/>
          <w:sz w:val="22"/>
          <w:szCs w:val="22"/>
        </w:rPr>
      </w:pPr>
      <w:hyperlink w:anchor="_Toc55828283" w:history="1">
        <w:r w:rsidRPr="007E6C6D" w:rsidR="0044347E">
          <w:rPr>
            <w:rStyle w:val="Hyperlink"/>
            <w:noProof/>
          </w:rPr>
          <w:t>B.</w:t>
        </w:r>
        <w:r w:rsidR="0044347E">
          <w:rPr>
            <w:rFonts w:asciiTheme="minorHAnsi" w:eastAsiaTheme="minorEastAsia" w:hAnsiTheme="minorHAnsi" w:cstheme="minorBidi"/>
            <w:noProof/>
            <w:sz w:val="22"/>
            <w:szCs w:val="22"/>
          </w:rPr>
          <w:tab/>
        </w:r>
        <w:r w:rsidRPr="007E6C6D" w:rsidR="0044347E">
          <w:rPr>
            <w:rStyle w:val="Hyperlink"/>
            <w:noProof/>
          </w:rPr>
          <w:t>The PUCO lacks statutory authority to approve a new charge to customers under Duke’s proposed new energy efficiency rider (and Duke’s application should be suspended if not outright denied).</w:t>
        </w:r>
        <w:r w:rsidR="0044347E">
          <w:rPr>
            <w:noProof/>
            <w:webHidden/>
          </w:rPr>
          <w:tab/>
        </w:r>
        <w:r w:rsidR="0044347E">
          <w:rPr>
            <w:noProof/>
            <w:webHidden/>
          </w:rPr>
          <w:fldChar w:fldCharType="begin"/>
        </w:r>
        <w:r w:rsidR="0044347E">
          <w:rPr>
            <w:noProof/>
            <w:webHidden/>
          </w:rPr>
          <w:instrText xml:space="preserve"> PAGEREF _Toc55828283 \h </w:instrText>
        </w:r>
        <w:r w:rsidR="0044347E">
          <w:rPr>
            <w:noProof/>
            <w:webHidden/>
          </w:rPr>
          <w:fldChar w:fldCharType="separate"/>
        </w:r>
        <w:r w:rsidR="0044347E">
          <w:rPr>
            <w:noProof/>
            <w:webHidden/>
          </w:rPr>
          <w:t>4</w:t>
        </w:r>
        <w:r w:rsidR="0044347E">
          <w:rPr>
            <w:noProof/>
            <w:webHidden/>
          </w:rPr>
          <w:fldChar w:fldCharType="end"/>
        </w:r>
      </w:hyperlink>
    </w:p>
    <w:p w:rsidR="00CF7824">
      <w:pPr>
        <w:pStyle w:val="TOC2"/>
        <w:tabs>
          <w:tab w:val="left" w:pos="1440"/>
        </w:tabs>
        <w:rPr>
          <w:rFonts w:asciiTheme="minorHAnsi" w:eastAsiaTheme="minorEastAsia" w:hAnsiTheme="minorHAnsi" w:cstheme="minorBidi"/>
          <w:noProof/>
          <w:sz w:val="22"/>
          <w:szCs w:val="22"/>
        </w:rPr>
      </w:pPr>
      <w:hyperlink w:anchor="_Toc55828284" w:history="1">
        <w:r w:rsidRPr="007E6C6D" w:rsidR="0044347E">
          <w:rPr>
            <w:rStyle w:val="Hyperlink"/>
            <w:noProof/>
          </w:rPr>
          <w:t>C.</w:t>
        </w:r>
        <w:r w:rsidR="0044347E">
          <w:rPr>
            <w:rFonts w:asciiTheme="minorHAnsi" w:eastAsiaTheme="minorEastAsia" w:hAnsiTheme="minorHAnsi" w:cstheme="minorBidi"/>
            <w:noProof/>
            <w:sz w:val="22"/>
            <w:szCs w:val="22"/>
          </w:rPr>
          <w:tab/>
        </w:r>
        <w:r w:rsidRPr="007E6C6D" w:rsidR="0044347E">
          <w:rPr>
            <w:rStyle w:val="Hyperlink"/>
            <w:noProof/>
          </w:rPr>
          <w:t>The PUCO should reject Duke’s proposal to charge customers for utility profits on non-mandated energy efficiency programs.</w:t>
        </w:r>
        <w:r w:rsidR="0044347E">
          <w:rPr>
            <w:noProof/>
            <w:webHidden/>
          </w:rPr>
          <w:tab/>
        </w:r>
        <w:r w:rsidR="0044347E">
          <w:rPr>
            <w:noProof/>
            <w:webHidden/>
          </w:rPr>
          <w:fldChar w:fldCharType="begin"/>
        </w:r>
        <w:r w:rsidR="0044347E">
          <w:rPr>
            <w:noProof/>
            <w:webHidden/>
          </w:rPr>
          <w:instrText xml:space="preserve"> PAGEREF _Toc55828284 \h </w:instrText>
        </w:r>
        <w:r w:rsidR="0044347E">
          <w:rPr>
            <w:noProof/>
            <w:webHidden/>
          </w:rPr>
          <w:fldChar w:fldCharType="separate"/>
        </w:r>
        <w:r w:rsidR="0044347E">
          <w:rPr>
            <w:noProof/>
            <w:webHidden/>
          </w:rPr>
          <w:t>6</w:t>
        </w:r>
        <w:r w:rsidR="0044347E">
          <w:rPr>
            <w:noProof/>
            <w:webHidden/>
          </w:rPr>
          <w:fldChar w:fldCharType="end"/>
        </w:r>
      </w:hyperlink>
    </w:p>
    <w:p w:rsidR="00CF7824">
      <w:pPr>
        <w:pStyle w:val="TOC2"/>
        <w:tabs>
          <w:tab w:val="left" w:pos="1440"/>
        </w:tabs>
        <w:rPr>
          <w:rFonts w:asciiTheme="minorHAnsi" w:eastAsiaTheme="minorEastAsia" w:hAnsiTheme="minorHAnsi" w:cstheme="minorBidi"/>
          <w:noProof/>
          <w:sz w:val="22"/>
          <w:szCs w:val="22"/>
        </w:rPr>
      </w:pPr>
      <w:hyperlink w:anchor="_Toc55828285" w:history="1">
        <w:r w:rsidRPr="007E6C6D" w:rsidR="0044347E">
          <w:rPr>
            <w:rStyle w:val="Hyperlink"/>
            <w:noProof/>
          </w:rPr>
          <w:t>D.</w:t>
        </w:r>
        <w:r w:rsidR="0044347E">
          <w:rPr>
            <w:rFonts w:asciiTheme="minorHAnsi" w:eastAsiaTheme="minorEastAsia" w:hAnsiTheme="minorHAnsi" w:cstheme="minorBidi"/>
            <w:noProof/>
            <w:sz w:val="22"/>
            <w:szCs w:val="22"/>
          </w:rPr>
          <w:tab/>
        </w:r>
        <w:r w:rsidRPr="007E6C6D" w:rsidR="0044347E">
          <w:rPr>
            <w:rStyle w:val="Hyperlink"/>
            <w:noProof/>
          </w:rPr>
          <w:t>A better use of consumer (and utility) funds during and after the coronavirus pandemic and financial emergency is for bill payment assistance to keep Ohioans (many of whom are desperate for money) connected to utility services and to enable other uses of their money such as for food and housing.</w:t>
        </w:r>
        <w:r w:rsidR="0044347E">
          <w:rPr>
            <w:noProof/>
            <w:webHidden/>
          </w:rPr>
          <w:tab/>
        </w:r>
        <w:r w:rsidR="0044347E">
          <w:rPr>
            <w:noProof/>
            <w:webHidden/>
          </w:rPr>
          <w:fldChar w:fldCharType="begin"/>
        </w:r>
        <w:r w:rsidR="0044347E">
          <w:rPr>
            <w:noProof/>
            <w:webHidden/>
          </w:rPr>
          <w:instrText xml:space="preserve"> PAGEREF _Toc55828285 \h </w:instrText>
        </w:r>
        <w:r w:rsidR="0044347E">
          <w:rPr>
            <w:noProof/>
            <w:webHidden/>
          </w:rPr>
          <w:fldChar w:fldCharType="separate"/>
        </w:r>
        <w:r w:rsidR="0044347E">
          <w:rPr>
            <w:noProof/>
            <w:webHidden/>
          </w:rPr>
          <w:t>8</w:t>
        </w:r>
        <w:r w:rsidR="0044347E">
          <w:rPr>
            <w:noProof/>
            <w:webHidden/>
          </w:rPr>
          <w:fldChar w:fldCharType="end"/>
        </w:r>
      </w:hyperlink>
    </w:p>
    <w:p w:rsidR="00CF7824">
      <w:pPr>
        <w:pStyle w:val="TOC2"/>
        <w:tabs>
          <w:tab w:val="left" w:pos="1440"/>
        </w:tabs>
        <w:rPr>
          <w:rFonts w:asciiTheme="minorHAnsi" w:eastAsiaTheme="minorEastAsia" w:hAnsiTheme="minorHAnsi" w:cstheme="minorBidi"/>
          <w:noProof/>
          <w:sz w:val="22"/>
          <w:szCs w:val="22"/>
        </w:rPr>
      </w:pPr>
      <w:hyperlink w:anchor="_Toc55828286" w:history="1">
        <w:r w:rsidRPr="007E6C6D" w:rsidR="0044347E">
          <w:rPr>
            <w:rStyle w:val="Hyperlink"/>
            <w:noProof/>
          </w:rPr>
          <w:t>E.</w:t>
        </w:r>
        <w:r w:rsidR="0044347E">
          <w:rPr>
            <w:rFonts w:asciiTheme="minorHAnsi" w:eastAsiaTheme="minorEastAsia" w:hAnsiTheme="minorHAnsi" w:cstheme="minorBidi"/>
            <w:noProof/>
            <w:sz w:val="22"/>
            <w:szCs w:val="22"/>
          </w:rPr>
          <w:tab/>
        </w:r>
        <w:r w:rsidRPr="007E6C6D" w:rsidR="0044347E">
          <w:rPr>
            <w:rStyle w:val="Hyperlink"/>
            <w:noProof/>
          </w:rPr>
          <w:t>If the PUCO does approve the unlawful charges to customers for utility profits (which it shouldn’t), there should be an annual limit on such charges.</w:t>
        </w:r>
        <w:r w:rsidR="0044347E">
          <w:rPr>
            <w:noProof/>
            <w:webHidden/>
          </w:rPr>
          <w:tab/>
        </w:r>
        <w:r w:rsidR="0044347E">
          <w:rPr>
            <w:noProof/>
            <w:webHidden/>
          </w:rPr>
          <w:fldChar w:fldCharType="begin"/>
        </w:r>
        <w:r w:rsidR="0044347E">
          <w:rPr>
            <w:noProof/>
            <w:webHidden/>
          </w:rPr>
          <w:instrText xml:space="preserve"> PAGEREF _Toc55828286 \h </w:instrText>
        </w:r>
        <w:r w:rsidR="0044347E">
          <w:rPr>
            <w:noProof/>
            <w:webHidden/>
          </w:rPr>
          <w:fldChar w:fldCharType="separate"/>
        </w:r>
        <w:r w:rsidR="0044347E">
          <w:rPr>
            <w:noProof/>
            <w:webHidden/>
          </w:rPr>
          <w:t>9</w:t>
        </w:r>
        <w:r w:rsidR="0044347E">
          <w:rPr>
            <w:noProof/>
            <w:webHidden/>
          </w:rPr>
          <w:fldChar w:fldCharType="end"/>
        </w:r>
      </w:hyperlink>
    </w:p>
    <w:p w:rsidR="00CF7824">
      <w:pPr>
        <w:pStyle w:val="TOC2"/>
        <w:tabs>
          <w:tab w:val="left" w:pos="1440"/>
        </w:tabs>
        <w:rPr>
          <w:rFonts w:asciiTheme="minorHAnsi" w:eastAsiaTheme="minorEastAsia" w:hAnsiTheme="minorHAnsi" w:cstheme="minorBidi"/>
          <w:noProof/>
          <w:sz w:val="22"/>
          <w:szCs w:val="22"/>
        </w:rPr>
      </w:pPr>
      <w:hyperlink w:anchor="_Toc55828287" w:history="1">
        <w:r w:rsidRPr="007E6C6D" w:rsidR="0044347E">
          <w:rPr>
            <w:rStyle w:val="Hyperlink"/>
            <w:noProof/>
          </w:rPr>
          <w:t>F.</w:t>
        </w:r>
        <w:r w:rsidR="0044347E">
          <w:rPr>
            <w:rFonts w:asciiTheme="minorHAnsi" w:eastAsiaTheme="minorEastAsia" w:hAnsiTheme="minorHAnsi" w:cstheme="minorBidi"/>
            <w:noProof/>
            <w:sz w:val="22"/>
            <w:szCs w:val="22"/>
          </w:rPr>
          <w:tab/>
        </w:r>
        <w:r w:rsidRPr="007E6C6D" w:rsidR="0044347E">
          <w:rPr>
            <w:rStyle w:val="Hyperlink"/>
            <w:noProof/>
          </w:rPr>
          <w:t>If the PUCO approves Duke’s proposed unlawful rider charge, the PUCO should at least set clear boundaries on the types of costs that can be included in charges to customers for energy efficiency.</w:t>
        </w:r>
        <w:r w:rsidR="0044347E">
          <w:rPr>
            <w:noProof/>
            <w:webHidden/>
          </w:rPr>
          <w:tab/>
        </w:r>
        <w:r w:rsidR="0044347E">
          <w:rPr>
            <w:noProof/>
            <w:webHidden/>
          </w:rPr>
          <w:fldChar w:fldCharType="begin"/>
        </w:r>
        <w:r w:rsidR="0044347E">
          <w:rPr>
            <w:noProof/>
            <w:webHidden/>
          </w:rPr>
          <w:instrText xml:space="preserve"> PAGEREF _Toc55828287 \h </w:instrText>
        </w:r>
        <w:r w:rsidR="0044347E">
          <w:rPr>
            <w:noProof/>
            <w:webHidden/>
          </w:rPr>
          <w:fldChar w:fldCharType="separate"/>
        </w:r>
        <w:r w:rsidR="0044347E">
          <w:rPr>
            <w:noProof/>
            <w:webHidden/>
          </w:rPr>
          <w:t>10</w:t>
        </w:r>
        <w:r w:rsidR="0044347E">
          <w:rPr>
            <w:noProof/>
            <w:webHidden/>
          </w:rPr>
          <w:fldChar w:fldCharType="end"/>
        </w:r>
      </w:hyperlink>
    </w:p>
    <w:p w:rsidR="00CF7824">
      <w:pPr>
        <w:pStyle w:val="TOC2"/>
        <w:tabs>
          <w:tab w:val="left" w:pos="1440"/>
        </w:tabs>
        <w:rPr>
          <w:rFonts w:asciiTheme="minorHAnsi" w:eastAsiaTheme="minorEastAsia" w:hAnsiTheme="minorHAnsi" w:cstheme="minorBidi"/>
          <w:noProof/>
          <w:sz w:val="22"/>
          <w:szCs w:val="22"/>
        </w:rPr>
      </w:pPr>
      <w:hyperlink w:anchor="_Toc55828288" w:history="1">
        <w:r w:rsidRPr="007E6C6D" w:rsidR="0044347E">
          <w:rPr>
            <w:rStyle w:val="Hyperlink"/>
            <w:noProof/>
          </w:rPr>
          <w:t>G.</w:t>
        </w:r>
        <w:r w:rsidR="0044347E">
          <w:rPr>
            <w:rFonts w:asciiTheme="minorHAnsi" w:eastAsiaTheme="minorEastAsia" w:hAnsiTheme="minorHAnsi" w:cstheme="minorBidi"/>
            <w:noProof/>
            <w:sz w:val="22"/>
            <w:szCs w:val="22"/>
          </w:rPr>
          <w:tab/>
        </w:r>
        <w:r w:rsidRPr="007E6C6D" w:rsidR="0044347E">
          <w:rPr>
            <w:rStyle w:val="Hyperlink"/>
            <w:noProof/>
          </w:rPr>
          <w:t>Duke should not be allowed to charge customers for so-called “lost revenues” (or apply any decoupling) resulting from its energy efficiency programs.</w:t>
        </w:r>
        <w:r w:rsidR="0044347E">
          <w:rPr>
            <w:noProof/>
            <w:webHidden/>
          </w:rPr>
          <w:tab/>
        </w:r>
        <w:r w:rsidR="0044347E">
          <w:rPr>
            <w:noProof/>
            <w:webHidden/>
          </w:rPr>
          <w:fldChar w:fldCharType="begin"/>
        </w:r>
        <w:r w:rsidR="0044347E">
          <w:rPr>
            <w:noProof/>
            <w:webHidden/>
          </w:rPr>
          <w:instrText xml:space="preserve"> PAGEREF _Toc55828288 \h </w:instrText>
        </w:r>
        <w:r w:rsidR="0044347E">
          <w:rPr>
            <w:noProof/>
            <w:webHidden/>
          </w:rPr>
          <w:fldChar w:fldCharType="separate"/>
        </w:r>
        <w:r w:rsidR="0044347E">
          <w:rPr>
            <w:noProof/>
            <w:webHidden/>
          </w:rPr>
          <w:t>11</w:t>
        </w:r>
        <w:r w:rsidR="0044347E">
          <w:rPr>
            <w:noProof/>
            <w:webHidden/>
          </w:rPr>
          <w:fldChar w:fldCharType="end"/>
        </w:r>
      </w:hyperlink>
    </w:p>
    <w:p w:rsidR="00CF7824">
      <w:pPr>
        <w:pStyle w:val="TOC2"/>
        <w:tabs>
          <w:tab w:val="left" w:pos="1440"/>
        </w:tabs>
        <w:rPr>
          <w:rFonts w:asciiTheme="minorHAnsi" w:eastAsiaTheme="minorEastAsia" w:hAnsiTheme="minorHAnsi" w:cstheme="minorBidi"/>
          <w:noProof/>
          <w:sz w:val="22"/>
          <w:szCs w:val="22"/>
        </w:rPr>
      </w:pPr>
      <w:hyperlink w:anchor="_Toc55828289" w:history="1">
        <w:r w:rsidRPr="007E6C6D" w:rsidR="0044347E">
          <w:rPr>
            <w:rStyle w:val="Hyperlink"/>
            <w:noProof/>
          </w:rPr>
          <w:t>H.</w:t>
        </w:r>
        <w:r w:rsidR="0044347E">
          <w:rPr>
            <w:rFonts w:asciiTheme="minorHAnsi" w:eastAsiaTheme="minorEastAsia" w:hAnsiTheme="minorHAnsi" w:cstheme="minorBidi"/>
            <w:noProof/>
            <w:sz w:val="22"/>
            <w:szCs w:val="22"/>
          </w:rPr>
          <w:tab/>
        </w:r>
        <w:r w:rsidRPr="007E6C6D" w:rsidR="0044347E">
          <w:rPr>
            <w:rStyle w:val="Hyperlink"/>
            <w:noProof/>
          </w:rPr>
          <w:t>The PUCO Staff or an outside auditor should audit Duke’s energy efficiency charges each year for prudence and to verify benefits to customers from the programs.</w:t>
        </w:r>
        <w:r w:rsidR="0044347E">
          <w:rPr>
            <w:noProof/>
            <w:webHidden/>
          </w:rPr>
          <w:tab/>
        </w:r>
        <w:r w:rsidR="0044347E">
          <w:rPr>
            <w:noProof/>
            <w:webHidden/>
          </w:rPr>
          <w:fldChar w:fldCharType="begin"/>
        </w:r>
        <w:r w:rsidR="0044347E">
          <w:rPr>
            <w:noProof/>
            <w:webHidden/>
          </w:rPr>
          <w:instrText xml:space="preserve"> PAGEREF _Toc55828289 \h </w:instrText>
        </w:r>
        <w:r w:rsidR="0044347E">
          <w:rPr>
            <w:noProof/>
            <w:webHidden/>
          </w:rPr>
          <w:fldChar w:fldCharType="separate"/>
        </w:r>
        <w:r w:rsidR="0044347E">
          <w:rPr>
            <w:noProof/>
            <w:webHidden/>
          </w:rPr>
          <w:t>12</w:t>
        </w:r>
        <w:r w:rsidR="0044347E">
          <w:rPr>
            <w:noProof/>
            <w:webHidden/>
          </w:rPr>
          <w:fldChar w:fldCharType="end"/>
        </w:r>
      </w:hyperlink>
    </w:p>
    <w:p w:rsidR="00CF7824">
      <w:pPr>
        <w:pStyle w:val="TOC1"/>
        <w:rPr>
          <w:rFonts w:asciiTheme="minorHAnsi" w:eastAsiaTheme="minorEastAsia" w:hAnsiTheme="minorHAnsi" w:cstheme="minorBidi"/>
          <w:caps w:val="0"/>
          <w:noProof/>
          <w:sz w:val="22"/>
          <w:szCs w:val="22"/>
        </w:rPr>
      </w:pPr>
      <w:hyperlink w:anchor="_Toc55828290" w:history="1">
        <w:r w:rsidRPr="007E6C6D" w:rsidR="0044347E">
          <w:rPr>
            <w:rStyle w:val="Hyperlink"/>
            <w:noProof/>
          </w:rPr>
          <w:t>III.</w:t>
        </w:r>
        <w:r w:rsidR="0044347E">
          <w:rPr>
            <w:rFonts w:asciiTheme="minorHAnsi" w:eastAsiaTheme="minorEastAsia" w:hAnsiTheme="minorHAnsi" w:cstheme="minorBidi"/>
            <w:caps w:val="0"/>
            <w:noProof/>
            <w:sz w:val="22"/>
            <w:szCs w:val="22"/>
          </w:rPr>
          <w:tab/>
        </w:r>
        <w:r w:rsidRPr="007E6C6D" w:rsidR="0044347E">
          <w:rPr>
            <w:rStyle w:val="Hyperlink"/>
            <w:noProof/>
          </w:rPr>
          <w:t>CONCLUSION</w:t>
        </w:r>
        <w:r w:rsidR="0044347E">
          <w:rPr>
            <w:noProof/>
            <w:webHidden/>
          </w:rPr>
          <w:tab/>
        </w:r>
        <w:r w:rsidR="0044347E">
          <w:rPr>
            <w:noProof/>
            <w:webHidden/>
          </w:rPr>
          <w:fldChar w:fldCharType="begin"/>
        </w:r>
        <w:r w:rsidR="0044347E">
          <w:rPr>
            <w:noProof/>
            <w:webHidden/>
          </w:rPr>
          <w:instrText xml:space="preserve"> PAGEREF _Toc55828290 \h </w:instrText>
        </w:r>
        <w:r w:rsidR="0044347E">
          <w:rPr>
            <w:noProof/>
            <w:webHidden/>
          </w:rPr>
          <w:fldChar w:fldCharType="separate"/>
        </w:r>
        <w:r w:rsidR="0044347E">
          <w:rPr>
            <w:noProof/>
            <w:webHidden/>
          </w:rPr>
          <w:t>13</w:t>
        </w:r>
        <w:r w:rsidR="0044347E">
          <w:rPr>
            <w:noProof/>
            <w:webHidden/>
          </w:rPr>
          <w:fldChar w:fldCharType="end"/>
        </w:r>
      </w:hyperlink>
    </w:p>
    <w:p w:rsidR="00041188" w:rsidP="00041188">
      <w:pPr>
        <w:pStyle w:val="HTMLPreformatted"/>
        <w:rPr>
          <w:rFonts w:ascii="Times New Roman" w:hAnsi="Times New Roman" w:cs="Times New Roman"/>
          <w:b/>
          <w:bCs/>
          <w:sz w:val="24"/>
          <w:szCs w:val="24"/>
        </w:rPr>
      </w:pPr>
      <w:r>
        <w:rPr>
          <w:rFonts w:ascii="Times New Roman" w:hAnsi="Times New Roman" w:cs="Times New Roman"/>
          <w:b/>
          <w:bCs/>
          <w:sz w:val="24"/>
          <w:szCs w:val="24"/>
        </w:rPr>
        <w:fldChar w:fldCharType="end"/>
      </w:r>
    </w:p>
    <w:p w:rsidR="00041188" w:rsidP="00041188">
      <w:pPr>
        <w:pStyle w:val="HTMLPreformatted"/>
        <w:rPr>
          <w:rFonts w:ascii="Times New Roman" w:hAnsi="Times New Roman" w:cs="Times New Roman"/>
          <w:b/>
          <w:bCs/>
          <w:sz w:val="24"/>
          <w:szCs w:val="24"/>
        </w:rPr>
      </w:pPr>
    </w:p>
    <w:p w:rsidR="00041188" w:rsidP="00041188">
      <w:pPr>
        <w:pStyle w:val="HTMLPreformatted"/>
        <w:rPr>
          <w:rFonts w:ascii="Times New Roman" w:hAnsi="Times New Roman" w:cs="Times New Roman"/>
          <w:b/>
          <w:bCs/>
          <w:sz w:val="24"/>
          <w:szCs w:val="24"/>
        </w:rPr>
      </w:pPr>
    </w:p>
    <w:p w:rsidR="00041188" w:rsidP="00041188">
      <w:pPr>
        <w:pStyle w:val="HTMLPreformatted"/>
        <w:rPr>
          <w:rFonts w:ascii="Times New Roman" w:hAnsi="Times New Roman" w:cs="Times New Roman"/>
          <w:b/>
          <w:bCs/>
          <w:sz w:val="24"/>
          <w:szCs w:val="24"/>
        </w:rPr>
      </w:pPr>
    </w:p>
    <w:p w:rsidR="00041188" w:rsidP="00041188">
      <w:pPr>
        <w:pStyle w:val="HTMLPreformatted"/>
        <w:rPr>
          <w:rFonts w:ascii="Times New Roman" w:hAnsi="Times New Roman" w:cs="Times New Roman"/>
          <w:b/>
          <w:bCs/>
          <w:sz w:val="24"/>
          <w:szCs w:val="24"/>
        </w:rPr>
      </w:pPr>
    </w:p>
    <w:p w:rsidR="00E87E1E" w:rsidP="00041188">
      <w:pPr>
        <w:pStyle w:val="HTMLPreformatted"/>
        <w:rPr>
          <w:rFonts w:ascii="Times New Roman" w:hAnsi="Times New Roman" w:cs="Times New Roman"/>
          <w:b/>
          <w:bCs/>
          <w:sz w:val="24"/>
          <w:szCs w:val="24"/>
        </w:rPr>
        <w:sectPr w:rsidSect="00610F66">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26"/>
        </w:sectPr>
      </w:pPr>
    </w:p>
    <w:p w:rsidR="00A044B5" w:rsidRPr="00025218" w:rsidP="00E7356F">
      <w:pPr>
        <w:pStyle w:val="HTMLPreformatted"/>
        <w:jc w:val="center"/>
        <w:rPr>
          <w:rFonts w:ascii="Times New Roman" w:hAnsi="Times New Roman" w:cs="Times New Roman"/>
          <w:b/>
          <w:bCs/>
          <w:sz w:val="24"/>
          <w:szCs w:val="24"/>
        </w:rPr>
      </w:pPr>
      <w:r w:rsidRPr="00025218">
        <w:rPr>
          <w:rFonts w:ascii="Times New Roman" w:hAnsi="Times New Roman" w:cs="Times New Roman"/>
          <w:b/>
          <w:bCs/>
          <w:sz w:val="24"/>
          <w:szCs w:val="24"/>
        </w:rPr>
        <w:t>BEFORE</w:t>
      </w:r>
    </w:p>
    <w:p w:rsidR="00A044B5" w:rsidRPr="00025218" w:rsidP="00E7356F">
      <w:pPr>
        <w:pStyle w:val="HTMLPreformatted"/>
        <w:jc w:val="center"/>
        <w:rPr>
          <w:rFonts w:ascii="Times New Roman" w:hAnsi="Times New Roman" w:cs="Times New Roman"/>
          <w:sz w:val="24"/>
          <w:szCs w:val="24"/>
        </w:rPr>
      </w:pPr>
      <w:r w:rsidRPr="00025218">
        <w:rPr>
          <w:rFonts w:ascii="Times New Roman" w:hAnsi="Times New Roman" w:cs="Times New Roman"/>
          <w:b/>
          <w:bCs/>
          <w:sz w:val="24"/>
          <w:szCs w:val="24"/>
        </w:rPr>
        <w:t>THE PUBLIC UTILITIES COMMISSION OF OHIO</w:t>
      </w:r>
    </w:p>
    <w:p w:rsidR="00A044B5" w:rsidRPr="00025218" w:rsidP="00E7356F">
      <w:pPr>
        <w:pStyle w:val="HTMLPreformatted"/>
        <w:rPr>
          <w:rFonts w:ascii="Times New Roman" w:hAnsi="Times New Roman" w:cs="Times New Roman"/>
          <w:sz w:val="24"/>
          <w:szCs w:val="24"/>
        </w:rPr>
      </w:pPr>
    </w:p>
    <w:tbl>
      <w:tblPr>
        <w:tblW w:w="9092" w:type="dxa"/>
        <w:tblLook w:val="01E0"/>
      </w:tblPr>
      <w:tblGrid>
        <w:gridCol w:w="4332"/>
        <w:gridCol w:w="360"/>
        <w:gridCol w:w="4400"/>
      </w:tblGrid>
      <w:tr w:rsidTr="00A044B5">
        <w:tblPrEx>
          <w:tblW w:w="9092" w:type="dxa"/>
          <w:tblLook w:val="01E0"/>
        </w:tblPrEx>
        <w:trPr>
          <w:trHeight w:val="807"/>
        </w:trPr>
        <w:tc>
          <w:tcPr>
            <w:tcW w:w="4332" w:type="dxa"/>
            <w:shd w:val="clear" w:color="auto" w:fill="auto"/>
          </w:tcPr>
          <w:p w:rsidR="00A044B5"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In the Matter of the Application of Duke Energy Ohio, Inc., for Approval of its 2021 Energy Efficiency and Demand Side Management Portfolio of Programs and Cost Recovery Mechanism.</w:t>
            </w:r>
          </w:p>
          <w:p w:rsidR="006A6061" w:rsidRPr="00025218" w:rsidP="00E7356F">
            <w:pPr>
              <w:pStyle w:val="HTMLPreformatted"/>
              <w:rPr>
                <w:rFonts w:ascii="Times New Roman" w:hAnsi="Times New Roman" w:cs="Times New Roman"/>
                <w:sz w:val="24"/>
                <w:szCs w:val="24"/>
              </w:rPr>
            </w:pPr>
          </w:p>
          <w:p w:rsidR="006A6061"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In the Matter of the Application of Duke Energy Ohio, Inc., for Approval of Tariff Amendments.</w:t>
            </w:r>
          </w:p>
        </w:tc>
        <w:tc>
          <w:tcPr>
            <w:tcW w:w="360" w:type="dxa"/>
            <w:shd w:val="clear" w:color="auto" w:fill="auto"/>
          </w:tcPr>
          <w:p w:rsidR="00A044B5"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A044B5"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A044B5"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A044B5"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6A6061"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6A6061" w:rsidRPr="00025218" w:rsidP="00E7356F">
            <w:pPr>
              <w:pStyle w:val="HTMLPreformatted"/>
              <w:rPr>
                <w:rFonts w:ascii="Times New Roman" w:hAnsi="Times New Roman" w:cs="Times New Roman"/>
                <w:sz w:val="24"/>
                <w:szCs w:val="24"/>
              </w:rPr>
            </w:pPr>
          </w:p>
          <w:p w:rsidR="006A6061"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6A6061"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p w:rsidR="006A6061"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w:t>
            </w:r>
          </w:p>
        </w:tc>
        <w:tc>
          <w:tcPr>
            <w:tcW w:w="4400" w:type="dxa"/>
            <w:shd w:val="clear" w:color="auto" w:fill="auto"/>
          </w:tcPr>
          <w:p w:rsidR="00A044B5" w:rsidRPr="00025218" w:rsidP="00E7356F">
            <w:pPr>
              <w:pStyle w:val="HTMLPreformatted"/>
              <w:rPr>
                <w:rFonts w:ascii="Times New Roman" w:hAnsi="Times New Roman" w:cs="Times New Roman"/>
                <w:sz w:val="24"/>
                <w:szCs w:val="24"/>
              </w:rPr>
            </w:pPr>
          </w:p>
          <w:p w:rsidR="006A6061" w:rsidRPr="00025218" w:rsidP="00E7356F">
            <w:pPr>
              <w:pStyle w:val="HTMLPreformatted"/>
              <w:rPr>
                <w:rFonts w:ascii="Times New Roman" w:hAnsi="Times New Roman" w:cs="Times New Roman"/>
                <w:sz w:val="24"/>
                <w:szCs w:val="24"/>
              </w:rPr>
            </w:pPr>
          </w:p>
          <w:p w:rsidR="00A044B5" w:rsidRPr="00025218" w:rsidP="00E7356F">
            <w:pPr>
              <w:pStyle w:val="HTMLPreformatted"/>
              <w:rPr>
                <w:rFonts w:ascii="Times New Roman" w:hAnsi="Times New Roman" w:cs="Times New Roman"/>
                <w:sz w:val="24"/>
                <w:szCs w:val="24"/>
              </w:rPr>
            </w:pPr>
            <w:r w:rsidRPr="00025218">
              <w:rPr>
                <w:rFonts w:ascii="Times New Roman" w:hAnsi="Times New Roman" w:cs="Times New Roman"/>
                <w:sz w:val="24"/>
                <w:szCs w:val="24"/>
              </w:rPr>
              <w:t>Case No. 20-1</w:t>
            </w:r>
            <w:r w:rsidRPr="00025218" w:rsidR="002002F8">
              <w:rPr>
                <w:rFonts w:ascii="Times New Roman" w:hAnsi="Times New Roman" w:cs="Times New Roman"/>
                <w:sz w:val="24"/>
                <w:szCs w:val="24"/>
              </w:rPr>
              <w:t>444</w:t>
            </w:r>
            <w:r w:rsidRPr="00025218">
              <w:rPr>
                <w:rFonts w:ascii="Times New Roman" w:hAnsi="Times New Roman" w:cs="Times New Roman"/>
                <w:sz w:val="24"/>
                <w:szCs w:val="24"/>
              </w:rPr>
              <w:t>-EL-POR</w:t>
            </w:r>
          </w:p>
          <w:p w:rsidR="00A044B5" w:rsidRPr="00025218" w:rsidP="00E7356F">
            <w:pPr>
              <w:pStyle w:val="HTMLPreformatted"/>
              <w:rPr>
                <w:rFonts w:ascii="Times New Roman" w:hAnsi="Times New Roman" w:cs="Times New Roman"/>
                <w:sz w:val="24"/>
                <w:szCs w:val="24"/>
              </w:rPr>
            </w:pPr>
          </w:p>
          <w:p w:rsidR="00A044B5" w:rsidRPr="00025218" w:rsidP="00E7356F">
            <w:pPr>
              <w:pStyle w:val="HTMLPreformatted"/>
              <w:rPr>
                <w:rFonts w:ascii="Times New Roman" w:hAnsi="Times New Roman" w:cs="Times New Roman"/>
                <w:sz w:val="24"/>
                <w:szCs w:val="24"/>
              </w:rPr>
            </w:pPr>
          </w:p>
          <w:p w:rsidR="006A6061" w:rsidRPr="00025218" w:rsidP="00E7356F">
            <w:pPr>
              <w:pStyle w:val="HTMLPreformatted"/>
              <w:rPr>
                <w:rFonts w:ascii="Times New Roman" w:hAnsi="Times New Roman" w:cs="Times New Roman"/>
                <w:sz w:val="24"/>
                <w:szCs w:val="24"/>
              </w:rPr>
            </w:pPr>
          </w:p>
          <w:p w:rsidR="006A6061" w:rsidRPr="00025218" w:rsidP="00E7356F">
            <w:pPr>
              <w:pStyle w:val="HTMLPreformatted"/>
              <w:rPr>
                <w:rFonts w:ascii="Times New Roman" w:hAnsi="Times New Roman" w:cs="Times New Roman"/>
                <w:sz w:val="24"/>
                <w:szCs w:val="24"/>
              </w:rPr>
            </w:pPr>
          </w:p>
          <w:p w:rsidR="006A6061" w:rsidRPr="00025218" w:rsidP="002002F8">
            <w:pPr>
              <w:pStyle w:val="HTMLPreformatted"/>
              <w:rPr>
                <w:rFonts w:ascii="Times New Roman" w:hAnsi="Times New Roman" w:cs="Times New Roman"/>
                <w:sz w:val="24"/>
                <w:szCs w:val="24"/>
              </w:rPr>
            </w:pPr>
            <w:r w:rsidRPr="00025218">
              <w:rPr>
                <w:rFonts w:ascii="Times New Roman" w:hAnsi="Times New Roman" w:cs="Times New Roman"/>
                <w:sz w:val="24"/>
                <w:szCs w:val="24"/>
              </w:rPr>
              <w:t>Case No. 20-1</w:t>
            </w:r>
            <w:r w:rsidRPr="00025218" w:rsidR="002002F8">
              <w:rPr>
                <w:rFonts w:ascii="Times New Roman" w:hAnsi="Times New Roman" w:cs="Times New Roman"/>
                <w:sz w:val="24"/>
                <w:szCs w:val="24"/>
              </w:rPr>
              <w:t>445</w:t>
            </w:r>
            <w:r w:rsidRPr="00025218">
              <w:rPr>
                <w:rFonts w:ascii="Times New Roman" w:hAnsi="Times New Roman" w:cs="Times New Roman"/>
                <w:sz w:val="24"/>
                <w:szCs w:val="24"/>
              </w:rPr>
              <w:t>-EL-ATA</w:t>
            </w:r>
          </w:p>
        </w:tc>
      </w:tr>
    </w:tbl>
    <w:p w:rsidR="00A044B5" w:rsidRPr="00025218" w:rsidP="00E7356F">
      <w:pPr>
        <w:pStyle w:val="HTMLPreformatted"/>
        <w:rPr>
          <w:rFonts w:ascii="Times New Roman" w:hAnsi="Times New Roman" w:cs="Times New Roman"/>
          <w:sz w:val="24"/>
          <w:szCs w:val="24"/>
        </w:rPr>
      </w:pPr>
    </w:p>
    <w:p w:rsidR="00A044B5" w:rsidRPr="00025218" w:rsidP="00E7356F">
      <w:pPr>
        <w:pStyle w:val="HTMLPreformatted"/>
        <w:pBdr>
          <w:top w:val="single" w:sz="12" w:space="1" w:color="auto"/>
        </w:pBdr>
        <w:rPr>
          <w:rFonts w:ascii="Times New Roman" w:hAnsi="Times New Roman" w:cs="Times New Roman"/>
          <w:sz w:val="24"/>
          <w:szCs w:val="24"/>
        </w:rPr>
      </w:pPr>
    </w:p>
    <w:p w:rsidR="00A044B5" w:rsidRPr="00025218" w:rsidP="00E7356F">
      <w:pPr>
        <w:jc w:val="center"/>
        <w:rPr>
          <w:b/>
          <w:bCs/>
          <w:szCs w:val="24"/>
        </w:rPr>
      </w:pPr>
      <w:r w:rsidRPr="00025218">
        <w:rPr>
          <w:b/>
          <w:bCs/>
          <w:szCs w:val="24"/>
        </w:rPr>
        <w:t>COMMENTS</w:t>
      </w:r>
    </w:p>
    <w:p w:rsidR="00A044B5" w:rsidRPr="00025218" w:rsidP="00E7356F">
      <w:pPr>
        <w:jc w:val="center"/>
        <w:rPr>
          <w:b/>
          <w:bCs/>
          <w:szCs w:val="24"/>
        </w:rPr>
      </w:pPr>
      <w:r w:rsidRPr="00025218">
        <w:rPr>
          <w:b/>
          <w:bCs/>
          <w:szCs w:val="24"/>
        </w:rPr>
        <w:t>BY</w:t>
      </w:r>
    </w:p>
    <w:p w:rsidR="00A044B5" w:rsidRPr="00025218" w:rsidP="00E7356F">
      <w:pPr>
        <w:jc w:val="center"/>
        <w:rPr>
          <w:b/>
          <w:bCs/>
          <w:szCs w:val="24"/>
        </w:rPr>
      </w:pPr>
      <w:r w:rsidRPr="00025218">
        <w:rPr>
          <w:b/>
          <w:bCs/>
          <w:szCs w:val="24"/>
        </w:rPr>
        <w:t>OFFICE OF THE OHIO CONSUMERS’ COUNSEL</w:t>
      </w:r>
    </w:p>
    <w:p w:rsidR="00A044B5" w:rsidRPr="00025218" w:rsidP="00E7356F">
      <w:pPr>
        <w:pBdr>
          <w:bottom w:val="single" w:sz="12" w:space="1" w:color="auto"/>
        </w:pBdr>
        <w:tabs>
          <w:tab w:val="left" w:pos="4320"/>
        </w:tabs>
        <w:rPr>
          <w:szCs w:val="24"/>
        </w:rPr>
      </w:pPr>
    </w:p>
    <w:p w:rsidR="00A044B5" w:rsidRPr="00025218" w:rsidP="00E7356F">
      <w:pPr>
        <w:tabs>
          <w:tab w:val="left" w:pos="4320"/>
        </w:tabs>
        <w:rPr>
          <w:szCs w:val="24"/>
        </w:rPr>
      </w:pPr>
    </w:p>
    <w:p w:rsidR="00F56EC4" w:rsidRPr="00F56EC4" w:rsidP="003F404A">
      <w:pPr>
        <w:pStyle w:val="Heading1"/>
      </w:pPr>
      <w:bookmarkStart w:id="1" w:name="_Toc55828280"/>
      <w:r>
        <w:t>I.</w:t>
      </w:r>
      <w:r>
        <w:tab/>
        <w:t>INTRODUCTION</w:t>
      </w:r>
      <w:bookmarkEnd w:id="1"/>
    </w:p>
    <w:p w:rsidR="00F63852" w:rsidP="00F63852">
      <w:pPr>
        <w:pStyle w:val="BodyTextIndent3"/>
        <w:spacing w:line="480" w:lineRule="auto"/>
        <w:ind w:right="-312"/>
        <w:rPr>
          <w:szCs w:val="24"/>
        </w:rPr>
      </w:pPr>
      <w:r w:rsidRPr="00025218">
        <w:rPr>
          <w:szCs w:val="24"/>
        </w:rPr>
        <w:t xml:space="preserve">Duke wants </w:t>
      </w:r>
      <w:r w:rsidR="001935D7">
        <w:rPr>
          <w:szCs w:val="24"/>
        </w:rPr>
        <w:t>state government’s approval</w:t>
      </w:r>
      <w:r w:rsidRPr="00025218">
        <w:rPr>
          <w:szCs w:val="24"/>
        </w:rPr>
        <w:t xml:space="preserve"> </w:t>
      </w:r>
      <w:r w:rsidR="001935D7">
        <w:rPr>
          <w:szCs w:val="24"/>
        </w:rPr>
        <w:t xml:space="preserve">to </w:t>
      </w:r>
      <w:r w:rsidRPr="00025218">
        <w:rPr>
          <w:szCs w:val="24"/>
        </w:rPr>
        <w:t>charge</w:t>
      </w:r>
      <w:r w:rsidR="001935D7">
        <w:rPr>
          <w:szCs w:val="24"/>
        </w:rPr>
        <w:t xml:space="preserve"> residential consumers </w:t>
      </w:r>
      <w:r w:rsidRPr="00025218">
        <w:rPr>
          <w:szCs w:val="24"/>
        </w:rPr>
        <w:t xml:space="preserve">up to $7 million in 2021 </w:t>
      </w:r>
      <w:r w:rsidR="001935D7">
        <w:rPr>
          <w:szCs w:val="24"/>
        </w:rPr>
        <w:t xml:space="preserve">to run </w:t>
      </w:r>
      <w:r w:rsidRPr="00025218">
        <w:rPr>
          <w:szCs w:val="24"/>
        </w:rPr>
        <w:t>energy efficiency programs</w:t>
      </w:r>
      <w:r w:rsidR="00B46CA4">
        <w:rPr>
          <w:szCs w:val="24"/>
        </w:rPr>
        <w:t>, after the legislature ended such programs in House Bill 6</w:t>
      </w:r>
      <w:r w:rsidR="007F2DA8">
        <w:rPr>
          <w:szCs w:val="24"/>
        </w:rPr>
        <w:t xml:space="preserve">. </w:t>
      </w:r>
      <w:r w:rsidR="00D326FF">
        <w:rPr>
          <w:szCs w:val="24"/>
        </w:rPr>
        <w:t xml:space="preserve">And </w:t>
      </w:r>
      <w:r w:rsidR="00730033">
        <w:rPr>
          <w:szCs w:val="24"/>
        </w:rPr>
        <w:t>Duke wants approval to</w:t>
      </w:r>
      <w:r w:rsidRPr="00025218">
        <w:rPr>
          <w:szCs w:val="24"/>
        </w:rPr>
        <w:t xml:space="preserve"> </w:t>
      </w:r>
      <w:r w:rsidR="00BC7C2A">
        <w:rPr>
          <w:szCs w:val="24"/>
        </w:rPr>
        <w:t>charg</w:t>
      </w:r>
      <w:r w:rsidR="00730033">
        <w:rPr>
          <w:szCs w:val="24"/>
        </w:rPr>
        <w:t>e</w:t>
      </w:r>
      <w:r w:rsidRPr="00025218">
        <w:rPr>
          <w:szCs w:val="24"/>
        </w:rPr>
        <w:t xml:space="preserve"> </w:t>
      </w:r>
      <w:r w:rsidR="00BC7C2A">
        <w:rPr>
          <w:szCs w:val="24"/>
        </w:rPr>
        <w:t xml:space="preserve">customers </w:t>
      </w:r>
      <w:r w:rsidRPr="00025218">
        <w:rPr>
          <w:szCs w:val="24"/>
        </w:rPr>
        <w:t>$450,000 (or more) in utility profits</w:t>
      </w:r>
      <w:r w:rsidR="00BC7C2A">
        <w:rPr>
          <w:szCs w:val="24"/>
        </w:rPr>
        <w:t xml:space="preserve"> for a so-called </w:t>
      </w:r>
      <w:r w:rsidRPr="00025218">
        <w:rPr>
          <w:szCs w:val="24"/>
        </w:rPr>
        <w:t>“Joint Benefit Recognition Mechanism</w:t>
      </w:r>
      <w:r>
        <w:rPr>
          <w:rStyle w:val="FootnoteReference"/>
          <w:szCs w:val="24"/>
        </w:rPr>
        <w:footnoteReference w:id="2"/>
      </w:r>
      <w:r w:rsidR="004114E1">
        <w:rPr>
          <w:szCs w:val="24"/>
        </w:rPr>
        <w:t>—</w:t>
      </w:r>
      <w:r w:rsidR="00BC7C2A">
        <w:rPr>
          <w:szCs w:val="24"/>
        </w:rPr>
        <w:t>after the PUCO just dismissed Duke’s first attempt at charging customers for energy efficiency profits</w:t>
      </w:r>
      <w:r w:rsidRPr="00025218">
        <w:rPr>
          <w:szCs w:val="24"/>
        </w:rPr>
        <w:t>.”</w:t>
      </w:r>
      <w:r>
        <w:rPr>
          <w:rStyle w:val="FootnoteReference"/>
          <w:szCs w:val="24"/>
        </w:rPr>
        <w:footnoteReference w:id="3"/>
      </w:r>
      <w:r w:rsidR="00EA133F">
        <w:rPr>
          <w:szCs w:val="24"/>
        </w:rPr>
        <w:t xml:space="preserve"> </w:t>
      </w:r>
      <w:r w:rsidR="00D44F05">
        <w:rPr>
          <w:szCs w:val="24"/>
        </w:rPr>
        <w:t>Duke should not be allowed to charge c</w:t>
      </w:r>
      <w:r w:rsidR="00B37191">
        <w:rPr>
          <w:szCs w:val="24"/>
        </w:rPr>
        <w:t xml:space="preserve">onsumers for </w:t>
      </w:r>
      <w:r w:rsidR="00D44F05">
        <w:rPr>
          <w:szCs w:val="24"/>
        </w:rPr>
        <w:t xml:space="preserve">its </w:t>
      </w:r>
      <w:r w:rsidR="00B37191">
        <w:rPr>
          <w:szCs w:val="24"/>
        </w:rPr>
        <w:t xml:space="preserve">profits on </w:t>
      </w:r>
      <w:r w:rsidR="000616F9">
        <w:rPr>
          <w:szCs w:val="24"/>
        </w:rPr>
        <w:t xml:space="preserve">non-mandated </w:t>
      </w:r>
      <w:r w:rsidR="00B37191">
        <w:rPr>
          <w:szCs w:val="24"/>
        </w:rPr>
        <w:t xml:space="preserve">energy efficiency. </w:t>
      </w:r>
      <w:r w:rsidRPr="00025218">
        <w:rPr>
          <w:szCs w:val="24"/>
        </w:rPr>
        <w:t xml:space="preserve">Utilities like Duke have </w:t>
      </w:r>
      <w:r>
        <w:rPr>
          <w:szCs w:val="24"/>
        </w:rPr>
        <w:t>reaped profits (hundreds of millions of dollars)</w:t>
      </w:r>
      <w:r w:rsidRPr="00025218">
        <w:rPr>
          <w:szCs w:val="24"/>
        </w:rPr>
        <w:t xml:space="preserve"> </w:t>
      </w:r>
      <w:r>
        <w:rPr>
          <w:szCs w:val="24"/>
        </w:rPr>
        <w:t xml:space="preserve">at consumer expense </w:t>
      </w:r>
      <w:r w:rsidRPr="00025218">
        <w:rPr>
          <w:szCs w:val="24"/>
        </w:rPr>
        <w:t xml:space="preserve">from energy efficiency </w:t>
      </w:r>
      <w:r>
        <w:rPr>
          <w:szCs w:val="24"/>
        </w:rPr>
        <w:t xml:space="preserve">programs </w:t>
      </w:r>
      <w:r w:rsidRPr="00025218">
        <w:rPr>
          <w:szCs w:val="24"/>
        </w:rPr>
        <w:t>for the last decade</w:t>
      </w:r>
      <w:r>
        <w:rPr>
          <w:szCs w:val="24"/>
        </w:rPr>
        <w:t>. It is</w:t>
      </w:r>
      <w:r w:rsidRPr="00025218">
        <w:rPr>
          <w:szCs w:val="24"/>
        </w:rPr>
        <w:t xml:space="preserve"> time to stop</w:t>
      </w:r>
      <w:r>
        <w:rPr>
          <w:szCs w:val="24"/>
        </w:rPr>
        <w:t xml:space="preserve"> utilities from profiting on energy efficiency at consumer expense</w:t>
      </w:r>
      <w:r w:rsidRPr="00025218">
        <w:rPr>
          <w:szCs w:val="24"/>
        </w:rPr>
        <w:t>.</w:t>
      </w:r>
    </w:p>
    <w:p w:rsidR="00E87E1E" w:rsidP="00E7356F">
      <w:pPr>
        <w:pStyle w:val="BodyTextIndent3"/>
        <w:spacing w:line="480" w:lineRule="auto"/>
        <w:ind w:right="-312"/>
        <w:rPr>
          <w:szCs w:val="24"/>
        </w:rPr>
        <w:sectPr w:rsidSect="00610F66">
          <w:headerReference w:type="first" r:id="rId13"/>
          <w:footerReference w:type="first" r:id="rId14"/>
          <w:pgSz w:w="12240" w:h="15840"/>
          <w:pgMar w:top="1440" w:right="1440" w:bottom="1440" w:left="1440" w:header="720" w:footer="720" w:gutter="0"/>
          <w:pgNumType w:fmt="lowerRoman" w:start="1"/>
          <w:cols w:space="720"/>
          <w:titlePg/>
          <w:docGrid w:linePitch="326"/>
        </w:sectPr>
      </w:pPr>
      <w:r>
        <w:rPr>
          <w:szCs w:val="24"/>
        </w:rPr>
        <w:t>Duke has proposed a smaller charge than the recent charges for the now-ended mandated programs</w:t>
      </w:r>
      <w:r w:rsidR="00A31D5E">
        <w:rPr>
          <w:szCs w:val="24"/>
        </w:rPr>
        <w:t>. But</w:t>
      </w:r>
      <w:r>
        <w:rPr>
          <w:szCs w:val="24"/>
        </w:rPr>
        <w:t xml:space="preserve"> it </w:t>
      </w:r>
      <w:r w:rsidR="00F63852">
        <w:rPr>
          <w:szCs w:val="24"/>
        </w:rPr>
        <w:t>easily can</w:t>
      </w:r>
      <w:r>
        <w:rPr>
          <w:szCs w:val="24"/>
        </w:rPr>
        <w:t xml:space="preserve"> be</w:t>
      </w:r>
      <w:r w:rsidR="0067546C">
        <w:rPr>
          <w:szCs w:val="24"/>
        </w:rPr>
        <w:t xml:space="preserve"> wondered if Duke will seek higher profits and </w:t>
      </w:r>
      <w:r w:rsidR="00A31D5E">
        <w:rPr>
          <w:szCs w:val="24"/>
        </w:rPr>
        <w:t>payments from</w:t>
      </w:r>
      <w:r w:rsidR="0067546C">
        <w:rPr>
          <w:szCs w:val="24"/>
        </w:rPr>
        <w:t xml:space="preserve"> </w:t>
      </w:r>
    </w:p>
    <w:p w:rsidR="00031559" w:rsidP="00E87E1E">
      <w:pPr>
        <w:pStyle w:val="BodyTextIndent3"/>
        <w:spacing w:line="480" w:lineRule="auto"/>
        <w:ind w:right="-312" w:firstLine="0"/>
        <w:rPr>
          <w:szCs w:val="24"/>
        </w:rPr>
      </w:pPr>
      <w:r>
        <w:rPr>
          <w:szCs w:val="24"/>
        </w:rPr>
        <w:t>consumers in future years once it gets its foot in the door with precedent for the alleged legality of the program in this case.</w:t>
      </w:r>
      <w:r w:rsidR="00A31D5E">
        <w:rPr>
          <w:szCs w:val="24"/>
        </w:rPr>
        <w:t xml:space="preserve"> Consumers should be protected.</w:t>
      </w:r>
      <w:r>
        <w:rPr>
          <w:szCs w:val="24"/>
        </w:rPr>
        <w:t xml:space="preserve"> </w:t>
      </w:r>
    </w:p>
    <w:p w:rsidR="00730033" w:rsidP="00E7356F">
      <w:pPr>
        <w:pStyle w:val="BodyTextIndent3"/>
        <w:spacing w:line="480" w:lineRule="auto"/>
        <w:ind w:right="-312"/>
        <w:rPr>
          <w:szCs w:val="24"/>
        </w:rPr>
      </w:pPr>
      <w:r>
        <w:rPr>
          <w:szCs w:val="24"/>
        </w:rPr>
        <w:t xml:space="preserve">Poignantly, </w:t>
      </w:r>
      <w:r w:rsidR="00EA133F">
        <w:rPr>
          <w:szCs w:val="24"/>
        </w:rPr>
        <w:t xml:space="preserve">Duke is proposing </w:t>
      </w:r>
      <w:r w:rsidR="0067546C">
        <w:rPr>
          <w:szCs w:val="24"/>
        </w:rPr>
        <w:t>this</w:t>
      </w:r>
      <w:r w:rsidR="00EA133F">
        <w:rPr>
          <w:szCs w:val="24"/>
        </w:rPr>
        <w:t xml:space="preserve"> $7 million program in non-essential charges for energy efficiency at a time of </w:t>
      </w:r>
      <w:r w:rsidR="0067546C">
        <w:rPr>
          <w:szCs w:val="24"/>
        </w:rPr>
        <w:t xml:space="preserve">the pandemic </w:t>
      </w:r>
      <w:r>
        <w:rPr>
          <w:szCs w:val="24"/>
        </w:rPr>
        <w:t>emergency</w:t>
      </w:r>
      <w:r w:rsidR="00EA133F">
        <w:rPr>
          <w:szCs w:val="24"/>
        </w:rPr>
        <w:t xml:space="preserve"> when many consumers </w:t>
      </w:r>
      <w:r>
        <w:rPr>
          <w:szCs w:val="24"/>
        </w:rPr>
        <w:t xml:space="preserve">are desperate for </w:t>
      </w:r>
      <w:r w:rsidR="00D326FF">
        <w:rPr>
          <w:szCs w:val="24"/>
        </w:rPr>
        <w:t xml:space="preserve">financial </w:t>
      </w:r>
      <w:r>
        <w:rPr>
          <w:szCs w:val="24"/>
        </w:rPr>
        <w:t>assistance</w:t>
      </w:r>
      <w:r w:rsidR="00D326FF">
        <w:rPr>
          <w:szCs w:val="24"/>
        </w:rPr>
        <w:t>.</w:t>
      </w:r>
      <w:r>
        <w:rPr>
          <w:szCs w:val="24"/>
        </w:rPr>
        <w:t xml:space="preserve"> </w:t>
      </w:r>
      <w:r w:rsidR="00D326FF">
        <w:rPr>
          <w:szCs w:val="24"/>
        </w:rPr>
        <w:t xml:space="preserve">So </w:t>
      </w:r>
      <w:r w:rsidR="00031559">
        <w:rPr>
          <w:szCs w:val="24"/>
        </w:rPr>
        <w:t xml:space="preserve">the PUCO (and Duke) </w:t>
      </w:r>
      <w:r w:rsidR="00AB3A8D">
        <w:rPr>
          <w:szCs w:val="24"/>
        </w:rPr>
        <w:t>should</w:t>
      </w:r>
      <w:r w:rsidR="006A02B9">
        <w:rPr>
          <w:szCs w:val="24"/>
        </w:rPr>
        <w:t xml:space="preserve"> instead be </w:t>
      </w:r>
      <w:r w:rsidR="00031559">
        <w:rPr>
          <w:szCs w:val="24"/>
        </w:rPr>
        <w:t>focusing</w:t>
      </w:r>
      <w:r w:rsidR="00D326FF">
        <w:rPr>
          <w:szCs w:val="24"/>
        </w:rPr>
        <w:t xml:space="preserve"> </w:t>
      </w:r>
      <w:r w:rsidR="00031559">
        <w:rPr>
          <w:szCs w:val="24"/>
        </w:rPr>
        <w:t xml:space="preserve">on </w:t>
      </w:r>
      <w:r w:rsidR="00D326FF">
        <w:rPr>
          <w:szCs w:val="24"/>
        </w:rPr>
        <w:t xml:space="preserve">more </w:t>
      </w:r>
      <w:r w:rsidR="00031559">
        <w:rPr>
          <w:szCs w:val="24"/>
        </w:rPr>
        <w:t xml:space="preserve">consumer </w:t>
      </w:r>
      <w:r w:rsidR="00D326FF">
        <w:rPr>
          <w:szCs w:val="24"/>
        </w:rPr>
        <w:t xml:space="preserve">assistance for paying energy bills </w:t>
      </w:r>
      <w:r w:rsidR="007E7F07">
        <w:rPr>
          <w:szCs w:val="24"/>
        </w:rPr>
        <w:t xml:space="preserve">under the PUCO’s </w:t>
      </w:r>
      <w:r w:rsidRPr="008D1B90" w:rsidR="008D1B90">
        <w:rPr>
          <w:i/>
          <w:iCs/>
          <w:szCs w:val="24"/>
        </w:rPr>
        <w:t>emergency powers</w:t>
      </w:r>
      <w:r w:rsidR="00031559">
        <w:rPr>
          <w:szCs w:val="24"/>
        </w:rPr>
        <w:t>, for Ohioans who are hurting</w:t>
      </w:r>
      <w:r>
        <w:rPr>
          <w:szCs w:val="24"/>
        </w:rPr>
        <w:t>.</w:t>
      </w:r>
      <w:r w:rsidR="00417983">
        <w:rPr>
          <w:szCs w:val="24"/>
        </w:rPr>
        <w:t xml:space="preserve"> </w:t>
      </w:r>
      <w:r w:rsidR="003F7F7D">
        <w:rPr>
          <w:szCs w:val="24"/>
        </w:rPr>
        <w:t xml:space="preserve">At </w:t>
      </w:r>
      <w:r w:rsidR="00BD606B">
        <w:rPr>
          <w:szCs w:val="24"/>
        </w:rPr>
        <w:t>most</w:t>
      </w:r>
      <w:r w:rsidR="003F7F7D">
        <w:rPr>
          <w:szCs w:val="24"/>
        </w:rPr>
        <w:t xml:space="preserve">, the PUCO should </w:t>
      </w:r>
      <w:r w:rsidR="00BD606B">
        <w:rPr>
          <w:szCs w:val="24"/>
        </w:rPr>
        <w:t>only allow</w:t>
      </w:r>
      <w:r w:rsidR="003F7F7D">
        <w:rPr>
          <w:szCs w:val="24"/>
        </w:rPr>
        <w:t xml:space="preserve"> Duke to charge consumers </w:t>
      </w:r>
      <w:r w:rsidR="00031559">
        <w:rPr>
          <w:szCs w:val="24"/>
        </w:rPr>
        <w:t>to</w:t>
      </w:r>
      <w:r w:rsidR="00BD606B">
        <w:rPr>
          <w:szCs w:val="24"/>
        </w:rPr>
        <w:t xml:space="preserve"> </w:t>
      </w:r>
      <w:r w:rsidR="003F7F7D">
        <w:rPr>
          <w:szCs w:val="24"/>
        </w:rPr>
        <w:t>subsidiz</w:t>
      </w:r>
      <w:r w:rsidR="00BD606B">
        <w:rPr>
          <w:szCs w:val="24"/>
        </w:rPr>
        <w:t>e</w:t>
      </w:r>
      <w:r w:rsidR="003F7F7D">
        <w:rPr>
          <w:szCs w:val="24"/>
        </w:rPr>
        <w:t xml:space="preserve"> energy efficiency </w:t>
      </w:r>
      <w:r w:rsidR="00031559">
        <w:rPr>
          <w:szCs w:val="24"/>
        </w:rPr>
        <w:t>for</w:t>
      </w:r>
      <w:r w:rsidR="003F7F7D">
        <w:rPr>
          <w:szCs w:val="24"/>
        </w:rPr>
        <w:t xml:space="preserve"> low-income programs</w:t>
      </w:r>
      <w:r w:rsidR="00031559">
        <w:rPr>
          <w:szCs w:val="24"/>
        </w:rPr>
        <w:t xml:space="preserve"> (that it proposed)</w:t>
      </w:r>
      <w:r w:rsidR="00BD606B">
        <w:rPr>
          <w:szCs w:val="24"/>
        </w:rPr>
        <w:t xml:space="preserve">; </w:t>
      </w:r>
      <w:r w:rsidR="00031559">
        <w:rPr>
          <w:szCs w:val="24"/>
        </w:rPr>
        <w:t>the PUCO</w:t>
      </w:r>
      <w:r w:rsidR="00BD606B">
        <w:rPr>
          <w:szCs w:val="24"/>
        </w:rPr>
        <w:t xml:space="preserve"> should</w:t>
      </w:r>
      <w:r w:rsidR="003F7F7D">
        <w:rPr>
          <w:szCs w:val="24"/>
        </w:rPr>
        <w:t xml:space="preserve"> disallow charges for Duke-run energy efficiency programs that are not for low-income consumers.</w:t>
      </w:r>
      <w:r w:rsidR="00031559">
        <w:rPr>
          <w:szCs w:val="24"/>
        </w:rPr>
        <w:t xml:space="preserve"> But again, the state focus for utility consumer programs should be financial assistance for </w:t>
      </w:r>
      <w:r w:rsidR="009B189D">
        <w:rPr>
          <w:szCs w:val="24"/>
        </w:rPr>
        <w:t xml:space="preserve">Ohioans to </w:t>
      </w:r>
      <w:r w:rsidR="00031559">
        <w:rPr>
          <w:szCs w:val="24"/>
        </w:rPr>
        <w:t>pay utility bills to stay connected to utility services</w:t>
      </w:r>
      <w:r w:rsidR="005A7EAF">
        <w:rPr>
          <w:szCs w:val="24"/>
        </w:rPr>
        <w:t xml:space="preserve"> during the pandemic and its aftermath.</w:t>
      </w:r>
      <w:r w:rsidR="003F7F7D">
        <w:rPr>
          <w:szCs w:val="24"/>
        </w:rPr>
        <w:t xml:space="preserve"> </w:t>
      </w:r>
    </w:p>
    <w:p w:rsidR="00F37F77" w:rsidP="00D14F03">
      <w:pPr>
        <w:pStyle w:val="BodyTextIndent3"/>
        <w:spacing w:line="480" w:lineRule="auto"/>
        <w:ind w:right="-312"/>
        <w:rPr>
          <w:szCs w:val="24"/>
        </w:rPr>
      </w:pPr>
      <w:r>
        <w:rPr>
          <w:szCs w:val="24"/>
        </w:rPr>
        <w:t xml:space="preserve">Of course, </w:t>
      </w:r>
      <w:r w:rsidR="007F2DA8">
        <w:rPr>
          <w:szCs w:val="24"/>
        </w:rPr>
        <w:t xml:space="preserve">Duke </w:t>
      </w:r>
      <w:r w:rsidR="00311B51">
        <w:rPr>
          <w:szCs w:val="24"/>
        </w:rPr>
        <w:t xml:space="preserve">may </w:t>
      </w:r>
      <w:r w:rsidR="005C581B">
        <w:rPr>
          <w:szCs w:val="24"/>
        </w:rPr>
        <w:t xml:space="preserve">still </w:t>
      </w:r>
      <w:r w:rsidR="00F72E7C">
        <w:rPr>
          <w:szCs w:val="24"/>
        </w:rPr>
        <w:t xml:space="preserve">pursue </w:t>
      </w:r>
      <w:r w:rsidR="000E7C0A">
        <w:rPr>
          <w:szCs w:val="24"/>
        </w:rPr>
        <w:t xml:space="preserve">its </w:t>
      </w:r>
      <w:r w:rsidR="008B2E80">
        <w:rPr>
          <w:szCs w:val="24"/>
        </w:rPr>
        <w:t>sustainability objectives—</w:t>
      </w:r>
      <w:r>
        <w:rPr>
          <w:szCs w:val="24"/>
        </w:rPr>
        <w:t>with its own</w:t>
      </w:r>
      <w:r w:rsidR="00311B51">
        <w:rPr>
          <w:szCs w:val="24"/>
        </w:rPr>
        <w:t xml:space="preserve"> (shareholder)</w:t>
      </w:r>
      <w:r>
        <w:rPr>
          <w:szCs w:val="24"/>
        </w:rPr>
        <w:t xml:space="preserve"> money</w:t>
      </w:r>
      <w:r w:rsidR="006F0D9C">
        <w:rPr>
          <w:szCs w:val="24"/>
        </w:rPr>
        <w:t>, instead of leaning on consumers for funding</w:t>
      </w:r>
      <w:r w:rsidR="00417983">
        <w:rPr>
          <w:szCs w:val="24"/>
        </w:rPr>
        <w:t>.</w:t>
      </w:r>
      <w:r w:rsidR="00B40D05">
        <w:rPr>
          <w:szCs w:val="24"/>
        </w:rPr>
        <w:t xml:space="preserve"> </w:t>
      </w:r>
      <w:r w:rsidR="00FE3607">
        <w:rPr>
          <w:szCs w:val="24"/>
        </w:rPr>
        <w:t>And Duke has a</w:t>
      </w:r>
      <w:r w:rsidR="000E7C0A">
        <w:rPr>
          <w:szCs w:val="24"/>
        </w:rPr>
        <w:t xml:space="preserve"> dual </w:t>
      </w:r>
      <w:r w:rsidR="002E694B">
        <w:rPr>
          <w:szCs w:val="24"/>
        </w:rPr>
        <w:t xml:space="preserve">“green” </w:t>
      </w:r>
      <w:r w:rsidR="00FE3607">
        <w:rPr>
          <w:szCs w:val="24"/>
        </w:rPr>
        <w:t xml:space="preserve">opportunity </w:t>
      </w:r>
      <w:r w:rsidR="000E7C0A">
        <w:rPr>
          <w:szCs w:val="24"/>
        </w:rPr>
        <w:t xml:space="preserve">right </w:t>
      </w:r>
      <w:r w:rsidR="00FE3607">
        <w:rPr>
          <w:szCs w:val="24"/>
        </w:rPr>
        <w:t>now in the legislature to seek the repeal of tainted House Bill</w:t>
      </w:r>
      <w:r w:rsidR="00580F46">
        <w:rPr>
          <w:szCs w:val="24"/>
        </w:rPr>
        <w:t xml:space="preserve"> 6</w:t>
      </w:r>
      <w:r w:rsidR="00FE3607">
        <w:rPr>
          <w:szCs w:val="24"/>
        </w:rPr>
        <w:t xml:space="preserve"> that </w:t>
      </w:r>
      <w:r w:rsidR="005C581B">
        <w:rPr>
          <w:szCs w:val="24"/>
        </w:rPr>
        <w:t xml:space="preserve">(1) </w:t>
      </w:r>
      <w:r w:rsidR="00FE3607">
        <w:rPr>
          <w:szCs w:val="24"/>
        </w:rPr>
        <w:t xml:space="preserve">ended its energy efficiency programs </w:t>
      </w:r>
      <w:r w:rsidR="005C581B">
        <w:rPr>
          <w:szCs w:val="24"/>
        </w:rPr>
        <w:t xml:space="preserve">and that (2) </w:t>
      </w:r>
      <w:r w:rsidR="00FE3607">
        <w:rPr>
          <w:szCs w:val="24"/>
        </w:rPr>
        <w:t>contradictorily allow</w:t>
      </w:r>
      <w:r w:rsidR="005C581B">
        <w:rPr>
          <w:szCs w:val="24"/>
        </w:rPr>
        <w:t>ed</w:t>
      </w:r>
      <w:r w:rsidR="00FE3607">
        <w:rPr>
          <w:szCs w:val="24"/>
        </w:rPr>
        <w:t xml:space="preserve"> it to charge consumers for</w:t>
      </w:r>
      <w:r w:rsidR="009823C7">
        <w:rPr>
          <w:szCs w:val="24"/>
        </w:rPr>
        <w:t xml:space="preserve"> subsidizing</w:t>
      </w:r>
      <w:r w:rsidR="00FE3607">
        <w:rPr>
          <w:szCs w:val="24"/>
        </w:rPr>
        <w:t xml:space="preserve"> </w:t>
      </w:r>
      <w:r w:rsidR="00BD606B">
        <w:rPr>
          <w:szCs w:val="24"/>
        </w:rPr>
        <w:t xml:space="preserve">Duke’s </w:t>
      </w:r>
      <w:r w:rsidR="00FE3607">
        <w:rPr>
          <w:szCs w:val="24"/>
        </w:rPr>
        <w:t>share of the polluting OVEC coal power plants.</w:t>
      </w:r>
      <w:r w:rsidR="009823C7">
        <w:rPr>
          <w:szCs w:val="24"/>
        </w:rPr>
        <w:t xml:space="preserve"> A </w:t>
      </w:r>
      <w:r w:rsidR="002E694B">
        <w:rPr>
          <w:szCs w:val="24"/>
        </w:rPr>
        <w:t xml:space="preserve">more balanced </w:t>
      </w:r>
      <w:r w:rsidR="009823C7">
        <w:rPr>
          <w:szCs w:val="24"/>
        </w:rPr>
        <w:t>approach for</w:t>
      </w:r>
      <w:r w:rsidR="002E694B">
        <w:rPr>
          <w:szCs w:val="24"/>
        </w:rPr>
        <w:t xml:space="preserve"> sustainability and consumer</w:t>
      </w:r>
      <w:r w:rsidR="00916AB2">
        <w:rPr>
          <w:szCs w:val="24"/>
        </w:rPr>
        <w:t xml:space="preserve"> green</w:t>
      </w:r>
      <w:r w:rsidR="002E694B">
        <w:rPr>
          <w:szCs w:val="24"/>
        </w:rPr>
        <w:t xml:space="preserve"> energy</w:t>
      </w:r>
      <w:r w:rsidR="00916AB2">
        <w:rPr>
          <w:szCs w:val="24"/>
        </w:rPr>
        <w:t xml:space="preserve"> (and electric bil</w:t>
      </w:r>
      <w:r w:rsidR="008B2E80">
        <w:rPr>
          <w:szCs w:val="24"/>
        </w:rPr>
        <w:t>l</w:t>
      </w:r>
      <w:r w:rsidR="00916AB2">
        <w:rPr>
          <w:szCs w:val="24"/>
        </w:rPr>
        <w:t>s)</w:t>
      </w:r>
      <w:r w:rsidR="002E694B">
        <w:rPr>
          <w:szCs w:val="24"/>
        </w:rPr>
        <w:t xml:space="preserve"> </w:t>
      </w:r>
      <w:r w:rsidR="009823C7">
        <w:rPr>
          <w:szCs w:val="24"/>
        </w:rPr>
        <w:t>would be for Duke to come forward</w:t>
      </w:r>
      <w:r w:rsidR="00385973">
        <w:rPr>
          <w:szCs w:val="24"/>
        </w:rPr>
        <w:t xml:space="preserve"> (in an appropriate forum)</w:t>
      </w:r>
      <w:r w:rsidR="009823C7">
        <w:rPr>
          <w:szCs w:val="24"/>
        </w:rPr>
        <w:t xml:space="preserve"> to </w:t>
      </w:r>
      <w:r w:rsidR="00143B36">
        <w:rPr>
          <w:szCs w:val="24"/>
        </w:rPr>
        <w:t xml:space="preserve">propose </w:t>
      </w:r>
      <w:r w:rsidR="009823C7">
        <w:rPr>
          <w:szCs w:val="24"/>
        </w:rPr>
        <w:t>end</w:t>
      </w:r>
      <w:r w:rsidR="00143B36">
        <w:rPr>
          <w:szCs w:val="24"/>
        </w:rPr>
        <w:t>ing</w:t>
      </w:r>
      <w:r w:rsidR="009823C7">
        <w:rPr>
          <w:szCs w:val="24"/>
        </w:rPr>
        <w:t xml:space="preserve"> its subsidy charges </w:t>
      </w:r>
      <w:r w:rsidR="00143B36">
        <w:rPr>
          <w:szCs w:val="24"/>
        </w:rPr>
        <w:t xml:space="preserve">for </w:t>
      </w:r>
      <w:r w:rsidR="009823C7">
        <w:rPr>
          <w:szCs w:val="24"/>
        </w:rPr>
        <w:t>polluting coal plants wh</w:t>
      </w:r>
      <w:r w:rsidR="002E694B">
        <w:rPr>
          <w:szCs w:val="24"/>
        </w:rPr>
        <w:t>en</w:t>
      </w:r>
      <w:r w:rsidR="009823C7">
        <w:rPr>
          <w:szCs w:val="24"/>
        </w:rPr>
        <w:t xml:space="preserve"> </w:t>
      </w:r>
      <w:r w:rsidR="00916AB2">
        <w:rPr>
          <w:szCs w:val="24"/>
        </w:rPr>
        <w:t xml:space="preserve">it </w:t>
      </w:r>
      <w:r w:rsidR="009823C7">
        <w:rPr>
          <w:szCs w:val="24"/>
        </w:rPr>
        <w:t>propos</w:t>
      </w:r>
      <w:r w:rsidR="00916AB2">
        <w:rPr>
          <w:szCs w:val="24"/>
        </w:rPr>
        <w:t>es</w:t>
      </w:r>
      <w:r w:rsidR="009823C7">
        <w:rPr>
          <w:szCs w:val="24"/>
        </w:rPr>
        <w:t xml:space="preserve"> </w:t>
      </w:r>
      <w:r w:rsidR="002E694B">
        <w:rPr>
          <w:szCs w:val="24"/>
        </w:rPr>
        <w:t xml:space="preserve">new </w:t>
      </w:r>
      <w:r w:rsidR="009823C7">
        <w:rPr>
          <w:szCs w:val="24"/>
        </w:rPr>
        <w:t>charges for energy efficiency.</w:t>
      </w:r>
    </w:p>
    <w:p w:rsidR="00F511FB" w:rsidP="00D14F03">
      <w:pPr>
        <w:pStyle w:val="BodyTextIndent3"/>
        <w:spacing w:line="480" w:lineRule="auto"/>
        <w:ind w:right="-312"/>
        <w:rPr>
          <w:szCs w:val="24"/>
        </w:rPr>
      </w:pPr>
      <w:r>
        <w:rPr>
          <w:szCs w:val="24"/>
        </w:rPr>
        <w:t xml:space="preserve">In any event, Duke already </w:t>
      </w:r>
      <w:r w:rsidR="00916AB2">
        <w:rPr>
          <w:szCs w:val="24"/>
        </w:rPr>
        <w:t xml:space="preserve">used up the law’s (generous) opportunity for allowable riders when Duke </w:t>
      </w:r>
      <w:r>
        <w:rPr>
          <w:szCs w:val="24"/>
        </w:rPr>
        <w:t xml:space="preserve">opted for its </w:t>
      </w:r>
      <w:r w:rsidR="00916AB2">
        <w:rPr>
          <w:szCs w:val="24"/>
        </w:rPr>
        <w:t xml:space="preserve">long-term </w:t>
      </w:r>
      <w:r>
        <w:rPr>
          <w:szCs w:val="24"/>
        </w:rPr>
        <w:t>electric security plan that does not expire until 2025</w:t>
      </w:r>
      <w:r w:rsidR="00A219D8">
        <w:rPr>
          <w:szCs w:val="24"/>
        </w:rPr>
        <w:t>. S</w:t>
      </w:r>
      <w:r>
        <w:rPr>
          <w:szCs w:val="24"/>
        </w:rPr>
        <w:t xml:space="preserve">o under this consumer protection in the 2008 energy law, </w:t>
      </w:r>
      <w:r w:rsidR="00916AB2">
        <w:rPr>
          <w:szCs w:val="24"/>
        </w:rPr>
        <w:t>Duke</w:t>
      </w:r>
      <w:r>
        <w:rPr>
          <w:szCs w:val="24"/>
        </w:rPr>
        <w:t xml:space="preserve"> presently has no mechanism under Ohio law to create its proposed “rider” for this new charge to customers. </w:t>
      </w:r>
    </w:p>
    <w:p w:rsidR="002878CC" w:rsidP="00D14F03">
      <w:pPr>
        <w:pStyle w:val="BodyTextIndent3"/>
        <w:spacing w:line="480" w:lineRule="auto"/>
        <w:ind w:right="-312"/>
        <w:rPr>
          <w:szCs w:val="24"/>
        </w:rPr>
      </w:pPr>
      <w:r>
        <w:rPr>
          <w:szCs w:val="24"/>
        </w:rPr>
        <w:t xml:space="preserve">Another </w:t>
      </w:r>
      <w:r w:rsidR="00D14F03">
        <w:rPr>
          <w:szCs w:val="24"/>
        </w:rPr>
        <w:t xml:space="preserve">legal </w:t>
      </w:r>
      <w:r>
        <w:rPr>
          <w:szCs w:val="24"/>
        </w:rPr>
        <w:t xml:space="preserve">barrier for Duke </w:t>
      </w:r>
      <w:r w:rsidR="00D14F03">
        <w:rPr>
          <w:szCs w:val="24"/>
        </w:rPr>
        <w:t xml:space="preserve">is that </w:t>
      </w:r>
      <w:r>
        <w:rPr>
          <w:szCs w:val="24"/>
        </w:rPr>
        <w:t xml:space="preserve">it </w:t>
      </w:r>
      <w:r w:rsidR="00D14F03">
        <w:rPr>
          <w:szCs w:val="24"/>
        </w:rPr>
        <w:t>filed</w:t>
      </w:r>
      <w:r w:rsidRPr="00025218" w:rsidR="007C36B6">
        <w:rPr>
          <w:szCs w:val="24"/>
        </w:rPr>
        <w:t xml:space="preserve"> its Application under Ohio Adm. Code Chapter 4901:1-39, which contains the </w:t>
      </w:r>
      <w:r>
        <w:rPr>
          <w:szCs w:val="24"/>
        </w:rPr>
        <w:t>state</w:t>
      </w:r>
      <w:r w:rsidRPr="00025218" w:rsidR="007C36B6">
        <w:rPr>
          <w:szCs w:val="24"/>
        </w:rPr>
        <w:t xml:space="preserve"> rules for </w:t>
      </w:r>
      <w:r w:rsidR="00F511FB">
        <w:rPr>
          <w:szCs w:val="24"/>
        </w:rPr>
        <w:t xml:space="preserve">the </w:t>
      </w:r>
      <w:r w:rsidRPr="008D1B90" w:rsidR="008D1B90">
        <w:rPr>
          <w:i/>
          <w:iCs/>
          <w:szCs w:val="24"/>
        </w:rPr>
        <w:t>former</w:t>
      </w:r>
      <w:r w:rsidR="00A219D8">
        <w:rPr>
          <w:szCs w:val="24"/>
        </w:rPr>
        <w:t xml:space="preserve"> </w:t>
      </w:r>
      <w:r w:rsidRPr="00025218" w:rsidR="007C36B6">
        <w:rPr>
          <w:szCs w:val="24"/>
        </w:rPr>
        <w:t>energy efficiency programs. As explained below, Duke is mistaken in relying on these rules, as they apply only</w:t>
      </w:r>
      <w:r w:rsidR="0088144C">
        <w:rPr>
          <w:szCs w:val="24"/>
        </w:rPr>
        <w:t xml:space="preserve"> to</w:t>
      </w:r>
      <w:r w:rsidRPr="00025218" w:rsidR="007C36B6">
        <w:rPr>
          <w:szCs w:val="24"/>
        </w:rPr>
        <w:t xml:space="preserve"> </w:t>
      </w:r>
      <w:r w:rsidR="0088144C">
        <w:rPr>
          <w:szCs w:val="24"/>
        </w:rPr>
        <w:t>the</w:t>
      </w:r>
      <w:r w:rsidRPr="00025218" w:rsidR="007C36B6">
        <w:rPr>
          <w:szCs w:val="24"/>
        </w:rPr>
        <w:t xml:space="preserve"> </w:t>
      </w:r>
      <w:r w:rsidRPr="00431353" w:rsidR="00431353">
        <w:rPr>
          <w:iCs/>
          <w:szCs w:val="24"/>
        </w:rPr>
        <w:t>mandated</w:t>
      </w:r>
      <w:r w:rsidRPr="00025218" w:rsidR="007C36B6">
        <w:rPr>
          <w:szCs w:val="24"/>
        </w:rPr>
        <w:t xml:space="preserve"> programs</w:t>
      </w:r>
      <w:r w:rsidR="0088144C">
        <w:rPr>
          <w:szCs w:val="24"/>
        </w:rPr>
        <w:t xml:space="preserve"> that </w:t>
      </w:r>
      <w:r w:rsidRPr="00431353" w:rsidR="00431353">
        <w:rPr>
          <w:i/>
          <w:iCs/>
          <w:szCs w:val="24"/>
        </w:rPr>
        <w:t>ended</w:t>
      </w:r>
      <w:r w:rsidR="0088144C">
        <w:rPr>
          <w:szCs w:val="24"/>
        </w:rPr>
        <w:t xml:space="preserve"> with House Bill 6</w:t>
      </w:r>
      <w:r w:rsidR="003D4E22">
        <w:rPr>
          <w:szCs w:val="24"/>
        </w:rPr>
        <w:t>. And</w:t>
      </w:r>
      <w:r w:rsidRPr="00025218" w:rsidR="007C36B6">
        <w:rPr>
          <w:szCs w:val="24"/>
        </w:rPr>
        <w:t xml:space="preserve"> beginning in 2021, there are no longer any statutory mandates for energy efficiency in Ohio</w:t>
      </w:r>
      <w:r w:rsidR="003D4E22">
        <w:rPr>
          <w:szCs w:val="24"/>
        </w:rPr>
        <w:t xml:space="preserve"> because the Ohio General Assembly ended them</w:t>
      </w:r>
      <w:r w:rsidR="00A219D8">
        <w:rPr>
          <w:szCs w:val="24"/>
        </w:rPr>
        <w:t xml:space="preserve"> for the announced purpose of saving money for Ohioans</w:t>
      </w:r>
      <w:r w:rsidR="00E22F14">
        <w:rPr>
          <w:szCs w:val="24"/>
        </w:rPr>
        <w:t xml:space="preserve"> to offset spending Ohioans’ money on bailouts of uneconomic power plants.</w:t>
      </w:r>
    </w:p>
    <w:p w:rsidR="007C36B6" w:rsidRPr="00025218" w:rsidP="00E7356F">
      <w:pPr>
        <w:pStyle w:val="BodyTextIndent3"/>
        <w:spacing w:line="480" w:lineRule="auto"/>
        <w:ind w:right="-312"/>
        <w:rPr>
          <w:szCs w:val="24"/>
        </w:rPr>
      </w:pPr>
      <w:r>
        <w:rPr>
          <w:szCs w:val="24"/>
        </w:rPr>
        <w:t>T</w:t>
      </w:r>
      <w:r w:rsidRPr="00025218">
        <w:rPr>
          <w:szCs w:val="24"/>
        </w:rPr>
        <w:t>he Office of the Ohio Consumers’ Counsel (“OCC”) is filing these comments consistent with Ohio Adm. Code 4901:1-39-06, which provides that “any person may file comments within thirty days after the filing of an electric utility’s proposed recovery mechanism.”</w:t>
      </w:r>
      <w:r>
        <w:rPr>
          <w:szCs w:val="24"/>
        </w:rPr>
        <w:t xml:space="preserve"> As noted, OCC does not concede that Duke’s use of these rules is legal, considering </w:t>
      </w:r>
      <w:r w:rsidR="00F56EC4">
        <w:rPr>
          <w:szCs w:val="24"/>
        </w:rPr>
        <w:t xml:space="preserve">that </w:t>
      </w:r>
      <w:r>
        <w:rPr>
          <w:szCs w:val="24"/>
        </w:rPr>
        <w:t>the rules apply to programs that the Ohio General Assembly ended.</w:t>
      </w:r>
      <w:r w:rsidR="00900567">
        <w:rPr>
          <w:szCs w:val="24"/>
        </w:rPr>
        <w:t xml:space="preserve"> </w:t>
      </w:r>
    </w:p>
    <w:p w:rsidR="00083912" w:rsidRPr="00025218" w:rsidP="003F404A">
      <w:pPr>
        <w:pStyle w:val="Heading1"/>
      </w:pPr>
      <w:bookmarkStart w:id="2" w:name="_Toc55828281"/>
      <w:r w:rsidRPr="00025218">
        <w:t>I</w:t>
      </w:r>
      <w:r w:rsidR="004666CA">
        <w:t>I</w:t>
      </w:r>
      <w:r w:rsidRPr="00025218">
        <w:t>.</w:t>
      </w:r>
      <w:r w:rsidRPr="00025218">
        <w:tab/>
        <w:t>RECOMMENDATIONS</w:t>
      </w:r>
      <w:bookmarkEnd w:id="2"/>
    </w:p>
    <w:p w:rsidR="00083912" w:rsidRPr="00025218" w:rsidP="003F404A">
      <w:pPr>
        <w:pStyle w:val="Heading2"/>
      </w:pPr>
      <w:bookmarkStart w:id="3" w:name="_Toc55828282"/>
      <w:r w:rsidRPr="00025218">
        <w:t>A.</w:t>
      </w:r>
      <w:r w:rsidRPr="00025218">
        <w:tab/>
        <w:t xml:space="preserve">The </w:t>
      </w:r>
      <w:r w:rsidR="00C35B37">
        <w:t>state’s</w:t>
      </w:r>
      <w:r w:rsidRPr="00025218">
        <w:t xml:space="preserve"> energy ef</w:t>
      </w:r>
      <w:r w:rsidRPr="00025218" w:rsidR="004F5D79">
        <w:t>ficiency rules</w:t>
      </w:r>
      <w:r w:rsidR="006A0025">
        <w:t xml:space="preserve"> (relied upon by Duke)</w:t>
      </w:r>
      <w:r w:rsidRPr="00025218" w:rsidR="004F5D79">
        <w:t xml:space="preserve"> do not apply to</w:t>
      </w:r>
      <w:r w:rsidR="00900567">
        <w:t xml:space="preserve"> (or allow for)</w:t>
      </w:r>
      <w:r w:rsidRPr="00025218" w:rsidR="004F5D79">
        <w:t xml:space="preserve"> </w:t>
      </w:r>
      <w:r w:rsidR="006A0025">
        <w:t xml:space="preserve">Duke’s </w:t>
      </w:r>
      <w:r w:rsidRPr="00025218">
        <w:t>request for non-mandated energy efficiency programs.</w:t>
      </w:r>
      <w:bookmarkEnd w:id="3"/>
    </w:p>
    <w:p w:rsidR="00083912" w:rsidRPr="00025218" w:rsidP="00E7356F">
      <w:pPr>
        <w:pStyle w:val="BodyTextIndent3"/>
        <w:spacing w:line="480" w:lineRule="auto"/>
        <w:ind w:right="-312"/>
        <w:rPr>
          <w:szCs w:val="24"/>
        </w:rPr>
      </w:pPr>
      <w:r w:rsidRPr="00025218">
        <w:rPr>
          <w:szCs w:val="24"/>
        </w:rPr>
        <w:t>Throughout its Application, Duke relies on Ohio Adm. Code 4901:1-39, which contains the PUCO’s rules for energy efficiency programs. For example, Duke</w:t>
      </w:r>
      <w:r w:rsidRPr="00025218" w:rsidR="009A64D8">
        <w:rPr>
          <w:szCs w:val="24"/>
        </w:rPr>
        <w:t xml:space="preserve"> begins by stating that it</w:t>
      </w:r>
      <w:r w:rsidRPr="00025218">
        <w:rPr>
          <w:szCs w:val="24"/>
        </w:rPr>
        <w:t xml:space="preserve"> is filing the Application “pursuant to Rules 4901:1-39-04 and 4901:1-39-06, Ohio Administrative Code.”</w:t>
      </w:r>
      <w:r>
        <w:rPr>
          <w:rStyle w:val="FootnoteReference"/>
          <w:szCs w:val="24"/>
        </w:rPr>
        <w:footnoteReference w:id="4"/>
      </w:r>
      <w:r w:rsidRPr="00025218">
        <w:rPr>
          <w:szCs w:val="24"/>
        </w:rPr>
        <w:t xml:space="preserve"> Ohio Adm. Code 4901:1-39-04 pertains to energy efficiency portfolio plan and filing requirements. Ohio Adm. Code 4901:1-39-06 pertains to a utility’s ability to charge customers for energy efficiency programs.</w:t>
      </w:r>
    </w:p>
    <w:p w:rsidR="00083912" w:rsidRPr="00025218" w:rsidP="00E7356F">
      <w:pPr>
        <w:pStyle w:val="BodyTextIndent3"/>
        <w:spacing w:line="480" w:lineRule="auto"/>
        <w:ind w:right="-312"/>
        <w:rPr>
          <w:szCs w:val="24"/>
        </w:rPr>
      </w:pPr>
      <w:r>
        <w:rPr>
          <w:szCs w:val="24"/>
        </w:rPr>
        <w:t>Duke’s</w:t>
      </w:r>
      <w:r w:rsidRPr="00025218">
        <w:rPr>
          <w:szCs w:val="24"/>
        </w:rPr>
        <w:t xml:space="preserve"> </w:t>
      </w:r>
      <w:r w:rsidRPr="00025218" w:rsidR="005B2375">
        <w:rPr>
          <w:szCs w:val="24"/>
        </w:rPr>
        <w:t xml:space="preserve">problem, however, is that these rules pertain only to </w:t>
      </w:r>
      <w:r w:rsidRPr="00025218" w:rsidR="005B2375">
        <w:rPr>
          <w:i/>
          <w:szCs w:val="24"/>
        </w:rPr>
        <w:t>mandated</w:t>
      </w:r>
      <w:r w:rsidRPr="00025218" w:rsidR="005B2375">
        <w:rPr>
          <w:szCs w:val="24"/>
        </w:rPr>
        <w:t xml:space="preserve"> energy efficiency programs under R.C. 4928.66</w:t>
      </w:r>
      <w:r w:rsidR="00445F27">
        <w:rPr>
          <w:szCs w:val="24"/>
        </w:rPr>
        <w:t xml:space="preserve"> from the 2008 energy law</w:t>
      </w:r>
      <w:r w:rsidR="00990036">
        <w:rPr>
          <w:szCs w:val="24"/>
        </w:rPr>
        <w:t>.</w:t>
      </w:r>
      <w:r w:rsidRPr="00025218" w:rsidR="005B2375">
        <w:rPr>
          <w:szCs w:val="24"/>
        </w:rPr>
        <w:t xml:space="preserve"> </w:t>
      </w:r>
      <w:r w:rsidR="00990036">
        <w:rPr>
          <w:szCs w:val="24"/>
        </w:rPr>
        <w:t xml:space="preserve">By enactment of the legislature in House Bill 6, there </w:t>
      </w:r>
      <w:r w:rsidR="00076E30">
        <w:rPr>
          <w:szCs w:val="24"/>
        </w:rPr>
        <w:t>no longer are</w:t>
      </w:r>
      <w:r w:rsidR="00990036">
        <w:rPr>
          <w:szCs w:val="24"/>
        </w:rPr>
        <w:t xml:space="preserve"> mandated energy efficiency programs</w:t>
      </w:r>
      <w:r w:rsidR="004666CA">
        <w:rPr>
          <w:szCs w:val="24"/>
        </w:rPr>
        <w:t xml:space="preserve"> in 2021 and thereafter</w:t>
      </w:r>
      <w:r w:rsidR="00900567">
        <w:rPr>
          <w:szCs w:val="24"/>
        </w:rPr>
        <w:t>, and Duke is subject to that legislative enactment.</w:t>
      </w:r>
      <w:r w:rsidRPr="00025218" w:rsidR="005B2375">
        <w:rPr>
          <w:szCs w:val="24"/>
        </w:rPr>
        <w:t xml:space="preserve"> Ohio Adm. Code 4901:1-39-02, titled “Purpose and scope,” explicitly references mandatory programs under R.C. 4928.66(A)(1)(a), stating that “each electric utility is required to implement energy efficiency programs” and later noting that the “purpose of this chapter is to establish rules for the implementation of electric utility energy efficiency and peak-demand reduction programs.” </w:t>
      </w:r>
      <w:r w:rsidRPr="00025218" w:rsidR="00620E27">
        <w:rPr>
          <w:szCs w:val="24"/>
        </w:rPr>
        <w:t xml:space="preserve">And Ohio Adm. Code 4901:1-39-04, which Duke cites as the basis for its Application, refers to a portfolio of energy efficiency programs that “will cost-effectively achieve the statutory benchmarks for energy efficiency and peak-demand reduction.” </w:t>
      </w:r>
      <w:r w:rsidRPr="00025218" w:rsidR="005B2375">
        <w:rPr>
          <w:szCs w:val="24"/>
        </w:rPr>
        <w:t xml:space="preserve">These rules make </w:t>
      </w:r>
      <w:r w:rsidRPr="00025218" w:rsidR="00620E27">
        <w:rPr>
          <w:szCs w:val="24"/>
        </w:rPr>
        <w:t xml:space="preserve">additional </w:t>
      </w:r>
      <w:r w:rsidRPr="00025218" w:rsidR="005B2375">
        <w:rPr>
          <w:szCs w:val="24"/>
        </w:rPr>
        <w:t>references throughout to statutory mandated energy efficiency programs.</w:t>
      </w:r>
      <w:r>
        <w:rPr>
          <w:rStyle w:val="FootnoteReference"/>
          <w:szCs w:val="24"/>
        </w:rPr>
        <w:footnoteReference w:id="5"/>
      </w:r>
      <w:r w:rsidRPr="00025218" w:rsidR="00620E27">
        <w:rPr>
          <w:szCs w:val="24"/>
        </w:rPr>
        <w:t xml:space="preserve"> And every section of these rules states that it amplifies R.C. 4928.66, which again, pertains only to mandatory energy efficiency programs, </w:t>
      </w:r>
      <w:r w:rsidRPr="008D1B90" w:rsidR="008D1B90">
        <w:rPr>
          <w:i/>
          <w:iCs/>
          <w:szCs w:val="24"/>
        </w:rPr>
        <w:t>not</w:t>
      </w:r>
      <w:r w:rsidRPr="00025218" w:rsidR="00620E27">
        <w:rPr>
          <w:szCs w:val="24"/>
        </w:rPr>
        <w:t xml:space="preserve"> the non-mandatory programs that Duke is proposing.</w:t>
      </w:r>
    </w:p>
    <w:p w:rsidR="00A16282" w:rsidP="00A16282">
      <w:pPr>
        <w:pStyle w:val="BodyTextIndent3"/>
        <w:spacing w:line="480" w:lineRule="auto"/>
        <w:ind w:right="-312"/>
        <w:rPr>
          <w:szCs w:val="24"/>
        </w:rPr>
      </w:pPr>
      <w:r w:rsidRPr="00025218">
        <w:rPr>
          <w:szCs w:val="24"/>
        </w:rPr>
        <w:t xml:space="preserve">In short, because these rules are designed for statutorily mandated energy efficiency programs, and </w:t>
      </w:r>
      <w:r w:rsidR="00076E30">
        <w:rPr>
          <w:szCs w:val="24"/>
        </w:rPr>
        <w:t>there no longer are</w:t>
      </w:r>
      <w:r w:rsidRPr="00025218">
        <w:rPr>
          <w:szCs w:val="24"/>
        </w:rPr>
        <w:t xml:space="preserve"> mandated</w:t>
      </w:r>
      <w:r w:rsidR="00076E30">
        <w:rPr>
          <w:szCs w:val="24"/>
        </w:rPr>
        <w:t xml:space="preserve"> energy efficiency programs</w:t>
      </w:r>
      <w:r w:rsidRPr="00025218">
        <w:rPr>
          <w:szCs w:val="24"/>
        </w:rPr>
        <w:t>, the rules do not apply</w:t>
      </w:r>
      <w:r w:rsidR="00645BE2">
        <w:rPr>
          <w:szCs w:val="24"/>
        </w:rPr>
        <w:t xml:space="preserve"> to enable Duke’s application</w:t>
      </w:r>
      <w:r w:rsidRPr="00025218">
        <w:rPr>
          <w:szCs w:val="24"/>
        </w:rPr>
        <w:t>.</w:t>
      </w:r>
      <w:r w:rsidR="00645BE2">
        <w:rPr>
          <w:szCs w:val="24"/>
        </w:rPr>
        <w:t xml:space="preserve"> The </w:t>
      </w:r>
      <w:r w:rsidR="00215E81">
        <w:rPr>
          <w:szCs w:val="24"/>
        </w:rPr>
        <w:t xml:space="preserve">law does not allow the proposed Duke charges to consumers and the </w:t>
      </w:r>
      <w:r w:rsidR="00645BE2">
        <w:rPr>
          <w:szCs w:val="24"/>
        </w:rPr>
        <w:t xml:space="preserve">PUCO </w:t>
      </w:r>
      <w:r w:rsidR="00215E81">
        <w:rPr>
          <w:szCs w:val="24"/>
        </w:rPr>
        <w:t>thus can</w:t>
      </w:r>
      <w:r w:rsidR="00645BE2">
        <w:rPr>
          <w:szCs w:val="24"/>
        </w:rPr>
        <w:t xml:space="preserve">not </w:t>
      </w:r>
      <w:r w:rsidR="00C35B37">
        <w:rPr>
          <w:szCs w:val="24"/>
        </w:rPr>
        <w:t xml:space="preserve">allow Duke a foot in the door </w:t>
      </w:r>
      <w:r w:rsidR="00645BE2">
        <w:rPr>
          <w:szCs w:val="24"/>
        </w:rPr>
        <w:t>for these charges to consumers by creating the unlawful precedent of granting Duke’s proposal.</w:t>
      </w:r>
      <w:r w:rsidR="00417983">
        <w:rPr>
          <w:szCs w:val="24"/>
        </w:rPr>
        <w:t xml:space="preserve"> </w:t>
      </w:r>
    </w:p>
    <w:p w:rsidR="005150C8" w:rsidP="003F404A">
      <w:pPr>
        <w:pStyle w:val="Heading2"/>
      </w:pPr>
      <w:bookmarkStart w:id="4" w:name="_Toc55828283"/>
      <w:r>
        <w:t>B.</w:t>
      </w:r>
      <w:r>
        <w:tab/>
        <w:t>The PUCO lacks statutory authority to approve a new charge to customers under Duke’s proposed new energy efficiency rider</w:t>
      </w:r>
      <w:r w:rsidR="00215E81">
        <w:t xml:space="preserve"> (and Duke’s application should be suspended if not outright denied)</w:t>
      </w:r>
      <w:r>
        <w:t>.</w:t>
      </w:r>
      <w:bookmarkEnd w:id="4"/>
    </w:p>
    <w:p w:rsidR="00E6666C" w:rsidP="00A16282">
      <w:pPr>
        <w:pStyle w:val="BodyTextIndent3"/>
        <w:spacing w:line="480" w:lineRule="auto"/>
        <w:ind w:right="-312"/>
        <w:rPr>
          <w:szCs w:val="24"/>
        </w:rPr>
      </w:pPr>
      <w:r>
        <w:rPr>
          <w:szCs w:val="24"/>
        </w:rPr>
        <w:t xml:space="preserve">It has long been </w:t>
      </w:r>
      <w:r w:rsidR="001142A5">
        <w:rPr>
          <w:szCs w:val="24"/>
        </w:rPr>
        <w:t>established that the “PUCO, as a create of statute, has no authority to act beyond its statutory powers.”</w:t>
      </w:r>
      <w:r>
        <w:rPr>
          <w:rStyle w:val="FootnoteReference"/>
          <w:szCs w:val="24"/>
        </w:rPr>
        <w:footnoteReference w:id="6"/>
      </w:r>
      <w:r w:rsidR="001142A5">
        <w:rPr>
          <w:szCs w:val="24"/>
        </w:rPr>
        <w:t xml:space="preserve"> There is no statute that allows the PUCO to approve a new rider charge to customers like the one Duke proposes. Thus, the PUCO should reject Duke’s Application. </w:t>
      </w:r>
      <w:r w:rsidR="003A750F">
        <w:rPr>
          <w:szCs w:val="24"/>
        </w:rPr>
        <w:t>A</w:t>
      </w:r>
      <w:r w:rsidR="004F1A23">
        <w:rPr>
          <w:szCs w:val="24"/>
        </w:rPr>
        <w:t xml:space="preserve">t a minimum, </w:t>
      </w:r>
      <w:r w:rsidR="003A750F">
        <w:rPr>
          <w:szCs w:val="24"/>
        </w:rPr>
        <w:t>the PUCO</w:t>
      </w:r>
      <w:r w:rsidR="004F1A23">
        <w:rPr>
          <w:szCs w:val="24"/>
        </w:rPr>
        <w:t xml:space="preserve"> should </w:t>
      </w:r>
      <w:r w:rsidRPr="008D1B90" w:rsidR="008D1B90">
        <w:rPr>
          <w:i/>
          <w:iCs/>
          <w:szCs w:val="24"/>
        </w:rPr>
        <w:t>suspend</w:t>
      </w:r>
      <w:r w:rsidR="004F1A23">
        <w:rPr>
          <w:szCs w:val="24"/>
        </w:rPr>
        <w:t xml:space="preserve"> Duke’s Application to </w:t>
      </w:r>
      <w:r w:rsidR="00C35B37">
        <w:rPr>
          <w:szCs w:val="24"/>
        </w:rPr>
        <w:t>prevent any possibility of automatic approval</w:t>
      </w:r>
      <w:r w:rsidR="003A750F">
        <w:rPr>
          <w:szCs w:val="24"/>
        </w:rPr>
        <w:t>, though there can be no automatic approval because the rules for such approval no longer apply</w:t>
      </w:r>
      <w:r w:rsidR="008736F8">
        <w:rPr>
          <w:szCs w:val="24"/>
        </w:rPr>
        <w:t>.</w:t>
      </w:r>
      <w:r w:rsidR="002E0823">
        <w:rPr>
          <w:szCs w:val="24"/>
        </w:rPr>
        <w:t xml:space="preserve">  </w:t>
      </w:r>
    </w:p>
    <w:p w:rsidR="00A16282" w:rsidRPr="00025218" w:rsidP="00A16282">
      <w:pPr>
        <w:pStyle w:val="BodyTextIndent3"/>
        <w:spacing w:line="480" w:lineRule="auto"/>
        <w:ind w:right="-312"/>
        <w:rPr>
          <w:szCs w:val="24"/>
        </w:rPr>
      </w:pPr>
      <w:r w:rsidRPr="00025218">
        <w:rPr>
          <w:szCs w:val="24"/>
        </w:rPr>
        <w:t xml:space="preserve">Duke proposes that </w:t>
      </w:r>
      <w:r w:rsidR="00E6666C">
        <w:rPr>
          <w:szCs w:val="24"/>
        </w:rPr>
        <w:t>the PUCO</w:t>
      </w:r>
      <w:r w:rsidRPr="00025218">
        <w:rPr>
          <w:szCs w:val="24"/>
        </w:rPr>
        <w:t xml:space="preserve"> create a new rider, “Rider DSM,” to charge customers for its newly-proposed energy efficiency programs in 2021.</w:t>
      </w:r>
      <w:r>
        <w:rPr>
          <w:rStyle w:val="FootnoteReference"/>
          <w:szCs w:val="24"/>
        </w:rPr>
        <w:footnoteReference w:id="7"/>
      </w:r>
      <w:r w:rsidRPr="00025218">
        <w:rPr>
          <w:szCs w:val="24"/>
        </w:rPr>
        <w:t xml:space="preserve"> In support of its request for a new rider, Duke relies on Ohio Adm. Code 4901:1-39-06.</w:t>
      </w:r>
      <w:r>
        <w:rPr>
          <w:rStyle w:val="FootnoteReference"/>
          <w:szCs w:val="24"/>
        </w:rPr>
        <w:footnoteReference w:id="8"/>
      </w:r>
      <w:r w:rsidRPr="00025218">
        <w:rPr>
          <w:szCs w:val="24"/>
        </w:rPr>
        <w:t xml:space="preserve"> But for the reasons explained above, Ohio Adm. Code 4901:1-39-06 does not apply to Duke’s proposed non-mandated programs, so it cannot be the basis for a new rider to be charged to customers.</w:t>
      </w:r>
    </w:p>
    <w:p w:rsidR="00AB1867" w:rsidRPr="00025218" w:rsidP="00A16282">
      <w:pPr>
        <w:pStyle w:val="BodyTextIndent3"/>
        <w:spacing w:line="480" w:lineRule="auto"/>
        <w:ind w:right="-312"/>
        <w:rPr>
          <w:szCs w:val="24"/>
        </w:rPr>
      </w:pPr>
      <w:r w:rsidRPr="00025218">
        <w:rPr>
          <w:szCs w:val="24"/>
        </w:rPr>
        <w:t xml:space="preserve">Duke </w:t>
      </w:r>
      <w:r w:rsidRPr="00025218" w:rsidR="00B22157">
        <w:rPr>
          <w:szCs w:val="24"/>
        </w:rPr>
        <w:t>also relies on</w:t>
      </w:r>
      <w:r w:rsidRPr="00025218">
        <w:rPr>
          <w:szCs w:val="24"/>
        </w:rPr>
        <w:t xml:space="preserve"> a prior PUCO ruling </w:t>
      </w:r>
      <w:r w:rsidRPr="00025218" w:rsidR="00B22157">
        <w:rPr>
          <w:szCs w:val="24"/>
        </w:rPr>
        <w:t xml:space="preserve">where it stated, “While the Commission recognizes Duke’s need to seek a new cost recovery mechanism to replace the now-expired Rider SAW, we believe [that] such a mechanism may </w:t>
      </w:r>
      <w:r w:rsidRPr="00025218" w:rsidR="00B22157">
        <w:rPr>
          <w:i/>
          <w:szCs w:val="24"/>
        </w:rPr>
        <w:t>only</w:t>
      </w:r>
      <w:r w:rsidRPr="00025218" w:rsidR="00B22157">
        <w:rPr>
          <w:szCs w:val="24"/>
        </w:rPr>
        <w:t xml:space="preserve"> be sought in the context of an ESP or pursuant to the requirements of Rule 4901:1-39-07, O.A.C., which allows a cost recovery mechanism to be sought as part of a portfolio filing.”</w:t>
      </w:r>
      <w:r>
        <w:rPr>
          <w:rStyle w:val="FootnoteReference"/>
          <w:szCs w:val="24"/>
        </w:rPr>
        <w:footnoteReference w:id="9"/>
      </w:r>
      <w:r w:rsidRPr="00025218" w:rsidR="00B22157">
        <w:rPr>
          <w:szCs w:val="24"/>
        </w:rPr>
        <w:t xml:space="preserve"> But this PUCO ruling actually demonstrates precisely why Duke’s proposal is </w:t>
      </w:r>
      <w:r w:rsidRPr="00025218" w:rsidR="00B22157">
        <w:rPr>
          <w:i/>
          <w:szCs w:val="24"/>
        </w:rPr>
        <w:t>not</w:t>
      </w:r>
      <w:r w:rsidRPr="00025218" w:rsidR="00B22157">
        <w:rPr>
          <w:szCs w:val="24"/>
        </w:rPr>
        <w:t xml:space="preserve"> lawful.</w:t>
      </w:r>
    </w:p>
    <w:p w:rsidR="00B22157" w:rsidRPr="00025218" w:rsidP="00A16282">
      <w:pPr>
        <w:pStyle w:val="BodyTextIndent3"/>
        <w:spacing w:line="480" w:lineRule="auto"/>
        <w:ind w:right="-312"/>
        <w:rPr>
          <w:szCs w:val="24"/>
        </w:rPr>
      </w:pPr>
      <w:r w:rsidRPr="00025218">
        <w:rPr>
          <w:szCs w:val="24"/>
        </w:rPr>
        <w:t xml:space="preserve">The PUCO identified </w:t>
      </w:r>
      <w:r w:rsidRPr="008D1B90" w:rsidR="008D1B90">
        <w:rPr>
          <w:i/>
          <w:iCs/>
          <w:szCs w:val="24"/>
        </w:rPr>
        <w:t>two instances</w:t>
      </w:r>
      <w:r w:rsidRPr="00025218">
        <w:rPr>
          <w:szCs w:val="24"/>
        </w:rPr>
        <w:t xml:space="preserve"> in which a new energy efficiency rider charge can be added to customers’ bills: in an electric security plan case, or in a case filed under Ohio Adm. Code Chapter 4901:1-39. But Duke’s current case is neither. It is obviously not </w:t>
      </w:r>
      <w:r w:rsidR="00C35B37">
        <w:rPr>
          <w:szCs w:val="24"/>
        </w:rPr>
        <w:t xml:space="preserve">for </w:t>
      </w:r>
      <w:r w:rsidRPr="00025218">
        <w:rPr>
          <w:szCs w:val="24"/>
        </w:rPr>
        <w:t>an electric security plan. And</w:t>
      </w:r>
      <w:r w:rsidR="00D83595">
        <w:rPr>
          <w:szCs w:val="24"/>
        </w:rPr>
        <w:t>,</w:t>
      </w:r>
      <w:r w:rsidRPr="00025218">
        <w:rPr>
          <w:szCs w:val="24"/>
        </w:rPr>
        <w:t xml:space="preserve"> as explained above, it is not a case under Ohio Adm. Code Chapter 4901:1-39 because those rules apply to statutorily mandated programs only, which Duke’s proposed programs are not.</w:t>
      </w:r>
    </w:p>
    <w:p w:rsidR="00E6666C" w:rsidP="009A64D8">
      <w:pPr>
        <w:pStyle w:val="BodyTextIndent3"/>
        <w:spacing w:line="480" w:lineRule="auto"/>
        <w:ind w:right="-312"/>
        <w:rPr>
          <w:szCs w:val="24"/>
        </w:rPr>
      </w:pPr>
      <w:r w:rsidRPr="00025218">
        <w:rPr>
          <w:szCs w:val="24"/>
        </w:rPr>
        <w:t xml:space="preserve">That being the case, there is </w:t>
      </w:r>
      <w:r>
        <w:rPr>
          <w:szCs w:val="24"/>
        </w:rPr>
        <w:t>no</w:t>
      </w:r>
      <w:r w:rsidRPr="00025218">
        <w:rPr>
          <w:szCs w:val="24"/>
        </w:rPr>
        <w:t xml:space="preserve"> statutory basis for Duke’s request to add a new rider to customers’ bills in this case.</w:t>
      </w:r>
      <w:r w:rsidR="00D83595">
        <w:rPr>
          <w:szCs w:val="24"/>
        </w:rPr>
        <w:t xml:space="preserve"> Duke availed itself of the 2008 law’s generous opportunity for creating riders in an electric security plan.  And Duke went for a long-term plan that, under the law’s (limited) consumer protection, ended its ability to visit upon consumers new rider</w:t>
      </w:r>
      <w:r w:rsidR="008017B8">
        <w:rPr>
          <w:szCs w:val="24"/>
        </w:rPr>
        <w:t xml:space="preserve"> charges</w:t>
      </w:r>
      <w:r w:rsidR="00D83595">
        <w:rPr>
          <w:szCs w:val="24"/>
        </w:rPr>
        <w:t xml:space="preserve"> until </w:t>
      </w:r>
      <w:r w:rsidR="00210792">
        <w:rPr>
          <w:szCs w:val="24"/>
        </w:rPr>
        <w:t>the plan</w:t>
      </w:r>
      <w:r w:rsidR="00D83595">
        <w:rPr>
          <w:szCs w:val="24"/>
        </w:rPr>
        <w:t xml:space="preserve"> expires in 2025. </w:t>
      </w:r>
      <w:r w:rsidRPr="00025218">
        <w:rPr>
          <w:szCs w:val="24"/>
        </w:rPr>
        <w:t xml:space="preserve"> Certainly, the PUCO should not allow Duke’s proposed rider—which includes a charge for utility profit</w:t>
      </w:r>
      <w:r w:rsidRPr="00025218" w:rsidR="009A64D8">
        <w:rPr>
          <w:szCs w:val="24"/>
        </w:rPr>
        <w:t xml:space="preserve">s—to be </w:t>
      </w:r>
      <w:r w:rsidRPr="00431353" w:rsidR="00431353">
        <w:rPr>
          <w:i/>
          <w:iCs/>
          <w:szCs w:val="24"/>
        </w:rPr>
        <w:t>automatically</w:t>
      </w:r>
      <w:r w:rsidRPr="00025218" w:rsidR="009A64D8">
        <w:rPr>
          <w:szCs w:val="24"/>
        </w:rPr>
        <w:t xml:space="preserve"> approved. </w:t>
      </w:r>
      <w:r w:rsidRPr="00025218">
        <w:rPr>
          <w:szCs w:val="24"/>
        </w:rPr>
        <w:t>Were the PUCO to apply Ohio Adm. Code 4901:1-39-06(B)</w:t>
      </w:r>
      <w:r w:rsidR="008017B8">
        <w:rPr>
          <w:szCs w:val="24"/>
        </w:rPr>
        <w:t xml:space="preserve"> </w:t>
      </w:r>
      <w:r w:rsidR="008B2E80">
        <w:rPr>
          <w:szCs w:val="24"/>
        </w:rPr>
        <w:t>–</w:t>
      </w:r>
      <w:r w:rsidR="008017B8">
        <w:rPr>
          <w:szCs w:val="24"/>
        </w:rPr>
        <w:t>which does not apply</w:t>
      </w:r>
      <w:r w:rsidR="008B2E80">
        <w:rPr>
          <w:szCs w:val="24"/>
        </w:rPr>
        <w:t>—</w:t>
      </w:r>
      <w:r w:rsidRPr="00025218">
        <w:rPr>
          <w:szCs w:val="24"/>
        </w:rPr>
        <w:t>Duke’s proposal to add a new rider would “be automatically deemed to be reasonable” if the PUCO takes no action within 30 days of a party filing comments.</w:t>
      </w:r>
      <w:r w:rsidRPr="00025218" w:rsidR="00924253">
        <w:rPr>
          <w:szCs w:val="24"/>
        </w:rPr>
        <w:t xml:space="preserve"> </w:t>
      </w:r>
    </w:p>
    <w:p w:rsidR="00B22157" w:rsidRPr="00025218" w:rsidP="009A64D8">
      <w:pPr>
        <w:pStyle w:val="BodyTextIndent3"/>
        <w:spacing w:line="480" w:lineRule="auto"/>
        <w:ind w:right="-312"/>
        <w:rPr>
          <w:szCs w:val="24"/>
        </w:rPr>
      </w:pPr>
      <w:r w:rsidRPr="00025218">
        <w:rPr>
          <w:szCs w:val="24"/>
        </w:rPr>
        <w:t>Thus, within 30 days of filing these comments, the PUCO</w:t>
      </w:r>
      <w:r w:rsidR="00E6666C">
        <w:rPr>
          <w:szCs w:val="24"/>
        </w:rPr>
        <w:t xml:space="preserve"> should </w:t>
      </w:r>
      <w:r w:rsidR="004F1A23">
        <w:rPr>
          <w:szCs w:val="24"/>
        </w:rPr>
        <w:t xml:space="preserve">deny Duke’s Application. At a minimum, it should </w:t>
      </w:r>
      <w:r w:rsidRPr="00025218">
        <w:rPr>
          <w:szCs w:val="24"/>
        </w:rPr>
        <w:t>rule that Duke’s proposed rider charge is</w:t>
      </w:r>
      <w:r w:rsidR="009F4CE7">
        <w:rPr>
          <w:szCs w:val="24"/>
        </w:rPr>
        <w:t xml:space="preserve"> suspended</w:t>
      </w:r>
      <w:r w:rsidR="00262BAD">
        <w:rPr>
          <w:szCs w:val="24"/>
        </w:rPr>
        <w:t xml:space="preserve"> and</w:t>
      </w:r>
      <w:r w:rsidRPr="00025218">
        <w:rPr>
          <w:szCs w:val="24"/>
        </w:rPr>
        <w:t xml:space="preserve"> not automatically approved under Ohio Adm. Code 4901:1-39-06(B). </w:t>
      </w:r>
      <w:r w:rsidR="00E6666C">
        <w:rPr>
          <w:szCs w:val="24"/>
        </w:rPr>
        <w:t>As stated,</w:t>
      </w:r>
      <w:r w:rsidRPr="00025218">
        <w:rPr>
          <w:szCs w:val="24"/>
        </w:rPr>
        <w:t xml:space="preserve"> new charges to customers for Duke’s non-mandated programs </w:t>
      </w:r>
      <w:r w:rsidR="00E6666C">
        <w:rPr>
          <w:szCs w:val="24"/>
        </w:rPr>
        <w:t xml:space="preserve">would not be legal. </w:t>
      </w:r>
    </w:p>
    <w:p w:rsidR="00E46AD8" w:rsidRPr="00025218" w:rsidP="003F404A">
      <w:pPr>
        <w:pStyle w:val="Heading2"/>
      </w:pPr>
      <w:bookmarkStart w:id="5" w:name="_Toc55828284"/>
      <w:r w:rsidRPr="00025218">
        <w:t>C.</w:t>
      </w:r>
      <w:r w:rsidRPr="00025218">
        <w:tab/>
        <w:t>The PUCO should reject Duke’s proposal to charge customers for utility profits on non-mandated energy efficiency programs.</w:t>
      </w:r>
      <w:bookmarkEnd w:id="5"/>
    </w:p>
    <w:p w:rsidR="00FD0C34" w:rsidRPr="00025218" w:rsidP="00FD0C34">
      <w:pPr>
        <w:pStyle w:val="BodyTextIndent3"/>
        <w:spacing w:line="480" w:lineRule="auto"/>
        <w:ind w:right="-312"/>
        <w:rPr>
          <w:szCs w:val="24"/>
        </w:rPr>
      </w:pPr>
      <w:r w:rsidRPr="00025218">
        <w:rPr>
          <w:szCs w:val="24"/>
        </w:rPr>
        <w:t xml:space="preserve">In addition to nearly $6 million in charges to run its proposed energy efficiency programs, Duke proposes a new charge to customers that it </w:t>
      </w:r>
      <w:r w:rsidR="00113EB4">
        <w:rPr>
          <w:szCs w:val="24"/>
        </w:rPr>
        <w:t xml:space="preserve">euphemistically </w:t>
      </w:r>
      <w:r w:rsidRPr="00025218">
        <w:rPr>
          <w:szCs w:val="24"/>
        </w:rPr>
        <w:t>calls the “Joint Benefit Recognition Mechanism.”</w:t>
      </w:r>
      <w:r>
        <w:rPr>
          <w:rStyle w:val="FootnoteReference"/>
          <w:szCs w:val="24"/>
        </w:rPr>
        <w:footnoteReference w:id="10"/>
      </w:r>
      <w:r w:rsidRPr="00025218">
        <w:rPr>
          <w:szCs w:val="24"/>
        </w:rPr>
        <w:t xml:space="preserve"> Duke proposes that under this mechanism, it be allowed to charge customers “4.5% of the total avoided costs resulting from transmission and distribution savings from customer participation in the Company’s portfolio of approved programs, via a rider.”</w:t>
      </w:r>
      <w:r>
        <w:rPr>
          <w:rStyle w:val="FootnoteReference"/>
          <w:szCs w:val="24"/>
        </w:rPr>
        <w:footnoteReference w:id="11"/>
      </w:r>
      <w:r w:rsidRPr="00025218">
        <w:rPr>
          <w:szCs w:val="24"/>
        </w:rPr>
        <w:t xml:space="preserve"> In other words, Duke will calculate the amount of distribution and transmission costs it believes are saved by the programs, and then it will charge</w:t>
      </w:r>
      <w:r w:rsidRPr="00025218" w:rsidR="009A64D8">
        <w:rPr>
          <w:szCs w:val="24"/>
        </w:rPr>
        <w:t xml:space="preserve"> customers 4.5% of that amount.</w:t>
      </w:r>
    </w:p>
    <w:p w:rsidR="00FD0C34" w:rsidRPr="00025218" w:rsidP="00FD0C34">
      <w:pPr>
        <w:pStyle w:val="BodyTextIndent3"/>
        <w:spacing w:line="480" w:lineRule="auto"/>
        <w:ind w:right="-312"/>
        <w:rPr>
          <w:szCs w:val="24"/>
        </w:rPr>
      </w:pPr>
      <w:r w:rsidRPr="00025218">
        <w:rPr>
          <w:szCs w:val="24"/>
        </w:rPr>
        <w:t xml:space="preserve">This charge is a form of utility profits. And in fact, its design is similar to the way that </w:t>
      </w:r>
      <w:r w:rsidRPr="00025218" w:rsidR="009A64D8">
        <w:rPr>
          <w:szCs w:val="24"/>
        </w:rPr>
        <w:t>“</w:t>
      </w:r>
      <w:r w:rsidRPr="00025218">
        <w:rPr>
          <w:szCs w:val="24"/>
        </w:rPr>
        <w:t>shared savings</w:t>
      </w:r>
      <w:r w:rsidRPr="00025218" w:rsidR="009A64D8">
        <w:rPr>
          <w:szCs w:val="24"/>
        </w:rPr>
        <w:t>”</w:t>
      </w:r>
      <w:r w:rsidRPr="00025218">
        <w:rPr>
          <w:szCs w:val="24"/>
        </w:rPr>
        <w:t xml:space="preserve"> were calculated for Duke’s </w:t>
      </w:r>
      <w:r w:rsidR="001247A6">
        <w:rPr>
          <w:szCs w:val="24"/>
        </w:rPr>
        <w:t xml:space="preserve">energy efficiency </w:t>
      </w:r>
      <w:r w:rsidRPr="00025218">
        <w:rPr>
          <w:szCs w:val="24"/>
        </w:rPr>
        <w:t>portfolio in the past. Under Duke’s shared savings mechanism, the avoided generation costs from energy efficiency programs were calculated, and Duke was then allowed to charge customers a percentage of those avoided costs, which was called “shared savings.” The primary difference between shared savings and Duke’s newly-proposed Joint Benefit Recognition Mechanism is that one was based on avoided generation costs and the other is based on avoided transmission and distribution costs.</w:t>
      </w:r>
      <w:r>
        <w:rPr>
          <w:rStyle w:val="FootnoteReference"/>
          <w:szCs w:val="24"/>
        </w:rPr>
        <w:footnoteReference w:id="12"/>
      </w:r>
      <w:r w:rsidRPr="00025218">
        <w:rPr>
          <w:szCs w:val="24"/>
        </w:rPr>
        <w:t xml:space="preserve"> Otherwise, they are both charges to consumers for utility profits on top of the actual costs of the programs.</w:t>
      </w:r>
    </w:p>
    <w:p w:rsidR="009A64D8" w:rsidRPr="00025218" w:rsidP="00FD0C34">
      <w:pPr>
        <w:pStyle w:val="BodyTextIndent3"/>
        <w:spacing w:line="480" w:lineRule="auto"/>
        <w:ind w:right="-312"/>
        <w:rPr>
          <w:szCs w:val="24"/>
        </w:rPr>
      </w:pPr>
      <w:r w:rsidRPr="00025218">
        <w:rPr>
          <w:szCs w:val="24"/>
        </w:rPr>
        <w:t>And</w:t>
      </w:r>
      <w:r w:rsidR="00113EB4">
        <w:rPr>
          <w:szCs w:val="24"/>
        </w:rPr>
        <w:t>,</w:t>
      </w:r>
      <w:r w:rsidRPr="00025218">
        <w:rPr>
          <w:szCs w:val="24"/>
        </w:rPr>
        <w:t xml:space="preserve"> as Duke is well aware, </w:t>
      </w:r>
      <w:r w:rsidR="00F21206">
        <w:rPr>
          <w:szCs w:val="24"/>
        </w:rPr>
        <w:t xml:space="preserve">just five months ago </w:t>
      </w:r>
      <w:r w:rsidRPr="00025218">
        <w:rPr>
          <w:szCs w:val="24"/>
        </w:rPr>
        <w:t xml:space="preserve">the PUCO </w:t>
      </w:r>
      <w:r w:rsidR="00113EB4">
        <w:rPr>
          <w:szCs w:val="24"/>
        </w:rPr>
        <w:t>acted</w:t>
      </w:r>
      <w:r w:rsidRPr="00025218">
        <w:rPr>
          <w:szCs w:val="24"/>
        </w:rPr>
        <w:t xml:space="preserve"> on its own </w:t>
      </w:r>
      <w:r w:rsidR="00F21206">
        <w:rPr>
          <w:szCs w:val="24"/>
        </w:rPr>
        <w:t>(</w:t>
      </w:r>
      <w:r w:rsidRPr="00025218">
        <w:rPr>
          <w:szCs w:val="24"/>
        </w:rPr>
        <w:t>without any request by a party</w:t>
      </w:r>
      <w:r w:rsidR="00F21206">
        <w:rPr>
          <w:szCs w:val="24"/>
        </w:rPr>
        <w:t>)</w:t>
      </w:r>
      <w:r w:rsidR="00113EB4">
        <w:rPr>
          <w:szCs w:val="24"/>
        </w:rPr>
        <w:t xml:space="preserve"> to reject</w:t>
      </w:r>
      <w:r w:rsidRPr="00025218">
        <w:rPr>
          <w:szCs w:val="24"/>
        </w:rPr>
        <w:t xml:space="preserve"> Duke’s proposal for shared savings.</w:t>
      </w:r>
      <w:r>
        <w:rPr>
          <w:rStyle w:val="FootnoteReference"/>
          <w:szCs w:val="24"/>
        </w:rPr>
        <w:footnoteReference w:id="13"/>
      </w:r>
      <w:r w:rsidRPr="00025218">
        <w:rPr>
          <w:szCs w:val="24"/>
        </w:rPr>
        <w:t xml:space="preserve"> Earlier this year, Duke filed a request for a new energy efficiency portfolio for 2021</w:t>
      </w:r>
      <w:r w:rsidRPr="00025218" w:rsidR="00CE1109">
        <w:rPr>
          <w:szCs w:val="24"/>
        </w:rPr>
        <w:t>.</w:t>
      </w:r>
      <w:r>
        <w:rPr>
          <w:rStyle w:val="FootnoteReference"/>
          <w:szCs w:val="24"/>
        </w:rPr>
        <w:footnoteReference w:id="14"/>
      </w:r>
      <w:r w:rsidRPr="00025218" w:rsidR="00CE1109">
        <w:rPr>
          <w:szCs w:val="24"/>
        </w:rPr>
        <w:t xml:space="preserve"> That portfolio filing included a request to charge customers for utility profits in the form of shared savings.</w:t>
      </w:r>
      <w:r>
        <w:rPr>
          <w:rStyle w:val="FootnoteReference"/>
          <w:szCs w:val="24"/>
        </w:rPr>
        <w:footnoteReference w:id="15"/>
      </w:r>
      <w:r w:rsidRPr="00025218" w:rsidR="00CE1109">
        <w:rPr>
          <w:szCs w:val="24"/>
        </w:rPr>
        <w:t xml:space="preserve"> The PUCO issued an entry, </w:t>
      </w:r>
      <w:r w:rsidRPr="00025218" w:rsidR="00CE1109">
        <w:rPr>
          <w:i/>
          <w:szCs w:val="24"/>
        </w:rPr>
        <w:t>sua sponte</w:t>
      </w:r>
      <w:r w:rsidRPr="00025218" w:rsidR="00CE1109">
        <w:rPr>
          <w:szCs w:val="24"/>
        </w:rPr>
        <w:t>, striking Duke’s shared savings request from its portfolio application.</w:t>
      </w:r>
      <w:r>
        <w:rPr>
          <w:rStyle w:val="FootnoteReference"/>
          <w:szCs w:val="24"/>
        </w:rPr>
        <w:footnoteReference w:id="16"/>
      </w:r>
      <w:r w:rsidR="00113EB4">
        <w:rPr>
          <w:szCs w:val="24"/>
        </w:rPr>
        <w:t xml:space="preserve"> </w:t>
      </w:r>
    </w:p>
    <w:p w:rsidR="00CE1109" w:rsidRPr="00025218" w:rsidP="00FD0C34">
      <w:pPr>
        <w:pStyle w:val="BodyTextIndent3"/>
        <w:spacing w:line="480" w:lineRule="auto"/>
        <w:ind w:right="-312"/>
        <w:rPr>
          <w:szCs w:val="24"/>
        </w:rPr>
      </w:pPr>
      <w:r w:rsidRPr="00025218">
        <w:rPr>
          <w:szCs w:val="24"/>
        </w:rPr>
        <w:t>As the PUCO explained</w:t>
      </w:r>
      <w:r w:rsidR="00C223F5">
        <w:rPr>
          <w:szCs w:val="24"/>
        </w:rPr>
        <w:t xml:space="preserve"> in </w:t>
      </w:r>
      <w:r w:rsidR="002E3D5A">
        <w:rPr>
          <w:szCs w:val="24"/>
        </w:rPr>
        <w:t>that</w:t>
      </w:r>
      <w:r w:rsidR="00C223F5">
        <w:rPr>
          <w:szCs w:val="24"/>
        </w:rPr>
        <w:t xml:space="preserve"> Entry</w:t>
      </w:r>
      <w:r w:rsidR="000B2D77">
        <w:rPr>
          <w:szCs w:val="24"/>
        </w:rPr>
        <w:t xml:space="preserve"> </w:t>
      </w:r>
      <w:r w:rsidRPr="008D1B90" w:rsidR="008D1B90">
        <w:rPr>
          <w:i/>
          <w:iCs/>
          <w:szCs w:val="24"/>
        </w:rPr>
        <w:t>a mere five months ago</w:t>
      </w:r>
      <w:r w:rsidRPr="00025218">
        <w:rPr>
          <w:szCs w:val="24"/>
        </w:rPr>
        <w:t xml:space="preserve">, Duke’s shared savings proposal “would be against the objectives of this state which favors outcomes that provide customers with </w:t>
      </w:r>
      <w:r w:rsidRPr="00025218">
        <w:rPr>
          <w:i/>
          <w:szCs w:val="24"/>
        </w:rPr>
        <w:t>effective choices</w:t>
      </w:r>
      <w:r w:rsidRPr="00025218">
        <w:rPr>
          <w:szCs w:val="24"/>
        </w:rPr>
        <w:t xml:space="preserve"> over the selection of supplies and suppliers and would discourage market access for cost effective supply- and demand-side services.”</w:t>
      </w:r>
      <w:r>
        <w:rPr>
          <w:rStyle w:val="FootnoteReference"/>
          <w:szCs w:val="24"/>
        </w:rPr>
        <w:footnoteReference w:id="17"/>
      </w:r>
      <w:r w:rsidRPr="00025218">
        <w:rPr>
          <w:szCs w:val="24"/>
        </w:rPr>
        <w:t xml:space="preserve"> Further, the PUCO concluded that Duke failed to show that utility profits were “needed to ensure the availability to consumers of adequate, reliable, safe, efficient, nondiscriminatory, and reasonably priced retail electric service.”</w:t>
      </w:r>
      <w:r>
        <w:rPr>
          <w:rStyle w:val="FootnoteReference"/>
          <w:szCs w:val="24"/>
        </w:rPr>
        <w:footnoteReference w:id="18"/>
      </w:r>
      <w:r w:rsidRPr="00025218">
        <w:rPr>
          <w:szCs w:val="24"/>
        </w:rPr>
        <w:t xml:space="preserve"> Rather, because PJM projects a substantial reserve margin for the foreseeable future, “there is no need to provide an incentive to Duke to offer these EE programs in order to ensure the reliability of retail electric service in this state.”</w:t>
      </w:r>
      <w:r>
        <w:rPr>
          <w:rStyle w:val="FootnoteReference"/>
          <w:szCs w:val="24"/>
        </w:rPr>
        <w:footnoteReference w:id="19"/>
      </w:r>
      <w:r w:rsidRPr="00025218">
        <w:rPr>
          <w:szCs w:val="24"/>
        </w:rPr>
        <w:t xml:space="preserve"> Finally, the PUCO found that there was no statutory basis for Duke’s proposed shared savings charges.</w:t>
      </w:r>
      <w:r>
        <w:rPr>
          <w:rStyle w:val="FootnoteReference"/>
          <w:szCs w:val="24"/>
        </w:rPr>
        <w:footnoteReference w:id="20"/>
      </w:r>
    </w:p>
    <w:p w:rsidR="00CE1109" w:rsidP="00FD0C34">
      <w:pPr>
        <w:pStyle w:val="BodyTextIndent3"/>
        <w:spacing w:line="480" w:lineRule="auto"/>
        <w:ind w:right="-312"/>
        <w:rPr>
          <w:szCs w:val="24"/>
        </w:rPr>
      </w:pPr>
      <w:r w:rsidRPr="00025218">
        <w:rPr>
          <w:szCs w:val="24"/>
        </w:rPr>
        <w:t xml:space="preserve">The </w:t>
      </w:r>
      <w:r w:rsidR="00900567">
        <w:rPr>
          <w:szCs w:val="24"/>
        </w:rPr>
        <w:t>PUCO’s</w:t>
      </w:r>
      <w:r w:rsidRPr="00025218" w:rsidR="00900567">
        <w:rPr>
          <w:szCs w:val="24"/>
        </w:rPr>
        <w:t xml:space="preserve"> </w:t>
      </w:r>
      <w:r w:rsidRPr="00025218">
        <w:rPr>
          <w:szCs w:val="24"/>
        </w:rPr>
        <w:t xml:space="preserve">reasoning applies here to Duke’s proposed Joint Benefit Recognition Mechanism: it does not support competitive markets for energy efficiency; it is not needed to </w:t>
      </w:r>
      <w:r w:rsidR="00D86922">
        <w:rPr>
          <w:szCs w:val="24"/>
        </w:rPr>
        <w:t xml:space="preserve">ensure </w:t>
      </w:r>
      <w:r w:rsidRPr="00025218">
        <w:rPr>
          <w:szCs w:val="24"/>
        </w:rPr>
        <w:t xml:space="preserve">adequate, reliable, safe, efficient, nondiscriminatory, and reasonably priced retail electric service; and there is no statutory basis for it. Thus, the PUCO should strike the Joint Benefit Recognition Mechanism from Duke’s Application, just as it did </w:t>
      </w:r>
      <w:r w:rsidR="00A97369">
        <w:rPr>
          <w:szCs w:val="24"/>
        </w:rPr>
        <w:t xml:space="preserve">against </w:t>
      </w:r>
      <w:r w:rsidRPr="00025218">
        <w:rPr>
          <w:szCs w:val="24"/>
        </w:rPr>
        <w:t>Duke’s prior request for shared savings.</w:t>
      </w:r>
    </w:p>
    <w:p w:rsidR="005150C8" w:rsidP="003F404A">
      <w:pPr>
        <w:pStyle w:val="Heading2"/>
      </w:pPr>
      <w:bookmarkStart w:id="6" w:name="_Toc55828285"/>
      <w:r>
        <w:t>D.</w:t>
      </w:r>
      <w:r>
        <w:tab/>
      </w:r>
      <w:r w:rsidR="00A97369">
        <w:t>A better</w:t>
      </w:r>
      <w:r>
        <w:t xml:space="preserve"> use of </w:t>
      </w:r>
      <w:r w:rsidR="00A97369">
        <w:t xml:space="preserve">consumer (and utility) </w:t>
      </w:r>
      <w:r>
        <w:t>funds during and after the coronavirus pandemic and financial emergency is for bill payment assistance</w:t>
      </w:r>
      <w:r w:rsidR="00A97369">
        <w:t xml:space="preserve"> to keep Ohioans (many of whom are desperate for money) connected to utility services and to enable other uses of their money such as for food and housing</w:t>
      </w:r>
      <w:r>
        <w:t>.</w:t>
      </w:r>
      <w:bookmarkEnd w:id="6"/>
    </w:p>
    <w:p w:rsidR="002F618E" w:rsidP="00FD0C34">
      <w:pPr>
        <w:pStyle w:val="BodyTextIndent3"/>
        <w:spacing w:line="480" w:lineRule="auto"/>
        <w:ind w:right="-312"/>
        <w:rPr>
          <w:szCs w:val="24"/>
        </w:rPr>
      </w:pPr>
      <w:r>
        <w:rPr>
          <w:szCs w:val="24"/>
        </w:rPr>
        <w:t>Ohioans, including Cincinnati-area consumers in Duke’s service territory, continue to face financial hardship from the coronavirus pandemic and ensuing financial emergency.</w:t>
      </w:r>
      <w:r w:rsidR="00606631">
        <w:rPr>
          <w:szCs w:val="24"/>
        </w:rPr>
        <w:t xml:space="preserve"> Cincinnati has been noted as a city with residents challenged by lack of income.</w:t>
      </w:r>
      <w:r>
        <w:rPr>
          <w:szCs w:val="24"/>
        </w:rPr>
        <w:t xml:space="preserve"> The pandemic is not going away</w:t>
      </w:r>
      <w:r w:rsidR="00F40104">
        <w:rPr>
          <w:szCs w:val="24"/>
        </w:rPr>
        <w:t xml:space="preserve"> and is adding to people’s challenges</w:t>
      </w:r>
      <w:r>
        <w:rPr>
          <w:szCs w:val="24"/>
        </w:rPr>
        <w:t>. A week ago, Ohio reached 4,000 positive cases in a single day for the first time.</w:t>
      </w:r>
      <w:r>
        <w:rPr>
          <w:rStyle w:val="FootnoteReference"/>
          <w:szCs w:val="24"/>
        </w:rPr>
        <w:footnoteReference w:id="21"/>
      </w:r>
      <w:r>
        <w:rPr>
          <w:szCs w:val="24"/>
        </w:rPr>
        <w:t xml:space="preserve"> Days later Ohio reached a new landmark with </w:t>
      </w:r>
      <w:r>
        <w:rPr>
          <w:i/>
          <w:szCs w:val="24"/>
        </w:rPr>
        <w:t>5,000</w:t>
      </w:r>
      <w:r>
        <w:rPr>
          <w:szCs w:val="24"/>
        </w:rPr>
        <w:t xml:space="preserve"> cases in a single day.</w:t>
      </w:r>
      <w:r>
        <w:rPr>
          <w:rStyle w:val="FootnoteReference"/>
          <w:szCs w:val="24"/>
        </w:rPr>
        <w:footnoteReference w:id="22"/>
      </w:r>
      <w:r>
        <w:rPr>
          <w:szCs w:val="24"/>
        </w:rPr>
        <w:t xml:space="preserve"> As winter approaches, it appears things will get worse before they get better</w:t>
      </w:r>
      <w:r w:rsidR="00F40104">
        <w:rPr>
          <w:szCs w:val="24"/>
        </w:rPr>
        <w:t xml:space="preserve"> for Ohioans</w:t>
      </w:r>
      <w:r>
        <w:rPr>
          <w:szCs w:val="24"/>
        </w:rPr>
        <w:t>.</w:t>
      </w:r>
    </w:p>
    <w:p w:rsidR="002F618E" w:rsidP="00FD0C34">
      <w:pPr>
        <w:pStyle w:val="BodyTextIndent3"/>
        <w:spacing w:line="480" w:lineRule="auto"/>
        <w:ind w:right="-312"/>
        <w:rPr>
          <w:szCs w:val="24"/>
        </w:rPr>
      </w:pPr>
      <w:r>
        <w:rPr>
          <w:szCs w:val="24"/>
        </w:rPr>
        <w:t>The coronavirus has</w:t>
      </w:r>
      <w:r w:rsidR="00F422A5">
        <w:rPr>
          <w:szCs w:val="24"/>
        </w:rPr>
        <w:t xml:space="preserve"> caused substantial financial harm for Ohioans. Early in the pandemic, nearly 800,000 Ohioans had filed unemployment claims. And although that number has improved, there are currently more than 169,000 active claims. This is more than double the pre-pandemic number, which steadily hovered around 70,000.</w:t>
      </w:r>
      <w:r>
        <w:rPr>
          <w:rStyle w:val="FootnoteReference"/>
          <w:szCs w:val="24"/>
        </w:rPr>
        <w:footnoteReference w:id="23"/>
      </w:r>
      <w:r w:rsidR="00F422A5">
        <w:rPr>
          <w:szCs w:val="24"/>
        </w:rPr>
        <w:t xml:space="preserve"> In short, Ohioans are hurting, and they will continue to need help for the foreseeable future in paying their bills, including utility bills.</w:t>
      </w:r>
    </w:p>
    <w:p w:rsidR="004F1A23" w:rsidRPr="00025218" w:rsidP="00FD0C34">
      <w:pPr>
        <w:pStyle w:val="BodyTextIndent3"/>
        <w:spacing w:line="480" w:lineRule="auto"/>
        <w:ind w:right="-312"/>
        <w:rPr>
          <w:szCs w:val="24"/>
        </w:rPr>
      </w:pPr>
      <w:r>
        <w:rPr>
          <w:szCs w:val="24"/>
        </w:rPr>
        <w:t xml:space="preserve">Thus, if the PUCO ultimately determines that charges to consumers in this case are lawful (which, as explained above, they are not), then there should </w:t>
      </w:r>
      <w:r w:rsidR="00F40104">
        <w:rPr>
          <w:szCs w:val="24"/>
        </w:rPr>
        <w:t xml:space="preserve">only </w:t>
      </w:r>
      <w:r>
        <w:rPr>
          <w:szCs w:val="24"/>
        </w:rPr>
        <w:t xml:space="preserve">be charges for </w:t>
      </w:r>
      <w:r w:rsidR="00F40104">
        <w:rPr>
          <w:szCs w:val="24"/>
        </w:rPr>
        <w:t xml:space="preserve">the proposed </w:t>
      </w:r>
      <w:r>
        <w:rPr>
          <w:szCs w:val="24"/>
        </w:rPr>
        <w:t>low-income programs. Any funding that would otherwise be spent on non-low-income programs should instead be used for bill-payment assistance</w:t>
      </w:r>
      <w:r w:rsidR="00F40104">
        <w:rPr>
          <w:szCs w:val="24"/>
        </w:rPr>
        <w:t xml:space="preserve"> under the PUCO’s emergency powers</w:t>
      </w:r>
      <w:r>
        <w:rPr>
          <w:szCs w:val="24"/>
        </w:rPr>
        <w:t>, which is the simplest and most direct way to help those customers most in need.</w:t>
      </w:r>
    </w:p>
    <w:p w:rsidR="009A64D8" w:rsidRPr="00025218" w:rsidP="003F404A">
      <w:pPr>
        <w:pStyle w:val="Heading2"/>
      </w:pPr>
      <w:bookmarkStart w:id="7" w:name="_Toc55828286"/>
      <w:r>
        <w:t>E</w:t>
      </w:r>
      <w:r w:rsidRPr="00025218" w:rsidR="006245C0">
        <w:t>.</w:t>
      </w:r>
      <w:r w:rsidRPr="00025218" w:rsidR="006245C0">
        <w:tab/>
        <w:t xml:space="preserve">If the PUCO does approve </w:t>
      </w:r>
      <w:r w:rsidR="002E3D5A">
        <w:t xml:space="preserve">the unlawful </w:t>
      </w:r>
      <w:r w:rsidRPr="00025218" w:rsidR="006245C0">
        <w:t>charges to customers for utility profits</w:t>
      </w:r>
      <w:r w:rsidR="00D22B40">
        <w:t xml:space="preserve"> (which it shouldn’t)</w:t>
      </w:r>
      <w:r w:rsidRPr="00025218" w:rsidR="006245C0">
        <w:t>, there should be an annual limit on such charges.</w:t>
      </w:r>
      <w:bookmarkEnd w:id="7"/>
    </w:p>
    <w:p w:rsidR="006245C0" w:rsidRPr="00025218" w:rsidP="00FD0C34">
      <w:pPr>
        <w:pStyle w:val="BodyTextIndent3"/>
        <w:spacing w:line="480" w:lineRule="auto"/>
        <w:ind w:right="-312"/>
        <w:rPr>
          <w:szCs w:val="24"/>
        </w:rPr>
      </w:pPr>
      <w:r w:rsidRPr="00025218">
        <w:rPr>
          <w:szCs w:val="24"/>
        </w:rPr>
        <w:t>If the PUCO does approve Duke’s proposal to charge customers for utility profits (which it shouldn’t), then at a minimum, it should protect consumers by strictly limiting the amount that Duke can charge for utility profits.</w:t>
      </w:r>
    </w:p>
    <w:p w:rsidR="006245C0" w:rsidRPr="00025218" w:rsidP="00FD0C34">
      <w:pPr>
        <w:pStyle w:val="BodyTextIndent3"/>
        <w:spacing w:line="480" w:lineRule="auto"/>
        <w:ind w:right="-312"/>
        <w:rPr>
          <w:szCs w:val="24"/>
        </w:rPr>
      </w:pPr>
      <w:r w:rsidRPr="00025218">
        <w:rPr>
          <w:szCs w:val="24"/>
        </w:rPr>
        <w:t>Under the Application, Duke says that it projects charges of $449,014 under its proposed profit mechanism (the Joint Benefit Recognition Mechanism).</w:t>
      </w:r>
      <w:r>
        <w:rPr>
          <w:rStyle w:val="FootnoteReference"/>
          <w:szCs w:val="24"/>
        </w:rPr>
        <w:footnoteReference w:id="24"/>
      </w:r>
      <w:r w:rsidRPr="00025218">
        <w:rPr>
          <w:szCs w:val="24"/>
        </w:rPr>
        <w:t xml:space="preserve"> Duke does not, however, propose any cap on such profits. In the past, the PUCO has consistently imposed an annual cap on the amount of profits (shared savings) that utilities can charge customers.</w:t>
      </w:r>
      <w:r>
        <w:rPr>
          <w:rStyle w:val="FootnoteReference"/>
          <w:szCs w:val="24"/>
        </w:rPr>
        <w:footnoteReference w:id="25"/>
      </w:r>
      <w:r w:rsidRPr="00025218">
        <w:rPr>
          <w:szCs w:val="24"/>
        </w:rPr>
        <w:t xml:space="preserve"> It should do the same here.</w:t>
      </w:r>
    </w:p>
    <w:p w:rsidR="006245C0" w:rsidRPr="00025218" w:rsidP="00FD0C34">
      <w:pPr>
        <w:pStyle w:val="BodyTextIndent3"/>
        <w:spacing w:line="480" w:lineRule="auto"/>
        <w:ind w:right="-312"/>
        <w:rPr>
          <w:szCs w:val="24"/>
        </w:rPr>
      </w:pPr>
      <w:r>
        <w:rPr>
          <w:szCs w:val="24"/>
        </w:rPr>
        <w:t>I</w:t>
      </w:r>
      <w:r w:rsidRPr="00025218">
        <w:rPr>
          <w:szCs w:val="24"/>
        </w:rPr>
        <w:t>f Duke is allowed to charge customers for profits, the</w:t>
      </w:r>
      <w:r>
        <w:rPr>
          <w:szCs w:val="24"/>
        </w:rPr>
        <w:t xml:space="preserve"> profits</w:t>
      </w:r>
      <w:r w:rsidRPr="00025218">
        <w:rPr>
          <w:szCs w:val="24"/>
        </w:rPr>
        <w:t xml:space="preserve"> </w:t>
      </w:r>
      <w:r w:rsidR="00BD606B">
        <w:rPr>
          <w:szCs w:val="24"/>
        </w:rPr>
        <w:t xml:space="preserve">should </w:t>
      </w:r>
      <w:r w:rsidRPr="00025218">
        <w:rPr>
          <w:szCs w:val="24"/>
        </w:rPr>
        <w:t xml:space="preserve">be capped at an amount no greater than </w:t>
      </w:r>
      <w:r w:rsidR="001247A6">
        <w:rPr>
          <w:szCs w:val="24"/>
        </w:rPr>
        <w:t>three percent</w:t>
      </w:r>
      <w:r w:rsidRPr="00025218">
        <w:rPr>
          <w:szCs w:val="24"/>
        </w:rPr>
        <w:t xml:space="preserve"> </w:t>
      </w:r>
      <w:r w:rsidR="00F40104">
        <w:rPr>
          <w:szCs w:val="24"/>
        </w:rPr>
        <w:t xml:space="preserve">(or better, less than three percent) </w:t>
      </w:r>
      <w:r w:rsidRPr="00025218">
        <w:rPr>
          <w:szCs w:val="24"/>
        </w:rPr>
        <w:t xml:space="preserve">of the prudently incurred annual program costs. For example, if Duke spends $5 million in 2021, and the PUCO determines that this amount was prudently spent, then Duke could </w:t>
      </w:r>
      <w:r>
        <w:rPr>
          <w:szCs w:val="24"/>
        </w:rPr>
        <w:t>charge consumers for</w:t>
      </w:r>
      <w:r w:rsidR="00D9480B">
        <w:rPr>
          <w:szCs w:val="24"/>
        </w:rPr>
        <w:t xml:space="preserve"> up</w:t>
      </w:r>
      <w:r w:rsidRPr="00025218">
        <w:rPr>
          <w:szCs w:val="24"/>
        </w:rPr>
        <w:t xml:space="preserve"> to $150,000 in customer-funded utility profits.</w:t>
      </w:r>
    </w:p>
    <w:p w:rsidR="006245C0" w:rsidRPr="00025218" w:rsidP="00FD0C34">
      <w:pPr>
        <w:pStyle w:val="BodyTextIndent3"/>
        <w:spacing w:line="480" w:lineRule="auto"/>
        <w:ind w:right="-312"/>
        <w:rPr>
          <w:szCs w:val="24"/>
        </w:rPr>
      </w:pPr>
      <w:r w:rsidRPr="00025218">
        <w:rPr>
          <w:szCs w:val="24"/>
        </w:rPr>
        <w:t>It is true that Duke proposes a $7 million cap on total charges to customers for program costs plus utility profits.</w:t>
      </w:r>
      <w:r>
        <w:rPr>
          <w:rStyle w:val="FootnoteReference"/>
          <w:szCs w:val="24"/>
        </w:rPr>
        <w:footnoteReference w:id="26"/>
      </w:r>
      <w:r w:rsidRPr="00025218">
        <w:rPr>
          <w:szCs w:val="24"/>
        </w:rPr>
        <w:t xml:space="preserve"> This, however, does not provide adequate protection for consumers. Under Duke’s proposal, for example, it would be permissible for Duke to spend $5 million on programs and charge customers $2 million in utility profits, which would be a 40% upcharge on </w:t>
      </w:r>
      <w:r w:rsidR="00CA3DDD">
        <w:rPr>
          <w:szCs w:val="24"/>
        </w:rPr>
        <w:t xml:space="preserve">the </w:t>
      </w:r>
      <w:r w:rsidRPr="00025218">
        <w:rPr>
          <w:szCs w:val="24"/>
        </w:rPr>
        <w:t>programs.</w:t>
      </w:r>
      <w:r w:rsidRPr="00025218" w:rsidR="00314AAB">
        <w:rPr>
          <w:szCs w:val="24"/>
        </w:rPr>
        <w:t xml:space="preserve"> This would be unjust and unreasonable and should not be allowed. Thus, </w:t>
      </w:r>
      <w:r w:rsidR="007A737D">
        <w:rPr>
          <w:szCs w:val="24"/>
        </w:rPr>
        <w:t xml:space="preserve">in addition to a </w:t>
      </w:r>
      <w:r w:rsidRPr="00025218" w:rsidR="00314AAB">
        <w:rPr>
          <w:szCs w:val="24"/>
        </w:rPr>
        <w:t>$7 million cap</w:t>
      </w:r>
      <w:r w:rsidR="007A737D">
        <w:rPr>
          <w:szCs w:val="24"/>
        </w:rPr>
        <w:t>, there should be</w:t>
      </w:r>
      <w:r w:rsidRPr="00025218" w:rsidR="00314AAB">
        <w:rPr>
          <w:szCs w:val="24"/>
        </w:rPr>
        <w:t xml:space="preserve"> </w:t>
      </w:r>
      <w:r w:rsidR="007A737D">
        <w:rPr>
          <w:szCs w:val="24"/>
        </w:rPr>
        <w:t>a</w:t>
      </w:r>
      <w:r w:rsidRPr="00025218" w:rsidR="00314AAB">
        <w:rPr>
          <w:szCs w:val="24"/>
        </w:rPr>
        <w:t xml:space="preserve"> </w:t>
      </w:r>
      <w:r w:rsidR="00CA3DDD">
        <w:rPr>
          <w:szCs w:val="24"/>
        </w:rPr>
        <w:t xml:space="preserve">three percent </w:t>
      </w:r>
      <w:r w:rsidR="00F40104">
        <w:rPr>
          <w:szCs w:val="24"/>
        </w:rPr>
        <w:t xml:space="preserve">(or lower) </w:t>
      </w:r>
      <w:r w:rsidRPr="00025218" w:rsidR="00314AAB">
        <w:rPr>
          <w:szCs w:val="24"/>
        </w:rPr>
        <w:t>cap on profits (</w:t>
      </w:r>
      <w:r w:rsidR="007A737D">
        <w:rPr>
          <w:szCs w:val="24"/>
        </w:rPr>
        <w:t>though</w:t>
      </w:r>
      <w:r w:rsidR="004F0A41">
        <w:rPr>
          <w:szCs w:val="24"/>
        </w:rPr>
        <w:t xml:space="preserve"> fundamentally</w:t>
      </w:r>
      <w:r w:rsidR="007A737D">
        <w:rPr>
          <w:szCs w:val="24"/>
        </w:rPr>
        <w:t xml:space="preserve"> </w:t>
      </w:r>
      <w:r w:rsidR="004F0A41">
        <w:rPr>
          <w:szCs w:val="24"/>
        </w:rPr>
        <w:t>the PUCO should not allow any charges to consumers for Duke</w:t>
      </w:r>
      <w:r w:rsidR="007A737D">
        <w:rPr>
          <w:szCs w:val="24"/>
        </w:rPr>
        <w:t xml:space="preserve"> profits</w:t>
      </w:r>
      <w:r w:rsidRPr="00025218" w:rsidR="00314AAB">
        <w:rPr>
          <w:szCs w:val="24"/>
        </w:rPr>
        <w:t>).</w:t>
      </w:r>
    </w:p>
    <w:p w:rsidR="006245C0" w:rsidRPr="00025218" w:rsidP="003F404A">
      <w:pPr>
        <w:pStyle w:val="Heading2"/>
      </w:pPr>
      <w:bookmarkStart w:id="8" w:name="_Toc55828287"/>
      <w:r>
        <w:t>F</w:t>
      </w:r>
      <w:r w:rsidRPr="00025218" w:rsidR="00314AAB">
        <w:t>.</w:t>
      </w:r>
      <w:r w:rsidRPr="00025218" w:rsidR="00314AAB">
        <w:tab/>
      </w:r>
      <w:r w:rsidR="008808DA">
        <w:t>If the PUCO approves Duke’s proposed unlawful rider charge, t</w:t>
      </w:r>
      <w:r w:rsidRPr="00025218" w:rsidR="00314AAB">
        <w:t xml:space="preserve">he PUCO should </w:t>
      </w:r>
      <w:r w:rsidR="008808DA">
        <w:t xml:space="preserve">at least </w:t>
      </w:r>
      <w:r w:rsidRPr="00025218" w:rsidR="00314AAB">
        <w:t>set clear boundaries on the types of costs that can be included in charges to customers for energy efficiency.</w:t>
      </w:r>
      <w:bookmarkEnd w:id="8"/>
    </w:p>
    <w:p w:rsidR="006245C0" w:rsidRPr="00025218" w:rsidP="00FD0C34">
      <w:pPr>
        <w:pStyle w:val="BodyTextIndent3"/>
        <w:spacing w:line="480" w:lineRule="auto"/>
        <w:ind w:right="-312"/>
        <w:rPr>
          <w:szCs w:val="24"/>
        </w:rPr>
      </w:pPr>
      <w:r w:rsidRPr="00025218">
        <w:rPr>
          <w:szCs w:val="24"/>
        </w:rPr>
        <w:t xml:space="preserve">If the PUCO does approve Duke’s proposal to charge customers for utility </w:t>
      </w:r>
      <w:r>
        <w:rPr>
          <w:szCs w:val="24"/>
        </w:rPr>
        <w:t>energy efficiency programs</w:t>
      </w:r>
      <w:r w:rsidRPr="00025218">
        <w:rPr>
          <w:szCs w:val="24"/>
        </w:rPr>
        <w:t xml:space="preserve"> (which it shouldn’t), then </w:t>
      </w:r>
      <w:r>
        <w:rPr>
          <w:szCs w:val="24"/>
        </w:rPr>
        <w:t xml:space="preserve">the PUCO should establish clear boundaries on the types of charges that can be collected from customers. </w:t>
      </w:r>
      <w:r w:rsidRPr="00025218" w:rsidR="00CE5AD2">
        <w:rPr>
          <w:szCs w:val="24"/>
        </w:rPr>
        <w:t>In the past, Duke has consistently tried to charge customers, through its energy efficiency rider, for costs that are unrelated to energy efficiency. Most notably, in Duke’s 2014, 2015, 2016, and 2017 energy efficiency rider cases, Duke attempted to include hundreds of thousands of dollars in charges for Duke employee incentive pay (</w:t>
      </w:r>
      <w:r w:rsidRPr="00025218" w:rsidR="00CE5AD2">
        <w:rPr>
          <w:i/>
          <w:szCs w:val="24"/>
        </w:rPr>
        <w:t>aka</w:t>
      </w:r>
      <w:r w:rsidRPr="00025218" w:rsidR="00CE5AD2">
        <w:rPr>
          <w:szCs w:val="24"/>
        </w:rPr>
        <w:t xml:space="preserve"> bonuses), and the PUCO disallowed these charges each time.</w:t>
      </w:r>
      <w:r>
        <w:rPr>
          <w:rStyle w:val="FootnoteReference"/>
          <w:szCs w:val="24"/>
        </w:rPr>
        <w:footnoteReference w:id="27"/>
      </w:r>
      <w:r w:rsidRPr="00025218" w:rsidR="00CE5AD2">
        <w:rPr>
          <w:szCs w:val="24"/>
        </w:rPr>
        <w:t xml:space="preserve"> Duke included employee incentive pay in its energy efficiency rider in 2018 as well, and the PUCO Staff and OCC recommended those charges be excluded again.</w:t>
      </w:r>
      <w:r>
        <w:rPr>
          <w:rStyle w:val="FootnoteReference"/>
          <w:szCs w:val="24"/>
        </w:rPr>
        <w:footnoteReference w:id="28"/>
      </w:r>
      <w:r w:rsidRPr="00025218" w:rsidR="00CE5AD2">
        <w:rPr>
          <w:szCs w:val="24"/>
        </w:rPr>
        <w:t xml:space="preserve"> And again in 2019, Duke included these charges, which OCC recommended be excluded.</w:t>
      </w:r>
      <w:r>
        <w:rPr>
          <w:rStyle w:val="FootnoteReference"/>
          <w:szCs w:val="24"/>
        </w:rPr>
        <w:footnoteReference w:id="29"/>
      </w:r>
      <w:r w:rsidRPr="00025218" w:rsidR="00CE5AD2">
        <w:rPr>
          <w:szCs w:val="24"/>
        </w:rPr>
        <w:t xml:space="preserve"> (The Staff has not yet filed its recommendation regarding 2019, but OCC expects that they will come to the same conclusion.)</w:t>
      </w:r>
    </w:p>
    <w:p w:rsidR="00720498" w:rsidRPr="00025218" w:rsidP="00FD0C34">
      <w:pPr>
        <w:pStyle w:val="BodyTextIndent3"/>
        <w:spacing w:line="480" w:lineRule="auto"/>
        <w:ind w:right="-312"/>
        <w:rPr>
          <w:szCs w:val="24"/>
        </w:rPr>
      </w:pPr>
      <w:r w:rsidRPr="00025218">
        <w:rPr>
          <w:szCs w:val="24"/>
        </w:rPr>
        <w:t>Duke has also attempted to include other charges that are unrelated to energy efficiency, and which the PUCO has rejected. This includes charges for meals, snacks, drinks, Cincinnati Reds tickets, gold events, cell phones, rent, personal mileage reimbursement,</w:t>
      </w:r>
      <w:r w:rsidRPr="00025218" w:rsidR="00F440A0">
        <w:rPr>
          <w:szCs w:val="24"/>
        </w:rPr>
        <w:t xml:space="preserve"> and</w:t>
      </w:r>
      <w:r w:rsidRPr="00025218">
        <w:rPr>
          <w:szCs w:val="24"/>
        </w:rPr>
        <w:t xml:space="preserve"> conferences</w:t>
      </w:r>
      <w:r w:rsidRPr="00025218" w:rsidR="00F440A0">
        <w:rPr>
          <w:szCs w:val="24"/>
        </w:rPr>
        <w:t>.</w:t>
      </w:r>
      <w:r>
        <w:rPr>
          <w:rStyle w:val="FootnoteReference"/>
          <w:szCs w:val="24"/>
        </w:rPr>
        <w:footnoteReference w:id="30"/>
      </w:r>
      <w:r w:rsidRPr="00025218">
        <w:rPr>
          <w:szCs w:val="24"/>
        </w:rPr>
        <w:t xml:space="preserve"> </w:t>
      </w:r>
    </w:p>
    <w:p w:rsidR="00CE5AD2" w:rsidRPr="00025218" w:rsidP="00FD0C34">
      <w:pPr>
        <w:pStyle w:val="BodyTextIndent3"/>
        <w:spacing w:line="480" w:lineRule="auto"/>
        <w:ind w:right="-312"/>
        <w:rPr>
          <w:szCs w:val="24"/>
        </w:rPr>
      </w:pPr>
      <w:r w:rsidRPr="00025218">
        <w:rPr>
          <w:szCs w:val="24"/>
        </w:rPr>
        <w:t>To avoid future disputes about these charges, the PUCO should address this issue now by explicitly prohibiting Duke from including any such charges to customers under the umbrella of energy efficiency.</w:t>
      </w:r>
      <w:r w:rsidRPr="00025218" w:rsidR="00720498">
        <w:rPr>
          <w:szCs w:val="24"/>
        </w:rPr>
        <w:t xml:space="preserve"> Further, the PUCO should provide that </w:t>
      </w:r>
      <w:r w:rsidR="002E0222">
        <w:rPr>
          <w:szCs w:val="24"/>
        </w:rPr>
        <w:t>if Duke does attempt to charge customers for these typ</w:t>
      </w:r>
      <w:r w:rsidR="003F7F7D">
        <w:rPr>
          <w:szCs w:val="24"/>
        </w:rPr>
        <w:t>e</w:t>
      </w:r>
      <w:r w:rsidR="002E0222">
        <w:rPr>
          <w:szCs w:val="24"/>
        </w:rPr>
        <w:t>s of costs, it should pay a penalty to encourage better accounting and protect customers</w:t>
      </w:r>
      <w:r w:rsidRPr="00025218" w:rsidR="00720498">
        <w:rPr>
          <w:szCs w:val="24"/>
        </w:rPr>
        <w:t>.</w:t>
      </w:r>
    </w:p>
    <w:p w:rsidR="00720498" w:rsidRPr="00025218" w:rsidP="003F404A">
      <w:pPr>
        <w:pStyle w:val="Heading2"/>
      </w:pPr>
      <w:bookmarkStart w:id="9" w:name="_Toc55828288"/>
      <w:r>
        <w:t>G</w:t>
      </w:r>
      <w:r w:rsidRPr="00025218">
        <w:t>.</w:t>
      </w:r>
      <w:r w:rsidRPr="00025218">
        <w:tab/>
        <w:t>Duke should not be allowed to charge customers for so-called “lost revenues”</w:t>
      </w:r>
      <w:r w:rsidR="00F40104">
        <w:t xml:space="preserve"> (or apply an</w:t>
      </w:r>
      <w:r w:rsidR="008B2E80">
        <w:t>y</w:t>
      </w:r>
      <w:r w:rsidR="00F40104">
        <w:t xml:space="preserve"> decoupling)</w:t>
      </w:r>
      <w:r w:rsidRPr="00025218">
        <w:t xml:space="preserve"> resulting from its energy efficiency programs.</w:t>
      </w:r>
      <w:bookmarkEnd w:id="9"/>
    </w:p>
    <w:p w:rsidR="00720498" w:rsidRPr="00025218" w:rsidP="00FD0C34">
      <w:pPr>
        <w:pStyle w:val="BodyTextIndent3"/>
        <w:spacing w:line="480" w:lineRule="auto"/>
        <w:ind w:right="-312"/>
        <w:rPr>
          <w:szCs w:val="24"/>
        </w:rPr>
      </w:pPr>
      <w:r w:rsidRPr="00025218">
        <w:rPr>
          <w:szCs w:val="24"/>
        </w:rPr>
        <w:t>If the PUCO does approve Duke’s proposal to charge customers for</w:t>
      </w:r>
      <w:r>
        <w:rPr>
          <w:szCs w:val="24"/>
        </w:rPr>
        <w:t xml:space="preserve"> energy efficiency programs</w:t>
      </w:r>
      <w:r w:rsidRPr="00025218">
        <w:rPr>
          <w:szCs w:val="24"/>
        </w:rPr>
        <w:t xml:space="preserve"> (which it shouldn’t), then </w:t>
      </w:r>
      <w:r>
        <w:rPr>
          <w:szCs w:val="24"/>
        </w:rPr>
        <w:t>Duke should not be allowed to collect lost distribution revenues</w:t>
      </w:r>
      <w:r w:rsidR="00685586">
        <w:rPr>
          <w:szCs w:val="24"/>
        </w:rPr>
        <w:t xml:space="preserve"> (or any decoupling charges)</w:t>
      </w:r>
      <w:r>
        <w:rPr>
          <w:szCs w:val="24"/>
        </w:rPr>
        <w:t xml:space="preserve"> from consumers. </w:t>
      </w:r>
      <w:r w:rsidRPr="00025218" w:rsidR="006807E7">
        <w:rPr>
          <w:szCs w:val="24"/>
        </w:rPr>
        <w:t>Duke states in its Application that it “reserves the right to amend this Application to account for lost distribution revenues in the event that Rider DDR [Duke’s decoupling rider] is modified or eliminated.”</w:t>
      </w:r>
      <w:r>
        <w:rPr>
          <w:rStyle w:val="FootnoteReference"/>
          <w:szCs w:val="24"/>
        </w:rPr>
        <w:footnoteReference w:id="31"/>
      </w:r>
      <w:r w:rsidRPr="00025218" w:rsidR="006807E7">
        <w:rPr>
          <w:szCs w:val="24"/>
        </w:rPr>
        <w:t xml:space="preserve"> So-called lost revenues are a terrible deal for consumers and should not be approved under any circumstances.</w:t>
      </w:r>
    </w:p>
    <w:p w:rsidR="006807E7" w:rsidRPr="00025218" w:rsidP="00FD0C34">
      <w:pPr>
        <w:pStyle w:val="BodyTextIndent3"/>
        <w:spacing w:line="480" w:lineRule="auto"/>
        <w:ind w:right="-312"/>
        <w:rPr>
          <w:szCs w:val="24"/>
        </w:rPr>
      </w:pPr>
      <w:r w:rsidRPr="00025218">
        <w:rPr>
          <w:szCs w:val="24"/>
        </w:rPr>
        <w:t xml:space="preserve">Lost revenues are always a charge to consumers. The </w:t>
      </w:r>
      <w:r w:rsidR="00DD69D8">
        <w:rPr>
          <w:szCs w:val="24"/>
        </w:rPr>
        <w:t>u</w:t>
      </w:r>
      <w:r w:rsidRPr="00025218">
        <w:rPr>
          <w:szCs w:val="24"/>
        </w:rPr>
        <w:t>tility estimates the energy savings from its programs and t</w:t>
      </w:r>
      <w:r w:rsidRPr="00025218" w:rsidR="00686F8D">
        <w:rPr>
          <w:szCs w:val="24"/>
        </w:rPr>
        <w:t>hen charges customers to make up for the revenues it may have “lost” as a result of not charging customers for their usage.</w:t>
      </w:r>
    </w:p>
    <w:p w:rsidR="00686F8D" w:rsidRPr="00025218" w:rsidP="00FD0C34">
      <w:pPr>
        <w:pStyle w:val="BodyTextIndent3"/>
        <w:spacing w:line="480" w:lineRule="auto"/>
        <w:ind w:right="-312"/>
        <w:rPr>
          <w:szCs w:val="24"/>
        </w:rPr>
      </w:pPr>
      <w:r w:rsidRPr="00025218">
        <w:rPr>
          <w:szCs w:val="24"/>
        </w:rPr>
        <w:t>Several PUCO Commissioners, almost a decade ago, expressed their concern that lost revenues were problematic for consumers. PUCO Chairman Todd Snitchler expressed his “deep concern with the collection of lost distribution revenues” and concluded that they present “a significant risk of undermining public support for” energy efficiency.</w:t>
      </w:r>
      <w:r>
        <w:rPr>
          <w:rStyle w:val="FootnoteReference"/>
          <w:szCs w:val="24"/>
        </w:rPr>
        <w:footnoteReference w:id="32"/>
      </w:r>
      <w:r w:rsidRPr="00025218">
        <w:rPr>
          <w:szCs w:val="24"/>
        </w:rPr>
        <w:t xml:space="preserve"> PUCO Commissioner Cher</w:t>
      </w:r>
      <w:r w:rsidRPr="00025218" w:rsidR="00AC4CAD">
        <w:rPr>
          <w:szCs w:val="24"/>
        </w:rPr>
        <w:t>y</w:t>
      </w:r>
      <w:r w:rsidRPr="00025218">
        <w:rPr>
          <w:szCs w:val="24"/>
        </w:rPr>
        <w:t>l Roberto came to a similar conclusion shortly thereafter, stating that the “lost revenue recovery mechanism has out-lived its value to customers and should be permitted to expire.”</w:t>
      </w:r>
      <w:r>
        <w:rPr>
          <w:rStyle w:val="FootnoteReference"/>
          <w:szCs w:val="24"/>
        </w:rPr>
        <w:footnoteReference w:id="33"/>
      </w:r>
      <w:r w:rsidRPr="00025218">
        <w:rPr>
          <w:szCs w:val="24"/>
        </w:rPr>
        <w:t xml:space="preserve"> As of 2020, no utility is currently being allowed to charge residential customers for lost revenues resulting from energy efficiency. The PUCO should reject Duke’s insinuation that there is any chance of resurrecting lost revenues in 2021 or after.</w:t>
      </w:r>
    </w:p>
    <w:p w:rsidR="00686F8D" w:rsidRPr="00025218" w:rsidP="003F404A">
      <w:pPr>
        <w:pStyle w:val="Heading2"/>
      </w:pPr>
      <w:bookmarkStart w:id="10" w:name="_Toc55828289"/>
      <w:r>
        <w:t>H</w:t>
      </w:r>
      <w:r w:rsidRPr="00025218">
        <w:t>.</w:t>
      </w:r>
      <w:r w:rsidRPr="00025218">
        <w:tab/>
        <w:t>The PUCO Staff or an outside auditor should audit Duke’s energy efficiency charges each year for prudence and to verify benefits to customers from the programs.</w:t>
      </w:r>
      <w:bookmarkEnd w:id="10"/>
    </w:p>
    <w:p w:rsidR="004F5D79" w:rsidRPr="00025218" w:rsidP="00FD0C34">
      <w:pPr>
        <w:pStyle w:val="BodyTextIndent3"/>
        <w:spacing w:line="480" w:lineRule="auto"/>
        <w:ind w:right="-312"/>
        <w:rPr>
          <w:szCs w:val="24"/>
        </w:rPr>
      </w:pPr>
      <w:r w:rsidRPr="00025218">
        <w:rPr>
          <w:szCs w:val="24"/>
        </w:rPr>
        <w:t xml:space="preserve">If the PUCO does approve Duke’s proposal to charge customers for utility </w:t>
      </w:r>
      <w:r>
        <w:rPr>
          <w:szCs w:val="24"/>
        </w:rPr>
        <w:t xml:space="preserve">energy efficiency programs </w:t>
      </w:r>
      <w:r w:rsidRPr="00025218">
        <w:rPr>
          <w:szCs w:val="24"/>
        </w:rPr>
        <w:t xml:space="preserve"> (which it shouldn’t), then</w:t>
      </w:r>
      <w:r>
        <w:rPr>
          <w:szCs w:val="24"/>
        </w:rPr>
        <w:t xml:space="preserve"> the PUCO should require an annual audit of the program.</w:t>
      </w:r>
      <w:r w:rsidRPr="00025218">
        <w:rPr>
          <w:szCs w:val="24"/>
        </w:rPr>
        <w:t xml:space="preserve"> </w:t>
      </w:r>
      <w:r w:rsidRPr="00025218" w:rsidR="005B69B1">
        <w:rPr>
          <w:szCs w:val="24"/>
        </w:rPr>
        <w:t xml:space="preserve">To protect consumers from paying too much for energy efficiency, and to </w:t>
      </w:r>
      <w:r w:rsidR="002E0222">
        <w:rPr>
          <w:szCs w:val="24"/>
        </w:rPr>
        <w:t xml:space="preserve">ensure </w:t>
      </w:r>
      <w:r w:rsidRPr="00025218" w:rsidR="005B69B1">
        <w:rPr>
          <w:szCs w:val="24"/>
        </w:rPr>
        <w:t>that customers actually receive benefits from Duke’s programs, the PUCO should require an annual audit, by either the PUCO Staff or an outside auditor, to assess the prudence of Duke’s expenditures, and to verify whether the savings from the programs are greater than the costs.</w:t>
      </w:r>
    </w:p>
    <w:p w:rsidR="00AC4CAD" w:rsidRPr="00025218" w:rsidP="003F404A">
      <w:pPr>
        <w:pStyle w:val="Heading1"/>
      </w:pPr>
      <w:bookmarkStart w:id="11" w:name="_Toc55828290"/>
      <w:r w:rsidRPr="00025218">
        <w:t>I</w:t>
      </w:r>
      <w:r w:rsidR="00AA48F2">
        <w:t>I</w:t>
      </w:r>
      <w:r w:rsidRPr="00025218">
        <w:t>I.</w:t>
      </w:r>
      <w:r w:rsidRPr="00025218">
        <w:tab/>
        <w:t>CONCLUSION</w:t>
      </w:r>
      <w:bookmarkEnd w:id="11"/>
    </w:p>
    <w:p w:rsidR="004F5D79" w:rsidP="00FD0C34">
      <w:pPr>
        <w:pStyle w:val="BodyTextIndent3"/>
        <w:spacing w:line="480" w:lineRule="auto"/>
        <w:ind w:right="-312"/>
        <w:rPr>
          <w:szCs w:val="24"/>
        </w:rPr>
      </w:pPr>
      <w:r w:rsidRPr="00025218">
        <w:rPr>
          <w:szCs w:val="24"/>
        </w:rPr>
        <w:t xml:space="preserve">The PUCO should protect consumers from </w:t>
      </w:r>
      <w:r w:rsidR="0097353B">
        <w:rPr>
          <w:szCs w:val="24"/>
        </w:rPr>
        <w:t>Duke’s proposed new charges</w:t>
      </w:r>
      <w:r w:rsidRPr="00025218" w:rsidR="0097353B">
        <w:rPr>
          <w:szCs w:val="24"/>
        </w:rPr>
        <w:t xml:space="preserve"> </w:t>
      </w:r>
      <w:r w:rsidRPr="00025218">
        <w:rPr>
          <w:szCs w:val="24"/>
        </w:rPr>
        <w:t xml:space="preserve">for energy efficiency </w:t>
      </w:r>
      <w:r w:rsidR="00CA3DDD">
        <w:rPr>
          <w:szCs w:val="24"/>
        </w:rPr>
        <w:t>programs</w:t>
      </w:r>
      <w:r w:rsidR="0097353B">
        <w:rPr>
          <w:szCs w:val="24"/>
        </w:rPr>
        <w:t xml:space="preserve"> and profits</w:t>
      </w:r>
      <w:r w:rsidR="00CA3DDD">
        <w:rPr>
          <w:szCs w:val="24"/>
        </w:rPr>
        <w:t xml:space="preserve"> </w:t>
      </w:r>
      <w:r w:rsidRPr="00025218">
        <w:rPr>
          <w:szCs w:val="24"/>
        </w:rPr>
        <w:t>by adopting OCC’s consumer protection recommendations.</w:t>
      </w:r>
    </w:p>
    <w:p w:rsidR="002E0222">
      <w:pPr>
        <w:rPr>
          <w:szCs w:val="24"/>
        </w:rPr>
      </w:pPr>
    </w:p>
    <w:p w:rsidR="00C84926" w:rsidRPr="00025218" w:rsidP="00C84926">
      <w:pPr>
        <w:pStyle w:val="BodyTextIndent3"/>
        <w:ind w:left="3600" w:right="-672"/>
        <w:rPr>
          <w:szCs w:val="24"/>
        </w:rPr>
      </w:pPr>
      <w:r>
        <w:rPr>
          <w:szCs w:val="24"/>
        </w:rPr>
        <w:t>R</w:t>
      </w:r>
      <w:r w:rsidRPr="00025218">
        <w:rPr>
          <w:szCs w:val="24"/>
        </w:rPr>
        <w:t>espectfully submitted,</w:t>
      </w:r>
    </w:p>
    <w:p w:rsidR="00C84926" w:rsidRPr="00025218" w:rsidP="00C84926">
      <w:pPr>
        <w:pStyle w:val="Footer"/>
        <w:tabs>
          <w:tab w:val="left" w:pos="4320"/>
          <w:tab w:val="clear" w:pos="8640"/>
        </w:tabs>
        <w:spacing w:before="240"/>
        <w:rPr>
          <w:sz w:val="24"/>
          <w:szCs w:val="24"/>
        </w:rPr>
      </w:pPr>
      <w:r w:rsidRPr="00025218">
        <w:rPr>
          <w:sz w:val="24"/>
          <w:szCs w:val="24"/>
        </w:rPr>
        <w:tab/>
        <w:t>Bruce Weston (#0016973)</w:t>
      </w:r>
    </w:p>
    <w:p w:rsidR="00C84926" w:rsidRPr="00025218" w:rsidP="00C84926">
      <w:pPr>
        <w:tabs>
          <w:tab w:val="left" w:pos="4320"/>
        </w:tabs>
        <w:rPr>
          <w:szCs w:val="24"/>
        </w:rPr>
      </w:pPr>
      <w:r w:rsidRPr="00025218">
        <w:rPr>
          <w:szCs w:val="24"/>
        </w:rPr>
        <w:tab/>
        <w:t>Ohio Consumers’ Counsel</w:t>
      </w:r>
    </w:p>
    <w:p w:rsidR="00C84926" w:rsidRPr="00025218" w:rsidP="00C84926">
      <w:pPr>
        <w:tabs>
          <w:tab w:val="left" w:pos="4320"/>
        </w:tabs>
        <w:rPr>
          <w:szCs w:val="24"/>
        </w:rPr>
      </w:pPr>
      <w:r w:rsidRPr="00025218">
        <w:rPr>
          <w:szCs w:val="24"/>
        </w:rPr>
        <w:tab/>
      </w:r>
    </w:p>
    <w:p w:rsidR="00C84926" w:rsidRPr="00025218" w:rsidP="00C84926">
      <w:pPr>
        <w:tabs>
          <w:tab w:val="left" w:pos="4320"/>
        </w:tabs>
        <w:rPr>
          <w:i/>
          <w:szCs w:val="24"/>
          <w:u w:val="single"/>
        </w:rPr>
      </w:pPr>
      <w:r w:rsidRPr="00025218">
        <w:rPr>
          <w:szCs w:val="24"/>
        </w:rPr>
        <w:tab/>
      </w:r>
      <w:r w:rsidRPr="00025218">
        <w:rPr>
          <w:i/>
          <w:szCs w:val="24"/>
          <w:u w:val="single"/>
        </w:rPr>
        <w:t>/s/ Christopher Healey</w:t>
      </w:r>
      <w:r w:rsidRPr="00025218">
        <w:rPr>
          <w:i/>
          <w:szCs w:val="24"/>
          <w:u w:val="single"/>
        </w:rPr>
        <w:tab/>
      </w:r>
      <w:r w:rsidRPr="00025218">
        <w:rPr>
          <w:i/>
          <w:szCs w:val="24"/>
          <w:u w:val="single"/>
        </w:rPr>
        <w:tab/>
      </w:r>
      <w:r w:rsidRPr="00025218">
        <w:rPr>
          <w:i/>
          <w:szCs w:val="24"/>
          <w:u w:val="single"/>
        </w:rPr>
        <w:tab/>
      </w:r>
    </w:p>
    <w:p w:rsidR="00C84926" w:rsidRPr="00025218" w:rsidP="00C84926">
      <w:pPr>
        <w:tabs>
          <w:tab w:val="left" w:pos="4320"/>
        </w:tabs>
        <w:rPr>
          <w:szCs w:val="24"/>
        </w:rPr>
      </w:pPr>
      <w:r w:rsidRPr="00025218">
        <w:rPr>
          <w:szCs w:val="24"/>
        </w:rPr>
        <w:tab/>
        <w:t>Christopher Healey (0086027)</w:t>
      </w:r>
    </w:p>
    <w:p w:rsidR="00C84926" w:rsidRPr="00025218" w:rsidP="00C84926">
      <w:pPr>
        <w:tabs>
          <w:tab w:val="left" w:pos="4320"/>
        </w:tabs>
        <w:rPr>
          <w:szCs w:val="24"/>
        </w:rPr>
      </w:pPr>
      <w:r w:rsidRPr="00025218">
        <w:rPr>
          <w:szCs w:val="24"/>
        </w:rPr>
        <w:tab/>
        <w:t>Counsel of Record</w:t>
      </w:r>
    </w:p>
    <w:p w:rsidR="00C84926" w:rsidRPr="00025218" w:rsidP="00C84926">
      <w:pPr>
        <w:tabs>
          <w:tab w:val="left" w:pos="4320"/>
        </w:tabs>
        <w:rPr>
          <w:szCs w:val="24"/>
        </w:rPr>
      </w:pPr>
      <w:r w:rsidRPr="00025218">
        <w:rPr>
          <w:szCs w:val="24"/>
        </w:rPr>
        <w:tab/>
        <w:t>Ambrosia E. Wilson (0096598)</w:t>
      </w:r>
    </w:p>
    <w:p w:rsidR="00C84926" w:rsidRPr="00025218" w:rsidP="003F404A">
      <w:pPr>
        <w:tabs>
          <w:tab w:val="left" w:pos="4320"/>
        </w:tabs>
        <w:rPr>
          <w:szCs w:val="24"/>
        </w:rPr>
      </w:pPr>
      <w:r w:rsidRPr="00025218">
        <w:rPr>
          <w:szCs w:val="24"/>
        </w:rPr>
        <w:tab/>
        <w:t>Assistant Consumers’ Counsel</w:t>
      </w:r>
    </w:p>
    <w:p w:rsidR="00C84926" w:rsidRPr="00025218" w:rsidP="003F404A">
      <w:pPr>
        <w:pStyle w:val="Heading1"/>
        <w:spacing w:after="0"/>
      </w:pPr>
      <w:r w:rsidRPr="00025218">
        <w:tab/>
      </w:r>
    </w:p>
    <w:p w:rsidR="00C84926" w:rsidRPr="003F404A" w:rsidP="003F404A">
      <w:pPr>
        <w:ind w:left="3780"/>
        <w:rPr>
          <w:b/>
          <w:bCs/>
        </w:rPr>
      </w:pPr>
      <w:r w:rsidRPr="00025218">
        <w:tab/>
      </w:r>
      <w:r w:rsidRPr="003F404A">
        <w:rPr>
          <w:b/>
          <w:bCs/>
        </w:rPr>
        <w:t>Office of the Ohio Consumers’ Counsel</w:t>
      </w:r>
    </w:p>
    <w:p w:rsidR="00C84926" w:rsidRPr="00025218" w:rsidP="003F404A">
      <w:pPr>
        <w:ind w:left="3780"/>
        <w:rPr>
          <w:b/>
        </w:rPr>
      </w:pPr>
      <w:r w:rsidRPr="00025218">
        <w:tab/>
        <w:t>65 East State Street, 7th Floor</w:t>
      </w:r>
    </w:p>
    <w:p w:rsidR="00C84926" w:rsidRPr="00025218" w:rsidP="003F404A">
      <w:pPr>
        <w:ind w:left="3780"/>
        <w:rPr>
          <w:b/>
        </w:rPr>
      </w:pPr>
      <w:r w:rsidRPr="00025218">
        <w:tab/>
        <w:t>Columbus, Ohio 43215</w:t>
      </w:r>
    </w:p>
    <w:p w:rsidR="00C84926" w:rsidRPr="00025218" w:rsidP="00C84926">
      <w:pPr>
        <w:autoSpaceDE w:val="0"/>
        <w:autoSpaceDN w:val="0"/>
        <w:adjustRightInd w:val="0"/>
        <w:ind w:left="3600" w:firstLine="720"/>
        <w:rPr>
          <w:szCs w:val="24"/>
        </w:rPr>
      </w:pPr>
      <w:r w:rsidRPr="00025218">
        <w:rPr>
          <w:szCs w:val="24"/>
        </w:rPr>
        <w:t>Telephone [Healey]: (614) 466-9571</w:t>
      </w:r>
    </w:p>
    <w:p w:rsidR="00C84926" w:rsidRPr="00025218" w:rsidP="00C84926">
      <w:pPr>
        <w:autoSpaceDE w:val="0"/>
        <w:autoSpaceDN w:val="0"/>
        <w:adjustRightInd w:val="0"/>
        <w:ind w:left="3600" w:firstLine="720"/>
        <w:rPr>
          <w:szCs w:val="24"/>
        </w:rPr>
      </w:pPr>
      <w:r w:rsidRPr="00025218">
        <w:rPr>
          <w:szCs w:val="24"/>
        </w:rPr>
        <w:t xml:space="preserve">Telephone </w:t>
      </w:r>
      <w:r w:rsidRPr="00025218" w:rsidR="00083912">
        <w:rPr>
          <w:szCs w:val="24"/>
        </w:rPr>
        <w:t>[</w:t>
      </w:r>
      <w:r w:rsidRPr="00025218">
        <w:rPr>
          <w:szCs w:val="24"/>
        </w:rPr>
        <w:t>Wilson]: (614) 466-1292</w:t>
      </w:r>
    </w:p>
    <w:p w:rsidR="00C84926" w:rsidRPr="00025218" w:rsidP="00C84926">
      <w:pPr>
        <w:rPr>
          <w:szCs w:val="24"/>
        </w:rPr>
      </w:pPr>
      <w:r w:rsidRPr="00025218">
        <w:rPr>
          <w:szCs w:val="24"/>
        </w:rPr>
        <w:tab/>
      </w:r>
      <w:r w:rsidRPr="00025218">
        <w:rPr>
          <w:szCs w:val="24"/>
        </w:rPr>
        <w:tab/>
      </w:r>
      <w:r w:rsidRPr="00025218">
        <w:rPr>
          <w:szCs w:val="24"/>
        </w:rPr>
        <w:tab/>
      </w:r>
      <w:r w:rsidRPr="00025218">
        <w:rPr>
          <w:szCs w:val="24"/>
        </w:rPr>
        <w:tab/>
      </w:r>
      <w:r w:rsidRPr="00025218">
        <w:rPr>
          <w:szCs w:val="24"/>
        </w:rPr>
        <w:tab/>
      </w:r>
      <w:r w:rsidRPr="00025218">
        <w:rPr>
          <w:szCs w:val="24"/>
        </w:rPr>
        <w:tab/>
      </w:r>
      <w:hyperlink r:id="rId6" w:history="1">
        <w:r w:rsidRPr="00025218">
          <w:rPr>
            <w:rStyle w:val="Hyperlink"/>
            <w:szCs w:val="24"/>
          </w:rPr>
          <w:t>Christopher.healey@occ.ohio.gov</w:t>
        </w:r>
      </w:hyperlink>
      <w:r w:rsidRPr="00025218">
        <w:rPr>
          <w:szCs w:val="24"/>
        </w:rPr>
        <w:t xml:space="preserve"> </w:t>
      </w:r>
    </w:p>
    <w:p w:rsidR="00C84926" w:rsidRPr="00025218" w:rsidP="00C84926">
      <w:pPr>
        <w:rPr>
          <w:szCs w:val="24"/>
        </w:rPr>
      </w:pPr>
      <w:r w:rsidRPr="00025218">
        <w:rPr>
          <w:szCs w:val="24"/>
        </w:rPr>
        <w:tab/>
      </w:r>
      <w:r w:rsidRPr="00025218">
        <w:rPr>
          <w:szCs w:val="24"/>
        </w:rPr>
        <w:tab/>
      </w:r>
      <w:r w:rsidRPr="00025218">
        <w:rPr>
          <w:szCs w:val="24"/>
        </w:rPr>
        <w:tab/>
      </w:r>
      <w:r w:rsidRPr="00025218">
        <w:rPr>
          <w:szCs w:val="24"/>
        </w:rPr>
        <w:tab/>
      </w:r>
      <w:r w:rsidRPr="00025218">
        <w:rPr>
          <w:szCs w:val="24"/>
        </w:rPr>
        <w:tab/>
      </w:r>
      <w:r w:rsidRPr="00025218">
        <w:rPr>
          <w:szCs w:val="24"/>
        </w:rPr>
        <w:tab/>
      </w:r>
      <w:hyperlink r:id="rId7" w:history="1">
        <w:r w:rsidRPr="00025218">
          <w:rPr>
            <w:rStyle w:val="Hyperlink"/>
            <w:szCs w:val="24"/>
          </w:rPr>
          <w:t>Ambrosia.wilson@occ.ohio.gov</w:t>
        </w:r>
      </w:hyperlink>
    </w:p>
    <w:p w:rsidR="00C84926" w:rsidRPr="00025218" w:rsidP="00C84926">
      <w:pPr>
        <w:rPr>
          <w:szCs w:val="24"/>
        </w:rPr>
      </w:pPr>
      <w:r w:rsidRPr="00025218">
        <w:rPr>
          <w:szCs w:val="24"/>
        </w:rPr>
        <w:tab/>
      </w:r>
      <w:r w:rsidRPr="00025218">
        <w:rPr>
          <w:szCs w:val="24"/>
        </w:rPr>
        <w:tab/>
      </w:r>
      <w:r w:rsidRPr="00025218">
        <w:rPr>
          <w:szCs w:val="24"/>
        </w:rPr>
        <w:tab/>
      </w:r>
      <w:r w:rsidRPr="00025218">
        <w:rPr>
          <w:szCs w:val="24"/>
        </w:rPr>
        <w:tab/>
      </w:r>
      <w:r w:rsidRPr="00025218">
        <w:rPr>
          <w:szCs w:val="24"/>
        </w:rPr>
        <w:tab/>
      </w:r>
      <w:r w:rsidRPr="00025218">
        <w:rPr>
          <w:szCs w:val="24"/>
        </w:rPr>
        <w:tab/>
        <w:t>(willing to accept service by e-mail)</w:t>
      </w:r>
    </w:p>
    <w:p w:rsidR="00A044B5" w:rsidRPr="00025218" w:rsidP="00E7356F">
      <w:pPr>
        <w:rPr>
          <w:szCs w:val="24"/>
        </w:rPr>
      </w:pPr>
      <w:r w:rsidRPr="00025218">
        <w:rPr>
          <w:szCs w:val="24"/>
        </w:rPr>
        <w:tab/>
      </w:r>
      <w:r w:rsidRPr="00025218">
        <w:rPr>
          <w:szCs w:val="24"/>
        </w:rPr>
        <w:tab/>
      </w:r>
      <w:r w:rsidRPr="00025218">
        <w:rPr>
          <w:szCs w:val="24"/>
        </w:rPr>
        <w:tab/>
      </w:r>
      <w:r w:rsidRPr="00025218">
        <w:rPr>
          <w:szCs w:val="24"/>
        </w:rPr>
        <w:tab/>
      </w:r>
      <w:r w:rsidRPr="00025218">
        <w:rPr>
          <w:szCs w:val="24"/>
        </w:rPr>
        <w:tab/>
      </w:r>
      <w:r w:rsidRPr="00025218">
        <w:rPr>
          <w:szCs w:val="24"/>
        </w:rPr>
        <w:tab/>
      </w:r>
    </w:p>
    <w:p w:rsidR="00A044B5" w:rsidRPr="00025218" w:rsidP="00E7356F">
      <w:pPr>
        <w:rPr>
          <w:szCs w:val="24"/>
        </w:rPr>
      </w:pPr>
    </w:p>
    <w:p w:rsidR="00A044B5" w:rsidRPr="00025218" w:rsidP="00E7356F">
      <w:pPr>
        <w:rPr>
          <w:szCs w:val="24"/>
        </w:rPr>
      </w:pPr>
    </w:p>
    <w:p w:rsidR="00A044B5" w:rsidRPr="00025218" w:rsidP="00E7356F">
      <w:pPr>
        <w:rPr>
          <w:szCs w:val="24"/>
        </w:rPr>
      </w:pPr>
    </w:p>
    <w:p w:rsidR="00A044B5" w:rsidRPr="00025218" w:rsidP="00E7356F">
      <w:pPr>
        <w:ind w:left="4320" w:firstLine="720"/>
        <w:jc w:val="both"/>
        <w:rPr>
          <w:szCs w:val="24"/>
        </w:rPr>
      </w:pPr>
    </w:p>
    <w:p w:rsidR="00A044B5" w:rsidRPr="00025218" w:rsidP="00E7356F">
      <w:pPr>
        <w:jc w:val="center"/>
        <w:rPr>
          <w:b/>
          <w:bCs/>
          <w:szCs w:val="24"/>
          <w:u w:val="single"/>
        </w:rPr>
      </w:pPr>
      <w:r w:rsidRPr="00025218">
        <w:rPr>
          <w:szCs w:val="24"/>
        </w:rPr>
        <w:br w:type="page"/>
      </w:r>
      <w:r w:rsidRPr="00025218">
        <w:rPr>
          <w:b/>
          <w:bCs/>
          <w:szCs w:val="24"/>
          <w:u w:val="single"/>
        </w:rPr>
        <w:t>CERTIFICATE OF SERVICE</w:t>
      </w:r>
    </w:p>
    <w:p w:rsidR="00A044B5" w:rsidRPr="00025218" w:rsidP="00E7356F">
      <w:pPr>
        <w:spacing w:line="480" w:lineRule="atLeast"/>
        <w:rPr>
          <w:szCs w:val="24"/>
        </w:rPr>
      </w:pPr>
      <w:r w:rsidRPr="00025218">
        <w:rPr>
          <w:szCs w:val="24"/>
        </w:rPr>
        <w:tab/>
        <w:t>I hereby certify that a copy of th</w:t>
      </w:r>
      <w:r w:rsidRPr="00025218" w:rsidR="00083912">
        <w:rPr>
          <w:szCs w:val="24"/>
        </w:rPr>
        <w:t>ese</w:t>
      </w:r>
      <w:r w:rsidRPr="00025218">
        <w:rPr>
          <w:szCs w:val="24"/>
        </w:rPr>
        <w:t xml:space="preserve"> </w:t>
      </w:r>
      <w:r w:rsidRPr="00025218" w:rsidR="00083912">
        <w:rPr>
          <w:szCs w:val="24"/>
        </w:rPr>
        <w:t xml:space="preserve">Comments </w:t>
      </w:r>
      <w:r w:rsidRPr="00025218">
        <w:rPr>
          <w:szCs w:val="24"/>
        </w:rPr>
        <w:t>was served on the persons stated below via</w:t>
      </w:r>
      <w:r w:rsidRPr="00025218" w:rsidR="002A4912">
        <w:rPr>
          <w:szCs w:val="24"/>
        </w:rPr>
        <w:t xml:space="preserve"> electronic transmission</w:t>
      </w:r>
      <w:r w:rsidRPr="00025218">
        <w:rPr>
          <w:szCs w:val="24"/>
        </w:rPr>
        <w:t xml:space="preserve">, this </w:t>
      </w:r>
      <w:r w:rsidRPr="00025218" w:rsidR="00B01515">
        <w:rPr>
          <w:szCs w:val="24"/>
        </w:rPr>
        <w:t>9th</w:t>
      </w:r>
      <w:r w:rsidRPr="00025218" w:rsidR="00C84926">
        <w:rPr>
          <w:szCs w:val="24"/>
        </w:rPr>
        <w:t xml:space="preserve"> </w:t>
      </w:r>
      <w:r w:rsidRPr="00025218">
        <w:rPr>
          <w:szCs w:val="24"/>
        </w:rPr>
        <w:t xml:space="preserve">day of </w:t>
      </w:r>
      <w:r w:rsidRPr="00025218" w:rsidR="00083912">
        <w:rPr>
          <w:szCs w:val="24"/>
        </w:rPr>
        <w:t xml:space="preserve">November </w:t>
      </w:r>
      <w:r w:rsidRPr="00025218">
        <w:rPr>
          <w:szCs w:val="24"/>
        </w:rPr>
        <w:t>20</w:t>
      </w:r>
      <w:r w:rsidRPr="00025218" w:rsidR="000453C3">
        <w:rPr>
          <w:szCs w:val="24"/>
        </w:rPr>
        <w:t>20</w:t>
      </w:r>
      <w:r w:rsidRPr="00025218">
        <w:rPr>
          <w:szCs w:val="24"/>
        </w:rPr>
        <w:t>.</w:t>
      </w:r>
    </w:p>
    <w:p w:rsidR="00A044B5" w:rsidRPr="00025218" w:rsidP="00E7356F">
      <w:pPr>
        <w:spacing w:line="480" w:lineRule="atLeast"/>
        <w:rPr>
          <w:szCs w:val="24"/>
        </w:rPr>
      </w:pPr>
    </w:p>
    <w:p w:rsidR="00A044B5" w:rsidRPr="00025218" w:rsidP="00E7356F">
      <w:pPr>
        <w:tabs>
          <w:tab w:val="left" w:pos="4320"/>
        </w:tabs>
        <w:rPr>
          <w:i/>
          <w:szCs w:val="24"/>
          <w:u w:val="single"/>
        </w:rPr>
      </w:pPr>
      <w:r w:rsidRPr="00025218">
        <w:rPr>
          <w:szCs w:val="24"/>
        </w:rPr>
        <w:tab/>
      </w:r>
      <w:r w:rsidRPr="00025218" w:rsidR="000453C3">
        <w:rPr>
          <w:i/>
          <w:szCs w:val="24"/>
          <w:u w:val="single"/>
        </w:rPr>
        <w:t>/s/ Christopher Healey</w:t>
      </w:r>
      <w:r w:rsidRPr="00025218" w:rsidR="000453C3">
        <w:rPr>
          <w:i/>
          <w:szCs w:val="24"/>
          <w:u w:val="single"/>
        </w:rPr>
        <w:tab/>
      </w:r>
      <w:r w:rsidRPr="00025218" w:rsidR="000453C3">
        <w:rPr>
          <w:i/>
          <w:szCs w:val="24"/>
          <w:u w:val="single"/>
        </w:rPr>
        <w:tab/>
      </w:r>
    </w:p>
    <w:p w:rsidR="00A044B5" w:rsidRPr="00025218" w:rsidP="00E7356F">
      <w:pPr>
        <w:tabs>
          <w:tab w:val="left" w:pos="4320"/>
        </w:tabs>
        <w:rPr>
          <w:szCs w:val="24"/>
        </w:rPr>
      </w:pPr>
      <w:r w:rsidRPr="00025218">
        <w:rPr>
          <w:szCs w:val="24"/>
        </w:rPr>
        <w:tab/>
      </w:r>
      <w:r w:rsidRPr="00025218" w:rsidR="000453C3">
        <w:rPr>
          <w:szCs w:val="24"/>
        </w:rPr>
        <w:t>Christopher Healey</w:t>
      </w:r>
    </w:p>
    <w:p w:rsidR="00A044B5" w:rsidRPr="00025218" w:rsidP="00E7356F">
      <w:pPr>
        <w:tabs>
          <w:tab w:val="left" w:pos="4320"/>
        </w:tabs>
        <w:rPr>
          <w:szCs w:val="24"/>
        </w:rPr>
      </w:pPr>
      <w:r w:rsidRPr="00025218">
        <w:rPr>
          <w:szCs w:val="24"/>
        </w:rPr>
        <w:tab/>
        <w:t>Assistant Consumers’ Counsel</w:t>
      </w:r>
    </w:p>
    <w:p w:rsidR="00A044B5" w:rsidRPr="00025218" w:rsidP="00E7356F">
      <w:pPr>
        <w:pStyle w:val="CommentSubject"/>
        <w:rPr>
          <w:szCs w:val="24"/>
        </w:rPr>
      </w:pPr>
    </w:p>
    <w:p w:rsidR="009F067A" w:rsidRPr="00025218" w:rsidP="00E7356F">
      <w:pPr>
        <w:pStyle w:val="CommentText"/>
      </w:pPr>
      <w:r w:rsidRPr="00025218">
        <w:t>The PUCO’s e-filing system will electronically serve notice of the filing of this document on the following parties:</w:t>
      </w:r>
    </w:p>
    <w:p w:rsidR="009F067A" w:rsidRPr="00025218" w:rsidP="00E7356F">
      <w:pPr>
        <w:pStyle w:val="CommentText"/>
      </w:pPr>
    </w:p>
    <w:p w:rsidR="00A044B5" w:rsidRPr="00025218" w:rsidP="00E7356F">
      <w:pPr>
        <w:pStyle w:val="CommentText"/>
      </w:pPr>
    </w:p>
    <w:p w:rsidR="00041188" w:rsidP="00C84926">
      <w:pPr>
        <w:pStyle w:val="CommentText"/>
        <w:jc w:val="center"/>
        <w:rPr>
          <w:b/>
          <w:u w:val="single"/>
        </w:rPr>
      </w:pPr>
    </w:p>
    <w:p w:rsidR="00041188" w:rsidP="00041188">
      <w:pPr>
        <w:pStyle w:val="CommentText"/>
        <w:jc w:val="center"/>
        <w:rPr>
          <w:b/>
          <w:u w:val="single"/>
        </w:rPr>
      </w:pPr>
      <w:r>
        <w:rPr>
          <w:b/>
          <w:u w:val="single"/>
        </w:rPr>
        <w:t>SERVICE LIST</w:t>
      </w:r>
    </w:p>
    <w:p w:rsidR="00041188" w:rsidP="00041188">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Tr="0004118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041188">
            <w:pPr>
              <w:pStyle w:val="CommentText"/>
              <w:rPr>
                <w:bCs/>
              </w:rPr>
            </w:pPr>
            <w:hyperlink r:id="rId15" w:history="1">
              <w:r w:rsidR="0044347E">
                <w:rPr>
                  <w:rStyle w:val="Hyperlink"/>
                  <w:bCs/>
                </w:rPr>
                <w:t>John.jones@ohioattorneygeneral.gov</w:t>
              </w:r>
            </w:hyperlink>
          </w:p>
          <w:p w:rsidR="00041188">
            <w:pPr>
              <w:autoSpaceDE w:val="0"/>
              <w:autoSpaceDN w:val="0"/>
              <w:adjustRightInd w:val="0"/>
              <w:rPr>
                <w:color w:val="0000FF"/>
                <w:szCs w:val="24"/>
              </w:rPr>
            </w:pPr>
            <w:hyperlink r:id="rId16" w:history="1">
              <w:r w:rsidR="0044347E">
                <w:rPr>
                  <w:rStyle w:val="Hyperlink"/>
                  <w:szCs w:val="24"/>
                </w:rPr>
                <w:t>mkurtz@BKLlawfirm.com</w:t>
              </w:r>
            </w:hyperlink>
          </w:p>
          <w:p w:rsidR="00041188">
            <w:pPr>
              <w:autoSpaceDE w:val="0"/>
              <w:autoSpaceDN w:val="0"/>
              <w:adjustRightInd w:val="0"/>
              <w:rPr>
                <w:color w:val="0000FF"/>
                <w:szCs w:val="24"/>
              </w:rPr>
            </w:pPr>
            <w:hyperlink r:id="rId17" w:history="1">
              <w:r w:rsidR="0044347E">
                <w:rPr>
                  <w:rStyle w:val="Hyperlink"/>
                  <w:szCs w:val="24"/>
                </w:rPr>
                <w:t>kboehm@BKLlawfirm.com</w:t>
              </w:r>
            </w:hyperlink>
          </w:p>
          <w:p w:rsidR="00041188">
            <w:pPr>
              <w:pStyle w:val="CommentText"/>
              <w:rPr>
                <w:color w:val="0000FF"/>
              </w:rPr>
            </w:pPr>
            <w:hyperlink r:id="rId18" w:history="1">
              <w:r w:rsidR="0044347E">
                <w:rPr>
                  <w:rStyle w:val="Hyperlink"/>
                </w:rPr>
                <w:t>jkylercohn@BKLlawfirm.com</w:t>
              </w:r>
            </w:hyperlink>
          </w:p>
          <w:p w:rsidR="00041188">
            <w:pPr>
              <w:autoSpaceDE w:val="0"/>
              <w:autoSpaceDN w:val="0"/>
              <w:adjustRightInd w:val="0"/>
              <w:rPr>
                <w:color w:val="0000FF"/>
                <w:szCs w:val="24"/>
              </w:rPr>
            </w:pPr>
            <w:r>
              <w:rPr>
                <w:color w:val="0000FF"/>
                <w:szCs w:val="24"/>
              </w:rPr>
              <w:t>bethany.allen@igs.com</w:t>
            </w:r>
          </w:p>
          <w:p w:rsidR="00041188">
            <w:pPr>
              <w:pStyle w:val="CommentText"/>
              <w:rPr>
                <w:color w:val="0000FF"/>
              </w:rPr>
            </w:pPr>
            <w:hyperlink r:id="rId19" w:history="1">
              <w:r w:rsidR="0044347E">
                <w:rPr>
                  <w:rStyle w:val="Hyperlink"/>
                </w:rPr>
                <w:t>joe.oliker@igs.com</w:t>
              </w:r>
            </w:hyperlink>
          </w:p>
          <w:p w:rsidR="00041188">
            <w:pPr>
              <w:pStyle w:val="CommentText"/>
              <w:rPr>
                <w:color w:val="0000FF"/>
              </w:rPr>
            </w:pPr>
            <w:hyperlink r:id="rId20" w:history="1">
              <w:r w:rsidR="0044347E">
                <w:rPr>
                  <w:rStyle w:val="Hyperlink"/>
                </w:rPr>
                <w:t>michael.nugent@igs.com</w:t>
              </w:r>
            </w:hyperlink>
          </w:p>
          <w:p w:rsidR="00041188">
            <w:pPr>
              <w:pStyle w:val="CommentText"/>
              <w:rPr>
                <w:bCs/>
              </w:rPr>
            </w:pPr>
          </w:p>
          <w:p w:rsidR="00041188">
            <w:pPr>
              <w:pStyle w:val="CommentText"/>
              <w:rPr>
                <w:bCs/>
              </w:rPr>
            </w:pPr>
          </w:p>
          <w:p w:rsidR="00041188">
            <w:pPr>
              <w:pStyle w:val="CommentText"/>
              <w:rPr>
                <w:bCs/>
              </w:rPr>
            </w:pPr>
            <w:r>
              <w:rPr>
                <w:bCs/>
              </w:rPr>
              <w:t>Attorney Examiners:</w:t>
            </w:r>
          </w:p>
          <w:p w:rsidR="00041188">
            <w:pPr>
              <w:pStyle w:val="CommentText"/>
              <w:rPr>
                <w:bCs/>
              </w:rPr>
            </w:pPr>
            <w:hyperlink r:id="rId21" w:history="1">
              <w:r w:rsidR="0044347E">
                <w:rPr>
                  <w:rStyle w:val="Hyperlink"/>
                  <w:bCs/>
                </w:rPr>
                <w:t>Lauren.Augostini@puco.ohio.gov</w:t>
              </w:r>
            </w:hyperlink>
          </w:p>
          <w:p w:rsidR="00041188">
            <w:pPr>
              <w:pStyle w:val="CommentText"/>
              <w:rPr>
                <w:bCs/>
              </w:rPr>
            </w:pPr>
            <w:hyperlink r:id="rId22" w:history="1">
              <w:r w:rsidR="0044347E">
                <w:rPr>
                  <w:rStyle w:val="Hyperlink"/>
                  <w:bCs/>
                </w:rPr>
                <w:t>Nicholas.walstra@puco.ohio.gov</w:t>
              </w:r>
            </w:hyperlink>
          </w:p>
          <w:p w:rsidR="00041188">
            <w:pPr>
              <w:pStyle w:val="CommentText"/>
              <w:rPr>
                <w:bCs/>
              </w:rPr>
            </w:pPr>
          </w:p>
          <w:p w:rsidR="00041188">
            <w:pPr>
              <w:pStyle w:val="CommentText"/>
              <w:rPr>
                <w:bCs/>
              </w:rPr>
            </w:pPr>
          </w:p>
        </w:tc>
        <w:tc>
          <w:tcPr>
            <w:tcW w:w="4788" w:type="dxa"/>
          </w:tcPr>
          <w:p w:rsidR="00041188">
            <w:pPr>
              <w:autoSpaceDE w:val="0"/>
              <w:autoSpaceDN w:val="0"/>
              <w:adjustRightInd w:val="0"/>
              <w:rPr>
                <w:color w:val="0000FF"/>
                <w:szCs w:val="24"/>
              </w:rPr>
            </w:pPr>
            <w:hyperlink r:id="rId23" w:history="1">
              <w:r w:rsidR="0044347E">
                <w:rPr>
                  <w:rStyle w:val="Hyperlink"/>
                  <w:szCs w:val="24"/>
                </w:rPr>
                <w:t>rocco.dascenzo.@duke-energy.com</w:t>
              </w:r>
            </w:hyperlink>
          </w:p>
          <w:p w:rsidR="00041188">
            <w:pPr>
              <w:autoSpaceDE w:val="0"/>
              <w:autoSpaceDN w:val="0"/>
              <w:adjustRightInd w:val="0"/>
              <w:rPr>
                <w:color w:val="0000FF"/>
                <w:szCs w:val="24"/>
              </w:rPr>
            </w:pPr>
            <w:hyperlink r:id="rId24" w:history="1">
              <w:r w:rsidR="0044347E">
                <w:rPr>
                  <w:rStyle w:val="Hyperlink"/>
                  <w:szCs w:val="24"/>
                </w:rPr>
                <w:t>Jeanne.Kingery@duke-energy.com</w:t>
              </w:r>
            </w:hyperlink>
          </w:p>
          <w:p w:rsidR="00041188">
            <w:pPr>
              <w:pStyle w:val="CommentText"/>
              <w:rPr>
                <w:color w:val="0000FF"/>
              </w:rPr>
            </w:pPr>
            <w:hyperlink r:id="rId25" w:history="1">
              <w:r w:rsidR="0044347E">
                <w:rPr>
                  <w:rStyle w:val="Hyperlink"/>
                </w:rPr>
                <w:t>Larisa.Vaysman@duke-energy.com</w:t>
              </w:r>
            </w:hyperlink>
          </w:p>
          <w:p w:rsidR="00041188">
            <w:pPr>
              <w:autoSpaceDE w:val="0"/>
              <w:autoSpaceDN w:val="0"/>
              <w:adjustRightInd w:val="0"/>
              <w:rPr>
                <w:szCs w:val="24"/>
              </w:rPr>
            </w:pPr>
            <w:hyperlink r:id="rId26" w:history="1">
              <w:r w:rsidR="0044347E">
                <w:rPr>
                  <w:rStyle w:val="Hyperlink"/>
                  <w:szCs w:val="24"/>
                </w:rPr>
                <w:t>mpritchard@mcneeslaw.com</w:t>
              </w:r>
            </w:hyperlink>
          </w:p>
          <w:p w:rsidR="00041188">
            <w:pPr>
              <w:autoSpaceDE w:val="0"/>
              <w:autoSpaceDN w:val="0"/>
              <w:adjustRightInd w:val="0"/>
              <w:rPr>
                <w:szCs w:val="24"/>
              </w:rPr>
            </w:pPr>
            <w:hyperlink r:id="rId27" w:history="1">
              <w:r w:rsidR="0044347E">
                <w:rPr>
                  <w:rStyle w:val="Hyperlink"/>
                  <w:szCs w:val="24"/>
                </w:rPr>
                <w:t>rglover@mcneeslaw.com</w:t>
              </w:r>
            </w:hyperlink>
          </w:p>
          <w:p w:rsidR="00041188">
            <w:pPr>
              <w:pStyle w:val="CommentText"/>
            </w:pPr>
            <w:hyperlink r:id="rId28" w:history="1">
              <w:r w:rsidR="0044347E">
                <w:rPr>
                  <w:rStyle w:val="Hyperlink"/>
                </w:rPr>
                <w:t>bmckenney@mcneeslaw.com</w:t>
              </w:r>
            </w:hyperlink>
          </w:p>
          <w:p w:rsidR="00041188">
            <w:pPr>
              <w:pStyle w:val="CommentText"/>
              <w:rPr>
                <w:color w:val="0000FF"/>
              </w:rPr>
            </w:pPr>
          </w:p>
          <w:p w:rsidR="00041188">
            <w:pPr>
              <w:pStyle w:val="CommentText"/>
              <w:rPr>
                <w:b/>
                <w:u w:val="single"/>
              </w:rPr>
            </w:pPr>
          </w:p>
        </w:tc>
      </w:tr>
    </w:tbl>
    <w:p w:rsidR="00041188" w:rsidRPr="00025218" w:rsidP="00C84926">
      <w:pPr>
        <w:pStyle w:val="CommentText"/>
        <w:jc w:val="center"/>
        <w:rPr>
          <w:b/>
          <w:u w:val="single"/>
        </w:rPr>
      </w:pPr>
    </w:p>
    <w:p w:rsidR="00025218" w:rsidRPr="00025218" w:rsidP="00C84926">
      <w:pPr>
        <w:pStyle w:val="CommentText"/>
        <w:jc w:val="center"/>
        <w:rPr>
          <w:b/>
          <w:u w:val="single"/>
        </w:rPr>
      </w:pPr>
    </w:p>
    <w:tbl>
      <w:tblPr>
        <w:tblW w:w="0" w:type="auto"/>
        <w:tblLook w:val="01E0"/>
      </w:tblPr>
      <w:tblGrid>
        <w:gridCol w:w="4523"/>
        <w:gridCol w:w="4428"/>
      </w:tblGrid>
      <w:tr w:rsidTr="004F4BAF">
        <w:tblPrEx>
          <w:tblW w:w="0" w:type="auto"/>
          <w:tblLook w:val="01E0"/>
        </w:tblPrEx>
        <w:tc>
          <w:tcPr>
            <w:tcW w:w="4523" w:type="dxa"/>
            <w:shd w:val="clear" w:color="auto" w:fill="auto"/>
          </w:tcPr>
          <w:p w:rsidR="00A044B5" w:rsidRPr="00025218" w:rsidP="004F4BAF">
            <w:pPr>
              <w:rPr>
                <w:bCs/>
                <w:szCs w:val="24"/>
              </w:rPr>
            </w:pPr>
          </w:p>
        </w:tc>
        <w:tc>
          <w:tcPr>
            <w:tcW w:w="4428" w:type="dxa"/>
            <w:shd w:val="clear" w:color="auto" w:fill="auto"/>
          </w:tcPr>
          <w:p w:rsidR="00A044B5" w:rsidRPr="00025218" w:rsidP="00E7356F">
            <w:pPr>
              <w:pStyle w:val="BodyText"/>
              <w:rPr>
                <w:bCs/>
                <w:szCs w:val="24"/>
              </w:rPr>
            </w:pPr>
          </w:p>
        </w:tc>
      </w:tr>
      <w:tr w:rsidTr="004F4BAF">
        <w:tblPrEx>
          <w:tblW w:w="0" w:type="auto"/>
          <w:tblLook w:val="01E0"/>
        </w:tblPrEx>
        <w:tc>
          <w:tcPr>
            <w:tcW w:w="4523" w:type="dxa"/>
            <w:shd w:val="clear" w:color="auto" w:fill="auto"/>
          </w:tcPr>
          <w:p w:rsidR="00A044B5" w:rsidRPr="00025218" w:rsidP="00E7356F">
            <w:pPr>
              <w:rPr>
                <w:szCs w:val="24"/>
              </w:rPr>
            </w:pPr>
          </w:p>
        </w:tc>
        <w:tc>
          <w:tcPr>
            <w:tcW w:w="4428" w:type="dxa"/>
            <w:shd w:val="clear" w:color="auto" w:fill="auto"/>
          </w:tcPr>
          <w:p w:rsidR="00A044B5" w:rsidRPr="00025218" w:rsidP="00E7356F">
            <w:pPr>
              <w:rPr>
                <w:bCs/>
                <w:szCs w:val="24"/>
              </w:rPr>
            </w:pPr>
          </w:p>
        </w:tc>
      </w:tr>
    </w:tbl>
    <w:p w:rsidR="00A044B5" w:rsidRPr="00025218" w:rsidP="00E7356F">
      <w:pPr>
        <w:pStyle w:val="BodyText"/>
        <w:rPr>
          <w:b/>
          <w:bCs/>
          <w:szCs w:val="24"/>
        </w:rPr>
      </w:pPr>
    </w:p>
    <w:sectPr w:rsidSect="00E87E1E">
      <w:headerReference w:type="default" r:id="rId29"/>
      <w:footerReference w:type="default" r:id="rId30"/>
      <w:headerReference w:type="first" r:id="rId31"/>
      <w:footerReference w:type="first" r:id="rId32"/>
      <w:pgSz w:w="12240" w:h="15840"/>
      <w:pgMar w:top="1440" w:right="1440" w:bottom="1440" w:left="1440" w:header="720" w:footer="720"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p>
  <w:p w:rsidR="00A04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188">
    <w:pPr>
      <w:pStyle w:val="Footer"/>
      <w:jc w:val="center"/>
    </w:pPr>
  </w:p>
  <w:p w:rsidR="00A044B5" w:rsidRPr="00FE05A8" w:rsidP="00FE0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35160035"/>
      <w:docPartObj>
        <w:docPartGallery w:val="Page Numbers (Bottom of Page)"/>
        <w:docPartUnique/>
      </w:docPartObj>
    </w:sdtPr>
    <w:sdtEndPr>
      <w:rPr>
        <w:noProof/>
        <w:sz w:val="24"/>
        <w:szCs w:val="24"/>
      </w:rPr>
    </w:sdtEndPr>
    <w:sdtContent>
      <w:p w:rsidR="006174AB" w:rsidRPr="006174AB">
        <w:pPr>
          <w:pStyle w:val="Footer"/>
          <w:jc w:val="center"/>
          <w:rPr>
            <w:sz w:val="24"/>
            <w:szCs w:val="24"/>
          </w:rPr>
        </w:pPr>
        <w:r w:rsidRPr="006174AB">
          <w:rPr>
            <w:sz w:val="24"/>
            <w:szCs w:val="24"/>
          </w:rPr>
          <w:fldChar w:fldCharType="begin"/>
        </w:r>
        <w:r w:rsidRPr="006174AB">
          <w:rPr>
            <w:sz w:val="24"/>
            <w:szCs w:val="24"/>
          </w:rPr>
          <w:instrText xml:space="preserve"> PAGE   \* MERGEFORMAT </w:instrText>
        </w:r>
        <w:r w:rsidRPr="006174AB">
          <w:rPr>
            <w:sz w:val="24"/>
            <w:szCs w:val="24"/>
          </w:rPr>
          <w:fldChar w:fldCharType="separate"/>
        </w:r>
        <w:r w:rsidRPr="006174AB">
          <w:rPr>
            <w:noProof/>
            <w:sz w:val="24"/>
            <w:szCs w:val="24"/>
          </w:rPr>
          <w:t>2</w:t>
        </w:r>
        <w:r w:rsidRPr="006174AB">
          <w:rPr>
            <w:noProof/>
            <w:sz w:val="24"/>
            <w:szCs w:val="24"/>
          </w:rPr>
          <w:fldChar w:fldCharType="end"/>
        </w:r>
      </w:p>
    </w:sdtContent>
  </w:sdt>
  <w:p w:rsidR="00610F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196467"/>
      <w:docPartObj>
        <w:docPartGallery w:val="Page Numbers (Bottom of Page)"/>
        <w:docPartUnique/>
      </w:docPartObj>
    </w:sdtPr>
    <w:sdtEndPr>
      <w:rPr>
        <w:noProof/>
        <w:sz w:val="24"/>
        <w:szCs w:val="24"/>
      </w:rPr>
    </w:sdtEndPr>
    <w:sdtContent>
      <w:p w:rsidR="00610F66" w:rsidRPr="00610F66">
        <w:pPr>
          <w:pStyle w:val="Footer"/>
          <w:jc w:val="center"/>
          <w:rPr>
            <w:sz w:val="24"/>
            <w:szCs w:val="24"/>
          </w:rPr>
        </w:pPr>
        <w:r w:rsidRPr="00610F66">
          <w:rPr>
            <w:sz w:val="24"/>
            <w:szCs w:val="24"/>
          </w:rPr>
          <w:fldChar w:fldCharType="begin"/>
        </w:r>
        <w:r w:rsidRPr="00610F66">
          <w:rPr>
            <w:sz w:val="24"/>
            <w:szCs w:val="24"/>
          </w:rPr>
          <w:instrText xml:space="preserve"> PAGE   \* MERGEFORMAT </w:instrText>
        </w:r>
        <w:r w:rsidRPr="00610F66">
          <w:rPr>
            <w:sz w:val="24"/>
            <w:szCs w:val="24"/>
          </w:rPr>
          <w:fldChar w:fldCharType="separate"/>
        </w:r>
        <w:r w:rsidRPr="00610F66">
          <w:rPr>
            <w:noProof/>
            <w:sz w:val="24"/>
            <w:szCs w:val="24"/>
          </w:rPr>
          <w:t>2</w:t>
        </w:r>
        <w:r w:rsidRPr="00610F66">
          <w:rPr>
            <w:noProof/>
            <w:sz w:val="24"/>
            <w:szCs w:val="24"/>
          </w:rPr>
          <w:fldChar w:fldCharType="end"/>
        </w:r>
      </w:p>
    </w:sdtContent>
  </w:sdt>
  <w:p w:rsidR="00041188" w:rsidRPr="00FE05A8" w:rsidP="00FE05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2620212"/>
      <w:docPartObj>
        <w:docPartGallery w:val="Page Numbers (Bottom of Page)"/>
        <w:docPartUnique/>
      </w:docPartObj>
    </w:sdtPr>
    <w:sdtEndPr>
      <w:rPr>
        <w:noProof/>
        <w:sz w:val="24"/>
        <w:szCs w:val="24"/>
      </w:rPr>
    </w:sdtEndPr>
    <w:sdtContent>
      <w:p w:rsidR="00E87E1E" w:rsidRPr="00E87E1E">
        <w:pPr>
          <w:pStyle w:val="Footer"/>
          <w:jc w:val="center"/>
          <w:rPr>
            <w:sz w:val="24"/>
            <w:szCs w:val="24"/>
          </w:rPr>
        </w:pPr>
      </w:p>
    </w:sdtContent>
  </w:sdt>
  <w:p w:rsidR="00610F66" w:rsidRPr="00E87E1E" w:rsidP="00FE05A8">
    <w:pPr>
      <w:pStyle w:val="Foo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3870999"/>
      <w:docPartObj>
        <w:docPartGallery w:val="Page Numbers (Bottom of Page)"/>
        <w:docPartUnique/>
      </w:docPartObj>
    </w:sdtPr>
    <w:sdtEndPr>
      <w:rPr>
        <w:noProof/>
        <w:sz w:val="24"/>
        <w:szCs w:val="24"/>
      </w:rPr>
    </w:sdtEndPr>
    <w:sdtContent>
      <w:p w:rsidR="006174AB" w:rsidRPr="006174AB">
        <w:pPr>
          <w:pStyle w:val="Footer"/>
          <w:jc w:val="center"/>
          <w:rPr>
            <w:sz w:val="24"/>
            <w:szCs w:val="24"/>
          </w:rPr>
        </w:pPr>
        <w:r w:rsidRPr="006174AB">
          <w:rPr>
            <w:sz w:val="24"/>
            <w:szCs w:val="24"/>
          </w:rPr>
          <w:fldChar w:fldCharType="begin"/>
        </w:r>
        <w:r w:rsidRPr="006174AB">
          <w:rPr>
            <w:sz w:val="24"/>
            <w:szCs w:val="24"/>
          </w:rPr>
          <w:instrText xml:space="preserve"> PAGE   \* MERGEFORMAT </w:instrText>
        </w:r>
        <w:r w:rsidRPr="006174AB">
          <w:rPr>
            <w:sz w:val="24"/>
            <w:szCs w:val="24"/>
          </w:rPr>
          <w:fldChar w:fldCharType="separate"/>
        </w:r>
        <w:r w:rsidRPr="006174AB">
          <w:rPr>
            <w:noProof/>
            <w:sz w:val="24"/>
            <w:szCs w:val="24"/>
          </w:rPr>
          <w:t>2</w:t>
        </w:r>
        <w:r w:rsidRPr="006174AB">
          <w:rPr>
            <w:noProof/>
            <w:sz w:val="24"/>
            <w:szCs w:val="24"/>
          </w:rPr>
          <w:fldChar w:fldCharType="end"/>
        </w:r>
      </w:p>
    </w:sdtContent>
  </w:sdt>
  <w:p w:rsidR="006174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6818731"/>
      <w:docPartObj>
        <w:docPartGallery w:val="Page Numbers (Bottom of Page)"/>
        <w:docPartUnique/>
      </w:docPartObj>
    </w:sdtPr>
    <w:sdtEndPr>
      <w:rPr>
        <w:noProof/>
        <w:sz w:val="24"/>
        <w:szCs w:val="24"/>
      </w:rPr>
    </w:sdtEndPr>
    <w:sdtContent>
      <w:p w:rsidR="00E87E1E" w:rsidRPr="00E87E1E">
        <w:pPr>
          <w:pStyle w:val="Footer"/>
          <w:jc w:val="center"/>
          <w:rPr>
            <w:sz w:val="24"/>
            <w:szCs w:val="24"/>
          </w:rPr>
        </w:pPr>
        <w:r w:rsidRPr="00E87E1E">
          <w:rPr>
            <w:sz w:val="24"/>
            <w:szCs w:val="24"/>
          </w:rPr>
          <w:fldChar w:fldCharType="begin"/>
        </w:r>
        <w:r w:rsidRPr="00E87E1E">
          <w:rPr>
            <w:sz w:val="24"/>
            <w:szCs w:val="24"/>
          </w:rPr>
          <w:instrText xml:space="preserve"> PAGE   \* MERGEFORMAT </w:instrText>
        </w:r>
        <w:r w:rsidRPr="00E87E1E">
          <w:rPr>
            <w:sz w:val="24"/>
            <w:szCs w:val="24"/>
          </w:rPr>
          <w:fldChar w:fldCharType="separate"/>
        </w:r>
        <w:r w:rsidRPr="00E87E1E">
          <w:rPr>
            <w:noProof/>
            <w:sz w:val="24"/>
            <w:szCs w:val="24"/>
          </w:rPr>
          <w:t>2</w:t>
        </w:r>
        <w:r w:rsidRPr="00E87E1E">
          <w:rPr>
            <w:noProof/>
            <w:sz w:val="24"/>
            <w:szCs w:val="24"/>
          </w:rPr>
          <w:fldChar w:fldCharType="end"/>
        </w:r>
      </w:p>
    </w:sdtContent>
  </w:sdt>
  <w:p w:rsidR="00E87E1E" w:rsidRPr="00E87E1E" w:rsidP="00FE05A8">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5DD9">
      <w:r>
        <w:separator/>
      </w:r>
    </w:p>
  </w:footnote>
  <w:footnote w:type="continuationSeparator" w:id="1">
    <w:p w:rsidR="00825DD9">
      <w:r>
        <w:continuationSeparator/>
      </w:r>
    </w:p>
  </w:footnote>
  <w:footnote w:id="2">
    <w:p w:rsidR="00BC7C2A" w:rsidP="00CF7824">
      <w:pPr>
        <w:pStyle w:val="FootnoteText"/>
        <w:spacing w:after="120"/>
      </w:pPr>
      <w:r>
        <w:rPr>
          <w:rStyle w:val="FootnoteReference"/>
        </w:rPr>
        <w:footnoteRef/>
      </w:r>
      <w:r>
        <w:t xml:space="preserve"> Application at 7 (Oct. 9, 2020).</w:t>
      </w:r>
    </w:p>
  </w:footnote>
  <w:footnote w:id="3">
    <w:p w:rsidR="00BC7C2A" w:rsidRPr="004114E1" w:rsidP="00CF7824">
      <w:pPr>
        <w:pStyle w:val="FootnoteText"/>
        <w:spacing w:after="120"/>
      </w:pPr>
      <w:r>
        <w:rPr>
          <w:rStyle w:val="FootnoteReference"/>
        </w:rPr>
        <w:footnoteRef/>
      </w:r>
      <w:r>
        <w:t xml:space="preserve"> </w:t>
      </w:r>
      <w:r w:rsidR="004114E1">
        <w:rPr>
          <w:i/>
        </w:rPr>
        <w:t>In re Application of Duke Energy Ohio, Inc., for Approval of its 2021 Energy Efficiency &amp; Demand Side Management Portfolio of Programs &amp; Cost Recovery Mechanism</w:t>
      </w:r>
      <w:r w:rsidR="004114E1">
        <w:t>, Case No. 20-1013-EL-POR, Entry (June 17, 2020).</w:t>
      </w:r>
    </w:p>
  </w:footnote>
  <w:footnote w:id="4">
    <w:p w:rsidR="005B2375" w:rsidP="00CF7824">
      <w:pPr>
        <w:pStyle w:val="FootnoteText"/>
        <w:spacing w:after="120"/>
      </w:pPr>
      <w:r>
        <w:rPr>
          <w:rStyle w:val="FootnoteReference"/>
        </w:rPr>
        <w:footnoteRef/>
      </w:r>
      <w:r>
        <w:t xml:space="preserve"> Application at 1.</w:t>
      </w:r>
    </w:p>
  </w:footnote>
  <w:footnote w:id="5">
    <w:p w:rsidR="00620E27" w:rsidP="00CF7824">
      <w:pPr>
        <w:pStyle w:val="FootnoteText"/>
        <w:spacing w:after="120"/>
      </w:pPr>
      <w:r>
        <w:rPr>
          <w:rStyle w:val="FootnoteReference"/>
        </w:rPr>
        <w:footnoteRef/>
      </w:r>
      <w:r>
        <w:t xml:space="preserve"> </w:t>
      </w:r>
      <w:r>
        <w:rPr>
          <w:i/>
        </w:rPr>
        <w:t xml:space="preserve">See, e.g., </w:t>
      </w:r>
      <w:r>
        <w:t>Ohio Adm. Code 4901:1-39-01(D) (referencing “statutorily required energy efficiency savings”); Ohio Adm. Code 4901:1-39-01(Y) (referencing “statutory energy efficiency and/or peak demand reduction benchmark”); Ohio Adm. Code 4901:1-39-05(E) (referencing “annual statutory requirements for energy efficiency and peak demand reduction”); Ohio Adm. Code 4901:1-39-07(B)(3) (referencing “the electric utility’s statutory requirements”).</w:t>
      </w:r>
    </w:p>
  </w:footnote>
  <w:footnote w:id="6">
    <w:p w:rsidR="001142A5" w:rsidRPr="001142A5" w:rsidP="00CF7824">
      <w:pPr>
        <w:pStyle w:val="FootnoteText"/>
        <w:spacing w:after="120"/>
      </w:pPr>
      <w:r>
        <w:rPr>
          <w:rStyle w:val="FootnoteReference"/>
        </w:rPr>
        <w:footnoteRef/>
      </w:r>
      <w:r>
        <w:t xml:space="preserve"> </w:t>
      </w:r>
      <w:r>
        <w:rPr>
          <w:i/>
        </w:rPr>
        <w:t xml:space="preserve">Disc. Cellular, </w:t>
      </w:r>
      <w:r w:rsidR="004F1D1E">
        <w:rPr>
          <w:i/>
        </w:rPr>
        <w:t>Inc.</w:t>
      </w:r>
      <w:r>
        <w:rPr>
          <w:i/>
        </w:rPr>
        <w:t xml:space="preserve"> v. PUCO</w:t>
      </w:r>
      <w:r>
        <w:t>, 112 Ohio St. 3d 360, 373 (2007).</w:t>
      </w:r>
    </w:p>
  </w:footnote>
  <w:footnote w:id="7">
    <w:p w:rsidR="00AB1867" w:rsidP="00CF7824">
      <w:pPr>
        <w:pStyle w:val="FootnoteText"/>
        <w:spacing w:after="120"/>
      </w:pPr>
      <w:r>
        <w:rPr>
          <w:rStyle w:val="FootnoteReference"/>
        </w:rPr>
        <w:footnoteRef/>
      </w:r>
      <w:r>
        <w:t xml:space="preserve"> Application at 7-8.</w:t>
      </w:r>
    </w:p>
  </w:footnote>
  <w:footnote w:id="8">
    <w:p w:rsidR="00AB1867" w:rsidRPr="00AB1867" w:rsidP="00CF7824">
      <w:pPr>
        <w:pStyle w:val="FootnoteText"/>
        <w:spacing w:after="120"/>
      </w:pPr>
      <w:r>
        <w:rPr>
          <w:rStyle w:val="FootnoteReference"/>
        </w:rPr>
        <w:footnoteRef/>
      </w:r>
      <w:r>
        <w:t xml:space="preserve"> </w:t>
      </w:r>
      <w:r>
        <w:rPr>
          <w:i/>
        </w:rPr>
        <w:t>Id.</w:t>
      </w:r>
    </w:p>
  </w:footnote>
  <w:footnote w:id="9">
    <w:p w:rsidR="00B22157" w:rsidRPr="00B22157" w:rsidP="00CF7824">
      <w:pPr>
        <w:pStyle w:val="FootnoteText"/>
        <w:spacing w:after="120"/>
      </w:pPr>
      <w:r>
        <w:rPr>
          <w:rStyle w:val="FootnoteReference"/>
        </w:rPr>
        <w:footnoteRef/>
      </w:r>
      <w:r>
        <w:t xml:space="preserve"> </w:t>
      </w:r>
      <w:r>
        <w:rPr>
          <w:i/>
        </w:rPr>
        <w:t>In re Application of Duke Energy Ohio, Inc. for an Energy Efficiency Cost Recovery Mechanism</w:t>
      </w:r>
      <w:r>
        <w:t>, Case No. 11-4393-EL-RDR, Opinion &amp; Order (Aug. 15, 2012) (emphasis added).</w:t>
      </w:r>
    </w:p>
  </w:footnote>
  <w:footnote w:id="10">
    <w:p w:rsidR="004C748F" w:rsidP="00CF7824">
      <w:pPr>
        <w:pStyle w:val="FootnoteText"/>
        <w:spacing w:after="120"/>
      </w:pPr>
      <w:r>
        <w:rPr>
          <w:rStyle w:val="FootnoteReference"/>
        </w:rPr>
        <w:footnoteRef/>
      </w:r>
      <w:r>
        <w:t xml:space="preserve"> Application at 8.</w:t>
      </w:r>
    </w:p>
  </w:footnote>
  <w:footnote w:id="11">
    <w:p w:rsidR="00FD0C34" w:rsidP="00CF7824">
      <w:pPr>
        <w:pStyle w:val="FootnoteText"/>
        <w:spacing w:after="120"/>
      </w:pPr>
      <w:r>
        <w:rPr>
          <w:rStyle w:val="FootnoteReference"/>
        </w:rPr>
        <w:footnoteRef/>
      </w:r>
      <w:r>
        <w:t xml:space="preserve"> Application at 7.</w:t>
      </w:r>
    </w:p>
  </w:footnote>
  <w:footnote w:id="12">
    <w:p w:rsidR="009A64D8" w:rsidP="00CF7824">
      <w:pPr>
        <w:pStyle w:val="FootnoteText"/>
        <w:spacing w:after="120"/>
      </w:pPr>
      <w:r>
        <w:rPr>
          <w:rStyle w:val="FootnoteReference"/>
        </w:rPr>
        <w:footnoteRef/>
      </w:r>
      <w:r>
        <w:t xml:space="preserve"> </w:t>
      </w:r>
      <w:r w:rsidR="000C4DFD">
        <w:t>A</w:t>
      </w:r>
      <w:r>
        <w:t xml:space="preserve">nother difference is that Duke’s </w:t>
      </w:r>
      <w:r w:rsidR="009A139E">
        <w:t>earlier propose</w:t>
      </w:r>
      <w:r w:rsidR="002E3D5A">
        <w:t>d</w:t>
      </w:r>
      <w:r w:rsidR="009A139E">
        <w:t xml:space="preserve"> </w:t>
      </w:r>
      <w:r>
        <w:t xml:space="preserve">shared savings mechanism was substantially </w:t>
      </w:r>
      <w:r w:rsidR="002E3D5A">
        <w:t>larger</w:t>
      </w:r>
      <w:r>
        <w:t xml:space="preserve">, </w:t>
      </w:r>
      <w:r w:rsidR="00D86922">
        <w:t>allowing Duke to</w:t>
      </w:r>
      <w:r w:rsidR="002E3D5A">
        <w:t xml:space="preserve"> </w:t>
      </w:r>
      <w:r>
        <w:t>charg</w:t>
      </w:r>
      <w:r w:rsidR="00D86922">
        <w:t>e</w:t>
      </w:r>
      <w:r>
        <w:t xml:space="preserve"> customers up to $10 million per year in utility profits, whereas Duke projects $450,000 in utility profits under the new profit mechanism.</w:t>
      </w:r>
    </w:p>
  </w:footnote>
  <w:footnote w:id="13">
    <w:p w:rsidR="00D86922" w:rsidP="00CF7824">
      <w:pPr>
        <w:pStyle w:val="FootnoteText"/>
        <w:spacing w:after="120"/>
      </w:pPr>
      <w:r>
        <w:rPr>
          <w:rStyle w:val="FootnoteReference"/>
        </w:rPr>
        <w:footnoteRef/>
      </w:r>
      <w:r>
        <w:t xml:space="preserve"> </w:t>
      </w:r>
      <w:r>
        <w:rPr>
          <w:i/>
        </w:rPr>
        <w:t>In re Application of Duke Energy Ohio, Inc. for Approval of its 2021 Energy Efficiency &amp; Demand Side Management Portfolio of Programs &amp; Cost Recovery Mechanism</w:t>
      </w:r>
      <w:r>
        <w:t>, Case No. 20-1013-EL-POR (the “Withdrawn Portfolio Case”), Entry (June 17, 2020).</w:t>
      </w:r>
    </w:p>
  </w:footnote>
  <w:footnote w:id="14">
    <w:p w:rsidR="00CE1109" w:rsidRPr="00CE1109" w:rsidP="00CF7824">
      <w:pPr>
        <w:pStyle w:val="FootnoteText"/>
        <w:spacing w:after="120"/>
      </w:pPr>
      <w:r>
        <w:rPr>
          <w:rStyle w:val="FootnoteReference"/>
        </w:rPr>
        <w:footnoteRef/>
      </w:r>
      <w:r>
        <w:t xml:space="preserve"> </w:t>
      </w:r>
      <w:r w:rsidRPr="00D86922" w:rsidR="00D86922">
        <w:t xml:space="preserve"> </w:t>
      </w:r>
      <w:r w:rsidR="00D86922">
        <w:t>Withdrawn Portfolio Case, Application (June 3, 2020).</w:t>
      </w:r>
    </w:p>
  </w:footnote>
  <w:footnote w:id="15">
    <w:p w:rsidR="00CE1109" w:rsidRPr="00CE1109" w:rsidP="00CF7824">
      <w:pPr>
        <w:pStyle w:val="FootnoteText"/>
        <w:spacing w:after="120"/>
      </w:pPr>
      <w:r>
        <w:rPr>
          <w:rStyle w:val="FootnoteReference"/>
        </w:rPr>
        <w:footnoteRef/>
      </w:r>
      <w:r>
        <w:t xml:space="preserve"> </w:t>
      </w:r>
      <w:r w:rsidR="00D86922">
        <w:rPr>
          <w:i/>
        </w:rPr>
        <w:t>Id.</w:t>
      </w:r>
      <w:r>
        <w:t xml:space="preserve"> at 7</w:t>
      </w:r>
      <w:r w:rsidR="00D86922">
        <w:t>.</w:t>
      </w:r>
    </w:p>
  </w:footnote>
  <w:footnote w:id="16">
    <w:p w:rsidR="00CE1109" w:rsidRPr="00CE1109" w:rsidP="00CF7824">
      <w:pPr>
        <w:pStyle w:val="FootnoteText"/>
        <w:spacing w:after="120"/>
      </w:pPr>
      <w:r>
        <w:rPr>
          <w:rStyle w:val="FootnoteReference"/>
        </w:rPr>
        <w:footnoteRef/>
      </w:r>
      <w:r>
        <w:t xml:space="preserve"> Withdrawn Portfolio Case, Entry (June 17, 2020).</w:t>
      </w:r>
    </w:p>
  </w:footnote>
  <w:footnote w:id="17">
    <w:p w:rsidR="00CE1109" w:rsidRPr="00CE1109" w:rsidP="00CF7824">
      <w:pPr>
        <w:pStyle w:val="FootnoteText"/>
        <w:spacing w:after="120"/>
      </w:pPr>
      <w:r>
        <w:rPr>
          <w:rStyle w:val="FootnoteReference"/>
        </w:rPr>
        <w:footnoteRef/>
      </w:r>
      <w:r>
        <w:t xml:space="preserve"> </w:t>
      </w:r>
      <w:r>
        <w:rPr>
          <w:i/>
        </w:rPr>
        <w:t>Id.</w:t>
      </w:r>
      <w:r>
        <w:t xml:space="preserve"> ¶ 6.</w:t>
      </w:r>
    </w:p>
  </w:footnote>
  <w:footnote w:id="18">
    <w:p w:rsidR="00CE1109" w:rsidRPr="00CE1109" w:rsidP="00CF7824">
      <w:pPr>
        <w:pStyle w:val="FootnoteText"/>
        <w:spacing w:after="120"/>
      </w:pPr>
      <w:r>
        <w:rPr>
          <w:rStyle w:val="FootnoteReference"/>
        </w:rPr>
        <w:footnoteRef/>
      </w:r>
      <w:r>
        <w:t xml:space="preserve"> </w:t>
      </w:r>
      <w:r>
        <w:rPr>
          <w:i/>
        </w:rPr>
        <w:t>Id.</w:t>
      </w:r>
      <w:r>
        <w:t xml:space="preserve"> ¶ 7.</w:t>
      </w:r>
    </w:p>
  </w:footnote>
  <w:footnote w:id="19">
    <w:p w:rsidR="00CE1109" w:rsidRPr="00CE1109" w:rsidP="00CF7824">
      <w:pPr>
        <w:pStyle w:val="FootnoteText"/>
        <w:spacing w:after="120"/>
      </w:pPr>
      <w:r>
        <w:rPr>
          <w:rStyle w:val="FootnoteReference"/>
        </w:rPr>
        <w:footnoteRef/>
      </w:r>
      <w:r>
        <w:t xml:space="preserve"> </w:t>
      </w:r>
      <w:r>
        <w:rPr>
          <w:i/>
        </w:rPr>
        <w:t>Id.</w:t>
      </w:r>
    </w:p>
  </w:footnote>
  <w:footnote w:id="20">
    <w:p w:rsidR="00CE1109" w:rsidRPr="00CE1109" w:rsidP="00CF7824">
      <w:pPr>
        <w:pStyle w:val="FootnoteText"/>
        <w:spacing w:after="120"/>
      </w:pPr>
      <w:r>
        <w:rPr>
          <w:rStyle w:val="FootnoteReference"/>
        </w:rPr>
        <w:footnoteRef/>
      </w:r>
      <w:r>
        <w:t xml:space="preserve"> </w:t>
      </w:r>
      <w:r>
        <w:rPr>
          <w:i/>
        </w:rPr>
        <w:t>Id.</w:t>
      </w:r>
      <w:r w:rsidR="00B01515">
        <w:t xml:space="preserve"> ¶ 8.</w:t>
      </w:r>
    </w:p>
  </w:footnote>
  <w:footnote w:id="21">
    <w:p w:rsidR="002F618E" w:rsidP="00CF7824">
      <w:pPr>
        <w:pStyle w:val="FootnoteText"/>
        <w:spacing w:after="120"/>
      </w:pPr>
      <w:r>
        <w:rPr>
          <w:rStyle w:val="FootnoteReference"/>
        </w:rPr>
        <w:footnoteRef/>
      </w:r>
      <w:r>
        <w:t xml:space="preserve"> </w:t>
      </w:r>
      <w:hyperlink r:id="rId1" w:history="1">
        <w:r w:rsidRPr="00121AEC">
          <w:rPr>
            <w:rStyle w:val="Hyperlink"/>
          </w:rPr>
          <w:t>https://www.daytondailynews.com/news/coronavirus-ohio-reports-4000-daily-cases-for-second-straight-day/EFXRKNT7KVEZRH4Y6U5PQ4LFYI/</w:t>
        </w:r>
      </w:hyperlink>
      <w:r>
        <w:t xml:space="preserve">. </w:t>
      </w:r>
    </w:p>
  </w:footnote>
  <w:footnote w:id="22">
    <w:p w:rsidR="002F618E" w:rsidP="00CF7824">
      <w:pPr>
        <w:pStyle w:val="FootnoteText"/>
        <w:spacing w:after="120"/>
      </w:pPr>
      <w:r>
        <w:rPr>
          <w:rStyle w:val="FootnoteReference"/>
        </w:rPr>
        <w:footnoteRef/>
      </w:r>
      <w:r>
        <w:t xml:space="preserve"> </w:t>
      </w:r>
      <w:hyperlink r:id="rId2" w:history="1">
        <w:r w:rsidRPr="00121AEC">
          <w:rPr>
            <w:rStyle w:val="Hyperlink"/>
          </w:rPr>
          <w:t>https://www.cleveland.com/open/2020/11/ohio-exceeds-5000-new-coronavirus-cases-in-single-day-to-5008-friday-update.html</w:t>
        </w:r>
      </w:hyperlink>
      <w:r>
        <w:t xml:space="preserve">. </w:t>
      </w:r>
    </w:p>
  </w:footnote>
  <w:footnote w:id="23">
    <w:p w:rsidR="00F422A5" w:rsidP="00CF7824">
      <w:pPr>
        <w:pStyle w:val="FootnoteText"/>
        <w:spacing w:after="120"/>
      </w:pPr>
      <w:r>
        <w:rPr>
          <w:rStyle w:val="FootnoteReference"/>
        </w:rPr>
        <w:footnoteRef/>
      </w:r>
      <w:r>
        <w:t xml:space="preserve"> </w:t>
      </w:r>
      <w:hyperlink r:id="rId3" w:history="1">
        <w:r w:rsidRPr="00121AEC">
          <w:rPr>
            <w:rStyle w:val="Hyperlink"/>
          </w:rPr>
          <w:t>https://oui.doleta.gov/unemploy/wkclaims/report.asp</w:t>
        </w:r>
      </w:hyperlink>
      <w:r>
        <w:t xml:space="preserve"> </w:t>
      </w:r>
    </w:p>
  </w:footnote>
  <w:footnote w:id="24">
    <w:p w:rsidR="006245C0" w:rsidP="00CF7824">
      <w:pPr>
        <w:pStyle w:val="FootnoteText"/>
        <w:spacing w:after="120"/>
      </w:pPr>
      <w:r>
        <w:rPr>
          <w:rStyle w:val="FootnoteReference"/>
        </w:rPr>
        <w:footnoteRef/>
      </w:r>
      <w:r>
        <w:t xml:space="preserve"> Application at 8.</w:t>
      </w:r>
    </w:p>
  </w:footnote>
  <w:footnote w:id="25">
    <w:p w:rsidR="006245C0" w:rsidRPr="006245C0" w:rsidP="00CF7824">
      <w:pPr>
        <w:pStyle w:val="FootnoteText"/>
        <w:spacing w:after="120"/>
      </w:pPr>
      <w:r>
        <w:rPr>
          <w:rStyle w:val="FootnoteReference"/>
        </w:rPr>
        <w:footnoteRef/>
      </w:r>
      <w:r>
        <w:t xml:space="preserve"> </w:t>
      </w:r>
      <w:r>
        <w:rPr>
          <w:i/>
        </w:rPr>
        <w:t>See, e.g., In re Application of Duke Energy Ohio, Inc. for Approval of its 2017-2019 Energy Efficiency &amp; Peak Demand Reduction Program Portfolio Plan</w:t>
      </w:r>
      <w:r>
        <w:t xml:space="preserve">, Case No. 16-576-EL-POR, Opinion &amp; </w:t>
      </w:r>
      <w:r w:rsidR="00B01515">
        <w:t>Order ¶ 26 (Sept. 27, 2017) ($8 </w:t>
      </w:r>
      <w:r>
        <w:t>million after-tax cap on shared savings).</w:t>
      </w:r>
    </w:p>
  </w:footnote>
  <w:footnote w:id="26">
    <w:p w:rsidR="006245C0" w:rsidP="00CF7824">
      <w:pPr>
        <w:pStyle w:val="FootnoteText"/>
        <w:spacing w:after="120"/>
      </w:pPr>
      <w:r>
        <w:rPr>
          <w:rStyle w:val="FootnoteReference"/>
        </w:rPr>
        <w:footnoteRef/>
      </w:r>
      <w:r>
        <w:t xml:space="preserve"> Application at 7.</w:t>
      </w:r>
    </w:p>
  </w:footnote>
  <w:footnote w:id="27">
    <w:p w:rsidR="00CE5AD2" w:rsidRPr="00CE5AD2" w:rsidP="00CF7824">
      <w:pPr>
        <w:pStyle w:val="FootnoteText"/>
        <w:spacing w:after="120"/>
      </w:pPr>
      <w:r>
        <w:rPr>
          <w:rStyle w:val="FootnoteReference"/>
        </w:rPr>
        <w:footnoteRef/>
      </w:r>
      <w:r>
        <w:t xml:space="preserve"> </w:t>
      </w:r>
      <w:r>
        <w:rPr>
          <w:i/>
        </w:rPr>
        <w:t>See</w:t>
      </w:r>
      <w:r>
        <w:t xml:space="preserve"> Case No. 15-534-EL-RDR, Opinion &amp; Order (Oct. 26, 2016); Case No. 16-664-EL-RDR, Finding &amp; Order (May 15, 2019); Case No. 17-781-EL-RDR, Finding &amp; Order (May 15, 2019); Case No. 18-397-EL-RDR, Finding &amp; Order (July 31, 2019).</w:t>
      </w:r>
    </w:p>
  </w:footnote>
  <w:footnote w:id="28">
    <w:p w:rsidR="00CE5AD2" w:rsidRPr="00CE5AD2" w:rsidP="00CF7824">
      <w:pPr>
        <w:pStyle w:val="FootnoteText"/>
        <w:spacing w:after="120"/>
      </w:pPr>
      <w:r>
        <w:rPr>
          <w:rStyle w:val="FootnoteReference"/>
        </w:rPr>
        <w:footnoteRef/>
      </w:r>
      <w:r>
        <w:t xml:space="preserve"> </w:t>
      </w:r>
      <w:r>
        <w:rPr>
          <w:i/>
        </w:rPr>
        <w:t>See</w:t>
      </w:r>
      <w:r>
        <w:t xml:space="preserve"> Case No. 19-622-EL-RDR, Staff Review and Recommendation (Dec. 12, 2019).</w:t>
      </w:r>
    </w:p>
  </w:footnote>
  <w:footnote w:id="29">
    <w:p w:rsidR="00CE5AD2" w:rsidP="00CF7824">
      <w:pPr>
        <w:pStyle w:val="FootnoteText"/>
        <w:spacing w:after="120"/>
      </w:pPr>
      <w:r>
        <w:rPr>
          <w:rStyle w:val="FootnoteReference"/>
        </w:rPr>
        <w:footnoteRef/>
      </w:r>
      <w:r>
        <w:t xml:space="preserve"> Case No. 20-613-EL-RDR, Comments (May 14, 2020).</w:t>
      </w:r>
    </w:p>
  </w:footnote>
  <w:footnote w:id="30">
    <w:p w:rsidR="00CE5AD2" w:rsidRPr="00CE5AD2" w:rsidP="00CF7824">
      <w:pPr>
        <w:pStyle w:val="FootnoteText"/>
        <w:spacing w:after="120"/>
      </w:pPr>
      <w:r>
        <w:rPr>
          <w:rStyle w:val="FootnoteReference"/>
        </w:rPr>
        <w:footnoteRef/>
      </w:r>
      <w:r>
        <w:t xml:space="preserve"> </w:t>
      </w:r>
      <w:r>
        <w:rPr>
          <w:i/>
        </w:rPr>
        <w:t>See</w:t>
      </w:r>
      <w:r>
        <w:t xml:space="preserve"> Case No. 16-664-EL-RDR, Staff Review and Recommendation (Nov. 13, 2017); Case No. 17-781-EL-RDR, Staff Review and Recommendation (Sept. 11, 2018); </w:t>
      </w:r>
      <w:r w:rsidR="00F440A0">
        <w:t>Case No. 18-397-EL-RDR, Staff Review and Recommendation (June 12, 2019).</w:t>
      </w:r>
    </w:p>
  </w:footnote>
  <w:footnote w:id="31">
    <w:p w:rsidR="006807E7" w:rsidP="00CF7824">
      <w:pPr>
        <w:pStyle w:val="FootnoteText"/>
        <w:spacing w:after="120"/>
      </w:pPr>
      <w:r>
        <w:rPr>
          <w:rStyle w:val="FootnoteReference"/>
        </w:rPr>
        <w:footnoteRef/>
      </w:r>
      <w:r>
        <w:t xml:space="preserve"> Application at 2, footnote 5.</w:t>
      </w:r>
    </w:p>
  </w:footnote>
  <w:footnote w:id="32">
    <w:p w:rsidR="00686F8D" w:rsidP="00CF7824">
      <w:pPr>
        <w:pStyle w:val="FootnoteText"/>
        <w:spacing w:after="120"/>
      </w:pPr>
      <w:r>
        <w:rPr>
          <w:rStyle w:val="FootnoteReference"/>
        </w:rPr>
        <w:footnoteRef/>
      </w:r>
      <w:r>
        <w:t xml:space="preserve"> Case No. 09-1947-EL-POR, Opinion &amp; Order (Mar. 3, 2011).</w:t>
      </w:r>
    </w:p>
  </w:footnote>
  <w:footnote w:id="33">
    <w:p w:rsidR="00686F8D" w:rsidP="00CF7824">
      <w:pPr>
        <w:pStyle w:val="FootnoteText"/>
        <w:spacing w:after="120"/>
      </w:pPr>
      <w:r>
        <w:rPr>
          <w:rStyle w:val="FootnoteReference"/>
        </w:rPr>
        <w:footnoteRef/>
      </w:r>
      <w:r>
        <w:t xml:space="preserve"> Case No. 12-1230-EL-SSO, Opinion &amp; Order (July 18,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E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2A4912"/>
    <w:rsid w:val="0000007C"/>
    <w:rsid w:val="00011B8A"/>
    <w:rsid w:val="00023F17"/>
    <w:rsid w:val="00025218"/>
    <w:rsid w:val="00031559"/>
    <w:rsid w:val="00041188"/>
    <w:rsid w:val="000453C3"/>
    <w:rsid w:val="000616F9"/>
    <w:rsid w:val="00063181"/>
    <w:rsid w:val="00063364"/>
    <w:rsid w:val="00067501"/>
    <w:rsid w:val="00076E30"/>
    <w:rsid w:val="0008228B"/>
    <w:rsid w:val="00082870"/>
    <w:rsid w:val="00083912"/>
    <w:rsid w:val="000B2D77"/>
    <w:rsid w:val="000C1A5F"/>
    <w:rsid w:val="000C4DFD"/>
    <w:rsid w:val="000C6920"/>
    <w:rsid w:val="000D136B"/>
    <w:rsid w:val="000E7C0A"/>
    <w:rsid w:val="000F65B2"/>
    <w:rsid w:val="0010365C"/>
    <w:rsid w:val="00113EB4"/>
    <w:rsid w:val="001142A5"/>
    <w:rsid w:val="001147F2"/>
    <w:rsid w:val="00121AEC"/>
    <w:rsid w:val="001247A6"/>
    <w:rsid w:val="00143B36"/>
    <w:rsid w:val="00151736"/>
    <w:rsid w:val="001569E0"/>
    <w:rsid w:val="00171FF6"/>
    <w:rsid w:val="001935D7"/>
    <w:rsid w:val="001947F3"/>
    <w:rsid w:val="001B0B78"/>
    <w:rsid w:val="001C6535"/>
    <w:rsid w:val="001D0897"/>
    <w:rsid w:val="001D0F98"/>
    <w:rsid w:val="001E001D"/>
    <w:rsid w:val="001E4FD1"/>
    <w:rsid w:val="002002F8"/>
    <w:rsid w:val="00210792"/>
    <w:rsid w:val="00215E81"/>
    <w:rsid w:val="00221067"/>
    <w:rsid w:val="00226F24"/>
    <w:rsid w:val="00262BAD"/>
    <w:rsid w:val="00270856"/>
    <w:rsid w:val="00276951"/>
    <w:rsid w:val="002878CC"/>
    <w:rsid w:val="002A4912"/>
    <w:rsid w:val="002D6046"/>
    <w:rsid w:val="002E0222"/>
    <w:rsid w:val="002E0823"/>
    <w:rsid w:val="002E3D5A"/>
    <w:rsid w:val="002E694B"/>
    <w:rsid w:val="002F618E"/>
    <w:rsid w:val="003049C7"/>
    <w:rsid w:val="00311B51"/>
    <w:rsid w:val="0031242C"/>
    <w:rsid w:val="00314AAB"/>
    <w:rsid w:val="0032686E"/>
    <w:rsid w:val="003444A3"/>
    <w:rsid w:val="00361885"/>
    <w:rsid w:val="003657C2"/>
    <w:rsid w:val="00366519"/>
    <w:rsid w:val="00385973"/>
    <w:rsid w:val="00395272"/>
    <w:rsid w:val="003A750F"/>
    <w:rsid w:val="003B7CA8"/>
    <w:rsid w:val="003C0777"/>
    <w:rsid w:val="003C50E3"/>
    <w:rsid w:val="003D246F"/>
    <w:rsid w:val="003D4E22"/>
    <w:rsid w:val="003F0FBF"/>
    <w:rsid w:val="003F404A"/>
    <w:rsid w:val="003F7F7D"/>
    <w:rsid w:val="0040738D"/>
    <w:rsid w:val="004114E1"/>
    <w:rsid w:val="00417983"/>
    <w:rsid w:val="00431353"/>
    <w:rsid w:val="0044347E"/>
    <w:rsid w:val="00445F27"/>
    <w:rsid w:val="004666CA"/>
    <w:rsid w:val="00476981"/>
    <w:rsid w:val="004C22BD"/>
    <w:rsid w:val="004C748F"/>
    <w:rsid w:val="004C7CB2"/>
    <w:rsid w:val="004F0A41"/>
    <w:rsid w:val="004F1A23"/>
    <w:rsid w:val="004F1D1E"/>
    <w:rsid w:val="004F4BAF"/>
    <w:rsid w:val="004F5D79"/>
    <w:rsid w:val="00512B71"/>
    <w:rsid w:val="005150C8"/>
    <w:rsid w:val="0051520D"/>
    <w:rsid w:val="005270F0"/>
    <w:rsid w:val="0055107B"/>
    <w:rsid w:val="005614FB"/>
    <w:rsid w:val="00567A84"/>
    <w:rsid w:val="005760A6"/>
    <w:rsid w:val="00580F46"/>
    <w:rsid w:val="00582975"/>
    <w:rsid w:val="005A6744"/>
    <w:rsid w:val="005A7EAF"/>
    <w:rsid w:val="005B2375"/>
    <w:rsid w:val="005B69B1"/>
    <w:rsid w:val="005C581B"/>
    <w:rsid w:val="005E4151"/>
    <w:rsid w:val="005F0BAF"/>
    <w:rsid w:val="00606631"/>
    <w:rsid w:val="00610F66"/>
    <w:rsid w:val="006174AB"/>
    <w:rsid w:val="00620E27"/>
    <w:rsid w:val="0062108F"/>
    <w:rsid w:val="006245C0"/>
    <w:rsid w:val="00641070"/>
    <w:rsid w:val="00645BE2"/>
    <w:rsid w:val="006477E3"/>
    <w:rsid w:val="0067546C"/>
    <w:rsid w:val="006807E7"/>
    <w:rsid w:val="00682903"/>
    <w:rsid w:val="00685586"/>
    <w:rsid w:val="00686F8D"/>
    <w:rsid w:val="006A0025"/>
    <w:rsid w:val="006A02B9"/>
    <w:rsid w:val="006A6061"/>
    <w:rsid w:val="006C5841"/>
    <w:rsid w:val="006F0D9C"/>
    <w:rsid w:val="006F6C88"/>
    <w:rsid w:val="00720498"/>
    <w:rsid w:val="00723D84"/>
    <w:rsid w:val="00730033"/>
    <w:rsid w:val="00730C0C"/>
    <w:rsid w:val="0074744A"/>
    <w:rsid w:val="007544EC"/>
    <w:rsid w:val="00760DE9"/>
    <w:rsid w:val="00785432"/>
    <w:rsid w:val="0079274B"/>
    <w:rsid w:val="007A737D"/>
    <w:rsid w:val="007C0144"/>
    <w:rsid w:val="007C36B6"/>
    <w:rsid w:val="007D13B2"/>
    <w:rsid w:val="007E454A"/>
    <w:rsid w:val="007E6C6D"/>
    <w:rsid w:val="007E7F07"/>
    <w:rsid w:val="007F2DA8"/>
    <w:rsid w:val="007F4888"/>
    <w:rsid w:val="008017B8"/>
    <w:rsid w:val="00825DD9"/>
    <w:rsid w:val="00850FE7"/>
    <w:rsid w:val="00854C32"/>
    <w:rsid w:val="008736F8"/>
    <w:rsid w:val="008808DA"/>
    <w:rsid w:val="0088144C"/>
    <w:rsid w:val="00892F6B"/>
    <w:rsid w:val="008A10E5"/>
    <w:rsid w:val="008B2E80"/>
    <w:rsid w:val="008D1B90"/>
    <w:rsid w:val="008D3A4F"/>
    <w:rsid w:val="008F4272"/>
    <w:rsid w:val="00900567"/>
    <w:rsid w:val="009106BD"/>
    <w:rsid w:val="00916AB2"/>
    <w:rsid w:val="00924253"/>
    <w:rsid w:val="00942CE5"/>
    <w:rsid w:val="009512E6"/>
    <w:rsid w:val="0097353B"/>
    <w:rsid w:val="009823C7"/>
    <w:rsid w:val="00990036"/>
    <w:rsid w:val="00992E47"/>
    <w:rsid w:val="009A139E"/>
    <w:rsid w:val="009A2B5C"/>
    <w:rsid w:val="009A64D8"/>
    <w:rsid w:val="009B189D"/>
    <w:rsid w:val="009B66E2"/>
    <w:rsid w:val="009B6D8B"/>
    <w:rsid w:val="009B79D5"/>
    <w:rsid w:val="009E784A"/>
    <w:rsid w:val="009F067A"/>
    <w:rsid w:val="009F2A8A"/>
    <w:rsid w:val="009F4CE7"/>
    <w:rsid w:val="00A044B5"/>
    <w:rsid w:val="00A16282"/>
    <w:rsid w:val="00A219D8"/>
    <w:rsid w:val="00A31D5E"/>
    <w:rsid w:val="00A5514C"/>
    <w:rsid w:val="00A64AB6"/>
    <w:rsid w:val="00A97369"/>
    <w:rsid w:val="00AA2843"/>
    <w:rsid w:val="00AA48F2"/>
    <w:rsid w:val="00AB1867"/>
    <w:rsid w:val="00AB3A8D"/>
    <w:rsid w:val="00AB4F51"/>
    <w:rsid w:val="00AB7ED5"/>
    <w:rsid w:val="00AC102B"/>
    <w:rsid w:val="00AC4CAD"/>
    <w:rsid w:val="00AD135E"/>
    <w:rsid w:val="00AD612E"/>
    <w:rsid w:val="00AE0967"/>
    <w:rsid w:val="00AE437E"/>
    <w:rsid w:val="00B01515"/>
    <w:rsid w:val="00B22157"/>
    <w:rsid w:val="00B37191"/>
    <w:rsid w:val="00B40D05"/>
    <w:rsid w:val="00B4673C"/>
    <w:rsid w:val="00B46CA4"/>
    <w:rsid w:val="00B52115"/>
    <w:rsid w:val="00B60372"/>
    <w:rsid w:val="00B912FA"/>
    <w:rsid w:val="00BA2E35"/>
    <w:rsid w:val="00BA335C"/>
    <w:rsid w:val="00BC7AB9"/>
    <w:rsid w:val="00BC7C2A"/>
    <w:rsid w:val="00BD606B"/>
    <w:rsid w:val="00BD76CC"/>
    <w:rsid w:val="00BF4493"/>
    <w:rsid w:val="00C223F5"/>
    <w:rsid w:val="00C3092E"/>
    <w:rsid w:val="00C35B37"/>
    <w:rsid w:val="00C6286A"/>
    <w:rsid w:val="00C764A0"/>
    <w:rsid w:val="00C84926"/>
    <w:rsid w:val="00C85F14"/>
    <w:rsid w:val="00C910AC"/>
    <w:rsid w:val="00C94994"/>
    <w:rsid w:val="00CA3DDD"/>
    <w:rsid w:val="00CA3F81"/>
    <w:rsid w:val="00CA5761"/>
    <w:rsid w:val="00CA5AAF"/>
    <w:rsid w:val="00CC00DD"/>
    <w:rsid w:val="00CC2457"/>
    <w:rsid w:val="00CC4949"/>
    <w:rsid w:val="00CC5931"/>
    <w:rsid w:val="00CE1109"/>
    <w:rsid w:val="00CE22CD"/>
    <w:rsid w:val="00CE5AD2"/>
    <w:rsid w:val="00CF3CA7"/>
    <w:rsid w:val="00CF7824"/>
    <w:rsid w:val="00D14F03"/>
    <w:rsid w:val="00D22B40"/>
    <w:rsid w:val="00D30FB1"/>
    <w:rsid w:val="00D326FF"/>
    <w:rsid w:val="00D44F05"/>
    <w:rsid w:val="00D530CC"/>
    <w:rsid w:val="00D55177"/>
    <w:rsid w:val="00D57504"/>
    <w:rsid w:val="00D74BAB"/>
    <w:rsid w:val="00D83595"/>
    <w:rsid w:val="00D86922"/>
    <w:rsid w:val="00D9302C"/>
    <w:rsid w:val="00D9480B"/>
    <w:rsid w:val="00DD69D8"/>
    <w:rsid w:val="00DE3BDA"/>
    <w:rsid w:val="00E22F14"/>
    <w:rsid w:val="00E444D2"/>
    <w:rsid w:val="00E46AD8"/>
    <w:rsid w:val="00E4764E"/>
    <w:rsid w:val="00E51472"/>
    <w:rsid w:val="00E614A7"/>
    <w:rsid w:val="00E6666C"/>
    <w:rsid w:val="00E71FD9"/>
    <w:rsid w:val="00E7356F"/>
    <w:rsid w:val="00E74C4D"/>
    <w:rsid w:val="00E75D2C"/>
    <w:rsid w:val="00E87E1E"/>
    <w:rsid w:val="00E9173E"/>
    <w:rsid w:val="00E92B8C"/>
    <w:rsid w:val="00EA133F"/>
    <w:rsid w:val="00EC5096"/>
    <w:rsid w:val="00EC6CBD"/>
    <w:rsid w:val="00EE2705"/>
    <w:rsid w:val="00EF3AD6"/>
    <w:rsid w:val="00F1341B"/>
    <w:rsid w:val="00F21206"/>
    <w:rsid w:val="00F23B90"/>
    <w:rsid w:val="00F265E6"/>
    <w:rsid w:val="00F37F77"/>
    <w:rsid w:val="00F40104"/>
    <w:rsid w:val="00F42004"/>
    <w:rsid w:val="00F422A5"/>
    <w:rsid w:val="00F440A0"/>
    <w:rsid w:val="00F511FB"/>
    <w:rsid w:val="00F56EC4"/>
    <w:rsid w:val="00F63852"/>
    <w:rsid w:val="00F661B9"/>
    <w:rsid w:val="00F72E7C"/>
    <w:rsid w:val="00F83B55"/>
    <w:rsid w:val="00F865EC"/>
    <w:rsid w:val="00FD0C34"/>
    <w:rsid w:val="00FD101D"/>
    <w:rsid w:val="00FD12B3"/>
    <w:rsid w:val="00FE05A8"/>
    <w:rsid w:val="00FE3607"/>
    <w:rsid w:val="00FE71F2"/>
    <w:rsid w:val="00FF2ACA"/>
    <w:rsid w:val="00FF4475"/>
    <w:rsid w:val="00FF5F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BD"/>
    <w:rPr>
      <w:sz w:val="24"/>
    </w:rPr>
  </w:style>
  <w:style w:type="paragraph" w:styleId="Heading1">
    <w:name w:val="heading 1"/>
    <w:basedOn w:val="Normal"/>
    <w:next w:val="Normal"/>
    <w:autoRedefine/>
    <w:qFormat/>
    <w:rsid w:val="003F404A"/>
    <w:pPr>
      <w:keepNext/>
      <w:spacing w:after="240"/>
      <w:ind w:left="720" w:hanging="720"/>
      <w:outlineLvl w:val="0"/>
    </w:pPr>
    <w:rPr>
      <w:b/>
      <w:caps/>
      <w:szCs w:val="24"/>
    </w:rPr>
  </w:style>
  <w:style w:type="paragraph" w:styleId="Heading2">
    <w:name w:val="heading 2"/>
    <w:basedOn w:val="Normal"/>
    <w:next w:val="Normal"/>
    <w:autoRedefine/>
    <w:qFormat/>
    <w:rsid w:val="003F404A"/>
    <w:pPr>
      <w:keepNext/>
      <w:spacing w:after="240"/>
      <w:ind w:left="1440" w:hanging="720"/>
      <w:outlineLvl w:val="1"/>
    </w:pPr>
    <w:rPr>
      <w:b/>
    </w:rPr>
  </w:style>
  <w:style w:type="paragraph" w:styleId="Heading3">
    <w:name w:val="heading 3"/>
    <w:basedOn w:val="Normal"/>
    <w:next w:val="Normal"/>
    <w:qFormat/>
    <w:rsid w:val="00EC6CBD"/>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C6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EC6CBD"/>
    <w:pPr>
      <w:tabs>
        <w:tab w:val="center" w:pos="4320"/>
        <w:tab w:val="right" w:pos="8640"/>
      </w:tabs>
    </w:pPr>
    <w:rPr>
      <w:sz w:val="20"/>
    </w:rPr>
  </w:style>
  <w:style w:type="character" w:styleId="Hyperlink">
    <w:name w:val="Hyperlink"/>
    <w:uiPriority w:val="99"/>
    <w:rsid w:val="00EC6CBD"/>
    <w:rPr>
      <w:color w:val="0000FF"/>
      <w:u w:val="single"/>
    </w:rPr>
  </w:style>
  <w:style w:type="paragraph" w:styleId="FootnoteText">
    <w:name w:val="footnote text"/>
    <w:basedOn w:val="Normal"/>
    <w:semiHidden/>
    <w:rsid w:val="00EC6CBD"/>
    <w:rPr>
      <w:sz w:val="20"/>
    </w:rPr>
  </w:style>
  <w:style w:type="character" w:styleId="FootnoteReference">
    <w:name w:val="footnote reference"/>
    <w:semiHidden/>
    <w:rsid w:val="00EC6CBD"/>
    <w:rPr>
      <w:vertAlign w:val="superscript"/>
    </w:rPr>
  </w:style>
  <w:style w:type="paragraph" w:styleId="BodyTextIndent">
    <w:name w:val="Body Text Indent"/>
    <w:basedOn w:val="Normal"/>
    <w:rsid w:val="00EC6CBD"/>
    <w:pPr>
      <w:spacing w:line="480" w:lineRule="auto"/>
      <w:ind w:firstLine="720"/>
    </w:pPr>
  </w:style>
  <w:style w:type="paragraph" w:styleId="BodyTextIndent3">
    <w:name w:val="Body Text Indent 3"/>
    <w:basedOn w:val="Normal"/>
    <w:link w:val="BodyTextIndent3Char"/>
    <w:rsid w:val="00EC6CBD"/>
    <w:pPr>
      <w:spacing w:line="480" w:lineRule="atLeast"/>
      <w:ind w:firstLine="720"/>
    </w:pPr>
  </w:style>
  <w:style w:type="paragraph" w:styleId="BodyTextIndent2">
    <w:name w:val="Body Text Indent 2"/>
    <w:basedOn w:val="Normal"/>
    <w:rsid w:val="00EC6CBD"/>
    <w:pPr>
      <w:tabs>
        <w:tab w:val="left" w:pos="720"/>
      </w:tabs>
      <w:spacing w:before="240" w:after="240"/>
      <w:ind w:left="1464" w:hanging="744"/>
    </w:pPr>
  </w:style>
  <w:style w:type="character" w:styleId="PageNumber">
    <w:name w:val="page number"/>
    <w:basedOn w:val="DefaultParagraphFont"/>
    <w:rsid w:val="00EC6CBD"/>
  </w:style>
  <w:style w:type="paragraph" w:styleId="BodyText">
    <w:name w:val="Body Text"/>
    <w:basedOn w:val="Normal"/>
    <w:link w:val="BodyTextChar"/>
    <w:rsid w:val="00EC6CBD"/>
    <w:pPr>
      <w:jc w:val="both"/>
    </w:pPr>
  </w:style>
  <w:style w:type="paragraph" w:styleId="BlockText">
    <w:name w:val="Block Text"/>
    <w:basedOn w:val="Normal"/>
    <w:rsid w:val="00EC6CBD"/>
    <w:pPr>
      <w:ind w:left="1440" w:right="720"/>
    </w:pPr>
  </w:style>
  <w:style w:type="paragraph" w:styleId="EndnoteText">
    <w:name w:val="endnote text"/>
    <w:basedOn w:val="Normal"/>
    <w:semiHidden/>
    <w:rsid w:val="00EC6CBD"/>
    <w:rPr>
      <w:sz w:val="20"/>
    </w:rPr>
  </w:style>
  <w:style w:type="character" w:styleId="EndnoteReference">
    <w:name w:val="endnote reference"/>
    <w:semiHidden/>
    <w:rsid w:val="00EC6CBD"/>
    <w:rPr>
      <w:vertAlign w:val="superscript"/>
    </w:rPr>
  </w:style>
  <w:style w:type="paragraph" w:styleId="BodyText2">
    <w:name w:val="Body Text 2"/>
    <w:basedOn w:val="Normal"/>
    <w:rsid w:val="00EC6CBD"/>
    <w:pPr>
      <w:spacing w:line="480" w:lineRule="auto"/>
      <w:ind w:right="1440"/>
    </w:pPr>
  </w:style>
  <w:style w:type="paragraph" w:styleId="Header">
    <w:name w:val="header"/>
    <w:basedOn w:val="Normal"/>
    <w:rsid w:val="00EC6CBD"/>
    <w:pPr>
      <w:tabs>
        <w:tab w:val="center" w:pos="4320"/>
        <w:tab w:val="right" w:pos="8640"/>
      </w:tabs>
    </w:pPr>
  </w:style>
  <w:style w:type="paragraph" w:styleId="BalloonText">
    <w:name w:val="Balloon Text"/>
    <w:basedOn w:val="Normal"/>
    <w:semiHidden/>
    <w:rsid w:val="00EC6CBD"/>
    <w:rPr>
      <w:rFonts w:ascii="Lucida Grande" w:hAnsi="Lucida Grande"/>
      <w:sz w:val="18"/>
      <w:szCs w:val="18"/>
    </w:rPr>
  </w:style>
  <w:style w:type="character" w:styleId="CommentReference">
    <w:name w:val="annotation reference"/>
    <w:semiHidden/>
    <w:rsid w:val="00EC6CBD"/>
    <w:rPr>
      <w:sz w:val="18"/>
    </w:rPr>
  </w:style>
  <w:style w:type="paragraph" w:styleId="CommentText">
    <w:name w:val="annotation text"/>
    <w:basedOn w:val="Normal"/>
    <w:link w:val="CommentTextChar"/>
    <w:semiHidden/>
    <w:rsid w:val="00EC6CBD"/>
    <w:rPr>
      <w:szCs w:val="24"/>
    </w:rPr>
  </w:style>
  <w:style w:type="paragraph" w:styleId="CommentSubject">
    <w:name w:val="annotation subject"/>
    <w:basedOn w:val="CommentText"/>
    <w:next w:val="CommentText"/>
    <w:semiHidden/>
    <w:rsid w:val="00EC6CBD"/>
    <w:rPr>
      <w:szCs w:val="20"/>
    </w:rPr>
  </w:style>
  <w:style w:type="character" w:styleId="FollowedHyperlink">
    <w:name w:val="FollowedHyperlink"/>
    <w:rsid w:val="00EC6CBD"/>
    <w:rPr>
      <w:color w:val="800080"/>
      <w:u w:val="single"/>
    </w:rPr>
  </w:style>
  <w:style w:type="character" w:customStyle="1" w:styleId="term1">
    <w:name w:val="term1"/>
    <w:rsid w:val="00EC6CBD"/>
    <w:rPr>
      <w:b/>
      <w:bCs/>
    </w:rPr>
  </w:style>
  <w:style w:type="table" w:styleId="TableGrid">
    <w:name w:val="Table Grid"/>
    <w:basedOn w:val="TableNormal"/>
    <w:rsid w:val="00EC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EC6CBD"/>
    <w:pPr>
      <w:suppressAutoHyphens/>
      <w:spacing w:line="480" w:lineRule="atLeast"/>
      <w:ind w:firstLine="720"/>
    </w:pPr>
    <w:rPr>
      <w:lang w:eastAsia="ar-SA"/>
    </w:rPr>
  </w:style>
  <w:style w:type="character" w:customStyle="1" w:styleId="CommentTextChar">
    <w:name w:val="Comment Text Char"/>
    <w:link w:val="CommentText"/>
    <w:semiHidden/>
    <w:rsid w:val="009F067A"/>
    <w:rPr>
      <w:sz w:val="24"/>
      <w:szCs w:val="24"/>
    </w:rPr>
  </w:style>
  <w:style w:type="character" w:customStyle="1" w:styleId="UnresolvedMention1">
    <w:name w:val="Unresolved Mention1"/>
    <w:uiPriority w:val="99"/>
    <w:semiHidden/>
    <w:unhideWhenUsed/>
    <w:rsid w:val="00C84926"/>
    <w:rPr>
      <w:color w:val="605E5C"/>
      <w:shd w:val="clear" w:color="auto" w:fill="E1DFDD"/>
    </w:rPr>
  </w:style>
  <w:style w:type="character" w:customStyle="1" w:styleId="BodyTextChar">
    <w:name w:val="Body Text Char"/>
    <w:link w:val="BodyText"/>
    <w:rsid w:val="00C84926"/>
    <w:rPr>
      <w:sz w:val="24"/>
    </w:rPr>
  </w:style>
  <w:style w:type="paragraph" w:styleId="Revision">
    <w:name w:val="Revision"/>
    <w:hidden/>
    <w:uiPriority w:val="99"/>
    <w:semiHidden/>
    <w:rsid w:val="00067501"/>
    <w:rPr>
      <w:sz w:val="24"/>
    </w:rPr>
  </w:style>
  <w:style w:type="character" w:customStyle="1" w:styleId="BodyTextIndent3Char">
    <w:name w:val="Body Text Indent 3 Char"/>
    <w:basedOn w:val="DefaultParagraphFont"/>
    <w:link w:val="BodyTextIndent3"/>
    <w:rsid w:val="00F63852"/>
    <w:rPr>
      <w:sz w:val="24"/>
    </w:rPr>
  </w:style>
  <w:style w:type="character" w:customStyle="1" w:styleId="FooterChar">
    <w:name w:val="Footer Char"/>
    <w:basedOn w:val="DefaultParagraphFont"/>
    <w:link w:val="Footer"/>
    <w:uiPriority w:val="99"/>
    <w:rsid w:val="00041188"/>
  </w:style>
  <w:style w:type="paragraph" w:styleId="TOC1">
    <w:name w:val="toc 1"/>
    <w:basedOn w:val="Normal"/>
    <w:next w:val="Normal"/>
    <w:autoRedefine/>
    <w:uiPriority w:val="39"/>
    <w:unhideWhenUsed/>
    <w:rsid w:val="003F404A"/>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rsid w:val="003F404A"/>
    <w:pPr>
      <w:tabs>
        <w:tab w:val="decimal" w:leader="dot" w:pos="9360"/>
      </w:tabs>
      <w:spacing w:after="240"/>
      <w:ind w:left="144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1.xml" /><Relationship Id="rId12" Type="http://schemas.openxmlformats.org/officeDocument/2006/relationships/footer" Target="footer4.xml" /><Relationship Id="rId13" Type="http://schemas.openxmlformats.org/officeDocument/2006/relationships/header" Target="header2.xml" /><Relationship Id="rId14" Type="http://schemas.openxmlformats.org/officeDocument/2006/relationships/footer" Target="footer5.xml" /><Relationship Id="rId15" Type="http://schemas.openxmlformats.org/officeDocument/2006/relationships/hyperlink" Target="mailto:John.jones@ohioattorneygeneral.gov" TargetMode="External" /><Relationship Id="rId16" Type="http://schemas.openxmlformats.org/officeDocument/2006/relationships/hyperlink" Target="mailto:mkurtz@BKLlawfirm.com" TargetMode="External" /><Relationship Id="rId17" Type="http://schemas.openxmlformats.org/officeDocument/2006/relationships/hyperlink" Target="mailto:kboehm@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joe.oliker@igs.com" TargetMode="External" /><Relationship Id="rId2" Type="http://schemas.openxmlformats.org/officeDocument/2006/relationships/settings" Target="settings.xml" /><Relationship Id="rId20" Type="http://schemas.openxmlformats.org/officeDocument/2006/relationships/hyperlink" Target="mailto:michael.nugent@igs.com" TargetMode="External" /><Relationship Id="rId21" Type="http://schemas.openxmlformats.org/officeDocument/2006/relationships/hyperlink" Target="mailto:Lauren.Augostini@puco.ohio.gov" TargetMode="External" /><Relationship Id="rId22" Type="http://schemas.openxmlformats.org/officeDocument/2006/relationships/hyperlink" Target="mailto:Nicholas.walstra@puco.ohio.gov" TargetMode="External" /><Relationship Id="rId23" Type="http://schemas.openxmlformats.org/officeDocument/2006/relationships/hyperlink" Target="mailto:rocco.dascenzo.@duke-energy.com" TargetMode="External" /><Relationship Id="rId24" Type="http://schemas.openxmlformats.org/officeDocument/2006/relationships/hyperlink" Target="mailto:Jeanne.Kingery@duke-energy.com" TargetMode="External" /><Relationship Id="rId25" Type="http://schemas.openxmlformats.org/officeDocument/2006/relationships/hyperlink" Target="mailto:Larisa.Vaysman@duke-energy.com" TargetMode="External" /><Relationship Id="rId26" Type="http://schemas.openxmlformats.org/officeDocument/2006/relationships/hyperlink" Target="mailto:mpritchard@mcneeslaw.com" TargetMode="External" /><Relationship Id="rId27" Type="http://schemas.openxmlformats.org/officeDocument/2006/relationships/hyperlink" Target="mailto:rglover@mcneeslaw.com" TargetMode="External" /><Relationship Id="rId28" Type="http://schemas.openxmlformats.org/officeDocument/2006/relationships/hyperlink" Target="mailto:bmckenney@mcneeslaw.com" TargetMode="External" /><Relationship Id="rId29" Type="http://schemas.openxmlformats.org/officeDocument/2006/relationships/header" Target="header3.xml" /><Relationship Id="rId3" Type="http://schemas.openxmlformats.org/officeDocument/2006/relationships/webSettings" Target="webSettings.xml" /><Relationship Id="rId30" Type="http://schemas.openxmlformats.org/officeDocument/2006/relationships/footer" Target="footer6.xml" /><Relationship Id="rId31" Type="http://schemas.openxmlformats.org/officeDocument/2006/relationships/header" Target="header4.xml" /><Relationship Id="rId32" Type="http://schemas.openxmlformats.org/officeDocument/2006/relationships/footer" Target="footer7.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aytondailynews.com/news/coronavirus-ohio-reports-4000-daily-cases-for-second-straight-day/EFXRKNT7KVEZRH4Y6U5PQ4LFYI/" TargetMode="External" /><Relationship Id="rId2" Type="http://schemas.openxmlformats.org/officeDocument/2006/relationships/hyperlink" Target="https://www.cleveland.com/open/2020/11/ohio-exceeds-5000-new-coronavirus-cases-in-single-day-to-5008-friday-update.html" TargetMode="External" /><Relationship Id="rId3" Type="http://schemas.openxmlformats.org/officeDocument/2006/relationships/hyperlink" Target="https://oui.doleta.gov/unemploy/wkclaims/report.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FE43D-DECD-4A43-8B66-2C27A038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Duke 20-1444 - Comments w/dfs  (00147780.DOCX;1)</vt:lpstr>
    </vt:vector>
  </TitlesOfParts>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2020-11-09T20:38:21Z</dcterms:created>
  <dcterms:modified xsi:type="dcterms:W3CDTF">2020-11-09T20:38:21Z</dcterms:modified>
</cp:coreProperties>
</file>