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D8C0A1" w14:textId="77777777" w:rsidR="003151DD" w:rsidRPr="00686DCA" w:rsidRDefault="003151DD" w:rsidP="003151DD">
      <w:pPr>
        <w:spacing w:line="240" w:lineRule="auto"/>
        <w:jc w:val="center"/>
        <w:rPr>
          <w:rFonts w:eastAsia="Times New Roman"/>
          <w:b/>
          <w:sz w:val="22"/>
          <w:szCs w:val="22"/>
        </w:rPr>
      </w:pPr>
      <w:r w:rsidRPr="00686DCA">
        <w:rPr>
          <w:rFonts w:eastAsia="Times New Roman"/>
          <w:b/>
          <w:sz w:val="22"/>
          <w:szCs w:val="22"/>
        </w:rPr>
        <w:t>BEFORE</w:t>
      </w:r>
    </w:p>
    <w:p w14:paraId="1762C917" w14:textId="77777777" w:rsidR="003151DD" w:rsidRPr="00686DCA" w:rsidRDefault="003151DD" w:rsidP="003151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Courier New"/>
          <w:b/>
          <w:bCs/>
          <w:sz w:val="22"/>
          <w:szCs w:val="22"/>
        </w:rPr>
      </w:pPr>
      <w:r w:rsidRPr="00686DCA">
        <w:rPr>
          <w:rFonts w:eastAsia="Courier New"/>
          <w:b/>
          <w:bCs/>
          <w:sz w:val="22"/>
          <w:szCs w:val="22"/>
        </w:rPr>
        <w:t>THE PUBLIC UTILITIES COMMISSION OF OHIO</w:t>
      </w:r>
    </w:p>
    <w:tbl>
      <w:tblPr>
        <w:tblW w:w="9044" w:type="dxa"/>
        <w:jc w:val="center"/>
        <w:tblLook w:val="01E0" w:firstRow="1" w:lastRow="1" w:firstColumn="1" w:lastColumn="1" w:noHBand="0" w:noVBand="0"/>
      </w:tblPr>
      <w:tblGrid>
        <w:gridCol w:w="4532"/>
        <w:gridCol w:w="796"/>
        <w:gridCol w:w="3716"/>
      </w:tblGrid>
      <w:tr w:rsidR="003151DD" w:rsidRPr="00686DCA" w14:paraId="0D8A596B" w14:textId="77777777" w:rsidTr="00025F78">
        <w:trPr>
          <w:trHeight w:val="873"/>
          <w:jc w:val="center"/>
        </w:trPr>
        <w:tc>
          <w:tcPr>
            <w:tcW w:w="4532" w:type="dxa"/>
          </w:tcPr>
          <w:p w14:paraId="43C940B6" w14:textId="77777777" w:rsidR="003151DD" w:rsidRPr="00686DCA" w:rsidRDefault="003151DD" w:rsidP="003151DD">
            <w:pPr>
              <w:spacing w:line="240" w:lineRule="auto"/>
              <w:rPr>
                <w:rFonts w:eastAsia="Times New Roman"/>
                <w:sz w:val="22"/>
                <w:szCs w:val="22"/>
              </w:rPr>
            </w:pPr>
            <w:r w:rsidRPr="00686DCA">
              <w:rPr>
                <w:rFonts w:eastAsia="Times New Roman"/>
                <w:sz w:val="22"/>
                <w:szCs w:val="22"/>
              </w:rPr>
              <w:t xml:space="preserve">In the Matter of the Application of Duke Energy Ohio, Inc. for an Increase in Electric Distribution Rates. </w:t>
            </w:r>
          </w:p>
          <w:p w14:paraId="1AC4594A" w14:textId="77777777" w:rsidR="003151DD" w:rsidRPr="00686DCA" w:rsidRDefault="003151DD" w:rsidP="003151DD">
            <w:pPr>
              <w:spacing w:line="240" w:lineRule="auto"/>
              <w:rPr>
                <w:rFonts w:eastAsia="Times New Roman"/>
                <w:sz w:val="22"/>
                <w:szCs w:val="22"/>
              </w:rPr>
            </w:pPr>
          </w:p>
          <w:p w14:paraId="79A2372F" w14:textId="77777777" w:rsidR="003151DD" w:rsidRPr="00686DCA" w:rsidRDefault="003151DD" w:rsidP="003151DD">
            <w:pPr>
              <w:autoSpaceDE w:val="0"/>
              <w:autoSpaceDN w:val="0"/>
              <w:adjustRightInd w:val="0"/>
              <w:spacing w:line="240" w:lineRule="auto"/>
              <w:rPr>
                <w:rFonts w:eastAsia="Times New Roman"/>
                <w:sz w:val="22"/>
                <w:szCs w:val="22"/>
              </w:rPr>
            </w:pPr>
            <w:r w:rsidRPr="00686DCA">
              <w:rPr>
                <w:rFonts w:eastAsia="Times New Roman"/>
                <w:sz w:val="22"/>
                <w:szCs w:val="22"/>
              </w:rPr>
              <w:t>In the Matter of the Application of Duke Energy Ohio, Inc. for Tariff Approval.</w:t>
            </w:r>
          </w:p>
          <w:p w14:paraId="5F2BF4F7" w14:textId="77777777" w:rsidR="003151DD" w:rsidRPr="00686DCA" w:rsidRDefault="003151DD" w:rsidP="003151DD">
            <w:pPr>
              <w:autoSpaceDE w:val="0"/>
              <w:autoSpaceDN w:val="0"/>
              <w:adjustRightInd w:val="0"/>
              <w:spacing w:line="240" w:lineRule="auto"/>
              <w:rPr>
                <w:rFonts w:eastAsia="Times New Roman"/>
                <w:sz w:val="22"/>
                <w:szCs w:val="22"/>
              </w:rPr>
            </w:pPr>
          </w:p>
          <w:p w14:paraId="3461A157" w14:textId="77777777" w:rsidR="003151DD" w:rsidRPr="00686DCA" w:rsidRDefault="003151DD" w:rsidP="003151DD">
            <w:pPr>
              <w:autoSpaceDE w:val="0"/>
              <w:autoSpaceDN w:val="0"/>
              <w:adjustRightInd w:val="0"/>
              <w:spacing w:line="240" w:lineRule="auto"/>
              <w:rPr>
                <w:rFonts w:eastAsia="Times New Roman"/>
                <w:sz w:val="22"/>
                <w:szCs w:val="22"/>
              </w:rPr>
            </w:pPr>
            <w:r w:rsidRPr="00686DCA">
              <w:rPr>
                <w:rFonts w:eastAsia="Times New Roman"/>
                <w:sz w:val="22"/>
                <w:szCs w:val="22"/>
              </w:rPr>
              <w:t xml:space="preserve">In the Matter of the Application of Duke Energy Ohio, Inc. for Approval to Change Accounting Methods. </w:t>
            </w:r>
          </w:p>
        </w:tc>
        <w:tc>
          <w:tcPr>
            <w:tcW w:w="796" w:type="dxa"/>
          </w:tcPr>
          <w:p w14:paraId="207758E1" w14:textId="77777777" w:rsidR="003151DD" w:rsidRPr="00686DCA" w:rsidRDefault="003151DD" w:rsidP="003151DD">
            <w:pPr>
              <w:widowControl w:val="0"/>
              <w:spacing w:line="240" w:lineRule="auto"/>
              <w:jc w:val="center"/>
              <w:rPr>
                <w:rFonts w:eastAsia="Times New Roman"/>
                <w:sz w:val="22"/>
                <w:szCs w:val="22"/>
              </w:rPr>
            </w:pPr>
            <w:r w:rsidRPr="00686DCA">
              <w:rPr>
                <w:rFonts w:eastAsia="Times New Roman"/>
                <w:sz w:val="22"/>
                <w:szCs w:val="22"/>
              </w:rPr>
              <w:t>)</w:t>
            </w:r>
          </w:p>
          <w:p w14:paraId="1D997426" w14:textId="77777777" w:rsidR="003151DD" w:rsidRPr="00686DCA" w:rsidRDefault="003151DD" w:rsidP="003151DD">
            <w:pPr>
              <w:widowControl w:val="0"/>
              <w:spacing w:line="240" w:lineRule="auto"/>
              <w:jc w:val="center"/>
              <w:rPr>
                <w:rFonts w:eastAsia="Times New Roman"/>
                <w:sz w:val="22"/>
                <w:szCs w:val="22"/>
              </w:rPr>
            </w:pPr>
            <w:r w:rsidRPr="00686DCA">
              <w:rPr>
                <w:rFonts w:eastAsia="Times New Roman"/>
                <w:sz w:val="22"/>
                <w:szCs w:val="22"/>
              </w:rPr>
              <w:t>)</w:t>
            </w:r>
          </w:p>
          <w:p w14:paraId="2309A96D" w14:textId="77777777" w:rsidR="003151DD" w:rsidRPr="00686DCA" w:rsidRDefault="003151DD" w:rsidP="003151DD">
            <w:pPr>
              <w:widowControl w:val="0"/>
              <w:spacing w:line="240" w:lineRule="auto"/>
              <w:jc w:val="center"/>
              <w:rPr>
                <w:rFonts w:eastAsia="Times New Roman"/>
                <w:sz w:val="22"/>
                <w:szCs w:val="22"/>
              </w:rPr>
            </w:pPr>
            <w:r w:rsidRPr="00686DCA">
              <w:rPr>
                <w:rFonts w:eastAsia="Times New Roman"/>
                <w:sz w:val="22"/>
                <w:szCs w:val="22"/>
              </w:rPr>
              <w:t>)</w:t>
            </w:r>
          </w:p>
          <w:p w14:paraId="44B58959" w14:textId="77777777" w:rsidR="003151DD" w:rsidRPr="00686DCA" w:rsidRDefault="003151DD" w:rsidP="003151DD">
            <w:pPr>
              <w:widowControl w:val="0"/>
              <w:spacing w:line="240" w:lineRule="auto"/>
              <w:jc w:val="center"/>
              <w:rPr>
                <w:rFonts w:eastAsia="Times New Roman"/>
                <w:sz w:val="22"/>
                <w:szCs w:val="22"/>
              </w:rPr>
            </w:pPr>
          </w:p>
          <w:p w14:paraId="0362F181" w14:textId="77777777" w:rsidR="003151DD" w:rsidRPr="00686DCA" w:rsidRDefault="003151DD" w:rsidP="003151DD">
            <w:pPr>
              <w:widowControl w:val="0"/>
              <w:spacing w:line="240" w:lineRule="auto"/>
              <w:jc w:val="center"/>
              <w:rPr>
                <w:rFonts w:eastAsia="Times New Roman"/>
                <w:sz w:val="22"/>
                <w:szCs w:val="22"/>
              </w:rPr>
            </w:pPr>
            <w:r w:rsidRPr="00686DCA">
              <w:rPr>
                <w:rFonts w:eastAsia="Times New Roman"/>
                <w:sz w:val="22"/>
                <w:szCs w:val="22"/>
              </w:rPr>
              <w:t>)</w:t>
            </w:r>
          </w:p>
          <w:p w14:paraId="05D790FF" w14:textId="77777777" w:rsidR="003151DD" w:rsidRPr="00686DCA" w:rsidRDefault="003151DD" w:rsidP="003151DD">
            <w:pPr>
              <w:widowControl w:val="0"/>
              <w:spacing w:line="240" w:lineRule="auto"/>
              <w:jc w:val="center"/>
              <w:rPr>
                <w:rFonts w:eastAsia="Times New Roman"/>
                <w:sz w:val="22"/>
                <w:szCs w:val="22"/>
              </w:rPr>
            </w:pPr>
            <w:r w:rsidRPr="00686DCA">
              <w:rPr>
                <w:rFonts w:eastAsia="Times New Roman"/>
                <w:sz w:val="22"/>
                <w:szCs w:val="22"/>
              </w:rPr>
              <w:t>)</w:t>
            </w:r>
          </w:p>
          <w:p w14:paraId="39E243C7" w14:textId="77777777" w:rsidR="003151DD" w:rsidRPr="00686DCA" w:rsidRDefault="003151DD" w:rsidP="003151DD">
            <w:pPr>
              <w:widowControl w:val="0"/>
              <w:spacing w:line="240" w:lineRule="auto"/>
              <w:jc w:val="center"/>
              <w:rPr>
                <w:rFonts w:eastAsia="Times New Roman"/>
                <w:sz w:val="22"/>
                <w:szCs w:val="22"/>
              </w:rPr>
            </w:pPr>
          </w:p>
          <w:p w14:paraId="384F0B86" w14:textId="77777777" w:rsidR="003151DD" w:rsidRPr="00686DCA" w:rsidRDefault="003151DD" w:rsidP="003151DD">
            <w:pPr>
              <w:widowControl w:val="0"/>
              <w:spacing w:line="240" w:lineRule="auto"/>
              <w:jc w:val="center"/>
              <w:rPr>
                <w:rFonts w:eastAsia="Times New Roman"/>
                <w:sz w:val="22"/>
                <w:szCs w:val="22"/>
              </w:rPr>
            </w:pPr>
            <w:r w:rsidRPr="00686DCA">
              <w:rPr>
                <w:rFonts w:eastAsia="Times New Roman"/>
                <w:sz w:val="22"/>
                <w:szCs w:val="22"/>
              </w:rPr>
              <w:t>)</w:t>
            </w:r>
          </w:p>
          <w:p w14:paraId="4B79F28A" w14:textId="77777777" w:rsidR="003151DD" w:rsidRPr="00686DCA" w:rsidRDefault="003151DD" w:rsidP="003151DD">
            <w:pPr>
              <w:widowControl w:val="0"/>
              <w:spacing w:line="240" w:lineRule="auto"/>
              <w:jc w:val="center"/>
              <w:rPr>
                <w:rFonts w:eastAsia="Times New Roman"/>
                <w:sz w:val="22"/>
                <w:szCs w:val="22"/>
              </w:rPr>
            </w:pPr>
            <w:r w:rsidRPr="00686DCA">
              <w:rPr>
                <w:rFonts w:eastAsia="Times New Roman"/>
                <w:sz w:val="22"/>
                <w:szCs w:val="22"/>
              </w:rPr>
              <w:t>)</w:t>
            </w:r>
          </w:p>
          <w:p w14:paraId="205A7053" w14:textId="77777777" w:rsidR="003151DD" w:rsidRPr="00686DCA" w:rsidRDefault="003151DD" w:rsidP="003151DD">
            <w:pPr>
              <w:widowControl w:val="0"/>
              <w:spacing w:line="240" w:lineRule="auto"/>
              <w:jc w:val="center"/>
              <w:rPr>
                <w:rFonts w:eastAsia="Times New Roman"/>
                <w:sz w:val="22"/>
                <w:szCs w:val="22"/>
              </w:rPr>
            </w:pPr>
            <w:r w:rsidRPr="00686DCA">
              <w:rPr>
                <w:rFonts w:eastAsia="Times New Roman"/>
                <w:sz w:val="22"/>
                <w:szCs w:val="22"/>
              </w:rPr>
              <w:t>)</w:t>
            </w:r>
          </w:p>
        </w:tc>
        <w:tc>
          <w:tcPr>
            <w:tcW w:w="3716" w:type="dxa"/>
          </w:tcPr>
          <w:p w14:paraId="4893F1F9" w14:textId="77777777" w:rsidR="003151DD" w:rsidRPr="00686DCA" w:rsidRDefault="003151DD" w:rsidP="003151DD">
            <w:pPr>
              <w:widowControl w:val="0"/>
              <w:spacing w:line="240" w:lineRule="auto"/>
              <w:rPr>
                <w:rFonts w:eastAsia="Times New Roman"/>
                <w:sz w:val="22"/>
                <w:szCs w:val="22"/>
              </w:rPr>
            </w:pPr>
          </w:p>
          <w:p w14:paraId="6EB6C4C8" w14:textId="77777777" w:rsidR="003151DD" w:rsidRPr="00686DCA" w:rsidRDefault="003151DD" w:rsidP="003151DD">
            <w:pPr>
              <w:widowControl w:val="0"/>
              <w:spacing w:line="240" w:lineRule="auto"/>
              <w:rPr>
                <w:rFonts w:eastAsia="Times New Roman"/>
                <w:sz w:val="22"/>
                <w:szCs w:val="22"/>
              </w:rPr>
            </w:pPr>
            <w:r w:rsidRPr="00686DCA">
              <w:rPr>
                <w:rFonts w:eastAsia="Times New Roman"/>
                <w:sz w:val="22"/>
                <w:szCs w:val="22"/>
              </w:rPr>
              <w:t>Case No. 17-32-EL-AIR</w:t>
            </w:r>
          </w:p>
          <w:p w14:paraId="74A81900" w14:textId="77777777" w:rsidR="003151DD" w:rsidRPr="00686DCA" w:rsidRDefault="003151DD" w:rsidP="003151DD">
            <w:pPr>
              <w:widowControl w:val="0"/>
              <w:spacing w:line="240" w:lineRule="auto"/>
              <w:rPr>
                <w:rFonts w:eastAsia="Times New Roman"/>
                <w:sz w:val="22"/>
                <w:szCs w:val="22"/>
              </w:rPr>
            </w:pPr>
          </w:p>
          <w:p w14:paraId="6FD40803" w14:textId="77777777" w:rsidR="003151DD" w:rsidRPr="00686DCA" w:rsidRDefault="003151DD" w:rsidP="003151DD">
            <w:pPr>
              <w:widowControl w:val="0"/>
              <w:spacing w:line="240" w:lineRule="auto"/>
              <w:rPr>
                <w:rFonts w:eastAsia="Times New Roman"/>
                <w:sz w:val="22"/>
                <w:szCs w:val="22"/>
              </w:rPr>
            </w:pPr>
          </w:p>
          <w:p w14:paraId="34445466" w14:textId="77777777" w:rsidR="003151DD" w:rsidRPr="00686DCA" w:rsidRDefault="003151DD" w:rsidP="003151DD">
            <w:pPr>
              <w:widowControl w:val="0"/>
              <w:spacing w:line="240" w:lineRule="auto"/>
              <w:rPr>
                <w:rFonts w:eastAsia="Times New Roman"/>
                <w:sz w:val="22"/>
                <w:szCs w:val="22"/>
              </w:rPr>
            </w:pPr>
            <w:r w:rsidRPr="00686DCA">
              <w:rPr>
                <w:rFonts w:eastAsia="Times New Roman"/>
                <w:sz w:val="22"/>
                <w:szCs w:val="22"/>
              </w:rPr>
              <w:t>Case No. 17-33-EL-ATA</w:t>
            </w:r>
          </w:p>
          <w:p w14:paraId="3C66A9E4" w14:textId="77777777" w:rsidR="003151DD" w:rsidRPr="00686DCA" w:rsidRDefault="003151DD" w:rsidP="003151DD">
            <w:pPr>
              <w:widowControl w:val="0"/>
              <w:spacing w:line="240" w:lineRule="auto"/>
              <w:rPr>
                <w:rFonts w:eastAsia="Times New Roman"/>
                <w:sz w:val="22"/>
                <w:szCs w:val="22"/>
              </w:rPr>
            </w:pPr>
          </w:p>
          <w:p w14:paraId="49906BB1" w14:textId="77777777" w:rsidR="003151DD" w:rsidRPr="00686DCA" w:rsidRDefault="003151DD" w:rsidP="003151DD">
            <w:pPr>
              <w:widowControl w:val="0"/>
              <w:spacing w:line="240" w:lineRule="auto"/>
              <w:rPr>
                <w:rFonts w:eastAsia="Times New Roman"/>
                <w:sz w:val="22"/>
                <w:szCs w:val="22"/>
              </w:rPr>
            </w:pPr>
          </w:p>
          <w:p w14:paraId="4480334D" w14:textId="77777777" w:rsidR="003151DD" w:rsidRPr="00686DCA" w:rsidRDefault="003151DD" w:rsidP="003151DD">
            <w:pPr>
              <w:widowControl w:val="0"/>
              <w:spacing w:line="240" w:lineRule="auto"/>
              <w:rPr>
                <w:rFonts w:eastAsia="Times New Roman"/>
                <w:sz w:val="22"/>
                <w:szCs w:val="22"/>
              </w:rPr>
            </w:pPr>
          </w:p>
          <w:p w14:paraId="053CEE30" w14:textId="77777777" w:rsidR="003151DD" w:rsidRPr="00686DCA" w:rsidRDefault="003151DD" w:rsidP="003151DD">
            <w:pPr>
              <w:widowControl w:val="0"/>
              <w:spacing w:line="240" w:lineRule="auto"/>
              <w:rPr>
                <w:rFonts w:eastAsia="Times New Roman"/>
                <w:sz w:val="22"/>
                <w:szCs w:val="22"/>
              </w:rPr>
            </w:pPr>
            <w:r w:rsidRPr="00686DCA">
              <w:rPr>
                <w:rFonts w:eastAsia="Times New Roman"/>
                <w:sz w:val="22"/>
                <w:szCs w:val="22"/>
              </w:rPr>
              <w:t>Case No. 17-34-EL-AAM</w:t>
            </w:r>
          </w:p>
        </w:tc>
      </w:tr>
      <w:tr w:rsidR="003151DD" w:rsidRPr="00686DCA" w14:paraId="1FA7F078" w14:textId="77777777" w:rsidTr="00025F78">
        <w:trPr>
          <w:trHeight w:val="873"/>
          <w:jc w:val="center"/>
        </w:trPr>
        <w:tc>
          <w:tcPr>
            <w:tcW w:w="4532" w:type="dxa"/>
          </w:tcPr>
          <w:p w14:paraId="0F951745" w14:textId="77777777" w:rsidR="003151DD" w:rsidRPr="00686DCA" w:rsidRDefault="003151DD" w:rsidP="003151DD">
            <w:pPr>
              <w:spacing w:line="240" w:lineRule="auto"/>
              <w:rPr>
                <w:rFonts w:eastAsia="Times New Roman"/>
                <w:sz w:val="22"/>
                <w:szCs w:val="22"/>
              </w:rPr>
            </w:pPr>
          </w:p>
          <w:p w14:paraId="65AA6AC9" w14:textId="77777777" w:rsidR="003151DD" w:rsidRPr="00686DCA" w:rsidRDefault="003151DD" w:rsidP="003151DD">
            <w:pPr>
              <w:spacing w:line="240" w:lineRule="auto"/>
              <w:rPr>
                <w:rFonts w:eastAsia="Times New Roman"/>
                <w:sz w:val="22"/>
                <w:szCs w:val="22"/>
              </w:rPr>
            </w:pPr>
            <w:r w:rsidRPr="00686DCA">
              <w:rPr>
                <w:rFonts w:eastAsia="Times New Roman"/>
                <w:sz w:val="22"/>
                <w:szCs w:val="22"/>
              </w:rPr>
              <w:t>In the Matter of the Application of Duke Energy Ohio, Inc., for Approval to Modify Rider PSR.</w:t>
            </w:r>
          </w:p>
          <w:p w14:paraId="55CF8E1D" w14:textId="77777777" w:rsidR="003151DD" w:rsidRPr="00686DCA" w:rsidRDefault="003151DD" w:rsidP="003151DD">
            <w:pPr>
              <w:spacing w:line="240" w:lineRule="auto"/>
              <w:rPr>
                <w:rFonts w:eastAsia="Times New Roman"/>
                <w:sz w:val="22"/>
                <w:szCs w:val="22"/>
              </w:rPr>
            </w:pPr>
          </w:p>
          <w:p w14:paraId="168BDA5C" w14:textId="77777777" w:rsidR="003151DD" w:rsidRPr="00686DCA" w:rsidRDefault="003151DD" w:rsidP="003151DD">
            <w:pPr>
              <w:spacing w:line="240" w:lineRule="auto"/>
              <w:rPr>
                <w:rFonts w:eastAsia="Times New Roman"/>
                <w:sz w:val="22"/>
                <w:szCs w:val="22"/>
              </w:rPr>
            </w:pPr>
            <w:r w:rsidRPr="00686DCA">
              <w:rPr>
                <w:rFonts w:eastAsia="Times New Roman"/>
                <w:sz w:val="22"/>
                <w:szCs w:val="22"/>
              </w:rPr>
              <w:t>In the Matter of the Application of Duke Energy Ohio, Inc., for Approval to Amend Rider PSR.</w:t>
            </w:r>
          </w:p>
          <w:p w14:paraId="0E44BD83" w14:textId="77777777" w:rsidR="003151DD" w:rsidRPr="00686DCA" w:rsidRDefault="003151DD" w:rsidP="003151DD">
            <w:pPr>
              <w:spacing w:line="240" w:lineRule="auto"/>
              <w:rPr>
                <w:rFonts w:eastAsia="Times New Roman"/>
                <w:sz w:val="22"/>
                <w:szCs w:val="22"/>
              </w:rPr>
            </w:pPr>
          </w:p>
          <w:p w14:paraId="7E270601" w14:textId="77777777" w:rsidR="003151DD" w:rsidRPr="00686DCA" w:rsidRDefault="003151DD" w:rsidP="003151DD">
            <w:pPr>
              <w:spacing w:line="240" w:lineRule="auto"/>
              <w:rPr>
                <w:rFonts w:eastAsia="Times New Roman"/>
                <w:sz w:val="22"/>
                <w:szCs w:val="22"/>
              </w:rPr>
            </w:pPr>
            <w:r w:rsidRPr="00686DCA">
              <w:rPr>
                <w:rFonts w:eastAsia="Times New Roman"/>
                <w:sz w:val="22"/>
                <w:szCs w:val="22"/>
              </w:rPr>
              <w:t>In the Matter of the Application of Duke Energy Ohio Inc., for Approval to Change Accounting Methods.</w:t>
            </w:r>
          </w:p>
          <w:p w14:paraId="3A1E5624" w14:textId="77777777" w:rsidR="003151DD" w:rsidRPr="00686DCA" w:rsidRDefault="003151DD" w:rsidP="003151DD">
            <w:pPr>
              <w:spacing w:line="240" w:lineRule="auto"/>
              <w:rPr>
                <w:rFonts w:eastAsia="Times New Roman"/>
                <w:sz w:val="22"/>
                <w:szCs w:val="22"/>
              </w:rPr>
            </w:pPr>
          </w:p>
          <w:p w14:paraId="38DB6DA2" w14:textId="77777777" w:rsidR="003151DD" w:rsidRPr="00686DCA" w:rsidRDefault="003151DD" w:rsidP="003151DD">
            <w:pPr>
              <w:spacing w:line="240" w:lineRule="auto"/>
              <w:rPr>
                <w:rFonts w:eastAsia="Times New Roman"/>
                <w:sz w:val="22"/>
                <w:szCs w:val="22"/>
              </w:rPr>
            </w:pPr>
            <w:r w:rsidRPr="00686DCA">
              <w:rPr>
                <w:rFonts w:eastAsia="Times New Roman"/>
                <w:sz w:val="22"/>
                <w:szCs w:val="22"/>
              </w:rPr>
              <w:t>In the Matter of the Application of Duke Energy Ohio Inc., for Authority to Establish a Standard Service Offer Pursuant to Section 4928.143, Revised Code, in the Form of an Electric Security Plan, Accounting Modifications and Tariffs for Generation Service.</w:t>
            </w:r>
          </w:p>
          <w:p w14:paraId="5509AF6D" w14:textId="77777777" w:rsidR="003151DD" w:rsidRPr="00686DCA" w:rsidRDefault="003151DD" w:rsidP="003151DD">
            <w:pPr>
              <w:spacing w:line="240" w:lineRule="auto"/>
              <w:rPr>
                <w:rFonts w:eastAsia="Times New Roman"/>
                <w:sz w:val="22"/>
                <w:szCs w:val="22"/>
              </w:rPr>
            </w:pPr>
          </w:p>
          <w:p w14:paraId="6F9BBEB0" w14:textId="77777777" w:rsidR="003151DD" w:rsidRPr="00686DCA" w:rsidRDefault="003151DD" w:rsidP="003151DD">
            <w:pPr>
              <w:spacing w:line="240" w:lineRule="auto"/>
              <w:rPr>
                <w:rFonts w:eastAsia="Times New Roman"/>
                <w:sz w:val="22"/>
                <w:szCs w:val="22"/>
              </w:rPr>
            </w:pPr>
            <w:r w:rsidRPr="00686DCA">
              <w:rPr>
                <w:rFonts w:eastAsia="Times New Roman"/>
                <w:sz w:val="22"/>
                <w:szCs w:val="22"/>
              </w:rPr>
              <w:t>In the Matter of the Application of Duke Energy Ohio, Inc., for Authority to Amend its Certified Supplier Tariff, P.U.C.O. No. 20.</w:t>
            </w:r>
          </w:p>
          <w:p w14:paraId="44EF5AD3" w14:textId="77777777" w:rsidR="003151DD" w:rsidRPr="00686DCA" w:rsidRDefault="003151DD" w:rsidP="003151DD">
            <w:pPr>
              <w:spacing w:line="240" w:lineRule="auto"/>
              <w:rPr>
                <w:rFonts w:eastAsia="Times New Roman"/>
                <w:sz w:val="22"/>
                <w:szCs w:val="22"/>
              </w:rPr>
            </w:pPr>
          </w:p>
          <w:p w14:paraId="2D7C3848" w14:textId="77777777" w:rsidR="003151DD" w:rsidRPr="00686DCA" w:rsidRDefault="003151DD" w:rsidP="003151DD">
            <w:pPr>
              <w:spacing w:line="240" w:lineRule="auto"/>
              <w:rPr>
                <w:rFonts w:eastAsia="Times New Roman"/>
                <w:sz w:val="22"/>
                <w:szCs w:val="22"/>
              </w:rPr>
            </w:pPr>
            <w:r w:rsidRPr="00686DCA">
              <w:rPr>
                <w:rFonts w:eastAsia="Times New Roman"/>
                <w:sz w:val="22"/>
                <w:szCs w:val="22"/>
              </w:rPr>
              <w:t>In the Matter of the Application of Duke Energy Ohio, Inc. for Authority to Defer Vegetation Management Costs.</w:t>
            </w:r>
          </w:p>
          <w:p w14:paraId="1187DDA7" w14:textId="77777777" w:rsidR="003151DD" w:rsidRPr="00686DCA" w:rsidRDefault="003151DD" w:rsidP="003151DD">
            <w:pPr>
              <w:spacing w:line="240" w:lineRule="auto"/>
              <w:rPr>
                <w:rFonts w:eastAsia="Times New Roman"/>
                <w:sz w:val="22"/>
                <w:szCs w:val="22"/>
              </w:rPr>
            </w:pPr>
          </w:p>
          <w:p w14:paraId="244F0BB0" w14:textId="77777777" w:rsidR="003151DD" w:rsidRPr="00686DCA" w:rsidRDefault="003151DD" w:rsidP="003151DD">
            <w:pPr>
              <w:spacing w:line="240" w:lineRule="auto"/>
              <w:rPr>
                <w:rFonts w:eastAsia="Times New Roman"/>
                <w:sz w:val="22"/>
                <w:szCs w:val="22"/>
              </w:rPr>
            </w:pPr>
            <w:r w:rsidRPr="00686DCA">
              <w:rPr>
                <w:rFonts w:eastAsia="Times New Roman"/>
                <w:sz w:val="22"/>
                <w:szCs w:val="22"/>
              </w:rPr>
              <w:t>In the Matter of the Application of Duke Energy Ohio, Inc., to Establish Minimum Reliability Performance Standards Pursuant to Chapter 4901:1-10, Ohio Admin. Code.</w:t>
            </w:r>
          </w:p>
        </w:tc>
        <w:tc>
          <w:tcPr>
            <w:tcW w:w="796" w:type="dxa"/>
          </w:tcPr>
          <w:p w14:paraId="07802560" w14:textId="77777777" w:rsidR="003151DD" w:rsidRPr="00686DCA" w:rsidRDefault="003151DD" w:rsidP="003151DD">
            <w:pPr>
              <w:widowControl w:val="0"/>
              <w:spacing w:line="240" w:lineRule="auto"/>
              <w:jc w:val="center"/>
              <w:rPr>
                <w:rFonts w:eastAsia="Times New Roman"/>
                <w:sz w:val="22"/>
                <w:szCs w:val="22"/>
              </w:rPr>
            </w:pPr>
          </w:p>
          <w:p w14:paraId="5A267D75" w14:textId="77777777" w:rsidR="003151DD" w:rsidRPr="00686DCA" w:rsidRDefault="003151DD" w:rsidP="003151DD">
            <w:pPr>
              <w:widowControl w:val="0"/>
              <w:spacing w:line="240" w:lineRule="auto"/>
              <w:jc w:val="center"/>
              <w:rPr>
                <w:rFonts w:eastAsia="Times New Roman"/>
                <w:sz w:val="22"/>
                <w:szCs w:val="22"/>
              </w:rPr>
            </w:pPr>
            <w:r w:rsidRPr="00686DCA">
              <w:rPr>
                <w:rFonts w:eastAsia="Times New Roman"/>
                <w:sz w:val="22"/>
                <w:szCs w:val="22"/>
              </w:rPr>
              <w:t>)</w:t>
            </w:r>
          </w:p>
          <w:p w14:paraId="11A7EA71" w14:textId="77777777" w:rsidR="003151DD" w:rsidRPr="00686DCA" w:rsidRDefault="003151DD" w:rsidP="003151DD">
            <w:pPr>
              <w:widowControl w:val="0"/>
              <w:spacing w:line="240" w:lineRule="auto"/>
              <w:jc w:val="center"/>
              <w:rPr>
                <w:rFonts w:eastAsia="Times New Roman"/>
                <w:sz w:val="22"/>
                <w:szCs w:val="22"/>
              </w:rPr>
            </w:pPr>
            <w:r w:rsidRPr="00686DCA">
              <w:rPr>
                <w:rFonts w:eastAsia="Times New Roman"/>
                <w:sz w:val="22"/>
                <w:szCs w:val="22"/>
              </w:rPr>
              <w:t>)</w:t>
            </w:r>
          </w:p>
          <w:p w14:paraId="71D9AAF8" w14:textId="77777777" w:rsidR="003151DD" w:rsidRPr="00686DCA" w:rsidRDefault="003151DD" w:rsidP="003151DD">
            <w:pPr>
              <w:widowControl w:val="0"/>
              <w:spacing w:line="240" w:lineRule="auto"/>
              <w:jc w:val="center"/>
              <w:rPr>
                <w:rFonts w:eastAsia="Times New Roman"/>
                <w:sz w:val="22"/>
                <w:szCs w:val="22"/>
              </w:rPr>
            </w:pPr>
            <w:r w:rsidRPr="00686DCA">
              <w:rPr>
                <w:rFonts w:eastAsia="Times New Roman"/>
                <w:sz w:val="22"/>
                <w:szCs w:val="22"/>
              </w:rPr>
              <w:t>)</w:t>
            </w:r>
          </w:p>
          <w:p w14:paraId="4680D598" w14:textId="77777777" w:rsidR="003151DD" w:rsidRPr="00686DCA" w:rsidRDefault="003151DD" w:rsidP="003151DD">
            <w:pPr>
              <w:widowControl w:val="0"/>
              <w:spacing w:line="240" w:lineRule="auto"/>
              <w:jc w:val="center"/>
              <w:rPr>
                <w:rFonts w:eastAsia="Times New Roman"/>
                <w:sz w:val="22"/>
                <w:szCs w:val="22"/>
              </w:rPr>
            </w:pPr>
          </w:p>
          <w:p w14:paraId="578EF877" w14:textId="77777777" w:rsidR="003151DD" w:rsidRPr="00686DCA" w:rsidRDefault="003151DD" w:rsidP="003151DD">
            <w:pPr>
              <w:widowControl w:val="0"/>
              <w:spacing w:line="240" w:lineRule="auto"/>
              <w:jc w:val="center"/>
              <w:rPr>
                <w:rFonts w:eastAsia="Times New Roman"/>
                <w:sz w:val="22"/>
                <w:szCs w:val="22"/>
              </w:rPr>
            </w:pPr>
            <w:r w:rsidRPr="00686DCA">
              <w:rPr>
                <w:rFonts w:eastAsia="Times New Roman"/>
                <w:sz w:val="22"/>
                <w:szCs w:val="22"/>
              </w:rPr>
              <w:t>)</w:t>
            </w:r>
          </w:p>
          <w:p w14:paraId="22DEDBAD" w14:textId="77777777" w:rsidR="003151DD" w:rsidRPr="00686DCA" w:rsidRDefault="003151DD" w:rsidP="003151DD">
            <w:pPr>
              <w:widowControl w:val="0"/>
              <w:spacing w:line="240" w:lineRule="auto"/>
              <w:jc w:val="center"/>
              <w:rPr>
                <w:rFonts w:eastAsia="Times New Roman"/>
                <w:sz w:val="22"/>
                <w:szCs w:val="22"/>
              </w:rPr>
            </w:pPr>
            <w:r w:rsidRPr="00686DCA">
              <w:rPr>
                <w:rFonts w:eastAsia="Times New Roman"/>
                <w:sz w:val="22"/>
                <w:szCs w:val="22"/>
              </w:rPr>
              <w:t>)</w:t>
            </w:r>
          </w:p>
          <w:p w14:paraId="5A9E4BA5" w14:textId="77777777" w:rsidR="003151DD" w:rsidRPr="00686DCA" w:rsidRDefault="003151DD" w:rsidP="003151DD">
            <w:pPr>
              <w:widowControl w:val="0"/>
              <w:spacing w:line="240" w:lineRule="auto"/>
              <w:jc w:val="center"/>
              <w:rPr>
                <w:rFonts w:eastAsia="Times New Roman"/>
                <w:sz w:val="22"/>
                <w:szCs w:val="22"/>
              </w:rPr>
            </w:pPr>
            <w:r w:rsidRPr="00686DCA">
              <w:rPr>
                <w:rFonts w:eastAsia="Times New Roman"/>
                <w:sz w:val="22"/>
                <w:szCs w:val="22"/>
              </w:rPr>
              <w:t>)</w:t>
            </w:r>
          </w:p>
          <w:p w14:paraId="05C8E3F1" w14:textId="77777777" w:rsidR="003151DD" w:rsidRPr="00686DCA" w:rsidRDefault="003151DD" w:rsidP="003151DD">
            <w:pPr>
              <w:widowControl w:val="0"/>
              <w:spacing w:line="240" w:lineRule="auto"/>
              <w:jc w:val="center"/>
              <w:rPr>
                <w:rFonts w:eastAsia="Times New Roman"/>
                <w:sz w:val="22"/>
                <w:szCs w:val="22"/>
              </w:rPr>
            </w:pPr>
          </w:p>
          <w:p w14:paraId="06DD56B7" w14:textId="77777777" w:rsidR="003151DD" w:rsidRPr="00686DCA" w:rsidRDefault="003151DD" w:rsidP="003151DD">
            <w:pPr>
              <w:widowControl w:val="0"/>
              <w:spacing w:line="240" w:lineRule="auto"/>
              <w:jc w:val="center"/>
              <w:rPr>
                <w:rFonts w:eastAsia="Times New Roman"/>
                <w:sz w:val="22"/>
                <w:szCs w:val="22"/>
              </w:rPr>
            </w:pPr>
            <w:r w:rsidRPr="00686DCA">
              <w:rPr>
                <w:rFonts w:eastAsia="Times New Roman"/>
                <w:sz w:val="22"/>
                <w:szCs w:val="22"/>
              </w:rPr>
              <w:t>)</w:t>
            </w:r>
          </w:p>
          <w:p w14:paraId="74546CDD" w14:textId="77777777" w:rsidR="003151DD" w:rsidRPr="00686DCA" w:rsidRDefault="003151DD" w:rsidP="003151DD">
            <w:pPr>
              <w:widowControl w:val="0"/>
              <w:spacing w:line="240" w:lineRule="auto"/>
              <w:jc w:val="center"/>
              <w:rPr>
                <w:rFonts w:eastAsia="Times New Roman"/>
                <w:sz w:val="22"/>
                <w:szCs w:val="22"/>
              </w:rPr>
            </w:pPr>
            <w:r w:rsidRPr="00686DCA">
              <w:rPr>
                <w:rFonts w:eastAsia="Times New Roman"/>
                <w:sz w:val="22"/>
                <w:szCs w:val="22"/>
              </w:rPr>
              <w:t>)</w:t>
            </w:r>
          </w:p>
          <w:p w14:paraId="65E157F0" w14:textId="77777777" w:rsidR="003151DD" w:rsidRPr="00686DCA" w:rsidRDefault="003151DD" w:rsidP="003151DD">
            <w:pPr>
              <w:widowControl w:val="0"/>
              <w:spacing w:line="240" w:lineRule="auto"/>
              <w:jc w:val="center"/>
              <w:rPr>
                <w:rFonts w:eastAsia="Times New Roman"/>
                <w:sz w:val="22"/>
                <w:szCs w:val="22"/>
              </w:rPr>
            </w:pPr>
            <w:r w:rsidRPr="00686DCA">
              <w:rPr>
                <w:rFonts w:eastAsia="Times New Roman"/>
                <w:sz w:val="22"/>
                <w:szCs w:val="22"/>
              </w:rPr>
              <w:t>)</w:t>
            </w:r>
          </w:p>
          <w:p w14:paraId="10F7838F" w14:textId="77777777" w:rsidR="003151DD" w:rsidRPr="00686DCA" w:rsidRDefault="003151DD" w:rsidP="003151DD">
            <w:pPr>
              <w:widowControl w:val="0"/>
              <w:spacing w:line="240" w:lineRule="auto"/>
              <w:jc w:val="center"/>
              <w:rPr>
                <w:rFonts w:eastAsia="Times New Roman"/>
                <w:sz w:val="22"/>
                <w:szCs w:val="22"/>
              </w:rPr>
            </w:pPr>
          </w:p>
          <w:p w14:paraId="027EB19C" w14:textId="77777777" w:rsidR="003151DD" w:rsidRPr="00686DCA" w:rsidRDefault="003151DD" w:rsidP="003151DD">
            <w:pPr>
              <w:widowControl w:val="0"/>
              <w:spacing w:line="240" w:lineRule="auto"/>
              <w:jc w:val="center"/>
              <w:rPr>
                <w:rFonts w:eastAsia="Times New Roman"/>
                <w:sz w:val="22"/>
                <w:szCs w:val="22"/>
              </w:rPr>
            </w:pPr>
            <w:r w:rsidRPr="00686DCA">
              <w:rPr>
                <w:rFonts w:eastAsia="Times New Roman"/>
                <w:sz w:val="22"/>
                <w:szCs w:val="22"/>
              </w:rPr>
              <w:t>)</w:t>
            </w:r>
          </w:p>
          <w:p w14:paraId="51706B0A" w14:textId="77777777" w:rsidR="003151DD" w:rsidRPr="00686DCA" w:rsidRDefault="003151DD" w:rsidP="003151DD">
            <w:pPr>
              <w:widowControl w:val="0"/>
              <w:spacing w:line="240" w:lineRule="auto"/>
              <w:jc w:val="center"/>
              <w:rPr>
                <w:rFonts w:eastAsia="Times New Roman"/>
                <w:sz w:val="22"/>
                <w:szCs w:val="22"/>
              </w:rPr>
            </w:pPr>
            <w:r w:rsidRPr="00686DCA">
              <w:rPr>
                <w:rFonts w:eastAsia="Times New Roman"/>
                <w:sz w:val="22"/>
                <w:szCs w:val="22"/>
              </w:rPr>
              <w:t>)</w:t>
            </w:r>
          </w:p>
          <w:p w14:paraId="60C72F68" w14:textId="77777777" w:rsidR="003151DD" w:rsidRPr="00686DCA" w:rsidRDefault="003151DD" w:rsidP="003151DD">
            <w:pPr>
              <w:widowControl w:val="0"/>
              <w:spacing w:line="240" w:lineRule="auto"/>
              <w:jc w:val="center"/>
              <w:rPr>
                <w:rFonts w:eastAsia="Times New Roman"/>
                <w:sz w:val="22"/>
                <w:szCs w:val="22"/>
              </w:rPr>
            </w:pPr>
            <w:r w:rsidRPr="00686DCA">
              <w:rPr>
                <w:rFonts w:eastAsia="Times New Roman"/>
                <w:sz w:val="22"/>
                <w:szCs w:val="22"/>
              </w:rPr>
              <w:t>)</w:t>
            </w:r>
          </w:p>
          <w:p w14:paraId="54729248" w14:textId="77777777" w:rsidR="003151DD" w:rsidRPr="00686DCA" w:rsidRDefault="003151DD" w:rsidP="003151DD">
            <w:pPr>
              <w:widowControl w:val="0"/>
              <w:spacing w:line="240" w:lineRule="auto"/>
              <w:jc w:val="center"/>
              <w:rPr>
                <w:rFonts w:eastAsia="Times New Roman"/>
                <w:sz w:val="22"/>
                <w:szCs w:val="22"/>
              </w:rPr>
            </w:pPr>
            <w:r w:rsidRPr="00686DCA">
              <w:rPr>
                <w:rFonts w:eastAsia="Times New Roman"/>
                <w:sz w:val="22"/>
                <w:szCs w:val="22"/>
              </w:rPr>
              <w:t>)</w:t>
            </w:r>
          </w:p>
          <w:p w14:paraId="4A62A467" w14:textId="77777777" w:rsidR="003151DD" w:rsidRPr="00686DCA" w:rsidRDefault="003151DD" w:rsidP="003151DD">
            <w:pPr>
              <w:widowControl w:val="0"/>
              <w:spacing w:line="240" w:lineRule="auto"/>
              <w:jc w:val="center"/>
              <w:rPr>
                <w:rFonts w:eastAsia="Times New Roman"/>
                <w:sz w:val="22"/>
                <w:szCs w:val="22"/>
              </w:rPr>
            </w:pPr>
            <w:r w:rsidRPr="00686DCA">
              <w:rPr>
                <w:rFonts w:eastAsia="Times New Roman"/>
                <w:sz w:val="22"/>
                <w:szCs w:val="22"/>
              </w:rPr>
              <w:t>)</w:t>
            </w:r>
          </w:p>
          <w:p w14:paraId="4549F1DD" w14:textId="77777777" w:rsidR="003151DD" w:rsidRPr="00686DCA" w:rsidRDefault="003151DD" w:rsidP="003151DD">
            <w:pPr>
              <w:widowControl w:val="0"/>
              <w:spacing w:line="240" w:lineRule="auto"/>
              <w:jc w:val="center"/>
              <w:rPr>
                <w:rFonts w:eastAsia="Times New Roman"/>
                <w:sz w:val="22"/>
                <w:szCs w:val="22"/>
              </w:rPr>
            </w:pPr>
            <w:r w:rsidRPr="00686DCA">
              <w:rPr>
                <w:rFonts w:eastAsia="Times New Roman"/>
                <w:sz w:val="22"/>
                <w:szCs w:val="22"/>
              </w:rPr>
              <w:t>)</w:t>
            </w:r>
          </w:p>
          <w:p w14:paraId="40D07B16" w14:textId="77777777" w:rsidR="003151DD" w:rsidRPr="00686DCA" w:rsidRDefault="003151DD" w:rsidP="003151DD">
            <w:pPr>
              <w:widowControl w:val="0"/>
              <w:spacing w:line="240" w:lineRule="auto"/>
              <w:jc w:val="center"/>
              <w:rPr>
                <w:rFonts w:eastAsia="Times New Roman"/>
                <w:sz w:val="22"/>
                <w:szCs w:val="22"/>
              </w:rPr>
            </w:pPr>
            <w:r w:rsidRPr="00686DCA">
              <w:rPr>
                <w:rFonts w:eastAsia="Times New Roman"/>
                <w:sz w:val="22"/>
                <w:szCs w:val="22"/>
              </w:rPr>
              <w:t>)</w:t>
            </w:r>
          </w:p>
          <w:p w14:paraId="190EBFA1" w14:textId="77777777" w:rsidR="003151DD" w:rsidRPr="00686DCA" w:rsidRDefault="003151DD" w:rsidP="003151DD">
            <w:pPr>
              <w:widowControl w:val="0"/>
              <w:spacing w:line="240" w:lineRule="auto"/>
              <w:jc w:val="center"/>
              <w:rPr>
                <w:rFonts w:eastAsia="Times New Roman"/>
                <w:sz w:val="22"/>
                <w:szCs w:val="22"/>
              </w:rPr>
            </w:pPr>
          </w:p>
          <w:p w14:paraId="65DA45A6" w14:textId="77777777" w:rsidR="003151DD" w:rsidRPr="00686DCA" w:rsidRDefault="003151DD" w:rsidP="003151DD">
            <w:pPr>
              <w:widowControl w:val="0"/>
              <w:spacing w:line="240" w:lineRule="auto"/>
              <w:jc w:val="center"/>
              <w:rPr>
                <w:rFonts w:eastAsia="Times New Roman"/>
                <w:sz w:val="22"/>
                <w:szCs w:val="22"/>
              </w:rPr>
            </w:pPr>
            <w:r w:rsidRPr="00686DCA">
              <w:rPr>
                <w:rFonts w:eastAsia="Times New Roman"/>
                <w:sz w:val="22"/>
                <w:szCs w:val="22"/>
              </w:rPr>
              <w:t>)</w:t>
            </w:r>
          </w:p>
          <w:p w14:paraId="01AEDA0F" w14:textId="77777777" w:rsidR="003151DD" w:rsidRPr="00686DCA" w:rsidRDefault="003151DD" w:rsidP="003151DD">
            <w:pPr>
              <w:widowControl w:val="0"/>
              <w:spacing w:line="240" w:lineRule="auto"/>
              <w:jc w:val="center"/>
              <w:rPr>
                <w:rFonts w:eastAsia="Times New Roman"/>
                <w:sz w:val="22"/>
                <w:szCs w:val="22"/>
              </w:rPr>
            </w:pPr>
            <w:r w:rsidRPr="00686DCA">
              <w:rPr>
                <w:rFonts w:eastAsia="Times New Roman"/>
                <w:sz w:val="22"/>
                <w:szCs w:val="22"/>
              </w:rPr>
              <w:t>)</w:t>
            </w:r>
          </w:p>
          <w:p w14:paraId="2BF02261" w14:textId="77777777" w:rsidR="003151DD" w:rsidRPr="00686DCA" w:rsidRDefault="003151DD" w:rsidP="003151DD">
            <w:pPr>
              <w:widowControl w:val="0"/>
              <w:spacing w:line="240" w:lineRule="auto"/>
              <w:jc w:val="center"/>
              <w:rPr>
                <w:rFonts w:eastAsia="Times New Roman"/>
                <w:sz w:val="22"/>
                <w:szCs w:val="22"/>
              </w:rPr>
            </w:pPr>
            <w:r w:rsidRPr="00686DCA">
              <w:rPr>
                <w:rFonts w:eastAsia="Times New Roman"/>
                <w:sz w:val="22"/>
                <w:szCs w:val="22"/>
              </w:rPr>
              <w:t>)</w:t>
            </w:r>
          </w:p>
          <w:p w14:paraId="3663AE2B" w14:textId="77777777" w:rsidR="003151DD" w:rsidRPr="00686DCA" w:rsidRDefault="003151DD" w:rsidP="003151DD">
            <w:pPr>
              <w:widowControl w:val="0"/>
              <w:spacing w:line="240" w:lineRule="auto"/>
              <w:jc w:val="center"/>
              <w:rPr>
                <w:rFonts w:eastAsia="Times New Roman"/>
                <w:sz w:val="22"/>
                <w:szCs w:val="22"/>
              </w:rPr>
            </w:pPr>
            <w:r w:rsidRPr="00686DCA">
              <w:rPr>
                <w:rFonts w:eastAsia="Times New Roman"/>
                <w:sz w:val="22"/>
                <w:szCs w:val="22"/>
              </w:rPr>
              <w:t>)</w:t>
            </w:r>
          </w:p>
          <w:p w14:paraId="291D8AAE" w14:textId="77777777" w:rsidR="003151DD" w:rsidRPr="00686DCA" w:rsidRDefault="003151DD" w:rsidP="003151DD">
            <w:pPr>
              <w:widowControl w:val="0"/>
              <w:spacing w:line="240" w:lineRule="auto"/>
              <w:jc w:val="center"/>
              <w:rPr>
                <w:rFonts w:eastAsia="Times New Roman"/>
                <w:sz w:val="22"/>
                <w:szCs w:val="22"/>
              </w:rPr>
            </w:pPr>
          </w:p>
          <w:p w14:paraId="6D5DEDA1" w14:textId="77777777" w:rsidR="003151DD" w:rsidRPr="00686DCA" w:rsidRDefault="003151DD" w:rsidP="003151DD">
            <w:pPr>
              <w:widowControl w:val="0"/>
              <w:spacing w:line="240" w:lineRule="auto"/>
              <w:jc w:val="center"/>
              <w:rPr>
                <w:rFonts w:eastAsia="Times New Roman"/>
                <w:sz w:val="22"/>
                <w:szCs w:val="22"/>
              </w:rPr>
            </w:pPr>
            <w:r w:rsidRPr="00686DCA">
              <w:rPr>
                <w:rFonts w:eastAsia="Times New Roman"/>
                <w:sz w:val="22"/>
                <w:szCs w:val="22"/>
              </w:rPr>
              <w:t>)</w:t>
            </w:r>
          </w:p>
          <w:p w14:paraId="47723113" w14:textId="77777777" w:rsidR="003151DD" w:rsidRPr="00686DCA" w:rsidRDefault="003151DD" w:rsidP="003151DD">
            <w:pPr>
              <w:widowControl w:val="0"/>
              <w:spacing w:line="240" w:lineRule="auto"/>
              <w:jc w:val="center"/>
              <w:rPr>
                <w:rFonts w:eastAsia="Times New Roman"/>
                <w:sz w:val="22"/>
                <w:szCs w:val="22"/>
              </w:rPr>
            </w:pPr>
            <w:r w:rsidRPr="00686DCA">
              <w:rPr>
                <w:rFonts w:eastAsia="Times New Roman"/>
                <w:sz w:val="22"/>
                <w:szCs w:val="22"/>
              </w:rPr>
              <w:t>)</w:t>
            </w:r>
          </w:p>
          <w:p w14:paraId="02D17BD9" w14:textId="77777777" w:rsidR="003151DD" w:rsidRPr="00686DCA" w:rsidRDefault="003151DD" w:rsidP="003151DD">
            <w:pPr>
              <w:widowControl w:val="0"/>
              <w:spacing w:line="240" w:lineRule="auto"/>
              <w:jc w:val="center"/>
              <w:rPr>
                <w:rFonts w:eastAsia="Times New Roman"/>
                <w:sz w:val="22"/>
                <w:szCs w:val="22"/>
              </w:rPr>
            </w:pPr>
            <w:r w:rsidRPr="00686DCA">
              <w:rPr>
                <w:rFonts w:eastAsia="Times New Roman"/>
                <w:sz w:val="22"/>
                <w:szCs w:val="22"/>
              </w:rPr>
              <w:t>)</w:t>
            </w:r>
          </w:p>
          <w:p w14:paraId="3988F46C" w14:textId="77777777" w:rsidR="003151DD" w:rsidRPr="00686DCA" w:rsidRDefault="003151DD" w:rsidP="003151DD">
            <w:pPr>
              <w:widowControl w:val="0"/>
              <w:spacing w:line="240" w:lineRule="auto"/>
              <w:jc w:val="center"/>
              <w:rPr>
                <w:rFonts w:eastAsia="Times New Roman"/>
                <w:sz w:val="22"/>
                <w:szCs w:val="22"/>
              </w:rPr>
            </w:pPr>
          </w:p>
          <w:p w14:paraId="56159CBE" w14:textId="77777777" w:rsidR="003151DD" w:rsidRPr="00686DCA" w:rsidRDefault="003151DD" w:rsidP="003151DD">
            <w:pPr>
              <w:widowControl w:val="0"/>
              <w:spacing w:line="240" w:lineRule="auto"/>
              <w:jc w:val="center"/>
              <w:rPr>
                <w:rFonts w:eastAsia="Times New Roman"/>
                <w:sz w:val="22"/>
                <w:szCs w:val="22"/>
              </w:rPr>
            </w:pPr>
            <w:r w:rsidRPr="00686DCA">
              <w:rPr>
                <w:rFonts w:eastAsia="Times New Roman"/>
                <w:sz w:val="22"/>
                <w:szCs w:val="22"/>
              </w:rPr>
              <w:t>)</w:t>
            </w:r>
          </w:p>
          <w:p w14:paraId="162AF6C6" w14:textId="77777777" w:rsidR="003151DD" w:rsidRPr="00686DCA" w:rsidRDefault="003151DD" w:rsidP="003151DD">
            <w:pPr>
              <w:widowControl w:val="0"/>
              <w:spacing w:line="240" w:lineRule="auto"/>
              <w:jc w:val="center"/>
              <w:rPr>
                <w:rFonts w:eastAsia="Times New Roman"/>
                <w:sz w:val="22"/>
                <w:szCs w:val="22"/>
              </w:rPr>
            </w:pPr>
            <w:r w:rsidRPr="00686DCA">
              <w:rPr>
                <w:rFonts w:eastAsia="Times New Roman"/>
                <w:sz w:val="22"/>
                <w:szCs w:val="22"/>
              </w:rPr>
              <w:t>)</w:t>
            </w:r>
          </w:p>
          <w:p w14:paraId="0949C3EE" w14:textId="77777777" w:rsidR="003151DD" w:rsidRPr="00686DCA" w:rsidRDefault="003151DD" w:rsidP="003151DD">
            <w:pPr>
              <w:widowControl w:val="0"/>
              <w:spacing w:line="240" w:lineRule="auto"/>
              <w:jc w:val="center"/>
              <w:rPr>
                <w:rFonts w:eastAsia="Times New Roman"/>
                <w:sz w:val="22"/>
                <w:szCs w:val="22"/>
              </w:rPr>
            </w:pPr>
            <w:r w:rsidRPr="00686DCA">
              <w:rPr>
                <w:rFonts w:eastAsia="Times New Roman"/>
                <w:sz w:val="22"/>
                <w:szCs w:val="22"/>
              </w:rPr>
              <w:t>)</w:t>
            </w:r>
          </w:p>
          <w:p w14:paraId="6DEE2533" w14:textId="77777777" w:rsidR="003151DD" w:rsidRPr="00686DCA" w:rsidRDefault="003151DD" w:rsidP="003151DD">
            <w:pPr>
              <w:widowControl w:val="0"/>
              <w:spacing w:line="240" w:lineRule="auto"/>
              <w:jc w:val="center"/>
              <w:rPr>
                <w:rFonts w:eastAsia="Times New Roman"/>
                <w:sz w:val="22"/>
                <w:szCs w:val="22"/>
              </w:rPr>
            </w:pPr>
            <w:r w:rsidRPr="00686DCA">
              <w:rPr>
                <w:rFonts w:eastAsia="Times New Roman"/>
                <w:sz w:val="22"/>
                <w:szCs w:val="22"/>
              </w:rPr>
              <w:t>)</w:t>
            </w:r>
          </w:p>
        </w:tc>
        <w:tc>
          <w:tcPr>
            <w:tcW w:w="3716" w:type="dxa"/>
          </w:tcPr>
          <w:p w14:paraId="64160804" w14:textId="77777777" w:rsidR="003151DD" w:rsidRPr="00686DCA" w:rsidRDefault="003151DD" w:rsidP="003151DD">
            <w:pPr>
              <w:widowControl w:val="0"/>
              <w:spacing w:line="240" w:lineRule="auto"/>
              <w:rPr>
                <w:rFonts w:eastAsia="Times New Roman"/>
                <w:sz w:val="22"/>
                <w:szCs w:val="22"/>
              </w:rPr>
            </w:pPr>
          </w:p>
          <w:p w14:paraId="3C3E7046" w14:textId="77777777" w:rsidR="003151DD" w:rsidRPr="00686DCA" w:rsidRDefault="003151DD" w:rsidP="003151DD">
            <w:pPr>
              <w:widowControl w:val="0"/>
              <w:spacing w:line="240" w:lineRule="auto"/>
              <w:rPr>
                <w:rFonts w:eastAsia="Times New Roman"/>
                <w:sz w:val="22"/>
                <w:szCs w:val="22"/>
              </w:rPr>
            </w:pPr>
          </w:p>
          <w:p w14:paraId="4265F9B5" w14:textId="77777777" w:rsidR="003151DD" w:rsidRPr="00686DCA" w:rsidRDefault="003151DD" w:rsidP="003151DD">
            <w:pPr>
              <w:widowControl w:val="0"/>
              <w:spacing w:line="240" w:lineRule="auto"/>
              <w:rPr>
                <w:rFonts w:eastAsia="Times New Roman"/>
                <w:sz w:val="22"/>
                <w:szCs w:val="22"/>
              </w:rPr>
            </w:pPr>
            <w:r w:rsidRPr="00686DCA">
              <w:rPr>
                <w:rFonts w:eastAsia="Times New Roman"/>
                <w:sz w:val="22"/>
                <w:szCs w:val="22"/>
              </w:rPr>
              <w:t>Case No. 17-872-EL-RDR</w:t>
            </w:r>
          </w:p>
          <w:p w14:paraId="5D296B25" w14:textId="77777777" w:rsidR="003151DD" w:rsidRPr="00686DCA" w:rsidRDefault="003151DD" w:rsidP="003151DD">
            <w:pPr>
              <w:widowControl w:val="0"/>
              <w:spacing w:line="240" w:lineRule="auto"/>
              <w:rPr>
                <w:rFonts w:eastAsia="Times New Roman"/>
                <w:sz w:val="22"/>
                <w:szCs w:val="22"/>
              </w:rPr>
            </w:pPr>
          </w:p>
          <w:p w14:paraId="190054D8" w14:textId="77777777" w:rsidR="003151DD" w:rsidRPr="00686DCA" w:rsidRDefault="003151DD" w:rsidP="003151DD">
            <w:pPr>
              <w:widowControl w:val="0"/>
              <w:spacing w:line="240" w:lineRule="auto"/>
              <w:rPr>
                <w:rFonts w:eastAsia="Times New Roman"/>
                <w:sz w:val="22"/>
                <w:szCs w:val="22"/>
              </w:rPr>
            </w:pPr>
          </w:p>
          <w:p w14:paraId="3CC3933F" w14:textId="77777777" w:rsidR="003151DD" w:rsidRPr="00686DCA" w:rsidRDefault="003151DD" w:rsidP="003151DD">
            <w:pPr>
              <w:widowControl w:val="0"/>
              <w:spacing w:line="240" w:lineRule="auto"/>
              <w:rPr>
                <w:rFonts w:eastAsia="Times New Roman"/>
                <w:sz w:val="22"/>
                <w:szCs w:val="22"/>
              </w:rPr>
            </w:pPr>
          </w:p>
          <w:p w14:paraId="35F4BB3E" w14:textId="77777777" w:rsidR="003151DD" w:rsidRPr="00686DCA" w:rsidRDefault="003151DD" w:rsidP="003151DD">
            <w:pPr>
              <w:widowControl w:val="0"/>
              <w:spacing w:line="240" w:lineRule="auto"/>
              <w:rPr>
                <w:rFonts w:eastAsia="Times New Roman"/>
                <w:sz w:val="22"/>
                <w:szCs w:val="22"/>
              </w:rPr>
            </w:pPr>
            <w:r w:rsidRPr="00686DCA">
              <w:rPr>
                <w:rFonts w:eastAsia="Times New Roman"/>
                <w:sz w:val="22"/>
                <w:szCs w:val="22"/>
              </w:rPr>
              <w:t>Case No. 17-873-EL-ATA</w:t>
            </w:r>
          </w:p>
          <w:p w14:paraId="08C00DD2" w14:textId="77777777" w:rsidR="003151DD" w:rsidRPr="00686DCA" w:rsidRDefault="003151DD" w:rsidP="003151DD">
            <w:pPr>
              <w:widowControl w:val="0"/>
              <w:spacing w:line="240" w:lineRule="auto"/>
              <w:rPr>
                <w:rFonts w:eastAsia="Times New Roman"/>
                <w:sz w:val="22"/>
                <w:szCs w:val="22"/>
              </w:rPr>
            </w:pPr>
          </w:p>
          <w:p w14:paraId="4ADEF207" w14:textId="77777777" w:rsidR="003151DD" w:rsidRPr="00686DCA" w:rsidRDefault="003151DD" w:rsidP="003151DD">
            <w:pPr>
              <w:widowControl w:val="0"/>
              <w:spacing w:line="240" w:lineRule="auto"/>
              <w:rPr>
                <w:rFonts w:eastAsia="Times New Roman"/>
                <w:sz w:val="22"/>
                <w:szCs w:val="22"/>
              </w:rPr>
            </w:pPr>
          </w:p>
          <w:p w14:paraId="65F7CDFB" w14:textId="77777777" w:rsidR="003151DD" w:rsidRPr="00686DCA" w:rsidRDefault="003151DD" w:rsidP="003151DD">
            <w:pPr>
              <w:widowControl w:val="0"/>
              <w:spacing w:line="240" w:lineRule="auto"/>
              <w:rPr>
                <w:rFonts w:eastAsia="Times New Roman"/>
                <w:sz w:val="22"/>
                <w:szCs w:val="22"/>
              </w:rPr>
            </w:pPr>
          </w:p>
          <w:p w14:paraId="6EA61569" w14:textId="77777777" w:rsidR="003151DD" w:rsidRPr="00686DCA" w:rsidRDefault="003151DD" w:rsidP="003151DD">
            <w:pPr>
              <w:widowControl w:val="0"/>
              <w:spacing w:line="240" w:lineRule="auto"/>
              <w:rPr>
                <w:rFonts w:eastAsia="Times New Roman"/>
                <w:sz w:val="22"/>
                <w:szCs w:val="22"/>
              </w:rPr>
            </w:pPr>
            <w:r w:rsidRPr="00686DCA">
              <w:rPr>
                <w:rFonts w:eastAsia="Times New Roman"/>
                <w:sz w:val="22"/>
                <w:szCs w:val="22"/>
              </w:rPr>
              <w:t>Case No. 17-874-EL-AAM</w:t>
            </w:r>
          </w:p>
          <w:p w14:paraId="74904751" w14:textId="77777777" w:rsidR="003151DD" w:rsidRPr="00686DCA" w:rsidRDefault="003151DD" w:rsidP="003151DD">
            <w:pPr>
              <w:widowControl w:val="0"/>
              <w:spacing w:line="240" w:lineRule="auto"/>
              <w:rPr>
                <w:rFonts w:eastAsia="Times New Roman"/>
                <w:sz w:val="22"/>
                <w:szCs w:val="22"/>
              </w:rPr>
            </w:pPr>
          </w:p>
          <w:p w14:paraId="5E0CD719" w14:textId="77777777" w:rsidR="003151DD" w:rsidRPr="00686DCA" w:rsidRDefault="003151DD" w:rsidP="003151DD">
            <w:pPr>
              <w:widowControl w:val="0"/>
              <w:spacing w:line="240" w:lineRule="auto"/>
              <w:rPr>
                <w:rFonts w:eastAsia="Times New Roman"/>
                <w:sz w:val="22"/>
                <w:szCs w:val="22"/>
              </w:rPr>
            </w:pPr>
          </w:p>
          <w:p w14:paraId="2DA4D0D8" w14:textId="77777777" w:rsidR="003151DD" w:rsidRPr="00686DCA" w:rsidRDefault="003151DD" w:rsidP="003151DD">
            <w:pPr>
              <w:widowControl w:val="0"/>
              <w:spacing w:line="240" w:lineRule="auto"/>
              <w:rPr>
                <w:rFonts w:eastAsia="Times New Roman"/>
                <w:sz w:val="22"/>
                <w:szCs w:val="22"/>
              </w:rPr>
            </w:pPr>
          </w:p>
          <w:p w14:paraId="26ECC47D" w14:textId="77777777" w:rsidR="003151DD" w:rsidRPr="00686DCA" w:rsidRDefault="003151DD" w:rsidP="003151DD">
            <w:pPr>
              <w:widowControl w:val="0"/>
              <w:spacing w:line="240" w:lineRule="auto"/>
              <w:rPr>
                <w:rFonts w:eastAsia="Times New Roman"/>
                <w:sz w:val="22"/>
                <w:szCs w:val="22"/>
              </w:rPr>
            </w:pPr>
          </w:p>
          <w:p w14:paraId="643AB6F7" w14:textId="77777777" w:rsidR="003151DD" w:rsidRPr="00686DCA" w:rsidRDefault="003151DD" w:rsidP="003151DD">
            <w:pPr>
              <w:widowControl w:val="0"/>
              <w:spacing w:line="240" w:lineRule="auto"/>
              <w:rPr>
                <w:rFonts w:eastAsia="Times New Roman"/>
                <w:sz w:val="22"/>
                <w:szCs w:val="22"/>
              </w:rPr>
            </w:pPr>
          </w:p>
          <w:p w14:paraId="3B8A0D7A" w14:textId="77777777" w:rsidR="003151DD" w:rsidRPr="00686DCA" w:rsidRDefault="003151DD" w:rsidP="003151DD">
            <w:pPr>
              <w:widowControl w:val="0"/>
              <w:spacing w:line="240" w:lineRule="auto"/>
              <w:rPr>
                <w:rFonts w:eastAsia="Times New Roman"/>
                <w:sz w:val="22"/>
                <w:szCs w:val="22"/>
              </w:rPr>
            </w:pPr>
            <w:r w:rsidRPr="00686DCA">
              <w:rPr>
                <w:rFonts w:eastAsia="Times New Roman"/>
                <w:sz w:val="22"/>
                <w:szCs w:val="22"/>
              </w:rPr>
              <w:t>Case No. 17-1263-EL-SSO</w:t>
            </w:r>
          </w:p>
          <w:p w14:paraId="3A33E2CD" w14:textId="77777777" w:rsidR="003151DD" w:rsidRPr="00686DCA" w:rsidRDefault="003151DD" w:rsidP="003151DD">
            <w:pPr>
              <w:widowControl w:val="0"/>
              <w:spacing w:line="240" w:lineRule="auto"/>
              <w:rPr>
                <w:rFonts w:eastAsia="Times New Roman"/>
                <w:sz w:val="22"/>
                <w:szCs w:val="22"/>
              </w:rPr>
            </w:pPr>
          </w:p>
          <w:p w14:paraId="7390B85F" w14:textId="77777777" w:rsidR="003151DD" w:rsidRPr="00686DCA" w:rsidRDefault="003151DD" w:rsidP="003151DD">
            <w:pPr>
              <w:widowControl w:val="0"/>
              <w:spacing w:line="240" w:lineRule="auto"/>
              <w:rPr>
                <w:rFonts w:eastAsia="Times New Roman"/>
                <w:sz w:val="22"/>
                <w:szCs w:val="22"/>
              </w:rPr>
            </w:pPr>
          </w:p>
          <w:p w14:paraId="11FE15EB" w14:textId="77777777" w:rsidR="003151DD" w:rsidRPr="00686DCA" w:rsidRDefault="003151DD" w:rsidP="003151DD">
            <w:pPr>
              <w:widowControl w:val="0"/>
              <w:spacing w:line="240" w:lineRule="auto"/>
              <w:rPr>
                <w:rFonts w:eastAsia="Times New Roman"/>
                <w:sz w:val="22"/>
                <w:szCs w:val="22"/>
              </w:rPr>
            </w:pPr>
          </w:p>
          <w:p w14:paraId="5B9B8028" w14:textId="77777777" w:rsidR="003151DD" w:rsidRPr="00686DCA" w:rsidRDefault="003151DD" w:rsidP="003151DD">
            <w:pPr>
              <w:widowControl w:val="0"/>
              <w:spacing w:line="240" w:lineRule="auto"/>
              <w:rPr>
                <w:rFonts w:eastAsia="Times New Roman"/>
                <w:sz w:val="22"/>
                <w:szCs w:val="22"/>
              </w:rPr>
            </w:pPr>
          </w:p>
          <w:p w14:paraId="779069AD" w14:textId="77777777" w:rsidR="003151DD" w:rsidRPr="00686DCA" w:rsidRDefault="003151DD" w:rsidP="003151DD">
            <w:pPr>
              <w:widowControl w:val="0"/>
              <w:spacing w:line="240" w:lineRule="auto"/>
              <w:rPr>
                <w:rFonts w:eastAsia="Times New Roman"/>
                <w:sz w:val="22"/>
                <w:szCs w:val="22"/>
              </w:rPr>
            </w:pPr>
          </w:p>
          <w:p w14:paraId="7A33084E" w14:textId="77777777" w:rsidR="003151DD" w:rsidRPr="00686DCA" w:rsidRDefault="003151DD" w:rsidP="003151DD">
            <w:pPr>
              <w:widowControl w:val="0"/>
              <w:spacing w:line="240" w:lineRule="auto"/>
              <w:rPr>
                <w:rFonts w:eastAsia="Times New Roman"/>
                <w:sz w:val="22"/>
                <w:szCs w:val="22"/>
              </w:rPr>
            </w:pPr>
            <w:r w:rsidRPr="00686DCA">
              <w:rPr>
                <w:rFonts w:eastAsia="Times New Roman"/>
                <w:sz w:val="22"/>
                <w:szCs w:val="22"/>
              </w:rPr>
              <w:t>Case No. 17-1264-EL-ATA</w:t>
            </w:r>
          </w:p>
          <w:p w14:paraId="12D29F49" w14:textId="77777777" w:rsidR="003151DD" w:rsidRPr="00686DCA" w:rsidRDefault="003151DD" w:rsidP="003151DD">
            <w:pPr>
              <w:widowControl w:val="0"/>
              <w:spacing w:line="240" w:lineRule="auto"/>
              <w:rPr>
                <w:rFonts w:eastAsia="Times New Roman"/>
                <w:sz w:val="22"/>
                <w:szCs w:val="22"/>
              </w:rPr>
            </w:pPr>
          </w:p>
          <w:p w14:paraId="35356C3E" w14:textId="77777777" w:rsidR="003151DD" w:rsidRPr="00686DCA" w:rsidRDefault="003151DD" w:rsidP="003151DD">
            <w:pPr>
              <w:widowControl w:val="0"/>
              <w:spacing w:line="240" w:lineRule="auto"/>
              <w:rPr>
                <w:rFonts w:eastAsia="Times New Roman"/>
                <w:sz w:val="22"/>
                <w:szCs w:val="22"/>
              </w:rPr>
            </w:pPr>
          </w:p>
          <w:p w14:paraId="5D864D41" w14:textId="77777777" w:rsidR="003151DD" w:rsidRPr="00686DCA" w:rsidRDefault="003151DD" w:rsidP="003151DD">
            <w:pPr>
              <w:widowControl w:val="0"/>
              <w:spacing w:line="240" w:lineRule="auto"/>
              <w:rPr>
                <w:rFonts w:eastAsia="Times New Roman"/>
                <w:sz w:val="22"/>
                <w:szCs w:val="22"/>
              </w:rPr>
            </w:pPr>
          </w:p>
          <w:p w14:paraId="044EA270" w14:textId="77777777" w:rsidR="003151DD" w:rsidRPr="00686DCA" w:rsidRDefault="003151DD" w:rsidP="003151DD">
            <w:pPr>
              <w:widowControl w:val="0"/>
              <w:spacing w:line="240" w:lineRule="auto"/>
              <w:rPr>
                <w:rFonts w:eastAsia="Times New Roman"/>
                <w:sz w:val="22"/>
                <w:szCs w:val="22"/>
              </w:rPr>
            </w:pPr>
          </w:p>
          <w:p w14:paraId="57BA64C6" w14:textId="77777777" w:rsidR="003151DD" w:rsidRPr="00686DCA" w:rsidRDefault="003151DD" w:rsidP="003151DD">
            <w:pPr>
              <w:widowControl w:val="0"/>
              <w:spacing w:line="240" w:lineRule="auto"/>
              <w:rPr>
                <w:rFonts w:eastAsia="Times New Roman"/>
                <w:sz w:val="22"/>
                <w:szCs w:val="22"/>
              </w:rPr>
            </w:pPr>
            <w:r w:rsidRPr="00686DCA">
              <w:rPr>
                <w:rFonts w:eastAsia="Times New Roman"/>
                <w:sz w:val="22"/>
                <w:szCs w:val="22"/>
              </w:rPr>
              <w:t>Case No. 17-1265-EL-AAM</w:t>
            </w:r>
          </w:p>
          <w:p w14:paraId="24B8E1B7" w14:textId="77777777" w:rsidR="003151DD" w:rsidRPr="00686DCA" w:rsidRDefault="003151DD" w:rsidP="003151DD">
            <w:pPr>
              <w:widowControl w:val="0"/>
              <w:spacing w:line="240" w:lineRule="auto"/>
              <w:rPr>
                <w:rFonts w:eastAsia="Times New Roman"/>
                <w:sz w:val="22"/>
                <w:szCs w:val="22"/>
              </w:rPr>
            </w:pPr>
          </w:p>
          <w:p w14:paraId="63B7DE87" w14:textId="77777777" w:rsidR="003151DD" w:rsidRPr="00686DCA" w:rsidRDefault="003151DD" w:rsidP="003151DD">
            <w:pPr>
              <w:widowControl w:val="0"/>
              <w:spacing w:line="240" w:lineRule="auto"/>
              <w:rPr>
                <w:rFonts w:eastAsia="Times New Roman"/>
                <w:sz w:val="22"/>
                <w:szCs w:val="22"/>
              </w:rPr>
            </w:pPr>
          </w:p>
          <w:p w14:paraId="1FE0D1F6" w14:textId="77777777" w:rsidR="003151DD" w:rsidRPr="00686DCA" w:rsidRDefault="003151DD" w:rsidP="003151DD">
            <w:pPr>
              <w:widowControl w:val="0"/>
              <w:spacing w:line="240" w:lineRule="auto"/>
              <w:rPr>
                <w:rFonts w:eastAsia="Times New Roman"/>
                <w:sz w:val="22"/>
                <w:szCs w:val="22"/>
              </w:rPr>
            </w:pPr>
          </w:p>
          <w:p w14:paraId="0EE399F2" w14:textId="77777777" w:rsidR="003151DD" w:rsidRPr="00686DCA" w:rsidRDefault="003151DD" w:rsidP="003151DD">
            <w:pPr>
              <w:widowControl w:val="0"/>
              <w:spacing w:line="240" w:lineRule="auto"/>
              <w:rPr>
                <w:rFonts w:eastAsia="Times New Roman"/>
                <w:sz w:val="22"/>
                <w:szCs w:val="22"/>
              </w:rPr>
            </w:pPr>
          </w:p>
          <w:p w14:paraId="4C9588A5" w14:textId="77777777" w:rsidR="003151DD" w:rsidRPr="00686DCA" w:rsidRDefault="003151DD" w:rsidP="003151DD">
            <w:pPr>
              <w:widowControl w:val="0"/>
              <w:spacing w:line="240" w:lineRule="auto"/>
              <w:rPr>
                <w:rFonts w:eastAsia="Times New Roman"/>
                <w:sz w:val="22"/>
                <w:szCs w:val="22"/>
              </w:rPr>
            </w:pPr>
            <w:r w:rsidRPr="00686DCA">
              <w:rPr>
                <w:rFonts w:eastAsia="Times New Roman"/>
                <w:sz w:val="22"/>
                <w:szCs w:val="22"/>
              </w:rPr>
              <w:t xml:space="preserve">Case No. 16-1602-EL-ESS  </w:t>
            </w:r>
          </w:p>
        </w:tc>
      </w:tr>
    </w:tbl>
    <w:p w14:paraId="08C0ECDC" w14:textId="77777777" w:rsidR="003151DD" w:rsidRPr="003151DD" w:rsidRDefault="003151DD" w:rsidP="003151DD">
      <w:pPr>
        <w:pBdr>
          <w:bottom w:val="single" w:sz="12" w:space="1" w:color="auto"/>
        </w:pBdr>
        <w:spacing w:line="240" w:lineRule="auto"/>
        <w:rPr>
          <w:rFonts w:eastAsia="Times New Roman"/>
        </w:rPr>
      </w:pPr>
    </w:p>
    <w:p w14:paraId="6C4B6F6A" w14:textId="77777777" w:rsidR="003151DD" w:rsidRPr="003151DD" w:rsidRDefault="003151DD" w:rsidP="003151DD">
      <w:pPr>
        <w:spacing w:line="240" w:lineRule="auto"/>
        <w:jc w:val="center"/>
        <w:rPr>
          <w:rFonts w:eastAsia="Times New Roman"/>
          <w:b/>
        </w:rPr>
      </w:pPr>
    </w:p>
    <w:p w14:paraId="24FE17E4" w14:textId="77777777" w:rsidR="003151DD" w:rsidRDefault="006D36EE" w:rsidP="003151DD">
      <w:pPr>
        <w:pBdr>
          <w:bottom w:val="single" w:sz="12" w:space="1" w:color="auto"/>
        </w:pBdr>
        <w:spacing w:line="240" w:lineRule="auto"/>
        <w:jc w:val="center"/>
        <w:rPr>
          <w:rFonts w:eastAsia="Times New Roman"/>
          <w:b/>
        </w:rPr>
      </w:pPr>
      <w:proofErr w:type="gramStart"/>
      <w:r>
        <w:rPr>
          <w:rFonts w:eastAsia="Times New Roman"/>
          <w:b/>
        </w:rPr>
        <w:t xml:space="preserve">REPLY </w:t>
      </w:r>
      <w:r w:rsidR="003151DD" w:rsidRPr="003151DD">
        <w:rPr>
          <w:rFonts w:eastAsia="Times New Roman"/>
          <w:b/>
        </w:rPr>
        <w:t xml:space="preserve"> BRIEF</w:t>
      </w:r>
      <w:proofErr w:type="gramEnd"/>
      <w:r w:rsidR="003151DD" w:rsidRPr="003151DD">
        <w:rPr>
          <w:rFonts w:eastAsia="Times New Roman"/>
          <w:b/>
        </w:rPr>
        <w:t xml:space="preserve"> OF INTERSTATE GAS SUPPLY, INC.</w:t>
      </w:r>
    </w:p>
    <w:p w14:paraId="42E74C56" w14:textId="77777777" w:rsidR="00C4586F" w:rsidRDefault="00C4586F" w:rsidP="003151DD">
      <w:pPr>
        <w:pBdr>
          <w:bottom w:val="single" w:sz="12" w:space="1" w:color="auto"/>
        </w:pBdr>
        <w:spacing w:line="240" w:lineRule="auto"/>
        <w:jc w:val="center"/>
        <w:rPr>
          <w:rFonts w:eastAsia="Times New Roman"/>
          <w:b/>
        </w:rPr>
      </w:pPr>
    </w:p>
    <w:p w14:paraId="3E685629" w14:textId="77777777" w:rsidR="003151DD" w:rsidRDefault="003151DD" w:rsidP="003151DD">
      <w:pPr>
        <w:rPr>
          <w:rFonts w:eastAsia="Times New Roman"/>
        </w:rPr>
      </w:pPr>
    </w:p>
    <w:p w14:paraId="43BE3158" w14:textId="77777777" w:rsidR="00062BD8" w:rsidRDefault="00062BD8" w:rsidP="00062BD8">
      <w:pPr>
        <w:widowControl w:val="0"/>
        <w:spacing w:line="240" w:lineRule="auto"/>
        <w:jc w:val="center"/>
        <w:rPr>
          <w:b/>
          <w:bCs/>
          <w:u w:val="single"/>
        </w:rPr>
      </w:pPr>
      <w:bookmarkStart w:id="0" w:name="_Hlk524355073"/>
      <w:r w:rsidRPr="00EC2ABB">
        <w:rPr>
          <w:b/>
          <w:bCs/>
          <w:u w:val="single"/>
        </w:rPr>
        <w:t>TABLE OF CONTENTS</w:t>
      </w:r>
    </w:p>
    <w:p w14:paraId="7277DDA0" w14:textId="77777777" w:rsidR="00062BD8" w:rsidRPr="00AE7A34" w:rsidRDefault="00062BD8" w:rsidP="00062BD8">
      <w:pPr>
        <w:widowControl w:val="0"/>
        <w:spacing w:line="240" w:lineRule="auto"/>
        <w:jc w:val="center"/>
        <w:rPr>
          <w:b/>
          <w:bCs/>
          <w:u w:val="single"/>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u w:val="single"/>
        </w:rPr>
        <w:t>PAGE</w:t>
      </w:r>
    </w:p>
    <w:p w14:paraId="7B7E2919" w14:textId="77777777" w:rsidR="00062BD8" w:rsidRDefault="00062BD8" w:rsidP="00062BD8">
      <w:pPr>
        <w:pStyle w:val="Level1"/>
        <w:rPr>
          <w:webHidden/>
        </w:rPr>
      </w:pPr>
    </w:p>
    <w:p w14:paraId="31FBAC87" w14:textId="0537A69D" w:rsidR="00062BD8" w:rsidRPr="00AE7A34" w:rsidRDefault="00062BD8" w:rsidP="006844AA">
      <w:pPr>
        <w:pStyle w:val="Level1"/>
        <w:numPr>
          <w:ilvl w:val="0"/>
          <w:numId w:val="20"/>
        </w:numPr>
        <w:tabs>
          <w:tab w:val="clear" w:pos="8630"/>
          <w:tab w:val="right" w:leader="dot" w:pos="8910"/>
        </w:tabs>
        <w:ind w:left="720" w:hanging="360"/>
        <w:rPr>
          <w:rFonts w:ascii="Arial" w:hAnsi="Arial" w:cs="Arial"/>
        </w:rPr>
      </w:pPr>
      <w:r w:rsidRPr="00AE7A34">
        <w:rPr>
          <w:rFonts w:ascii="Arial" w:hAnsi="Arial" w:cs="Arial"/>
          <w:webHidden/>
        </w:rPr>
        <w:t xml:space="preserve">introduction </w:t>
      </w:r>
      <w:r w:rsidRPr="00AE7A34">
        <w:rPr>
          <w:rFonts w:ascii="Arial" w:hAnsi="Arial" w:cs="Arial"/>
          <w:webHidden/>
        </w:rPr>
        <w:tab/>
      </w:r>
      <w:r w:rsidR="001B348F">
        <w:rPr>
          <w:rFonts w:ascii="Arial" w:hAnsi="Arial" w:cs="Arial"/>
          <w:webHidden/>
        </w:rPr>
        <w:t>…………………….</w:t>
      </w:r>
      <w:r w:rsidR="006844AA">
        <w:rPr>
          <w:rFonts w:ascii="Arial" w:hAnsi="Arial" w:cs="Arial"/>
          <w:webHidden/>
        </w:rPr>
        <w:t>....</w:t>
      </w:r>
      <w:r w:rsidR="001C3B24">
        <w:rPr>
          <w:rFonts w:ascii="Arial" w:hAnsi="Arial" w:cs="Arial"/>
          <w:webHidden/>
        </w:rPr>
        <w:t>.</w:t>
      </w:r>
      <w:r>
        <w:rPr>
          <w:rFonts w:ascii="Arial" w:hAnsi="Arial" w:cs="Arial"/>
          <w:webHidden/>
        </w:rPr>
        <w:t>3</w:t>
      </w:r>
    </w:p>
    <w:p w14:paraId="073AA66B" w14:textId="7621415F" w:rsidR="00062BD8" w:rsidRDefault="00062BD8" w:rsidP="001C3B24">
      <w:pPr>
        <w:pStyle w:val="Level1"/>
        <w:numPr>
          <w:ilvl w:val="0"/>
          <w:numId w:val="20"/>
        </w:numPr>
        <w:tabs>
          <w:tab w:val="clear" w:pos="8630"/>
          <w:tab w:val="right" w:leader="dot" w:pos="8910"/>
        </w:tabs>
        <w:ind w:left="720" w:hanging="360"/>
        <w:rPr>
          <w:rFonts w:ascii="Arial" w:hAnsi="Arial" w:cs="Arial"/>
          <w:webHidden/>
        </w:rPr>
      </w:pPr>
      <w:r>
        <w:rPr>
          <w:rFonts w:ascii="Arial" w:hAnsi="Arial" w:cs="Arial"/>
          <w:webHidden/>
        </w:rPr>
        <w:t>ARGUMENT</w:t>
      </w:r>
      <w:r w:rsidRPr="00191EF0">
        <w:rPr>
          <w:rFonts w:ascii="Arial" w:hAnsi="Arial" w:cs="Arial"/>
          <w:webHidden/>
        </w:rPr>
        <w:tab/>
      </w:r>
      <w:r w:rsidR="001B348F">
        <w:rPr>
          <w:rFonts w:ascii="Arial" w:hAnsi="Arial" w:cs="Arial"/>
          <w:webHidden/>
        </w:rPr>
        <w:t>…</w:t>
      </w:r>
      <w:proofErr w:type="gramStart"/>
      <w:r w:rsidR="001B348F">
        <w:rPr>
          <w:rFonts w:ascii="Arial" w:hAnsi="Arial" w:cs="Arial"/>
          <w:webHidden/>
        </w:rPr>
        <w:t>…..</w:t>
      </w:r>
      <w:proofErr w:type="gramEnd"/>
      <w:r w:rsidR="001C3B24">
        <w:rPr>
          <w:rFonts w:ascii="Arial" w:hAnsi="Arial" w:cs="Arial"/>
          <w:webHidden/>
        </w:rPr>
        <w:t xml:space="preserve">…. </w:t>
      </w:r>
      <w:r w:rsidR="004F3002">
        <w:rPr>
          <w:rFonts w:ascii="Arial" w:hAnsi="Arial" w:cs="Arial"/>
          <w:webHidden/>
        </w:rPr>
        <w:t>3</w:t>
      </w:r>
    </w:p>
    <w:p w14:paraId="7B56FFA5" w14:textId="77777777" w:rsidR="004F3002" w:rsidRDefault="004F3002" w:rsidP="004F3002">
      <w:pPr>
        <w:pStyle w:val="ListParagraph"/>
        <w:numPr>
          <w:ilvl w:val="1"/>
          <w:numId w:val="20"/>
        </w:numPr>
        <w:spacing w:line="240" w:lineRule="auto"/>
        <w:ind w:left="1080"/>
        <w:rPr>
          <w:rFonts w:eastAsia="Times New Roman"/>
          <w:b/>
          <w:bCs/>
          <w:caps/>
          <w:sz w:val="20"/>
          <w:szCs w:val="20"/>
        </w:rPr>
      </w:pPr>
      <w:r w:rsidRPr="004F3002">
        <w:rPr>
          <w:rFonts w:eastAsia="Times New Roman"/>
          <w:b/>
          <w:bCs/>
          <w:caps/>
          <w:sz w:val="20"/>
          <w:szCs w:val="20"/>
        </w:rPr>
        <w:t xml:space="preserve">Recovering SSO-related costs through distribution rates </w:t>
      </w:r>
    </w:p>
    <w:p w14:paraId="3705D23F" w14:textId="77777777" w:rsidR="004F3002" w:rsidRDefault="004F3002" w:rsidP="004F3002">
      <w:pPr>
        <w:pStyle w:val="ListParagraph"/>
        <w:spacing w:line="240" w:lineRule="auto"/>
        <w:ind w:left="1440" w:hanging="360"/>
        <w:rPr>
          <w:rFonts w:eastAsia="Times New Roman"/>
          <w:b/>
          <w:bCs/>
          <w:caps/>
          <w:sz w:val="20"/>
          <w:szCs w:val="20"/>
        </w:rPr>
      </w:pPr>
      <w:r w:rsidRPr="004F3002">
        <w:rPr>
          <w:rFonts w:eastAsia="Times New Roman"/>
          <w:b/>
          <w:bCs/>
          <w:caps/>
          <w:sz w:val="20"/>
          <w:szCs w:val="20"/>
        </w:rPr>
        <w:t>would be unlawful, unreasonable, and discriminate</w:t>
      </w:r>
    </w:p>
    <w:p w14:paraId="700F02ED" w14:textId="4C435B10" w:rsidR="00062BD8" w:rsidRDefault="004F3002" w:rsidP="004F3002">
      <w:pPr>
        <w:spacing w:line="240" w:lineRule="auto"/>
        <w:ind w:firstLine="720"/>
        <w:rPr>
          <w:rFonts w:eastAsia="Times New Roman"/>
          <w:b/>
          <w:bCs/>
          <w:caps/>
          <w:sz w:val="20"/>
          <w:szCs w:val="20"/>
        </w:rPr>
      </w:pPr>
      <w:r w:rsidRPr="004F3002">
        <w:rPr>
          <w:rFonts w:eastAsia="Times New Roman"/>
          <w:b/>
          <w:bCs/>
          <w:caps/>
          <w:sz w:val="20"/>
          <w:szCs w:val="20"/>
        </w:rPr>
        <w:t xml:space="preserve"> </w:t>
      </w:r>
      <w:r>
        <w:rPr>
          <w:rFonts w:eastAsia="Times New Roman"/>
          <w:b/>
          <w:bCs/>
          <w:caps/>
          <w:sz w:val="20"/>
          <w:szCs w:val="20"/>
        </w:rPr>
        <w:t xml:space="preserve">      </w:t>
      </w:r>
      <w:r w:rsidRPr="004F3002">
        <w:rPr>
          <w:rFonts w:eastAsia="Times New Roman"/>
          <w:b/>
          <w:bCs/>
          <w:caps/>
          <w:sz w:val="20"/>
          <w:szCs w:val="20"/>
        </w:rPr>
        <w:t>against shopping customers</w:t>
      </w:r>
      <w:r>
        <w:rPr>
          <w:rFonts w:eastAsia="Times New Roman"/>
          <w:b/>
          <w:bCs/>
          <w:caps/>
          <w:sz w:val="20"/>
          <w:szCs w:val="20"/>
        </w:rPr>
        <w:t>…………………………………………………</w:t>
      </w:r>
      <w:proofErr w:type="gramStart"/>
      <w:r>
        <w:rPr>
          <w:rFonts w:eastAsia="Times New Roman"/>
          <w:b/>
          <w:bCs/>
          <w:caps/>
          <w:sz w:val="20"/>
          <w:szCs w:val="20"/>
        </w:rPr>
        <w:t>…</w:t>
      </w:r>
      <w:r w:rsidR="001B348F">
        <w:rPr>
          <w:rFonts w:eastAsia="Times New Roman"/>
          <w:b/>
          <w:bCs/>
          <w:caps/>
          <w:sz w:val="20"/>
          <w:szCs w:val="20"/>
        </w:rPr>
        <w:t>.</w:t>
      </w:r>
      <w:r w:rsidR="001C3B24">
        <w:rPr>
          <w:rFonts w:eastAsia="Times New Roman"/>
          <w:b/>
          <w:bCs/>
          <w:caps/>
          <w:sz w:val="20"/>
          <w:szCs w:val="20"/>
        </w:rPr>
        <w:t>….</w:t>
      </w:r>
      <w:r>
        <w:rPr>
          <w:rFonts w:eastAsia="Times New Roman"/>
          <w:b/>
          <w:bCs/>
          <w:caps/>
          <w:sz w:val="20"/>
          <w:szCs w:val="20"/>
        </w:rPr>
        <w:t>.</w:t>
      </w:r>
      <w:proofErr w:type="gramEnd"/>
      <w:r>
        <w:rPr>
          <w:rFonts w:eastAsia="Times New Roman"/>
          <w:b/>
          <w:bCs/>
          <w:caps/>
          <w:sz w:val="20"/>
          <w:szCs w:val="20"/>
        </w:rPr>
        <w:t>3</w:t>
      </w:r>
    </w:p>
    <w:p w14:paraId="507E785A" w14:textId="77777777" w:rsidR="006844AA" w:rsidRPr="004F3002" w:rsidRDefault="006844AA" w:rsidP="004F3002">
      <w:pPr>
        <w:spacing w:line="240" w:lineRule="auto"/>
        <w:ind w:firstLine="720"/>
        <w:rPr>
          <w:rFonts w:eastAsia="Times New Roman"/>
          <w:b/>
          <w:bCs/>
          <w:caps/>
          <w:webHidden/>
          <w:sz w:val="20"/>
          <w:szCs w:val="20"/>
        </w:rPr>
      </w:pPr>
    </w:p>
    <w:p w14:paraId="5E8C2CA6" w14:textId="3152A138" w:rsidR="004F3002" w:rsidRDefault="004F3002" w:rsidP="004F3002">
      <w:pPr>
        <w:pStyle w:val="ListParagraph"/>
        <w:numPr>
          <w:ilvl w:val="0"/>
          <w:numId w:val="31"/>
        </w:numPr>
        <w:spacing w:line="240" w:lineRule="auto"/>
        <w:contextualSpacing w:val="0"/>
        <w:rPr>
          <w:rFonts w:eastAsia="Times New Roman"/>
          <w:b/>
          <w:bCs/>
          <w:caps/>
          <w:sz w:val="20"/>
          <w:szCs w:val="20"/>
        </w:rPr>
      </w:pPr>
      <w:r w:rsidRPr="004F3002">
        <w:rPr>
          <w:rFonts w:eastAsia="Times New Roman"/>
          <w:b/>
          <w:bCs/>
          <w:caps/>
          <w:sz w:val="20"/>
          <w:szCs w:val="20"/>
        </w:rPr>
        <w:t>Ohio law is procompetitive and it is</w:t>
      </w:r>
      <w:r w:rsidR="00DA5A12">
        <w:rPr>
          <w:rFonts w:eastAsia="Times New Roman"/>
          <w:b/>
          <w:bCs/>
          <w:caps/>
          <w:sz w:val="20"/>
          <w:szCs w:val="20"/>
        </w:rPr>
        <w:t xml:space="preserve"> </w:t>
      </w:r>
      <w:r w:rsidRPr="004F3002">
        <w:rPr>
          <w:rFonts w:eastAsia="Times New Roman"/>
          <w:b/>
          <w:bCs/>
          <w:caps/>
          <w:sz w:val="20"/>
          <w:szCs w:val="20"/>
        </w:rPr>
        <w:t xml:space="preserve">uncontroverted </w:t>
      </w:r>
    </w:p>
    <w:p w14:paraId="525DC0C0" w14:textId="1FDB0291" w:rsidR="004F3002" w:rsidRDefault="004F3002" w:rsidP="004F3002">
      <w:pPr>
        <w:spacing w:line="240" w:lineRule="auto"/>
        <w:ind w:left="810" w:firstLine="720"/>
        <w:rPr>
          <w:rFonts w:eastAsia="Times New Roman"/>
          <w:b/>
          <w:bCs/>
          <w:caps/>
          <w:sz w:val="20"/>
          <w:szCs w:val="20"/>
        </w:rPr>
      </w:pPr>
      <w:r>
        <w:rPr>
          <w:rFonts w:eastAsia="Times New Roman"/>
          <w:b/>
          <w:bCs/>
          <w:caps/>
          <w:sz w:val="20"/>
          <w:szCs w:val="20"/>
        </w:rPr>
        <w:t xml:space="preserve">       </w:t>
      </w:r>
      <w:r w:rsidRPr="004F3002">
        <w:rPr>
          <w:rFonts w:eastAsia="Times New Roman"/>
          <w:b/>
          <w:bCs/>
          <w:caps/>
          <w:sz w:val="20"/>
          <w:szCs w:val="20"/>
        </w:rPr>
        <w:t xml:space="preserve">that the Stipulation would permit </w:t>
      </w:r>
      <w:r>
        <w:rPr>
          <w:rFonts w:eastAsia="Times New Roman"/>
          <w:b/>
          <w:bCs/>
          <w:caps/>
          <w:sz w:val="20"/>
          <w:szCs w:val="20"/>
        </w:rPr>
        <w:t xml:space="preserve">recovery of </w:t>
      </w:r>
    </w:p>
    <w:p w14:paraId="0AF036D0" w14:textId="7890518C" w:rsidR="00062BD8" w:rsidRDefault="004F3002" w:rsidP="004F3002">
      <w:pPr>
        <w:spacing w:line="240" w:lineRule="auto"/>
        <w:ind w:left="1980"/>
        <w:rPr>
          <w:webHidden/>
        </w:rPr>
      </w:pPr>
      <w:r w:rsidRPr="004F3002">
        <w:rPr>
          <w:rFonts w:eastAsia="Times New Roman"/>
          <w:b/>
          <w:bCs/>
          <w:caps/>
          <w:sz w:val="20"/>
          <w:szCs w:val="20"/>
        </w:rPr>
        <w:t xml:space="preserve">SSO-related </w:t>
      </w:r>
      <w:r>
        <w:rPr>
          <w:rFonts w:eastAsia="Times New Roman"/>
          <w:b/>
          <w:bCs/>
          <w:caps/>
          <w:sz w:val="20"/>
          <w:szCs w:val="20"/>
        </w:rPr>
        <w:t>costs through distribution rates…………</w:t>
      </w:r>
      <w:proofErr w:type="gramStart"/>
      <w:r w:rsidR="001C3B24">
        <w:rPr>
          <w:rFonts w:eastAsia="Times New Roman"/>
          <w:b/>
          <w:bCs/>
          <w:caps/>
          <w:sz w:val="20"/>
          <w:szCs w:val="20"/>
        </w:rPr>
        <w:t>…</w:t>
      </w:r>
      <w:r w:rsidR="001B348F">
        <w:rPr>
          <w:rFonts w:eastAsia="Times New Roman"/>
          <w:b/>
          <w:bCs/>
          <w:caps/>
          <w:sz w:val="20"/>
          <w:szCs w:val="20"/>
        </w:rPr>
        <w:t>.</w:t>
      </w:r>
      <w:r w:rsidR="001C3B24">
        <w:rPr>
          <w:rFonts w:eastAsia="Times New Roman"/>
          <w:b/>
          <w:bCs/>
          <w:caps/>
          <w:sz w:val="20"/>
          <w:szCs w:val="20"/>
        </w:rPr>
        <w:t>.</w:t>
      </w:r>
      <w:proofErr w:type="gramEnd"/>
      <w:r>
        <w:rPr>
          <w:rFonts w:eastAsia="Times New Roman"/>
          <w:b/>
          <w:bCs/>
          <w:caps/>
          <w:sz w:val="20"/>
          <w:szCs w:val="20"/>
        </w:rPr>
        <w:t>…..3</w:t>
      </w:r>
      <w:r w:rsidR="00062BD8" w:rsidRPr="00191EF0">
        <w:rPr>
          <w:webHidden/>
        </w:rPr>
        <w:tab/>
      </w:r>
    </w:p>
    <w:p w14:paraId="21DBF8B9" w14:textId="77777777" w:rsidR="004F3002" w:rsidRPr="004F3002" w:rsidRDefault="004F3002" w:rsidP="004F3002">
      <w:pPr>
        <w:spacing w:line="240" w:lineRule="auto"/>
        <w:ind w:left="1980"/>
        <w:rPr>
          <w:rFonts w:eastAsia="Times New Roman"/>
          <w:b/>
          <w:bCs/>
          <w:caps/>
          <w:webHidden/>
          <w:sz w:val="20"/>
          <w:szCs w:val="20"/>
        </w:rPr>
      </w:pPr>
    </w:p>
    <w:p w14:paraId="5778B0B8" w14:textId="2591BFF9" w:rsidR="00062BD8" w:rsidRPr="001B348F" w:rsidRDefault="001B348F" w:rsidP="001B348F">
      <w:pPr>
        <w:pStyle w:val="Level1"/>
        <w:numPr>
          <w:ilvl w:val="0"/>
          <w:numId w:val="31"/>
        </w:numPr>
        <w:spacing w:before="0" w:after="0"/>
        <w:ind w:left="1886"/>
        <w:rPr>
          <w:rFonts w:ascii="Arial" w:hAnsi="Arial" w:cs="Arial"/>
        </w:rPr>
      </w:pPr>
      <w:r>
        <w:rPr>
          <w:rFonts w:ascii="Arial" w:hAnsi="Arial" w:cs="Arial"/>
        </w:rPr>
        <w:t xml:space="preserve">It is unlawful </w:t>
      </w:r>
      <w:r w:rsidR="004F3002" w:rsidRPr="004F3002">
        <w:rPr>
          <w:rFonts w:ascii="Arial" w:hAnsi="Arial" w:cs="Arial"/>
        </w:rPr>
        <w:t xml:space="preserve">to subsidize the SSO and require </w:t>
      </w:r>
      <w:r>
        <w:rPr>
          <w:rFonts w:ascii="Arial" w:hAnsi="Arial" w:cs="Arial"/>
        </w:rPr>
        <w:t xml:space="preserve">shopping </w:t>
      </w:r>
      <w:r w:rsidR="004F3002" w:rsidRPr="001B348F">
        <w:rPr>
          <w:rFonts w:ascii="Arial" w:hAnsi="Arial" w:cs="Arial"/>
        </w:rPr>
        <w:t>customers to pay twice for competitive retail electric service…………………………………………………………</w:t>
      </w:r>
      <w:r>
        <w:rPr>
          <w:rFonts w:ascii="Arial" w:hAnsi="Arial" w:cs="Arial"/>
        </w:rPr>
        <w:t>………………</w:t>
      </w:r>
      <w:proofErr w:type="gramStart"/>
      <w:r w:rsidR="001C3B24" w:rsidRPr="001B348F">
        <w:rPr>
          <w:rFonts w:ascii="Arial" w:hAnsi="Arial" w:cs="Arial"/>
        </w:rPr>
        <w:t>….</w:t>
      </w:r>
      <w:r w:rsidR="004F3002" w:rsidRPr="001B348F">
        <w:rPr>
          <w:rFonts w:ascii="Arial" w:hAnsi="Arial" w:cs="Arial"/>
        </w:rPr>
        <w:t>…..</w:t>
      </w:r>
      <w:proofErr w:type="gramEnd"/>
      <w:r w:rsidR="004F3002" w:rsidRPr="001B348F">
        <w:rPr>
          <w:rFonts w:ascii="Arial" w:hAnsi="Arial" w:cs="Arial"/>
        </w:rPr>
        <w:t>5</w:t>
      </w:r>
    </w:p>
    <w:p w14:paraId="6810CB58" w14:textId="77777777" w:rsidR="004F3002" w:rsidRDefault="004F3002" w:rsidP="004F3002">
      <w:pPr>
        <w:pStyle w:val="Level1"/>
        <w:spacing w:before="0" w:after="0"/>
        <w:rPr>
          <w:rFonts w:ascii="Arial" w:hAnsi="Arial" w:cs="Arial"/>
          <w:webHidden/>
        </w:rPr>
      </w:pPr>
    </w:p>
    <w:p w14:paraId="4C2055DD" w14:textId="588DA7C2" w:rsidR="00B67D50" w:rsidRPr="004F3002" w:rsidRDefault="004F3002" w:rsidP="004F3002">
      <w:pPr>
        <w:pStyle w:val="ListParagraph"/>
        <w:numPr>
          <w:ilvl w:val="0"/>
          <w:numId w:val="32"/>
        </w:numPr>
        <w:ind w:firstLine="0"/>
        <w:rPr>
          <w:rFonts w:eastAsia="Times New Roman"/>
          <w:b/>
          <w:bCs/>
          <w:caps/>
          <w:webHidden/>
          <w:sz w:val="20"/>
          <w:szCs w:val="20"/>
        </w:rPr>
      </w:pPr>
      <w:r w:rsidRPr="004F3002">
        <w:rPr>
          <w:rFonts w:eastAsia="Times New Roman"/>
          <w:b/>
          <w:bCs/>
          <w:caps/>
          <w:sz w:val="20"/>
          <w:szCs w:val="20"/>
        </w:rPr>
        <w:t xml:space="preserve">The Commission should eliminate </w:t>
      </w:r>
      <w:r>
        <w:rPr>
          <w:rFonts w:eastAsia="Times New Roman"/>
          <w:b/>
          <w:bCs/>
          <w:caps/>
          <w:sz w:val="20"/>
          <w:szCs w:val="20"/>
        </w:rPr>
        <w:t>CRES fees………………………….</w:t>
      </w:r>
      <w:r w:rsidR="001C3B24">
        <w:rPr>
          <w:rFonts w:eastAsia="Times New Roman"/>
          <w:b/>
          <w:bCs/>
          <w:caps/>
          <w:sz w:val="20"/>
          <w:szCs w:val="20"/>
        </w:rPr>
        <w:t>....</w:t>
      </w:r>
      <w:r>
        <w:rPr>
          <w:rFonts w:eastAsia="Times New Roman"/>
          <w:b/>
          <w:bCs/>
          <w:caps/>
          <w:sz w:val="20"/>
          <w:szCs w:val="20"/>
        </w:rPr>
        <w:t>..10</w:t>
      </w:r>
    </w:p>
    <w:p w14:paraId="3E079F7B" w14:textId="2020BB58" w:rsidR="004F3002" w:rsidRDefault="004F3002" w:rsidP="004F3002">
      <w:pPr>
        <w:pStyle w:val="ListParagraph"/>
        <w:numPr>
          <w:ilvl w:val="0"/>
          <w:numId w:val="32"/>
        </w:numPr>
        <w:ind w:firstLine="0"/>
        <w:rPr>
          <w:rFonts w:eastAsia="Times New Roman"/>
          <w:b/>
          <w:bCs/>
          <w:caps/>
          <w:webHidden/>
          <w:sz w:val="20"/>
          <w:szCs w:val="20"/>
        </w:rPr>
      </w:pPr>
      <w:r>
        <w:rPr>
          <w:rFonts w:eastAsia="Times New Roman"/>
          <w:b/>
          <w:bCs/>
          <w:caps/>
          <w:webHidden/>
          <w:sz w:val="20"/>
          <w:szCs w:val="20"/>
        </w:rPr>
        <w:t>THE PSR IS UNLAWFUL AND UNREASONABLE</w:t>
      </w:r>
      <w:r w:rsidR="001C3B24">
        <w:rPr>
          <w:rFonts w:eastAsia="Times New Roman"/>
          <w:b/>
          <w:bCs/>
          <w:caps/>
          <w:webHidden/>
          <w:sz w:val="20"/>
          <w:szCs w:val="20"/>
        </w:rPr>
        <w:t>…………………………………….12</w:t>
      </w:r>
    </w:p>
    <w:p w14:paraId="15AE8AE8" w14:textId="222B8794" w:rsidR="004F3002" w:rsidRDefault="004F3002" w:rsidP="004F3002">
      <w:pPr>
        <w:pStyle w:val="ListParagraph"/>
        <w:numPr>
          <w:ilvl w:val="0"/>
          <w:numId w:val="33"/>
        </w:numPr>
        <w:spacing w:line="240" w:lineRule="auto"/>
        <w:ind w:hanging="180"/>
        <w:rPr>
          <w:rFonts w:eastAsia="Times New Roman"/>
          <w:b/>
          <w:bCs/>
          <w:caps/>
          <w:webHidden/>
          <w:sz w:val="20"/>
          <w:szCs w:val="20"/>
        </w:rPr>
      </w:pPr>
      <w:r>
        <w:rPr>
          <w:rFonts w:eastAsia="Times New Roman"/>
          <w:b/>
          <w:bCs/>
          <w:caps/>
          <w:webHidden/>
          <w:sz w:val="20"/>
          <w:szCs w:val="20"/>
        </w:rPr>
        <w:t xml:space="preserve"> hISTORY IS NOT ON DUKE’S SIDE</w:t>
      </w:r>
      <w:r w:rsidR="001C3B24">
        <w:rPr>
          <w:rFonts w:eastAsia="Times New Roman"/>
          <w:b/>
          <w:bCs/>
          <w:caps/>
          <w:webHidden/>
          <w:sz w:val="20"/>
          <w:szCs w:val="20"/>
        </w:rPr>
        <w:t>……………………………………………</w:t>
      </w:r>
      <w:proofErr w:type="gramStart"/>
      <w:r w:rsidR="001C3B24">
        <w:rPr>
          <w:rFonts w:eastAsia="Times New Roman"/>
          <w:b/>
          <w:bCs/>
          <w:caps/>
          <w:webHidden/>
          <w:sz w:val="20"/>
          <w:szCs w:val="20"/>
        </w:rPr>
        <w:t>…..</w:t>
      </w:r>
      <w:proofErr w:type="gramEnd"/>
      <w:r w:rsidR="001C3B24">
        <w:rPr>
          <w:rFonts w:eastAsia="Times New Roman"/>
          <w:b/>
          <w:bCs/>
          <w:caps/>
          <w:webHidden/>
          <w:sz w:val="20"/>
          <w:szCs w:val="20"/>
        </w:rPr>
        <w:t>12</w:t>
      </w:r>
    </w:p>
    <w:p w14:paraId="23BE4FC8" w14:textId="77777777" w:rsidR="004F3002" w:rsidRDefault="004F3002" w:rsidP="004F3002">
      <w:pPr>
        <w:pStyle w:val="ListParagraph"/>
        <w:spacing w:line="240" w:lineRule="auto"/>
        <w:ind w:left="1800"/>
        <w:rPr>
          <w:rFonts w:eastAsia="Times New Roman"/>
          <w:b/>
          <w:bCs/>
          <w:caps/>
          <w:webHidden/>
          <w:sz w:val="20"/>
          <w:szCs w:val="20"/>
        </w:rPr>
      </w:pPr>
    </w:p>
    <w:p w14:paraId="1ED2B81F" w14:textId="0264E52E" w:rsidR="004F3002" w:rsidRDefault="004F3002" w:rsidP="004F3002">
      <w:pPr>
        <w:pStyle w:val="ListParagraph"/>
        <w:numPr>
          <w:ilvl w:val="0"/>
          <w:numId w:val="33"/>
        </w:numPr>
        <w:spacing w:line="240" w:lineRule="auto"/>
        <w:ind w:hanging="180"/>
        <w:rPr>
          <w:rFonts w:eastAsia="Times New Roman"/>
          <w:b/>
          <w:bCs/>
          <w:caps/>
          <w:webHidden/>
          <w:sz w:val="20"/>
          <w:szCs w:val="20"/>
        </w:rPr>
      </w:pPr>
      <w:r>
        <w:rPr>
          <w:rFonts w:eastAsia="Times New Roman"/>
          <w:b/>
          <w:bCs/>
          <w:caps/>
          <w:webHidden/>
          <w:sz w:val="20"/>
          <w:szCs w:val="20"/>
        </w:rPr>
        <w:t>THE PSR IS NOT A HEDGE</w:t>
      </w:r>
      <w:r w:rsidR="001C3B24">
        <w:rPr>
          <w:rFonts w:eastAsia="Times New Roman"/>
          <w:b/>
          <w:bCs/>
          <w:caps/>
          <w:webHidden/>
          <w:sz w:val="20"/>
          <w:szCs w:val="20"/>
        </w:rPr>
        <w:t>………………………………………………………</w:t>
      </w:r>
      <w:proofErr w:type="gramStart"/>
      <w:r w:rsidR="001C3B24">
        <w:rPr>
          <w:rFonts w:eastAsia="Times New Roman"/>
          <w:b/>
          <w:bCs/>
          <w:caps/>
          <w:webHidden/>
          <w:sz w:val="20"/>
          <w:szCs w:val="20"/>
        </w:rPr>
        <w:t>…..</w:t>
      </w:r>
      <w:proofErr w:type="gramEnd"/>
      <w:r w:rsidR="001C3B24">
        <w:rPr>
          <w:rFonts w:eastAsia="Times New Roman"/>
          <w:b/>
          <w:bCs/>
          <w:caps/>
          <w:webHidden/>
          <w:sz w:val="20"/>
          <w:szCs w:val="20"/>
        </w:rPr>
        <w:t>1</w:t>
      </w:r>
      <w:r w:rsidR="002F377A">
        <w:rPr>
          <w:rFonts w:eastAsia="Times New Roman"/>
          <w:b/>
          <w:bCs/>
          <w:caps/>
          <w:webHidden/>
          <w:sz w:val="20"/>
          <w:szCs w:val="20"/>
        </w:rPr>
        <w:t>5</w:t>
      </w:r>
    </w:p>
    <w:p w14:paraId="015789EC" w14:textId="229CB753" w:rsidR="004F3002" w:rsidRPr="004F3002" w:rsidRDefault="004F3002" w:rsidP="004F3002">
      <w:pPr>
        <w:spacing w:line="240" w:lineRule="auto"/>
        <w:rPr>
          <w:rFonts w:eastAsia="Times New Roman"/>
          <w:b/>
          <w:bCs/>
          <w:caps/>
          <w:webHidden/>
          <w:sz w:val="20"/>
          <w:szCs w:val="20"/>
        </w:rPr>
      </w:pPr>
    </w:p>
    <w:p w14:paraId="1F1C1A04" w14:textId="5A46D63C" w:rsidR="004F3002" w:rsidRDefault="004F3002" w:rsidP="004F3002">
      <w:pPr>
        <w:pStyle w:val="ListParagraph"/>
        <w:numPr>
          <w:ilvl w:val="0"/>
          <w:numId w:val="33"/>
        </w:numPr>
        <w:spacing w:line="240" w:lineRule="auto"/>
        <w:ind w:hanging="180"/>
        <w:rPr>
          <w:rFonts w:eastAsia="Times New Roman"/>
          <w:b/>
          <w:bCs/>
          <w:caps/>
          <w:webHidden/>
          <w:sz w:val="20"/>
          <w:szCs w:val="20"/>
        </w:rPr>
      </w:pPr>
      <w:r>
        <w:rPr>
          <w:rFonts w:eastAsia="Times New Roman"/>
          <w:b/>
          <w:bCs/>
          <w:caps/>
          <w:webHidden/>
          <w:sz w:val="20"/>
          <w:szCs w:val="20"/>
        </w:rPr>
        <w:t xml:space="preserve"> DUKE’S PLEA FOR CREDIT SUPPORT IS FURTHER EVIDENCE THE </w:t>
      </w:r>
    </w:p>
    <w:p w14:paraId="6A95ACDD" w14:textId="2E2620AC" w:rsidR="004F3002" w:rsidRDefault="004F3002" w:rsidP="004F3002">
      <w:pPr>
        <w:pStyle w:val="ListParagraph"/>
        <w:spacing w:line="240" w:lineRule="auto"/>
        <w:ind w:left="1800"/>
        <w:rPr>
          <w:rFonts w:eastAsia="Times New Roman"/>
          <w:b/>
          <w:bCs/>
          <w:caps/>
          <w:webHidden/>
          <w:sz w:val="20"/>
          <w:szCs w:val="20"/>
        </w:rPr>
      </w:pPr>
      <w:r>
        <w:rPr>
          <w:rFonts w:eastAsia="Times New Roman"/>
          <w:b/>
          <w:bCs/>
          <w:caps/>
          <w:webHidden/>
          <w:sz w:val="20"/>
          <w:szCs w:val="20"/>
        </w:rPr>
        <w:t>psr IS A TRANSITION CHARGE</w:t>
      </w:r>
      <w:r w:rsidR="001C3B24">
        <w:rPr>
          <w:rFonts w:eastAsia="Times New Roman"/>
          <w:b/>
          <w:bCs/>
          <w:caps/>
          <w:webHidden/>
          <w:sz w:val="20"/>
          <w:szCs w:val="20"/>
        </w:rPr>
        <w:t>……………………………………………………1</w:t>
      </w:r>
      <w:r w:rsidR="002F377A">
        <w:rPr>
          <w:rFonts w:eastAsia="Times New Roman"/>
          <w:b/>
          <w:bCs/>
          <w:caps/>
          <w:webHidden/>
          <w:sz w:val="20"/>
          <w:szCs w:val="20"/>
        </w:rPr>
        <w:t>6</w:t>
      </w:r>
    </w:p>
    <w:p w14:paraId="08E1499D" w14:textId="77777777" w:rsidR="004F3002" w:rsidRPr="004F3002" w:rsidRDefault="004F3002" w:rsidP="004F3002">
      <w:pPr>
        <w:spacing w:line="240" w:lineRule="auto"/>
        <w:rPr>
          <w:rFonts w:eastAsia="Times New Roman"/>
          <w:b/>
          <w:bCs/>
          <w:caps/>
          <w:webHidden/>
          <w:sz w:val="20"/>
          <w:szCs w:val="20"/>
        </w:rPr>
      </w:pPr>
    </w:p>
    <w:p w14:paraId="298C4C21" w14:textId="32809BF1" w:rsidR="004F3002" w:rsidRDefault="004F3002" w:rsidP="004F3002">
      <w:pPr>
        <w:pStyle w:val="ListParagraph"/>
        <w:numPr>
          <w:ilvl w:val="0"/>
          <w:numId w:val="33"/>
        </w:numPr>
        <w:spacing w:line="240" w:lineRule="auto"/>
        <w:ind w:hanging="180"/>
        <w:rPr>
          <w:rFonts w:eastAsia="Times New Roman"/>
          <w:b/>
          <w:bCs/>
          <w:caps/>
          <w:webHidden/>
          <w:sz w:val="20"/>
          <w:szCs w:val="20"/>
        </w:rPr>
      </w:pPr>
      <w:r>
        <w:rPr>
          <w:rFonts w:eastAsia="Times New Roman"/>
          <w:b/>
          <w:bCs/>
          <w:caps/>
          <w:webHidden/>
          <w:sz w:val="20"/>
          <w:szCs w:val="20"/>
        </w:rPr>
        <w:t xml:space="preserve">THE PSR CANNOT BE JUSTIFIED ON THE LOGIC THAT IT COULD </w:t>
      </w:r>
    </w:p>
    <w:p w14:paraId="722FAAA0" w14:textId="678042F5" w:rsidR="004F3002" w:rsidRDefault="004F3002" w:rsidP="004F3002">
      <w:pPr>
        <w:pStyle w:val="ListParagraph"/>
        <w:spacing w:line="240" w:lineRule="auto"/>
        <w:ind w:left="1800" w:hanging="180"/>
        <w:rPr>
          <w:rFonts w:eastAsia="Times New Roman"/>
          <w:b/>
          <w:bCs/>
          <w:caps/>
          <w:webHidden/>
          <w:sz w:val="20"/>
          <w:szCs w:val="20"/>
        </w:rPr>
      </w:pPr>
      <w:r>
        <w:rPr>
          <w:rFonts w:eastAsia="Times New Roman"/>
          <w:b/>
          <w:bCs/>
          <w:caps/>
          <w:webHidden/>
          <w:sz w:val="20"/>
          <w:szCs w:val="20"/>
        </w:rPr>
        <w:t xml:space="preserve">    HAVE BEEN WORSE</w:t>
      </w:r>
      <w:r w:rsidR="001C3B24">
        <w:rPr>
          <w:rFonts w:eastAsia="Times New Roman"/>
          <w:b/>
          <w:bCs/>
          <w:caps/>
          <w:webHidden/>
          <w:sz w:val="20"/>
          <w:szCs w:val="20"/>
        </w:rPr>
        <w:t>………………………………………………………………….1</w:t>
      </w:r>
      <w:r w:rsidR="002F377A">
        <w:rPr>
          <w:rFonts w:eastAsia="Times New Roman"/>
          <w:b/>
          <w:bCs/>
          <w:caps/>
          <w:webHidden/>
          <w:sz w:val="20"/>
          <w:szCs w:val="20"/>
        </w:rPr>
        <w:t>7</w:t>
      </w:r>
    </w:p>
    <w:p w14:paraId="0E258345" w14:textId="77777777" w:rsidR="004F3002" w:rsidRDefault="004F3002" w:rsidP="004F3002">
      <w:pPr>
        <w:pStyle w:val="ListParagraph"/>
        <w:spacing w:line="240" w:lineRule="auto"/>
        <w:ind w:left="1800" w:hanging="180"/>
        <w:rPr>
          <w:rFonts w:eastAsia="Times New Roman"/>
          <w:b/>
          <w:bCs/>
          <w:caps/>
          <w:webHidden/>
          <w:sz w:val="20"/>
          <w:szCs w:val="20"/>
        </w:rPr>
      </w:pPr>
    </w:p>
    <w:p w14:paraId="05F5ADD9" w14:textId="08E5F001" w:rsidR="004F3002" w:rsidRDefault="004F3002" w:rsidP="004F3002">
      <w:pPr>
        <w:pStyle w:val="ListParagraph"/>
        <w:numPr>
          <w:ilvl w:val="0"/>
          <w:numId w:val="33"/>
        </w:numPr>
        <w:spacing w:line="240" w:lineRule="auto"/>
        <w:ind w:hanging="180"/>
        <w:rPr>
          <w:rFonts w:eastAsia="Times New Roman"/>
          <w:b/>
          <w:bCs/>
          <w:caps/>
          <w:webHidden/>
          <w:sz w:val="20"/>
          <w:szCs w:val="20"/>
        </w:rPr>
      </w:pPr>
      <w:r>
        <w:rPr>
          <w:rFonts w:eastAsia="Times New Roman"/>
          <w:b/>
          <w:bCs/>
          <w:caps/>
          <w:webHidden/>
          <w:sz w:val="20"/>
          <w:szCs w:val="20"/>
        </w:rPr>
        <w:t xml:space="preserve"> iF THE COMMISSION APPROVES THE PSR, IT SHOULD BE </w:t>
      </w:r>
    </w:p>
    <w:p w14:paraId="0E042999" w14:textId="1C10CBBF" w:rsidR="004F3002" w:rsidRDefault="004F3002" w:rsidP="001C3B24">
      <w:pPr>
        <w:pStyle w:val="ListParagraph"/>
        <w:spacing w:line="240" w:lineRule="auto"/>
        <w:ind w:left="1800"/>
        <w:rPr>
          <w:rFonts w:eastAsia="Times New Roman"/>
          <w:b/>
          <w:bCs/>
          <w:caps/>
          <w:webHidden/>
          <w:sz w:val="20"/>
          <w:szCs w:val="20"/>
        </w:rPr>
      </w:pPr>
      <w:r>
        <w:rPr>
          <w:rFonts w:eastAsia="Times New Roman"/>
          <w:b/>
          <w:bCs/>
          <w:caps/>
          <w:webHidden/>
          <w:sz w:val="20"/>
          <w:szCs w:val="20"/>
        </w:rPr>
        <w:t>BYPASSABLE</w:t>
      </w:r>
      <w:r w:rsidR="001C3B24">
        <w:rPr>
          <w:rFonts w:eastAsia="Times New Roman"/>
          <w:b/>
          <w:bCs/>
          <w:caps/>
          <w:webHidden/>
          <w:sz w:val="20"/>
          <w:szCs w:val="20"/>
        </w:rPr>
        <w:t>…………………………………………………………………………...1</w:t>
      </w:r>
      <w:r w:rsidR="00447E8B">
        <w:rPr>
          <w:rFonts w:eastAsia="Times New Roman"/>
          <w:b/>
          <w:bCs/>
          <w:caps/>
          <w:webHidden/>
          <w:sz w:val="20"/>
          <w:szCs w:val="20"/>
        </w:rPr>
        <w:t>8</w:t>
      </w:r>
    </w:p>
    <w:p w14:paraId="50CB6216" w14:textId="77777777" w:rsidR="001C3B24" w:rsidRDefault="001C3B24" w:rsidP="004F3002">
      <w:pPr>
        <w:pStyle w:val="ListParagraph"/>
        <w:spacing w:line="240" w:lineRule="auto"/>
        <w:ind w:left="1800" w:hanging="180"/>
        <w:rPr>
          <w:rFonts w:eastAsia="Times New Roman"/>
          <w:b/>
          <w:bCs/>
          <w:caps/>
          <w:webHidden/>
          <w:sz w:val="20"/>
          <w:szCs w:val="20"/>
        </w:rPr>
      </w:pPr>
    </w:p>
    <w:p w14:paraId="3B0900C0" w14:textId="4897B25F" w:rsidR="004F3002" w:rsidRDefault="004F3002" w:rsidP="006844AA">
      <w:pPr>
        <w:pStyle w:val="ListParagraph"/>
        <w:numPr>
          <w:ilvl w:val="0"/>
          <w:numId w:val="32"/>
        </w:numPr>
        <w:spacing w:line="240" w:lineRule="auto"/>
        <w:ind w:firstLine="0"/>
        <w:rPr>
          <w:rFonts w:eastAsia="Times New Roman"/>
          <w:b/>
          <w:bCs/>
          <w:caps/>
          <w:webHidden/>
          <w:sz w:val="20"/>
          <w:szCs w:val="20"/>
        </w:rPr>
      </w:pPr>
      <w:r>
        <w:rPr>
          <w:rFonts w:eastAsia="Times New Roman"/>
          <w:b/>
          <w:bCs/>
          <w:caps/>
          <w:webHidden/>
          <w:sz w:val="20"/>
          <w:szCs w:val="20"/>
        </w:rPr>
        <w:t>THE COMMISSION SHOULD PROVIDE PARAMETERS FOR DUKE’S PENDING</w:t>
      </w:r>
    </w:p>
    <w:p w14:paraId="1EC97229" w14:textId="1927D37E" w:rsidR="004F3002" w:rsidRDefault="004F3002" w:rsidP="006844AA">
      <w:pPr>
        <w:pStyle w:val="ListParagraph"/>
        <w:spacing w:line="240" w:lineRule="auto"/>
        <w:ind w:firstLine="720"/>
        <w:rPr>
          <w:rFonts w:eastAsia="Times New Roman"/>
          <w:b/>
          <w:bCs/>
          <w:caps/>
          <w:webHidden/>
          <w:sz w:val="20"/>
          <w:szCs w:val="20"/>
        </w:rPr>
      </w:pPr>
      <w:r>
        <w:rPr>
          <w:rFonts w:eastAsia="Times New Roman"/>
          <w:b/>
          <w:bCs/>
          <w:caps/>
          <w:webHidden/>
          <w:sz w:val="20"/>
          <w:szCs w:val="20"/>
        </w:rPr>
        <w:t>APPLICATION TO UPGRADE ITS CUSTOMER INFORMATIO SYSTEM</w:t>
      </w:r>
      <w:r w:rsidR="001C3B24">
        <w:rPr>
          <w:rFonts w:eastAsia="Times New Roman"/>
          <w:b/>
          <w:bCs/>
          <w:caps/>
          <w:webHidden/>
          <w:sz w:val="20"/>
          <w:szCs w:val="20"/>
        </w:rPr>
        <w:t>……</w:t>
      </w:r>
      <w:proofErr w:type="gramStart"/>
      <w:r w:rsidR="001C3B24">
        <w:rPr>
          <w:rFonts w:eastAsia="Times New Roman"/>
          <w:b/>
          <w:bCs/>
          <w:caps/>
          <w:webHidden/>
          <w:sz w:val="20"/>
          <w:szCs w:val="20"/>
        </w:rPr>
        <w:t>….…..</w:t>
      </w:r>
      <w:proofErr w:type="gramEnd"/>
      <w:r w:rsidR="001C3B24">
        <w:rPr>
          <w:rFonts w:eastAsia="Times New Roman"/>
          <w:b/>
          <w:bCs/>
          <w:caps/>
          <w:webHidden/>
          <w:sz w:val="20"/>
          <w:szCs w:val="20"/>
        </w:rPr>
        <w:t>17</w:t>
      </w:r>
    </w:p>
    <w:p w14:paraId="27E94A7D" w14:textId="77777777" w:rsidR="006844AA" w:rsidRDefault="006844AA" w:rsidP="006844AA">
      <w:pPr>
        <w:pStyle w:val="ListParagraph"/>
        <w:spacing w:line="240" w:lineRule="auto"/>
        <w:ind w:firstLine="720"/>
        <w:rPr>
          <w:rFonts w:eastAsia="Times New Roman"/>
          <w:b/>
          <w:bCs/>
          <w:caps/>
          <w:webHidden/>
          <w:sz w:val="20"/>
          <w:szCs w:val="20"/>
        </w:rPr>
      </w:pPr>
    </w:p>
    <w:p w14:paraId="237CF7E9" w14:textId="222A9548" w:rsidR="004F3002" w:rsidRDefault="004F3002" w:rsidP="004F3002">
      <w:pPr>
        <w:pStyle w:val="ListParagraph"/>
        <w:numPr>
          <w:ilvl w:val="0"/>
          <w:numId w:val="32"/>
        </w:numPr>
        <w:ind w:firstLine="0"/>
        <w:rPr>
          <w:rFonts w:eastAsia="Times New Roman"/>
          <w:b/>
          <w:bCs/>
          <w:caps/>
          <w:webHidden/>
          <w:sz w:val="20"/>
          <w:szCs w:val="20"/>
        </w:rPr>
      </w:pPr>
      <w:r>
        <w:rPr>
          <w:rFonts w:eastAsia="Times New Roman"/>
          <w:b/>
          <w:bCs/>
          <w:caps/>
          <w:webHidden/>
          <w:sz w:val="20"/>
          <w:szCs w:val="20"/>
        </w:rPr>
        <w:t>tHE ESP IS LESS FAVORABLE THAN AN MRO</w:t>
      </w:r>
      <w:r w:rsidR="001C3B24">
        <w:rPr>
          <w:rFonts w:eastAsia="Times New Roman"/>
          <w:b/>
          <w:bCs/>
          <w:caps/>
          <w:webHidden/>
          <w:sz w:val="20"/>
          <w:szCs w:val="20"/>
        </w:rPr>
        <w:t>……………………………………....1</w:t>
      </w:r>
      <w:r w:rsidR="002F377A">
        <w:rPr>
          <w:rFonts w:eastAsia="Times New Roman"/>
          <w:b/>
          <w:bCs/>
          <w:caps/>
          <w:webHidden/>
          <w:sz w:val="20"/>
          <w:szCs w:val="20"/>
        </w:rPr>
        <w:t>9</w:t>
      </w:r>
    </w:p>
    <w:p w14:paraId="56836190" w14:textId="48A2F907" w:rsidR="004F3002" w:rsidRPr="004F3002" w:rsidRDefault="004F3002" w:rsidP="004F3002">
      <w:pPr>
        <w:pStyle w:val="ListParagraph"/>
        <w:numPr>
          <w:ilvl w:val="0"/>
          <w:numId w:val="20"/>
        </w:numPr>
        <w:rPr>
          <w:rFonts w:eastAsia="Times New Roman"/>
          <w:b/>
          <w:bCs/>
          <w:caps/>
          <w:webHidden/>
          <w:sz w:val="20"/>
          <w:szCs w:val="20"/>
        </w:rPr>
      </w:pPr>
      <w:r>
        <w:rPr>
          <w:rFonts w:eastAsia="Times New Roman"/>
          <w:b/>
          <w:bCs/>
          <w:caps/>
          <w:webHidden/>
          <w:sz w:val="20"/>
          <w:szCs w:val="20"/>
        </w:rPr>
        <w:t>CONCLUSION</w:t>
      </w:r>
      <w:r w:rsidR="001C3B24">
        <w:rPr>
          <w:rFonts w:eastAsia="Times New Roman"/>
          <w:b/>
          <w:bCs/>
          <w:caps/>
          <w:webHidden/>
          <w:sz w:val="20"/>
          <w:szCs w:val="20"/>
        </w:rPr>
        <w:t>…………………………………………………………………………………</w:t>
      </w:r>
      <w:proofErr w:type="gramStart"/>
      <w:r w:rsidR="001C3B24">
        <w:rPr>
          <w:rFonts w:eastAsia="Times New Roman"/>
          <w:b/>
          <w:bCs/>
          <w:caps/>
          <w:webHidden/>
          <w:sz w:val="20"/>
          <w:szCs w:val="20"/>
        </w:rPr>
        <w:t>…..</w:t>
      </w:r>
      <w:proofErr w:type="gramEnd"/>
      <w:r w:rsidR="001C3B24">
        <w:rPr>
          <w:rFonts w:eastAsia="Times New Roman"/>
          <w:b/>
          <w:bCs/>
          <w:caps/>
          <w:webHidden/>
          <w:sz w:val="20"/>
          <w:szCs w:val="20"/>
        </w:rPr>
        <w:t>1</w:t>
      </w:r>
      <w:r w:rsidR="002F377A">
        <w:rPr>
          <w:rFonts w:eastAsia="Times New Roman"/>
          <w:b/>
          <w:bCs/>
          <w:caps/>
          <w:webHidden/>
          <w:sz w:val="20"/>
          <w:szCs w:val="20"/>
        </w:rPr>
        <w:t>9</w:t>
      </w:r>
    </w:p>
    <w:bookmarkEnd w:id="0"/>
    <w:p w14:paraId="6E27CFC1" w14:textId="6345B046" w:rsidR="00700C99" w:rsidRDefault="00700C99" w:rsidP="003151DD">
      <w:pPr>
        <w:rPr>
          <w:rFonts w:eastAsia="Times New Roman"/>
        </w:rPr>
      </w:pPr>
    </w:p>
    <w:p w14:paraId="03886206" w14:textId="3B3F0C90" w:rsidR="004F3002" w:rsidRDefault="004F3002" w:rsidP="003151DD">
      <w:pPr>
        <w:rPr>
          <w:rFonts w:eastAsia="Times New Roman"/>
        </w:rPr>
      </w:pPr>
    </w:p>
    <w:p w14:paraId="085A0578" w14:textId="6E513D45" w:rsidR="00700C99" w:rsidRDefault="00700C99" w:rsidP="003151DD">
      <w:pPr>
        <w:rPr>
          <w:rFonts w:eastAsia="Times New Roman"/>
        </w:rPr>
      </w:pPr>
    </w:p>
    <w:p w14:paraId="3DA8605A" w14:textId="77777777" w:rsidR="00447E8B" w:rsidRPr="003151DD" w:rsidRDefault="00447E8B" w:rsidP="003151DD">
      <w:pPr>
        <w:rPr>
          <w:rFonts w:eastAsia="Times New Roman"/>
        </w:rPr>
      </w:pPr>
    </w:p>
    <w:p w14:paraId="009084DE" w14:textId="77777777" w:rsidR="00DE4CB1" w:rsidRPr="00D1066D" w:rsidRDefault="00D1066D" w:rsidP="00D1066D">
      <w:pPr>
        <w:pStyle w:val="ListParagraph"/>
        <w:numPr>
          <w:ilvl w:val="0"/>
          <w:numId w:val="30"/>
        </w:numPr>
        <w:rPr>
          <w:rFonts w:eastAsia="Times New Roman"/>
          <w:b/>
        </w:rPr>
      </w:pPr>
      <w:r>
        <w:rPr>
          <w:rFonts w:eastAsia="Times New Roman"/>
          <w:b/>
        </w:rPr>
        <w:lastRenderedPageBreak/>
        <w:t>INTRODUCTION</w:t>
      </w:r>
    </w:p>
    <w:p w14:paraId="4345FBEF" w14:textId="4F635209" w:rsidR="00E15510" w:rsidRDefault="001A3A15" w:rsidP="00E15510">
      <w:pPr>
        <w:ind w:firstLine="720"/>
        <w:rPr>
          <w:rFonts w:eastAsia="Times New Roman"/>
        </w:rPr>
      </w:pPr>
      <w:r>
        <w:rPr>
          <w:rFonts w:eastAsia="Times New Roman"/>
        </w:rPr>
        <w:t>T</w:t>
      </w:r>
      <w:r w:rsidR="00175DC8">
        <w:rPr>
          <w:rFonts w:eastAsia="Times New Roman"/>
        </w:rPr>
        <w:t xml:space="preserve">he Public Utilities Commission of Ohio (“Commission”) must evaluate a Stipulation and Recommendation (“Stipulation”) that will establish </w:t>
      </w:r>
      <w:r>
        <w:rPr>
          <w:rFonts w:eastAsia="Times New Roman"/>
        </w:rPr>
        <w:t>a</w:t>
      </w:r>
      <w:r w:rsidR="00E15510">
        <w:rPr>
          <w:rFonts w:eastAsia="Times New Roman"/>
        </w:rPr>
        <w:t xml:space="preserve"> standard service offer (“SSO”)</w:t>
      </w:r>
      <w:r>
        <w:rPr>
          <w:rFonts w:eastAsia="Times New Roman"/>
        </w:rPr>
        <w:t xml:space="preserve"> and</w:t>
      </w:r>
      <w:r w:rsidR="00E15510">
        <w:rPr>
          <w:rFonts w:eastAsia="Times New Roman"/>
        </w:rPr>
        <w:t xml:space="preserve"> base distribution rates.  The legal structures applicable to SSO cases and distributio</w:t>
      </w:r>
      <w:r>
        <w:rPr>
          <w:rFonts w:eastAsia="Times New Roman"/>
        </w:rPr>
        <w:t>n cases are very different.</w:t>
      </w:r>
      <w:r w:rsidR="006C743B">
        <w:rPr>
          <w:rFonts w:eastAsia="Times New Roman"/>
        </w:rPr>
        <w:t xml:space="preserve"> </w:t>
      </w:r>
      <w:r>
        <w:rPr>
          <w:rFonts w:eastAsia="Times New Roman"/>
        </w:rPr>
        <w:t>SSO-related service is</w:t>
      </w:r>
      <w:r w:rsidR="00E15510">
        <w:rPr>
          <w:rFonts w:eastAsia="Times New Roman"/>
        </w:rPr>
        <w:t xml:space="preserve"> </w:t>
      </w:r>
      <w:proofErr w:type="spellStart"/>
      <w:r w:rsidR="00E15510">
        <w:rPr>
          <w:rFonts w:eastAsia="Times New Roman"/>
        </w:rPr>
        <w:t>bypassable</w:t>
      </w:r>
      <w:proofErr w:type="spellEnd"/>
      <w:r w:rsidR="00E15510">
        <w:rPr>
          <w:rFonts w:eastAsia="Times New Roman"/>
        </w:rPr>
        <w:t>, distribu</w:t>
      </w:r>
      <w:r w:rsidR="001B348F">
        <w:rPr>
          <w:rFonts w:eastAsia="Times New Roman"/>
        </w:rPr>
        <w:t>tion service</w:t>
      </w:r>
      <w:r>
        <w:rPr>
          <w:rFonts w:eastAsia="Times New Roman"/>
        </w:rPr>
        <w:t xml:space="preserve"> is</w:t>
      </w:r>
      <w:r w:rsidR="00E15510">
        <w:rPr>
          <w:rFonts w:eastAsia="Times New Roman"/>
        </w:rPr>
        <w:t xml:space="preserve"> not.</w:t>
      </w:r>
      <w:r w:rsidR="006C743B">
        <w:rPr>
          <w:rFonts w:eastAsia="Times New Roman"/>
        </w:rPr>
        <w:t xml:space="preserve">  Based on this distinction, Ohio law and policy requires each of these services to stand on their own and prohibits the latter from subsidizing the former.  If the Commission follows these</w:t>
      </w:r>
      <w:r w:rsidR="00E15510">
        <w:rPr>
          <w:rFonts w:eastAsia="Times New Roman"/>
        </w:rPr>
        <w:t xml:space="preserve"> simple rule</w:t>
      </w:r>
      <w:r w:rsidR="006C743B">
        <w:rPr>
          <w:rFonts w:eastAsia="Times New Roman"/>
        </w:rPr>
        <w:t>s</w:t>
      </w:r>
      <w:r w:rsidR="00E15510">
        <w:rPr>
          <w:rFonts w:eastAsia="Times New Roman"/>
        </w:rPr>
        <w:t>, it w</w:t>
      </w:r>
      <w:r>
        <w:rPr>
          <w:rFonts w:eastAsia="Times New Roman"/>
        </w:rPr>
        <w:t>ill reject the numerous proposals</w:t>
      </w:r>
      <w:r w:rsidR="00E15510">
        <w:rPr>
          <w:rFonts w:eastAsia="Times New Roman"/>
        </w:rPr>
        <w:t xml:space="preserve"> </w:t>
      </w:r>
      <w:r>
        <w:rPr>
          <w:rFonts w:eastAsia="Times New Roman"/>
        </w:rPr>
        <w:t xml:space="preserve">to </w:t>
      </w:r>
      <w:proofErr w:type="spellStart"/>
      <w:r>
        <w:rPr>
          <w:rFonts w:eastAsia="Times New Roman"/>
        </w:rPr>
        <w:t>rebundle</w:t>
      </w:r>
      <w:proofErr w:type="spellEnd"/>
      <w:r>
        <w:rPr>
          <w:rFonts w:eastAsia="Times New Roman"/>
        </w:rPr>
        <w:t xml:space="preserve"> competitive services</w:t>
      </w:r>
      <w:r w:rsidR="00175DC8">
        <w:rPr>
          <w:rFonts w:eastAsia="Times New Roman"/>
        </w:rPr>
        <w:t xml:space="preserve"> into </w:t>
      </w:r>
      <w:r>
        <w:rPr>
          <w:rFonts w:eastAsia="Times New Roman"/>
        </w:rPr>
        <w:t>distribution rates</w:t>
      </w:r>
      <w:r w:rsidR="006C743B">
        <w:rPr>
          <w:rFonts w:eastAsia="Times New Roman"/>
        </w:rPr>
        <w:t>.</w:t>
      </w:r>
      <w:r w:rsidR="00E15510">
        <w:rPr>
          <w:rFonts w:eastAsia="Times New Roman"/>
        </w:rPr>
        <w:t xml:space="preserve">  </w:t>
      </w:r>
      <w:r w:rsidR="00E15510">
        <w:rPr>
          <w:rFonts w:eastAsia="Times New Roman"/>
        </w:rPr>
        <w:tab/>
      </w:r>
    </w:p>
    <w:p w14:paraId="6EDEDE02" w14:textId="73DA41E8" w:rsidR="00D1066D" w:rsidRPr="001A3A15" w:rsidRDefault="00E15510" w:rsidP="001A3A15">
      <w:pPr>
        <w:ind w:firstLine="720"/>
        <w:rPr>
          <w:rFonts w:eastAsia="Times New Roman"/>
        </w:rPr>
      </w:pPr>
      <w:r>
        <w:rPr>
          <w:rFonts w:eastAsia="Times New Roman"/>
        </w:rPr>
        <w:t>While much of this brief urges the Commission to ensure that competitive marke</w:t>
      </w:r>
      <w:r w:rsidR="006C743B">
        <w:rPr>
          <w:rFonts w:eastAsia="Times New Roman"/>
        </w:rPr>
        <w:t>ts do not move backward—to ensure that the Stipulation does no harm—the Commission should not miss the opportunity to move t</w:t>
      </w:r>
      <w:r>
        <w:rPr>
          <w:rFonts w:eastAsia="Times New Roman"/>
        </w:rPr>
        <w:t>he market forward. For example, the Stipulation proposes that Duke file an application to update and enhance its customer information system.  By providing specific parameters to Duke’s application, the Commission can ensure</w:t>
      </w:r>
      <w:r w:rsidR="001A3A15">
        <w:rPr>
          <w:rFonts w:eastAsia="Times New Roman"/>
        </w:rPr>
        <w:t xml:space="preserve"> that the filing is productive and beneficial to customers and the development of innovative products and solutions.</w:t>
      </w:r>
    </w:p>
    <w:p w14:paraId="76F7E464" w14:textId="77777777" w:rsidR="00D1066D" w:rsidRPr="00D1066D" w:rsidRDefault="00D1066D" w:rsidP="00C52C69">
      <w:pPr>
        <w:pStyle w:val="ListParagraph"/>
        <w:numPr>
          <w:ilvl w:val="0"/>
          <w:numId w:val="30"/>
        </w:numPr>
        <w:rPr>
          <w:rFonts w:eastAsia="Times New Roman"/>
          <w:b/>
        </w:rPr>
      </w:pPr>
      <w:r>
        <w:rPr>
          <w:rFonts w:eastAsia="Times New Roman"/>
          <w:b/>
        </w:rPr>
        <w:t>ARGUMENT</w:t>
      </w:r>
    </w:p>
    <w:p w14:paraId="1F01BF4D" w14:textId="1CAB57A1" w:rsidR="00D1066D" w:rsidRDefault="00DF17EF" w:rsidP="00B600F0">
      <w:pPr>
        <w:pStyle w:val="ListParagraph"/>
        <w:numPr>
          <w:ilvl w:val="0"/>
          <w:numId w:val="24"/>
        </w:numPr>
        <w:spacing w:line="240" w:lineRule="auto"/>
        <w:rPr>
          <w:rFonts w:eastAsia="Times New Roman"/>
          <w:b/>
        </w:rPr>
      </w:pPr>
      <w:r w:rsidRPr="00B600F0">
        <w:rPr>
          <w:rFonts w:eastAsia="Times New Roman"/>
          <w:b/>
        </w:rPr>
        <w:t>Recovering</w:t>
      </w:r>
      <w:r w:rsidR="005B1D87" w:rsidRPr="00B600F0">
        <w:rPr>
          <w:rFonts w:eastAsia="Times New Roman"/>
          <w:b/>
        </w:rPr>
        <w:t xml:space="preserve"> SSO-related costs through distribution rates</w:t>
      </w:r>
      <w:r w:rsidRPr="00B600F0">
        <w:rPr>
          <w:rFonts w:eastAsia="Times New Roman"/>
          <w:b/>
        </w:rPr>
        <w:t xml:space="preserve"> would be unlawful, unreasonable, and discrimina</w:t>
      </w:r>
      <w:r w:rsidR="008166D0" w:rsidRPr="00B600F0">
        <w:rPr>
          <w:rFonts w:eastAsia="Times New Roman"/>
          <w:b/>
        </w:rPr>
        <w:t>te against shopping customers</w:t>
      </w:r>
    </w:p>
    <w:p w14:paraId="744D7807" w14:textId="77777777" w:rsidR="00447E8B" w:rsidRDefault="00447E8B" w:rsidP="00447E8B">
      <w:pPr>
        <w:pStyle w:val="ListParagraph"/>
        <w:spacing w:line="240" w:lineRule="auto"/>
        <w:ind w:left="1080"/>
        <w:rPr>
          <w:rFonts w:eastAsia="Times New Roman"/>
          <w:b/>
        </w:rPr>
      </w:pPr>
      <w:bookmarkStart w:id="1" w:name="_GoBack"/>
      <w:bookmarkEnd w:id="1"/>
    </w:p>
    <w:p w14:paraId="13AE2FA7" w14:textId="4D3C6619" w:rsidR="00B600F0" w:rsidRPr="00447E8B" w:rsidRDefault="00B600F0" w:rsidP="00447E8B">
      <w:pPr>
        <w:pStyle w:val="ListParagraph"/>
        <w:numPr>
          <w:ilvl w:val="2"/>
          <w:numId w:val="20"/>
        </w:numPr>
        <w:spacing w:line="240" w:lineRule="auto"/>
        <w:ind w:left="1800" w:hanging="360"/>
        <w:rPr>
          <w:rFonts w:eastAsia="Times New Roman"/>
          <w:b/>
        </w:rPr>
      </w:pPr>
      <w:r w:rsidRPr="00447E8B">
        <w:rPr>
          <w:rFonts w:eastAsia="Times New Roman"/>
          <w:b/>
        </w:rPr>
        <w:t>Ohio law is procompetitive and it is uncontroverted that the Stipulation would permit recovery of SSO-related costs through distribution rates</w:t>
      </w:r>
    </w:p>
    <w:p w14:paraId="2114A0E6" w14:textId="77777777" w:rsidR="0028114A" w:rsidRDefault="0028114A" w:rsidP="0028114A">
      <w:pPr>
        <w:spacing w:line="240" w:lineRule="auto"/>
        <w:rPr>
          <w:rFonts w:eastAsia="Times New Roman"/>
          <w:b/>
        </w:rPr>
      </w:pPr>
    </w:p>
    <w:p w14:paraId="2F6D6CAD" w14:textId="2EC44369" w:rsidR="002A570A" w:rsidRDefault="001B348F" w:rsidP="002A570A">
      <w:pPr>
        <w:ind w:firstLine="720"/>
        <w:rPr>
          <w:rFonts w:eastAsia="Times New Roman"/>
        </w:rPr>
      </w:pPr>
      <w:r>
        <w:rPr>
          <w:rFonts w:eastAsia="Times New Roman"/>
        </w:rPr>
        <w:t xml:space="preserve">Ohio law </w:t>
      </w:r>
      <w:r w:rsidR="0028114A">
        <w:rPr>
          <w:rFonts w:eastAsia="Times New Roman"/>
        </w:rPr>
        <w:t xml:space="preserve">undeniably </w:t>
      </w:r>
      <w:r w:rsidR="007B2516">
        <w:rPr>
          <w:rFonts w:eastAsia="Times New Roman"/>
        </w:rPr>
        <w:t xml:space="preserve">supports </w:t>
      </w:r>
      <w:r w:rsidR="0028114A">
        <w:rPr>
          <w:rFonts w:eastAsia="Times New Roman"/>
        </w:rPr>
        <w:t>competitive</w:t>
      </w:r>
      <w:r w:rsidR="007B2516">
        <w:rPr>
          <w:rFonts w:eastAsia="Times New Roman"/>
        </w:rPr>
        <w:t xml:space="preserve"> retail electric markets</w:t>
      </w:r>
      <w:r w:rsidR="0028114A">
        <w:rPr>
          <w:rFonts w:eastAsia="Times New Roman"/>
        </w:rPr>
        <w:t xml:space="preserve">. </w:t>
      </w:r>
      <w:r w:rsidR="002A570A">
        <w:rPr>
          <w:rFonts w:eastAsia="Times New Roman"/>
        </w:rPr>
        <w:t>Further</w:t>
      </w:r>
      <w:r>
        <w:rPr>
          <w:rFonts w:eastAsia="Times New Roman"/>
        </w:rPr>
        <w:t>, Ohio law clearly requires</w:t>
      </w:r>
      <w:r w:rsidR="002A570A">
        <w:rPr>
          <w:rFonts w:eastAsia="Times New Roman"/>
        </w:rPr>
        <w:t xml:space="preserve"> SSO service </w:t>
      </w:r>
      <w:r>
        <w:rPr>
          <w:rFonts w:eastAsia="Times New Roman"/>
        </w:rPr>
        <w:t xml:space="preserve">to </w:t>
      </w:r>
      <w:r w:rsidR="002A570A">
        <w:rPr>
          <w:rFonts w:eastAsia="Times New Roman"/>
        </w:rPr>
        <w:t xml:space="preserve">be fully unbundled. </w:t>
      </w:r>
      <w:r w:rsidR="0028114A">
        <w:rPr>
          <w:rFonts w:eastAsia="Times New Roman"/>
        </w:rPr>
        <w:t>Parties supporting the Stipulation</w:t>
      </w:r>
      <w:r w:rsidR="00F50040">
        <w:rPr>
          <w:rFonts w:eastAsia="Times New Roman"/>
        </w:rPr>
        <w:t xml:space="preserve"> </w:t>
      </w:r>
      <w:r w:rsidR="0028114A">
        <w:rPr>
          <w:rFonts w:eastAsia="Times New Roman"/>
        </w:rPr>
        <w:t xml:space="preserve">pay lip service to </w:t>
      </w:r>
      <w:r w:rsidR="002A570A">
        <w:rPr>
          <w:rFonts w:eastAsia="Times New Roman"/>
        </w:rPr>
        <w:t>this</w:t>
      </w:r>
      <w:r w:rsidR="00856EB8">
        <w:rPr>
          <w:rFonts w:eastAsia="Times New Roman"/>
        </w:rPr>
        <w:t xml:space="preserve"> requirement</w:t>
      </w:r>
      <w:r w:rsidR="006C743B">
        <w:rPr>
          <w:rFonts w:eastAsia="Times New Roman"/>
        </w:rPr>
        <w:t xml:space="preserve">.  </w:t>
      </w:r>
      <w:r w:rsidR="00B600F0">
        <w:rPr>
          <w:rFonts w:eastAsia="Times New Roman"/>
        </w:rPr>
        <w:t>These parties</w:t>
      </w:r>
      <w:r w:rsidR="0028114A">
        <w:rPr>
          <w:rFonts w:eastAsia="Times New Roman"/>
        </w:rPr>
        <w:t xml:space="preserve"> claim that “market forces” will set the</w:t>
      </w:r>
      <w:r w:rsidR="00D1066D">
        <w:rPr>
          <w:rFonts w:eastAsia="Times New Roman"/>
        </w:rPr>
        <w:t xml:space="preserve"> price </w:t>
      </w:r>
      <w:r w:rsidR="00D1066D">
        <w:rPr>
          <w:rFonts w:eastAsia="Times New Roman"/>
        </w:rPr>
        <w:lastRenderedPageBreak/>
        <w:t>for generation for all customers</w:t>
      </w:r>
      <w:r w:rsidR="00B600F0">
        <w:rPr>
          <w:rFonts w:eastAsia="Times New Roman"/>
        </w:rPr>
        <w:t>,</w:t>
      </w:r>
      <w:r w:rsidR="002A570A">
        <w:rPr>
          <w:rFonts w:eastAsia="Times New Roman"/>
        </w:rPr>
        <w:t xml:space="preserve"> while </w:t>
      </w:r>
      <w:r w:rsidR="007B2516">
        <w:rPr>
          <w:rFonts w:eastAsia="Times New Roman"/>
        </w:rPr>
        <w:t>simultaneously</w:t>
      </w:r>
      <w:r w:rsidR="002A570A">
        <w:rPr>
          <w:rFonts w:eastAsia="Times New Roman"/>
        </w:rPr>
        <w:t xml:space="preserve"> </w:t>
      </w:r>
      <w:r w:rsidR="007B2516">
        <w:rPr>
          <w:rFonts w:eastAsia="Times New Roman"/>
        </w:rPr>
        <w:t>obfuscat</w:t>
      </w:r>
      <w:r w:rsidR="002A570A">
        <w:rPr>
          <w:rFonts w:eastAsia="Times New Roman"/>
        </w:rPr>
        <w:t>ing</w:t>
      </w:r>
      <w:r w:rsidR="007B2516">
        <w:rPr>
          <w:rFonts w:eastAsia="Times New Roman"/>
        </w:rPr>
        <w:t xml:space="preserve"> the fact that there are more than just wholesale electric costs required to provide a </w:t>
      </w:r>
      <w:r>
        <w:rPr>
          <w:rFonts w:eastAsia="Times New Roman"/>
        </w:rPr>
        <w:t xml:space="preserve">competitive </w:t>
      </w:r>
      <w:r w:rsidR="007B2516">
        <w:rPr>
          <w:rFonts w:eastAsia="Times New Roman"/>
        </w:rPr>
        <w:t xml:space="preserve">retail electric </w:t>
      </w:r>
      <w:r w:rsidR="002A570A">
        <w:rPr>
          <w:rFonts w:eastAsia="Times New Roman"/>
        </w:rPr>
        <w:t>service to SSO customers</w:t>
      </w:r>
      <w:r w:rsidR="00D1066D">
        <w:rPr>
          <w:rFonts w:eastAsia="Times New Roman"/>
        </w:rPr>
        <w:t xml:space="preserve">.  </w:t>
      </w:r>
    </w:p>
    <w:p w14:paraId="51A28DC8" w14:textId="4ADBC1EB" w:rsidR="00F50040" w:rsidRDefault="0028114A" w:rsidP="00F50040">
      <w:pPr>
        <w:ind w:firstLine="720"/>
        <w:rPr>
          <w:rFonts w:eastAsia="Times New Roman"/>
        </w:rPr>
      </w:pPr>
      <w:r>
        <w:rPr>
          <w:rFonts w:eastAsia="Times New Roman"/>
        </w:rPr>
        <w:t>For example, Duke c</w:t>
      </w:r>
      <w:r w:rsidR="00D1066D">
        <w:rPr>
          <w:rFonts w:eastAsia="Times New Roman"/>
        </w:rPr>
        <w:t>laims that “SSO customers receive unbundled generation service that they can compare with generation services offered by CRES providers.”</w:t>
      </w:r>
      <w:r>
        <w:rPr>
          <w:rStyle w:val="FootnoteReference"/>
          <w:rFonts w:eastAsia="Times New Roman"/>
        </w:rPr>
        <w:footnoteReference w:id="1"/>
      </w:r>
      <w:r w:rsidR="00D1066D">
        <w:rPr>
          <w:rFonts w:eastAsia="Times New Roman"/>
        </w:rPr>
        <w:t xml:space="preserve"> </w:t>
      </w:r>
      <w:r>
        <w:rPr>
          <w:rFonts w:eastAsia="Times New Roman"/>
        </w:rPr>
        <w:t xml:space="preserve"> </w:t>
      </w:r>
      <w:r w:rsidR="00D1066D">
        <w:rPr>
          <w:rFonts w:eastAsia="Times New Roman"/>
        </w:rPr>
        <w:t>Duke claims that its proposed auction-based SSO structure will “assure a level playing field between those wholesale suppliers responsible for service and those retail suppliers providing CRES offers.”</w:t>
      </w:r>
      <w:r>
        <w:rPr>
          <w:rStyle w:val="FootnoteReference"/>
          <w:rFonts w:eastAsia="Times New Roman"/>
        </w:rPr>
        <w:footnoteReference w:id="2"/>
      </w:r>
      <w:r w:rsidR="00B600F0">
        <w:rPr>
          <w:rFonts w:eastAsia="Times New Roman"/>
        </w:rPr>
        <w:t xml:space="preserve"> </w:t>
      </w:r>
      <w:r>
        <w:rPr>
          <w:rFonts w:eastAsia="Times New Roman"/>
        </w:rPr>
        <w:t xml:space="preserve"> Finally, </w:t>
      </w:r>
      <w:r w:rsidR="00D1066D">
        <w:rPr>
          <w:rFonts w:eastAsia="Times New Roman"/>
        </w:rPr>
        <w:t xml:space="preserve">Duke claims that </w:t>
      </w:r>
      <w:r w:rsidR="00B600F0">
        <w:rPr>
          <w:rFonts w:eastAsia="Times New Roman"/>
        </w:rPr>
        <w:t>“there will be no</w:t>
      </w:r>
      <w:r>
        <w:rPr>
          <w:rFonts w:eastAsia="Times New Roman"/>
        </w:rPr>
        <w:t xml:space="preserve"> subsidies fl</w:t>
      </w:r>
      <w:r w:rsidR="00D1066D">
        <w:rPr>
          <w:rFonts w:eastAsia="Times New Roman"/>
        </w:rPr>
        <w:t>owing from non-competitive retail electric service to competitive retail electric generation services.”</w:t>
      </w:r>
      <w:r w:rsidR="001B348F">
        <w:rPr>
          <w:rStyle w:val="FootnoteReference"/>
          <w:rFonts w:eastAsia="Times New Roman"/>
        </w:rPr>
        <w:footnoteReference w:id="3"/>
      </w:r>
      <w:r w:rsidR="00F50040">
        <w:rPr>
          <w:rFonts w:eastAsia="Times New Roman"/>
        </w:rPr>
        <w:t xml:space="preserve">   At the same time, </w:t>
      </w:r>
      <w:r w:rsidR="001B5FB4">
        <w:rPr>
          <w:rFonts w:eastAsia="Times New Roman"/>
        </w:rPr>
        <w:t xml:space="preserve">the </w:t>
      </w:r>
      <w:r w:rsidR="00F50040">
        <w:rPr>
          <w:rFonts w:eastAsia="Times New Roman"/>
        </w:rPr>
        <w:t>propon</w:t>
      </w:r>
      <w:r w:rsidR="001B5FB4">
        <w:rPr>
          <w:rFonts w:eastAsia="Times New Roman"/>
        </w:rPr>
        <w:t>ents of the Stipulation concede</w:t>
      </w:r>
      <w:r w:rsidR="00F50040">
        <w:rPr>
          <w:rFonts w:eastAsia="Times New Roman"/>
        </w:rPr>
        <w:t xml:space="preserve"> that the Stipulation would permit Duke to recover SSO-related costs through distribution rates.</w:t>
      </w:r>
      <w:r w:rsidR="00856EB8">
        <w:rPr>
          <w:rStyle w:val="FootnoteReference"/>
          <w:rFonts w:eastAsia="Times New Roman"/>
        </w:rPr>
        <w:footnoteReference w:id="4"/>
      </w:r>
      <w:r w:rsidR="00856EB8">
        <w:rPr>
          <w:rFonts w:eastAsia="Times New Roman"/>
        </w:rPr>
        <w:t xml:space="preserve">  </w:t>
      </w:r>
    </w:p>
    <w:p w14:paraId="6C74944C" w14:textId="13AC94D8" w:rsidR="00F50040" w:rsidRDefault="0028114A" w:rsidP="00F50040">
      <w:pPr>
        <w:ind w:firstLine="720"/>
        <w:rPr>
          <w:rFonts w:eastAsia="Times New Roman"/>
        </w:rPr>
      </w:pPr>
      <w:r>
        <w:rPr>
          <w:rFonts w:eastAsia="Times New Roman"/>
        </w:rPr>
        <w:t>As demonstrated by IGS/RESA testimony and IGS Initial Brief, Duke would annually recover $23 million in</w:t>
      </w:r>
      <w:r w:rsidR="007B2516">
        <w:rPr>
          <w:rFonts w:eastAsia="Times New Roman"/>
        </w:rPr>
        <w:t xml:space="preserve"> costs required to support the</w:t>
      </w:r>
      <w:r>
        <w:rPr>
          <w:rFonts w:eastAsia="Times New Roman"/>
        </w:rPr>
        <w:t xml:space="preserve"> SSO</w:t>
      </w:r>
      <w:r w:rsidR="007B2516">
        <w:rPr>
          <w:rFonts w:eastAsia="Times New Roman"/>
        </w:rPr>
        <w:t xml:space="preserve"> through</w:t>
      </w:r>
      <w:r>
        <w:rPr>
          <w:rFonts w:eastAsia="Times New Roman"/>
        </w:rPr>
        <w:t xml:space="preserve"> its distribution rates.</w:t>
      </w:r>
      <w:r w:rsidR="00105304">
        <w:rPr>
          <w:rStyle w:val="FootnoteReference"/>
          <w:rFonts w:eastAsia="Times New Roman"/>
        </w:rPr>
        <w:footnoteReference w:id="5"/>
      </w:r>
      <w:r>
        <w:rPr>
          <w:rFonts w:eastAsia="Times New Roman"/>
        </w:rPr>
        <w:t xml:space="preserve">  Such recovery would provide an anticompetitive, market distorting subsidy to SSO service</w:t>
      </w:r>
      <w:r w:rsidR="002A570A">
        <w:rPr>
          <w:rFonts w:eastAsia="Times New Roman"/>
        </w:rPr>
        <w:t xml:space="preserve"> forcing shopping customers to pay a penalty simply because they chose to shop for electric service.</w:t>
      </w:r>
      <w:r w:rsidR="00105304">
        <w:rPr>
          <w:rStyle w:val="FootnoteReference"/>
          <w:rFonts w:eastAsia="Times New Roman"/>
        </w:rPr>
        <w:footnoteReference w:id="6"/>
      </w:r>
      <w:r w:rsidR="00175DC8">
        <w:rPr>
          <w:rFonts w:eastAsia="Times New Roman"/>
        </w:rPr>
        <w:t xml:space="preserve">  </w:t>
      </w:r>
      <w:r w:rsidR="001A3A15">
        <w:rPr>
          <w:rFonts w:eastAsia="Times New Roman"/>
        </w:rPr>
        <w:t xml:space="preserve">The Stipulation recommends that the Commission </w:t>
      </w:r>
      <w:r w:rsidR="001B348F">
        <w:rPr>
          <w:rFonts w:eastAsia="Times New Roman"/>
        </w:rPr>
        <w:t xml:space="preserve">lock </w:t>
      </w:r>
      <w:r w:rsidR="002A570A">
        <w:rPr>
          <w:rFonts w:eastAsia="Times New Roman"/>
        </w:rPr>
        <w:t xml:space="preserve">in </w:t>
      </w:r>
      <w:r w:rsidR="00175DC8">
        <w:rPr>
          <w:rFonts w:eastAsia="Times New Roman"/>
        </w:rPr>
        <w:t xml:space="preserve">this </w:t>
      </w:r>
      <w:r w:rsidR="00175DC8">
        <w:rPr>
          <w:rFonts w:eastAsia="Times New Roman"/>
          <w:b/>
        </w:rPr>
        <w:lastRenderedPageBreak/>
        <w:t xml:space="preserve">unlevel </w:t>
      </w:r>
      <w:r w:rsidR="00175DC8">
        <w:rPr>
          <w:rFonts w:eastAsia="Times New Roman"/>
        </w:rPr>
        <w:t>playing field until May 31, 2025:  over that period, the Stipulation would all</w:t>
      </w:r>
      <w:r w:rsidR="007B2516">
        <w:rPr>
          <w:rFonts w:eastAsia="Times New Roman"/>
        </w:rPr>
        <w:t>ow</w:t>
      </w:r>
      <w:r w:rsidR="00175DC8">
        <w:rPr>
          <w:rFonts w:eastAsia="Times New Roman"/>
        </w:rPr>
        <w:t xml:space="preserve"> Duke to collect nearly $150 million</w:t>
      </w:r>
      <w:r w:rsidR="001A3A15">
        <w:rPr>
          <w:rFonts w:eastAsia="Times New Roman"/>
        </w:rPr>
        <w:t xml:space="preserve"> SSO</w:t>
      </w:r>
      <w:r w:rsidR="00175DC8">
        <w:rPr>
          <w:rFonts w:eastAsia="Times New Roman"/>
        </w:rPr>
        <w:t xml:space="preserve"> </w:t>
      </w:r>
      <w:r w:rsidR="001A3A15">
        <w:rPr>
          <w:rFonts w:eastAsia="Times New Roman"/>
        </w:rPr>
        <w:t xml:space="preserve">service </w:t>
      </w:r>
      <w:r w:rsidR="00175DC8">
        <w:rPr>
          <w:rFonts w:eastAsia="Times New Roman"/>
        </w:rPr>
        <w:t>subsidie</w:t>
      </w:r>
      <w:r w:rsidR="001A3A15">
        <w:rPr>
          <w:rFonts w:eastAsia="Times New Roman"/>
        </w:rPr>
        <w:t>s</w:t>
      </w:r>
      <w:r w:rsidR="001B5FB4">
        <w:rPr>
          <w:rFonts w:eastAsia="Times New Roman"/>
        </w:rPr>
        <w:t>.</w:t>
      </w:r>
      <w:r w:rsidR="00175DC8">
        <w:rPr>
          <w:rFonts w:eastAsia="Times New Roman"/>
        </w:rPr>
        <w:t xml:space="preserve">  </w:t>
      </w:r>
      <w:r>
        <w:rPr>
          <w:rFonts w:eastAsia="Times New Roman"/>
        </w:rPr>
        <w:t xml:space="preserve"> </w:t>
      </w:r>
    </w:p>
    <w:p w14:paraId="4F811710" w14:textId="1CC2D067" w:rsidR="00D1066D" w:rsidRPr="00F50040" w:rsidRDefault="00F50040" w:rsidP="00447E8B">
      <w:pPr>
        <w:spacing w:line="240" w:lineRule="auto"/>
        <w:ind w:left="1710" w:hanging="270"/>
        <w:rPr>
          <w:rFonts w:eastAsia="Times New Roman"/>
          <w:b/>
        </w:rPr>
      </w:pPr>
      <w:r>
        <w:rPr>
          <w:rFonts w:eastAsia="Times New Roman"/>
          <w:b/>
        </w:rPr>
        <w:t xml:space="preserve">2. </w:t>
      </w:r>
      <w:r w:rsidR="0028114A">
        <w:rPr>
          <w:rFonts w:eastAsia="Times New Roman"/>
        </w:rPr>
        <w:t xml:space="preserve"> </w:t>
      </w:r>
      <w:r w:rsidR="004F3002">
        <w:rPr>
          <w:rFonts w:eastAsia="Times New Roman"/>
          <w:b/>
        </w:rPr>
        <w:t>It is un</w:t>
      </w:r>
      <w:r w:rsidR="001B348F">
        <w:rPr>
          <w:rFonts w:eastAsia="Times New Roman"/>
          <w:b/>
        </w:rPr>
        <w:t>lawful</w:t>
      </w:r>
      <w:r>
        <w:rPr>
          <w:rFonts w:eastAsia="Times New Roman"/>
          <w:b/>
        </w:rPr>
        <w:t xml:space="preserve"> to subsidize the SSO and require shopping customers to pay twice for competitive retail electric service</w:t>
      </w:r>
    </w:p>
    <w:p w14:paraId="265E9DCD" w14:textId="77777777" w:rsidR="00D1066D" w:rsidRPr="00D1066D" w:rsidRDefault="00D1066D" w:rsidP="00D1066D">
      <w:pPr>
        <w:pStyle w:val="ListParagraph"/>
        <w:spacing w:line="240" w:lineRule="auto"/>
        <w:ind w:left="1080"/>
        <w:rPr>
          <w:rFonts w:eastAsia="Times New Roman"/>
          <w:b/>
        </w:rPr>
      </w:pPr>
    </w:p>
    <w:p w14:paraId="60834761" w14:textId="46DC481E" w:rsidR="00251D5A" w:rsidRDefault="00F50040" w:rsidP="00D645A0">
      <w:pPr>
        <w:ind w:firstLine="720"/>
        <w:rPr>
          <w:rFonts w:eastAsia="Times New Roman"/>
        </w:rPr>
      </w:pPr>
      <w:r>
        <w:rPr>
          <w:rFonts w:eastAsia="Times New Roman"/>
        </w:rPr>
        <w:t>Rather than rectifying the unl</w:t>
      </w:r>
      <w:r w:rsidR="001B348F">
        <w:rPr>
          <w:rFonts w:eastAsia="Times New Roman"/>
        </w:rPr>
        <w:t xml:space="preserve">awful and unreasonable paradigm </w:t>
      </w:r>
      <w:r>
        <w:rPr>
          <w:rFonts w:eastAsia="Times New Roman"/>
        </w:rPr>
        <w:t xml:space="preserve">the Stipulation would </w:t>
      </w:r>
      <w:proofErr w:type="gramStart"/>
      <w:r>
        <w:rPr>
          <w:rFonts w:eastAsia="Times New Roman"/>
        </w:rPr>
        <w:t>create</w:t>
      </w:r>
      <w:r w:rsidR="00175DC8">
        <w:rPr>
          <w:rFonts w:eastAsia="Times New Roman"/>
        </w:rPr>
        <w:t>,</w:t>
      </w:r>
      <w:proofErr w:type="gramEnd"/>
      <w:r w:rsidR="00175DC8">
        <w:rPr>
          <w:rFonts w:eastAsia="Times New Roman"/>
        </w:rPr>
        <w:t xml:space="preserve"> the Staff</w:t>
      </w:r>
      <w:r w:rsidR="001B348F">
        <w:rPr>
          <w:rFonts w:eastAsia="Times New Roman"/>
        </w:rPr>
        <w:t xml:space="preserve"> offers excuses and justifications to support subsidizing the SSO</w:t>
      </w:r>
      <w:r w:rsidR="00175DC8">
        <w:rPr>
          <w:rFonts w:eastAsia="Times New Roman"/>
        </w:rPr>
        <w:t>.</w:t>
      </w:r>
      <w:r w:rsidR="00251D5A">
        <w:rPr>
          <w:rFonts w:eastAsia="Times New Roman"/>
        </w:rPr>
        <w:t xml:space="preserve">  IGS anticipated many of these arguments in its initial brief.</w:t>
      </w:r>
      <w:r w:rsidR="001B348F">
        <w:rPr>
          <w:rStyle w:val="FootnoteReference"/>
          <w:rFonts w:eastAsia="Times New Roman"/>
        </w:rPr>
        <w:footnoteReference w:id="7"/>
      </w:r>
    </w:p>
    <w:p w14:paraId="69E017C1" w14:textId="74A8EFB3" w:rsidR="00251D5A" w:rsidRDefault="00863403" w:rsidP="00251D5A">
      <w:pPr>
        <w:ind w:firstLine="720"/>
        <w:rPr>
          <w:rFonts w:eastAsia="Times New Roman"/>
        </w:rPr>
      </w:pPr>
      <w:r w:rsidRPr="00D645A0">
        <w:rPr>
          <w:rFonts w:eastAsia="Times New Roman"/>
        </w:rPr>
        <w:t xml:space="preserve">The Staff claims that </w:t>
      </w:r>
      <w:r w:rsidR="00175DC8">
        <w:rPr>
          <w:rFonts w:eastAsia="Times New Roman"/>
        </w:rPr>
        <w:t xml:space="preserve">it never examined </w:t>
      </w:r>
      <w:r w:rsidR="002A570A">
        <w:rPr>
          <w:rFonts w:eastAsia="Times New Roman"/>
        </w:rPr>
        <w:t>the appropriate allocation of SSO related cost</w:t>
      </w:r>
      <w:r w:rsidR="00175DC8">
        <w:rPr>
          <w:rFonts w:eastAsia="Times New Roman"/>
        </w:rPr>
        <w:t xml:space="preserve"> because the Commission d</w:t>
      </w:r>
      <w:r w:rsidR="001A3A15">
        <w:rPr>
          <w:rFonts w:eastAsia="Times New Roman"/>
        </w:rPr>
        <w:t>id not order it to do so</w:t>
      </w:r>
      <w:r w:rsidR="00F50040">
        <w:rPr>
          <w:rFonts w:eastAsia="Times New Roman"/>
        </w:rPr>
        <w:t>.</w:t>
      </w:r>
      <w:r w:rsidR="002A570A">
        <w:rPr>
          <w:rStyle w:val="FootnoteReference"/>
          <w:rFonts w:eastAsia="Times New Roman"/>
        </w:rPr>
        <w:footnoteReference w:id="8"/>
      </w:r>
      <w:r w:rsidR="001A3A15">
        <w:rPr>
          <w:rFonts w:eastAsia="Times New Roman"/>
        </w:rPr>
        <w:t xml:space="preserve">  I</w:t>
      </w:r>
      <w:r w:rsidRPr="00D645A0">
        <w:rPr>
          <w:rFonts w:eastAsia="Times New Roman"/>
        </w:rPr>
        <w:t>f the Commission had ordered the Staff to examine SSO-related costs proposed in distribution rates,</w:t>
      </w:r>
      <w:r w:rsidR="001A3A15">
        <w:rPr>
          <w:rFonts w:eastAsia="Times New Roman"/>
        </w:rPr>
        <w:t xml:space="preserve"> Staff claims</w:t>
      </w:r>
      <w:r w:rsidRPr="00D645A0">
        <w:rPr>
          <w:rFonts w:eastAsia="Times New Roman"/>
        </w:rPr>
        <w:t xml:space="preserve"> “</w:t>
      </w:r>
      <w:r w:rsidR="00C52C69" w:rsidRPr="00D645A0">
        <w:rPr>
          <w:rFonts w:eastAsia="Times New Roman"/>
        </w:rPr>
        <w:t>a comprehensive study would have been required.</w:t>
      </w:r>
      <w:r w:rsidR="001A3A15">
        <w:rPr>
          <w:rFonts w:eastAsia="Times New Roman"/>
        </w:rPr>
        <w:t>”</w:t>
      </w:r>
      <w:r w:rsidR="001B348F">
        <w:rPr>
          <w:rStyle w:val="FootnoteReference"/>
          <w:rFonts w:eastAsia="Times New Roman"/>
        </w:rPr>
        <w:footnoteReference w:id="9"/>
      </w:r>
      <w:r w:rsidR="001A3A15">
        <w:rPr>
          <w:rFonts w:eastAsia="Times New Roman"/>
        </w:rPr>
        <w:t xml:space="preserve">  </w:t>
      </w:r>
      <w:r w:rsidR="00251D5A">
        <w:rPr>
          <w:rFonts w:eastAsia="Times New Roman"/>
        </w:rPr>
        <w:t>As discussed in IGS’ Initial Brief Staff’s claims are not factual.</w:t>
      </w:r>
      <w:r w:rsidR="00856EB8">
        <w:rPr>
          <w:rStyle w:val="FootnoteReference"/>
          <w:rFonts w:eastAsia="Times New Roman"/>
        </w:rPr>
        <w:footnoteReference w:id="10"/>
      </w:r>
      <w:r w:rsidR="00251D5A">
        <w:rPr>
          <w:rFonts w:eastAsia="Times New Roman"/>
        </w:rPr>
        <w:t xml:space="preserve"> In fact, the last ESP Order specifically delegated the exploration of this issue in Duke’s distribution rate case.</w:t>
      </w:r>
      <w:r w:rsidR="00251D5A">
        <w:rPr>
          <w:rStyle w:val="FootnoteReference"/>
          <w:rFonts w:eastAsia="Times New Roman"/>
        </w:rPr>
        <w:footnoteReference w:id="11"/>
      </w:r>
      <w:r w:rsidR="00251D5A">
        <w:rPr>
          <w:rFonts w:eastAsia="Times New Roman"/>
        </w:rPr>
        <w:t xml:space="preserve">  It is difficult to find a more explicit directive.</w:t>
      </w:r>
    </w:p>
    <w:p w14:paraId="16D884E9" w14:textId="2918FDFB" w:rsidR="005B1D87" w:rsidRDefault="001A3A15" w:rsidP="00251D5A">
      <w:pPr>
        <w:ind w:firstLine="720"/>
        <w:rPr>
          <w:rFonts w:eastAsia="Times New Roman"/>
        </w:rPr>
      </w:pPr>
      <w:r>
        <w:rPr>
          <w:rFonts w:eastAsia="Times New Roman"/>
        </w:rPr>
        <w:t>Staff further argues that</w:t>
      </w:r>
      <w:r w:rsidR="00863403" w:rsidRPr="00D645A0">
        <w:rPr>
          <w:rFonts w:eastAsia="Times New Roman"/>
        </w:rPr>
        <w:t xml:space="preserve"> “</w:t>
      </w:r>
      <w:r w:rsidR="00C52C69" w:rsidRPr="00D645A0">
        <w:rPr>
          <w:rFonts w:eastAsia="Times New Roman"/>
        </w:rPr>
        <w:t>it is unclear if the Company could comply depending on its accounting system.</w:t>
      </w:r>
      <w:r w:rsidR="00863403" w:rsidRPr="00D645A0">
        <w:rPr>
          <w:rFonts w:eastAsia="Times New Roman"/>
        </w:rPr>
        <w:t>”</w:t>
      </w:r>
      <w:r w:rsidR="00200C0C">
        <w:rPr>
          <w:rStyle w:val="FootnoteReference"/>
          <w:rFonts w:eastAsia="Times New Roman"/>
        </w:rPr>
        <w:footnoteReference w:id="12"/>
      </w:r>
      <w:r w:rsidR="00251D5A">
        <w:rPr>
          <w:rFonts w:eastAsia="Times New Roman"/>
        </w:rPr>
        <w:t xml:space="preserve"> The Staff’s ar</w:t>
      </w:r>
      <w:r w:rsidR="001B348F">
        <w:rPr>
          <w:rFonts w:eastAsia="Times New Roman"/>
        </w:rPr>
        <w:t>gument</w:t>
      </w:r>
      <w:r w:rsidR="00251D5A">
        <w:rPr>
          <w:rFonts w:eastAsia="Times New Roman"/>
        </w:rPr>
        <w:t xml:space="preserve"> is unsubstantiated.  Allocation factors—</w:t>
      </w:r>
      <w:r w:rsidR="00251D5A">
        <w:rPr>
          <w:rFonts w:eastAsia="Times New Roman"/>
        </w:rPr>
        <w:lastRenderedPageBreak/>
        <w:t>such as those utilized by RESA/IGS witness Hess</w:t>
      </w:r>
      <w:r w:rsidR="00200C0C">
        <w:rPr>
          <w:rStyle w:val="FootnoteReference"/>
          <w:rFonts w:eastAsia="Times New Roman"/>
        </w:rPr>
        <w:footnoteReference w:id="13"/>
      </w:r>
      <w:r w:rsidR="00251D5A">
        <w:rPr>
          <w:rFonts w:eastAsia="Times New Roman"/>
        </w:rPr>
        <w:t>—are routinely used in the ratemaking process to quantify costs that would be cost prohibitive to directly assign.</w:t>
      </w:r>
      <w:r w:rsidR="00200C0C">
        <w:rPr>
          <w:rStyle w:val="FootnoteReference"/>
          <w:rFonts w:eastAsia="Times New Roman"/>
        </w:rPr>
        <w:footnoteReference w:id="14"/>
      </w:r>
    </w:p>
    <w:p w14:paraId="4F21394F" w14:textId="4CB02745" w:rsidR="00F50040" w:rsidRDefault="00BB4BB5" w:rsidP="00F50040">
      <w:pPr>
        <w:autoSpaceDE w:val="0"/>
        <w:autoSpaceDN w:val="0"/>
        <w:adjustRightInd w:val="0"/>
        <w:ind w:firstLine="720"/>
      </w:pPr>
      <w:r>
        <w:rPr>
          <w:rFonts w:eastAsia="Times New Roman"/>
        </w:rPr>
        <w:t>Staff</w:t>
      </w:r>
      <w:r w:rsidR="009E3DB8">
        <w:rPr>
          <w:rFonts w:eastAsia="Times New Roman"/>
        </w:rPr>
        <w:t xml:space="preserve"> also</w:t>
      </w:r>
      <w:r>
        <w:rPr>
          <w:rFonts w:eastAsia="Times New Roman"/>
        </w:rPr>
        <w:t xml:space="preserve"> claim</w:t>
      </w:r>
      <w:r w:rsidR="009E3DB8">
        <w:rPr>
          <w:rFonts w:eastAsia="Times New Roman"/>
        </w:rPr>
        <w:t>s</w:t>
      </w:r>
      <w:r>
        <w:rPr>
          <w:rFonts w:eastAsia="Times New Roman"/>
        </w:rPr>
        <w:t xml:space="preserve"> that SSO-related costs should be netted against</w:t>
      </w:r>
      <w:r w:rsidR="00CF1661">
        <w:rPr>
          <w:rFonts w:eastAsia="Times New Roman"/>
        </w:rPr>
        <w:t xml:space="preserve"> choice-related costs</w:t>
      </w:r>
      <w:r w:rsidR="009E3DB8">
        <w:rPr>
          <w:rFonts w:eastAsia="Times New Roman"/>
        </w:rPr>
        <w:t>.  With this claim</w:t>
      </w:r>
      <w:r w:rsidR="00F50040">
        <w:rPr>
          <w:rFonts w:eastAsia="Times New Roman"/>
        </w:rPr>
        <w:t>,</w:t>
      </w:r>
      <w:r w:rsidR="009E3DB8">
        <w:rPr>
          <w:rFonts w:eastAsia="Times New Roman"/>
        </w:rPr>
        <w:t xml:space="preserve"> Staff</w:t>
      </w:r>
      <w:r w:rsidR="00CF1661">
        <w:rPr>
          <w:rFonts w:eastAsia="Times New Roman"/>
        </w:rPr>
        <w:t xml:space="preserve"> unlawfully frames the </w:t>
      </w:r>
      <w:r>
        <w:rPr>
          <w:rFonts w:eastAsia="Times New Roman"/>
        </w:rPr>
        <w:t xml:space="preserve">issue before the Commission. </w:t>
      </w:r>
      <w:r w:rsidR="001B348F">
        <w:rPr>
          <w:rFonts w:eastAsia="Times New Roman"/>
        </w:rPr>
        <w:t>SSO service</w:t>
      </w:r>
      <w:r w:rsidR="009E3DB8">
        <w:rPr>
          <w:rFonts w:eastAsia="Times New Roman"/>
        </w:rPr>
        <w:t xml:space="preserve"> is a</w:t>
      </w:r>
      <w:r>
        <w:rPr>
          <w:rFonts w:eastAsia="Times New Roman"/>
        </w:rPr>
        <w:t xml:space="preserve"> competitive</w:t>
      </w:r>
      <w:r w:rsidR="00F50040">
        <w:rPr>
          <w:rFonts w:eastAsia="Times New Roman"/>
        </w:rPr>
        <w:t xml:space="preserve"> retail electric</w:t>
      </w:r>
      <w:r w:rsidR="009E3DB8">
        <w:rPr>
          <w:rFonts w:eastAsia="Times New Roman"/>
        </w:rPr>
        <w:t xml:space="preserve"> </w:t>
      </w:r>
      <w:r>
        <w:rPr>
          <w:rFonts w:eastAsia="Times New Roman"/>
        </w:rPr>
        <w:t>service provided by Duke</w:t>
      </w:r>
      <w:r w:rsidR="009E3DB8">
        <w:rPr>
          <w:rFonts w:eastAsia="Times New Roman"/>
        </w:rPr>
        <w:t>.</w:t>
      </w:r>
      <w:r w:rsidR="00016685">
        <w:rPr>
          <w:rStyle w:val="FootnoteReference"/>
          <w:rFonts w:eastAsia="Times New Roman"/>
        </w:rPr>
        <w:footnoteReference w:id="15"/>
      </w:r>
      <w:r>
        <w:rPr>
          <w:rFonts w:eastAsia="Times New Roman"/>
        </w:rPr>
        <w:t xml:space="preserve"> </w:t>
      </w:r>
      <w:r w:rsidR="00251D5A">
        <w:rPr>
          <w:rFonts w:eastAsia="Times New Roman"/>
        </w:rPr>
        <w:t xml:space="preserve"> </w:t>
      </w:r>
      <w:r w:rsidR="00F50040" w:rsidRPr="00F31E77">
        <w:t>The Commission has no authority to regu</w:t>
      </w:r>
      <w:r w:rsidR="00F50040">
        <w:t>late or provide compensation to support</w:t>
      </w:r>
      <w:r w:rsidR="00F50040" w:rsidRPr="00F31E77">
        <w:t xml:space="preserve"> comp</w:t>
      </w:r>
      <w:r w:rsidR="00F50040">
        <w:t>etitive retail electric service</w:t>
      </w:r>
      <w:r w:rsidR="00F50040" w:rsidRPr="00F31E77">
        <w:t xml:space="preserve"> through </w:t>
      </w:r>
      <w:r w:rsidR="00F50040">
        <w:t xml:space="preserve">base </w:t>
      </w:r>
      <w:r w:rsidR="00F50040" w:rsidRPr="00F31E77">
        <w:t>distribution rates</w:t>
      </w:r>
      <w:r w:rsidR="00F50040">
        <w:t xml:space="preserve"> established under Chapter 4909</w:t>
      </w:r>
      <w:r w:rsidR="00F50040" w:rsidRPr="00F31E77">
        <w:t>. Indeed,</w:t>
      </w:r>
      <w:r w:rsidR="00F50040">
        <w:t xml:space="preserve"> the General Assembly specifically </w:t>
      </w:r>
      <w:proofErr w:type="gramStart"/>
      <w:r w:rsidR="00F50040">
        <w:t>provided that</w:t>
      </w:r>
      <w:proofErr w:type="gramEnd"/>
      <w:r w:rsidR="00F50040" w:rsidRPr="00F31E77">
        <w:t xml:space="preserve"> “</w:t>
      </w:r>
      <w:r w:rsidR="00F50040" w:rsidRPr="00227AD4">
        <w:rPr>
          <w:i/>
        </w:rPr>
        <w:t>a competitive retail electric service supplied by an electric utility or electric services company shall not be subject to supervision and regulation</w:t>
      </w:r>
      <w:r w:rsidR="00F50040" w:rsidRPr="00F31E77">
        <w:t xml:space="preserve"> . . . by the public utilities commission under Chapters </w:t>
      </w:r>
      <w:r w:rsidR="00F50040" w:rsidRPr="00227AD4">
        <w:rPr>
          <w:b/>
          <w:i/>
        </w:rPr>
        <w:t>4901. to 4909</w:t>
      </w:r>
      <w:r w:rsidR="00F50040" w:rsidRPr="00F31E77">
        <w:t>., 4933., 4935., and 4963.”</w:t>
      </w:r>
      <w:r w:rsidR="00F50040">
        <w:t xml:space="preserve">  R.C. 4</w:t>
      </w:r>
      <w:r w:rsidR="00251D5A">
        <w:t>928.05(A)(1) (emphasis added).</w:t>
      </w:r>
      <w:r w:rsidR="00F50040">
        <w:t xml:space="preserve">  In other words, the Commission lacks authority to authorize the recovery of costs related to competitive retail electric services in a distribution rate case filed under 4909.18.  </w:t>
      </w:r>
    </w:p>
    <w:p w14:paraId="6A8D1789" w14:textId="25F1A0AB" w:rsidR="00016685" w:rsidRDefault="00251D5A" w:rsidP="00F50040">
      <w:pPr>
        <w:ind w:firstLine="720"/>
        <w:rPr>
          <w:rFonts w:eastAsia="Times New Roman"/>
        </w:rPr>
      </w:pPr>
      <w:r>
        <w:rPr>
          <w:rFonts w:eastAsia="Times New Roman"/>
        </w:rPr>
        <w:t>Regardless, t</w:t>
      </w:r>
      <w:r w:rsidR="00F50040">
        <w:rPr>
          <w:rFonts w:eastAsia="Times New Roman"/>
        </w:rPr>
        <w:t>he s</w:t>
      </w:r>
      <w:r w:rsidR="009E3DB8">
        <w:rPr>
          <w:rFonts w:eastAsia="Times New Roman"/>
        </w:rPr>
        <w:t>o called</w:t>
      </w:r>
      <w:r w:rsidR="00F50040">
        <w:rPr>
          <w:rFonts w:eastAsia="Times New Roman"/>
        </w:rPr>
        <w:t xml:space="preserve"> </w:t>
      </w:r>
      <w:r w:rsidR="009E3DB8">
        <w:rPr>
          <w:rFonts w:eastAsia="Times New Roman"/>
        </w:rPr>
        <w:t>“Choice”</w:t>
      </w:r>
      <w:r w:rsidR="00F50040">
        <w:rPr>
          <w:rFonts w:eastAsia="Times New Roman"/>
        </w:rPr>
        <w:t xml:space="preserve"> costs</w:t>
      </w:r>
      <w:r>
        <w:rPr>
          <w:rFonts w:eastAsia="Times New Roman"/>
        </w:rPr>
        <w:t xml:space="preserve"> that provide the basis for Staff’s netting comparison</w:t>
      </w:r>
      <w:r w:rsidR="00F50040">
        <w:rPr>
          <w:rFonts w:eastAsia="Times New Roman"/>
        </w:rPr>
        <w:t xml:space="preserve"> relate</w:t>
      </w:r>
      <w:r w:rsidR="00016685">
        <w:rPr>
          <w:rFonts w:eastAsia="Times New Roman"/>
        </w:rPr>
        <w:t xml:space="preserve"> </w:t>
      </w:r>
      <w:r w:rsidR="00F50040">
        <w:rPr>
          <w:rFonts w:eastAsia="Times New Roman"/>
        </w:rPr>
        <w:t>to</w:t>
      </w:r>
      <w:r w:rsidR="00016685">
        <w:rPr>
          <w:rFonts w:eastAsia="Times New Roman"/>
        </w:rPr>
        <w:t xml:space="preserve"> distribution service</w:t>
      </w:r>
      <w:r w:rsidR="001B348F">
        <w:rPr>
          <w:rFonts w:eastAsia="Times New Roman"/>
        </w:rPr>
        <w:t xml:space="preserve">.  </w:t>
      </w:r>
      <w:r w:rsidR="00200C0C">
        <w:t>W</w:t>
      </w:r>
      <w:r w:rsidR="00200C0C" w:rsidRPr="00200C0C">
        <w:rPr>
          <w:rFonts w:eastAsia="Times New Roman"/>
        </w:rPr>
        <w:t>hen Duke incurs a cost related to ret</w:t>
      </w:r>
      <w:r w:rsidR="00200C0C">
        <w:rPr>
          <w:rFonts w:eastAsia="Times New Roman"/>
        </w:rPr>
        <w:t>ail electric choice, it is</w:t>
      </w:r>
      <w:r w:rsidR="00200C0C" w:rsidRPr="00200C0C">
        <w:rPr>
          <w:rFonts w:eastAsia="Times New Roman"/>
        </w:rPr>
        <w:t xml:space="preserve"> because it is the only entity that can provide the service—such as providing historical usage information.</w:t>
      </w:r>
      <w:r w:rsidR="00200C0C">
        <w:rPr>
          <w:rFonts w:eastAsia="Times New Roman"/>
        </w:rPr>
        <w:t xml:space="preserve">  </w:t>
      </w:r>
      <w:r w:rsidR="001B348F">
        <w:rPr>
          <w:rFonts w:eastAsia="Times New Roman"/>
        </w:rPr>
        <w:t xml:space="preserve">Duke does not provide competitive retail electric service to shopping customers.  </w:t>
      </w:r>
      <w:r w:rsidR="00200C0C">
        <w:rPr>
          <w:rFonts w:eastAsia="Times New Roman"/>
        </w:rPr>
        <w:t>Therefore, it is inappropriate</w:t>
      </w:r>
      <w:r w:rsidR="001B348F">
        <w:rPr>
          <w:rFonts w:eastAsia="Times New Roman"/>
        </w:rPr>
        <w:t xml:space="preserve"> to net</w:t>
      </w:r>
      <w:r w:rsidR="00200C0C">
        <w:rPr>
          <w:rFonts w:eastAsia="Times New Roman"/>
        </w:rPr>
        <w:t xml:space="preserve"> non-competitive costs against competitive SSO costs.</w:t>
      </w:r>
      <w:r w:rsidR="00200C0C" w:rsidRPr="00200C0C">
        <w:rPr>
          <w:rFonts w:eastAsia="Times New Roman"/>
        </w:rPr>
        <w:t xml:space="preserve"> </w:t>
      </w:r>
      <w:r>
        <w:rPr>
          <w:rFonts w:eastAsia="Times New Roman"/>
        </w:rPr>
        <w:t xml:space="preserve">      </w:t>
      </w:r>
    </w:p>
    <w:p w14:paraId="7A214EB7" w14:textId="43E39F32" w:rsidR="00B600F0" w:rsidRDefault="00251D5A" w:rsidP="00251D5A">
      <w:pPr>
        <w:ind w:firstLine="720"/>
        <w:rPr>
          <w:rFonts w:eastAsia="Times New Roman"/>
        </w:rPr>
      </w:pPr>
      <w:r>
        <w:rPr>
          <w:rFonts w:eastAsia="Times New Roman"/>
        </w:rPr>
        <w:lastRenderedPageBreak/>
        <w:t xml:space="preserve">  Moreover, even assuming</w:t>
      </w:r>
      <w:r w:rsidR="00D1066D">
        <w:rPr>
          <w:rFonts w:eastAsia="Times New Roman"/>
        </w:rPr>
        <w:t xml:space="preserve"> Staff’s</w:t>
      </w:r>
      <w:r>
        <w:rPr>
          <w:rFonts w:eastAsia="Times New Roman"/>
        </w:rPr>
        <w:t xml:space="preserve"> netting</w:t>
      </w:r>
      <w:r w:rsidR="00D1066D">
        <w:rPr>
          <w:rFonts w:eastAsia="Times New Roman"/>
        </w:rPr>
        <w:t xml:space="preserve"> proposal was based upon a lawful comparison, the Staff failed to quantify choice-related costs that Duke incurs or whether the fees that Duke recovers</w:t>
      </w:r>
      <w:r>
        <w:rPr>
          <w:rFonts w:eastAsia="Times New Roman"/>
        </w:rPr>
        <w:t>—</w:t>
      </w:r>
      <w:r w:rsidRPr="00251D5A">
        <w:rPr>
          <w:rFonts w:eastAsia="Times New Roman"/>
        </w:rPr>
        <w:t>such as switching fees, historical usage fees, and consolidated billing fees</w:t>
      </w:r>
      <w:r w:rsidR="00200C0C">
        <w:rPr>
          <w:rStyle w:val="FootnoteReference"/>
          <w:rFonts w:eastAsia="Times New Roman"/>
        </w:rPr>
        <w:footnoteReference w:id="16"/>
      </w:r>
      <w:r>
        <w:rPr>
          <w:rFonts w:eastAsia="Times New Roman"/>
        </w:rPr>
        <w:t>—</w:t>
      </w:r>
      <w:r w:rsidR="00D1066D">
        <w:rPr>
          <w:rFonts w:eastAsia="Times New Roman"/>
        </w:rPr>
        <w:t>fully compensate it for such costs.</w:t>
      </w:r>
      <w:r>
        <w:rPr>
          <w:rFonts w:eastAsia="Times New Roman"/>
        </w:rPr>
        <w:t xml:space="preserve">  Moreover, Staff </w:t>
      </w:r>
      <w:r w:rsidR="00B600F0">
        <w:rPr>
          <w:rFonts w:eastAsia="Times New Roman"/>
        </w:rPr>
        <w:t>glosses over the fact the supplier</w:t>
      </w:r>
      <w:r>
        <w:rPr>
          <w:rFonts w:eastAsia="Times New Roman"/>
        </w:rPr>
        <w:t>s pay these fees to Duke, b</w:t>
      </w:r>
      <w:r w:rsidR="00B600F0">
        <w:rPr>
          <w:rFonts w:eastAsia="Times New Roman"/>
        </w:rPr>
        <w:t>ut all services to SSO customers are provided for free.</w:t>
      </w:r>
      <w:r>
        <w:rPr>
          <w:rFonts w:eastAsia="Times New Roman"/>
        </w:rPr>
        <w:t xml:space="preserve"> </w:t>
      </w:r>
      <w:r w:rsidR="00B600F0">
        <w:rPr>
          <w:rFonts w:eastAsia="Times New Roman"/>
        </w:rPr>
        <w:t xml:space="preserve">Therefore, it is inappropriate to net </w:t>
      </w:r>
      <w:r w:rsidR="00B600F0">
        <w:rPr>
          <w:rFonts w:eastAsia="Times New Roman"/>
        </w:rPr>
        <w:br/>
        <w:t xml:space="preserve">“costs” that are already being paid for directly by CRES providers and their customers.  </w:t>
      </w:r>
    </w:p>
    <w:p w14:paraId="00CEBC32" w14:textId="49BCF766" w:rsidR="00AB73DA" w:rsidRDefault="00C52C69" w:rsidP="00AB73DA">
      <w:pPr>
        <w:ind w:firstLine="720"/>
        <w:rPr>
          <w:rFonts w:eastAsia="Times New Roman"/>
        </w:rPr>
      </w:pPr>
      <w:r>
        <w:rPr>
          <w:rFonts w:eastAsia="Times New Roman"/>
        </w:rPr>
        <w:t>T</w:t>
      </w:r>
      <w:r w:rsidR="005B1D87">
        <w:rPr>
          <w:rFonts w:eastAsia="Times New Roman"/>
        </w:rPr>
        <w:t>he</w:t>
      </w:r>
      <w:r w:rsidR="00D1066D">
        <w:rPr>
          <w:rFonts w:eastAsia="Times New Roman"/>
        </w:rPr>
        <w:t xml:space="preserve"> Staff and other parties submit</w:t>
      </w:r>
      <w:r w:rsidR="005B1D87">
        <w:rPr>
          <w:rFonts w:eastAsia="Times New Roman"/>
        </w:rPr>
        <w:t xml:space="preserve"> only a</w:t>
      </w:r>
      <w:r w:rsidR="00D645A0">
        <w:rPr>
          <w:rFonts w:eastAsia="Times New Roman"/>
        </w:rPr>
        <w:t xml:space="preserve"> handful of </w:t>
      </w:r>
      <w:r w:rsidR="005B1D87">
        <w:rPr>
          <w:rFonts w:eastAsia="Times New Roman"/>
        </w:rPr>
        <w:t>new</w:t>
      </w:r>
      <w:r w:rsidR="00D645A0">
        <w:rPr>
          <w:rFonts w:eastAsia="Times New Roman"/>
        </w:rPr>
        <w:t xml:space="preserve"> </w:t>
      </w:r>
      <w:r>
        <w:rPr>
          <w:rFonts w:eastAsia="Times New Roman"/>
        </w:rPr>
        <w:t>argument</w:t>
      </w:r>
      <w:r w:rsidR="00AB73DA">
        <w:rPr>
          <w:rFonts w:eastAsia="Times New Roman"/>
        </w:rPr>
        <w:t>s.  First, t</w:t>
      </w:r>
      <w:r w:rsidR="00D645A0">
        <w:rPr>
          <w:rFonts w:eastAsia="Arial"/>
          <w:bCs/>
        </w:rPr>
        <w:t>he Staff claims the Staff Report appropriately accepted Duke’s Cost of Service Study</w:t>
      </w:r>
      <w:r w:rsidR="001B348F">
        <w:rPr>
          <w:rFonts w:eastAsia="Arial"/>
          <w:bCs/>
        </w:rPr>
        <w:t xml:space="preserve"> (“COSS”)</w:t>
      </w:r>
      <w:r w:rsidR="00D645A0">
        <w:rPr>
          <w:rFonts w:eastAsia="Arial"/>
          <w:bCs/>
        </w:rPr>
        <w:t>.</w:t>
      </w:r>
      <w:r w:rsidR="00AB73DA">
        <w:rPr>
          <w:rStyle w:val="FootnoteReference"/>
          <w:rFonts w:eastAsia="Arial"/>
          <w:bCs/>
        </w:rPr>
        <w:footnoteReference w:id="17"/>
      </w:r>
      <w:r w:rsidR="00AB73DA">
        <w:rPr>
          <w:rFonts w:eastAsia="Arial"/>
          <w:bCs/>
        </w:rPr>
        <w:t xml:space="preserve"> </w:t>
      </w:r>
      <w:r w:rsidR="00D645A0">
        <w:rPr>
          <w:rFonts w:eastAsia="Times New Roman"/>
        </w:rPr>
        <w:t xml:space="preserve"> </w:t>
      </w:r>
      <w:r w:rsidR="00AB73DA">
        <w:rPr>
          <w:rFonts w:eastAsia="Arial"/>
          <w:bCs/>
        </w:rPr>
        <w:t xml:space="preserve">To prop up Duke’s flawed COSS, Staff’s brief relies upon the Testimony of David </w:t>
      </w:r>
      <w:proofErr w:type="spellStart"/>
      <w:r w:rsidR="00AB73DA">
        <w:rPr>
          <w:rFonts w:eastAsia="Arial"/>
          <w:bCs/>
        </w:rPr>
        <w:t>Lipthratt</w:t>
      </w:r>
      <w:proofErr w:type="spellEnd"/>
      <w:r w:rsidR="00AB73DA">
        <w:rPr>
          <w:rFonts w:eastAsia="Arial"/>
          <w:bCs/>
        </w:rPr>
        <w:t>.</w:t>
      </w:r>
      <w:r w:rsidR="00200C0C">
        <w:rPr>
          <w:rStyle w:val="FootnoteReference"/>
          <w:rFonts w:eastAsia="Arial"/>
          <w:bCs/>
        </w:rPr>
        <w:footnoteReference w:id="18"/>
      </w:r>
      <w:r w:rsidR="00AB73DA">
        <w:rPr>
          <w:rFonts w:eastAsia="Arial"/>
          <w:bCs/>
        </w:rPr>
        <w:t xml:space="preserve">  But Mr. </w:t>
      </w:r>
      <w:proofErr w:type="spellStart"/>
      <w:r w:rsidR="00AB73DA">
        <w:rPr>
          <w:rFonts w:eastAsia="Arial"/>
          <w:bCs/>
        </w:rPr>
        <w:t>Lipthratt</w:t>
      </w:r>
      <w:proofErr w:type="spellEnd"/>
      <w:r w:rsidR="00AB73DA">
        <w:rPr>
          <w:rFonts w:eastAsia="Arial"/>
          <w:bCs/>
        </w:rPr>
        <w:t xml:space="preserve"> indicated that he relied upon Mr. Goins to examine the cost of service study.</w:t>
      </w:r>
      <w:r w:rsidR="00200C0C">
        <w:rPr>
          <w:rStyle w:val="FootnoteReference"/>
          <w:rFonts w:eastAsia="Arial"/>
          <w:bCs/>
        </w:rPr>
        <w:footnoteReference w:id="19"/>
      </w:r>
      <w:r w:rsidR="00200C0C">
        <w:rPr>
          <w:rFonts w:eastAsia="Arial"/>
          <w:bCs/>
        </w:rPr>
        <w:t xml:space="preserve"> </w:t>
      </w:r>
      <w:r w:rsidR="00AB73DA">
        <w:rPr>
          <w:rFonts w:eastAsia="Arial"/>
          <w:bCs/>
        </w:rPr>
        <w:t xml:space="preserve"> </w:t>
      </w:r>
      <w:proofErr w:type="spellStart"/>
      <w:r w:rsidR="00AB73DA">
        <w:rPr>
          <w:rFonts w:eastAsia="Arial"/>
          <w:bCs/>
        </w:rPr>
        <w:t>Mr</w:t>
      </w:r>
      <w:proofErr w:type="spellEnd"/>
      <w:r w:rsidR="00AB73DA">
        <w:rPr>
          <w:rFonts w:eastAsia="Arial"/>
          <w:bCs/>
        </w:rPr>
        <w:t xml:space="preserve"> Goins, however, testified that he did not determine whether any of the information included in the </w:t>
      </w:r>
      <w:r w:rsidR="001B348F">
        <w:rPr>
          <w:rFonts w:eastAsia="Arial"/>
          <w:bCs/>
        </w:rPr>
        <w:t>COSS</w:t>
      </w:r>
      <w:r w:rsidR="00AB73DA">
        <w:rPr>
          <w:rFonts w:eastAsia="Arial"/>
          <w:bCs/>
        </w:rPr>
        <w:t xml:space="preserve"> was properly functionalized to distribution service.</w:t>
      </w:r>
      <w:r w:rsidR="00856EB8">
        <w:rPr>
          <w:rStyle w:val="FootnoteReference"/>
          <w:rFonts w:eastAsia="Arial"/>
          <w:bCs/>
        </w:rPr>
        <w:footnoteReference w:id="20"/>
      </w:r>
      <w:r w:rsidR="00AB73DA">
        <w:rPr>
          <w:rFonts w:eastAsia="Arial"/>
          <w:bCs/>
        </w:rPr>
        <w:t xml:space="preserve">  </w:t>
      </w:r>
      <w:r w:rsidR="00AB73DA">
        <w:rPr>
          <w:rFonts w:eastAsia="Times New Roman"/>
        </w:rPr>
        <w:t>Therefore, Staff has provided little evidence to instill confidence in Duke’s cost of service study, which Du</w:t>
      </w:r>
      <w:r w:rsidR="00200C0C">
        <w:rPr>
          <w:rFonts w:eastAsia="Times New Roman"/>
        </w:rPr>
        <w:t>ke conceded did not eliminate</w:t>
      </w:r>
      <w:r w:rsidR="00AB73DA">
        <w:rPr>
          <w:rFonts w:eastAsia="Times New Roman"/>
        </w:rPr>
        <w:t xml:space="preserve"> SSO-related cos</w:t>
      </w:r>
      <w:r w:rsidR="00200C0C">
        <w:rPr>
          <w:rFonts w:eastAsia="Times New Roman"/>
        </w:rPr>
        <w:t>ts from distribution rate recovery</w:t>
      </w:r>
      <w:r w:rsidR="00AB73DA">
        <w:rPr>
          <w:rFonts w:eastAsia="Times New Roman"/>
        </w:rPr>
        <w:t>.</w:t>
      </w:r>
      <w:r w:rsidR="00200C0C">
        <w:rPr>
          <w:rStyle w:val="FootnoteReference"/>
          <w:rFonts w:eastAsia="Times New Roman"/>
        </w:rPr>
        <w:footnoteReference w:id="21"/>
      </w:r>
    </w:p>
    <w:p w14:paraId="5E53A2F5" w14:textId="2B3E5B4C" w:rsidR="00863403" w:rsidRDefault="00D645A0" w:rsidP="00AB73DA">
      <w:pPr>
        <w:ind w:firstLine="720"/>
        <w:rPr>
          <w:rFonts w:eastAsia="Times New Roman"/>
        </w:rPr>
      </w:pPr>
      <w:r>
        <w:rPr>
          <w:rFonts w:eastAsia="Times New Roman"/>
        </w:rPr>
        <w:lastRenderedPageBreak/>
        <w:t>Second, Staff claims that</w:t>
      </w:r>
      <w:r w:rsidR="00C52C69">
        <w:rPr>
          <w:rFonts w:eastAsia="Times New Roman"/>
        </w:rPr>
        <w:t xml:space="preserve"> that “</w:t>
      </w:r>
      <w:r w:rsidR="00C52C69" w:rsidRPr="00C52C69">
        <w:rPr>
          <w:rFonts w:eastAsia="Times New Roman"/>
        </w:rPr>
        <w:t>Choice customers do not pay the administrativ</w:t>
      </w:r>
      <w:r w:rsidR="00C52C69">
        <w:rPr>
          <w:rFonts w:eastAsia="Times New Roman"/>
        </w:rPr>
        <w:t xml:space="preserve">e, operating, and non-operating </w:t>
      </w:r>
      <w:r w:rsidR="00C52C69" w:rsidRPr="00C52C69">
        <w:rPr>
          <w:rFonts w:eastAsia="Times New Roman"/>
        </w:rPr>
        <w:t>costs associated with the provision of generation twice</w:t>
      </w:r>
      <w:r w:rsidR="00863403">
        <w:rPr>
          <w:rFonts w:eastAsia="Times New Roman"/>
        </w:rPr>
        <w:t>.”</w:t>
      </w:r>
      <w:r w:rsidR="00200C0C">
        <w:rPr>
          <w:rStyle w:val="FootnoteReference"/>
          <w:rFonts w:eastAsia="Times New Roman"/>
        </w:rPr>
        <w:footnoteReference w:id="22"/>
      </w:r>
      <w:r w:rsidR="00863403">
        <w:rPr>
          <w:rFonts w:eastAsia="Times New Roman"/>
        </w:rPr>
        <w:t xml:space="preserve"> Staff claims that “[a]</w:t>
      </w:r>
      <w:proofErr w:type="spellStart"/>
      <w:r w:rsidR="009E63F1">
        <w:rPr>
          <w:rFonts w:eastAsia="Times New Roman"/>
        </w:rPr>
        <w:t>ll</w:t>
      </w:r>
      <w:proofErr w:type="spellEnd"/>
      <w:r w:rsidR="009E63F1">
        <w:rPr>
          <w:rFonts w:eastAsia="Times New Roman"/>
        </w:rPr>
        <w:t xml:space="preserve"> customers pay for the </w:t>
      </w:r>
      <w:r w:rsidR="009E63F1" w:rsidRPr="009E63F1">
        <w:rPr>
          <w:rFonts w:eastAsia="Times New Roman"/>
        </w:rPr>
        <w:t xml:space="preserve">Company’s distribution </w:t>
      </w:r>
      <w:r w:rsidR="009E63F1">
        <w:rPr>
          <w:rFonts w:eastAsia="Times New Roman"/>
        </w:rPr>
        <w:t>costs in distribution rates.</w:t>
      </w:r>
      <w:r w:rsidR="009E63F1" w:rsidRPr="009E63F1">
        <w:rPr>
          <w:rFonts w:eastAsia="Times New Roman"/>
        </w:rPr>
        <w:t xml:space="preserve"> Choi</w:t>
      </w:r>
      <w:r w:rsidR="009E63F1">
        <w:rPr>
          <w:rFonts w:eastAsia="Times New Roman"/>
        </w:rPr>
        <w:t xml:space="preserve">ce customers do not pay for the </w:t>
      </w:r>
      <w:r w:rsidR="009E63F1" w:rsidRPr="009E63F1">
        <w:rPr>
          <w:rFonts w:eastAsia="Times New Roman"/>
        </w:rPr>
        <w:t>Company’s distribution costs in the CRES supplier’s ch</w:t>
      </w:r>
      <w:r w:rsidR="009E63F1">
        <w:rPr>
          <w:rFonts w:eastAsia="Times New Roman"/>
        </w:rPr>
        <w:t xml:space="preserve">arges; rather, Choice customers </w:t>
      </w:r>
      <w:r w:rsidR="009E63F1" w:rsidRPr="009E63F1">
        <w:rPr>
          <w:rFonts w:eastAsia="Times New Roman"/>
        </w:rPr>
        <w:t>pay for generation service through</w:t>
      </w:r>
      <w:r w:rsidR="009E63F1">
        <w:rPr>
          <w:rFonts w:eastAsia="Times New Roman"/>
        </w:rPr>
        <w:t xml:space="preserve"> the CRES supplier’s charges.</w:t>
      </w:r>
      <w:r w:rsidR="00863403">
        <w:rPr>
          <w:rFonts w:eastAsia="Times New Roman"/>
        </w:rPr>
        <w:t>”</w:t>
      </w:r>
      <w:r w:rsidR="0095265D">
        <w:rPr>
          <w:rStyle w:val="FootnoteReference"/>
          <w:rFonts w:eastAsia="Times New Roman"/>
        </w:rPr>
        <w:footnoteReference w:id="23"/>
      </w:r>
      <w:r w:rsidR="00863403">
        <w:rPr>
          <w:rFonts w:eastAsia="Times New Roman"/>
        </w:rPr>
        <w:t xml:space="preserve"> </w:t>
      </w:r>
      <w:r w:rsidR="00BD2AB0">
        <w:rPr>
          <w:rFonts w:eastAsia="Times New Roman"/>
        </w:rPr>
        <w:t xml:space="preserve">  </w:t>
      </w:r>
      <w:r w:rsidR="00863403">
        <w:rPr>
          <w:rFonts w:eastAsia="Times New Roman"/>
        </w:rPr>
        <w:t xml:space="preserve">This argument borders on the absurd.  SSO-related </w:t>
      </w:r>
      <w:r w:rsidR="00F32293">
        <w:rPr>
          <w:rFonts w:eastAsia="Times New Roman"/>
        </w:rPr>
        <w:t xml:space="preserve">costs </w:t>
      </w:r>
      <w:r w:rsidR="00863403">
        <w:rPr>
          <w:rFonts w:eastAsia="Times New Roman"/>
        </w:rPr>
        <w:t>r</w:t>
      </w:r>
      <w:r w:rsidR="00F32293">
        <w:rPr>
          <w:rFonts w:eastAsia="Times New Roman"/>
        </w:rPr>
        <w:t>elate</w:t>
      </w:r>
      <w:r w:rsidR="00863403">
        <w:rPr>
          <w:rFonts w:eastAsia="Times New Roman"/>
        </w:rPr>
        <w:t xml:space="preserve"> to the provision of</w:t>
      </w:r>
      <w:r w:rsidR="00F32293">
        <w:rPr>
          <w:rFonts w:eastAsia="Times New Roman"/>
        </w:rPr>
        <w:t xml:space="preserve"> competitive</w:t>
      </w:r>
      <w:r w:rsidR="00863403">
        <w:rPr>
          <w:rFonts w:eastAsia="Times New Roman"/>
        </w:rPr>
        <w:t xml:space="preserve"> retail e</w:t>
      </w:r>
      <w:r w:rsidR="00F32293">
        <w:rPr>
          <w:rFonts w:eastAsia="Times New Roman"/>
        </w:rPr>
        <w:t>lectric generation service.  When these</w:t>
      </w:r>
      <w:r w:rsidR="00E31B4D">
        <w:rPr>
          <w:rFonts w:eastAsia="Times New Roman"/>
        </w:rPr>
        <w:t xml:space="preserve"> </w:t>
      </w:r>
      <w:r w:rsidR="00F32293">
        <w:rPr>
          <w:rFonts w:eastAsia="Times New Roman"/>
        </w:rPr>
        <w:t>costs</w:t>
      </w:r>
      <w:r w:rsidR="00E31B4D">
        <w:rPr>
          <w:rFonts w:eastAsia="Times New Roman"/>
        </w:rPr>
        <w:t xml:space="preserve"> are recovered through</w:t>
      </w:r>
      <w:r w:rsidR="00F32293">
        <w:rPr>
          <w:rFonts w:eastAsia="Times New Roman"/>
        </w:rPr>
        <w:t xml:space="preserve"> distribution rates, it is undeniable that choice customers are required to pay for these costs twice—</w:t>
      </w:r>
      <w:r w:rsidR="00E31B4D">
        <w:rPr>
          <w:rFonts w:eastAsia="Times New Roman"/>
        </w:rPr>
        <w:t>once</w:t>
      </w:r>
      <w:r w:rsidR="00F32293">
        <w:rPr>
          <w:rFonts w:eastAsia="Times New Roman"/>
        </w:rPr>
        <w:t xml:space="preserve"> through their distribution rate</w:t>
      </w:r>
      <w:r w:rsidR="00E31B4D">
        <w:rPr>
          <w:rFonts w:eastAsia="Times New Roman"/>
        </w:rPr>
        <w:t xml:space="preserve">s; </w:t>
      </w:r>
      <w:proofErr w:type="gramStart"/>
      <w:r w:rsidR="00E31B4D">
        <w:rPr>
          <w:rFonts w:eastAsia="Times New Roman"/>
        </w:rPr>
        <w:t>again</w:t>
      </w:r>
      <w:proofErr w:type="gramEnd"/>
      <w:r w:rsidR="00E31B4D">
        <w:rPr>
          <w:rFonts w:eastAsia="Times New Roman"/>
        </w:rPr>
        <w:t xml:space="preserve"> </w:t>
      </w:r>
      <w:r w:rsidR="00F32293">
        <w:rPr>
          <w:rFonts w:eastAsia="Times New Roman"/>
        </w:rPr>
        <w:t>through their choice supply rate</w:t>
      </w:r>
      <w:r w:rsidR="00E31B4D">
        <w:rPr>
          <w:rFonts w:eastAsia="Times New Roman"/>
        </w:rPr>
        <w:t>s</w:t>
      </w:r>
      <w:r w:rsidR="00F32293">
        <w:rPr>
          <w:rFonts w:eastAsia="Times New Roman"/>
        </w:rPr>
        <w:t>.</w:t>
      </w:r>
    </w:p>
    <w:p w14:paraId="08D1D898" w14:textId="139864DC" w:rsidR="00BD2AB0" w:rsidRDefault="00AB73DA" w:rsidP="00BD2AB0">
      <w:pPr>
        <w:ind w:left="-90" w:firstLine="810"/>
      </w:pPr>
      <w:r>
        <w:rPr>
          <w:rFonts w:eastAsia="Arial"/>
          <w:bCs/>
        </w:rPr>
        <w:t>Third, r</w:t>
      </w:r>
      <w:r w:rsidR="005B1D87">
        <w:rPr>
          <w:rFonts w:eastAsia="Arial"/>
          <w:bCs/>
        </w:rPr>
        <w:t>elying upon the testimony of OCC, Staff claims that “[t]</w:t>
      </w:r>
      <w:r w:rsidR="005B1D87" w:rsidRPr="00662A1C">
        <w:rPr>
          <w:rFonts w:eastAsia="Arial"/>
          <w:bCs/>
        </w:rPr>
        <w:t>he RESA</w:t>
      </w:r>
      <w:r w:rsidR="005B1D87">
        <w:rPr>
          <w:rFonts w:eastAsia="Arial"/>
          <w:bCs/>
        </w:rPr>
        <w:t xml:space="preserve"> </w:t>
      </w:r>
      <w:r w:rsidR="005B1D87" w:rsidRPr="00662A1C">
        <w:rPr>
          <w:rFonts w:eastAsia="Arial"/>
          <w:bCs/>
        </w:rPr>
        <w:t>and IGS proposal also includes an unjust and unreason</w:t>
      </w:r>
      <w:r w:rsidR="005B1D87">
        <w:rPr>
          <w:rFonts w:eastAsia="Arial"/>
          <w:bCs/>
        </w:rPr>
        <w:t xml:space="preserve">able cross-subsidization of the </w:t>
      </w:r>
      <w:r w:rsidR="005B1D87" w:rsidRPr="00662A1C">
        <w:rPr>
          <w:rFonts w:eastAsia="Arial"/>
          <w:bCs/>
        </w:rPr>
        <w:t>avoidable rider charged to the non-shopping residential c</w:t>
      </w:r>
      <w:r w:rsidR="005B1D87">
        <w:rPr>
          <w:rFonts w:eastAsia="Arial"/>
          <w:bCs/>
        </w:rPr>
        <w:t xml:space="preserve">ustomers that harms residential </w:t>
      </w:r>
      <w:r w:rsidR="005B1D87" w:rsidRPr="00662A1C">
        <w:rPr>
          <w:rFonts w:eastAsia="Arial"/>
          <w:bCs/>
        </w:rPr>
        <w:t>customers and violates the regulato</w:t>
      </w:r>
      <w:r w:rsidR="005B1D87">
        <w:rPr>
          <w:rFonts w:eastAsia="Arial"/>
          <w:bCs/>
        </w:rPr>
        <w:t>ry principle of cost causation.”</w:t>
      </w:r>
      <w:r w:rsidR="0095265D">
        <w:rPr>
          <w:rStyle w:val="FootnoteReference"/>
          <w:rFonts w:eastAsia="Arial"/>
          <w:bCs/>
        </w:rPr>
        <w:footnoteReference w:id="24"/>
      </w:r>
      <w:r w:rsidR="005B1D87">
        <w:rPr>
          <w:rFonts w:eastAsia="Arial"/>
          <w:bCs/>
        </w:rPr>
        <w:t xml:space="preserve">  IGS already addressed this point in its initial brief.  </w:t>
      </w:r>
      <w:r w:rsidR="005B1D87">
        <w:t xml:space="preserve">OCC witness Willis testified that he didn’t evaluate </w:t>
      </w:r>
      <w:r w:rsidR="001B348F">
        <w:t>the RESA/IGS</w:t>
      </w:r>
      <w:r w:rsidR="005B1D87">
        <w:t xml:space="preserve"> methodology in any detail.</w:t>
      </w:r>
      <w:r w:rsidR="005B1D87">
        <w:rPr>
          <w:rStyle w:val="FootnoteReference"/>
        </w:rPr>
        <w:footnoteReference w:id="25"/>
      </w:r>
      <w:r w:rsidR="005B1D87">
        <w:t xml:space="preserve">  Moreover, he couldn’t opine whether the $700,000 revenue shift had a rate impact—or whether it would simply be lost in the rounding.</w:t>
      </w:r>
      <w:r w:rsidR="005B1D87">
        <w:rPr>
          <w:rStyle w:val="FootnoteReference"/>
        </w:rPr>
        <w:footnoteReference w:id="26"/>
      </w:r>
      <w:r w:rsidR="005B1D87">
        <w:t xml:space="preserve">  In any event, Mr. Willis testified that such revenue and cost shifts are common in utility rate making due </w:t>
      </w:r>
      <w:r w:rsidR="005B1D87">
        <w:lastRenderedPageBreak/>
        <w:t>to rate design.</w:t>
      </w:r>
      <w:r w:rsidR="005B1D87">
        <w:rPr>
          <w:rStyle w:val="FootnoteReference"/>
        </w:rPr>
        <w:footnoteReference w:id="27"/>
      </w:r>
      <w:r w:rsidR="005B1D87">
        <w:t xml:space="preserve">  As several witnesses in this case testified, rate design is an art, not a science.</w:t>
      </w:r>
      <w:r w:rsidR="005B1D87">
        <w:rPr>
          <w:rStyle w:val="FootnoteReference"/>
        </w:rPr>
        <w:footnoteReference w:id="28"/>
      </w:r>
      <w:r w:rsidR="005B1D87">
        <w:t xml:space="preserve">  Therefore, OCC’s red herring provides no basis to justify providing a $20+ million annual subsidy to the SSO.</w:t>
      </w:r>
    </w:p>
    <w:p w14:paraId="00FD4A8D" w14:textId="442867F1" w:rsidR="001B5FB4" w:rsidRDefault="001B5FB4" w:rsidP="00BD2AB0">
      <w:pPr>
        <w:ind w:left="-90" w:firstLine="810"/>
      </w:pPr>
      <w:r>
        <w:t>Fourth, OCC and OPAE claim that the Commission should not “artificially increa</w:t>
      </w:r>
      <w:r w:rsidR="001B348F">
        <w:t>se” the SSO price because it</w:t>
      </w:r>
      <w:r>
        <w:t xml:space="preserve"> benefits all customers and provides a “price to compare.”</w:t>
      </w:r>
      <w:r>
        <w:rPr>
          <w:rStyle w:val="FootnoteReference"/>
        </w:rPr>
        <w:footnoteReference w:id="29"/>
      </w:r>
      <w:r>
        <w:t xml:space="preserve">  Contrary to their claim, there is nothing artificial about IGS/RESA’s recommendation to unbundle costs from distribution rates.</w:t>
      </w:r>
      <w:r w:rsidR="001B348F">
        <w:t xml:space="preserve">  Indeed, no party disputed that the Stipulation would permit recovery of SSO-related costs through distribution rates.</w:t>
      </w:r>
      <w:r>
        <w:t xml:space="preserve"> </w:t>
      </w:r>
      <w:r w:rsidR="001B348F">
        <w:t xml:space="preserve"> </w:t>
      </w:r>
      <w:r w:rsidR="00397413">
        <w:t>Thus, it is OCC and OPAE that seek to put their thumb on the scale to</w:t>
      </w:r>
      <w:r>
        <w:t xml:space="preserve"> artificial</w:t>
      </w:r>
      <w:r w:rsidR="00397413">
        <w:t>ly decrease the</w:t>
      </w:r>
      <w:r>
        <w:t xml:space="preserve"> price to compare </w:t>
      </w:r>
      <w:r w:rsidR="00397413">
        <w:t>through distribution rate subsidies.  The Commission should reject their proposal, which would provide</w:t>
      </w:r>
      <w:r>
        <w:t xml:space="preserve"> an unlevel playing field to the detriment of shopping customers and the competitive market.</w:t>
      </w:r>
      <w:r w:rsidR="00856EB8">
        <w:rPr>
          <w:rStyle w:val="FootnoteReference"/>
        </w:rPr>
        <w:footnoteReference w:id="30"/>
      </w:r>
    </w:p>
    <w:p w14:paraId="756EF9CF" w14:textId="779C40AA" w:rsidR="00BD2AB0" w:rsidRPr="005B1D87" w:rsidRDefault="00BD2AB0" w:rsidP="00BD2AB0">
      <w:pPr>
        <w:ind w:left="-90" w:firstLine="810"/>
      </w:pPr>
      <w:r>
        <w:t>Accordingly, the Commission should modify the Stipulation and require Duke to allocate all SSO-</w:t>
      </w:r>
      <w:r w:rsidR="00E66425">
        <w:t>related costs to that service.  IGS and RESA submitted the testimony of Ed Hess to achieve this result.  Mr. Hess proposed a non-</w:t>
      </w:r>
      <w:proofErr w:type="spellStart"/>
      <w:r w:rsidR="00E66425">
        <w:t>bypassable</w:t>
      </w:r>
      <w:proofErr w:type="spellEnd"/>
      <w:r w:rsidR="00E66425">
        <w:t xml:space="preserve"> credit rider to eliminate the proposed SSO subsidy from distribution rates and a </w:t>
      </w:r>
      <w:proofErr w:type="spellStart"/>
      <w:r w:rsidR="00E66425">
        <w:t>bypassable</w:t>
      </w:r>
      <w:proofErr w:type="spellEnd"/>
      <w:r w:rsidR="00E66425">
        <w:t xml:space="preserve"> charge rider to reallocate such costs to SSO service.</w:t>
      </w:r>
      <w:r w:rsidR="00397413">
        <w:rPr>
          <w:rStyle w:val="FootnoteReference"/>
        </w:rPr>
        <w:footnoteReference w:id="31"/>
      </w:r>
      <w:r w:rsidR="00E66425">
        <w:t xml:space="preserve">  While Mr. Hess provided one way to achieve this result, IGS does not object to the Commission stripping the $23 million SSO subsidy from distribution rates and reallocating that amount to the SSO price.  To the extent that </w:t>
      </w:r>
      <w:r w:rsidR="00397413">
        <w:lastRenderedPageBreak/>
        <w:t>the Commission elects</w:t>
      </w:r>
      <w:r w:rsidR="00E66425">
        <w:t xml:space="preserve"> this r</w:t>
      </w:r>
      <w:r w:rsidR="00397413">
        <w:t>oute, there is</w:t>
      </w:r>
      <w:r w:rsidR="00E66425">
        <w:t xml:space="preserve"> no need to establish any additional riders.</w:t>
      </w:r>
      <w:r w:rsidR="0095265D">
        <w:t xml:space="preserve">  Such approach is consistent with the Commission’s treatment of the OCC and PUCO assessments in Dayton Power and Light’s distribution rate case.</w:t>
      </w:r>
      <w:r w:rsidR="0095265D">
        <w:rPr>
          <w:rStyle w:val="FootnoteReference"/>
        </w:rPr>
        <w:footnoteReference w:id="32"/>
      </w:r>
      <w:r w:rsidR="0095265D">
        <w:t xml:space="preserve"> </w:t>
      </w:r>
      <w:r w:rsidR="00E66425">
        <w:t xml:space="preserve"> The end result is the same; therefore, IGS has no preference to the process employed by the Commission to ensure that Duke’s SSO rates are properly unbundled and reflective of all necessary cost components.</w:t>
      </w:r>
      <w:r w:rsidR="00397413">
        <w:t xml:space="preserve"> IGS simply requests that the Commission follow the</w:t>
      </w:r>
      <w:r w:rsidR="008B4AC6">
        <w:t xml:space="preserve"> law</w:t>
      </w:r>
      <w:r w:rsidR="00397413">
        <w:t xml:space="preserve"> and not permit the recovery of SSO-related costs</w:t>
      </w:r>
      <w:r w:rsidR="00B46CA1">
        <w:t xml:space="preserve"> through distribution rates.</w:t>
      </w:r>
    </w:p>
    <w:p w14:paraId="3D727C0D" w14:textId="5D4D3735" w:rsidR="005B1D87" w:rsidRPr="005B1D87" w:rsidRDefault="005B1D87" w:rsidP="005B1D87">
      <w:pPr>
        <w:pStyle w:val="ListParagraph"/>
        <w:numPr>
          <w:ilvl w:val="0"/>
          <w:numId w:val="24"/>
        </w:numPr>
        <w:rPr>
          <w:rFonts w:eastAsia="Times New Roman"/>
          <w:b/>
        </w:rPr>
      </w:pPr>
      <w:r>
        <w:rPr>
          <w:rFonts w:eastAsia="Times New Roman"/>
          <w:b/>
        </w:rPr>
        <w:t>The Commission should eli</w:t>
      </w:r>
      <w:r w:rsidR="004F3002">
        <w:rPr>
          <w:rFonts w:eastAsia="Times New Roman"/>
          <w:b/>
        </w:rPr>
        <w:t>minate CRES fees</w:t>
      </w:r>
    </w:p>
    <w:p w14:paraId="6C0DD051" w14:textId="29784D1D" w:rsidR="00C52C69" w:rsidRDefault="00E31B4D" w:rsidP="009E63F1">
      <w:pPr>
        <w:rPr>
          <w:rFonts w:eastAsia="Times New Roman"/>
        </w:rPr>
      </w:pPr>
      <w:r>
        <w:rPr>
          <w:rFonts w:eastAsia="Times New Roman"/>
        </w:rPr>
        <w:tab/>
        <w:t>Adding insult to injury, the Staff seeks to justify</w:t>
      </w:r>
      <w:r w:rsidR="00326355">
        <w:rPr>
          <w:rFonts w:eastAsia="Times New Roman"/>
        </w:rPr>
        <w:t xml:space="preserve"> the discriminatory fees applicable to the </w:t>
      </w:r>
      <w:r>
        <w:rPr>
          <w:rFonts w:eastAsia="Times New Roman"/>
        </w:rPr>
        <w:t>choice market</w:t>
      </w:r>
      <w:r w:rsidR="005B1D87">
        <w:rPr>
          <w:rFonts w:eastAsia="Times New Roman"/>
        </w:rPr>
        <w:t>.</w:t>
      </w:r>
      <w:r w:rsidR="0095265D">
        <w:rPr>
          <w:rStyle w:val="FootnoteReference"/>
          <w:rFonts w:eastAsia="Times New Roman"/>
        </w:rPr>
        <w:footnoteReference w:id="33"/>
      </w:r>
      <w:r w:rsidR="005B1D87">
        <w:rPr>
          <w:rFonts w:eastAsia="Times New Roman"/>
        </w:rPr>
        <w:t xml:space="preserve">  </w:t>
      </w:r>
      <w:r w:rsidR="00326355">
        <w:rPr>
          <w:rFonts w:eastAsia="Times New Roman"/>
        </w:rPr>
        <w:t>Staff claims that billing, switching, and data fees are not charge to customers; they apply direc</w:t>
      </w:r>
      <w:r w:rsidR="005B1D87">
        <w:rPr>
          <w:rFonts w:eastAsia="Times New Roman"/>
        </w:rPr>
        <w:t>tly to their suppliers.</w:t>
      </w:r>
      <w:r w:rsidR="0095265D">
        <w:rPr>
          <w:rStyle w:val="FootnoteReference"/>
          <w:rFonts w:eastAsia="Times New Roman"/>
        </w:rPr>
        <w:footnoteReference w:id="34"/>
      </w:r>
      <w:r w:rsidR="00326355">
        <w:rPr>
          <w:rFonts w:eastAsia="Times New Roman"/>
        </w:rPr>
        <w:t xml:space="preserve"> Staff</w:t>
      </w:r>
      <w:r w:rsidR="005B1D87">
        <w:rPr>
          <w:rFonts w:eastAsia="Times New Roman"/>
        </w:rPr>
        <w:t xml:space="preserve"> further</w:t>
      </w:r>
      <w:r w:rsidR="00326355">
        <w:rPr>
          <w:rFonts w:eastAsia="Times New Roman"/>
        </w:rPr>
        <w:t xml:space="preserve"> claims that fees</w:t>
      </w:r>
      <w:r w:rsidR="009E63F1" w:rsidRPr="009E63F1">
        <w:rPr>
          <w:rFonts w:eastAsia="Times New Roman"/>
        </w:rPr>
        <w:t xml:space="preserve"> </w:t>
      </w:r>
      <w:r w:rsidR="00326355">
        <w:rPr>
          <w:rFonts w:eastAsia="Times New Roman"/>
        </w:rPr>
        <w:t>“</w:t>
      </w:r>
      <w:r w:rsidR="009E63F1" w:rsidRPr="009E63F1">
        <w:rPr>
          <w:rFonts w:eastAsia="Times New Roman"/>
        </w:rPr>
        <w:t>are marginal expenses, and cos</w:t>
      </w:r>
      <w:r w:rsidR="00326355">
        <w:rPr>
          <w:rFonts w:eastAsia="Times New Roman"/>
        </w:rPr>
        <w:t xml:space="preserve">t causation dictates the assets </w:t>
      </w:r>
      <w:r w:rsidR="009E63F1" w:rsidRPr="009E63F1">
        <w:rPr>
          <w:rFonts w:eastAsia="Times New Roman"/>
        </w:rPr>
        <w:t>used individually s</w:t>
      </w:r>
      <w:r w:rsidR="009E63F1">
        <w:rPr>
          <w:rFonts w:eastAsia="Times New Roman"/>
        </w:rPr>
        <w:t>hall be charged individually.”</w:t>
      </w:r>
      <w:r w:rsidR="0095265D">
        <w:rPr>
          <w:rStyle w:val="FootnoteReference"/>
          <w:rFonts w:eastAsia="Times New Roman"/>
        </w:rPr>
        <w:footnoteReference w:id="35"/>
      </w:r>
      <w:r w:rsidR="00326355">
        <w:rPr>
          <w:rFonts w:eastAsia="Times New Roman"/>
        </w:rPr>
        <w:t xml:space="preserve">  </w:t>
      </w:r>
      <w:r w:rsidR="00DF17EF">
        <w:rPr>
          <w:rFonts w:eastAsia="Times New Roman"/>
        </w:rPr>
        <w:t>Staff further claims that it was not obligated to review these charges because the Company did not “propose changing the current tariff.”</w:t>
      </w:r>
      <w:r w:rsidR="00BD2AB0">
        <w:rPr>
          <w:rStyle w:val="FootnoteReference"/>
          <w:rFonts w:eastAsia="Times New Roman"/>
        </w:rPr>
        <w:footnoteReference w:id="36"/>
      </w:r>
      <w:r w:rsidR="00DF17EF">
        <w:rPr>
          <w:rFonts w:eastAsia="Times New Roman"/>
        </w:rPr>
        <w:t xml:space="preserve"> </w:t>
      </w:r>
      <w:r w:rsidR="00BD2AB0">
        <w:rPr>
          <w:rFonts w:eastAsia="Times New Roman"/>
        </w:rPr>
        <w:t xml:space="preserve"> </w:t>
      </w:r>
      <w:r w:rsidR="00326355">
        <w:rPr>
          <w:rFonts w:eastAsia="Times New Roman"/>
        </w:rPr>
        <w:t>These are arguments lack merit.</w:t>
      </w:r>
    </w:p>
    <w:p w14:paraId="68FDAC35" w14:textId="013FB85F" w:rsidR="00E31B4D" w:rsidRDefault="00326355" w:rsidP="009E63F1">
      <w:pPr>
        <w:rPr>
          <w:rFonts w:eastAsia="Times New Roman"/>
        </w:rPr>
      </w:pPr>
      <w:r>
        <w:rPr>
          <w:rFonts w:eastAsia="Times New Roman"/>
        </w:rPr>
        <w:tab/>
      </w:r>
      <w:r w:rsidR="00E31B4D">
        <w:rPr>
          <w:rFonts w:eastAsia="Times New Roman"/>
        </w:rPr>
        <w:t>First, it is irrelevan</w:t>
      </w:r>
      <w:r w:rsidR="003516A8">
        <w:rPr>
          <w:rFonts w:eastAsia="Times New Roman"/>
        </w:rPr>
        <w:t>t whether these fees are collected from Suppliers rather than customers</w:t>
      </w:r>
      <w:r w:rsidR="00E31B4D">
        <w:rPr>
          <w:rFonts w:eastAsia="Times New Roman"/>
        </w:rPr>
        <w:t xml:space="preserve">.  A CRES provider must recover its costs; therefore, the fees must be passed </w:t>
      </w:r>
      <w:r w:rsidR="00E31B4D">
        <w:rPr>
          <w:rFonts w:eastAsia="Times New Roman"/>
        </w:rPr>
        <w:lastRenderedPageBreak/>
        <w:t>onto customers through the CRES provider’s rates and charges.</w:t>
      </w:r>
      <w:r w:rsidR="00397413">
        <w:rPr>
          <w:rStyle w:val="FootnoteReference"/>
          <w:rFonts w:eastAsia="Times New Roman"/>
        </w:rPr>
        <w:footnoteReference w:id="37"/>
      </w:r>
      <w:r w:rsidR="00E31B4D">
        <w:rPr>
          <w:rFonts w:eastAsia="Times New Roman"/>
        </w:rPr>
        <w:t xml:space="preserve">  Requiring CRES provides to incur these costs while the SSO bears none for similar services is anticompetitive and detrimental to the market.</w:t>
      </w:r>
    </w:p>
    <w:p w14:paraId="66C465F6" w14:textId="77777777" w:rsidR="00D645A0" w:rsidRDefault="00E31B4D" w:rsidP="009E63F1">
      <w:pPr>
        <w:rPr>
          <w:rFonts w:eastAsia="Times New Roman"/>
        </w:rPr>
      </w:pPr>
      <w:r>
        <w:rPr>
          <w:rFonts w:eastAsia="Times New Roman"/>
        </w:rPr>
        <w:tab/>
        <w:t>Second,</w:t>
      </w:r>
      <w:r w:rsidR="00D645A0">
        <w:rPr>
          <w:rFonts w:eastAsia="Times New Roman"/>
        </w:rPr>
        <w:t xml:space="preserve"> </w:t>
      </w:r>
      <w:r>
        <w:rPr>
          <w:rFonts w:eastAsia="Times New Roman"/>
        </w:rPr>
        <w:t>if the fees applicable to CRES providers relate to “marginal expenses”, Duke should have offered evidence to support the cost basis for these fees.</w:t>
      </w:r>
      <w:r w:rsidR="00DF17EF">
        <w:rPr>
          <w:rFonts w:eastAsia="Times New Roman"/>
        </w:rPr>
        <w:t xml:space="preserve">  Since these fees were included in Duke’s assumed test year revenues, Duke should have provided a cost-based justification for the fees.</w:t>
      </w:r>
      <w:r>
        <w:rPr>
          <w:rFonts w:eastAsia="Times New Roman"/>
        </w:rPr>
        <w:t xml:space="preserve">  It did not.  Moreover, if cost causation dictates that assets be charged to those that benefit from their use, SSO service should not be exempt from this principle. </w:t>
      </w:r>
    </w:p>
    <w:p w14:paraId="0F01548B" w14:textId="152EA0B0" w:rsidR="00397413" w:rsidRDefault="00D645A0" w:rsidP="009E63F1">
      <w:pPr>
        <w:rPr>
          <w:rFonts w:eastAsia="Times New Roman"/>
        </w:rPr>
      </w:pPr>
      <w:r>
        <w:rPr>
          <w:rFonts w:eastAsia="Times New Roman"/>
        </w:rPr>
        <w:tab/>
        <w:t>Third,</w:t>
      </w:r>
      <w:r w:rsidR="00397413" w:rsidRPr="00397413">
        <w:rPr>
          <w:rFonts w:eastAsia="Arial"/>
          <w:bCs/>
        </w:rPr>
        <w:t xml:space="preserve"> </w:t>
      </w:r>
      <w:r w:rsidR="00397413">
        <w:rPr>
          <w:rFonts w:eastAsia="Arial"/>
          <w:bCs/>
        </w:rPr>
        <w:t>Staff inappropriately relies upon the fact that Duke failed to propose changes to its supplier fees.  This is a combined hearing on a distribution rate case and an ESP case.  If Duke’s fees cannot be addressed in this context, Staff’s argument implies that Duke should be permitted to collect fees from suppliers in perpetuity regardless of the need for such fees.  Moreover, the fees are a component of Duke’s test year distribution revenues that are the subject of the Stipulation.  Therefore, to the extent that any fees are permitted</w:t>
      </w:r>
      <w:r w:rsidR="00AE0D47">
        <w:rPr>
          <w:rFonts w:eastAsia="Arial"/>
          <w:bCs/>
        </w:rPr>
        <w:t>—which they should not be—</w:t>
      </w:r>
      <w:r w:rsidR="00397413">
        <w:rPr>
          <w:rFonts w:eastAsia="Arial"/>
          <w:bCs/>
        </w:rPr>
        <w:t>Duke should have provided a cost justification and the Staff should have been required to evaluate whether these fees are reasonable in relation to the services Duke provides.</w:t>
      </w:r>
      <w:r w:rsidR="00AE0D47">
        <w:rPr>
          <w:rFonts w:eastAsia="Arial"/>
          <w:bCs/>
        </w:rPr>
        <w:t xml:space="preserve">  It did not; therefore, they are unjustified and should not be permitted to continue. </w:t>
      </w:r>
    </w:p>
    <w:p w14:paraId="1788801C" w14:textId="4B395D13" w:rsidR="00326355" w:rsidRDefault="00D645A0" w:rsidP="009E63F1">
      <w:pPr>
        <w:rPr>
          <w:rFonts w:eastAsia="Arial"/>
          <w:bCs/>
        </w:rPr>
      </w:pPr>
      <w:r>
        <w:rPr>
          <w:rFonts w:eastAsia="Times New Roman"/>
        </w:rPr>
        <w:t xml:space="preserve"> </w:t>
      </w:r>
      <w:r w:rsidR="00397413">
        <w:rPr>
          <w:rFonts w:eastAsia="Times New Roman"/>
        </w:rPr>
        <w:tab/>
        <w:t>Fourth, Staff’s argument that it is appropriate to assign</w:t>
      </w:r>
      <w:r>
        <w:rPr>
          <w:rFonts w:eastAsia="Times New Roman"/>
        </w:rPr>
        <w:t xml:space="preserve"> costs to the choice market is contradicted by its claim that “</w:t>
      </w:r>
      <w:r w:rsidR="00DF17EF">
        <w:rPr>
          <w:rFonts w:eastAsia="Times New Roman"/>
        </w:rPr>
        <w:t>[a]</w:t>
      </w:r>
      <w:proofErr w:type="spellStart"/>
      <w:r w:rsidRPr="00D645A0">
        <w:rPr>
          <w:rFonts w:eastAsia="Times New Roman"/>
        </w:rPr>
        <w:t>ll</w:t>
      </w:r>
      <w:proofErr w:type="spellEnd"/>
      <w:r w:rsidRPr="00D645A0">
        <w:rPr>
          <w:rFonts w:eastAsia="Times New Roman"/>
        </w:rPr>
        <w:t xml:space="preserve"> costs that Duke incurs to provide services to or on beh</w:t>
      </w:r>
      <w:r>
        <w:rPr>
          <w:rFonts w:eastAsia="Times New Roman"/>
        </w:rPr>
        <w:t xml:space="preserve">alf of shopping and </w:t>
      </w:r>
      <w:proofErr w:type="spellStart"/>
      <w:r>
        <w:rPr>
          <w:rFonts w:eastAsia="Times New Roman"/>
        </w:rPr>
        <w:t>nonshopping</w:t>
      </w:r>
      <w:proofErr w:type="spellEnd"/>
      <w:r>
        <w:rPr>
          <w:rFonts w:eastAsia="Times New Roman"/>
        </w:rPr>
        <w:t xml:space="preserve"> </w:t>
      </w:r>
      <w:r w:rsidRPr="00D645A0">
        <w:rPr>
          <w:rFonts w:eastAsia="Times New Roman"/>
        </w:rPr>
        <w:t xml:space="preserve">customers are appropriately assigned to the </w:t>
      </w:r>
      <w:r w:rsidRPr="00D645A0">
        <w:rPr>
          <w:rFonts w:eastAsia="Times New Roman"/>
        </w:rPr>
        <w:lastRenderedPageBreak/>
        <w:t>d</w:t>
      </w:r>
      <w:r>
        <w:rPr>
          <w:rFonts w:eastAsia="Times New Roman"/>
        </w:rPr>
        <w:t>istribution function of Duke.”</w:t>
      </w:r>
      <w:r w:rsidR="0095265D">
        <w:rPr>
          <w:rStyle w:val="FootnoteReference"/>
          <w:rFonts w:eastAsia="Times New Roman"/>
        </w:rPr>
        <w:footnoteReference w:id="38"/>
      </w:r>
      <w:r>
        <w:rPr>
          <w:rFonts w:eastAsia="Times New Roman"/>
        </w:rPr>
        <w:t xml:space="preserve">  For example, if Duke incurs costs to switch customers from the SSO to a Supplier and from a Supplier to the SSO, it defies logic and the Staff’s own reasoning that only the former situation results in the assessment of a fee.  As IGS noted in its Initial B</w:t>
      </w:r>
      <w:r w:rsidR="00E31B4D">
        <w:rPr>
          <w:rFonts w:eastAsia="Times New Roman"/>
        </w:rPr>
        <w:t>ri</w:t>
      </w:r>
      <w:r>
        <w:rPr>
          <w:rFonts w:eastAsia="Times New Roman"/>
        </w:rPr>
        <w:t>ef, Staff’s</w:t>
      </w:r>
      <w:r w:rsidR="00704EB8">
        <w:rPr>
          <w:rFonts w:eastAsia="Times New Roman"/>
        </w:rPr>
        <w:t xml:space="preserve"> position </w:t>
      </w:r>
      <w:r>
        <w:rPr>
          <w:rFonts w:eastAsia="Times New Roman"/>
        </w:rPr>
        <w:t xml:space="preserve">is </w:t>
      </w:r>
      <w:r w:rsidR="00704EB8">
        <w:rPr>
          <w:rFonts w:eastAsia="Times New Roman"/>
        </w:rPr>
        <w:t>that</w:t>
      </w:r>
      <w:r w:rsidR="00E31B4D">
        <w:rPr>
          <w:rFonts w:eastAsia="Times New Roman"/>
        </w:rPr>
        <w:t xml:space="preserve"> </w:t>
      </w:r>
      <w:r w:rsidR="00704EB8">
        <w:rPr>
          <w:rFonts w:eastAsia="Arial"/>
          <w:bCs/>
        </w:rPr>
        <w:t>the cost of monopoly-based noncompetitive services should recovered only from shopping customers, and costs to support competitive-based SSO services should be socialized.</w:t>
      </w:r>
      <w:r w:rsidR="00152FCA">
        <w:rPr>
          <w:rStyle w:val="FootnoteReference"/>
          <w:rFonts w:eastAsia="Arial"/>
          <w:bCs/>
        </w:rPr>
        <w:footnoteReference w:id="39"/>
      </w:r>
      <w:r w:rsidR="00AE0D47">
        <w:rPr>
          <w:rFonts w:eastAsia="Arial"/>
          <w:bCs/>
        </w:rPr>
        <w:t xml:space="preserve">  This is fundamentally unfair.</w:t>
      </w:r>
    </w:p>
    <w:p w14:paraId="5CD230A1" w14:textId="52DA93F1" w:rsidR="0095265D" w:rsidRPr="00D645A0" w:rsidRDefault="0095265D" w:rsidP="009E63F1">
      <w:pPr>
        <w:rPr>
          <w:rFonts w:eastAsia="Times New Roman"/>
        </w:rPr>
      </w:pPr>
      <w:r>
        <w:rPr>
          <w:rFonts w:eastAsia="Arial"/>
          <w:bCs/>
        </w:rPr>
        <w:tab/>
      </w:r>
      <w:r w:rsidR="00AE0D47" w:rsidRPr="00AE0D47">
        <w:rPr>
          <w:rFonts w:eastAsia="Arial"/>
          <w:bCs/>
        </w:rPr>
        <w:t>The Stipulation proposes that SSO-related costs be recovered through distribution rates.  But, at the same time, it proposes to continue to recover fees directly from shopping customers and CRES providers</w:t>
      </w:r>
      <w:r w:rsidR="00AE0D47">
        <w:rPr>
          <w:rFonts w:eastAsia="Arial"/>
          <w:bCs/>
        </w:rPr>
        <w:t>. These fees generally relate to the provision of monopoly services; therefore, it is inappropriate to directly assign costs to CRES providers and their customers.</w:t>
      </w:r>
      <w:r w:rsidR="00AE0D47" w:rsidRPr="00AE0D47">
        <w:rPr>
          <w:rFonts w:eastAsia="Arial"/>
          <w:bCs/>
        </w:rPr>
        <w:t xml:space="preserve"> Accordingly, at a minimum, the Commission should eliminate CRES fees.</w:t>
      </w:r>
    </w:p>
    <w:p w14:paraId="6AA781AB" w14:textId="77777777" w:rsidR="006701A8" w:rsidRPr="00AA3A71" w:rsidRDefault="00A61BC6" w:rsidP="00A61BC6">
      <w:pPr>
        <w:pStyle w:val="ListParagraph"/>
        <w:numPr>
          <w:ilvl w:val="0"/>
          <w:numId w:val="24"/>
        </w:numPr>
        <w:rPr>
          <w:rFonts w:eastAsia="Arial"/>
          <w:b/>
          <w:bCs/>
        </w:rPr>
      </w:pPr>
      <w:r w:rsidRPr="00AA3A71">
        <w:rPr>
          <w:rFonts w:eastAsia="Arial"/>
          <w:b/>
          <w:bCs/>
        </w:rPr>
        <w:t>The PSR is unlawful and unreasonable</w:t>
      </w:r>
      <w:r w:rsidR="00D645A0" w:rsidRPr="00AA3A71">
        <w:rPr>
          <w:rFonts w:eastAsia="Arial"/>
          <w:b/>
          <w:bCs/>
        </w:rPr>
        <w:tab/>
      </w:r>
      <w:r w:rsidR="00662A1C" w:rsidRPr="00AA3A71">
        <w:rPr>
          <w:rFonts w:eastAsia="Arial"/>
          <w:b/>
          <w:bCs/>
        </w:rPr>
        <w:t xml:space="preserve"> </w:t>
      </w:r>
    </w:p>
    <w:p w14:paraId="471529CF" w14:textId="00C02137" w:rsidR="002F377A" w:rsidRDefault="00BD2AB0" w:rsidP="002F377A">
      <w:pPr>
        <w:ind w:firstLine="720"/>
        <w:rPr>
          <w:rFonts w:eastAsia="Times New Roman"/>
        </w:rPr>
      </w:pPr>
      <w:r>
        <w:rPr>
          <w:rFonts w:eastAsia="Times New Roman"/>
        </w:rPr>
        <w:t>To support its request to bailout its investment in the old, inefficient OVEC assets</w:t>
      </w:r>
      <w:r w:rsidR="00A61BC6">
        <w:rPr>
          <w:rFonts w:eastAsia="Times New Roman"/>
        </w:rPr>
        <w:t>,</w:t>
      </w:r>
      <w:r>
        <w:rPr>
          <w:rFonts w:eastAsia="Times New Roman"/>
        </w:rPr>
        <w:t xml:space="preserve"> Duke asserts four arguments.  First, Duke attempts to wrap itself in the flag, claiming it is in this position due to its</w:t>
      </w:r>
      <w:r w:rsidR="007427A4">
        <w:rPr>
          <w:rFonts w:eastAsia="Times New Roman"/>
        </w:rPr>
        <w:t xml:space="preserve"> benevolence to the Department of Energy</w:t>
      </w:r>
      <w:r w:rsidR="00AE0D47">
        <w:rPr>
          <w:rFonts w:eastAsia="Times New Roman"/>
        </w:rPr>
        <w:t xml:space="preserve"> (“DOE”)</w:t>
      </w:r>
      <w:r w:rsidR="007427A4">
        <w:rPr>
          <w:rFonts w:eastAsia="Times New Roman"/>
        </w:rPr>
        <w:t xml:space="preserve"> uranium enrichment efforts.</w:t>
      </w:r>
      <w:r w:rsidR="00152FCA">
        <w:rPr>
          <w:rStyle w:val="FootnoteReference"/>
          <w:rFonts w:eastAsia="Times New Roman"/>
        </w:rPr>
        <w:footnoteReference w:id="40"/>
      </w:r>
      <w:r w:rsidR="007427A4">
        <w:rPr>
          <w:rFonts w:eastAsia="Times New Roman"/>
        </w:rPr>
        <w:t xml:space="preserve">  Second, Duke claims that the PSR is a hedge.</w:t>
      </w:r>
      <w:r w:rsidR="00152FCA">
        <w:rPr>
          <w:rStyle w:val="FootnoteReference"/>
          <w:rFonts w:eastAsia="Times New Roman"/>
        </w:rPr>
        <w:footnoteReference w:id="41"/>
      </w:r>
      <w:r w:rsidR="007427A4">
        <w:rPr>
          <w:rFonts w:eastAsia="Times New Roman"/>
        </w:rPr>
        <w:t xml:space="preserve"> Third, Duke claims that the PSR will provide credit support for Duke</w:t>
      </w:r>
      <w:r w:rsidR="00152FCA">
        <w:rPr>
          <w:rFonts w:eastAsia="Times New Roman"/>
        </w:rPr>
        <w:t xml:space="preserve"> and result in equal treatment of all Ohio </w:t>
      </w:r>
      <w:r w:rsidR="00152FCA">
        <w:rPr>
          <w:rFonts w:eastAsia="Times New Roman"/>
        </w:rPr>
        <w:lastRenderedPageBreak/>
        <w:t>utilities</w:t>
      </w:r>
      <w:r w:rsidR="007427A4">
        <w:rPr>
          <w:rFonts w:eastAsia="Times New Roman"/>
        </w:rPr>
        <w:t>.</w:t>
      </w:r>
      <w:r w:rsidR="00152FCA">
        <w:rPr>
          <w:rStyle w:val="FootnoteReference"/>
          <w:rFonts w:eastAsia="Times New Roman"/>
        </w:rPr>
        <w:footnoteReference w:id="42"/>
      </w:r>
      <w:r w:rsidR="007427A4">
        <w:rPr>
          <w:rFonts w:eastAsia="Times New Roman"/>
        </w:rPr>
        <w:t xml:space="preserve">  Fourth, Duke claims that the PSR proposed in the Stipulation is must less harmful to customers than the original proposal.</w:t>
      </w:r>
      <w:r w:rsidR="00AE0D47">
        <w:rPr>
          <w:rStyle w:val="FootnoteReference"/>
          <w:rFonts w:eastAsia="Times New Roman"/>
        </w:rPr>
        <w:footnoteReference w:id="43"/>
      </w:r>
      <w:r w:rsidR="007427A4">
        <w:rPr>
          <w:rFonts w:eastAsia="Times New Roman"/>
        </w:rPr>
        <w:t xml:space="preserve">  Each of these arguments is unavailing. </w:t>
      </w:r>
      <w:r>
        <w:rPr>
          <w:rFonts w:eastAsia="Times New Roman"/>
        </w:rPr>
        <w:t xml:space="preserve"> </w:t>
      </w:r>
    </w:p>
    <w:p w14:paraId="59079D51" w14:textId="77777777" w:rsidR="00A61BC6" w:rsidRPr="00AA3A71" w:rsidRDefault="00A61BC6" w:rsidP="00447E8B">
      <w:pPr>
        <w:pStyle w:val="ListParagraph"/>
        <w:numPr>
          <w:ilvl w:val="0"/>
          <w:numId w:val="29"/>
        </w:numPr>
        <w:ind w:left="1710" w:hanging="270"/>
        <w:rPr>
          <w:rFonts w:eastAsia="Times New Roman"/>
          <w:b/>
        </w:rPr>
      </w:pPr>
      <w:r w:rsidRPr="00AA3A71">
        <w:rPr>
          <w:rFonts w:eastAsia="Times New Roman"/>
          <w:b/>
        </w:rPr>
        <w:t>History is not on Duke’s side</w:t>
      </w:r>
    </w:p>
    <w:p w14:paraId="142B13AE" w14:textId="77777777" w:rsidR="00A61BC6" w:rsidRDefault="00A61BC6" w:rsidP="00A61BC6">
      <w:pPr>
        <w:ind w:firstLine="720"/>
        <w:rPr>
          <w:rFonts w:eastAsia="Times New Roman"/>
        </w:rPr>
      </w:pPr>
      <w:r>
        <w:rPr>
          <w:rFonts w:eastAsia="Times New Roman"/>
        </w:rPr>
        <w:t>Duke claims that OVEC’s long history and connection to the Department of Energy requires customers to foot the bill for OVEC’s losses.</w:t>
      </w:r>
      <w:r w:rsidRPr="003C50C0">
        <w:t xml:space="preserve"> </w:t>
      </w:r>
      <w:r>
        <w:rPr>
          <w:rFonts w:eastAsia="Times New Roman"/>
        </w:rPr>
        <w:t xml:space="preserve">Duke alleges that </w:t>
      </w:r>
      <w:r w:rsidRPr="003C50C0">
        <w:rPr>
          <w:rFonts w:eastAsia="Times New Roman"/>
        </w:rPr>
        <w:t xml:space="preserve">OVEC is “different”—that these assets have been used to serve the needs of this country and that the investor owned utilities have been completely hamstrung in their ability to end that servitude. </w:t>
      </w:r>
      <w:r>
        <w:rPr>
          <w:rFonts w:eastAsia="Times New Roman"/>
        </w:rPr>
        <w:t xml:space="preserve">  Reality couldn’t be further from the truth.    </w:t>
      </w:r>
    </w:p>
    <w:p w14:paraId="539EB93A" w14:textId="77777777" w:rsidR="00A61BC6" w:rsidRDefault="00A61BC6" w:rsidP="00A61BC6">
      <w:pPr>
        <w:ind w:firstLine="720"/>
        <w:rPr>
          <w:rFonts w:eastAsia="Times New Roman"/>
        </w:rPr>
      </w:pPr>
      <w:r w:rsidRPr="003C50C0">
        <w:rPr>
          <w:rFonts w:eastAsia="Times New Roman"/>
        </w:rPr>
        <w:t>The existing investment in OVEC was made in its entirety following the restructurin</w:t>
      </w:r>
      <w:r>
        <w:rPr>
          <w:rFonts w:eastAsia="Times New Roman"/>
        </w:rPr>
        <w:t>g of the electric market and Duke</w:t>
      </w:r>
      <w:r w:rsidRPr="003C50C0">
        <w:rPr>
          <w:rFonts w:eastAsia="Times New Roman"/>
        </w:rPr>
        <w:t xml:space="preserve"> willingly passed up multiple opportunities to avoid that investment. A little history is helpful to illustrate these points.</w:t>
      </w:r>
    </w:p>
    <w:p w14:paraId="0B34B6B2" w14:textId="6FA1917D" w:rsidR="00A61BC6" w:rsidRPr="00424DAD" w:rsidRDefault="00A61BC6" w:rsidP="008B4AC6">
      <w:pPr>
        <w:spacing w:after="160"/>
        <w:ind w:firstLine="720"/>
      </w:pPr>
      <w:r w:rsidRPr="00424DAD">
        <w:t>OVEC was formed in 1952 to serve the energy needs of an Atomic Energy Commission (“AEC”) (later subsume</w:t>
      </w:r>
      <w:r w:rsidR="00AE0D47">
        <w:t>d by the Department of Energy DOE</w:t>
      </w:r>
      <w:r w:rsidRPr="00424DAD">
        <w:t xml:space="preserve"> uranium enrichment facility in Piketon, Ohio</w:t>
      </w:r>
      <w:r w:rsidR="00AE0D47">
        <w:t>)</w:t>
      </w:r>
      <w:r w:rsidRPr="00424DAD">
        <w:t>. The agreement governing the operation of the OVEC facilities is often referred to as the Inter-Company Power Agreement (“</w:t>
      </w:r>
      <w:r w:rsidR="008B4AC6">
        <w:t>ICPA</w:t>
      </w:r>
      <w:r w:rsidRPr="00424DAD">
        <w:t xml:space="preserve">”). The </w:t>
      </w:r>
      <w:r w:rsidR="008B4AC6">
        <w:t>ICPA</w:t>
      </w:r>
      <w:r w:rsidRPr="00424DAD">
        <w:t xml:space="preserve"> was initially formulated to expire after </w:t>
      </w:r>
      <w:proofErr w:type="gramStart"/>
      <w:r w:rsidRPr="00424DAD">
        <w:t>twenty five</w:t>
      </w:r>
      <w:proofErr w:type="gramEnd"/>
      <w:r w:rsidRPr="00424DAD">
        <w:t xml:space="preserve"> years, but it has been extended several times at the agreement of the sponsoring companies. The current ownership and power participation ratio, with respect to these facilities, is a matter of public record, with the Ohio utilities’ power participation ratio being just under 40%.</w:t>
      </w:r>
      <w:r w:rsidRPr="00424DAD">
        <w:rPr>
          <w:vertAlign w:val="superscript"/>
        </w:rPr>
        <w:footnoteReference w:id="44"/>
      </w:r>
      <w:r w:rsidRPr="00424DAD">
        <w:t xml:space="preserve"> </w:t>
      </w:r>
      <w:r w:rsidR="00AE0D47">
        <w:t>Duke’s ownership share is 9%.</w:t>
      </w:r>
    </w:p>
    <w:p w14:paraId="00518F3A" w14:textId="58772476" w:rsidR="00A61BC6" w:rsidRDefault="00A61BC6" w:rsidP="00A61BC6">
      <w:pPr>
        <w:spacing w:after="160"/>
        <w:ind w:firstLine="720"/>
      </w:pPr>
      <w:r w:rsidRPr="00424DAD">
        <w:lastRenderedPageBreak/>
        <w:t>In 2000, after the passage of Senate Bill 3 which restructured Ohio’s electric</w:t>
      </w:r>
      <w:r w:rsidRPr="00424DAD">
        <w:rPr>
          <w:rFonts w:asciiTheme="minorHAnsi" w:hAnsiTheme="minorHAnsi" w:cstheme="minorBidi"/>
          <w:sz w:val="22"/>
          <w:szCs w:val="22"/>
        </w:rPr>
        <w:t xml:space="preserve"> </w:t>
      </w:r>
      <w:r w:rsidRPr="00424DAD">
        <w:t>market, the DOE informed OVEC that it planned to cease taking power from OVEC in 2003.</w:t>
      </w:r>
      <w:r>
        <w:t xml:space="preserve">  Moreover, at the time, OVEC was entitled to receive a “termination payment” from the DOE.  Consequently, DOE paid OVEC a net settlement payment of $97.5 million.</w:t>
      </w:r>
      <w:r w:rsidR="00AE0D47">
        <w:rPr>
          <w:rStyle w:val="FootnoteReference"/>
        </w:rPr>
        <w:footnoteReference w:id="45"/>
      </w:r>
      <w:r>
        <w:t xml:space="preserve">  Of course, Duke never provided any portion of that settlement payment to its customers, just as it did not share the profits it made with the OVEC units before shale gas made the units unprofitable.</w:t>
      </w:r>
      <w:r>
        <w:rPr>
          <w:rStyle w:val="FootnoteReference"/>
        </w:rPr>
        <w:footnoteReference w:id="46"/>
      </w:r>
      <w:r>
        <w:t xml:space="preserve">  </w:t>
      </w:r>
    </w:p>
    <w:p w14:paraId="53F05F43" w14:textId="7A30961B" w:rsidR="00A61BC6" w:rsidRPr="00424DAD" w:rsidRDefault="00A61BC6" w:rsidP="00A61BC6">
      <w:pPr>
        <w:spacing w:after="160"/>
        <w:ind w:firstLine="720"/>
      </w:pPr>
      <w:r>
        <w:t>After restructuring</w:t>
      </w:r>
      <w:r w:rsidRPr="00424DAD">
        <w:t>, the OVEC facilities had been in operation for nearly 5</w:t>
      </w:r>
      <w:r>
        <w:t xml:space="preserve">0 years and were </w:t>
      </w:r>
      <w:r w:rsidRPr="00424DAD">
        <w:t>fully depreciated,</w:t>
      </w:r>
      <w:r>
        <w:rPr>
          <w:rStyle w:val="FootnoteReference"/>
        </w:rPr>
        <w:footnoteReference w:id="47"/>
      </w:r>
      <w:r w:rsidRPr="00424DAD">
        <w:t xml:space="preserve"> with the DOE contractually bound to satisfy the remaining life of i</w:t>
      </w:r>
      <w:r w:rsidR="008B4AC6">
        <w:t>ts contract.  Moreover, the ICPA</w:t>
      </w:r>
      <w:r w:rsidRPr="00424DAD">
        <w:t xml:space="preserve"> in effect at the time was set to expire in 2006.</w:t>
      </w:r>
      <w:r>
        <w:rPr>
          <w:rStyle w:val="FootnoteReference"/>
        </w:rPr>
        <w:footnoteReference w:id="48"/>
      </w:r>
      <w:r w:rsidR="00AE0D47">
        <w:t xml:space="preserve"> That was</w:t>
      </w:r>
      <w:r w:rsidR="002F377A">
        <w:t xml:space="preserve"> a decision point. Duke</w:t>
      </w:r>
      <w:r w:rsidRPr="00424DAD">
        <w:t xml:space="preserve"> </w:t>
      </w:r>
      <w:r w:rsidR="00AE0D47">
        <w:t xml:space="preserve">could have simply </w:t>
      </w:r>
      <w:r w:rsidR="002F377A">
        <w:t>taken its</w:t>
      </w:r>
      <w:r w:rsidRPr="00424DAD">
        <w:t xml:space="preserve"> money from the</w:t>
      </w:r>
      <w:r w:rsidR="002F377A">
        <w:t xml:space="preserve"> DOE and walked away or sold its share in power plants. But it</w:t>
      </w:r>
      <w:r w:rsidRPr="00424DAD">
        <w:t xml:space="preserve"> did not. </w:t>
      </w:r>
    </w:p>
    <w:p w14:paraId="47837A36" w14:textId="401F75DF" w:rsidR="00A61BC6" w:rsidRPr="00424DAD" w:rsidRDefault="00A61BC6" w:rsidP="00A61BC6">
      <w:pPr>
        <w:spacing w:after="160"/>
        <w:ind w:firstLine="720"/>
      </w:pPr>
      <w:r w:rsidRPr="00424DAD">
        <w:t>While having full knowledge that the DOE would no longer purchase power from OVEC and that Ohio law no longer guaranteed cost recovery of generation resources, the</w:t>
      </w:r>
      <w:r w:rsidR="002F377A">
        <w:t xml:space="preserve"> Duke agreed to retrofit</w:t>
      </w:r>
      <w:r w:rsidRPr="00424DAD">
        <w:t xml:space="preserve"> these half-century old coal plants with expensive environmental controls.</w:t>
      </w:r>
      <w:r>
        <w:rPr>
          <w:rStyle w:val="FootnoteReference"/>
        </w:rPr>
        <w:footnoteReference w:id="49"/>
      </w:r>
      <w:r>
        <w:t xml:space="preserve">  </w:t>
      </w:r>
      <w:r w:rsidR="008B4AC6">
        <w:t xml:space="preserve"> And</w:t>
      </w:r>
      <w:r w:rsidR="002F377A">
        <w:t xml:space="preserve"> Duke agreed to extend</w:t>
      </w:r>
      <w:r w:rsidR="008B4AC6">
        <w:t xml:space="preserve"> the ICPA</w:t>
      </w:r>
      <w:r w:rsidRPr="00424DAD">
        <w:t xml:space="preserve"> through 2026. </w:t>
      </w:r>
    </w:p>
    <w:p w14:paraId="19F44EEC" w14:textId="36C9AF5B" w:rsidR="00A61BC6" w:rsidRPr="00424DAD" w:rsidRDefault="002F377A" w:rsidP="00A61BC6">
      <w:pPr>
        <w:spacing w:after="160"/>
        <w:ind w:firstLine="720"/>
      </w:pPr>
      <w:r>
        <w:lastRenderedPageBreak/>
        <w:t>Fast forward to 2011, Duke and the</w:t>
      </w:r>
      <w:r w:rsidR="00A61BC6" w:rsidRPr="00424DAD">
        <w:t xml:space="preserve"> sponsoring companies doubled down again, investing $1.3 billion in environmental controls</w:t>
      </w:r>
      <w:r w:rsidR="008B4AC6">
        <w:t>. And they again extended the ICPA</w:t>
      </w:r>
      <w:r w:rsidR="00A61BC6" w:rsidRPr="00424DAD">
        <w:t>, this time until 2040. These decisions were not made to serve the DOE or this country—they were made seeking pr</w:t>
      </w:r>
      <w:r w:rsidR="00A61BC6">
        <w:t>ofits in the competitive market.  Therefore, history does not support Duke’s proposal to place the consequences of its bad bet on its distribution</w:t>
      </w:r>
      <w:r>
        <w:t xml:space="preserve"> customers</w:t>
      </w:r>
      <w:r w:rsidR="00A61BC6">
        <w:t xml:space="preserve">.  The Commission should not permit Duke to privatize its gains and socialize its losses. </w:t>
      </w:r>
    </w:p>
    <w:p w14:paraId="4C847D63" w14:textId="0B2912E5" w:rsidR="00A61BC6" w:rsidRPr="005035E9" w:rsidRDefault="00A61BC6" w:rsidP="00447E8B">
      <w:pPr>
        <w:pStyle w:val="ListParagraph"/>
        <w:numPr>
          <w:ilvl w:val="0"/>
          <w:numId w:val="26"/>
        </w:numPr>
        <w:ind w:left="1710" w:hanging="270"/>
        <w:rPr>
          <w:rFonts w:eastAsia="Times New Roman"/>
          <w:b/>
        </w:rPr>
      </w:pPr>
      <w:r>
        <w:rPr>
          <w:rFonts w:eastAsia="Times New Roman"/>
          <w:b/>
        </w:rPr>
        <w:t>The PSR</w:t>
      </w:r>
      <w:r w:rsidRPr="005035E9">
        <w:rPr>
          <w:rFonts w:eastAsia="Times New Roman"/>
          <w:b/>
        </w:rPr>
        <w:t xml:space="preserve"> is not a </w:t>
      </w:r>
      <w:r w:rsidR="002F377A">
        <w:rPr>
          <w:rFonts w:eastAsia="Times New Roman"/>
          <w:b/>
        </w:rPr>
        <w:t>h</w:t>
      </w:r>
      <w:r>
        <w:rPr>
          <w:rFonts w:eastAsia="Times New Roman"/>
          <w:b/>
        </w:rPr>
        <w:t>edge</w:t>
      </w:r>
    </w:p>
    <w:p w14:paraId="11CB2E03" w14:textId="1E6A8E6D" w:rsidR="00A61BC6" w:rsidRDefault="00A61BC6" w:rsidP="00A61BC6">
      <w:pPr>
        <w:ind w:firstLine="720"/>
        <w:rPr>
          <w:rFonts w:eastAsia="Times New Roman"/>
        </w:rPr>
      </w:pPr>
      <w:r>
        <w:rPr>
          <w:rFonts w:eastAsia="Times New Roman"/>
        </w:rPr>
        <w:t>History aside, Duke claims that the PSR can provide a hedge to insulate customers from volatile changes in the wholesale markets.  IGS addressed this point in its Initial Brief, therefore, IGS will respond succinctly.</w:t>
      </w:r>
      <w:r w:rsidR="002F377A">
        <w:rPr>
          <w:rStyle w:val="FootnoteReference"/>
          <w:rFonts w:eastAsia="Times New Roman"/>
        </w:rPr>
        <w:footnoteReference w:id="50"/>
      </w:r>
      <w:r>
        <w:rPr>
          <w:rFonts w:eastAsia="Times New Roman"/>
        </w:rPr>
        <w:t xml:space="preserve"> </w:t>
      </w:r>
    </w:p>
    <w:p w14:paraId="3AB0E3E9" w14:textId="64916735" w:rsidR="00A61BC6" w:rsidRDefault="00A61BC6" w:rsidP="00A61BC6">
      <w:pPr>
        <w:ind w:firstLine="720"/>
        <w:rPr>
          <w:rFonts w:eastAsia="Calibri"/>
        </w:rPr>
      </w:pPr>
      <w:r>
        <w:rPr>
          <w:rFonts w:eastAsia="Calibri"/>
        </w:rPr>
        <w:t xml:space="preserve"> The evidence demonstrates that OVEC will be an economic loss to customers—not a hedge. Duke’s own expert witness, Judah Rose, testified in this proceeding that under</w:t>
      </w:r>
      <w:r w:rsidR="002F377A">
        <w:rPr>
          <w:rFonts w:eastAsia="Calibri"/>
        </w:rPr>
        <w:t xml:space="preserve"> the two scenarios he modeled, the PSR</w:t>
      </w:r>
      <w:r>
        <w:rPr>
          <w:rFonts w:eastAsia="Calibri"/>
        </w:rPr>
        <w:t xml:space="preserve"> </w:t>
      </w:r>
      <w:r w:rsidRPr="00814472">
        <w:rPr>
          <w:rFonts w:eastAsia="Calibri"/>
        </w:rPr>
        <w:t>will cost customers approximately $77 million dollars under his base scenario or approximately $66 million</w:t>
      </w:r>
      <w:r>
        <w:rPr>
          <w:rFonts w:eastAsia="Calibri"/>
        </w:rPr>
        <w:t xml:space="preserve"> on a net present value basis.</w:t>
      </w:r>
      <w:r w:rsidR="00447E8B">
        <w:rPr>
          <w:rStyle w:val="FootnoteReference"/>
          <w:rFonts w:eastAsia="Calibri"/>
        </w:rPr>
        <w:footnoteReference w:id="51"/>
      </w:r>
      <w:r>
        <w:rPr>
          <w:rFonts w:eastAsia="Calibri"/>
        </w:rPr>
        <w:t xml:space="preserve">  </w:t>
      </w:r>
    </w:p>
    <w:p w14:paraId="2F242BAD" w14:textId="47FA14EF" w:rsidR="00A61BC6" w:rsidRPr="005035E9" w:rsidRDefault="00A61BC6" w:rsidP="00A61BC6">
      <w:pPr>
        <w:ind w:firstLine="720"/>
        <w:rPr>
          <w:rFonts w:eastAsia="Times New Roman"/>
        </w:rPr>
      </w:pPr>
      <w:r>
        <w:rPr>
          <w:rFonts w:eastAsia="Times New Roman"/>
        </w:rPr>
        <w:t>Staff’s claim that future revenues are uncertain due to potential actions by</w:t>
      </w:r>
      <w:r w:rsidRPr="00A61BC6">
        <w:rPr>
          <w:rFonts w:eastAsia="Times New Roman"/>
        </w:rPr>
        <w:t xml:space="preserve"> DOE </w:t>
      </w:r>
      <w:r w:rsidR="00DF4E15">
        <w:rPr>
          <w:rFonts w:eastAsia="Times New Roman"/>
        </w:rPr>
        <w:t>is</w:t>
      </w:r>
      <w:r w:rsidR="00DF4E15" w:rsidRPr="00A61BC6">
        <w:rPr>
          <w:rFonts w:eastAsia="Times New Roman"/>
        </w:rPr>
        <w:t xml:space="preserve"> </w:t>
      </w:r>
      <w:r w:rsidRPr="00A61BC6">
        <w:rPr>
          <w:rFonts w:eastAsia="Times New Roman"/>
        </w:rPr>
        <w:t>misguided.  Initia</w:t>
      </w:r>
      <w:r>
        <w:rPr>
          <w:rFonts w:eastAsia="Times New Roman"/>
        </w:rPr>
        <w:t>lly, the activities under discussion at the DOE are</w:t>
      </w:r>
      <w:r w:rsidRPr="00A61BC6">
        <w:rPr>
          <w:rFonts w:eastAsia="Times New Roman"/>
        </w:rPr>
        <w:t xml:space="preserve"> generally</w:t>
      </w:r>
      <w:r>
        <w:rPr>
          <w:rFonts w:eastAsia="Times New Roman"/>
        </w:rPr>
        <w:t xml:space="preserve"> unlawful and unlikely to</w:t>
      </w:r>
      <w:r w:rsidRPr="00A61BC6">
        <w:rPr>
          <w:rFonts w:eastAsia="Times New Roman"/>
        </w:rPr>
        <w:t xml:space="preserve"> withstand a federal challenge</w:t>
      </w:r>
      <w:r w:rsidR="008166D0">
        <w:rPr>
          <w:rFonts w:eastAsia="Times New Roman"/>
        </w:rPr>
        <w:t>.</w:t>
      </w:r>
      <w:r w:rsidRPr="00A61BC6">
        <w:rPr>
          <w:rFonts w:eastAsia="Times New Roman"/>
        </w:rPr>
        <w:t xml:space="preserve"> </w:t>
      </w:r>
      <w:r w:rsidR="008166D0">
        <w:rPr>
          <w:rFonts w:eastAsia="Times New Roman"/>
        </w:rPr>
        <w:t xml:space="preserve"> </w:t>
      </w:r>
      <w:r w:rsidR="00DF4E15">
        <w:rPr>
          <w:rFonts w:eastAsia="Times New Roman"/>
        </w:rPr>
        <w:t>Regardless</w:t>
      </w:r>
      <w:r w:rsidRPr="00A61BC6">
        <w:rPr>
          <w:rFonts w:eastAsia="Times New Roman"/>
        </w:rPr>
        <w:t>, the DOE’s proposed support to distressed coal and nuclear assets would not be available to Duke or OVEC.  As is well established, Duke has already agreed to pay OVEC for ongoing operational costs in accordance with the ICPA.</w:t>
      </w:r>
      <w:r w:rsidR="008B4AC6">
        <w:rPr>
          <w:rFonts w:eastAsia="Times New Roman"/>
        </w:rPr>
        <w:t xml:space="preserve">  Regardless of Duke’s profitability,</w:t>
      </w:r>
      <w:r w:rsidRPr="00A61BC6">
        <w:rPr>
          <w:rFonts w:eastAsia="Times New Roman"/>
        </w:rPr>
        <w:t xml:space="preserve"> OVEC’s finances are well </w:t>
      </w:r>
      <w:r w:rsidRPr="00A61BC6">
        <w:rPr>
          <w:rFonts w:eastAsia="Times New Roman"/>
        </w:rPr>
        <w:lastRenderedPageBreak/>
        <w:t>in order.  While Duke may be on the losing end of the ICPA due to its gamble on aging generation assets</w:t>
      </w:r>
      <w:r w:rsidR="008B4AC6">
        <w:rPr>
          <w:rFonts w:eastAsia="Times New Roman"/>
        </w:rPr>
        <w:t>, nothing would entitle Duke or OVEC</w:t>
      </w:r>
      <w:r>
        <w:rPr>
          <w:rFonts w:eastAsia="Times New Roman"/>
        </w:rPr>
        <w:t xml:space="preserve"> to seek additional above-market compensation</w:t>
      </w:r>
      <w:r w:rsidRPr="00A61BC6">
        <w:rPr>
          <w:rFonts w:eastAsia="Times New Roman"/>
        </w:rPr>
        <w:t xml:space="preserve">.  </w:t>
      </w:r>
    </w:p>
    <w:p w14:paraId="19AC5102" w14:textId="6DF9DA64" w:rsidR="00A61BC6" w:rsidRPr="00DA3F95" w:rsidRDefault="00A61BC6" w:rsidP="00AA3A71">
      <w:pPr>
        <w:ind w:firstLine="720"/>
        <w:rPr>
          <w:rFonts w:eastAsia="Calibri"/>
        </w:rPr>
      </w:pPr>
      <w:r>
        <w:rPr>
          <w:rFonts w:eastAsia="Calibri"/>
        </w:rPr>
        <w:t xml:space="preserve"> In any event, even if the OVEC assets may turn a profit</w:t>
      </w:r>
      <w:r w:rsidR="00DF4E15">
        <w:rPr>
          <w:rFonts w:eastAsia="Calibri"/>
        </w:rPr>
        <w:t xml:space="preserve"> in the future</w:t>
      </w:r>
      <w:r>
        <w:rPr>
          <w:rFonts w:eastAsia="Calibri"/>
        </w:rPr>
        <w:t xml:space="preserve">, the dollar per megawatt hour impact is simply too small to make a difference.  Duke witness </w:t>
      </w:r>
      <w:proofErr w:type="spellStart"/>
      <w:r>
        <w:rPr>
          <w:rFonts w:eastAsia="Calibri"/>
        </w:rPr>
        <w:t>Wathen</w:t>
      </w:r>
      <w:proofErr w:type="spellEnd"/>
      <w:r>
        <w:rPr>
          <w:rFonts w:eastAsia="Calibri"/>
        </w:rPr>
        <w:t xml:space="preserve"> testified that if Mr. Rose’s projections are correct, the PSR would be a monthly charge in the range of $.60 to $.80, assuming annual losses of $12 million to $14 million.</w:t>
      </w:r>
      <w:r>
        <w:rPr>
          <w:rStyle w:val="FootnoteReference"/>
          <w:rFonts w:eastAsia="Calibri"/>
        </w:rPr>
        <w:footnoteReference w:id="52"/>
      </w:r>
      <w:r w:rsidRPr="00DA3F95">
        <w:rPr>
          <w:rFonts w:eastAsia="Calibri"/>
        </w:rPr>
        <w:t xml:space="preserve"> </w:t>
      </w:r>
      <w:r>
        <w:rPr>
          <w:rFonts w:eastAsia="Calibri"/>
        </w:rPr>
        <w:t xml:space="preserve">Because a typical residential customer bill exceeds $100 per month, the PSR provides nothing but a de </w:t>
      </w:r>
      <w:proofErr w:type="spellStart"/>
      <w:r>
        <w:rPr>
          <w:rFonts w:eastAsia="Calibri"/>
        </w:rPr>
        <w:t>minimis</w:t>
      </w:r>
      <w:proofErr w:type="spellEnd"/>
      <w:r>
        <w:rPr>
          <w:rFonts w:eastAsia="Calibri"/>
        </w:rPr>
        <w:t xml:space="preserve"> impact—it is no hedge value whatsoever.  As discussed in the next section, the PSR is </w:t>
      </w:r>
      <w:r w:rsidR="00DF4E15">
        <w:rPr>
          <w:rFonts w:eastAsia="Calibri"/>
        </w:rPr>
        <w:t xml:space="preserve">only </w:t>
      </w:r>
      <w:r>
        <w:rPr>
          <w:rFonts w:eastAsia="Calibri"/>
        </w:rPr>
        <w:t xml:space="preserve">a hedge </w:t>
      </w:r>
      <w:r w:rsidR="00DF4E15">
        <w:rPr>
          <w:rFonts w:eastAsia="Calibri"/>
        </w:rPr>
        <w:t>for</w:t>
      </w:r>
      <w:r>
        <w:rPr>
          <w:rFonts w:eastAsia="Calibri"/>
        </w:rPr>
        <w:t xml:space="preserve"> Duke’s earnings</w:t>
      </w:r>
      <w:r w:rsidR="00DF4E15">
        <w:rPr>
          <w:rFonts w:eastAsia="Calibri"/>
        </w:rPr>
        <w:t xml:space="preserve">, not customer </w:t>
      </w:r>
      <w:r w:rsidR="002F377A">
        <w:rPr>
          <w:rFonts w:eastAsia="Calibri"/>
        </w:rPr>
        <w:t>energy bills</w:t>
      </w:r>
      <w:r w:rsidR="008B4AC6">
        <w:rPr>
          <w:rFonts w:eastAsia="Calibri"/>
        </w:rPr>
        <w:t>.</w:t>
      </w:r>
    </w:p>
    <w:p w14:paraId="02AC864F" w14:textId="77777777" w:rsidR="00A61BC6" w:rsidRPr="00AA3A71" w:rsidRDefault="00A61BC6" w:rsidP="00447E8B">
      <w:pPr>
        <w:pStyle w:val="ListParagraph"/>
        <w:numPr>
          <w:ilvl w:val="0"/>
          <w:numId w:val="26"/>
        </w:numPr>
        <w:spacing w:line="240" w:lineRule="auto"/>
        <w:ind w:left="1710" w:hanging="270"/>
        <w:rPr>
          <w:rFonts w:eastAsia="Times New Roman"/>
          <w:b/>
        </w:rPr>
      </w:pPr>
      <w:r w:rsidRPr="00AA3A71">
        <w:rPr>
          <w:rFonts w:eastAsia="Times New Roman"/>
          <w:b/>
        </w:rPr>
        <w:t>Duke’s plea for credit support is further evidence that the PSR is a transition charge</w:t>
      </w:r>
    </w:p>
    <w:p w14:paraId="2FA92A3D" w14:textId="77777777" w:rsidR="00A61BC6" w:rsidRPr="005035E9" w:rsidRDefault="00A61BC6" w:rsidP="00A61BC6">
      <w:pPr>
        <w:spacing w:line="240" w:lineRule="auto"/>
        <w:ind w:left="720"/>
        <w:rPr>
          <w:rFonts w:eastAsia="Times New Roman"/>
          <w:b/>
        </w:rPr>
      </w:pPr>
    </w:p>
    <w:p w14:paraId="07C64015" w14:textId="77777777" w:rsidR="00A61BC6" w:rsidRDefault="00A61BC6" w:rsidP="00A61BC6">
      <w:pPr>
        <w:ind w:firstLine="720"/>
        <w:rPr>
          <w:rFonts w:eastAsia="Times New Roman"/>
        </w:rPr>
      </w:pPr>
      <w:r>
        <w:rPr>
          <w:rFonts w:eastAsia="Times New Roman"/>
        </w:rPr>
        <w:t>Duke claims that the PSR will ensure that Duke will maintain its credit rating and authorization of the PSR will ensure that credit rating agencies look favorably upon the regulatory landscape in Ohio.  This is merely another way of claiming that the PSR will</w:t>
      </w:r>
      <w:r w:rsidRPr="003151DD">
        <w:rPr>
          <w:rFonts w:eastAsia="Times New Roman"/>
        </w:rPr>
        <w:t xml:space="preserve"> insulate Duke from the risk associated with the</w:t>
      </w:r>
      <w:r>
        <w:rPr>
          <w:rFonts w:eastAsia="Times New Roman"/>
        </w:rPr>
        <w:t xml:space="preserve"> generation</w:t>
      </w:r>
      <w:r w:rsidRPr="003151DD">
        <w:rPr>
          <w:rFonts w:eastAsia="Times New Roman"/>
        </w:rPr>
        <w:t xml:space="preserve"> market.</w:t>
      </w:r>
      <w:r w:rsidRPr="003151DD">
        <w:rPr>
          <w:rFonts w:eastAsia="Times New Roman"/>
          <w:vertAlign w:val="superscript"/>
        </w:rPr>
        <w:footnoteReference w:id="53"/>
      </w:r>
      <w:r w:rsidRPr="003151DD">
        <w:rPr>
          <w:rFonts w:eastAsia="Times New Roman"/>
        </w:rPr>
        <w:t xml:space="preserve">  </w:t>
      </w:r>
      <w:r>
        <w:rPr>
          <w:rFonts w:eastAsia="Times New Roman"/>
        </w:rPr>
        <w:t xml:space="preserve">This purpose is wholly inappropriate.  Following the market development period (2005), the Commission lacks authority to provide Duke with above-market generation related compensation </w:t>
      </w:r>
      <w:r>
        <w:rPr>
          <w:rFonts w:eastAsia="Times New Roman"/>
        </w:rPr>
        <w:lastRenderedPageBreak/>
        <w:t>through a non-</w:t>
      </w:r>
      <w:proofErr w:type="spellStart"/>
      <w:r>
        <w:rPr>
          <w:rFonts w:eastAsia="Times New Roman"/>
        </w:rPr>
        <w:t>bypassable</w:t>
      </w:r>
      <w:proofErr w:type="spellEnd"/>
      <w:r>
        <w:rPr>
          <w:rFonts w:eastAsia="Times New Roman"/>
        </w:rPr>
        <w:t xml:space="preserve"> charge.</w:t>
      </w:r>
      <w:r>
        <w:rPr>
          <w:rStyle w:val="FootnoteReference"/>
          <w:rFonts w:eastAsia="Times New Roman"/>
        </w:rPr>
        <w:footnoteReference w:id="54"/>
      </w:r>
      <w:r>
        <w:rPr>
          <w:rFonts w:eastAsia="Times New Roman"/>
        </w:rPr>
        <w:t xml:space="preserve">  Following that date, “</w:t>
      </w:r>
      <w:r w:rsidRPr="00734437">
        <w:rPr>
          <w:rFonts w:eastAsia="Times New Roman"/>
        </w:rPr>
        <w:t>the utility shall be fully on its own in the competitive market.</w:t>
      </w:r>
      <w:r>
        <w:rPr>
          <w:rFonts w:eastAsia="Times New Roman"/>
        </w:rPr>
        <w:t>”</w:t>
      </w:r>
      <w:r>
        <w:rPr>
          <w:rStyle w:val="FootnoteReference"/>
          <w:rFonts w:eastAsia="Times New Roman"/>
        </w:rPr>
        <w:footnoteReference w:id="55"/>
      </w:r>
      <w:r>
        <w:rPr>
          <w:rFonts w:eastAsia="Times New Roman"/>
        </w:rPr>
        <w:t xml:space="preserve">  </w:t>
      </w:r>
    </w:p>
    <w:p w14:paraId="5B95088B" w14:textId="74461309" w:rsidR="007427A4" w:rsidRDefault="007427A4" w:rsidP="00A61BC6">
      <w:pPr>
        <w:ind w:firstLine="720"/>
        <w:rPr>
          <w:rFonts w:eastAsia="Times New Roman"/>
        </w:rPr>
      </w:pPr>
      <w:r>
        <w:rPr>
          <w:rFonts w:eastAsia="Times New Roman"/>
        </w:rPr>
        <w:t xml:space="preserve">Moreover, even if there were any credence to Duke’s argument, Duke failed to provide any testimony regarding the potential value to customers </w:t>
      </w:r>
      <w:r w:rsidR="00DF4E15">
        <w:rPr>
          <w:rFonts w:eastAsia="Times New Roman"/>
        </w:rPr>
        <w:t xml:space="preserve">for </w:t>
      </w:r>
      <w:r>
        <w:rPr>
          <w:rFonts w:eastAsia="Times New Roman"/>
        </w:rPr>
        <w:t>propping up Duke’s earnings.  Duke further failed to provide any testimony indicating that a credit rating a</w:t>
      </w:r>
      <w:r w:rsidR="002F377A">
        <w:rPr>
          <w:rFonts w:eastAsia="Times New Roman"/>
        </w:rPr>
        <w:t>gency would downgrade Duke to</w:t>
      </w:r>
      <w:r>
        <w:rPr>
          <w:rFonts w:eastAsia="Times New Roman"/>
        </w:rPr>
        <w:t xml:space="preserve"> non-investment grade </w:t>
      </w:r>
      <w:proofErr w:type="gramStart"/>
      <w:r>
        <w:rPr>
          <w:rFonts w:eastAsia="Times New Roman"/>
        </w:rPr>
        <w:t>in the event that</w:t>
      </w:r>
      <w:proofErr w:type="gramEnd"/>
      <w:r>
        <w:rPr>
          <w:rFonts w:eastAsia="Times New Roman"/>
        </w:rPr>
        <w:t xml:space="preserve"> the PSR is </w:t>
      </w:r>
      <w:r w:rsidR="002F377A">
        <w:rPr>
          <w:rFonts w:eastAsia="Times New Roman"/>
        </w:rPr>
        <w:t>rejected.</w:t>
      </w:r>
      <w:r>
        <w:rPr>
          <w:rFonts w:eastAsia="Times New Roman"/>
        </w:rPr>
        <w:t xml:space="preserve"> Indeed, the record rebuffs this conclusion, given that Duk</w:t>
      </w:r>
      <w:r w:rsidR="002F377A">
        <w:rPr>
          <w:rFonts w:eastAsia="Times New Roman"/>
        </w:rPr>
        <w:t xml:space="preserve">e has no PSR-like recovery now. And Duke’s credit rating is currently fine.  Further, Duke failed to provide record evidence demonstrating the impact of any credit downgrade on its cost of capital, or whether the impact outweighs the cost of the PSR.  </w:t>
      </w:r>
      <w:r>
        <w:rPr>
          <w:rFonts w:eastAsia="Times New Roman"/>
        </w:rPr>
        <w:t xml:space="preserve"> </w:t>
      </w:r>
    </w:p>
    <w:p w14:paraId="7F75AF0F" w14:textId="77777777" w:rsidR="00A61BC6" w:rsidRPr="00C16F24" w:rsidRDefault="00A61BC6" w:rsidP="00A61BC6">
      <w:pPr>
        <w:ind w:firstLine="720"/>
        <w:rPr>
          <w:rFonts w:eastAsia="Times New Roman"/>
        </w:rPr>
      </w:pPr>
      <w:r>
        <w:rPr>
          <w:rFonts w:eastAsia="Times New Roman"/>
        </w:rPr>
        <w:t>The fact that the Commission has authorized PSR-like charges in other proceedings is irrelevant.  Each of those proceedings was the result of a global stipulation; therefore, those cases cannot be relied upon for any purpose.  Relying upon settled proceedings as precedent will discourage parties from settling future cases.</w:t>
      </w:r>
    </w:p>
    <w:p w14:paraId="60C9C83C" w14:textId="77777777" w:rsidR="00A61BC6" w:rsidRDefault="00A61BC6" w:rsidP="00447E8B">
      <w:pPr>
        <w:pStyle w:val="ListParagraph"/>
        <w:numPr>
          <w:ilvl w:val="0"/>
          <w:numId w:val="26"/>
        </w:numPr>
        <w:spacing w:line="240" w:lineRule="auto"/>
        <w:ind w:left="1710" w:hanging="270"/>
        <w:rPr>
          <w:rFonts w:eastAsia="Times New Roman"/>
          <w:b/>
        </w:rPr>
      </w:pPr>
      <w:r>
        <w:rPr>
          <w:rFonts w:eastAsia="Times New Roman"/>
          <w:b/>
        </w:rPr>
        <w:t>The PSR cannot be justified on the logic that it could have been worse</w:t>
      </w:r>
    </w:p>
    <w:p w14:paraId="38139451" w14:textId="77777777" w:rsidR="00A61BC6" w:rsidRPr="003715E8" w:rsidRDefault="00A61BC6" w:rsidP="00A61BC6">
      <w:pPr>
        <w:pStyle w:val="ListParagraph"/>
        <w:spacing w:line="240" w:lineRule="auto"/>
        <w:ind w:left="1080"/>
        <w:rPr>
          <w:rFonts w:eastAsia="Times New Roman"/>
          <w:b/>
        </w:rPr>
      </w:pPr>
    </w:p>
    <w:p w14:paraId="622DBE31" w14:textId="742904F4" w:rsidR="00A61BC6" w:rsidRDefault="00A61BC6" w:rsidP="007427A4">
      <w:pPr>
        <w:ind w:firstLine="720"/>
        <w:rPr>
          <w:rFonts w:eastAsia="Times New Roman"/>
        </w:rPr>
      </w:pPr>
      <w:r>
        <w:rPr>
          <w:rFonts w:eastAsia="Times New Roman"/>
        </w:rPr>
        <w:t>Duke argues that the PSR should be authorized because it contains certain protections to limit the potential harm</w:t>
      </w:r>
      <w:r w:rsidR="007427A4">
        <w:rPr>
          <w:rFonts w:eastAsia="Times New Roman"/>
        </w:rPr>
        <w:t xml:space="preserve"> to customers.</w:t>
      </w:r>
      <w:r w:rsidR="00152FCA">
        <w:rPr>
          <w:rStyle w:val="FootnoteReference"/>
          <w:rFonts w:eastAsia="Times New Roman"/>
        </w:rPr>
        <w:footnoteReference w:id="56"/>
      </w:r>
      <w:r w:rsidR="007427A4">
        <w:rPr>
          <w:rFonts w:eastAsia="Times New Roman"/>
        </w:rPr>
        <w:t xml:space="preserve"> This argument creates a flawed relative comparison to justify an unlawful result</w:t>
      </w:r>
      <w:r>
        <w:rPr>
          <w:rFonts w:eastAsia="Times New Roman"/>
        </w:rPr>
        <w:t xml:space="preserve">.  When the speed limit is 65, it doesn’t </w:t>
      </w:r>
      <w:r>
        <w:rPr>
          <w:rFonts w:eastAsia="Times New Roman"/>
        </w:rPr>
        <w:lastRenderedPageBreak/>
        <w:t>matter whether you drove 85 or 100—just because one is more egregious than the other, both are</w:t>
      </w:r>
      <w:r w:rsidR="007427A4">
        <w:rPr>
          <w:rFonts w:eastAsia="Times New Roman"/>
        </w:rPr>
        <w:t xml:space="preserve"> still</w:t>
      </w:r>
      <w:r>
        <w:rPr>
          <w:rFonts w:eastAsia="Times New Roman"/>
        </w:rPr>
        <w:t xml:space="preserve"> unlawful</w:t>
      </w:r>
      <w:r w:rsidR="007427A4">
        <w:rPr>
          <w:rFonts w:eastAsia="Times New Roman"/>
        </w:rPr>
        <w:t xml:space="preserve"> and cannot be condoned. The same is true here.</w:t>
      </w:r>
    </w:p>
    <w:p w14:paraId="0FE644AE" w14:textId="77777777" w:rsidR="005B099B" w:rsidRPr="005B099B" w:rsidRDefault="005B099B" w:rsidP="00447E8B">
      <w:pPr>
        <w:pStyle w:val="ListParagraph"/>
        <w:numPr>
          <w:ilvl w:val="0"/>
          <w:numId w:val="26"/>
        </w:numPr>
        <w:spacing w:after="200" w:line="276" w:lineRule="auto"/>
        <w:ind w:firstLine="360"/>
        <w:rPr>
          <w:rFonts w:eastAsia="Calibri"/>
          <w:b/>
        </w:rPr>
      </w:pPr>
      <w:r w:rsidRPr="005B099B">
        <w:rPr>
          <w:rFonts w:eastAsia="Calibri"/>
          <w:b/>
        </w:rPr>
        <w:t xml:space="preserve">If the Commission Approves the PSR, it Should be </w:t>
      </w:r>
      <w:proofErr w:type="spellStart"/>
      <w:r>
        <w:rPr>
          <w:rFonts w:eastAsia="Calibri"/>
          <w:b/>
        </w:rPr>
        <w:t>Bypassable</w:t>
      </w:r>
      <w:proofErr w:type="spellEnd"/>
    </w:p>
    <w:p w14:paraId="0FE589C0" w14:textId="77777777" w:rsidR="005B099B" w:rsidRPr="005B099B" w:rsidRDefault="005B099B" w:rsidP="005B099B">
      <w:pPr>
        <w:rPr>
          <w:rFonts w:eastAsia="Calibri"/>
        </w:rPr>
      </w:pPr>
      <w:r w:rsidRPr="003151DD">
        <w:rPr>
          <w:rFonts w:eastAsia="Calibri"/>
          <w:b/>
        </w:rPr>
        <w:tab/>
      </w:r>
      <w:r w:rsidRPr="003151DD">
        <w:rPr>
          <w:rFonts w:eastAsia="Calibri"/>
        </w:rPr>
        <w:t xml:space="preserve">While a PSR of any form would be anticompetitive, a </w:t>
      </w:r>
      <w:proofErr w:type="spellStart"/>
      <w:r w:rsidRPr="003151DD">
        <w:rPr>
          <w:rFonts w:eastAsia="Calibri"/>
        </w:rPr>
        <w:t>bypassable</w:t>
      </w:r>
      <w:proofErr w:type="spellEnd"/>
      <w:r w:rsidRPr="003151DD">
        <w:rPr>
          <w:rFonts w:eastAsia="Calibri"/>
        </w:rPr>
        <w:t xml:space="preserve"> PSR would at least not require all distribution customers to subsidize a competitive service and it would not send as negative of a signal to other generators in the market.</w:t>
      </w:r>
      <w:r>
        <w:rPr>
          <w:rFonts w:eastAsia="Calibri"/>
          <w:vertAlign w:val="superscript"/>
        </w:rPr>
        <w:t xml:space="preserve"> </w:t>
      </w:r>
      <w:r w:rsidRPr="003151DD">
        <w:rPr>
          <w:rFonts w:eastAsia="Calibri"/>
        </w:rPr>
        <w:t xml:space="preserve"> Moreover, it would preserve customers’ right to choose—as</w:t>
      </w:r>
      <w:r>
        <w:rPr>
          <w:rFonts w:eastAsia="Calibri"/>
        </w:rPr>
        <w:t xml:space="preserve"> is their right under Ohio law.</w:t>
      </w:r>
    </w:p>
    <w:p w14:paraId="73E2499D" w14:textId="77777777" w:rsidR="00A61BC6" w:rsidRPr="007427A4" w:rsidRDefault="00A61BC6" w:rsidP="00A61BC6">
      <w:pPr>
        <w:pStyle w:val="ListParagraph"/>
        <w:numPr>
          <w:ilvl w:val="0"/>
          <w:numId w:val="24"/>
        </w:numPr>
        <w:spacing w:line="240" w:lineRule="auto"/>
        <w:rPr>
          <w:rFonts w:eastAsia="Times New Roman"/>
          <w:b/>
          <w:u w:val="single"/>
        </w:rPr>
      </w:pPr>
      <w:r w:rsidRPr="00AA3A71">
        <w:rPr>
          <w:rFonts w:eastAsia="Times New Roman"/>
          <w:b/>
        </w:rPr>
        <w:t>The Commission should provide parameters for Duke’s pending Application to update its Customer Information System</w:t>
      </w:r>
    </w:p>
    <w:p w14:paraId="4B2EF516" w14:textId="77777777" w:rsidR="007427A4" w:rsidRPr="007427A4" w:rsidRDefault="007427A4" w:rsidP="007427A4">
      <w:pPr>
        <w:pStyle w:val="ListParagraph"/>
        <w:spacing w:line="240" w:lineRule="auto"/>
        <w:ind w:left="1080"/>
        <w:rPr>
          <w:rFonts w:eastAsia="Times New Roman"/>
          <w:b/>
          <w:u w:val="single"/>
        </w:rPr>
      </w:pPr>
    </w:p>
    <w:p w14:paraId="637D19F1" w14:textId="15A9E3D1" w:rsidR="00A61BC6" w:rsidRDefault="00A61BC6" w:rsidP="00A61BC6">
      <w:pPr>
        <w:ind w:firstLine="720"/>
        <w:rPr>
          <w:rFonts w:eastAsia="Times New Roman"/>
        </w:rPr>
      </w:pPr>
      <w:r w:rsidRPr="006C326C">
        <w:rPr>
          <w:rFonts w:eastAsia="Times New Roman"/>
        </w:rPr>
        <w:t>A</w:t>
      </w:r>
      <w:r w:rsidR="007B6FAD">
        <w:rPr>
          <w:rFonts w:eastAsia="Times New Roman"/>
        </w:rPr>
        <w:t>lthough the Stipulation provides</w:t>
      </w:r>
      <w:r w:rsidRPr="006C326C">
        <w:rPr>
          <w:rFonts w:eastAsia="Times New Roman"/>
        </w:rPr>
        <w:t xml:space="preserve"> that Duke may file an application to upgrade i</w:t>
      </w:r>
      <w:r w:rsidR="007B6FAD">
        <w:rPr>
          <w:rFonts w:eastAsia="Times New Roman"/>
        </w:rPr>
        <w:t>ts CIS, the Stipulation includes</w:t>
      </w:r>
      <w:r w:rsidRPr="006C326C">
        <w:rPr>
          <w:rFonts w:eastAsia="Times New Roman"/>
        </w:rPr>
        <w:t xml:space="preserve"> no parameters for the design of the CIS.  </w:t>
      </w:r>
      <w:r>
        <w:rPr>
          <w:rFonts w:eastAsia="Times New Roman"/>
        </w:rPr>
        <w:t xml:space="preserve">Specifically, the Stipulation </w:t>
      </w:r>
      <w:r w:rsidRPr="006C326C">
        <w:rPr>
          <w:rFonts w:eastAsia="Times New Roman"/>
        </w:rPr>
        <w:t>did not require Duke to include a proposal</w:t>
      </w:r>
      <w:r>
        <w:rPr>
          <w:rFonts w:eastAsia="Times New Roman"/>
        </w:rPr>
        <w:t xml:space="preserve"> or outline the cost</w:t>
      </w:r>
      <w:r w:rsidRPr="006C326C">
        <w:rPr>
          <w:rFonts w:eastAsia="Times New Roman"/>
        </w:rPr>
        <w:t xml:space="preserve"> for supplier consolidated billing or non-commodity billing functionality for CRES providers—even though Duke offers that capability to its affiliate, Duke Energy One, Inc.</w:t>
      </w:r>
      <w:r>
        <w:rPr>
          <w:rStyle w:val="FootnoteReference"/>
          <w:rFonts w:eastAsia="Times New Roman"/>
        </w:rPr>
        <w:footnoteReference w:id="57"/>
      </w:r>
      <w:r w:rsidRPr="006C326C">
        <w:rPr>
          <w:rFonts w:eastAsia="Times New Roman"/>
        </w:rPr>
        <w:t xml:space="preserve"> </w:t>
      </w:r>
      <w:r>
        <w:rPr>
          <w:rFonts w:eastAsia="Times New Roman"/>
        </w:rPr>
        <w:t xml:space="preserve"> Accordingly, IGS and RESA recommended that the Commission </w:t>
      </w:r>
      <w:proofErr w:type="gramStart"/>
      <w:r>
        <w:rPr>
          <w:rFonts w:eastAsia="Times New Roman"/>
        </w:rPr>
        <w:t>order</w:t>
      </w:r>
      <w:proofErr w:type="gramEnd"/>
      <w:r>
        <w:rPr>
          <w:rFonts w:eastAsia="Times New Roman"/>
        </w:rPr>
        <w:t xml:space="preserve"> Duke to include a proposal that incorporates these functionalities.  In response, the Staff claims that because IGS shall have an opportunity to present its position in Duke’s future case, there is no need to do anything further here</w:t>
      </w:r>
      <w:r w:rsidR="007B6FAD">
        <w:rPr>
          <w:rFonts w:eastAsia="Times New Roman"/>
        </w:rPr>
        <w:t>.</w:t>
      </w:r>
      <w:r w:rsidR="007B6FAD">
        <w:rPr>
          <w:rStyle w:val="FootnoteReference"/>
          <w:rFonts w:eastAsia="Times New Roman"/>
        </w:rPr>
        <w:footnoteReference w:id="58"/>
      </w:r>
      <w:r>
        <w:rPr>
          <w:rFonts w:eastAsia="Times New Roman"/>
        </w:rPr>
        <w:t xml:space="preserve"> </w:t>
      </w:r>
      <w:r w:rsidR="007B6FAD">
        <w:rPr>
          <w:rFonts w:eastAsia="Times New Roman"/>
        </w:rPr>
        <w:t xml:space="preserve"> </w:t>
      </w:r>
      <w:r>
        <w:rPr>
          <w:rFonts w:eastAsia="Times New Roman"/>
        </w:rPr>
        <w:t xml:space="preserve">The Staff’s position is impractical and ignores history.  </w:t>
      </w:r>
    </w:p>
    <w:p w14:paraId="5FE951F5" w14:textId="6CB914CE" w:rsidR="002F377A" w:rsidRDefault="00A61BC6" w:rsidP="00A61BC6">
      <w:pPr>
        <w:tabs>
          <w:tab w:val="left" w:pos="0"/>
        </w:tabs>
      </w:pPr>
      <w:r>
        <w:rPr>
          <w:rFonts w:eastAsia="Times New Roman"/>
        </w:rPr>
        <w:tab/>
        <w:t>As IGS demonstrated in its Initial Brief,</w:t>
      </w:r>
      <w:r w:rsidRPr="00E90210">
        <w:t xml:space="preserve"> the Stipulation </w:t>
      </w:r>
      <w:r>
        <w:t xml:space="preserve">delegates the authority for Duke to design </w:t>
      </w:r>
      <w:r w:rsidRPr="00E90210">
        <w:t>a CIS system whose scope and capab</w:t>
      </w:r>
      <w:r>
        <w:t>ilities won’t be known</w:t>
      </w:r>
      <w:r w:rsidRPr="00E90210">
        <w:t xml:space="preserve"> until after Duke submits its supplemental infrastructure mana</w:t>
      </w:r>
      <w:r>
        <w:t>gement plan filing.</w:t>
      </w:r>
      <w:r w:rsidR="008C55C8">
        <w:rPr>
          <w:rStyle w:val="FootnoteReference"/>
        </w:rPr>
        <w:footnoteReference w:id="59"/>
      </w:r>
      <w:r>
        <w:t xml:space="preserve">  Moreover,</w:t>
      </w:r>
      <w:r w:rsidRPr="00E90210">
        <w:t xml:space="preserve"> Duke </w:t>
      </w:r>
      <w:r w:rsidRPr="00E90210">
        <w:lastRenderedPageBreak/>
        <w:t>has previously implemented non-commodity billing services and interval meter data management systems that were designed to create barriers to CRES provider participation.</w:t>
      </w:r>
      <w:r w:rsidRPr="00E90210">
        <w:rPr>
          <w:rStyle w:val="FootnoteReference"/>
        </w:rPr>
        <w:footnoteReference w:id="60"/>
      </w:r>
      <w:r w:rsidRPr="00E90210">
        <w:t xml:space="preserve">  Given the billing system’s uncertainties, and Duke’s penchant for implementing billing programs that often exclude</w:t>
      </w:r>
      <w:r>
        <w:t xml:space="preserve"> functionality for</w:t>
      </w:r>
      <w:r w:rsidRPr="00E90210">
        <w:t xml:space="preserve"> CRES providers</w:t>
      </w:r>
      <w:r w:rsidR="00AE03DE">
        <w:t>,</w:t>
      </w:r>
      <w:r w:rsidRPr="00E90210">
        <w:t xml:space="preserve"> the Commission should require Duke to implement CIS-specific design paramet</w:t>
      </w:r>
      <w:r>
        <w:t>ers that contemplate a market-based option,  s</w:t>
      </w:r>
      <w:r w:rsidRPr="00E90210">
        <w:t>upplier consolidated b</w:t>
      </w:r>
      <w:r>
        <w:t>illing, and non-commodity billing.</w:t>
      </w:r>
      <w:r w:rsidR="008C55C8">
        <w:rPr>
          <w:rStyle w:val="FootnoteReference"/>
        </w:rPr>
        <w:footnoteReference w:id="61"/>
      </w:r>
      <w:r>
        <w:t xml:space="preserve">  Providing a specific directive to Duke now will ensure that the future proceeding is transparent and productive.</w:t>
      </w:r>
    </w:p>
    <w:p w14:paraId="635F25EB" w14:textId="77777777" w:rsidR="006701A8" w:rsidRPr="00AA3A71" w:rsidRDefault="003C50C0" w:rsidP="007427A4">
      <w:r>
        <w:rPr>
          <w:rFonts w:eastAsia="Times New Roman"/>
        </w:rPr>
        <w:tab/>
      </w:r>
      <w:r w:rsidR="007427A4" w:rsidRPr="007427A4">
        <w:rPr>
          <w:b/>
        </w:rPr>
        <w:t>E</w:t>
      </w:r>
      <w:r w:rsidR="00AA3A71" w:rsidRPr="007427A4">
        <w:rPr>
          <w:b/>
        </w:rPr>
        <w:t xml:space="preserve">.  The </w:t>
      </w:r>
      <w:r w:rsidR="00AA3A71" w:rsidRPr="00AA3A71">
        <w:rPr>
          <w:b/>
        </w:rPr>
        <w:t>ESP is less favorable than an MRO</w:t>
      </w:r>
      <w:r w:rsidR="00726549" w:rsidRPr="00AA3A71">
        <w:rPr>
          <w:b/>
        </w:rPr>
        <w:t xml:space="preserve"> </w:t>
      </w:r>
    </w:p>
    <w:p w14:paraId="543E82E2" w14:textId="40B63673" w:rsidR="006701A8" w:rsidRDefault="006701A8" w:rsidP="005B099B">
      <w:pPr>
        <w:ind w:firstLine="720"/>
        <w:rPr>
          <w:rFonts w:eastAsia="Times New Roman"/>
        </w:rPr>
      </w:pPr>
      <w:r>
        <w:rPr>
          <w:rFonts w:eastAsia="Times New Roman"/>
        </w:rPr>
        <w:t>The Staff</w:t>
      </w:r>
      <w:r w:rsidR="007427A4">
        <w:rPr>
          <w:rFonts w:eastAsia="Times New Roman"/>
        </w:rPr>
        <w:t xml:space="preserve"> and Duke allege</w:t>
      </w:r>
      <w:r>
        <w:rPr>
          <w:rFonts w:eastAsia="Times New Roman"/>
        </w:rPr>
        <w:t xml:space="preserve"> that the ESP is better than an M</w:t>
      </w:r>
      <w:r w:rsidR="007427A4">
        <w:rPr>
          <w:rFonts w:eastAsia="Times New Roman"/>
        </w:rPr>
        <w:t xml:space="preserve">RO.  Staff’s claim is contradicted </w:t>
      </w:r>
      <w:r w:rsidR="00AA3A71">
        <w:rPr>
          <w:rFonts w:eastAsia="Times New Roman"/>
        </w:rPr>
        <w:t>substantiated by the record</w:t>
      </w:r>
      <w:r>
        <w:rPr>
          <w:rFonts w:eastAsia="Times New Roman"/>
        </w:rPr>
        <w:t xml:space="preserve">. </w:t>
      </w:r>
      <w:r w:rsidR="005B099B">
        <w:rPr>
          <w:rFonts w:eastAsia="Times New Roman"/>
        </w:rPr>
        <w:t>B</w:t>
      </w:r>
      <w:r w:rsidR="005B099B" w:rsidRPr="005B099B">
        <w:rPr>
          <w:rFonts w:eastAsia="Times New Roman"/>
        </w:rPr>
        <w:t>ut for the ESP, Duke’s customers would avoid the annual</w:t>
      </w:r>
      <w:r w:rsidR="005B099B">
        <w:rPr>
          <w:rFonts w:eastAsia="Times New Roman"/>
        </w:rPr>
        <w:t xml:space="preserve"> $12-$18 million</w:t>
      </w:r>
      <w:r w:rsidR="005B099B" w:rsidRPr="005B099B">
        <w:rPr>
          <w:rFonts w:eastAsia="Times New Roman"/>
        </w:rPr>
        <w:t xml:space="preserve"> transition charge commonly referred to as the PSR</w:t>
      </w:r>
      <w:r w:rsidR="005B099B">
        <w:rPr>
          <w:rFonts w:eastAsia="Times New Roman"/>
        </w:rPr>
        <w:t>.</w:t>
      </w:r>
      <w:r w:rsidR="008C55C8">
        <w:rPr>
          <w:rStyle w:val="FootnoteReference"/>
          <w:rFonts w:eastAsia="Times New Roman"/>
        </w:rPr>
        <w:footnoteReference w:id="62"/>
      </w:r>
      <w:r w:rsidR="005B099B">
        <w:rPr>
          <w:rFonts w:eastAsia="Times New Roman"/>
        </w:rPr>
        <w:t xml:space="preserve">  </w:t>
      </w:r>
      <w:r>
        <w:rPr>
          <w:rFonts w:eastAsia="Times New Roman"/>
        </w:rPr>
        <w:t>But for this ESP</w:t>
      </w:r>
      <w:r w:rsidR="008C55C8">
        <w:rPr>
          <w:rFonts w:eastAsia="Times New Roman"/>
        </w:rPr>
        <w:t>, customers would receive an $19</w:t>
      </w:r>
      <w:r>
        <w:rPr>
          <w:rFonts w:eastAsia="Times New Roman"/>
        </w:rPr>
        <w:t xml:space="preserve"> million base distribution rate reduction (even larger if the Commission adopted IGS’ proposal).</w:t>
      </w:r>
      <w:r w:rsidR="008C55C8">
        <w:rPr>
          <w:rStyle w:val="FootnoteReference"/>
          <w:rFonts w:eastAsia="Times New Roman"/>
        </w:rPr>
        <w:footnoteReference w:id="63"/>
      </w:r>
      <w:r w:rsidR="005B099B">
        <w:rPr>
          <w:rFonts w:eastAsia="Times New Roman"/>
        </w:rPr>
        <w:t xml:space="preserve">  Instead, customers will be deprived of the distribution rate decrease by the distribution riders authorized</w:t>
      </w:r>
      <w:r w:rsidR="00AB73DA">
        <w:rPr>
          <w:rFonts w:eastAsia="Times New Roman"/>
        </w:rPr>
        <w:t xml:space="preserve"> by the ESP.  Over the nearly 7-</w:t>
      </w:r>
      <w:r w:rsidR="005B099B">
        <w:rPr>
          <w:rFonts w:eastAsia="Times New Roman"/>
        </w:rPr>
        <w:t>year ESP term, the ESP will impose over $200 million upon customers that would not exist</w:t>
      </w:r>
      <w:r>
        <w:rPr>
          <w:rFonts w:eastAsia="Times New Roman"/>
        </w:rPr>
        <w:t xml:space="preserve"> in an MRO paradigm. Thus, the ESP fails the test. </w:t>
      </w:r>
    </w:p>
    <w:p w14:paraId="7D30021F" w14:textId="77777777" w:rsidR="005B099B" w:rsidRDefault="005B099B" w:rsidP="005B099B">
      <w:pPr>
        <w:pStyle w:val="ListParagraph"/>
        <w:numPr>
          <w:ilvl w:val="0"/>
          <w:numId w:val="30"/>
        </w:numPr>
        <w:rPr>
          <w:rFonts w:eastAsia="Times New Roman"/>
          <w:b/>
        </w:rPr>
      </w:pPr>
      <w:r>
        <w:rPr>
          <w:rFonts w:eastAsia="Times New Roman"/>
          <w:b/>
        </w:rPr>
        <w:t>CONCLUSION</w:t>
      </w:r>
    </w:p>
    <w:p w14:paraId="35CE604A" w14:textId="77777777" w:rsidR="00F322C5" w:rsidRDefault="005B099B" w:rsidP="005B099B">
      <w:pPr>
        <w:ind w:firstLine="720"/>
        <w:rPr>
          <w:rFonts w:eastAsia="Times New Roman"/>
        </w:rPr>
      </w:pPr>
      <w:r>
        <w:rPr>
          <w:rFonts w:eastAsia="Times New Roman"/>
        </w:rPr>
        <w:t xml:space="preserve">For the reasons stated herein, IGS urges the Commission to reject the Stipulation in its entirety, or at a minimum, modify it substantially to address the errors identified </w:t>
      </w:r>
      <w:r>
        <w:rPr>
          <w:rFonts w:eastAsia="Times New Roman"/>
        </w:rPr>
        <w:lastRenderedPageBreak/>
        <w:t xml:space="preserve">herein.  </w:t>
      </w:r>
      <w:r w:rsidR="00D07CAE">
        <w:rPr>
          <w:rFonts w:eastAsia="Times New Roman"/>
        </w:rPr>
        <w:t>Specifically, the Commission should condition approval of the Stipulatio</w:t>
      </w:r>
      <w:r w:rsidR="00F322C5">
        <w:rPr>
          <w:rFonts w:eastAsia="Times New Roman"/>
        </w:rPr>
        <w:t xml:space="preserve">n on rejecting all proposals to subsidize the SSO, rejecting Duke’s proposal to subsidize batteries that provide competitive services, rejecting the proposal to provide transition revenue to Duke’s old, efficient power plants.  </w:t>
      </w:r>
      <w:r w:rsidR="00A023A7">
        <w:rPr>
          <w:rFonts w:eastAsia="Times New Roman"/>
        </w:rPr>
        <w:t>Moreover</w:t>
      </w:r>
      <w:r w:rsidR="00F322C5">
        <w:rPr>
          <w:rFonts w:eastAsia="Times New Roman"/>
        </w:rPr>
        <w:t>, the Commission should not squander this opportunity to order specific parameters for Duke’s</w:t>
      </w:r>
      <w:r w:rsidR="00A023A7">
        <w:rPr>
          <w:rFonts w:eastAsia="Times New Roman"/>
        </w:rPr>
        <w:t xml:space="preserve"> upcoming</w:t>
      </w:r>
      <w:r w:rsidR="00F322C5">
        <w:rPr>
          <w:rFonts w:eastAsia="Times New Roman"/>
        </w:rPr>
        <w:t xml:space="preserve"> CIS application.</w:t>
      </w:r>
      <w:r w:rsidR="00A023A7">
        <w:rPr>
          <w:rFonts w:eastAsia="Times New Roman"/>
        </w:rPr>
        <w:t xml:space="preserve">  This is an opportunity to ensure that Duke</w:t>
      </w:r>
      <w:r w:rsidR="00F322C5">
        <w:rPr>
          <w:rFonts w:eastAsia="Times New Roman"/>
        </w:rPr>
        <w:t xml:space="preserve"> cons</w:t>
      </w:r>
      <w:r w:rsidR="00734437">
        <w:rPr>
          <w:rFonts w:eastAsia="Times New Roman"/>
        </w:rPr>
        <w:t>iders all prudent options and</w:t>
      </w:r>
      <w:r w:rsidR="00F322C5">
        <w:rPr>
          <w:rFonts w:eastAsia="Times New Roman"/>
        </w:rPr>
        <w:t xml:space="preserve"> </w:t>
      </w:r>
      <w:r w:rsidR="00A023A7">
        <w:rPr>
          <w:rFonts w:eastAsia="Times New Roman"/>
        </w:rPr>
        <w:t>designs its new system</w:t>
      </w:r>
      <w:r w:rsidR="00F322C5" w:rsidRPr="00F322C5">
        <w:rPr>
          <w:rFonts w:eastAsia="Times New Roman"/>
        </w:rPr>
        <w:t xml:space="preserve"> to advance the competitive market</w:t>
      </w:r>
      <w:r w:rsidR="00F322C5">
        <w:rPr>
          <w:rFonts w:eastAsia="Times New Roman"/>
        </w:rPr>
        <w:t xml:space="preserve">—as opposed to simply the Duke family of companies.  These modifications are necessary to bring the Stipulation into line with Ohio law and to protect the public interest. </w:t>
      </w:r>
    </w:p>
    <w:p w14:paraId="4950C8A1" w14:textId="77777777" w:rsidR="003151DD" w:rsidRPr="00F756F4" w:rsidRDefault="003151DD" w:rsidP="003151DD">
      <w:pPr>
        <w:rPr>
          <w:rFonts w:eastAsia="Times New Roman"/>
        </w:rPr>
      </w:pPr>
    </w:p>
    <w:p w14:paraId="3B2DA8D9" w14:textId="77777777" w:rsidR="003151DD" w:rsidRPr="00F756F4" w:rsidRDefault="003151DD" w:rsidP="00E90210">
      <w:pPr>
        <w:rPr>
          <w:rFonts w:eastAsia="Times New Roman"/>
        </w:rPr>
      </w:pPr>
      <w:r w:rsidRPr="00F756F4">
        <w:rPr>
          <w:rFonts w:eastAsia="Times New Roman"/>
        </w:rPr>
        <w:tab/>
      </w:r>
      <w:r w:rsidRPr="00F756F4">
        <w:rPr>
          <w:rFonts w:eastAsia="Times New Roman"/>
        </w:rPr>
        <w:tab/>
      </w:r>
      <w:r w:rsidR="00E90210" w:rsidRPr="00F756F4">
        <w:rPr>
          <w:rFonts w:eastAsia="Times New Roman"/>
        </w:rPr>
        <w:tab/>
      </w:r>
      <w:r w:rsidR="00E90210" w:rsidRPr="00F756F4">
        <w:rPr>
          <w:rFonts w:eastAsia="Times New Roman"/>
        </w:rPr>
        <w:tab/>
      </w:r>
      <w:r w:rsidR="00E90210" w:rsidRPr="00F756F4">
        <w:rPr>
          <w:rFonts w:eastAsia="Times New Roman"/>
        </w:rPr>
        <w:tab/>
      </w:r>
      <w:r w:rsidR="00E90210" w:rsidRPr="00F756F4">
        <w:rPr>
          <w:rFonts w:eastAsia="Times New Roman"/>
        </w:rPr>
        <w:tab/>
        <w:t>Respectfully submitted,</w:t>
      </w:r>
    </w:p>
    <w:p w14:paraId="61B356EF" w14:textId="77777777" w:rsidR="003151DD" w:rsidRPr="00F756F4" w:rsidRDefault="003151DD" w:rsidP="003151DD">
      <w:pPr>
        <w:spacing w:line="240" w:lineRule="auto"/>
        <w:ind w:left="4320"/>
        <w:rPr>
          <w:rFonts w:eastAsia="Arial"/>
          <w:i/>
          <w:u w:val="single"/>
        </w:rPr>
      </w:pPr>
    </w:p>
    <w:p w14:paraId="381B0151" w14:textId="77777777" w:rsidR="003151DD" w:rsidRPr="00F756F4" w:rsidRDefault="003151DD" w:rsidP="003151DD">
      <w:pPr>
        <w:spacing w:line="240" w:lineRule="auto"/>
        <w:ind w:left="4320"/>
        <w:rPr>
          <w:rFonts w:eastAsia="Calibri"/>
          <w:u w:val="single"/>
        </w:rPr>
      </w:pPr>
      <w:r w:rsidRPr="00F160E1">
        <w:rPr>
          <w:rFonts w:eastAsia="Arial"/>
          <w:i/>
          <w:u w:val="single"/>
        </w:rPr>
        <w:t>/s/ Joseph Oliker</w:t>
      </w:r>
      <w:r w:rsidRPr="00F756F4">
        <w:rPr>
          <w:rFonts w:eastAsia="Arial"/>
          <w:i/>
          <w:u w:val="single"/>
        </w:rPr>
        <w:t>_________</w:t>
      </w:r>
    </w:p>
    <w:p w14:paraId="7F0E48E1" w14:textId="77777777" w:rsidR="003151DD" w:rsidRPr="00F756F4" w:rsidRDefault="003151DD" w:rsidP="003151DD">
      <w:pPr>
        <w:spacing w:line="240" w:lineRule="auto"/>
        <w:ind w:left="4320"/>
        <w:rPr>
          <w:rFonts w:eastAsia="Times New Roman"/>
        </w:rPr>
      </w:pPr>
      <w:r w:rsidRPr="00F756F4">
        <w:rPr>
          <w:rFonts w:eastAsia="Times New Roman"/>
        </w:rPr>
        <w:t xml:space="preserve">Joseph Oliker </w:t>
      </w:r>
    </w:p>
    <w:p w14:paraId="620ED260" w14:textId="77777777" w:rsidR="003151DD" w:rsidRPr="00F756F4" w:rsidRDefault="003151DD" w:rsidP="003151DD">
      <w:pPr>
        <w:spacing w:line="240" w:lineRule="auto"/>
        <w:ind w:left="4320"/>
        <w:rPr>
          <w:rFonts w:eastAsia="Times New Roman"/>
        </w:rPr>
      </w:pPr>
      <w:r w:rsidRPr="00F756F4">
        <w:rPr>
          <w:rFonts w:eastAsia="Times New Roman"/>
        </w:rPr>
        <w:t xml:space="preserve">Email: </w:t>
      </w:r>
      <w:r w:rsidR="00C4586F">
        <w:rPr>
          <w:rFonts w:eastAsia="Times New Roman"/>
          <w:shd w:val="clear" w:color="auto" w:fill="FFFFFF"/>
        </w:rPr>
        <w:t>j</w:t>
      </w:r>
      <w:r w:rsidRPr="00F756F4">
        <w:rPr>
          <w:rFonts w:eastAsia="Times New Roman"/>
          <w:shd w:val="clear" w:color="auto" w:fill="FFFFFF"/>
        </w:rPr>
        <w:t>oliker@igs.com</w:t>
      </w:r>
    </w:p>
    <w:p w14:paraId="6DA9A9C7" w14:textId="77777777" w:rsidR="003151DD" w:rsidRPr="00F756F4" w:rsidRDefault="003151DD" w:rsidP="003151DD">
      <w:pPr>
        <w:spacing w:line="240" w:lineRule="auto"/>
        <w:ind w:left="4320"/>
        <w:rPr>
          <w:rFonts w:eastAsia="Times New Roman"/>
        </w:rPr>
      </w:pPr>
      <w:r w:rsidRPr="00F756F4">
        <w:rPr>
          <w:rFonts w:eastAsia="Times New Roman"/>
        </w:rPr>
        <w:t>Counsel of Record</w:t>
      </w:r>
    </w:p>
    <w:p w14:paraId="20E32FA1" w14:textId="77777777" w:rsidR="003151DD" w:rsidRPr="00F756F4" w:rsidRDefault="003151DD" w:rsidP="003151DD">
      <w:pPr>
        <w:spacing w:line="240" w:lineRule="auto"/>
        <w:ind w:left="4320"/>
        <w:rPr>
          <w:rFonts w:eastAsia="Times New Roman"/>
        </w:rPr>
      </w:pPr>
      <w:r w:rsidRPr="00F756F4">
        <w:rPr>
          <w:rFonts w:eastAsia="Times New Roman"/>
        </w:rPr>
        <w:t>Michael Nugent</w:t>
      </w:r>
    </w:p>
    <w:p w14:paraId="46A7028A" w14:textId="77777777" w:rsidR="003151DD" w:rsidRPr="00F756F4" w:rsidRDefault="003151DD" w:rsidP="003151DD">
      <w:pPr>
        <w:spacing w:line="240" w:lineRule="auto"/>
        <w:ind w:left="4320"/>
        <w:rPr>
          <w:rFonts w:eastAsia="Times New Roman"/>
        </w:rPr>
      </w:pPr>
      <w:r w:rsidRPr="00F756F4">
        <w:rPr>
          <w:rFonts w:eastAsia="Times New Roman"/>
        </w:rPr>
        <w:t>Mnugent@igsenergy.com</w:t>
      </w:r>
    </w:p>
    <w:p w14:paraId="101933D0" w14:textId="77777777" w:rsidR="003151DD" w:rsidRPr="00F756F4" w:rsidRDefault="003151DD" w:rsidP="003151DD">
      <w:pPr>
        <w:spacing w:line="240" w:lineRule="auto"/>
        <w:ind w:left="4320"/>
        <w:rPr>
          <w:rFonts w:eastAsia="Times New Roman"/>
        </w:rPr>
      </w:pPr>
      <w:r w:rsidRPr="00F756F4">
        <w:rPr>
          <w:rFonts w:eastAsia="Times New Roman"/>
        </w:rPr>
        <w:t>IGS Energy</w:t>
      </w:r>
    </w:p>
    <w:p w14:paraId="31E57793" w14:textId="77777777" w:rsidR="003151DD" w:rsidRPr="00F756F4" w:rsidRDefault="003151DD" w:rsidP="003151DD">
      <w:pPr>
        <w:spacing w:line="240" w:lineRule="auto"/>
        <w:ind w:left="4320"/>
        <w:rPr>
          <w:rFonts w:eastAsia="Times New Roman"/>
        </w:rPr>
      </w:pPr>
      <w:r w:rsidRPr="00F756F4">
        <w:rPr>
          <w:rFonts w:eastAsia="Times New Roman"/>
        </w:rPr>
        <w:t>6100 Emerald Parkway</w:t>
      </w:r>
    </w:p>
    <w:p w14:paraId="4B29010B" w14:textId="77777777" w:rsidR="003151DD" w:rsidRPr="00F756F4" w:rsidRDefault="003151DD" w:rsidP="003151DD">
      <w:pPr>
        <w:spacing w:line="240" w:lineRule="auto"/>
        <w:ind w:left="4320"/>
        <w:rPr>
          <w:rFonts w:eastAsia="Times New Roman"/>
        </w:rPr>
      </w:pPr>
      <w:r w:rsidRPr="00F756F4">
        <w:rPr>
          <w:rFonts w:eastAsia="Times New Roman"/>
        </w:rPr>
        <w:t>Dublin, Ohio 43016</w:t>
      </w:r>
    </w:p>
    <w:p w14:paraId="7F19D723" w14:textId="77777777" w:rsidR="003151DD" w:rsidRPr="00F756F4" w:rsidRDefault="003151DD" w:rsidP="003151DD">
      <w:pPr>
        <w:spacing w:line="240" w:lineRule="auto"/>
        <w:ind w:left="4320"/>
        <w:rPr>
          <w:rFonts w:eastAsia="Times New Roman"/>
        </w:rPr>
      </w:pPr>
      <w:r w:rsidRPr="00F756F4">
        <w:rPr>
          <w:rFonts w:eastAsia="Times New Roman"/>
        </w:rPr>
        <w:t>Telephone:</w:t>
      </w:r>
      <w:r w:rsidRPr="00F756F4">
        <w:rPr>
          <w:rFonts w:eastAsia="Times New Roman"/>
        </w:rPr>
        <w:tab/>
        <w:t>(614) 659-5000</w:t>
      </w:r>
    </w:p>
    <w:p w14:paraId="1D5F593F" w14:textId="77777777" w:rsidR="003151DD" w:rsidRPr="00F756F4" w:rsidRDefault="003151DD" w:rsidP="003151DD">
      <w:pPr>
        <w:spacing w:line="240" w:lineRule="auto"/>
        <w:ind w:left="4320"/>
        <w:rPr>
          <w:rFonts w:eastAsia="Times New Roman"/>
        </w:rPr>
      </w:pPr>
      <w:r w:rsidRPr="00F756F4">
        <w:rPr>
          <w:rFonts w:eastAsia="Times New Roman"/>
        </w:rPr>
        <w:t>Facsimile:</w:t>
      </w:r>
      <w:r w:rsidRPr="00F756F4">
        <w:rPr>
          <w:rFonts w:eastAsia="Times New Roman"/>
        </w:rPr>
        <w:tab/>
        <w:t>(614) 659-5073</w:t>
      </w:r>
    </w:p>
    <w:p w14:paraId="6DEF7F5B" w14:textId="77777777" w:rsidR="003151DD" w:rsidRPr="00F756F4" w:rsidRDefault="003151DD" w:rsidP="003151DD">
      <w:pPr>
        <w:spacing w:line="240" w:lineRule="auto"/>
        <w:ind w:left="4320"/>
        <w:rPr>
          <w:rFonts w:eastAsia="Times New Roman"/>
        </w:rPr>
      </w:pPr>
    </w:p>
    <w:p w14:paraId="17F5AC1D" w14:textId="77777777" w:rsidR="003151DD" w:rsidRPr="00F756F4" w:rsidRDefault="003151DD" w:rsidP="003151DD">
      <w:pPr>
        <w:spacing w:line="240" w:lineRule="auto"/>
        <w:ind w:left="4320"/>
        <w:rPr>
          <w:rFonts w:eastAsia="Times New Roman"/>
        </w:rPr>
      </w:pPr>
      <w:r w:rsidRPr="00F756F4">
        <w:rPr>
          <w:rFonts w:eastAsia="Times New Roman"/>
        </w:rPr>
        <w:t>Attorneys for IGS Energy</w:t>
      </w:r>
    </w:p>
    <w:p w14:paraId="46D8974C" w14:textId="77777777" w:rsidR="003151DD" w:rsidRPr="00F756F4" w:rsidRDefault="003151DD" w:rsidP="003151DD">
      <w:pPr>
        <w:spacing w:line="240" w:lineRule="auto"/>
        <w:ind w:left="4320"/>
        <w:rPr>
          <w:rFonts w:eastAsia="Times New Roman"/>
          <w:b/>
          <w:i/>
        </w:rPr>
      </w:pPr>
    </w:p>
    <w:p w14:paraId="7E311260" w14:textId="77777777" w:rsidR="003151DD" w:rsidRPr="00F756F4" w:rsidRDefault="003151DD" w:rsidP="003151DD">
      <w:pPr>
        <w:spacing w:line="240" w:lineRule="auto"/>
        <w:ind w:left="4320"/>
        <w:rPr>
          <w:rFonts w:eastAsia="Times New Roman"/>
          <w:bCs/>
        </w:rPr>
      </w:pPr>
    </w:p>
    <w:p w14:paraId="3B9AEFED" w14:textId="77777777" w:rsidR="003151DD" w:rsidRPr="00686DCA" w:rsidRDefault="003151DD" w:rsidP="003151DD">
      <w:pPr>
        <w:tabs>
          <w:tab w:val="left" w:pos="4320"/>
        </w:tabs>
        <w:spacing w:before="240" w:line="240" w:lineRule="auto"/>
        <w:jc w:val="center"/>
        <w:rPr>
          <w:rFonts w:eastAsia="Times New Roman"/>
          <w:b/>
        </w:rPr>
      </w:pPr>
      <w:r w:rsidRPr="003151DD">
        <w:rPr>
          <w:rFonts w:ascii="Times New Roman" w:eastAsia="Times New Roman" w:hAnsi="Times New Roman" w:cs="Times New Roman"/>
        </w:rPr>
        <w:br w:type="page"/>
      </w:r>
      <w:r w:rsidRPr="00686DCA">
        <w:rPr>
          <w:rFonts w:eastAsia="Times New Roman"/>
          <w:b/>
        </w:rPr>
        <w:lastRenderedPageBreak/>
        <w:t>CERTIFICATE OF SERVICE</w:t>
      </w:r>
    </w:p>
    <w:p w14:paraId="41F32519" w14:textId="77777777" w:rsidR="003151DD" w:rsidRPr="00686DCA" w:rsidRDefault="003151DD" w:rsidP="003151DD">
      <w:pPr>
        <w:tabs>
          <w:tab w:val="left" w:pos="4320"/>
        </w:tabs>
        <w:spacing w:line="240" w:lineRule="auto"/>
        <w:jc w:val="center"/>
        <w:rPr>
          <w:rFonts w:eastAsia="Times New Roman"/>
          <w:b/>
        </w:rPr>
      </w:pPr>
    </w:p>
    <w:p w14:paraId="27E30D4B" w14:textId="77777777" w:rsidR="003151DD" w:rsidRPr="00686DCA" w:rsidRDefault="003151DD" w:rsidP="003151DD">
      <w:pPr>
        <w:spacing w:line="240" w:lineRule="auto"/>
        <w:rPr>
          <w:rFonts w:eastAsia="Times New Roman"/>
        </w:rPr>
      </w:pPr>
      <w:r w:rsidRPr="00686DCA">
        <w:rPr>
          <w:rFonts w:eastAsia="Times New Roman"/>
        </w:rPr>
        <w:t xml:space="preserve">I hereby certify that a copy of the foregoing </w:t>
      </w:r>
      <w:r w:rsidR="00C80D08">
        <w:rPr>
          <w:rFonts w:eastAsia="Times New Roman"/>
        </w:rPr>
        <w:t>Reply</w:t>
      </w:r>
      <w:r w:rsidR="00686DCA" w:rsidRPr="00686DCA">
        <w:rPr>
          <w:rFonts w:eastAsia="Times New Roman"/>
        </w:rPr>
        <w:t xml:space="preserve"> Brief of Interstate Gas Supply, Inc.</w:t>
      </w:r>
      <w:r w:rsidRPr="00686DCA">
        <w:rPr>
          <w:rFonts w:eastAsia="Times New Roman"/>
        </w:rPr>
        <w:t xml:space="preserve"> was served via regular electronic transmission to the</w:t>
      </w:r>
      <w:r w:rsidR="00686DCA" w:rsidRPr="00686DCA">
        <w:rPr>
          <w:rFonts w:eastAsia="Times New Roman"/>
        </w:rPr>
        <w:t xml:space="preserve"> perso</w:t>
      </w:r>
      <w:r w:rsidR="00C80D08">
        <w:rPr>
          <w:rFonts w:eastAsia="Times New Roman"/>
        </w:rPr>
        <w:t>ns listed below, on October 2</w:t>
      </w:r>
      <w:r w:rsidRPr="00686DCA">
        <w:rPr>
          <w:rFonts w:eastAsia="Times New Roman"/>
        </w:rPr>
        <w:t>, 2018.</w:t>
      </w:r>
    </w:p>
    <w:p w14:paraId="4C81CE96" w14:textId="77777777" w:rsidR="003151DD" w:rsidRPr="00686DCA" w:rsidRDefault="003151DD" w:rsidP="003151DD">
      <w:pPr>
        <w:tabs>
          <w:tab w:val="left" w:pos="4320"/>
        </w:tabs>
        <w:spacing w:line="240" w:lineRule="auto"/>
        <w:rPr>
          <w:rFonts w:eastAsia="Times New Roman"/>
        </w:rPr>
      </w:pPr>
    </w:p>
    <w:p w14:paraId="2ADF3041" w14:textId="77777777" w:rsidR="003151DD" w:rsidRPr="00686DCA" w:rsidRDefault="003151DD" w:rsidP="003151DD">
      <w:pPr>
        <w:tabs>
          <w:tab w:val="left" w:pos="4320"/>
        </w:tabs>
        <w:spacing w:line="240" w:lineRule="auto"/>
        <w:rPr>
          <w:rFonts w:eastAsia="Times New Roman"/>
        </w:rPr>
      </w:pPr>
      <w:r w:rsidRPr="00686DCA">
        <w:rPr>
          <w:rFonts w:eastAsia="Times New Roman"/>
        </w:rPr>
        <w:tab/>
      </w:r>
    </w:p>
    <w:p w14:paraId="4F4AE655" w14:textId="77777777" w:rsidR="003151DD" w:rsidRPr="00686DCA" w:rsidRDefault="003151DD" w:rsidP="00C4586F">
      <w:pPr>
        <w:spacing w:line="240" w:lineRule="auto"/>
        <w:jc w:val="center"/>
        <w:rPr>
          <w:rFonts w:eastAsia="Times New Roman"/>
          <w:b/>
          <w:bCs/>
        </w:rPr>
      </w:pPr>
      <w:r w:rsidRPr="00686DCA">
        <w:rPr>
          <w:rFonts w:eastAsia="Times New Roman"/>
          <w:b/>
          <w:bCs/>
        </w:rPr>
        <w:t>SERVICE LIST</w:t>
      </w:r>
    </w:p>
    <w:p w14:paraId="077337FA" w14:textId="77777777" w:rsidR="003151DD" w:rsidRPr="00686DCA" w:rsidRDefault="003151DD" w:rsidP="003151DD">
      <w:pPr>
        <w:spacing w:line="240" w:lineRule="auto"/>
        <w:jc w:val="center"/>
        <w:rPr>
          <w:rFonts w:eastAsia="Times New Roman"/>
          <w:b/>
          <w:bCs/>
        </w:rPr>
      </w:pPr>
    </w:p>
    <w:tbl>
      <w:tblPr>
        <w:tblStyle w:val="TableGrid"/>
        <w:tblW w:w="0" w:type="auto"/>
        <w:tblLayout w:type="fixed"/>
        <w:tblLook w:val="04A0" w:firstRow="1" w:lastRow="0" w:firstColumn="1" w:lastColumn="0" w:noHBand="0" w:noVBand="1"/>
      </w:tblPr>
      <w:tblGrid>
        <w:gridCol w:w="3994"/>
        <w:gridCol w:w="4636"/>
      </w:tblGrid>
      <w:tr w:rsidR="003151DD" w:rsidRPr="00686DCA" w14:paraId="3A211CE6" w14:textId="77777777" w:rsidTr="00C4586F">
        <w:tc>
          <w:tcPr>
            <w:tcW w:w="3994" w:type="dxa"/>
          </w:tcPr>
          <w:p w14:paraId="6A373747" w14:textId="77777777" w:rsidR="003151DD" w:rsidRPr="00686DCA" w:rsidRDefault="003151DD" w:rsidP="003151DD">
            <w:pPr>
              <w:rPr>
                <w:rFonts w:ascii="Arial" w:hAnsi="Arial" w:cs="Arial"/>
                <w:sz w:val="24"/>
                <w:szCs w:val="24"/>
              </w:rPr>
            </w:pPr>
            <w:r w:rsidRPr="00686DCA">
              <w:rPr>
                <w:rFonts w:ascii="Arial" w:hAnsi="Arial" w:cs="Arial"/>
                <w:sz w:val="24"/>
                <w:szCs w:val="24"/>
              </w:rPr>
              <w:t xml:space="preserve">jeanne.kinger@duke-energy.com elizabeth.watts@duke-energy.com rocco.dascenzo@dukeenergy.com mkurtz@bkllawfirm.com jkylercohn@bkllawfirm.com fdarr@mwncmh.com mpritchard@mwncmh.com cmooney@ohiopartners.org </w:t>
            </w:r>
          </w:p>
          <w:p w14:paraId="6350873E" w14:textId="77777777" w:rsidR="003151DD" w:rsidRPr="00686DCA" w:rsidRDefault="00447E8B" w:rsidP="003151DD">
            <w:pPr>
              <w:rPr>
                <w:rFonts w:ascii="Arial" w:hAnsi="Arial" w:cs="Arial"/>
                <w:sz w:val="24"/>
                <w:szCs w:val="24"/>
              </w:rPr>
            </w:pPr>
            <w:hyperlink r:id="rId8" w:history="1">
              <w:r w:rsidR="003151DD" w:rsidRPr="00686DCA">
                <w:rPr>
                  <w:rFonts w:ascii="Arial" w:hAnsi="Arial" w:cs="Arial"/>
                  <w:sz w:val="24"/>
                  <w:szCs w:val="24"/>
                </w:rPr>
                <w:t>mfleisher@elpc.org</w:t>
              </w:r>
            </w:hyperlink>
            <w:r w:rsidR="003151DD" w:rsidRPr="00686DCA">
              <w:rPr>
                <w:rFonts w:ascii="Arial" w:hAnsi="Arial" w:cs="Arial"/>
                <w:sz w:val="24"/>
                <w:szCs w:val="24"/>
              </w:rPr>
              <w:t xml:space="preserve"> </w:t>
            </w:r>
          </w:p>
          <w:p w14:paraId="2361374F" w14:textId="77777777" w:rsidR="003151DD" w:rsidRPr="00686DCA" w:rsidRDefault="00447E8B" w:rsidP="003151DD">
            <w:pPr>
              <w:rPr>
                <w:rFonts w:ascii="Arial" w:hAnsi="Arial" w:cs="Arial"/>
                <w:sz w:val="24"/>
                <w:szCs w:val="24"/>
              </w:rPr>
            </w:pPr>
            <w:hyperlink r:id="rId9" w:history="1">
              <w:r w:rsidR="003151DD" w:rsidRPr="00686DCA">
                <w:rPr>
                  <w:rFonts w:ascii="Arial" w:hAnsi="Arial" w:cs="Arial"/>
                  <w:sz w:val="24"/>
                  <w:szCs w:val="24"/>
                </w:rPr>
                <w:t>paul@carpenterlipps.com</w:t>
              </w:r>
            </w:hyperlink>
          </w:p>
          <w:p w14:paraId="639386BF" w14:textId="77777777" w:rsidR="003151DD" w:rsidRPr="00686DCA" w:rsidRDefault="003151DD" w:rsidP="003151DD">
            <w:pPr>
              <w:rPr>
                <w:rFonts w:ascii="Arial" w:hAnsi="Arial" w:cs="Arial"/>
                <w:sz w:val="24"/>
                <w:szCs w:val="24"/>
              </w:rPr>
            </w:pPr>
            <w:r w:rsidRPr="00686DCA">
              <w:rPr>
                <w:rFonts w:ascii="Arial" w:hAnsi="Arial" w:cs="Arial"/>
                <w:sz w:val="24"/>
                <w:szCs w:val="24"/>
              </w:rPr>
              <w:t>William.Michael@occ.ohio.gov</w:t>
            </w:r>
          </w:p>
          <w:p w14:paraId="2DA53E4E" w14:textId="77777777" w:rsidR="003151DD" w:rsidRPr="00686DCA" w:rsidRDefault="00447E8B" w:rsidP="003151DD">
            <w:pPr>
              <w:rPr>
                <w:rFonts w:ascii="Arial" w:hAnsi="Arial" w:cs="Arial"/>
                <w:sz w:val="24"/>
                <w:szCs w:val="24"/>
              </w:rPr>
            </w:pPr>
            <w:hyperlink r:id="rId10" w:history="1">
              <w:r w:rsidR="003151DD" w:rsidRPr="00686DCA">
                <w:rPr>
                  <w:rFonts w:ascii="Arial" w:hAnsi="Arial" w:cs="Arial"/>
                  <w:sz w:val="24"/>
                  <w:szCs w:val="24"/>
                </w:rPr>
                <w:t>Christopher.Healey@occ.ohio.gov</w:t>
              </w:r>
            </w:hyperlink>
          </w:p>
          <w:p w14:paraId="375405E9" w14:textId="77777777" w:rsidR="003151DD" w:rsidRPr="00686DCA" w:rsidRDefault="00447E8B" w:rsidP="003151DD">
            <w:pPr>
              <w:rPr>
                <w:rFonts w:ascii="Arial" w:hAnsi="Arial" w:cs="Arial"/>
                <w:sz w:val="24"/>
                <w:szCs w:val="24"/>
              </w:rPr>
            </w:pPr>
            <w:hyperlink r:id="rId11" w:history="1">
              <w:r w:rsidR="003151DD" w:rsidRPr="00686DCA">
                <w:rPr>
                  <w:rFonts w:ascii="Arial" w:hAnsi="Arial" w:cs="Arial"/>
                  <w:sz w:val="24"/>
                  <w:szCs w:val="24"/>
                </w:rPr>
                <w:t>daltman@environlaw.com</w:t>
              </w:r>
            </w:hyperlink>
          </w:p>
          <w:p w14:paraId="2D7391BD" w14:textId="77777777" w:rsidR="003151DD" w:rsidRPr="00686DCA" w:rsidRDefault="00447E8B" w:rsidP="003151DD">
            <w:pPr>
              <w:rPr>
                <w:rFonts w:ascii="Arial" w:hAnsi="Arial" w:cs="Arial"/>
                <w:sz w:val="24"/>
                <w:szCs w:val="24"/>
              </w:rPr>
            </w:pPr>
            <w:hyperlink r:id="rId12" w:history="1">
              <w:r w:rsidR="003151DD" w:rsidRPr="00686DCA">
                <w:rPr>
                  <w:rFonts w:ascii="Arial" w:hAnsi="Arial" w:cs="Arial"/>
                  <w:sz w:val="24"/>
                  <w:szCs w:val="24"/>
                </w:rPr>
                <w:t>jnewman@environlaw.com</w:t>
              </w:r>
            </w:hyperlink>
          </w:p>
          <w:p w14:paraId="45AACE2F" w14:textId="77777777" w:rsidR="003151DD" w:rsidRPr="00686DCA" w:rsidRDefault="003151DD" w:rsidP="003151DD">
            <w:pPr>
              <w:rPr>
                <w:rFonts w:ascii="Arial" w:hAnsi="Arial" w:cs="Arial"/>
                <w:sz w:val="24"/>
                <w:szCs w:val="24"/>
              </w:rPr>
            </w:pPr>
            <w:r w:rsidRPr="00686DCA">
              <w:rPr>
                <w:rFonts w:ascii="Arial" w:hAnsi="Arial" w:cs="Arial"/>
                <w:sz w:val="24"/>
                <w:szCs w:val="24"/>
              </w:rPr>
              <w:t>jweber@environlaw.com</w:t>
            </w:r>
          </w:p>
          <w:p w14:paraId="44B4C8B3" w14:textId="77777777" w:rsidR="003151DD" w:rsidRPr="00686DCA" w:rsidRDefault="00447E8B" w:rsidP="003151DD">
            <w:pPr>
              <w:rPr>
                <w:rFonts w:ascii="Arial" w:hAnsi="Arial" w:cs="Arial"/>
                <w:sz w:val="24"/>
                <w:szCs w:val="24"/>
              </w:rPr>
            </w:pPr>
            <w:hyperlink r:id="rId13" w:history="1">
              <w:r w:rsidR="003151DD" w:rsidRPr="00686DCA">
                <w:rPr>
                  <w:rFonts w:ascii="Arial" w:hAnsi="Arial" w:cs="Arial"/>
                  <w:sz w:val="24"/>
                  <w:szCs w:val="24"/>
                </w:rPr>
                <w:t>swilliams@nrdc.org</w:t>
              </w:r>
            </w:hyperlink>
          </w:p>
          <w:p w14:paraId="66845CE2" w14:textId="77777777" w:rsidR="003151DD" w:rsidRPr="00686DCA" w:rsidRDefault="00447E8B" w:rsidP="003151DD">
            <w:pPr>
              <w:rPr>
                <w:rFonts w:ascii="Arial" w:hAnsi="Arial" w:cs="Arial"/>
                <w:sz w:val="24"/>
                <w:szCs w:val="24"/>
              </w:rPr>
            </w:pPr>
            <w:hyperlink r:id="rId14" w:history="1">
              <w:r w:rsidR="003151DD" w:rsidRPr="00686DCA">
                <w:rPr>
                  <w:rFonts w:ascii="Arial" w:hAnsi="Arial" w:cs="Arial"/>
                  <w:sz w:val="24"/>
                  <w:szCs w:val="24"/>
                </w:rPr>
                <w:t>mjsettineri@vorys.com</w:t>
              </w:r>
            </w:hyperlink>
          </w:p>
          <w:p w14:paraId="7EEC2C7B" w14:textId="77777777" w:rsidR="003151DD" w:rsidRPr="00686DCA" w:rsidRDefault="00447E8B" w:rsidP="003151DD">
            <w:pPr>
              <w:rPr>
                <w:rFonts w:ascii="Arial" w:hAnsi="Arial" w:cs="Arial"/>
                <w:sz w:val="24"/>
                <w:szCs w:val="24"/>
              </w:rPr>
            </w:pPr>
            <w:hyperlink r:id="rId15" w:history="1">
              <w:r w:rsidR="003151DD" w:rsidRPr="00686DCA">
                <w:rPr>
                  <w:rFonts w:ascii="Arial" w:hAnsi="Arial" w:cs="Arial"/>
                  <w:sz w:val="24"/>
                  <w:szCs w:val="24"/>
                </w:rPr>
                <w:t>Terry.Etter@occ.ohio.gov</w:t>
              </w:r>
            </w:hyperlink>
          </w:p>
          <w:p w14:paraId="4573577B" w14:textId="77777777" w:rsidR="003151DD" w:rsidRPr="00686DCA" w:rsidRDefault="00447E8B" w:rsidP="003151DD">
            <w:pPr>
              <w:rPr>
                <w:rFonts w:ascii="Arial" w:hAnsi="Arial" w:cs="Arial"/>
                <w:sz w:val="24"/>
                <w:szCs w:val="24"/>
              </w:rPr>
            </w:pPr>
            <w:hyperlink r:id="rId16" w:history="1">
              <w:r w:rsidR="003151DD" w:rsidRPr="00686DCA">
                <w:rPr>
                  <w:rFonts w:ascii="Arial" w:hAnsi="Arial" w:cs="Arial"/>
                  <w:sz w:val="24"/>
                  <w:szCs w:val="24"/>
                </w:rPr>
                <w:t>DWilliamson@spilmanlaw.com</w:t>
              </w:r>
            </w:hyperlink>
          </w:p>
          <w:p w14:paraId="74EFD9A1" w14:textId="77777777" w:rsidR="003151DD" w:rsidRPr="00686DCA" w:rsidRDefault="00447E8B" w:rsidP="003151DD">
            <w:pPr>
              <w:rPr>
                <w:rFonts w:ascii="Arial" w:hAnsi="Arial" w:cs="Arial"/>
                <w:sz w:val="24"/>
                <w:szCs w:val="24"/>
              </w:rPr>
            </w:pPr>
            <w:hyperlink r:id="rId17" w:history="1">
              <w:r w:rsidR="003151DD" w:rsidRPr="00686DCA">
                <w:rPr>
                  <w:rFonts w:ascii="Arial" w:hAnsi="Arial" w:cs="Arial"/>
                  <w:sz w:val="24"/>
                  <w:szCs w:val="24"/>
                </w:rPr>
                <w:t>lbrandfass@spilmanlaw.com</w:t>
              </w:r>
            </w:hyperlink>
          </w:p>
          <w:p w14:paraId="307CEE6D" w14:textId="77777777" w:rsidR="003151DD" w:rsidRPr="00686DCA" w:rsidRDefault="00447E8B" w:rsidP="003151DD">
            <w:pPr>
              <w:rPr>
                <w:rFonts w:ascii="Arial" w:hAnsi="Arial" w:cs="Arial"/>
                <w:sz w:val="24"/>
                <w:szCs w:val="24"/>
              </w:rPr>
            </w:pPr>
            <w:hyperlink r:id="rId18" w:history="1">
              <w:r w:rsidR="003151DD" w:rsidRPr="00686DCA">
                <w:rPr>
                  <w:rFonts w:ascii="Arial" w:hAnsi="Arial" w:cs="Arial"/>
                  <w:sz w:val="24"/>
                  <w:szCs w:val="24"/>
                </w:rPr>
                <w:t>JLang@Calfee.com</w:t>
              </w:r>
            </w:hyperlink>
          </w:p>
          <w:p w14:paraId="43D385AB" w14:textId="77777777" w:rsidR="003151DD" w:rsidRPr="00686DCA" w:rsidRDefault="00447E8B" w:rsidP="003151DD">
            <w:pPr>
              <w:rPr>
                <w:rFonts w:ascii="Arial" w:hAnsi="Arial" w:cs="Arial"/>
                <w:sz w:val="24"/>
                <w:szCs w:val="24"/>
              </w:rPr>
            </w:pPr>
            <w:hyperlink r:id="rId19" w:history="1">
              <w:r w:rsidR="003151DD" w:rsidRPr="00686DCA">
                <w:rPr>
                  <w:rFonts w:ascii="Arial" w:hAnsi="Arial" w:cs="Arial"/>
                  <w:sz w:val="24"/>
                  <w:szCs w:val="24"/>
                </w:rPr>
                <w:t>rsahli@columbus.rr.com</w:t>
              </w:r>
            </w:hyperlink>
          </w:p>
          <w:p w14:paraId="24BBC232" w14:textId="77777777" w:rsidR="003151DD" w:rsidRPr="00686DCA" w:rsidRDefault="00447E8B" w:rsidP="003151DD">
            <w:pPr>
              <w:rPr>
                <w:rFonts w:ascii="Arial" w:hAnsi="Arial" w:cs="Arial"/>
                <w:sz w:val="24"/>
                <w:szCs w:val="24"/>
              </w:rPr>
            </w:pPr>
            <w:hyperlink r:id="rId20" w:history="1">
              <w:r w:rsidR="003151DD" w:rsidRPr="00686DCA">
                <w:rPr>
                  <w:rFonts w:ascii="Arial" w:hAnsi="Arial" w:cs="Arial"/>
                  <w:sz w:val="24"/>
                  <w:szCs w:val="24"/>
                </w:rPr>
                <w:t>tony.mendoza@sierraclub.org</w:t>
              </w:r>
            </w:hyperlink>
          </w:p>
          <w:p w14:paraId="5215C02B" w14:textId="77777777" w:rsidR="003151DD" w:rsidRPr="00686DCA" w:rsidRDefault="003151DD" w:rsidP="003151DD">
            <w:pPr>
              <w:rPr>
                <w:rFonts w:ascii="Arial" w:hAnsi="Arial" w:cs="Arial"/>
                <w:sz w:val="24"/>
                <w:szCs w:val="24"/>
              </w:rPr>
            </w:pPr>
            <w:r w:rsidRPr="00686DCA">
              <w:rPr>
                <w:rFonts w:ascii="Arial" w:hAnsi="Arial" w:cs="Arial"/>
                <w:sz w:val="24"/>
                <w:szCs w:val="24"/>
              </w:rPr>
              <w:t>Zachary.woltz@occ.ohio.gov</w:t>
            </w:r>
          </w:p>
        </w:tc>
        <w:tc>
          <w:tcPr>
            <w:tcW w:w="4636" w:type="dxa"/>
          </w:tcPr>
          <w:p w14:paraId="277A20D1" w14:textId="77777777" w:rsidR="003151DD" w:rsidRPr="00686DCA" w:rsidRDefault="003151DD" w:rsidP="003151DD">
            <w:pPr>
              <w:rPr>
                <w:rFonts w:ascii="Arial" w:hAnsi="Arial" w:cs="Arial"/>
                <w:sz w:val="24"/>
                <w:szCs w:val="24"/>
              </w:rPr>
            </w:pPr>
            <w:r w:rsidRPr="00686DCA">
              <w:rPr>
                <w:rFonts w:ascii="Arial" w:hAnsi="Arial" w:cs="Arial"/>
                <w:sz w:val="24"/>
                <w:szCs w:val="24"/>
              </w:rPr>
              <w:t xml:space="preserve">whitt@whitt-sturtevant.com </w:t>
            </w:r>
          </w:p>
          <w:p w14:paraId="1349BAAF" w14:textId="77777777" w:rsidR="003151DD" w:rsidRPr="00686DCA" w:rsidRDefault="00447E8B" w:rsidP="003151DD">
            <w:pPr>
              <w:rPr>
                <w:rFonts w:ascii="Arial" w:hAnsi="Arial" w:cs="Arial"/>
                <w:sz w:val="24"/>
                <w:szCs w:val="24"/>
              </w:rPr>
            </w:pPr>
            <w:hyperlink r:id="rId21" w:history="1">
              <w:r w:rsidR="003151DD" w:rsidRPr="00686DCA">
                <w:rPr>
                  <w:rFonts w:ascii="Arial" w:hAnsi="Arial" w:cs="Arial"/>
                  <w:sz w:val="24"/>
                  <w:szCs w:val="24"/>
                </w:rPr>
                <w:t>campbell@whitt-sturtevant.com</w:t>
              </w:r>
            </w:hyperlink>
            <w:r w:rsidR="003151DD" w:rsidRPr="00686DCA">
              <w:rPr>
                <w:rFonts w:ascii="Arial" w:hAnsi="Arial" w:cs="Arial"/>
                <w:sz w:val="24"/>
                <w:szCs w:val="24"/>
              </w:rPr>
              <w:t xml:space="preserve"> </w:t>
            </w:r>
          </w:p>
          <w:p w14:paraId="0E8B8D5D" w14:textId="77777777" w:rsidR="003151DD" w:rsidRPr="00686DCA" w:rsidRDefault="00447E8B" w:rsidP="003151DD">
            <w:pPr>
              <w:rPr>
                <w:rFonts w:ascii="Arial" w:hAnsi="Arial" w:cs="Arial"/>
                <w:sz w:val="24"/>
                <w:szCs w:val="24"/>
              </w:rPr>
            </w:pPr>
            <w:hyperlink r:id="rId22" w:history="1">
              <w:r w:rsidR="003151DD" w:rsidRPr="00686DCA">
                <w:rPr>
                  <w:rFonts w:ascii="Arial" w:hAnsi="Arial" w:cs="Arial"/>
                  <w:sz w:val="24"/>
                  <w:szCs w:val="24"/>
                </w:rPr>
                <w:t>glover@whitt-sturtevant.com</w:t>
              </w:r>
            </w:hyperlink>
          </w:p>
          <w:p w14:paraId="1ABAEEB2" w14:textId="77777777" w:rsidR="003151DD" w:rsidRPr="00686DCA" w:rsidRDefault="00447E8B" w:rsidP="003151DD">
            <w:pPr>
              <w:rPr>
                <w:rFonts w:ascii="Arial" w:hAnsi="Arial" w:cs="Arial"/>
                <w:sz w:val="24"/>
                <w:szCs w:val="24"/>
              </w:rPr>
            </w:pPr>
            <w:hyperlink r:id="rId23" w:history="1">
              <w:r w:rsidR="003151DD" w:rsidRPr="00686DCA">
                <w:rPr>
                  <w:rFonts w:ascii="Arial" w:hAnsi="Arial" w:cs="Arial"/>
                  <w:sz w:val="24"/>
                  <w:szCs w:val="24"/>
                </w:rPr>
                <w:t>tdougherty@theoec.org</w:t>
              </w:r>
            </w:hyperlink>
            <w:r w:rsidR="003151DD" w:rsidRPr="00686DCA">
              <w:rPr>
                <w:rFonts w:ascii="Arial" w:hAnsi="Arial" w:cs="Arial"/>
                <w:sz w:val="24"/>
                <w:szCs w:val="24"/>
              </w:rPr>
              <w:t xml:space="preserve"> </w:t>
            </w:r>
          </w:p>
          <w:p w14:paraId="1063E833" w14:textId="77777777" w:rsidR="003151DD" w:rsidRPr="00686DCA" w:rsidRDefault="003151DD" w:rsidP="003151DD">
            <w:pPr>
              <w:rPr>
                <w:rFonts w:ascii="Arial" w:hAnsi="Arial" w:cs="Arial"/>
                <w:sz w:val="24"/>
                <w:szCs w:val="24"/>
              </w:rPr>
            </w:pPr>
            <w:r w:rsidRPr="00686DCA">
              <w:rPr>
                <w:rFonts w:ascii="Arial" w:hAnsi="Arial" w:cs="Arial"/>
                <w:sz w:val="24"/>
                <w:szCs w:val="24"/>
              </w:rPr>
              <w:t xml:space="preserve">eakhbari@bricker.com rick.sites@ohiohospitals.org </w:t>
            </w:r>
            <w:hyperlink r:id="rId24" w:history="1">
              <w:r w:rsidRPr="00686DCA">
                <w:rPr>
                  <w:rFonts w:ascii="Arial" w:hAnsi="Arial" w:cs="Arial"/>
                  <w:sz w:val="24"/>
                  <w:szCs w:val="24"/>
                </w:rPr>
                <w:t>dborchers@bricker.com</w:t>
              </w:r>
            </w:hyperlink>
            <w:r w:rsidRPr="00686DCA">
              <w:rPr>
                <w:rFonts w:ascii="Arial" w:hAnsi="Arial" w:cs="Arial"/>
                <w:sz w:val="24"/>
                <w:szCs w:val="24"/>
              </w:rPr>
              <w:t xml:space="preserve"> </w:t>
            </w:r>
          </w:p>
          <w:p w14:paraId="63CFB595" w14:textId="77777777" w:rsidR="003151DD" w:rsidRPr="00686DCA" w:rsidRDefault="00447E8B" w:rsidP="003151DD">
            <w:pPr>
              <w:rPr>
                <w:rFonts w:ascii="Arial" w:hAnsi="Arial" w:cs="Arial"/>
                <w:sz w:val="24"/>
                <w:szCs w:val="24"/>
              </w:rPr>
            </w:pPr>
            <w:hyperlink r:id="rId25" w:history="1">
              <w:r w:rsidR="003151DD" w:rsidRPr="00686DCA">
                <w:rPr>
                  <w:rFonts w:ascii="Arial" w:hAnsi="Arial" w:cs="Arial"/>
                  <w:sz w:val="24"/>
                  <w:szCs w:val="24"/>
                </w:rPr>
                <w:t>dparram@bricker.com</w:t>
              </w:r>
            </w:hyperlink>
            <w:r w:rsidR="003151DD" w:rsidRPr="00686DCA">
              <w:rPr>
                <w:rFonts w:ascii="Arial" w:hAnsi="Arial" w:cs="Arial"/>
                <w:sz w:val="24"/>
                <w:szCs w:val="24"/>
              </w:rPr>
              <w:t xml:space="preserve"> </w:t>
            </w:r>
          </w:p>
          <w:p w14:paraId="3275F2CA" w14:textId="77777777" w:rsidR="003151DD" w:rsidRPr="00686DCA" w:rsidRDefault="003151DD" w:rsidP="003151DD">
            <w:pPr>
              <w:rPr>
                <w:rFonts w:ascii="Arial" w:hAnsi="Arial" w:cs="Arial"/>
                <w:sz w:val="24"/>
                <w:szCs w:val="24"/>
              </w:rPr>
            </w:pPr>
            <w:r w:rsidRPr="00686DCA">
              <w:rPr>
                <w:rFonts w:ascii="Arial" w:hAnsi="Arial" w:cs="Arial"/>
                <w:sz w:val="24"/>
                <w:szCs w:val="24"/>
              </w:rPr>
              <w:t xml:space="preserve">mdortch@kravitzllc.com </w:t>
            </w:r>
            <w:hyperlink r:id="rId26" w:history="1">
              <w:r w:rsidRPr="00686DCA">
                <w:rPr>
                  <w:rFonts w:ascii="Arial" w:hAnsi="Arial" w:cs="Arial"/>
                  <w:sz w:val="24"/>
                  <w:szCs w:val="24"/>
                </w:rPr>
                <w:t>dboehm@bkllawfirm.com</w:t>
              </w:r>
            </w:hyperlink>
          </w:p>
          <w:p w14:paraId="71F00B2B" w14:textId="77777777" w:rsidR="003151DD" w:rsidRPr="00686DCA" w:rsidRDefault="003151DD" w:rsidP="003151DD">
            <w:pPr>
              <w:rPr>
                <w:rFonts w:ascii="Arial" w:hAnsi="Arial" w:cs="Arial"/>
                <w:sz w:val="24"/>
                <w:szCs w:val="24"/>
              </w:rPr>
            </w:pPr>
            <w:r w:rsidRPr="00686DCA">
              <w:rPr>
                <w:rFonts w:ascii="Arial" w:hAnsi="Arial" w:cs="Arial"/>
                <w:sz w:val="24"/>
                <w:szCs w:val="24"/>
              </w:rPr>
              <w:t xml:space="preserve">kboehm@bkllawfirm.com bojko@carpenterlipps.com perko@carpenterlipps.com </w:t>
            </w:r>
            <w:hyperlink r:id="rId27" w:history="1">
              <w:r w:rsidRPr="00686DCA">
                <w:rPr>
                  <w:rFonts w:ascii="Arial" w:hAnsi="Arial" w:cs="Arial"/>
                  <w:sz w:val="24"/>
                  <w:szCs w:val="24"/>
                </w:rPr>
                <w:t>mleppla@theoec.org</w:t>
              </w:r>
            </w:hyperlink>
          </w:p>
          <w:p w14:paraId="20E95E05" w14:textId="77777777" w:rsidR="003151DD" w:rsidRPr="00686DCA" w:rsidRDefault="003151DD" w:rsidP="003151DD">
            <w:pPr>
              <w:rPr>
                <w:rFonts w:ascii="Arial" w:hAnsi="Arial" w:cs="Arial"/>
                <w:sz w:val="24"/>
                <w:szCs w:val="24"/>
              </w:rPr>
            </w:pPr>
            <w:r w:rsidRPr="00686DCA">
              <w:rPr>
                <w:rFonts w:ascii="Arial" w:hAnsi="Arial" w:cs="Arial"/>
                <w:sz w:val="24"/>
                <w:szCs w:val="24"/>
              </w:rPr>
              <w:t>steven.beeler@ohioattorneygeneral.gov</w:t>
            </w:r>
          </w:p>
          <w:p w14:paraId="33C8A0C9" w14:textId="77777777" w:rsidR="003151DD" w:rsidRPr="00686DCA" w:rsidRDefault="003151DD" w:rsidP="003151DD">
            <w:pPr>
              <w:rPr>
                <w:rFonts w:ascii="Arial" w:hAnsi="Arial" w:cs="Arial"/>
                <w:sz w:val="24"/>
                <w:szCs w:val="24"/>
              </w:rPr>
            </w:pPr>
            <w:r w:rsidRPr="00686DCA">
              <w:rPr>
                <w:rFonts w:ascii="Arial" w:hAnsi="Arial" w:cs="Arial"/>
                <w:sz w:val="24"/>
                <w:szCs w:val="24"/>
              </w:rPr>
              <w:t>robert.eubanks@ohioattorneygeneral.gov</w:t>
            </w:r>
          </w:p>
          <w:p w14:paraId="32CD16FD" w14:textId="77777777" w:rsidR="003151DD" w:rsidRPr="00686DCA" w:rsidRDefault="00447E8B" w:rsidP="003151DD">
            <w:pPr>
              <w:rPr>
                <w:rFonts w:ascii="Arial" w:hAnsi="Arial" w:cs="Arial"/>
                <w:sz w:val="24"/>
                <w:szCs w:val="24"/>
              </w:rPr>
            </w:pPr>
            <w:hyperlink r:id="rId28" w:history="1">
              <w:r w:rsidR="003151DD" w:rsidRPr="00686DCA">
                <w:rPr>
                  <w:rFonts w:ascii="Arial" w:hAnsi="Arial" w:cs="Arial"/>
                  <w:sz w:val="24"/>
                  <w:szCs w:val="24"/>
                </w:rPr>
                <w:t>glpetrucci@vorys.com</w:t>
              </w:r>
            </w:hyperlink>
          </w:p>
          <w:p w14:paraId="00F7A4D5" w14:textId="77777777" w:rsidR="003151DD" w:rsidRPr="00686DCA" w:rsidRDefault="00447E8B" w:rsidP="003151DD">
            <w:pPr>
              <w:rPr>
                <w:rFonts w:ascii="Arial" w:hAnsi="Arial" w:cs="Arial"/>
                <w:sz w:val="24"/>
                <w:szCs w:val="24"/>
              </w:rPr>
            </w:pPr>
            <w:hyperlink r:id="rId29" w:history="1">
              <w:r w:rsidR="003151DD" w:rsidRPr="00686DCA">
                <w:rPr>
                  <w:rFonts w:ascii="Arial" w:hAnsi="Arial" w:cs="Arial"/>
                  <w:sz w:val="24"/>
                  <w:szCs w:val="24"/>
                </w:rPr>
                <w:t>Kevin.Moore@occ.ohio.gov</w:t>
              </w:r>
            </w:hyperlink>
          </w:p>
          <w:p w14:paraId="377B2658" w14:textId="77777777" w:rsidR="003151DD" w:rsidRPr="00686DCA" w:rsidRDefault="00447E8B" w:rsidP="003151DD">
            <w:pPr>
              <w:rPr>
                <w:rFonts w:ascii="Arial" w:hAnsi="Arial" w:cs="Arial"/>
                <w:sz w:val="24"/>
                <w:szCs w:val="24"/>
              </w:rPr>
            </w:pPr>
            <w:hyperlink r:id="rId30" w:history="1">
              <w:r w:rsidR="003151DD" w:rsidRPr="00686DCA">
                <w:rPr>
                  <w:rFonts w:ascii="Arial" w:hAnsi="Arial" w:cs="Arial"/>
                  <w:sz w:val="24"/>
                  <w:szCs w:val="24"/>
                </w:rPr>
                <w:t>CHarris@spilmanlaw.com</w:t>
              </w:r>
            </w:hyperlink>
          </w:p>
          <w:p w14:paraId="0A7AC2D5" w14:textId="77777777" w:rsidR="003151DD" w:rsidRPr="00686DCA" w:rsidRDefault="00447E8B" w:rsidP="003151DD">
            <w:pPr>
              <w:rPr>
                <w:rFonts w:ascii="Arial" w:hAnsi="Arial" w:cs="Arial"/>
                <w:sz w:val="24"/>
                <w:szCs w:val="24"/>
              </w:rPr>
            </w:pPr>
            <w:hyperlink r:id="rId31" w:history="1">
              <w:r w:rsidR="003151DD" w:rsidRPr="00686DCA">
                <w:rPr>
                  <w:rFonts w:ascii="Arial" w:hAnsi="Arial" w:cs="Arial"/>
                  <w:sz w:val="24"/>
                  <w:szCs w:val="24"/>
                </w:rPr>
                <w:t>SLesser@Calfee.com</w:t>
              </w:r>
            </w:hyperlink>
          </w:p>
          <w:p w14:paraId="2291218C" w14:textId="77777777" w:rsidR="003151DD" w:rsidRPr="00686DCA" w:rsidRDefault="00447E8B" w:rsidP="003151DD">
            <w:pPr>
              <w:rPr>
                <w:rFonts w:ascii="Arial" w:hAnsi="Arial" w:cs="Arial"/>
                <w:sz w:val="24"/>
                <w:szCs w:val="24"/>
              </w:rPr>
            </w:pPr>
            <w:hyperlink r:id="rId32" w:history="1">
              <w:r w:rsidR="003151DD" w:rsidRPr="00686DCA">
                <w:rPr>
                  <w:rFonts w:ascii="Arial" w:hAnsi="Arial" w:cs="Arial"/>
                  <w:sz w:val="24"/>
                  <w:szCs w:val="24"/>
                </w:rPr>
                <w:t>TAlexander@Calfee.com</w:t>
              </w:r>
            </w:hyperlink>
          </w:p>
          <w:p w14:paraId="34C0CC3B" w14:textId="77777777" w:rsidR="003151DD" w:rsidRPr="00686DCA" w:rsidRDefault="00447E8B" w:rsidP="003151DD">
            <w:pPr>
              <w:rPr>
                <w:rFonts w:ascii="Arial" w:hAnsi="Arial" w:cs="Arial"/>
                <w:sz w:val="24"/>
                <w:szCs w:val="24"/>
              </w:rPr>
            </w:pPr>
            <w:hyperlink r:id="rId33" w:history="1">
              <w:r w:rsidR="003151DD" w:rsidRPr="00686DCA">
                <w:rPr>
                  <w:rFonts w:ascii="Arial" w:hAnsi="Arial" w:cs="Arial"/>
                  <w:sz w:val="24"/>
                  <w:szCs w:val="24"/>
                </w:rPr>
                <w:t>mkeaney@calfee.com</w:t>
              </w:r>
            </w:hyperlink>
          </w:p>
          <w:p w14:paraId="6367BB23" w14:textId="77777777" w:rsidR="003151DD" w:rsidRPr="00686DCA" w:rsidRDefault="00447E8B" w:rsidP="003151DD">
            <w:pPr>
              <w:rPr>
                <w:rFonts w:ascii="Arial" w:hAnsi="Arial" w:cs="Arial"/>
                <w:sz w:val="24"/>
                <w:szCs w:val="24"/>
              </w:rPr>
            </w:pPr>
            <w:hyperlink r:id="rId34" w:history="1">
              <w:r w:rsidR="003151DD" w:rsidRPr="00686DCA">
                <w:rPr>
                  <w:rFonts w:ascii="Arial" w:hAnsi="Arial" w:cs="Arial"/>
                  <w:sz w:val="24"/>
                  <w:szCs w:val="24"/>
                </w:rPr>
                <w:t>EAkhbari@bricker.com</w:t>
              </w:r>
            </w:hyperlink>
          </w:p>
          <w:p w14:paraId="1D832767" w14:textId="77777777" w:rsidR="003151DD" w:rsidRPr="00686DCA" w:rsidRDefault="00447E8B" w:rsidP="003151DD">
            <w:pPr>
              <w:rPr>
                <w:rFonts w:ascii="Arial" w:hAnsi="Arial" w:cs="Arial"/>
                <w:sz w:val="24"/>
                <w:szCs w:val="24"/>
              </w:rPr>
            </w:pPr>
            <w:hyperlink r:id="rId35" w:history="1">
              <w:r w:rsidR="003151DD" w:rsidRPr="00686DCA">
                <w:rPr>
                  <w:rFonts w:ascii="Arial" w:hAnsi="Arial" w:cs="Arial"/>
                  <w:sz w:val="24"/>
                  <w:szCs w:val="24"/>
                </w:rPr>
                <w:t>William.wright@ohioattorneygeneral.gov</w:t>
              </w:r>
            </w:hyperlink>
          </w:p>
          <w:p w14:paraId="4B8B4D4B" w14:textId="77777777" w:rsidR="003151DD" w:rsidRPr="00686DCA" w:rsidRDefault="003151DD" w:rsidP="003151DD">
            <w:pPr>
              <w:rPr>
                <w:rFonts w:ascii="Arial" w:hAnsi="Arial" w:cs="Arial"/>
                <w:sz w:val="24"/>
                <w:szCs w:val="24"/>
              </w:rPr>
            </w:pPr>
            <w:r w:rsidRPr="00686DCA">
              <w:rPr>
                <w:rFonts w:ascii="Arial" w:hAnsi="Arial" w:cs="Arial"/>
                <w:sz w:val="24"/>
                <w:szCs w:val="24"/>
              </w:rPr>
              <w:t>Kevin.moore@occ.ohio.gov</w:t>
            </w:r>
          </w:p>
        </w:tc>
      </w:tr>
    </w:tbl>
    <w:p w14:paraId="235E778D" w14:textId="77777777" w:rsidR="00C4586F" w:rsidRDefault="00C4586F" w:rsidP="00C4586F">
      <w:pPr>
        <w:spacing w:line="240" w:lineRule="auto"/>
        <w:ind w:left="4320"/>
        <w:rPr>
          <w:rFonts w:eastAsia="Arial"/>
          <w:u w:val="single"/>
        </w:rPr>
      </w:pPr>
    </w:p>
    <w:p w14:paraId="7A1D2773" w14:textId="77777777" w:rsidR="00C4586F" w:rsidRPr="00F756F4" w:rsidRDefault="00C4586F" w:rsidP="00C4586F">
      <w:pPr>
        <w:spacing w:line="240" w:lineRule="auto"/>
        <w:ind w:left="4320"/>
        <w:rPr>
          <w:rFonts w:eastAsia="Calibri"/>
          <w:u w:val="single"/>
        </w:rPr>
      </w:pPr>
      <w:r w:rsidRPr="00F756F4">
        <w:rPr>
          <w:rFonts w:eastAsia="Arial"/>
          <w:u w:val="single"/>
        </w:rPr>
        <w:t>/s/ Joseph Oliker</w:t>
      </w:r>
      <w:r w:rsidRPr="00F756F4">
        <w:rPr>
          <w:rFonts w:eastAsia="Arial"/>
          <w:i/>
          <w:u w:val="single"/>
        </w:rPr>
        <w:t>_________</w:t>
      </w:r>
    </w:p>
    <w:p w14:paraId="4B7F4EB4" w14:textId="77777777" w:rsidR="00C4586F" w:rsidRPr="00F756F4" w:rsidRDefault="00C4586F" w:rsidP="00C4586F">
      <w:pPr>
        <w:spacing w:line="240" w:lineRule="auto"/>
        <w:ind w:left="4320"/>
        <w:rPr>
          <w:rFonts w:eastAsia="Times New Roman"/>
        </w:rPr>
      </w:pPr>
      <w:r w:rsidRPr="00F756F4">
        <w:rPr>
          <w:rFonts w:eastAsia="Times New Roman"/>
        </w:rPr>
        <w:t xml:space="preserve">Joseph Oliker </w:t>
      </w:r>
    </w:p>
    <w:p w14:paraId="6DFB26D4" w14:textId="77777777" w:rsidR="00025F78" w:rsidRDefault="00025F78"/>
    <w:sectPr w:rsidR="00025F78">
      <w:headerReference w:type="even" r:id="rId36"/>
      <w:headerReference w:type="default" r:id="rId37"/>
      <w:footerReference w:type="even" r:id="rId38"/>
      <w:footerReference w:type="default" r:id="rId39"/>
      <w:headerReference w:type="first" r:id="rId40"/>
      <w:footerReference w:type="first" r:id="rId41"/>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F0D2DD" w16cid:durableId="1F5C666E"/>
  <w16cid:commentId w16cid:paraId="2CFC7B1C" w16cid:durableId="1F5CCB1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CBD88C" w14:textId="77777777" w:rsidR="00200C0C" w:rsidRDefault="00200C0C" w:rsidP="003151DD">
      <w:pPr>
        <w:spacing w:line="240" w:lineRule="auto"/>
      </w:pPr>
      <w:r>
        <w:separator/>
      </w:r>
    </w:p>
  </w:endnote>
  <w:endnote w:type="continuationSeparator" w:id="0">
    <w:p w14:paraId="74A86C26" w14:textId="77777777" w:rsidR="00200C0C" w:rsidRDefault="00200C0C" w:rsidP="003151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DEDFC" w14:textId="77777777" w:rsidR="009143E2" w:rsidRDefault="009143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0173403"/>
      <w:docPartObj>
        <w:docPartGallery w:val="Page Numbers (Bottom of Page)"/>
        <w:docPartUnique/>
      </w:docPartObj>
    </w:sdtPr>
    <w:sdtEndPr>
      <w:rPr>
        <w:noProof/>
      </w:rPr>
    </w:sdtEndPr>
    <w:sdtContent>
      <w:p w14:paraId="4380B367" w14:textId="44BD898B" w:rsidR="00200C0C" w:rsidRDefault="00200C0C">
        <w:pPr>
          <w:pStyle w:val="Footer"/>
          <w:jc w:val="center"/>
        </w:pPr>
        <w:r>
          <w:fldChar w:fldCharType="begin"/>
        </w:r>
        <w:r>
          <w:instrText xml:space="preserve"> PAGE   \* MERGEFORMAT </w:instrText>
        </w:r>
        <w:r>
          <w:fldChar w:fldCharType="separate"/>
        </w:r>
        <w:r w:rsidR="00447E8B">
          <w:rPr>
            <w:noProof/>
          </w:rPr>
          <w:t>1</w:t>
        </w:r>
        <w:r>
          <w:rPr>
            <w:noProof/>
          </w:rPr>
          <w:fldChar w:fldCharType="end"/>
        </w:r>
      </w:p>
    </w:sdtContent>
  </w:sdt>
  <w:p w14:paraId="3B6F4445" w14:textId="77777777" w:rsidR="00200C0C" w:rsidRDefault="00200C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C9DD6" w14:textId="77777777" w:rsidR="009143E2" w:rsidRDefault="009143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D9116" w14:textId="77777777" w:rsidR="00200C0C" w:rsidRDefault="00200C0C" w:rsidP="003151DD">
      <w:pPr>
        <w:spacing w:line="240" w:lineRule="auto"/>
      </w:pPr>
      <w:r>
        <w:separator/>
      </w:r>
    </w:p>
  </w:footnote>
  <w:footnote w:type="continuationSeparator" w:id="0">
    <w:p w14:paraId="43BA4FB3" w14:textId="77777777" w:rsidR="00200C0C" w:rsidRDefault="00200C0C" w:rsidP="003151DD">
      <w:pPr>
        <w:spacing w:line="240" w:lineRule="auto"/>
      </w:pPr>
      <w:r>
        <w:continuationSeparator/>
      </w:r>
    </w:p>
  </w:footnote>
  <w:footnote w:id="1">
    <w:p w14:paraId="5D0A0D1F" w14:textId="5E3F909D" w:rsidR="00200C0C" w:rsidRDefault="00200C0C" w:rsidP="00DA5A12">
      <w:pPr>
        <w:pStyle w:val="FootnoteText"/>
      </w:pPr>
      <w:r>
        <w:rPr>
          <w:rStyle w:val="FootnoteReference"/>
        </w:rPr>
        <w:footnoteRef/>
      </w:r>
      <w:r>
        <w:t xml:space="preserve"> Duke </w:t>
      </w:r>
      <w:r w:rsidR="002F377A">
        <w:t xml:space="preserve">Initial </w:t>
      </w:r>
      <w:r>
        <w:t xml:space="preserve">Brief at </w:t>
      </w:r>
      <w:r w:rsidRPr="0028114A">
        <w:t xml:space="preserve">24.  </w:t>
      </w:r>
    </w:p>
    <w:p w14:paraId="7F9B7BCC" w14:textId="77777777" w:rsidR="00200C0C" w:rsidRDefault="00200C0C" w:rsidP="00DA5A12">
      <w:pPr>
        <w:pStyle w:val="FootnoteText"/>
      </w:pPr>
    </w:p>
  </w:footnote>
  <w:footnote w:id="2">
    <w:p w14:paraId="65A64E47" w14:textId="451F222F" w:rsidR="00200C0C" w:rsidRDefault="00200C0C" w:rsidP="00DA5A12">
      <w:pPr>
        <w:pStyle w:val="FootnoteText"/>
      </w:pPr>
      <w:r>
        <w:rPr>
          <w:rStyle w:val="FootnoteReference"/>
        </w:rPr>
        <w:footnoteRef/>
      </w:r>
      <w:r>
        <w:t xml:space="preserve"> </w:t>
      </w:r>
      <w:r>
        <w:rPr>
          <w:i/>
        </w:rPr>
        <w:t xml:space="preserve">Id. </w:t>
      </w:r>
      <w:r>
        <w:t>at 26.</w:t>
      </w:r>
    </w:p>
    <w:p w14:paraId="566F3DF0" w14:textId="77777777" w:rsidR="00200C0C" w:rsidRPr="0028114A" w:rsidRDefault="00200C0C" w:rsidP="00DA5A12">
      <w:pPr>
        <w:pStyle w:val="FootnoteText"/>
      </w:pPr>
    </w:p>
  </w:footnote>
  <w:footnote w:id="3">
    <w:p w14:paraId="6BAB290A" w14:textId="743D8DB4" w:rsidR="001B348F" w:rsidRDefault="001B348F" w:rsidP="00DA5A12">
      <w:pPr>
        <w:pStyle w:val="FootnoteText"/>
        <w:rPr>
          <w:i/>
        </w:rPr>
      </w:pPr>
      <w:r>
        <w:rPr>
          <w:rStyle w:val="FootnoteReference"/>
        </w:rPr>
        <w:footnoteRef/>
      </w:r>
      <w:r>
        <w:t xml:space="preserve"> </w:t>
      </w:r>
      <w:r w:rsidR="002F377A">
        <w:rPr>
          <w:i/>
        </w:rPr>
        <w:t xml:space="preserve">Id. </w:t>
      </w:r>
    </w:p>
    <w:p w14:paraId="78721E49" w14:textId="77777777" w:rsidR="002F377A" w:rsidRPr="002F377A" w:rsidRDefault="002F377A" w:rsidP="00DA5A12">
      <w:pPr>
        <w:pStyle w:val="FootnoteText"/>
        <w:rPr>
          <w:i/>
        </w:rPr>
      </w:pPr>
    </w:p>
  </w:footnote>
  <w:footnote w:id="4">
    <w:p w14:paraId="61DD8695" w14:textId="568BC048" w:rsidR="00200C0C" w:rsidRDefault="00200C0C" w:rsidP="00DA5A12">
      <w:pPr>
        <w:pStyle w:val="FootnoteText"/>
      </w:pPr>
      <w:r>
        <w:rPr>
          <w:rStyle w:val="FootnoteReference"/>
        </w:rPr>
        <w:footnoteRef/>
      </w:r>
      <w:r>
        <w:t xml:space="preserve"> </w:t>
      </w:r>
      <w:r w:rsidRPr="00856EB8">
        <w:t xml:space="preserve">Tr. Vol. XI at 1896-97 (Duke incurs call center expenses related to the SSO); Tr. Vol. XI at 1897 (Duke incurs costs related to SSO billing functionality); Tr. Vol. XI at 1897 (Duke incurs costs to modify </w:t>
      </w:r>
      <w:proofErr w:type="spellStart"/>
      <w:r w:rsidRPr="00856EB8">
        <w:t>bypassable</w:t>
      </w:r>
      <w:proofErr w:type="spellEnd"/>
      <w:r w:rsidRPr="00856EB8">
        <w:t xml:space="preserve"> SSO rates; Duke incurs IT expenses related to the SSO); Tr. Vol. XI at 1906, 1929-1930 (A portion of Duke’s PUCO and OCC assessments is the result of the SSO revenue it collects); Tr. Vol. V at 990-991 (Duke incurs call center expenses related to the SSO); Tr. Vol. V at 1011-12 (regulatory expenses related to the SSO).</w:t>
      </w:r>
    </w:p>
    <w:p w14:paraId="4A5C5DEE" w14:textId="77777777" w:rsidR="00200C0C" w:rsidRDefault="00200C0C" w:rsidP="00DA5A12">
      <w:pPr>
        <w:pStyle w:val="FootnoteText"/>
      </w:pPr>
    </w:p>
  </w:footnote>
  <w:footnote w:id="5">
    <w:p w14:paraId="3E139C49" w14:textId="15A1A63C" w:rsidR="00200C0C" w:rsidRDefault="00200C0C" w:rsidP="00DA5A12">
      <w:pPr>
        <w:pStyle w:val="FootnoteText"/>
      </w:pPr>
      <w:r>
        <w:rPr>
          <w:rStyle w:val="FootnoteReference"/>
        </w:rPr>
        <w:footnoteRef/>
      </w:r>
      <w:r>
        <w:t xml:space="preserve"> RESA-IGS Ex. 1 at JEH-1.</w:t>
      </w:r>
    </w:p>
    <w:p w14:paraId="7572FC1F" w14:textId="77777777" w:rsidR="00200C0C" w:rsidRDefault="00200C0C" w:rsidP="00DA5A12">
      <w:pPr>
        <w:pStyle w:val="FootnoteText"/>
      </w:pPr>
    </w:p>
  </w:footnote>
  <w:footnote w:id="6">
    <w:p w14:paraId="014D2B6C" w14:textId="69C1705F" w:rsidR="00200C0C" w:rsidRDefault="00200C0C" w:rsidP="00DA5A12">
      <w:pPr>
        <w:pStyle w:val="FootnoteText"/>
      </w:pPr>
      <w:r>
        <w:rPr>
          <w:rStyle w:val="FootnoteReference"/>
        </w:rPr>
        <w:footnoteRef/>
      </w:r>
      <w:r>
        <w:t xml:space="preserve"> </w:t>
      </w:r>
      <w:r>
        <w:rPr>
          <w:i/>
        </w:rPr>
        <w:t xml:space="preserve">See id. </w:t>
      </w:r>
      <w:r>
        <w:t>at 9-11.</w:t>
      </w:r>
    </w:p>
    <w:p w14:paraId="3D00D975" w14:textId="77777777" w:rsidR="001B348F" w:rsidRPr="00105304" w:rsidRDefault="001B348F" w:rsidP="00DA5A12">
      <w:pPr>
        <w:pStyle w:val="FootnoteText"/>
      </w:pPr>
    </w:p>
  </w:footnote>
  <w:footnote w:id="7">
    <w:p w14:paraId="7DAEB4A3" w14:textId="287B0BA7" w:rsidR="001B348F" w:rsidRDefault="001B348F" w:rsidP="00DA5A12">
      <w:pPr>
        <w:pStyle w:val="FootnoteText"/>
      </w:pPr>
      <w:r>
        <w:rPr>
          <w:rStyle w:val="FootnoteReference"/>
        </w:rPr>
        <w:footnoteRef/>
      </w:r>
      <w:r>
        <w:t xml:space="preserve"> IGS Initial Brief at 16-26.</w:t>
      </w:r>
    </w:p>
    <w:p w14:paraId="137AC117" w14:textId="77777777" w:rsidR="001B348F" w:rsidRDefault="001B348F" w:rsidP="00DA5A12">
      <w:pPr>
        <w:pStyle w:val="FootnoteText"/>
      </w:pPr>
    </w:p>
  </w:footnote>
  <w:footnote w:id="8">
    <w:p w14:paraId="3815E8D6" w14:textId="05871E8D" w:rsidR="00200C0C" w:rsidRDefault="00200C0C" w:rsidP="00DA5A12">
      <w:pPr>
        <w:pStyle w:val="FootnoteText"/>
      </w:pPr>
      <w:r>
        <w:rPr>
          <w:rStyle w:val="FootnoteReference"/>
        </w:rPr>
        <w:footnoteRef/>
      </w:r>
      <w:r>
        <w:t xml:space="preserve"> Staff</w:t>
      </w:r>
      <w:r w:rsidR="002F377A">
        <w:t xml:space="preserve"> Initial</w:t>
      </w:r>
      <w:r>
        <w:t xml:space="preserve"> Brief at 57-58.</w:t>
      </w:r>
    </w:p>
    <w:p w14:paraId="2B066D3B" w14:textId="77777777" w:rsidR="00200C0C" w:rsidRDefault="00200C0C" w:rsidP="00DA5A12">
      <w:pPr>
        <w:pStyle w:val="FootnoteText"/>
      </w:pPr>
    </w:p>
  </w:footnote>
  <w:footnote w:id="9">
    <w:p w14:paraId="100093E0" w14:textId="69293ADA" w:rsidR="001B348F" w:rsidRDefault="001B348F" w:rsidP="00DA5A12">
      <w:pPr>
        <w:pStyle w:val="FootnoteText"/>
      </w:pPr>
      <w:r>
        <w:rPr>
          <w:rStyle w:val="FootnoteReference"/>
        </w:rPr>
        <w:footnoteRef/>
      </w:r>
      <w:r>
        <w:t xml:space="preserve"> </w:t>
      </w:r>
      <w:r>
        <w:rPr>
          <w:i/>
        </w:rPr>
        <w:t xml:space="preserve">Id. </w:t>
      </w:r>
      <w:r>
        <w:t>at 58.</w:t>
      </w:r>
    </w:p>
    <w:p w14:paraId="6DC3B90D" w14:textId="77777777" w:rsidR="001B348F" w:rsidRPr="001B348F" w:rsidRDefault="001B348F" w:rsidP="00DA5A12">
      <w:pPr>
        <w:pStyle w:val="FootnoteText"/>
      </w:pPr>
    </w:p>
  </w:footnote>
  <w:footnote w:id="10">
    <w:p w14:paraId="5947B5BB" w14:textId="0DAF4AF8" w:rsidR="00200C0C" w:rsidRDefault="00200C0C" w:rsidP="00DA5A12">
      <w:pPr>
        <w:pStyle w:val="FootnoteText"/>
      </w:pPr>
      <w:r>
        <w:rPr>
          <w:rStyle w:val="FootnoteReference"/>
        </w:rPr>
        <w:footnoteRef/>
      </w:r>
      <w:r>
        <w:t xml:space="preserve"> IGS Initial Brief at 6.</w:t>
      </w:r>
    </w:p>
    <w:p w14:paraId="18DBD4DA" w14:textId="77777777" w:rsidR="00200C0C" w:rsidRDefault="00200C0C" w:rsidP="00DA5A12">
      <w:pPr>
        <w:pStyle w:val="FootnoteText"/>
      </w:pPr>
    </w:p>
  </w:footnote>
  <w:footnote w:id="11">
    <w:p w14:paraId="690F3F90" w14:textId="6A43219A" w:rsidR="00200C0C" w:rsidRDefault="00200C0C" w:rsidP="00DA5A12">
      <w:pPr>
        <w:pStyle w:val="FootnoteText"/>
      </w:pPr>
      <w:r>
        <w:rPr>
          <w:rStyle w:val="FootnoteReference"/>
        </w:rPr>
        <w:footnoteRef/>
      </w:r>
      <w:r>
        <w:t xml:space="preserve"> </w:t>
      </w:r>
      <w:r w:rsidRPr="00856EB8">
        <w:rPr>
          <w:i/>
        </w:rPr>
        <w:t>In the Matter of Application of Duke Energy Ohio, Inc. for Authority to Establish a Standard Service Offer Pursuant to R.C. 4928.143 in the Form of an Electric Security Plan, Accounting Modifications, and Tariffs for Generation Service, Case Nos</w:t>
      </w:r>
      <w:r>
        <w:rPr>
          <w:i/>
        </w:rPr>
        <w:t>.</w:t>
      </w:r>
      <w:r>
        <w:t xml:space="preserve"> 14-841-EL-SSO, </w:t>
      </w:r>
      <w:r>
        <w:rPr>
          <w:i/>
        </w:rPr>
        <w:t>et al.</w:t>
      </w:r>
      <w:r>
        <w:t>, Opinion and Order 86 (Apr. 2, 2015).</w:t>
      </w:r>
      <w:r w:rsidRPr="005D6EBD">
        <w:t xml:space="preserve"> </w:t>
      </w:r>
      <w:r w:rsidRPr="005D6EBD">
        <w:cr/>
      </w:r>
    </w:p>
  </w:footnote>
  <w:footnote w:id="12">
    <w:p w14:paraId="7BA65D63" w14:textId="162D0C44" w:rsidR="00200C0C" w:rsidRDefault="00200C0C" w:rsidP="00DA5A12">
      <w:pPr>
        <w:pStyle w:val="FootnoteText"/>
      </w:pPr>
      <w:r>
        <w:rPr>
          <w:rStyle w:val="FootnoteReference"/>
        </w:rPr>
        <w:footnoteRef/>
      </w:r>
      <w:r w:rsidR="002F377A">
        <w:t xml:space="preserve"> Staff Initial Brief at 58.</w:t>
      </w:r>
    </w:p>
  </w:footnote>
  <w:footnote w:id="13">
    <w:p w14:paraId="12346D33" w14:textId="3366AE76" w:rsidR="00200C0C" w:rsidRDefault="00200C0C" w:rsidP="00DA5A12">
      <w:pPr>
        <w:pStyle w:val="FootnoteText"/>
      </w:pPr>
      <w:r>
        <w:rPr>
          <w:rStyle w:val="FootnoteReference"/>
        </w:rPr>
        <w:footnoteRef/>
      </w:r>
      <w:r>
        <w:t xml:space="preserve"> RESA-IGS Ex. 1 at 14-16.</w:t>
      </w:r>
    </w:p>
    <w:p w14:paraId="053FBC50" w14:textId="77777777" w:rsidR="00200C0C" w:rsidRDefault="00200C0C" w:rsidP="00DA5A12">
      <w:pPr>
        <w:pStyle w:val="FootnoteText"/>
      </w:pPr>
    </w:p>
  </w:footnote>
  <w:footnote w:id="14">
    <w:p w14:paraId="1EE2D92D" w14:textId="705AD98D" w:rsidR="00200C0C" w:rsidRDefault="00200C0C" w:rsidP="00DA5A12">
      <w:pPr>
        <w:pStyle w:val="FootnoteText"/>
      </w:pPr>
      <w:r>
        <w:rPr>
          <w:rStyle w:val="FootnoteReference"/>
        </w:rPr>
        <w:footnoteRef/>
      </w:r>
      <w:r>
        <w:t xml:space="preserve"> </w:t>
      </w:r>
      <w:r w:rsidRPr="00200C0C">
        <w:t>Tr. Vol. III at 689-75; Tr. Vol. V at 894; Tr. Vol. V at 981, 985, 1008-13; Tr. Vol. XIII at 2085.</w:t>
      </w:r>
    </w:p>
    <w:p w14:paraId="6858DD53" w14:textId="77777777" w:rsidR="00200C0C" w:rsidRDefault="00200C0C" w:rsidP="00DA5A12">
      <w:pPr>
        <w:pStyle w:val="FootnoteText"/>
      </w:pPr>
    </w:p>
  </w:footnote>
  <w:footnote w:id="15">
    <w:p w14:paraId="73EB6020" w14:textId="564EBEF3" w:rsidR="00200C0C" w:rsidRDefault="00200C0C" w:rsidP="00DA5A12">
      <w:pPr>
        <w:pStyle w:val="FootnoteText"/>
      </w:pPr>
      <w:r>
        <w:rPr>
          <w:rStyle w:val="FootnoteReference"/>
        </w:rPr>
        <w:footnoteRef/>
      </w:r>
      <w:r>
        <w:t xml:space="preserve"> The law could not be more clear that the SSO is a competitive service.  R.C. 4928.141.</w:t>
      </w:r>
    </w:p>
  </w:footnote>
  <w:footnote w:id="16">
    <w:p w14:paraId="0E5F257F" w14:textId="3ED4F341" w:rsidR="00200C0C" w:rsidRDefault="00200C0C" w:rsidP="00DA5A12">
      <w:pPr>
        <w:pStyle w:val="FootnoteText"/>
      </w:pPr>
      <w:r>
        <w:rPr>
          <w:rStyle w:val="FootnoteReference"/>
        </w:rPr>
        <w:footnoteRef/>
      </w:r>
      <w:r>
        <w:t xml:space="preserve"> IGS Ex. 8. </w:t>
      </w:r>
    </w:p>
    <w:p w14:paraId="0A84EB0B" w14:textId="77777777" w:rsidR="00200C0C" w:rsidRDefault="00200C0C" w:rsidP="00DA5A12">
      <w:pPr>
        <w:pStyle w:val="FootnoteText"/>
      </w:pPr>
    </w:p>
  </w:footnote>
  <w:footnote w:id="17">
    <w:p w14:paraId="43D6BBA7" w14:textId="60C7F9CD" w:rsidR="00200C0C" w:rsidRDefault="00200C0C" w:rsidP="00DA5A12">
      <w:pPr>
        <w:pStyle w:val="FootnoteText"/>
        <w:rPr>
          <w:rFonts w:eastAsia="Arial"/>
          <w:bCs/>
        </w:rPr>
      </w:pPr>
      <w:r>
        <w:rPr>
          <w:rStyle w:val="FootnoteReference"/>
        </w:rPr>
        <w:footnoteRef/>
      </w:r>
      <w:r>
        <w:t xml:space="preserve"> </w:t>
      </w:r>
      <w:r>
        <w:rPr>
          <w:rFonts w:eastAsia="Arial"/>
          <w:bCs/>
        </w:rPr>
        <w:t xml:space="preserve">Staff </w:t>
      </w:r>
      <w:r w:rsidR="002F377A">
        <w:rPr>
          <w:rFonts w:eastAsia="Arial"/>
          <w:bCs/>
        </w:rPr>
        <w:t xml:space="preserve">Initial </w:t>
      </w:r>
      <w:r>
        <w:rPr>
          <w:rFonts w:eastAsia="Arial"/>
          <w:bCs/>
        </w:rPr>
        <w:t>Brief at 55-56.</w:t>
      </w:r>
    </w:p>
    <w:p w14:paraId="2A4C868D" w14:textId="77777777" w:rsidR="00200C0C" w:rsidRDefault="00200C0C" w:rsidP="00DA5A12">
      <w:pPr>
        <w:pStyle w:val="FootnoteText"/>
      </w:pPr>
    </w:p>
  </w:footnote>
  <w:footnote w:id="18">
    <w:p w14:paraId="47EEE9BD" w14:textId="792FFA1A" w:rsidR="00200C0C" w:rsidRDefault="00200C0C" w:rsidP="00DA5A12">
      <w:pPr>
        <w:pStyle w:val="FootnoteText"/>
      </w:pPr>
      <w:r>
        <w:rPr>
          <w:rStyle w:val="FootnoteReference"/>
        </w:rPr>
        <w:footnoteRef/>
      </w:r>
      <w:r>
        <w:t xml:space="preserve"> Staff Ex. 13 at 4.</w:t>
      </w:r>
    </w:p>
    <w:p w14:paraId="14C6BCB5" w14:textId="77777777" w:rsidR="00200C0C" w:rsidRDefault="00200C0C" w:rsidP="00DA5A12">
      <w:pPr>
        <w:pStyle w:val="FootnoteText"/>
      </w:pPr>
    </w:p>
  </w:footnote>
  <w:footnote w:id="19">
    <w:p w14:paraId="4505875B" w14:textId="75713FCA" w:rsidR="00200C0C" w:rsidRDefault="00200C0C" w:rsidP="00DA5A12">
      <w:pPr>
        <w:pStyle w:val="FootnoteText"/>
        <w:rPr>
          <w:i/>
        </w:rPr>
      </w:pPr>
      <w:r>
        <w:rPr>
          <w:rStyle w:val="FootnoteReference"/>
        </w:rPr>
        <w:footnoteRef/>
      </w:r>
      <w:r>
        <w:t xml:space="preserve"> </w:t>
      </w:r>
      <w:r w:rsidRPr="00200C0C">
        <w:rPr>
          <w:i/>
        </w:rPr>
        <w:t>Id.</w:t>
      </w:r>
    </w:p>
    <w:p w14:paraId="14A91721" w14:textId="77777777" w:rsidR="00200C0C" w:rsidRDefault="00200C0C" w:rsidP="00DA5A12">
      <w:pPr>
        <w:pStyle w:val="FootnoteText"/>
      </w:pPr>
    </w:p>
  </w:footnote>
  <w:footnote w:id="20">
    <w:p w14:paraId="7A6233DE" w14:textId="2FCCCADF" w:rsidR="00200C0C" w:rsidRDefault="00200C0C" w:rsidP="00DA5A12">
      <w:pPr>
        <w:pStyle w:val="FootnoteText"/>
      </w:pPr>
      <w:r>
        <w:rPr>
          <w:rStyle w:val="FootnoteReference"/>
        </w:rPr>
        <w:footnoteRef/>
      </w:r>
      <w:r>
        <w:t xml:space="preserve"> </w:t>
      </w:r>
      <w:r w:rsidRPr="00856EB8">
        <w:t>Tr. Vol. XI at 1935-38.</w:t>
      </w:r>
    </w:p>
    <w:p w14:paraId="5E8F8E0D" w14:textId="77777777" w:rsidR="00200C0C" w:rsidRDefault="00200C0C" w:rsidP="00DA5A12">
      <w:pPr>
        <w:pStyle w:val="FootnoteText"/>
      </w:pPr>
    </w:p>
  </w:footnote>
  <w:footnote w:id="21">
    <w:p w14:paraId="16553D6A" w14:textId="3F0B735D" w:rsidR="00200C0C" w:rsidRDefault="00200C0C" w:rsidP="00DA5A12">
      <w:pPr>
        <w:pStyle w:val="FootnoteText"/>
      </w:pPr>
      <w:r>
        <w:rPr>
          <w:rStyle w:val="FootnoteReference"/>
        </w:rPr>
        <w:footnoteRef/>
      </w:r>
      <w:r>
        <w:t xml:space="preserve"> </w:t>
      </w:r>
      <w:r w:rsidRPr="00200C0C">
        <w:t xml:space="preserve">Tr. Vol. XI at 1896-97 (Duke incurs call center expenses related to the SSO); Tr. Vol. XI at 1897 (Duke incurs costs related to SSO billing functionality); Tr. Vol. XI at 1897 (Duke incurs costs to modify </w:t>
      </w:r>
      <w:proofErr w:type="spellStart"/>
      <w:r w:rsidRPr="00200C0C">
        <w:t>bypassable</w:t>
      </w:r>
      <w:proofErr w:type="spellEnd"/>
      <w:r w:rsidRPr="00200C0C">
        <w:t xml:space="preserve"> SSO rates; Duke incurs IT expenses related to the SSO); Tr. Vol. XI at 1906, 1929-1930 (A portion of Duke’s PUCO and OCC assessments is the result of the SSO revenue it collects); Tr. Vol. V at 990-991 (Duke incurs call center expenses related to the SSO); Tr. Vol. V at 1011-12 (regulatory expenses related to the SSO).</w:t>
      </w:r>
    </w:p>
  </w:footnote>
  <w:footnote w:id="22">
    <w:p w14:paraId="1E34045F" w14:textId="47958CBE" w:rsidR="00200C0C" w:rsidRDefault="00200C0C" w:rsidP="00DA5A12">
      <w:pPr>
        <w:pStyle w:val="FootnoteText"/>
      </w:pPr>
      <w:r>
        <w:rPr>
          <w:rStyle w:val="FootnoteReference"/>
        </w:rPr>
        <w:footnoteRef/>
      </w:r>
      <w:r>
        <w:t xml:space="preserve"> Staff </w:t>
      </w:r>
      <w:r w:rsidR="002F377A">
        <w:t xml:space="preserve">Initial </w:t>
      </w:r>
      <w:r>
        <w:t>Brief at 58.</w:t>
      </w:r>
    </w:p>
    <w:p w14:paraId="0ABB6DDE" w14:textId="77777777" w:rsidR="00200C0C" w:rsidRDefault="00200C0C" w:rsidP="00DA5A12">
      <w:pPr>
        <w:pStyle w:val="FootnoteText"/>
      </w:pPr>
    </w:p>
  </w:footnote>
  <w:footnote w:id="23">
    <w:p w14:paraId="124133CD" w14:textId="2C2E7C12" w:rsidR="0095265D" w:rsidRDefault="0095265D" w:rsidP="00DA5A12">
      <w:pPr>
        <w:pStyle w:val="FootnoteText"/>
        <w:rPr>
          <w:i/>
        </w:rPr>
      </w:pPr>
      <w:r>
        <w:rPr>
          <w:rStyle w:val="FootnoteReference"/>
        </w:rPr>
        <w:footnoteRef/>
      </w:r>
      <w:r>
        <w:t xml:space="preserve"> </w:t>
      </w:r>
      <w:r>
        <w:rPr>
          <w:i/>
        </w:rPr>
        <w:t xml:space="preserve">Id. </w:t>
      </w:r>
    </w:p>
    <w:p w14:paraId="0E5A78D6" w14:textId="77777777" w:rsidR="0095265D" w:rsidRPr="0095265D" w:rsidRDefault="0095265D" w:rsidP="00DA5A12">
      <w:pPr>
        <w:pStyle w:val="FootnoteText"/>
        <w:rPr>
          <w:i/>
        </w:rPr>
      </w:pPr>
    </w:p>
  </w:footnote>
  <w:footnote w:id="24">
    <w:p w14:paraId="13149D85" w14:textId="0E32B3D6" w:rsidR="0095265D" w:rsidRDefault="0095265D" w:rsidP="00DA5A12">
      <w:pPr>
        <w:pStyle w:val="FootnoteText"/>
      </w:pPr>
      <w:r>
        <w:rPr>
          <w:rStyle w:val="FootnoteReference"/>
        </w:rPr>
        <w:footnoteRef/>
      </w:r>
      <w:r>
        <w:t xml:space="preserve"> </w:t>
      </w:r>
      <w:r w:rsidR="002F377A">
        <w:rPr>
          <w:i/>
        </w:rPr>
        <w:t>Id</w:t>
      </w:r>
      <w:r w:rsidR="002F377A">
        <w:t>. at</w:t>
      </w:r>
      <w:r>
        <w:t xml:space="preserve"> 60.</w:t>
      </w:r>
    </w:p>
    <w:p w14:paraId="49D0F9D8" w14:textId="77777777" w:rsidR="0095265D" w:rsidRDefault="0095265D" w:rsidP="00DA5A12">
      <w:pPr>
        <w:pStyle w:val="FootnoteText"/>
      </w:pPr>
    </w:p>
  </w:footnote>
  <w:footnote w:id="25">
    <w:p w14:paraId="7B5A5974" w14:textId="77777777" w:rsidR="00200C0C" w:rsidRDefault="00200C0C" w:rsidP="00DA5A12">
      <w:pPr>
        <w:pStyle w:val="FootnoteText"/>
      </w:pPr>
      <w:r>
        <w:rPr>
          <w:rStyle w:val="FootnoteReference"/>
        </w:rPr>
        <w:footnoteRef/>
      </w:r>
      <w:r>
        <w:t xml:space="preserve"> Tr. Vol. XIII at 2087.</w:t>
      </w:r>
    </w:p>
    <w:p w14:paraId="5426B060" w14:textId="77777777" w:rsidR="00200C0C" w:rsidRDefault="00200C0C" w:rsidP="00DA5A12">
      <w:pPr>
        <w:pStyle w:val="FootnoteText"/>
      </w:pPr>
      <w:r>
        <w:t xml:space="preserve"> </w:t>
      </w:r>
    </w:p>
  </w:footnote>
  <w:footnote w:id="26">
    <w:p w14:paraId="6B4928D1" w14:textId="77777777" w:rsidR="00200C0C" w:rsidRDefault="00200C0C" w:rsidP="00DA5A12">
      <w:pPr>
        <w:pStyle w:val="FootnoteText"/>
        <w:rPr>
          <w:i/>
        </w:rPr>
      </w:pPr>
      <w:r>
        <w:rPr>
          <w:rStyle w:val="FootnoteReference"/>
        </w:rPr>
        <w:footnoteRef/>
      </w:r>
      <w:r>
        <w:t xml:space="preserve"> </w:t>
      </w:r>
      <w:r>
        <w:rPr>
          <w:i/>
        </w:rPr>
        <w:t>Id.</w:t>
      </w:r>
    </w:p>
    <w:p w14:paraId="70AFC0E0" w14:textId="77777777" w:rsidR="00200C0C" w:rsidRPr="001B26C7" w:rsidRDefault="00200C0C" w:rsidP="00DA5A12">
      <w:pPr>
        <w:pStyle w:val="FootnoteText"/>
        <w:rPr>
          <w:i/>
        </w:rPr>
      </w:pPr>
    </w:p>
  </w:footnote>
  <w:footnote w:id="27">
    <w:p w14:paraId="21874165" w14:textId="77777777" w:rsidR="00200C0C" w:rsidRDefault="00200C0C" w:rsidP="00DA5A12">
      <w:pPr>
        <w:pStyle w:val="FootnoteText"/>
      </w:pPr>
      <w:r>
        <w:rPr>
          <w:rStyle w:val="FootnoteReference"/>
        </w:rPr>
        <w:footnoteRef/>
      </w:r>
      <w:r>
        <w:t xml:space="preserve"> </w:t>
      </w:r>
      <w:r>
        <w:rPr>
          <w:i/>
        </w:rPr>
        <w:t xml:space="preserve">Id. </w:t>
      </w:r>
      <w:r>
        <w:t>at 2090.</w:t>
      </w:r>
    </w:p>
    <w:p w14:paraId="5CE48872" w14:textId="77777777" w:rsidR="00200C0C" w:rsidRPr="001B26C7" w:rsidRDefault="00200C0C" w:rsidP="00DA5A12">
      <w:pPr>
        <w:pStyle w:val="FootnoteText"/>
      </w:pPr>
    </w:p>
  </w:footnote>
  <w:footnote w:id="28">
    <w:p w14:paraId="46536590" w14:textId="77777777" w:rsidR="00200C0C" w:rsidRPr="001C2FF0" w:rsidRDefault="00200C0C" w:rsidP="00DA5A12">
      <w:pPr>
        <w:pStyle w:val="FootnoteText"/>
      </w:pPr>
      <w:r>
        <w:rPr>
          <w:rStyle w:val="FootnoteReference"/>
        </w:rPr>
        <w:footnoteRef/>
      </w:r>
      <w:r>
        <w:t xml:space="preserve"> </w:t>
      </w:r>
      <w:r>
        <w:rPr>
          <w:i/>
        </w:rPr>
        <w:t>Id.</w:t>
      </w:r>
      <w:r>
        <w:t>; Tr. Vol. III at 670; Tr. Vol. V at 1013.</w:t>
      </w:r>
    </w:p>
    <w:p w14:paraId="086C3196" w14:textId="77777777" w:rsidR="00200C0C" w:rsidRPr="001B26C7" w:rsidRDefault="00200C0C" w:rsidP="00DA5A12">
      <w:pPr>
        <w:pStyle w:val="FootnoteText"/>
      </w:pPr>
    </w:p>
  </w:footnote>
  <w:footnote w:id="29">
    <w:p w14:paraId="1FD86556" w14:textId="03D4D79F" w:rsidR="00200C0C" w:rsidRDefault="00200C0C" w:rsidP="00DA5A12">
      <w:pPr>
        <w:pStyle w:val="FootnoteText"/>
      </w:pPr>
      <w:r>
        <w:rPr>
          <w:rStyle w:val="FootnoteReference"/>
        </w:rPr>
        <w:footnoteRef/>
      </w:r>
      <w:r>
        <w:t xml:space="preserve"> OCC</w:t>
      </w:r>
      <w:r w:rsidR="002F377A">
        <w:t xml:space="preserve"> Initial</w:t>
      </w:r>
      <w:r>
        <w:t xml:space="preserve"> Brief at 143-44; Ohio Partners for Affordable Energy </w:t>
      </w:r>
      <w:r w:rsidR="002F377A">
        <w:t xml:space="preserve">Initial </w:t>
      </w:r>
      <w:r>
        <w:t>Brief at 4-7.</w:t>
      </w:r>
    </w:p>
    <w:p w14:paraId="713C0C80" w14:textId="77777777" w:rsidR="00200C0C" w:rsidRDefault="00200C0C" w:rsidP="00DA5A12">
      <w:pPr>
        <w:pStyle w:val="FootnoteText"/>
      </w:pPr>
    </w:p>
  </w:footnote>
  <w:footnote w:id="30">
    <w:p w14:paraId="1F7A9658" w14:textId="5421529E" w:rsidR="00200C0C" w:rsidRDefault="00200C0C" w:rsidP="00DA5A12">
      <w:pPr>
        <w:pStyle w:val="FootnoteText"/>
      </w:pPr>
      <w:r>
        <w:rPr>
          <w:rStyle w:val="FootnoteReference"/>
        </w:rPr>
        <w:footnoteRef/>
      </w:r>
      <w:r>
        <w:t xml:space="preserve"> </w:t>
      </w:r>
      <w:r>
        <w:rPr>
          <w:i/>
        </w:rPr>
        <w:t xml:space="preserve">See </w:t>
      </w:r>
      <w:r>
        <w:t>RESA-IGS Ex. 1 at 10.</w:t>
      </w:r>
    </w:p>
    <w:p w14:paraId="1D6B5EF4" w14:textId="77777777" w:rsidR="00397413" w:rsidRDefault="00397413" w:rsidP="00DA5A12">
      <w:pPr>
        <w:pStyle w:val="FootnoteText"/>
      </w:pPr>
    </w:p>
  </w:footnote>
  <w:footnote w:id="31">
    <w:p w14:paraId="01B96576" w14:textId="3C07877C" w:rsidR="00397413" w:rsidRDefault="00397413" w:rsidP="00DA5A12">
      <w:pPr>
        <w:pStyle w:val="FootnoteText"/>
      </w:pPr>
      <w:r>
        <w:rPr>
          <w:rStyle w:val="FootnoteReference"/>
        </w:rPr>
        <w:footnoteRef/>
      </w:r>
      <w:r>
        <w:t xml:space="preserve"> RESA-IGS Ex. 1 at 4.</w:t>
      </w:r>
    </w:p>
  </w:footnote>
  <w:footnote w:id="32">
    <w:p w14:paraId="58A47069" w14:textId="035C62B0" w:rsidR="0095265D" w:rsidRDefault="0095265D" w:rsidP="00DA5A12">
      <w:pPr>
        <w:pStyle w:val="FootnoteText"/>
      </w:pPr>
      <w:r>
        <w:rPr>
          <w:rStyle w:val="FootnoteReference"/>
        </w:rPr>
        <w:footnoteRef/>
      </w:r>
      <w:r>
        <w:t xml:space="preserve"> </w:t>
      </w:r>
      <w:r>
        <w:rPr>
          <w:i/>
        </w:rPr>
        <w:t>In the Matter of the Application of the Dayton Power and Light Company for an Increase in Its Distribution Rates</w:t>
      </w:r>
      <w:r>
        <w:t xml:space="preserve">, Case Nos. 15-1830-EL-AIR, </w:t>
      </w:r>
      <w:r>
        <w:rPr>
          <w:i/>
        </w:rPr>
        <w:t>et al.</w:t>
      </w:r>
      <w:r>
        <w:t>, Opinion and Order at 12</w:t>
      </w:r>
      <w:r w:rsidR="00152FCA">
        <w:t xml:space="preserve"> (Sep. 26, 2018)</w:t>
      </w:r>
      <w:r>
        <w:t>.</w:t>
      </w:r>
    </w:p>
    <w:p w14:paraId="0A42AA1F" w14:textId="77777777" w:rsidR="002F377A" w:rsidRPr="0095265D" w:rsidRDefault="002F377A" w:rsidP="00DA5A12">
      <w:pPr>
        <w:pStyle w:val="FootnoteText"/>
      </w:pPr>
    </w:p>
  </w:footnote>
  <w:footnote w:id="33">
    <w:p w14:paraId="74308AF1" w14:textId="43E8F628" w:rsidR="0095265D" w:rsidRDefault="0095265D" w:rsidP="00DA5A12">
      <w:pPr>
        <w:pStyle w:val="FootnoteText"/>
      </w:pPr>
      <w:r>
        <w:rPr>
          <w:rStyle w:val="FootnoteReference"/>
        </w:rPr>
        <w:footnoteRef/>
      </w:r>
      <w:r>
        <w:t xml:space="preserve"> Staff </w:t>
      </w:r>
      <w:r w:rsidR="002F377A">
        <w:t xml:space="preserve">Initial </w:t>
      </w:r>
      <w:r>
        <w:t xml:space="preserve">Brief at 58-59. </w:t>
      </w:r>
    </w:p>
    <w:p w14:paraId="5F7575F7" w14:textId="77777777" w:rsidR="0095265D" w:rsidRDefault="0095265D" w:rsidP="00DA5A12">
      <w:pPr>
        <w:pStyle w:val="FootnoteText"/>
      </w:pPr>
    </w:p>
  </w:footnote>
  <w:footnote w:id="34">
    <w:p w14:paraId="34EB8882" w14:textId="3BF76B03" w:rsidR="0095265D" w:rsidRDefault="0095265D" w:rsidP="00DA5A12">
      <w:pPr>
        <w:pStyle w:val="FootnoteText"/>
      </w:pPr>
      <w:r>
        <w:rPr>
          <w:rStyle w:val="FootnoteReference"/>
        </w:rPr>
        <w:footnoteRef/>
      </w:r>
      <w:r>
        <w:t xml:space="preserve"> </w:t>
      </w:r>
      <w:r>
        <w:rPr>
          <w:i/>
        </w:rPr>
        <w:t xml:space="preserve">Id. </w:t>
      </w:r>
      <w:r>
        <w:t>at 58.</w:t>
      </w:r>
    </w:p>
    <w:p w14:paraId="1DD1165A" w14:textId="77777777" w:rsidR="0095265D" w:rsidRPr="0095265D" w:rsidRDefault="0095265D" w:rsidP="00DA5A12">
      <w:pPr>
        <w:pStyle w:val="FootnoteText"/>
      </w:pPr>
    </w:p>
  </w:footnote>
  <w:footnote w:id="35">
    <w:p w14:paraId="07332C34" w14:textId="5B44458F" w:rsidR="0095265D" w:rsidRDefault="0095265D" w:rsidP="00DA5A12">
      <w:pPr>
        <w:pStyle w:val="FootnoteText"/>
      </w:pPr>
      <w:r>
        <w:rPr>
          <w:rStyle w:val="FootnoteReference"/>
        </w:rPr>
        <w:footnoteRef/>
      </w:r>
      <w:r>
        <w:t xml:space="preserve"> </w:t>
      </w:r>
      <w:r>
        <w:rPr>
          <w:i/>
        </w:rPr>
        <w:t xml:space="preserve">Id. </w:t>
      </w:r>
      <w:r>
        <w:t>at 59.</w:t>
      </w:r>
    </w:p>
    <w:p w14:paraId="652D6B72" w14:textId="77777777" w:rsidR="0095265D" w:rsidRPr="0095265D" w:rsidRDefault="0095265D" w:rsidP="00DA5A12">
      <w:pPr>
        <w:pStyle w:val="FootnoteText"/>
      </w:pPr>
    </w:p>
  </w:footnote>
  <w:footnote w:id="36">
    <w:p w14:paraId="39B70D07" w14:textId="14777FC6" w:rsidR="00200C0C" w:rsidRDefault="00200C0C" w:rsidP="00DA5A12">
      <w:pPr>
        <w:pStyle w:val="FootnoteText"/>
      </w:pPr>
      <w:r>
        <w:rPr>
          <w:rStyle w:val="FootnoteReference"/>
        </w:rPr>
        <w:footnoteRef/>
      </w:r>
      <w:r>
        <w:t xml:space="preserve"> </w:t>
      </w:r>
      <w:r w:rsidR="002F377A">
        <w:rPr>
          <w:i/>
        </w:rPr>
        <w:t>Id.</w:t>
      </w:r>
      <w:r w:rsidRPr="00BD2AB0">
        <w:t xml:space="preserve"> at 63.</w:t>
      </w:r>
    </w:p>
    <w:p w14:paraId="34C61A33" w14:textId="77777777" w:rsidR="00397413" w:rsidRDefault="00397413" w:rsidP="00DA5A12">
      <w:pPr>
        <w:pStyle w:val="FootnoteText"/>
      </w:pPr>
    </w:p>
  </w:footnote>
  <w:footnote w:id="37">
    <w:p w14:paraId="0490D1CF" w14:textId="0899B74D" w:rsidR="00397413" w:rsidRDefault="00397413" w:rsidP="00DA5A12">
      <w:pPr>
        <w:pStyle w:val="FootnoteText"/>
      </w:pPr>
      <w:r>
        <w:rPr>
          <w:rStyle w:val="FootnoteReference"/>
        </w:rPr>
        <w:footnoteRef/>
      </w:r>
      <w:r>
        <w:t xml:space="preserve"> Tr. Vol. XI at 1908.</w:t>
      </w:r>
    </w:p>
  </w:footnote>
  <w:footnote w:id="38">
    <w:p w14:paraId="7F8440B4" w14:textId="034F5BC9" w:rsidR="0095265D" w:rsidRDefault="0095265D" w:rsidP="00DA5A12">
      <w:pPr>
        <w:pStyle w:val="FootnoteText"/>
        <w:rPr>
          <w:rFonts w:eastAsia="Times New Roman"/>
        </w:rPr>
      </w:pPr>
      <w:r>
        <w:rPr>
          <w:rStyle w:val="FootnoteReference"/>
        </w:rPr>
        <w:footnoteRef/>
      </w:r>
      <w:r>
        <w:t xml:space="preserve"> </w:t>
      </w:r>
      <w:r>
        <w:rPr>
          <w:rFonts w:eastAsia="Times New Roman"/>
        </w:rPr>
        <w:t xml:space="preserve">Staff </w:t>
      </w:r>
      <w:r w:rsidR="002F377A">
        <w:rPr>
          <w:rFonts w:eastAsia="Times New Roman"/>
        </w:rPr>
        <w:t xml:space="preserve">Initial </w:t>
      </w:r>
      <w:r>
        <w:rPr>
          <w:rFonts w:eastAsia="Times New Roman"/>
        </w:rPr>
        <w:t>Brief at 61.</w:t>
      </w:r>
    </w:p>
    <w:p w14:paraId="07464B3F" w14:textId="77777777" w:rsidR="00152FCA" w:rsidRDefault="00152FCA" w:rsidP="00DA5A12">
      <w:pPr>
        <w:pStyle w:val="FootnoteText"/>
      </w:pPr>
    </w:p>
  </w:footnote>
  <w:footnote w:id="39">
    <w:p w14:paraId="153C8B49" w14:textId="36C47ED5" w:rsidR="00152FCA" w:rsidRDefault="00152FCA" w:rsidP="00DA5A12">
      <w:pPr>
        <w:pStyle w:val="FootnoteText"/>
      </w:pPr>
      <w:r>
        <w:rPr>
          <w:rStyle w:val="FootnoteReference"/>
        </w:rPr>
        <w:footnoteRef/>
      </w:r>
      <w:r>
        <w:t xml:space="preserve"> IGS Initial Brief at 26-27.</w:t>
      </w:r>
    </w:p>
    <w:p w14:paraId="2B427950" w14:textId="77777777" w:rsidR="00397413" w:rsidRDefault="00397413" w:rsidP="00DA5A12">
      <w:pPr>
        <w:pStyle w:val="FootnoteText"/>
      </w:pPr>
    </w:p>
  </w:footnote>
  <w:footnote w:id="40">
    <w:p w14:paraId="3B2ED2D4" w14:textId="586FF8EE" w:rsidR="00152FCA" w:rsidRDefault="00152FCA" w:rsidP="00DA5A12">
      <w:pPr>
        <w:pStyle w:val="FootnoteText"/>
      </w:pPr>
      <w:r>
        <w:rPr>
          <w:rStyle w:val="FootnoteReference"/>
        </w:rPr>
        <w:footnoteRef/>
      </w:r>
      <w:r>
        <w:t xml:space="preserve"> Duke </w:t>
      </w:r>
      <w:r w:rsidR="002F377A">
        <w:t xml:space="preserve">Initial </w:t>
      </w:r>
      <w:r>
        <w:t>Brief at 36-38.</w:t>
      </w:r>
    </w:p>
    <w:p w14:paraId="065E2DC2" w14:textId="77777777" w:rsidR="00152FCA" w:rsidRDefault="00152FCA" w:rsidP="00DA5A12">
      <w:pPr>
        <w:pStyle w:val="FootnoteText"/>
      </w:pPr>
    </w:p>
  </w:footnote>
  <w:footnote w:id="41">
    <w:p w14:paraId="0C241D75" w14:textId="192A6E2E" w:rsidR="00152FCA" w:rsidRDefault="00152FCA" w:rsidP="00DA5A12">
      <w:pPr>
        <w:pStyle w:val="FootnoteText"/>
      </w:pPr>
      <w:r>
        <w:rPr>
          <w:rStyle w:val="FootnoteReference"/>
        </w:rPr>
        <w:footnoteRef/>
      </w:r>
      <w:r>
        <w:t xml:space="preserve"> </w:t>
      </w:r>
      <w:r>
        <w:rPr>
          <w:i/>
        </w:rPr>
        <w:t xml:space="preserve">Id. </w:t>
      </w:r>
      <w:r>
        <w:t>at 39-41.</w:t>
      </w:r>
    </w:p>
    <w:p w14:paraId="0BD19336" w14:textId="77777777" w:rsidR="00152FCA" w:rsidRPr="00152FCA" w:rsidRDefault="00152FCA" w:rsidP="00DA5A12">
      <w:pPr>
        <w:pStyle w:val="FootnoteText"/>
      </w:pPr>
    </w:p>
  </w:footnote>
  <w:footnote w:id="42">
    <w:p w14:paraId="1A7547FA" w14:textId="765D5CDC" w:rsidR="00152FCA" w:rsidRDefault="00152FCA" w:rsidP="00DA5A12">
      <w:pPr>
        <w:pStyle w:val="FootnoteText"/>
      </w:pPr>
      <w:r>
        <w:rPr>
          <w:rStyle w:val="FootnoteReference"/>
        </w:rPr>
        <w:footnoteRef/>
      </w:r>
      <w:r>
        <w:t xml:space="preserve"> </w:t>
      </w:r>
      <w:r>
        <w:rPr>
          <w:i/>
        </w:rPr>
        <w:t xml:space="preserve">Id. </w:t>
      </w:r>
      <w:r>
        <w:t>at 41-44.</w:t>
      </w:r>
    </w:p>
    <w:p w14:paraId="76C06000" w14:textId="77777777" w:rsidR="00AE0D47" w:rsidRPr="00152FCA" w:rsidRDefault="00AE0D47" w:rsidP="00DA5A12">
      <w:pPr>
        <w:pStyle w:val="FootnoteText"/>
      </w:pPr>
    </w:p>
  </w:footnote>
  <w:footnote w:id="43">
    <w:p w14:paraId="127BF303" w14:textId="72DFAF7E" w:rsidR="00AE0D47" w:rsidRDefault="00AE0D47" w:rsidP="00DA5A12">
      <w:pPr>
        <w:pStyle w:val="FootnoteText"/>
      </w:pPr>
      <w:r>
        <w:rPr>
          <w:rStyle w:val="FootnoteReference"/>
        </w:rPr>
        <w:footnoteRef/>
      </w:r>
      <w:r>
        <w:t xml:space="preserve"> Duke </w:t>
      </w:r>
      <w:r w:rsidR="002F377A">
        <w:t xml:space="preserve">Initial </w:t>
      </w:r>
      <w:r>
        <w:t>Brief at 34-35.</w:t>
      </w:r>
    </w:p>
    <w:p w14:paraId="11D2AAD7" w14:textId="77777777" w:rsidR="002F377A" w:rsidRDefault="002F377A" w:rsidP="00DA5A12">
      <w:pPr>
        <w:pStyle w:val="FootnoteText"/>
      </w:pPr>
    </w:p>
  </w:footnote>
  <w:footnote w:id="44">
    <w:p w14:paraId="00116351" w14:textId="37764B32" w:rsidR="00200C0C" w:rsidRDefault="00200C0C" w:rsidP="00DA5A12">
      <w:pPr>
        <w:pStyle w:val="FootnoteText"/>
      </w:pPr>
      <w:r w:rsidRPr="00193279">
        <w:rPr>
          <w:rStyle w:val="FootnoteReference"/>
        </w:rPr>
        <w:footnoteRef/>
      </w:r>
      <w:r w:rsidRPr="00193279">
        <w:t xml:space="preserve"> This amount includes the ownership interest transferred by Ohi</w:t>
      </w:r>
      <w:r w:rsidR="00DA5A12">
        <w:t xml:space="preserve">o Edison Company, Toledo Edison </w:t>
      </w:r>
      <w:r w:rsidRPr="00193279">
        <w:t>Company, and Cleveland Electric Illuminating Company to FirstEnergy Solutions.</w:t>
      </w:r>
    </w:p>
  </w:footnote>
  <w:footnote w:id="45">
    <w:p w14:paraId="6DBEAE63" w14:textId="1B56F3D1" w:rsidR="00AE0D47" w:rsidRDefault="00AE0D47" w:rsidP="00DA5A12">
      <w:pPr>
        <w:pStyle w:val="FootnoteText"/>
      </w:pPr>
      <w:r>
        <w:rPr>
          <w:rStyle w:val="FootnoteReference"/>
        </w:rPr>
        <w:footnoteRef/>
      </w:r>
      <w:r>
        <w:t xml:space="preserve"> </w:t>
      </w:r>
      <w:r w:rsidRPr="00AE0D47">
        <w:t>Tr. Vol. V at 1021.</w:t>
      </w:r>
    </w:p>
    <w:p w14:paraId="71D45803" w14:textId="77777777" w:rsidR="002F377A" w:rsidRDefault="002F377A" w:rsidP="00DA5A12">
      <w:pPr>
        <w:pStyle w:val="FootnoteText"/>
      </w:pPr>
    </w:p>
  </w:footnote>
  <w:footnote w:id="46">
    <w:p w14:paraId="361BBB18" w14:textId="51146D26" w:rsidR="00200C0C" w:rsidRDefault="00200C0C" w:rsidP="00DA5A12">
      <w:pPr>
        <w:pStyle w:val="FootnoteText"/>
      </w:pPr>
      <w:r>
        <w:rPr>
          <w:rStyle w:val="FootnoteReference"/>
        </w:rPr>
        <w:footnoteRef/>
      </w:r>
      <w:r>
        <w:t xml:space="preserve"> </w:t>
      </w:r>
      <w:r>
        <w:rPr>
          <w:i/>
        </w:rPr>
        <w:t>Id</w:t>
      </w:r>
      <w:r w:rsidR="002F377A">
        <w:rPr>
          <w:i/>
        </w:rPr>
        <w:t>.</w:t>
      </w:r>
      <w:r>
        <w:t>; Tr. Vol. V at 948.</w:t>
      </w:r>
    </w:p>
    <w:p w14:paraId="60E5690D" w14:textId="77777777" w:rsidR="00200C0C" w:rsidRPr="00424DAD" w:rsidRDefault="00200C0C" w:rsidP="00DA5A12">
      <w:pPr>
        <w:pStyle w:val="FootnoteText"/>
      </w:pPr>
    </w:p>
  </w:footnote>
  <w:footnote w:id="47">
    <w:p w14:paraId="5BFBFD53" w14:textId="77777777" w:rsidR="00200C0C" w:rsidRDefault="00200C0C" w:rsidP="00DA5A12">
      <w:pPr>
        <w:pStyle w:val="FootnoteText"/>
      </w:pPr>
      <w:r>
        <w:rPr>
          <w:rStyle w:val="FootnoteReference"/>
        </w:rPr>
        <w:footnoteRef/>
      </w:r>
      <w:r>
        <w:t>Tr. Vol. I at 198.</w:t>
      </w:r>
    </w:p>
    <w:p w14:paraId="6D323EAE" w14:textId="77777777" w:rsidR="00200C0C" w:rsidRDefault="00200C0C" w:rsidP="00DA5A12">
      <w:pPr>
        <w:pStyle w:val="FootnoteText"/>
      </w:pPr>
    </w:p>
  </w:footnote>
  <w:footnote w:id="48">
    <w:p w14:paraId="3B9B77C5" w14:textId="2A151BB3" w:rsidR="00200C0C" w:rsidRDefault="00200C0C" w:rsidP="00DA5A12">
      <w:pPr>
        <w:pStyle w:val="FootnoteText"/>
      </w:pPr>
      <w:r>
        <w:rPr>
          <w:rStyle w:val="FootnoteReference"/>
        </w:rPr>
        <w:footnoteRef/>
      </w:r>
      <w:r>
        <w:t xml:space="preserve"> FERC Docket</w:t>
      </w:r>
      <w:r w:rsidR="00DA5A12">
        <w:t xml:space="preserve"> </w:t>
      </w:r>
      <w:r>
        <w:t>ER04-1026-000,</w:t>
      </w:r>
      <w:r w:rsidRPr="00D60470">
        <w:t xml:space="preserve"> </w:t>
      </w:r>
      <w:r w:rsidRPr="00DA5A12">
        <w:rPr>
          <w:i/>
        </w:rPr>
        <w:t>Amended and Restated Inter-Company Power Agreement, Amended and Restated OVEC-IKEC Power Agreement, and Termination of First Supplementary Transmission Agreemen</w:t>
      </w:r>
      <w:r>
        <w:t xml:space="preserve">t at </w:t>
      </w:r>
      <w:proofErr w:type="gramStart"/>
      <w:r>
        <w:t>6  (</w:t>
      </w:r>
      <w:proofErr w:type="gramEnd"/>
      <w:r>
        <w:t>July 16, 2004) (“The team of each of the Current ICPA, the Current OVEC-IKEC Agreement and the Supplementary Transmission Agreement are set to expire on March 12, 2006.”).</w:t>
      </w:r>
    </w:p>
    <w:p w14:paraId="564EA365" w14:textId="77777777" w:rsidR="00200C0C" w:rsidRDefault="00200C0C" w:rsidP="00DA5A12">
      <w:pPr>
        <w:pStyle w:val="FootnoteText"/>
      </w:pPr>
    </w:p>
  </w:footnote>
  <w:footnote w:id="49">
    <w:p w14:paraId="21DF49F0" w14:textId="77777777" w:rsidR="00200C0C" w:rsidRDefault="00200C0C" w:rsidP="00DA5A12">
      <w:pPr>
        <w:pStyle w:val="FootnoteText"/>
      </w:pPr>
      <w:r>
        <w:rPr>
          <w:rStyle w:val="FootnoteReference"/>
        </w:rPr>
        <w:footnoteRef/>
      </w:r>
      <w:r>
        <w:t xml:space="preserve"> Tr. Vol. I at 198; OCC Ex. 1 at 29. </w:t>
      </w:r>
    </w:p>
  </w:footnote>
  <w:footnote w:id="50">
    <w:p w14:paraId="78E69ED8" w14:textId="5E700274" w:rsidR="002F377A" w:rsidRDefault="002F377A" w:rsidP="00DA5A12">
      <w:pPr>
        <w:pStyle w:val="FootnoteText"/>
      </w:pPr>
      <w:r>
        <w:rPr>
          <w:rStyle w:val="FootnoteReference"/>
        </w:rPr>
        <w:footnoteRef/>
      </w:r>
      <w:r>
        <w:t xml:space="preserve"> IGS Initial Brief at 38-47.</w:t>
      </w:r>
    </w:p>
    <w:p w14:paraId="0A1AFE73" w14:textId="77777777" w:rsidR="00447E8B" w:rsidRDefault="00447E8B" w:rsidP="00DA5A12">
      <w:pPr>
        <w:pStyle w:val="FootnoteText"/>
      </w:pPr>
    </w:p>
  </w:footnote>
  <w:footnote w:id="51">
    <w:p w14:paraId="393139FD" w14:textId="3AE2BD9F" w:rsidR="00447E8B" w:rsidRDefault="00447E8B">
      <w:pPr>
        <w:pStyle w:val="FootnoteText"/>
      </w:pPr>
      <w:r>
        <w:rPr>
          <w:rStyle w:val="FootnoteReference"/>
        </w:rPr>
        <w:footnoteRef/>
      </w:r>
      <w:r>
        <w:t xml:space="preserve"> </w:t>
      </w:r>
      <w:r w:rsidRPr="0063205B">
        <w:t>Duke Ex. 29 at 7.</w:t>
      </w:r>
    </w:p>
  </w:footnote>
  <w:footnote w:id="52">
    <w:p w14:paraId="0E24336A" w14:textId="77777777" w:rsidR="00200C0C" w:rsidRDefault="00200C0C" w:rsidP="00DA5A12">
      <w:pPr>
        <w:pStyle w:val="FootnoteText"/>
      </w:pPr>
      <w:r>
        <w:rPr>
          <w:rStyle w:val="FootnoteReference"/>
        </w:rPr>
        <w:footnoteRef/>
      </w:r>
      <w:r>
        <w:t xml:space="preserve"> </w:t>
      </w:r>
      <w:r w:rsidRPr="00F756F4">
        <w:t xml:space="preserve">Tr. Vol. V at 956 L 12-14.  </w:t>
      </w:r>
    </w:p>
    <w:p w14:paraId="1DD517F7" w14:textId="77777777" w:rsidR="00200C0C" w:rsidRDefault="00200C0C" w:rsidP="00DA5A12">
      <w:pPr>
        <w:pStyle w:val="FootnoteText"/>
      </w:pPr>
    </w:p>
  </w:footnote>
  <w:footnote w:id="53">
    <w:p w14:paraId="130529E3" w14:textId="77777777" w:rsidR="00200C0C" w:rsidRDefault="00200C0C" w:rsidP="00DA5A12">
      <w:pPr>
        <w:pStyle w:val="FootnoteText"/>
      </w:pPr>
      <w:r w:rsidRPr="00EC0C58">
        <w:rPr>
          <w:rStyle w:val="FootnoteReference"/>
        </w:rPr>
        <w:footnoteRef/>
      </w:r>
      <w:r w:rsidRPr="00EC0C58">
        <w:t xml:space="preserve"> </w:t>
      </w:r>
      <w:r>
        <w:t>Tr. Vol. IV at 726 L 1-5.</w:t>
      </w:r>
    </w:p>
    <w:p w14:paraId="4824A40F" w14:textId="77777777" w:rsidR="00200C0C" w:rsidRPr="00EC0C58" w:rsidRDefault="00200C0C" w:rsidP="00DA5A12">
      <w:pPr>
        <w:pStyle w:val="FootnoteText"/>
      </w:pPr>
    </w:p>
  </w:footnote>
  <w:footnote w:id="54">
    <w:p w14:paraId="40B6AEF0" w14:textId="79FA374D" w:rsidR="00200C0C" w:rsidRDefault="00200C0C" w:rsidP="00DA5A12">
      <w:pPr>
        <w:pStyle w:val="FootnoteText"/>
        <w:rPr>
          <w:rFonts w:eastAsia="Times New Roman"/>
        </w:rPr>
      </w:pPr>
      <w:r>
        <w:rPr>
          <w:rStyle w:val="FootnoteReference"/>
        </w:rPr>
        <w:footnoteRef/>
      </w:r>
      <w:r>
        <w:t xml:space="preserve"> </w:t>
      </w:r>
      <w:r w:rsidRPr="003151DD">
        <w:rPr>
          <w:rFonts w:eastAsia="Times New Roman"/>
          <w:i/>
        </w:rPr>
        <w:t>In re Application of Columbus S. Power Co.</w:t>
      </w:r>
      <w:r w:rsidRPr="003151DD">
        <w:rPr>
          <w:rFonts w:eastAsia="Times New Roman"/>
        </w:rPr>
        <w:t>,</w:t>
      </w:r>
      <w:r w:rsidRPr="003151DD">
        <w:rPr>
          <w:rFonts w:ascii="Times New Roman" w:eastAsia="Times New Roman" w:hAnsi="Times New Roman" w:cs="Times New Roman"/>
        </w:rPr>
        <w:t xml:space="preserve"> </w:t>
      </w:r>
      <w:r w:rsidRPr="003151DD">
        <w:rPr>
          <w:rFonts w:eastAsia="Times New Roman"/>
        </w:rPr>
        <w:t>147 Ohio St. 3d 439, 444-449 (2016) (hereinafter “</w:t>
      </w:r>
      <w:r w:rsidRPr="003151DD">
        <w:rPr>
          <w:rFonts w:eastAsia="Times New Roman"/>
          <w:i/>
        </w:rPr>
        <w:t>AEP ESP II Decision</w:t>
      </w:r>
      <w:r w:rsidRPr="003151DD">
        <w:rPr>
          <w:rFonts w:eastAsia="Times New Roman"/>
        </w:rPr>
        <w:t xml:space="preserve">”); </w:t>
      </w:r>
      <w:r w:rsidRPr="003151DD">
        <w:rPr>
          <w:rFonts w:eastAsia="Times New Roman"/>
          <w:i/>
        </w:rPr>
        <w:t xml:space="preserve">see also </w:t>
      </w:r>
      <w:proofErr w:type="gramStart"/>
      <w:r w:rsidRPr="003151DD">
        <w:rPr>
          <w:rFonts w:eastAsia="Times New Roman"/>
          <w:i/>
        </w:rPr>
        <w:t>In</w:t>
      </w:r>
      <w:proofErr w:type="gramEnd"/>
      <w:r w:rsidRPr="003151DD">
        <w:rPr>
          <w:rFonts w:eastAsia="Times New Roman"/>
          <w:i/>
        </w:rPr>
        <w:t xml:space="preserve"> re Application of Dayton Power &amp; Light Co., </w:t>
      </w:r>
      <w:r w:rsidRPr="003151DD">
        <w:rPr>
          <w:rFonts w:eastAsia="Times New Roman"/>
        </w:rPr>
        <w:t>147 Ohio St.3d 166 (2016)</w:t>
      </w:r>
      <w:r w:rsidRPr="003151DD">
        <w:rPr>
          <w:rFonts w:eastAsia="Times New Roman"/>
          <w:i/>
        </w:rPr>
        <w:t xml:space="preserve"> </w:t>
      </w:r>
      <w:r w:rsidRPr="003151DD">
        <w:rPr>
          <w:rFonts w:eastAsia="Times New Roman"/>
        </w:rPr>
        <w:t>(hereinafter “</w:t>
      </w:r>
      <w:r w:rsidRPr="003151DD">
        <w:rPr>
          <w:rFonts w:eastAsia="Times New Roman"/>
          <w:i/>
        </w:rPr>
        <w:t>DP&amp;L ESP II Decision</w:t>
      </w:r>
      <w:r w:rsidRPr="003151DD">
        <w:rPr>
          <w:rFonts w:eastAsia="Times New Roman"/>
        </w:rPr>
        <w:t>”).</w:t>
      </w:r>
    </w:p>
    <w:p w14:paraId="0F287166" w14:textId="77777777" w:rsidR="00200C0C" w:rsidRDefault="00200C0C" w:rsidP="00DA5A12">
      <w:pPr>
        <w:pStyle w:val="FootnoteText"/>
      </w:pPr>
    </w:p>
  </w:footnote>
  <w:footnote w:id="55">
    <w:p w14:paraId="3B61FEB6" w14:textId="519E3890" w:rsidR="00200C0C" w:rsidRDefault="00200C0C" w:rsidP="00DA5A12">
      <w:pPr>
        <w:pStyle w:val="FootnoteText"/>
      </w:pPr>
      <w:r>
        <w:rPr>
          <w:rStyle w:val="FootnoteReference"/>
        </w:rPr>
        <w:footnoteRef/>
      </w:r>
      <w:r>
        <w:t xml:space="preserve"> R.C. 4928.38.</w:t>
      </w:r>
    </w:p>
    <w:p w14:paraId="3DECCD32" w14:textId="77777777" w:rsidR="00447E8B" w:rsidRDefault="00447E8B" w:rsidP="00DA5A12">
      <w:pPr>
        <w:pStyle w:val="FootnoteText"/>
      </w:pPr>
    </w:p>
  </w:footnote>
  <w:footnote w:id="56">
    <w:p w14:paraId="64AFE8AB" w14:textId="08F058AC" w:rsidR="00152FCA" w:rsidRDefault="00152FCA" w:rsidP="00DA5A12">
      <w:pPr>
        <w:pStyle w:val="FootnoteText"/>
      </w:pPr>
      <w:r>
        <w:rPr>
          <w:rStyle w:val="FootnoteReference"/>
        </w:rPr>
        <w:footnoteRef/>
      </w:r>
      <w:r>
        <w:t xml:space="preserve"> Duke Brief at 34-35.</w:t>
      </w:r>
    </w:p>
  </w:footnote>
  <w:footnote w:id="57">
    <w:p w14:paraId="39755792" w14:textId="62AFEBC3" w:rsidR="00200C0C" w:rsidRDefault="00200C0C" w:rsidP="00DA5A12">
      <w:pPr>
        <w:pStyle w:val="FootnoteText"/>
        <w:rPr>
          <w:i/>
        </w:rPr>
      </w:pPr>
      <w:r>
        <w:rPr>
          <w:rStyle w:val="FootnoteReference"/>
        </w:rPr>
        <w:footnoteRef/>
      </w:r>
      <w:r>
        <w:t xml:space="preserve"> </w:t>
      </w:r>
      <w:r w:rsidR="007B6FAD">
        <w:t>RESA-IGS Ex. 5</w:t>
      </w:r>
      <w:r w:rsidR="007B6FAD" w:rsidRPr="007B6FAD">
        <w:rPr>
          <w:i/>
        </w:rPr>
        <w:t xml:space="preserve"> </w:t>
      </w:r>
      <w:r w:rsidR="007B6FAD" w:rsidRPr="007B6FAD">
        <w:t>at MW-1 (Duke Response to IGS-INT-01-020(b)).</w:t>
      </w:r>
    </w:p>
    <w:p w14:paraId="65AD5281" w14:textId="77777777" w:rsidR="00200C0C" w:rsidRPr="001C3C50" w:rsidRDefault="00200C0C" w:rsidP="00DA5A12">
      <w:pPr>
        <w:pStyle w:val="FootnoteText"/>
        <w:rPr>
          <w:i/>
        </w:rPr>
      </w:pPr>
    </w:p>
  </w:footnote>
  <w:footnote w:id="58">
    <w:p w14:paraId="31958FE2" w14:textId="19F074A5" w:rsidR="007B6FAD" w:rsidRDefault="007B6FAD" w:rsidP="00DA5A12">
      <w:pPr>
        <w:pStyle w:val="FootnoteText"/>
      </w:pPr>
      <w:r>
        <w:rPr>
          <w:rStyle w:val="FootnoteReference"/>
        </w:rPr>
        <w:footnoteRef/>
      </w:r>
      <w:r>
        <w:t xml:space="preserve"> </w:t>
      </w:r>
      <w:r w:rsidR="008C55C8">
        <w:t>Staff Brief at 52-53.</w:t>
      </w:r>
    </w:p>
    <w:p w14:paraId="38B7A98B" w14:textId="77777777" w:rsidR="008C55C8" w:rsidRDefault="008C55C8" w:rsidP="00DA5A12">
      <w:pPr>
        <w:pStyle w:val="FootnoteText"/>
      </w:pPr>
    </w:p>
  </w:footnote>
  <w:footnote w:id="59">
    <w:p w14:paraId="2A2832BB" w14:textId="2619A60D" w:rsidR="008C55C8" w:rsidRDefault="008C55C8" w:rsidP="00DA5A12">
      <w:pPr>
        <w:pStyle w:val="FootnoteText"/>
      </w:pPr>
      <w:r>
        <w:rPr>
          <w:rStyle w:val="FootnoteReference"/>
        </w:rPr>
        <w:footnoteRef/>
      </w:r>
      <w:r>
        <w:t xml:space="preserve"> IGS Initial Brief at 33-34.</w:t>
      </w:r>
    </w:p>
    <w:p w14:paraId="4103F998" w14:textId="77777777" w:rsidR="00DA5A12" w:rsidRDefault="00DA5A12" w:rsidP="00DA5A12">
      <w:pPr>
        <w:pStyle w:val="FootnoteText"/>
      </w:pPr>
    </w:p>
  </w:footnote>
  <w:footnote w:id="60">
    <w:p w14:paraId="4543103B" w14:textId="268C5502" w:rsidR="00200C0C" w:rsidRDefault="00200C0C" w:rsidP="00DA5A12">
      <w:pPr>
        <w:pStyle w:val="FootnoteText"/>
      </w:pPr>
      <w:r>
        <w:rPr>
          <w:rStyle w:val="FootnoteReference"/>
        </w:rPr>
        <w:footnoteRef/>
      </w:r>
      <w:r w:rsidR="008C55C8">
        <w:t xml:space="preserve"> </w:t>
      </w:r>
      <w:r>
        <w:t xml:space="preserve">RESA-IGS Ex. 5 at 15. </w:t>
      </w:r>
    </w:p>
    <w:p w14:paraId="38D27A74" w14:textId="77777777" w:rsidR="00200C0C" w:rsidRDefault="00200C0C" w:rsidP="00DA5A12">
      <w:pPr>
        <w:pStyle w:val="FootnoteText"/>
      </w:pPr>
    </w:p>
  </w:footnote>
  <w:footnote w:id="61">
    <w:p w14:paraId="664F05A1" w14:textId="304B32C7" w:rsidR="008C55C8" w:rsidRDefault="008C55C8" w:rsidP="00DA5A12">
      <w:pPr>
        <w:pStyle w:val="FootnoteText"/>
      </w:pPr>
      <w:r>
        <w:rPr>
          <w:rStyle w:val="FootnoteReference"/>
        </w:rPr>
        <w:footnoteRef/>
      </w:r>
      <w:r>
        <w:t xml:space="preserve"> IGS Initial Brief at 33-37.</w:t>
      </w:r>
    </w:p>
    <w:p w14:paraId="4FE7D229" w14:textId="77777777" w:rsidR="00303258" w:rsidRDefault="00303258" w:rsidP="00DA5A12">
      <w:pPr>
        <w:pStyle w:val="FootnoteText"/>
      </w:pPr>
    </w:p>
  </w:footnote>
  <w:footnote w:id="62">
    <w:p w14:paraId="26009BC2" w14:textId="18C60A8C" w:rsidR="008C55C8" w:rsidRDefault="008C55C8" w:rsidP="00DA5A12">
      <w:pPr>
        <w:pStyle w:val="FootnoteText"/>
      </w:pPr>
      <w:r>
        <w:rPr>
          <w:rStyle w:val="FootnoteReference"/>
        </w:rPr>
        <w:footnoteRef/>
      </w:r>
      <w:r>
        <w:t xml:space="preserve"> Duke </w:t>
      </w:r>
      <w:r w:rsidR="00DA5A12">
        <w:t xml:space="preserve">Initial </w:t>
      </w:r>
      <w:r>
        <w:t xml:space="preserve">Brief at 34; </w:t>
      </w:r>
      <w:r w:rsidRPr="008C55C8">
        <w:t xml:space="preserve">Tr. Vol. V at 956 L 12-14.  </w:t>
      </w:r>
    </w:p>
    <w:p w14:paraId="18577D46" w14:textId="77777777" w:rsidR="00303258" w:rsidRDefault="00303258" w:rsidP="00DA5A12">
      <w:pPr>
        <w:pStyle w:val="FootnoteText"/>
      </w:pPr>
    </w:p>
  </w:footnote>
  <w:footnote w:id="63">
    <w:p w14:paraId="2953A681" w14:textId="0DBB0770" w:rsidR="008C55C8" w:rsidRDefault="008C55C8" w:rsidP="00DA5A12">
      <w:pPr>
        <w:pStyle w:val="FootnoteText"/>
      </w:pPr>
      <w:r>
        <w:rPr>
          <w:rStyle w:val="FootnoteReference"/>
        </w:rPr>
        <w:footnoteRef/>
      </w:r>
      <w:r>
        <w:t xml:space="preserve"> Joint Ex. 1 at </w:t>
      </w:r>
      <w:r w:rsidR="00303258">
        <w:t>8-10.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01758" w14:textId="77777777" w:rsidR="009143E2" w:rsidRDefault="009143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73C67" w14:textId="77777777" w:rsidR="009143E2" w:rsidRDefault="009143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13379" w14:textId="77777777" w:rsidR="009143E2" w:rsidRDefault="009143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47664"/>
    <w:multiLevelType w:val="hybridMultilevel"/>
    <w:tmpl w:val="E73A1AEE"/>
    <w:lvl w:ilvl="0" w:tplc="04090015">
      <w:start w:val="2"/>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06B6D"/>
    <w:multiLevelType w:val="hybridMultilevel"/>
    <w:tmpl w:val="986CCDB6"/>
    <w:lvl w:ilvl="0" w:tplc="71AC6F3E">
      <w:start w:val="1"/>
      <w:numFmt w:val="upperLetter"/>
      <w:lvlText w:val="%1."/>
      <w:lvlJc w:val="left"/>
      <w:pPr>
        <w:ind w:left="1089" w:hanging="369"/>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6A2D5C"/>
    <w:multiLevelType w:val="hybridMultilevel"/>
    <w:tmpl w:val="5E8202A2"/>
    <w:lvl w:ilvl="0" w:tplc="523A1574">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957ABC"/>
    <w:multiLevelType w:val="hybridMultilevel"/>
    <w:tmpl w:val="F4D8B9CE"/>
    <w:lvl w:ilvl="0" w:tplc="EEACEB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6F2907"/>
    <w:multiLevelType w:val="hybridMultilevel"/>
    <w:tmpl w:val="A66C28FA"/>
    <w:lvl w:ilvl="0" w:tplc="BFE067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DA2208"/>
    <w:multiLevelType w:val="hybridMultilevel"/>
    <w:tmpl w:val="8190D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580C44"/>
    <w:multiLevelType w:val="hybridMultilevel"/>
    <w:tmpl w:val="9F0C17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EB35E8"/>
    <w:multiLevelType w:val="hybridMultilevel"/>
    <w:tmpl w:val="831ADD6C"/>
    <w:lvl w:ilvl="0" w:tplc="FD9289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89601D"/>
    <w:multiLevelType w:val="hybridMultilevel"/>
    <w:tmpl w:val="725CD0FA"/>
    <w:lvl w:ilvl="0" w:tplc="8942479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E07CCD"/>
    <w:multiLevelType w:val="hybridMultilevel"/>
    <w:tmpl w:val="F724D1B0"/>
    <w:lvl w:ilvl="0" w:tplc="C95AF8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1217A7"/>
    <w:multiLevelType w:val="hybridMultilevel"/>
    <w:tmpl w:val="D92C2ECE"/>
    <w:lvl w:ilvl="0" w:tplc="BF6ABE0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8C6DA7"/>
    <w:multiLevelType w:val="hybridMultilevel"/>
    <w:tmpl w:val="6488231A"/>
    <w:lvl w:ilvl="0" w:tplc="F55204E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AD30994"/>
    <w:multiLevelType w:val="hybridMultilevel"/>
    <w:tmpl w:val="9222BE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BC524E"/>
    <w:multiLevelType w:val="hybridMultilevel"/>
    <w:tmpl w:val="661218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4E2D20"/>
    <w:multiLevelType w:val="hybridMultilevel"/>
    <w:tmpl w:val="B89E1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3E21D0"/>
    <w:multiLevelType w:val="hybridMultilevel"/>
    <w:tmpl w:val="DCCC4024"/>
    <w:lvl w:ilvl="0" w:tplc="35F082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2B920B2"/>
    <w:multiLevelType w:val="hybridMultilevel"/>
    <w:tmpl w:val="2B9C72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5820D61"/>
    <w:multiLevelType w:val="hybridMultilevel"/>
    <w:tmpl w:val="CDE20DFC"/>
    <w:lvl w:ilvl="0" w:tplc="72C68B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DE36C6"/>
    <w:multiLevelType w:val="hybridMultilevel"/>
    <w:tmpl w:val="099C2488"/>
    <w:lvl w:ilvl="0" w:tplc="264455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57846ED"/>
    <w:multiLevelType w:val="hybridMultilevel"/>
    <w:tmpl w:val="8228A8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A0A226B"/>
    <w:multiLevelType w:val="hybridMultilevel"/>
    <w:tmpl w:val="F44E1694"/>
    <w:lvl w:ilvl="0" w:tplc="C0006F3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2CA6316"/>
    <w:multiLevelType w:val="hybridMultilevel"/>
    <w:tmpl w:val="9F8EB7A6"/>
    <w:lvl w:ilvl="0" w:tplc="5C48CC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4064208"/>
    <w:multiLevelType w:val="hybridMultilevel"/>
    <w:tmpl w:val="BFEC74FE"/>
    <w:lvl w:ilvl="0" w:tplc="3996C3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55A164D"/>
    <w:multiLevelType w:val="hybridMultilevel"/>
    <w:tmpl w:val="7C5AF9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5ABE7B42"/>
    <w:multiLevelType w:val="hybridMultilevel"/>
    <w:tmpl w:val="91805CA8"/>
    <w:lvl w:ilvl="0" w:tplc="36409402">
      <w:start w:val="1"/>
      <w:numFmt w:val="decimal"/>
      <w:lvlText w:val="%1."/>
      <w:lvlJc w:val="left"/>
      <w:pPr>
        <w:ind w:left="1890" w:hanging="360"/>
      </w:pPr>
      <w:rPr>
        <w:rFonts w:hint="default"/>
      </w:r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5" w15:restartNumberingAfterBreak="0">
    <w:nsid w:val="6B6B3C02"/>
    <w:multiLevelType w:val="hybridMultilevel"/>
    <w:tmpl w:val="D244086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6" w15:restartNumberingAfterBreak="0">
    <w:nsid w:val="6D245197"/>
    <w:multiLevelType w:val="hybridMultilevel"/>
    <w:tmpl w:val="EE747354"/>
    <w:lvl w:ilvl="0" w:tplc="A4BE7B6A">
      <w:start w:val="1"/>
      <w:numFmt w:val="decimal"/>
      <w:lvlText w:val="%1."/>
      <w:lvlJc w:val="left"/>
      <w:pPr>
        <w:ind w:left="1755" w:hanging="360"/>
      </w:pPr>
      <w:rPr>
        <w:rFonts w:hint="default"/>
      </w:r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27" w15:restartNumberingAfterBreak="0">
    <w:nsid w:val="70855EA9"/>
    <w:multiLevelType w:val="hybridMultilevel"/>
    <w:tmpl w:val="9B0E09D6"/>
    <w:lvl w:ilvl="0" w:tplc="D5A471D6">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70ED7AD3"/>
    <w:multiLevelType w:val="hybridMultilevel"/>
    <w:tmpl w:val="A3F458A2"/>
    <w:lvl w:ilvl="0" w:tplc="CC80CCC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6CE0F40"/>
    <w:multiLevelType w:val="hybridMultilevel"/>
    <w:tmpl w:val="15AE35DA"/>
    <w:lvl w:ilvl="0" w:tplc="15FE20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7C04933"/>
    <w:multiLevelType w:val="hybridMultilevel"/>
    <w:tmpl w:val="F0A20A48"/>
    <w:lvl w:ilvl="0" w:tplc="7A2EA6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C6F1412"/>
    <w:multiLevelType w:val="hybridMultilevel"/>
    <w:tmpl w:val="F776004A"/>
    <w:lvl w:ilvl="0" w:tplc="D6DE7E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7E4F6579"/>
    <w:multiLevelType w:val="hybridMultilevel"/>
    <w:tmpl w:val="337226AE"/>
    <w:lvl w:ilvl="0" w:tplc="42D2C02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25"/>
  </w:num>
  <w:num w:numId="3">
    <w:abstractNumId w:val="28"/>
  </w:num>
  <w:num w:numId="4">
    <w:abstractNumId w:val="26"/>
  </w:num>
  <w:num w:numId="5">
    <w:abstractNumId w:val="15"/>
  </w:num>
  <w:num w:numId="6">
    <w:abstractNumId w:val="10"/>
  </w:num>
  <w:num w:numId="7">
    <w:abstractNumId w:val="30"/>
  </w:num>
  <w:num w:numId="8">
    <w:abstractNumId w:val="7"/>
  </w:num>
  <w:num w:numId="9">
    <w:abstractNumId w:val="1"/>
  </w:num>
  <w:num w:numId="10">
    <w:abstractNumId w:val="20"/>
  </w:num>
  <w:num w:numId="11">
    <w:abstractNumId w:val="3"/>
  </w:num>
  <w:num w:numId="12">
    <w:abstractNumId w:val="16"/>
  </w:num>
  <w:num w:numId="13">
    <w:abstractNumId w:val="9"/>
  </w:num>
  <w:num w:numId="14">
    <w:abstractNumId w:val="29"/>
  </w:num>
  <w:num w:numId="15">
    <w:abstractNumId w:val="4"/>
  </w:num>
  <w:num w:numId="16">
    <w:abstractNumId w:val="13"/>
  </w:num>
  <w:num w:numId="17">
    <w:abstractNumId w:val="23"/>
  </w:num>
  <w:num w:numId="18">
    <w:abstractNumId w:val="19"/>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6"/>
  </w:num>
  <w:num w:numId="22">
    <w:abstractNumId w:val="5"/>
  </w:num>
  <w:num w:numId="23">
    <w:abstractNumId w:val="14"/>
  </w:num>
  <w:num w:numId="24">
    <w:abstractNumId w:val="32"/>
  </w:num>
  <w:num w:numId="25">
    <w:abstractNumId w:val="22"/>
  </w:num>
  <w:num w:numId="26">
    <w:abstractNumId w:val="11"/>
  </w:num>
  <w:num w:numId="27">
    <w:abstractNumId w:val="12"/>
  </w:num>
  <w:num w:numId="28">
    <w:abstractNumId w:val="18"/>
  </w:num>
  <w:num w:numId="29">
    <w:abstractNumId w:val="21"/>
  </w:num>
  <w:num w:numId="30">
    <w:abstractNumId w:val="17"/>
  </w:num>
  <w:num w:numId="31">
    <w:abstractNumId w:val="24"/>
  </w:num>
  <w:num w:numId="32">
    <w:abstractNumId w:val="0"/>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1DD"/>
    <w:rsid w:val="00016685"/>
    <w:rsid w:val="0002592B"/>
    <w:rsid w:val="00025F78"/>
    <w:rsid w:val="00043E13"/>
    <w:rsid w:val="00062A84"/>
    <w:rsid w:val="00062BD8"/>
    <w:rsid w:val="00076742"/>
    <w:rsid w:val="00087295"/>
    <w:rsid w:val="0009720C"/>
    <w:rsid w:val="000E683D"/>
    <w:rsid w:val="000F49DC"/>
    <w:rsid w:val="00105304"/>
    <w:rsid w:val="001062B6"/>
    <w:rsid w:val="00152334"/>
    <w:rsid w:val="00152FCA"/>
    <w:rsid w:val="00153859"/>
    <w:rsid w:val="001572DB"/>
    <w:rsid w:val="00175DC8"/>
    <w:rsid w:val="0018016D"/>
    <w:rsid w:val="0019052B"/>
    <w:rsid w:val="001A3A15"/>
    <w:rsid w:val="001B26C7"/>
    <w:rsid w:val="001B348F"/>
    <w:rsid w:val="001B5FB4"/>
    <w:rsid w:val="001C2FF0"/>
    <w:rsid w:val="001C3B24"/>
    <w:rsid w:val="001C3C50"/>
    <w:rsid w:val="001C3FC7"/>
    <w:rsid w:val="001F2900"/>
    <w:rsid w:val="00200C0C"/>
    <w:rsid w:val="00206E0E"/>
    <w:rsid w:val="0021105C"/>
    <w:rsid w:val="00236C81"/>
    <w:rsid w:val="00251D5A"/>
    <w:rsid w:val="002708A7"/>
    <w:rsid w:val="00276A49"/>
    <w:rsid w:val="0028114A"/>
    <w:rsid w:val="002A570A"/>
    <w:rsid w:val="002B1E46"/>
    <w:rsid w:val="002D3BAA"/>
    <w:rsid w:val="002E332B"/>
    <w:rsid w:val="002F377A"/>
    <w:rsid w:val="00300E09"/>
    <w:rsid w:val="00302B10"/>
    <w:rsid w:val="00303258"/>
    <w:rsid w:val="003107C9"/>
    <w:rsid w:val="003151DD"/>
    <w:rsid w:val="00326355"/>
    <w:rsid w:val="00337448"/>
    <w:rsid w:val="00346B0E"/>
    <w:rsid w:val="003516A8"/>
    <w:rsid w:val="00352DB9"/>
    <w:rsid w:val="00364D5E"/>
    <w:rsid w:val="003715E8"/>
    <w:rsid w:val="00392A21"/>
    <w:rsid w:val="00397413"/>
    <w:rsid w:val="003A5E42"/>
    <w:rsid w:val="003C50C0"/>
    <w:rsid w:val="003E1C7B"/>
    <w:rsid w:val="003E4CF3"/>
    <w:rsid w:val="003F4D78"/>
    <w:rsid w:val="00424DAD"/>
    <w:rsid w:val="0044524E"/>
    <w:rsid w:val="00447E8B"/>
    <w:rsid w:val="004718C9"/>
    <w:rsid w:val="00477819"/>
    <w:rsid w:val="004A4EF3"/>
    <w:rsid w:val="004C59B5"/>
    <w:rsid w:val="004F3002"/>
    <w:rsid w:val="005035E9"/>
    <w:rsid w:val="005221C5"/>
    <w:rsid w:val="00553566"/>
    <w:rsid w:val="00562F25"/>
    <w:rsid w:val="00570E4D"/>
    <w:rsid w:val="00591031"/>
    <w:rsid w:val="005B099B"/>
    <w:rsid w:val="005B1D87"/>
    <w:rsid w:val="005D3A95"/>
    <w:rsid w:val="005D5D89"/>
    <w:rsid w:val="005D6EBD"/>
    <w:rsid w:val="005D719C"/>
    <w:rsid w:val="005E0F19"/>
    <w:rsid w:val="0061376C"/>
    <w:rsid w:val="0063205B"/>
    <w:rsid w:val="0064336D"/>
    <w:rsid w:val="00647424"/>
    <w:rsid w:val="00661D34"/>
    <w:rsid w:val="00662A1C"/>
    <w:rsid w:val="00667DF0"/>
    <w:rsid w:val="006701A8"/>
    <w:rsid w:val="00672868"/>
    <w:rsid w:val="00684272"/>
    <w:rsid w:val="006844AA"/>
    <w:rsid w:val="00686DCA"/>
    <w:rsid w:val="006C326C"/>
    <w:rsid w:val="006C743B"/>
    <w:rsid w:val="006D36EE"/>
    <w:rsid w:val="00700C99"/>
    <w:rsid w:val="00704875"/>
    <w:rsid w:val="00704EB8"/>
    <w:rsid w:val="00722A03"/>
    <w:rsid w:val="00726549"/>
    <w:rsid w:val="00734437"/>
    <w:rsid w:val="007427A4"/>
    <w:rsid w:val="007508AE"/>
    <w:rsid w:val="00752433"/>
    <w:rsid w:val="00760D8E"/>
    <w:rsid w:val="00761606"/>
    <w:rsid w:val="00767CC4"/>
    <w:rsid w:val="00770F4D"/>
    <w:rsid w:val="007912DF"/>
    <w:rsid w:val="007B2516"/>
    <w:rsid w:val="007B6FAD"/>
    <w:rsid w:val="00804FE2"/>
    <w:rsid w:val="00813470"/>
    <w:rsid w:val="00814472"/>
    <w:rsid w:val="008166D0"/>
    <w:rsid w:val="008324D6"/>
    <w:rsid w:val="00845F86"/>
    <w:rsid w:val="00854AFA"/>
    <w:rsid w:val="00856EB8"/>
    <w:rsid w:val="00860CBA"/>
    <w:rsid w:val="00863403"/>
    <w:rsid w:val="00872973"/>
    <w:rsid w:val="008975F1"/>
    <w:rsid w:val="008B4AC6"/>
    <w:rsid w:val="008B6718"/>
    <w:rsid w:val="008C0645"/>
    <w:rsid w:val="008C55C8"/>
    <w:rsid w:val="00902F52"/>
    <w:rsid w:val="009143E2"/>
    <w:rsid w:val="009244EE"/>
    <w:rsid w:val="00926829"/>
    <w:rsid w:val="0095265D"/>
    <w:rsid w:val="00957559"/>
    <w:rsid w:val="009663A8"/>
    <w:rsid w:val="0097692F"/>
    <w:rsid w:val="00983061"/>
    <w:rsid w:val="00984AB9"/>
    <w:rsid w:val="00984B26"/>
    <w:rsid w:val="009A472F"/>
    <w:rsid w:val="009B36E7"/>
    <w:rsid w:val="009C69C7"/>
    <w:rsid w:val="009C6ED2"/>
    <w:rsid w:val="009E3DB8"/>
    <w:rsid w:val="009E45BC"/>
    <w:rsid w:val="009E4A05"/>
    <w:rsid w:val="009E63F1"/>
    <w:rsid w:val="00A023A7"/>
    <w:rsid w:val="00A03A3C"/>
    <w:rsid w:val="00A17C93"/>
    <w:rsid w:val="00A61BC6"/>
    <w:rsid w:val="00A72C15"/>
    <w:rsid w:val="00AA3A71"/>
    <w:rsid w:val="00AB73DA"/>
    <w:rsid w:val="00AE03DE"/>
    <w:rsid w:val="00AE0D47"/>
    <w:rsid w:val="00B46CA1"/>
    <w:rsid w:val="00B540C5"/>
    <w:rsid w:val="00B600F0"/>
    <w:rsid w:val="00B67D50"/>
    <w:rsid w:val="00B860BA"/>
    <w:rsid w:val="00B90197"/>
    <w:rsid w:val="00B92F04"/>
    <w:rsid w:val="00BA5EB1"/>
    <w:rsid w:val="00BB0D62"/>
    <w:rsid w:val="00BB4BB5"/>
    <w:rsid w:val="00BD2AB0"/>
    <w:rsid w:val="00BF2C9C"/>
    <w:rsid w:val="00C05FFF"/>
    <w:rsid w:val="00C16F24"/>
    <w:rsid w:val="00C440D9"/>
    <w:rsid w:val="00C4586F"/>
    <w:rsid w:val="00C52C69"/>
    <w:rsid w:val="00C60D0F"/>
    <w:rsid w:val="00C71AAB"/>
    <w:rsid w:val="00C73202"/>
    <w:rsid w:val="00C757AF"/>
    <w:rsid w:val="00C80D08"/>
    <w:rsid w:val="00C8230E"/>
    <w:rsid w:val="00C85A22"/>
    <w:rsid w:val="00CB4551"/>
    <w:rsid w:val="00CB65CF"/>
    <w:rsid w:val="00CC09D5"/>
    <w:rsid w:val="00CE7341"/>
    <w:rsid w:val="00CF1661"/>
    <w:rsid w:val="00D0236D"/>
    <w:rsid w:val="00D07CAE"/>
    <w:rsid w:val="00D1066D"/>
    <w:rsid w:val="00D306A6"/>
    <w:rsid w:val="00D60470"/>
    <w:rsid w:val="00D645A0"/>
    <w:rsid w:val="00D6611E"/>
    <w:rsid w:val="00D813C4"/>
    <w:rsid w:val="00DA3F95"/>
    <w:rsid w:val="00DA5A12"/>
    <w:rsid w:val="00DB5CD0"/>
    <w:rsid w:val="00DE4CB1"/>
    <w:rsid w:val="00DF095C"/>
    <w:rsid w:val="00DF17EF"/>
    <w:rsid w:val="00DF4E15"/>
    <w:rsid w:val="00DF78CF"/>
    <w:rsid w:val="00E12987"/>
    <w:rsid w:val="00E15510"/>
    <w:rsid w:val="00E31B4D"/>
    <w:rsid w:val="00E6264F"/>
    <w:rsid w:val="00E66425"/>
    <w:rsid w:val="00E90210"/>
    <w:rsid w:val="00E93943"/>
    <w:rsid w:val="00EB46F3"/>
    <w:rsid w:val="00EC6271"/>
    <w:rsid w:val="00ED31DA"/>
    <w:rsid w:val="00EF5C07"/>
    <w:rsid w:val="00F12FB8"/>
    <w:rsid w:val="00F160E1"/>
    <w:rsid w:val="00F16704"/>
    <w:rsid w:val="00F32293"/>
    <w:rsid w:val="00F322C5"/>
    <w:rsid w:val="00F479BD"/>
    <w:rsid w:val="00F50040"/>
    <w:rsid w:val="00F756F4"/>
    <w:rsid w:val="00F87889"/>
    <w:rsid w:val="00F9157A"/>
    <w:rsid w:val="00FD7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217E6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pPr>
        <w:spacing w:line="480" w:lineRule="auto"/>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151DD"/>
    <w:pPr>
      <w:spacing w:line="240" w:lineRule="auto"/>
    </w:pPr>
    <w:rPr>
      <w:sz w:val="20"/>
      <w:szCs w:val="20"/>
    </w:rPr>
  </w:style>
  <w:style w:type="character" w:customStyle="1" w:styleId="FootnoteTextChar">
    <w:name w:val="Footnote Text Char"/>
    <w:basedOn w:val="DefaultParagraphFont"/>
    <w:link w:val="FootnoteText"/>
    <w:uiPriority w:val="99"/>
    <w:rsid w:val="003151DD"/>
    <w:rPr>
      <w:sz w:val="20"/>
      <w:szCs w:val="20"/>
    </w:rPr>
  </w:style>
  <w:style w:type="character" w:styleId="FootnoteReference">
    <w:name w:val="footnote reference"/>
    <w:aliases w:val="o,(NECG) Footnote Reference,Style 12,Style 13,Style 15,Style 17,Style 18,Style 19,Style 20,Style 28,Style 42,Style 7,Style 8,Style 9,fr,fr1,fr2,fr3,o1,o2,o3"/>
    <w:uiPriority w:val="99"/>
    <w:rsid w:val="003151DD"/>
    <w:rPr>
      <w:vertAlign w:val="superscript"/>
    </w:rPr>
  </w:style>
  <w:style w:type="table" w:styleId="TableGrid">
    <w:name w:val="Table Grid"/>
    <w:basedOn w:val="TableNormal"/>
    <w:uiPriority w:val="59"/>
    <w:rsid w:val="003151DD"/>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06A6"/>
    <w:pPr>
      <w:ind w:left="720"/>
      <w:contextualSpacing/>
    </w:pPr>
  </w:style>
  <w:style w:type="character" w:styleId="Hyperlink">
    <w:name w:val="Hyperlink"/>
    <w:basedOn w:val="DefaultParagraphFont"/>
    <w:uiPriority w:val="99"/>
    <w:unhideWhenUsed/>
    <w:rsid w:val="00770F4D"/>
    <w:rPr>
      <w:color w:val="0563C1" w:themeColor="hyperlink"/>
      <w:u w:val="single"/>
    </w:rPr>
  </w:style>
  <w:style w:type="character" w:styleId="CommentReference">
    <w:name w:val="annotation reference"/>
    <w:basedOn w:val="DefaultParagraphFont"/>
    <w:uiPriority w:val="99"/>
    <w:semiHidden/>
    <w:unhideWhenUsed/>
    <w:rsid w:val="003F4D78"/>
    <w:rPr>
      <w:sz w:val="16"/>
      <w:szCs w:val="16"/>
    </w:rPr>
  </w:style>
  <w:style w:type="paragraph" w:styleId="CommentText">
    <w:name w:val="annotation text"/>
    <w:basedOn w:val="Normal"/>
    <w:link w:val="CommentTextChar"/>
    <w:uiPriority w:val="99"/>
    <w:semiHidden/>
    <w:unhideWhenUsed/>
    <w:rsid w:val="003F4D78"/>
    <w:pPr>
      <w:spacing w:line="240" w:lineRule="auto"/>
    </w:pPr>
    <w:rPr>
      <w:sz w:val="20"/>
      <w:szCs w:val="20"/>
    </w:rPr>
  </w:style>
  <w:style w:type="character" w:customStyle="1" w:styleId="CommentTextChar">
    <w:name w:val="Comment Text Char"/>
    <w:basedOn w:val="DefaultParagraphFont"/>
    <w:link w:val="CommentText"/>
    <w:uiPriority w:val="99"/>
    <w:semiHidden/>
    <w:rsid w:val="003F4D78"/>
    <w:rPr>
      <w:sz w:val="20"/>
      <w:szCs w:val="20"/>
    </w:rPr>
  </w:style>
  <w:style w:type="paragraph" w:styleId="CommentSubject">
    <w:name w:val="annotation subject"/>
    <w:basedOn w:val="CommentText"/>
    <w:next w:val="CommentText"/>
    <w:link w:val="CommentSubjectChar"/>
    <w:uiPriority w:val="99"/>
    <w:semiHidden/>
    <w:unhideWhenUsed/>
    <w:rsid w:val="003F4D78"/>
    <w:rPr>
      <w:b/>
      <w:bCs/>
    </w:rPr>
  </w:style>
  <w:style w:type="character" w:customStyle="1" w:styleId="CommentSubjectChar">
    <w:name w:val="Comment Subject Char"/>
    <w:basedOn w:val="CommentTextChar"/>
    <w:link w:val="CommentSubject"/>
    <w:uiPriority w:val="99"/>
    <w:semiHidden/>
    <w:rsid w:val="003F4D78"/>
    <w:rPr>
      <w:b/>
      <w:bCs/>
      <w:sz w:val="20"/>
      <w:szCs w:val="20"/>
    </w:rPr>
  </w:style>
  <w:style w:type="paragraph" w:styleId="Revision">
    <w:name w:val="Revision"/>
    <w:hidden/>
    <w:uiPriority w:val="99"/>
    <w:semiHidden/>
    <w:rsid w:val="003F4D78"/>
    <w:pPr>
      <w:spacing w:line="240" w:lineRule="auto"/>
    </w:pPr>
  </w:style>
  <w:style w:type="paragraph" w:styleId="BalloonText">
    <w:name w:val="Balloon Text"/>
    <w:basedOn w:val="Normal"/>
    <w:link w:val="BalloonTextChar"/>
    <w:uiPriority w:val="99"/>
    <w:semiHidden/>
    <w:unhideWhenUsed/>
    <w:rsid w:val="003F4D7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4D78"/>
    <w:rPr>
      <w:rFonts w:ascii="Segoe UI" w:hAnsi="Segoe UI" w:cs="Segoe UI"/>
      <w:sz w:val="18"/>
      <w:szCs w:val="18"/>
    </w:rPr>
  </w:style>
  <w:style w:type="paragraph" w:styleId="Header">
    <w:name w:val="header"/>
    <w:basedOn w:val="Normal"/>
    <w:link w:val="HeaderChar"/>
    <w:uiPriority w:val="99"/>
    <w:unhideWhenUsed/>
    <w:rsid w:val="00D0236D"/>
    <w:pPr>
      <w:tabs>
        <w:tab w:val="center" w:pos="4680"/>
        <w:tab w:val="right" w:pos="9360"/>
      </w:tabs>
      <w:spacing w:line="240" w:lineRule="auto"/>
    </w:pPr>
  </w:style>
  <w:style w:type="character" w:customStyle="1" w:styleId="HeaderChar">
    <w:name w:val="Header Char"/>
    <w:basedOn w:val="DefaultParagraphFont"/>
    <w:link w:val="Header"/>
    <w:uiPriority w:val="99"/>
    <w:rsid w:val="00D0236D"/>
  </w:style>
  <w:style w:type="paragraph" w:styleId="Footer">
    <w:name w:val="footer"/>
    <w:basedOn w:val="Normal"/>
    <w:link w:val="FooterChar"/>
    <w:uiPriority w:val="99"/>
    <w:unhideWhenUsed/>
    <w:rsid w:val="00D0236D"/>
    <w:pPr>
      <w:tabs>
        <w:tab w:val="center" w:pos="4680"/>
        <w:tab w:val="right" w:pos="9360"/>
      </w:tabs>
      <w:spacing w:line="240" w:lineRule="auto"/>
    </w:pPr>
  </w:style>
  <w:style w:type="character" w:customStyle="1" w:styleId="FooterChar">
    <w:name w:val="Footer Char"/>
    <w:basedOn w:val="DefaultParagraphFont"/>
    <w:link w:val="Footer"/>
    <w:uiPriority w:val="99"/>
    <w:rsid w:val="00D0236D"/>
  </w:style>
  <w:style w:type="paragraph" w:customStyle="1" w:styleId="Level1">
    <w:name w:val="Level 1"/>
    <w:basedOn w:val="TOC1"/>
    <w:link w:val="Level1Char"/>
    <w:qFormat/>
    <w:rsid w:val="00062BD8"/>
    <w:pPr>
      <w:tabs>
        <w:tab w:val="right" w:leader="dot" w:pos="8630"/>
      </w:tabs>
      <w:spacing w:before="120" w:after="120" w:line="240" w:lineRule="auto"/>
      <w:jc w:val="left"/>
    </w:pPr>
    <w:rPr>
      <w:rFonts w:asciiTheme="majorHAnsi" w:eastAsia="Times New Roman" w:hAnsiTheme="majorHAnsi" w:cs="Times New Roman"/>
      <w:b/>
      <w:bCs/>
      <w:caps/>
      <w:sz w:val="20"/>
      <w:szCs w:val="20"/>
    </w:rPr>
  </w:style>
  <w:style w:type="character" w:customStyle="1" w:styleId="Level1Char">
    <w:name w:val="Level 1 Char"/>
    <w:basedOn w:val="DefaultParagraphFont"/>
    <w:link w:val="Level1"/>
    <w:rsid w:val="00062BD8"/>
    <w:rPr>
      <w:rFonts w:asciiTheme="majorHAnsi" w:eastAsia="Times New Roman" w:hAnsiTheme="majorHAnsi" w:cs="Times New Roman"/>
      <w:b/>
      <w:bCs/>
      <w:caps/>
      <w:sz w:val="20"/>
      <w:szCs w:val="20"/>
    </w:rPr>
  </w:style>
  <w:style w:type="paragraph" w:styleId="TOC1">
    <w:name w:val="toc 1"/>
    <w:basedOn w:val="Normal"/>
    <w:next w:val="Normal"/>
    <w:autoRedefine/>
    <w:uiPriority w:val="39"/>
    <w:semiHidden/>
    <w:unhideWhenUsed/>
    <w:rsid w:val="00062BD8"/>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21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leisher@elpc.org" TargetMode="External"/><Relationship Id="rId13" Type="http://schemas.openxmlformats.org/officeDocument/2006/relationships/hyperlink" Target="mailto:swilliams@nrdc.org" TargetMode="External"/><Relationship Id="rId18" Type="http://schemas.openxmlformats.org/officeDocument/2006/relationships/hyperlink" Target="mailto:JLang@Calfee.com" TargetMode="External"/><Relationship Id="rId26" Type="http://schemas.openxmlformats.org/officeDocument/2006/relationships/hyperlink" Target="mailto:dboehm@bkllawfirm.com"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campbell@whitt-sturtevant.com" TargetMode="External"/><Relationship Id="rId34" Type="http://schemas.openxmlformats.org/officeDocument/2006/relationships/hyperlink" Target="mailto:EAkhbari@bricker.com"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jnewman@environlaw.com" TargetMode="External"/><Relationship Id="rId17" Type="http://schemas.openxmlformats.org/officeDocument/2006/relationships/hyperlink" Target="mailto:lbrandfass@spilmanlaw.com" TargetMode="External"/><Relationship Id="rId25" Type="http://schemas.openxmlformats.org/officeDocument/2006/relationships/hyperlink" Target="mailto:dparram@bricker.com" TargetMode="External"/><Relationship Id="rId33" Type="http://schemas.openxmlformats.org/officeDocument/2006/relationships/hyperlink" Target="mailto:mkeaney@calfee.com"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DWilliamson@spilmanlaw.com" TargetMode="External"/><Relationship Id="rId20" Type="http://schemas.openxmlformats.org/officeDocument/2006/relationships/hyperlink" Target="mailto:tony.mendoza@sierraclub.org" TargetMode="External"/><Relationship Id="rId29" Type="http://schemas.openxmlformats.org/officeDocument/2006/relationships/hyperlink" Target="mailto:Kevin.Moore@occ.ohio.gov"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ltman@environlaw.com" TargetMode="External"/><Relationship Id="rId24" Type="http://schemas.openxmlformats.org/officeDocument/2006/relationships/hyperlink" Target="mailto:dborchers@bricker.com" TargetMode="External"/><Relationship Id="rId32" Type="http://schemas.openxmlformats.org/officeDocument/2006/relationships/hyperlink" Target="mailto:TAlexander@Calfee.com"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Terry.Etter@occ.ohio.gov" TargetMode="External"/><Relationship Id="rId23" Type="http://schemas.openxmlformats.org/officeDocument/2006/relationships/hyperlink" Target="mailto:tdougherty@theoec.org" TargetMode="External"/><Relationship Id="rId28" Type="http://schemas.openxmlformats.org/officeDocument/2006/relationships/hyperlink" Target="mailto:glpetrucci@vorys.com" TargetMode="External"/><Relationship Id="rId36" Type="http://schemas.openxmlformats.org/officeDocument/2006/relationships/header" Target="header1.xml"/><Relationship Id="rId10" Type="http://schemas.openxmlformats.org/officeDocument/2006/relationships/hyperlink" Target="mailto:Christopher.Healey@occ.ohio.gov" TargetMode="External"/><Relationship Id="rId19" Type="http://schemas.openxmlformats.org/officeDocument/2006/relationships/hyperlink" Target="mailto:rsahli@columbus.rr.com" TargetMode="External"/><Relationship Id="rId31" Type="http://schemas.openxmlformats.org/officeDocument/2006/relationships/hyperlink" Target="mailto:SLesser@Calfee.com" TargetMode="External"/><Relationship Id="rId44"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paul@carpenterlipps.com" TargetMode="External"/><Relationship Id="rId14" Type="http://schemas.openxmlformats.org/officeDocument/2006/relationships/hyperlink" Target="mailto:mjsettineri@vorys.com" TargetMode="External"/><Relationship Id="rId22" Type="http://schemas.openxmlformats.org/officeDocument/2006/relationships/hyperlink" Target="mailto:glover@whitt-sturtevant.com" TargetMode="External"/><Relationship Id="rId27" Type="http://schemas.openxmlformats.org/officeDocument/2006/relationships/hyperlink" Target="mailto:mleppla@theoec.org" TargetMode="External"/><Relationship Id="rId30" Type="http://schemas.openxmlformats.org/officeDocument/2006/relationships/hyperlink" Target="mailto:CHarris@spilmanlaw.com" TargetMode="External"/><Relationship Id="rId35" Type="http://schemas.openxmlformats.org/officeDocument/2006/relationships/hyperlink" Target="mailto:William.wright@ohioattorneygeneral.gov"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0D0C2-DD81-4EB3-A768-C1B0BB410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4788</Words>
  <Characters>27296</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2018-10-02T14:40:00Z</dcterms:created>
  <dcterms:modified xsi:type="dcterms:W3CDTF">2018-10-02T20:40:00Z</dcterms:modified>
</cp:coreProperties>
</file>