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9 -->
  <w:body>
    <w:p w:rsidR="006D7498" w:rsidRPr="0024134B" w:rsidP="006D7498" w14:paraId="3C76DB9D" w14:textId="77777777">
      <w:pPr>
        <w:spacing w:after="0" w:line="240" w:lineRule="auto"/>
        <w:jc w:val="center"/>
        <w:rPr>
          <w:rFonts w:ascii="Times New Roman" w:eastAsia="Times New Roman" w:hAnsi="Times New Roman" w:cs="Times New Roman"/>
          <w:b/>
          <w:sz w:val="24"/>
          <w:szCs w:val="24"/>
        </w:rPr>
      </w:pPr>
      <w:r w:rsidRPr="0024134B">
        <w:rPr>
          <w:rFonts w:ascii="Times New Roman" w:eastAsia="Times New Roman" w:hAnsi="Times New Roman" w:cs="Times New Roman"/>
          <w:b/>
          <w:sz w:val="24"/>
          <w:szCs w:val="24"/>
        </w:rPr>
        <w:t>BEFORE</w:t>
      </w:r>
    </w:p>
    <w:p w:rsidR="006D7498" w:rsidRPr="0024134B" w:rsidP="006D7498" w14:paraId="36D3EE9A" w14:textId="77777777">
      <w:pPr>
        <w:spacing w:after="0" w:line="240" w:lineRule="auto"/>
        <w:jc w:val="center"/>
        <w:rPr>
          <w:rFonts w:ascii="Times New Roman" w:eastAsia="Times New Roman" w:hAnsi="Times New Roman" w:cs="Times New Roman"/>
          <w:b/>
          <w:sz w:val="24"/>
          <w:szCs w:val="24"/>
        </w:rPr>
      </w:pPr>
      <w:r w:rsidRPr="0024134B">
        <w:rPr>
          <w:rFonts w:ascii="Times New Roman" w:eastAsia="Times New Roman" w:hAnsi="Times New Roman" w:cs="Times New Roman"/>
          <w:b/>
          <w:sz w:val="24"/>
          <w:szCs w:val="24"/>
        </w:rPr>
        <w:t>THE PUBLIC UTILITIES COMMISSION OF OHIO</w:t>
      </w:r>
    </w:p>
    <w:p w:rsidR="006D7498" w:rsidRPr="0024134B" w:rsidP="006D7498" w14:paraId="7B75583E" w14:textId="77777777">
      <w:pPr>
        <w:spacing w:after="0" w:line="240" w:lineRule="auto"/>
        <w:rPr>
          <w:rFonts w:ascii="Times New Roman" w:eastAsia="Times New Roman" w:hAnsi="Times New Roman" w:cs="Times New Roman"/>
          <w:sz w:val="24"/>
          <w:szCs w:val="24"/>
        </w:rPr>
      </w:pPr>
    </w:p>
    <w:tbl>
      <w:tblPr>
        <w:tblW w:w="8730" w:type="dxa"/>
        <w:tblLook w:val="01E0"/>
      </w:tblPr>
      <w:tblGrid>
        <w:gridCol w:w="4230"/>
        <w:gridCol w:w="540"/>
        <w:gridCol w:w="3960"/>
      </w:tblGrid>
      <w:tr w14:paraId="0C508FB6" w14:textId="77777777" w:rsidTr="00980214">
        <w:tblPrEx>
          <w:tblW w:w="8730" w:type="dxa"/>
          <w:tblLook w:val="01E0"/>
        </w:tblPrEx>
        <w:trPr>
          <w:trHeight w:val="807"/>
        </w:trPr>
        <w:tc>
          <w:tcPr>
            <w:tcW w:w="4230" w:type="dxa"/>
            <w:shd w:val="clear" w:color="auto" w:fill="auto"/>
          </w:tcPr>
          <w:p w:rsidR="006D7498" w:rsidRPr="0024134B" w:rsidP="006D7498" w14:paraId="5FC73B9B"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Times New Roman"/>
                <w:sz w:val="24"/>
                <w:szCs w:val="24"/>
              </w:rPr>
            </w:pPr>
            <w:r w:rsidRPr="0024134B">
              <w:rPr>
                <w:rFonts w:ascii="Times New Roman" w:eastAsia="Courier New" w:hAnsi="Times New Roman" w:cs="Times New Roman"/>
                <w:sz w:val="24"/>
                <w:szCs w:val="24"/>
              </w:rPr>
              <w:t>In the Matter of the Review of the Reconciliation Rider of Duke Energy Ohio, Inc.</w:t>
            </w:r>
          </w:p>
        </w:tc>
        <w:tc>
          <w:tcPr>
            <w:tcW w:w="540" w:type="dxa"/>
            <w:shd w:val="clear" w:color="auto" w:fill="auto"/>
          </w:tcPr>
          <w:p w:rsidR="006D7498" w:rsidRPr="0024134B" w:rsidP="006D7498" w14:paraId="79469786"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Times New Roman"/>
                <w:sz w:val="24"/>
                <w:szCs w:val="24"/>
              </w:rPr>
            </w:pPr>
            <w:r w:rsidRPr="0024134B">
              <w:rPr>
                <w:rFonts w:ascii="Times New Roman" w:eastAsia="Courier New" w:hAnsi="Times New Roman" w:cs="Times New Roman"/>
                <w:sz w:val="24"/>
                <w:szCs w:val="24"/>
              </w:rPr>
              <w:t>)</w:t>
            </w:r>
          </w:p>
          <w:p w:rsidR="006D7498" w:rsidRPr="0024134B" w:rsidP="006D7498" w14:paraId="242FF74D"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Times New Roman"/>
                <w:sz w:val="24"/>
                <w:szCs w:val="24"/>
              </w:rPr>
            </w:pPr>
            <w:r w:rsidRPr="0024134B">
              <w:rPr>
                <w:rFonts w:ascii="Times New Roman" w:eastAsia="Courier New" w:hAnsi="Times New Roman" w:cs="Times New Roman"/>
                <w:sz w:val="24"/>
                <w:szCs w:val="24"/>
              </w:rPr>
              <w:t>)</w:t>
            </w:r>
          </w:p>
          <w:p w:rsidR="006D7498" w:rsidRPr="0024134B" w:rsidP="006D7498" w14:paraId="5F2F161E"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Times New Roman"/>
                <w:sz w:val="24"/>
                <w:szCs w:val="24"/>
              </w:rPr>
            </w:pPr>
            <w:r w:rsidRPr="0024134B">
              <w:rPr>
                <w:rFonts w:ascii="Times New Roman" w:eastAsia="Courier New" w:hAnsi="Times New Roman" w:cs="Times New Roman"/>
                <w:sz w:val="24"/>
                <w:szCs w:val="24"/>
              </w:rPr>
              <w:t>)</w:t>
            </w:r>
          </w:p>
        </w:tc>
        <w:tc>
          <w:tcPr>
            <w:tcW w:w="3960" w:type="dxa"/>
            <w:shd w:val="clear" w:color="auto" w:fill="auto"/>
          </w:tcPr>
          <w:p w:rsidR="006D7498" w:rsidRPr="0024134B" w:rsidP="006D7498" w14:paraId="2C70723D"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Times New Roman"/>
                <w:sz w:val="24"/>
                <w:szCs w:val="24"/>
              </w:rPr>
            </w:pPr>
          </w:p>
          <w:p w:rsidR="006D7498" w:rsidRPr="0024134B" w:rsidP="006D7498" w14:paraId="70DB52DE"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Times New Roman"/>
                <w:sz w:val="24"/>
                <w:szCs w:val="24"/>
              </w:rPr>
            </w:pPr>
            <w:r w:rsidRPr="0024134B">
              <w:rPr>
                <w:rFonts w:ascii="Times New Roman" w:eastAsia="Courier New" w:hAnsi="Times New Roman" w:cs="Times New Roman"/>
                <w:sz w:val="24"/>
                <w:szCs w:val="24"/>
              </w:rPr>
              <w:t xml:space="preserve"> Case No. 20-167-EL-RDR</w:t>
            </w:r>
          </w:p>
          <w:p w:rsidR="006D7498" w:rsidRPr="0024134B" w:rsidP="006D7498" w14:paraId="2906FE25"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Times New Roman"/>
                <w:sz w:val="24"/>
                <w:szCs w:val="24"/>
              </w:rPr>
            </w:pPr>
          </w:p>
        </w:tc>
      </w:tr>
    </w:tbl>
    <w:p w:rsidR="006D7498" w:rsidRPr="0024134B" w:rsidP="006D7498" w14:paraId="09A5EA6C" w14:textId="77777777">
      <w:pPr>
        <w:spacing w:after="0" w:line="240" w:lineRule="auto"/>
        <w:rPr>
          <w:rFonts w:ascii="Times New Roman" w:eastAsia="Times New Roman" w:hAnsi="Times New Roman" w:cs="Times New Roman"/>
          <w:sz w:val="24"/>
          <w:szCs w:val="24"/>
        </w:rPr>
      </w:pPr>
    </w:p>
    <w:p w:rsidR="006D7498" w:rsidRPr="0024134B" w:rsidP="006D7498" w14:paraId="3D1EF8A4" w14:textId="77777777">
      <w:pPr>
        <w:pBdr>
          <w:top w:val="single" w:sz="12" w:space="1" w:color="auto"/>
        </w:pBdr>
        <w:spacing w:after="0" w:line="240" w:lineRule="auto"/>
        <w:rPr>
          <w:rFonts w:ascii="Times New Roman" w:eastAsia="Times New Roman" w:hAnsi="Times New Roman" w:cs="Times New Roman"/>
          <w:sz w:val="24"/>
          <w:szCs w:val="24"/>
        </w:rPr>
      </w:pPr>
    </w:p>
    <w:p w:rsidR="006D7498" w:rsidRPr="0024134B" w:rsidP="006D7498" w14:paraId="68358963" w14:textId="77777777">
      <w:pPr>
        <w:spacing w:after="0" w:line="240" w:lineRule="auto"/>
        <w:jc w:val="center"/>
        <w:rPr>
          <w:rFonts w:ascii="Times New Roman" w:eastAsia="Times New Roman" w:hAnsi="Times New Roman" w:cs="Times New Roman"/>
          <w:b/>
          <w:sz w:val="24"/>
          <w:szCs w:val="24"/>
        </w:rPr>
      </w:pPr>
      <w:r w:rsidRPr="0024134B">
        <w:rPr>
          <w:rFonts w:ascii="Times New Roman" w:eastAsia="Times New Roman" w:hAnsi="Times New Roman" w:cs="Times New Roman"/>
          <w:b/>
          <w:sz w:val="24"/>
          <w:szCs w:val="24"/>
        </w:rPr>
        <w:t>INITIAL BRIEF</w:t>
      </w:r>
    </w:p>
    <w:p w:rsidR="006D7498" w:rsidRPr="0024134B" w:rsidP="006D7498" w14:paraId="68E484B0" w14:textId="77777777">
      <w:pPr>
        <w:spacing w:after="0" w:line="240" w:lineRule="auto"/>
        <w:jc w:val="center"/>
        <w:rPr>
          <w:rFonts w:ascii="Times New Roman" w:eastAsia="Times New Roman" w:hAnsi="Times New Roman" w:cs="Times New Roman"/>
          <w:b/>
          <w:sz w:val="24"/>
          <w:szCs w:val="24"/>
        </w:rPr>
      </w:pPr>
      <w:r w:rsidRPr="0024134B">
        <w:rPr>
          <w:rFonts w:ascii="Times New Roman" w:eastAsia="Times New Roman" w:hAnsi="Times New Roman" w:cs="Times New Roman"/>
          <w:b/>
          <w:sz w:val="24"/>
          <w:szCs w:val="24"/>
        </w:rPr>
        <w:t>BY</w:t>
      </w:r>
    </w:p>
    <w:p w:rsidR="006D7498" w:rsidRPr="0024134B" w:rsidP="006D7498" w14:paraId="21C33918" w14:textId="77777777">
      <w:pPr>
        <w:spacing w:after="0" w:line="240" w:lineRule="auto"/>
        <w:jc w:val="center"/>
        <w:rPr>
          <w:rFonts w:ascii="Times New Roman" w:eastAsia="Times New Roman" w:hAnsi="Times New Roman" w:cs="Times New Roman"/>
          <w:b/>
          <w:sz w:val="24"/>
          <w:szCs w:val="24"/>
        </w:rPr>
      </w:pPr>
      <w:r w:rsidRPr="0024134B">
        <w:rPr>
          <w:rFonts w:ascii="Times New Roman" w:eastAsia="Times New Roman" w:hAnsi="Times New Roman" w:cs="Times New Roman"/>
          <w:b/>
          <w:sz w:val="24"/>
          <w:szCs w:val="24"/>
        </w:rPr>
        <w:t>OFFICE OF THE OHIO CONSUMERS’ COUNSEL</w:t>
      </w:r>
    </w:p>
    <w:p w:rsidR="006D7498" w:rsidRPr="0024134B" w:rsidP="006D7498" w14:paraId="5972096F" w14:textId="77777777">
      <w:pPr>
        <w:pBdr>
          <w:bottom w:val="single" w:sz="12" w:space="1" w:color="auto"/>
        </w:pBdr>
        <w:spacing w:after="0" w:line="240" w:lineRule="auto"/>
        <w:rPr>
          <w:rFonts w:ascii="Times New Roman" w:eastAsia="Times New Roman" w:hAnsi="Times New Roman" w:cs="Times New Roman"/>
          <w:sz w:val="24"/>
          <w:szCs w:val="24"/>
        </w:rPr>
      </w:pPr>
    </w:p>
    <w:p w:rsidR="006D7498" w:rsidRPr="0024134B" w:rsidP="006D7498" w14:paraId="06E0DE9D" w14:textId="77777777">
      <w:pPr>
        <w:spacing w:after="0" w:line="240" w:lineRule="auto"/>
        <w:rPr>
          <w:rFonts w:ascii="Times New Roman" w:eastAsia="Times New Roman" w:hAnsi="Times New Roman" w:cs="Times New Roman"/>
          <w:sz w:val="24"/>
          <w:szCs w:val="24"/>
        </w:rPr>
      </w:pPr>
    </w:p>
    <w:p w:rsidR="006D7498" w:rsidRPr="0024134B" w:rsidP="005E7577" w14:paraId="7BC8E71A" w14:textId="77777777">
      <w:pPr>
        <w:kinsoku w:val="0"/>
        <w:overflowPunct w:val="0"/>
        <w:autoSpaceDE w:val="0"/>
        <w:autoSpaceDN w:val="0"/>
        <w:adjustRightInd w:val="0"/>
        <w:spacing w:before="1" w:after="0" w:line="240" w:lineRule="auto"/>
        <w:jc w:val="center"/>
        <w:rPr>
          <w:rFonts w:ascii="Times New Roman" w:hAnsi="Times New Roman" w:cs="Times New Roman"/>
          <w:b/>
          <w:bCs/>
          <w:sz w:val="24"/>
          <w:szCs w:val="24"/>
        </w:rPr>
      </w:pPr>
    </w:p>
    <w:p w:rsidR="006B3A7D" w:rsidRPr="006B3A7D" w:rsidP="00902AFF" w14:paraId="6556C7E1" w14:textId="77777777">
      <w:pPr>
        <w:tabs>
          <w:tab w:val="right" w:pos="8640"/>
        </w:tabs>
        <w:spacing w:after="0" w:line="240" w:lineRule="auto"/>
        <w:ind w:left="4507"/>
        <w:rPr>
          <w:rFonts w:ascii="Times New Roman" w:eastAsia="Times New Roman" w:hAnsi="Times New Roman" w:cs="Times New Roman"/>
          <w:sz w:val="24"/>
          <w:szCs w:val="24"/>
        </w:rPr>
      </w:pPr>
      <w:r w:rsidRPr="006B3A7D">
        <w:rPr>
          <w:rFonts w:ascii="Times New Roman" w:eastAsia="Times New Roman" w:hAnsi="Times New Roman" w:cs="Times New Roman"/>
          <w:sz w:val="24"/>
          <w:szCs w:val="24"/>
        </w:rPr>
        <w:t>Bruce Weston (0016973)</w:t>
      </w:r>
    </w:p>
    <w:p w:rsidR="006B3A7D" w:rsidRPr="0024134B" w:rsidP="00902AFF" w14:paraId="4D3EF142" w14:textId="77777777">
      <w:pPr>
        <w:spacing w:after="0" w:line="240" w:lineRule="auto"/>
        <w:ind w:left="4507"/>
        <w:contextualSpacing/>
        <w:rPr>
          <w:rFonts w:ascii="Times New Roman" w:eastAsia="Calibri" w:hAnsi="Times New Roman" w:cs="Times New Roman"/>
          <w:sz w:val="24"/>
          <w:szCs w:val="24"/>
        </w:rPr>
      </w:pPr>
      <w:r w:rsidRPr="006B3A7D">
        <w:rPr>
          <w:rFonts w:ascii="Times New Roman" w:eastAsia="Calibri" w:hAnsi="Times New Roman" w:cs="Times New Roman"/>
          <w:sz w:val="24"/>
          <w:szCs w:val="24"/>
        </w:rPr>
        <w:t>Ohio Consumers’ Counsel</w:t>
      </w:r>
    </w:p>
    <w:p w:rsidR="006B3A7D" w:rsidRPr="006B3A7D" w:rsidP="00902AFF" w14:paraId="02BA47BF" w14:textId="77777777">
      <w:pPr>
        <w:spacing w:after="0" w:line="240" w:lineRule="auto"/>
        <w:ind w:left="4507"/>
        <w:contextualSpacing/>
        <w:rPr>
          <w:rFonts w:ascii="Times New Roman" w:eastAsia="Calibri" w:hAnsi="Times New Roman" w:cs="Times New Roman"/>
          <w:sz w:val="24"/>
          <w:szCs w:val="24"/>
        </w:rPr>
      </w:pPr>
    </w:p>
    <w:p w:rsidR="006B3A7D" w:rsidRPr="006B3A7D" w:rsidP="00902AFF" w14:paraId="3F5F2AE6" w14:textId="77777777">
      <w:pPr>
        <w:spacing w:after="0" w:line="240" w:lineRule="auto"/>
        <w:ind w:left="4507"/>
        <w:contextualSpacing/>
        <w:rPr>
          <w:rFonts w:ascii="Times New Roman" w:eastAsia="Calibri" w:hAnsi="Times New Roman" w:cs="Times New Roman"/>
          <w:sz w:val="24"/>
          <w:szCs w:val="24"/>
        </w:rPr>
      </w:pPr>
      <w:r w:rsidRPr="006B3A7D">
        <w:rPr>
          <w:rFonts w:ascii="Times New Roman" w:eastAsia="Times New Roman" w:hAnsi="Times New Roman" w:cs="Times New Roman"/>
          <w:sz w:val="24"/>
          <w:szCs w:val="24"/>
        </w:rPr>
        <w:t>Angela D. O’Brien (0097579)</w:t>
      </w:r>
    </w:p>
    <w:p w:rsidR="006B3A7D" w:rsidRPr="006B3A7D" w:rsidP="00902AFF" w14:paraId="40FDA275" w14:textId="77777777">
      <w:pPr>
        <w:spacing w:after="0" w:line="240" w:lineRule="auto"/>
        <w:ind w:left="4507"/>
        <w:rPr>
          <w:rFonts w:ascii="Times New Roman" w:eastAsia="Times New Roman" w:hAnsi="Times New Roman" w:cs="Times New Roman"/>
          <w:b/>
          <w:bCs/>
          <w:sz w:val="24"/>
          <w:szCs w:val="24"/>
        </w:rPr>
      </w:pPr>
      <w:r w:rsidRPr="006B3A7D">
        <w:rPr>
          <w:rFonts w:ascii="Times New Roman" w:eastAsia="Times New Roman" w:hAnsi="Times New Roman" w:cs="Times New Roman"/>
          <w:sz w:val="24"/>
          <w:szCs w:val="24"/>
        </w:rPr>
        <w:t>Counsel of Record</w:t>
      </w:r>
    </w:p>
    <w:p w:rsidR="006B3A7D" w:rsidRPr="006B3A7D" w:rsidP="00902AFF" w14:paraId="5D4E385F" w14:textId="77777777">
      <w:pPr>
        <w:spacing w:after="0" w:line="240" w:lineRule="auto"/>
        <w:ind w:left="4507"/>
        <w:rPr>
          <w:rFonts w:ascii="Times New Roman" w:eastAsia="Times New Roman" w:hAnsi="Times New Roman" w:cs="Times New Roman"/>
          <w:b/>
          <w:bCs/>
          <w:sz w:val="24"/>
          <w:szCs w:val="24"/>
        </w:rPr>
      </w:pPr>
      <w:r w:rsidRPr="006B3A7D">
        <w:rPr>
          <w:rFonts w:ascii="Times New Roman" w:eastAsia="Times New Roman" w:hAnsi="Times New Roman" w:cs="Times New Roman"/>
          <w:sz w:val="24"/>
          <w:szCs w:val="24"/>
        </w:rPr>
        <w:t>John Finnigan (0018689)</w:t>
      </w:r>
    </w:p>
    <w:p w:rsidR="006B3A7D" w:rsidRPr="006B3A7D" w:rsidP="00902AFF" w14:paraId="1CD5747F" w14:textId="77777777">
      <w:pPr>
        <w:spacing w:after="0" w:line="240" w:lineRule="auto"/>
        <w:ind w:left="4507"/>
        <w:rPr>
          <w:rFonts w:ascii="Times New Roman" w:eastAsia="Times New Roman" w:hAnsi="Times New Roman" w:cs="Times New Roman"/>
          <w:b/>
          <w:bCs/>
          <w:sz w:val="24"/>
          <w:szCs w:val="24"/>
        </w:rPr>
      </w:pPr>
      <w:r w:rsidRPr="006B3A7D">
        <w:rPr>
          <w:rFonts w:ascii="Times New Roman" w:eastAsia="Times New Roman" w:hAnsi="Times New Roman" w:cs="Times New Roman"/>
          <w:sz w:val="24"/>
          <w:szCs w:val="24"/>
        </w:rPr>
        <w:t>Assistant Consumers’ Counsel</w:t>
      </w:r>
    </w:p>
    <w:p w:rsidR="006B3A7D" w:rsidRPr="006B3A7D" w:rsidP="00902AFF" w14:paraId="43E2F9C3" w14:textId="77777777">
      <w:pPr>
        <w:tabs>
          <w:tab w:val="left" w:pos="4320"/>
        </w:tabs>
        <w:spacing w:after="0" w:line="240" w:lineRule="auto"/>
        <w:ind w:left="4507"/>
        <w:rPr>
          <w:rFonts w:ascii="Times New Roman" w:eastAsia="Times New Roman" w:hAnsi="Times New Roman" w:cs="Times New Roman"/>
          <w:b/>
          <w:sz w:val="24"/>
          <w:szCs w:val="24"/>
        </w:rPr>
      </w:pPr>
    </w:p>
    <w:p w:rsidR="006B3A7D" w:rsidRPr="006B3A7D" w:rsidP="00902AFF" w14:paraId="75948E92" w14:textId="77777777">
      <w:pPr>
        <w:tabs>
          <w:tab w:val="left" w:pos="4320"/>
        </w:tabs>
        <w:spacing w:after="0" w:line="240" w:lineRule="auto"/>
        <w:ind w:left="4507"/>
        <w:rPr>
          <w:rFonts w:ascii="Times New Roman" w:eastAsia="Times New Roman" w:hAnsi="Times New Roman" w:cs="Times New Roman"/>
          <w:b/>
          <w:bCs/>
          <w:sz w:val="24"/>
          <w:szCs w:val="24"/>
        </w:rPr>
      </w:pPr>
      <w:r w:rsidRPr="006B3A7D">
        <w:rPr>
          <w:rFonts w:ascii="Times New Roman" w:eastAsia="Times New Roman" w:hAnsi="Times New Roman" w:cs="Times New Roman"/>
          <w:b/>
          <w:sz w:val="24"/>
          <w:szCs w:val="24"/>
        </w:rPr>
        <w:t>Office of the Ohio Consumers’ Counsel</w:t>
      </w:r>
    </w:p>
    <w:p w:rsidR="006B3A7D" w:rsidRPr="006B3A7D" w:rsidP="00902AFF" w14:paraId="5F2E63FC" w14:textId="77777777">
      <w:pPr>
        <w:spacing w:after="0" w:line="240" w:lineRule="auto"/>
        <w:ind w:left="4507"/>
        <w:rPr>
          <w:rFonts w:ascii="Times New Roman" w:eastAsia="Times New Roman" w:hAnsi="Times New Roman" w:cs="Times New Roman"/>
          <w:sz w:val="24"/>
          <w:szCs w:val="24"/>
        </w:rPr>
      </w:pPr>
      <w:r w:rsidRPr="006B3A7D">
        <w:rPr>
          <w:rFonts w:ascii="Times New Roman" w:eastAsia="Times New Roman" w:hAnsi="Times New Roman" w:cs="Times New Roman"/>
          <w:sz w:val="24"/>
          <w:szCs w:val="24"/>
        </w:rPr>
        <w:t>65 East State Street, Suite 700</w:t>
      </w:r>
    </w:p>
    <w:p w:rsidR="006B3A7D" w:rsidRPr="006B3A7D" w:rsidP="00902AFF" w14:paraId="11BE9896" w14:textId="77777777">
      <w:pPr>
        <w:spacing w:after="0" w:line="240" w:lineRule="auto"/>
        <w:ind w:left="4507"/>
        <w:rPr>
          <w:rFonts w:ascii="Times New Roman" w:eastAsia="Times New Roman" w:hAnsi="Times New Roman" w:cs="Times New Roman"/>
          <w:sz w:val="24"/>
          <w:szCs w:val="24"/>
        </w:rPr>
      </w:pPr>
      <w:r w:rsidRPr="006B3A7D">
        <w:rPr>
          <w:rFonts w:ascii="Times New Roman" w:eastAsia="Times New Roman" w:hAnsi="Times New Roman" w:cs="Times New Roman"/>
          <w:sz w:val="24"/>
          <w:szCs w:val="24"/>
        </w:rPr>
        <w:t>Columbus, Ohio 43215</w:t>
      </w:r>
    </w:p>
    <w:p w:rsidR="006B3A7D" w:rsidRPr="006B3A7D" w:rsidP="00902AFF" w14:paraId="57F06465" w14:textId="77777777">
      <w:pPr>
        <w:spacing w:after="0" w:line="240" w:lineRule="auto"/>
        <w:ind w:left="4507"/>
        <w:rPr>
          <w:rFonts w:ascii="Times New Roman" w:eastAsia="Times New Roman" w:hAnsi="Times New Roman" w:cs="Times New Roman"/>
          <w:b/>
          <w:bCs/>
          <w:sz w:val="24"/>
          <w:szCs w:val="24"/>
        </w:rPr>
      </w:pPr>
      <w:r w:rsidRPr="006B3A7D">
        <w:rPr>
          <w:rFonts w:ascii="Times New Roman" w:eastAsia="Times New Roman" w:hAnsi="Times New Roman" w:cs="Times New Roman"/>
          <w:sz w:val="24"/>
          <w:szCs w:val="24"/>
        </w:rPr>
        <w:t>Telephone [O’Brien]: (614) 466-9531</w:t>
      </w:r>
    </w:p>
    <w:p w:rsidR="006B3A7D" w:rsidRPr="006B3A7D" w:rsidP="00902AFF" w14:paraId="3C484F7B" w14:textId="77777777">
      <w:pPr>
        <w:autoSpaceDE w:val="0"/>
        <w:autoSpaceDN w:val="0"/>
        <w:adjustRightInd w:val="0"/>
        <w:spacing w:after="0" w:line="240" w:lineRule="auto"/>
        <w:ind w:left="4507"/>
        <w:contextualSpacing/>
        <w:rPr>
          <w:rFonts w:ascii="Times New Roman" w:eastAsia="Calibri" w:hAnsi="Times New Roman" w:cs="Times New Roman"/>
          <w:sz w:val="24"/>
          <w:szCs w:val="24"/>
        </w:rPr>
      </w:pPr>
      <w:r w:rsidRPr="006B3A7D">
        <w:rPr>
          <w:rFonts w:ascii="Times New Roman" w:eastAsia="Calibri" w:hAnsi="Times New Roman" w:cs="Times New Roman"/>
          <w:sz w:val="24"/>
          <w:szCs w:val="24"/>
        </w:rPr>
        <w:t>Telephone [Finnigan]: (614) 466-9585</w:t>
      </w:r>
    </w:p>
    <w:p w:rsidR="006B3A7D" w:rsidRPr="006B3A7D" w:rsidP="00902AFF" w14:paraId="3D1E04E4" w14:textId="77777777">
      <w:pPr>
        <w:autoSpaceDE w:val="0"/>
        <w:autoSpaceDN w:val="0"/>
        <w:adjustRightInd w:val="0"/>
        <w:spacing w:after="0" w:line="240" w:lineRule="auto"/>
        <w:ind w:left="4507"/>
        <w:contextualSpacing/>
        <w:rPr>
          <w:rFonts w:ascii="Times New Roman" w:eastAsia="Calibri" w:hAnsi="Times New Roman" w:cs="Times New Roman"/>
          <w:color w:val="0000FF"/>
          <w:sz w:val="24"/>
          <w:szCs w:val="24"/>
        </w:rPr>
      </w:pPr>
      <w:hyperlink r:id="rId6" w:history="1">
        <w:r w:rsidRPr="0024134B" w:rsidR="00073C4F">
          <w:rPr>
            <w:rStyle w:val="Hyperlink"/>
            <w:rFonts w:ascii="Times New Roman" w:eastAsia="Calibri" w:hAnsi="Times New Roman" w:cs="Times New Roman"/>
            <w:color w:val="0000FF"/>
            <w:sz w:val="24"/>
            <w:szCs w:val="24"/>
          </w:rPr>
          <w:t>a</w:t>
        </w:r>
        <w:r w:rsidRPr="006B3A7D" w:rsidR="00073C4F">
          <w:rPr>
            <w:rStyle w:val="Hyperlink"/>
            <w:rFonts w:ascii="Times New Roman" w:eastAsia="Calibri" w:hAnsi="Times New Roman" w:cs="Times New Roman"/>
            <w:color w:val="0000FF"/>
            <w:sz w:val="24"/>
            <w:szCs w:val="24"/>
          </w:rPr>
          <w:t>ngela.obrien@occ.ohio.gov</w:t>
        </w:r>
      </w:hyperlink>
    </w:p>
    <w:p w:rsidR="006B3A7D" w:rsidRPr="006B3A7D" w:rsidP="00902AFF" w14:paraId="43AE6530" w14:textId="77777777">
      <w:pPr>
        <w:autoSpaceDE w:val="0"/>
        <w:autoSpaceDN w:val="0"/>
        <w:adjustRightInd w:val="0"/>
        <w:spacing w:after="0" w:line="240" w:lineRule="auto"/>
        <w:ind w:left="4507"/>
        <w:contextualSpacing/>
        <w:rPr>
          <w:rFonts w:ascii="Times New Roman" w:eastAsia="Calibri" w:hAnsi="Times New Roman" w:cs="Times New Roman"/>
          <w:color w:val="0000FF"/>
          <w:sz w:val="24"/>
          <w:szCs w:val="24"/>
        </w:rPr>
      </w:pPr>
      <w:hyperlink r:id="rId7" w:history="1">
        <w:r w:rsidRPr="0024134B" w:rsidR="00073C4F">
          <w:rPr>
            <w:rStyle w:val="Hyperlink"/>
            <w:rFonts w:ascii="Times New Roman" w:eastAsia="Calibri" w:hAnsi="Times New Roman" w:cs="Times New Roman"/>
            <w:color w:val="0000FF"/>
            <w:sz w:val="24"/>
            <w:szCs w:val="24"/>
          </w:rPr>
          <w:t>j</w:t>
        </w:r>
        <w:r w:rsidRPr="006B3A7D" w:rsidR="00073C4F">
          <w:rPr>
            <w:rStyle w:val="Hyperlink"/>
            <w:rFonts w:ascii="Times New Roman" w:eastAsia="Calibri" w:hAnsi="Times New Roman" w:cs="Times New Roman"/>
            <w:color w:val="0000FF"/>
            <w:sz w:val="24"/>
            <w:szCs w:val="24"/>
          </w:rPr>
          <w:t>ohn.finnigan@occ.ohio.gov</w:t>
        </w:r>
      </w:hyperlink>
    </w:p>
    <w:p w:rsidR="006B3A7D" w:rsidRPr="006B3A7D" w:rsidP="00902AFF" w14:paraId="146CAB6C" w14:textId="77777777">
      <w:pPr>
        <w:autoSpaceDE w:val="0"/>
        <w:autoSpaceDN w:val="0"/>
        <w:adjustRightInd w:val="0"/>
        <w:spacing w:after="0" w:line="240" w:lineRule="auto"/>
        <w:ind w:left="4507" w:hanging="4500"/>
        <w:contextualSpacing/>
        <w:rPr>
          <w:rFonts w:ascii="Times New Roman" w:eastAsia="Calibri" w:hAnsi="Times New Roman" w:cs="Times New Roman"/>
          <w:sz w:val="24"/>
          <w:szCs w:val="24"/>
        </w:rPr>
      </w:pPr>
      <w:r w:rsidRPr="0024134B">
        <w:rPr>
          <w:rFonts w:ascii="Times New Roman" w:eastAsia="Calibri" w:hAnsi="Times New Roman" w:cs="Times New Roman"/>
          <w:sz w:val="24"/>
          <w:szCs w:val="24"/>
        </w:rPr>
        <w:tab/>
      </w:r>
      <w:r w:rsidRPr="006B3A7D">
        <w:rPr>
          <w:rFonts w:ascii="Times New Roman" w:eastAsia="Calibri" w:hAnsi="Times New Roman" w:cs="Times New Roman"/>
          <w:sz w:val="24"/>
          <w:szCs w:val="24"/>
        </w:rPr>
        <w:t>(willing to accept service by e-mail)</w:t>
      </w:r>
    </w:p>
    <w:p w:rsidR="00B84FBB" w:rsidP="00022FBE" w14:paraId="27F8FE91" w14:textId="77777777">
      <w:pPr>
        <w:spacing w:after="0" w:line="240" w:lineRule="auto"/>
        <w:jc w:val="center"/>
        <w:rPr>
          <w:rFonts w:ascii="Times New Roman" w:hAnsi="Times New Roman" w:cs="Times New Roman"/>
          <w:b/>
          <w:caps/>
          <w:sz w:val="24"/>
          <w:szCs w:val="24"/>
          <w:u w:val="single"/>
          <w:lang w:eastAsia="ja-JP"/>
        </w:rPr>
      </w:pPr>
    </w:p>
    <w:p w:rsidR="00D6062D" w:rsidP="00022FBE" w14:paraId="164ABA39" w14:textId="77777777">
      <w:pPr>
        <w:spacing w:after="0" w:line="240" w:lineRule="auto"/>
        <w:jc w:val="center"/>
        <w:rPr>
          <w:rFonts w:ascii="Times New Roman" w:hAnsi="Times New Roman" w:cs="Times New Roman"/>
          <w:b/>
          <w:caps/>
          <w:sz w:val="24"/>
          <w:szCs w:val="24"/>
          <w:u w:val="single"/>
          <w:lang w:eastAsia="ja-JP"/>
        </w:rPr>
      </w:pPr>
    </w:p>
    <w:p w:rsidR="00D6062D" w:rsidRPr="00980214" w:rsidP="00980214" w14:paraId="4BD6E35D" w14:textId="77777777">
      <w:pPr>
        <w:spacing w:after="0" w:line="240" w:lineRule="auto"/>
        <w:ind w:left="4500"/>
        <w:rPr>
          <w:rFonts w:ascii="Times New Roman" w:hAnsi="Times New Roman" w:cs="Times New Roman"/>
          <w:sz w:val="24"/>
          <w:szCs w:val="24"/>
        </w:rPr>
      </w:pPr>
      <w:r w:rsidRPr="00980214">
        <w:rPr>
          <w:rFonts w:ascii="Times New Roman" w:hAnsi="Times New Roman" w:cs="Times New Roman"/>
          <w:sz w:val="24"/>
          <w:szCs w:val="24"/>
        </w:rPr>
        <w:t>Brian M. Zets (0066544)</w:t>
      </w:r>
    </w:p>
    <w:p w:rsidR="00D6062D" w:rsidRPr="00980214" w:rsidP="00980214" w14:paraId="0DDD4BA4" w14:textId="77777777">
      <w:pPr>
        <w:spacing w:after="0" w:line="240" w:lineRule="auto"/>
        <w:ind w:left="4500"/>
        <w:rPr>
          <w:rFonts w:ascii="Times New Roman" w:hAnsi="Times New Roman" w:cs="Times New Roman"/>
          <w:b/>
          <w:bCs/>
          <w:sz w:val="24"/>
          <w:szCs w:val="24"/>
        </w:rPr>
      </w:pPr>
      <w:r w:rsidRPr="00980214">
        <w:rPr>
          <w:rFonts w:ascii="Times New Roman" w:hAnsi="Times New Roman" w:cs="Times New Roman"/>
          <w:b/>
          <w:sz w:val="24"/>
          <w:szCs w:val="24"/>
        </w:rPr>
        <w:t>Isaac Wiles &amp; Burkholder, LLC</w:t>
      </w:r>
    </w:p>
    <w:p w:rsidR="00D6062D" w:rsidRPr="00980214" w:rsidP="00980214" w14:paraId="7DAB98C8" w14:textId="77777777">
      <w:pPr>
        <w:spacing w:after="0" w:line="240" w:lineRule="auto"/>
        <w:ind w:left="4500"/>
        <w:rPr>
          <w:rFonts w:ascii="Times New Roman" w:hAnsi="Times New Roman" w:cs="Times New Roman"/>
          <w:b/>
          <w:bCs/>
          <w:sz w:val="24"/>
          <w:szCs w:val="24"/>
        </w:rPr>
      </w:pPr>
      <w:r w:rsidRPr="00980214">
        <w:rPr>
          <w:rFonts w:ascii="Times New Roman" w:hAnsi="Times New Roman" w:cs="Times New Roman"/>
          <w:sz w:val="24"/>
          <w:szCs w:val="24"/>
        </w:rPr>
        <w:t>Two Miranova Place, Suite 700</w:t>
      </w:r>
    </w:p>
    <w:p w:rsidR="00D6062D" w:rsidRPr="00980214" w:rsidP="00980214" w14:paraId="3B11386D" w14:textId="77777777">
      <w:pPr>
        <w:spacing w:after="0" w:line="240" w:lineRule="auto"/>
        <w:ind w:left="4500"/>
        <w:rPr>
          <w:rFonts w:ascii="Times New Roman" w:hAnsi="Times New Roman" w:cs="Times New Roman"/>
          <w:sz w:val="24"/>
          <w:szCs w:val="24"/>
        </w:rPr>
      </w:pPr>
      <w:r w:rsidRPr="00980214">
        <w:rPr>
          <w:rFonts w:ascii="Times New Roman" w:hAnsi="Times New Roman" w:cs="Times New Roman"/>
          <w:sz w:val="24"/>
          <w:szCs w:val="24"/>
        </w:rPr>
        <w:t>Columbus, Ohio 43215</w:t>
      </w:r>
    </w:p>
    <w:p w:rsidR="00D6062D" w:rsidRPr="00980214" w:rsidP="00980214" w14:paraId="1EAE8C89" w14:textId="77777777">
      <w:pPr>
        <w:spacing w:after="0" w:line="240" w:lineRule="auto"/>
        <w:ind w:left="4500"/>
        <w:rPr>
          <w:rFonts w:ascii="Times New Roman" w:hAnsi="Times New Roman" w:cs="Times New Roman"/>
          <w:sz w:val="24"/>
          <w:szCs w:val="24"/>
        </w:rPr>
      </w:pPr>
      <w:r w:rsidRPr="00980214">
        <w:rPr>
          <w:rFonts w:ascii="Times New Roman" w:hAnsi="Times New Roman" w:cs="Times New Roman"/>
          <w:sz w:val="24"/>
          <w:szCs w:val="24"/>
        </w:rPr>
        <w:t>Telephone: (614) 221-2121</w:t>
      </w:r>
    </w:p>
    <w:p w:rsidR="00D6062D" w:rsidRPr="00980214" w:rsidP="00980214" w14:paraId="29521C91" w14:textId="77777777">
      <w:pPr>
        <w:spacing w:after="0" w:line="240" w:lineRule="auto"/>
        <w:ind w:left="4500"/>
        <w:rPr>
          <w:rFonts w:ascii="Times New Roman" w:hAnsi="Times New Roman" w:cs="Times New Roman"/>
          <w:color w:val="0000FF"/>
          <w:sz w:val="24"/>
          <w:szCs w:val="24"/>
        </w:rPr>
      </w:pPr>
      <w:hyperlink r:id="rId8" w:history="1">
        <w:r w:rsidRPr="00980214" w:rsidR="0028073E">
          <w:rPr>
            <w:rStyle w:val="Hyperlink"/>
            <w:rFonts w:ascii="Times New Roman" w:hAnsi="Times New Roman" w:cs="Times New Roman"/>
            <w:color w:val="0000FF"/>
            <w:sz w:val="24"/>
            <w:szCs w:val="24"/>
          </w:rPr>
          <w:t>bzets@isaacwiles.com</w:t>
        </w:r>
      </w:hyperlink>
    </w:p>
    <w:p w:rsidR="00D6062D" w:rsidRPr="00980214" w:rsidP="00980214" w14:paraId="4E1EB460" w14:textId="77777777">
      <w:pPr>
        <w:spacing w:after="0" w:line="240" w:lineRule="auto"/>
        <w:ind w:left="4500" w:hanging="4500"/>
        <w:rPr>
          <w:rFonts w:ascii="Times New Roman" w:hAnsi="Times New Roman" w:cs="Times New Roman"/>
          <w:sz w:val="24"/>
          <w:szCs w:val="24"/>
        </w:rPr>
      </w:pPr>
      <w:r w:rsidRPr="00980214">
        <w:rPr>
          <w:rFonts w:ascii="Times New Roman" w:hAnsi="Times New Roman" w:cs="Times New Roman"/>
          <w:sz w:val="24"/>
          <w:szCs w:val="24"/>
        </w:rPr>
        <w:t xml:space="preserve">July </w:t>
      </w:r>
      <w:r>
        <w:rPr>
          <w:rFonts w:ascii="Times New Roman" w:hAnsi="Times New Roman" w:cs="Times New Roman"/>
          <w:sz w:val="24"/>
          <w:szCs w:val="24"/>
        </w:rPr>
        <w:t>29</w:t>
      </w:r>
      <w:r w:rsidRPr="00980214">
        <w:rPr>
          <w:rFonts w:ascii="Times New Roman" w:hAnsi="Times New Roman" w:cs="Times New Roman"/>
          <w:sz w:val="24"/>
          <w:szCs w:val="24"/>
        </w:rPr>
        <w:t xml:space="preserve">, 2022 </w:t>
      </w:r>
      <w:r w:rsidRPr="00980214">
        <w:rPr>
          <w:rFonts w:ascii="Times New Roman" w:hAnsi="Times New Roman" w:cs="Times New Roman"/>
          <w:sz w:val="24"/>
          <w:szCs w:val="24"/>
        </w:rPr>
        <w:tab/>
        <w:t>(willing to accept service by e-mail)</w:t>
      </w:r>
    </w:p>
    <w:p w:rsidR="00D6062D" w:rsidRPr="0024134B" w:rsidP="00022FBE" w14:paraId="0AFAAE94" w14:textId="77777777">
      <w:pPr>
        <w:spacing w:after="0" w:line="240" w:lineRule="auto"/>
        <w:jc w:val="center"/>
        <w:rPr>
          <w:rFonts w:ascii="Times New Roman" w:hAnsi="Times New Roman" w:cs="Times New Roman"/>
          <w:b/>
          <w:caps/>
          <w:sz w:val="24"/>
          <w:szCs w:val="24"/>
          <w:u w:val="single"/>
          <w:lang w:eastAsia="ja-JP"/>
        </w:rPr>
        <w:sectPr w:rsidSect="00902AFF">
          <w:footerReference w:type="default" r:id="rId9"/>
          <w:type w:val="continuous"/>
          <w:pgSz w:w="12240" w:h="15840"/>
          <w:pgMar w:top="1440" w:right="1800" w:bottom="1440" w:left="1800" w:header="720" w:footer="720" w:gutter="0"/>
          <w:cols w:space="720"/>
          <w:docGrid w:linePitch="360"/>
        </w:sectPr>
      </w:pPr>
    </w:p>
    <w:p w:rsidR="00022FBE" w:rsidRPr="0024134B" w:rsidP="00022FBE" w14:paraId="4E08263A" w14:textId="77777777">
      <w:pPr>
        <w:spacing w:after="0" w:line="240" w:lineRule="auto"/>
        <w:jc w:val="center"/>
        <w:rPr>
          <w:rFonts w:ascii="Times New Roman" w:hAnsi="Times New Roman" w:cs="Times New Roman"/>
          <w:b/>
          <w:caps/>
          <w:sz w:val="24"/>
          <w:szCs w:val="24"/>
          <w:u w:val="single"/>
          <w:lang w:eastAsia="ja-JP"/>
        </w:rPr>
      </w:pPr>
      <w:r w:rsidRPr="0024134B">
        <w:rPr>
          <w:rFonts w:ascii="Times New Roman" w:hAnsi="Times New Roman" w:cs="Times New Roman"/>
          <w:b/>
          <w:caps/>
          <w:sz w:val="24"/>
          <w:szCs w:val="24"/>
          <w:u w:val="single"/>
          <w:lang w:eastAsia="ja-JP"/>
        </w:rPr>
        <w:t>TABLE OF CONTENTS</w:t>
      </w:r>
    </w:p>
    <w:p w:rsidR="009F4C31" w:rsidRPr="0024134B" w:rsidP="009F4C31" w14:paraId="29AF5D55" w14:textId="77777777">
      <w:pPr>
        <w:spacing w:after="0" w:line="240" w:lineRule="auto"/>
        <w:jc w:val="right"/>
        <w:rPr>
          <w:rFonts w:ascii="Times New Roman" w:hAnsi="Times New Roman" w:cs="Times New Roman"/>
          <w:b/>
          <w:caps/>
          <w:sz w:val="24"/>
          <w:szCs w:val="24"/>
          <w:lang w:eastAsia="ja-JP"/>
        </w:rPr>
      </w:pPr>
      <w:r w:rsidRPr="0024134B">
        <w:rPr>
          <w:rFonts w:ascii="Times New Roman" w:hAnsi="Times New Roman" w:cs="Times New Roman"/>
          <w:b/>
          <w:caps/>
          <w:sz w:val="24"/>
          <w:szCs w:val="24"/>
          <w:lang w:eastAsia="ja-JP"/>
        </w:rPr>
        <w:t>PAGE</w:t>
      </w:r>
    </w:p>
    <w:p w:rsidR="00590C91" w:rsidRPr="0024134B" w:rsidP="00ED6C88" w14:paraId="479C4CB0" w14:textId="77777777">
      <w:pPr>
        <w:spacing w:after="0" w:line="240" w:lineRule="auto"/>
        <w:rPr>
          <w:rFonts w:ascii="Times New Roman" w:hAnsi="Times New Roman" w:cs="Times New Roman"/>
          <w:b/>
          <w:caps/>
          <w:sz w:val="24"/>
          <w:szCs w:val="24"/>
          <w:lang w:eastAsia="ja-JP"/>
        </w:rPr>
      </w:pPr>
    </w:p>
    <w:p w:rsidR="00214CF7" w14:paraId="5236C85D" w14:textId="77777777">
      <w:pPr>
        <w:pStyle w:val="TOC1"/>
        <w:rPr>
          <w:rFonts w:asciiTheme="minorHAnsi" w:eastAsiaTheme="minorEastAsia" w:hAnsiTheme="minorHAnsi"/>
          <w:noProof/>
          <w:sz w:val="22"/>
        </w:rPr>
      </w:pPr>
      <w:r>
        <w:rPr>
          <w:rFonts w:eastAsia="Times New Roman" w:cs="Times New Roman"/>
          <w:b/>
          <w:bCs/>
          <w:szCs w:val="24"/>
        </w:rPr>
        <w:fldChar w:fldCharType="begin"/>
      </w:r>
      <w:r>
        <w:rPr>
          <w:rFonts w:eastAsia="Times New Roman" w:cs="Times New Roman"/>
          <w:b/>
          <w:bCs/>
          <w:szCs w:val="24"/>
        </w:rPr>
        <w:instrText xml:space="preserve"> TOC \o "1-3" \h \z \u </w:instrText>
      </w:r>
      <w:r>
        <w:rPr>
          <w:rFonts w:eastAsia="Times New Roman" w:cs="Times New Roman"/>
          <w:b/>
          <w:bCs/>
          <w:szCs w:val="24"/>
        </w:rPr>
        <w:fldChar w:fldCharType="separate"/>
      </w:r>
      <w:hyperlink w:anchor="_Toc110004945" w:history="1">
        <w:r w:rsidRPr="00F43B76">
          <w:rPr>
            <w:rStyle w:val="Hyperlink"/>
            <w:rFonts w:cs="Times New Roman"/>
            <w:noProof/>
          </w:rPr>
          <w:t>I.</w:t>
        </w:r>
        <w:r>
          <w:rPr>
            <w:rFonts w:asciiTheme="minorHAnsi" w:eastAsiaTheme="minorEastAsia" w:hAnsiTheme="minorHAnsi"/>
            <w:noProof/>
            <w:sz w:val="22"/>
          </w:rPr>
          <w:tab/>
        </w:r>
        <w:r w:rsidRPr="00F43B76">
          <w:rPr>
            <w:rStyle w:val="Hyperlink"/>
            <w:rFonts w:cs="Times New Roman"/>
            <w:noProof/>
          </w:rPr>
          <w:t>INTRODUCTION</w:t>
        </w:r>
        <w:r>
          <w:rPr>
            <w:noProof/>
            <w:webHidden/>
          </w:rPr>
          <w:tab/>
        </w:r>
        <w:r>
          <w:rPr>
            <w:noProof/>
            <w:webHidden/>
          </w:rPr>
          <w:fldChar w:fldCharType="begin"/>
        </w:r>
        <w:r>
          <w:rPr>
            <w:noProof/>
            <w:webHidden/>
          </w:rPr>
          <w:instrText xml:space="preserve"> PAGEREF _Toc110004945 \h </w:instrText>
        </w:r>
        <w:r>
          <w:rPr>
            <w:noProof/>
            <w:webHidden/>
          </w:rPr>
          <w:fldChar w:fldCharType="separate"/>
        </w:r>
        <w:r w:rsidR="000748F3">
          <w:rPr>
            <w:noProof/>
            <w:webHidden/>
          </w:rPr>
          <w:t>1</w:t>
        </w:r>
        <w:r>
          <w:rPr>
            <w:noProof/>
            <w:webHidden/>
          </w:rPr>
          <w:fldChar w:fldCharType="end"/>
        </w:r>
      </w:hyperlink>
    </w:p>
    <w:p w:rsidR="00214CF7" w14:paraId="1AB17C1E" w14:textId="77777777">
      <w:pPr>
        <w:pStyle w:val="TOC1"/>
        <w:rPr>
          <w:rFonts w:asciiTheme="minorHAnsi" w:eastAsiaTheme="minorEastAsia" w:hAnsiTheme="minorHAnsi"/>
          <w:noProof/>
          <w:sz w:val="22"/>
        </w:rPr>
      </w:pPr>
      <w:hyperlink w:anchor="_Toc110004946" w:history="1">
        <w:r w:rsidRPr="00F43B76" w:rsidR="0028073E">
          <w:rPr>
            <w:rStyle w:val="Hyperlink"/>
            <w:rFonts w:cs="Times New Roman"/>
            <w:noProof/>
          </w:rPr>
          <w:t>II.</w:t>
        </w:r>
        <w:r w:rsidR="0028073E">
          <w:rPr>
            <w:rFonts w:asciiTheme="minorHAnsi" w:eastAsiaTheme="minorEastAsia" w:hAnsiTheme="minorHAnsi"/>
            <w:noProof/>
            <w:sz w:val="22"/>
          </w:rPr>
          <w:tab/>
        </w:r>
        <w:r w:rsidRPr="00F43B76" w:rsidR="0028073E">
          <w:rPr>
            <w:rStyle w:val="Hyperlink"/>
            <w:rFonts w:cs="Times New Roman"/>
            <w:noProof/>
          </w:rPr>
          <w:t>BACKGROUND</w:t>
        </w:r>
        <w:r w:rsidR="0028073E">
          <w:rPr>
            <w:noProof/>
            <w:webHidden/>
          </w:rPr>
          <w:tab/>
        </w:r>
        <w:r w:rsidR="0028073E">
          <w:rPr>
            <w:noProof/>
            <w:webHidden/>
          </w:rPr>
          <w:fldChar w:fldCharType="begin"/>
        </w:r>
        <w:r w:rsidR="0028073E">
          <w:rPr>
            <w:noProof/>
            <w:webHidden/>
          </w:rPr>
          <w:instrText xml:space="preserve"> PAGEREF _Toc110004946 \h </w:instrText>
        </w:r>
        <w:r w:rsidR="0028073E">
          <w:rPr>
            <w:noProof/>
            <w:webHidden/>
          </w:rPr>
          <w:fldChar w:fldCharType="separate"/>
        </w:r>
        <w:r w:rsidR="000748F3">
          <w:rPr>
            <w:noProof/>
            <w:webHidden/>
          </w:rPr>
          <w:t>5</w:t>
        </w:r>
        <w:r w:rsidR="0028073E">
          <w:rPr>
            <w:noProof/>
            <w:webHidden/>
          </w:rPr>
          <w:fldChar w:fldCharType="end"/>
        </w:r>
      </w:hyperlink>
    </w:p>
    <w:p w:rsidR="00214CF7" w14:paraId="25F346B1" w14:textId="77777777">
      <w:pPr>
        <w:pStyle w:val="TOC2"/>
        <w:rPr>
          <w:rFonts w:asciiTheme="minorHAnsi" w:eastAsiaTheme="minorEastAsia" w:hAnsiTheme="minorHAnsi"/>
          <w:noProof/>
          <w:sz w:val="22"/>
        </w:rPr>
      </w:pPr>
      <w:hyperlink w:anchor="_Toc110004947" w:history="1">
        <w:r w:rsidRPr="00F43B76" w:rsidR="0028073E">
          <w:rPr>
            <w:rStyle w:val="Hyperlink"/>
            <w:rFonts w:cs="Times New Roman"/>
            <w:noProof/>
          </w:rPr>
          <w:t>A.</w:t>
        </w:r>
        <w:r w:rsidR="0028073E">
          <w:rPr>
            <w:rFonts w:asciiTheme="minorHAnsi" w:eastAsiaTheme="minorEastAsia" w:hAnsiTheme="minorHAnsi"/>
            <w:noProof/>
            <w:sz w:val="22"/>
          </w:rPr>
          <w:tab/>
        </w:r>
        <w:r w:rsidRPr="00F43B76" w:rsidR="0028073E">
          <w:rPr>
            <w:rStyle w:val="Hyperlink"/>
            <w:rFonts w:cs="Times New Roman"/>
            <w:noProof/>
          </w:rPr>
          <w:t>The OVEC Plants</w:t>
        </w:r>
        <w:r w:rsidR="0028073E">
          <w:rPr>
            <w:noProof/>
            <w:webHidden/>
          </w:rPr>
          <w:tab/>
        </w:r>
        <w:r w:rsidR="0028073E">
          <w:rPr>
            <w:noProof/>
            <w:webHidden/>
          </w:rPr>
          <w:fldChar w:fldCharType="begin"/>
        </w:r>
        <w:r w:rsidR="0028073E">
          <w:rPr>
            <w:noProof/>
            <w:webHidden/>
          </w:rPr>
          <w:instrText xml:space="preserve"> PAGEREF _Toc110004947 \h </w:instrText>
        </w:r>
        <w:r w:rsidR="0028073E">
          <w:rPr>
            <w:noProof/>
            <w:webHidden/>
          </w:rPr>
          <w:fldChar w:fldCharType="separate"/>
        </w:r>
        <w:r w:rsidR="000748F3">
          <w:rPr>
            <w:noProof/>
            <w:webHidden/>
          </w:rPr>
          <w:t>5</w:t>
        </w:r>
        <w:r w:rsidR="0028073E">
          <w:rPr>
            <w:noProof/>
            <w:webHidden/>
          </w:rPr>
          <w:fldChar w:fldCharType="end"/>
        </w:r>
      </w:hyperlink>
    </w:p>
    <w:p w:rsidR="00214CF7" w14:paraId="00EBCC32" w14:textId="77777777">
      <w:pPr>
        <w:pStyle w:val="TOC2"/>
        <w:rPr>
          <w:rFonts w:asciiTheme="minorHAnsi" w:eastAsiaTheme="minorEastAsia" w:hAnsiTheme="minorHAnsi"/>
          <w:noProof/>
          <w:sz w:val="22"/>
        </w:rPr>
      </w:pPr>
      <w:hyperlink w:anchor="_Toc110004948" w:history="1">
        <w:r w:rsidRPr="00F43B76" w:rsidR="0028073E">
          <w:rPr>
            <w:rStyle w:val="Hyperlink"/>
            <w:rFonts w:cs="Times New Roman"/>
            <w:noProof/>
          </w:rPr>
          <w:t>B.</w:t>
        </w:r>
        <w:r w:rsidR="0028073E">
          <w:rPr>
            <w:rFonts w:asciiTheme="minorHAnsi" w:eastAsiaTheme="minorEastAsia" w:hAnsiTheme="minorHAnsi"/>
            <w:noProof/>
            <w:sz w:val="22"/>
          </w:rPr>
          <w:tab/>
        </w:r>
        <w:r w:rsidRPr="00F43B76" w:rsidR="0028073E">
          <w:rPr>
            <w:rStyle w:val="Hyperlink"/>
            <w:rFonts w:cs="Times New Roman"/>
            <w:noProof/>
          </w:rPr>
          <w:t>Duke’s Inaptly-Named “Price Stabilization Rider” and Audit</w:t>
        </w:r>
        <w:r w:rsidR="0028073E">
          <w:rPr>
            <w:noProof/>
            <w:webHidden/>
          </w:rPr>
          <w:tab/>
        </w:r>
        <w:r w:rsidR="0028073E">
          <w:rPr>
            <w:noProof/>
            <w:webHidden/>
          </w:rPr>
          <w:fldChar w:fldCharType="begin"/>
        </w:r>
        <w:r w:rsidR="0028073E">
          <w:rPr>
            <w:noProof/>
            <w:webHidden/>
          </w:rPr>
          <w:instrText xml:space="preserve"> PAGEREF _Toc110004948 \h </w:instrText>
        </w:r>
        <w:r w:rsidR="0028073E">
          <w:rPr>
            <w:noProof/>
            <w:webHidden/>
          </w:rPr>
          <w:fldChar w:fldCharType="separate"/>
        </w:r>
        <w:r w:rsidR="000748F3">
          <w:rPr>
            <w:noProof/>
            <w:webHidden/>
          </w:rPr>
          <w:t>6</w:t>
        </w:r>
        <w:r w:rsidR="0028073E">
          <w:rPr>
            <w:noProof/>
            <w:webHidden/>
          </w:rPr>
          <w:fldChar w:fldCharType="end"/>
        </w:r>
      </w:hyperlink>
    </w:p>
    <w:p w:rsidR="00214CF7" w14:paraId="7105501C" w14:textId="77777777">
      <w:pPr>
        <w:pStyle w:val="TOC1"/>
        <w:rPr>
          <w:rFonts w:asciiTheme="minorHAnsi" w:eastAsiaTheme="minorEastAsia" w:hAnsiTheme="minorHAnsi"/>
          <w:noProof/>
          <w:sz w:val="22"/>
        </w:rPr>
      </w:pPr>
      <w:hyperlink w:anchor="_Toc110004949" w:history="1">
        <w:r w:rsidRPr="00F43B76" w:rsidR="0028073E">
          <w:rPr>
            <w:rStyle w:val="Hyperlink"/>
            <w:rFonts w:cs="Times New Roman"/>
            <w:noProof/>
          </w:rPr>
          <w:t>III.</w:t>
        </w:r>
        <w:r w:rsidR="0028073E">
          <w:rPr>
            <w:rFonts w:asciiTheme="minorHAnsi" w:eastAsiaTheme="minorEastAsia" w:hAnsiTheme="minorHAnsi"/>
            <w:noProof/>
            <w:sz w:val="22"/>
          </w:rPr>
          <w:tab/>
        </w:r>
        <w:r w:rsidRPr="00F43B76" w:rsidR="0028073E">
          <w:rPr>
            <w:rStyle w:val="Hyperlink"/>
            <w:rFonts w:cs="Times New Roman"/>
            <w:noProof/>
          </w:rPr>
          <w:t>RECOMMENDATIONS</w:t>
        </w:r>
        <w:r w:rsidR="0028073E">
          <w:rPr>
            <w:noProof/>
            <w:webHidden/>
          </w:rPr>
          <w:tab/>
        </w:r>
        <w:r w:rsidR="0028073E">
          <w:rPr>
            <w:noProof/>
            <w:webHidden/>
          </w:rPr>
          <w:fldChar w:fldCharType="begin"/>
        </w:r>
        <w:r w:rsidR="0028073E">
          <w:rPr>
            <w:noProof/>
            <w:webHidden/>
          </w:rPr>
          <w:instrText xml:space="preserve"> PAGEREF _Toc110004949 \h </w:instrText>
        </w:r>
        <w:r w:rsidR="0028073E">
          <w:rPr>
            <w:noProof/>
            <w:webHidden/>
          </w:rPr>
          <w:fldChar w:fldCharType="separate"/>
        </w:r>
        <w:r w:rsidR="000748F3">
          <w:rPr>
            <w:noProof/>
            <w:webHidden/>
          </w:rPr>
          <w:t>8</w:t>
        </w:r>
        <w:r w:rsidR="0028073E">
          <w:rPr>
            <w:noProof/>
            <w:webHidden/>
          </w:rPr>
          <w:fldChar w:fldCharType="end"/>
        </w:r>
      </w:hyperlink>
    </w:p>
    <w:p w:rsidR="00214CF7" w14:paraId="73DF39FB" w14:textId="77777777">
      <w:pPr>
        <w:pStyle w:val="TOC2"/>
        <w:rPr>
          <w:rFonts w:asciiTheme="minorHAnsi" w:eastAsiaTheme="minorEastAsia" w:hAnsiTheme="minorHAnsi"/>
          <w:noProof/>
          <w:sz w:val="22"/>
        </w:rPr>
      </w:pPr>
      <w:hyperlink w:anchor="_Toc110004950" w:history="1">
        <w:r w:rsidRPr="00F43B76" w:rsidR="0028073E">
          <w:rPr>
            <w:rStyle w:val="Hyperlink"/>
            <w:noProof/>
          </w:rPr>
          <w:t>A.</w:t>
        </w:r>
        <w:r w:rsidR="0028073E">
          <w:rPr>
            <w:rFonts w:asciiTheme="minorHAnsi" w:eastAsiaTheme="minorEastAsia" w:hAnsiTheme="minorHAnsi"/>
            <w:noProof/>
            <w:sz w:val="22"/>
          </w:rPr>
          <w:tab/>
        </w:r>
        <w:r w:rsidRPr="00F43B76" w:rsidR="0028073E">
          <w:rPr>
            <w:rStyle w:val="Hyperlink"/>
            <w:noProof/>
          </w:rPr>
          <w:t xml:space="preserve">Duke’s operation of the OVEC units and management of their output during the 2019 audit period was imprudent. The PUCO should </w:t>
        </w:r>
        <w:r w:rsidR="0028073E">
          <w:rPr>
            <w:rStyle w:val="Hyperlink"/>
            <w:noProof/>
          </w:rPr>
          <w:br/>
        </w:r>
        <w:r w:rsidRPr="00F43B76" w:rsidR="0028073E">
          <w:rPr>
            <w:rStyle w:val="Hyperlink"/>
            <w:noProof/>
          </w:rPr>
          <w:t xml:space="preserve">disallow Duke’s $24.6 million in charges to consumers during the </w:t>
        </w:r>
        <w:r w:rsidR="0028073E">
          <w:rPr>
            <w:rStyle w:val="Hyperlink"/>
            <w:noProof/>
          </w:rPr>
          <w:br/>
        </w:r>
        <w:r w:rsidRPr="00F43B76" w:rsidR="0028073E">
          <w:rPr>
            <w:rStyle w:val="Hyperlink"/>
            <w:noProof/>
          </w:rPr>
          <w:t>audit period.</w:t>
        </w:r>
        <w:r w:rsidR="0028073E">
          <w:rPr>
            <w:noProof/>
            <w:webHidden/>
          </w:rPr>
          <w:tab/>
        </w:r>
        <w:r w:rsidR="0028073E">
          <w:rPr>
            <w:noProof/>
            <w:webHidden/>
          </w:rPr>
          <w:fldChar w:fldCharType="begin"/>
        </w:r>
        <w:r w:rsidR="0028073E">
          <w:rPr>
            <w:noProof/>
            <w:webHidden/>
          </w:rPr>
          <w:instrText xml:space="preserve"> PAGEREF _Toc110004950 \h </w:instrText>
        </w:r>
        <w:r w:rsidR="0028073E">
          <w:rPr>
            <w:noProof/>
            <w:webHidden/>
          </w:rPr>
          <w:fldChar w:fldCharType="separate"/>
        </w:r>
        <w:r w:rsidR="000748F3">
          <w:rPr>
            <w:noProof/>
            <w:webHidden/>
          </w:rPr>
          <w:t>9</w:t>
        </w:r>
        <w:r w:rsidR="0028073E">
          <w:rPr>
            <w:noProof/>
            <w:webHidden/>
          </w:rPr>
          <w:fldChar w:fldCharType="end"/>
        </w:r>
      </w:hyperlink>
    </w:p>
    <w:p w:rsidR="00214CF7" w14:paraId="55C048A5" w14:textId="77777777">
      <w:pPr>
        <w:pStyle w:val="TOC2"/>
        <w:rPr>
          <w:rFonts w:asciiTheme="minorHAnsi" w:eastAsiaTheme="minorEastAsia" w:hAnsiTheme="minorHAnsi"/>
          <w:noProof/>
          <w:sz w:val="22"/>
        </w:rPr>
      </w:pPr>
      <w:hyperlink w:anchor="_Toc110004951" w:history="1">
        <w:r w:rsidRPr="00F43B76" w:rsidR="0028073E">
          <w:rPr>
            <w:rStyle w:val="Hyperlink"/>
            <w:rFonts w:cs="Times New Roman"/>
            <w:noProof/>
          </w:rPr>
          <w:t>B.</w:t>
        </w:r>
        <w:r w:rsidR="0028073E">
          <w:rPr>
            <w:rFonts w:asciiTheme="minorHAnsi" w:eastAsiaTheme="minorEastAsia" w:hAnsiTheme="minorHAnsi"/>
            <w:noProof/>
            <w:sz w:val="22"/>
          </w:rPr>
          <w:tab/>
        </w:r>
        <w:r w:rsidRPr="00F43B76" w:rsidR="0028073E">
          <w:rPr>
            <w:rStyle w:val="Hyperlink"/>
            <w:rFonts w:cs="Times New Roman"/>
            <w:noProof/>
          </w:rPr>
          <w:t>Duke’s decision to run the OVEC plants on a “must-run” basis was imprudent.</w:t>
        </w:r>
        <w:r w:rsidR="0028073E">
          <w:rPr>
            <w:noProof/>
            <w:webHidden/>
          </w:rPr>
          <w:tab/>
        </w:r>
        <w:r w:rsidR="0028073E">
          <w:rPr>
            <w:noProof/>
            <w:webHidden/>
          </w:rPr>
          <w:fldChar w:fldCharType="begin"/>
        </w:r>
        <w:r w:rsidR="0028073E">
          <w:rPr>
            <w:noProof/>
            <w:webHidden/>
          </w:rPr>
          <w:instrText xml:space="preserve"> PAGEREF _Toc110004951 \h </w:instrText>
        </w:r>
        <w:r w:rsidR="0028073E">
          <w:rPr>
            <w:noProof/>
            <w:webHidden/>
          </w:rPr>
          <w:fldChar w:fldCharType="separate"/>
        </w:r>
        <w:r w:rsidR="000748F3">
          <w:rPr>
            <w:noProof/>
            <w:webHidden/>
          </w:rPr>
          <w:t>12</w:t>
        </w:r>
        <w:r w:rsidR="0028073E">
          <w:rPr>
            <w:noProof/>
            <w:webHidden/>
          </w:rPr>
          <w:fldChar w:fldCharType="end"/>
        </w:r>
      </w:hyperlink>
    </w:p>
    <w:p w:rsidR="00214CF7" w14:paraId="4CAFC286" w14:textId="77777777">
      <w:pPr>
        <w:pStyle w:val="TOC2"/>
        <w:rPr>
          <w:rFonts w:asciiTheme="minorHAnsi" w:eastAsiaTheme="minorEastAsia" w:hAnsiTheme="minorHAnsi"/>
          <w:noProof/>
          <w:sz w:val="22"/>
        </w:rPr>
      </w:pPr>
      <w:hyperlink w:anchor="_Toc110004952" w:history="1">
        <w:r w:rsidRPr="00F43B76" w:rsidR="0028073E">
          <w:rPr>
            <w:rStyle w:val="Hyperlink"/>
            <w:rFonts w:cs="Times New Roman"/>
            <w:noProof/>
          </w:rPr>
          <w:t>C.</w:t>
        </w:r>
        <w:r w:rsidR="0028073E">
          <w:rPr>
            <w:rFonts w:asciiTheme="minorHAnsi" w:eastAsiaTheme="minorEastAsia" w:hAnsiTheme="minorHAnsi"/>
            <w:noProof/>
            <w:sz w:val="22"/>
          </w:rPr>
          <w:tab/>
        </w:r>
        <w:r w:rsidRPr="00F43B76" w:rsidR="0028073E">
          <w:rPr>
            <w:rStyle w:val="Hyperlink"/>
            <w:rFonts w:cs="Times New Roman"/>
            <w:noProof/>
          </w:rPr>
          <w:t>The Audit Report does not support a finding of prudency.</w:t>
        </w:r>
        <w:r w:rsidR="0028073E">
          <w:rPr>
            <w:noProof/>
            <w:webHidden/>
          </w:rPr>
          <w:tab/>
        </w:r>
        <w:r w:rsidR="0028073E">
          <w:rPr>
            <w:noProof/>
            <w:webHidden/>
          </w:rPr>
          <w:fldChar w:fldCharType="begin"/>
        </w:r>
        <w:r w:rsidR="0028073E">
          <w:rPr>
            <w:noProof/>
            <w:webHidden/>
          </w:rPr>
          <w:instrText xml:space="preserve"> PAGEREF _Toc110004952 \h </w:instrText>
        </w:r>
        <w:r w:rsidR="0028073E">
          <w:rPr>
            <w:noProof/>
            <w:webHidden/>
          </w:rPr>
          <w:fldChar w:fldCharType="separate"/>
        </w:r>
        <w:r w:rsidR="000748F3">
          <w:rPr>
            <w:noProof/>
            <w:webHidden/>
          </w:rPr>
          <w:t>17</w:t>
        </w:r>
        <w:r w:rsidR="0028073E">
          <w:rPr>
            <w:noProof/>
            <w:webHidden/>
          </w:rPr>
          <w:fldChar w:fldCharType="end"/>
        </w:r>
      </w:hyperlink>
    </w:p>
    <w:p w:rsidR="00214CF7" w14:paraId="0DC66DB1" w14:textId="77777777">
      <w:pPr>
        <w:pStyle w:val="TOC2"/>
        <w:rPr>
          <w:rFonts w:asciiTheme="minorHAnsi" w:eastAsiaTheme="minorEastAsia" w:hAnsiTheme="minorHAnsi"/>
          <w:noProof/>
          <w:sz w:val="22"/>
        </w:rPr>
      </w:pPr>
      <w:hyperlink w:anchor="_Toc110004953" w:history="1">
        <w:r w:rsidRPr="00F43B76" w:rsidR="0028073E">
          <w:rPr>
            <w:rStyle w:val="Hyperlink"/>
            <w:noProof/>
          </w:rPr>
          <w:t>D.</w:t>
        </w:r>
        <w:r w:rsidR="0028073E">
          <w:rPr>
            <w:rFonts w:asciiTheme="minorHAnsi" w:eastAsiaTheme="minorEastAsia" w:hAnsiTheme="minorHAnsi"/>
            <w:noProof/>
            <w:sz w:val="22"/>
          </w:rPr>
          <w:tab/>
        </w:r>
        <w:r w:rsidRPr="00F43B76" w:rsidR="0028073E">
          <w:rPr>
            <w:rStyle w:val="Hyperlink"/>
            <w:noProof/>
          </w:rPr>
          <w:t xml:space="preserve">OCC Appeals Attorney Examiner Mathew Sandor’s rulings under </w:t>
        </w:r>
        <w:r w:rsidR="0028073E">
          <w:rPr>
            <w:rStyle w:val="Hyperlink"/>
            <w:noProof/>
          </w:rPr>
          <w:br/>
        </w:r>
        <w:r w:rsidRPr="00F43B76" w:rsidR="0028073E">
          <w:rPr>
            <w:rStyle w:val="Hyperlink"/>
            <w:noProof/>
          </w:rPr>
          <w:t xml:space="preserve">O.A.C. </w:t>
        </w:r>
        <w:r w:rsidRPr="00F43B76" w:rsidR="0028073E">
          <w:rPr>
            <w:rStyle w:val="Hyperlink"/>
            <w:rFonts w:cs="Times New Roman"/>
            <w:noProof/>
          </w:rPr>
          <w:t xml:space="preserve">4901-1-15(F) </w:t>
        </w:r>
        <w:r w:rsidRPr="00F43B76" w:rsidR="0028073E">
          <w:rPr>
            <w:rStyle w:val="Hyperlink"/>
            <w:noProof/>
          </w:rPr>
          <w:t xml:space="preserve">that struck portions of OCC witness Mike </w:t>
        </w:r>
        <w:r w:rsidR="0028073E">
          <w:rPr>
            <w:rStyle w:val="Hyperlink"/>
            <w:noProof/>
          </w:rPr>
          <w:br/>
        </w:r>
        <w:r w:rsidRPr="00F43B76" w:rsidR="0028073E">
          <w:rPr>
            <w:rStyle w:val="Hyperlink"/>
            <w:noProof/>
          </w:rPr>
          <w:t xml:space="preserve">Haugh’s testimony and excluded from evidence a nearly identical </w:t>
        </w:r>
        <w:r w:rsidR="0028073E">
          <w:rPr>
            <w:rStyle w:val="Hyperlink"/>
            <w:noProof/>
          </w:rPr>
          <w:br/>
        </w:r>
        <w:r w:rsidRPr="00F43B76" w:rsidR="0028073E">
          <w:rPr>
            <w:rStyle w:val="Hyperlink"/>
            <w:noProof/>
          </w:rPr>
          <w:t xml:space="preserve">draft AEP Audit Report showing language the PUCO Staff asked the Auditor to remove from its report stating that </w:t>
        </w:r>
        <w:r w:rsidRPr="00F43B76" w:rsidR="0028073E">
          <w:rPr>
            <w:rStyle w:val="Hyperlink"/>
            <w:rFonts w:cs="Times New Roman"/>
            <w:noProof/>
          </w:rPr>
          <w:t xml:space="preserve">“keeping the plants </w:t>
        </w:r>
        <w:r w:rsidR="0028073E">
          <w:rPr>
            <w:rStyle w:val="Hyperlink"/>
            <w:rFonts w:cs="Times New Roman"/>
            <w:noProof/>
          </w:rPr>
          <w:br/>
        </w:r>
        <w:r w:rsidRPr="00F43B76" w:rsidR="0028073E">
          <w:rPr>
            <w:rStyle w:val="Hyperlink"/>
            <w:rFonts w:cs="Times New Roman"/>
            <w:noProof/>
          </w:rPr>
          <w:t>running does not seem to be in the best interests of the ratepayers.’</w:t>
        </w:r>
        <w:r w:rsidR="0028073E">
          <w:rPr>
            <w:noProof/>
            <w:webHidden/>
          </w:rPr>
          <w:tab/>
        </w:r>
        <w:r w:rsidR="0028073E">
          <w:rPr>
            <w:noProof/>
            <w:webHidden/>
          </w:rPr>
          <w:fldChar w:fldCharType="begin"/>
        </w:r>
        <w:r w:rsidR="0028073E">
          <w:rPr>
            <w:noProof/>
            <w:webHidden/>
          </w:rPr>
          <w:instrText xml:space="preserve"> PAGEREF _Toc110004953 \h </w:instrText>
        </w:r>
        <w:r w:rsidR="0028073E">
          <w:rPr>
            <w:noProof/>
            <w:webHidden/>
          </w:rPr>
          <w:fldChar w:fldCharType="separate"/>
        </w:r>
        <w:r w:rsidR="000748F3">
          <w:rPr>
            <w:noProof/>
            <w:webHidden/>
          </w:rPr>
          <w:t>20</w:t>
        </w:r>
        <w:r w:rsidR="0028073E">
          <w:rPr>
            <w:noProof/>
            <w:webHidden/>
          </w:rPr>
          <w:fldChar w:fldCharType="end"/>
        </w:r>
      </w:hyperlink>
    </w:p>
    <w:p w:rsidR="00214CF7" w:rsidRPr="00214CF7" w14:paraId="106ADF11" w14:textId="77777777">
      <w:pPr>
        <w:pStyle w:val="TOC3"/>
        <w:tabs>
          <w:tab w:val="left" w:pos="2160"/>
        </w:tabs>
        <w:rPr>
          <w:rFonts w:asciiTheme="minorHAnsi" w:eastAsiaTheme="minorEastAsia" w:hAnsiTheme="minorHAnsi"/>
          <w:noProof/>
          <w:sz w:val="22"/>
        </w:rPr>
      </w:pPr>
      <w:hyperlink w:anchor="_Toc110004954" w:history="1">
        <w:r w:rsidRPr="00214CF7" w:rsidR="0028073E">
          <w:rPr>
            <w:rStyle w:val="Hyperlink"/>
            <w:rFonts w:cs="Times New Roman"/>
            <w:noProof/>
          </w:rPr>
          <w:t>1.</w:t>
        </w:r>
        <w:r w:rsidRPr="00214CF7" w:rsidR="0028073E">
          <w:rPr>
            <w:rFonts w:asciiTheme="minorHAnsi" w:eastAsiaTheme="minorEastAsia" w:hAnsiTheme="minorHAnsi"/>
            <w:noProof/>
            <w:sz w:val="22"/>
          </w:rPr>
          <w:tab/>
        </w:r>
        <w:r w:rsidRPr="00214CF7" w:rsidR="0028073E">
          <w:rPr>
            <w:rStyle w:val="Hyperlink"/>
            <w:rFonts w:cs="Times New Roman"/>
            <w:noProof/>
          </w:rPr>
          <w:t xml:space="preserve">Attorney Examiner Sandor unreasonably and unlawfully </w:t>
        </w:r>
        <w:r w:rsidR="0028073E">
          <w:rPr>
            <w:rStyle w:val="Hyperlink"/>
            <w:rFonts w:cs="Times New Roman"/>
            <w:noProof/>
          </w:rPr>
          <w:br/>
        </w:r>
        <w:r w:rsidRPr="00214CF7" w:rsidR="0028073E">
          <w:rPr>
            <w:rStyle w:val="Hyperlink"/>
            <w:rFonts w:cs="Times New Roman"/>
            <w:noProof/>
          </w:rPr>
          <w:t xml:space="preserve">a Motion to Strike portions of OCC Witness Haugh’s </w:t>
        </w:r>
        <w:r w:rsidR="0028073E">
          <w:rPr>
            <w:rStyle w:val="Hyperlink"/>
            <w:rFonts w:cs="Times New Roman"/>
            <w:noProof/>
          </w:rPr>
          <w:br/>
        </w:r>
        <w:r w:rsidRPr="00214CF7" w:rsidR="0028073E">
          <w:rPr>
            <w:rStyle w:val="Hyperlink"/>
            <w:rFonts w:cs="Times New Roman"/>
            <w:noProof/>
          </w:rPr>
          <w:t>testimony.</w:t>
        </w:r>
        <w:r w:rsidRPr="00214CF7" w:rsidR="0028073E">
          <w:rPr>
            <w:noProof/>
            <w:webHidden/>
          </w:rPr>
          <w:tab/>
        </w:r>
        <w:r w:rsidRPr="00214CF7" w:rsidR="0028073E">
          <w:rPr>
            <w:noProof/>
            <w:webHidden/>
          </w:rPr>
          <w:fldChar w:fldCharType="begin"/>
        </w:r>
        <w:r w:rsidRPr="00214CF7" w:rsidR="0028073E">
          <w:rPr>
            <w:noProof/>
            <w:webHidden/>
          </w:rPr>
          <w:instrText xml:space="preserve"> PAGEREF _Toc110004954 \h </w:instrText>
        </w:r>
        <w:r w:rsidRPr="00214CF7" w:rsidR="0028073E">
          <w:rPr>
            <w:noProof/>
            <w:webHidden/>
          </w:rPr>
          <w:fldChar w:fldCharType="separate"/>
        </w:r>
        <w:r w:rsidR="000748F3">
          <w:rPr>
            <w:noProof/>
            <w:webHidden/>
          </w:rPr>
          <w:t>21</w:t>
        </w:r>
        <w:r w:rsidRPr="00214CF7" w:rsidR="0028073E">
          <w:rPr>
            <w:noProof/>
            <w:webHidden/>
          </w:rPr>
          <w:fldChar w:fldCharType="end"/>
        </w:r>
      </w:hyperlink>
    </w:p>
    <w:p w:rsidR="00214CF7" w:rsidRPr="00214CF7" w14:paraId="6EFC58C1" w14:textId="77777777">
      <w:pPr>
        <w:pStyle w:val="TOC3"/>
        <w:tabs>
          <w:tab w:val="left" w:pos="2160"/>
        </w:tabs>
        <w:rPr>
          <w:rFonts w:asciiTheme="minorHAnsi" w:eastAsiaTheme="minorEastAsia" w:hAnsiTheme="minorHAnsi"/>
          <w:noProof/>
          <w:sz w:val="22"/>
        </w:rPr>
      </w:pPr>
      <w:hyperlink w:anchor="_Toc110004955" w:history="1">
        <w:r w:rsidRPr="00214CF7" w:rsidR="0028073E">
          <w:rPr>
            <w:rStyle w:val="Hyperlink"/>
            <w:rFonts w:cs="Times New Roman"/>
            <w:noProof/>
          </w:rPr>
          <w:t>2.</w:t>
        </w:r>
        <w:r w:rsidRPr="00214CF7" w:rsidR="0028073E">
          <w:rPr>
            <w:rFonts w:asciiTheme="minorHAnsi" w:eastAsiaTheme="minorEastAsia" w:hAnsiTheme="minorHAnsi"/>
            <w:noProof/>
            <w:sz w:val="22"/>
          </w:rPr>
          <w:tab/>
        </w:r>
        <w:r w:rsidRPr="00214CF7" w:rsidR="0028073E">
          <w:rPr>
            <w:rStyle w:val="Hyperlink"/>
            <w:rFonts w:cs="Times New Roman"/>
            <w:noProof/>
          </w:rPr>
          <w:t xml:space="preserve">Attorney Examiner Sandor unreasonably and unlawfully </w:t>
        </w:r>
        <w:r w:rsidR="0028073E">
          <w:rPr>
            <w:rStyle w:val="Hyperlink"/>
            <w:rFonts w:cs="Times New Roman"/>
            <w:noProof/>
          </w:rPr>
          <w:br/>
        </w:r>
        <w:r w:rsidRPr="00214CF7" w:rsidR="0028073E">
          <w:rPr>
            <w:rStyle w:val="Hyperlink"/>
            <w:rFonts w:cs="Times New Roman"/>
            <w:noProof/>
          </w:rPr>
          <w:t xml:space="preserve">denied the admission of a copy of the draft AEP Audit Report </w:t>
        </w:r>
        <w:r w:rsidR="0028073E">
          <w:rPr>
            <w:rStyle w:val="Hyperlink"/>
            <w:rFonts w:cs="Times New Roman"/>
            <w:noProof/>
          </w:rPr>
          <w:br/>
        </w:r>
        <w:r w:rsidRPr="00214CF7" w:rsidR="0028073E">
          <w:rPr>
            <w:rStyle w:val="Hyperlink"/>
            <w:rFonts w:cs="Times New Roman"/>
            <w:noProof/>
          </w:rPr>
          <w:t>into evidence.</w:t>
        </w:r>
        <w:r w:rsidRPr="00214CF7" w:rsidR="0028073E">
          <w:rPr>
            <w:noProof/>
            <w:webHidden/>
          </w:rPr>
          <w:tab/>
        </w:r>
        <w:r w:rsidRPr="00214CF7" w:rsidR="0028073E">
          <w:rPr>
            <w:noProof/>
            <w:webHidden/>
          </w:rPr>
          <w:fldChar w:fldCharType="begin"/>
        </w:r>
        <w:r w:rsidRPr="00214CF7" w:rsidR="0028073E">
          <w:rPr>
            <w:noProof/>
            <w:webHidden/>
          </w:rPr>
          <w:instrText xml:space="preserve"> PAGEREF _Toc110004955 \h </w:instrText>
        </w:r>
        <w:r w:rsidRPr="00214CF7" w:rsidR="0028073E">
          <w:rPr>
            <w:noProof/>
            <w:webHidden/>
          </w:rPr>
          <w:fldChar w:fldCharType="separate"/>
        </w:r>
        <w:r w:rsidR="000748F3">
          <w:rPr>
            <w:noProof/>
            <w:webHidden/>
          </w:rPr>
          <w:t>22</w:t>
        </w:r>
        <w:r w:rsidRPr="00214CF7" w:rsidR="0028073E">
          <w:rPr>
            <w:noProof/>
            <w:webHidden/>
          </w:rPr>
          <w:fldChar w:fldCharType="end"/>
        </w:r>
      </w:hyperlink>
    </w:p>
    <w:p w:rsidR="00214CF7" w14:paraId="61E5CC30" w14:textId="77777777">
      <w:pPr>
        <w:pStyle w:val="TOC1"/>
        <w:rPr>
          <w:rFonts w:asciiTheme="minorHAnsi" w:eastAsiaTheme="minorEastAsia" w:hAnsiTheme="minorHAnsi"/>
          <w:noProof/>
          <w:sz w:val="22"/>
        </w:rPr>
      </w:pPr>
      <w:hyperlink w:anchor="_Toc110004956" w:history="1">
        <w:r w:rsidRPr="00F43B76" w:rsidR="0028073E">
          <w:rPr>
            <w:rStyle w:val="Hyperlink"/>
            <w:rFonts w:cs="Times New Roman"/>
            <w:noProof/>
          </w:rPr>
          <w:t>IV.</w:t>
        </w:r>
        <w:r w:rsidR="0028073E">
          <w:rPr>
            <w:rFonts w:asciiTheme="minorHAnsi" w:eastAsiaTheme="minorEastAsia" w:hAnsiTheme="minorHAnsi"/>
            <w:noProof/>
            <w:sz w:val="22"/>
          </w:rPr>
          <w:tab/>
        </w:r>
        <w:r w:rsidRPr="00F43B76" w:rsidR="0028073E">
          <w:rPr>
            <w:rStyle w:val="Hyperlink"/>
            <w:rFonts w:cs="Times New Roman"/>
            <w:noProof/>
          </w:rPr>
          <w:t>CONCLUSION</w:t>
        </w:r>
        <w:r w:rsidR="0028073E">
          <w:rPr>
            <w:noProof/>
            <w:webHidden/>
          </w:rPr>
          <w:tab/>
        </w:r>
        <w:r w:rsidR="0028073E">
          <w:rPr>
            <w:noProof/>
            <w:webHidden/>
          </w:rPr>
          <w:fldChar w:fldCharType="begin"/>
        </w:r>
        <w:r w:rsidR="0028073E">
          <w:rPr>
            <w:noProof/>
            <w:webHidden/>
          </w:rPr>
          <w:instrText xml:space="preserve"> PAGEREF _Toc110004956 \h </w:instrText>
        </w:r>
        <w:r w:rsidR="0028073E">
          <w:rPr>
            <w:noProof/>
            <w:webHidden/>
          </w:rPr>
          <w:fldChar w:fldCharType="separate"/>
        </w:r>
        <w:r w:rsidR="000748F3">
          <w:rPr>
            <w:noProof/>
            <w:webHidden/>
          </w:rPr>
          <w:t>23</w:t>
        </w:r>
        <w:r w:rsidR="0028073E">
          <w:rPr>
            <w:noProof/>
            <w:webHidden/>
          </w:rPr>
          <w:fldChar w:fldCharType="end"/>
        </w:r>
      </w:hyperlink>
    </w:p>
    <w:p w:rsidR="00F702C7" w:rsidRPr="0024134B" w:rsidP="009F4C31" w14:paraId="47D732D1" w14:textId="77777777">
      <w:pPr>
        <w:spacing w:after="0" w:line="240" w:lineRule="auto"/>
        <w:jc w:val="right"/>
        <w:rPr>
          <w:rFonts w:ascii="Times New Roman" w:hAnsi="Times New Roman" w:cs="Times New Roman"/>
          <w:b/>
          <w:caps/>
          <w:sz w:val="24"/>
          <w:szCs w:val="24"/>
          <w:lang w:eastAsia="ja-JP"/>
        </w:rPr>
      </w:pPr>
      <w:r>
        <w:rPr>
          <w:rFonts w:ascii="Times New Roman" w:eastAsia="Times New Roman" w:hAnsi="Times New Roman" w:cs="Times New Roman"/>
          <w:b/>
          <w:bCs/>
          <w:sz w:val="24"/>
          <w:szCs w:val="24"/>
        </w:rPr>
        <w:fldChar w:fldCharType="end"/>
      </w:r>
    </w:p>
    <w:p w:rsidR="005E7577" w:rsidRPr="0024134B" w:rsidP="00E218A6" w14:paraId="25C54C8D" w14:textId="77777777">
      <w:pPr>
        <w:spacing w:after="0"/>
        <w:jc w:val="both"/>
        <w:rPr>
          <w:rFonts w:ascii="Times New Roman" w:hAnsi="Times New Roman" w:cs="Times New Roman"/>
          <w:sz w:val="24"/>
          <w:szCs w:val="24"/>
        </w:rPr>
      </w:pPr>
    </w:p>
    <w:p w:rsidR="0097365F" w:rsidRPr="0024134B" w14:paraId="1D1681C9" w14:textId="77777777">
      <w:pPr>
        <w:rPr>
          <w:rFonts w:ascii="Times New Roman" w:hAnsi="Times New Roman" w:cs="Times New Roman"/>
          <w:sz w:val="24"/>
          <w:szCs w:val="24"/>
        </w:rPr>
      </w:pPr>
    </w:p>
    <w:p w:rsidR="005E7577" w:rsidRPr="0024134B" w:rsidP="005E7577" w14:paraId="037DB738" w14:textId="77777777">
      <w:pPr>
        <w:spacing w:after="0"/>
        <w:jc w:val="both"/>
        <w:rPr>
          <w:rFonts w:ascii="Times New Roman" w:hAnsi="Times New Roman" w:cs="Times New Roman"/>
          <w:sz w:val="24"/>
          <w:szCs w:val="24"/>
        </w:rPr>
        <w:sectPr w:rsidSect="00902AFF">
          <w:footerReference w:type="default" r:id="rId10"/>
          <w:pgSz w:w="12240" w:h="15840"/>
          <w:pgMar w:top="1440" w:right="1800" w:bottom="1440" w:left="1800" w:header="720" w:footer="720" w:gutter="0"/>
          <w:pgNumType w:fmt="lowerRoman" w:start="1"/>
          <w:cols w:space="720"/>
          <w:docGrid w:linePitch="360"/>
        </w:sectPr>
      </w:pPr>
    </w:p>
    <w:p w:rsidR="004A40C9" w:rsidRPr="0024134B" w:rsidP="004A40C9" w14:paraId="08EA7F7E" w14:textId="77777777">
      <w:pPr>
        <w:spacing w:after="0" w:line="240" w:lineRule="auto"/>
        <w:jc w:val="center"/>
        <w:rPr>
          <w:rFonts w:ascii="Times New Roman" w:eastAsia="Times New Roman" w:hAnsi="Times New Roman" w:cs="Times New Roman"/>
          <w:b/>
          <w:sz w:val="24"/>
          <w:szCs w:val="24"/>
        </w:rPr>
      </w:pPr>
      <w:bookmarkStart w:id="0" w:name="_Toc108179589"/>
      <w:r w:rsidRPr="0024134B">
        <w:rPr>
          <w:rFonts w:ascii="Times New Roman" w:eastAsia="Times New Roman" w:hAnsi="Times New Roman" w:cs="Times New Roman"/>
          <w:b/>
          <w:sz w:val="24"/>
          <w:szCs w:val="24"/>
        </w:rPr>
        <w:t>BEFORE</w:t>
      </w:r>
    </w:p>
    <w:p w:rsidR="004A40C9" w:rsidRPr="0024134B" w:rsidP="004A40C9" w14:paraId="2729B554" w14:textId="77777777">
      <w:pPr>
        <w:spacing w:after="0" w:line="240" w:lineRule="auto"/>
        <w:jc w:val="center"/>
        <w:rPr>
          <w:rFonts w:ascii="Times New Roman" w:eastAsia="Times New Roman" w:hAnsi="Times New Roman" w:cs="Times New Roman"/>
          <w:b/>
          <w:sz w:val="24"/>
          <w:szCs w:val="24"/>
        </w:rPr>
      </w:pPr>
      <w:r w:rsidRPr="0024134B">
        <w:rPr>
          <w:rFonts w:ascii="Times New Roman" w:eastAsia="Times New Roman" w:hAnsi="Times New Roman" w:cs="Times New Roman"/>
          <w:b/>
          <w:sz w:val="24"/>
          <w:szCs w:val="24"/>
        </w:rPr>
        <w:t>THE PUBLIC UTILITIES COMMISSION OF OHIO</w:t>
      </w:r>
    </w:p>
    <w:p w:rsidR="004A40C9" w:rsidRPr="0024134B" w:rsidP="004A40C9" w14:paraId="061E25F8" w14:textId="77777777">
      <w:pPr>
        <w:spacing w:after="0" w:line="240" w:lineRule="auto"/>
        <w:rPr>
          <w:rFonts w:ascii="Times New Roman" w:eastAsia="Times New Roman" w:hAnsi="Times New Roman" w:cs="Times New Roman"/>
          <w:sz w:val="24"/>
          <w:szCs w:val="24"/>
        </w:rPr>
      </w:pPr>
    </w:p>
    <w:tbl>
      <w:tblPr>
        <w:tblW w:w="8550" w:type="dxa"/>
        <w:tblLook w:val="01E0"/>
      </w:tblPr>
      <w:tblGrid>
        <w:gridCol w:w="4230"/>
        <w:gridCol w:w="540"/>
        <w:gridCol w:w="3780"/>
      </w:tblGrid>
      <w:tr w14:paraId="77272562" w14:textId="77777777" w:rsidTr="00980214">
        <w:tblPrEx>
          <w:tblW w:w="8550" w:type="dxa"/>
          <w:tblLook w:val="01E0"/>
        </w:tblPrEx>
        <w:trPr>
          <w:trHeight w:val="807"/>
        </w:trPr>
        <w:tc>
          <w:tcPr>
            <w:tcW w:w="4230" w:type="dxa"/>
            <w:shd w:val="clear" w:color="auto" w:fill="auto"/>
          </w:tcPr>
          <w:p w:rsidR="004A40C9" w:rsidRPr="0024134B" w:rsidP="00F63409" w14:paraId="4DA35563"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Times New Roman"/>
                <w:sz w:val="24"/>
                <w:szCs w:val="24"/>
              </w:rPr>
            </w:pPr>
            <w:r w:rsidRPr="0024134B">
              <w:rPr>
                <w:rFonts w:ascii="Times New Roman" w:eastAsia="Courier New" w:hAnsi="Times New Roman" w:cs="Times New Roman"/>
                <w:sz w:val="24"/>
                <w:szCs w:val="24"/>
              </w:rPr>
              <w:t>In the Matter of the Review of the Reconciliation Rider of Duke Energy Ohio, Inc.</w:t>
            </w:r>
          </w:p>
        </w:tc>
        <w:tc>
          <w:tcPr>
            <w:tcW w:w="540" w:type="dxa"/>
            <w:shd w:val="clear" w:color="auto" w:fill="auto"/>
          </w:tcPr>
          <w:p w:rsidR="004A40C9" w:rsidRPr="0024134B" w:rsidP="00F63409" w14:paraId="0E0F9CF2"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Times New Roman"/>
                <w:sz w:val="24"/>
                <w:szCs w:val="24"/>
              </w:rPr>
            </w:pPr>
            <w:r w:rsidRPr="0024134B">
              <w:rPr>
                <w:rFonts w:ascii="Times New Roman" w:eastAsia="Courier New" w:hAnsi="Times New Roman" w:cs="Times New Roman"/>
                <w:sz w:val="24"/>
                <w:szCs w:val="24"/>
              </w:rPr>
              <w:t>)</w:t>
            </w:r>
          </w:p>
          <w:p w:rsidR="004A40C9" w:rsidRPr="0024134B" w:rsidP="00F63409" w14:paraId="0804AB90"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Times New Roman"/>
                <w:sz w:val="24"/>
                <w:szCs w:val="24"/>
              </w:rPr>
            </w:pPr>
            <w:r w:rsidRPr="0024134B">
              <w:rPr>
                <w:rFonts w:ascii="Times New Roman" w:eastAsia="Courier New" w:hAnsi="Times New Roman" w:cs="Times New Roman"/>
                <w:sz w:val="24"/>
                <w:szCs w:val="24"/>
              </w:rPr>
              <w:t>)</w:t>
            </w:r>
          </w:p>
          <w:p w:rsidR="004A40C9" w:rsidRPr="0024134B" w:rsidP="00F63409" w14:paraId="363656E8"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Times New Roman"/>
                <w:sz w:val="24"/>
                <w:szCs w:val="24"/>
              </w:rPr>
            </w:pPr>
            <w:r w:rsidRPr="0024134B">
              <w:rPr>
                <w:rFonts w:ascii="Times New Roman" w:eastAsia="Courier New" w:hAnsi="Times New Roman" w:cs="Times New Roman"/>
                <w:sz w:val="24"/>
                <w:szCs w:val="24"/>
              </w:rPr>
              <w:t>)</w:t>
            </w:r>
          </w:p>
        </w:tc>
        <w:tc>
          <w:tcPr>
            <w:tcW w:w="3780" w:type="dxa"/>
            <w:shd w:val="clear" w:color="auto" w:fill="auto"/>
          </w:tcPr>
          <w:p w:rsidR="004A40C9" w:rsidRPr="0024134B" w:rsidP="00F63409" w14:paraId="5DB0C078"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Times New Roman"/>
                <w:sz w:val="24"/>
                <w:szCs w:val="24"/>
              </w:rPr>
            </w:pPr>
          </w:p>
          <w:p w:rsidR="004A40C9" w:rsidRPr="0024134B" w:rsidP="00F63409" w14:paraId="60D4B2A7"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Times New Roman"/>
                <w:sz w:val="24"/>
                <w:szCs w:val="24"/>
              </w:rPr>
            </w:pPr>
            <w:r w:rsidRPr="0024134B">
              <w:rPr>
                <w:rFonts w:ascii="Times New Roman" w:eastAsia="Courier New" w:hAnsi="Times New Roman" w:cs="Times New Roman"/>
                <w:sz w:val="24"/>
                <w:szCs w:val="24"/>
              </w:rPr>
              <w:t xml:space="preserve"> Case No. 20-167-EL-RDR</w:t>
            </w:r>
          </w:p>
          <w:p w:rsidR="004A40C9" w:rsidRPr="0024134B" w:rsidP="00F63409" w14:paraId="5AD6A28F"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Times New Roman"/>
                <w:sz w:val="24"/>
                <w:szCs w:val="24"/>
              </w:rPr>
            </w:pPr>
          </w:p>
        </w:tc>
      </w:tr>
    </w:tbl>
    <w:p w:rsidR="004A40C9" w:rsidRPr="0024134B" w:rsidP="004A40C9" w14:paraId="33D20DD9" w14:textId="77777777">
      <w:pPr>
        <w:spacing w:after="0" w:line="240" w:lineRule="auto"/>
        <w:rPr>
          <w:rFonts w:ascii="Times New Roman" w:eastAsia="Times New Roman" w:hAnsi="Times New Roman" w:cs="Times New Roman"/>
          <w:sz w:val="24"/>
          <w:szCs w:val="24"/>
        </w:rPr>
      </w:pPr>
    </w:p>
    <w:p w:rsidR="004A40C9" w:rsidRPr="0024134B" w:rsidP="004A40C9" w14:paraId="1C6A1161" w14:textId="77777777">
      <w:pPr>
        <w:pBdr>
          <w:top w:val="single" w:sz="12" w:space="1" w:color="auto"/>
        </w:pBdr>
        <w:spacing w:after="0" w:line="240" w:lineRule="auto"/>
        <w:rPr>
          <w:rFonts w:ascii="Times New Roman" w:eastAsia="Times New Roman" w:hAnsi="Times New Roman" w:cs="Times New Roman"/>
          <w:sz w:val="24"/>
          <w:szCs w:val="24"/>
        </w:rPr>
      </w:pPr>
    </w:p>
    <w:p w:rsidR="004A40C9" w:rsidRPr="0024134B" w:rsidP="004A40C9" w14:paraId="2C297E05" w14:textId="77777777">
      <w:pPr>
        <w:spacing w:after="0" w:line="240" w:lineRule="auto"/>
        <w:jc w:val="center"/>
        <w:rPr>
          <w:rFonts w:ascii="Times New Roman" w:eastAsia="Times New Roman" w:hAnsi="Times New Roman" w:cs="Times New Roman"/>
          <w:b/>
          <w:sz w:val="24"/>
          <w:szCs w:val="24"/>
        </w:rPr>
      </w:pPr>
      <w:r w:rsidRPr="0024134B">
        <w:rPr>
          <w:rFonts w:ascii="Times New Roman" w:eastAsia="Times New Roman" w:hAnsi="Times New Roman" w:cs="Times New Roman"/>
          <w:b/>
          <w:sz w:val="24"/>
          <w:szCs w:val="24"/>
        </w:rPr>
        <w:t>INITIAL BRIEF</w:t>
      </w:r>
    </w:p>
    <w:p w:rsidR="004A40C9" w:rsidRPr="0024134B" w:rsidP="004A40C9" w14:paraId="4ED4601B" w14:textId="77777777">
      <w:pPr>
        <w:spacing w:after="0" w:line="240" w:lineRule="auto"/>
        <w:jc w:val="center"/>
        <w:rPr>
          <w:rFonts w:ascii="Times New Roman" w:eastAsia="Times New Roman" w:hAnsi="Times New Roman" w:cs="Times New Roman"/>
          <w:b/>
          <w:sz w:val="24"/>
          <w:szCs w:val="24"/>
        </w:rPr>
      </w:pPr>
      <w:r w:rsidRPr="0024134B">
        <w:rPr>
          <w:rFonts w:ascii="Times New Roman" w:eastAsia="Times New Roman" w:hAnsi="Times New Roman" w:cs="Times New Roman"/>
          <w:b/>
          <w:sz w:val="24"/>
          <w:szCs w:val="24"/>
        </w:rPr>
        <w:t>BY</w:t>
      </w:r>
    </w:p>
    <w:p w:rsidR="004A40C9" w:rsidRPr="0024134B" w:rsidP="004A40C9" w14:paraId="4477C0ED" w14:textId="77777777">
      <w:pPr>
        <w:spacing w:after="0" w:line="240" w:lineRule="auto"/>
        <w:jc w:val="center"/>
        <w:rPr>
          <w:rFonts w:ascii="Times New Roman" w:eastAsia="Times New Roman" w:hAnsi="Times New Roman" w:cs="Times New Roman"/>
          <w:b/>
          <w:sz w:val="24"/>
          <w:szCs w:val="24"/>
        </w:rPr>
      </w:pPr>
      <w:r w:rsidRPr="0024134B">
        <w:rPr>
          <w:rFonts w:ascii="Times New Roman" w:eastAsia="Times New Roman" w:hAnsi="Times New Roman" w:cs="Times New Roman"/>
          <w:b/>
          <w:sz w:val="24"/>
          <w:szCs w:val="24"/>
        </w:rPr>
        <w:t>OFFICE OF THE OHIO CONSUMERS’ COUNSEL</w:t>
      </w:r>
    </w:p>
    <w:p w:rsidR="004A40C9" w:rsidRPr="0024134B" w:rsidP="004A40C9" w14:paraId="41312B20" w14:textId="77777777">
      <w:pPr>
        <w:pBdr>
          <w:bottom w:val="single" w:sz="12" w:space="1" w:color="auto"/>
        </w:pBdr>
        <w:spacing w:after="0" w:line="240" w:lineRule="auto"/>
        <w:rPr>
          <w:rFonts w:ascii="Times New Roman" w:eastAsia="Times New Roman" w:hAnsi="Times New Roman" w:cs="Times New Roman"/>
          <w:sz w:val="24"/>
          <w:szCs w:val="24"/>
        </w:rPr>
      </w:pPr>
    </w:p>
    <w:p w:rsidR="004A40C9" w:rsidRPr="0024134B" w:rsidP="004A40C9" w14:paraId="16503B1A" w14:textId="77777777">
      <w:pPr>
        <w:spacing w:after="0" w:line="240" w:lineRule="auto"/>
        <w:rPr>
          <w:rFonts w:ascii="Times New Roman" w:eastAsia="Times New Roman" w:hAnsi="Times New Roman" w:cs="Times New Roman"/>
          <w:sz w:val="24"/>
          <w:szCs w:val="24"/>
        </w:rPr>
      </w:pPr>
    </w:p>
    <w:p w:rsidR="006A7BCC" w:rsidRPr="0024134B" w:rsidP="00E218A6" w14:paraId="1EF80B12" w14:textId="77777777">
      <w:pPr>
        <w:pStyle w:val="Heading1"/>
        <w:rPr>
          <w:rFonts w:cs="Times New Roman"/>
        </w:rPr>
      </w:pPr>
      <w:bookmarkStart w:id="1" w:name="_Toc109294640"/>
      <w:bookmarkStart w:id="2" w:name="_Toc110004945"/>
      <w:r w:rsidRPr="0024134B">
        <w:rPr>
          <w:rFonts w:cs="Times New Roman"/>
        </w:rPr>
        <w:t>INTRODUCTION</w:t>
      </w:r>
      <w:bookmarkEnd w:id="1"/>
      <w:bookmarkEnd w:id="2"/>
    </w:p>
    <w:p w:rsidR="00421244" w:rsidP="00AE1673" w14:paraId="2CCD74FA" w14:textId="77777777">
      <w:pPr>
        <w:spacing w:after="0" w:line="480" w:lineRule="auto"/>
        <w:ind w:firstLine="720"/>
        <w:rPr>
          <w:rFonts w:ascii="Times New Roman" w:hAnsi="Times New Roman" w:cs="Times New Roman"/>
          <w:sz w:val="24"/>
          <w:szCs w:val="24"/>
        </w:rPr>
      </w:pPr>
      <w:bookmarkStart w:id="3" w:name="_Toc109294641"/>
      <w:r>
        <w:rPr>
          <w:rFonts w:ascii="Times New Roman" w:hAnsi="Times New Roman" w:cs="Times New Roman"/>
          <w:sz w:val="24"/>
          <w:szCs w:val="24"/>
        </w:rPr>
        <w:t xml:space="preserve">Duke’s bailout for its </w:t>
      </w:r>
      <w:r w:rsidR="00C51150">
        <w:rPr>
          <w:rFonts w:ascii="Times New Roman" w:hAnsi="Times New Roman" w:cs="Times New Roman"/>
          <w:sz w:val="24"/>
          <w:szCs w:val="24"/>
        </w:rPr>
        <w:t xml:space="preserve">Ohio </w:t>
      </w:r>
      <w:r w:rsidR="00D16CFC">
        <w:rPr>
          <w:rFonts w:ascii="Times New Roman" w:hAnsi="Times New Roman" w:cs="Times New Roman"/>
          <w:sz w:val="24"/>
          <w:szCs w:val="24"/>
        </w:rPr>
        <w:t>Valley Electric Corporation (“</w:t>
      </w:r>
      <w:r>
        <w:rPr>
          <w:rFonts w:ascii="Times New Roman" w:hAnsi="Times New Roman" w:cs="Times New Roman"/>
          <w:sz w:val="24"/>
          <w:szCs w:val="24"/>
        </w:rPr>
        <w:t>OVEC</w:t>
      </w:r>
      <w:r w:rsidR="00D16CFC">
        <w:rPr>
          <w:rFonts w:ascii="Times New Roman" w:hAnsi="Times New Roman" w:cs="Times New Roman"/>
          <w:sz w:val="24"/>
          <w:szCs w:val="24"/>
        </w:rPr>
        <w:t>”)</w:t>
      </w:r>
      <w:r>
        <w:rPr>
          <w:rFonts w:ascii="Times New Roman" w:hAnsi="Times New Roman" w:cs="Times New Roman"/>
          <w:sz w:val="24"/>
          <w:szCs w:val="24"/>
        </w:rPr>
        <w:t xml:space="preserve"> coal plants is being exposed as more of </w:t>
      </w:r>
      <w:r w:rsidR="00752904">
        <w:rPr>
          <w:rFonts w:ascii="Times New Roman" w:hAnsi="Times New Roman" w:cs="Times New Roman"/>
          <w:sz w:val="24"/>
          <w:szCs w:val="24"/>
        </w:rPr>
        <w:t xml:space="preserve">a </w:t>
      </w:r>
      <w:r>
        <w:rPr>
          <w:rFonts w:ascii="Times New Roman" w:hAnsi="Times New Roman" w:cs="Times New Roman"/>
          <w:sz w:val="24"/>
          <w:szCs w:val="24"/>
        </w:rPr>
        <w:t>hoax on consumers than the purported “hedge” for alleged consumer benefits. Proper ratemaking has been left by the wayside.</w:t>
      </w:r>
      <w:r w:rsidR="0071095E">
        <w:rPr>
          <w:rFonts w:ascii="Times New Roman" w:hAnsi="Times New Roman" w:cs="Times New Roman"/>
          <w:sz w:val="24"/>
          <w:szCs w:val="24"/>
        </w:rPr>
        <w:t xml:space="preserve"> </w:t>
      </w:r>
    </w:p>
    <w:p w:rsidR="00255577" w:rsidP="00AE1673" w14:paraId="610D6094" w14:textId="77777777">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PUCO </w:t>
      </w:r>
      <w:r w:rsidR="00E00664">
        <w:rPr>
          <w:rFonts w:ascii="Times New Roman" w:hAnsi="Times New Roman" w:cs="Times New Roman"/>
          <w:sz w:val="24"/>
          <w:szCs w:val="24"/>
        </w:rPr>
        <w:t>A</w:t>
      </w:r>
      <w:r w:rsidR="0071095E">
        <w:rPr>
          <w:rFonts w:ascii="Times New Roman" w:hAnsi="Times New Roman" w:cs="Times New Roman"/>
          <w:sz w:val="24"/>
          <w:szCs w:val="24"/>
        </w:rPr>
        <w:t>uditor</w:t>
      </w:r>
      <w:r>
        <w:rPr>
          <w:rFonts w:ascii="Times New Roman" w:hAnsi="Times New Roman" w:cs="Times New Roman"/>
          <w:sz w:val="24"/>
          <w:szCs w:val="24"/>
        </w:rPr>
        <w:t xml:space="preserve"> London Economics</w:t>
      </w:r>
      <w:r w:rsidR="0071095E">
        <w:rPr>
          <w:rFonts w:ascii="Times New Roman" w:hAnsi="Times New Roman" w:cs="Times New Roman"/>
          <w:sz w:val="24"/>
          <w:szCs w:val="24"/>
        </w:rPr>
        <w:t xml:space="preserve"> </w:t>
      </w:r>
      <w:r w:rsidR="00A16A56">
        <w:rPr>
          <w:rFonts w:ascii="Times New Roman" w:hAnsi="Times New Roman" w:cs="Times New Roman"/>
          <w:sz w:val="24"/>
          <w:szCs w:val="24"/>
        </w:rPr>
        <w:t xml:space="preserve">International, Inc. (“LEI”) </w:t>
      </w:r>
      <w:r w:rsidR="0071095E">
        <w:rPr>
          <w:rFonts w:ascii="Times New Roman" w:hAnsi="Times New Roman" w:cs="Times New Roman"/>
          <w:sz w:val="24"/>
          <w:szCs w:val="24"/>
        </w:rPr>
        <w:t xml:space="preserve">performed separate, but </w:t>
      </w:r>
      <w:r w:rsidR="00215F93">
        <w:rPr>
          <w:rFonts w:ascii="Times New Roman" w:hAnsi="Times New Roman" w:cs="Times New Roman"/>
          <w:sz w:val="24"/>
          <w:szCs w:val="24"/>
        </w:rPr>
        <w:t xml:space="preserve">nearly </w:t>
      </w:r>
      <w:r w:rsidR="0071095E">
        <w:rPr>
          <w:rFonts w:ascii="Times New Roman" w:hAnsi="Times New Roman" w:cs="Times New Roman"/>
          <w:sz w:val="24"/>
          <w:szCs w:val="24"/>
        </w:rPr>
        <w:t>simultaneous, audits of Duke’s and AEP’s management of the OVEC plants.</w:t>
      </w:r>
      <w:r>
        <w:rPr>
          <w:rStyle w:val="FootnoteReference"/>
          <w:rFonts w:ascii="Times New Roman" w:hAnsi="Times New Roman" w:cs="Times New Roman"/>
          <w:sz w:val="24"/>
          <w:szCs w:val="24"/>
        </w:rPr>
        <w:footnoteReference w:id="2"/>
      </w:r>
      <w:r w:rsidR="00980214">
        <w:rPr>
          <w:rFonts w:ascii="Times New Roman" w:hAnsi="Times New Roman" w:cs="Times New Roman"/>
          <w:sz w:val="24"/>
          <w:szCs w:val="24"/>
        </w:rPr>
        <w:t xml:space="preserve"> </w:t>
      </w:r>
      <w:r w:rsidR="007B061B">
        <w:rPr>
          <w:rFonts w:ascii="Times New Roman" w:hAnsi="Times New Roman" w:cs="Times New Roman"/>
          <w:sz w:val="24"/>
          <w:szCs w:val="24"/>
        </w:rPr>
        <w:t>A</w:t>
      </w:r>
      <w:r w:rsidR="00702376">
        <w:rPr>
          <w:rFonts w:ascii="Times New Roman" w:hAnsi="Times New Roman" w:cs="Times New Roman"/>
          <w:sz w:val="24"/>
          <w:szCs w:val="24"/>
        </w:rPr>
        <w:t>uditor</w:t>
      </w:r>
      <w:r>
        <w:rPr>
          <w:rFonts w:ascii="Times New Roman" w:hAnsi="Times New Roman" w:cs="Times New Roman"/>
          <w:sz w:val="24"/>
          <w:szCs w:val="24"/>
        </w:rPr>
        <w:t xml:space="preserve"> L</w:t>
      </w:r>
      <w:r w:rsidR="00A16A56">
        <w:rPr>
          <w:rFonts w:ascii="Times New Roman" w:hAnsi="Times New Roman" w:cs="Times New Roman"/>
          <w:sz w:val="24"/>
          <w:szCs w:val="24"/>
        </w:rPr>
        <w:t>EI</w:t>
      </w:r>
      <w:r w:rsidR="00702376">
        <w:rPr>
          <w:rFonts w:ascii="Times New Roman" w:hAnsi="Times New Roman" w:cs="Times New Roman"/>
          <w:sz w:val="24"/>
          <w:szCs w:val="24"/>
        </w:rPr>
        <w:t xml:space="preserve"> completed the AEP </w:t>
      </w:r>
      <w:r w:rsidR="007B061B">
        <w:rPr>
          <w:rFonts w:ascii="Times New Roman" w:hAnsi="Times New Roman" w:cs="Times New Roman"/>
          <w:sz w:val="24"/>
          <w:szCs w:val="24"/>
        </w:rPr>
        <w:t>A</w:t>
      </w:r>
      <w:r w:rsidR="00702376">
        <w:rPr>
          <w:rFonts w:ascii="Times New Roman" w:hAnsi="Times New Roman" w:cs="Times New Roman"/>
          <w:sz w:val="24"/>
          <w:szCs w:val="24"/>
        </w:rPr>
        <w:t xml:space="preserve">udit </w:t>
      </w:r>
      <w:r w:rsidR="007B061B">
        <w:rPr>
          <w:rFonts w:ascii="Times New Roman" w:hAnsi="Times New Roman" w:cs="Times New Roman"/>
          <w:sz w:val="24"/>
          <w:szCs w:val="24"/>
        </w:rPr>
        <w:t>R</w:t>
      </w:r>
      <w:r w:rsidR="00215F93">
        <w:rPr>
          <w:rFonts w:ascii="Times New Roman" w:hAnsi="Times New Roman" w:cs="Times New Roman"/>
          <w:sz w:val="24"/>
          <w:szCs w:val="24"/>
        </w:rPr>
        <w:t xml:space="preserve">eport </w:t>
      </w:r>
      <w:r w:rsidR="00702376">
        <w:rPr>
          <w:rFonts w:ascii="Times New Roman" w:hAnsi="Times New Roman" w:cs="Times New Roman"/>
          <w:sz w:val="24"/>
          <w:szCs w:val="24"/>
        </w:rPr>
        <w:t xml:space="preserve">shortly before </w:t>
      </w:r>
      <w:r w:rsidR="00215F93">
        <w:rPr>
          <w:rFonts w:ascii="Times New Roman" w:hAnsi="Times New Roman" w:cs="Times New Roman"/>
          <w:sz w:val="24"/>
          <w:szCs w:val="24"/>
        </w:rPr>
        <w:t>finishing</w:t>
      </w:r>
      <w:r w:rsidR="00702376">
        <w:rPr>
          <w:rFonts w:ascii="Times New Roman" w:hAnsi="Times New Roman" w:cs="Times New Roman"/>
          <w:sz w:val="24"/>
          <w:szCs w:val="24"/>
        </w:rPr>
        <w:t xml:space="preserve"> the Duke </w:t>
      </w:r>
      <w:r w:rsidR="007B061B">
        <w:rPr>
          <w:rFonts w:ascii="Times New Roman" w:hAnsi="Times New Roman" w:cs="Times New Roman"/>
          <w:sz w:val="24"/>
          <w:szCs w:val="24"/>
        </w:rPr>
        <w:t>A</w:t>
      </w:r>
      <w:r w:rsidR="00702376">
        <w:rPr>
          <w:rFonts w:ascii="Times New Roman" w:hAnsi="Times New Roman" w:cs="Times New Roman"/>
          <w:sz w:val="24"/>
          <w:szCs w:val="24"/>
        </w:rPr>
        <w:t>udit</w:t>
      </w:r>
      <w:r w:rsidR="00215F93">
        <w:rPr>
          <w:rFonts w:ascii="Times New Roman" w:hAnsi="Times New Roman" w:cs="Times New Roman"/>
          <w:sz w:val="24"/>
          <w:szCs w:val="24"/>
        </w:rPr>
        <w:t xml:space="preserve"> </w:t>
      </w:r>
      <w:r w:rsidR="007B061B">
        <w:rPr>
          <w:rFonts w:ascii="Times New Roman" w:hAnsi="Times New Roman" w:cs="Times New Roman"/>
          <w:sz w:val="24"/>
          <w:szCs w:val="24"/>
        </w:rPr>
        <w:t>R</w:t>
      </w:r>
      <w:r w:rsidR="00215F93">
        <w:rPr>
          <w:rFonts w:ascii="Times New Roman" w:hAnsi="Times New Roman" w:cs="Times New Roman"/>
          <w:sz w:val="24"/>
          <w:szCs w:val="24"/>
        </w:rPr>
        <w:t>eport</w:t>
      </w:r>
      <w:r w:rsidR="00702376">
        <w:rPr>
          <w:rFonts w:ascii="Times New Roman" w:hAnsi="Times New Roman" w:cs="Times New Roman"/>
          <w:sz w:val="24"/>
          <w:szCs w:val="24"/>
        </w:rPr>
        <w:t>.</w:t>
      </w:r>
      <w:r>
        <w:rPr>
          <w:rStyle w:val="FootnoteReference"/>
          <w:rFonts w:ascii="Times New Roman" w:hAnsi="Times New Roman" w:cs="Times New Roman"/>
          <w:sz w:val="24"/>
          <w:szCs w:val="24"/>
        </w:rPr>
        <w:footnoteReference w:id="3"/>
      </w:r>
      <w:r w:rsidR="00980214">
        <w:rPr>
          <w:rFonts w:ascii="Times New Roman" w:hAnsi="Times New Roman" w:cs="Times New Roman"/>
          <w:sz w:val="24"/>
          <w:szCs w:val="24"/>
        </w:rPr>
        <w:t xml:space="preserve"> </w:t>
      </w:r>
    </w:p>
    <w:p w:rsidR="0072395B" w:rsidP="0072395B" w14:paraId="593EEBB9" w14:textId="77777777">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In a telling revelation of t</w:t>
      </w:r>
      <w:r w:rsidR="00421244">
        <w:rPr>
          <w:rFonts w:ascii="Times New Roman" w:hAnsi="Times New Roman" w:cs="Times New Roman"/>
          <w:sz w:val="24"/>
          <w:szCs w:val="24"/>
        </w:rPr>
        <w:t xml:space="preserve">he </w:t>
      </w:r>
      <w:r>
        <w:rPr>
          <w:rFonts w:ascii="Times New Roman" w:hAnsi="Times New Roman" w:cs="Times New Roman"/>
          <w:sz w:val="24"/>
          <w:szCs w:val="24"/>
        </w:rPr>
        <w:t xml:space="preserve">PUCO </w:t>
      </w:r>
      <w:r w:rsidR="00421244">
        <w:rPr>
          <w:rFonts w:ascii="Times New Roman" w:hAnsi="Times New Roman" w:cs="Times New Roman"/>
          <w:sz w:val="24"/>
          <w:szCs w:val="24"/>
        </w:rPr>
        <w:t>Staff</w:t>
      </w:r>
      <w:r>
        <w:rPr>
          <w:rFonts w:ascii="Times New Roman" w:hAnsi="Times New Roman" w:cs="Times New Roman"/>
          <w:sz w:val="24"/>
          <w:szCs w:val="24"/>
        </w:rPr>
        <w:t>’s relationship with the industry</w:t>
      </w:r>
      <w:r w:rsidR="00C13FE3">
        <w:rPr>
          <w:rFonts w:ascii="Times New Roman" w:hAnsi="Times New Roman" w:cs="Times New Roman"/>
          <w:sz w:val="24"/>
          <w:szCs w:val="24"/>
        </w:rPr>
        <w:t xml:space="preserve"> it regulates</w:t>
      </w:r>
      <w:r>
        <w:rPr>
          <w:rFonts w:ascii="Times New Roman" w:hAnsi="Times New Roman" w:cs="Times New Roman"/>
          <w:sz w:val="24"/>
          <w:szCs w:val="24"/>
        </w:rPr>
        <w:t>,</w:t>
      </w:r>
      <w:r w:rsidR="00421244">
        <w:rPr>
          <w:rFonts w:ascii="Times New Roman" w:hAnsi="Times New Roman" w:cs="Times New Roman"/>
          <w:sz w:val="24"/>
          <w:szCs w:val="24"/>
        </w:rPr>
        <w:t xml:space="preserve"> </w:t>
      </w:r>
      <w:r>
        <w:rPr>
          <w:rFonts w:ascii="Times New Roman" w:hAnsi="Times New Roman" w:cs="Times New Roman"/>
          <w:sz w:val="24"/>
          <w:szCs w:val="24"/>
        </w:rPr>
        <w:t xml:space="preserve">the Staff </w:t>
      </w:r>
      <w:r w:rsidR="00F6422E">
        <w:rPr>
          <w:rFonts w:ascii="Times New Roman" w:hAnsi="Times New Roman" w:cs="Times New Roman"/>
          <w:sz w:val="24"/>
          <w:szCs w:val="24"/>
        </w:rPr>
        <w:t>sent</w:t>
      </w:r>
      <w:r>
        <w:rPr>
          <w:rFonts w:ascii="Times New Roman" w:hAnsi="Times New Roman" w:cs="Times New Roman"/>
          <w:sz w:val="24"/>
          <w:szCs w:val="24"/>
        </w:rPr>
        <w:t xml:space="preserve"> </w:t>
      </w:r>
      <w:r w:rsidR="007B061B">
        <w:rPr>
          <w:rFonts w:ascii="Times New Roman" w:hAnsi="Times New Roman" w:cs="Times New Roman"/>
          <w:sz w:val="24"/>
          <w:szCs w:val="24"/>
        </w:rPr>
        <w:t>A</w:t>
      </w:r>
      <w:r w:rsidR="00F6422E">
        <w:rPr>
          <w:rFonts w:ascii="Times New Roman" w:hAnsi="Times New Roman" w:cs="Times New Roman"/>
          <w:sz w:val="24"/>
          <w:szCs w:val="24"/>
        </w:rPr>
        <w:t>uditor</w:t>
      </w:r>
      <w:r>
        <w:rPr>
          <w:rFonts w:ascii="Times New Roman" w:hAnsi="Times New Roman" w:cs="Times New Roman"/>
          <w:sz w:val="24"/>
          <w:szCs w:val="24"/>
        </w:rPr>
        <w:t xml:space="preserve"> L</w:t>
      </w:r>
      <w:r w:rsidR="00A16A56">
        <w:rPr>
          <w:rFonts w:ascii="Times New Roman" w:hAnsi="Times New Roman" w:cs="Times New Roman"/>
          <w:sz w:val="24"/>
          <w:szCs w:val="24"/>
        </w:rPr>
        <w:t>EI</w:t>
      </w:r>
      <w:r w:rsidR="00F6422E">
        <w:rPr>
          <w:rFonts w:ascii="Times New Roman" w:hAnsi="Times New Roman" w:cs="Times New Roman"/>
          <w:sz w:val="24"/>
          <w:szCs w:val="24"/>
        </w:rPr>
        <w:t xml:space="preserve"> feedback regarding the “tone</w:t>
      </w:r>
      <w:r w:rsidR="00BD4761">
        <w:rPr>
          <w:rFonts w:ascii="Times New Roman" w:hAnsi="Times New Roman" w:cs="Times New Roman"/>
          <w:sz w:val="24"/>
          <w:szCs w:val="24"/>
        </w:rPr>
        <w:t xml:space="preserve"> and intensity</w:t>
      </w:r>
      <w:r w:rsidR="00F6422E">
        <w:rPr>
          <w:rFonts w:ascii="Times New Roman" w:hAnsi="Times New Roman" w:cs="Times New Roman"/>
          <w:sz w:val="24"/>
          <w:szCs w:val="24"/>
        </w:rPr>
        <w:t xml:space="preserve">” of two summary paragraphs in the </w:t>
      </w:r>
      <w:r w:rsidR="007636D1">
        <w:rPr>
          <w:rFonts w:ascii="Times New Roman" w:hAnsi="Times New Roman" w:cs="Times New Roman"/>
          <w:sz w:val="24"/>
          <w:szCs w:val="24"/>
        </w:rPr>
        <w:t xml:space="preserve">AEP </w:t>
      </w:r>
      <w:r w:rsidR="007B061B">
        <w:rPr>
          <w:rFonts w:ascii="Times New Roman" w:hAnsi="Times New Roman" w:cs="Times New Roman"/>
          <w:sz w:val="24"/>
          <w:szCs w:val="24"/>
        </w:rPr>
        <w:t>A</w:t>
      </w:r>
      <w:r w:rsidR="00F6422E">
        <w:rPr>
          <w:rFonts w:ascii="Times New Roman" w:hAnsi="Times New Roman" w:cs="Times New Roman"/>
          <w:sz w:val="24"/>
          <w:szCs w:val="24"/>
        </w:rPr>
        <w:t xml:space="preserve">udit </w:t>
      </w:r>
      <w:r w:rsidR="007B061B">
        <w:rPr>
          <w:rFonts w:ascii="Times New Roman" w:hAnsi="Times New Roman" w:cs="Times New Roman"/>
          <w:sz w:val="24"/>
          <w:szCs w:val="24"/>
        </w:rPr>
        <w:t>R</w:t>
      </w:r>
      <w:r w:rsidR="00F6422E">
        <w:rPr>
          <w:rFonts w:ascii="Times New Roman" w:hAnsi="Times New Roman" w:cs="Times New Roman"/>
          <w:sz w:val="24"/>
          <w:szCs w:val="24"/>
        </w:rPr>
        <w:t>eport.</w:t>
      </w:r>
      <w:r>
        <w:rPr>
          <w:rStyle w:val="FootnoteReference"/>
          <w:rFonts w:ascii="Times New Roman" w:hAnsi="Times New Roman" w:cs="Times New Roman"/>
          <w:sz w:val="24"/>
          <w:szCs w:val="24"/>
        </w:rPr>
        <w:footnoteReference w:id="4"/>
      </w:r>
      <w:r w:rsidR="00980214">
        <w:rPr>
          <w:rFonts w:ascii="Times New Roman" w:hAnsi="Times New Roman" w:cs="Times New Roman"/>
          <w:sz w:val="24"/>
          <w:szCs w:val="24"/>
        </w:rPr>
        <w:t xml:space="preserve"> </w:t>
      </w:r>
      <w:r w:rsidR="00681655">
        <w:rPr>
          <w:rFonts w:ascii="Times New Roman" w:hAnsi="Times New Roman" w:cs="Times New Roman"/>
          <w:sz w:val="24"/>
          <w:szCs w:val="24"/>
        </w:rPr>
        <w:t xml:space="preserve">The </w:t>
      </w:r>
      <w:r w:rsidR="00F6422E">
        <w:rPr>
          <w:rFonts w:ascii="Times New Roman" w:hAnsi="Times New Roman" w:cs="Times New Roman"/>
          <w:sz w:val="24"/>
          <w:szCs w:val="24"/>
        </w:rPr>
        <w:t xml:space="preserve">PUCO Staff suggested that the </w:t>
      </w:r>
      <w:r w:rsidR="007B061B">
        <w:rPr>
          <w:rFonts w:ascii="Times New Roman" w:hAnsi="Times New Roman" w:cs="Times New Roman"/>
          <w:sz w:val="24"/>
          <w:szCs w:val="24"/>
        </w:rPr>
        <w:t>A</w:t>
      </w:r>
      <w:r w:rsidR="00F6422E">
        <w:rPr>
          <w:rFonts w:ascii="Times New Roman" w:hAnsi="Times New Roman" w:cs="Times New Roman"/>
          <w:sz w:val="24"/>
          <w:szCs w:val="24"/>
        </w:rPr>
        <w:t>uditor</w:t>
      </w:r>
      <w:r>
        <w:rPr>
          <w:rFonts w:ascii="Times New Roman" w:hAnsi="Times New Roman" w:cs="Times New Roman"/>
          <w:sz w:val="24"/>
          <w:szCs w:val="24"/>
        </w:rPr>
        <w:t xml:space="preserve"> should</w:t>
      </w:r>
      <w:r w:rsidR="00F6422E">
        <w:rPr>
          <w:rFonts w:ascii="Times New Roman" w:hAnsi="Times New Roman" w:cs="Times New Roman"/>
          <w:sz w:val="24"/>
          <w:szCs w:val="24"/>
        </w:rPr>
        <w:t xml:space="preserve"> modify </w:t>
      </w:r>
      <w:r>
        <w:rPr>
          <w:rFonts w:ascii="Times New Roman" w:hAnsi="Times New Roman" w:cs="Times New Roman"/>
          <w:sz w:val="24"/>
          <w:szCs w:val="24"/>
        </w:rPr>
        <w:t xml:space="preserve">what was </w:t>
      </w:r>
      <w:r w:rsidR="00460F63">
        <w:rPr>
          <w:rFonts w:ascii="Times New Roman" w:hAnsi="Times New Roman" w:cs="Times New Roman"/>
          <w:sz w:val="24"/>
          <w:szCs w:val="24"/>
        </w:rPr>
        <w:t>th</w:t>
      </w:r>
      <w:r>
        <w:rPr>
          <w:rFonts w:ascii="Times New Roman" w:hAnsi="Times New Roman" w:cs="Times New Roman"/>
          <w:sz w:val="24"/>
          <w:szCs w:val="24"/>
        </w:rPr>
        <w:t>e</w:t>
      </w:r>
      <w:r w:rsidR="00460F63">
        <w:rPr>
          <w:rFonts w:ascii="Times New Roman" w:hAnsi="Times New Roman" w:cs="Times New Roman"/>
          <w:sz w:val="24"/>
          <w:szCs w:val="24"/>
        </w:rPr>
        <w:t xml:space="preserve"> </w:t>
      </w:r>
      <w:r>
        <w:rPr>
          <w:rFonts w:ascii="Times New Roman" w:hAnsi="Times New Roman" w:cs="Times New Roman"/>
          <w:sz w:val="24"/>
          <w:szCs w:val="24"/>
        </w:rPr>
        <w:t>most</w:t>
      </w:r>
      <w:r w:rsidR="00460F63">
        <w:rPr>
          <w:rFonts w:ascii="Times New Roman" w:hAnsi="Times New Roman" w:cs="Times New Roman"/>
          <w:sz w:val="24"/>
          <w:szCs w:val="24"/>
        </w:rPr>
        <w:t xml:space="preserve"> </w:t>
      </w:r>
      <w:r>
        <w:rPr>
          <w:rFonts w:ascii="Times New Roman" w:hAnsi="Times New Roman" w:cs="Times New Roman"/>
          <w:sz w:val="24"/>
          <w:szCs w:val="24"/>
        </w:rPr>
        <w:t xml:space="preserve">important </w:t>
      </w:r>
      <w:r w:rsidR="00460F63">
        <w:rPr>
          <w:rFonts w:ascii="Times New Roman" w:hAnsi="Times New Roman" w:cs="Times New Roman"/>
          <w:sz w:val="24"/>
          <w:szCs w:val="24"/>
        </w:rPr>
        <w:t>sentence</w:t>
      </w:r>
      <w:r>
        <w:rPr>
          <w:rFonts w:ascii="Times New Roman" w:hAnsi="Times New Roman" w:cs="Times New Roman"/>
          <w:sz w:val="24"/>
          <w:szCs w:val="24"/>
        </w:rPr>
        <w:t xml:space="preserve"> in the draft </w:t>
      </w:r>
      <w:r w:rsidR="007636D1">
        <w:rPr>
          <w:rFonts w:ascii="Times New Roman" w:hAnsi="Times New Roman" w:cs="Times New Roman"/>
          <w:sz w:val="24"/>
          <w:szCs w:val="24"/>
        </w:rPr>
        <w:t xml:space="preserve">AEP </w:t>
      </w:r>
      <w:r w:rsidR="00A16A56">
        <w:rPr>
          <w:rFonts w:ascii="Times New Roman" w:hAnsi="Times New Roman" w:cs="Times New Roman"/>
          <w:sz w:val="24"/>
          <w:szCs w:val="24"/>
        </w:rPr>
        <w:t>A</w:t>
      </w:r>
      <w:r>
        <w:rPr>
          <w:rFonts w:ascii="Times New Roman" w:hAnsi="Times New Roman" w:cs="Times New Roman"/>
          <w:sz w:val="24"/>
          <w:szCs w:val="24"/>
        </w:rPr>
        <w:t xml:space="preserve">udit </w:t>
      </w:r>
      <w:r w:rsidR="00A16A56">
        <w:rPr>
          <w:rFonts w:ascii="Times New Roman" w:hAnsi="Times New Roman" w:cs="Times New Roman"/>
          <w:sz w:val="24"/>
          <w:szCs w:val="24"/>
        </w:rPr>
        <w:t>R</w:t>
      </w:r>
      <w:r>
        <w:rPr>
          <w:rFonts w:ascii="Times New Roman" w:hAnsi="Times New Roman" w:cs="Times New Roman"/>
          <w:sz w:val="24"/>
          <w:szCs w:val="24"/>
        </w:rPr>
        <w:t>eport,</w:t>
      </w:r>
      <w:r w:rsidR="00460F63">
        <w:rPr>
          <w:rFonts w:ascii="Times New Roman" w:hAnsi="Times New Roman" w:cs="Times New Roman"/>
          <w:sz w:val="24"/>
          <w:szCs w:val="24"/>
        </w:rPr>
        <w:t xml:space="preserve"> because it conveyed an inappropriate “tone and intensity”</w:t>
      </w:r>
      <w:r>
        <w:rPr>
          <w:rFonts w:ascii="Times New Roman" w:hAnsi="Times New Roman" w:cs="Times New Roman"/>
          <w:sz w:val="24"/>
          <w:szCs w:val="24"/>
        </w:rPr>
        <w:t xml:space="preserve"> for the report. The sentence was:</w:t>
      </w:r>
      <w:r w:rsidR="00980214">
        <w:rPr>
          <w:rFonts w:ascii="Times New Roman" w:hAnsi="Times New Roman" w:cs="Times New Roman"/>
          <w:sz w:val="24"/>
          <w:szCs w:val="24"/>
        </w:rPr>
        <w:t xml:space="preserve"> </w:t>
      </w:r>
      <w:r w:rsidR="00460F63">
        <w:rPr>
          <w:rFonts w:ascii="Times New Roman" w:hAnsi="Times New Roman" w:cs="Times New Roman"/>
          <w:sz w:val="24"/>
          <w:szCs w:val="24"/>
        </w:rPr>
        <w:t>“Therefore, keeping the plants running does not seem to be in the best interests of the ratepayers.”</w:t>
      </w:r>
      <w:r>
        <w:rPr>
          <w:rStyle w:val="FootnoteReference"/>
          <w:rFonts w:ascii="Times New Roman" w:hAnsi="Times New Roman" w:cs="Times New Roman"/>
          <w:sz w:val="24"/>
          <w:szCs w:val="24"/>
        </w:rPr>
        <w:footnoteReference w:id="5"/>
      </w:r>
      <w:r w:rsidR="00460F63">
        <w:rPr>
          <w:rFonts w:ascii="Times New Roman" w:hAnsi="Times New Roman" w:cs="Times New Roman"/>
          <w:sz w:val="24"/>
          <w:szCs w:val="24"/>
        </w:rPr>
        <w:t xml:space="preserve"> Consequently, </w:t>
      </w:r>
      <w:r w:rsidR="007B061B">
        <w:rPr>
          <w:rFonts w:ascii="Times New Roman" w:hAnsi="Times New Roman" w:cs="Times New Roman"/>
          <w:sz w:val="24"/>
          <w:szCs w:val="24"/>
        </w:rPr>
        <w:t>A</w:t>
      </w:r>
      <w:r w:rsidR="00460F63">
        <w:rPr>
          <w:rFonts w:ascii="Times New Roman" w:hAnsi="Times New Roman" w:cs="Times New Roman"/>
          <w:sz w:val="24"/>
          <w:szCs w:val="24"/>
        </w:rPr>
        <w:t>uditor</w:t>
      </w:r>
      <w:r>
        <w:rPr>
          <w:rFonts w:ascii="Times New Roman" w:hAnsi="Times New Roman" w:cs="Times New Roman"/>
          <w:sz w:val="24"/>
          <w:szCs w:val="24"/>
        </w:rPr>
        <w:t xml:space="preserve"> L</w:t>
      </w:r>
      <w:r w:rsidR="00A16A56">
        <w:rPr>
          <w:rFonts w:ascii="Times New Roman" w:hAnsi="Times New Roman" w:cs="Times New Roman"/>
          <w:sz w:val="24"/>
          <w:szCs w:val="24"/>
        </w:rPr>
        <w:t>EI</w:t>
      </w:r>
      <w:r w:rsidR="00460F63">
        <w:rPr>
          <w:rFonts w:ascii="Times New Roman" w:hAnsi="Times New Roman" w:cs="Times New Roman"/>
          <w:sz w:val="24"/>
          <w:szCs w:val="24"/>
        </w:rPr>
        <w:t xml:space="preserve"> </w:t>
      </w:r>
      <w:r w:rsidR="007636D1">
        <w:rPr>
          <w:rFonts w:ascii="Times New Roman" w:hAnsi="Times New Roman" w:cs="Times New Roman"/>
          <w:sz w:val="24"/>
          <w:szCs w:val="24"/>
        </w:rPr>
        <w:t>did not include</w:t>
      </w:r>
      <w:r w:rsidR="00460F63">
        <w:rPr>
          <w:rFonts w:ascii="Times New Roman" w:hAnsi="Times New Roman" w:cs="Times New Roman"/>
          <w:sz w:val="24"/>
          <w:szCs w:val="24"/>
        </w:rPr>
        <w:t xml:space="preserve"> this sentence </w:t>
      </w:r>
      <w:r w:rsidR="007636D1">
        <w:rPr>
          <w:rFonts w:ascii="Times New Roman" w:hAnsi="Times New Roman" w:cs="Times New Roman"/>
          <w:sz w:val="24"/>
          <w:szCs w:val="24"/>
        </w:rPr>
        <w:t xml:space="preserve">in </w:t>
      </w:r>
      <w:r>
        <w:rPr>
          <w:rFonts w:ascii="Times New Roman" w:hAnsi="Times New Roman" w:cs="Times New Roman"/>
          <w:sz w:val="24"/>
          <w:szCs w:val="24"/>
        </w:rPr>
        <w:t>its</w:t>
      </w:r>
      <w:r w:rsidR="00460F63">
        <w:rPr>
          <w:rFonts w:ascii="Times New Roman" w:hAnsi="Times New Roman" w:cs="Times New Roman"/>
          <w:sz w:val="24"/>
          <w:szCs w:val="24"/>
        </w:rPr>
        <w:t xml:space="preserve"> </w:t>
      </w:r>
      <w:r w:rsidR="007B061B">
        <w:rPr>
          <w:rFonts w:ascii="Times New Roman" w:hAnsi="Times New Roman" w:cs="Times New Roman"/>
          <w:sz w:val="24"/>
          <w:szCs w:val="24"/>
        </w:rPr>
        <w:t>A</w:t>
      </w:r>
      <w:r w:rsidR="00460F63">
        <w:rPr>
          <w:rFonts w:ascii="Times New Roman" w:hAnsi="Times New Roman" w:cs="Times New Roman"/>
          <w:sz w:val="24"/>
          <w:szCs w:val="24"/>
        </w:rPr>
        <w:t xml:space="preserve">udit </w:t>
      </w:r>
      <w:r w:rsidR="007B061B">
        <w:rPr>
          <w:rFonts w:ascii="Times New Roman" w:hAnsi="Times New Roman" w:cs="Times New Roman"/>
          <w:sz w:val="24"/>
          <w:szCs w:val="24"/>
        </w:rPr>
        <w:t>R</w:t>
      </w:r>
      <w:r w:rsidR="00460F63">
        <w:rPr>
          <w:rFonts w:ascii="Times New Roman" w:hAnsi="Times New Roman" w:cs="Times New Roman"/>
          <w:sz w:val="24"/>
          <w:szCs w:val="24"/>
        </w:rPr>
        <w:t>eport.</w:t>
      </w:r>
      <w:r>
        <w:rPr>
          <w:rStyle w:val="FootnoteReference"/>
          <w:rFonts w:ascii="Times New Roman" w:hAnsi="Times New Roman" w:cs="Times New Roman"/>
          <w:sz w:val="24"/>
          <w:szCs w:val="24"/>
        </w:rPr>
        <w:footnoteReference w:id="6"/>
      </w:r>
      <w:r w:rsidR="00980214">
        <w:rPr>
          <w:rFonts w:ascii="Times New Roman" w:hAnsi="Times New Roman" w:cs="Times New Roman"/>
          <w:sz w:val="24"/>
          <w:szCs w:val="24"/>
        </w:rPr>
        <w:t xml:space="preserve"> </w:t>
      </w:r>
    </w:p>
    <w:p w:rsidR="0071095E" w:rsidP="0072395B" w14:paraId="5DE60FDE" w14:textId="77777777">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In reality, Auditor L</w:t>
      </w:r>
      <w:r w:rsidR="00A16A56">
        <w:rPr>
          <w:rFonts w:ascii="Times New Roman" w:hAnsi="Times New Roman" w:cs="Times New Roman"/>
          <w:sz w:val="24"/>
          <w:szCs w:val="24"/>
        </w:rPr>
        <w:t>EI</w:t>
      </w:r>
      <w:r>
        <w:rPr>
          <w:rFonts w:ascii="Times New Roman" w:hAnsi="Times New Roman" w:cs="Times New Roman"/>
          <w:sz w:val="24"/>
          <w:szCs w:val="24"/>
        </w:rPr>
        <w:t xml:space="preserve">’s consumer-protection statement in the draft </w:t>
      </w:r>
      <w:r w:rsidR="007636D1">
        <w:rPr>
          <w:rFonts w:ascii="Times New Roman" w:hAnsi="Times New Roman" w:cs="Times New Roman"/>
          <w:sz w:val="24"/>
          <w:szCs w:val="24"/>
        </w:rPr>
        <w:t xml:space="preserve">AEP </w:t>
      </w:r>
      <w:r w:rsidR="00A16A56">
        <w:rPr>
          <w:rFonts w:ascii="Times New Roman" w:hAnsi="Times New Roman" w:cs="Times New Roman"/>
          <w:sz w:val="24"/>
          <w:szCs w:val="24"/>
        </w:rPr>
        <w:t>A</w:t>
      </w:r>
      <w:r>
        <w:rPr>
          <w:rFonts w:ascii="Times New Roman" w:hAnsi="Times New Roman" w:cs="Times New Roman"/>
          <w:sz w:val="24"/>
          <w:szCs w:val="24"/>
        </w:rPr>
        <w:t xml:space="preserve">udit </w:t>
      </w:r>
      <w:r w:rsidR="00A16A56">
        <w:rPr>
          <w:rFonts w:ascii="Times New Roman" w:hAnsi="Times New Roman" w:cs="Times New Roman"/>
          <w:sz w:val="24"/>
          <w:szCs w:val="24"/>
        </w:rPr>
        <w:t>R</w:t>
      </w:r>
      <w:r>
        <w:rPr>
          <w:rFonts w:ascii="Times New Roman" w:hAnsi="Times New Roman" w:cs="Times New Roman"/>
          <w:sz w:val="24"/>
          <w:szCs w:val="24"/>
        </w:rPr>
        <w:t xml:space="preserve">eport was the </w:t>
      </w:r>
      <w:r w:rsidRPr="006A6975">
        <w:rPr>
          <w:rFonts w:ascii="Times New Roman" w:hAnsi="Times New Roman" w:cs="Times New Roman"/>
          <w:i/>
          <w:iCs/>
          <w:sz w:val="24"/>
          <w:szCs w:val="24"/>
        </w:rPr>
        <w:t>understatement</w:t>
      </w:r>
      <w:r>
        <w:rPr>
          <w:rFonts w:ascii="Times New Roman" w:hAnsi="Times New Roman" w:cs="Times New Roman"/>
          <w:sz w:val="24"/>
          <w:szCs w:val="24"/>
        </w:rPr>
        <w:t xml:space="preserve"> of the year for OVEC auditing. In their upcoming decision for this case, the PUCO Commissioners should agree with Auditor L</w:t>
      </w:r>
      <w:r w:rsidR="00A16A56">
        <w:rPr>
          <w:rFonts w:ascii="Times New Roman" w:hAnsi="Times New Roman" w:cs="Times New Roman"/>
          <w:sz w:val="24"/>
          <w:szCs w:val="24"/>
        </w:rPr>
        <w:t>EI</w:t>
      </w:r>
      <w:r>
        <w:rPr>
          <w:rFonts w:ascii="Times New Roman" w:hAnsi="Times New Roman" w:cs="Times New Roman"/>
          <w:sz w:val="24"/>
          <w:szCs w:val="24"/>
        </w:rPr>
        <w:t>’s draft statement</w:t>
      </w:r>
      <w:r w:rsidR="0072395B">
        <w:rPr>
          <w:rFonts w:ascii="Times New Roman" w:hAnsi="Times New Roman" w:cs="Times New Roman"/>
          <w:sz w:val="24"/>
          <w:szCs w:val="24"/>
        </w:rPr>
        <w:t xml:space="preserve"> that the OVEC coal plants are</w:t>
      </w:r>
      <w:r w:rsidR="009D360C">
        <w:rPr>
          <w:rFonts w:ascii="Times New Roman" w:hAnsi="Times New Roman" w:cs="Times New Roman"/>
          <w:sz w:val="24"/>
          <w:szCs w:val="24"/>
        </w:rPr>
        <w:t xml:space="preserve"> not</w:t>
      </w:r>
      <w:r w:rsidR="0072395B">
        <w:rPr>
          <w:rFonts w:ascii="Times New Roman" w:hAnsi="Times New Roman" w:cs="Times New Roman"/>
          <w:sz w:val="24"/>
          <w:szCs w:val="24"/>
        </w:rPr>
        <w:t xml:space="preserve"> in consumers’ “best interests</w:t>
      </w:r>
      <w:r>
        <w:rPr>
          <w:rFonts w:ascii="Times New Roman" w:hAnsi="Times New Roman" w:cs="Times New Roman"/>
          <w:sz w:val="24"/>
          <w:szCs w:val="24"/>
        </w:rPr>
        <w:t>.</w:t>
      </w:r>
      <w:r w:rsidR="0072395B">
        <w:rPr>
          <w:rFonts w:ascii="Times New Roman" w:hAnsi="Times New Roman" w:cs="Times New Roman"/>
          <w:sz w:val="24"/>
          <w:szCs w:val="24"/>
        </w:rPr>
        <w:t>”</w:t>
      </w:r>
      <w:r>
        <w:rPr>
          <w:rFonts w:ascii="Times New Roman" w:hAnsi="Times New Roman" w:cs="Times New Roman"/>
          <w:sz w:val="24"/>
          <w:szCs w:val="24"/>
        </w:rPr>
        <w:t xml:space="preserve"> </w:t>
      </w:r>
    </w:p>
    <w:p w:rsidR="00AE1673" w:rsidRPr="0024134B" w:rsidP="00AE1673" w14:paraId="5DFB948F" w14:textId="77777777">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It is said that </w:t>
      </w:r>
      <w:r w:rsidRPr="0024134B">
        <w:rPr>
          <w:rFonts w:ascii="Times New Roman" w:hAnsi="Times New Roman" w:cs="Times New Roman"/>
          <w:sz w:val="24"/>
          <w:szCs w:val="24"/>
        </w:rPr>
        <w:t>“</w:t>
      </w:r>
      <w:r w:rsidR="00001B38">
        <w:rPr>
          <w:rFonts w:ascii="Times New Roman" w:hAnsi="Times New Roman" w:cs="Times New Roman"/>
          <w:sz w:val="24"/>
          <w:szCs w:val="24"/>
        </w:rPr>
        <w:t>[</w:t>
      </w:r>
      <w:r>
        <w:rPr>
          <w:rFonts w:ascii="Times New Roman" w:hAnsi="Times New Roman" w:cs="Times New Roman"/>
          <w:sz w:val="24"/>
          <w:szCs w:val="24"/>
        </w:rPr>
        <w:t>t</w:t>
      </w:r>
      <w:r w:rsidR="00001B38">
        <w:rPr>
          <w:rFonts w:ascii="Times New Roman" w:hAnsi="Times New Roman" w:cs="Times New Roman"/>
          <w:sz w:val="24"/>
          <w:szCs w:val="24"/>
        </w:rPr>
        <w:t>]</w:t>
      </w:r>
      <w:r w:rsidRPr="0024134B">
        <w:rPr>
          <w:rFonts w:ascii="Times New Roman" w:hAnsi="Times New Roman" w:cs="Times New Roman"/>
          <w:sz w:val="24"/>
          <w:szCs w:val="24"/>
        </w:rPr>
        <w:t xml:space="preserve">he good regulator </w:t>
      </w:r>
      <w:r w:rsidRPr="0024134B">
        <w:rPr>
          <w:rFonts w:ascii="Times New Roman" w:hAnsi="Times New Roman" w:cs="Times New Roman"/>
          <w:i/>
          <w:iCs/>
          <w:sz w:val="24"/>
          <w:szCs w:val="24"/>
        </w:rPr>
        <w:t>embraces the public interest</w:t>
      </w:r>
      <w:r w:rsidRPr="0024134B">
        <w:rPr>
          <w:rFonts w:ascii="Times New Roman" w:hAnsi="Times New Roman" w:cs="Times New Roman"/>
          <w:sz w:val="24"/>
          <w:szCs w:val="24"/>
        </w:rPr>
        <w:t>….”</w:t>
      </w:r>
      <w:r>
        <w:rPr>
          <w:rStyle w:val="FootnoteReference"/>
          <w:rFonts w:ascii="Times New Roman" w:hAnsi="Times New Roman" w:cs="Times New Roman"/>
          <w:sz w:val="24"/>
          <w:szCs w:val="24"/>
        </w:rPr>
        <w:footnoteReference w:id="7"/>
      </w:r>
      <w:r w:rsidRPr="0024134B">
        <w:rPr>
          <w:rFonts w:ascii="Times New Roman" w:hAnsi="Times New Roman" w:cs="Times New Roman"/>
          <w:sz w:val="24"/>
          <w:szCs w:val="24"/>
        </w:rPr>
        <w:t xml:space="preserve"> Here the PUCO should embrace the public interest for protection of </w:t>
      </w:r>
      <w:r w:rsidRPr="0024134B" w:rsidR="00EE5856">
        <w:rPr>
          <w:rFonts w:ascii="Times New Roman" w:hAnsi="Times New Roman" w:cs="Times New Roman"/>
          <w:sz w:val="24"/>
          <w:szCs w:val="24"/>
        </w:rPr>
        <w:t>over 700,000 Duke Energy Ohio (“Duke”)</w:t>
      </w:r>
      <w:r w:rsidRPr="0024134B">
        <w:rPr>
          <w:rFonts w:ascii="Times New Roman" w:hAnsi="Times New Roman" w:cs="Times New Roman"/>
          <w:sz w:val="24"/>
          <w:szCs w:val="24"/>
        </w:rPr>
        <w:t xml:space="preserve"> consumers. The PUCO should protect consumers by disallowing $</w:t>
      </w:r>
      <w:r w:rsidRPr="0024134B" w:rsidR="00D30570">
        <w:rPr>
          <w:rFonts w:ascii="Times New Roman" w:hAnsi="Times New Roman" w:cs="Times New Roman"/>
          <w:sz w:val="24"/>
          <w:szCs w:val="24"/>
        </w:rPr>
        <w:t>24.6</w:t>
      </w:r>
      <w:r w:rsidRPr="0024134B">
        <w:rPr>
          <w:rFonts w:ascii="Times New Roman" w:hAnsi="Times New Roman" w:cs="Times New Roman"/>
          <w:sz w:val="24"/>
          <w:szCs w:val="24"/>
        </w:rPr>
        <w:t xml:space="preserve"> million in </w:t>
      </w:r>
      <w:r w:rsidRPr="0024134B" w:rsidR="00D30570">
        <w:rPr>
          <w:rFonts w:ascii="Times New Roman" w:hAnsi="Times New Roman" w:cs="Times New Roman"/>
          <w:sz w:val="24"/>
          <w:szCs w:val="24"/>
        </w:rPr>
        <w:t>Duke</w:t>
      </w:r>
      <w:r w:rsidRPr="0024134B">
        <w:rPr>
          <w:rFonts w:ascii="Times New Roman" w:hAnsi="Times New Roman" w:cs="Times New Roman"/>
          <w:sz w:val="24"/>
          <w:szCs w:val="24"/>
        </w:rPr>
        <w:t xml:space="preserve">’s </w:t>
      </w:r>
      <w:r w:rsidR="00F360C5">
        <w:rPr>
          <w:rFonts w:ascii="Times New Roman" w:hAnsi="Times New Roman" w:cs="Times New Roman"/>
          <w:sz w:val="24"/>
          <w:szCs w:val="24"/>
        </w:rPr>
        <w:t xml:space="preserve">2019 </w:t>
      </w:r>
      <w:r w:rsidRPr="0024134B">
        <w:rPr>
          <w:rFonts w:ascii="Times New Roman" w:hAnsi="Times New Roman" w:cs="Times New Roman"/>
          <w:sz w:val="24"/>
          <w:szCs w:val="24"/>
        </w:rPr>
        <w:t xml:space="preserve">subsidy charges </w:t>
      </w:r>
      <w:r w:rsidR="00F360C5">
        <w:rPr>
          <w:rFonts w:ascii="Times New Roman" w:hAnsi="Times New Roman" w:cs="Times New Roman"/>
          <w:sz w:val="24"/>
          <w:szCs w:val="24"/>
        </w:rPr>
        <w:t xml:space="preserve">to consumers </w:t>
      </w:r>
      <w:r w:rsidRPr="0024134B">
        <w:rPr>
          <w:rFonts w:ascii="Times New Roman" w:hAnsi="Times New Roman" w:cs="Times New Roman"/>
          <w:sz w:val="24"/>
          <w:szCs w:val="24"/>
        </w:rPr>
        <w:t xml:space="preserve">for the bailout of two dirty, uneconomic 1950s-era coal power plants. </w:t>
      </w:r>
      <w:r w:rsidRPr="0024134B" w:rsidR="00D30570">
        <w:rPr>
          <w:rFonts w:ascii="Times New Roman" w:hAnsi="Times New Roman" w:cs="Times New Roman"/>
          <w:sz w:val="24"/>
          <w:szCs w:val="24"/>
        </w:rPr>
        <w:t>Duke</w:t>
      </w:r>
      <w:r w:rsidRPr="0024134B">
        <w:rPr>
          <w:rFonts w:ascii="Times New Roman" w:hAnsi="Times New Roman" w:cs="Times New Roman"/>
          <w:sz w:val="24"/>
          <w:szCs w:val="24"/>
        </w:rPr>
        <w:t xml:space="preserve"> is a part-owner of these outmoded coal plants, Clifty Creek in Indiana and Kyger Creek in Ohio, operated by OVEC. </w:t>
      </w:r>
    </w:p>
    <w:p w:rsidR="000D10ED" w:rsidRPr="0024134B" w:rsidP="004F3AF3" w14:paraId="177F14C8" w14:textId="77777777">
      <w:pPr>
        <w:spacing w:after="0" w:line="480" w:lineRule="auto"/>
        <w:ind w:firstLine="720"/>
        <w:rPr>
          <w:rFonts w:ascii="Times New Roman" w:hAnsi="Times New Roman" w:cs="Times New Roman"/>
          <w:sz w:val="24"/>
          <w:szCs w:val="24"/>
        </w:rPr>
      </w:pPr>
      <w:r w:rsidRPr="0024134B">
        <w:rPr>
          <w:rFonts w:ascii="Times New Roman" w:hAnsi="Times New Roman" w:cs="Times New Roman"/>
          <w:sz w:val="24"/>
          <w:szCs w:val="24"/>
        </w:rPr>
        <w:t>Th</w:t>
      </w:r>
      <w:r w:rsidRPr="0024134B" w:rsidR="005A1902">
        <w:rPr>
          <w:rFonts w:ascii="Times New Roman" w:hAnsi="Times New Roman" w:cs="Times New Roman"/>
          <w:sz w:val="24"/>
          <w:szCs w:val="24"/>
        </w:rPr>
        <w:t>i</w:t>
      </w:r>
      <w:r w:rsidRPr="0024134B">
        <w:rPr>
          <w:rFonts w:ascii="Times New Roman" w:hAnsi="Times New Roman" w:cs="Times New Roman"/>
          <w:sz w:val="24"/>
          <w:szCs w:val="24"/>
        </w:rPr>
        <w:t xml:space="preserve">s case </w:t>
      </w:r>
      <w:r w:rsidRPr="0024134B" w:rsidR="005A1902">
        <w:rPr>
          <w:rFonts w:ascii="Times New Roman" w:hAnsi="Times New Roman" w:cs="Times New Roman"/>
          <w:sz w:val="24"/>
          <w:szCs w:val="24"/>
        </w:rPr>
        <w:t>is</w:t>
      </w:r>
      <w:r w:rsidRPr="0024134B">
        <w:rPr>
          <w:rFonts w:ascii="Times New Roman" w:hAnsi="Times New Roman" w:cs="Times New Roman"/>
          <w:sz w:val="24"/>
          <w:szCs w:val="24"/>
        </w:rPr>
        <w:t xml:space="preserve"> about the PUCO</w:t>
      </w:r>
      <w:r w:rsidR="00F360C5">
        <w:rPr>
          <w:rFonts w:ascii="Times New Roman" w:hAnsi="Times New Roman" w:cs="Times New Roman"/>
          <w:sz w:val="24"/>
          <w:szCs w:val="24"/>
        </w:rPr>
        <w:t xml:space="preserve"> requiring </w:t>
      </w:r>
      <w:r w:rsidRPr="0024134B">
        <w:rPr>
          <w:rFonts w:ascii="Times New Roman" w:hAnsi="Times New Roman" w:cs="Times New Roman"/>
          <w:sz w:val="24"/>
          <w:szCs w:val="24"/>
        </w:rPr>
        <w:t xml:space="preserve">a public bailout of these plants before the </w:t>
      </w:r>
      <w:r w:rsidR="00F360C5">
        <w:rPr>
          <w:rFonts w:ascii="Times New Roman" w:hAnsi="Times New Roman" w:cs="Times New Roman"/>
          <w:sz w:val="24"/>
          <w:szCs w:val="24"/>
        </w:rPr>
        <w:t>Ohio L</w:t>
      </w:r>
      <w:r w:rsidRPr="0024134B">
        <w:rPr>
          <w:rFonts w:ascii="Times New Roman" w:hAnsi="Times New Roman" w:cs="Times New Roman"/>
          <w:sz w:val="24"/>
          <w:szCs w:val="24"/>
        </w:rPr>
        <w:t>egislature codified an even worse bailout in tainted House Bill 6 (“H.B. 6”) beginning in 2020. But even as former Chair Asim Haque joined other PUCO Commissioners in signing the bailout, he warned in a concurring opinion: “This should not be perceived as a blank check, and consumers should not be treated like a trust account.”</w:t>
      </w:r>
      <w:r>
        <w:rPr>
          <w:rStyle w:val="FootnoteReference"/>
          <w:rFonts w:ascii="Times New Roman" w:hAnsi="Times New Roman" w:cs="Times New Roman"/>
          <w:sz w:val="24"/>
          <w:szCs w:val="24"/>
        </w:rPr>
        <w:footnoteReference w:id="8"/>
      </w:r>
      <w:r w:rsidRPr="0024134B">
        <w:rPr>
          <w:rFonts w:ascii="Times New Roman" w:hAnsi="Times New Roman" w:cs="Times New Roman"/>
          <w:sz w:val="24"/>
          <w:szCs w:val="24"/>
        </w:rPr>
        <w:t xml:space="preserve"> And Commissioner Beth Trombold wrote that “Based on the forecasts submitted by the Company and evidence in the record, it is my clear expectation, just as it is Commissioner Haque’s, that the PPA rider approved today will result in a credit (i.e. benefit) to ratepayers over the next eight years.”</w:t>
      </w:r>
      <w:r>
        <w:rPr>
          <w:rStyle w:val="FootnoteReference"/>
          <w:rFonts w:ascii="Times New Roman" w:hAnsi="Times New Roman" w:cs="Times New Roman"/>
          <w:sz w:val="24"/>
          <w:szCs w:val="24"/>
        </w:rPr>
        <w:footnoteReference w:id="9"/>
      </w:r>
    </w:p>
    <w:p w:rsidR="00423662" w:rsidRPr="0024134B" w:rsidP="004F3AF3" w14:paraId="014D068A" w14:textId="77777777">
      <w:pPr>
        <w:spacing w:after="0" w:line="480" w:lineRule="auto"/>
        <w:ind w:firstLine="720"/>
        <w:rPr>
          <w:rFonts w:ascii="Times New Roman" w:hAnsi="Times New Roman" w:cs="Times New Roman"/>
          <w:sz w:val="24"/>
          <w:szCs w:val="24"/>
        </w:rPr>
      </w:pPr>
      <w:r w:rsidRPr="0024134B">
        <w:rPr>
          <w:rFonts w:ascii="Times New Roman" w:hAnsi="Times New Roman" w:cs="Times New Roman"/>
          <w:color w:val="000000"/>
          <w:sz w:val="24"/>
          <w:szCs w:val="24"/>
        </w:rPr>
        <w:t>The OVEC</w:t>
      </w:r>
      <w:r w:rsidRPr="0024134B" w:rsidR="006402E0">
        <w:rPr>
          <w:rFonts w:ascii="Times New Roman" w:hAnsi="Times New Roman" w:cs="Times New Roman"/>
          <w:color w:val="000000"/>
          <w:sz w:val="24"/>
          <w:szCs w:val="24"/>
        </w:rPr>
        <w:t xml:space="preserve"> plants are old, inefficient, and costly to maintain and operate.</w:t>
      </w:r>
      <w:r>
        <w:rPr>
          <w:rStyle w:val="FootnoteReference"/>
          <w:rFonts w:ascii="Times New Roman" w:hAnsi="Times New Roman" w:cs="Times New Roman"/>
          <w:color w:val="000000"/>
          <w:sz w:val="24"/>
          <w:szCs w:val="24"/>
        </w:rPr>
        <w:footnoteReference w:id="10"/>
      </w:r>
      <w:r w:rsidRPr="0024134B" w:rsidR="006402E0">
        <w:rPr>
          <w:rFonts w:ascii="Times New Roman" w:hAnsi="Times New Roman" w:cs="Times New Roman"/>
          <w:color w:val="000000"/>
          <w:sz w:val="24"/>
          <w:szCs w:val="24"/>
        </w:rPr>
        <w:t xml:space="preserve"> They are uncompetitive in the market, due in large part to the entry and abundance of new renewable generation and gas facilities that are coming online.</w:t>
      </w:r>
      <w:r>
        <w:rPr>
          <w:rStyle w:val="FootnoteReference"/>
          <w:rFonts w:ascii="Times New Roman" w:hAnsi="Times New Roman" w:cs="Times New Roman"/>
          <w:color w:val="000000"/>
          <w:sz w:val="24"/>
          <w:szCs w:val="24"/>
        </w:rPr>
        <w:footnoteReference w:id="11"/>
      </w:r>
      <w:bookmarkStart w:id="5" w:name="_Toc109294642"/>
      <w:bookmarkEnd w:id="3"/>
      <w:r w:rsidRPr="0024134B" w:rsidR="003C1925">
        <w:rPr>
          <w:rFonts w:ascii="Times New Roman" w:hAnsi="Times New Roman" w:cs="Times New Roman"/>
          <w:color w:val="000000"/>
          <w:sz w:val="24"/>
          <w:szCs w:val="24"/>
        </w:rPr>
        <w:t xml:space="preserve"> </w:t>
      </w:r>
      <w:r w:rsidRPr="0024134B" w:rsidR="00C52030">
        <w:rPr>
          <w:rFonts w:ascii="Times New Roman" w:hAnsi="Times New Roman" w:cs="Times New Roman"/>
          <w:color w:val="000000"/>
          <w:sz w:val="24"/>
          <w:szCs w:val="24"/>
        </w:rPr>
        <w:t>I</w:t>
      </w:r>
      <w:r w:rsidRPr="0024134B" w:rsidR="00AD60A8">
        <w:rPr>
          <w:rFonts w:ascii="Times New Roman" w:hAnsi="Times New Roman" w:cs="Times New Roman"/>
          <w:color w:val="000000"/>
          <w:sz w:val="24"/>
          <w:szCs w:val="24"/>
        </w:rPr>
        <w:t xml:space="preserve">n 2019, </w:t>
      </w:r>
      <w:r w:rsidRPr="0024134B" w:rsidR="006402E0">
        <w:rPr>
          <w:rFonts w:ascii="Times New Roman" w:hAnsi="Times New Roman" w:cs="Times New Roman"/>
          <w:color w:val="000000"/>
          <w:sz w:val="24"/>
          <w:szCs w:val="24"/>
        </w:rPr>
        <w:t xml:space="preserve">OVEC’s costs for energy and capacity </w:t>
      </w:r>
      <w:r w:rsidRPr="0024134B" w:rsidR="00AD60A8">
        <w:rPr>
          <w:rFonts w:ascii="Times New Roman" w:hAnsi="Times New Roman" w:cs="Times New Roman"/>
          <w:color w:val="000000"/>
          <w:sz w:val="24"/>
          <w:szCs w:val="24"/>
        </w:rPr>
        <w:t xml:space="preserve">were </w:t>
      </w:r>
      <w:r w:rsidRPr="0024134B" w:rsidR="006402E0">
        <w:rPr>
          <w:rFonts w:ascii="Times New Roman" w:hAnsi="Times New Roman" w:cs="Times New Roman"/>
          <w:color w:val="000000"/>
          <w:sz w:val="24"/>
          <w:szCs w:val="24"/>
        </w:rPr>
        <w:t xml:space="preserve">significantly higher than market prices for energy and capacity. These high costs </w:t>
      </w:r>
      <w:r w:rsidRPr="0024134B" w:rsidR="00AD60A8">
        <w:rPr>
          <w:rFonts w:ascii="Times New Roman" w:hAnsi="Times New Roman" w:cs="Times New Roman"/>
          <w:color w:val="000000"/>
          <w:sz w:val="24"/>
          <w:szCs w:val="24"/>
        </w:rPr>
        <w:t>were</w:t>
      </w:r>
      <w:r w:rsidRPr="0024134B" w:rsidR="006402E0">
        <w:rPr>
          <w:rFonts w:ascii="Times New Roman" w:hAnsi="Times New Roman" w:cs="Times New Roman"/>
          <w:color w:val="000000"/>
          <w:sz w:val="24"/>
          <w:szCs w:val="24"/>
        </w:rPr>
        <w:t xml:space="preserve"> passed on to the twelve</w:t>
      </w:r>
      <w:r w:rsidR="00D73A70">
        <w:rPr>
          <w:rFonts w:ascii="Times New Roman" w:hAnsi="Times New Roman" w:cs="Times New Roman"/>
          <w:color w:val="000000"/>
          <w:sz w:val="24"/>
          <w:szCs w:val="24"/>
        </w:rPr>
        <w:t xml:space="preserve"> companies that own OVEC</w:t>
      </w:r>
      <w:r w:rsidRPr="0024134B" w:rsidR="006402E0">
        <w:rPr>
          <w:rFonts w:ascii="Times New Roman" w:hAnsi="Times New Roman" w:cs="Times New Roman"/>
          <w:color w:val="000000"/>
          <w:sz w:val="24"/>
          <w:szCs w:val="24"/>
        </w:rPr>
        <w:t xml:space="preserve">, including </w:t>
      </w:r>
      <w:r w:rsidRPr="0024134B" w:rsidR="00AD60A8">
        <w:rPr>
          <w:rFonts w:ascii="Times New Roman" w:hAnsi="Times New Roman" w:cs="Times New Roman"/>
          <w:color w:val="000000"/>
          <w:sz w:val="24"/>
          <w:szCs w:val="24"/>
        </w:rPr>
        <w:t>Duke</w:t>
      </w:r>
      <w:r w:rsidR="00D0020C">
        <w:rPr>
          <w:rFonts w:ascii="Times New Roman" w:hAnsi="Times New Roman" w:cs="Times New Roman"/>
          <w:color w:val="000000"/>
          <w:sz w:val="24"/>
          <w:szCs w:val="24"/>
        </w:rPr>
        <w:t xml:space="preserve"> </w:t>
      </w:r>
      <w:r w:rsidRPr="0024134B" w:rsidR="00C52030">
        <w:rPr>
          <w:rFonts w:ascii="Times New Roman" w:hAnsi="Times New Roman" w:cs="Times New Roman"/>
          <w:color w:val="000000"/>
          <w:sz w:val="24"/>
          <w:szCs w:val="24"/>
        </w:rPr>
        <w:t>which owns a</w:t>
      </w:r>
      <w:r w:rsidRPr="0024134B" w:rsidR="006402E0">
        <w:rPr>
          <w:rFonts w:ascii="Times New Roman" w:hAnsi="Times New Roman" w:cs="Times New Roman"/>
          <w:color w:val="000000"/>
          <w:sz w:val="24"/>
          <w:szCs w:val="24"/>
        </w:rPr>
        <w:t xml:space="preserve"> nine percent</w:t>
      </w:r>
      <w:r w:rsidRPr="0024134B" w:rsidR="005A1902">
        <w:rPr>
          <w:rFonts w:ascii="Times New Roman" w:hAnsi="Times New Roman" w:cs="Times New Roman"/>
          <w:color w:val="000000"/>
          <w:sz w:val="24"/>
          <w:szCs w:val="24"/>
        </w:rPr>
        <w:t xml:space="preserve"> (9.0%)</w:t>
      </w:r>
      <w:r w:rsidRPr="0024134B" w:rsidR="006402E0">
        <w:rPr>
          <w:rFonts w:ascii="Times New Roman" w:hAnsi="Times New Roman" w:cs="Times New Roman"/>
          <w:color w:val="000000"/>
          <w:sz w:val="24"/>
          <w:szCs w:val="24"/>
        </w:rPr>
        <w:t xml:space="preserve"> share in OVEC.</w:t>
      </w:r>
      <w:r>
        <w:rPr>
          <w:rStyle w:val="FootnoteReference"/>
          <w:rFonts w:ascii="Times New Roman" w:hAnsi="Times New Roman" w:cs="Times New Roman"/>
          <w:color w:val="000000"/>
          <w:sz w:val="24"/>
          <w:szCs w:val="24"/>
        </w:rPr>
        <w:footnoteReference w:id="12"/>
      </w:r>
      <w:bookmarkStart w:id="7" w:name="_Toc109294643"/>
      <w:bookmarkEnd w:id="5"/>
      <w:r w:rsidRPr="0024134B">
        <w:rPr>
          <w:rFonts w:ascii="Times New Roman" w:hAnsi="Times New Roman" w:cs="Times New Roman"/>
          <w:color w:val="000000"/>
          <w:sz w:val="24"/>
          <w:szCs w:val="24"/>
        </w:rPr>
        <w:t xml:space="preserve"> </w:t>
      </w:r>
      <w:r w:rsidRPr="0024134B" w:rsidR="00AD60A8">
        <w:rPr>
          <w:rFonts w:ascii="Times New Roman" w:hAnsi="Times New Roman" w:cs="Times New Roman"/>
          <w:sz w:val="24"/>
          <w:szCs w:val="24"/>
        </w:rPr>
        <w:t xml:space="preserve">More specifically, in </w:t>
      </w:r>
      <w:r w:rsidRPr="0024134B" w:rsidR="006A7BCC">
        <w:rPr>
          <w:rFonts w:ascii="Times New Roman" w:hAnsi="Times New Roman" w:cs="Times New Roman"/>
          <w:sz w:val="24"/>
          <w:szCs w:val="24"/>
        </w:rPr>
        <w:t xml:space="preserve">2019, </w:t>
      </w:r>
      <w:r w:rsidRPr="0024134B" w:rsidR="00AD60A8">
        <w:rPr>
          <w:rFonts w:ascii="Times New Roman" w:hAnsi="Times New Roman" w:cs="Times New Roman"/>
          <w:sz w:val="24"/>
          <w:szCs w:val="24"/>
        </w:rPr>
        <w:t>Duke Energy</w:t>
      </w:r>
      <w:r w:rsidRPr="0024134B" w:rsidR="006A7BCC">
        <w:rPr>
          <w:rFonts w:ascii="Times New Roman" w:hAnsi="Times New Roman" w:cs="Times New Roman"/>
          <w:sz w:val="24"/>
          <w:szCs w:val="24"/>
        </w:rPr>
        <w:t xml:space="preserve"> incurred $24,635,143.47 in above-market costs for power from </w:t>
      </w:r>
      <w:bookmarkStart w:id="8" w:name="_Hlk109133129"/>
      <w:r w:rsidRPr="0024134B" w:rsidR="006402E0">
        <w:rPr>
          <w:rFonts w:ascii="Times New Roman" w:hAnsi="Times New Roman" w:cs="Times New Roman"/>
          <w:sz w:val="24"/>
          <w:szCs w:val="24"/>
        </w:rPr>
        <w:t>OVEC</w:t>
      </w:r>
      <w:r w:rsidRPr="0024134B" w:rsidR="006A7BCC">
        <w:rPr>
          <w:rFonts w:ascii="Times New Roman" w:hAnsi="Times New Roman" w:cs="Times New Roman"/>
          <w:sz w:val="24"/>
          <w:szCs w:val="24"/>
        </w:rPr>
        <w:t xml:space="preserve"> </w:t>
      </w:r>
      <w:bookmarkEnd w:id="8"/>
      <w:r w:rsidRPr="0024134B" w:rsidR="006A7BCC">
        <w:rPr>
          <w:rFonts w:ascii="Times New Roman" w:hAnsi="Times New Roman" w:cs="Times New Roman"/>
          <w:sz w:val="24"/>
          <w:szCs w:val="24"/>
        </w:rPr>
        <w:t xml:space="preserve">plants and passed these incredible and unnecessary costs on to its Ohio customers. This was neither prudent nor in the </w:t>
      </w:r>
      <w:r w:rsidR="00C50BBB">
        <w:rPr>
          <w:rFonts w:ascii="Times New Roman" w:hAnsi="Times New Roman" w:cs="Times New Roman"/>
          <w:sz w:val="24"/>
          <w:szCs w:val="24"/>
        </w:rPr>
        <w:t>consumers</w:t>
      </w:r>
      <w:r w:rsidRPr="0024134B" w:rsidR="006A7BCC">
        <w:rPr>
          <w:rFonts w:ascii="Times New Roman" w:hAnsi="Times New Roman" w:cs="Times New Roman"/>
          <w:sz w:val="24"/>
          <w:szCs w:val="24"/>
        </w:rPr>
        <w:t>’ best interest.</w:t>
      </w:r>
      <w:bookmarkEnd w:id="7"/>
      <w:r w:rsidRPr="0024134B" w:rsidR="00902AFF">
        <w:rPr>
          <w:rFonts w:ascii="Times New Roman" w:hAnsi="Times New Roman" w:cs="Times New Roman"/>
          <w:sz w:val="24"/>
          <w:szCs w:val="24"/>
        </w:rPr>
        <w:t xml:space="preserve"> </w:t>
      </w:r>
      <w:bookmarkStart w:id="9" w:name="_Toc109294644"/>
    </w:p>
    <w:p w:rsidR="0023790F" w:rsidRPr="0024134B" w:rsidP="0023790F" w14:paraId="0300935C" w14:textId="77777777">
      <w:pPr>
        <w:spacing w:after="0" w:line="480" w:lineRule="auto"/>
        <w:ind w:firstLine="720"/>
        <w:rPr>
          <w:rFonts w:ascii="Times New Roman" w:hAnsi="Times New Roman" w:cs="Times New Roman"/>
          <w:sz w:val="24"/>
          <w:szCs w:val="24"/>
        </w:rPr>
      </w:pPr>
      <w:r w:rsidRPr="0024134B">
        <w:rPr>
          <w:rFonts w:ascii="Times New Roman" w:hAnsi="Times New Roman" w:cs="Times New Roman"/>
          <w:sz w:val="24"/>
          <w:szCs w:val="24"/>
        </w:rPr>
        <w:t>The PUCO selected LEI to</w:t>
      </w:r>
      <w:r w:rsidRPr="0024134B" w:rsidR="00423662">
        <w:rPr>
          <w:rFonts w:ascii="Times New Roman" w:hAnsi="Times New Roman" w:cs="Times New Roman"/>
          <w:sz w:val="24"/>
          <w:szCs w:val="24"/>
        </w:rPr>
        <w:t xml:space="preserve"> conduct an</w:t>
      </w:r>
      <w:r w:rsidRPr="0024134B" w:rsidR="006A7BCC">
        <w:rPr>
          <w:rFonts w:ascii="Times New Roman" w:hAnsi="Times New Roman" w:cs="Times New Roman"/>
          <w:sz w:val="24"/>
          <w:szCs w:val="24"/>
        </w:rPr>
        <w:t xml:space="preserve"> independent audit of the </w:t>
      </w:r>
      <w:r w:rsidRPr="0024134B" w:rsidR="00AD60A8">
        <w:rPr>
          <w:rFonts w:ascii="Times New Roman" w:hAnsi="Times New Roman" w:cs="Times New Roman"/>
          <w:sz w:val="24"/>
          <w:szCs w:val="24"/>
        </w:rPr>
        <w:t xml:space="preserve">Duke Energy’s </w:t>
      </w:r>
      <w:r w:rsidRPr="0024134B" w:rsidR="006A7BCC">
        <w:rPr>
          <w:rFonts w:ascii="Times New Roman" w:hAnsi="Times New Roman" w:cs="Times New Roman"/>
          <w:sz w:val="24"/>
          <w:szCs w:val="24"/>
        </w:rPr>
        <w:t>Purchase Power Agreement Rider for the period of January 1, 2019, through December 31, 2019.</w:t>
      </w:r>
      <w:r>
        <w:rPr>
          <w:rStyle w:val="FootnoteReference"/>
          <w:rFonts w:ascii="Times New Roman" w:hAnsi="Times New Roman" w:cs="Times New Roman"/>
          <w:sz w:val="24"/>
          <w:szCs w:val="24"/>
        </w:rPr>
        <w:footnoteReference w:id="13"/>
      </w:r>
      <w:r w:rsidRPr="0024134B" w:rsidR="006A7BCC">
        <w:rPr>
          <w:rFonts w:ascii="Times New Roman" w:hAnsi="Times New Roman" w:cs="Times New Roman"/>
          <w:sz w:val="24"/>
          <w:szCs w:val="24"/>
        </w:rPr>
        <w:t xml:space="preserve"> The final Audit Report for this proceeding was issued on October 26, 2021 and detailed LEI’s review of costs associated with </w:t>
      </w:r>
      <w:r w:rsidRPr="0024134B" w:rsidR="00AD60A8">
        <w:rPr>
          <w:rFonts w:ascii="Times New Roman" w:hAnsi="Times New Roman" w:cs="Times New Roman"/>
          <w:sz w:val="24"/>
          <w:szCs w:val="24"/>
        </w:rPr>
        <w:t>Duk</w:t>
      </w:r>
      <w:r w:rsidRPr="0024134B" w:rsidR="00487A92">
        <w:rPr>
          <w:rFonts w:ascii="Times New Roman" w:hAnsi="Times New Roman" w:cs="Times New Roman"/>
          <w:sz w:val="24"/>
          <w:szCs w:val="24"/>
        </w:rPr>
        <w:t>e</w:t>
      </w:r>
      <w:r w:rsidRPr="0024134B" w:rsidR="006A7BCC">
        <w:rPr>
          <w:rFonts w:ascii="Times New Roman" w:hAnsi="Times New Roman" w:cs="Times New Roman"/>
          <w:sz w:val="24"/>
          <w:szCs w:val="24"/>
        </w:rPr>
        <w:t xml:space="preserve">’s contractual entitlement to a share of the electrical output of generating units owned by </w:t>
      </w:r>
      <w:r w:rsidRPr="0024134B">
        <w:rPr>
          <w:rFonts w:ascii="Times New Roman" w:hAnsi="Times New Roman" w:cs="Times New Roman"/>
          <w:sz w:val="24"/>
          <w:szCs w:val="24"/>
        </w:rPr>
        <w:t>OVEC</w:t>
      </w:r>
      <w:r w:rsidRPr="0024134B" w:rsidR="006A7BCC">
        <w:rPr>
          <w:rFonts w:ascii="Times New Roman" w:hAnsi="Times New Roman" w:cs="Times New Roman"/>
          <w:sz w:val="24"/>
          <w:szCs w:val="24"/>
        </w:rPr>
        <w:t>.</w:t>
      </w:r>
      <w:bookmarkStart w:id="10" w:name="_Toc109294645"/>
      <w:bookmarkEnd w:id="9"/>
    </w:p>
    <w:p w:rsidR="006A7BCC" w:rsidRPr="0024134B" w:rsidP="0023790F" w14:paraId="4821DEE1" w14:textId="77777777">
      <w:pPr>
        <w:spacing w:after="0" w:line="480" w:lineRule="auto"/>
        <w:ind w:firstLine="720"/>
        <w:rPr>
          <w:rFonts w:ascii="Times New Roman" w:hAnsi="Times New Roman" w:cs="Times New Roman"/>
          <w:b/>
          <w:bCs/>
          <w:sz w:val="24"/>
          <w:szCs w:val="24"/>
        </w:rPr>
      </w:pPr>
      <w:r w:rsidRPr="0024134B">
        <w:rPr>
          <w:rFonts w:ascii="Times New Roman" w:hAnsi="Times New Roman" w:cs="Times New Roman"/>
          <w:sz w:val="24"/>
          <w:szCs w:val="24"/>
        </w:rPr>
        <w:t>Despite being given clear direction</w:t>
      </w:r>
      <w:r w:rsidRPr="0024134B" w:rsidR="0023790F">
        <w:rPr>
          <w:rFonts w:ascii="Times New Roman" w:hAnsi="Times New Roman" w:cs="Times New Roman"/>
          <w:sz w:val="24"/>
          <w:szCs w:val="24"/>
        </w:rPr>
        <w:t xml:space="preserve"> by the PUCO</w:t>
      </w:r>
      <w:r w:rsidRPr="0024134B">
        <w:rPr>
          <w:rFonts w:ascii="Times New Roman" w:hAnsi="Times New Roman" w:cs="Times New Roman"/>
          <w:sz w:val="24"/>
          <w:szCs w:val="24"/>
        </w:rPr>
        <w:t xml:space="preserve"> – to establish the prudency of all costs and sales flowing through the Rider – </w:t>
      </w:r>
      <w:r w:rsidRPr="0024134B" w:rsidR="0023790F">
        <w:rPr>
          <w:rFonts w:ascii="Times New Roman" w:hAnsi="Times New Roman" w:cs="Times New Roman"/>
          <w:sz w:val="24"/>
          <w:szCs w:val="24"/>
        </w:rPr>
        <w:t>LEI</w:t>
      </w:r>
      <w:r w:rsidRPr="0024134B">
        <w:rPr>
          <w:rFonts w:ascii="Times New Roman" w:hAnsi="Times New Roman" w:cs="Times New Roman"/>
          <w:sz w:val="24"/>
          <w:szCs w:val="24"/>
        </w:rPr>
        <w:t xml:space="preserve"> did not hold </w:t>
      </w:r>
      <w:r w:rsidRPr="0024134B" w:rsidR="00AD60A8">
        <w:rPr>
          <w:rFonts w:ascii="Times New Roman" w:hAnsi="Times New Roman" w:cs="Times New Roman"/>
          <w:sz w:val="24"/>
          <w:szCs w:val="24"/>
        </w:rPr>
        <w:t>Duke</w:t>
      </w:r>
      <w:r w:rsidRPr="0024134B" w:rsidR="0023790F">
        <w:rPr>
          <w:rFonts w:ascii="Times New Roman" w:hAnsi="Times New Roman" w:cs="Times New Roman"/>
          <w:sz w:val="24"/>
          <w:szCs w:val="24"/>
        </w:rPr>
        <w:t xml:space="preserve"> </w:t>
      </w:r>
      <w:r w:rsidRPr="0024134B">
        <w:rPr>
          <w:rFonts w:ascii="Times New Roman" w:hAnsi="Times New Roman" w:cs="Times New Roman"/>
          <w:sz w:val="24"/>
          <w:szCs w:val="24"/>
        </w:rPr>
        <w:t xml:space="preserve">to this threshold. Instead, the </w:t>
      </w:r>
      <w:r w:rsidRPr="0024134B" w:rsidR="0023790F">
        <w:rPr>
          <w:rFonts w:ascii="Times New Roman" w:hAnsi="Times New Roman" w:cs="Times New Roman"/>
          <w:sz w:val="24"/>
          <w:szCs w:val="24"/>
        </w:rPr>
        <w:t>A</w:t>
      </w:r>
      <w:r w:rsidRPr="0024134B">
        <w:rPr>
          <w:rFonts w:ascii="Times New Roman" w:hAnsi="Times New Roman" w:cs="Times New Roman"/>
          <w:sz w:val="24"/>
          <w:szCs w:val="24"/>
        </w:rPr>
        <w:t>uditor only determined the energy company’s “processes, procedures, and oversight were mostly adequate”.</w:t>
      </w:r>
      <w:r>
        <w:rPr>
          <w:rStyle w:val="FootnoteReference"/>
          <w:rFonts w:ascii="Times New Roman" w:hAnsi="Times New Roman" w:cs="Times New Roman"/>
          <w:sz w:val="24"/>
          <w:szCs w:val="24"/>
        </w:rPr>
        <w:footnoteReference w:id="14"/>
      </w:r>
      <w:r w:rsidRPr="0024134B">
        <w:rPr>
          <w:rFonts w:ascii="Times New Roman" w:hAnsi="Times New Roman" w:cs="Times New Roman"/>
          <w:sz w:val="24"/>
          <w:szCs w:val="24"/>
        </w:rPr>
        <w:t xml:space="preserve"> </w:t>
      </w:r>
      <w:bookmarkEnd w:id="10"/>
      <w:r w:rsidR="00D0020C">
        <w:rPr>
          <w:rFonts w:ascii="Times New Roman" w:hAnsi="Times New Roman" w:cs="Times New Roman"/>
          <w:sz w:val="24"/>
          <w:szCs w:val="24"/>
        </w:rPr>
        <w:t xml:space="preserve">The PUCO should hire another auditor to </w:t>
      </w:r>
      <w:r w:rsidR="00715EF6">
        <w:rPr>
          <w:rFonts w:ascii="Times New Roman" w:hAnsi="Times New Roman" w:cs="Times New Roman"/>
          <w:sz w:val="24"/>
          <w:szCs w:val="24"/>
        </w:rPr>
        <w:t>conduct</w:t>
      </w:r>
      <w:r w:rsidR="00D0020C">
        <w:rPr>
          <w:rFonts w:ascii="Times New Roman" w:hAnsi="Times New Roman" w:cs="Times New Roman"/>
          <w:sz w:val="24"/>
          <w:szCs w:val="24"/>
        </w:rPr>
        <w:t xml:space="preserve"> an audit with a proper scope for consumer protection. </w:t>
      </w:r>
      <w:r w:rsidRPr="0024134B" w:rsidR="001D1FE7">
        <w:rPr>
          <w:rFonts w:ascii="Times New Roman" w:hAnsi="Times New Roman" w:cs="Times New Roman"/>
          <w:sz w:val="24"/>
          <w:szCs w:val="24"/>
        </w:rPr>
        <w:t xml:space="preserve">Duke’s “mostly adequate” actions do not justify charging consumers $24.6 million in above-market costs. </w:t>
      </w:r>
    </w:p>
    <w:p w:rsidR="00D0020C" w:rsidP="0025665B" w14:paraId="56703464" w14:textId="77777777">
      <w:pPr>
        <w:spacing w:after="0" w:line="480" w:lineRule="auto"/>
        <w:ind w:firstLine="720"/>
        <w:rPr>
          <w:rFonts w:ascii="Times New Roman" w:hAnsi="Times New Roman" w:cs="Times New Roman"/>
          <w:sz w:val="24"/>
          <w:szCs w:val="24"/>
        </w:rPr>
      </w:pPr>
      <w:bookmarkStart w:id="11" w:name="_Toc109294646"/>
      <w:r w:rsidRPr="0024134B">
        <w:rPr>
          <w:rFonts w:ascii="Times New Roman" w:hAnsi="Times New Roman" w:cs="Times New Roman"/>
          <w:sz w:val="24"/>
          <w:szCs w:val="24"/>
        </w:rPr>
        <w:t>Duke</w:t>
      </w:r>
      <w:r w:rsidRPr="0024134B" w:rsidR="009B13C4">
        <w:rPr>
          <w:rFonts w:ascii="Times New Roman" w:hAnsi="Times New Roman" w:cs="Times New Roman"/>
          <w:sz w:val="24"/>
          <w:szCs w:val="24"/>
        </w:rPr>
        <w:t xml:space="preserve">’s $24.6 million charge to consumers is based on </w:t>
      </w:r>
      <w:r w:rsidRPr="0024134B" w:rsidR="005A1902">
        <w:rPr>
          <w:rFonts w:ascii="Times New Roman" w:hAnsi="Times New Roman" w:cs="Times New Roman"/>
          <w:sz w:val="24"/>
          <w:szCs w:val="24"/>
        </w:rPr>
        <w:t>Duke’s</w:t>
      </w:r>
      <w:r w:rsidRPr="0024134B" w:rsidR="009B13C4">
        <w:rPr>
          <w:rFonts w:ascii="Times New Roman" w:hAnsi="Times New Roman" w:cs="Times New Roman"/>
          <w:sz w:val="24"/>
          <w:szCs w:val="24"/>
        </w:rPr>
        <w:t xml:space="preserve"> flawed assumption that</w:t>
      </w:r>
      <w:r w:rsidRPr="0024134B" w:rsidR="00AD60A8">
        <w:rPr>
          <w:rFonts w:ascii="Times New Roman" w:hAnsi="Times New Roman" w:cs="Times New Roman"/>
          <w:sz w:val="24"/>
          <w:szCs w:val="24"/>
        </w:rPr>
        <w:t xml:space="preserve">, </w:t>
      </w:r>
      <w:r w:rsidRPr="0024134B">
        <w:rPr>
          <w:rFonts w:ascii="Times New Roman" w:hAnsi="Times New Roman" w:cs="Times New Roman"/>
          <w:sz w:val="24"/>
          <w:szCs w:val="24"/>
        </w:rPr>
        <w:t>“over a period of time[,] the revenues received from operations in the PJM Energy and Ancillary Services Markets are generally greater than the variable costs necessary to run the units</w:t>
      </w:r>
      <w:r w:rsidRPr="0024134B" w:rsidR="001D1FE7">
        <w:rPr>
          <w:rFonts w:ascii="Times New Roman" w:hAnsi="Times New Roman" w:cs="Times New Roman"/>
          <w:sz w:val="24"/>
          <w:szCs w:val="24"/>
        </w:rPr>
        <w:t>.</w:t>
      </w:r>
      <w:r w:rsidRPr="0024134B">
        <w:rPr>
          <w:rFonts w:ascii="Times New Roman" w:hAnsi="Times New Roman" w:cs="Times New Roman"/>
          <w:sz w:val="24"/>
          <w:szCs w:val="24"/>
        </w:rPr>
        <w:t>”</w:t>
      </w:r>
      <w:r>
        <w:rPr>
          <w:rStyle w:val="FootnoteReference"/>
          <w:rFonts w:ascii="Times New Roman" w:hAnsi="Times New Roman" w:cs="Times New Roman"/>
          <w:sz w:val="24"/>
          <w:szCs w:val="24"/>
        </w:rPr>
        <w:footnoteReference w:id="15"/>
      </w:r>
      <w:r w:rsidRPr="0024134B">
        <w:rPr>
          <w:rFonts w:ascii="Times New Roman" w:hAnsi="Times New Roman" w:cs="Times New Roman"/>
          <w:sz w:val="24"/>
          <w:szCs w:val="24"/>
        </w:rPr>
        <w:t xml:space="preserve"> </w:t>
      </w:r>
    </w:p>
    <w:p w:rsidR="006A7BCC" w:rsidRPr="0024134B" w:rsidP="0025665B" w14:paraId="2996B8F8" w14:textId="77777777">
      <w:pPr>
        <w:spacing w:after="0" w:line="480" w:lineRule="auto"/>
        <w:ind w:firstLine="720"/>
        <w:rPr>
          <w:rFonts w:ascii="Times New Roman" w:hAnsi="Times New Roman" w:cs="Times New Roman"/>
          <w:b/>
          <w:bCs/>
          <w:sz w:val="24"/>
          <w:szCs w:val="24"/>
        </w:rPr>
      </w:pPr>
      <w:r w:rsidRPr="0024134B">
        <w:rPr>
          <w:rFonts w:ascii="Times New Roman" w:hAnsi="Times New Roman" w:cs="Times New Roman"/>
          <w:sz w:val="24"/>
          <w:szCs w:val="24"/>
        </w:rPr>
        <w:t>But the promise of a new day and lower variable costs cannot be used to ignore what happened in 2019.</w:t>
      </w:r>
      <w:r w:rsidRPr="0024134B" w:rsidR="00902AFF">
        <w:rPr>
          <w:rFonts w:ascii="Times New Roman" w:hAnsi="Times New Roman" w:cs="Times New Roman"/>
          <w:sz w:val="24"/>
          <w:szCs w:val="24"/>
        </w:rPr>
        <w:t xml:space="preserve"> </w:t>
      </w:r>
      <w:r w:rsidRPr="0024134B" w:rsidR="00AD60A8">
        <w:rPr>
          <w:rFonts w:ascii="Times New Roman" w:hAnsi="Times New Roman" w:cs="Times New Roman"/>
          <w:sz w:val="24"/>
          <w:szCs w:val="24"/>
        </w:rPr>
        <w:t xml:space="preserve">The PUCO cannot allow Duke to kick the can down the road, </w:t>
      </w:r>
      <w:r w:rsidRPr="0024134B" w:rsidR="009B13C4">
        <w:rPr>
          <w:rFonts w:ascii="Times New Roman" w:hAnsi="Times New Roman" w:cs="Times New Roman"/>
          <w:sz w:val="24"/>
          <w:szCs w:val="24"/>
        </w:rPr>
        <w:t>waiting for the day this</w:t>
      </w:r>
      <w:r w:rsidRPr="0024134B" w:rsidR="00AD60A8">
        <w:rPr>
          <w:rFonts w:ascii="Times New Roman" w:hAnsi="Times New Roman" w:cs="Times New Roman"/>
          <w:sz w:val="24"/>
          <w:szCs w:val="24"/>
        </w:rPr>
        <w:t xml:space="preserve"> </w:t>
      </w:r>
      <w:r w:rsidRPr="0024134B" w:rsidR="009B13C4">
        <w:rPr>
          <w:rFonts w:ascii="Times New Roman" w:hAnsi="Times New Roman" w:cs="Times New Roman"/>
          <w:sz w:val="24"/>
          <w:szCs w:val="24"/>
        </w:rPr>
        <w:t>“</w:t>
      </w:r>
      <w:r w:rsidRPr="0024134B" w:rsidR="00AD60A8">
        <w:rPr>
          <w:rFonts w:ascii="Times New Roman" w:hAnsi="Times New Roman" w:cs="Times New Roman"/>
          <w:sz w:val="24"/>
          <w:szCs w:val="24"/>
        </w:rPr>
        <w:t>hedge</w:t>
      </w:r>
      <w:r w:rsidRPr="0024134B" w:rsidR="009B13C4">
        <w:rPr>
          <w:rFonts w:ascii="Times New Roman" w:hAnsi="Times New Roman" w:cs="Times New Roman"/>
          <w:sz w:val="24"/>
          <w:szCs w:val="24"/>
        </w:rPr>
        <w:t>”</w:t>
      </w:r>
      <w:r w:rsidRPr="0024134B" w:rsidR="00AD60A8">
        <w:rPr>
          <w:rFonts w:ascii="Times New Roman" w:hAnsi="Times New Roman" w:cs="Times New Roman"/>
          <w:sz w:val="24"/>
          <w:szCs w:val="24"/>
        </w:rPr>
        <w:t xml:space="preserve"> will eventually </w:t>
      </w:r>
      <w:r w:rsidRPr="0024134B" w:rsidR="009B13C4">
        <w:rPr>
          <w:rFonts w:ascii="Times New Roman" w:hAnsi="Times New Roman" w:cs="Times New Roman"/>
          <w:sz w:val="24"/>
          <w:szCs w:val="24"/>
        </w:rPr>
        <w:t xml:space="preserve">save </w:t>
      </w:r>
      <w:r w:rsidRPr="0024134B" w:rsidR="00AD60A8">
        <w:rPr>
          <w:rFonts w:ascii="Times New Roman" w:hAnsi="Times New Roman" w:cs="Times New Roman"/>
          <w:sz w:val="24"/>
          <w:szCs w:val="24"/>
        </w:rPr>
        <w:t>Ohio consumers</w:t>
      </w:r>
      <w:r w:rsidRPr="0024134B" w:rsidR="009B13C4">
        <w:rPr>
          <w:rFonts w:ascii="Times New Roman" w:hAnsi="Times New Roman" w:cs="Times New Roman"/>
          <w:sz w:val="24"/>
          <w:szCs w:val="24"/>
        </w:rPr>
        <w:t xml:space="preserve"> money</w:t>
      </w:r>
      <w:r w:rsidRPr="0024134B" w:rsidR="00AD60A8">
        <w:rPr>
          <w:rFonts w:ascii="Times New Roman" w:hAnsi="Times New Roman" w:cs="Times New Roman"/>
          <w:sz w:val="24"/>
          <w:szCs w:val="24"/>
        </w:rPr>
        <w:t xml:space="preserve">. </w:t>
      </w:r>
      <w:bookmarkEnd w:id="11"/>
    </w:p>
    <w:p w:rsidR="006A7BCC" w:rsidP="00A418AF" w14:paraId="1642D75D" w14:textId="77777777">
      <w:pPr>
        <w:spacing w:after="0" w:line="480" w:lineRule="auto"/>
        <w:ind w:firstLine="720"/>
        <w:rPr>
          <w:rFonts w:ascii="Times New Roman" w:hAnsi="Times New Roman" w:cs="Times New Roman"/>
          <w:sz w:val="24"/>
          <w:szCs w:val="24"/>
        </w:rPr>
      </w:pPr>
      <w:r w:rsidRPr="0024134B">
        <w:rPr>
          <w:rFonts w:ascii="Times New Roman" w:hAnsi="Times New Roman" w:cs="Times New Roman"/>
          <w:sz w:val="24"/>
          <w:szCs w:val="24"/>
        </w:rPr>
        <w:t xml:space="preserve">OCC presented evidence that </w:t>
      </w:r>
      <w:r w:rsidRPr="0024134B" w:rsidR="002C67BD">
        <w:rPr>
          <w:rFonts w:ascii="Times New Roman" w:hAnsi="Times New Roman" w:cs="Times New Roman"/>
          <w:sz w:val="24"/>
          <w:szCs w:val="24"/>
        </w:rPr>
        <w:t>Duke</w:t>
      </w:r>
      <w:r w:rsidRPr="0024134B">
        <w:rPr>
          <w:rFonts w:ascii="Times New Roman" w:hAnsi="Times New Roman" w:cs="Times New Roman"/>
          <w:sz w:val="24"/>
          <w:szCs w:val="24"/>
        </w:rPr>
        <w:t>’s charges to consumers for the coal plant bailout in 2019 were imprudent and that operation of the OVEC plants is not in the best interest of consumers.</w:t>
      </w:r>
      <w:r>
        <w:rPr>
          <w:rStyle w:val="FootnoteReference"/>
          <w:rFonts w:ascii="Times New Roman" w:hAnsi="Times New Roman" w:cs="Times New Roman"/>
          <w:sz w:val="24"/>
          <w:szCs w:val="24"/>
        </w:rPr>
        <w:footnoteReference w:id="16"/>
      </w:r>
      <w:r w:rsidRPr="0024134B">
        <w:rPr>
          <w:rFonts w:ascii="Times New Roman" w:hAnsi="Times New Roman" w:cs="Times New Roman"/>
          <w:sz w:val="24"/>
          <w:szCs w:val="24"/>
        </w:rPr>
        <w:t xml:space="preserve"> Based on the evidence, the PUCO should disallow </w:t>
      </w:r>
      <w:r w:rsidRPr="0024134B" w:rsidR="002C67BD">
        <w:rPr>
          <w:rFonts w:ascii="Times New Roman" w:hAnsi="Times New Roman" w:cs="Times New Roman"/>
          <w:sz w:val="24"/>
          <w:szCs w:val="24"/>
        </w:rPr>
        <w:t>Duke’s</w:t>
      </w:r>
      <w:r w:rsidRPr="0024134B">
        <w:rPr>
          <w:rFonts w:ascii="Times New Roman" w:hAnsi="Times New Roman" w:cs="Times New Roman"/>
          <w:sz w:val="24"/>
          <w:szCs w:val="24"/>
        </w:rPr>
        <w:t xml:space="preserve"> charges of $</w:t>
      </w:r>
      <w:r w:rsidRPr="0024134B" w:rsidR="002C67BD">
        <w:rPr>
          <w:rFonts w:ascii="Times New Roman" w:hAnsi="Times New Roman" w:cs="Times New Roman"/>
          <w:sz w:val="24"/>
          <w:szCs w:val="24"/>
        </w:rPr>
        <w:t>24</w:t>
      </w:r>
      <w:r w:rsidRPr="0024134B">
        <w:rPr>
          <w:rFonts w:ascii="Times New Roman" w:hAnsi="Times New Roman" w:cs="Times New Roman"/>
          <w:sz w:val="24"/>
          <w:szCs w:val="24"/>
        </w:rPr>
        <w:t>.</w:t>
      </w:r>
      <w:r w:rsidRPr="0024134B" w:rsidR="002C67BD">
        <w:rPr>
          <w:rFonts w:ascii="Times New Roman" w:hAnsi="Times New Roman" w:cs="Times New Roman"/>
          <w:sz w:val="24"/>
          <w:szCs w:val="24"/>
        </w:rPr>
        <w:t>6</w:t>
      </w:r>
      <w:r w:rsidRPr="0024134B">
        <w:rPr>
          <w:rFonts w:ascii="Times New Roman" w:hAnsi="Times New Roman" w:cs="Times New Roman"/>
          <w:sz w:val="24"/>
          <w:szCs w:val="24"/>
        </w:rPr>
        <w:t xml:space="preserve"> million for the 2019 audit period and should order </w:t>
      </w:r>
      <w:r w:rsidRPr="0024134B" w:rsidR="002C67BD">
        <w:rPr>
          <w:rFonts w:ascii="Times New Roman" w:hAnsi="Times New Roman" w:cs="Times New Roman"/>
          <w:sz w:val="24"/>
          <w:szCs w:val="24"/>
        </w:rPr>
        <w:t>Duke</w:t>
      </w:r>
      <w:r w:rsidRPr="0024134B">
        <w:rPr>
          <w:rFonts w:ascii="Times New Roman" w:hAnsi="Times New Roman" w:cs="Times New Roman"/>
          <w:sz w:val="24"/>
          <w:szCs w:val="24"/>
        </w:rPr>
        <w:t xml:space="preserve"> to return the money to consumers. The PUCO should give </w:t>
      </w:r>
      <w:r w:rsidRPr="0024134B" w:rsidR="002C67BD">
        <w:rPr>
          <w:rFonts w:ascii="Times New Roman" w:hAnsi="Times New Roman" w:cs="Times New Roman"/>
          <w:sz w:val="24"/>
          <w:szCs w:val="24"/>
        </w:rPr>
        <w:t xml:space="preserve">Duke’s </w:t>
      </w:r>
      <w:r w:rsidRPr="0024134B">
        <w:rPr>
          <w:rFonts w:ascii="Times New Roman" w:hAnsi="Times New Roman" w:cs="Times New Roman"/>
          <w:sz w:val="24"/>
          <w:szCs w:val="24"/>
        </w:rPr>
        <w:t xml:space="preserve">consumers the benefit of Ohio’s 1999 electric deregulation law that favors markets, not </w:t>
      </w:r>
      <w:r w:rsidR="00FC1AAA">
        <w:rPr>
          <w:rFonts w:ascii="Times New Roman" w:hAnsi="Times New Roman" w:cs="Times New Roman"/>
          <w:sz w:val="24"/>
          <w:szCs w:val="24"/>
        </w:rPr>
        <w:t xml:space="preserve">bailouts and subsidies for </w:t>
      </w:r>
      <w:r w:rsidRPr="0024134B">
        <w:rPr>
          <w:rFonts w:ascii="Times New Roman" w:hAnsi="Times New Roman" w:cs="Times New Roman"/>
          <w:sz w:val="24"/>
          <w:szCs w:val="24"/>
        </w:rPr>
        <w:t xml:space="preserve">monopolies like </w:t>
      </w:r>
      <w:r w:rsidRPr="0024134B" w:rsidR="002C67BD">
        <w:rPr>
          <w:rFonts w:ascii="Times New Roman" w:hAnsi="Times New Roman" w:cs="Times New Roman"/>
          <w:sz w:val="24"/>
          <w:szCs w:val="24"/>
        </w:rPr>
        <w:t>Duke</w:t>
      </w:r>
      <w:r w:rsidRPr="0024134B">
        <w:rPr>
          <w:rFonts w:ascii="Times New Roman" w:hAnsi="Times New Roman" w:cs="Times New Roman"/>
          <w:sz w:val="24"/>
          <w:szCs w:val="24"/>
        </w:rPr>
        <w:t>.</w:t>
      </w:r>
    </w:p>
    <w:p w:rsidR="000748F3" w:rsidRPr="0024134B" w:rsidP="00A418AF" w14:paraId="1D4CD963" w14:textId="77777777">
      <w:pPr>
        <w:spacing w:after="0" w:line="480" w:lineRule="auto"/>
        <w:ind w:firstLine="720"/>
        <w:rPr>
          <w:rFonts w:ascii="Times New Roman" w:hAnsi="Times New Roman" w:cs="Times New Roman"/>
          <w:sz w:val="24"/>
          <w:szCs w:val="24"/>
        </w:rPr>
      </w:pPr>
    </w:p>
    <w:p w:rsidR="005E7577" w:rsidRPr="0024134B" w:rsidP="00E218A6" w14:paraId="283C7333" w14:textId="77777777">
      <w:pPr>
        <w:pStyle w:val="Heading1"/>
        <w:rPr>
          <w:rFonts w:cs="Times New Roman"/>
        </w:rPr>
      </w:pPr>
      <w:bookmarkStart w:id="12" w:name="_Toc109294647"/>
      <w:bookmarkStart w:id="13" w:name="_Toc110004946"/>
      <w:r w:rsidRPr="0024134B">
        <w:rPr>
          <w:rFonts w:cs="Times New Roman"/>
        </w:rPr>
        <w:t>BACKGROUND</w:t>
      </w:r>
      <w:bookmarkEnd w:id="0"/>
      <w:bookmarkEnd w:id="12"/>
      <w:bookmarkEnd w:id="13"/>
    </w:p>
    <w:p w:rsidR="00A418AF" w:rsidRPr="0024134B" w:rsidP="00E218A6" w14:paraId="321C22E7" w14:textId="77777777">
      <w:pPr>
        <w:pStyle w:val="Heading2"/>
        <w:rPr>
          <w:rFonts w:cs="Times New Roman"/>
        </w:rPr>
      </w:pPr>
      <w:bookmarkStart w:id="14" w:name="_Toc110004947"/>
      <w:bookmarkStart w:id="15" w:name="_Toc108179590"/>
      <w:bookmarkStart w:id="16" w:name="_Toc109294648"/>
      <w:r w:rsidRPr="0024134B">
        <w:rPr>
          <w:rFonts w:cs="Times New Roman"/>
        </w:rPr>
        <w:t>The OVEC Plants</w:t>
      </w:r>
      <w:bookmarkEnd w:id="14"/>
    </w:p>
    <w:p w:rsidR="00A418AF" w:rsidRPr="0024134B" w:rsidP="00A418AF" w14:paraId="7C73B44F" w14:textId="77777777">
      <w:pPr>
        <w:spacing w:after="0" w:line="480" w:lineRule="auto"/>
        <w:ind w:firstLine="720"/>
        <w:rPr>
          <w:rFonts w:ascii="Times New Roman" w:hAnsi="Times New Roman" w:cs="Times New Roman"/>
          <w:sz w:val="24"/>
          <w:szCs w:val="24"/>
        </w:rPr>
      </w:pPr>
      <w:r w:rsidRPr="0024134B">
        <w:rPr>
          <w:rFonts w:ascii="Times New Roman" w:hAnsi="Times New Roman" w:cs="Times New Roman"/>
          <w:sz w:val="24"/>
          <w:szCs w:val="24"/>
        </w:rPr>
        <w:t xml:space="preserve">OVEC is jointly owned by twelve utilities in Ohio, Indiana, Michigan, Kentucky, </w:t>
      </w:r>
      <w:r w:rsidRPr="0024134B">
        <w:rPr>
          <w:rFonts w:ascii="Times New Roman" w:hAnsi="Times New Roman" w:cs="Times New Roman"/>
          <w:color w:val="000000"/>
          <w:sz w:val="24"/>
          <w:szCs w:val="24"/>
        </w:rPr>
        <w:t>West</w:t>
      </w:r>
      <w:r w:rsidRPr="0024134B">
        <w:rPr>
          <w:rFonts w:ascii="Times New Roman" w:hAnsi="Times New Roman" w:cs="Times New Roman"/>
          <w:sz w:val="24"/>
          <w:szCs w:val="24"/>
        </w:rPr>
        <w:t xml:space="preserve"> Virginia, and Virginia. OVEC owns two 1950s-era, coal-fired power plants (“OVEC plants”): (1) Kyger Creek, a five-unit, 1,086 MW plant in Gallia County, Ohio, and (2) Clifty Creek, a six-unit, 1,303 MW plant, in Jefferson County, Indiana.</w:t>
      </w:r>
      <w:r>
        <w:rPr>
          <w:rStyle w:val="FootnoteReference"/>
          <w:rFonts w:ascii="Times New Roman" w:hAnsi="Times New Roman" w:cs="Times New Roman"/>
          <w:sz w:val="24"/>
          <w:szCs w:val="24"/>
        </w:rPr>
        <w:footnoteReference w:id="17"/>
      </w:r>
      <w:r w:rsidRPr="0024134B">
        <w:rPr>
          <w:rFonts w:ascii="Times New Roman" w:hAnsi="Times New Roman" w:cs="Times New Roman"/>
          <w:sz w:val="24"/>
          <w:szCs w:val="24"/>
        </w:rPr>
        <w:t xml:space="preserve"> The owners of OVEC, including </w:t>
      </w:r>
      <w:r w:rsidRPr="0024134B" w:rsidR="00753ADC">
        <w:rPr>
          <w:rFonts w:ascii="Times New Roman" w:hAnsi="Times New Roman" w:cs="Times New Roman"/>
          <w:sz w:val="24"/>
          <w:szCs w:val="24"/>
        </w:rPr>
        <w:t>Duke</w:t>
      </w:r>
      <w:r w:rsidRPr="0024134B">
        <w:rPr>
          <w:rFonts w:ascii="Times New Roman" w:hAnsi="Times New Roman" w:cs="Times New Roman"/>
          <w:sz w:val="24"/>
          <w:szCs w:val="24"/>
        </w:rPr>
        <w:t>, receive the output from the OVEC plants in accordance with the terms of the Inter-Company Power Agreement (“OVEC Agreement).</w:t>
      </w:r>
      <w:r>
        <w:rPr>
          <w:rStyle w:val="FootnoteReference"/>
          <w:rFonts w:ascii="Times New Roman" w:hAnsi="Times New Roman" w:cs="Times New Roman"/>
          <w:sz w:val="24"/>
          <w:szCs w:val="24"/>
        </w:rPr>
        <w:footnoteReference w:id="18"/>
      </w:r>
      <w:r w:rsidRPr="0024134B">
        <w:rPr>
          <w:rFonts w:ascii="Times New Roman" w:hAnsi="Times New Roman" w:cs="Times New Roman"/>
          <w:sz w:val="24"/>
          <w:szCs w:val="24"/>
        </w:rPr>
        <w:t xml:space="preserve"> Each participant receives output in accordance with its ownership share, and </w:t>
      </w:r>
      <w:r w:rsidRPr="0024134B" w:rsidR="00753ADC">
        <w:rPr>
          <w:rFonts w:ascii="Times New Roman" w:hAnsi="Times New Roman" w:cs="Times New Roman"/>
          <w:sz w:val="24"/>
          <w:szCs w:val="24"/>
        </w:rPr>
        <w:t>Duke</w:t>
      </w:r>
      <w:r w:rsidRPr="0024134B">
        <w:rPr>
          <w:rFonts w:ascii="Times New Roman" w:hAnsi="Times New Roman" w:cs="Times New Roman"/>
          <w:sz w:val="24"/>
          <w:szCs w:val="24"/>
        </w:rPr>
        <w:t xml:space="preserve"> has </w:t>
      </w:r>
      <w:r w:rsidRPr="0024134B" w:rsidR="00753ADC">
        <w:rPr>
          <w:rFonts w:ascii="Times New Roman" w:hAnsi="Times New Roman" w:cs="Times New Roman"/>
          <w:sz w:val="24"/>
          <w:szCs w:val="24"/>
        </w:rPr>
        <w:t xml:space="preserve">a 9% </w:t>
      </w:r>
      <w:r w:rsidRPr="0024134B">
        <w:rPr>
          <w:rFonts w:ascii="Times New Roman" w:hAnsi="Times New Roman" w:cs="Times New Roman"/>
          <w:sz w:val="24"/>
          <w:szCs w:val="24"/>
        </w:rPr>
        <w:t>ownership share among the OVEC participants.</w:t>
      </w:r>
      <w:r>
        <w:rPr>
          <w:rStyle w:val="FootnoteReference"/>
          <w:rFonts w:ascii="Times New Roman" w:hAnsi="Times New Roman" w:cs="Times New Roman"/>
          <w:sz w:val="24"/>
          <w:szCs w:val="24"/>
        </w:rPr>
        <w:footnoteReference w:id="19"/>
      </w:r>
      <w:r w:rsidRPr="0024134B" w:rsidR="003157F0">
        <w:rPr>
          <w:rFonts w:ascii="Times New Roman" w:hAnsi="Times New Roman" w:cs="Times New Roman"/>
          <w:sz w:val="24"/>
          <w:szCs w:val="24"/>
        </w:rPr>
        <w:t xml:space="preserve"> Duke is also responsible for 9% of the OVEC plants’ fixed and variable costs.</w:t>
      </w:r>
      <w:r>
        <w:rPr>
          <w:rStyle w:val="FootnoteReference"/>
          <w:rFonts w:ascii="Times New Roman" w:hAnsi="Times New Roman" w:cs="Times New Roman"/>
          <w:sz w:val="24"/>
          <w:szCs w:val="24"/>
        </w:rPr>
        <w:footnoteReference w:id="20"/>
      </w:r>
    </w:p>
    <w:p w:rsidR="00A418AF" w:rsidRPr="0024134B" w:rsidP="00A418AF" w14:paraId="7DD923F8" w14:textId="77777777">
      <w:pPr>
        <w:spacing w:after="0" w:line="480" w:lineRule="auto"/>
        <w:ind w:firstLine="720"/>
        <w:rPr>
          <w:rFonts w:ascii="Times New Roman" w:hAnsi="Times New Roman" w:cs="Times New Roman"/>
          <w:sz w:val="24"/>
          <w:szCs w:val="24"/>
        </w:rPr>
      </w:pPr>
      <w:r w:rsidRPr="0024134B">
        <w:rPr>
          <w:rFonts w:ascii="Times New Roman" w:hAnsi="Times New Roman" w:cs="Times New Roman"/>
          <w:sz w:val="24"/>
          <w:szCs w:val="24"/>
        </w:rPr>
        <w:t xml:space="preserve">The output from OVEC </w:t>
      </w:r>
      <w:r w:rsidRPr="0024134B">
        <w:rPr>
          <w:rFonts w:ascii="Times New Roman" w:hAnsi="Times New Roman" w:cs="Times New Roman"/>
          <w:i/>
          <w:iCs/>
          <w:sz w:val="24"/>
          <w:szCs w:val="24"/>
        </w:rPr>
        <w:t xml:space="preserve">does not serve </w:t>
      </w:r>
      <w:r w:rsidRPr="0024134B" w:rsidR="00753ADC">
        <w:rPr>
          <w:rFonts w:ascii="Times New Roman" w:hAnsi="Times New Roman" w:cs="Times New Roman"/>
          <w:i/>
          <w:iCs/>
          <w:sz w:val="24"/>
          <w:szCs w:val="24"/>
        </w:rPr>
        <w:t xml:space="preserve">Duke’s </w:t>
      </w:r>
      <w:r w:rsidRPr="0024134B">
        <w:rPr>
          <w:rFonts w:ascii="Times New Roman" w:hAnsi="Times New Roman" w:cs="Times New Roman"/>
          <w:i/>
          <w:iCs/>
          <w:sz w:val="24"/>
          <w:szCs w:val="24"/>
        </w:rPr>
        <w:t>consumers</w:t>
      </w:r>
      <w:r w:rsidRPr="0024134B" w:rsidR="00046A08">
        <w:rPr>
          <w:rFonts w:ascii="Times New Roman" w:hAnsi="Times New Roman" w:cs="Times New Roman"/>
          <w:i/>
          <w:iCs/>
          <w:sz w:val="24"/>
          <w:szCs w:val="24"/>
        </w:rPr>
        <w:t xml:space="preserve"> in Ohio</w:t>
      </w:r>
      <w:r w:rsidRPr="0024134B">
        <w:rPr>
          <w:rFonts w:ascii="Times New Roman" w:hAnsi="Times New Roman" w:cs="Times New Roman"/>
          <w:sz w:val="24"/>
          <w:szCs w:val="24"/>
        </w:rPr>
        <w:t>.</w:t>
      </w:r>
      <w:r>
        <w:rPr>
          <w:rStyle w:val="FootnoteReference"/>
          <w:rFonts w:ascii="Times New Roman" w:hAnsi="Times New Roman" w:cs="Times New Roman"/>
          <w:sz w:val="24"/>
          <w:szCs w:val="24"/>
        </w:rPr>
        <w:footnoteReference w:id="21"/>
      </w:r>
      <w:r w:rsidRPr="0024134B">
        <w:rPr>
          <w:rFonts w:ascii="Times New Roman" w:hAnsi="Times New Roman" w:cs="Times New Roman"/>
          <w:sz w:val="24"/>
          <w:szCs w:val="24"/>
        </w:rPr>
        <w:t xml:space="preserve"> Rather, </w:t>
      </w:r>
      <w:r w:rsidRPr="0024134B" w:rsidR="00753ADC">
        <w:rPr>
          <w:rFonts w:ascii="Times New Roman" w:hAnsi="Times New Roman" w:cs="Times New Roman"/>
          <w:sz w:val="24"/>
          <w:szCs w:val="24"/>
        </w:rPr>
        <w:t>Duke</w:t>
      </w:r>
      <w:r w:rsidRPr="0024134B">
        <w:rPr>
          <w:rFonts w:ascii="Times New Roman" w:hAnsi="Times New Roman" w:cs="Times New Roman"/>
          <w:sz w:val="24"/>
          <w:szCs w:val="24"/>
        </w:rPr>
        <w:t xml:space="preserve"> sells its portion of the OVEC output into the market through </w:t>
      </w:r>
      <w:r w:rsidRPr="0024134B" w:rsidR="00046A08">
        <w:rPr>
          <w:rFonts w:ascii="Times New Roman" w:hAnsi="Times New Roman" w:cs="Times New Roman"/>
          <w:sz w:val="24"/>
          <w:szCs w:val="24"/>
        </w:rPr>
        <w:t>PJM Interconnection, LLC (“</w:t>
      </w:r>
      <w:r w:rsidRPr="0024134B">
        <w:rPr>
          <w:rFonts w:ascii="Times New Roman" w:hAnsi="Times New Roman" w:cs="Times New Roman"/>
          <w:sz w:val="24"/>
          <w:szCs w:val="24"/>
        </w:rPr>
        <w:t>PJM</w:t>
      </w:r>
      <w:r w:rsidRPr="0024134B" w:rsidR="00046A08">
        <w:rPr>
          <w:rFonts w:ascii="Times New Roman" w:hAnsi="Times New Roman" w:cs="Times New Roman"/>
          <w:sz w:val="24"/>
          <w:szCs w:val="24"/>
        </w:rPr>
        <w:t>”)</w:t>
      </w:r>
      <w:r w:rsidRPr="0024134B">
        <w:rPr>
          <w:rFonts w:ascii="Times New Roman" w:hAnsi="Times New Roman" w:cs="Times New Roman"/>
          <w:sz w:val="24"/>
          <w:szCs w:val="24"/>
        </w:rPr>
        <w:t xml:space="preserve">, and </w:t>
      </w:r>
      <w:r w:rsidRPr="0024134B" w:rsidR="00753ADC">
        <w:rPr>
          <w:rFonts w:ascii="Times New Roman" w:hAnsi="Times New Roman" w:cs="Times New Roman"/>
          <w:sz w:val="24"/>
          <w:szCs w:val="24"/>
        </w:rPr>
        <w:t>Duke</w:t>
      </w:r>
      <w:r w:rsidRPr="0024134B">
        <w:rPr>
          <w:rFonts w:ascii="Times New Roman" w:hAnsi="Times New Roman" w:cs="Times New Roman"/>
          <w:sz w:val="24"/>
          <w:szCs w:val="24"/>
        </w:rPr>
        <w:t xml:space="preserve"> receives the revenues.</w:t>
      </w:r>
      <w:r>
        <w:rPr>
          <w:rStyle w:val="FootnoteReference"/>
          <w:rFonts w:ascii="Times New Roman" w:hAnsi="Times New Roman" w:cs="Times New Roman"/>
          <w:sz w:val="24"/>
          <w:szCs w:val="24"/>
        </w:rPr>
        <w:footnoteReference w:id="22"/>
      </w:r>
      <w:r w:rsidRPr="0024134B" w:rsidR="0004729B">
        <w:rPr>
          <w:rFonts w:ascii="Times New Roman" w:hAnsi="Times New Roman" w:cs="Times New Roman"/>
          <w:sz w:val="24"/>
          <w:szCs w:val="24"/>
        </w:rPr>
        <w:t xml:space="preserve"> The difference between the OVEC costs and the market price </w:t>
      </w:r>
      <w:r w:rsidR="00C50BBB">
        <w:rPr>
          <w:rFonts w:ascii="Times New Roman" w:hAnsi="Times New Roman" w:cs="Times New Roman"/>
          <w:sz w:val="24"/>
          <w:szCs w:val="24"/>
        </w:rPr>
        <w:t xml:space="preserve">received from PJM </w:t>
      </w:r>
      <w:r w:rsidRPr="0024134B" w:rsidR="0004729B">
        <w:rPr>
          <w:rFonts w:ascii="Times New Roman" w:hAnsi="Times New Roman" w:cs="Times New Roman"/>
          <w:sz w:val="24"/>
          <w:szCs w:val="24"/>
        </w:rPr>
        <w:t xml:space="preserve">is </w:t>
      </w:r>
      <w:r w:rsidRPr="0024134B" w:rsidR="00046A08">
        <w:rPr>
          <w:rFonts w:ascii="Times New Roman" w:hAnsi="Times New Roman" w:cs="Times New Roman"/>
          <w:sz w:val="24"/>
          <w:szCs w:val="24"/>
        </w:rPr>
        <w:t>passed on</w:t>
      </w:r>
      <w:r w:rsidRPr="0024134B" w:rsidR="0004729B">
        <w:rPr>
          <w:rFonts w:ascii="Times New Roman" w:hAnsi="Times New Roman" w:cs="Times New Roman"/>
          <w:sz w:val="24"/>
          <w:szCs w:val="24"/>
        </w:rPr>
        <w:t xml:space="preserve"> consumers as either a charge or a credit.</w:t>
      </w:r>
      <w:r>
        <w:rPr>
          <w:rStyle w:val="FootnoteReference"/>
          <w:rFonts w:ascii="Times New Roman" w:hAnsi="Times New Roman" w:cs="Times New Roman"/>
          <w:sz w:val="24"/>
          <w:szCs w:val="24"/>
        </w:rPr>
        <w:footnoteReference w:id="23"/>
      </w:r>
      <w:r w:rsidR="00980214">
        <w:rPr>
          <w:rFonts w:ascii="Times New Roman" w:hAnsi="Times New Roman" w:cs="Times New Roman"/>
          <w:sz w:val="24"/>
          <w:szCs w:val="24"/>
        </w:rPr>
        <w:t xml:space="preserve"> </w:t>
      </w:r>
      <w:r w:rsidR="00F360C5">
        <w:rPr>
          <w:rFonts w:ascii="Times New Roman" w:hAnsi="Times New Roman" w:cs="Times New Roman"/>
          <w:sz w:val="24"/>
          <w:szCs w:val="24"/>
        </w:rPr>
        <w:t xml:space="preserve">Notably, during the </w:t>
      </w:r>
      <w:r w:rsidR="00D73A70">
        <w:rPr>
          <w:rFonts w:ascii="Times New Roman" w:hAnsi="Times New Roman" w:cs="Times New Roman"/>
          <w:sz w:val="24"/>
          <w:szCs w:val="24"/>
        </w:rPr>
        <w:t>five</w:t>
      </w:r>
      <w:r w:rsidR="00432CE5">
        <w:rPr>
          <w:rFonts w:ascii="Times New Roman" w:hAnsi="Times New Roman" w:cs="Times New Roman"/>
          <w:sz w:val="24"/>
          <w:szCs w:val="24"/>
        </w:rPr>
        <w:t xml:space="preserve"> </w:t>
      </w:r>
      <w:r w:rsidR="00F360C5">
        <w:rPr>
          <w:rFonts w:ascii="Times New Roman" w:hAnsi="Times New Roman" w:cs="Times New Roman"/>
          <w:sz w:val="24"/>
          <w:szCs w:val="24"/>
        </w:rPr>
        <w:t>years that the subsidy arrangement has been in place, there has never been a</w:t>
      </w:r>
      <w:r w:rsidR="006E1AD3">
        <w:rPr>
          <w:rFonts w:ascii="Times New Roman" w:hAnsi="Times New Roman" w:cs="Times New Roman"/>
          <w:sz w:val="24"/>
          <w:szCs w:val="24"/>
        </w:rPr>
        <w:t>n annual</w:t>
      </w:r>
      <w:r w:rsidR="00F360C5">
        <w:rPr>
          <w:rFonts w:ascii="Times New Roman" w:hAnsi="Times New Roman" w:cs="Times New Roman"/>
          <w:sz w:val="24"/>
          <w:szCs w:val="24"/>
        </w:rPr>
        <w:t xml:space="preserve"> credit to consumers.</w:t>
      </w:r>
      <w:r>
        <w:rPr>
          <w:rStyle w:val="FootnoteReference"/>
          <w:rFonts w:ascii="Times New Roman" w:hAnsi="Times New Roman" w:cs="Times New Roman"/>
          <w:sz w:val="24"/>
          <w:szCs w:val="24"/>
        </w:rPr>
        <w:footnoteReference w:id="24"/>
      </w:r>
      <w:r w:rsidR="00F360C5">
        <w:rPr>
          <w:rFonts w:ascii="Times New Roman" w:hAnsi="Times New Roman" w:cs="Times New Roman"/>
          <w:sz w:val="24"/>
          <w:szCs w:val="24"/>
        </w:rPr>
        <w:t xml:space="preserve"> </w:t>
      </w:r>
      <w:r w:rsidR="006931F5">
        <w:rPr>
          <w:rFonts w:ascii="Times New Roman" w:hAnsi="Times New Roman" w:cs="Times New Roman"/>
          <w:sz w:val="24"/>
          <w:szCs w:val="24"/>
        </w:rPr>
        <w:t>Ohio consumers are financially harmed by Duke and its OVEC plants, not to mention harm from the coal-fired air pollution.</w:t>
      </w:r>
    </w:p>
    <w:p w:rsidR="005E7577" w:rsidRPr="0024134B" w:rsidP="00E218A6" w14:paraId="0E45E93E" w14:textId="77777777">
      <w:pPr>
        <w:pStyle w:val="Heading2"/>
        <w:rPr>
          <w:rFonts w:cs="Times New Roman"/>
        </w:rPr>
      </w:pPr>
      <w:bookmarkStart w:id="17" w:name="_Toc110004948"/>
      <w:bookmarkEnd w:id="15"/>
      <w:bookmarkEnd w:id="16"/>
      <w:r>
        <w:rPr>
          <w:rFonts w:cs="Times New Roman"/>
        </w:rPr>
        <w:t>Duke’s</w:t>
      </w:r>
      <w:r w:rsidRPr="0024134B">
        <w:rPr>
          <w:rFonts w:cs="Times New Roman"/>
        </w:rPr>
        <w:t xml:space="preserve"> </w:t>
      </w:r>
      <w:r>
        <w:rPr>
          <w:rFonts w:cs="Times New Roman"/>
        </w:rPr>
        <w:t>Inaptly-Named “</w:t>
      </w:r>
      <w:r w:rsidRPr="0024134B" w:rsidR="00B11AC1">
        <w:rPr>
          <w:rFonts w:cs="Times New Roman"/>
        </w:rPr>
        <w:t>Price Stabilization Rider</w:t>
      </w:r>
      <w:r>
        <w:rPr>
          <w:rFonts w:cs="Times New Roman"/>
        </w:rPr>
        <w:t>”</w:t>
      </w:r>
      <w:r w:rsidRPr="0024134B" w:rsidR="00C129E7">
        <w:rPr>
          <w:rFonts w:cs="Times New Roman"/>
        </w:rPr>
        <w:t xml:space="preserve"> and Audit</w:t>
      </w:r>
      <w:bookmarkEnd w:id="17"/>
    </w:p>
    <w:p w:rsidR="00F63409" w:rsidP="00A418AF" w14:paraId="2B11A4A6" w14:textId="77777777">
      <w:pPr>
        <w:spacing w:after="0" w:line="480" w:lineRule="auto"/>
        <w:ind w:firstLine="720"/>
        <w:rPr>
          <w:rFonts w:ascii="Times New Roman" w:hAnsi="Times New Roman" w:cs="Times New Roman"/>
          <w:sz w:val="24"/>
          <w:szCs w:val="24"/>
        </w:rPr>
      </w:pPr>
      <w:r w:rsidRPr="0024134B">
        <w:rPr>
          <w:rFonts w:ascii="Times New Roman" w:hAnsi="Times New Roman" w:cs="Times New Roman"/>
          <w:sz w:val="24"/>
          <w:szCs w:val="24"/>
        </w:rPr>
        <w:t xml:space="preserve">On June 1, 2017, Duke filed its </w:t>
      </w:r>
      <w:r w:rsidRPr="0024134B" w:rsidR="00831DF1">
        <w:rPr>
          <w:rFonts w:ascii="Times New Roman" w:hAnsi="Times New Roman" w:cs="Times New Roman"/>
          <w:sz w:val="24"/>
          <w:szCs w:val="24"/>
        </w:rPr>
        <w:t>fourth</w:t>
      </w:r>
      <w:r w:rsidRPr="0024134B">
        <w:rPr>
          <w:rFonts w:ascii="Times New Roman" w:hAnsi="Times New Roman" w:cs="Times New Roman"/>
          <w:sz w:val="24"/>
          <w:szCs w:val="24"/>
        </w:rPr>
        <w:t xml:space="preserve"> and current ESP application (</w:t>
      </w:r>
      <w:r w:rsidRPr="0024134B" w:rsidR="00831DF1">
        <w:rPr>
          <w:rFonts w:ascii="Times New Roman" w:hAnsi="Times New Roman" w:cs="Times New Roman"/>
          <w:sz w:val="24"/>
          <w:szCs w:val="24"/>
        </w:rPr>
        <w:t>“</w:t>
      </w:r>
      <w:r w:rsidRPr="0024134B">
        <w:rPr>
          <w:rFonts w:ascii="Times New Roman" w:hAnsi="Times New Roman" w:cs="Times New Roman"/>
          <w:sz w:val="24"/>
          <w:szCs w:val="24"/>
        </w:rPr>
        <w:t>ESP IV</w:t>
      </w:r>
      <w:r w:rsidRPr="0024134B" w:rsidR="00831DF1">
        <w:rPr>
          <w:rFonts w:ascii="Times New Roman" w:hAnsi="Times New Roman" w:cs="Times New Roman"/>
          <w:sz w:val="24"/>
          <w:szCs w:val="24"/>
        </w:rPr>
        <w:t>”</w:t>
      </w:r>
      <w:r w:rsidRPr="0024134B">
        <w:rPr>
          <w:rFonts w:ascii="Times New Roman" w:hAnsi="Times New Roman" w:cs="Times New Roman"/>
          <w:sz w:val="24"/>
          <w:szCs w:val="24"/>
        </w:rPr>
        <w:t xml:space="preserve">) that, among other things, proposed an extension </w:t>
      </w:r>
      <w:r w:rsidRPr="0024134B" w:rsidR="00831DF1">
        <w:rPr>
          <w:rFonts w:ascii="Times New Roman" w:hAnsi="Times New Roman" w:cs="Times New Roman"/>
          <w:sz w:val="24"/>
          <w:szCs w:val="24"/>
        </w:rPr>
        <w:t>o</w:t>
      </w:r>
      <w:r w:rsidRPr="0024134B">
        <w:rPr>
          <w:rFonts w:ascii="Times New Roman" w:hAnsi="Times New Roman" w:cs="Times New Roman"/>
          <w:sz w:val="24"/>
          <w:szCs w:val="24"/>
        </w:rPr>
        <w:t xml:space="preserve">f the </w:t>
      </w:r>
      <w:r>
        <w:rPr>
          <w:rFonts w:ascii="Times New Roman" w:hAnsi="Times New Roman" w:cs="Times New Roman"/>
          <w:sz w:val="24"/>
          <w:szCs w:val="24"/>
        </w:rPr>
        <w:t>inaptly-named “</w:t>
      </w:r>
      <w:r w:rsidRPr="0024134B">
        <w:rPr>
          <w:rFonts w:ascii="Times New Roman" w:hAnsi="Times New Roman" w:cs="Times New Roman"/>
          <w:sz w:val="24"/>
          <w:szCs w:val="24"/>
        </w:rPr>
        <w:t>Price Stabilization Rider</w:t>
      </w:r>
      <w:r>
        <w:rPr>
          <w:rFonts w:ascii="Times New Roman" w:hAnsi="Times New Roman" w:cs="Times New Roman"/>
          <w:sz w:val="24"/>
          <w:szCs w:val="24"/>
        </w:rPr>
        <w:t>”</w:t>
      </w:r>
      <w:r w:rsidRPr="0024134B">
        <w:rPr>
          <w:rFonts w:ascii="Times New Roman" w:hAnsi="Times New Roman" w:cs="Times New Roman"/>
          <w:sz w:val="24"/>
          <w:szCs w:val="24"/>
        </w:rPr>
        <w:t xml:space="preserve"> (</w:t>
      </w:r>
      <w:r w:rsidRPr="0024134B" w:rsidR="00831DF1">
        <w:rPr>
          <w:rFonts w:ascii="Times New Roman" w:hAnsi="Times New Roman" w:cs="Times New Roman"/>
          <w:sz w:val="24"/>
          <w:szCs w:val="24"/>
        </w:rPr>
        <w:t>“</w:t>
      </w:r>
      <w:r w:rsidRPr="0024134B">
        <w:rPr>
          <w:rFonts w:ascii="Times New Roman" w:hAnsi="Times New Roman" w:cs="Times New Roman"/>
          <w:sz w:val="24"/>
          <w:szCs w:val="24"/>
        </w:rPr>
        <w:t>PSR</w:t>
      </w:r>
      <w:r w:rsidRPr="0024134B" w:rsidR="00831DF1">
        <w:rPr>
          <w:rFonts w:ascii="Times New Roman" w:hAnsi="Times New Roman" w:cs="Times New Roman"/>
          <w:sz w:val="24"/>
          <w:szCs w:val="24"/>
        </w:rPr>
        <w:t>”</w:t>
      </w:r>
      <w:r w:rsidRPr="0024134B">
        <w:rPr>
          <w:rFonts w:ascii="Times New Roman" w:hAnsi="Times New Roman" w:cs="Times New Roman"/>
          <w:sz w:val="24"/>
          <w:szCs w:val="24"/>
        </w:rPr>
        <w:t>) beyond May 31, 2019.</w:t>
      </w:r>
      <w:r>
        <w:rPr>
          <w:rStyle w:val="FootnoteReference"/>
          <w:rFonts w:ascii="Times New Roman" w:hAnsi="Times New Roman" w:cs="Times New Roman"/>
          <w:sz w:val="24"/>
          <w:szCs w:val="24"/>
        </w:rPr>
        <w:footnoteReference w:id="25"/>
      </w:r>
      <w:r w:rsidRPr="0024134B" w:rsidR="006D7498">
        <w:rPr>
          <w:rFonts w:ascii="Times New Roman" w:hAnsi="Times New Roman" w:cs="Times New Roman"/>
          <w:sz w:val="24"/>
          <w:szCs w:val="24"/>
        </w:rPr>
        <w:t xml:space="preserve"> </w:t>
      </w:r>
      <w:r>
        <w:rPr>
          <w:rFonts w:ascii="Times New Roman" w:hAnsi="Times New Roman" w:cs="Times New Roman"/>
          <w:sz w:val="24"/>
          <w:szCs w:val="24"/>
        </w:rPr>
        <w:t>The name of Duke’s rider itself forfeits truth in ratemaking for Ohio consumers.</w:t>
      </w:r>
    </w:p>
    <w:p w:rsidR="00C23152" w:rsidRPr="0024134B" w:rsidP="00A418AF" w14:paraId="5EE645D3" w14:textId="77777777">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This ratemaking relates to a Duke “electric security plan,” another misnomer in regulatory naming In </w:t>
      </w:r>
      <w:r w:rsidRPr="0024134B" w:rsidR="005E7577">
        <w:rPr>
          <w:rFonts w:ascii="Times New Roman" w:hAnsi="Times New Roman" w:cs="Times New Roman"/>
          <w:sz w:val="24"/>
          <w:szCs w:val="24"/>
        </w:rPr>
        <w:t xml:space="preserve">ESP IV, the </w:t>
      </w:r>
      <w:r w:rsidRPr="0024134B" w:rsidR="000D52BA">
        <w:rPr>
          <w:rFonts w:ascii="Times New Roman" w:hAnsi="Times New Roman" w:cs="Times New Roman"/>
          <w:sz w:val="24"/>
          <w:szCs w:val="24"/>
        </w:rPr>
        <w:t>PUCO</w:t>
      </w:r>
      <w:r w:rsidRPr="0024134B" w:rsidR="005E7577">
        <w:rPr>
          <w:rFonts w:ascii="Times New Roman" w:hAnsi="Times New Roman" w:cs="Times New Roman"/>
          <w:sz w:val="24"/>
          <w:szCs w:val="24"/>
        </w:rPr>
        <w:t xml:space="preserve"> authorized </w:t>
      </w:r>
      <w:r w:rsidRPr="0024134B" w:rsidR="00AD60A8">
        <w:rPr>
          <w:rFonts w:ascii="Times New Roman" w:hAnsi="Times New Roman" w:cs="Times New Roman"/>
          <w:sz w:val="24"/>
          <w:szCs w:val="24"/>
        </w:rPr>
        <w:t>Duke</w:t>
      </w:r>
      <w:r w:rsidRPr="0024134B" w:rsidR="005E7577">
        <w:rPr>
          <w:rFonts w:ascii="Times New Roman" w:hAnsi="Times New Roman" w:cs="Times New Roman"/>
          <w:sz w:val="24"/>
          <w:szCs w:val="24"/>
        </w:rPr>
        <w:t xml:space="preserve"> to </w:t>
      </w:r>
      <w:r w:rsidRPr="0024134B" w:rsidR="00046A08">
        <w:rPr>
          <w:rFonts w:ascii="Times New Roman" w:hAnsi="Times New Roman" w:cs="Times New Roman"/>
          <w:sz w:val="24"/>
          <w:szCs w:val="24"/>
        </w:rPr>
        <w:t>charge</w:t>
      </w:r>
      <w:r w:rsidRPr="0024134B" w:rsidR="005E7577">
        <w:rPr>
          <w:rFonts w:ascii="Times New Roman" w:hAnsi="Times New Roman" w:cs="Times New Roman"/>
          <w:sz w:val="24"/>
          <w:szCs w:val="24"/>
        </w:rPr>
        <w:t xml:space="preserve"> or credi</w:t>
      </w:r>
      <w:r w:rsidRPr="0024134B" w:rsidR="00046A08">
        <w:rPr>
          <w:rFonts w:ascii="Times New Roman" w:hAnsi="Times New Roman" w:cs="Times New Roman"/>
          <w:sz w:val="24"/>
          <w:szCs w:val="24"/>
        </w:rPr>
        <w:t xml:space="preserve">t consumers </w:t>
      </w:r>
      <w:r w:rsidRPr="0024134B" w:rsidR="005E7577">
        <w:rPr>
          <w:rFonts w:ascii="Times New Roman" w:hAnsi="Times New Roman" w:cs="Times New Roman"/>
          <w:sz w:val="24"/>
          <w:szCs w:val="24"/>
        </w:rPr>
        <w:t xml:space="preserve">the net proceeds of selling OVEC energy and capacity into the PJM marketplace and OVEC costs through the </w:t>
      </w:r>
      <w:r w:rsidRPr="0024134B" w:rsidR="00046A08">
        <w:rPr>
          <w:rFonts w:ascii="Times New Roman" w:hAnsi="Times New Roman" w:cs="Times New Roman"/>
          <w:sz w:val="24"/>
          <w:szCs w:val="24"/>
        </w:rPr>
        <w:t>Price Stabilization Rider</w:t>
      </w:r>
      <w:r w:rsidRPr="0024134B" w:rsidR="005E7577">
        <w:rPr>
          <w:rFonts w:ascii="Times New Roman" w:hAnsi="Times New Roman" w:cs="Times New Roman"/>
          <w:sz w:val="24"/>
          <w:szCs w:val="24"/>
        </w:rPr>
        <w:t>.</w:t>
      </w:r>
      <w:r>
        <w:rPr>
          <w:rStyle w:val="FootnoteReference"/>
          <w:rFonts w:ascii="Times New Roman" w:hAnsi="Times New Roman" w:cs="Times New Roman"/>
          <w:sz w:val="24"/>
          <w:szCs w:val="24"/>
        </w:rPr>
        <w:footnoteReference w:id="26"/>
      </w:r>
    </w:p>
    <w:p w:rsidR="005E7577" w:rsidRPr="0024134B" w:rsidP="0004729B" w14:paraId="4311A178" w14:textId="77777777">
      <w:pPr>
        <w:spacing w:after="0" w:line="480" w:lineRule="auto"/>
        <w:ind w:firstLine="720"/>
        <w:rPr>
          <w:rFonts w:ascii="Times New Roman" w:hAnsi="Times New Roman" w:cs="Times New Roman"/>
          <w:sz w:val="24"/>
          <w:szCs w:val="24"/>
        </w:rPr>
      </w:pPr>
      <w:r w:rsidRPr="0024134B">
        <w:rPr>
          <w:rFonts w:ascii="Times New Roman" w:hAnsi="Times New Roman" w:cs="Times New Roman"/>
          <w:sz w:val="24"/>
          <w:szCs w:val="24"/>
        </w:rPr>
        <w:t xml:space="preserve">The </w:t>
      </w:r>
      <w:r w:rsidRPr="0024134B" w:rsidR="008C5C7C">
        <w:rPr>
          <w:rFonts w:ascii="Times New Roman" w:hAnsi="Times New Roman" w:cs="Times New Roman"/>
          <w:sz w:val="24"/>
          <w:szCs w:val="24"/>
        </w:rPr>
        <w:t>Price Stabilization Rider</w:t>
      </w:r>
      <w:r w:rsidRPr="0024134B">
        <w:rPr>
          <w:rFonts w:ascii="Times New Roman" w:hAnsi="Times New Roman" w:cs="Times New Roman"/>
          <w:sz w:val="24"/>
          <w:szCs w:val="24"/>
        </w:rPr>
        <w:t xml:space="preserve"> is subject to quarterly filings starting with the first billing cycle of</w:t>
      </w:r>
      <w:r w:rsidRPr="0024134B" w:rsidR="008C5C7C">
        <w:rPr>
          <w:rFonts w:ascii="Times New Roman" w:hAnsi="Times New Roman" w:cs="Times New Roman"/>
          <w:sz w:val="24"/>
          <w:szCs w:val="24"/>
        </w:rPr>
        <w:t xml:space="preserve"> </w:t>
      </w:r>
      <w:r w:rsidRPr="0024134B">
        <w:rPr>
          <w:rFonts w:ascii="Times New Roman" w:hAnsi="Times New Roman" w:cs="Times New Roman"/>
          <w:sz w:val="24"/>
          <w:szCs w:val="24"/>
        </w:rPr>
        <w:t>April 2019.</w:t>
      </w:r>
      <w:r>
        <w:rPr>
          <w:rStyle w:val="FootnoteReference"/>
          <w:rFonts w:ascii="Times New Roman" w:hAnsi="Times New Roman" w:cs="Times New Roman"/>
          <w:sz w:val="24"/>
          <w:szCs w:val="24"/>
        </w:rPr>
        <w:footnoteReference w:id="27"/>
      </w:r>
      <w:r w:rsidRPr="0024134B">
        <w:rPr>
          <w:rFonts w:ascii="Times New Roman" w:hAnsi="Times New Roman" w:cs="Times New Roman"/>
          <w:i/>
          <w:iCs/>
          <w:sz w:val="24"/>
          <w:szCs w:val="24"/>
        </w:rPr>
        <w:t xml:space="preserve"> </w:t>
      </w:r>
      <w:r w:rsidRPr="0024134B">
        <w:rPr>
          <w:rFonts w:ascii="Times New Roman" w:hAnsi="Times New Roman" w:cs="Times New Roman"/>
          <w:sz w:val="24"/>
          <w:szCs w:val="24"/>
        </w:rPr>
        <w:t xml:space="preserve">Additionally, the </w:t>
      </w:r>
      <w:r w:rsidRPr="0024134B" w:rsidR="00467CD6">
        <w:rPr>
          <w:rFonts w:ascii="Times New Roman" w:hAnsi="Times New Roman" w:cs="Times New Roman"/>
          <w:sz w:val="24"/>
          <w:szCs w:val="24"/>
        </w:rPr>
        <w:t>PUCO</w:t>
      </w:r>
      <w:r w:rsidRPr="0024134B">
        <w:rPr>
          <w:rFonts w:ascii="Times New Roman" w:hAnsi="Times New Roman" w:cs="Times New Roman"/>
          <w:sz w:val="24"/>
          <w:szCs w:val="24"/>
        </w:rPr>
        <w:t xml:space="preserve"> provided for an annual audit </w:t>
      </w:r>
      <w:r w:rsidR="006E1AD3">
        <w:rPr>
          <w:rFonts w:ascii="Times New Roman" w:hAnsi="Times New Roman" w:cs="Times New Roman"/>
          <w:sz w:val="24"/>
          <w:szCs w:val="24"/>
        </w:rPr>
        <w:t>“</w:t>
      </w:r>
      <w:r w:rsidRPr="0024134B">
        <w:rPr>
          <w:rFonts w:ascii="Times New Roman" w:hAnsi="Times New Roman" w:cs="Times New Roman"/>
          <w:i/>
          <w:iCs/>
          <w:sz w:val="24"/>
          <w:szCs w:val="24"/>
        </w:rPr>
        <w:t>to</w:t>
      </w:r>
      <w:r w:rsidRPr="0024134B" w:rsidR="006A4342">
        <w:rPr>
          <w:rFonts w:ascii="Times New Roman" w:hAnsi="Times New Roman" w:cs="Times New Roman"/>
          <w:i/>
          <w:iCs/>
          <w:sz w:val="24"/>
          <w:szCs w:val="24"/>
        </w:rPr>
        <w:t xml:space="preserve"> </w:t>
      </w:r>
      <w:r w:rsidRPr="0024134B">
        <w:rPr>
          <w:rFonts w:ascii="Times New Roman" w:hAnsi="Times New Roman" w:cs="Times New Roman"/>
          <w:i/>
          <w:iCs/>
          <w:sz w:val="24"/>
          <w:szCs w:val="24"/>
        </w:rPr>
        <w:t>establish the prudency of all costs and sales flowing through the PSR</w:t>
      </w:r>
      <w:r w:rsidR="006E1AD3">
        <w:rPr>
          <w:rFonts w:ascii="Times New Roman" w:hAnsi="Times New Roman" w:cs="Times New Roman"/>
          <w:i/>
          <w:iCs/>
          <w:sz w:val="24"/>
          <w:szCs w:val="24"/>
        </w:rPr>
        <w:t xml:space="preserve"> [Price Stabilization Rider]</w:t>
      </w:r>
      <w:r w:rsidRPr="0024134B">
        <w:rPr>
          <w:rFonts w:ascii="Times New Roman" w:hAnsi="Times New Roman" w:cs="Times New Roman"/>
          <w:i/>
          <w:iCs/>
          <w:sz w:val="24"/>
          <w:szCs w:val="24"/>
        </w:rPr>
        <w:t xml:space="preserve"> and to demonstrate</w:t>
      </w:r>
      <w:r w:rsidRPr="0024134B" w:rsidR="006A4342">
        <w:rPr>
          <w:rFonts w:ascii="Times New Roman" w:hAnsi="Times New Roman" w:cs="Times New Roman"/>
          <w:i/>
          <w:iCs/>
          <w:sz w:val="24"/>
          <w:szCs w:val="24"/>
        </w:rPr>
        <w:t xml:space="preserve"> </w:t>
      </w:r>
      <w:r w:rsidRPr="0024134B">
        <w:rPr>
          <w:rFonts w:ascii="Times New Roman" w:hAnsi="Times New Roman" w:cs="Times New Roman"/>
          <w:i/>
          <w:iCs/>
          <w:sz w:val="24"/>
          <w:szCs w:val="24"/>
        </w:rPr>
        <w:t>that the Company made reasonable efforts to transfer its contractual entitlement under the</w:t>
      </w:r>
      <w:r w:rsidRPr="0024134B" w:rsidR="00D71350">
        <w:rPr>
          <w:rFonts w:ascii="Times New Roman" w:hAnsi="Times New Roman" w:cs="Times New Roman"/>
          <w:i/>
          <w:iCs/>
          <w:sz w:val="24"/>
          <w:szCs w:val="24"/>
        </w:rPr>
        <w:t xml:space="preserve"> </w:t>
      </w:r>
      <w:r w:rsidRPr="0024134B">
        <w:rPr>
          <w:rFonts w:ascii="Times New Roman" w:hAnsi="Times New Roman" w:cs="Times New Roman"/>
          <w:i/>
          <w:iCs/>
          <w:sz w:val="24"/>
          <w:szCs w:val="24"/>
        </w:rPr>
        <w:t>Inter-Company Power Agreement.</w:t>
      </w:r>
      <w:r w:rsidR="006E1AD3">
        <w:rPr>
          <w:rFonts w:ascii="Times New Roman" w:hAnsi="Times New Roman" w:cs="Times New Roman"/>
          <w:i/>
          <w:iCs/>
          <w:sz w:val="24"/>
          <w:szCs w:val="24"/>
        </w:rPr>
        <w:t>”</w:t>
      </w:r>
      <w:r>
        <w:rPr>
          <w:rStyle w:val="FootnoteReference"/>
          <w:rFonts w:ascii="Times New Roman" w:hAnsi="Times New Roman" w:cs="Times New Roman"/>
          <w:sz w:val="24"/>
          <w:szCs w:val="24"/>
        </w:rPr>
        <w:footnoteReference w:id="28"/>
      </w:r>
      <w:r w:rsidRPr="0024134B">
        <w:rPr>
          <w:rFonts w:ascii="Times New Roman" w:hAnsi="Times New Roman" w:cs="Times New Roman"/>
          <w:sz w:val="24"/>
          <w:szCs w:val="24"/>
        </w:rPr>
        <w:t xml:space="preserve"> To assist the </w:t>
      </w:r>
      <w:r w:rsidRPr="0024134B" w:rsidR="000D52BA">
        <w:rPr>
          <w:rFonts w:ascii="Times New Roman" w:hAnsi="Times New Roman" w:cs="Times New Roman"/>
          <w:sz w:val="24"/>
          <w:szCs w:val="24"/>
        </w:rPr>
        <w:t>PUCO</w:t>
      </w:r>
      <w:r w:rsidRPr="0024134B">
        <w:rPr>
          <w:rFonts w:ascii="Times New Roman" w:hAnsi="Times New Roman" w:cs="Times New Roman"/>
          <w:sz w:val="24"/>
          <w:szCs w:val="24"/>
        </w:rPr>
        <w:t xml:space="preserve"> with the audit of </w:t>
      </w:r>
      <w:r w:rsidRPr="0024134B" w:rsidR="00AD60A8">
        <w:rPr>
          <w:rFonts w:ascii="Times New Roman" w:hAnsi="Times New Roman" w:cs="Times New Roman"/>
          <w:sz w:val="24"/>
          <w:szCs w:val="24"/>
        </w:rPr>
        <w:t>Duke</w:t>
      </w:r>
      <w:r w:rsidRPr="0024134B">
        <w:rPr>
          <w:rFonts w:ascii="Times New Roman" w:hAnsi="Times New Roman" w:cs="Times New Roman"/>
          <w:sz w:val="24"/>
          <w:szCs w:val="24"/>
        </w:rPr>
        <w:t xml:space="preserve">’s </w:t>
      </w:r>
      <w:r w:rsidRPr="0024134B" w:rsidR="008C5C7C">
        <w:rPr>
          <w:rFonts w:ascii="Times New Roman" w:hAnsi="Times New Roman" w:cs="Times New Roman"/>
          <w:sz w:val="24"/>
          <w:szCs w:val="24"/>
        </w:rPr>
        <w:t>Price Stabilization Rider</w:t>
      </w:r>
      <w:r w:rsidRPr="0024134B">
        <w:rPr>
          <w:rFonts w:ascii="Times New Roman" w:hAnsi="Times New Roman" w:cs="Times New Roman"/>
          <w:sz w:val="24"/>
          <w:szCs w:val="24"/>
        </w:rPr>
        <w:t xml:space="preserve"> for the period of January 1, 2019, through December 31, 2019, the </w:t>
      </w:r>
      <w:r w:rsidRPr="0024134B" w:rsidR="008C5C7C">
        <w:rPr>
          <w:rFonts w:ascii="Times New Roman" w:hAnsi="Times New Roman" w:cs="Times New Roman"/>
          <w:sz w:val="24"/>
          <w:szCs w:val="24"/>
        </w:rPr>
        <w:t>PUCO</w:t>
      </w:r>
      <w:r w:rsidRPr="0024134B">
        <w:rPr>
          <w:rFonts w:ascii="Times New Roman" w:hAnsi="Times New Roman" w:cs="Times New Roman"/>
          <w:sz w:val="24"/>
          <w:szCs w:val="24"/>
        </w:rPr>
        <w:t xml:space="preserve"> direct</w:t>
      </w:r>
      <w:r w:rsidRPr="0024134B" w:rsidR="00831DF1">
        <w:rPr>
          <w:rFonts w:ascii="Times New Roman" w:hAnsi="Times New Roman" w:cs="Times New Roman"/>
          <w:sz w:val="24"/>
          <w:szCs w:val="24"/>
        </w:rPr>
        <w:t>ed</w:t>
      </w:r>
      <w:r w:rsidRPr="0024134B">
        <w:rPr>
          <w:rFonts w:ascii="Times New Roman" w:hAnsi="Times New Roman" w:cs="Times New Roman"/>
          <w:sz w:val="24"/>
          <w:szCs w:val="24"/>
        </w:rPr>
        <w:t xml:space="preserve"> </w:t>
      </w:r>
      <w:r w:rsidRPr="0024134B" w:rsidR="008C5C7C">
        <w:rPr>
          <w:rFonts w:ascii="Times New Roman" w:hAnsi="Times New Roman" w:cs="Times New Roman"/>
          <w:sz w:val="24"/>
          <w:szCs w:val="24"/>
        </w:rPr>
        <w:t xml:space="preserve">its </w:t>
      </w:r>
      <w:r w:rsidRPr="0024134B">
        <w:rPr>
          <w:rFonts w:ascii="Times New Roman" w:hAnsi="Times New Roman" w:cs="Times New Roman"/>
          <w:sz w:val="24"/>
          <w:szCs w:val="24"/>
        </w:rPr>
        <w:t>Staff to issue a request for proposal (</w:t>
      </w:r>
      <w:r w:rsidRPr="0024134B" w:rsidR="00046A08">
        <w:rPr>
          <w:rFonts w:ascii="Times New Roman" w:hAnsi="Times New Roman" w:cs="Times New Roman"/>
          <w:sz w:val="24"/>
          <w:szCs w:val="24"/>
        </w:rPr>
        <w:t>“</w:t>
      </w:r>
      <w:r w:rsidRPr="0024134B">
        <w:rPr>
          <w:rFonts w:ascii="Times New Roman" w:hAnsi="Times New Roman" w:cs="Times New Roman"/>
          <w:sz w:val="24"/>
          <w:szCs w:val="24"/>
        </w:rPr>
        <w:t>RFP</w:t>
      </w:r>
      <w:r w:rsidRPr="0024134B" w:rsidR="00046A08">
        <w:rPr>
          <w:rFonts w:ascii="Times New Roman" w:hAnsi="Times New Roman" w:cs="Times New Roman"/>
          <w:sz w:val="24"/>
          <w:szCs w:val="24"/>
        </w:rPr>
        <w:t>”</w:t>
      </w:r>
      <w:r w:rsidRPr="0024134B">
        <w:rPr>
          <w:rFonts w:ascii="Times New Roman" w:hAnsi="Times New Roman" w:cs="Times New Roman"/>
          <w:sz w:val="24"/>
          <w:szCs w:val="24"/>
        </w:rPr>
        <w:t>) for audit services.</w:t>
      </w:r>
      <w:r>
        <w:rPr>
          <w:rStyle w:val="FootnoteReference"/>
          <w:rFonts w:ascii="Times New Roman" w:hAnsi="Times New Roman" w:cs="Times New Roman"/>
          <w:sz w:val="24"/>
          <w:szCs w:val="24"/>
        </w:rPr>
        <w:footnoteReference w:id="29"/>
      </w:r>
      <w:r w:rsidRPr="0024134B" w:rsidR="006D7498">
        <w:rPr>
          <w:rFonts w:ascii="Times New Roman" w:hAnsi="Times New Roman" w:cs="Times New Roman"/>
          <w:sz w:val="24"/>
          <w:szCs w:val="24"/>
        </w:rPr>
        <w:t xml:space="preserve"> </w:t>
      </w:r>
      <w:r w:rsidRPr="0024134B">
        <w:rPr>
          <w:rFonts w:ascii="Times New Roman" w:hAnsi="Times New Roman" w:cs="Times New Roman"/>
          <w:sz w:val="24"/>
          <w:szCs w:val="24"/>
        </w:rPr>
        <w:t xml:space="preserve">Simply stated, </w:t>
      </w:r>
      <w:r w:rsidRPr="0024134B" w:rsidR="00046A08">
        <w:rPr>
          <w:rFonts w:ascii="Times New Roman" w:hAnsi="Times New Roman" w:cs="Times New Roman"/>
          <w:sz w:val="24"/>
          <w:szCs w:val="24"/>
        </w:rPr>
        <w:t>the Audit</w:t>
      </w:r>
      <w:r w:rsidRPr="0024134B">
        <w:rPr>
          <w:rFonts w:ascii="Times New Roman" w:hAnsi="Times New Roman" w:cs="Times New Roman"/>
          <w:sz w:val="24"/>
          <w:szCs w:val="24"/>
        </w:rPr>
        <w:t xml:space="preserve"> was to be a performance and prudency audit for the 2019 calendar year.</w:t>
      </w:r>
      <w:r>
        <w:rPr>
          <w:rStyle w:val="FootnoteReference"/>
          <w:rFonts w:ascii="Times New Roman" w:hAnsi="Times New Roman" w:cs="Times New Roman"/>
          <w:sz w:val="24"/>
          <w:szCs w:val="24"/>
        </w:rPr>
        <w:footnoteReference w:id="30"/>
      </w:r>
      <w:r w:rsidRPr="0024134B" w:rsidR="006D7498">
        <w:rPr>
          <w:rFonts w:ascii="Times New Roman" w:hAnsi="Times New Roman" w:cs="Times New Roman"/>
          <w:sz w:val="24"/>
          <w:szCs w:val="24"/>
        </w:rPr>
        <w:t xml:space="preserve"> </w:t>
      </w:r>
    </w:p>
    <w:p w:rsidR="0055799B" w:rsidRPr="0024134B" w:rsidP="000D52BA" w14:paraId="166C4F10" w14:textId="77777777">
      <w:pPr>
        <w:spacing w:after="0" w:line="480" w:lineRule="auto"/>
        <w:rPr>
          <w:rFonts w:ascii="Times New Roman" w:hAnsi="Times New Roman" w:cs="Times New Roman"/>
          <w:sz w:val="24"/>
          <w:szCs w:val="24"/>
        </w:rPr>
      </w:pPr>
      <w:r w:rsidRPr="0024134B">
        <w:rPr>
          <w:rFonts w:ascii="Times New Roman" w:hAnsi="Times New Roman" w:cs="Times New Roman"/>
          <w:sz w:val="24"/>
          <w:szCs w:val="24"/>
        </w:rPr>
        <w:tab/>
        <w:t xml:space="preserve">The </w:t>
      </w:r>
      <w:r w:rsidRPr="0024134B" w:rsidR="008C5C7C">
        <w:rPr>
          <w:rFonts w:ascii="Times New Roman" w:hAnsi="Times New Roman" w:cs="Times New Roman"/>
          <w:sz w:val="24"/>
          <w:szCs w:val="24"/>
        </w:rPr>
        <w:t>A</w:t>
      </w:r>
      <w:r w:rsidRPr="0024134B">
        <w:rPr>
          <w:rFonts w:ascii="Times New Roman" w:hAnsi="Times New Roman" w:cs="Times New Roman"/>
          <w:sz w:val="24"/>
          <w:szCs w:val="24"/>
        </w:rPr>
        <w:t>udito</w:t>
      </w:r>
      <w:r w:rsidRPr="0024134B" w:rsidR="00046A08">
        <w:rPr>
          <w:rFonts w:ascii="Times New Roman" w:hAnsi="Times New Roman" w:cs="Times New Roman"/>
          <w:sz w:val="24"/>
          <w:szCs w:val="24"/>
        </w:rPr>
        <w:t xml:space="preserve">r’s task was </w:t>
      </w:r>
      <w:r w:rsidRPr="0024134B">
        <w:rPr>
          <w:rFonts w:ascii="Times New Roman" w:hAnsi="Times New Roman" w:cs="Times New Roman"/>
          <w:sz w:val="24"/>
          <w:szCs w:val="24"/>
        </w:rPr>
        <w:t>to review the prudency of unit scheduling and bidding of energy into PJM-administered wholesale markets, including day-ahead and real-time energy markets.</w:t>
      </w:r>
      <w:r>
        <w:rPr>
          <w:rStyle w:val="FootnoteReference"/>
          <w:rFonts w:ascii="Times New Roman" w:hAnsi="Times New Roman" w:cs="Times New Roman"/>
          <w:sz w:val="24"/>
          <w:szCs w:val="24"/>
        </w:rPr>
        <w:footnoteReference w:id="31"/>
      </w:r>
      <w:r w:rsidRPr="0024134B" w:rsidR="006D7498">
        <w:rPr>
          <w:rFonts w:ascii="Times New Roman" w:hAnsi="Times New Roman" w:cs="Times New Roman"/>
          <w:sz w:val="24"/>
          <w:szCs w:val="24"/>
        </w:rPr>
        <w:t xml:space="preserve"> </w:t>
      </w:r>
      <w:r w:rsidRPr="0024134B">
        <w:rPr>
          <w:rFonts w:ascii="Times New Roman" w:hAnsi="Times New Roman" w:cs="Times New Roman"/>
          <w:sz w:val="24"/>
          <w:szCs w:val="24"/>
        </w:rPr>
        <w:t>By its very definition, “prudency” means marked by wisdom, shrewd in the management of practical matters, even frugal.</w:t>
      </w:r>
      <w:r>
        <w:rPr>
          <w:rStyle w:val="FootnoteReference"/>
          <w:rFonts w:ascii="Times New Roman" w:hAnsi="Times New Roman" w:cs="Times New Roman"/>
          <w:sz w:val="24"/>
          <w:szCs w:val="24"/>
        </w:rPr>
        <w:footnoteReference w:id="32"/>
      </w:r>
      <w:r w:rsidRPr="0024134B" w:rsidR="006D7498">
        <w:rPr>
          <w:rFonts w:ascii="Times New Roman" w:hAnsi="Times New Roman" w:cs="Times New Roman"/>
          <w:sz w:val="24"/>
          <w:szCs w:val="24"/>
        </w:rPr>
        <w:t xml:space="preserve"> </w:t>
      </w:r>
      <w:r w:rsidRPr="0024134B">
        <w:rPr>
          <w:rFonts w:ascii="Times New Roman" w:hAnsi="Times New Roman" w:cs="Times New Roman"/>
          <w:sz w:val="24"/>
          <w:szCs w:val="24"/>
        </w:rPr>
        <w:t xml:space="preserve">Accordingly, the </w:t>
      </w:r>
      <w:r w:rsidRPr="0024134B" w:rsidR="00046A08">
        <w:rPr>
          <w:rFonts w:ascii="Times New Roman" w:hAnsi="Times New Roman" w:cs="Times New Roman"/>
          <w:sz w:val="24"/>
          <w:szCs w:val="24"/>
        </w:rPr>
        <w:t>A</w:t>
      </w:r>
      <w:r w:rsidRPr="0024134B">
        <w:rPr>
          <w:rFonts w:ascii="Times New Roman" w:hAnsi="Times New Roman" w:cs="Times New Roman"/>
          <w:sz w:val="24"/>
          <w:szCs w:val="24"/>
        </w:rPr>
        <w:t>uditor ha</w:t>
      </w:r>
      <w:r w:rsidRPr="0024134B" w:rsidR="00831DF1">
        <w:rPr>
          <w:rFonts w:ascii="Times New Roman" w:hAnsi="Times New Roman" w:cs="Times New Roman"/>
          <w:sz w:val="24"/>
          <w:szCs w:val="24"/>
        </w:rPr>
        <w:t>d</w:t>
      </w:r>
      <w:r w:rsidRPr="0024134B">
        <w:rPr>
          <w:rFonts w:ascii="Times New Roman" w:hAnsi="Times New Roman" w:cs="Times New Roman"/>
          <w:sz w:val="24"/>
          <w:szCs w:val="24"/>
        </w:rPr>
        <w:t xml:space="preserve"> to review </w:t>
      </w:r>
      <w:r w:rsidRPr="0024134B" w:rsidR="00AD60A8">
        <w:rPr>
          <w:rFonts w:ascii="Times New Roman" w:hAnsi="Times New Roman" w:cs="Times New Roman"/>
          <w:sz w:val="24"/>
          <w:szCs w:val="24"/>
        </w:rPr>
        <w:t>Duke</w:t>
      </w:r>
      <w:r w:rsidRPr="0024134B" w:rsidR="000D52BA">
        <w:rPr>
          <w:rFonts w:ascii="Times New Roman" w:hAnsi="Times New Roman" w:cs="Times New Roman"/>
          <w:sz w:val="24"/>
          <w:szCs w:val="24"/>
        </w:rPr>
        <w:t>’</w:t>
      </w:r>
      <w:r w:rsidRPr="0024134B">
        <w:rPr>
          <w:rFonts w:ascii="Times New Roman" w:hAnsi="Times New Roman" w:cs="Times New Roman"/>
          <w:sz w:val="24"/>
          <w:szCs w:val="24"/>
        </w:rPr>
        <w:t>s decisions</w:t>
      </w:r>
      <w:r w:rsidRPr="0024134B" w:rsidR="00046A08">
        <w:rPr>
          <w:rFonts w:ascii="Times New Roman" w:hAnsi="Times New Roman" w:cs="Times New Roman"/>
          <w:sz w:val="24"/>
          <w:szCs w:val="24"/>
        </w:rPr>
        <w:t xml:space="preserve"> regarding OVEC</w:t>
      </w:r>
      <w:r w:rsidRPr="0024134B">
        <w:rPr>
          <w:rFonts w:ascii="Times New Roman" w:hAnsi="Times New Roman" w:cs="Times New Roman"/>
          <w:sz w:val="24"/>
          <w:szCs w:val="24"/>
        </w:rPr>
        <w:t xml:space="preserve"> and decide whether they were prudent or not prudent.</w:t>
      </w:r>
      <w:r>
        <w:rPr>
          <w:rStyle w:val="FootnoteReference"/>
          <w:rFonts w:ascii="Times New Roman" w:hAnsi="Times New Roman" w:cs="Times New Roman"/>
          <w:sz w:val="24"/>
          <w:szCs w:val="24"/>
        </w:rPr>
        <w:footnoteReference w:id="33"/>
      </w:r>
      <w:r w:rsidRPr="0024134B" w:rsidR="006D7498">
        <w:rPr>
          <w:rFonts w:ascii="Times New Roman" w:hAnsi="Times New Roman" w:cs="Times New Roman"/>
          <w:sz w:val="24"/>
          <w:szCs w:val="24"/>
        </w:rPr>
        <w:t xml:space="preserve"> </w:t>
      </w:r>
    </w:p>
    <w:p w:rsidR="004C0863" w:rsidP="004C0863" w14:paraId="5421E3D1" w14:textId="77777777">
      <w:pPr>
        <w:spacing w:after="0" w:line="480" w:lineRule="auto"/>
        <w:ind w:firstLine="720"/>
        <w:rPr>
          <w:rFonts w:ascii="Times New Roman" w:hAnsi="Times New Roman" w:cs="Times New Roman"/>
          <w:sz w:val="24"/>
          <w:szCs w:val="24"/>
        </w:rPr>
      </w:pPr>
      <w:r w:rsidRPr="0024134B">
        <w:rPr>
          <w:rFonts w:ascii="Times New Roman" w:hAnsi="Times New Roman" w:cs="Times New Roman"/>
          <w:sz w:val="24"/>
          <w:szCs w:val="24"/>
        </w:rPr>
        <w:t xml:space="preserve">The </w:t>
      </w:r>
      <w:r w:rsidRPr="0024134B" w:rsidR="00046A08">
        <w:rPr>
          <w:rFonts w:ascii="Times New Roman" w:hAnsi="Times New Roman" w:cs="Times New Roman"/>
          <w:sz w:val="24"/>
          <w:szCs w:val="24"/>
        </w:rPr>
        <w:t>A</w:t>
      </w:r>
      <w:r w:rsidRPr="0024134B">
        <w:rPr>
          <w:rFonts w:ascii="Times New Roman" w:hAnsi="Times New Roman" w:cs="Times New Roman"/>
          <w:sz w:val="24"/>
          <w:szCs w:val="24"/>
        </w:rPr>
        <w:t xml:space="preserve">uditor also was tasked with determining whether all </w:t>
      </w:r>
      <w:r w:rsidRPr="0024134B" w:rsidR="003174A8">
        <w:rPr>
          <w:rFonts w:ascii="Times New Roman" w:hAnsi="Times New Roman" w:cs="Times New Roman"/>
          <w:sz w:val="24"/>
          <w:szCs w:val="24"/>
        </w:rPr>
        <w:t xml:space="preserve">of </w:t>
      </w:r>
      <w:r w:rsidRPr="0024134B">
        <w:rPr>
          <w:rFonts w:ascii="Times New Roman" w:hAnsi="Times New Roman" w:cs="Times New Roman"/>
          <w:sz w:val="24"/>
          <w:szCs w:val="24"/>
        </w:rPr>
        <w:t>OVEC’s fuel (i.e., coal) and variable operations and maintenance (</w:t>
      </w:r>
      <w:r w:rsidRPr="0024134B" w:rsidR="00831DF1">
        <w:rPr>
          <w:rFonts w:ascii="Times New Roman" w:hAnsi="Times New Roman" w:cs="Times New Roman"/>
          <w:sz w:val="24"/>
          <w:szCs w:val="24"/>
        </w:rPr>
        <w:t>“</w:t>
      </w:r>
      <w:r w:rsidRPr="0024134B">
        <w:rPr>
          <w:rFonts w:ascii="Times New Roman" w:hAnsi="Times New Roman" w:cs="Times New Roman"/>
          <w:sz w:val="24"/>
          <w:szCs w:val="24"/>
        </w:rPr>
        <w:t>O&amp;M</w:t>
      </w:r>
      <w:r w:rsidRPr="0024134B" w:rsidR="00831DF1">
        <w:rPr>
          <w:rFonts w:ascii="Times New Roman" w:hAnsi="Times New Roman" w:cs="Times New Roman"/>
          <w:sz w:val="24"/>
          <w:szCs w:val="24"/>
        </w:rPr>
        <w:t>”</w:t>
      </w:r>
      <w:r w:rsidRPr="0024134B">
        <w:rPr>
          <w:rFonts w:ascii="Times New Roman" w:hAnsi="Times New Roman" w:cs="Times New Roman"/>
          <w:sz w:val="24"/>
          <w:szCs w:val="24"/>
        </w:rPr>
        <w:t xml:space="preserve">) related expenses were prudently incurred and properly allocated to </w:t>
      </w:r>
      <w:r w:rsidRPr="0024134B" w:rsidR="00AD60A8">
        <w:rPr>
          <w:rFonts w:ascii="Times New Roman" w:hAnsi="Times New Roman" w:cs="Times New Roman"/>
          <w:sz w:val="24"/>
          <w:szCs w:val="24"/>
        </w:rPr>
        <w:t>Duke</w:t>
      </w:r>
      <w:r w:rsidRPr="0024134B">
        <w:rPr>
          <w:rFonts w:ascii="Times New Roman" w:hAnsi="Times New Roman" w:cs="Times New Roman"/>
          <w:sz w:val="24"/>
          <w:szCs w:val="24"/>
        </w:rPr>
        <w:t>.</w:t>
      </w:r>
      <w:r>
        <w:rPr>
          <w:rStyle w:val="FootnoteReference"/>
          <w:rFonts w:ascii="Times New Roman" w:hAnsi="Times New Roman" w:cs="Times New Roman"/>
          <w:sz w:val="24"/>
          <w:szCs w:val="24"/>
        </w:rPr>
        <w:footnoteReference w:id="34"/>
      </w:r>
      <w:r w:rsidRPr="0024134B">
        <w:rPr>
          <w:rFonts w:ascii="Times New Roman" w:hAnsi="Times New Roman" w:cs="Times New Roman"/>
          <w:sz w:val="24"/>
          <w:szCs w:val="24"/>
        </w:rPr>
        <w:t xml:space="preserve"> The </w:t>
      </w:r>
      <w:r w:rsidRPr="0024134B" w:rsidR="003174A8">
        <w:rPr>
          <w:rFonts w:ascii="Times New Roman" w:hAnsi="Times New Roman" w:cs="Times New Roman"/>
          <w:sz w:val="24"/>
          <w:szCs w:val="24"/>
        </w:rPr>
        <w:t>A</w:t>
      </w:r>
      <w:r w:rsidRPr="0024134B">
        <w:rPr>
          <w:rFonts w:ascii="Times New Roman" w:hAnsi="Times New Roman" w:cs="Times New Roman"/>
          <w:sz w:val="24"/>
          <w:szCs w:val="24"/>
        </w:rPr>
        <w:t>uditor’s investigation also needed to include a comparison between incurred fuel costs and market prices</w:t>
      </w:r>
      <w:r w:rsidR="006E1AD3">
        <w:rPr>
          <w:rFonts w:ascii="Times New Roman" w:hAnsi="Times New Roman" w:cs="Times New Roman"/>
          <w:sz w:val="24"/>
          <w:szCs w:val="24"/>
        </w:rPr>
        <w:t xml:space="preserve"> of fuel</w:t>
      </w:r>
      <w:r w:rsidRPr="0024134B">
        <w:rPr>
          <w:rFonts w:ascii="Times New Roman" w:hAnsi="Times New Roman" w:cs="Times New Roman"/>
          <w:sz w:val="24"/>
          <w:szCs w:val="24"/>
        </w:rPr>
        <w:t xml:space="preserve"> to evaluate the reasonableness of fuel expenses during the audit period</w:t>
      </w:r>
      <w:r>
        <w:rPr>
          <w:rStyle w:val="FootnoteReference"/>
          <w:rFonts w:ascii="Times New Roman" w:hAnsi="Times New Roman" w:cs="Times New Roman"/>
          <w:sz w:val="24"/>
          <w:szCs w:val="24"/>
        </w:rPr>
        <w:footnoteReference w:id="35"/>
      </w:r>
      <w:r w:rsidRPr="0024134B" w:rsidR="009E00C9">
        <w:rPr>
          <w:rFonts w:ascii="Times New Roman" w:hAnsi="Times New Roman" w:cs="Times New Roman"/>
          <w:sz w:val="24"/>
          <w:szCs w:val="24"/>
        </w:rPr>
        <w:t xml:space="preserve"> and make certain they </w:t>
      </w:r>
      <w:r w:rsidRPr="0024134B" w:rsidR="00831DF1">
        <w:rPr>
          <w:rFonts w:ascii="Times New Roman" w:hAnsi="Times New Roman" w:cs="Times New Roman"/>
          <w:sz w:val="24"/>
          <w:szCs w:val="24"/>
        </w:rPr>
        <w:t>we</w:t>
      </w:r>
      <w:r w:rsidRPr="0024134B" w:rsidR="009E00C9">
        <w:rPr>
          <w:rFonts w:ascii="Times New Roman" w:hAnsi="Times New Roman" w:cs="Times New Roman"/>
          <w:sz w:val="24"/>
          <w:szCs w:val="24"/>
        </w:rPr>
        <w:t>re prudently incurred.</w:t>
      </w:r>
      <w:r>
        <w:rPr>
          <w:rStyle w:val="FootnoteReference"/>
          <w:rFonts w:ascii="Times New Roman" w:hAnsi="Times New Roman" w:cs="Times New Roman"/>
          <w:sz w:val="24"/>
          <w:szCs w:val="24"/>
        </w:rPr>
        <w:footnoteReference w:id="36"/>
      </w:r>
      <w:r w:rsidRPr="0024134B" w:rsidR="006D7498">
        <w:rPr>
          <w:rFonts w:ascii="Times New Roman" w:hAnsi="Times New Roman" w:cs="Times New Roman"/>
          <w:sz w:val="24"/>
          <w:szCs w:val="24"/>
        </w:rPr>
        <w:t xml:space="preserve"> </w:t>
      </w:r>
      <w:r w:rsidRPr="0024134B">
        <w:rPr>
          <w:rFonts w:ascii="Times New Roman" w:hAnsi="Times New Roman" w:cs="Times New Roman"/>
          <w:sz w:val="24"/>
          <w:szCs w:val="24"/>
        </w:rPr>
        <w:t xml:space="preserve">The </w:t>
      </w:r>
      <w:r w:rsidRPr="0024134B" w:rsidR="003174A8">
        <w:rPr>
          <w:rFonts w:ascii="Times New Roman" w:hAnsi="Times New Roman" w:cs="Times New Roman"/>
          <w:sz w:val="24"/>
          <w:szCs w:val="24"/>
        </w:rPr>
        <w:t>A</w:t>
      </w:r>
      <w:r w:rsidRPr="0024134B">
        <w:rPr>
          <w:rFonts w:ascii="Times New Roman" w:hAnsi="Times New Roman" w:cs="Times New Roman"/>
          <w:sz w:val="24"/>
          <w:szCs w:val="24"/>
        </w:rPr>
        <w:t xml:space="preserve">uditor also was supposed to ensure that only prudently incurred costs were included </w:t>
      </w:r>
      <w:r>
        <w:rPr>
          <w:rFonts w:ascii="Times New Roman" w:hAnsi="Times New Roman" w:cs="Times New Roman"/>
          <w:sz w:val="24"/>
          <w:szCs w:val="24"/>
        </w:rPr>
        <w:t>in charges to consumers</w:t>
      </w:r>
      <w:r w:rsidRPr="0024134B">
        <w:rPr>
          <w:rFonts w:ascii="Times New Roman" w:hAnsi="Times New Roman" w:cs="Times New Roman"/>
          <w:sz w:val="24"/>
          <w:szCs w:val="24"/>
        </w:rPr>
        <w:t xml:space="preserve">, and that any and all costs that have been deemed to be ineligible for recovery by the </w:t>
      </w:r>
      <w:r w:rsidRPr="0024134B" w:rsidR="00C129E7">
        <w:rPr>
          <w:rFonts w:ascii="Times New Roman" w:hAnsi="Times New Roman" w:cs="Times New Roman"/>
          <w:sz w:val="24"/>
          <w:szCs w:val="24"/>
        </w:rPr>
        <w:t>PUCO</w:t>
      </w:r>
      <w:r w:rsidRPr="0024134B">
        <w:rPr>
          <w:rFonts w:ascii="Times New Roman" w:hAnsi="Times New Roman" w:cs="Times New Roman"/>
          <w:sz w:val="24"/>
          <w:szCs w:val="24"/>
        </w:rPr>
        <w:t xml:space="preserve"> </w:t>
      </w:r>
      <w:r w:rsidRPr="0024134B" w:rsidR="00831DF1">
        <w:rPr>
          <w:rFonts w:ascii="Times New Roman" w:hAnsi="Times New Roman" w:cs="Times New Roman"/>
          <w:sz w:val="24"/>
          <w:szCs w:val="24"/>
        </w:rPr>
        <w:t>were</w:t>
      </w:r>
      <w:r w:rsidRPr="0024134B">
        <w:rPr>
          <w:rFonts w:ascii="Times New Roman" w:hAnsi="Times New Roman" w:cs="Times New Roman"/>
          <w:sz w:val="24"/>
          <w:szCs w:val="24"/>
        </w:rPr>
        <w:t xml:space="preserve"> appropriately excluded.</w:t>
      </w:r>
      <w:r>
        <w:rPr>
          <w:rStyle w:val="FootnoteReference"/>
          <w:rFonts w:ascii="Times New Roman" w:hAnsi="Times New Roman" w:cs="Times New Roman"/>
          <w:sz w:val="24"/>
          <w:szCs w:val="24"/>
        </w:rPr>
        <w:footnoteReference w:id="37"/>
      </w:r>
      <w:r w:rsidRPr="0024134B" w:rsidR="006D7498">
        <w:rPr>
          <w:rFonts w:ascii="Times New Roman" w:hAnsi="Times New Roman" w:cs="Times New Roman"/>
          <w:sz w:val="24"/>
          <w:szCs w:val="24"/>
        </w:rPr>
        <w:t xml:space="preserve"> </w:t>
      </w:r>
    </w:p>
    <w:p w:rsidR="004C0863" w:rsidP="004C0863" w14:paraId="332D9BF3" w14:textId="77777777">
      <w:pPr>
        <w:spacing w:after="0" w:line="480" w:lineRule="auto"/>
        <w:ind w:firstLine="720"/>
        <w:rPr>
          <w:rFonts w:ascii="Times New Roman" w:hAnsi="Times New Roman" w:cs="Times New Roman"/>
          <w:sz w:val="24"/>
          <w:szCs w:val="24"/>
        </w:rPr>
      </w:pPr>
      <w:r w:rsidRPr="0024134B">
        <w:rPr>
          <w:rFonts w:ascii="Times New Roman" w:hAnsi="Times New Roman" w:cs="Times New Roman"/>
          <w:sz w:val="24"/>
          <w:szCs w:val="24"/>
        </w:rPr>
        <w:t>In other words, t</w:t>
      </w:r>
      <w:r w:rsidRPr="0024134B" w:rsidR="009E00C9">
        <w:rPr>
          <w:rFonts w:ascii="Times New Roman" w:hAnsi="Times New Roman" w:cs="Times New Roman"/>
          <w:sz w:val="24"/>
          <w:szCs w:val="24"/>
        </w:rPr>
        <w:t xml:space="preserve">he purpose and scope of the audit is built upon </w:t>
      </w:r>
      <w:r w:rsidR="00C34E44">
        <w:rPr>
          <w:rFonts w:ascii="Times New Roman" w:hAnsi="Times New Roman" w:cs="Times New Roman"/>
          <w:sz w:val="24"/>
          <w:szCs w:val="24"/>
        </w:rPr>
        <w:t>the “prudence” standard specified by the PUCO</w:t>
      </w:r>
      <w:r>
        <w:rPr>
          <w:rStyle w:val="FootnoteReference"/>
          <w:rFonts w:ascii="Times New Roman" w:hAnsi="Times New Roman" w:cs="Times New Roman"/>
          <w:sz w:val="24"/>
          <w:szCs w:val="24"/>
        </w:rPr>
        <w:footnoteReference w:id="38"/>
      </w:r>
      <w:r>
        <w:rPr>
          <w:rFonts w:ascii="Times New Roman" w:hAnsi="Times New Roman" w:cs="Times New Roman"/>
          <w:sz w:val="24"/>
          <w:szCs w:val="24"/>
        </w:rPr>
        <w:t>. It’s not founded on terms like</w:t>
      </w:r>
      <w:r w:rsidRPr="0024134B" w:rsidR="009E00C9">
        <w:rPr>
          <w:rFonts w:ascii="Times New Roman" w:hAnsi="Times New Roman" w:cs="Times New Roman"/>
          <w:sz w:val="24"/>
          <w:szCs w:val="24"/>
        </w:rPr>
        <w:t xml:space="preserve"> “fairly prudent”</w:t>
      </w:r>
      <w:r>
        <w:rPr>
          <w:rStyle w:val="FootnoteReference"/>
          <w:rFonts w:ascii="Times New Roman" w:hAnsi="Times New Roman" w:cs="Times New Roman"/>
          <w:sz w:val="24"/>
          <w:szCs w:val="24"/>
        </w:rPr>
        <w:footnoteReference w:id="39"/>
      </w:r>
      <w:r w:rsidRPr="0024134B" w:rsidR="009E00C9">
        <w:rPr>
          <w:rFonts w:ascii="Times New Roman" w:hAnsi="Times New Roman" w:cs="Times New Roman"/>
          <w:sz w:val="24"/>
          <w:szCs w:val="24"/>
        </w:rPr>
        <w:t xml:space="preserve"> or “mostly adequate”</w:t>
      </w:r>
      <w:r w:rsidRPr="0024134B" w:rsidR="00C129E7">
        <w:rPr>
          <w:rFonts w:ascii="Times New Roman" w:hAnsi="Times New Roman" w:cs="Times New Roman"/>
          <w:sz w:val="24"/>
          <w:szCs w:val="24"/>
        </w:rPr>
        <w:t xml:space="preserve"> as cited by the </w:t>
      </w:r>
      <w:r w:rsidRPr="0024134B" w:rsidR="008C5C7C">
        <w:rPr>
          <w:rFonts w:ascii="Times New Roman" w:hAnsi="Times New Roman" w:cs="Times New Roman"/>
          <w:sz w:val="24"/>
          <w:szCs w:val="24"/>
        </w:rPr>
        <w:t>A</w:t>
      </w:r>
      <w:r w:rsidRPr="0024134B" w:rsidR="00C129E7">
        <w:rPr>
          <w:rFonts w:ascii="Times New Roman" w:hAnsi="Times New Roman" w:cs="Times New Roman"/>
          <w:sz w:val="24"/>
          <w:szCs w:val="24"/>
        </w:rPr>
        <w:t>uditor.</w:t>
      </w:r>
      <w:r>
        <w:rPr>
          <w:rStyle w:val="FootnoteReference"/>
          <w:rFonts w:ascii="Times New Roman" w:hAnsi="Times New Roman" w:cs="Times New Roman"/>
          <w:sz w:val="24"/>
          <w:szCs w:val="24"/>
        </w:rPr>
        <w:footnoteReference w:id="40"/>
      </w:r>
      <w:bookmarkStart w:id="22" w:name="_Toc108179591"/>
      <w:r>
        <w:rPr>
          <w:rFonts w:ascii="Times New Roman" w:hAnsi="Times New Roman" w:cs="Times New Roman"/>
          <w:sz w:val="24"/>
          <w:szCs w:val="24"/>
        </w:rPr>
        <w:t xml:space="preserve"> </w:t>
      </w:r>
    </w:p>
    <w:p w:rsidR="008C5C7C" w:rsidP="004C0863" w14:paraId="77C476A4" w14:textId="77777777">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Duke’s operations were to be evaluated according </w:t>
      </w:r>
      <w:r w:rsidR="009E6D8E">
        <w:rPr>
          <w:rFonts w:ascii="Times New Roman" w:hAnsi="Times New Roman" w:cs="Times New Roman"/>
          <w:sz w:val="24"/>
          <w:szCs w:val="24"/>
        </w:rPr>
        <w:t>to whether they rose to the level</w:t>
      </w:r>
      <w:r>
        <w:rPr>
          <w:rFonts w:ascii="Times New Roman" w:hAnsi="Times New Roman" w:cs="Times New Roman"/>
          <w:sz w:val="24"/>
          <w:szCs w:val="24"/>
        </w:rPr>
        <w:t xml:space="preserve"> </w:t>
      </w:r>
      <w:r w:rsidR="009E6D8E">
        <w:rPr>
          <w:rFonts w:ascii="Times New Roman" w:hAnsi="Times New Roman" w:cs="Times New Roman"/>
          <w:sz w:val="24"/>
          <w:szCs w:val="24"/>
        </w:rPr>
        <w:t xml:space="preserve">of </w:t>
      </w:r>
      <w:r>
        <w:rPr>
          <w:rFonts w:ascii="Times New Roman" w:hAnsi="Times New Roman" w:cs="Times New Roman"/>
          <w:sz w:val="24"/>
          <w:szCs w:val="24"/>
        </w:rPr>
        <w:t xml:space="preserve">the PUCO’s prudence standard. But </w:t>
      </w:r>
      <w:r w:rsidR="005F64D6">
        <w:rPr>
          <w:rFonts w:ascii="Times New Roman" w:hAnsi="Times New Roman" w:cs="Times New Roman"/>
          <w:sz w:val="24"/>
          <w:szCs w:val="24"/>
        </w:rPr>
        <w:t>Auditor London</w:t>
      </w:r>
      <w:r>
        <w:rPr>
          <w:rFonts w:ascii="Times New Roman" w:hAnsi="Times New Roman" w:cs="Times New Roman"/>
          <w:sz w:val="24"/>
          <w:szCs w:val="24"/>
        </w:rPr>
        <w:t xml:space="preserve"> </w:t>
      </w:r>
      <w:r w:rsidR="009E6D8E">
        <w:rPr>
          <w:rFonts w:ascii="Times New Roman" w:hAnsi="Times New Roman" w:cs="Times New Roman"/>
          <w:sz w:val="24"/>
          <w:szCs w:val="24"/>
        </w:rPr>
        <w:t xml:space="preserve">instead </w:t>
      </w:r>
      <w:r>
        <w:rPr>
          <w:rFonts w:ascii="Times New Roman" w:hAnsi="Times New Roman" w:cs="Times New Roman"/>
          <w:sz w:val="24"/>
          <w:szCs w:val="24"/>
        </w:rPr>
        <w:t xml:space="preserve">lowered the prudence standard to </w:t>
      </w:r>
      <w:r w:rsidR="001F71C6">
        <w:rPr>
          <w:rFonts w:ascii="Times New Roman" w:hAnsi="Times New Roman" w:cs="Times New Roman"/>
          <w:sz w:val="24"/>
          <w:szCs w:val="24"/>
        </w:rPr>
        <w:t>accommodate</w:t>
      </w:r>
      <w:r>
        <w:rPr>
          <w:rFonts w:ascii="Times New Roman" w:hAnsi="Times New Roman" w:cs="Times New Roman"/>
          <w:sz w:val="24"/>
          <w:szCs w:val="24"/>
        </w:rPr>
        <w:t xml:space="preserve"> Duke’s operations. </w:t>
      </w:r>
      <w:r w:rsidR="009E6D8E">
        <w:rPr>
          <w:rFonts w:ascii="Times New Roman" w:hAnsi="Times New Roman" w:cs="Times New Roman"/>
          <w:sz w:val="24"/>
          <w:szCs w:val="24"/>
        </w:rPr>
        <w:t>In response, t</w:t>
      </w:r>
      <w:r>
        <w:rPr>
          <w:rFonts w:ascii="Times New Roman" w:hAnsi="Times New Roman" w:cs="Times New Roman"/>
          <w:sz w:val="24"/>
          <w:szCs w:val="24"/>
        </w:rPr>
        <w:t xml:space="preserve">he PUCO should hire a different </w:t>
      </w:r>
      <w:r w:rsidR="009E6D8E">
        <w:rPr>
          <w:rFonts w:ascii="Times New Roman" w:hAnsi="Times New Roman" w:cs="Times New Roman"/>
          <w:sz w:val="24"/>
          <w:szCs w:val="24"/>
        </w:rPr>
        <w:t>a</w:t>
      </w:r>
      <w:r>
        <w:rPr>
          <w:rFonts w:ascii="Times New Roman" w:hAnsi="Times New Roman" w:cs="Times New Roman"/>
          <w:sz w:val="24"/>
          <w:szCs w:val="24"/>
        </w:rPr>
        <w:t xml:space="preserve">uditor to conduct the audit </w:t>
      </w:r>
      <w:r w:rsidR="009E6D8E">
        <w:rPr>
          <w:rFonts w:ascii="Times New Roman" w:hAnsi="Times New Roman" w:cs="Times New Roman"/>
          <w:sz w:val="24"/>
          <w:szCs w:val="24"/>
        </w:rPr>
        <w:t>that the PUCO</w:t>
      </w:r>
      <w:r>
        <w:rPr>
          <w:rFonts w:ascii="Times New Roman" w:hAnsi="Times New Roman" w:cs="Times New Roman"/>
          <w:sz w:val="24"/>
          <w:szCs w:val="24"/>
        </w:rPr>
        <w:t xml:space="preserve"> actually arranged for consumer protection.</w:t>
      </w:r>
    </w:p>
    <w:p w:rsidR="001D73FF" w:rsidRPr="0024134B" w:rsidP="001D73FF" w14:paraId="470868B7" w14:textId="77777777">
      <w:pPr>
        <w:spacing w:after="0" w:line="240" w:lineRule="auto"/>
        <w:ind w:firstLine="720"/>
        <w:rPr>
          <w:rFonts w:ascii="Times New Roman" w:hAnsi="Times New Roman" w:cs="Times New Roman"/>
          <w:sz w:val="24"/>
          <w:szCs w:val="24"/>
        </w:rPr>
      </w:pPr>
    </w:p>
    <w:p w:rsidR="00577F08" w:rsidRPr="0024134B" w:rsidP="00577F08" w14:paraId="28A60721" w14:textId="77777777">
      <w:pPr>
        <w:pStyle w:val="Heading1"/>
        <w:rPr>
          <w:rFonts w:cs="Times New Roman"/>
        </w:rPr>
      </w:pPr>
      <w:bookmarkStart w:id="23" w:name="_Toc110004949"/>
      <w:r w:rsidRPr="0024134B">
        <w:rPr>
          <w:rFonts w:cs="Times New Roman"/>
        </w:rPr>
        <w:t>RECOMMENDATIONS</w:t>
      </w:r>
      <w:bookmarkStart w:id="24" w:name="_Toc109294649"/>
      <w:bookmarkEnd w:id="23"/>
    </w:p>
    <w:p w:rsidR="0030778B" w:rsidP="0030778B" w14:paraId="046C3DE1" w14:textId="77777777">
      <w:pPr>
        <w:spacing w:after="0" w:line="480" w:lineRule="auto"/>
        <w:ind w:firstLine="720"/>
        <w:rPr>
          <w:rFonts w:ascii="Times New Roman" w:hAnsi="Times New Roman" w:cs="Times New Roman"/>
          <w:color w:val="000000"/>
          <w:sz w:val="24"/>
          <w:szCs w:val="24"/>
        </w:rPr>
      </w:pPr>
      <w:r w:rsidRPr="0024134B">
        <w:rPr>
          <w:rFonts w:ascii="Times New Roman" w:hAnsi="Times New Roman" w:cs="Times New Roman"/>
          <w:color w:val="000000"/>
          <w:sz w:val="24"/>
          <w:szCs w:val="24"/>
        </w:rPr>
        <w:t xml:space="preserve">In 2019, </w:t>
      </w:r>
      <w:r w:rsidRPr="0024134B" w:rsidR="000B2DE8">
        <w:rPr>
          <w:rFonts w:ascii="Times New Roman" w:hAnsi="Times New Roman" w:cs="Times New Roman"/>
          <w:color w:val="000000"/>
          <w:sz w:val="24"/>
          <w:szCs w:val="24"/>
        </w:rPr>
        <w:t>Duke</w:t>
      </w:r>
      <w:r w:rsidRPr="0024134B" w:rsidR="00087D1E">
        <w:rPr>
          <w:rFonts w:ascii="Times New Roman" w:hAnsi="Times New Roman" w:cs="Times New Roman"/>
          <w:color w:val="000000"/>
          <w:sz w:val="24"/>
          <w:szCs w:val="24"/>
        </w:rPr>
        <w:t xml:space="preserve"> charged </w:t>
      </w:r>
      <w:r w:rsidRPr="0024134B" w:rsidR="007436F2">
        <w:rPr>
          <w:rFonts w:ascii="Times New Roman" w:hAnsi="Times New Roman" w:cs="Times New Roman"/>
          <w:color w:val="000000"/>
          <w:sz w:val="24"/>
          <w:szCs w:val="24"/>
        </w:rPr>
        <w:t xml:space="preserve">Ohio </w:t>
      </w:r>
      <w:r w:rsidRPr="0024134B" w:rsidR="00087D1E">
        <w:rPr>
          <w:rFonts w:ascii="Times New Roman" w:hAnsi="Times New Roman" w:cs="Times New Roman"/>
          <w:color w:val="000000"/>
          <w:sz w:val="24"/>
          <w:szCs w:val="24"/>
        </w:rPr>
        <w:t>consumers</w:t>
      </w:r>
      <w:r w:rsidRPr="0024134B" w:rsidR="000B2DE8">
        <w:rPr>
          <w:rFonts w:ascii="Times New Roman" w:hAnsi="Times New Roman" w:cs="Times New Roman"/>
          <w:color w:val="000000"/>
          <w:sz w:val="24"/>
          <w:szCs w:val="24"/>
        </w:rPr>
        <w:t xml:space="preserve"> $24,635,143.47 </w:t>
      </w:r>
      <w:r w:rsidRPr="0024134B">
        <w:rPr>
          <w:rFonts w:ascii="Times New Roman" w:hAnsi="Times New Roman" w:cs="Times New Roman"/>
          <w:color w:val="000000"/>
          <w:sz w:val="24"/>
          <w:szCs w:val="24"/>
        </w:rPr>
        <w:t xml:space="preserve">in </w:t>
      </w:r>
      <w:r>
        <w:rPr>
          <w:rFonts w:ascii="Times New Roman" w:hAnsi="Times New Roman" w:cs="Times New Roman"/>
          <w:color w:val="000000"/>
          <w:sz w:val="24"/>
          <w:szCs w:val="24"/>
        </w:rPr>
        <w:t>subsidies</w:t>
      </w:r>
      <w:r w:rsidRPr="0024134B">
        <w:rPr>
          <w:rFonts w:ascii="Times New Roman" w:hAnsi="Times New Roman" w:cs="Times New Roman"/>
          <w:color w:val="000000"/>
          <w:sz w:val="24"/>
          <w:szCs w:val="24"/>
        </w:rPr>
        <w:t xml:space="preserve"> </w:t>
      </w:r>
      <w:r w:rsidRPr="0024134B" w:rsidR="000B2DE8">
        <w:rPr>
          <w:rFonts w:ascii="Times New Roman" w:hAnsi="Times New Roman" w:cs="Times New Roman"/>
          <w:color w:val="000000"/>
          <w:sz w:val="24"/>
          <w:szCs w:val="24"/>
        </w:rPr>
        <w:t xml:space="preserve">under the </w:t>
      </w:r>
      <w:r>
        <w:rPr>
          <w:rFonts w:ascii="Times New Roman" w:hAnsi="Times New Roman" w:cs="Times New Roman"/>
          <w:color w:val="000000"/>
          <w:sz w:val="24"/>
          <w:szCs w:val="24"/>
        </w:rPr>
        <w:t xml:space="preserve">so-called </w:t>
      </w:r>
      <w:r w:rsidRPr="0024134B" w:rsidR="000B2DE8">
        <w:rPr>
          <w:rFonts w:ascii="Times New Roman" w:hAnsi="Times New Roman" w:cs="Times New Roman"/>
          <w:color w:val="000000"/>
          <w:sz w:val="24"/>
          <w:szCs w:val="24"/>
        </w:rPr>
        <w:t>P</w:t>
      </w:r>
      <w:r w:rsidRPr="0024134B" w:rsidR="00087D1E">
        <w:rPr>
          <w:rFonts w:ascii="Times New Roman" w:hAnsi="Times New Roman" w:cs="Times New Roman"/>
          <w:color w:val="000000"/>
          <w:sz w:val="24"/>
          <w:szCs w:val="24"/>
        </w:rPr>
        <w:t>rice Stabilization Rider</w:t>
      </w:r>
      <w:r w:rsidRPr="0024134B" w:rsidR="000B2DE8">
        <w:rPr>
          <w:rFonts w:ascii="Times New Roman" w:hAnsi="Times New Roman" w:cs="Times New Roman"/>
          <w:color w:val="000000"/>
          <w:sz w:val="24"/>
          <w:szCs w:val="24"/>
        </w:rPr>
        <w:t>. Duke’s $24.6 million in above-market energy charges to consumers in 2019 were imprudent</w:t>
      </w:r>
      <w:r>
        <w:rPr>
          <w:rFonts w:ascii="Times New Roman" w:hAnsi="Times New Roman" w:cs="Times New Roman"/>
          <w:color w:val="000000"/>
          <w:sz w:val="24"/>
          <w:szCs w:val="24"/>
        </w:rPr>
        <w:t>.</w:t>
      </w:r>
      <w:r w:rsidRPr="0024134B" w:rsidR="000B2DE8">
        <w:rPr>
          <w:rFonts w:ascii="Times New Roman" w:hAnsi="Times New Roman" w:cs="Times New Roman"/>
          <w:color w:val="000000"/>
          <w:sz w:val="24"/>
          <w:szCs w:val="24"/>
        </w:rPr>
        <w:t xml:space="preserve"> </w:t>
      </w:r>
      <w:r>
        <w:rPr>
          <w:rFonts w:ascii="Times New Roman" w:hAnsi="Times New Roman" w:cs="Times New Roman"/>
          <w:color w:val="000000"/>
          <w:sz w:val="24"/>
          <w:szCs w:val="24"/>
        </w:rPr>
        <w:t>The</w:t>
      </w:r>
      <w:r w:rsidRPr="0024134B">
        <w:rPr>
          <w:rFonts w:ascii="Times New Roman" w:hAnsi="Times New Roman" w:cs="Times New Roman"/>
          <w:color w:val="000000"/>
          <w:sz w:val="24"/>
          <w:szCs w:val="24"/>
        </w:rPr>
        <w:t xml:space="preserve"> </w:t>
      </w:r>
      <w:r w:rsidRPr="0024134B" w:rsidR="000B2DE8">
        <w:rPr>
          <w:rFonts w:ascii="Times New Roman" w:hAnsi="Times New Roman" w:cs="Times New Roman"/>
          <w:color w:val="000000"/>
          <w:sz w:val="24"/>
          <w:szCs w:val="24"/>
        </w:rPr>
        <w:t>operation of the OVEC plants w</w:t>
      </w:r>
      <w:r w:rsidRPr="0024134B" w:rsidR="006E4B41">
        <w:rPr>
          <w:rFonts w:ascii="Times New Roman" w:hAnsi="Times New Roman" w:cs="Times New Roman"/>
          <w:color w:val="000000"/>
          <w:sz w:val="24"/>
          <w:szCs w:val="24"/>
        </w:rPr>
        <w:t>as</w:t>
      </w:r>
      <w:r w:rsidRPr="0024134B" w:rsidR="000B2DE8">
        <w:rPr>
          <w:rFonts w:ascii="Times New Roman" w:hAnsi="Times New Roman" w:cs="Times New Roman"/>
          <w:color w:val="000000"/>
          <w:sz w:val="24"/>
          <w:szCs w:val="24"/>
        </w:rPr>
        <w:t xml:space="preserve"> not in the best interest of consumers. </w:t>
      </w:r>
    </w:p>
    <w:p w:rsidR="000B2DE8" w:rsidP="0030778B" w14:paraId="478E9FC1" w14:textId="77777777">
      <w:pPr>
        <w:spacing w:after="0" w:line="480" w:lineRule="auto"/>
        <w:ind w:firstLine="720"/>
        <w:rPr>
          <w:rFonts w:ascii="Times New Roman" w:hAnsi="Times New Roman" w:cs="Times New Roman"/>
          <w:color w:val="000000"/>
          <w:sz w:val="24"/>
          <w:szCs w:val="24"/>
        </w:rPr>
      </w:pPr>
      <w:r w:rsidRPr="0024134B">
        <w:rPr>
          <w:rFonts w:ascii="Times New Roman" w:hAnsi="Times New Roman" w:cs="Times New Roman"/>
          <w:color w:val="000000"/>
          <w:sz w:val="24"/>
          <w:szCs w:val="24"/>
        </w:rPr>
        <w:t xml:space="preserve">The PUCO should protect consumers by disallowing </w:t>
      </w:r>
      <w:r w:rsidR="0030778B">
        <w:rPr>
          <w:rFonts w:ascii="Times New Roman" w:hAnsi="Times New Roman" w:cs="Times New Roman"/>
          <w:color w:val="000000"/>
          <w:sz w:val="24"/>
          <w:szCs w:val="24"/>
        </w:rPr>
        <w:t xml:space="preserve">the </w:t>
      </w:r>
      <w:r w:rsidRPr="0024134B">
        <w:rPr>
          <w:rFonts w:ascii="Times New Roman" w:hAnsi="Times New Roman" w:cs="Times New Roman"/>
          <w:color w:val="000000"/>
          <w:sz w:val="24"/>
          <w:szCs w:val="24"/>
        </w:rPr>
        <w:t>$24</w:t>
      </w:r>
      <w:r w:rsidR="0030778B">
        <w:rPr>
          <w:rFonts w:ascii="Times New Roman" w:hAnsi="Times New Roman" w:cs="Times New Roman"/>
          <w:color w:val="000000"/>
          <w:sz w:val="24"/>
          <w:szCs w:val="24"/>
        </w:rPr>
        <w:t>.6 million</w:t>
      </w:r>
      <w:r w:rsidRPr="0024134B">
        <w:rPr>
          <w:rFonts w:ascii="Times New Roman" w:hAnsi="Times New Roman" w:cs="Times New Roman"/>
          <w:color w:val="000000"/>
          <w:sz w:val="24"/>
          <w:szCs w:val="24"/>
        </w:rPr>
        <w:t xml:space="preserve"> in </w:t>
      </w:r>
      <w:r w:rsidR="0030778B">
        <w:rPr>
          <w:rFonts w:ascii="Times New Roman" w:hAnsi="Times New Roman" w:cs="Times New Roman"/>
          <w:color w:val="000000"/>
          <w:sz w:val="24"/>
          <w:szCs w:val="24"/>
        </w:rPr>
        <w:t xml:space="preserve">Duke’s </w:t>
      </w:r>
      <w:r w:rsidRPr="0024134B">
        <w:rPr>
          <w:rFonts w:ascii="Times New Roman" w:hAnsi="Times New Roman" w:cs="Times New Roman"/>
          <w:color w:val="000000"/>
          <w:sz w:val="24"/>
          <w:szCs w:val="24"/>
        </w:rPr>
        <w:t>charges to consumers for the 2019 audit period.</w:t>
      </w:r>
      <w:r>
        <w:rPr>
          <w:rStyle w:val="FootnoteReference"/>
          <w:rFonts w:ascii="Times New Roman" w:hAnsi="Times New Roman" w:cs="Times New Roman"/>
          <w:color w:val="000000"/>
          <w:sz w:val="24"/>
          <w:szCs w:val="24"/>
        </w:rPr>
        <w:footnoteReference w:id="41"/>
      </w:r>
      <w:r w:rsidRPr="0024134B" w:rsidR="00902AFF">
        <w:rPr>
          <w:rFonts w:ascii="Times New Roman" w:hAnsi="Times New Roman" w:cs="Times New Roman"/>
          <w:color w:val="000000"/>
          <w:sz w:val="24"/>
          <w:szCs w:val="24"/>
        </w:rPr>
        <w:t xml:space="preserve"> </w:t>
      </w:r>
      <w:r w:rsidRPr="0024134B">
        <w:rPr>
          <w:rFonts w:ascii="Times New Roman" w:hAnsi="Times New Roman" w:cs="Times New Roman"/>
          <w:color w:val="000000"/>
          <w:sz w:val="24"/>
          <w:szCs w:val="24"/>
        </w:rPr>
        <w:t xml:space="preserve">The PUCO should </w:t>
      </w:r>
      <w:r w:rsidRPr="0024134B" w:rsidR="000C0AD4">
        <w:rPr>
          <w:rFonts w:ascii="Times New Roman" w:hAnsi="Times New Roman" w:cs="Times New Roman"/>
          <w:color w:val="000000"/>
          <w:sz w:val="24"/>
          <w:szCs w:val="24"/>
        </w:rPr>
        <w:t xml:space="preserve">also </w:t>
      </w:r>
      <w:r w:rsidRPr="0024134B">
        <w:rPr>
          <w:rFonts w:ascii="Times New Roman" w:hAnsi="Times New Roman" w:cs="Times New Roman"/>
          <w:color w:val="000000"/>
          <w:sz w:val="24"/>
          <w:szCs w:val="24"/>
        </w:rPr>
        <w:t>protect consumers by requiring Duke to provide documentation of the daily unit commitment decisions used for the OVEC plants</w:t>
      </w:r>
      <w:r w:rsidRPr="0024134B" w:rsidR="000C0AD4">
        <w:rPr>
          <w:rFonts w:ascii="Times New Roman" w:hAnsi="Times New Roman" w:cs="Times New Roman"/>
          <w:color w:val="000000"/>
          <w:sz w:val="24"/>
          <w:szCs w:val="24"/>
        </w:rPr>
        <w:t xml:space="preserve">. </w:t>
      </w:r>
    </w:p>
    <w:p w:rsidR="0030778B" w:rsidRPr="0024134B" w:rsidP="0030778B" w14:paraId="45937FBC" w14:textId="77777777">
      <w:pPr>
        <w:spacing w:after="0" w:line="480" w:lineRule="auto"/>
        <w:ind w:firstLine="720"/>
        <w:rPr>
          <w:rFonts w:ascii="Times New Roman" w:hAnsi="Times New Roman" w:cs="Times New Roman"/>
          <w:color w:val="000000"/>
          <w:sz w:val="24"/>
          <w:szCs w:val="24"/>
        </w:rPr>
      </w:pPr>
    </w:p>
    <w:p w:rsidR="006A7BCC" w:rsidRPr="00B00D19" w:rsidP="00B00D19" w14:paraId="46983A38" w14:textId="77777777">
      <w:pPr>
        <w:pStyle w:val="Heading2"/>
      </w:pPr>
      <w:bookmarkStart w:id="25" w:name="_Toc110004950"/>
      <w:bookmarkStart w:id="26" w:name="_Toc108179592"/>
      <w:bookmarkEnd w:id="22"/>
      <w:bookmarkEnd w:id="24"/>
      <w:r w:rsidRPr="00B00D19">
        <w:t>Duke’s operation of the OVEC units and management of their output during the 2019 audit period was imprudent. The PUCO should disallow Duke’s $24.6 million in charges to consumers during the audit period.</w:t>
      </w:r>
      <w:bookmarkEnd w:id="25"/>
    </w:p>
    <w:bookmarkEnd w:id="26"/>
    <w:p w:rsidR="00C42B99" w:rsidRPr="0024134B" w:rsidP="00577F08" w14:paraId="58FE57E6" w14:textId="77777777">
      <w:pPr>
        <w:spacing w:after="0" w:line="480" w:lineRule="auto"/>
        <w:ind w:firstLine="720"/>
        <w:rPr>
          <w:rFonts w:ascii="Times New Roman" w:hAnsi="Times New Roman" w:cs="Times New Roman"/>
          <w:sz w:val="24"/>
          <w:szCs w:val="24"/>
        </w:rPr>
      </w:pPr>
      <w:r w:rsidRPr="0024134B">
        <w:rPr>
          <w:rFonts w:ascii="Times New Roman" w:hAnsi="Times New Roman" w:cs="Times New Roman"/>
          <w:sz w:val="24"/>
          <w:szCs w:val="24"/>
        </w:rPr>
        <w:t xml:space="preserve">According to the Audit Report, </w:t>
      </w:r>
      <w:r w:rsidRPr="0024134B" w:rsidR="00AD60A8">
        <w:rPr>
          <w:rFonts w:ascii="Times New Roman" w:hAnsi="Times New Roman" w:cs="Times New Roman"/>
          <w:sz w:val="24"/>
          <w:szCs w:val="24"/>
        </w:rPr>
        <w:t>Duke</w:t>
      </w:r>
      <w:r w:rsidRPr="0024134B" w:rsidR="002A23AC">
        <w:rPr>
          <w:rFonts w:ascii="Times New Roman" w:hAnsi="Times New Roman" w:cs="Times New Roman"/>
          <w:sz w:val="24"/>
          <w:szCs w:val="24"/>
        </w:rPr>
        <w:t xml:space="preserve"> </w:t>
      </w:r>
      <w:r w:rsidRPr="0024134B">
        <w:rPr>
          <w:rFonts w:ascii="Times New Roman" w:hAnsi="Times New Roman" w:cs="Times New Roman"/>
          <w:sz w:val="24"/>
          <w:szCs w:val="24"/>
        </w:rPr>
        <w:t xml:space="preserve">passed along </w:t>
      </w:r>
      <w:bookmarkStart w:id="27" w:name="_Hlk107913209"/>
      <w:r w:rsidRPr="0024134B">
        <w:rPr>
          <w:rFonts w:ascii="Times New Roman" w:hAnsi="Times New Roman" w:cs="Times New Roman"/>
          <w:sz w:val="24"/>
          <w:szCs w:val="24"/>
        </w:rPr>
        <w:t>$24</w:t>
      </w:r>
      <w:r w:rsidR="0030778B">
        <w:rPr>
          <w:rFonts w:ascii="Times New Roman" w:hAnsi="Times New Roman" w:cs="Times New Roman"/>
          <w:sz w:val="24"/>
          <w:szCs w:val="24"/>
        </w:rPr>
        <w:t>.6 million</w:t>
      </w:r>
      <w:r w:rsidRPr="0024134B">
        <w:rPr>
          <w:rFonts w:ascii="Times New Roman" w:hAnsi="Times New Roman" w:cs="Times New Roman"/>
          <w:sz w:val="24"/>
          <w:szCs w:val="24"/>
        </w:rPr>
        <w:t xml:space="preserve"> to its Ohio </w:t>
      </w:r>
      <w:bookmarkEnd w:id="27"/>
      <w:r w:rsidRPr="0024134B" w:rsidR="006241A2">
        <w:rPr>
          <w:rFonts w:ascii="Times New Roman" w:hAnsi="Times New Roman" w:cs="Times New Roman"/>
          <w:sz w:val="24"/>
          <w:szCs w:val="24"/>
        </w:rPr>
        <w:t>consumers</w:t>
      </w:r>
      <w:r w:rsidRPr="0024134B">
        <w:rPr>
          <w:rFonts w:ascii="Times New Roman" w:hAnsi="Times New Roman" w:cs="Times New Roman"/>
          <w:sz w:val="24"/>
          <w:szCs w:val="24"/>
        </w:rPr>
        <w:t>.</w:t>
      </w:r>
      <w:r>
        <w:rPr>
          <w:rStyle w:val="FootnoteReference"/>
          <w:rFonts w:ascii="Times New Roman" w:hAnsi="Times New Roman" w:cs="Times New Roman"/>
          <w:sz w:val="24"/>
          <w:szCs w:val="24"/>
        </w:rPr>
        <w:footnoteReference w:id="42"/>
      </w:r>
      <w:r w:rsidRPr="0024134B" w:rsidR="006D7498">
        <w:rPr>
          <w:rFonts w:ascii="Times New Roman" w:hAnsi="Times New Roman" w:cs="Times New Roman"/>
          <w:sz w:val="24"/>
          <w:szCs w:val="24"/>
        </w:rPr>
        <w:t xml:space="preserve"> </w:t>
      </w:r>
      <w:r w:rsidRPr="0024134B">
        <w:rPr>
          <w:rFonts w:ascii="Times New Roman" w:hAnsi="Times New Roman" w:cs="Times New Roman"/>
          <w:sz w:val="24"/>
          <w:szCs w:val="24"/>
        </w:rPr>
        <w:t xml:space="preserve">The PUCO should disallow the </w:t>
      </w:r>
      <w:r w:rsidRPr="0024134B" w:rsidR="00A51BC6">
        <w:rPr>
          <w:rFonts w:ascii="Times New Roman" w:hAnsi="Times New Roman" w:cs="Times New Roman"/>
          <w:sz w:val="24"/>
          <w:szCs w:val="24"/>
        </w:rPr>
        <w:t xml:space="preserve">entire </w:t>
      </w:r>
      <w:r w:rsidRPr="0024134B">
        <w:rPr>
          <w:rFonts w:ascii="Times New Roman" w:hAnsi="Times New Roman" w:cs="Times New Roman"/>
          <w:sz w:val="24"/>
          <w:szCs w:val="24"/>
        </w:rPr>
        <w:t>$24.6 million in above-market energy and capacity prices related to the OVEC plants for 2019</w:t>
      </w:r>
      <w:r w:rsidR="00AB20AB">
        <w:rPr>
          <w:rFonts w:ascii="Times New Roman" w:hAnsi="Times New Roman" w:cs="Times New Roman"/>
          <w:sz w:val="24"/>
          <w:szCs w:val="24"/>
        </w:rPr>
        <w:t>.</w:t>
      </w:r>
      <w:r w:rsidRPr="0024134B">
        <w:rPr>
          <w:rFonts w:ascii="Times New Roman" w:hAnsi="Times New Roman" w:cs="Times New Roman"/>
          <w:sz w:val="24"/>
          <w:szCs w:val="24"/>
        </w:rPr>
        <w:t xml:space="preserve"> </w:t>
      </w:r>
      <w:r w:rsidR="00AB20AB">
        <w:rPr>
          <w:rFonts w:ascii="Times New Roman" w:hAnsi="Times New Roman" w:cs="Times New Roman"/>
          <w:sz w:val="24"/>
          <w:szCs w:val="24"/>
        </w:rPr>
        <w:t>A</w:t>
      </w:r>
      <w:r w:rsidRPr="0024134B">
        <w:rPr>
          <w:rFonts w:ascii="Times New Roman" w:hAnsi="Times New Roman" w:cs="Times New Roman"/>
          <w:sz w:val="24"/>
          <w:szCs w:val="24"/>
        </w:rPr>
        <w:t>nd</w:t>
      </w:r>
      <w:r w:rsidR="00AB20AB">
        <w:rPr>
          <w:rFonts w:ascii="Times New Roman" w:hAnsi="Times New Roman" w:cs="Times New Roman"/>
          <w:sz w:val="24"/>
          <w:szCs w:val="24"/>
        </w:rPr>
        <w:t xml:space="preserve"> the PUCO should</w:t>
      </w:r>
      <w:r w:rsidRPr="0024134B">
        <w:rPr>
          <w:rFonts w:ascii="Times New Roman" w:hAnsi="Times New Roman" w:cs="Times New Roman"/>
          <w:sz w:val="24"/>
          <w:szCs w:val="24"/>
        </w:rPr>
        <w:t xml:space="preserve"> find that </w:t>
      </w:r>
      <w:r w:rsidRPr="0024134B" w:rsidR="00AD60A8">
        <w:rPr>
          <w:rFonts w:ascii="Times New Roman" w:hAnsi="Times New Roman" w:cs="Times New Roman"/>
          <w:sz w:val="24"/>
          <w:szCs w:val="24"/>
        </w:rPr>
        <w:t>Duke</w:t>
      </w:r>
      <w:r w:rsidRPr="0024134B">
        <w:rPr>
          <w:rFonts w:ascii="Times New Roman" w:hAnsi="Times New Roman" w:cs="Times New Roman"/>
          <w:sz w:val="24"/>
          <w:szCs w:val="24"/>
        </w:rPr>
        <w:t xml:space="preserve"> </w:t>
      </w:r>
      <w:r w:rsidR="00AB20AB">
        <w:rPr>
          <w:rFonts w:ascii="Times New Roman" w:hAnsi="Times New Roman" w:cs="Times New Roman"/>
          <w:sz w:val="24"/>
          <w:szCs w:val="24"/>
        </w:rPr>
        <w:t>wrongly</w:t>
      </w:r>
      <w:r w:rsidRPr="0024134B">
        <w:rPr>
          <w:rFonts w:ascii="Times New Roman" w:hAnsi="Times New Roman" w:cs="Times New Roman"/>
          <w:sz w:val="24"/>
          <w:szCs w:val="24"/>
        </w:rPr>
        <w:t xml:space="preserve"> includ</w:t>
      </w:r>
      <w:r w:rsidR="00AB20AB">
        <w:rPr>
          <w:rFonts w:ascii="Times New Roman" w:hAnsi="Times New Roman" w:cs="Times New Roman"/>
          <w:sz w:val="24"/>
          <w:szCs w:val="24"/>
        </w:rPr>
        <w:t>ed</w:t>
      </w:r>
      <w:r w:rsidRPr="0024134B">
        <w:rPr>
          <w:rFonts w:ascii="Times New Roman" w:hAnsi="Times New Roman" w:cs="Times New Roman"/>
          <w:sz w:val="24"/>
          <w:szCs w:val="24"/>
        </w:rPr>
        <w:t xml:space="preserve"> these costs</w:t>
      </w:r>
      <w:r w:rsidR="00AB20AB">
        <w:rPr>
          <w:rFonts w:ascii="Times New Roman" w:hAnsi="Times New Roman" w:cs="Times New Roman"/>
          <w:sz w:val="24"/>
          <w:szCs w:val="24"/>
        </w:rPr>
        <w:t xml:space="preserve"> </w:t>
      </w:r>
      <w:r w:rsidRPr="0024134B">
        <w:rPr>
          <w:rFonts w:ascii="Times New Roman" w:hAnsi="Times New Roman" w:cs="Times New Roman"/>
          <w:sz w:val="24"/>
          <w:szCs w:val="24"/>
        </w:rPr>
        <w:t>in the Price Stabilization Rider</w:t>
      </w:r>
      <w:r w:rsidRPr="00AB20AB" w:rsidR="00AB20AB">
        <w:rPr>
          <w:rFonts w:ascii="Times New Roman" w:hAnsi="Times New Roman" w:cs="Times New Roman"/>
          <w:sz w:val="24"/>
          <w:szCs w:val="24"/>
        </w:rPr>
        <w:t xml:space="preserve"> </w:t>
      </w:r>
      <w:r w:rsidR="00AB20AB">
        <w:rPr>
          <w:rFonts w:ascii="Times New Roman" w:hAnsi="Times New Roman" w:cs="Times New Roman"/>
          <w:sz w:val="24"/>
          <w:szCs w:val="24"/>
        </w:rPr>
        <w:t>for charging to consumers</w:t>
      </w:r>
      <w:r w:rsidRPr="0024134B">
        <w:rPr>
          <w:rFonts w:ascii="Times New Roman" w:hAnsi="Times New Roman" w:cs="Times New Roman"/>
          <w:sz w:val="24"/>
          <w:szCs w:val="24"/>
        </w:rPr>
        <w:t>.</w:t>
      </w:r>
      <w:r w:rsidRPr="0024134B" w:rsidR="006D7498">
        <w:rPr>
          <w:rFonts w:ascii="Times New Roman" w:hAnsi="Times New Roman" w:cs="Times New Roman"/>
          <w:sz w:val="24"/>
          <w:szCs w:val="24"/>
        </w:rPr>
        <w:t xml:space="preserve"> </w:t>
      </w:r>
      <w:r w:rsidRPr="0024134B">
        <w:rPr>
          <w:rFonts w:ascii="Times New Roman" w:hAnsi="Times New Roman" w:cs="Times New Roman"/>
          <w:sz w:val="24"/>
          <w:szCs w:val="24"/>
        </w:rPr>
        <w:t>Likewise, the PUCO should find the OVEC plants were uneconomically</w:t>
      </w:r>
      <w:r w:rsidRPr="0024134B" w:rsidR="002F54D1">
        <w:rPr>
          <w:rFonts w:ascii="Times New Roman" w:hAnsi="Times New Roman" w:cs="Times New Roman"/>
          <w:sz w:val="24"/>
          <w:szCs w:val="24"/>
        </w:rPr>
        <w:t xml:space="preserve"> </w:t>
      </w:r>
      <w:r w:rsidRPr="0024134B">
        <w:rPr>
          <w:rFonts w:ascii="Times New Roman" w:hAnsi="Times New Roman" w:cs="Times New Roman"/>
          <w:sz w:val="24"/>
          <w:szCs w:val="24"/>
        </w:rPr>
        <w:t>committed, and thus incurred additional excess costs under the Price Stabilization Rider.</w:t>
      </w:r>
      <w:r>
        <w:rPr>
          <w:rStyle w:val="FootnoteReference"/>
          <w:rFonts w:ascii="Times New Roman" w:hAnsi="Times New Roman" w:cs="Times New Roman"/>
          <w:sz w:val="24"/>
          <w:szCs w:val="24"/>
        </w:rPr>
        <w:footnoteReference w:id="43"/>
      </w:r>
    </w:p>
    <w:p w:rsidR="00FC0D7C" w:rsidP="006241A2" w14:paraId="307EFF6D" w14:textId="77777777">
      <w:pPr>
        <w:spacing w:after="0" w:line="480" w:lineRule="auto"/>
        <w:ind w:firstLine="720"/>
        <w:rPr>
          <w:rFonts w:ascii="Times New Roman" w:hAnsi="Times New Roman" w:cs="Times New Roman"/>
          <w:sz w:val="24"/>
          <w:szCs w:val="24"/>
        </w:rPr>
      </w:pPr>
      <w:r w:rsidRPr="0024134B">
        <w:rPr>
          <w:rFonts w:ascii="Times New Roman" w:hAnsi="Times New Roman" w:cs="Times New Roman"/>
          <w:sz w:val="24"/>
          <w:szCs w:val="24"/>
        </w:rPr>
        <w:t xml:space="preserve">Under the </w:t>
      </w:r>
      <w:r w:rsidR="00AB20AB">
        <w:rPr>
          <w:rFonts w:ascii="Times New Roman" w:hAnsi="Times New Roman" w:cs="Times New Roman"/>
          <w:sz w:val="24"/>
          <w:szCs w:val="24"/>
        </w:rPr>
        <w:t xml:space="preserve">so-called </w:t>
      </w:r>
      <w:r w:rsidRPr="0024134B">
        <w:rPr>
          <w:rFonts w:ascii="Times New Roman" w:hAnsi="Times New Roman" w:cs="Times New Roman"/>
          <w:sz w:val="24"/>
          <w:szCs w:val="24"/>
        </w:rPr>
        <w:t xml:space="preserve">Price Stabilization Rider, </w:t>
      </w:r>
      <w:r w:rsidRPr="0024134B" w:rsidR="00AD60A8">
        <w:rPr>
          <w:rFonts w:ascii="Times New Roman" w:hAnsi="Times New Roman" w:cs="Times New Roman"/>
          <w:sz w:val="24"/>
          <w:szCs w:val="24"/>
        </w:rPr>
        <w:t xml:space="preserve">Duke </w:t>
      </w:r>
      <w:r w:rsidRPr="0024134B">
        <w:rPr>
          <w:rFonts w:ascii="Times New Roman" w:hAnsi="Times New Roman" w:cs="Times New Roman"/>
          <w:sz w:val="24"/>
          <w:szCs w:val="24"/>
        </w:rPr>
        <w:t xml:space="preserve">provides consumers with the net costs or net revenues associated with </w:t>
      </w:r>
      <w:r w:rsidRPr="0024134B" w:rsidR="00AD60A8">
        <w:rPr>
          <w:rFonts w:ascii="Times New Roman" w:hAnsi="Times New Roman" w:cs="Times New Roman"/>
          <w:sz w:val="24"/>
          <w:szCs w:val="24"/>
        </w:rPr>
        <w:t>Duke Energy</w:t>
      </w:r>
      <w:r w:rsidRPr="0024134B">
        <w:rPr>
          <w:rFonts w:ascii="Times New Roman" w:hAnsi="Times New Roman" w:cs="Times New Roman"/>
          <w:sz w:val="24"/>
          <w:szCs w:val="24"/>
        </w:rPr>
        <w:t>’s ownership share of the OVEC plants and its entitlement to nine percent (9%) of OVEC’s output under the OVEC Agreement.</w:t>
      </w:r>
      <w:r>
        <w:rPr>
          <w:rStyle w:val="FootnoteReference"/>
          <w:rFonts w:ascii="Times New Roman" w:hAnsi="Times New Roman" w:cs="Times New Roman"/>
          <w:sz w:val="24"/>
          <w:szCs w:val="24"/>
        </w:rPr>
        <w:footnoteReference w:id="44"/>
      </w:r>
      <w:r w:rsidRPr="0024134B" w:rsidR="006D7498">
        <w:rPr>
          <w:rFonts w:ascii="Times New Roman" w:hAnsi="Times New Roman" w:cs="Times New Roman"/>
          <w:sz w:val="24"/>
          <w:szCs w:val="24"/>
        </w:rPr>
        <w:t xml:space="preserve"> </w:t>
      </w:r>
      <w:r w:rsidRPr="0024134B">
        <w:rPr>
          <w:rFonts w:ascii="Times New Roman" w:hAnsi="Times New Roman" w:cs="Times New Roman"/>
          <w:sz w:val="24"/>
          <w:szCs w:val="24"/>
        </w:rPr>
        <w:t xml:space="preserve">This means if OVEC’s costs exceed market revenues in a given year, </w:t>
      </w:r>
      <w:r w:rsidRPr="0024134B" w:rsidR="00AD60A8">
        <w:rPr>
          <w:rFonts w:ascii="Times New Roman" w:hAnsi="Times New Roman" w:cs="Times New Roman"/>
          <w:sz w:val="24"/>
          <w:szCs w:val="24"/>
        </w:rPr>
        <w:t>Duke</w:t>
      </w:r>
      <w:r w:rsidRPr="0024134B">
        <w:rPr>
          <w:rFonts w:ascii="Times New Roman" w:hAnsi="Times New Roman" w:cs="Times New Roman"/>
          <w:sz w:val="24"/>
          <w:szCs w:val="24"/>
        </w:rPr>
        <w:t xml:space="preserve">’s consumers pay the </w:t>
      </w:r>
      <w:r w:rsidR="00AB20AB">
        <w:rPr>
          <w:rFonts w:ascii="Times New Roman" w:hAnsi="Times New Roman" w:cs="Times New Roman"/>
          <w:sz w:val="24"/>
          <w:szCs w:val="24"/>
        </w:rPr>
        <w:t xml:space="preserve">subsidy for the </w:t>
      </w:r>
      <w:r w:rsidRPr="0024134B">
        <w:rPr>
          <w:rFonts w:ascii="Times New Roman" w:hAnsi="Times New Roman" w:cs="Times New Roman"/>
          <w:sz w:val="24"/>
          <w:szCs w:val="24"/>
        </w:rPr>
        <w:t>difference.</w:t>
      </w:r>
      <w:r>
        <w:rPr>
          <w:rStyle w:val="FootnoteReference"/>
          <w:rFonts w:ascii="Times New Roman" w:hAnsi="Times New Roman" w:cs="Times New Roman"/>
          <w:sz w:val="24"/>
          <w:szCs w:val="24"/>
        </w:rPr>
        <w:footnoteReference w:id="45"/>
      </w:r>
      <w:r w:rsidRPr="0024134B" w:rsidR="006D7498">
        <w:rPr>
          <w:rFonts w:ascii="Times New Roman" w:hAnsi="Times New Roman" w:cs="Times New Roman"/>
          <w:sz w:val="24"/>
          <w:szCs w:val="24"/>
        </w:rPr>
        <w:t xml:space="preserve"> </w:t>
      </w:r>
    </w:p>
    <w:p w:rsidR="00C42B99" w:rsidRPr="0024134B" w:rsidP="006241A2" w14:paraId="1319CF84" w14:textId="77777777">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The false promise is that</w:t>
      </w:r>
      <w:r w:rsidRPr="0024134B">
        <w:rPr>
          <w:rFonts w:ascii="Times New Roman" w:hAnsi="Times New Roman" w:cs="Times New Roman"/>
          <w:sz w:val="24"/>
          <w:szCs w:val="24"/>
        </w:rPr>
        <w:t xml:space="preserve"> the P</w:t>
      </w:r>
      <w:r w:rsidRPr="0024134B" w:rsidR="00BB5FB9">
        <w:rPr>
          <w:rFonts w:ascii="Times New Roman" w:hAnsi="Times New Roman" w:cs="Times New Roman"/>
          <w:sz w:val="24"/>
          <w:szCs w:val="24"/>
        </w:rPr>
        <w:t>rice Stabilization Rider</w:t>
      </w:r>
      <w:r w:rsidRPr="0024134B">
        <w:rPr>
          <w:rFonts w:ascii="Times New Roman" w:hAnsi="Times New Roman" w:cs="Times New Roman"/>
          <w:sz w:val="24"/>
          <w:szCs w:val="24"/>
        </w:rPr>
        <w:t xml:space="preserve"> should provide value </w:t>
      </w:r>
      <w:r w:rsidRPr="0024134B" w:rsidR="00176AE1">
        <w:rPr>
          <w:rFonts w:ascii="Times New Roman" w:hAnsi="Times New Roman" w:cs="Times New Roman"/>
          <w:sz w:val="24"/>
          <w:szCs w:val="24"/>
        </w:rPr>
        <w:t xml:space="preserve">and savings </w:t>
      </w:r>
      <w:r w:rsidRPr="0024134B">
        <w:rPr>
          <w:rFonts w:ascii="Times New Roman" w:hAnsi="Times New Roman" w:cs="Times New Roman"/>
          <w:sz w:val="24"/>
          <w:szCs w:val="24"/>
        </w:rPr>
        <w:t xml:space="preserve">to </w:t>
      </w:r>
      <w:r w:rsidRPr="0024134B" w:rsidR="00AD60A8">
        <w:rPr>
          <w:rFonts w:ascii="Times New Roman" w:hAnsi="Times New Roman" w:cs="Times New Roman"/>
          <w:sz w:val="24"/>
          <w:szCs w:val="24"/>
        </w:rPr>
        <w:t>Duke</w:t>
      </w:r>
      <w:r w:rsidRPr="0024134B">
        <w:rPr>
          <w:rFonts w:ascii="Times New Roman" w:hAnsi="Times New Roman" w:cs="Times New Roman"/>
          <w:sz w:val="24"/>
          <w:szCs w:val="24"/>
        </w:rPr>
        <w:t xml:space="preserve"> customers. </w:t>
      </w:r>
      <w:r w:rsidRPr="0024134B" w:rsidR="00BB5FB9">
        <w:rPr>
          <w:rFonts w:ascii="Times New Roman" w:hAnsi="Times New Roman" w:cs="Times New Roman"/>
          <w:sz w:val="24"/>
          <w:szCs w:val="24"/>
        </w:rPr>
        <w:t>But i</w:t>
      </w:r>
      <w:r w:rsidRPr="0024134B">
        <w:rPr>
          <w:rFonts w:ascii="Times New Roman" w:hAnsi="Times New Roman" w:cs="Times New Roman"/>
          <w:sz w:val="24"/>
          <w:szCs w:val="24"/>
        </w:rPr>
        <w:t>n practice it does not.</w:t>
      </w:r>
      <w:r w:rsidR="00FC0D7C">
        <w:rPr>
          <w:rFonts w:ascii="Times New Roman" w:hAnsi="Times New Roman" w:cs="Times New Roman"/>
          <w:sz w:val="24"/>
          <w:szCs w:val="24"/>
        </w:rPr>
        <w:t xml:space="preserve"> Consumers need the public interest, not utility public relations, about these coal plant subsidies.</w:t>
      </w:r>
    </w:p>
    <w:p w:rsidR="00883548" w:rsidRPr="0024134B" w:rsidP="00BB5FB9" w14:paraId="603AC967" w14:textId="77777777">
      <w:pPr>
        <w:spacing w:after="0" w:line="480" w:lineRule="auto"/>
        <w:ind w:firstLine="720"/>
        <w:rPr>
          <w:rFonts w:ascii="Times New Roman" w:hAnsi="Times New Roman" w:cs="Times New Roman"/>
          <w:sz w:val="24"/>
          <w:szCs w:val="24"/>
        </w:rPr>
      </w:pPr>
      <w:r w:rsidRPr="0024134B">
        <w:rPr>
          <w:rFonts w:ascii="Times New Roman" w:hAnsi="Times New Roman" w:cs="Times New Roman"/>
          <w:sz w:val="24"/>
          <w:szCs w:val="24"/>
        </w:rPr>
        <w:t>In fact, as shown in the following chart</w:t>
      </w:r>
      <w:r w:rsidRPr="0024134B" w:rsidR="00832C52">
        <w:rPr>
          <w:rFonts w:ascii="Times New Roman" w:hAnsi="Times New Roman" w:cs="Times New Roman"/>
          <w:sz w:val="24"/>
          <w:szCs w:val="24"/>
        </w:rPr>
        <w:t xml:space="preserve"> (which represents OVEC’s total output for each year)</w:t>
      </w:r>
      <w:r w:rsidRPr="0024134B">
        <w:rPr>
          <w:rFonts w:ascii="Times New Roman" w:hAnsi="Times New Roman" w:cs="Times New Roman"/>
          <w:sz w:val="24"/>
          <w:szCs w:val="24"/>
        </w:rPr>
        <w:t xml:space="preserve">, </w:t>
      </w:r>
      <w:r w:rsidRPr="0024134B" w:rsidR="00832C52">
        <w:rPr>
          <w:rFonts w:ascii="Times New Roman" w:hAnsi="Times New Roman" w:cs="Times New Roman"/>
          <w:sz w:val="24"/>
          <w:szCs w:val="24"/>
        </w:rPr>
        <w:t>OVEC’s costs were</w:t>
      </w:r>
      <w:r w:rsidRPr="0024134B" w:rsidR="00D707DD">
        <w:rPr>
          <w:rFonts w:ascii="Times New Roman" w:hAnsi="Times New Roman" w:cs="Times New Roman"/>
          <w:sz w:val="24"/>
          <w:szCs w:val="24"/>
        </w:rPr>
        <w:t xml:space="preserve"> </w:t>
      </w:r>
      <w:r w:rsidRPr="0024134B">
        <w:rPr>
          <w:rFonts w:ascii="Times New Roman" w:hAnsi="Times New Roman" w:cs="Times New Roman"/>
          <w:sz w:val="24"/>
          <w:szCs w:val="24"/>
        </w:rPr>
        <w:t xml:space="preserve">consistently </w:t>
      </w:r>
      <w:r w:rsidRPr="0024134B" w:rsidR="00832C52">
        <w:rPr>
          <w:rFonts w:ascii="Times New Roman" w:hAnsi="Times New Roman" w:cs="Times New Roman"/>
          <w:sz w:val="24"/>
          <w:szCs w:val="24"/>
        </w:rPr>
        <w:t xml:space="preserve">above </w:t>
      </w:r>
      <w:r w:rsidRPr="0024134B">
        <w:rPr>
          <w:rFonts w:ascii="Times New Roman" w:hAnsi="Times New Roman" w:cs="Times New Roman"/>
          <w:sz w:val="24"/>
          <w:szCs w:val="24"/>
        </w:rPr>
        <w:t xml:space="preserve">market </w:t>
      </w:r>
      <w:r w:rsidR="004A5632">
        <w:rPr>
          <w:rFonts w:ascii="Times New Roman" w:hAnsi="Times New Roman" w:cs="Times New Roman"/>
          <w:sz w:val="24"/>
          <w:szCs w:val="24"/>
        </w:rPr>
        <w:t>prices</w:t>
      </w:r>
      <w:r w:rsidRPr="00332247" w:rsidR="004A5632">
        <w:rPr>
          <w:rFonts w:ascii="Times New Roman" w:hAnsi="Times New Roman" w:cs="Times New Roman"/>
          <w:sz w:val="24"/>
          <w:szCs w:val="24"/>
        </w:rPr>
        <w:t xml:space="preserve"> </w:t>
      </w:r>
      <w:r w:rsidRPr="0024134B" w:rsidR="00332247">
        <w:rPr>
          <w:rFonts w:ascii="Times New Roman" w:hAnsi="Times New Roman" w:cs="Times New Roman"/>
          <w:sz w:val="24"/>
          <w:szCs w:val="24"/>
        </w:rPr>
        <w:t>in the four years preceding the 2019 audit year</w:t>
      </w:r>
      <w:r w:rsidRPr="0024134B">
        <w:rPr>
          <w:rFonts w:ascii="Times New Roman" w:hAnsi="Times New Roman" w:cs="Times New Roman"/>
          <w:sz w:val="24"/>
          <w:szCs w:val="24"/>
        </w:rPr>
        <w:t>.</w:t>
      </w:r>
      <w:r>
        <w:rPr>
          <w:rStyle w:val="FootnoteReference"/>
          <w:rFonts w:ascii="Times New Roman" w:hAnsi="Times New Roman" w:cs="Times New Roman"/>
          <w:sz w:val="24"/>
          <w:szCs w:val="24"/>
        </w:rPr>
        <w:footnoteReference w:id="46"/>
      </w:r>
    </w:p>
    <w:tbl>
      <w:tblPr>
        <w:tblW w:w="0" w:type="auto"/>
        <w:jc w:val="center"/>
        <w:tblLayout w:type="fixed"/>
        <w:tblCellMar>
          <w:left w:w="0" w:type="dxa"/>
          <w:right w:w="0" w:type="dxa"/>
        </w:tblCellMar>
        <w:tblLook w:val="0000"/>
      </w:tblPr>
      <w:tblGrid>
        <w:gridCol w:w="840"/>
        <w:gridCol w:w="1559"/>
        <w:gridCol w:w="1500"/>
        <w:gridCol w:w="1382"/>
        <w:gridCol w:w="1606"/>
        <w:gridCol w:w="1743"/>
      </w:tblGrid>
      <w:tr w14:paraId="5CDE3347" w14:textId="77777777" w:rsidTr="007F78CD">
        <w:tblPrEx>
          <w:tblW w:w="0" w:type="auto"/>
          <w:jc w:val="center"/>
          <w:tblLayout w:type="fixed"/>
          <w:tblCellMar>
            <w:left w:w="0" w:type="dxa"/>
            <w:right w:w="0" w:type="dxa"/>
          </w:tblCellMar>
          <w:tblLook w:val="0000"/>
        </w:tblPrEx>
        <w:trPr>
          <w:trHeight w:val="1245"/>
          <w:jc w:val="center"/>
        </w:trPr>
        <w:tc>
          <w:tcPr>
            <w:tcW w:w="840" w:type="dxa"/>
            <w:tcBorders>
              <w:top w:val="single" w:sz="6" w:space="0" w:color="000000"/>
              <w:left w:val="single" w:sz="8" w:space="0" w:color="000000"/>
              <w:bottom w:val="single" w:sz="4" w:space="0" w:color="000000"/>
              <w:right w:val="single" w:sz="4" w:space="0" w:color="000000"/>
            </w:tcBorders>
            <w:vAlign w:val="bottom"/>
          </w:tcPr>
          <w:p w:rsidR="00C42B99" w:rsidRPr="0024134B" w:rsidP="0041727B" w14:paraId="4A4D5513" w14:textId="77777777">
            <w:pPr>
              <w:kinsoku w:val="0"/>
              <w:overflowPunct w:val="0"/>
              <w:autoSpaceDE w:val="0"/>
              <w:autoSpaceDN w:val="0"/>
              <w:adjustRightInd w:val="0"/>
              <w:spacing w:after="0" w:line="240" w:lineRule="auto"/>
              <w:rPr>
                <w:rFonts w:ascii="Times New Roman" w:hAnsi="Times New Roman" w:cs="Times New Roman"/>
                <w:sz w:val="24"/>
                <w:szCs w:val="24"/>
              </w:rPr>
            </w:pPr>
          </w:p>
        </w:tc>
        <w:tc>
          <w:tcPr>
            <w:tcW w:w="1559" w:type="dxa"/>
            <w:tcBorders>
              <w:top w:val="single" w:sz="6" w:space="0" w:color="000000"/>
              <w:left w:val="single" w:sz="4" w:space="0" w:color="000000"/>
              <w:bottom w:val="single" w:sz="4" w:space="0" w:color="000000"/>
              <w:right w:val="none" w:sz="6" w:space="0" w:color="auto"/>
            </w:tcBorders>
            <w:vAlign w:val="bottom"/>
          </w:tcPr>
          <w:p w:rsidR="00C42B99" w:rsidRPr="0024134B" w:rsidP="0041727B" w14:paraId="13C59FE2" w14:textId="77777777">
            <w:pPr>
              <w:kinsoku w:val="0"/>
              <w:overflowPunct w:val="0"/>
              <w:autoSpaceDE w:val="0"/>
              <w:autoSpaceDN w:val="0"/>
              <w:adjustRightInd w:val="0"/>
              <w:spacing w:after="0" w:line="240" w:lineRule="auto"/>
              <w:ind w:left="251" w:firstLine="232"/>
              <w:rPr>
                <w:rFonts w:ascii="Times New Roman" w:hAnsi="Times New Roman" w:cs="Times New Roman"/>
                <w:b/>
                <w:bCs/>
                <w:sz w:val="24"/>
                <w:szCs w:val="24"/>
              </w:rPr>
            </w:pPr>
            <w:r w:rsidRPr="0024134B">
              <w:rPr>
                <w:rFonts w:ascii="Times New Roman" w:hAnsi="Times New Roman" w:cs="Times New Roman"/>
                <w:b/>
                <w:bCs/>
                <w:sz w:val="24"/>
                <w:szCs w:val="24"/>
              </w:rPr>
              <w:t>MWh Electricity</w:t>
            </w:r>
          </w:p>
        </w:tc>
        <w:tc>
          <w:tcPr>
            <w:tcW w:w="1500" w:type="dxa"/>
            <w:tcBorders>
              <w:top w:val="single" w:sz="6" w:space="0" w:color="000000"/>
              <w:left w:val="none" w:sz="6" w:space="0" w:color="auto"/>
              <w:bottom w:val="single" w:sz="4" w:space="0" w:color="000000"/>
              <w:right w:val="none" w:sz="6" w:space="0" w:color="auto"/>
            </w:tcBorders>
            <w:vAlign w:val="bottom"/>
          </w:tcPr>
          <w:p w:rsidR="00C42B99" w:rsidRPr="0024134B" w:rsidP="0041727B" w14:paraId="1F935CBF" w14:textId="77777777">
            <w:pPr>
              <w:kinsoku w:val="0"/>
              <w:overflowPunct w:val="0"/>
              <w:autoSpaceDE w:val="0"/>
              <w:autoSpaceDN w:val="0"/>
              <w:adjustRightInd w:val="0"/>
              <w:spacing w:after="0" w:line="240" w:lineRule="auto"/>
              <w:ind w:right="12"/>
              <w:rPr>
                <w:rFonts w:ascii="Times New Roman" w:hAnsi="Times New Roman" w:cs="Times New Roman"/>
                <w:b/>
                <w:bCs/>
                <w:sz w:val="24"/>
                <w:szCs w:val="24"/>
              </w:rPr>
            </w:pPr>
            <w:r w:rsidRPr="0024134B">
              <w:rPr>
                <w:rFonts w:ascii="Times New Roman" w:hAnsi="Times New Roman" w:cs="Times New Roman"/>
                <w:b/>
                <w:bCs/>
                <w:sz w:val="24"/>
                <w:szCs w:val="24"/>
              </w:rPr>
              <w:t xml:space="preserve"> Total</w:t>
            </w:r>
            <w:r w:rsidRPr="0024134B" w:rsidR="00A51BC6">
              <w:rPr>
                <w:rFonts w:ascii="Times New Roman" w:hAnsi="Times New Roman" w:cs="Times New Roman"/>
                <w:b/>
                <w:bCs/>
                <w:sz w:val="24"/>
                <w:szCs w:val="24"/>
              </w:rPr>
              <w:t xml:space="preserve"> OVEC </w:t>
            </w:r>
          </w:p>
          <w:p w:rsidR="00A51BC6" w:rsidRPr="0024134B" w:rsidP="0041727B" w14:paraId="7359D557" w14:textId="77777777">
            <w:pPr>
              <w:kinsoku w:val="0"/>
              <w:overflowPunct w:val="0"/>
              <w:autoSpaceDE w:val="0"/>
              <w:autoSpaceDN w:val="0"/>
              <w:adjustRightInd w:val="0"/>
              <w:spacing w:after="0" w:line="240" w:lineRule="auto"/>
              <w:ind w:left="-38" w:right="12"/>
              <w:jc w:val="center"/>
              <w:rPr>
                <w:rFonts w:ascii="Times New Roman" w:hAnsi="Times New Roman" w:cs="Times New Roman"/>
                <w:b/>
                <w:bCs/>
                <w:sz w:val="24"/>
                <w:szCs w:val="24"/>
              </w:rPr>
            </w:pPr>
            <w:r w:rsidRPr="0024134B">
              <w:rPr>
                <w:rFonts w:ascii="Times New Roman" w:hAnsi="Times New Roman" w:cs="Times New Roman"/>
                <w:b/>
                <w:bCs/>
                <w:sz w:val="24"/>
                <w:szCs w:val="24"/>
              </w:rPr>
              <w:t>Charges</w:t>
            </w:r>
          </w:p>
          <w:p w:rsidR="00C42B99" w:rsidRPr="0024134B" w:rsidP="0041727B" w14:paraId="585A4F28" w14:textId="77777777">
            <w:pPr>
              <w:kinsoku w:val="0"/>
              <w:overflowPunct w:val="0"/>
              <w:autoSpaceDE w:val="0"/>
              <w:autoSpaceDN w:val="0"/>
              <w:adjustRightInd w:val="0"/>
              <w:spacing w:after="0" w:line="240" w:lineRule="auto"/>
              <w:ind w:left="228" w:right="204"/>
              <w:jc w:val="center"/>
              <w:rPr>
                <w:rFonts w:ascii="Times New Roman" w:hAnsi="Times New Roman" w:cs="Times New Roman"/>
                <w:b/>
                <w:bCs/>
                <w:sz w:val="24"/>
                <w:szCs w:val="24"/>
              </w:rPr>
            </w:pPr>
            <w:r w:rsidRPr="0024134B">
              <w:rPr>
                <w:rFonts w:ascii="Times New Roman" w:hAnsi="Times New Roman" w:cs="Times New Roman"/>
                <w:b/>
                <w:bCs/>
                <w:sz w:val="24"/>
                <w:szCs w:val="24"/>
              </w:rPr>
              <w:t>($Million)</w:t>
            </w:r>
          </w:p>
        </w:tc>
        <w:tc>
          <w:tcPr>
            <w:tcW w:w="1382" w:type="dxa"/>
            <w:tcBorders>
              <w:top w:val="single" w:sz="6" w:space="0" w:color="000000"/>
              <w:left w:val="none" w:sz="6" w:space="0" w:color="auto"/>
              <w:bottom w:val="single" w:sz="4" w:space="0" w:color="000000"/>
              <w:right w:val="none" w:sz="6" w:space="0" w:color="auto"/>
            </w:tcBorders>
            <w:vAlign w:val="bottom"/>
          </w:tcPr>
          <w:p w:rsidR="00A51BC6" w:rsidRPr="0024134B" w:rsidP="0041727B" w14:paraId="1B9BA8BF" w14:textId="77777777">
            <w:pPr>
              <w:kinsoku w:val="0"/>
              <w:overflowPunct w:val="0"/>
              <w:autoSpaceDE w:val="0"/>
              <w:autoSpaceDN w:val="0"/>
              <w:adjustRightInd w:val="0"/>
              <w:spacing w:after="0" w:line="240" w:lineRule="auto"/>
              <w:ind w:left="220" w:right="174"/>
              <w:jc w:val="center"/>
              <w:rPr>
                <w:rFonts w:ascii="Times New Roman" w:hAnsi="Times New Roman" w:cs="Times New Roman"/>
                <w:b/>
                <w:bCs/>
                <w:sz w:val="24"/>
                <w:szCs w:val="24"/>
              </w:rPr>
            </w:pPr>
            <w:r w:rsidRPr="0024134B">
              <w:rPr>
                <w:rFonts w:ascii="Times New Roman" w:hAnsi="Times New Roman" w:cs="Times New Roman"/>
                <w:b/>
                <w:bCs/>
                <w:sz w:val="24"/>
                <w:szCs w:val="24"/>
              </w:rPr>
              <w:t>OVEC</w:t>
            </w:r>
          </w:p>
          <w:p w:rsidR="00C42B99" w:rsidRPr="0024134B" w:rsidP="0041727B" w14:paraId="3DA55A7D" w14:textId="77777777">
            <w:pPr>
              <w:kinsoku w:val="0"/>
              <w:overflowPunct w:val="0"/>
              <w:autoSpaceDE w:val="0"/>
              <w:autoSpaceDN w:val="0"/>
              <w:adjustRightInd w:val="0"/>
              <w:spacing w:after="0" w:line="240" w:lineRule="auto"/>
              <w:ind w:left="220" w:right="174"/>
              <w:jc w:val="center"/>
              <w:rPr>
                <w:rFonts w:ascii="Times New Roman" w:hAnsi="Times New Roman" w:cs="Times New Roman"/>
                <w:b/>
                <w:bCs/>
                <w:sz w:val="24"/>
                <w:szCs w:val="24"/>
              </w:rPr>
            </w:pPr>
            <w:r w:rsidRPr="0024134B">
              <w:rPr>
                <w:rFonts w:ascii="Times New Roman" w:hAnsi="Times New Roman" w:cs="Times New Roman"/>
                <w:b/>
                <w:bCs/>
                <w:sz w:val="24"/>
                <w:szCs w:val="24"/>
              </w:rPr>
              <w:t>($/MWh)</w:t>
            </w:r>
          </w:p>
        </w:tc>
        <w:tc>
          <w:tcPr>
            <w:tcW w:w="1606" w:type="dxa"/>
            <w:tcBorders>
              <w:top w:val="single" w:sz="6" w:space="0" w:color="000000"/>
              <w:left w:val="none" w:sz="6" w:space="0" w:color="auto"/>
              <w:bottom w:val="single" w:sz="4" w:space="0" w:color="000000"/>
              <w:right w:val="none" w:sz="6" w:space="0" w:color="auto"/>
            </w:tcBorders>
            <w:vAlign w:val="bottom"/>
          </w:tcPr>
          <w:p w:rsidR="00C42B99" w:rsidRPr="0024134B" w:rsidP="0041727B" w14:paraId="0B8D429B" w14:textId="77777777">
            <w:pPr>
              <w:kinsoku w:val="0"/>
              <w:overflowPunct w:val="0"/>
              <w:autoSpaceDE w:val="0"/>
              <w:autoSpaceDN w:val="0"/>
              <w:adjustRightInd w:val="0"/>
              <w:spacing w:after="0" w:line="240" w:lineRule="auto"/>
              <w:ind w:left="210" w:right="199"/>
              <w:jc w:val="center"/>
              <w:rPr>
                <w:rFonts w:ascii="Times New Roman" w:hAnsi="Times New Roman" w:cs="Times New Roman"/>
                <w:b/>
                <w:bCs/>
                <w:sz w:val="24"/>
                <w:szCs w:val="24"/>
              </w:rPr>
            </w:pPr>
            <w:r w:rsidRPr="0024134B">
              <w:rPr>
                <w:rFonts w:ascii="Times New Roman" w:hAnsi="Times New Roman" w:cs="Times New Roman"/>
                <w:b/>
                <w:bCs/>
                <w:sz w:val="24"/>
                <w:szCs w:val="24"/>
              </w:rPr>
              <w:t>Energy and capacity market value*</w:t>
            </w:r>
          </w:p>
          <w:p w:rsidR="00C42B99" w:rsidRPr="0024134B" w:rsidP="0041727B" w14:paraId="4540FBF1" w14:textId="77777777">
            <w:pPr>
              <w:kinsoku w:val="0"/>
              <w:overflowPunct w:val="0"/>
              <w:autoSpaceDE w:val="0"/>
              <w:autoSpaceDN w:val="0"/>
              <w:adjustRightInd w:val="0"/>
              <w:spacing w:after="0" w:line="240" w:lineRule="auto"/>
              <w:ind w:left="209" w:right="199"/>
              <w:jc w:val="center"/>
              <w:rPr>
                <w:rFonts w:ascii="Times New Roman" w:hAnsi="Times New Roman" w:cs="Times New Roman"/>
                <w:b/>
                <w:bCs/>
                <w:sz w:val="24"/>
                <w:szCs w:val="24"/>
              </w:rPr>
            </w:pPr>
            <w:r w:rsidRPr="0024134B">
              <w:rPr>
                <w:rFonts w:ascii="Times New Roman" w:hAnsi="Times New Roman" w:cs="Times New Roman"/>
                <w:b/>
                <w:bCs/>
                <w:sz w:val="24"/>
                <w:szCs w:val="24"/>
              </w:rPr>
              <w:t>($/MWh)</w:t>
            </w:r>
          </w:p>
        </w:tc>
        <w:tc>
          <w:tcPr>
            <w:tcW w:w="1743" w:type="dxa"/>
            <w:tcBorders>
              <w:top w:val="single" w:sz="6" w:space="0" w:color="000000"/>
              <w:left w:val="none" w:sz="6" w:space="0" w:color="auto"/>
              <w:bottom w:val="single" w:sz="4" w:space="0" w:color="000000"/>
              <w:right w:val="single" w:sz="4" w:space="0" w:color="000000"/>
            </w:tcBorders>
            <w:vAlign w:val="bottom"/>
          </w:tcPr>
          <w:p w:rsidR="00C42B99" w:rsidRPr="0024134B" w:rsidP="0041727B" w14:paraId="690E18E7" w14:textId="77777777">
            <w:pPr>
              <w:kinsoku w:val="0"/>
              <w:overflowPunct w:val="0"/>
              <w:autoSpaceDE w:val="0"/>
              <w:autoSpaceDN w:val="0"/>
              <w:adjustRightInd w:val="0"/>
              <w:spacing w:after="0" w:line="240" w:lineRule="auto"/>
              <w:ind w:left="214" w:right="223" w:firstLine="4"/>
              <w:jc w:val="both"/>
              <w:rPr>
                <w:rFonts w:ascii="Times New Roman" w:hAnsi="Times New Roman" w:cs="Times New Roman"/>
                <w:b/>
                <w:bCs/>
                <w:sz w:val="24"/>
                <w:szCs w:val="24"/>
              </w:rPr>
            </w:pPr>
            <w:r w:rsidRPr="0024134B">
              <w:rPr>
                <w:rFonts w:ascii="Times New Roman" w:hAnsi="Times New Roman" w:cs="Times New Roman"/>
                <w:b/>
                <w:bCs/>
                <w:sz w:val="24"/>
                <w:szCs w:val="24"/>
              </w:rPr>
              <w:t>Total above- market costs ($Million)</w:t>
            </w:r>
          </w:p>
        </w:tc>
      </w:tr>
      <w:tr w14:paraId="471405E9" w14:textId="77777777" w:rsidTr="007F78CD">
        <w:tblPrEx>
          <w:tblW w:w="0" w:type="auto"/>
          <w:jc w:val="center"/>
          <w:tblLayout w:type="fixed"/>
          <w:tblCellMar>
            <w:left w:w="0" w:type="dxa"/>
            <w:right w:w="0" w:type="dxa"/>
          </w:tblCellMar>
          <w:tblLook w:val="0000"/>
        </w:tblPrEx>
        <w:trPr>
          <w:trHeight w:val="314"/>
          <w:jc w:val="center"/>
        </w:trPr>
        <w:tc>
          <w:tcPr>
            <w:tcW w:w="840" w:type="dxa"/>
            <w:tcBorders>
              <w:top w:val="single" w:sz="4" w:space="0" w:color="000000"/>
              <w:left w:val="single" w:sz="8" w:space="0" w:color="000000"/>
              <w:bottom w:val="none" w:sz="6" w:space="0" w:color="auto"/>
              <w:right w:val="single" w:sz="4" w:space="0" w:color="000000"/>
            </w:tcBorders>
          </w:tcPr>
          <w:p w:rsidR="00C42B99" w:rsidRPr="0024134B" w:rsidP="00C42B99" w14:paraId="53621112" w14:textId="77777777">
            <w:pPr>
              <w:kinsoku w:val="0"/>
              <w:overflowPunct w:val="0"/>
              <w:autoSpaceDE w:val="0"/>
              <w:autoSpaceDN w:val="0"/>
              <w:adjustRightInd w:val="0"/>
              <w:spacing w:after="0" w:line="275" w:lineRule="exact"/>
              <w:ind w:right="91"/>
              <w:jc w:val="right"/>
              <w:rPr>
                <w:rFonts w:ascii="Times New Roman" w:hAnsi="Times New Roman" w:cs="Times New Roman"/>
                <w:b/>
                <w:bCs/>
                <w:sz w:val="24"/>
                <w:szCs w:val="24"/>
              </w:rPr>
            </w:pPr>
            <w:r w:rsidRPr="0024134B">
              <w:rPr>
                <w:rFonts w:ascii="Times New Roman" w:hAnsi="Times New Roman" w:cs="Times New Roman"/>
                <w:b/>
                <w:bCs/>
                <w:sz w:val="24"/>
                <w:szCs w:val="24"/>
              </w:rPr>
              <w:t>2015</w:t>
            </w:r>
          </w:p>
        </w:tc>
        <w:tc>
          <w:tcPr>
            <w:tcW w:w="1559" w:type="dxa"/>
            <w:tcBorders>
              <w:top w:val="single" w:sz="4" w:space="0" w:color="000000"/>
              <w:left w:val="single" w:sz="4" w:space="0" w:color="000000"/>
              <w:bottom w:val="none" w:sz="6" w:space="0" w:color="auto"/>
              <w:right w:val="none" w:sz="6" w:space="0" w:color="auto"/>
            </w:tcBorders>
          </w:tcPr>
          <w:p w:rsidR="00C42B99" w:rsidRPr="0024134B" w:rsidP="00C42B99" w14:paraId="7435B70D" w14:textId="77777777">
            <w:pPr>
              <w:kinsoku w:val="0"/>
              <w:overflowPunct w:val="0"/>
              <w:autoSpaceDE w:val="0"/>
              <w:autoSpaceDN w:val="0"/>
              <w:adjustRightInd w:val="0"/>
              <w:spacing w:after="0" w:line="275" w:lineRule="exact"/>
              <w:ind w:left="224" w:right="210"/>
              <w:jc w:val="center"/>
              <w:rPr>
                <w:rFonts w:ascii="Times New Roman" w:hAnsi="Times New Roman" w:cs="Times New Roman"/>
                <w:sz w:val="24"/>
                <w:szCs w:val="24"/>
              </w:rPr>
            </w:pPr>
            <w:r w:rsidRPr="0024134B">
              <w:rPr>
                <w:rFonts w:ascii="Times New Roman" w:hAnsi="Times New Roman" w:cs="Times New Roman"/>
                <w:sz w:val="24"/>
                <w:szCs w:val="24"/>
              </w:rPr>
              <w:t>8,681,829</w:t>
            </w:r>
          </w:p>
        </w:tc>
        <w:tc>
          <w:tcPr>
            <w:tcW w:w="1500" w:type="dxa"/>
            <w:tcBorders>
              <w:top w:val="single" w:sz="4" w:space="0" w:color="000000"/>
              <w:left w:val="none" w:sz="6" w:space="0" w:color="auto"/>
              <w:bottom w:val="none" w:sz="6" w:space="0" w:color="auto"/>
              <w:right w:val="none" w:sz="6" w:space="0" w:color="auto"/>
            </w:tcBorders>
          </w:tcPr>
          <w:p w:rsidR="00C42B99" w:rsidRPr="0024134B" w:rsidP="00C42B99" w14:paraId="4BBC73EB" w14:textId="77777777">
            <w:pPr>
              <w:kinsoku w:val="0"/>
              <w:overflowPunct w:val="0"/>
              <w:autoSpaceDE w:val="0"/>
              <w:autoSpaceDN w:val="0"/>
              <w:adjustRightInd w:val="0"/>
              <w:spacing w:after="0" w:line="275" w:lineRule="exact"/>
              <w:ind w:left="228" w:right="203"/>
              <w:jc w:val="center"/>
              <w:rPr>
                <w:rFonts w:ascii="Times New Roman" w:hAnsi="Times New Roman" w:cs="Times New Roman"/>
                <w:sz w:val="24"/>
                <w:szCs w:val="24"/>
              </w:rPr>
            </w:pPr>
            <w:r w:rsidRPr="0024134B">
              <w:rPr>
                <w:rFonts w:ascii="Times New Roman" w:hAnsi="Times New Roman" w:cs="Times New Roman"/>
                <w:sz w:val="24"/>
                <w:szCs w:val="24"/>
              </w:rPr>
              <w:t>$559.1</w:t>
            </w:r>
          </w:p>
        </w:tc>
        <w:tc>
          <w:tcPr>
            <w:tcW w:w="1382" w:type="dxa"/>
            <w:tcBorders>
              <w:top w:val="single" w:sz="4" w:space="0" w:color="000000"/>
              <w:left w:val="none" w:sz="6" w:space="0" w:color="auto"/>
              <w:bottom w:val="none" w:sz="6" w:space="0" w:color="auto"/>
              <w:right w:val="none" w:sz="6" w:space="0" w:color="auto"/>
            </w:tcBorders>
          </w:tcPr>
          <w:p w:rsidR="00C42B99" w:rsidRPr="0024134B" w:rsidP="00C42B99" w14:paraId="17B7E480" w14:textId="77777777">
            <w:pPr>
              <w:kinsoku w:val="0"/>
              <w:overflowPunct w:val="0"/>
              <w:autoSpaceDE w:val="0"/>
              <w:autoSpaceDN w:val="0"/>
              <w:adjustRightInd w:val="0"/>
              <w:spacing w:after="0" w:line="275" w:lineRule="exact"/>
              <w:ind w:right="337"/>
              <w:jc w:val="right"/>
              <w:rPr>
                <w:rFonts w:ascii="Times New Roman" w:hAnsi="Times New Roman" w:cs="Times New Roman"/>
                <w:sz w:val="24"/>
                <w:szCs w:val="24"/>
              </w:rPr>
            </w:pPr>
            <w:r w:rsidRPr="0024134B">
              <w:rPr>
                <w:rFonts w:ascii="Times New Roman" w:hAnsi="Times New Roman" w:cs="Times New Roman"/>
                <w:sz w:val="24"/>
                <w:szCs w:val="24"/>
              </w:rPr>
              <w:t>$64.40</w:t>
            </w:r>
          </w:p>
        </w:tc>
        <w:tc>
          <w:tcPr>
            <w:tcW w:w="1606" w:type="dxa"/>
            <w:tcBorders>
              <w:top w:val="single" w:sz="4" w:space="0" w:color="000000"/>
              <w:left w:val="none" w:sz="6" w:space="0" w:color="auto"/>
              <w:bottom w:val="none" w:sz="6" w:space="0" w:color="auto"/>
              <w:right w:val="none" w:sz="6" w:space="0" w:color="auto"/>
            </w:tcBorders>
          </w:tcPr>
          <w:p w:rsidR="00C42B99" w:rsidRPr="0024134B" w:rsidP="00C42B99" w14:paraId="04C5CC15" w14:textId="77777777">
            <w:pPr>
              <w:kinsoku w:val="0"/>
              <w:overflowPunct w:val="0"/>
              <w:autoSpaceDE w:val="0"/>
              <w:autoSpaceDN w:val="0"/>
              <w:adjustRightInd w:val="0"/>
              <w:spacing w:after="0" w:line="275" w:lineRule="exact"/>
              <w:ind w:left="210" w:right="199"/>
              <w:jc w:val="center"/>
              <w:rPr>
                <w:rFonts w:ascii="Times New Roman" w:hAnsi="Times New Roman" w:cs="Times New Roman"/>
                <w:sz w:val="24"/>
                <w:szCs w:val="24"/>
              </w:rPr>
            </w:pPr>
            <w:r w:rsidRPr="0024134B">
              <w:rPr>
                <w:rFonts w:ascii="Times New Roman" w:hAnsi="Times New Roman" w:cs="Times New Roman"/>
                <w:sz w:val="24"/>
                <w:szCs w:val="24"/>
              </w:rPr>
              <w:t>$47.02</w:t>
            </w:r>
          </w:p>
        </w:tc>
        <w:tc>
          <w:tcPr>
            <w:tcW w:w="1743" w:type="dxa"/>
            <w:tcBorders>
              <w:top w:val="single" w:sz="4" w:space="0" w:color="000000"/>
              <w:left w:val="none" w:sz="6" w:space="0" w:color="auto"/>
              <w:bottom w:val="none" w:sz="6" w:space="0" w:color="auto"/>
              <w:right w:val="single" w:sz="4" w:space="0" w:color="000000"/>
            </w:tcBorders>
          </w:tcPr>
          <w:p w:rsidR="00C42B99" w:rsidRPr="0024134B" w:rsidP="00C42B99" w14:paraId="33330358" w14:textId="77777777">
            <w:pPr>
              <w:kinsoku w:val="0"/>
              <w:overflowPunct w:val="0"/>
              <w:autoSpaceDE w:val="0"/>
              <w:autoSpaceDN w:val="0"/>
              <w:adjustRightInd w:val="0"/>
              <w:spacing w:after="0" w:line="275" w:lineRule="exact"/>
              <w:ind w:left="455" w:right="463"/>
              <w:jc w:val="center"/>
              <w:rPr>
                <w:rFonts w:ascii="Times New Roman" w:hAnsi="Times New Roman" w:cs="Times New Roman"/>
                <w:sz w:val="24"/>
                <w:szCs w:val="24"/>
              </w:rPr>
            </w:pPr>
            <w:r w:rsidRPr="0024134B">
              <w:rPr>
                <w:rFonts w:ascii="Times New Roman" w:hAnsi="Times New Roman" w:cs="Times New Roman"/>
                <w:sz w:val="24"/>
                <w:szCs w:val="24"/>
              </w:rPr>
              <w:t>$150.84</w:t>
            </w:r>
          </w:p>
        </w:tc>
      </w:tr>
      <w:tr w14:paraId="303B3FFE" w14:textId="77777777" w:rsidTr="007F78CD">
        <w:tblPrEx>
          <w:tblW w:w="0" w:type="auto"/>
          <w:jc w:val="center"/>
          <w:tblLayout w:type="fixed"/>
          <w:tblCellMar>
            <w:left w:w="0" w:type="dxa"/>
            <w:right w:w="0" w:type="dxa"/>
          </w:tblCellMar>
          <w:tblLook w:val="0000"/>
        </w:tblPrEx>
        <w:trPr>
          <w:trHeight w:val="316"/>
          <w:jc w:val="center"/>
        </w:trPr>
        <w:tc>
          <w:tcPr>
            <w:tcW w:w="840" w:type="dxa"/>
            <w:tcBorders>
              <w:top w:val="none" w:sz="6" w:space="0" w:color="auto"/>
              <w:left w:val="single" w:sz="8" w:space="0" w:color="000000"/>
              <w:bottom w:val="none" w:sz="6" w:space="0" w:color="auto"/>
              <w:right w:val="single" w:sz="4" w:space="0" w:color="000000"/>
            </w:tcBorders>
          </w:tcPr>
          <w:p w:rsidR="00C42B99" w:rsidRPr="0024134B" w:rsidP="00C42B99" w14:paraId="6633854C" w14:textId="77777777">
            <w:pPr>
              <w:kinsoku w:val="0"/>
              <w:overflowPunct w:val="0"/>
              <w:autoSpaceDE w:val="0"/>
              <w:autoSpaceDN w:val="0"/>
              <w:adjustRightInd w:val="0"/>
              <w:spacing w:after="0" w:line="240" w:lineRule="auto"/>
              <w:ind w:right="91"/>
              <w:jc w:val="right"/>
              <w:rPr>
                <w:rFonts w:ascii="Times New Roman" w:hAnsi="Times New Roman" w:cs="Times New Roman"/>
                <w:b/>
                <w:bCs/>
                <w:sz w:val="24"/>
                <w:szCs w:val="24"/>
              </w:rPr>
            </w:pPr>
            <w:r w:rsidRPr="0024134B">
              <w:rPr>
                <w:rFonts w:ascii="Times New Roman" w:hAnsi="Times New Roman" w:cs="Times New Roman"/>
                <w:b/>
                <w:bCs/>
                <w:sz w:val="24"/>
                <w:szCs w:val="24"/>
              </w:rPr>
              <w:t>2016</w:t>
            </w:r>
          </w:p>
        </w:tc>
        <w:tc>
          <w:tcPr>
            <w:tcW w:w="1559" w:type="dxa"/>
            <w:tcBorders>
              <w:top w:val="none" w:sz="6" w:space="0" w:color="auto"/>
              <w:left w:val="single" w:sz="4" w:space="0" w:color="000000"/>
              <w:bottom w:val="none" w:sz="6" w:space="0" w:color="auto"/>
              <w:right w:val="none" w:sz="6" w:space="0" w:color="auto"/>
            </w:tcBorders>
          </w:tcPr>
          <w:p w:rsidR="00C42B99" w:rsidRPr="0024134B" w:rsidP="00C42B99" w14:paraId="618DA3A7" w14:textId="77777777">
            <w:pPr>
              <w:kinsoku w:val="0"/>
              <w:overflowPunct w:val="0"/>
              <w:autoSpaceDE w:val="0"/>
              <w:autoSpaceDN w:val="0"/>
              <w:adjustRightInd w:val="0"/>
              <w:spacing w:after="0" w:line="240" w:lineRule="auto"/>
              <w:ind w:left="224" w:right="210"/>
              <w:jc w:val="center"/>
              <w:rPr>
                <w:rFonts w:ascii="Times New Roman" w:hAnsi="Times New Roman" w:cs="Times New Roman"/>
                <w:sz w:val="24"/>
                <w:szCs w:val="24"/>
              </w:rPr>
            </w:pPr>
            <w:r w:rsidRPr="0024134B">
              <w:rPr>
                <w:rFonts w:ascii="Times New Roman" w:hAnsi="Times New Roman" w:cs="Times New Roman"/>
                <w:sz w:val="24"/>
                <w:szCs w:val="24"/>
              </w:rPr>
              <w:t>9,745,956</w:t>
            </w:r>
          </w:p>
        </w:tc>
        <w:tc>
          <w:tcPr>
            <w:tcW w:w="1500" w:type="dxa"/>
            <w:tcBorders>
              <w:top w:val="none" w:sz="6" w:space="0" w:color="auto"/>
              <w:left w:val="none" w:sz="6" w:space="0" w:color="auto"/>
              <w:bottom w:val="none" w:sz="6" w:space="0" w:color="auto"/>
              <w:right w:val="none" w:sz="6" w:space="0" w:color="auto"/>
            </w:tcBorders>
          </w:tcPr>
          <w:p w:rsidR="00C42B99" w:rsidRPr="0024134B" w:rsidP="00C42B99" w14:paraId="11CC1EDA" w14:textId="77777777">
            <w:pPr>
              <w:kinsoku w:val="0"/>
              <w:overflowPunct w:val="0"/>
              <w:autoSpaceDE w:val="0"/>
              <w:autoSpaceDN w:val="0"/>
              <w:adjustRightInd w:val="0"/>
              <w:spacing w:after="0" w:line="240" w:lineRule="auto"/>
              <w:ind w:left="228" w:right="203"/>
              <w:jc w:val="center"/>
              <w:rPr>
                <w:rFonts w:ascii="Times New Roman" w:hAnsi="Times New Roman" w:cs="Times New Roman"/>
                <w:sz w:val="24"/>
                <w:szCs w:val="24"/>
              </w:rPr>
            </w:pPr>
            <w:r w:rsidRPr="0024134B">
              <w:rPr>
                <w:rFonts w:ascii="Times New Roman" w:hAnsi="Times New Roman" w:cs="Times New Roman"/>
                <w:sz w:val="24"/>
                <w:szCs w:val="24"/>
              </w:rPr>
              <w:t>$571.7</w:t>
            </w:r>
          </w:p>
        </w:tc>
        <w:tc>
          <w:tcPr>
            <w:tcW w:w="1382" w:type="dxa"/>
            <w:tcBorders>
              <w:top w:val="none" w:sz="6" w:space="0" w:color="auto"/>
              <w:left w:val="none" w:sz="6" w:space="0" w:color="auto"/>
              <w:bottom w:val="none" w:sz="6" w:space="0" w:color="auto"/>
              <w:right w:val="none" w:sz="6" w:space="0" w:color="auto"/>
            </w:tcBorders>
          </w:tcPr>
          <w:p w:rsidR="00C42B99" w:rsidRPr="0024134B" w:rsidP="00C42B99" w14:paraId="5EC85B39" w14:textId="77777777">
            <w:pPr>
              <w:kinsoku w:val="0"/>
              <w:overflowPunct w:val="0"/>
              <w:autoSpaceDE w:val="0"/>
              <w:autoSpaceDN w:val="0"/>
              <w:adjustRightInd w:val="0"/>
              <w:spacing w:after="0" w:line="240" w:lineRule="auto"/>
              <w:ind w:right="337"/>
              <w:jc w:val="right"/>
              <w:rPr>
                <w:rFonts w:ascii="Times New Roman" w:hAnsi="Times New Roman" w:cs="Times New Roman"/>
                <w:sz w:val="24"/>
                <w:szCs w:val="24"/>
              </w:rPr>
            </w:pPr>
            <w:r w:rsidRPr="0024134B">
              <w:rPr>
                <w:rFonts w:ascii="Times New Roman" w:hAnsi="Times New Roman" w:cs="Times New Roman"/>
                <w:sz w:val="24"/>
                <w:szCs w:val="24"/>
              </w:rPr>
              <w:t>$58.66</w:t>
            </w:r>
          </w:p>
        </w:tc>
        <w:tc>
          <w:tcPr>
            <w:tcW w:w="1606" w:type="dxa"/>
            <w:tcBorders>
              <w:top w:val="none" w:sz="6" w:space="0" w:color="auto"/>
              <w:left w:val="none" w:sz="6" w:space="0" w:color="auto"/>
              <w:bottom w:val="none" w:sz="6" w:space="0" w:color="auto"/>
              <w:right w:val="none" w:sz="6" w:space="0" w:color="auto"/>
            </w:tcBorders>
          </w:tcPr>
          <w:p w:rsidR="00C42B99" w:rsidRPr="0024134B" w:rsidP="00C42B99" w14:paraId="4760853B" w14:textId="77777777">
            <w:pPr>
              <w:kinsoku w:val="0"/>
              <w:overflowPunct w:val="0"/>
              <w:autoSpaceDE w:val="0"/>
              <w:autoSpaceDN w:val="0"/>
              <w:adjustRightInd w:val="0"/>
              <w:spacing w:after="0" w:line="240" w:lineRule="auto"/>
              <w:ind w:left="210" w:right="199"/>
              <w:jc w:val="center"/>
              <w:rPr>
                <w:rFonts w:ascii="Times New Roman" w:hAnsi="Times New Roman" w:cs="Times New Roman"/>
                <w:sz w:val="24"/>
                <w:szCs w:val="24"/>
              </w:rPr>
            </w:pPr>
            <w:r w:rsidRPr="0024134B">
              <w:rPr>
                <w:rFonts w:ascii="Times New Roman" w:hAnsi="Times New Roman" w:cs="Times New Roman"/>
                <w:sz w:val="24"/>
                <w:szCs w:val="24"/>
              </w:rPr>
              <w:t>$38.50</w:t>
            </w:r>
          </w:p>
        </w:tc>
        <w:tc>
          <w:tcPr>
            <w:tcW w:w="1743" w:type="dxa"/>
            <w:tcBorders>
              <w:top w:val="none" w:sz="6" w:space="0" w:color="auto"/>
              <w:left w:val="none" w:sz="6" w:space="0" w:color="auto"/>
              <w:bottom w:val="none" w:sz="6" w:space="0" w:color="auto"/>
              <w:right w:val="single" w:sz="4" w:space="0" w:color="000000"/>
            </w:tcBorders>
          </w:tcPr>
          <w:p w:rsidR="00C42B99" w:rsidRPr="0024134B" w:rsidP="00C42B99" w14:paraId="5CE3F502" w14:textId="77777777">
            <w:pPr>
              <w:kinsoku w:val="0"/>
              <w:overflowPunct w:val="0"/>
              <w:autoSpaceDE w:val="0"/>
              <w:autoSpaceDN w:val="0"/>
              <w:adjustRightInd w:val="0"/>
              <w:spacing w:after="0" w:line="240" w:lineRule="auto"/>
              <w:ind w:left="455" w:right="463"/>
              <w:jc w:val="center"/>
              <w:rPr>
                <w:rFonts w:ascii="Times New Roman" w:hAnsi="Times New Roman" w:cs="Times New Roman"/>
                <w:sz w:val="24"/>
                <w:szCs w:val="24"/>
              </w:rPr>
            </w:pPr>
            <w:r w:rsidRPr="0024134B">
              <w:rPr>
                <w:rFonts w:ascii="Times New Roman" w:hAnsi="Times New Roman" w:cs="Times New Roman"/>
                <w:sz w:val="24"/>
                <w:szCs w:val="24"/>
              </w:rPr>
              <w:t>$196.50</w:t>
            </w:r>
          </w:p>
        </w:tc>
      </w:tr>
      <w:tr w14:paraId="2E17379A" w14:textId="77777777" w:rsidTr="007F78CD">
        <w:tblPrEx>
          <w:tblW w:w="0" w:type="auto"/>
          <w:jc w:val="center"/>
          <w:tblLayout w:type="fixed"/>
          <w:tblCellMar>
            <w:left w:w="0" w:type="dxa"/>
            <w:right w:w="0" w:type="dxa"/>
          </w:tblCellMar>
          <w:tblLook w:val="0000"/>
        </w:tblPrEx>
        <w:trPr>
          <w:trHeight w:val="317"/>
          <w:jc w:val="center"/>
        </w:trPr>
        <w:tc>
          <w:tcPr>
            <w:tcW w:w="840" w:type="dxa"/>
            <w:tcBorders>
              <w:top w:val="none" w:sz="6" w:space="0" w:color="auto"/>
              <w:left w:val="single" w:sz="8" w:space="0" w:color="000000"/>
              <w:bottom w:val="none" w:sz="6" w:space="0" w:color="auto"/>
              <w:right w:val="single" w:sz="4" w:space="0" w:color="000000"/>
            </w:tcBorders>
          </w:tcPr>
          <w:p w:rsidR="00C42B99" w:rsidRPr="0024134B" w:rsidP="00C42B99" w14:paraId="6C12CD2F" w14:textId="77777777">
            <w:pPr>
              <w:kinsoku w:val="0"/>
              <w:overflowPunct w:val="0"/>
              <w:autoSpaceDE w:val="0"/>
              <w:autoSpaceDN w:val="0"/>
              <w:adjustRightInd w:val="0"/>
              <w:spacing w:after="0" w:line="240" w:lineRule="auto"/>
              <w:ind w:right="91"/>
              <w:jc w:val="right"/>
              <w:rPr>
                <w:rFonts w:ascii="Times New Roman" w:hAnsi="Times New Roman" w:cs="Times New Roman"/>
                <w:b/>
                <w:bCs/>
                <w:sz w:val="24"/>
                <w:szCs w:val="24"/>
              </w:rPr>
            </w:pPr>
            <w:r w:rsidRPr="0024134B">
              <w:rPr>
                <w:rFonts w:ascii="Times New Roman" w:hAnsi="Times New Roman" w:cs="Times New Roman"/>
                <w:b/>
                <w:bCs/>
                <w:sz w:val="24"/>
                <w:szCs w:val="24"/>
              </w:rPr>
              <w:t>2017</w:t>
            </w:r>
          </w:p>
        </w:tc>
        <w:tc>
          <w:tcPr>
            <w:tcW w:w="1559" w:type="dxa"/>
            <w:tcBorders>
              <w:top w:val="none" w:sz="6" w:space="0" w:color="auto"/>
              <w:left w:val="single" w:sz="4" w:space="0" w:color="000000"/>
              <w:bottom w:val="none" w:sz="6" w:space="0" w:color="auto"/>
              <w:right w:val="none" w:sz="6" w:space="0" w:color="auto"/>
            </w:tcBorders>
          </w:tcPr>
          <w:p w:rsidR="00C42B99" w:rsidRPr="0024134B" w:rsidP="00C42B99" w14:paraId="28568314" w14:textId="77777777">
            <w:pPr>
              <w:kinsoku w:val="0"/>
              <w:overflowPunct w:val="0"/>
              <w:autoSpaceDE w:val="0"/>
              <w:autoSpaceDN w:val="0"/>
              <w:adjustRightInd w:val="0"/>
              <w:spacing w:after="0" w:line="240" w:lineRule="auto"/>
              <w:ind w:left="224" w:right="210"/>
              <w:jc w:val="center"/>
              <w:rPr>
                <w:rFonts w:ascii="Times New Roman" w:hAnsi="Times New Roman" w:cs="Times New Roman"/>
                <w:sz w:val="24"/>
                <w:szCs w:val="24"/>
              </w:rPr>
            </w:pPr>
            <w:r w:rsidRPr="0024134B">
              <w:rPr>
                <w:rFonts w:ascii="Times New Roman" w:hAnsi="Times New Roman" w:cs="Times New Roman"/>
                <w:sz w:val="24"/>
                <w:szCs w:val="24"/>
              </w:rPr>
              <w:t>11,724,662</w:t>
            </w:r>
          </w:p>
        </w:tc>
        <w:tc>
          <w:tcPr>
            <w:tcW w:w="1500" w:type="dxa"/>
            <w:tcBorders>
              <w:top w:val="none" w:sz="6" w:space="0" w:color="auto"/>
              <w:left w:val="none" w:sz="6" w:space="0" w:color="auto"/>
              <w:bottom w:val="none" w:sz="6" w:space="0" w:color="auto"/>
              <w:right w:val="none" w:sz="6" w:space="0" w:color="auto"/>
            </w:tcBorders>
          </w:tcPr>
          <w:p w:rsidR="00C42B99" w:rsidRPr="0024134B" w:rsidP="00C42B99" w14:paraId="19EF6B9D" w14:textId="77777777">
            <w:pPr>
              <w:kinsoku w:val="0"/>
              <w:overflowPunct w:val="0"/>
              <w:autoSpaceDE w:val="0"/>
              <w:autoSpaceDN w:val="0"/>
              <w:adjustRightInd w:val="0"/>
              <w:spacing w:after="0" w:line="240" w:lineRule="auto"/>
              <w:ind w:left="228" w:right="203"/>
              <w:jc w:val="center"/>
              <w:rPr>
                <w:rFonts w:ascii="Times New Roman" w:hAnsi="Times New Roman" w:cs="Times New Roman"/>
                <w:sz w:val="24"/>
                <w:szCs w:val="24"/>
              </w:rPr>
            </w:pPr>
            <w:r w:rsidRPr="0024134B">
              <w:rPr>
                <w:rFonts w:ascii="Times New Roman" w:hAnsi="Times New Roman" w:cs="Times New Roman"/>
                <w:sz w:val="24"/>
                <w:szCs w:val="24"/>
              </w:rPr>
              <w:t>$636.3</w:t>
            </w:r>
          </w:p>
        </w:tc>
        <w:tc>
          <w:tcPr>
            <w:tcW w:w="1382" w:type="dxa"/>
            <w:tcBorders>
              <w:top w:val="none" w:sz="6" w:space="0" w:color="auto"/>
              <w:left w:val="none" w:sz="6" w:space="0" w:color="auto"/>
              <w:bottom w:val="none" w:sz="6" w:space="0" w:color="auto"/>
              <w:right w:val="none" w:sz="6" w:space="0" w:color="auto"/>
            </w:tcBorders>
          </w:tcPr>
          <w:p w:rsidR="00C42B99" w:rsidRPr="0024134B" w:rsidP="00C42B99" w14:paraId="1100153E" w14:textId="77777777">
            <w:pPr>
              <w:kinsoku w:val="0"/>
              <w:overflowPunct w:val="0"/>
              <w:autoSpaceDE w:val="0"/>
              <w:autoSpaceDN w:val="0"/>
              <w:adjustRightInd w:val="0"/>
              <w:spacing w:after="0" w:line="240" w:lineRule="auto"/>
              <w:ind w:right="337"/>
              <w:jc w:val="right"/>
              <w:rPr>
                <w:rFonts w:ascii="Times New Roman" w:hAnsi="Times New Roman" w:cs="Times New Roman"/>
                <w:sz w:val="24"/>
                <w:szCs w:val="24"/>
              </w:rPr>
            </w:pPr>
            <w:r w:rsidRPr="0024134B">
              <w:rPr>
                <w:rFonts w:ascii="Times New Roman" w:hAnsi="Times New Roman" w:cs="Times New Roman"/>
                <w:sz w:val="24"/>
                <w:szCs w:val="24"/>
              </w:rPr>
              <w:t>$54.27</w:t>
            </w:r>
          </w:p>
        </w:tc>
        <w:tc>
          <w:tcPr>
            <w:tcW w:w="1606" w:type="dxa"/>
            <w:tcBorders>
              <w:top w:val="none" w:sz="6" w:space="0" w:color="auto"/>
              <w:left w:val="none" w:sz="6" w:space="0" w:color="auto"/>
              <w:bottom w:val="none" w:sz="6" w:space="0" w:color="auto"/>
              <w:right w:val="none" w:sz="6" w:space="0" w:color="auto"/>
            </w:tcBorders>
          </w:tcPr>
          <w:p w:rsidR="00C42B99" w:rsidRPr="0024134B" w:rsidP="00C42B99" w14:paraId="4B3BAFA2" w14:textId="77777777">
            <w:pPr>
              <w:kinsoku w:val="0"/>
              <w:overflowPunct w:val="0"/>
              <w:autoSpaceDE w:val="0"/>
              <w:autoSpaceDN w:val="0"/>
              <w:adjustRightInd w:val="0"/>
              <w:spacing w:after="0" w:line="240" w:lineRule="auto"/>
              <w:ind w:left="210" w:right="199"/>
              <w:jc w:val="center"/>
              <w:rPr>
                <w:rFonts w:ascii="Times New Roman" w:hAnsi="Times New Roman" w:cs="Times New Roman"/>
                <w:sz w:val="24"/>
                <w:szCs w:val="24"/>
              </w:rPr>
            </w:pPr>
            <w:r w:rsidRPr="0024134B">
              <w:rPr>
                <w:rFonts w:ascii="Times New Roman" w:hAnsi="Times New Roman" w:cs="Times New Roman"/>
                <w:sz w:val="24"/>
                <w:szCs w:val="24"/>
              </w:rPr>
              <w:t>$37.85</w:t>
            </w:r>
          </w:p>
        </w:tc>
        <w:tc>
          <w:tcPr>
            <w:tcW w:w="1743" w:type="dxa"/>
            <w:tcBorders>
              <w:top w:val="none" w:sz="6" w:space="0" w:color="auto"/>
              <w:left w:val="none" w:sz="6" w:space="0" w:color="auto"/>
              <w:bottom w:val="none" w:sz="6" w:space="0" w:color="auto"/>
              <w:right w:val="single" w:sz="4" w:space="0" w:color="000000"/>
            </w:tcBorders>
          </w:tcPr>
          <w:p w:rsidR="00C42B99" w:rsidRPr="0024134B" w:rsidP="00C42B99" w14:paraId="4BCDB7F6" w14:textId="77777777">
            <w:pPr>
              <w:kinsoku w:val="0"/>
              <w:overflowPunct w:val="0"/>
              <w:autoSpaceDE w:val="0"/>
              <w:autoSpaceDN w:val="0"/>
              <w:adjustRightInd w:val="0"/>
              <w:spacing w:after="0" w:line="240" w:lineRule="auto"/>
              <w:ind w:left="455" w:right="463"/>
              <w:jc w:val="center"/>
              <w:rPr>
                <w:rFonts w:ascii="Times New Roman" w:hAnsi="Times New Roman" w:cs="Times New Roman"/>
                <w:sz w:val="24"/>
                <w:szCs w:val="24"/>
              </w:rPr>
            </w:pPr>
            <w:r w:rsidRPr="0024134B">
              <w:rPr>
                <w:rFonts w:ascii="Times New Roman" w:hAnsi="Times New Roman" w:cs="Times New Roman"/>
                <w:sz w:val="24"/>
                <w:szCs w:val="24"/>
              </w:rPr>
              <w:t>$192.47</w:t>
            </w:r>
          </w:p>
        </w:tc>
      </w:tr>
      <w:tr w14:paraId="7E3E4937" w14:textId="77777777" w:rsidTr="007F78CD">
        <w:tblPrEx>
          <w:tblW w:w="0" w:type="auto"/>
          <w:jc w:val="center"/>
          <w:tblLayout w:type="fixed"/>
          <w:tblCellMar>
            <w:left w:w="0" w:type="dxa"/>
            <w:right w:w="0" w:type="dxa"/>
          </w:tblCellMar>
          <w:tblLook w:val="0000"/>
        </w:tblPrEx>
        <w:trPr>
          <w:trHeight w:val="317"/>
          <w:jc w:val="center"/>
        </w:trPr>
        <w:tc>
          <w:tcPr>
            <w:tcW w:w="840" w:type="dxa"/>
            <w:tcBorders>
              <w:top w:val="none" w:sz="6" w:space="0" w:color="auto"/>
              <w:left w:val="single" w:sz="8" w:space="0" w:color="000000"/>
              <w:bottom w:val="none" w:sz="6" w:space="0" w:color="auto"/>
              <w:right w:val="single" w:sz="4" w:space="0" w:color="000000"/>
            </w:tcBorders>
          </w:tcPr>
          <w:p w:rsidR="00C42B99" w:rsidRPr="0024134B" w:rsidP="00C42B99" w14:paraId="4BBCE39D" w14:textId="77777777">
            <w:pPr>
              <w:kinsoku w:val="0"/>
              <w:overflowPunct w:val="0"/>
              <w:autoSpaceDE w:val="0"/>
              <w:autoSpaceDN w:val="0"/>
              <w:adjustRightInd w:val="0"/>
              <w:spacing w:before="2" w:after="0" w:line="240" w:lineRule="auto"/>
              <w:ind w:right="91"/>
              <w:jc w:val="right"/>
              <w:rPr>
                <w:rFonts w:ascii="Times New Roman" w:hAnsi="Times New Roman" w:cs="Times New Roman"/>
                <w:b/>
                <w:bCs/>
                <w:sz w:val="24"/>
                <w:szCs w:val="24"/>
              </w:rPr>
            </w:pPr>
            <w:r w:rsidRPr="0024134B">
              <w:rPr>
                <w:rFonts w:ascii="Times New Roman" w:hAnsi="Times New Roman" w:cs="Times New Roman"/>
                <w:b/>
                <w:bCs/>
                <w:sz w:val="24"/>
                <w:szCs w:val="24"/>
              </w:rPr>
              <w:t>2018</w:t>
            </w:r>
          </w:p>
        </w:tc>
        <w:tc>
          <w:tcPr>
            <w:tcW w:w="1559" w:type="dxa"/>
            <w:tcBorders>
              <w:top w:val="none" w:sz="6" w:space="0" w:color="auto"/>
              <w:left w:val="single" w:sz="4" w:space="0" w:color="000000"/>
              <w:bottom w:val="none" w:sz="6" w:space="0" w:color="auto"/>
              <w:right w:val="none" w:sz="6" w:space="0" w:color="auto"/>
            </w:tcBorders>
          </w:tcPr>
          <w:p w:rsidR="00C42B99" w:rsidRPr="0024134B" w:rsidP="00C42B99" w14:paraId="2874E19E" w14:textId="77777777">
            <w:pPr>
              <w:kinsoku w:val="0"/>
              <w:overflowPunct w:val="0"/>
              <w:autoSpaceDE w:val="0"/>
              <w:autoSpaceDN w:val="0"/>
              <w:adjustRightInd w:val="0"/>
              <w:spacing w:before="2" w:after="0" w:line="240" w:lineRule="auto"/>
              <w:ind w:left="224" w:right="210"/>
              <w:jc w:val="center"/>
              <w:rPr>
                <w:rFonts w:ascii="Times New Roman" w:hAnsi="Times New Roman" w:cs="Times New Roman"/>
                <w:sz w:val="24"/>
                <w:szCs w:val="24"/>
              </w:rPr>
            </w:pPr>
            <w:r w:rsidRPr="0024134B">
              <w:rPr>
                <w:rFonts w:ascii="Times New Roman" w:hAnsi="Times New Roman" w:cs="Times New Roman"/>
                <w:sz w:val="24"/>
                <w:szCs w:val="24"/>
              </w:rPr>
              <w:t>11,863,505</w:t>
            </w:r>
          </w:p>
        </w:tc>
        <w:tc>
          <w:tcPr>
            <w:tcW w:w="1500" w:type="dxa"/>
            <w:tcBorders>
              <w:top w:val="none" w:sz="6" w:space="0" w:color="auto"/>
              <w:left w:val="none" w:sz="6" w:space="0" w:color="auto"/>
              <w:bottom w:val="none" w:sz="6" w:space="0" w:color="auto"/>
              <w:right w:val="none" w:sz="6" w:space="0" w:color="auto"/>
            </w:tcBorders>
          </w:tcPr>
          <w:p w:rsidR="00C42B99" w:rsidRPr="0024134B" w:rsidP="00C42B99" w14:paraId="27002D3C" w14:textId="77777777">
            <w:pPr>
              <w:kinsoku w:val="0"/>
              <w:overflowPunct w:val="0"/>
              <w:autoSpaceDE w:val="0"/>
              <w:autoSpaceDN w:val="0"/>
              <w:adjustRightInd w:val="0"/>
              <w:spacing w:before="2" w:after="0" w:line="240" w:lineRule="auto"/>
              <w:ind w:left="228" w:right="203"/>
              <w:jc w:val="center"/>
              <w:rPr>
                <w:rFonts w:ascii="Times New Roman" w:hAnsi="Times New Roman" w:cs="Times New Roman"/>
                <w:sz w:val="24"/>
                <w:szCs w:val="24"/>
              </w:rPr>
            </w:pPr>
            <w:r w:rsidRPr="0024134B">
              <w:rPr>
                <w:rFonts w:ascii="Times New Roman" w:hAnsi="Times New Roman" w:cs="Times New Roman"/>
                <w:sz w:val="24"/>
                <w:szCs w:val="24"/>
              </w:rPr>
              <w:t>$644.1</w:t>
            </w:r>
          </w:p>
        </w:tc>
        <w:tc>
          <w:tcPr>
            <w:tcW w:w="1382" w:type="dxa"/>
            <w:tcBorders>
              <w:top w:val="none" w:sz="6" w:space="0" w:color="auto"/>
              <w:left w:val="none" w:sz="6" w:space="0" w:color="auto"/>
              <w:bottom w:val="none" w:sz="6" w:space="0" w:color="auto"/>
              <w:right w:val="none" w:sz="6" w:space="0" w:color="auto"/>
            </w:tcBorders>
          </w:tcPr>
          <w:p w:rsidR="00C42B99" w:rsidRPr="0024134B" w:rsidP="00C42B99" w14:paraId="4CD43189" w14:textId="77777777">
            <w:pPr>
              <w:kinsoku w:val="0"/>
              <w:overflowPunct w:val="0"/>
              <w:autoSpaceDE w:val="0"/>
              <w:autoSpaceDN w:val="0"/>
              <w:adjustRightInd w:val="0"/>
              <w:spacing w:before="2" w:after="0" w:line="240" w:lineRule="auto"/>
              <w:ind w:right="337"/>
              <w:jc w:val="right"/>
              <w:rPr>
                <w:rFonts w:ascii="Times New Roman" w:hAnsi="Times New Roman" w:cs="Times New Roman"/>
                <w:sz w:val="24"/>
                <w:szCs w:val="24"/>
              </w:rPr>
            </w:pPr>
            <w:r w:rsidRPr="0024134B">
              <w:rPr>
                <w:rFonts w:ascii="Times New Roman" w:hAnsi="Times New Roman" w:cs="Times New Roman"/>
                <w:sz w:val="24"/>
                <w:szCs w:val="24"/>
              </w:rPr>
              <w:t>$54.29</w:t>
            </w:r>
          </w:p>
        </w:tc>
        <w:tc>
          <w:tcPr>
            <w:tcW w:w="1606" w:type="dxa"/>
            <w:tcBorders>
              <w:top w:val="none" w:sz="6" w:space="0" w:color="auto"/>
              <w:left w:val="none" w:sz="6" w:space="0" w:color="auto"/>
              <w:bottom w:val="none" w:sz="6" w:space="0" w:color="auto"/>
              <w:right w:val="none" w:sz="6" w:space="0" w:color="auto"/>
            </w:tcBorders>
          </w:tcPr>
          <w:p w:rsidR="00C42B99" w:rsidRPr="0024134B" w:rsidP="00C42B99" w14:paraId="037D2D57" w14:textId="77777777">
            <w:pPr>
              <w:kinsoku w:val="0"/>
              <w:overflowPunct w:val="0"/>
              <w:autoSpaceDE w:val="0"/>
              <w:autoSpaceDN w:val="0"/>
              <w:adjustRightInd w:val="0"/>
              <w:spacing w:before="2" w:after="0" w:line="240" w:lineRule="auto"/>
              <w:ind w:left="210" w:right="199"/>
              <w:jc w:val="center"/>
              <w:rPr>
                <w:rFonts w:ascii="Times New Roman" w:hAnsi="Times New Roman" w:cs="Times New Roman"/>
                <w:sz w:val="24"/>
                <w:szCs w:val="24"/>
              </w:rPr>
            </w:pPr>
            <w:r w:rsidRPr="0024134B">
              <w:rPr>
                <w:rFonts w:ascii="Times New Roman" w:hAnsi="Times New Roman" w:cs="Times New Roman"/>
                <w:sz w:val="24"/>
                <w:szCs w:val="24"/>
              </w:rPr>
              <w:t>$44.28</w:t>
            </w:r>
          </w:p>
        </w:tc>
        <w:tc>
          <w:tcPr>
            <w:tcW w:w="1743" w:type="dxa"/>
            <w:tcBorders>
              <w:top w:val="none" w:sz="6" w:space="0" w:color="auto"/>
              <w:left w:val="none" w:sz="6" w:space="0" w:color="auto"/>
              <w:bottom w:val="none" w:sz="6" w:space="0" w:color="auto"/>
              <w:right w:val="single" w:sz="4" w:space="0" w:color="000000"/>
            </w:tcBorders>
          </w:tcPr>
          <w:p w:rsidR="00C42B99" w:rsidRPr="0024134B" w:rsidP="00C42B99" w14:paraId="74410A8A" w14:textId="77777777">
            <w:pPr>
              <w:kinsoku w:val="0"/>
              <w:overflowPunct w:val="0"/>
              <w:autoSpaceDE w:val="0"/>
              <w:autoSpaceDN w:val="0"/>
              <w:adjustRightInd w:val="0"/>
              <w:spacing w:before="2" w:after="0" w:line="240" w:lineRule="auto"/>
              <w:ind w:left="455" w:right="463"/>
              <w:jc w:val="center"/>
              <w:rPr>
                <w:rFonts w:ascii="Times New Roman" w:hAnsi="Times New Roman" w:cs="Times New Roman"/>
                <w:sz w:val="24"/>
                <w:szCs w:val="24"/>
              </w:rPr>
            </w:pPr>
            <w:r w:rsidRPr="0024134B">
              <w:rPr>
                <w:rFonts w:ascii="Times New Roman" w:hAnsi="Times New Roman" w:cs="Times New Roman"/>
                <w:sz w:val="24"/>
                <w:szCs w:val="24"/>
              </w:rPr>
              <w:t>$118.75</w:t>
            </w:r>
          </w:p>
        </w:tc>
      </w:tr>
      <w:tr w14:paraId="51DEAFFB" w14:textId="77777777" w:rsidTr="007F78CD">
        <w:tblPrEx>
          <w:tblW w:w="0" w:type="auto"/>
          <w:jc w:val="center"/>
          <w:tblLayout w:type="fixed"/>
          <w:tblCellMar>
            <w:left w:w="0" w:type="dxa"/>
            <w:right w:w="0" w:type="dxa"/>
          </w:tblCellMar>
          <w:tblLook w:val="0000"/>
        </w:tblPrEx>
        <w:trPr>
          <w:trHeight w:val="49"/>
          <w:jc w:val="center"/>
        </w:trPr>
        <w:tc>
          <w:tcPr>
            <w:tcW w:w="840" w:type="dxa"/>
            <w:tcBorders>
              <w:top w:val="none" w:sz="6" w:space="0" w:color="auto"/>
              <w:left w:val="single" w:sz="8" w:space="0" w:color="000000"/>
              <w:bottom w:val="single" w:sz="4" w:space="0" w:color="000000"/>
              <w:right w:val="single" w:sz="4" w:space="0" w:color="000000"/>
            </w:tcBorders>
          </w:tcPr>
          <w:p w:rsidR="00C42B99" w:rsidRPr="0024134B" w:rsidP="00C42B99" w14:paraId="368BB133" w14:textId="77777777">
            <w:pPr>
              <w:kinsoku w:val="0"/>
              <w:overflowPunct w:val="0"/>
              <w:autoSpaceDE w:val="0"/>
              <w:autoSpaceDN w:val="0"/>
              <w:adjustRightInd w:val="0"/>
              <w:spacing w:after="0" w:line="240" w:lineRule="auto"/>
              <w:ind w:right="91"/>
              <w:jc w:val="right"/>
              <w:rPr>
                <w:rFonts w:ascii="Times New Roman" w:hAnsi="Times New Roman" w:cs="Times New Roman"/>
                <w:b/>
                <w:bCs/>
                <w:sz w:val="24"/>
                <w:szCs w:val="24"/>
              </w:rPr>
            </w:pPr>
            <w:r w:rsidRPr="0024134B">
              <w:rPr>
                <w:rFonts w:ascii="Times New Roman" w:hAnsi="Times New Roman" w:cs="Times New Roman"/>
                <w:b/>
                <w:bCs/>
                <w:sz w:val="24"/>
                <w:szCs w:val="24"/>
              </w:rPr>
              <w:t>2019</w:t>
            </w:r>
          </w:p>
        </w:tc>
        <w:tc>
          <w:tcPr>
            <w:tcW w:w="1559" w:type="dxa"/>
            <w:tcBorders>
              <w:top w:val="none" w:sz="6" w:space="0" w:color="auto"/>
              <w:left w:val="single" w:sz="4" w:space="0" w:color="000000"/>
              <w:bottom w:val="single" w:sz="4" w:space="0" w:color="000000"/>
              <w:right w:val="none" w:sz="6" w:space="0" w:color="auto"/>
            </w:tcBorders>
          </w:tcPr>
          <w:p w:rsidR="00C42B99" w:rsidRPr="0024134B" w:rsidP="00C42B99" w14:paraId="2819D2DC" w14:textId="77777777">
            <w:pPr>
              <w:kinsoku w:val="0"/>
              <w:overflowPunct w:val="0"/>
              <w:autoSpaceDE w:val="0"/>
              <w:autoSpaceDN w:val="0"/>
              <w:adjustRightInd w:val="0"/>
              <w:spacing w:after="0" w:line="240" w:lineRule="auto"/>
              <w:ind w:left="224" w:right="210"/>
              <w:jc w:val="center"/>
              <w:rPr>
                <w:rFonts w:ascii="Times New Roman" w:hAnsi="Times New Roman" w:cs="Times New Roman"/>
                <w:sz w:val="24"/>
                <w:szCs w:val="24"/>
              </w:rPr>
            </w:pPr>
            <w:r w:rsidRPr="0024134B">
              <w:rPr>
                <w:rFonts w:ascii="Times New Roman" w:hAnsi="Times New Roman" w:cs="Times New Roman"/>
                <w:sz w:val="24"/>
                <w:szCs w:val="24"/>
              </w:rPr>
              <w:t>11,234,353</w:t>
            </w:r>
          </w:p>
        </w:tc>
        <w:tc>
          <w:tcPr>
            <w:tcW w:w="1500" w:type="dxa"/>
            <w:tcBorders>
              <w:top w:val="none" w:sz="6" w:space="0" w:color="auto"/>
              <w:left w:val="none" w:sz="6" w:space="0" w:color="auto"/>
              <w:bottom w:val="single" w:sz="4" w:space="0" w:color="000000"/>
              <w:right w:val="none" w:sz="6" w:space="0" w:color="auto"/>
            </w:tcBorders>
          </w:tcPr>
          <w:p w:rsidR="00C42B99" w:rsidRPr="0024134B" w:rsidP="00C42B99" w14:paraId="01BB19E4" w14:textId="77777777">
            <w:pPr>
              <w:kinsoku w:val="0"/>
              <w:overflowPunct w:val="0"/>
              <w:autoSpaceDE w:val="0"/>
              <w:autoSpaceDN w:val="0"/>
              <w:adjustRightInd w:val="0"/>
              <w:spacing w:after="0" w:line="240" w:lineRule="auto"/>
              <w:ind w:left="228" w:right="203"/>
              <w:jc w:val="center"/>
              <w:rPr>
                <w:rFonts w:ascii="Times New Roman" w:hAnsi="Times New Roman" w:cs="Times New Roman"/>
                <w:sz w:val="24"/>
                <w:szCs w:val="24"/>
              </w:rPr>
            </w:pPr>
            <w:r w:rsidRPr="0024134B">
              <w:rPr>
                <w:rFonts w:ascii="Times New Roman" w:hAnsi="Times New Roman" w:cs="Times New Roman"/>
                <w:sz w:val="24"/>
                <w:szCs w:val="24"/>
              </w:rPr>
              <w:t>$640.8</w:t>
            </w:r>
          </w:p>
        </w:tc>
        <w:tc>
          <w:tcPr>
            <w:tcW w:w="1382" w:type="dxa"/>
            <w:tcBorders>
              <w:top w:val="none" w:sz="6" w:space="0" w:color="auto"/>
              <w:left w:val="none" w:sz="6" w:space="0" w:color="auto"/>
              <w:bottom w:val="single" w:sz="4" w:space="0" w:color="000000"/>
              <w:right w:val="none" w:sz="6" w:space="0" w:color="auto"/>
            </w:tcBorders>
          </w:tcPr>
          <w:p w:rsidR="00C42B99" w:rsidRPr="0024134B" w:rsidP="00C42B99" w14:paraId="01DCFCC0" w14:textId="77777777">
            <w:pPr>
              <w:kinsoku w:val="0"/>
              <w:overflowPunct w:val="0"/>
              <w:autoSpaceDE w:val="0"/>
              <w:autoSpaceDN w:val="0"/>
              <w:adjustRightInd w:val="0"/>
              <w:spacing w:after="0" w:line="240" w:lineRule="auto"/>
              <w:ind w:right="337"/>
              <w:jc w:val="right"/>
              <w:rPr>
                <w:rFonts w:ascii="Times New Roman" w:hAnsi="Times New Roman" w:cs="Times New Roman"/>
                <w:sz w:val="24"/>
                <w:szCs w:val="24"/>
              </w:rPr>
            </w:pPr>
            <w:r w:rsidRPr="0024134B">
              <w:rPr>
                <w:rFonts w:ascii="Times New Roman" w:hAnsi="Times New Roman" w:cs="Times New Roman"/>
                <w:sz w:val="24"/>
                <w:szCs w:val="24"/>
              </w:rPr>
              <w:t>$57.04</w:t>
            </w:r>
          </w:p>
        </w:tc>
        <w:tc>
          <w:tcPr>
            <w:tcW w:w="1606" w:type="dxa"/>
            <w:tcBorders>
              <w:top w:val="none" w:sz="6" w:space="0" w:color="auto"/>
              <w:left w:val="none" w:sz="6" w:space="0" w:color="auto"/>
              <w:bottom w:val="single" w:sz="4" w:space="0" w:color="000000"/>
              <w:right w:val="none" w:sz="6" w:space="0" w:color="auto"/>
            </w:tcBorders>
          </w:tcPr>
          <w:p w:rsidR="00C42B99" w:rsidRPr="0024134B" w:rsidP="00C42B99" w14:paraId="15D8F8B8" w14:textId="77777777">
            <w:pPr>
              <w:kinsoku w:val="0"/>
              <w:overflowPunct w:val="0"/>
              <w:autoSpaceDE w:val="0"/>
              <w:autoSpaceDN w:val="0"/>
              <w:adjustRightInd w:val="0"/>
              <w:spacing w:after="0" w:line="240" w:lineRule="auto"/>
              <w:ind w:left="210" w:right="199"/>
              <w:jc w:val="center"/>
              <w:rPr>
                <w:rFonts w:ascii="Times New Roman" w:hAnsi="Times New Roman" w:cs="Times New Roman"/>
                <w:sz w:val="24"/>
                <w:szCs w:val="24"/>
              </w:rPr>
            </w:pPr>
            <w:r w:rsidRPr="0024134B">
              <w:rPr>
                <w:rFonts w:ascii="Times New Roman" w:hAnsi="Times New Roman" w:cs="Times New Roman"/>
                <w:sz w:val="24"/>
                <w:szCs w:val="24"/>
              </w:rPr>
              <w:t>$35.91</w:t>
            </w:r>
          </w:p>
        </w:tc>
        <w:tc>
          <w:tcPr>
            <w:tcW w:w="1743" w:type="dxa"/>
            <w:tcBorders>
              <w:top w:val="none" w:sz="6" w:space="0" w:color="auto"/>
              <w:left w:val="none" w:sz="6" w:space="0" w:color="auto"/>
              <w:bottom w:val="single" w:sz="4" w:space="0" w:color="000000"/>
              <w:right w:val="single" w:sz="4" w:space="0" w:color="000000"/>
            </w:tcBorders>
          </w:tcPr>
          <w:p w:rsidR="00C42B99" w:rsidRPr="0024134B" w:rsidP="00C42B99" w14:paraId="3FCA6057" w14:textId="77777777">
            <w:pPr>
              <w:kinsoku w:val="0"/>
              <w:overflowPunct w:val="0"/>
              <w:autoSpaceDE w:val="0"/>
              <w:autoSpaceDN w:val="0"/>
              <w:adjustRightInd w:val="0"/>
              <w:spacing w:after="0" w:line="240" w:lineRule="auto"/>
              <w:ind w:left="455" w:right="463"/>
              <w:jc w:val="center"/>
              <w:rPr>
                <w:rFonts w:ascii="Times New Roman" w:hAnsi="Times New Roman" w:cs="Times New Roman"/>
                <w:sz w:val="24"/>
                <w:szCs w:val="24"/>
              </w:rPr>
            </w:pPr>
            <w:r w:rsidRPr="0024134B">
              <w:rPr>
                <w:rFonts w:ascii="Times New Roman" w:hAnsi="Times New Roman" w:cs="Times New Roman"/>
                <w:sz w:val="24"/>
                <w:szCs w:val="24"/>
              </w:rPr>
              <w:t>$237.36</w:t>
            </w:r>
          </w:p>
        </w:tc>
      </w:tr>
    </w:tbl>
    <w:p w:rsidR="00791BAF" w:rsidP="00791BAF" w14:paraId="671217A8" w14:textId="77777777">
      <w:pPr>
        <w:spacing w:after="0" w:line="240" w:lineRule="auto"/>
        <w:ind w:firstLine="720"/>
        <w:rPr>
          <w:rFonts w:ascii="Times New Roman" w:hAnsi="Times New Roman" w:cs="Times New Roman"/>
          <w:sz w:val="24"/>
          <w:szCs w:val="24"/>
        </w:rPr>
      </w:pPr>
    </w:p>
    <w:p w:rsidR="00C42B99" w:rsidRPr="0024134B" w:rsidP="00D11644" w14:paraId="3C228251" w14:textId="77777777">
      <w:pPr>
        <w:spacing w:after="0" w:line="480" w:lineRule="auto"/>
        <w:ind w:firstLine="720"/>
        <w:rPr>
          <w:rStyle w:val="fontstyle01"/>
          <w:rFonts w:ascii="Times New Roman" w:hAnsi="Times New Roman" w:cs="Times New Roman"/>
        </w:rPr>
      </w:pPr>
      <w:r w:rsidRPr="0024134B">
        <w:rPr>
          <w:rFonts w:ascii="Times New Roman" w:hAnsi="Times New Roman" w:cs="Times New Roman"/>
          <w:sz w:val="24"/>
          <w:szCs w:val="24"/>
        </w:rPr>
        <w:t>OCC witness Ms. Glick testified that in</w:t>
      </w:r>
      <w:r w:rsidRPr="0024134B" w:rsidR="00AD60A8">
        <w:rPr>
          <w:rFonts w:ascii="Times New Roman" w:hAnsi="Times New Roman" w:cs="Times New Roman"/>
          <w:sz w:val="24"/>
          <w:szCs w:val="24"/>
        </w:rPr>
        <w:t xml:space="preserve"> 2019</w:t>
      </w:r>
      <w:r w:rsidRPr="0024134B">
        <w:rPr>
          <w:rFonts w:ascii="Times New Roman" w:hAnsi="Times New Roman" w:cs="Times New Roman"/>
          <w:sz w:val="24"/>
          <w:szCs w:val="24"/>
        </w:rPr>
        <w:t xml:space="preserve">, </w:t>
      </w:r>
      <w:r w:rsidRPr="0024134B" w:rsidR="00AD60A8">
        <w:rPr>
          <w:rStyle w:val="fontstyle01"/>
          <w:rFonts w:ascii="Times New Roman" w:hAnsi="Times New Roman" w:cs="Times New Roman"/>
        </w:rPr>
        <w:t>Duke</w:t>
      </w:r>
      <w:r w:rsidRPr="0024134B">
        <w:rPr>
          <w:rStyle w:val="fontstyle01"/>
          <w:rFonts w:ascii="Times New Roman" w:hAnsi="Times New Roman" w:cs="Times New Roman"/>
        </w:rPr>
        <w:t xml:space="preserve"> collected $24</w:t>
      </w:r>
      <w:r w:rsidRPr="0024134B" w:rsidR="00832C52">
        <w:rPr>
          <w:rStyle w:val="fontstyle01"/>
          <w:rFonts w:ascii="Times New Roman" w:hAnsi="Times New Roman" w:cs="Times New Roman"/>
        </w:rPr>
        <w:t>.6</w:t>
      </w:r>
      <w:r w:rsidRPr="0024134B">
        <w:rPr>
          <w:rStyle w:val="fontstyle01"/>
          <w:rFonts w:ascii="Times New Roman" w:hAnsi="Times New Roman" w:cs="Times New Roman"/>
        </w:rPr>
        <w:t xml:space="preserve"> </w:t>
      </w:r>
      <w:r w:rsidRPr="0024134B" w:rsidR="005B23A9">
        <w:rPr>
          <w:rStyle w:val="fontstyle01"/>
          <w:rFonts w:ascii="Times New Roman" w:hAnsi="Times New Roman" w:cs="Times New Roman"/>
        </w:rPr>
        <w:t xml:space="preserve">million </w:t>
      </w:r>
      <w:r w:rsidRPr="0024134B">
        <w:rPr>
          <w:rStyle w:val="fontstyle01"/>
          <w:rFonts w:ascii="Times New Roman" w:hAnsi="Times New Roman" w:cs="Times New Roman"/>
        </w:rPr>
        <w:t>in excess costs under the P</w:t>
      </w:r>
      <w:r w:rsidRPr="0024134B" w:rsidR="00D11644">
        <w:rPr>
          <w:rStyle w:val="fontstyle01"/>
          <w:rFonts w:ascii="Times New Roman" w:hAnsi="Times New Roman" w:cs="Times New Roman"/>
        </w:rPr>
        <w:t xml:space="preserve">rice </w:t>
      </w:r>
      <w:r w:rsidRPr="0024134B">
        <w:rPr>
          <w:rStyle w:val="fontstyle01"/>
          <w:rFonts w:ascii="Times New Roman" w:hAnsi="Times New Roman" w:cs="Times New Roman"/>
        </w:rPr>
        <w:t>S</w:t>
      </w:r>
      <w:r w:rsidRPr="0024134B" w:rsidR="00D11644">
        <w:rPr>
          <w:rStyle w:val="fontstyle01"/>
          <w:rFonts w:ascii="Times New Roman" w:hAnsi="Times New Roman" w:cs="Times New Roman"/>
        </w:rPr>
        <w:t xml:space="preserve">tabilization </w:t>
      </w:r>
      <w:r w:rsidRPr="0024134B">
        <w:rPr>
          <w:rStyle w:val="fontstyle01"/>
          <w:rFonts w:ascii="Times New Roman" w:hAnsi="Times New Roman" w:cs="Times New Roman"/>
        </w:rPr>
        <w:t>R</w:t>
      </w:r>
      <w:r w:rsidRPr="0024134B" w:rsidR="00D11644">
        <w:rPr>
          <w:rStyle w:val="fontstyle01"/>
          <w:rFonts w:ascii="Times New Roman" w:hAnsi="Times New Roman" w:cs="Times New Roman"/>
        </w:rPr>
        <w:t>ider</w:t>
      </w:r>
      <w:r w:rsidRPr="0024134B">
        <w:rPr>
          <w:rStyle w:val="fontstyle01"/>
          <w:rFonts w:ascii="Times New Roman" w:hAnsi="Times New Roman" w:cs="Times New Roman"/>
        </w:rPr>
        <w:t xml:space="preserve"> while providing consumers </w:t>
      </w:r>
      <w:r w:rsidR="008D5A45">
        <w:rPr>
          <w:rFonts w:ascii="Times New Roman" w:hAnsi="Times New Roman" w:cs="Times New Roman"/>
          <w:sz w:val="24"/>
          <w:szCs w:val="24"/>
        </w:rPr>
        <w:t>the needed</w:t>
      </w:r>
      <w:r w:rsidRPr="0024134B">
        <w:rPr>
          <w:rStyle w:val="fontstyle01"/>
          <w:rFonts w:ascii="Times New Roman" w:hAnsi="Times New Roman" w:cs="Times New Roman"/>
        </w:rPr>
        <w:t xml:space="preserve"> value.</w:t>
      </w:r>
      <w:r>
        <w:rPr>
          <w:rStyle w:val="FootnoteReference"/>
          <w:rFonts w:ascii="Times New Roman" w:hAnsi="Times New Roman" w:cs="Times New Roman"/>
          <w:color w:val="000000"/>
          <w:sz w:val="24"/>
          <w:szCs w:val="24"/>
        </w:rPr>
        <w:footnoteReference w:id="47"/>
      </w:r>
      <w:r w:rsidRPr="0024134B" w:rsidR="006D7498">
        <w:rPr>
          <w:rStyle w:val="fontstyle01"/>
          <w:rFonts w:ascii="Times New Roman" w:hAnsi="Times New Roman" w:cs="Times New Roman"/>
        </w:rPr>
        <w:t xml:space="preserve"> </w:t>
      </w:r>
      <w:r w:rsidRPr="0024134B" w:rsidR="00432CE5">
        <w:rPr>
          <w:rStyle w:val="fontstyle01"/>
          <w:rFonts w:ascii="Times New Roman" w:hAnsi="Times New Roman" w:cs="Times New Roman"/>
        </w:rPr>
        <w:t xml:space="preserve">Duke </w:t>
      </w:r>
      <w:r w:rsidR="008D5A45">
        <w:rPr>
          <w:rStyle w:val="fontstyle01"/>
          <w:rFonts w:ascii="Times New Roman" w:hAnsi="Times New Roman" w:cs="Times New Roman"/>
        </w:rPr>
        <w:t xml:space="preserve">charged </w:t>
      </w:r>
      <w:r w:rsidRPr="0024134B" w:rsidR="00432CE5">
        <w:rPr>
          <w:rStyle w:val="fontstyle01"/>
          <w:rFonts w:ascii="Times New Roman" w:hAnsi="Times New Roman" w:cs="Times New Roman"/>
        </w:rPr>
        <w:t xml:space="preserve">customers substantial above-market </w:t>
      </w:r>
      <w:r w:rsidR="004A5632">
        <w:rPr>
          <w:rStyle w:val="fontstyle01"/>
          <w:rFonts w:ascii="Times New Roman" w:hAnsi="Times New Roman" w:cs="Times New Roman"/>
        </w:rPr>
        <w:t>subsidies</w:t>
      </w:r>
      <w:r w:rsidRPr="0024134B" w:rsidR="00432CE5">
        <w:rPr>
          <w:rStyle w:val="fontstyle01"/>
          <w:rFonts w:ascii="Times New Roman" w:hAnsi="Times New Roman" w:cs="Times New Roman"/>
        </w:rPr>
        <w:t xml:space="preserve"> under the Price Stabilization Rider.</w:t>
      </w:r>
      <w:r>
        <w:rPr>
          <w:rStyle w:val="FootnoteReference"/>
          <w:rFonts w:ascii="Times New Roman" w:hAnsi="Times New Roman" w:cs="Times New Roman"/>
          <w:color w:val="000000"/>
          <w:sz w:val="24"/>
          <w:szCs w:val="24"/>
        </w:rPr>
        <w:footnoteReference w:id="48"/>
      </w:r>
      <w:r w:rsidRPr="0024134B" w:rsidR="00432CE5">
        <w:rPr>
          <w:rStyle w:val="fontstyle01"/>
          <w:rFonts w:ascii="Times New Roman" w:hAnsi="Times New Roman" w:cs="Times New Roman"/>
        </w:rPr>
        <w:t xml:space="preserve"> </w:t>
      </w:r>
      <w:r w:rsidR="008D5A45">
        <w:rPr>
          <w:rStyle w:val="fontstyle01"/>
          <w:rFonts w:ascii="Times New Roman" w:hAnsi="Times New Roman" w:cs="Times New Roman"/>
        </w:rPr>
        <w:t>That should not be a surprise.</w:t>
      </w:r>
    </w:p>
    <w:p w:rsidR="00C42B99" w:rsidRPr="0024134B" w:rsidP="000C5E91" w14:paraId="12EE21B0" w14:textId="77777777">
      <w:pPr>
        <w:spacing w:after="0" w:line="240" w:lineRule="auto"/>
        <w:rPr>
          <w:rFonts w:ascii="Times New Roman" w:hAnsi="Times New Roman" w:cs="Times New Roman"/>
          <w:noProof/>
          <w:sz w:val="24"/>
          <w:szCs w:val="24"/>
        </w:rPr>
      </w:pPr>
      <w:r w:rsidRPr="0024134B">
        <w:rPr>
          <w:rFonts w:ascii="Times New Roman" w:hAnsi="Times New Roman" w:cs="Times New Roman"/>
          <w:noProof/>
          <w:sz w:val="24"/>
          <w:szCs w:val="24"/>
        </w:rPr>
        <w:t xml:space="preserve"> </w:t>
      </w:r>
      <w:r w:rsidR="00EF3903">
        <w:rPr>
          <w:noProof/>
        </w:rPr>
        <w:drawing>
          <wp:inline distT="0" distB="0" distL="0" distR="0">
            <wp:extent cx="5295238" cy="3419048"/>
            <wp:effectExtent l="0" t="0" r="1270" b="0"/>
            <wp:docPr id="1" name="Picture 1"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1073725" name="Picture 1" descr="Chart, line chart&#10;&#10;Description automatically generated"/>
                    <pic:cNvPicPr/>
                  </pic:nvPicPr>
                  <pic:blipFill>
                    <a:blip xmlns:r="http://schemas.openxmlformats.org/officeDocument/2006/relationships" r:embed="rId11"/>
                    <a:stretch>
                      <a:fillRect/>
                    </a:stretch>
                  </pic:blipFill>
                  <pic:spPr>
                    <a:xfrm>
                      <a:off x="0" y="0"/>
                      <a:ext cx="5295238" cy="3419048"/>
                    </a:xfrm>
                    <a:prstGeom prst="rect">
                      <a:avLst/>
                    </a:prstGeom>
                  </pic:spPr>
                </pic:pic>
              </a:graphicData>
            </a:graphic>
          </wp:inline>
        </w:drawing>
      </w:r>
    </w:p>
    <w:p w:rsidR="007F78CD" w:rsidRPr="0024134B" w:rsidP="00B976D2" w14:paraId="548F229F" w14:textId="77777777">
      <w:pPr>
        <w:spacing w:after="0" w:line="240" w:lineRule="auto"/>
        <w:rPr>
          <w:rFonts w:ascii="Times New Roman" w:hAnsi="Times New Roman" w:cs="Times New Roman"/>
          <w:color w:val="000000"/>
          <w:sz w:val="24"/>
          <w:szCs w:val="24"/>
        </w:rPr>
      </w:pPr>
      <w:r w:rsidRPr="0024134B">
        <w:rPr>
          <w:rFonts w:ascii="Times New Roman" w:hAnsi="Times New Roman" w:cs="Times New Roman"/>
          <w:color w:val="000000"/>
          <w:sz w:val="24"/>
          <w:szCs w:val="24"/>
        </w:rPr>
        <w:tab/>
      </w:r>
    </w:p>
    <w:p w:rsidR="00834276" w:rsidP="00D11644" w14:paraId="123004C2" w14:textId="77777777">
      <w:pPr>
        <w:spacing w:after="0" w:line="480" w:lineRule="auto"/>
        <w:ind w:firstLine="720"/>
        <w:rPr>
          <w:rFonts w:ascii="Times New Roman" w:hAnsi="Times New Roman" w:cs="Times New Roman"/>
          <w:color w:val="000000"/>
          <w:sz w:val="24"/>
          <w:szCs w:val="24"/>
        </w:rPr>
      </w:pPr>
      <w:r w:rsidRPr="0024134B">
        <w:rPr>
          <w:rFonts w:ascii="Times New Roman" w:hAnsi="Times New Roman" w:cs="Times New Roman"/>
          <w:color w:val="000000"/>
          <w:sz w:val="24"/>
          <w:szCs w:val="24"/>
        </w:rPr>
        <w:t xml:space="preserve">When looking at </w:t>
      </w:r>
      <w:r w:rsidRPr="0024134B" w:rsidR="00AD60A8">
        <w:rPr>
          <w:rFonts w:ascii="Times New Roman" w:hAnsi="Times New Roman" w:cs="Times New Roman"/>
          <w:color w:val="000000"/>
          <w:sz w:val="24"/>
          <w:szCs w:val="24"/>
        </w:rPr>
        <w:t>Duke</w:t>
      </w:r>
      <w:r w:rsidRPr="0024134B">
        <w:rPr>
          <w:rFonts w:ascii="Times New Roman" w:hAnsi="Times New Roman" w:cs="Times New Roman"/>
          <w:color w:val="000000"/>
          <w:sz w:val="24"/>
          <w:szCs w:val="24"/>
        </w:rPr>
        <w:t xml:space="preserve">’s share of the 2019 monthly OVEC billing versus </w:t>
      </w:r>
      <w:r w:rsidRPr="0024134B" w:rsidR="00AD60A8">
        <w:rPr>
          <w:rFonts w:ascii="Times New Roman" w:hAnsi="Times New Roman" w:cs="Times New Roman"/>
          <w:color w:val="000000"/>
          <w:sz w:val="24"/>
          <w:szCs w:val="24"/>
        </w:rPr>
        <w:t>Duke</w:t>
      </w:r>
      <w:r w:rsidRPr="0024134B">
        <w:rPr>
          <w:rFonts w:ascii="Times New Roman" w:hAnsi="Times New Roman" w:cs="Times New Roman"/>
          <w:color w:val="000000"/>
          <w:sz w:val="24"/>
          <w:szCs w:val="24"/>
        </w:rPr>
        <w:t>’s share of the revenue that OVEC obtained from selling the energy, ancillary services capacity into PJM, one thing is clear.</w:t>
      </w:r>
      <w:r w:rsidRPr="0024134B" w:rsidR="006D7498">
        <w:rPr>
          <w:rFonts w:ascii="Times New Roman" w:hAnsi="Times New Roman" w:cs="Times New Roman"/>
          <w:color w:val="000000"/>
          <w:sz w:val="24"/>
          <w:szCs w:val="24"/>
        </w:rPr>
        <w:t xml:space="preserve"> </w:t>
      </w:r>
      <w:r w:rsidRPr="0024134B">
        <w:rPr>
          <w:rFonts w:ascii="Times New Roman" w:hAnsi="Times New Roman" w:cs="Times New Roman"/>
          <w:color w:val="000000"/>
          <w:sz w:val="24"/>
          <w:szCs w:val="24"/>
        </w:rPr>
        <w:t xml:space="preserve">In every month, </w:t>
      </w:r>
      <w:r w:rsidRPr="0024134B" w:rsidR="00AD60A8">
        <w:rPr>
          <w:rFonts w:ascii="Times New Roman" w:hAnsi="Times New Roman" w:cs="Times New Roman"/>
          <w:color w:val="000000"/>
          <w:sz w:val="24"/>
          <w:szCs w:val="24"/>
        </w:rPr>
        <w:t>Duke</w:t>
      </w:r>
      <w:r w:rsidRPr="0024134B">
        <w:rPr>
          <w:rFonts w:ascii="Times New Roman" w:hAnsi="Times New Roman" w:cs="Times New Roman"/>
          <w:color w:val="000000"/>
          <w:sz w:val="24"/>
          <w:szCs w:val="24"/>
        </w:rPr>
        <w:t xml:space="preserve"> was bille</w:t>
      </w:r>
      <w:r w:rsidRPr="0024134B" w:rsidR="006278CB">
        <w:rPr>
          <w:rFonts w:ascii="Times New Roman" w:hAnsi="Times New Roman" w:cs="Times New Roman"/>
          <w:color w:val="000000"/>
          <w:sz w:val="24"/>
          <w:szCs w:val="24"/>
        </w:rPr>
        <w:t xml:space="preserve">d </w:t>
      </w:r>
      <w:r w:rsidRPr="0024134B">
        <w:rPr>
          <w:rFonts w:ascii="Times New Roman" w:hAnsi="Times New Roman" w:cs="Times New Roman"/>
          <w:color w:val="000000"/>
          <w:sz w:val="24"/>
          <w:szCs w:val="24"/>
        </w:rPr>
        <w:t xml:space="preserve">substantially more by OVEC </w:t>
      </w:r>
      <w:r w:rsidR="00875597">
        <w:rPr>
          <w:rFonts w:ascii="Times New Roman" w:hAnsi="Times New Roman" w:cs="Times New Roman"/>
          <w:color w:val="000000"/>
          <w:sz w:val="24"/>
          <w:szCs w:val="24"/>
        </w:rPr>
        <w:t xml:space="preserve">for the costs to operate the plants </w:t>
      </w:r>
      <w:r w:rsidRPr="0024134B">
        <w:rPr>
          <w:rFonts w:ascii="Times New Roman" w:hAnsi="Times New Roman" w:cs="Times New Roman"/>
          <w:color w:val="000000"/>
          <w:sz w:val="24"/>
          <w:szCs w:val="24"/>
        </w:rPr>
        <w:t>than the PJM market price for equivalent levels o</w:t>
      </w:r>
      <w:r w:rsidRPr="0024134B" w:rsidR="006278CB">
        <w:rPr>
          <w:rFonts w:ascii="Times New Roman" w:hAnsi="Times New Roman" w:cs="Times New Roman"/>
          <w:color w:val="000000"/>
          <w:sz w:val="24"/>
          <w:szCs w:val="24"/>
        </w:rPr>
        <w:t xml:space="preserve">f </w:t>
      </w:r>
      <w:r w:rsidRPr="0024134B">
        <w:rPr>
          <w:rFonts w:ascii="Times New Roman" w:hAnsi="Times New Roman" w:cs="Times New Roman"/>
          <w:color w:val="000000"/>
          <w:sz w:val="24"/>
          <w:szCs w:val="24"/>
        </w:rPr>
        <w:t>services</w:t>
      </w:r>
      <w:r w:rsidR="00875597">
        <w:rPr>
          <w:rFonts w:ascii="Times New Roman" w:hAnsi="Times New Roman" w:cs="Times New Roman"/>
          <w:color w:val="000000"/>
          <w:sz w:val="24"/>
          <w:szCs w:val="24"/>
        </w:rPr>
        <w:t xml:space="preserve"> paid in revenues to Duke</w:t>
      </w:r>
      <w:r w:rsidRPr="0024134B" w:rsidR="006278CB">
        <w:rPr>
          <w:rFonts w:ascii="Times New Roman" w:hAnsi="Times New Roman" w:cs="Times New Roman"/>
          <w:color w:val="000000"/>
          <w:sz w:val="24"/>
          <w:szCs w:val="24"/>
        </w:rPr>
        <w:t>.</w:t>
      </w:r>
      <w:r>
        <w:rPr>
          <w:rStyle w:val="FootnoteReference"/>
          <w:rFonts w:ascii="Times New Roman" w:hAnsi="Times New Roman" w:cs="Times New Roman"/>
          <w:color w:val="000000"/>
          <w:sz w:val="24"/>
          <w:szCs w:val="24"/>
        </w:rPr>
        <w:footnoteReference w:id="49"/>
      </w:r>
      <w:r w:rsidRPr="0024134B" w:rsidR="006D7498">
        <w:rPr>
          <w:rFonts w:ascii="Times New Roman" w:hAnsi="Times New Roman" w:cs="Times New Roman"/>
          <w:color w:val="000000"/>
          <w:sz w:val="24"/>
          <w:szCs w:val="24"/>
        </w:rPr>
        <w:t xml:space="preserve"> </w:t>
      </w:r>
    </w:p>
    <w:p w:rsidR="007B2734" w:rsidRPr="0024134B" w:rsidP="00D11644" w14:paraId="57333588" w14:textId="77777777">
      <w:pPr>
        <w:spacing w:after="0" w:line="480" w:lineRule="auto"/>
        <w:ind w:firstLine="720"/>
        <w:rPr>
          <w:rFonts w:ascii="Times New Roman" w:hAnsi="Times New Roman" w:cs="Times New Roman"/>
          <w:color w:val="000000"/>
          <w:sz w:val="24"/>
          <w:szCs w:val="24"/>
        </w:rPr>
      </w:pPr>
      <w:r>
        <w:rPr>
          <w:rFonts w:ascii="Times New Roman" w:hAnsi="Times New Roman" w:cs="Times New Roman"/>
          <w:color w:val="000000"/>
          <w:sz w:val="24"/>
          <w:szCs w:val="24"/>
        </w:rPr>
        <w:t xml:space="preserve">Duke then turned around and charged its consumers for its OVEC losses, </w:t>
      </w:r>
      <w:r w:rsidRPr="0024134B">
        <w:rPr>
          <w:rFonts w:ascii="Times New Roman" w:hAnsi="Times New Roman" w:cs="Times New Roman"/>
          <w:color w:val="000000"/>
          <w:sz w:val="24"/>
          <w:szCs w:val="24"/>
        </w:rPr>
        <w:t>under</w:t>
      </w:r>
      <w:r w:rsidRPr="0024134B" w:rsidR="006278CB">
        <w:rPr>
          <w:rFonts w:ascii="Times New Roman" w:hAnsi="Times New Roman" w:cs="Times New Roman"/>
          <w:color w:val="000000"/>
          <w:sz w:val="24"/>
          <w:szCs w:val="24"/>
        </w:rPr>
        <w:t xml:space="preserve"> </w:t>
      </w:r>
      <w:r>
        <w:rPr>
          <w:rFonts w:ascii="Times New Roman" w:hAnsi="Times New Roman" w:cs="Times New Roman"/>
          <w:color w:val="000000"/>
          <w:sz w:val="24"/>
          <w:szCs w:val="24"/>
        </w:rPr>
        <w:t>the</w:t>
      </w:r>
      <w:r w:rsidRPr="0024134B">
        <w:rPr>
          <w:rFonts w:ascii="Times New Roman" w:hAnsi="Times New Roman" w:cs="Times New Roman"/>
          <w:color w:val="000000"/>
          <w:sz w:val="24"/>
          <w:szCs w:val="24"/>
        </w:rPr>
        <w:t xml:space="preserve"> </w:t>
      </w:r>
      <w:r w:rsidRPr="0024134B" w:rsidR="006278CB">
        <w:rPr>
          <w:rFonts w:ascii="Times New Roman" w:hAnsi="Times New Roman" w:cs="Times New Roman"/>
          <w:color w:val="000000"/>
          <w:sz w:val="24"/>
          <w:szCs w:val="24"/>
        </w:rPr>
        <w:t>P</w:t>
      </w:r>
      <w:r w:rsidRPr="0024134B" w:rsidR="00D11644">
        <w:rPr>
          <w:rFonts w:ascii="Times New Roman" w:hAnsi="Times New Roman" w:cs="Times New Roman"/>
          <w:color w:val="000000"/>
          <w:sz w:val="24"/>
          <w:szCs w:val="24"/>
        </w:rPr>
        <w:t>rice Stabilization Rider</w:t>
      </w:r>
      <w:r w:rsidRPr="0024134B" w:rsidR="006278CB">
        <w:rPr>
          <w:rFonts w:ascii="Times New Roman" w:hAnsi="Times New Roman" w:cs="Times New Roman"/>
          <w:color w:val="000000"/>
          <w:sz w:val="24"/>
          <w:szCs w:val="24"/>
        </w:rPr>
        <w:t>.</w:t>
      </w:r>
      <w:r w:rsidRPr="0024134B" w:rsidR="006D7498">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Lucky </w:t>
      </w:r>
      <w:r w:rsidR="00D16CFC">
        <w:rPr>
          <w:rFonts w:ascii="Times New Roman" w:hAnsi="Times New Roman" w:cs="Times New Roman"/>
          <w:color w:val="000000"/>
          <w:sz w:val="24"/>
          <w:szCs w:val="24"/>
        </w:rPr>
        <w:t xml:space="preserve">for </w:t>
      </w:r>
      <w:r>
        <w:rPr>
          <w:rFonts w:ascii="Times New Roman" w:hAnsi="Times New Roman" w:cs="Times New Roman"/>
          <w:color w:val="000000"/>
          <w:sz w:val="24"/>
          <w:szCs w:val="24"/>
        </w:rPr>
        <w:t>Duke</w:t>
      </w:r>
      <w:r w:rsidR="00D16CFC">
        <w:rPr>
          <w:rFonts w:ascii="Times New Roman" w:hAnsi="Times New Roman" w:cs="Times New Roman"/>
          <w:color w:val="000000"/>
          <w:sz w:val="24"/>
          <w:szCs w:val="24"/>
        </w:rPr>
        <w:t>, i</w:t>
      </w:r>
      <w:r>
        <w:rPr>
          <w:rFonts w:ascii="Times New Roman" w:hAnsi="Times New Roman" w:cs="Times New Roman"/>
          <w:color w:val="000000"/>
          <w:sz w:val="24"/>
          <w:szCs w:val="24"/>
        </w:rPr>
        <w:t>t wins; consumers lose.</w:t>
      </w:r>
    </w:p>
    <w:p w:rsidR="006278CB" w:rsidRPr="0024134B" w:rsidP="00761235" w14:paraId="62997EF1" w14:textId="77777777">
      <w:pPr>
        <w:spacing w:after="0" w:line="240" w:lineRule="auto"/>
        <w:rPr>
          <w:rFonts w:ascii="Times New Roman" w:hAnsi="Times New Roman" w:cs="Times New Roman"/>
          <w:noProof/>
          <w:sz w:val="24"/>
          <w:szCs w:val="24"/>
        </w:rPr>
      </w:pPr>
      <w:r w:rsidRPr="0024134B">
        <w:rPr>
          <w:rFonts w:ascii="Times New Roman" w:hAnsi="Times New Roman" w:cs="Times New Roman"/>
          <w:noProof/>
          <w:sz w:val="24"/>
          <w:szCs w:val="24"/>
        </w:rPr>
        <w:t xml:space="preserve"> </w:t>
      </w:r>
      <w:r w:rsidR="00EF3903">
        <w:rPr>
          <w:noProof/>
        </w:rPr>
        <w:drawing>
          <wp:inline distT="0" distB="0" distL="0" distR="0">
            <wp:extent cx="5285714" cy="3161905"/>
            <wp:effectExtent l="0" t="0" r="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154592" name=""/>
                    <pic:cNvPicPr/>
                  </pic:nvPicPr>
                  <pic:blipFill>
                    <a:blip xmlns:r="http://schemas.openxmlformats.org/officeDocument/2006/relationships" r:embed="rId12"/>
                    <a:stretch>
                      <a:fillRect/>
                    </a:stretch>
                  </pic:blipFill>
                  <pic:spPr>
                    <a:xfrm>
                      <a:off x="0" y="0"/>
                      <a:ext cx="5285714" cy="3161905"/>
                    </a:xfrm>
                    <a:prstGeom prst="rect">
                      <a:avLst/>
                    </a:prstGeom>
                  </pic:spPr>
                </pic:pic>
              </a:graphicData>
            </a:graphic>
          </wp:inline>
        </w:drawing>
      </w:r>
    </w:p>
    <w:p w:rsidR="007F78CD" w:rsidRPr="0024134B" w:rsidP="005E6B5D" w14:paraId="35A7C9E7" w14:textId="77777777">
      <w:pPr>
        <w:spacing w:after="0" w:line="240" w:lineRule="auto"/>
        <w:rPr>
          <w:rFonts w:ascii="Times New Roman" w:hAnsi="Times New Roman" w:cs="Times New Roman"/>
          <w:noProof/>
          <w:sz w:val="24"/>
          <w:szCs w:val="24"/>
        </w:rPr>
      </w:pPr>
      <w:r w:rsidRPr="0024134B">
        <w:rPr>
          <w:rFonts w:ascii="Times New Roman" w:hAnsi="Times New Roman" w:cs="Times New Roman"/>
          <w:noProof/>
          <w:sz w:val="24"/>
          <w:szCs w:val="24"/>
        </w:rPr>
        <w:tab/>
      </w:r>
    </w:p>
    <w:p w:rsidR="006A7BCC" w:rsidRPr="0024134B" w:rsidP="00D217E4" w14:paraId="00F98168" w14:textId="77777777">
      <w:pPr>
        <w:spacing w:after="0" w:line="480" w:lineRule="auto"/>
        <w:ind w:firstLine="720"/>
        <w:rPr>
          <w:rFonts w:ascii="Times New Roman" w:hAnsi="Times New Roman" w:cs="Times New Roman"/>
          <w:noProof/>
          <w:sz w:val="24"/>
          <w:szCs w:val="24"/>
        </w:rPr>
      </w:pPr>
      <w:r w:rsidRPr="0024134B">
        <w:rPr>
          <w:rFonts w:ascii="Times New Roman" w:hAnsi="Times New Roman" w:cs="Times New Roman"/>
          <w:noProof/>
          <w:sz w:val="24"/>
          <w:szCs w:val="24"/>
        </w:rPr>
        <w:t>The bottom line (literally) is this</w:t>
      </w:r>
      <w:r w:rsidR="004246F9">
        <w:rPr>
          <w:rFonts w:ascii="Times New Roman" w:hAnsi="Times New Roman" w:cs="Times New Roman"/>
          <w:noProof/>
          <w:sz w:val="24"/>
          <w:szCs w:val="24"/>
        </w:rPr>
        <w:t xml:space="preserve">. </w:t>
      </w:r>
      <w:r w:rsidRPr="0024134B" w:rsidR="00AD60A8">
        <w:rPr>
          <w:rFonts w:ascii="Times New Roman" w:hAnsi="Times New Roman" w:cs="Times New Roman"/>
          <w:noProof/>
          <w:sz w:val="24"/>
          <w:szCs w:val="24"/>
        </w:rPr>
        <w:t>Duke</w:t>
      </w:r>
      <w:r w:rsidRPr="0024134B">
        <w:rPr>
          <w:rFonts w:ascii="Times New Roman" w:hAnsi="Times New Roman" w:cs="Times New Roman"/>
          <w:noProof/>
          <w:sz w:val="24"/>
          <w:szCs w:val="24"/>
        </w:rPr>
        <w:t>’s own data</w:t>
      </w:r>
      <w:r w:rsidR="00834276">
        <w:rPr>
          <w:rFonts w:ascii="Times New Roman" w:hAnsi="Times New Roman" w:cs="Times New Roman"/>
          <w:noProof/>
          <w:sz w:val="24"/>
          <w:szCs w:val="24"/>
        </w:rPr>
        <w:t xml:space="preserve"> show that</w:t>
      </w:r>
      <w:r w:rsidRPr="0024134B">
        <w:rPr>
          <w:rFonts w:ascii="Times New Roman" w:hAnsi="Times New Roman" w:cs="Times New Roman"/>
          <w:noProof/>
          <w:sz w:val="24"/>
          <w:szCs w:val="24"/>
        </w:rPr>
        <w:t xml:space="preserve"> the Price Stabilization Rider cost </w:t>
      </w:r>
      <w:r w:rsidRPr="0024134B" w:rsidR="00AD60A8">
        <w:rPr>
          <w:rFonts w:ascii="Times New Roman" w:hAnsi="Times New Roman" w:cs="Times New Roman"/>
          <w:noProof/>
          <w:sz w:val="24"/>
          <w:szCs w:val="24"/>
        </w:rPr>
        <w:t>Duk</w:t>
      </w:r>
      <w:r w:rsidRPr="0024134B" w:rsidR="00D217E4">
        <w:rPr>
          <w:rFonts w:ascii="Times New Roman" w:hAnsi="Times New Roman" w:cs="Times New Roman"/>
          <w:noProof/>
          <w:sz w:val="24"/>
          <w:szCs w:val="24"/>
        </w:rPr>
        <w:t>e</w:t>
      </w:r>
      <w:r w:rsidRPr="0024134B">
        <w:rPr>
          <w:rFonts w:ascii="Times New Roman" w:hAnsi="Times New Roman" w:cs="Times New Roman"/>
          <w:noProof/>
          <w:sz w:val="24"/>
          <w:szCs w:val="24"/>
        </w:rPr>
        <w:t>’s customers $24</w:t>
      </w:r>
      <w:r w:rsidRPr="0024134B" w:rsidR="00832C52">
        <w:rPr>
          <w:rFonts w:ascii="Times New Roman" w:hAnsi="Times New Roman" w:cs="Times New Roman"/>
          <w:noProof/>
          <w:sz w:val="24"/>
          <w:szCs w:val="24"/>
        </w:rPr>
        <w:t>.</w:t>
      </w:r>
      <w:r w:rsidRPr="0024134B">
        <w:rPr>
          <w:rFonts w:ascii="Times New Roman" w:hAnsi="Times New Roman" w:cs="Times New Roman"/>
          <w:noProof/>
          <w:sz w:val="24"/>
          <w:szCs w:val="24"/>
        </w:rPr>
        <w:t>6</w:t>
      </w:r>
      <w:r w:rsidRPr="0024134B" w:rsidR="00832C52">
        <w:rPr>
          <w:rFonts w:ascii="Times New Roman" w:hAnsi="Times New Roman" w:cs="Times New Roman"/>
          <w:noProof/>
          <w:sz w:val="24"/>
          <w:szCs w:val="24"/>
        </w:rPr>
        <w:t xml:space="preserve"> million</w:t>
      </w:r>
      <w:r w:rsidRPr="0024134B" w:rsidR="006D7498">
        <w:rPr>
          <w:rFonts w:ascii="Times New Roman" w:hAnsi="Times New Roman" w:cs="Times New Roman"/>
          <w:noProof/>
          <w:sz w:val="24"/>
          <w:szCs w:val="24"/>
        </w:rPr>
        <w:t xml:space="preserve"> </w:t>
      </w:r>
      <w:r w:rsidRPr="0024134B">
        <w:rPr>
          <w:rFonts w:ascii="Times New Roman" w:hAnsi="Times New Roman" w:cs="Times New Roman"/>
          <w:noProof/>
          <w:sz w:val="24"/>
          <w:szCs w:val="24"/>
        </w:rPr>
        <w:t>more than the market price for the same amount of energy, capacity, and ancillary services.</w:t>
      </w:r>
      <w:r>
        <w:rPr>
          <w:rStyle w:val="FootnoteReference"/>
          <w:rFonts w:ascii="Times New Roman" w:hAnsi="Times New Roman" w:cs="Times New Roman"/>
          <w:noProof/>
          <w:sz w:val="24"/>
          <w:szCs w:val="24"/>
        </w:rPr>
        <w:footnoteReference w:id="50"/>
      </w:r>
    </w:p>
    <w:p w:rsidR="00EA3E36" w:rsidRPr="0024134B" w:rsidP="00A3789D" w14:paraId="7EE62820" w14:textId="77777777">
      <w:pPr>
        <w:pStyle w:val="Heading2"/>
        <w:rPr>
          <w:rFonts w:cs="Times New Roman"/>
          <w:noProof/>
        </w:rPr>
      </w:pPr>
      <w:bookmarkStart w:id="32" w:name="_Toc108179593"/>
      <w:bookmarkStart w:id="33" w:name="_Toc109294650"/>
      <w:bookmarkStart w:id="34" w:name="_Toc110004951"/>
      <w:bookmarkStart w:id="35" w:name="_Hlk108014215"/>
      <w:r w:rsidRPr="0024134B">
        <w:rPr>
          <w:rFonts w:cs="Times New Roman"/>
        </w:rPr>
        <w:t xml:space="preserve">Duke’s </w:t>
      </w:r>
      <w:r w:rsidRPr="0024134B" w:rsidR="00AF05F2">
        <w:rPr>
          <w:rFonts w:cs="Times New Roman"/>
        </w:rPr>
        <w:t>decision to run the OVEC plants on a “</w:t>
      </w:r>
      <w:r w:rsidRPr="0024134B">
        <w:rPr>
          <w:rFonts w:cs="Times New Roman"/>
        </w:rPr>
        <w:t>must-run</w:t>
      </w:r>
      <w:r w:rsidRPr="0024134B" w:rsidR="00AF05F2">
        <w:rPr>
          <w:rFonts w:cs="Times New Roman"/>
        </w:rPr>
        <w:t>” basis was imprudent</w:t>
      </w:r>
      <w:r w:rsidRPr="0024134B">
        <w:rPr>
          <w:rFonts w:cs="Times New Roman"/>
        </w:rPr>
        <w:t>.</w:t>
      </w:r>
      <w:bookmarkEnd w:id="32"/>
      <w:bookmarkEnd w:id="33"/>
      <w:bookmarkEnd w:id="34"/>
      <w:r w:rsidRPr="0024134B">
        <w:rPr>
          <w:rFonts w:cs="Times New Roman"/>
          <w:noProof/>
        </w:rPr>
        <w:t xml:space="preserve"> </w:t>
      </w:r>
      <w:bookmarkEnd w:id="35"/>
    </w:p>
    <w:p w:rsidR="00AE58D4" w:rsidP="00BB2417" w14:paraId="5E9E606A" w14:textId="77777777">
      <w:pPr>
        <w:spacing w:after="0" w:line="480" w:lineRule="auto"/>
        <w:ind w:firstLine="720"/>
        <w:rPr>
          <w:rFonts w:ascii="Times New Roman" w:hAnsi="Times New Roman" w:cs="Times New Roman"/>
          <w:sz w:val="24"/>
          <w:szCs w:val="24"/>
        </w:rPr>
      </w:pPr>
      <w:r w:rsidRPr="0024134B">
        <w:rPr>
          <w:rFonts w:ascii="Times New Roman" w:hAnsi="Times New Roman" w:cs="Times New Roman"/>
          <w:sz w:val="24"/>
          <w:szCs w:val="24"/>
        </w:rPr>
        <w:t>OCC witness Mr. Haugh testified that Duke and OVEC imprudently committed the OVEC plants into the PJM Day-Ahead Energy Market on a “must run” basis.</w:t>
      </w:r>
      <w:r>
        <w:rPr>
          <w:rStyle w:val="FootnoteReference"/>
          <w:rFonts w:ascii="Times New Roman" w:hAnsi="Times New Roman" w:cs="Times New Roman"/>
          <w:sz w:val="24"/>
          <w:szCs w:val="24"/>
        </w:rPr>
        <w:footnoteReference w:id="51"/>
      </w:r>
      <w:r w:rsidRPr="0024134B">
        <w:rPr>
          <w:rFonts w:ascii="Times New Roman" w:hAnsi="Times New Roman" w:cs="Times New Roman"/>
          <w:sz w:val="24"/>
          <w:szCs w:val="24"/>
        </w:rPr>
        <w:t xml:space="preserve"> </w:t>
      </w:r>
      <w:r w:rsidR="004246F9">
        <w:rPr>
          <w:rFonts w:ascii="Times New Roman" w:hAnsi="Times New Roman" w:cs="Times New Roman"/>
          <w:sz w:val="24"/>
          <w:szCs w:val="24"/>
        </w:rPr>
        <w:t xml:space="preserve">Must-run means </w:t>
      </w:r>
      <w:r w:rsidR="00066A3C">
        <w:rPr>
          <w:rFonts w:ascii="Times New Roman" w:hAnsi="Times New Roman" w:cs="Times New Roman"/>
          <w:sz w:val="24"/>
          <w:szCs w:val="24"/>
        </w:rPr>
        <w:t xml:space="preserve">that the OVEC plants were committed to run regardless of whether </w:t>
      </w:r>
      <w:r w:rsidR="00D028BF">
        <w:rPr>
          <w:rFonts w:ascii="Times New Roman" w:hAnsi="Times New Roman" w:cs="Times New Roman"/>
          <w:sz w:val="24"/>
          <w:szCs w:val="24"/>
        </w:rPr>
        <w:t>the plants’ operating costs exceeded the expected PJM revenues</w:t>
      </w:r>
      <w:r w:rsidR="004246F9">
        <w:rPr>
          <w:rFonts w:ascii="Times New Roman" w:hAnsi="Times New Roman" w:cs="Times New Roman"/>
          <w:sz w:val="24"/>
          <w:szCs w:val="24"/>
        </w:rPr>
        <w:t>.</w:t>
      </w:r>
      <w:r w:rsidR="005A267F">
        <w:rPr>
          <w:rFonts w:ascii="Times New Roman" w:hAnsi="Times New Roman" w:cs="Times New Roman"/>
          <w:sz w:val="24"/>
          <w:szCs w:val="24"/>
        </w:rPr>
        <w:t xml:space="preserve"> That means the plants are a money loser and burden on consumers, for Duke’s benefit.</w:t>
      </w:r>
    </w:p>
    <w:p w:rsidR="00623352" w:rsidRPr="0024134B" w:rsidP="00BB2417" w14:paraId="7CE5B392" w14:textId="77777777">
      <w:pPr>
        <w:spacing w:after="0" w:line="480" w:lineRule="auto"/>
        <w:ind w:firstLine="720"/>
        <w:rPr>
          <w:rFonts w:ascii="Times New Roman" w:hAnsi="Times New Roman" w:cs="Times New Roman"/>
          <w:sz w:val="24"/>
          <w:szCs w:val="24"/>
        </w:rPr>
      </w:pPr>
      <w:r w:rsidRPr="0024134B">
        <w:rPr>
          <w:rFonts w:ascii="Times New Roman" w:hAnsi="Times New Roman" w:cs="Times New Roman"/>
          <w:sz w:val="24"/>
          <w:szCs w:val="24"/>
        </w:rPr>
        <w:t xml:space="preserve">This violated good utility practice, where operators do a daily financial analysis of the projected costs and projected revenues for operating their plants before deciding whether to commit the plant as must-run or economic. As a result, OVEC operated the plants during some months when the plants’ revenue did not even cover variable operating costs. The PUCO should disallow </w:t>
      </w:r>
      <w:r w:rsidRPr="0024134B" w:rsidR="00176028">
        <w:rPr>
          <w:rFonts w:ascii="Times New Roman" w:hAnsi="Times New Roman" w:cs="Times New Roman"/>
          <w:sz w:val="24"/>
          <w:szCs w:val="24"/>
        </w:rPr>
        <w:t xml:space="preserve">the $24.6 million </w:t>
      </w:r>
      <w:r w:rsidRPr="0024134B">
        <w:rPr>
          <w:rFonts w:ascii="Times New Roman" w:hAnsi="Times New Roman" w:cs="Times New Roman"/>
          <w:sz w:val="24"/>
          <w:szCs w:val="24"/>
        </w:rPr>
        <w:t xml:space="preserve">in above market costs </w:t>
      </w:r>
      <w:r w:rsidRPr="0024134B" w:rsidR="00176028">
        <w:rPr>
          <w:rFonts w:ascii="Times New Roman" w:hAnsi="Times New Roman" w:cs="Times New Roman"/>
          <w:sz w:val="24"/>
          <w:szCs w:val="24"/>
        </w:rPr>
        <w:t xml:space="preserve">charged </w:t>
      </w:r>
      <w:r w:rsidRPr="0024134B">
        <w:rPr>
          <w:rFonts w:ascii="Times New Roman" w:hAnsi="Times New Roman" w:cs="Times New Roman"/>
          <w:sz w:val="24"/>
          <w:szCs w:val="24"/>
        </w:rPr>
        <w:t>to consumers</w:t>
      </w:r>
      <w:r w:rsidR="00AE58D4">
        <w:rPr>
          <w:rFonts w:ascii="Times New Roman" w:hAnsi="Times New Roman" w:cs="Times New Roman"/>
          <w:sz w:val="24"/>
          <w:szCs w:val="24"/>
        </w:rPr>
        <w:t>. The management practices leading to the charges and the charges themselves are un</w:t>
      </w:r>
      <w:r w:rsidRPr="0024134B">
        <w:rPr>
          <w:rFonts w:ascii="Times New Roman" w:hAnsi="Times New Roman" w:cs="Times New Roman"/>
          <w:sz w:val="24"/>
          <w:szCs w:val="24"/>
        </w:rPr>
        <w:t>reasonable</w:t>
      </w:r>
      <w:r w:rsidR="00AE58D4">
        <w:rPr>
          <w:rFonts w:ascii="Times New Roman" w:hAnsi="Times New Roman" w:cs="Times New Roman"/>
          <w:sz w:val="24"/>
          <w:szCs w:val="24"/>
        </w:rPr>
        <w:t xml:space="preserve"> and imprudent</w:t>
      </w:r>
      <w:r w:rsidRPr="0024134B">
        <w:rPr>
          <w:rFonts w:ascii="Times New Roman" w:hAnsi="Times New Roman" w:cs="Times New Roman"/>
          <w:sz w:val="24"/>
          <w:szCs w:val="24"/>
        </w:rPr>
        <w:t>.</w:t>
      </w:r>
      <w:r>
        <w:rPr>
          <w:rStyle w:val="FootnoteReference"/>
          <w:rFonts w:ascii="Times New Roman" w:hAnsi="Times New Roman" w:cs="Times New Roman"/>
          <w:sz w:val="24"/>
          <w:szCs w:val="24"/>
        </w:rPr>
        <w:footnoteReference w:id="52"/>
      </w:r>
      <w:r w:rsidRPr="0024134B">
        <w:rPr>
          <w:rFonts w:ascii="Times New Roman" w:hAnsi="Times New Roman" w:cs="Times New Roman"/>
          <w:sz w:val="24"/>
          <w:szCs w:val="24"/>
        </w:rPr>
        <w:t xml:space="preserve"> </w:t>
      </w:r>
    </w:p>
    <w:p w:rsidR="00EA3E36" w:rsidRPr="0024134B" w:rsidP="00BB2417" w14:paraId="1326EBEA" w14:textId="77777777">
      <w:pPr>
        <w:spacing w:after="0" w:line="480" w:lineRule="auto"/>
        <w:ind w:firstLine="720"/>
        <w:rPr>
          <w:rFonts w:ascii="Times New Roman" w:hAnsi="Times New Roman" w:cs="Times New Roman"/>
          <w:noProof/>
          <w:sz w:val="24"/>
          <w:szCs w:val="24"/>
        </w:rPr>
      </w:pPr>
      <w:r w:rsidRPr="0024134B">
        <w:rPr>
          <w:rFonts w:ascii="Times New Roman" w:hAnsi="Times New Roman" w:cs="Times New Roman"/>
          <w:noProof/>
          <w:sz w:val="24"/>
          <w:szCs w:val="24"/>
        </w:rPr>
        <w:t>Generators</w:t>
      </w:r>
      <w:r w:rsidRPr="0024134B" w:rsidR="00A51BC6">
        <w:rPr>
          <w:rFonts w:ascii="Times New Roman" w:hAnsi="Times New Roman" w:cs="Times New Roman"/>
          <w:noProof/>
          <w:sz w:val="24"/>
          <w:szCs w:val="24"/>
        </w:rPr>
        <w:t xml:space="preserve">, like </w:t>
      </w:r>
      <w:r w:rsidRPr="0024134B" w:rsidR="00BB2417">
        <w:rPr>
          <w:rFonts w:ascii="Times New Roman" w:hAnsi="Times New Roman" w:cs="Times New Roman"/>
          <w:noProof/>
          <w:sz w:val="24"/>
          <w:szCs w:val="24"/>
        </w:rPr>
        <w:t>the OVEC plants</w:t>
      </w:r>
      <w:r w:rsidRPr="0024134B" w:rsidR="00A51BC6">
        <w:rPr>
          <w:rFonts w:ascii="Times New Roman" w:hAnsi="Times New Roman" w:cs="Times New Roman"/>
          <w:noProof/>
          <w:sz w:val="24"/>
          <w:szCs w:val="24"/>
        </w:rPr>
        <w:t>,</w:t>
      </w:r>
      <w:r w:rsidRPr="0024134B">
        <w:rPr>
          <w:rFonts w:ascii="Times New Roman" w:hAnsi="Times New Roman" w:cs="Times New Roman"/>
          <w:noProof/>
          <w:sz w:val="24"/>
          <w:szCs w:val="24"/>
        </w:rPr>
        <w:t xml:space="preserve"> operating within the PJM market generally commit their available units as either economic or must-run.</w:t>
      </w:r>
      <w:r>
        <w:rPr>
          <w:rStyle w:val="FootnoteReference"/>
          <w:rFonts w:ascii="Times New Roman" w:hAnsi="Times New Roman" w:cs="Times New Roman"/>
          <w:noProof/>
          <w:sz w:val="24"/>
          <w:szCs w:val="24"/>
        </w:rPr>
        <w:footnoteReference w:id="53"/>
      </w:r>
      <w:r w:rsidRPr="0024134B">
        <w:rPr>
          <w:rFonts w:ascii="Times New Roman" w:hAnsi="Times New Roman" w:cs="Times New Roman"/>
          <w:noProof/>
          <w:sz w:val="24"/>
          <w:szCs w:val="24"/>
        </w:rPr>
        <w:t xml:space="preserve"> For units committed economically, the market operator (PJM) has the responsibility for unit commitment and dispatch decisions.</w:t>
      </w:r>
      <w:r w:rsidRPr="0024134B" w:rsidR="006D7498">
        <w:rPr>
          <w:rFonts w:ascii="Times New Roman" w:hAnsi="Times New Roman" w:cs="Times New Roman"/>
          <w:noProof/>
          <w:sz w:val="24"/>
          <w:szCs w:val="24"/>
        </w:rPr>
        <w:t xml:space="preserve"> </w:t>
      </w:r>
      <w:r w:rsidRPr="0024134B">
        <w:rPr>
          <w:rFonts w:ascii="Times New Roman" w:hAnsi="Times New Roman" w:cs="Times New Roman"/>
          <w:noProof/>
          <w:sz w:val="24"/>
          <w:szCs w:val="24"/>
        </w:rPr>
        <w:t>Those decisions prioritize reliability for the system as a whole, but then select plants to commit and dispatch based on short-term economics to ensure consumers are served by the lowest-cost resources available to the system.</w:t>
      </w:r>
      <w:r>
        <w:rPr>
          <w:rStyle w:val="FootnoteReference"/>
          <w:rFonts w:ascii="Times New Roman" w:hAnsi="Times New Roman" w:cs="Times New Roman"/>
          <w:noProof/>
          <w:sz w:val="24"/>
          <w:szCs w:val="24"/>
        </w:rPr>
        <w:footnoteReference w:id="54"/>
      </w:r>
      <w:r w:rsidRPr="0024134B" w:rsidR="006D7498">
        <w:rPr>
          <w:rFonts w:ascii="Times New Roman" w:hAnsi="Times New Roman" w:cs="Times New Roman"/>
          <w:noProof/>
          <w:sz w:val="24"/>
          <w:szCs w:val="24"/>
        </w:rPr>
        <w:t xml:space="preserve"> </w:t>
      </w:r>
      <w:r w:rsidRPr="0024134B">
        <w:rPr>
          <w:rFonts w:ascii="Times New Roman" w:hAnsi="Times New Roman" w:cs="Times New Roman"/>
          <w:noProof/>
          <w:sz w:val="24"/>
          <w:szCs w:val="24"/>
        </w:rPr>
        <w:t>A plant committed as “economic” will operate only if it is the least-cost option available to the market (</w:t>
      </w:r>
      <w:r w:rsidRPr="0024134B">
        <w:rPr>
          <w:rFonts w:ascii="Times New Roman" w:hAnsi="Times New Roman" w:cs="Times New Roman"/>
          <w:i/>
          <w:iCs/>
          <w:noProof/>
          <w:sz w:val="24"/>
          <w:szCs w:val="24"/>
        </w:rPr>
        <w:t>i.e</w:t>
      </w:r>
      <w:r w:rsidRPr="0024134B">
        <w:rPr>
          <w:rFonts w:ascii="Times New Roman" w:hAnsi="Times New Roman" w:cs="Times New Roman"/>
          <w:noProof/>
          <w:sz w:val="24"/>
          <w:szCs w:val="24"/>
        </w:rPr>
        <w:t>., has a lower average commitment period cost than other resources available at the time).</w:t>
      </w:r>
      <w:r>
        <w:rPr>
          <w:rStyle w:val="FootnoteReference"/>
          <w:rFonts w:ascii="Times New Roman" w:hAnsi="Times New Roman" w:cs="Times New Roman"/>
          <w:noProof/>
          <w:sz w:val="24"/>
          <w:szCs w:val="24"/>
        </w:rPr>
        <w:footnoteReference w:id="55"/>
      </w:r>
    </w:p>
    <w:p w:rsidR="002A23AC" w:rsidRPr="0024134B" w:rsidP="005E6B5D" w14:paraId="57353DDB" w14:textId="77777777">
      <w:pPr>
        <w:spacing w:after="0" w:line="480" w:lineRule="auto"/>
        <w:ind w:firstLine="720"/>
        <w:rPr>
          <w:rFonts w:ascii="Times New Roman" w:hAnsi="Times New Roman" w:cs="Times New Roman"/>
          <w:noProof/>
          <w:sz w:val="24"/>
          <w:szCs w:val="24"/>
        </w:rPr>
      </w:pPr>
      <w:r w:rsidRPr="0024134B">
        <w:rPr>
          <w:rFonts w:ascii="Times New Roman" w:hAnsi="Times New Roman" w:cs="Times New Roman"/>
          <w:noProof/>
          <w:sz w:val="24"/>
          <w:szCs w:val="24"/>
        </w:rPr>
        <w:t>However, a unit designated as “must-run” will operate with a power output no less than its minimum operating level.</w:t>
      </w:r>
      <w:r>
        <w:rPr>
          <w:rStyle w:val="FootnoteReference"/>
          <w:rFonts w:ascii="Times New Roman" w:hAnsi="Times New Roman" w:cs="Times New Roman"/>
          <w:noProof/>
          <w:sz w:val="24"/>
          <w:szCs w:val="24"/>
        </w:rPr>
        <w:footnoteReference w:id="56"/>
      </w:r>
      <w:r w:rsidRPr="0024134B">
        <w:rPr>
          <w:rFonts w:ascii="Times New Roman" w:hAnsi="Times New Roman" w:cs="Times New Roman"/>
          <w:noProof/>
          <w:sz w:val="24"/>
          <w:szCs w:val="24"/>
        </w:rPr>
        <w:t xml:space="preserve"> The unit receives market revenue (and incurs variable operational costs)</w:t>
      </w:r>
      <w:r w:rsidRPr="0024134B" w:rsidR="007F78CD">
        <w:rPr>
          <w:rFonts w:ascii="Times New Roman" w:hAnsi="Times New Roman" w:cs="Times New Roman"/>
          <w:noProof/>
          <w:sz w:val="24"/>
          <w:szCs w:val="24"/>
        </w:rPr>
        <w:t>,</w:t>
      </w:r>
      <w:r w:rsidRPr="0024134B">
        <w:rPr>
          <w:rFonts w:ascii="Times New Roman" w:hAnsi="Times New Roman" w:cs="Times New Roman"/>
          <w:noProof/>
          <w:sz w:val="24"/>
          <w:szCs w:val="24"/>
        </w:rPr>
        <w:t xml:space="preserve"> but does not set the market price of energy. If the market price of energy falls below its operational cost, a must-run unit will not turn off and can incur losses that a </w:t>
      </w:r>
      <w:r w:rsidR="00010E7E">
        <w:rPr>
          <w:rFonts w:ascii="Times New Roman" w:hAnsi="Times New Roman" w:cs="Times New Roman"/>
          <w:noProof/>
          <w:sz w:val="24"/>
          <w:szCs w:val="24"/>
        </w:rPr>
        <w:t xml:space="preserve">regulated </w:t>
      </w:r>
      <w:r w:rsidRPr="0024134B">
        <w:rPr>
          <w:rFonts w:ascii="Times New Roman" w:hAnsi="Times New Roman" w:cs="Times New Roman"/>
          <w:noProof/>
          <w:sz w:val="24"/>
          <w:szCs w:val="24"/>
        </w:rPr>
        <w:t>utility often seeks to collect from consumers.</w:t>
      </w:r>
      <w:r>
        <w:rPr>
          <w:rStyle w:val="FootnoteReference"/>
          <w:rFonts w:ascii="Times New Roman" w:hAnsi="Times New Roman" w:cs="Times New Roman"/>
          <w:noProof/>
          <w:sz w:val="24"/>
          <w:szCs w:val="24"/>
        </w:rPr>
        <w:footnoteReference w:id="57"/>
      </w:r>
    </w:p>
    <w:p w:rsidR="00AE58D4" w:rsidP="000520ED" w14:paraId="3092F033" w14:textId="77777777">
      <w:pPr>
        <w:spacing w:after="0" w:line="480" w:lineRule="auto"/>
        <w:ind w:firstLine="720"/>
        <w:rPr>
          <w:rFonts w:ascii="Times New Roman" w:hAnsi="Times New Roman" w:cs="Times New Roman"/>
          <w:color w:val="000000"/>
          <w:sz w:val="24"/>
          <w:szCs w:val="24"/>
        </w:rPr>
      </w:pPr>
      <w:r w:rsidRPr="0024134B">
        <w:rPr>
          <w:rFonts w:ascii="Times New Roman" w:hAnsi="Times New Roman" w:cs="Times New Roman"/>
          <w:noProof/>
          <w:sz w:val="24"/>
          <w:szCs w:val="24"/>
        </w:rPr>
        <w:t>Duke</w:t>
      </w:r>
      <w:r w:rsidRPr="0024134B" w:rsidR="000520ED">
        <w:rPr>
          <w:rFonts w:ascii="Times New Roman" w:hAnsi="Times New Roman" w:cs="Times New Roman"/>
          <w:noProof/>
          <w:sz w:val="24"/>
          <w:szCs w:val="24"/>
        </w:rPr>
        <w:t xml:space="preserve"> </w:t>
      </w:r>
      <w:r w:rsidRPr="0024134B" w:rsidR="002A23AC">
        <w:rPr>
          <w:rFonts w:ascii="Times New Roman" w:hAnsi="Times New Roman" w:cs="Times New Roman"/>
          <w:noProof/>
          <w:sz w:val="24"/>
          <w:szCs w:val="24"/>
        </w:rPr>
        <w:t>is a Sponsoring Company of OVEC, and as such</w:t>
      </w:r>
      <w:r w:rsidRPr="0024134B" w:rsidR="00596E1D">
        <w:rPr>
          <w:rFonts w:ascii="Times New Roman" w:hAnsi="Times New Roman" w:cs="Times New Roman"/>
          <w:noProof/>
          <w:sz w:val="24"/>
          <w:szCs w:val="24"/>
        </w:rPr>
        <w:t>, it</w:t>
      </w:r>
      <w:r w:rsidRPr="0024134B" w:rsidR="002A23AC">
        <w:rPr>
          <w:rFonts w:ascii="Times New Roman" w:hAnsi="Times New Roman" w:cs="Times New Roman"/>
          <w:noProof/>
          <w:sz w:val="24"/>
          <w:szCs w:val="24"/>
        </w:rPr>
        <w:t xml:space="preserve"> has one member on the Board of Directors and is allowed to appoint one member to OVEC’s </w:t>
      </w:r>
      <w:r w:rsidRPr="0024134B" w:rsidR="002A23AC">
        <w:rPr>
          <w:rFonts w:ascii="Times New Roman" w:hAnsi="Times New Roman" w:cs="Times New Roman"/>
          <w:color w:val="000000"/>
          <w:sz w:val="24"/>
          <w:szCs w:val="24"/>
        </w:rPr>
        <w:t>Operating</w:t>
      </w:r>
      <w:r w:rsidR="00216EDA">
        <w:rPr>
          <w:rFonts w:ascii="Times New Roman" w:hAnsi="Times New Roman" w:cs="Times New Roman"/>
          <w:color w:val="000000"/>
          <w:sz w:val="24"/>
          <w:szCs w:val="24"/>
        </w:rPr>
        <w:t xml:space="preserve"> </w:t>
      </w:r>
      <w:r w:rsidRPr="0024134B" w:rsidR="002A23AC">
        <w:rPr>
          <w:rFonts w:ascii="Times New Roman" w:hAnsi="Times New Roman" w:cs="Times New Roman"/>
          <w:color w:val="000000"/>
          <w:sz w:val="24"/>
          <w:szCs w:val="24"/>
        </w:rPr>
        <w:t>Committee.</w:t>
      </w:r>
      <w:r>
        <w:rPr>
          <w:rStyle w:val="FootnoteReference"/>
          <w:rFonts w:ascii="Times New Roman" w:hAnsi="Times New Roman" w:cs="Times New Roman"/>
          <w:color w:val="000000"/>
          <w:sz w:val="24"/>
          <w:szCs w:val="24"/>
        </w:rPr>
        <w:footnoteReference w:id="58"/>
      </w:r>
      <w:r w:rsidRPr="0024134B" w:rsidR="006D7498">
        <w:rPr>
          <w:rFonts w:ascii="Times New Roman" w:hAnsi="Times New Roman" w:cs="Times New Roman"/>
          <w:color w:val="000000"/>
          <w:sz w:val="24"/>
          <w:szCs w:val="24"/>
        </w:rPr>
        <w:t xml:space="preserve"> </w:t>
      </w:r>
      <w:r w:rsidRPr="0024134B" w:rsidR="002A23AC">
        <w:rPr>
          <w:rFonts w:ascii="Times New Roman" w:hAnsi="Times New Roman" w:cs="Times New Roman"/>
          <w:color w:val="000000"/>
          <w:sz w:val="24"/>
          <w:szCs w:val="24"/>
        </w:rPr>
        <w:t xml:space="preserve">In 2019, OVEC (and consequently </w:t>
      </w:r>
      <w:r w:rsidRPr="0024134B">
        <w:rPr>
          <w:rFonts w:ascii="Times New Roman" w:hAnsi="Times New Roman" w:cs="Times New Roman"/>
          <w:color w:val="000000"/>
          <w:sz w:val="24"/>
          <w:szCs w:val="24"/>
        </w:rPr>
        <w:t>Duke</w:t>
      </w:r>
      <w:r w:rsidRPr="0024134B" w:rsidR="002A23AC">
        <w:rPr>
          <w:rFonts w:ascii="Times New Roman" w:hAnsi="Times New Roman" w:cs="Times New Roman"/>
          <w:color w:val="000000"/>
          <w:sz w:val="24"/>
          <w:szCs w:val="24"/>
        </w:rPr>
        <w:t>) did not conduct analysis on a daily basis to inform its unit commitment process.</w:t>
      </w:r>
      <w:r>
        <w:rPr>
          <w:rStyle w:val="FootnoteReference"/>
          <w:rFonts w:ascii="Times New Roman" w:hAnsi="Times New Roman" w:cs="Times New Roman"/>
          <w:color w:val="000000"/>
          <w:sz w:val="24"/>
          <w:szCs w:val="24"/>
        </w:rPr>
        <w:footnoteReference w:id="59"/>
      </w:r>
      <w:r w:rsidRPr="0024134B" w:rsidR="006D7498">
        <w:rPr>
          <w:rFonts w:ascii="Times New Roman" w:hAnsi="Times New Roman" w:cs="Times New Roman"/>
          <w:color w:val="000000"/>
          <w:sz w:val="24"/>
          <w:szCs w:val="24"/>
        </w:rPr>
        <w:t xml:space="preserve"> </w:t>
      </w:r>
      <w:r w:rsidRPr="0024134B" w:rsidR="002A23AC">
        <w:rPr>
          <w:rFonts w:ascii="Times New Roman" w:hAnsi="Times New Roman" w:cs="Times New Roman"/>
          <w:color w:val="000000"/>
          <w:sz w:val="24"/>
          <w:szCs w:val="24"/>
        </w:rPr>
        <w:t>Instead, the available OVEC plants (except Clifty Creek Unit 6 during summer ozone non-attainment periods) were committed into the PJM day-ahead market with a “</w:t>
      </w:r>
      <w:r w:rsidR="00D16CFC">
        <w:rPr>
          <w:rFonts w:ascii="Times New Roman" w:hAnsi="Times New Roman" w:cs="Times New Roman"/>
          <w:color w:val="000000"/>
          <w:sz w:val="24"/>
          <w:szCs w:val="24"/>
        </w:rPr>
        <w:t>m</w:t>
      </w:r>
      <w:r w:rsidRPr="0024134B" w:rsidR="002A23AC">
        <w:rPr>
          <w:rFonts w:ascii="Times New Roman" w:hAnsi="Times New Roman" w:cs="Times New Roman"/>
          <w:color w:val="000000"/>
          <w:sz w:val="24"/>
          <w:szCs w:val="24"/>
        </w:rPr>
        <w:t>ust-</w:t>
      </w:r>
      <w:r w:rsidR="00D16CFC">
        <w:rPr>
          <w:rFonts w:ascii="Times New Roman" w:hAnsi="Times New Roman" w:cs="Times New Roman"/>
          <w:color w:val="000000"/>
          <w:sz w:val="24"/>
          <w:szCs w:val="24"/>
        </w:rPr>
        <w:t>r</w:t>
      </w:r>
      <w:r w:rsidRPr="0024134B" w:rsidR="002A23AC">
        <w:rPr>
          <w:rFonts w:ascii="Times New Roman" w:hAnsi="Times New Roman" w:cs="Times New Roman"/>
          <w:color w:val="000000"/>
          <w:sz w:val="24"/>
          <w:szCs w:val="24"/>
        </w:rPr>
        <w:t>un” status at all times</w:t>
      </w:r>
      <w:r>
        <w:rPr>
          <w:rFonts w:ascii="Times New Roman" w:hAnsi="Times New Roman" w:cs="Times New Roman"/>
          <w:color w:val="000000"/>
          <w:sz w:val="24"/>
          <w:szCs w:val="24"/>
        </w:rPr>
        <w:t xml:space="preserve">. An exception is </w:t>
      </w:r>
      <w:r w:rsidRPr="0024134B" w:rsidR="002A23AC">
        <w:rPr>
          <w:rFonts w:ascii="Times New Roman" w:hAnsi="Times New Roman" w:cs="Times New Roman"/>
          <w:color w:val="000000"/>
          <w:sz w:val="24"/>
          <w:szCs w:val="24"/>
        </w:rPr>
        <w:t>when units were unavailable due to scheduled maintenance or forced outages</w:t>
      </w:r>
      <w:r w:rsidRPr="0024134B" w:rsidR="000520ED">
        <w:rPr>
          <w:rFonts w:ascii="Times New Roman" w:hAnsi="Times New Roman" w:cs="Times New Roman"/>
          <w:color w:val="000000"/>
          <w:sz w:val="24"/>
          <w:szCs w:val="24"/>
        </w:rPr>
        <w:t xml:space="preserve"> regardless of economics</w:t>
      </w:r>
      <w:r w:rsidRPr="0024134B" w:rsidR="002A23AC">
        <w:rPr>
          <w:rFonts w:ascii="Times New Roman" w:hAnsi="Times New Roman" w:cs="Times New Roman"/>
          <w:color w:val="000000"/>
          <w:sz w:val="24"/>
          <w:szCs w:val="24"/>
        </w:rPr>
        <w:t>.</w:t>
      </w:r>
      <w:r>
        <w:rPr>
          <w:rStyle w:val="FootnoteReference"/>
          <w:rFonts w:ascii="Times New Roman" w:hAnsi="Times New Roman" w:cs="Times New Roman"/>
          <w:color w:val="000000"/>
          <w:sz w:val="24"/>
          <w:szCs w:val="24"/>
        </w:rPr>
        <w:footnoteReference w:id="60"/>
      </w:r>
      <w:r w:rsidRPr="0024134B" w:rsidR="006D7498">
        <w:rPr>
          <w:rFonts w:ascii="Times New Roman" w:hAnsi="Times New Roman" w:cs="Times New Roman"/>
          <w:color w:val="000000"/>
          <w:sz w:val="24"/>
          <w:szCs w:val="24"/>
        </w:rPr>
        <w:t xml:space="preserve"> </w:t>
      </w:r>
    </w:p>
    <w:p w:rsidR="002A23AC" w:rsidRPr="0024134B" w:rsidP="000520ED" w14:paraId="10158EC0" w14:textId="77777777">
      <w:pPr>
        <w:spacing w:after="0" w:line="480" w:lineRule="auto"/>
        <w:ind w:firstLine="720"/>
        <w:rPr>
          <w:rFonts w:ascii="Times New Roman" w:hAnsi="Times New Roman" w:cs="Times New Roman"/>
          <w:color w:val="000000"/>
          <w:sz w:val="24"/>
          <w:szCs w:val="24"/>
        </w:rPr>
      </w:pPr>
      <w:r>
        <w:rPr>
          <w:rFonts w:ascii="Times New Roman" w:hAnsi="Times New Roman" w:cs="Times New Roman"/>
          <w:color w:val="000000"/>
          <w:sz w:val="24"/>
          <w:szCs w:val="24"/>
        </w:rPr>
        <w:t>Adequate e</w:t>
      </w:r>
      <w:r w:rsidRPr="0024134B">
        <w:rPr>
          <w:rFonts w:ascii="Times New Roman" w:hAnsi="Times New Roman" w:cs="Times New Roman"/>
          <w:color w:val="000000"/>
          <w:sz w:val="24"/>
          <w:szCs w:val="24"/>
        </w:rPr>
        <w:t>ffort</w:t>
      </w:r>
      <w:r>
        <w:rPr>
          <w:rFonts w:ascii="Times New Roman" w:hAnsi="Times New Roman" w:cs="Times New Roman"/>
          <w:color w:val="000000"/>
          <w:sz w:val="24"/>
          <w:szCs w:val="24"/>
        </w:rPr>
        <w:t xml:space="preserve"> was lacking</w:t>
      </w:r>
      <w:r w:rsidRPr="0024134B">
        <w:rPr>
          <w:rFonts w:ascii="Times New Roman" w:hAnsi="Times New Roman" w:cs="Times New Roman"/>
          <w:color w:val="000000"/>
          <w:sz w:val="24"/>
          <w:szCs w:val="24"/>
        </w:rPr>
        <w:t xml:space="preserve"> to reduce</w:t>
      </w:r>
      <w:r>
        <w:rPr>
          <w:rStyle w:val="FootnoteReference"/>
          <w:rFonts w:ascii="Times New Roman" w:hAnsi="Times New Roman" w:cs="Times New Roman"/>
          <w:color w:val="000000"/>
          <w:sz w:val="24"/>
          <w:szCs w:val="24"/>
        </w:rPr>
        <w:footnoteReference w:id="61"/>
      </w:r>
      <w:r w:rsidRPr="0024134B">
        <w:rPr>
          <w:rFonts w:ascii="Times New Roman" w:hAnsi="Times New Roman" w:cs="Times New Roman"/>
          <w:color w:val="000000"/>
          <w:sz w:val="24"/>
          <w:szCs w:val="24"/>
        </w:rPr>
        <w:t xml:space="preserve"> the costs</w:t>
      </w:r>
      <w:r w:rsidR="00AE58D4">
        <w:rPr>
          <w:rFonts w:ascii="Times New Roman" w:hAnsi="Times New Roman" w:cs="Times New Roman"/>
          <w:color w:val="000000"/>
          <w:sz w:val="24"/>
          <w:szCs w:val="24"/>
        </w:rPr>
        <w:t>.</w:t>
      </w:r>
      <w:r w:rsidRPr="0024134B">
        <w:rPr>
          <w:rFonts w:ascii="Times New Roman" w:hAnsi="Times New Roman" w:cs="Times New Roman"/>
          <w:color w:val="000000"/>
          <w:sz w:val="24"/>
          <w:szCs w:val="24"/>
        </w:rPr>
        <w:t xml:space="preserve"> </w:t>
      </w:r>
      <w:r w:rsidR="00AE58D4">
        <w:rPr>
          <w:rFonts w:ascii="Times New Roman" w:hAnsi="Times New Roman" w:cs="Times New Roman"/>
          <w:color w:val="000000"/>
          <w:sz w:val="24"/>
          <w:szCs w:val="24"/>
        </w:rPr>
        <w:t>I</w:t>
      </w:r>
      <w:r w:rsidRPr="0024134B">
        <w:rPr>
          <w:rFonts w:ascii="Times New Roman" w:hAnsi="Times New Roman" w:cs="Times New Roman"/>
          <w:color w:val="000000"/>
          <w:sz w:val="24"/>
          <w:szCs w:val="24"/>
        </w:rPr>
        <w:t xml:space="preserve">nstead </w:t>
      </w:r>
      <w:r w:rsidR="00AE58D4">
        <w:rPr>
          <w:rFonts w:ascii="Times New Roman" w:hAnsi="Times New Roman" w:cs="Times New Roman"/>
          <w:color w:val="000000"/>
          <w:sz w:val="24"/>
          <w:szCs w:val="24"/>
        </w:rPr>
        <w:t>Duke</w:t>
      </w:r>
      <w:r w:rsidRPr="0024134B" w:rsidR="00AE58D4">
        <w:rPr>
          <w:rFonts w:ascii="Times New Roman" w:hAnsi="Times New Roman" w:cs="Times New Roman"/>
          <w:color w:val="000000"/>
          <w:sz w:val="24"/>
          <w:szCs w:val="24"/>
        </w:rPr>
        <w:t xml:space="preserve"> </w:t>
      </w:r>
      <w:r w:rsidRPr="0024134B" w:rsidR="000520ED">
        <w:rPr>
          <w:rFonts w:ascii="Times New Roman" w:hAnsi="Times New Roman" w:cs="Times New Roman"/>
          <w:color w:val="000000"/>
          <w:sz w:val="24"/>
          <w:szCs w:val="24"/>
        </w:rPr>
        <w:t xml:space="preserve">charged </w:t>
      </w:r>
      <w:r w:rsidRPr="0024134B">
        <w:rPr>
          <w:rFonts w:ascii="Times New Roman" w:hAnsi="Times New Roman" w:cs="Times New Roman"/>
          <w:color w:val="000000"/>
          <w:sz w:val="24"/>
          <w:szCs w:val="24"/>
        </w:rPr>
        <w:t xml:space="preserve">Ohio </w:t>
      </w:r>
      <w:r w:rsidRPr="0024134B" w:rsidR="00EE316C">
        <w:rPr>
          <w:rFonts w:ascii="Times New Roman" w:hAnsi="Times New Roman" w:cs="Times New Roman"/>
          <w:color w:val="000000"/>
          <w:sz w:val="24"/>
          <w:szCs w:val="24"/>
        </w:rPr>
        <w:t>consumers</w:t>
      </w:r>
      <w:r w:rsidRPr="0024134B" w:rsidR="000520ED">
        <w:rPr>
          <w:rFonts w:ascii="Times New Roman" w:hAnsi="Times New Roman" w:cs="Times New Roman"/>
          <w:color w:val="000000"/>
          <w:sz w:val="24"/>
          <w:szCs w:val="24"/>
        </w:rPr>
        <w:t xml:space="preserve"> $24.6 million in above-market costs</w:t>
      </w:r>
      <w:r w:rsidRPr="0024134B">
        <w:rPr>
          <w:rFonts w:ascii="Times New Roman" w:hAnsi="Times New Roman" w:cs="Times New Roman"/>
          <w:color w:val="000000"/>
          <w:sz w:val="24"/>
          <w:szCs w:val="24"/>
        </w:rPr>
        <w:t>.</w:t>
      </w:r>
      <w:r w:rsidRPr="0024134B" w:rsidR="006D7498">
        <w:rPr>
          <w:rFonts w:ascii="Times New Roman" w:hAnsi="Times New Roman" w:cs="Times New Roman"/>
          <w:color w:val="000000"/>
          <w:sz w:val="24"/>
          <w:szCs w:val="24"/>
        </w:rPr>
        <w:t xml:space="preserve"> </w:t>
      </w:r>
      <w:r w:rsidR="00B846F1">
        <w:rPr>
          <w:rFonts w:ascii="Times New Roman" w:hAnsi="Times New Roman" w:cs="Times New Roman"/>
          <w:color w:val="000000"/>
          <w:sz w:val="24"/>
          <w:szCs w:val="24"/>
        </w:rPr>
        <w:t>If only everyone could have a “Price Stability Rider” in their lives.</w:t>
      </w:r>
      <w:r>
        <w:rPr>
          <w:rFonts w:ascii="Times New Roman" w:hAnsi="Times New Roman" w:cs="Times New Roman"/>
          <w:color w:val="000000"/>
          <w:sz w:val="24"/>
          <w:szCs w:val="24"/>
        </w:rPr>
        <w:t xml:space="preserve"> </w:t>
      </w:r>
    </w:p>
    <w:p w:rsidR="00B14829" w:rsidRPr="0024134B" w:rsidP="000520ED" w14:paraId="26121466" w14:textId="77777777">
      <w:pPr>
        <w:spacing w:after="0" w:line="480" w:lineRule="auto"/>
        <w:ind w:firstLine="720"/>
        <w:rPr>
          <w:rFonts w:ascii="Times New Roman" w:hAnsi="Times New Roman" w:cs="Times New Roman"/>
          <w:color w:val="000000"/>
          <w:sz w:val="24"/>
          <w:szCs w:val="24"/>
        </w:rPr>
      </w:pPr>
      <w:r w:rsidRPr="0024134B">
        <w:rPr>
          <w:rFonts w:ascii="Times New Roman" w:hAnsi="Times New Roman" w:cs="Times New Roman"/>
          <w:color w:val="000000"/>
          <w:sz w:val="24"/>
          <w:szCs w:val="24"/>
        </w:rPr>
        <w:t>Duke</w:t>
      </w:r>
      <w:r w:rsidRPr="0024134B" w:rsidR="002A23AC">
        <w:rPr>
          <w:rFonts w:ascii="Times New Roman" w:hAnsi="Times New Roman" w:cs="Times New Roman"/>
          <w:color w:val="000000"/>
          <w:sz w:val="24"/>
          <w:szCs w:val="24"/>
        </w:rPr>
        <w:t>’s approach to committing its plants to a “</w:t>
      </w:r>
      <w:r w:rsidR="00080792">
        <w:rPr>
          <w:rFonts w:ascii="Times New Roman" w:hAnsi="Times New Roman" w:cs="Times New Roman"/>
          <w:color w:val="000000"/>
          <w:sz w:val="24"/>
          <w:szCs w:val="24"/>
        </w:rPr>
        <w:t>m</w:t>
      </w:r>
      <w:r w:rsidRPr="0024134B" w:rsidR="002A23AC">
        <w:rPr>
          <w:rFonts w:ascii="Times New Roman" w:hAnsi="Times New Roman" w:cs="Times New Roman"/>
          <w:color w:val="000000"/>
          <w:sz w:val="24"/>
          <w:szCs w:val="24"/>
        </w:rPr>
        <w:t>ust-</w:t>
      </w:r>
      <w:r w:rsidR="00080792">
        <w:rPr>
          <w:rFonts w:ascii="Times New Roman" w:hAnsi="Times New Roman" w:cs="Times New Roman"/>
          <w:color w:val="000000"/>
          <w:sz w:val="24"/>
          <w:szCs w:val="24"/>
        </w:rPr>
        <w:t>r</w:t>
      </w:r>
      <w:r w:rsidRPr="0024134B" w:rsidR="002A23AC">
        <w:rPr>
          <w:rFonts w:ascii="Times New Roman" w:hAnsi="Times New Roman" w:cs="Times New Roman"/>
          <w:color w:val="000000"/>
          <w:sz w:val="24"/>
          <w:szCs w:val="24"/>
        </w:rPr>
        <w:t>un” status was not even supported by its own data.</w:t>
      </w:r>
      <w:r w:rsidRPr="0024134B" w:rsidR="00902AFF">
        <w:rPr>
          <w:rFonts w:ascii="Times New Roman" w:hAnsi="Times New Roman" w:cs="Times New Roman"/>
          <w:color w:val="000000"/>
          <w:sz w:val="24"/>
          <w:szCs w:val="24"/>
        </w:rPr>
        <w:t xml:space="preserve"> </w:t>
      </w:r>
      <w:r w:rsidRPr="0024134B" w:rsidR="003C1925">
        <w:rPr>
          <w:rFonts w:ascii="Times New Roman" w:hAnsi="Times New Roman" w:cs="Times New Roman"/>
          <w:color w:val="000000"/>
          <w:sz w:val="24"/>
          <w:szCs w:val="24"/>
        </w:rPr>
        <w:t xml:space="preserve">In 2019, </w:t>
      </w:r>
      <w:r w:rsidRPr="0024134B">
        <w:rPr>
          <w:rFonts w:ascii="Times New Roman" w:hAnsi="Times New Roman" w:cs="Times New Roman"/>
          <w:color w:val="000000"/>
          <w:sz w:val="24"/>
          <w:szCs w:val="24"/>
        </w:rPr>
        <w:t xml:space="preserve">Duke Energy </w:t>
      </w:r>
      <w:r w:rsidRPr="0024134B" w:rsidR="002A23AC">
        <w:rPr>
          <w:rFonts w:ascii="Times New Roman" w:hAnsi="Times New Roman" w:cs="Times New Roman"/>
          <w:color w:val="000000"/>
          <w:sz w:val="24"/>
          <w:szCs w:val="24"/>
        </w:rPr>
        <w:t>prepared a daily profit</w:t>
      </w:r>
      <w:r w:rsidRPr="0024134B" w:rsidR="00EE316C">
        <w:rPr>
          <w:rFonts w:ascii="Times New Roman" w:hAnsi="Times New Roman" w:cs="Times New Roman"/>
          <w:color w:val="000000"/>
          <w:sz w:val="24"/>
          <w:szCs w:val="24"/>
        </w:rPr>
        <w:t>-</w:t>
      </w:r>
      <w:r w:rsidRPr="0024134B" w:rsidR="002A23AC">
        <w:rPr>
          <w:rFonts w:ascii="Times New Roman" w:hAnsi="Times New Roman" w:cs="Times New Roman"/>
          <w:color w:val="000000"/>
          <w:sz w:val="24"/>
          <w:szCs w:val="24"/>
        </w:rPr>
        <w:t>and</w:t>
      </w:r>
      <w:r w:rsidRPr="0024134B" w:rsidR="00EE316C">
        <w:rPr>
          <w:rFonts w:ascii="Times New Roman" w:hAnsi="Times New Roman" w:cs="Times New Roman"/>
          <w:color w:val="000000"/>
          <w:sz w:val="24"/>
          <w:szCs w:val="24"/>
        </w:rPr>
        <w:t>-</w:t>
      </w:r>
      <w:r w:rsidRPr="0024134B" w:rsidR="002A23AC">
        <w:rPr>
          <w:rFonts w:ascii="Times New Roman" w:hAnsi="Times New Roman" w:cs="Times New Roman"/>
          <w:color w:val="000000"/>
          <w:sz w:val="24"/>
          <w:szCs w:val="24"/>
        </w:rPr>
        <w:t>loss report that showed a 21-day forecast of OVEC unit participation in the P</w:t>
      </w:r>
      <w:r w:rsidRPr="0024134B" w:rsidR="00073502">
        <w:rPr>
          <w:rFonts w:ascii="Times New Roman" w:hAnsi="Times New Roman" w:cs="Times New Roman"/>
          <w:color w:val="000000"/>
          <w:sz w:val="24"/>
          <w:szCs w:val="24"/>
        </w:rPr>
        <w:t>J</w:t>
      </w:r>
      <w:r w:rsidRPr="0024134B" w:rsidR="002A23AC">
        <w:rPr>
          <w:rFonts w:ascii="Times New Roman" w:hAnsi="Times New Roman" w:cs="Times New Roman"/>
          <w:color w:val="000000"/>
          <w:sz w:val="24"/>
          <w:szCs w:val="24"/>
        </w:rPr>
        <w:t>M Day-Ahead Energy Market.</w:t>
      </w:r>
      <w:r>
        <w:rPr>
          <w:rStyle w:val="FootnoteReference"/>
          <w:rFonts w:ascii="Times New Roman" w:hAnsi="Times New Roman" w:cs="Times New Roman"/>
          <w:color w:val="000000"/>
          <w:sz w:val="24"/>
          <w:szCs w:val="24"/>
        </w:rPr>
        <w:footnoteReference w:id="62"/>
      </w:r>
      <w:r w:rsidRPr="0024134B" w:rsidR="006D7498">
        <w:rPr>
          <w:rFonts w:ascii="Times New Roman" w:hAnsi="Times New Roman" w:cs="Times New Roman"/>
          <w:color w:val="000000"/>
          <w:sz w:val="24"/>
          <w:szCs w:val="24"/>
        </w:rPr>
        <w:t xml:space="preserve"> </w:t>
      </w:r>
      <w:r w:rsidRPr="0024134B" w:rsidR="002A23AC">
        <w:rPr>
          <w:rFonts w:ascii="Times New Roman" w:hAnsi="Times New Roman" w:cs="Times New Roman"/>
          <w:color w:val="000000"/>
          <w:sz w:val="24"/>
          <w:szCs w:val="24"/>
        </w:rPr>
        <w:t>These three hundred twenty-five (325) profit</w:t>
      </w:r>
      <w:r w:rsidRPr="0024134B" w:rsidR="00EE316C">
        <w:rPr>
          <w:rFonts w:ascii="Times New Roman" w:hAnsi="Times New Roman" w:cs="Times New Roman"/>
          <w:color w:val="000000"/>
          <w:sz w:val="24"/>
          <w:szCs w:val="24"/>
        </w:rPr>
        <w:t>-</w:t>
      </w:r>
      <w:r w:rsidRPr="0024134B" w:rsidR="002A23AC">
        <w:rPr>
          <w:rFonts w:ascii="Times New Roman" w:hAnsi="Times New Roman" w:cs="Times New Roman"/>
          <w:color w:val="000000"/>
          <w:sz w:val="24"/>
          <w:szCs w:val="24"/>
        </w:rPr>
        <w:t>and</w:t>
      </w:r>
      <w:r w:rsidRPr="0024134B" w:rsidR="00EE316C">
        <w:rPr>
          <w:rFonts w:ascii="Times New Roman" w:hAnsi="Times New Roman" w:cs="Times New Roman"/>
          <w:color w:val="000000"/>
          <w:sz w:val="24"/>
          <w:szCs w:val="24"/>
        </w:rPr>
        <w:t>-</w:t>
      </w:r>
      <w:r w:rsidRPr="0024134B" w:rsidR="002A23AC">
        <w:rPr>
          <w:rFonts w:ascii="Times New Roman" w:hAnsi="Times New Roman" w:cs="Times New Roman"/>
          <w:color w:val="000000"/>
          <w:sz w:val="24"/>
          <w:szCs w:val="24"/>
        </w:rPr>
        <w:t xml:space="preserve">loss forecast sheets clearly showed there were </w:t>
      </w:r>
      <w:r w:rsidRPr="0024134B" w:rsidR="00EE316C">
        <w:rPr>
          <w:rFonts w:ascii="Times New Roman" w:hAnsi="Times New Roman" w:cs="Times New Roman"/>
          <w:color w:val="000000"/>
          <w:sz w:val="24"/>
          <w:szCs w:val="24"/>
        </w:rPr>
        <w:t xml:space="preserve">extended </w:t>
      </w:r>
      <w:r w:rsidRPr="0024134B" w:rsidR="002A23AC">
        <w:rPr>
          <w:rFonts w:ascii="Times New Roman" w:hAnsi="Times New Roman" w:cs="Times New Roman"/>
          <w:color w:val="000000"/>
          <w:sz w:val="24"/>
          <w:szCs w:val="24"/>
        </w:rPr>
        <w:t>periods of time when the plants were projected to experience consistent losses.</w:t>
      </w:r>
      <w:r>
        <w:rPr>
          <w:rStyle w:val="FootnoteReference"/>
          <w:rFonts w:ascii="Times New Roman" w:hAnsi="Times New Roman" w:cs="Times New Roman"/>
          <w:color w:val="000000"/>
          <w:sz w:val="24"/>
          <w:szCs w:val="24"/>
        </w:rPr>
        <w:footnoteReference w:id="63"/>
      </w:r>
      <w:r w:rsidRPr="0024134B" w:rsidR="006D7498">
        <w:rPr>
          <w:rFonts w:ascii="Times New Roman" w:hAnsi="Times New Roman" w:cs="Times New Roman"/>
          <w:color w:val="000000"/>
          <w:sz w:val="24"/>
          <w:szCs w:val="24"/>
        </w:rPr>
        <w:t xml:space="preserve"> </w:t>
      </w:r>
      <w:r w:rsidRPr="0024134B">
        <w:rPr>
          <w:rFonts w:ascii="Times New Roman" w:hAnsi="Times New Roman" w:cs="Times New Roman"/>
          <w:color w:val="000000"/>
          <w:sz w:val="24"/>
          <w:szCs w:val="24"/>
        </w:rPr>
        <w:t>In fact, Duke had negative margins during five of the twelve calendar months.</w:t>
      </w:r>
      <w:r>
        <w:rPr>
          <w:rStyle w:val="FootnoteReference"/>
          <w:rFonts w:ascii="Times New Roman" w:hAnsi="Times New Roman" w:cs="Times New Roman"/>
          <w:color w:val="000000"/>
          <w:sz w:val="24"/>
          <w:szCs w:val="24"/>
        </w:rPr>
        <w:footnoteReference w:id="64"/>
      </w:r>
      <w:r w:rsidRPr="0024134B" w:rsidR="00902AFF">
        <w:rPr>
          <w:rFonts w:ascii="Times New Roman" w:hAnsi="Times New Roman" w:cs="Times New Roman"/>
          <w:color w:val="000000"/>
          <w:sz w:val="24"/>
          <w:szCs w:val="24"/>
        </w:rPr>
        <w:t xml:space="preserve"> </w:t>
      </w:r>
    </w:p>
    <w:p w:rsidR="00A729BF" w:rsidP="00A729BF" w14:paraId="1EA54CD2" w14:textId="77777777">
      <w:pPr>
        <w:spacing w:after="0" w:line="480" w:lineRule="auto"/>
        <w:ind w:firstLine="720"/>
        <w:rPr>
          <w:rFonts w:ascii="Times New Roman" w:hAnsi="Times New Roman" w:cs="Times New Roman"/>
          <w:color w:val="000000"/>
          <w:sz w:val="24"/>
          <w:szCs w:val="24"/>
        </w:rPr>
      </w:pPr>
      <w:r w:rsidRPr="0024134B">
        <w:rPr>
          <w:rFonts w:ascii="Times New Roman" w:hAnsi="Times New Roman" w:cs="Times New Roman"/>
          <w:color w:val="000000"/>
          <w:sz w:val="24"/>
          <w:szCs w:val="24"/>
        </w:rPr>
        <w:t xml:space="preserve">OVEC’s (and subsequently </w:t>
      </w:r>
      <w:r w:rsidRPr="0024134B" w:rsidR="00AD60A8">
        <w:rPr>
          <w:rFonts w:ascii="Times New Roman" w:hAnsi="Times New Roman" w:cs="Times New Roman"/>
          <w:color w:val="000000"/>
          <w:sz w:val="24"/>
          <w:szCs w:val="24"/>
        </w:rPr>
        <w:t>Duke</w:t>
      </w:r>
      <w:r w:rsidRPr="0024134B">
        <w:rPr>
          <w:rFonts w:ascii="Times New Roman" w:hAnsi="Times New Roman" w:cs="Times New Roman"/>
          <w:color w:val="000000"/>
          <w:sz w:val="24"/>
          <w:szCs w:val="24"/>
        </w:rPr>
        <w:t>’s) above-market costs in 2019 did not result from any unusual conditions.</w:t>
      </w:r>
      <w:r>
        <w:rPr>
          <w:rStyle w:val="FootnoteReference"/>
          <w:rFonts w:ascii="Times New Roman" w:hAnsi="Times New Roman" w:cs="Times New Roman"/>
          <w:color w:val="000000"/>
          <w:sz w:val="24"/>
          <w:szCs w:val="24"/>
        </w:rPr>
        <w:footnoteReference w:id="65"/>
      </w:r>
      <w:r w:rsidRPr="0024134B" w:rsidR="006D7498">
        <w:rPr>
          <w:rFonts w:ascii="Times New Roman" w:hAnsi="Times New Roman" w:cs="Times New Roman"/>
          <w:color w:val="000000"/>
          <w:sz w:val="24"/>
          <w:szCs w:val="24"/>
        </w:rPr>
        <w:t xml:space="preserve"> </w:t>
      </w:r>
      <w:r w:rsidRPr="0024134B" w:rsidR="00EE316C">
        <w:rPr>
          <w:rFonts w:ascii="Times New Roman" w:hAnsi="Times New Roman" w:cs="Times New Roman"/>
          <w:color w:val="000000"/>
          <w:sz w:val="24"/>
          <w:szCs w:val="24"/>
        </w:rPr>
        <w:t xml:space="preserve">OVEC’s above-market costs for 2015-2018 show that </w:t>
      </w:r>
      <w:r w:rsidRPr="0024134B">
        <w:rPr>
          <w:rFonts w:ascii="Times New Roman" w:hAnsi="Times New Roman" w:cs="Times New Roman"/>
          <w:color w:val="000000"/>
          <w:sz w:val="24"/>
          <w:szCs w:val="24"/>
        </w:rPr>
        <w:t>losses from the competitive market were foreseeable</w:t>
      </w:r>
      <w:r w:rsidRPr="0024134B" w:rsidR="00EE316C">
        <w:rPr>
          <w:rFonts w:ascii="Times New Roman" w:hAnsi="Times New Roman" w:cs="Times New Roman"/>
          <w:color w:val="000000"/>
          <w:sz w:val="24"/>
          <w:szCs w:val="24"/>
        </w:rPr>
        <w:t xml:space="preserve"> in 2019</w:t>
      </w:r>
      <w:r w:rsidRPr="0024134B">
        <w:rPr>
          <w:rFonts w:ascii="Times New Roman" w:hAnsi="Times New Roman" w:cs="Times New Roman"/>
          <w:color w:val="000000"/>
          <w:sz w:val="24"/>
          <w:szCs w:val="24"/>
        </w:rPr>
        <w:t>.</w:t>
      </w:r>
      <w:r>
        <w:rPr>
          <w:rStyle w:val="FootnoteReference"/>
          <w:rFonts w:ascii="Times New Roman" w:hAnsi="Times New Roman" w:cs="Times New Roman"/>
          <w:color w:val="000000"/>
          <w:sz w:val="24"/>
          <w:szCs w:val="24"/>
        </w:rPr>
        <w:footnoteReference w:id="66"/>
      </w:r>
      <w:r w:rsidRPr="0024134B" w:rsidR="006D7498">
        <w:rPr>
          <w:rFonts w:ascii="Times New Roman" w:hAnsi="Times New Roman" w:cs="Times New Roman"/>
          <w:color w:val="000000"/>
          <w:sz w:val="24"/>
          <w:szCs w:val="24"/>
        </w:rPr>
        <w:t xml:space="preserve"> </w:t>
      </w:r>
      <w:r w:rsidRPr="0024134B">
        <w:rPr>
          <w:rFonts w:ascii="Times New Roman" w:hAnsi="Times New Roman" w:cs="Times New Roman"/>
          <w:color w:val="000000"/>
          <w:sz w:val="24"/>
          <w:szCs w:val="24"/>
        </w:rPr>
        <w:t xml:space="preserve">In practice, the </w:t>
      </w:r>
      <w:r w:rsidRPr="0024134B" w:rsidR="00EE316C">
        <w:rPr>
          <w:rFonts w:ascii="Times New Roman" w:hAnsi="Times New Roman" w:cs="Times New Roman"/>
          <w:color w:val="000000"/>
          <w:sz w:val="24"/>
          <w:szCs w:val="24"/>
        </w:rPr>
        <w:t>P</w:t>
      </w:r>
      <w:r w:rsidRPr="0024134B" w:rsidR="008E6B1C">
        <w:rPr>
          <w:rFonts w:ascii="Times New Roman" w:hAnsi="Times New Roman" w:cs="Times New Roman"/>
          <w:color w:val="000000"/>
          <w:sz w:val="24"/>
          <w:szCs w:val="24"/>
        </w:rPr>
        <w:t>rice Stabilization Rider</w:t>
      </w:r>
      <w:r w:rsidRPr="0024134B" w:rsidR="00EE316C">
        <w:rPr>
          <w:rFonts w:ascii="Times New Roman" w:hAnsi="Times New Roman" w:cs="Times New Roman"/>
          <w:color w:val="000000"/>
          <w:sz w:val="24"/>
          <w:szCs w:val="24"/>
        </w:rPr>
        <w:t xml:space="preserve"> operates as </w:t>
      </w:r>
      <w:r w:rsidRPr="0024134B">
        <w:rPr>
          <w:rFonts w:ascii="Times New Roman" w:hAnsi="Times New Roman" w:cs="Times New Roman"/>
          <w:color w:val="000000"/>
          <w:sz w:val="24"/>
          <w:szCs w:val="24"/>
        </w:rPr>
        <w:t xml:space="preserve">a government-sanctioned device for subsidizing Ohio utilities, like </w:t>
      </w:r>
      <w:r w:rsidRPr="0024134B" w:rsidR="00AD60A8">
        <w:rPr>
          <w:rFonts w:ascii="Times New Roman" w:hAnsi="Times New Roman" w:cs="Times New Roman"/>
          <w:color w:val="000000"/>
          <w:sz w:val="24"/>
          <w:szCs w:val="24"/>
        </w:rPr>
        <w:t>Duke</w:t>
      </w:r>
      <w:r w:rsidRPr="0024134B">
        <w:rPr>
          <w:rFonts w:ascii="Times New Roman" w:hAnsi="Times New Roman" w:cs="Times New Roman"/>
          <w:color w:val="000000"/>
          <w:sz w:val="24"/>
          <w:szCs w:val="24"/>
        </w:rPr>
        <w:t>.</w:t>
      </w:r>
      <w:r w:rsidR="00980214">
        <w:rPr>
          <w:rFonts w:ascii="Times New Roman" w:hAnsi="Times New Roman" w:cs="Times New Roman"/>
          <w:color w:val="000000"/>
          <w:sz w:val="24"/>
          <w:szCs w:val="24"/>
        </w:rPr>
        <w:t xml:space="preserve"> </w:t>
      </w:r>
      <w:r w:rsidR="00B846F1">
        <w:rPr>
          <w:rFonts w:ascii="Times New Roman" w:hAnsi="Times New Roman" w:cs="Times New Roman"/>
          <w:color w:val="000000"/>
          <w:sz w:val="24"/>
          <w:szCs w:val="24"/>
        </w:rPr>
        <w:t xml:space="preserve">Consumers </w:t>
      </w:r>
      <w:r w:rsidR="008B6A53">
        <w:rPr>
          <w:rFonts w:ascii="Times New Roman" w:hAnsi="Times New Roman" w:cs="Times New Roman"/>
          <w:color w:val="000000"/>
          <w:sz w:val="24"/>
          <w:szCs w:val="24"/>
        </w:rPr>
        <w:t>have become the “blank check”</w:t>
      </w:r>
      <w:r w:rsidR="00B846F1">
        <w:rPr>
          <w:rFonts w:ascii="Times New Roman" w:hAnsi="Times New Roman" w:cs="Times New Roman"/>
          <w:color w:val="000000"/>
          <w:sz w:val="24"/>
          <w:szCs w:val="24"/>
        </w:rPr>
        <w:t xml:space="preserve"> </w:t>
      </w:r>
      <w:r w:rsidR="008B6A53">
        <w:rPr>
          <w:rFonts w:ascii="Times New Roman" w:hAnsi="Times New Roman" w:cs="Times New Roman"/>
          <w:color w:val="000000"/>
          <w:sz w:val="24"/>
          <w:szCs w:val="24"/>
        </w:rPr>
        <w:t xml:space="preserve">that former Chair Haque </w:t>
      </w:r>
      <w:r>
        <w:rPr>
          <w:rFonts w:ascii="Times New Roman" w:hAnsi="Times New Roman" w:cs="Times New Roman"/>
          <w:color w:val="000000"/>
          <w:sz w:val="24"/>
          <w:szCs w:val="24"/>
        </w:rPr>
        <w:t>warned about</w:t>
      </w:r>
      <w:r w:rsidR="008B6A53">
        <w:rPr>
          <w:rFonts w:ascii="Times New Roman" w:hAnsi="Times New Roman" w:cs="Times New Roman"/>
          <w:color w:val="000000"/>
          <w:sz w:val="24"/>
          <w:szCs w:val="24"/>
        </w:rPr>
        <w:t>.</w:t>
      </w:r>
      <w:r w:rsidRPr="0024134B" w:rsidR="006D7498">
        <w:rPr>
          <w:rFonts w:ascii="Times New Roman" w:hAnsi="Times New Roman" w:cs="Times New Roman"/>
          <w:color w:val="000000"/>
          <w:sz w:val="24"/>
          <w:szCs w:val="24"/>
        </w:rPr>
        <w:t xml:space="preserve"> </w:t>
      </w:r>
    </w:p>
    <w:p w:rsidR="00926917" w:rsidRPr="0024134B" w:rsidP="00A729BF" w14:paraId="4680DDDE" w14:textId="77777777">
      <w:pPr>
        <w:spacing w:after="0" w:line="480" w:lineRule="auto"/>
        <w:ind w:firstLine="720"/>
        <w:rPr>
          <w:rFonts w:ascii="Times New Roman" w:hAnsi="Times New Roman" w:cs="Times New Roman"/>
          <w:color w:val="000000"/>
          <w:sz w:val="24"/>
          <w:szCs w:val="24"/>
        </w:rPr>
      </w:pPr>
      <w:r w:rsidRPr="0024134B">
        <w:rPr>
          <w:rFonts w:ascii="Times New Roman" w:hAnsi="Times New Roman" w:cs="Times New Roman"/>
          <w:color w:val="000000"/>
          <w:sz w:val="24"/>
          <w:szCs w:val="24"/>
        </w:rPr>
        <w:t>From 2010 to 2019, five hundred forty-six (546) coal-fired power plants nationwide closed.</w:t>
      </w:r>
      <w:r>
        <w:rPr>
          <w:rStyle w:val="FootnoteReference"/>
          <w:rFonts w:ascii="Times New Roman" w:hAnsi="Times New Roman" w:cs="Times New Roman"/>
          <w:color w:val="000000"/>
          <w:sz w:val="24"/>
          <w:szCs w:val="24"/>
        </w:rPr>
        <w:footnoteReference w:id="67"/>
      </w:r>
      <w:r w:rsidRPr="0024134B" w:rsidR="006D7498">
        <w:rPr>
          <w:rFonts w:ascii="Times New Roman" w:hAnsi="Times New Roman" w:cs="Times New Roman"/>
          <w:color w:val="000000"/>
          <w:sz w:val="24"/>
          <w:szCs w:val="24"/>
        </w:rPr>
        <w:t xml:space="preserve"> </w:t>
      </w:r>
      <w:r w:rsidRPr="0024134B">
        <w:rPr>
          <w:rFonts w:ascii="Times New Roman" w:hAnsi="Times New Roman" w:cs="Times New Roman"/>
          <w:color w:val="000000"/>
          <w:sz w:val="24"/>
          <w:szCs w:val="24"/>
        </w:rPr>
        <w:t>This was mostly because of the stagnant demand and increasing competition from lower-priced natural gas-fired power plants.</w:t>
      </w:r>
      <w:r>
        <w:rPr>
          <w:rStyle w:val="FootnoteReference"/>
          <w:rFonts w:ascii="Times New Roman" w:hAnsi="Times New Roman" w:cs="Times New Roman"/>
          <w:color w:val="000000"/>
          <w:sz w:val="24"/>
          <w:szCs w:val="24"/>
        </w:rPr>
        <w:footnoteReference w:id="68"/>
      </w:r>
    </w:p>
    <w:p w:rsidR="00A729BF" w:rsidP="00FE1BD1" w14:paraId="58CC75B9" w14:textId="77777777">
      <w:pPr>
        <w:spacing w:after="0" w:line="480" w:lineRule="auto"/>
        <w:ind w:firstLine="720"/>
        <w:rPr>
          <w:rFonts w:ascii="Times New Roman" w:hAnsi="Times New Roman" w:cs="Times New Roman"/>
          <w:color w:val="000000"/>
          <w:sz w:val="24"/>
          <w:szCs w:val="24"/>
        </w:rPr>
      </w:pPr>
      <w:r w:rsidRPr="0024134B">
        <w:rPr>
          <w:rFonts w:ascii="Times New Roman" w:hAnsi="Times New Roman" w:cs="Times New Roman"/>
          <w:color w:val="000000"/>
          <w:sz w:val="24"/>
          <w:szCs w:val="24"/>
        </w:rPr>
        <w:t xml:space="preserve">Duke </w:t>
      </w:r>
      <w:r w:rsidRPr="0024134B" w:rsidR="00B14829">
        <w:rPr>
          <w:rFonts w:ascii="Times New Roman" w:hAnsi="Times New Roman" w:cs="Times New Roman"/>
          <w:color w:val="000000"/>
          <w:sz w:val="24"/>
          <w:szCs w:val="24"/>
        </w:rPr>
        <w:t>could have avoided these costs if it only shut down the plants during these months</w:t>
      </w:r>
      <w:r w:rsidRPr="0024134B" w:rsidR="00EE316C">
        <w:rPr>
          <w:rFonts w:ascii="Times New Roman" w:hAnsi="Times New Roman" w:cs="Times New Roman"/>
          <w:color w:val="000000"/>
          <w:sz w:val="24"/>
          <w:szCs w:val="24"/>
        </w:rPr>
        <w:t>, consistent with its own profit-and-loss analysis reports</w:t>
      </w:r>
      <w:r w:rsidRPr="0024134B" w:rsidR="00B14829">
        <w:rPr>
          <w:rFonts w:ascii="Times New Roman" w:hAnsi="Times New Roman" w:cs="Times New Roman"/>
          <w:color w:val="000000"/>
          <w:sz w:val="24"/>
          <w:szCs w:val="24"/>
        </w:rPr>
        <w:t>.</w:t>
      </w:r>
      <w:r>
        <w:rPr>
          <w:rStyle w:val="FootnoteReference"/>
          <w:rFonts w:ascii="Times New Roman" w:hAnsi="Times New Roman" w:cs="Times New Roman"/>
          <w:color w:val="000000"/>
          <w:sz w:val="24"/>
          <w:szCs w:val="24"/>
        </w:rPr>
        <w:footnoteReference w:id="69"/>
      </w:r>
      <w:r w:rsidRPr="0024134B" w:rsidR="006D7498">
        <w:rPr>
          <w:rFonts w:ascii="Times New Roman" w:hAnsi="Times New Roman" w:cs="Times New Roman"/>
          <w:color w:val="000000"/>
          <w:sz w:val="24"/>
          <w:szCs w:val="24"/>
        </w:rPr>
        <w:t xml:space="preserve"> </w:t>
      </w:r>
      <w:r w:rsidRPr="0024134B" w:rsidR="00B14829">
        <w:rPr>
          <w:rFonts w:ascii="Times New Roman" w:hAnsi="Times New Roman" w:cs="Times New Roman"/>
          <w:color w:val="000000"/>
          <w:sz w:val="24"/>
          <w:szCs w:val="24"/>
        </w:rPr>
        <w:t xml:space="preserve">However, </w:t>
      </w:r>
      <w:r w:rsidRPr="0024134B">
        <w:rPr>
          <w:rFonts w:ascii="Times New Roman" w:hAnsi="Times New Roman" w:cs="Times New Roman"/>
          <w:color w:val="000000"/>
          <w:sz w:val="24"/>
          <w:szCs w:val="24"/>
        </w:rPr>
        <w:t>Duke</w:t>
      </w:r>
      <w:r w:rsidRPr="0024134B" w:rsidR="00B14829">
        <w:rPr>
          <w:rFonts w:ascii="Times New Roman" w:hAnsi="Times New Roman" w:cs="Times New Roman"/>
          <w:color w:val="000000"/>
          <w:sz w:val="24"/>
          <w:szCs w:val="24"/>
        </w:rPr>
        <w:t xml:space="preserve"> chose to not contact OVEC and request a change in its Day-Ahead scheduling decisions or practice.</w:t>
      </w:r>
      <w:r>
        <w:rPr>
          <w:rStyle w:val="FootnoteReference"/>
          <w:rFonts w:ascii="Times New Roman" w:hAnsi="Times New Roman" w:cs="Times New Roman"/>
          <w:color w:val="000000"/>
          <w:sz w:val="24"/>
          <w:szCs w:val="24"/>
        </w:rPr>
        <w:footnoteReference w:id="70"/>
      </w:r>
      <w:r w:rsidRPr="0024134B" w:rsidR="00902AFF">
        <w:rPr>
          <w:rFonts w:ascii="Times New Roman" w:hAnsi="Times New Roman" w:cs="Times New Roman"/>
          <w:color w:val="000000"/>
          <w:sz w:val="24"/>
          <w:szCs w:val="24"/>
        </w:rPr>
        <w:t xml:space="preserve"> </w:t>
      </w:r>
      <w:r w:rsidRPr="0024134B">
        <w:rPr>
          <w:rFonts w:ascii="Times New Roman" w:hAnsi="Times New Roman" w:cs="Times New Roman"/>
          <w:color w:val="000000"/>
          <w:sz w:val="24"/>
          <w:szCs w:val="24"/>
        </w:rPr>
        <w:t>Duke</w:t>
      </w:r>
      <w:r w:rsidRPr="0024134B" w:rsidR="00B14829">
        <w:rPr>
          <w:rFonts w:ascii="Times New Roman" w:hAnsi="Times New Roman" w:cs="Times New Roman"/>
          <w:color w:val="000000"/>
          <w:sz w:val="24"/>
          <w:szCs w:val="24"/>
        </w:rPr>
        <w:t xml:space="preserve"> did not attempt to limit the uneconomic commitment practices which were driving the high variable costs at OVEC.</w:t>
      </w:r>
      <w:r>
        <w:rPr>
          <w:rStyle w:val="FootnoteReference"/>
          <w:rFonts w:ascii="Times New Roman" w:hAnsi="Times New Roman" w:cs="Times New Roman"/>
          <w:color w:val="000000"/>
          <w:sz w:val="24"/>
          <w:szCs w:val="24"/>
        </w:rPr>
        <w:footnoteReference w:id="71"/>
      </w:r>
      <w:r w:rsidRPr="0024134B" w:rsidR="006D7498">
        <w:rPr>
          <w:rFonts w:ascii="Times New Roman" w:hAnsi="Times New Roman" w:cs="Times New Roman"/>
          <w:color w:val="000000"/>
          <w:sz w:val="24"/>
          <w:szCs w:val="24"/>
        </w:rPr>
        <w:t xml:space="preserve"> </w:t>
      </w:r>
      <w:r w:rsidR="00C93C94">
        <w:rPr>
          <w:rFonts w:ascii="Times New Roman" w:hAnsi="Times New Roman" w:cs="Times New Roman"/>
          <w:color w:val="000000"/>
          <w:sz w:val="24"/>
          <w:szCs w:val="24"/>
        </w:rPr>
        <w:t xml:space="preserve">That is all classic behavior of a utility monopoly that the people’s government (PUCO) </w:t>
      </w:r>
      <w:r w:rsidR="00554971">
        <w:rPr>
          <w:rFonts w:ascii="Times New Roman" w:hAnsi="Times New Roman" w:cs="Times New Roman"/>
          <w:color w:val="000000"/>
          <w:sz w:val="24"/>
          <w:szCs w:val="24"/>
        </w:rPr>
        <w:t>left undisciplined by the market for consumer protection.</w:t>
      </w:r>
    </w:p>
    <w:p w:rsidR="00F83105" w:rsidP="00FE1BD1" w14:paraId="36CD1F83" w14:textId="77777777">
      <w:pPr>
        <w:spacing w:after="0" w:line="480" w:lineRule="auto"/>
        <w:ind w:firstLine="720"/>
        <w:rPr>
          <w:rFonts w:ascii="Times New Roman" w:hAnsi="Times New Roman" w:cs="Times New Roman"/>
          <w:color w:val="000000"/>
          <w:sz w:val="24"/>
          <w:szCs w:val="24"/>
        </w:rPr>
      </w:pPr>
      <w:r w:rsidRPr="0024134B">
        <w:rPr>
          <w:rFonts w:ascii="Times New Roman" w:hAnsi="Times New Roman" w:cs="Times New Roman"/>
          <w:color w:val="000000"/>
          <w:sz w:val="24"/>
          <w:szCs w:val="24"/>
        </w:rPr>
        <w:t>Duke</w:t>
      </w:r>
      <w:r w:rsidRPr="0024134B" w:rsidR="00B14829">
        <w:rPr>
          <w:rFonts w:ascii="Times New Roman" w:hAnsi="Times New Roman" w:cs="Times New Roman"/>
          <w:color w:val="000000"/>
          <w:sz w:val="24"/>
          <w:szCs w:val="24"/>
        </w:rPr>
        <w:t xml:space="preserve"> did not take planning steps to limit costs passed on to consumers through the Price Stabilization Rider by: </w:t>
      </w:r>
    </w:p>
    <w:p w:rsidR="00F83105" w:rsidP="00CA2EA8" w14:paraId="763EAE3E" w14:textId="77777777">
      <w:pPr>
        <w:spacing w:after="0" w:line="240" w:lineRule="auto"/>
        <w:ind w:left="1440" w:hanging="720"/>
        <w:rPr>
          <w:rFonts w:ascii="Times New Roman" w:hAnsi="Times New Roman" w:cs="Times New Roman"/>
          <w:color w:val="000000"/>
          <w:sz w:val="24"/>
          <w:szCs w:val="24"/>
        </w:rPr>
      </w:pPr>
    </w:p>
    <w:p w:rsidR="00B14829" w:rsidRPr="0024134B" w:rsidP="00CA2EA8" w14:paraId="5DAF6F91" w14:textId="77777777">
      <w:pPr>
        <w:spacing w:after="0" w:line="240" w:lineRule="auto"/>
        <w:ind w:left="1440" w:hanging="720"/>
        <w:rPr>
          <w:rFonts w:ascii="Times New Roman" w:hAnsi="Times New Roman" w:cs="Times New Roman"/>
          <w:color w:val="000000"/>
          <w:sz w:val="24"/>
          <w:szCs w:val="24"/>
        </w:rPr>
      </w:pPr>
      <w:r w:rsidRPr="0024134B">
        <w:rPr>
          <w:rFonts w:ascii="Times New Roman" w:hAnsi="Times New Roman" w:cs="Times New Roman"/>
          <w:color w:val="000000"/>
          <w:sz w:val="24"/>
          <w:szCs w:val="24"/>
        </w:rPr>
        <w:t>1.</w:t>
      </w:r>
      <w:r w:rsidRPr="0024134B">
        <w:rPr>
          <w:rFonts w:ascii="Times New Roman" w:hAnsi="Times New Roman" w:cs="Times New Roman"/>
          <w:color w:val="000000"/>
          <w:sz w:val="24"/>
          <w:szCs w:val="24"/>
        </w:rPr>
        <w:tab/>
      </w:r>
      <w:r w:rsidR="005928B1">
        <w:rPr>
          <w:rFonts w:ascii="Times New Roman" w:hAnsi="Times New Roman" w:cs="Times New Roman"/>
          <w:color w:val="000000"/>
          <w:sz w:val="24"/>
          <w:szCs w:val="24"/>
        </w:rPr>
        <w:t>A</w:t>
      </w:r>
      <w:r w:rsidRPr="0024134B">
        <w:rPr>
          <w:rFonts w:ascii="Times New Roman" w:hAnsi="Times New Roman" w:cs="Times New Roman"/>
          <w:color w:val="000000"/>
          <w:sz w:val="24"/>
          <w:szCs w:val="24"/>
        </w:rPr>
        <w:t>ttempting to renegotiate or terminate the OVEC Agreement</w:t>
      </w:r>
      <w:r w:rsidRPr="0024134B" w:rsidR="009166A7">
        <w:rPr>
          <w:rFonts w:ascii="Times New Roman" w:hAnsi="Times New Roman" w:cs="Times New Roman"/>
          <w:color w:val="000000"/>
          <w:sz w:val="24"/>
          <w:szCs w:val="24"/>
        </w:rPr>
        <w:t>;</w:t>
      </w:r>
    </w:p>
    <w:p w:rsidR="009166A7" w:rsidRPr="0024134B" w:rsidP="00CA2EA8" w14:paraId="2E57EF02" w14:textId="77777777">
      <w:pPr>
        <w:spacing w:after="0" w:line="240" w:lineRule="auto"/>
        <w:ind w:left="1440" w:hanging="720"/>
        <w:rPr>
          <w:rFonts w:ascii="Times New Roman" w:hAnsi="Times New Roman" w:cs="Times New Roman"/>
          <w:color w:val="000000"/>
          <w:sz w:val="24"/>
          <w:szCs w:val="24"/>
        </w:rPr>
      </w:pPr>
    </w:p>
    <w:p w:rsidR="00B14829" w:rsidRPr="0024134B" w:rsidP="00CA2EA8" w14:paraId="7E78F7B0" w14:textId="77777777">
      <w:pPr>
        <w:spacing w:after="0" w:line="240" w:lineRule="auto"/>
        <w:ind w:left="1440" w:hanging="720"/>
        <w:rPr>
          <w:rFonts w:ascii="Times New Roman" w:hAnsi="Times New Roman" w:cs="Times New Roman"/>
          <w:color w:val="000000"/>
          <w:sz w:val="24"/>
          <w:szCs w:val="24"/>
        </w:rPr>
      </w:pPr>
      <w:r w:rsidRPr="0024134B">
        <w:rPr>
          <w:rFonts w:ascii="Times New Roman" w:hAnsi="Times New Roman" w:cs="Times New Roman"/>
          <w:color w:val="000000"/>
          <w:sz w:val="24"/>
          <w:szCs w:val="24"/>
        </w:rPr>
        <w:t>2.</w:t>
      </w:r>
      <w:r w:rsidRPr="0024134B">
        <w:rPr>
          <w:rFonts w:ascii="Times New Roman" w:hAnsi="Times New Roman" w:cs="Times New Roman"/>
          <w:color w:val="000000"/>
          <w:sz w:val="24"/>
          <w:szCs w:val="24"/>
        </w:rPr>
        <w:tab/>
      </w:r>
      <w:r w:rsidR="005928B1">
        <w:rPr>
          <w:rFonts w:ascii="Times New Roman" w:hAnsi="Times New Roman" w:cs="Times New Roman"/>
          <w:color w:val="000000"/>
          <w:sz w:val="24"/>
          <w:szCs w:val="24"/>
        </w:rPr>
        <w:t>C</w:t>
      </w:r>
      <w:r w:rsidRPr="0024134B">
        <w:rPr>
          <w:rFonts w:ascii="Times New Roman" w:hAnsi="Times New Roman" w:cs="Times New Roman"/>
          <w:color w:val="000000"/>
          <w:sz w:val="24"/>
          <w:szCs w:val="24"/>
        </w:rPr>
        <w:t xml:space="preserve">onducting a retirement analysis that evaluated the going-forward cost to </w:t>
      </w:r>
      <w:r w:rsidRPr="0024134B" w:rsidR="00AD60A8">
        <w:rPr>
          <w:rFonts w:ascii="Times New Roman" w:hAnsi="Times New Roman" w:cs="Times New Roman"/>
          <w:color w:val="000000"/>
          <w:sz w:val="24"/>
          <w:szCs w:val="24"/>
        </w:rPr>
        <w:t>Duke</w:t>
      </w:r>
      <w:r w:rsidRPr="0024134B">
        <w:rPr>
          <w:rFonts w:ascii="Times New Roman" w:hAnsi="Times New Roman" w:cs="Times New Roman"/>
          <w:color w:val="000000"/>
          <w:sz w:val="24"/>
          <w:szCs w:val="24"/>
        </w:rPr>
        <w:t>’s consumers of the OVEC Agreement</w:t>
      </w:r>
      <w:r w:rsidRPr="0024134B" w:rsidR="009166A7">
        <w:rPr>
          <w:rFonts w:ascii="Times New Roman" w:hAnsi="Times New Roman" w:cs="Times New Roman"/>
          <w:color w:val="000000"/>
          <w:sz w:val="24"/>
          <w:szCs w:val="24"/>
        </w:rPr>
        <w:t>;</w:t>
      </w:r>
    </w:p>
    <w:p w:rsidR="009166A7" w:rsidRPr="0024134B" w:rsidP="00CA2EA8" w14:paraId="01C32496" w14:textId="77777777">
      <w:pPr>
        <w:spacing w:after="0" w:line="240" w:lineRule="auto"/>
        <w:ind w:left="1440" w:hanging="720"/>
        <w:rPr>
          <w:rFonts w:ascii="Times New Roman" w:hAnsi="Times New Roman" w:cs="Times New Roman"/>
          <w:color w:val="000000"/>
          <w:sz w:val="24"/>
          <w:szCs w:val="24"/>
        </w:rPr>
      </w:pPr>
    </w:p>
    <w:p w:rsidR="00B14829" w:rsidRPr="0024134B" w:rsidP="00CA2EA8" w14:paraId="365F3588" w14:textId="77777777">
      <w:pPr>
        <w:spacing w:after="0" w:line="240" w:lineRule="auto"/>
        <w:ind w:left="1440" w:hanging="720"/>
        <w:rPr>
          <w:rFonts w:ascii="Times New Roman" w:hAnsi="Times New Roman" w:cs="Times New Roman"/>
          <w:color w:val="000000"/>
          <w:sz w:val="24"/>
          <w:szCs w:val="24"/>
        </w:rPr>
      </w:pPr>
      <w:r w:rsidRPr="0024134B">
        <w:rPr>
          <w:rFonts w:ascii="Times New Roman" w:hAnsi="Times New Roman" w:cs="Times New Roman"/>
          <w:color w:val="000000"/>
          <w:sz w:val="24"/>
          <w:szCs w:val="24"/>
        </w:rPr>
        <w:t>3.</w:t>
      </w:r>
      <w:r w:rsidRPr="0024134B">
        <w:rPr>
          <w:rFonts w:ascii="Times New Roman" w:hAnsi="Times New Roman" w:cs="Times New Roman"/>
          <w:color w:val="000000"/>
          <w:sz w:val="24"/>
          <w:szCs w:val="24"/>
        </w:rPr>
        <w:tab/>
      </w:r>
      <w:r w:rsidR="005928B1">
        <w:rPr>
          <w:rFonts w:ascii="Times New Roman" w:hAnsi="Times New Roman" w:cs="Times New Roman"/>
          <w:color w:val="000000"/>
          <w:sz w:val="24"/>
          <w:szCs w:val="24"/>
        </w:rPr>
        <w:t>E</w:t>
      </w:r>
      <w:r w:rsidRPr="0024134B">
        <w:rPr>
          <w:rFonts w:ascii="Times New Roman" w:hAnsi="Times New Roman" w:cs="Times New Roman"/>
          <w:color w:val="000000"/>
          <w:sz w:val="24"/>
          <w:szCs w:val="24"/>
        </w:rPr>
        <w:t>valuating the cost of the option of early termination of the OVEC Agreement</w:t>
      </w:r>
      <w:r w:rsidRPr="0024134B" w:rsidR="009166A7">
        <w:rPr>
          <w:rFonts w:ascii="Times New Roman" w:hAnsi="Times New Roman" w:cs="Times New Roman"/>
          <w:color w:val="000000"/>
          <w:sz w:val="24"/>
          <w:szCs w:val="24"/>
        </w:rPr>
        <w:t>; or</w:t>
      </w:r>
    </w:p>
    <w:p w:rsidR="009166A7" w:rsidRPr="0024134B" w:rsidP="00CA2EA8" w14:paraId="7D956E3C" w14:textId="77777777">
      <w:pPr>
        <w:spacing w:after="0" w:line="240" w:lineRule="auto"/>
        <w:ind w:left="1440" w:hanging="720"/>
        <w:rPr>
          <w:rFonts w:ascii="Times New Roman" w:hAnsi="Times New Roman" w:cs="Times New Roman"/>
          <w:color w:val="000000"/>
          <w:sz w:val="24"/>
          <w:szCs w:val="24"/>
        </w:rPr>
      </w:pPr>
    </w:p>
    <w:p w:rsidR="00B14829" w:rsidRPr="0024134B" w:rsidP="00CA2EA8" w14:paraId="68B2DDBE" w14:textId="77777777">
      <w:pPr>
        <w:spacing w:after="0" w:line="240" w:lineRule="auto"/>
        <w:ind w:left="1440" w:hanging="720"/>
        <w:rPr>
          <w:rFonts w:ascii="Times New Roman" w:hAnsi="Times New Roman" w:cs="Times New Roman"/>
          <w:color w:val="000000"/>
          <w:sz w:val="24"/>
          <w:szCs w:val="24"/>
        </w:rPr>
      </w:pPr>
      <w:r w:rsidRPr="0024134B">
        <w:rPr>
          <w:rFonts w:ascii="Times New Roman" w:hAnsi="Times New Roman" w:cs="Times New Roman"/>
          <w:color w:val="000000"/>
          <w:sz w:val="24"/>
          <w:szCs w:val="24"/>
        </w:rPr>
        <w:t>4.</w:t>
      </w:r>
      <w:r w:rsidRPr="0024134B">
        <w:rPr>
          <w:rFonts w:ascii="Times New Roman" w:hAnsi="Times New Roman" w:cs="Times New Roman"/>
          <w:color w:val="000000"/>
          <w:sz w:val="24"/>
          <w:szCs w:val="24"/>
        </w:rPr>
        <w:tab/>
      </w:r>
      <w:r w:rsidR="005928B1">
        <w:rPr>
          <w:rFonts w:ascii="Times New Roman" w:hAnsi="Times New Roman" w:cs="Times New Roman"/>
          <w:color w:val="000000"/>
          <w:sz w:val="24"/>
          <w:szCs w:val="24"/>
        </w:rPr>
        <w:t>E</w:t>
      </w:r>
      <w:r w:rsidRPr="0024134B">
        <w:rPr>
          <w:rFonts w:ascii="Times New Roman" w:hAnsi="Times New Roman" w:cs="Times New Roman"/>
          <w:color w:val="000000"/>
          <w:sz w:val="24"/>
          <w:szCs w:val="24"/>
        </w:rPr>
        <w:t>valuating the economics of operational changes at the OVEC plants, including seasonal operation and lower each unit’s minimum operating level.</w:t>
      </w:r>
      <w:r>
        <w:rPr>
          <w:rStyle w:val="FootnoteReference"/>
          <w:rFonts w:ascii="Times New Roman" w:hAnsi="Times New Roman" w:cs="Times New Roman"/>
          <w:color w:val="000000"/>
          <w:sz w:val="24"/>
          <w:szCs w:val="24"/>
        </w:rPr>
        <w:footnoteReference w:id="72"/>
      </w:r>
    </w:p>
    <w:p w:rsidR="00B14829" w:rsidRPr="0024134B" w:rsidP="009C59AE" w14:paraId="30F1BC3C" w14:textId="77777777">
      <w:pPr>
        <w:spacing w:after="0" w:line="240" w:lineRule="auto"/>
        <w:ind w:left="1080" w:hanging="360"/>
        <w:jc w:val="both"/>
        <w:rPr>
          <w:rFonts w:ascii="Times New Roman" w:hAnsi="Times New Roman" w:cs="Times New Roman"/>
          <w:color w:val="000000"/>
          <w:sz w:val="24"/>
          <w:szCs w:val="24"/>
        </w:rPr>
      </w:pPr>
    </w:p>
    <w:p w:rsidR="003C1925" w:rsidRPr="0024134B" w:rsidP="00F83105" w14:paraId="44CF0717" w14:textId="77777777">
      <w:pPr>
        <w:spacing w:after="0" w:line="480" w:lineRule="auto"/>
        <w:ind w:firstLine="720"/>
        <w:rPr>
          <w:rFonts w:ascii="Times New Roman" w:hAnsi="Times New Roman" w:cs="Times New Roman"/>
          <w:color w:val="000000"/>
          <w:sz w:val="24"/>
          <w:szCs w:val="24"/>
        </w:rPr>
      </w:pPr>
      <w:r w:rsidRPr="0024134B">
        <w:rPr>
          <w:rFonts w:ascii="Times New Roman" w:hAnsi="Times New Roman" w:cs="Times New Roman"/>
          <w:color w:val="000000"/>
          <w:sz w:val="24"/>
          <w:szCs w:val="24"/>
        </w:rPr>
        <w:t xml:space="preserve">If Duke acted prudently with respect to the OVEC </w:t>
      </w:r>
      <w:r w:rsidRPr="0024134B" w:rsidR="009E3408">
        <w:rPr>
          <w:rFonts w:ascii="Times New Roman" w:hAnsi="Times New Roman" w:cs="Times New Roman"/>
          <w:color w:val="000000"/>
          <w:sz w:val="24"/>
          <w:szCs w:val="24"/>
        </w:rPr>
        <w:t>plants in 2019</w:t>
      </w:r>
      <w:r w:rsidRPr="0024134B">
        <w:rPr>
          <w:rFonts w:ascii="Times New Roman" w:hAnsi="Times New Roman" w:cs="Times New Roman"/>
          <w:color w:val="000000"/>
          <w:sz w:val="24"/>
          <w:szCs w:val="24"/>
        </w:rPr>
        <w:t>, it</w:t>
      </w:r>
      <w:r w:rsidRPr="0024134B" w:rsidR="009E3408">
        <w:rPr>
          <w:rFonts w:ascii="Times New Roman" w:hAnsi="Times New Roman" w:cs="Times New Roman"/>
          <w:color w:val="000000"/>
          <w:sz w:val="24"/>
          <w:szCs w:val="24"/>
        </w:rPr>
        <w:t xml:space="preserve"> would (and</w:t>
      </w:r>
      <w:r w:rsidRPr="0024134B">
        <w:rPr>
          <w:rFonts w:ascii="Times New Roman" w:hAnsi="Times New Roman" w:cs="Times New Roman"/>
          <w:color w:val="000000"/>
          <w:sz w:val="24"/>
          <w:szCs w:val="24"/>
        </w:rPr>
        <w:t xml:space="preserve"> </w:t>
      </w:r>
      <w:r w:rsidRPr="0024134B" w:rsidR="00DC237C">
        <w:rPr>
          <w:rFonts w:ascii="Times New Roman" w:hAnsi="Times New Roman" w:cs="Times New Roman"/>
          <w:color w:val="000000"/>
          <w:sz w:val="24"/>
          <w:szCs w:val="24"/>
        </w:rPr>
        <w:t>should</w:t>
      </w:r>
      <w:r w:rsidRPr="0024134B" w:rsidR="009E3408">
        <w:rPr>
          <w:rFonts w:ascii="Times New Roman" w:hAnsi="Times New Roman" w:cs="Times New Roman"/>
          <w:color w:val="000000"/>
          <w:sz w:val="24"/>
          <w:szCs w:val="24"/>
        </w:rPr>
        <w:t>)</w:t>
      </w:r>
      <w:r w:rsidRPr="0024134B">
        <w:rPr>
          <w:rFonts w:ascii="Times New Roman" w:hAnsi="Times New Roman" w:cs="Times New Roman"/>
          <w:color w:val="000000"/>
          <w:sz w:val="24"/>
          <w:szCs w:val="24"/>
        </w:rPr>
        <w:t xml:space="preserve"> have </w:t>
      </w:r>
      <w:r w:rsidR="00D028BF">
        <w:rPr>
          <w:rFonts w:ascii="Times New Roman" w:hAnsi="Times New Roman" w:cs="Times New Roman"/>
          <w:color w:val="000000"/>
          <w:sz w:val="24"/>
          <w:szCs w:val="24"/>
        </w:rPr>
        <w:t xml:space="preserve">assured that the plants did not operate at a loss relative to expected PJM revenues or other supply alternatives available in the </w:t>
      </w:r>
      <w:r w:rsidR="00980214">
        <w:rPr>
          <w:rFonts w:ascii="Times New Roman" w:hAnsi="Times New Roman" w:cs="Times New Roman"/>
          <w:color w:val="000000"/>
          <w:sz w:val="24"/>
          <w:szCs w:val="24"/>
        </w:rPr>
        <w:t>market.</w:t>
      </w:r>
      <w:r>
        <w:rPr>
          <w:rStyle w:val="FootnoteReference"/>
          <w:rFonts w:ascii="Times New Roman" w:hAnsi="Times New Roman" w:cs="Times New Roman"/>
          <w:color w:val="000000"/>
          <w:sz w:val="24"/>
          <w:szCs w:val="24"/>
        </w:rPr>
        <w:footnoteReference w:id="73"/>
      </w:r>
    </w:p>
    <w:p w:rsidR="00250D0D" w:rsidRPr="0024134B" w:rsidP="00DC237C" w14:paraId="554FC729" w14:textId="77777777">
      <w:pPr>
        <w:spacing w:after="0" w:line="480" w:lineRule="auto"/>
        <w:ind w:firstLine="720"/>
        <w:rPr>
          <w:rFonts w:ascii="Times New Roman" w:hAnsi="Times New Roman" w:cs="Times New Roman"/>
          <w:color w:val="000000"/>
          <w:sz w:val="24"/>
          <w:szCs w:val="24"/>
        </w:rPr>
      </w:pPr>
      <w:r w:rsidRPr="0024134B">
        <w:rPr>
          <w:rFonts w:ascii="Times New Roman" w:hAnsi="Times New Roman" w:cs="Times New Roman"/>
          <w:color w:val="000000"/>
          <w:sz w:val="24"/>
          <w:szCs w:val="24"/>
        </w:rPr>
        <w:t>Simpl</w:t>
      </w:r>
      <w:r w:rsidRPr="0024134B" w:rsidR="00FF6522">
        <w:rPr>
          <w:rFonts w:ascii="Times New Roman" w:hAnsi="Times New Roman" w:cs="Times New Roman"/>
          <w:color w:val="000000"/>
          <w:sz w:val="24"/>
          <w:szCs w:val="24"/>
        </w:rPr>
        <w:t>y</w:t>
      </w:r>
      <w:r w:rsidRPr="0024134B">
        <w:rPr>
          <w:rFonts w:ascii="Times New Roman" w:hAnsi="Times New Roman" w:cs="Times New Roman"/>
          <w:color w:val="000000"/>
          <w:sz w:val="24"/>
          <w:szCs w:val="24"/>
        </w:rPr>
        <w:t xml:space="preserve"> s</w:t>
      </w:r>
      <w:r w:rsidRPr="0024134B" w:rsidR="007F78CD">
        <w:rPr>
          <w:rFonts w:ascii="Times New Roman" w:hAnsi="Times New Roman" w:cs="Times New Roman"/>
          <w:color w:val="000000"/>
          <w:sz w:val="24"/>
          <w:szCs w:val="24"/>
        </w:rPr>
        <w:t>t</w:t>
      </w:r>
      <w:r w:rsidRPr="0024134B">
        <w:rPr>
          <w:rFonts w:ascii="Times New Roman" w:hAnsi="Times New Roman" w:cs="Times New Roman"/>
          <w:color w:val="000000"/>
          <w:sz w:val="24"/>
          <w:szCs w:val="24"/>
        </w:rPr>
        <w:t>ated</w:t>
      </w:r>
      <w:r w:rsidRPr="0024134B" w:rsidR="007F78CD">
        <w:rPr>
          <w:rFonts w:ascii="Times New Roman" w:hAnsi="Times New Roman" w:cs="Times New Roman"/>
          <w:color w:val="000000"/>
          <w:sz w:val="24"/>
          <w:szCs w:val="24"/>
        </w:rPr>
        <w:t>,</w:t>
      </w:r>
      <w:r w:rsidRPr="0024134B">
        <w:rPr>
          <w:rFonts w:ascii="Times New Roman" w:hAnsi="Times New Roman" w:cs="Times New Roman"/>
          <w:color w:val="000000"/>
          <w:sz w:val="24"/>
          <w:szCs w:val="24"/>
        </w:rPr>
        <w:t xml:space="preserve"> </w:t>
      </w:r>
      <w:r w:rsidRPr="0024134B" w:rsidR="00AD60A8">
        <w:rPr>
          <w:rFonts w:ascii="Times New Roman" w:hAnsi="Times New Roman" w:cs="Times New Roman"/>
          <w:color w:val="000000"/>
          <w:sz w:val="24"/>
          <w:szCs w:val="24"/>
        </w:rPr>
        <w:t xml:space="preserve">Duke </w:t>
      </w:r>
      <w:r w:rsidRPr="0024134B" w:rsidR="009E3408">
        <w:rPr>
          <w:rFonts w:ascii="Times New Roman" w:hAnsi="Times New Roman" w:cs="Times New Roman"/>
          <w:color w:val="000000"/>
          <w:sz w:val="24"/>
          <w:szCs w:val="24"/>
        </w:rPr>
        <w:t>failed</w:t>
      </w:r>
      <w:r w:rsidRPr="0024134B" w:rsidR="003C1925">
        <w:rPr>
          <w:rFonts w:ascii="Times New Roman" w:hAnsi="Times New Roman" w:cs="Times New Roman"/>
          <w:color w:val="000000"/>
          <w:sz w:val="24"/>
          <w:szCs w:val="24"/>
        </w:rPr>
        <w:t xml:space="preserve"> to manage costs incurred at the OVEC units.</w:t>
      </w:r>
      <w:r>
        <w:rPr>
          <w:rStyle w:val="FootnoteReference"/>
          <w:rFonts w:ascii="Times New Roman" w:hAnsi="Times New Roman" w:cs="Times New Roman"/>
          <w:color w:val="000000"/>
          <w:sz w:val="24"/>
          <w:szCs w:val="24"/>
        </w:rPr>
        <w:footnoteReference w:id="74"/>
      </w:r>
      <w:r w:rsidRPr="0024134B" w:rsidR="003C1925">
        <w:rPr>
          <w:rFonts w:ascii="Times New Roman" w:hAnsi="Times New Roman" w:cs="Times New Roman"/>
          <w:color w:val="000000"/>
          <w:sz w:val="24"/>
          <w:szCs w:val="24"/>
        </w:rPr>
        <w:t xml:space="preserve"> </w:t>
      </w:r>
      <w:r w:rsidRPr="0024134B" w:rsidR="009E3408">
        <w:rPr>
          <w:rFonts w:ascii="Times New Roman" w:hAnsi="Times New Roman" w:cs="Times New Roman"/>
          <w:color w:val="000000"/>
          <w:sz w:val="24"/>
          <w:szCs w:val="24"/>
        </w:rPr>
        <w:t>Duke</w:t>
      </w:r>
      <w:r w:rsidRPr="0024134B" w:rsidR="003C1925">
        <w:rPr>
          <w:rFonts w:ascii="Times New Roman" w:hAnsi="Times New Roman" w:cs="Times New Roman"/>
          <w:color w:val="000000"/>
          <w:sz w:val="24"/>
          <w:szCs w:val="24"/>
        </w:rPr>
        <w:t xml:space="preserve"> did not attempt to reduce, or even minimize, its uneconomic commitment practices.</w:t>
      </w:r>
      <w:r>
        <w:rPr>
          <w:rStyle w:val="FootnoteReference"/>
          <w:rFonts w:ascii="Times New Roman" w:hAnsi="Times New Roman" w:cs="Times New Roman"/>
          <w:color w:val="000000"/>
          <w:sz w:val="24"/>
          <w:szCs w:val="24"/>
        </w:rPr>
        <w:footnoteReference w:id="75"/>
      </w:r>
      <w:r w:rsidRPr="0024134B" w:rsidR="003C1925">
        <w:rPr>
          <w:rFonts w:ascii="Times New Roman" w:hAnsi="Times New Roman" w:cs="Times New Roman"/>
          <w:color w:val="000000"/>
          <w:sz w:val="24"/>
          <w:szCs w:val="24"/>
        </w:rPr>
        <w:t xml:space="preserve"> </w:t>
      </w:r>
      <w:r w:rsidRPr="0024134B" w:rsidR="009E3408">
        <w:rPr>
          <w:rFonts w:ascii="Times New Roman" w:hAnsi="Times New Roman" w:cs="Times New Roman"/>
          <w:color w:val="000000"/>
          <w:sz w:val="24"/>
          <w:szCs w:val="24"/>
        </w:rPr>
        <w:t xml:space="preserve">Duke </w:t>
      </w:r>
      <w:r w:rsidRPr="0024134B" w:rsidR="003C1925">
        <w:rPr>
          <w:rFonts w:ascii="Times New Roman" w:hAnsi="Times New Roman" w:cs="Times New Roman"/>
          <w:color w:val="000000"/>
          <w:sz w:val="24"/>
          <w:szCs w:val="24"/>
        </w:rPr>
        <w:t>never re-evaluate</w:t>
      </w:r>
      <w:r w:rsidRPr="0024134B" w:rsidR="00596E1D">
        <w:rPr>
          <w:rFonts w:ascii="Times New Roman" w:hAnsi="Times New Roman" w:cs="Times New Roman"/>
          <w:color w:val="000000"/>
          <w:sz w:val="24"/>
          <w:szCs w:val="24"/>
        </w:rPr>
        <w:t>d</w:t>
      </w:r>
      <w:r w:rsidRPr="0024134B" w:rsidR="003C1925">
        <w:rPr>
          <w:rFonts w:ascii="Times New Roman" w:hAnsi="Times New Roman" w:cs="Times New Roman"/>
          <w:color w:val="000000"/>
          <w:sz w:val="24"/>
          <w:szCs w:val="24"/>
        </w:rPr>
        <w:t xml:space="preserve"> the prudency of using the OVEC units as a hedge on the SSO price.</w:t>
      </w:r>
      <w:r>
        <w:rPr>
          <w:rStyle w:val="FootnoteReference"/>
          <w:rFonts w:ascii="Times New Roman" w:hAnsi="Times New Roman" w:cs="Times New Roman"/>
          <w:color w:val="000000"/>
          <w:sz w:val="24"/>
          <w:szCs w:val="24"/>
        </w:rPr>
        <w:footnoteReference w:id="76"/>
      </w:r>
      <w:r w:rsidRPr="0024134B" w:rsidR="003C1925">
        <w:rPr>
          <w:rFonts w:ascii="Times New Roman" w:hAnsi="Times New Roman" w:cs="Times New Roman"/>
          <w:color w:val="000000"/>
          <w:sz w:val="24"/>
          <w:szCs w:val="24"/>
        </w:rPr>
        <w:t xml:space="preserve"> </w:t>
      </w:r>
      <w:r w:rsidRPr="0024134B" w:rsidR="00AD60A8">
        <w:rPr>
          <w:rFonts w:ascii="Times New Roman" w:hAnsi="Times New Roman" w:cs="Times New Roman"/>
          <w:color w:val="000000"/>
          <w:sz w:val="24"/>
          <w:szCs w:val="24"/>
        </w:rPr>
        <w:t xml:space="preserve">Duke </w:t>
      </w:r>
      <w:r w:rsidRPr="0024134B" w:rsidR="009E3408">
        <w:rPr>
          <w:rFonts w:ascii="Times New Roman" w:hAnsi="Times New Roman" w:cs="Times New Roman"/>
          <w:color w:val="000000"/>
          <w:sz w:val="24"/>
          <w:szCs w:val="24"/>
        </w:rPr>
        <w:t>did</w:t>
      </w:r>
      <w:r w:rsidRPr="0024134B">
        <w:rPr>
          <w:rFonts w:ascii="Times New Roman" w:hAnsi="Times New Roman" w:cs="Times New Roman"/>
          <w:color w:val="000000"/>
          <w:sz w:val="24"/>
          <w:szCs w:val="24"/>
        </w:rPr>
        <w:t xml:space="preserve"> not act on the knowledge of its negative margins and failed to exercise oversight over unit operations</w:t>
      </w:r>
      <w:r w:rsidRPr="0024134B" w:rsidR="009E3408">
        <w:rPr>
          <w:rFonts w:ascii="Times New Roman" w:hAnsi="Times New Roman" w:cs="Times New Roman"/>
          <w:color w:val="000000"/>
          <w:sz w:val="24"/>
          <w:szCs w:val="24"/>
        </w:rPr>
        <w:t>. Duke failed</w:t>
      </w:r>
      <w:r w:rsidRPr="0024134B" w:rsidR="00FE1BD1">
        <w:rPr>
          <w:rFonts w:ascii="Times New Roman" w:hAnsi="Times New Roman" w:cs="Times New Roman"/>
          <w:color w:val="000000"/>
          <w:sz w:val="24"/>
          <w:szCs w:val="24"/>
        </w:rPr>
        <w:t xml:space="preserve"> </w:t>
      </w:r>
      <w:r w:rsidR="00010E7E">
        <w:rPr>
          <w:rFonts w:ascii="Times New Roman" w:hAnsi="Times New Roman" w:cs="Times New Roman"/>
          <w:color w:val="000000"/>
          <w:sz w:val="24"/>
          <w:szCs w:val="24"/>
        </w:rPr>
        <w:t xml:space="preserve">to act </w:t>
      </w:r>
      <w:r w:rsidR="00BF54B2">
        <w:rPr>
          <w:rFonts w:ascii="Times New Roman" w:hAnsi="Times New Roman" w:cs="Times New Roman"/>
          <w:color w:val="000000"/>
          <w:sz w:val="24"/>
          <w:szCs w:val="24"/>
        </w:rPr>
        <w:t>i</w:t>
      </w:r>
      <w:r w:rsidR="00010E7E">
        <w:rPr>
          <w:rFonts w:ascii="Times New Roman" w:hAnsi="Times New Roman" w:cs="Times New Roman"/>
          <w:color w:val="000000"/>
          <w:sz w:val="24"/>
          <w:szCs w:val="24"/>
        </w:rPr>
        <w:t>n consumers</w:t>
      </w:r>
      <w:r w:rsidR="00BF54B2">
        <w:rPr>
          <w:rFonts w:ascii="Times New Roman" w:hAnsi="Times New Roman" w:cs="Times New Roman"/>
          <w:color w:val="000000"/>
          <w:sz w:val="24"/>
          <w:szCs w:val="24"/>
        </w:rPr>
        <w:t>’</w:t>
      </w:r>
      <w:r w:rsidR="00010E7E">
        <w:rPr>
          <w:rFonts w:ascii="Times New Roman" w:hAnsi="Times New Roman" w:cs="Times New Roman"/>
          <w:color w:val="000000"/>
          <w:sz w:val="24"/>
          <w:szCs w:val="24"/>
        </w:rPr>
        <w:t xml:space="preserve"> best interest </w:t>
      </w:r>
      <w:r w:rsidRPr="0024134B" w:rsidR="00FE1BD1">
        <w:rPr>
          <w:rFonts w:ascii="Times New Roman" w:hAnsi="Times New Roman" w:cs="Times New Roman"/>
          <w:color w:val="000000"/>
          <w:sz w:val="24"/>
          <w:szCs w:val="24"/>
        </w:rPr>
        <w:t>even though its own data</w:t>
      </w:r>
      <w:r w:rsidRPr="0024134B" w:rsidR="003C1925">
        <w:rPr>
          <w:rFonts w:ascii="Times New Roman" w:hAnsi="Times New Roman" w:cs="Times New Roman"/>
          <w:color w:val="000000"/>
          <w:sz w:val="24"/>
          <w:szCs w:val="24"/>
        </w:rPr>
        <w:t xml:space="preserve"> supported moving away from </w:t>
      </w:r>
      <w:r w:rsidRPr="0024134B" w:rsidR="00FE1BD1">
        <w:rPr>
          <w:rFonts w:ascii="Times New Roman" w:hAnsi="Times New Roman" w:cs="Times New Roman"/>
          <w:color w:val="000000"/>
          <w:sz w:val="24"/>
          <w:szCs w:val="24"/>
        </w:rPr>
        <w:t>a</w:t>
      </w:r>
      <w:r w:rsidRPr="0024134B" w:rsidR="003C1925">
        <w:rPr>
          <w:rFonts w:ascii="Times New Roman" w:hAnsi="Times New Roman" w:cs="Times New Roman"/>
          <w:color w:val="000000"/>
          <w:sz w:val="24"/>
          <w:szCs w:val="24"/>
        </w:rPr>
        <w:t xml:space="preserve"> </w:t>
      </w:r>
      <w:r w:rsidR="00080792">
        <w:rPr>
          <w:rFonts w:ascii="Times New Roman" w:hAnsi="Times New Roman" w:cs="Times New Roman"/>
          <w:color w:val="000000"/>
          <w:sz w:val="24"/>
          <w:szCs w:val="24"/>
        </w:rPr>
        <w:t>m</w:t>
      </w:r>
      <w:r w:rsidRPr="0024134B" w:rsidR="003C1925">
        <w:rPr>
          <w:rFonts w:ascii="Times New Roman" w:hAnsi="Times New Roman" w:cs="Times New Roman"/>
          <w:color w:val="000000"/>
          <w:sz w:val="24"/>
          <w:szCs w:val="24"/>
        </w:rPr>
        <w:t>ust-</w:t>
      </w:r>
      <w:r w:rsidR="00080792">
        <w:rPr>
          <w:rFonts w:ascii="Times New Roman" w:hAnsi="Times New Roman" w:cs="Times New Roman"/>
          <w:color w:val="000000"/>
          <w:sz w:val="24"/>
          <w:szCs w:val="24"/>
        </w:rPr>
        <w:t>r</w:t>
      </w:r>
      <w:r w:rsidRPr="0024134B" w:rsidR="003C1925">
        <w:rPr>
          <w:rFonts w:ascii="Times New Roman" w:hAnsi="Times New Roman" w:cs="Times New Roman"/>
          <w:color w:val="000000"/>
          <w:sz w:val="24"/>
          <w:szCs w:val="24"/>
        </w:rPr>
        <w:t xml:space="preserve">un commitment strategy. </w:t>
      </w:r>
    </w:p>
    <w:p w:rsidR="00D06F32" w:rsidP="00DC237C" w14:paraId="70984682" w14:textId="77777777">
      <w:pPr>
        <w:spacing w:after="0" w:line="480" w:lineRule="auto"/>
        <w:ind w:firstLine="720"/>
        <w:rPr>
          <w:rFonts w:ascii="Times New Roman" w:hAnsi="Times New Roman" w:cs="Times New Roman"/>
          <w:color w:val="000000"/>
          <w:sz w:val="24"/>
          <w:szCs w:val="24"/>
        </w:rPr>
      </w:pPr>
      <w:r w:rsidRPr="0024134B">
        <w:rPr>
          <w:rFonts w:ascii="Times New Roman" w:hAnsi="Times New Roman" w:cs="Times New Roman"/>
          <w:color w:val="000000"/>
          <w:sz w:val="24"/>
          <w:szCs w:val="24"/>
        </w:rPr>
        <w:t xml:space="preserve">In short, </w:t>
      </w:r>
      <w:r w:rsidRPr="0024134B" w:rsidR="00250D0D">
        <w:rPr>
          <w:rFonts w:ascii="Times New Roman" w:hAnsi="Times New Roman" w:cs="Times New Roman"/>
          <w:color w:val="000000"/>
          <w:sz w:val="24"/>
          <w:szCs w:val="24"/>
        </w:rPr>
        <w:t xml:space="preserve">Duke failed to prudently manage the OVEC plants because </w:t>
      </w:r>
      <w:r w:rsidRPr="0024134B" w:rsidR="00577A10">
        <w:rPr>
          <w:rFonts w:ascii="Times New Roman" w:hAnsi="Times New Roman" w:cs="Times New Roman"/>
          <w:color w:val="000000"/>
          <w:sz w:val="24"/>
          <w:szCs w:val="24"/>
        </w:rPr>
        <w:t>it can</w:t>
      </w:r>
      <w:r w:rsidRPr="0024134B" w:rsidR="00250D0D">
        <w:rPr>
          <w:rFonts w:ascii="Times New Roman" w:hAnsi="Times New Roman" w:cs="Times New Roman"/>
          <w:color w:val="000000"/>
          <w:sz w:val="24"/>
          <w:szCs w:val="24"/>
        </w:rPr>
        <w:t xml:space="preserve"> charge Ohio consumers for OVEC costs under the Price Stabilization Rider. Ohio consumers paid the price for Duke’s and OVEC’s</w:t>
      </w:r>
      <w:r w:rsidRPr="0024134B" w:rsidR="00926917">
        <w:rPr>
          <w:rFonts w:ascii="Times New Roman" w:hAnsi="Times New Roman" w:cs="Times New Roman"/>
          <w:color w:val="000000"/>
          <w:sz w:val="24"/>
          <w:szCs w:val="24"/>
        </w:rPr>
        <w:t xml:space="preserve"> </w:t>
      </w:r>
      <w:r w:rsidRPr="0024134B" w:rsidR="003C1925">
        <w:rPr>
          <w:rFonts w:ascii="Times New Roman" w:hAnsi="Times New Roman" w:cs="Times New Roman"/>
          <w:color w:val="000000"/>
          <w:sz w:val="24"/>
          <w:szCs w:val="24"/>
        </w:rPr>
        <w:t xml:space="preserve">decision </w:t>
      </w:r>
      <w:r w:rsidRPr="0024134B" w:rsidR="00250D0D">
        <w:rPr>
          <w:rFonts w:ascii="Times New Roman" w:hAnsi="Times New Roman" w:cs="Times New Roman"/>
          <w:color w:val="000000"/>
          <w:sz w:val="24"/>
          <w:szCs w:val="24"/>
        </w:rPr>
        <w:t>to</w:t>
      </w:r>
      <w:r w:rsidRPr="0024134B" w:rsidR="003C1925">
        <w:rPr>
          <w:rFonts w:ascii="Times New Roman" w:hAnsi="Times New Roman" w:cs="Times New Roman"/>
          <w:color w:val="000000"/>
          <w:sz w:val="24"/>
          <w:szCs w:val="24"/>
        </w:rPr>
        <w:t xml:space="preserve"> pay </w:t>
      </w:r>
      <w:r w:rsidRPr="0024134B" w:rsidR="00926917">
        <w:rPr>
          <w:rFonts w:ascii="Times New Roman" w:hAnsi="Times New Roman" w:cs="Times New Roman"/>
          <w:color w:val="000000"/>
          <w:sz w:val="24"/>
          <w:szCs w:val="24"/>
        </w:rPr>
        <w:t xml:space="preserve">more for electricity than they otherwise would have paid </w:t>
      </w:r>
      <w:r w:rsidRPr="0024134B" w:rsidR="00250D0D">
        <w:rPr>
          <w:rFonts w:ascii="Times New Roman" w:hAnsi="Times New Roman" w:cs="Times New Roman"/>
          <w:color w:val="000000"/>
          <w:sz w:val="24"/>
          <w:szCs w:val="24"/>
        </w:rPr>
        <w:t xml:space="preserve">if </w:t>
      </w:r>
      <w:r w:rsidRPr="0024134B" w:rsidR="00926917">
        <w:rPr>
          <w:rFonts w:ascii="Times New Roman" w:hAnsi="Times New Roman" w:cs="Times New Roman"/>
          <w:color w:val="000000"/>
          <w:sz w:val="24"/>
          <w:szCs w:val="24"/>
        </w:rPr>
        <w:t>an economic commitment strategy</w:t>
      </w:r>
      <w:r w:rsidRPr="0024134B" w:rsidR="00250D0D">
        <w:rPr>
          <w:rFonts w:ascii="Times New Roman" w:hAnsi="Times New Roman" w:cs="Times New Roman"/>
          <w:color w:val="000000"/>
          <w:sz w:val="24"/>
          <w:szCs w:val="24"/>
        </w:rPr>
        <w:t xml:space="preserve"> was used</w:t>
      </w:r>
      <w:r w:rsidRPr="0024134B" w:rsidR="00926917">
        <w:rPr>
          <w:rFonts w:ascii="Times New Roman" w:hAnsi="Times New Roman" w:cs="Times New Roman"/>
          <w:color w:val="000000"/>
          <w:sz w:val="24"/>
          <w:szCs w:val="24"/>
        </w:rPr>
        <w:t>.</w:t>
      </w:r>
      <w:r>
        <w:rPr>
          <w:rStyle w:val="FootnoteReference"/>
          <w:rFonts w:ascii="Times New Roman" w:hAnsi="Times New Roman" w:cs="Times New Roman"/>
          <w:color w:val="000000"/>
          <w:sz w:val="24"/>
          <w:szCs w:val="24"/>
        </w:rPr>
        <w:footnoteReference w:id="77"/>
      </w:r>
      <w:r w:rsidRPr="0024134B" w:rsidR="006D7498">
        <w:rPr>
          <w:rFonts w:ascii="Times New Roman" w:hAnsi="Times New Roman" w:cs="Times New Roman"/>
          <w:color w:val="000000"/>
          <w:sz w:val="24"/>
          <w:szCs w:val="24"/>
        </w:rPr>
        <w:t xml:space="preserve"> </w:t>
      </w:r>
    </w:p>
    <w:p w:rsidR="00D06F32" w:rsidP="00DC237C" w14:paraId="1CD5E888" w14:textId="77777777">
      <w:pPr>
        <w:spacing w:after="0" w:line="480" w:lineRule="auto"/>
        <w:ind w:firstLine="720"/>
        <w:rPr>
          <w:rFonts w:ascii="Times New Roman" w:hAnsi="Times New Roman" w:cs="Times New Roman"/>
          <w:color w:val="000000"/>
          <w:sz w:val="24"/>
          <w:szCs w:val="24"/>
        </w:rPr>
      </w:pPr>
      <w:r w:rsidRPr="0024134B">
        <w:rPr>
          <w:rFonts w:ascii="Times New Roman" w:hAnsi="Times New Roman" w:cs="Times New Roman"/>
          <w:color w:val="000000"/>
          <w:sz w:val="24"/>
          <w:szCs w:val="24"/>
        </w:rPr>
        <w:t xml:space="preserve">The </w:t>
      </w:r>
      <w:r w:rsidRPr="0024134B" w:rsidR="007E6134">
        <w:rPr>
          <w:rFonts w:ascii="Times New Roman" w:hAnsi="Times New Roman" w:cs="Times New Roman"/>
          <w:color w:val="000000"/>
          <w:sz w:val="24"/>
          <w:szCs w:val="24"/>
        </w:rPr>
        <w:t xml:space="preserve">total cost for </w:t>
      </w:r>
      <w:r w:rsidRPr="0024134B">
        <w:rPr>
          <w:rFonts w:ascii="Times New Roman" w:hAnsi="Times New Roman" w:cs="Times New Roman"/>
          <w:color w:val="000000"/>
          <w:sz w:val="24"/>
          <w:szCs w:val="24"/>
        </w:rPr>
        <w:t xml:space="preserve">electricity produced by the OVEC plants </w:t>
      </w:r>
      <w:r w:rsidRPr="0024134B" w:rsidR="007E6134">
        <w:rPr>
          <w:rFonts w:ascii="Times New Roman" w:hAnsi="Times New Roman" w:cs="Times New Roman"/>
          <w:color w:val="000000"/>
          <w:sz w:val="24"/>
          <w:szCs w:val="24"/>
        </w:rPr>
        <w:t>was</w:t>
      </w:r>
      <w:r w:rsidRPr="0024134B">
        <w:rPr>
          <w:rFonts w:ascii="Times New Roman" w:hAnsi="Times New Roman" w:cs="Times New Roman"/>
          <w:color w:val="000000"/>
          <w:sz w:val="24"/>
          <w:szCs w:val="24"/>
        </w:rPr>
        <w:t xml:space="preserve"> $237</w:t>
      </w:r>
      <w:r w:rsidRPr="0024134B" w:rsidR="007E6134">
        <w:rPr>
          <w:rFonts w:ascii="Times New Roman" w:hAnsi="Times New Roman" w:cs="Times New Roman"/>
          <w:color w:val="000000"/>
          <w:sz w:val="24"/>
          <w:szCs w:val="24"/>
        </w:rPr>
        <w:t xml:space="preserve"> million</w:t>
      </w:r>
      <w:r w:rsidRPr="0024134B">
        <w:rPr>
          <w:rFonts w:ascii="Times New Roman" w:hAnsi="Times New Roman" w:cs="Times New Roman"/>
          <w:color w:val="000000"/>
          <w:sz w:val="24"/>
          <w:szCs w:val="24"/>
        </w:rPr>
        <w:t xml:space="preserve"> above the market price for electricity</w:t>
      </w:r>
      <w:r w:rsidRPr="0024134B" w:rsidR="007E6134">
        <w:rPr>
          <w:rFonts w:ascii="Times New Roman" w:hAnsi="Times New Roman" w:cs="Times New Roman"/>
          <w:color w:val="000000"/>
          <w:sz w:val="24"/>
          <w:szCs w:val="24"/>
        </w:rPr>
        <w:t xml:space="preserve"> in 2019 (of which </w:t>
      </w:r>
      <w:r w:rsidRPr="0024134B" w:rsidR="00AD60A8">
        <w:rPr>
          <w:rFonts w:ascii="Times New Roman" w:hAnsi="Times New Roman" w:cs="Times New Roman"/>
          <w:color w:val="000000"/>
          <w:sz w:val="24"/>
          <w:szCs w:val="24"/>
        </w:rPr>
        <w:t>Duke</w:t>
      </w:r>
      <w:r w:rsidRPr="0024134B" w:rsidR="007E6134">
        <w:rPr>
          <w:rFonts w:ascii="Times New Roman" w:hAnsi="Times New Roman" w:cs="Times New Roman"/>
          <w:color w:val="000000"/>
          <w:sz w:val="24"/>
          <w:szCs w:val="24"/>
        </w:rPr>
        <w:t>’s share was $24.6 million)</w:t>
      </w:r>
      <w:r w:rsidRPr="0024134B">
        <w:rPr>
          <w:rFonts w:ascii="Times New Roman" w:hAnsi="Times New Roman" w:cs="Times New Roman"/>
          <w:color w:val="000000"/>
          <w:sz w:val="24"/>
          <w:szCs w:val="24"/>
        </w:rPr>
        <w:t>.</w:t>
      </w:r>
      <w:r>
        <w:rPr>
          <w:rStyle w:val="FootnoteReference"/>
          <w:rFonts w:ascii="Times New Roman" w:hAnsi="Times New Roman" w:cs="Times New Roman"/>
          <w:color w:val="000000"/>
          <w:sz w:val="24"/>
          <w:szCs w:val="24"/>
        </w:rPr>
        <w:footnoteReference w:id="78"/>
      </w:r>
      <w:r w:rsidRPr="0024134B" w:rsidR="006D7498">
        <w:rPr>
          <w:rFonts w:ascii="Times New Roman" w:hAnsi="Times New Roman" w:cs="Times New Roman"/>
          <w:color w:val="000000"/>
          <w:sz w:val="24"/>
          <w:szCs w:val="24"/>
        </w:rPr>
        <w:t xml:space="preserve"> </w:t>
      </w:r>
      <w:r w:rsidRPr="0024134B" w:rsidR="00AD60A8">
        <w:rPr>
          <w:rFonts w:ascii="Times New Roman" w:hAnsi="Times New Roman" w:cs="Times New Roman"/>
          <w:color w:val="000000"/>
          <w:sz w:val="24"/>
          <w:szCs w:val="24"/>
        </w:rPr>
        <w:t>Duke</w:t>
      </w:r>
      <w:r w:rsidRPr="0024134B" w:rsidR="00B14829">
        <w:rPr>
          <w:rFonts w:ascii="Times New Roman" w:hAnsi="Times New Roman" w:cs="Times New Roman"/>
          <w:color w:val="000000"/>
          <w:sz w:val="24"/>
          <w:szCs w:val="24"/>
        </w:rPr>
        <w:t xml:space="preserve"> pass</w:t>
      </w:r>
      <w:r w:rsidRPr="0024134B" w:rsidR="00500DFD">
        <w:rPr>
          <w:rFonts w:ascii="Times New Roman" w:hAnsi="Times New Roman" w:cs="Times New Roman"/>
          <w:color w:val="000000"/>
          <w:sz w:val="24"/>
          <w:szCs w:val="24"/>
        </w:rPr>
        <w:t xml:space="preserve">ed </w:t>
      </w:r>
      <w:r w:rsidRPr="0024134B">
        <w:rPr>
          <w:rFonts w:ascii="Times New Roman" w:hAnsi="Times New Roman" w:cs="Times New Roman"/>
          <w:color w:val="000000"/>
          <w:sz w:val="24"/>
          <w:szCs w:val="24"/>
        </w:rPr>
        <w:t xml:space="preserve">this </w:t>
      </w:r>
      <w:r w:rsidRPr="0024134B" w:rsidR="00B14829">
        <w:rPr>
          <w:rFonts w:ascii="Times New Roman" w:hAnsi="Times New Roman" w:cs="Times New Roman"/>
          <w:color w:val="000000"/>
          <w:sz w:val="24"/>
          <w:szCs w:val="24"/>
        </w:rPr>
        <w:t>loss</w:t>
      </w:r>
      <w:r w:rsidRPr="0024134B">
        <w:rPr>
          <w:rFonts w:ascii="Times New Roman" w:hAnsi="Times New Roman" w:cs="Times New Roman"/>
          <w:color w:val="000000"/>
          <w:sz w:val="24"/>
          <w:szCs w:val="24"/>
        </w:rPr>
        <w:t xml:space="preserve"> </w:t>
      </w:r>
      <w:r w:rsidRPr="0024134B" w:rsidR="00500DFD">
        <w:rPr>
          <w:rFonts w:ascii="Times New Roman" w:hAnsi="Times New Roman" w:cs="Times New Roman"/>
          <w:color w:val="000000"/>
          <w:sz w:val="24"/>
          <w:szCs w:val="24"/>
        </w:rPr>
        <w:t xml:space="preserve">on </w:t>
      </w:r>
      <w:r w:rsidRPr="0024134B" w:rsidR="00B14829">
        <w:rPr>
          <w:rFonts w:ascii="Times New Roman" w:hAnsi="Times New Roman" w:cs="Times New Roman"/>
          <w:color w:val="000000"/>
          <w:sz w:val="24"/>
          <w:szCs w:val="24"/>
        </w:rPr>
        <w:t xml:space="preserve">to Ohio </w:t>
      </w:r>
      <w:r w:rsidRPr="0024134B" w:rsidR="00500DFD">
        <w:rPr>
          <w:rFonts w:ascii="Times New Roman" w:hAnsi="Times New Roman" w:cs="Times New Roman"/>
          <w:color w:val="000000"/>
          <w:sz w:val="24"/>
          <w:szCs w:val="24"/>
        </w:rPr>
        <w:t>consumers.</w:t>
      </w:r>
      <w:r w:rsidRPr="0024134B" w:rsidR="006D7498">
        <w:rPr>
          <w:rFonts w:ascii="Times New Roman" w:hAnsi="Times New Roman" w:cs="Times New Roman"/>
          <w:color w:val="000000"/>
          <w:sz w:val="24"/>
          <w:szCs w:val="24"/>
        </w:rPr>
        <w:t xml:space="preserve"> </w:t>
      </w:r>
    </w:p>
    <w:p w:rsidR="006A7BCC" w:rsidRPr="0024134B" w:rsidP="00DC237C" w14:paraId="55467442" w14:textId="77777777">
      <w:pPr>
        <w:spacing w:after="0" w:line="480" w:lineRule="auto"/>
        <w:ind w:firstLine="720"/>
        <w:rPr>
          <w:rFonts w:ascii="Times New Roman" w:hAnsi="Times New Roman" w:cs="Times New Roman"/>
          <w:color w:val="000000"/>
          <w:sz w:val="24"/>
          <w:szCs w:val="24"/>
        </w:rPr>
      </w:pPr>
      <w:r w:rsidRPr="0024134B">
        <w:rPr>
          <w:rFonts w:ascii="Times New Roman" w:hAnsi="Times New Roman" w:cs="Times New Roman"/>
          <w:color w:val="000000"/>
          <w:sz w:val="24"/>
          <w:szCs w:val="24"/>
        </w:rPr>
        <w:t>The PUCO should disallow the entire $24</w:t>
      </w:r>
      <w:r w:rsidRPr="0024134B" w:rsidR="007E6134">
        <w:rPr>
          <w:rFonts w:ascii="Times New Roman" w:hAnsi="Times New Roman" w:cs="Times New Roman"/>
          <w:color w:val="000000"/>
          <w:sz w:val="24"/>
          <w:szCs w:val="24"/>
        </w:rPr>
        <w:t>.</w:t>
      </w:r>
      <w:r w:rsidRPr="0024134B">
        <w:rPr>
          <w:rFonts w:ascii="Times New Roman" w:hAnsi="Times New Roman" w:cs="Times New Roman"/>
          <w:color w:val="000000"/>
          <w:sz w:val="24"/>
          <w:szCs w:val="24"/>
        </w:rPr>
        <w:t>6</w:t>
      </w:r>
      <w:r w:rsidRPr="0024134B" w:rsidR="007E6134">
        <w:rPr>
          <w:rFonts w:ascii="Times New Roman" w:hAnsi="Times New Roman" w:cs="Times New Roman"/>
          <w:color w:val="000000"/>
          <w:sz w:val="24"/>
          <w:szCs w:val="24"/>
        </w:rPr>
        <w:t xml:space="preserve"> million</w:t>
      </w:r>
      <w:r w:rsidRPr="0024134B">
        <w:rPr>
          <w:rFonts w:ascii="Times New Roman" w:hAnsi="Times New Roman" w:cs="Times New Roman"/>
          <w:color w:val="000000"/>
          <w:sz w:val="24"/>
          <w:szCs w:val="24"/>
        </w:rPr>
        <w:t xml:space="preserve"> in above-market electricity costs because running the </w:t>
      </w:r>
      <w:r w:rsidRPr="0024134B" w:rsidR="00500DFD">
        <w:rPr>
          <w:rFonts w:ascii="Times New Roman" w:hAnsi="Times New Roman" w:cs="Times New Roman"/>
          <w:color w:val="000000"/>
          <w:sz w:val="24"/>
          <w:szCs w:val="24"/>
        </w:rPr>
        <w:t xml:space="preserve">OVEC </w:t>
      </w:r>
      <w:r w:rsidRPr="0024134B">
        <w:rPr>
          <w:rFonts w:ascii="Times New Roman" w:hAnsi="Times New Roman" w:cs="Times New Roman"/>
          <w:color w:val="000000"/>
          <w:sz w:val="24"/>
          <w:szCs w:val="24"/>
        </w:rPr>
        <w:t xml:space="preserve">plants was not reasonable, not prudent, and not in the </w:t>
      </w:r>
      <w:r w:rsidRPr="0024134B" w:rsidR="00500DFD">
        <w:rPr>
          <w:rFonts w:ascii="Times New Roman" w:hAnsi="Times New Roman" w:cs="Times New Roman"/>
          <w:color w:val="000000"/>
          <w:sz w:val="24"/>
          <w:szCs w:val="24"/>
        </w:rPr>
        <w:t>consumers’</w:t>
      </w:r>
      <w:r w:rsidRPr="0024134B">
        <w:rPr>
          <w:rFonts w:ascii="Times New Roman" w:hAnsi="Times New Roman" w:cs="Times New Roman"/>
          <w:color w:val="000000"/>
          <w:sz w:val="24"/>
          <w:szCs w:val="24"/>
        </w:rPr>
        <w:t xml:space="preserve"> best interests.</w:t>
      </w:r>
      <w:r>
        <w:rPr>
          <w:rStyle w:val="FootnoteReference"/>
          <w:rFonts w:ascii="Times New Roman" w:hAnsi="Times New Roman" w:cs="Times New Roman"/>
          <w:color w:val="000000"/>
          <w:sz w:val="24"/>
          <w:szCs w:val="24"/>
        </w:rPr>
        <w:footnoteReference w:id="79"/>
      </w:r>
      <w:r w:rsidRPr="0024134B" w:rsidR="006D7498">
        <w:rPr>
          <w:rFonts w:ascii="Times New Roman" w:hAnsi="Times New Roman" w:cs="Times New Roman"/>
          <w:color w:val="000000"/>
          <w:sz w:val="24"/>
          <w:szCs w:val="24"/>
        </w:rPr>
        <w:t xml:space="preserve"> </w:t>
      </w:r>
      <w:r w:rsidRPr="0024134B" w:rsidR="003C1925">
        <w:rPr>
          <w:rFonts w:ascii="Times New Roman" w:hAnsi="Times New Roman" w:cs="Times New Roman"/>
          <w:color w:val="000000"/>
          <w:sz w:val="24"/>
          <w:szCs w:val="24"/>
        </w:rPr>
        <w:t>A</w:t>
      </w:r>
      <w:r w:rsidRPr="0024134B" w:rsidR="00500DFD">
        <w:rPr>
          <w:rFonts w:ascii="Times New Roman" w:hAnsi="Times New Roman" w:cs="Times New Roman"/>
          <w:color w:val="000000"/>
          <w:sz w:val="24"/>
          <w:szCs w:val="24"/>
        </w:rPr>
        <w:t xml:space="preserve"> contrary </w:t>
      </w:r>
      <w:r w:rsidR="00D06F32">
        <w:rPr>
          <w:rFonts w:ascii="Times New Roman" w:hAnsi="Times New Roman" w:cs="Times New Roman"/>
          <w:color w:val="000000"/>
          <w:sz w:val="24"/>
          <w:szCs w:val="24"/>
        </w:rPr>
        <w:t xml:space="preserve">PUCO </w:t>
      </w:r>
      <w:r w:rsidRPr="0024134B" w:rsidR="00233DFA">
        <w:rPr>
          <w:rFonts w:ascii="Times New Roman" w:hAnsi="Times New Roman" w:cs="Times New Roman"/>
          <w:color w:val="000000"/>
          <w:sz w:val="24"/>
          <w:szCs w:val="24"/>
        </w:rPr>
        <w:t xml:space="preserve">decision will </w:t>
      </w:r>
      <w:r w:rsidR="00D06F32">
        <w:rPr>
          <w:rFonts w:ascii="Times New Roman" w:hAnsi="Times New Roman" w:cs="Times New Roman"/>
          <w:color w:val="000000"/>
          <w:sz w:val="24"/>
          <w:szCs w:val="24"/>
        </w:rPr>
        <w:t>just add to the undisciplined and anti-consumer behavior of the OVEC owners.</w:t>
      </w:r>
      <w:r>
        <w:rPr>
          <w:rStyle w:val="FootnoteReference"/>
          <w:rFonts w:ascii="Times New Roman" w:hAnsi="Times New Roman" w:cs="Times New Roman"/>
          <w:color w:val="000000"/>
          <w:sz w:val="24"/>
          <w:szCs w:val="24"/>
        </w:rPr>
        <w:footnoteReference w:id="80"/>
      </w:r>
      <w:r w:rsidRPr="0024134B" w:rsidR="006D7498">
        <w:rPr>
          <w:rFonts w:ascii="Times New Roman" w:hAnsi="Times New Roman" w:cs="Times New Roman"/>
          <w:color w:val="000000"/>
          <w:sz w:val="24"/>
          <w:szCs w:val="24"/>
        </w:rPr>
        <w:t xml:space="preserve"> </w:t>
      </w:r>
    </w:p>
    <w:p w:rsidR="00620B06" w:rsidRPr="0024134B" w:rsidP="00092D7A" w14:paraId="0AE6F36D" w14:textId="77777777">
      <w:pPr>
        <w:pStyle w:val="Heading2"/>
        <w:numPr>
          <w:ilvl w:val="0"/>
          <w:numId w:val="0"/>
        </w:numPr>
        <w:ind w:left="720"/>
        <w:rPr>
          <w:rFonts w:cs="Times New Roman"/>
          <w:b w:val="0"/>
        </w:rPr>
      </w:pPr>
      <w:bookmarkStart w:id="47" w:name="_Hlk108014242"/>
      <w:bookmarkStart w:id="48" w:name="_Toc108179594"/>
      <w:bookmarkStart w:id="49" w:name="_Toc109294651"/>
      <w:bookmarkStart w:id="50" w:name="_Toc110004952"/>
      <w:r w:rsidRPr="0024134B">
        <w:rPr>
          <w:rFonts w:cs="Times New Roman"/>
        </w:rPr>
        <w:t>C</w:t>
      </w:r>
      <w:r w:rsidRPr="0024134B" w:rsidR="006A7BCC">
        <w:rPr>
          <w:rFonts w:cs="Times New Roman"/>
        </w:rPr>
        <w:t>.</w:t>
      </w:r>
      <w:r w:rsidRPr="0024134B" w:rsidR="006A7BCC">
        <w:rPr>
          <w:rFonts w:cs="Times New Roman"/>
        </w:rPr>
        <w:tab/>
      </w:r>
      <w:r w:rsidRPr="0024134B">
        <w:rPr>
          <w:rFonts w:cs="Times New Roman"/>
        </w:rPr>
        <w:t xml:space="preserve">The Audit Report </w:t>
      </w:r>
      <w:r w:rsidRPr="0024134B" w:rsidR="007F78CD">
        <w:rPr>
          <w:rFonts w:cs="Times New Roman"/>
        </w:rPr>
        <w:t>d</w:t>
      </w:r>
      <w:r w:rsidRPr="0024134B">
        <w:rPr>
          <w:rFonts w:cs="Times New Roman"/>
        </w:rPr>
        <w:t xml:space="preserve">oes </w:t>
      </w:r>
      <w:r w:rsidRPr="0024134B" w:rsidR="007F78CD">
        <w:rPr>
          <w:rFonts w:cs="Times New Roman"/>
        </w:rPr>
        <w:t>n</w:t>
      </w:r>
      <w:r w:rsidRPr="0024134B">
        <w:rPr>
          <w:rFonts w:cs="Times New Roman"/>
        </w:rPr>
        <w:t xml:space="preserve">ot </w:t>
      </w:r>
      <w:r w:rsidRPr="0024134B" w:rsidR="007F78CD">
        <w:rPr>
          <w:rFonts w:cs="Times New Roman"/>
        </w:rPr>
        <w:t>s</w:t>
      </w:r>
      <w:r w:rsidRPr="0024134B">
        <w:rPr>
          <w:rFonts w:cs="Times New Roman"/>
        </w:rPr>
        <w:t xml:space="preserve">upport a </w:t>
      </w:r>
      <w:r w:rsidRPr="0024134B" w:rsidR="007F78CD">
        <w:rPr>
          <w:rFonts w:cs="Times New Roman"/>
        </w:rPr>
        <w:t>f</w:t>
      </w:r>
      <w:r w:rsidRPr="0024134B">
        <w:rPr>
          <w:rFonts w:cs="Times New Roman"/>
        </w:rPr>
        <w:t xml:space="preserve">inding of </w:t>
      </w:r>
      <w:r w:rsidRPr="0024134B" w:rsidR="007F78CD">
        <w:rPr>
          <w:rFonts w:cs="Times New Roman"/>
        </w:rPr>
        <w:t>p</w:t>
      </w:r>
      <w:r w:rsidRPr="0024134B">
        <w:rPr>
          <w:rFonts w:cs="Times New Roman"/>
        </w:rPr>
        <w:t>rudency</w:t>
      </w:r>
      <w:bookmarkEnd w:id="47"/>
      <w:r w:rsidRPr="0024134B" w:rsidR="007F78CD">
        <w:rPr>
          <w:rFonts w:cs="Times New Roman"/>
          <w:bCs w:val="0"/>
        </w:rPr>
        <w:t>.</w:t>
      </w:r>
      <w:bookmarkEnd w:id="48"/>
      <w:bookmarkEnd w:id="49"/>
      <w:bookmarkEnd w:id="50"/>
    </w:p>
    <w:p w:rsidR="00C86D76" w:rsidP="009E3408" w14:paraId="59156234" w14:textId="77777777">
      <w:pPr>
        <w:spacing w:after="0" w:line="480" w:lineRule="auto"/>
        <w:ind w:firstLine="720"/>
        <w:rPr>
          <w:rFonts w:ascii="Times New Roman" w:hAnsi="Times New Roman" w:cs="Times New Roman"/>
          <w:color w:val="000000"/>
          <w:sz w:val="24"/>
          <w:szCs w:val="24"/>
        </w:rPr>
      </w:pPr>
      <w:r>
        <w:rPr>
          <w:rFonts w:ascii="Times New Roman" w:hAnsi="Times New Roman" w:cs="Times New Roman"/>
          <w:sz w:val="24"/>
          <w:szCs w:val="24"/>
        </w:rPr>
        <w:t>Duke’s operations were to be evaluated according to whether they rose to the level of the PUCO’s prudence standard. But Auditor London instead lowered the prudence standard to accommodate Duke’s operations. In response, the PUCO should hire a different auditor to conduct the audit that the PUCO actually arranged for consumer protection.</w:t>
      </w:r>
    </w:p>
    <w:p w:rsidR="002A23AC" w:rsidRPr="0024134B" w:rsidP="009E3408" w14:paraId="24655B48" w14:textId="77777777">
      <w:pPr>
        <w:spacing w:after="0" w:line="480" w:lineRule="auto"/>
        <w:ind w:firstLine="720"/>
        <w:rPr>
          <w:rFonts w:ascii="Times New Roman" w:hAnsi="Times New Roman" w:cs="Times New Roman"/>
          <w:color w:val="000000"/>
          <w:sz w:val="24"/>
          <w:szCs w:val="24"/>
        </w:rPr>
      </w:pPr>
      <w:r w:rsidRPr="0024134B">
        <w:rPr>
          <w:rFonts w:ascii="Times New Roman" w:hAnsi="Times New Roman" w:cs="Times New Roman"/>
          <w:color w:val="000000"/>
          <w:sz w:val="24"/>
          <w:szCs w:val="24"/>
        </w:rPr>
        <w:t>The Auditor</w:t>
      </w:r>
      <w:r w:rsidR="00B37ECC">
        <w:rPr>
          <w:rFonts w:ascii="Times New Roman" w:hAnsi="Times New Roman" w:cs="Times New Roman"/>
          <w:color w:val="000000"/>
          <w:sz w:val="24"/>
          <w:szCs w:val="24"/>
        </w:rPr>
        <w:t xml:space="preserve"> L</w:t>
      </w:r>
      <w:r w:rsidR="00080792">
        <w:rPr>
          <w:rFonts w:ascii="Times New Roman" w:hAnsi="Times New Roman" w:cs="Times New Roman"/>
          <w:color w:val="000000"/>
          <w:sz w:val="24"/>
          <w:szCs w:val="24"/>
        </w:rPr>
        <w:t>EI</w:t>
      </w:r>
      <w:r w:rsidRPr="0024134B" w:rsidR="00620B06">
        <w:rPr>
          <w:rFonts w:ascii="Times New Roman" w:hAnsi="Times New Roman" w:cs="Times New Roman"/>
          <w:color w:val="000000"/>
          <w:sz w:val="24"/>
          <w:szCs w:val="24"/>
        </w:rPr>
        <w:t xml:space="preserve"> understood it was supposed to “establish the prudency of all the costs and sales flowing through the PSR, and to investigate whether [</w:t>
      </w:r>
      <w:r w:rsidRPr="0024134B" w:rsidR="00AD60A8">
        <w:rPr>
          <w:rFonts w:ascii="Times New Roman" w:hAnsi="Times New Roman" w:cs="Times New Roman"/>
          <w:color w:val="000000"/>
          <w:sz w:val="24"/>
          <w:szCs w:val="24"/>
        </w:rPr>
        <w:t>Duk</w:t>
      </w:r>
      <w:r w:rsidRPr="0024134B" w:rsidR="009E3408">
        <w:rPr>
          <w:rFonts w:ascii="Times New Roman" w:hAnsi="Times New Roman" w:cs="Times New Roman"/>
          <w:color w:val="000000"/>
          <w:sz w:val="24"/>
          <w:szCs w:val="24"/>
        </w:rPr>
        <w:t>e</w:t>
      </w:r>
      <w:r w:rsidRPr="0024134B" w:rsidR="00620B06">
        <w:rPr>
          <w:rFonts w:ascii="Times New Roman" w:hAnsi="Times New Roman" w:cs="Times New Roman"/>
          <w:color w:val="000000"/>
          <w:sz w:val="24"/>
          <w:szCs w:val="24"/>
        </w:rPr>
        <w:t xml:space="preserve">’s] actions were in the best interest of </w:t>
      </w:r>
      <w:r w:rsidRPr="0024134B" w:rsidR="009E3408">
        <w:rPr>
          <w:rFonts w:ascii="Times New Roman" w:hAnsi="Times New Roman" w:cs="Times New Roman"/>
          <w:color w:val="000000"/>
          <w:sz w:val="24"/>
          <w:szCs w:val="24"/>
        </w:rPr>
        <w:t>[consumers].</w:t>
      </w:r>
      <w:r w:rsidRPr="0024134B" w:rsidR="00620B06">
        <w:rPr>
          <w:rFonts w:ascii="Times New Roman" w:hAnsi="Times New Roman" w:cs="Times New Roman"/>
          <w:color w:val="000000"/>
          <w:sz w:val="24"/>
          <w:szCs w:val="24"/>
        </w:rPr>
        <w:t>”</w:t>
      </w:r>
      <w:r>
        <w:rPr>
          <w:rStyle w:val="FootnoteReference"/>
          <w:rFonts w:ascii="Times New Roman" w:hAnsi="Times New Roman" w:cs="Times New Roman"/>
          <w:color w:val="000000"/>
          <w:sz w:val="24"/>
          <w:szCs w:val="24"/>
        </w:rPr>
        <w:footnoteReference w:id="81"/>
      </w:r>
      <w:r w:rsidRPr="0024134B" w:rsidR="006D7498">
        <w:rPr>
          <w:rFonts w:ascii="Times New Roman" w:hAnsi="Times New Roman" w:cs="Times New Roman"/>
          <w:color w:val="000000"/>
          <w:sz w:val="24"/>
          <w:szCs w:val="24"/>
        </w:rPr>
        <w:t xml:space="preserve"> </w:t>
      </w:r>
      <w:r w:rsidRPr="0024134B">
        <w:rPr>
          <w:rFonts w:ascii="Times New Roman" w:hAnsi="Times New Roman" w:cs="Times New Roman"/>
          <w:color w:val="000000"/>
          <w:sz w:val="24"/>
          <w:szCs w:val="24"/>
        </w:rPr>
        <w:t xml:space="preserve">Despite this, </w:t>
      </w:r>
      <w:r w:rsidR="00B37ECC">
        <w:rPr>
          <w:rFonts w:ascii="Times New Roman" w:hAnsi="Times New Roman" w:cs="Times New Roman"/>
          <w:color w:val="000000"/>
          <w:sz w:val="24"/>
          <w:szCs w:val="24"/>
        </w:rPr>
        <w:t>L</w:t>
      </w:r>
      <w:r w:rsidR="00080792">
        <w:rPr>
          <w:rFonts w:ascii="Times New Roman" w:hAnsi="Times New Roman" w:cs="Times New Roman"/>
          <w:color w:val="000000"/>
          <w:sz w:val="24"/>
          <w:szCs w:val="24"/>
        </w:rPr>
        <w:t>EI</w:t>
      </w:r>
      <w:r w:rsidRPr="0024134B" w:rsidR="00620B06">
        <w:rPr>
          <w:rFonts w:ascii="Times New Roman" w:hAnsi="Times New Roman" w:cs="Times New Roman"/>
          <w:color w:val="000000"/>
          <w:sz w:val="24"/>
          <w:szCs w:val="24"/>
        </w:rPr>
        <w:t xml:space="preserve"> did not measure </w:t>
      </w:r>
      <w:r w:rsidRPr="0024134B" w:rsidR="00AD60A8">
        <w:rPr>
          <w:rFonts w:ascii="Times New Roman" w:hAnsi="Times New Roman" w:cs="Times New Roman"/>
          <w:color w:val="000000"/>
          <w:sz w:val="24"/>
          <w:szCs w:val="24"/>
        </w:rPr>
        <w:t>Duke</w:t>
      </w:r>
      <w:r w:rsidRPr="0024134B" w:rsidR="00620B06">
        <w:rPr>
          <w:rFonts w:ascii="Times New Roman" w:hAnsi="Times New Roman" w:cs="Times New Roman"/>
          <w:color w:val="000000"/>
          <w:sz w:val="24"/>
          <w:szCs w:val="24"/>
        </w:rPr>
        <w:t>’s acts or omissions by the yardstick of prudency.</w:t>
      </w:r>
      <w:r w:rsidRPr="0024134B" w:rsidR="006D7498">
        <w:rPr>
          <w:rFonts w:ascii="Times New Roman" w:hAnsi="Times New Roman" w:cs="Times New Roman"/>
          <w:color w:val="000000"/>
          <w:sz w:val="24"/>
          <w:szCs w:val="24"/>
        </w:rPr>
        <w:t xml:space="preserve"> </w:t>
      </w:r>
      <w:r w:rsidRPr="0024134B" w:rsidR="00620B06">
        <w:rPr>
          <w:rFonts w:ascii="Times New Roman" w:hAnsi="Times New Roman" w:cs="Times New Roman"/>
          <w:color w:val="000000"/>
          <w:sz w:val="24"/>
          <w:szCs w:val="24"/>
        </w:rPr>
        <w:t xml:space="preserve">Instead, </w:t>
      </w:r>
      <w:r w:rsidR="00080792">
        <w:rPr>
          <w:rFonts w:ascii="Times New Roman" w:hAnsi="Times New Roman" w:cs="Times New Roman"/>
          <w:color w:val="000000"/>
          <w:sz w:val="24"/>
          <w:szCs w:val="24"/>
        </w:rPr>
        <w:t>LEI</w:t>
      </w:r>
      <w:r w:rsidRPr="0024134B">
        <w:rPr>
          <w:rFonts w:ascii="Times New Roman" w:hAnsi="Times New Roman" w:cs="Times New Roman"/>
          <w:color w:val="000000"/>
          <w:sz w:val="24"/>
          <w:szCs w:val="24"/>
        </w:rPr>
        <w:t xml:space="preserve"> concluded the </w:t>
      </w:r>
      <w:r w:rsidRPr="0024134B" w:rsidR="00620B06">
        <w:rPr>
          <w:rFonts w:ascii="Times New Roman" w:hAnsi="Times New Roman" w:cs="Times New Roman"/>
          <w:color w:val="000000"/>
          <w:sz w:val="24"/>
          <w:szCs w:val="24"/>
        </w:rPr>
        <w:t>following:</w:t>
      </w:r>
    </w:p>
    <w:p w:rsidR="00620B06" w:rsidRPr="0024134B" w:rsidP="00D4198D" w14:paraId="5F6B8C55" w14:textId="77777777">
      <w:pPr>
        <w:spacing w:after="0" w:line="240" w:lineRule="auto"/>
        <w:ind w:left="1440" w:right="1440"/>
        <w:rPr>
          <w:rFonts w:ascii="Times New Roman" w:hAnsi="Times New Roman" w:cs="Times New Roman"/>
          <w:color w:val="000000"/>
          <w:sz w:val="24"/>
          <w:szCs w:val="24"/>
        </w:rPr>
      </w:pPr>
      <w:r w:rsidRPr="0024134B">
        <w:rPr>
          <w:rFonts w:ascii="Times New Roman" w:hAnsi="Times New Roman" w:cs="Times New Roman"/>
          <w:color w:val="000000"/>
          <w:sz w:val="24"/>
          <w:szCs w:val="24"/>
        </w:rPr>
        <w:t>Overall, LEI found that</w:t>
      </w:r>
      <w:r w:rsidRPr="0024134B" w:rsidR="00596E1D">
        <w:rPr>
          <w:rFonts w:ascii="Times New Roman" w:hAnsi="Times New Roman" w:cs="Times New Roman"/>
          <w:color w:val="000000"/>
          <w:sz w:val="24"/>
          <w:szCs w:val="24"/>
        </w:rPr>
        <w:t xml:space="preserve"> [Duke Energy’s]</w:t>
      </w:r>
      <w:r w:rsidRPr="0024134B">
        <w:rPr>
          <w:rFonts w:ascii="Times New Roman" w:hAnsi="Times New Roman" w:cs="Times New Roman"/>
          <w:b/>
          <w:bCs/>
          <w:i/>
          <w:iCs/>
          <w:color w:val="000000"/>
          <w:sz w:val="24"/>
          <w:szCs w:val="24"/>
        </w:rPr>
        <w:t xml:space="preserve"> processes, procedures, and oversight</w:t>
      </w:r>
      <w:r w:rsidRPr="0024134B">
        <w:rPr>
          <w:rFonts w:ascii="Times New Roman" w:hAnsi="Times New Roman" w:cs="Times New Roman"/>
          <w:color w:val="000000"/>
          <w:sz w:val="24"/>
          <w:szCs w:val="24"/>
        </w:rPr>
        <w:t xml:space="preserve"> </w:t>
      </w:r>
      <w:r w:rsidRPr="0024134B">
        <w:rPr>
          <w:rFonts w:ascii="Times New Roman" w:hAnsi="Times New Roman" w:cs="Times New Roman"/>
          <w:b/>
          <w:bCs/>
          <w:i/>
          <w:iCs/>
          <w:color w:val="000000"/>
          <w:sz w:val="24"/>
          <w:szCs w:val="24"/>
        </w:rPr>
        <w:t xml:space="preserve">were mostly adequate </w:t>
      </w:r>
      <w:r w:rsidRPr="0024134B">
        <w:rPr>
          <w:rFonts w:ascii="Times New Roman" w:hAnsi="Times New Roman" w:cs="Times New Roman"/>
          <w:color w:val="000000"/>
          <w:sz w:val="24"/>
          <w:szCs w:val="24"/>
        </w:rPr>
        <w:t>and consistent with good utility practice, given that the ICPA is in place and customers will be charged for the cost of the plants until at least May 2024</w:t>
      </w:r>
      <w:r w:rsidRPr="0024134B" w:rsidR="00831DF1">
        <w:rPr>
          <w:rFonts w:ascii="Times New Roman" w:hAnsi="Times New Roman" w:cs="Times New Roman"/>
          <w:color w:val="000000"/>
          <w:sz w:val="24"/>
          <w:szCs w:val="24"/>
        </w:rPr>
        <w:t xml:space="preserve"> </w:t>
      </w:r>
      <w:r w:rsidRPr="0024134B">
        <w:rPr>
          <w:rFonts w:ascii="Times New Roman" w:hAnsi="Times New Roman" w:cs="Times New Roman"/>
          <w:color w:val="000000"/>
          <w:sz w:val="24"/>
          <w:szCs w:val="24"/>
        </w:rPr>
        <w:t>* * * [T]he OVEC plants cost customers more than the cost of energy and capacity that could be bought on the PJM wholesale markets.</w:t>
      </w:r>
      <w:r>
        <w:rPr>
          <w:rStyle w:val="FootnoteReference"/>
          <w:rFonts w:ascii="Times New Roman" w:hAnsi="Times New Roman" w:cs="Times New Roman"/>
          <w:color w:val="000000"/>
          <w:sz w:val="24"/>
          <w:szCs w:val="24"/>
        </w:rPr>
        <w:footnoteReference w:id="82"/>
      </w:r>
    </w:p>
    <w:p w:rsidR="00620B06" w:rsidRPr="0024134B" w:rsidP="009A7A18" w14:paraId="3BF3750B" w14:textId="77777777">
      <w:pPr>
        <w:spacing w:after="0" w:line="276" w:lineRule="auto"/>
        <w:ind w:right="720"/>
        <w:rPr>
          <w:rFonts w:ascii="Times New Roman" w:hAnsi="Times New Roman" w:cs="Times New Roman"/>
          <w:color w:val="000000"/>
          <w:sz w:val="24"/>
          <w:szCs w:val="24"/>
        </w:rPr>
      </w:pPr>
    </w:p>
    <w:p w:rsidR="0063256C" w:rsidP="009E3408" w14:paraId="05DDEA83" w14:textId="77777777">
      <w:pPr>
        <w:spacing w:after="0" w:line="480" w:lineRule="auto"/>
        <w:ind w:firstLine="720"/>
        <w:rPr>
          <w:rFonts w:ascii="Times New Roman" w:hAnsi="Times New Roman" w:cs="Times New Roman"/>
          <w:color w:val="000000"/>
          <w:sz w:val="24"/>
          <w:szCs w:val="24"/>
        </w:rPr>
      </w:pPr>
      <w:r w:rsidRPr="0024134B">
        <w:rPr>
          <w:rFonts w:ascii="Times New Roman" w:hAnsi="Times New Roman" w:cs="Times New Roman"/>
          <w:color w:val="000000"/>
          <w:sz w:val="24"/>
          <w:szCs w:val="24"/>
        </w:rPr>
        <w:t>For reasons n</w:t>
      </w:r>
      <w:r w:rsidRPr="0024134B" w:rsidR="003C1925">
        <w:rPr>
          <w:rFonts w:ascii="Times New Roman" w:hAnsi="Times New Roman" w:cs="Times New Roman"/>
          <w:color w:val="000000"/>
          <w:sz w:val="24"/>
          <w:szCs w:val="24"/>
        </w:rPr>
        <w:t>ever</w:t>
      </w:r>
      <w:r w:rsidRPr="0024134B">
        <w:rPr>
          <w:rFonts w:ascii="Times New Roman" w:hAnsi="Times New Roman" w:cs="Times New Roman"/>
          <w:color w:val="000000"/>
          <w:sz w:val="24"/>
          <w:szCs w:val="24"/>
        </w:rPr>
        <w:t xml:space="preserve"> discussed, </w:t>
      </w:r>
      <w:r w:rsidRPr="0024134B" w:rsidR="007A1DF2">
        <w:rPr>
          <w:rFonts w:ascii="Times New Roman" w:hAnsi="Times New Roman" w:cs="Times New Roman"/>
          <w:color w:val="000000"/>
          <w:sz w:val="24"/>
          <w:szCs w:val="24"/>
        </w:rPr>
        <w:t>Auditor</w:t>
      </w:r>
      <w:r w:rsidR="00B37ECC">
        <w:rPr>
          <w:rFonts w:ascii="Times New Roman" w:hAnsi="Times New Roman" w:cs="Times New Roman"/>
          <w:color w:val="000000"/>
          <w:sz w:val="24"/>
          <w:szCs w:val="24"/>
        </w:rPr>
        <w:t xml:space="preserve"> L</w:t>
      </w:r>
      <w:r w:rsidR="00080792">
        <w:rPr>
          <w:rFonts w:ascii="Times New Roman" w:hAnsi="Times New Roman" w:cs="Times New Roman"/>
          <w:color w:val="000000"/>
          <w:sz w:val="24"/>
          <w:szCs w:val="24"/>
        </w:rPr>
        <w:t>EI</w:t>
      </w:r>
      <w:r w:rsidRPr="0024134B">
        <w:rPr>
          <w:rFonts w:ascii="Times New Roman" w:hAnsi="Times New Roman" w:cs="Times New Roman"/>
          <w:color w:val="000000"/>
          <w:sz w:val="24"/>
          <w:szCs w:val="24"/>
        </w:rPr>
        <w:t xml:space="preserve"> gave </w:t>
      </w:r>
      <w:r w:rsidRPr="0024134B" w:rsidR="00AD60A8">
        <w:rPr>
          <w:rFonts w:ascii="Times New Roman" w:hAnsi="Times New Roman" w:cs="Times New Roman"/>
          <w:color w:val="000000"/>
          <w:sz w:val="24"/>
          <w:szCs w:val="24"/>
        </w:rPr>
        <w:t>Duk</w:t>
      </w:r>
      <w:r w:rsidRPr="0024134B" w:rsidR="009E3408">
        <w:rPr>
          <w:rFonts w:ascii="Times New Roman" w:hAnsi="Times New Roman" w:cs="Times New Roman"/>
          <w:color w:val="000000"/>
          <w:sz w:val="24"/>
          <w:szCs w:val="24"/>
        </w:rPr>
        <w:t>e</w:t>
      </w:r>
      <w:r w:rsidRPr="0024134B">
        <w:rPr>
          <w:rFonts w:ascii="Times New Roman" w:hAnsi="Times New Roman" w:cs="Times New Roman"/>
          <w:color w:val="000000"/>
          <w:sz w:val="24"/>
          <w:szCs w:val="24"/>
        </w:rPr>
        <w:t xml:space="preserve"> the benefit of the doubt by considering prudency “as a continuum</w:t>
      </w:r>
      <w:r w:rsidRPr="0024134B" w:rsidR="009E3408">
        <w:rPr>
          <w:rFonts w:ascii="Times New Roman" w:hAnsi="Times New Roman" w:cs="Times New Roman"/>
          <w:color w:val="000000"/>
          <w:sz w:val="24"/>
          <w:szCs w:val="24"/>
        </w:rPr>
        <w:t>,</w:t>
      </w:r>
      <w:r w:rsidRPr="0024134B">
        <w:rPr>
          <w:rFonts w:ascii="Times New Roman" w:hAnsi="Times New Roman" w:cs="Times New Roman"/>
          <w:color w:val="000000"/>
          <w:sz w:val="24"/>
          <w:szCs w:val="24"/>
        </w:rPr>
        <w:t>”</w:t>
      </w:r>
      <w:r>
        <w:rPr>
          <w:rStyle w:val="FootnoteReference"/>
          <w:rFonts w:ascii="Times New Roman" w:hAnsi="Times New Roman" w:cs="Times New Roman"/>
          <w:color w:val="000000"/>
          <w:sz w:val="24"/>
          <w:szCs w:val="24"/>
        </w:rPr>
        <w:footnoteReference w:id="83"/>
      </w:r>
      <w:r w:rsidRPr="0024134B">
        <w:rPr>
          <w:rFonts w:ascii="Times New Roman" w:hAnsi="Times New Roman" w:cs="Times New Roman"/>
          <w:color w:val="000000"/>
          <w:sz w:val="24"/>
          <w:szCs w:val="24"/>
        </w:rPr>
        <w:t xml:space="preserve"> a sliding scale, so to speak, with </w:t>
      </w:r>
      <w:r w:rsidRPr="0024134B" w:rsidR="007E6134">
        <w:rPr>
          <w:rFonts w:ascii="Times New Roman" w:hAnsi="Times New Roman" w:cs="Times New Roman"/>
          <w:color w:val="000000"/>
          <w:sz w:val="24"/>
          <w:szCs w:val="24"/>
        </w:rPr>
        <w:t xml:space="preserve">large </w:t>
      </w:r>
      <w:r w:rsidRPr="0024134B">
        <w:rPr>
          <w:rFonts w:ascii="Times New Roman" w:hAnsi="Times New Roman" w:cs="Times New Roman"/>
          <w:color w:val="000000"/>
          <w:sz w:val="24"/>
          <w:szCs w:val="24"/>
        </w:rPr>
        <w:t>areas of gray to hide in.</w:t>
      </w:r>
      <w:r w:rsidRPr="0024134B" w:rsidR="00902AFF">
        <w:rPr>
          <w:rFonts w:ascii="Times New Roman" w:hAnsi="Times New Roman" w:cs="Times New Roman"/>
          <w:color w:val="000000"/>
          <w:sz w:val="24"/>
          <w:szCs w:val="24"/>
        </w:rPr>
        <w:t xml:space="preserve"> </w:t>
      </w:r>
      <w:r w:rsidRPr="0024134B">
        <w:rPr>
          <w:rFonts w:ascii="Times New Roman" w:hAnsi="Times New Roman" w:cs="Times New Roman"/>
          <w:color w:val="000000"/>
          <w:sz w:val="24"/>
          <w:szCs w:val="24"/>
        </w:rPr>
        <w:t xml:space="preserve">According to </w:t>
      </w:r>
      <w:r w:rsidRPr="0024134B" w:rsidR="007A1DF2">
        <w:rPr>
          <w:rFonts w:ascii="Times New Roman" w:hAnsi="Times New Roman" w:cs="Times New Roman"/>
          <w:color w:val="000000"/>
          <w:sz w:val="24"/>
          <w:szCs w:val="24"/>
        </w:rPr>
        <w:t>Auditor</w:t>
      </w:r>
      <w:r w:rsidR="00B37ECC">
        <w:rPr>
          <w:rFonts w:ascii="Times New Roman" w:hAnsi="Times New Roman" w:cs="Times New Roman"/>
          <w:color w:val="000000"/>
          <w:sz w:val="24"/>
          <w:szCs w:val="24"/>
        </w:rPr>
        <w:t xml:space="preserve"> L</w:t>
      </w:r>
      <w:r w:rsidR="00080792">
        <w:rPr>
          <w:rFonts w:ascii="Times New Roman" w:hAnsi="Times New Roman" w:cs="Times New Roman"/>
          <w:color w:val="000000"/>
          <w:sz w:val="24"/>
          <w:szCs w:val="24"/>
        </w:rPr>
        <w:t>EI</w:t>
      </w:r>
      <w:r w:rsidRPr="0024134B">
        <w:rPr>
          <w:rFonts w:ascii="Times New Roman" w:hAnsi="Times New Roman" w:cs="Times New Roman"/>
          <w:color w:val="000000"/>
          <w:sz w:val="24"/>
          <w:szCs w:val="24"/>
        </w:rPr>
        <w:t xml:space="preserve">, in 2019 OVEC power cost </w:t>
      </w:r>
      <w:r w:rsidRPr="0024134B" w:rsidR="007E6134">
        <w:rPr>
          <w:rFonts w:ascii="Times New Roman" w:hAnsi="Times New Roman" w:cs="Times New Roman"/>
          <w:color w:val="000000"/>
          <w:sz w:val="24"/>
          <w:szCs w:val="24"/>
        </w:rPr>
        <w:t>consumers</w:t>
      </w:r>
      <w:r w:rsidRPr="0024134B">
        <w:rPr>
          <w:rFonts w:ascii="Times New Roman" w:hAnsi="Times New Roman" w:cs="Times New Roman"/>
          <w:color w:val="000000"/>
          <w:sz w:val="24"/>
          <w:szCs w:val="24"/>
        </w:rPr>
        <w:t xml:space="preserve"> about $25/MWh more than energy and capacity purchased in the PJM market</w:t>
      </w:r>
      <w:r>
        <w:rPr>
          <w:rFonts w:ascii="Times New Roman" w:hAnsi="Times New Roman" w:cs="Times New Roman"/>
          <w:color w:val="000000"/>
          <w:sz w:val="24"/>
          <w:szCs w:val="24"/>
        </w:rPr>
        <w:t>!</w:t>
      </w:r>
      <w:r>
        <w:rPr>
          <w:rStyle w:val="FootnoteReference"/>
          <w:rFonts w:ascii="Times New Roman" w:hAnsi="Times New Roman" w:cs="Times New Roman"/>
          <w:color w:val="000000"/>
          <w:sz w:val="24"/>
          <w:szCs w:val="24"/>
        </w:rPr>
        <w:footnoteReference w:id="84"/>
      </w:r>
      <w:r w:rsidRPr="0024134B" w:rsidR="006D7498">
        <w:rPr>
          <w:rFonts w:ascii="Times New Roman" w:hAnsi="Times New Roman" w:cs="Times New Roman"/>
          <w:color w:val="000000"/>
          <w:sz w:val="24"/>
          <w:szCs w:val="24"/>
        </w:rPr>
        <w:t xml:space="preserve"> </w:t>
      </w:r>
      <w:bookmarkStart w:id="53" w:name="_Hlk108080055"/>
      <w:bookmarkStart w:id="54" w:name="_Hlk108012330"/>
    </w:p>
    <w:p w:rsidR="00620B06" w:rsidRPr="0024134B" w:rsidP="009E3408" w14:paraId="2D7A49F4" w14:textId="77777777">
      <w:pPr>
        <w:spacing w:after="0" w:line="480" w:lineRule="auto"/>
        <w:ind w:firstLine="720"/>
        <w:rPr>
          <w:rFonts w:ascii="Times New Roman" w:hAnsi="Times New Roman" w:cs="Times New Roman"/>
          <w:color w:val="000000"/>
          <w:sz w:val="24"/>
          <w:szCs w:val="24"/>
        </w:rPr>
      </w:pPr>
      <w:r w:rsidRPr="0024134B">
        <w:rPr>
          <w:rFonts w:ascii="Times New Roman" w:hAnsi="Times New Roman" w:cs="Times New Roman"/>
          <w:color w:val="000000"/>
          <w:sz w:val="24"/>
          <w:szCs w:val="24"/>
        </w:rPr>
        <w:t xml:space="preserve">For </w:t>
      </w:r>
      <w:r w:rsidRPr="0024134B" w:rsidR="00AD60A8">
        <w:rPr>
          <w:rFonts w:ascii="Times New Roman" w:hAnsi="Times New Roman" w:cs="Times New Roman"/>
          <w:color w:val="000000"/>
          <w:sz w:val="24"/>
          <w:szCs w:val="24"/>
        </w:rPr>
        <w:t>Duke</w:t>
      </w:r>
      <w:r w:rsidRPr="0024134B">
        <w:rPr>
          <w:rFonts w:ascii="Times New Roman" w:hAnsi="Times New Roman" w:cs="Times New Roman"/>
          <w:color w:val="000000"/>
          <w:sz w:val="24"/>
          <w:szCs w:val="24"/>
        </w:rPr>
        <w:t xml:space="preserve">’s Ohio </w:t>
      </w:r>
      <w:r w:rsidRPr="0024134B" w:rsidR="007E6134">
        <w:rPr>
          <w:rFonts w:ascii="Times New Roman" w:hAnsi="Times New Roman" w:cs="Times New Roman"/>
          <w:color w:val="000000"/>
          <w:sz w:val="24"/>
          <w:szCs w:val="24"/>
        </w:rPr>
        <w:t>consumers</w:t>
      </w:r>
      <w:r w:rsidRPr="0024134B">
        <w:rPr>
          <w:rFonts w:ascii="Times New Roman" w:hAnsi="Times New Roman" w:cs="Times New Roman"/>
          <w:color w:val="000000"/>
          <w:sz w:val="24"/>
          <w:szCs w:val="24"/>
        </w:rPr>
        <w:t>, this translated into $24</w:t>
      </w:r>
      <w:r w:rsidR="00011166">
        <w:rPr>
          <w:rFonts w:ascii="Times New Roman" w:hAnsi="Times New Roman" w:cs="Times New Roman"/>
          <w:color w:val="000000"/>
          <w:sz w:val="24"/>
          <w:szCs w:val="24"/>
        </w:rPr>
        <w:t>.</w:t>
      </w:r>
      <w:r w:rsidRPr="0024134B">
        <w:rPr>
          <w:rFonts w:ascii="Times New Roman" w:hAnsi="Times New Roman" w:cs="Times New Roman"/>
          <w:color w:val="000000"/>
          <w:sz w:val="24"/>
          <w:szCs w:val="24"/>
        </w:rPr>
        <w:t>6</w:t>
      </w:r>
      <w:r w:rsidR="0063256C">
        <w:rPr>
          <w:rFonts w:ascii="Times New Roman" w:hAnsi="Times New Roman" w:cs="Times New Roman"/>
          <w:color w:val="000000"/>
          <w:sz w:val="24"/>
          <w:szCs w:val="24"/>
        </w:rPr>
        <w:t xml:space="preserve"> million </w:t>
      </w:r>
      <w:r w:rsidRPr="0024134B">
        <w:rPr>
          <w:rFonts w:ascii="Times New Roman" w:hAnsi="Times New Roman" w:cs="Times New Roman"/>
          <w:color w:val="000000"/>
          <w:sz w:val="24"/>
          <w:szCs w:val="24"/>
        </w:rPr>
        <w:t>in additional (but unnecessary) energy costs</w:t>
      </w:r>
      <w:bookmarkEnd w:id="53"/>
      <w:r w:rsidRPr="0024134B">
        <w:rPr>
          <w:rFonts w:ascii="Times New Roman" w:hAnsi="Times New Roman" w:cs="Times New Roman"/>
          <w:color w:val="000000"/>
          <w:sz w:val="24"/>
          <w:szCs w:val="24"/>
        </w:rPr>
        <w:t>.</w:t>
      </w:r>
      <w:r>
        <w:rPr>
          <w:rStyle w:val="FootnoteReference"/>
          <w:rFonts w:ascii="Times New Roman" w:hAnsi="Times New Roman" w:cs="Times New Roman"/>
          <w:color w:val="000000"/>
          <w:sz w:val="24"/>
          <w:szCs w:val="24"/>
        </w:rPr>
        <w:footnoteReference w:id="85"/>
      </w:r>
      <w:r w:rsidRPr="0024134B" w:rsidR="006D7498">
        <w:rPr>
          <w:rFonts w:ascii="Times New Roman" w:hAnsi="Times New Roman" w:cs="Times New Roman"/>
          <w:color w:val="000000"/>
          <w:sz w:val="24"/>
          <w:szCs w:val="24"/>
        </w:rPr>
        <w:t xml:space="preserve"> </w:t>
      </w:r>
      <w:r w:rsidRPr="0024134B" w:rsidR="00A01D6C">
        <w:rPr>
          <w:rFonts w:ascii="Times New Roman" w:hAnsi="Times New Roman" w:cs="Times New Roman"/>
          <w:color w:val="000000"/>
          <w:sz w:val="24"/>
          <w:szCs w:val="24"/>
        </w:rPr>
        <w:t>Although</w:t>
      </w:r>
      <w:r w:rsidR="00980214">
        <w:rPr>
          <w:rFonts w:ascii="Times New Roman" w:hAnsi="Times New Roman" w:cs="Times New Roman"/>
          <w:color w:val="000000"/>
          <w:sz w:val="24"/>
          <w:szCs w:val="24"/>
        </w:rPr>
        <w:t xml:space="preserve"> </w:t>
      </w:r>
      <w:r w:rsidRPr="0024134B" w:rsidR="007A1DF2">
        <w:rPr>
          <w:rFonts w:ascii="Times New Roman" w:hAnsi="Times New Roman" w:cs="Times New Roman"/>
          <w:color w:val="000000"/>
          <w:sz w:val="24"/>
          <w:szCs w:val="24"/>
        </w:rPr>
        <w:t>Auditor</w:t>
      </w:r>
      <w:r w:rsidR="0063256C">
        <w:rPr>
          <w:rFonts w:ascii="Times New Roman" w:hAnsi="Times New Roman" w:cs="Times New Roman"/>
          <w:color w:val="000000"/>
          <w:sz w:val="24"/>
          <w:szCs w:val="24"/>
        </w:rPr>
        <w:t xml:space="preserve"> L</w:t>
      </w:r>
      <w:r w:rsidR="00080792">
        <w:rPr>
          <w:rFonts w:ascii="Times New Roman" w:hAnsi="Times New Roman" w:cs="Times New Roman"/>
          <w:color w:val="000000"/>
          <w:sz w:val="24"/>
          <w:szCs w:val="24"/>
        </w:rPr>
        <w:t>EI</w:t>
      </w:r>
      <w:r w:rsidRPr="0024134B" w:rsidR="00A01D6C">
        <w:rPr>
          <w:rFonts w:ascii="Times New Roman" w:hAnsi="Times New Roman" w:cs="Times New Roman"/>
          <w:color w:val="000000"/>
          <w:sz w:val="24"/>
          <w:szCs w:val="24"/>
        </w:rPr>
        <w:t xml:space="preserve"> found that </w:t>
      </w:r>
      <w:r w:rsidRPr="0024134B" w:rsidR="00AD60A8">
        <w:rPr>
          <w:rFonts w:ascii="Times New Roman" w:hAnsi="Times New Roman" w:cs="Times New Roman"/>
          <w:color w:val="000000"/>
          <w:sz w:val="24"/>
          <w:szCs w:val="24"/>
        </w:rPr>
        <w:t>Duke</w:t>
      </w:r>
      <w:r w:rsidRPr="0024134B" w:rsidR="00A01D6C">
        <w:rPr>
          <w:rFonts w:ascii="Times New Roman" w:hAnsi="Times New Roman" w:cs="Times New Roman"/>
          <w:color w:val="000000"/>
          <w:sz w:val="24"/>
          <w:szCs w:val="24"/>
        </w:rPr>
        <w:t xml:space="preserve">’s and OVEC’s practices were “mostly” adequate, </w:t>
      </w:r>
      <w:r w:rsidRPr="0024134B" w:rsidR="00AD60A8">
        <w:rPr>
          <w:rFonts w:ascii="Times New Roman" w:hAnsi="Times New Roman" w:cs="Times New Roman"/>
          <w:color w:val="000000"/>
          <w:sz w:val="24"/>
          <w:szCs w:val="24"/>
        </w:rPr>
        <w:t>Duke</w:t>
      </w:r>
      <w:r w:rsidRPr="0024134B" w:rsidR="00370FFF">
        <w:rPr>
          <w:rFonts w:ascii="Times New Roman" w:hAnsi="Times New Roman" w:cs="Times New Roman"/>
          <w:color w:val="000000"/>
          <w:sz w:val="24"/>
          <w:szCs w:val="24"/>
        </w:rPr>
        <w:t xml:space="preserve"> </w:t>
      </w:r>
      <w:r w:rsidRPr="0024134B" w:rsidR="00A01D6C">
        <w:rPr>
          <w:rFonts w:ascii="Times New Roman" w:hAnsi="Times New Roman" w:cs="Times New Roman"/>
          <w:color w:val="000000"/>
          <w:sz w:val="24"/>
          <w:szCs w:val="24"/>
        </w:rPr>
        <w:t>acted imprudently by not following profit-and-loss reports and not taking action to stem the bleeding from OVEC’s massive losses.</w:t>
      </w:r>
    </w:p>
    <w:bookmarkEnd w:id="54"/>
    <w:p w:rsidR="0063256C" w:rsidP="00370FFF" w14:paraId="4773EF7B" w14:textId="77777777">
      <w:pPr>
        <w:spacing w:after="0" w:line="480" w:lineRule="auto"/>
        <w:ind w:firstLine="720"/>
        <w:rPr>
          <w:rFonts w:ascii="Times New Roman" w:hAnsi="Times New Roman" w:cs="Times New Roman"/>
          <w:color w:val="000000"/>
          <w:sz w:val="24"/>
          <w:szCs w:val="24"/>
        </w:rPr>
      </w:pPr>
      <w:r w:rsidRPr="0024134B">
        <w:rPr>
          <w:rFonts w:ascii="Times New Roman" w:hAnsi="Times New Roman" w:cs="Times New Roman"/>
          <w:color w:val="000000"/>
          <w:sz w:val="24"/>
          <w:szCs w:val="24"/>
        </w:rPr>
        <w:t>Auditor</w:t>
      </w:r>
      <w:r>
        <w:rPr>
          <w:rFonts w:ascii="Times New Roman" w:hAnsi="Times New Roman" w:cs="Times New Roman"/>
          <w:color w:val="000000"/>
          <w:sz w:val="24"/>
          <w:szCs w:val="24"/>
        </w:rPr>
        <w:t xml:space="preserve"> L</w:t>
      </w:r>
      <w:r w:rsidR="00080792">
        <w:rPr>
          <w:rFonts w:ascii="Times New Roman" w:hAnsi="Times New Roman" w:cs="Times New Roman"/>
          <w:color w:val="000000"/>
          <w:sz w:val="24"/>
          <w:szCs w:val="24"/>
        </w:rPr>
        <w:t>EI</w:t>
      </w:r>
      <w:r w:rsidRPr="0024134B" w:rsidR="00620B06">
        <w:rPr>
          <w:rFonts w:ascii="Times New Roman" w:hAnsi="Times New Roman" w:cs="Times New Roman"/>
          <w:color w:val="000000"/>
          <w:sz w:val="24"/>
          <w:szCs w:val="24"/>
        </w:rPr>
        <w:t xml:space="preserve"> acknowledged the practice of self-committing coal plants has been under discussion among stakeholders in the United States because “self-commitment of coal-fired power plants is costing consumers millions of dollars annually across wholesale power markets</w:t>
      </w:r>
      <w:r w:rsidRPr="0024134B">
        <w:rPr>
          <w:rFonts w:ascii="Times New Roman" w:hAnsi="Times New Roman" w:cs="Times New Roman"/>
          <w:color w:val="000000"/>
          <w:sz w:val="24"/>
          <w:szCs w:val="24"/>
        </w:rPr>
        <w:t>.</w:t>
      </w:r>
      <w:r w:rsidRPr="0024134B" w:rsidR="00620B06">
        <w:rPr>
          <w:rFonts w:ascii="Times New Roman" w:hAnsi="Times New Roman" w:cs="Times New Roman"/>
          <w:color w:val="000000"/>
          <w:sz w:val="24"/>
          <w:szCs w:val="24"/>
        </w:rPr>
        <w:t>”</w:t>
      </w:r>
      <w:r>
        <w:rPr>
          <w:rStyle w:val="FootnoteReference"/>
          <w:rFonts w:ascii="Times New Roman" w:hAnsi="Times New Roman" w:cs="Times New Roman"/>
          <w:color w:val="000000"/>
          <w:sz w:val="24"/>
          <w:szCs w:val="24"/>
        </w:rPr>
        <w:footnoteReference w:id="86"/>
      </w:r>
      <w:r w:rsidRPr="0024134B" w:rsidR="00902AFF">
        <w:rPr>
          <w:rFonts w:ascii="Times New Roman" w:hAnsi="Times New Roman" w:cs="Times New Roman"/>
          <w:color w:val="000000"/>
          <w:sz w:val="24"/>
          <w:szCs w:val="24"/>
        </w:rPr>
        <w:t xml:space="preserve"> </w:t>
      </w:r>
      <w:r w:rsidRPr="0024134B" w:rsidR="00596E1D">
        <w:rPr>
          <w:rFonts w:ascii="Times New Roman" w:hAnsi="Times New Roman" w:cs="Times New Roman"/>
          <w:color w:val="000000"/>
          <w:sz w:val="24"/>
          <w:szCs w:val="24"/>
        </w:rPr>
        <w:t xml:space="preserve">Nevertheless, </w:t>
      </w:r>
      <w:r w:rsidRPr="0024134B" w:rsidR="00430E02">
        <w:rPr>
          <w:rFonts w:ascii="Times New Roman" w:hAnsi="Times New Roman" w:cs="Times New Roman"/>
          <w:color w:val="000000"/>
          <w:sz w:val="24"/>
          <w:szCs w:val="24"/>
        </w:rPr>
        <w:t>the Auditor</w:t>
      </w:r>
      <w:r w:rsidRPr="0024134B" w:rsidR="00596E1D">
        <w:rPr>
          <w:rFonts w:ascii="Times New Roman" w:hAnsi="Times New Roman" w:cs="Times New Roman"/>
          <w:color w:val="000000"/>
          <w:sz w:val="24"/>
          <w:szCs w:val="24"/>
        </w:rPr>
        <w:t xml:space="preserve"> found </w:t>
      </w:r>
      <w:r w:rsidRPr="0024134B" w:rsidR="00430E02">
        <w:rPr>
          <w:rFonts w:ascii="Times New Roman" w:hAnsi="Times New Roman" w:cs="Times New Roman"/>
          <w:color w:val="000000"/>
          <w:sz w:val="24"/>
          <w:szCs w:val="24"/>
        </w:rPr>
        <w:t>Duke’s acts</w:t>
      </w:r>
      <w:r w:rsidRPr="0024134B" w:rsidR="00596E1D">
        <w:rPr>
          <w:rFonts w:ascii="Times New Roman" w:hAnsi="Times New Roman" w:cs="Times New Roman"/>
          <w:color w:val="000000"/>
          <w:sz w:val="24"/>
          <w:szCs w:val="24"/>
        </w:rPr>
        <w:t xml:space="preserve"> “mostly adequate</w:t>
      </w:r>
      <w:r w:rsidR="008332DC">
        <w:rPr>
          <w:rFonts w:ascii="Times New Roman" w:hAnsi="Times New Roman" w:cs="Times New Roman"/>
          <w:color w:val="000000"/>
          <w:sz w:val="24"/>
          <w:szCs w:val="24"/>
        </w:rPr>
        <w:t>.</w:t>
      </w:r>
      <w:r w:rsidRPr="0024134B" w:rsidR="00596E1D">
        <w:rPr>
          <w:rFonts w:ascii="Times New Roman" w:hAnsi="Times New Roman" w:cs="Times New Roman"/>
          <w:color w:val="000000"/>
          <w:sz w:val="24"/>
          <w:szCs w:val="24"/>
        </w:rPr>
        <w:t xml:space="preserve">” </w:t>
      </w:r>
    </w:p>
    <w:p w:rsidR="00620B06" w:rsidRPr="0024134B" w:rsidP="00370FFF" w14:paraId="45B7135B" w14:textId="77777777">
      <w:pPr>
        <w:spacing w:after="0" w:line="480" w:lineRule="auto"/>
        <w:ind w:firstLine="720"/>
        <w:rPr>
          <w:rFonts w:ascii="Times New Roman" w:hAnsi="Times New Roman" w:cs="Times New Roman"/>
          <w:color w:val="000000"/>
          <w:sz w:val="24"/>
          <w:szCs w:val="24"/>
        </w:rPr>
      </w:pPr>
      <w:r w:rsidRPr="0024134B">
        <w:rPr>
          <w:rFonts w:ascii="Times New Roman" w:hAnsi="Times New Roman" w:cs="Times New Roman"/>
          <w:color w:val="000000"/>
          <w:sz w:val="24"/>
          <w:szCs w:val="24"/>
        </w:rPr>
        <w:t xml:space="preserve">Here, that meant a loss every month in 2019, </w:t>
      </w:r>
      <w:r w:rsidRPr="0024134B" w:rsidR="00430E02">
        <w:rPr>
          <w:rFonts w:ascii="Times New Roman" w:hAnsi="Times New Roman" w:cs="Times New Roman"/>
          <w:color w:val="000000"/>
          <w:sz w:val="24"/>
          <w:szCs w:val="24"/>
        </w:rPr>
        <w:t>except</w:t>
      </w:r>
      <w:r w:rsidRPr="0024134B">
        <w:rPr>
          <w:rFonts w:ascii="Times New Roman" w:hAnsi="Times New Roman" w:cs="Times New Roman"/>
          <w:color w:val="000000"/>
          <w:sz w:val="24"/>
          <w:szCs w:val="24"/>
        </w:rPr>
        <w:t xml:space="preserve"> January.</w:t>
      </w:r>
      <w:r>
        <w:rPr>
          <w:rStyle w:val="FootnoteReference"/>
          <w:rFonts w:ascii="Times New Roman" w:hAnsi="Times New Roman" w:cs="Times New Roman"/>
          <w:color w:val="000000"/>
          <w:sz w:val="24"/>
          <w:szCs w:val="24"/>
        </w:rPr>
        <w:footnoteReference w:id="87"/>
      </w:r>
      <w:r w:rsidRPr="0024134B" w:rsidR="006D7498">
        <w:rPr>
          <w:rFonts w:ascii="Times New Roman" w:hAnsi="Times New Roman" w:cs="Times New Roman"/>
          <w:color w:val="000000"/>
          <w:sz w:val="24"/>
          <w:szCs w:val="24"/>
        </w:rPr>
        <w:t xml:space="preserve"> </w:t>
      </w:r>
      <w:r w:rsidRPr="0024134B" w:rsidR="006B6BC6">
        <w:rPr>
          <w:rFonts w:ascii="Times New Roman" w:hAnsi="Times New Roman" w:cs="Times New Roman"/>
          <w:color w:val="000000"/>
          <w:sz w:val="24"/>
          <w:szCs w:val="24"/>
        </w:rPr>
        <w:t xml:space="preserve">Despite being “out of the money” month after month, </w:t>
      </w:r>
      <w:r w:rsidRPr="0024134B" w:rsidR="00430E02">
        <w:rPr>
          <w:rFonts w:ascii="Times New Roman" w:hAnsi="Times New Roman" w:cs="Times New Roman"/>
          <w:color w:val="000000"/>
          <w:sz w:val="24"/>
          <w:szCs w:val="24"/>
        </w:rPr>
        <w:t>the Auditor</w:t>
      </w:r>
      <w:r w:rsidR="0063256C">
        <w:rPr>
          <w:rFonts w:ascii="Times New Roman" w:hAnsi="Times New Roman" w:cs="Times New Roman"/>
          <w:color w:val="000000"/>
          <w:sz w:val="24"/>
          <w:szCs w:val="24"/>
        </w:rPr>
        <w:t xml:space="preserve"> L</w:t>
      </w:r>
      <w:r w:rsidR="00080792">
        <w:rPr>
          <w:rFonts w:ascii="Times New Roman" w:hAnsi="Times New Roman" w:cs="Times New Roman"/>
          <w:color w:val="000000"/>
          <w:sz w:val="24"/>
          <w:szCs w:val="24"/>
        </w:rPr>
        <w:t>EI</w:t>
      </w:r>
      <w:r w:rsidRPr="0024134B" w:rsidR="005D211F">
        <w:rPr>
          <w:rFonts w:ascii="Times New Roman" w:hAnsi="Times New Roman" w:cs="Times New Roman"/>
          <w:color w:val="000000"/>
          <w:sz w:val="24"/>
          <w:szCs w:val="24"/>
        </w:rPr>
        <w:t xml:space="preserve"> </w:t>
      </w:r>
      <w:r w:rsidRPr="0024134B" w:rsidR="00430E02">
        <w:rPr>
          <w:rFonts w:ascii="Times New Roman" w:hAnsi="Times New Roman" w:cs="Times New Roman"/>
          <w:color w:val="000000"/>
          <w:sz w:val="24"/>
          <w:szCs w:val="24"/>
        </w:rPr>
        <w:t>found</w:t>
      </w:r>
      <w:r w:rsidRPr="0024134B" w:rsidR="005D211F">
        <w:rPr>
          <w:rFonts w:ascii="Times New Roman" w:hAnsi="Times New Roman" w:cs="Times New Roman"/>
          <w:color w:val="000000"/>
          <w:sz w:val="24"/>
          <w:szCs w:val="24"/>
        </w:rPr>
        <w:t xml:space="preserve"> no evidence</w:t>
      </w:r>
      <w:r w:rsidRPr="0024134B" w:rsidR="00430E02">
        <w:rPr>
          <w:rFonts w:ascii="Times New Roman" w:hAnsi="Times New Roman" w:cs="Times New Roman"/>
          <w:color w:val="000000"/>
          <w:sz w:val="24"/>
          <w:szCs w:val="24"/>
        </w:rPr>
        <w:t xml:space="preserve"> that</w:t>
      </w:r>
      <w:r w:rsidRPr="0024134B" w:rsidR="005D211F">
        <w:rPr>
          <w:rFonts w:ascii="Times New Roman" w:hAnsi="Times New Roman" w:cs="Times New Roman"/>
          <w:color w:val="000000"/>
          <w:sz w:val="24"/>
          <w:szCs w:val="24"/>
        </w:rPr>
        <w:t xml:space="preserve"> </w:t>
      </w:r>
      <w:r w:rsidRPr="0024134B" w:rsidR="00AD60A8">
        <w:rPr>
          <w:rFonts w:ascii="Times New Roman" w:hAnsi="Times New Roman" w:cs="Times New Roman"/>
          <w:color w:val="000000"/>
          <w:sz w:val="24"/>
          <w:szCs w:val="24"/>
        </w:rPr>
        <w:t>Duke</w:t>
      </w:r>
      <w:r w:rsidRPr="0024134B" w:rsidR="005D211F">
        <w:rPr>
          <w:rFonts w:ascii="Times New Roman" w:hAnsi="Times New Roman" w:cs="Times New Roman"/>
          <w:color w:val="000000"/>
          <w:sz w:val="24"/>
          <w:szCs w:val="24"/>
        </w:rPr>
        <w:t xml:space="preserve"> </w:t>
      </w:r>
      <w:r w:rsidRPr="0024134B" w:rsidR="006B6BC6">
        <w:rPr>
          <w:rFonts w:ascii="Times New Roman" w:hAnsi="Times New Roman" w:cs="Times New Roman"/>
          <w:color w:val="000000"/>
          <w:sz w:val="24"/>
          <w:szCs w:val="24"/>
        </w:rPr>
        <w:t xml:space="preserve">ever </w:t>
      </w:r>
      <w:r w:rsidRPr="0024134B" w:rsidR="005D211F">
        <w:rPr>
          <w:rFonts w:ascii="Times New Roman" w:hAnsi="Times New Roman" w:cs="Times New Roman"/>
          <w:color w:val="000000"/>
          <w:sz w:val="24"/>
          <w:szCs w:val="24"/>
        </w:rPr>
        <w:t>brought these dire figures to the attention of anyone on the OVEC Operating Committee.</w:t>
      </w:r>
      <w:r>
        <w:rPr>
          <w:rStyle w:val="FootnoteReference"/>
          <w:rFonts w:ascii="Times New Roman" w:hAnsi="Times New Roman" w:cs="Times New Roman"/>
          <w:color w:val="000000"/>
          <w:sz w:val="24"/>
          <w:szCs w:val="24"/>
        </w:rPr>
        <w:footnoteReference w:id="88"/>
      </w:r>
      <w:r w:rsidR="00BF54B2">
        <w:rPr>
          <w:rFonts w:ascii="Times New Roman" w:hAnsi="Times New Roman" w:cs="Times New Roman"/>
          <w:color w:val="000000"/>
          <w:sz w:val="24"/>
          <w:szCs w:val="24"/>
        </w:rPr>
        <w:t xml:space="preserve"> Duke used a daily profit-and-loss report for its other plants so that it wouldn’t designate its other plants as </w:t>
      </w:r>
      <w:r w:rsidR="00080792">
        <w:rPr>
          <w:rFonts w:ascii="Times New Roman" w:hAnsi="Times New Roman" w:cs="Times New Roman"/>
          <w:color w:val="000000"/>
          <w:sz w:val="24"/>
          <w:szCs w:val="24"/>
        </w:rPr>
        <w:t>m</w:t>
      </w:r>
      <w:r w:rsidR="00BF54B2">
        <w:rPr>
          <w:rFonts w:ascii="Times New Roman" w:hAnsi="Times New Roman" w:cs="Times New Roman"/>
          <w:color w:val="000000"/>
          <w:sz w:val="24"/>
          <w:szCs w:val="24"/>
        </w:rPr>
        <w:t>ust</w:t>
      </w:r>
      <w:r w:rsidR="00080792">
        <w:rPr>
          <w:rFonts w:ascii="Times New Roman" w:hAnsi="Times New Roman" w:cs="Times New Roman"/>
          <w:color w:val="000000"/>
          <w:sz w:val="24"/>
          <w:szCs w:val="24"/>
        </w:rPr>
        <w:t>-r</w:t>
      </w:r>
      <w:r w:rsidR="00BF54B2">
        <w:rPr>
          <w:rFonts w:ascii="Times New Roman" w:hAnsi="Times New Roman" w:cs="Times New Roman"/>
          <w:color w:val="000000"/>
          <w:sz w:val="24"/>
          <w:szCs w:val="24"/>
        </w:rPr>
        <w:t>un if the plants were expected to lose money</w:t>
      </w:r>
      <w:r w:rsidR="00E847A8">
        <w:rPr>
          <w:rFonts w:ascii="Times New Roman" w:hAnsi="Times New Roman" w:cs="Times New Roman"/>
          <w:color w:val="000000"/>
          <w:sz w:val="24"/>
          <w:szCs w:val="24"/>
        </w:rPr>
        <w:t>.</w:t>
      </w:r>
      <w:r>
        <w:rPr>
          <w:rStyle w:val="FootnoteReference"/>
          <w:rFonts w:ascii="Times New Roman" w:hAnsi="Times New Roman" w:cs="Times New Roman"/>
          <w:color w:val="000000"/>
          <w:sz w:val="24"/>
          <w:szCs w:val="24"/>
        </w:rPr>
        <w:footnoteReference w:id="89"/>
      </w:r>
      <w:r w:rsidR="00980214">
        <w:rPr>
          <w:rFonts w:ascii="Times New Roman" w:hAnsi="Times New Roman" w:cs="Times New Roman"/>
          <w:color w:val="000000"/>
          <w:sz w:val="24"/>
          <w:szCs w:val="24"/>
        </w:rPr>
        <w:t xml:space="preserve"> </w:t>
      </w:r>
      <w:r w:rsidR="00E847A8">
        <w:rPr>
          <w:rFonts w:ascii="Times New Roman" w:hAnsi="Times New Roman" w:cs="Times New Roman"/>
          <w:color w:val="000000"/>
          <w:sz w:val="24"/>
          <w:szCs w:val="24"/>
        </w:rPr>
        <w:t>Duke didn’t use daily profit-and-loss reports for the OVEC plants, or require OVEC to do so.</w:t>
      </w:r>
      <w:r>
        <w:rPr>
          <w:rStyle w:val="FootnoteReference"/>
          <w:rFonts w:ascii="Times New Roman" w:hAnsi="Times New Roman" w:cs="Times New Roman"/>
          <w:color w:val="000000"/>
          <w:sz w:val="24"/>
          <w:szCs w:val="24"/>
        </w:rPr>
        <w:footnoteReference w:id="90"/>
      </w:r>
      <w:r w:rsidR="00980214">
        <w:rPr>
          <w:rFonts w:ascii="Times New Roman" w:hAnsi="Times New Roman" w:cs="Times New Roman"/>
          <w:color w:val="000000"/>
          <w:sz w:val="24"/>
          <w:szCs w:val="24"/>
        </w:rPr>
        <w:t xml:space="preserve"> </w:t>
      </w:r>
      <w:r w:rsidR="00E847A8">
        <w:rPr>
          <w:rFonts w:ascii="Times New Roman" w:hAnsi="Times New Roman" w:cs="Times New Roman"/>
          <w:color w:val="000000"/>
          <w:sz w:val="24"/>
          <w:szCs w:val="24"/>
        </w:rPr>
        <w:t xml:space="preserve"> </w:t>
      </w:r>
      <w:r w:rsidRPr="0024134B" w:rsidR="006B6BC6">
        <w:rPr>
          <w:rFonts w:ascii="Times New Roman" w:hAnsi="Times New Roman" w:cs="Times New Roman"/>
          <w:color w:val="000000"/>
          <w:sz w:val="24"/>
          <w:szCs w:val="24"/>
        </w:rPr>
        <w:t>The Auditor</w:t>
      </w:r>
      <w:r w:rsidR="00980214">
        <w:rPr>
          <w:rFonts w:ascii="Times New Roman" w:hAnsi="Times New Roman" w:cs="Times New Roman"/>
          <w:color w:val="000000"/>
          <w:sz w:val="24"/>
          <w:szCs w:val="24"/>
        </w:rPr>
        <w:t xml:space="preserve"> </w:t>
      </w:r>
      <w:r w:rsidRPr="0024134B" w:rsidR="006B6BC6">
        <w:rPr>
          <w:rFonts w:ascii="Times New Roman" w:hAnsi="Times New Roman" w:cs="Times New Roman"/>
          <w:color w:val="000000"/>
          <w:sz w:val="24"/>
          <w:szCs w:val="24"/>
        </w:rPr>
        <w:t>acknowledged</w:t>
      </w:r>
      <w:r w:rsidR="00E847A8">
        <w:rPr>
          <w:rFonts w:ascii="Times New Roman" w:hAnsi="Times New Roman" w:cs="Times New Roman"/>
          <w:color w:val="000000"/>
          <w:sz w:val="24"/>
          <w:szCs w:val="24"/>
        </w:rPr>
        <w:t xml:space="preserve"> that this</w:t>
      </w:r>
      <w:r w:rsidRPr="0024134B" w:rsidR="006B6BC6">
        <w:rPr>
          <w:rFonts w:ascii="Times New Roman" w:hAnsi="Times New Roman" w:cs="Times New Roman"/>
          <w:color w:val="000000"/>
          <w:sz w:val="24"/>
          <w:szCs w:val="24"/>
        </w:rPr>
        <w:t xml:space="preserve"> “probably was not” in the</w:t>
      </w:r>
      <w:r w:rsidR="00E847A8">
        <w:rPr>
          <w:rFonts w:ascii="Times New Roman" w:hAnsi="Times New Roman" w:cs="Times New Roman"/>
          <w:color w:val="000000"/>
          <w:sz w:val="24"/>
          <w:szCs w:val="24"/>
        </w:rPr>
        <w:t xml:space="preserve"> consumers’</w:t>
      </w:r>
      <w:r w:rsidRPr="0024134B" w:rsidR="006B6BC6">
        <w:rPr>
          <w:rFonts w:ascii="Times New Roman" w:hAnsi="Times New Roman" w:cs="Times New Roman"/>
          <w:color w:val="000000"/>
          <w:sz w:val="24"/>
          <w:szCs w:val="24"/>
        </w:rPr>
        <w:t xml:space="preserve"> best interest</w:t>
      </w:r>
      <w:r w:rsidR="00980214">
        <w:rPr>
          <w:rFonts w:ascii="Times New Roman" w:hAnsi="Times New Roman" w:cs="Times New Roman"/>
          <w:color w:val="000000"/>
          <w:sz w:val="24"/>
          <w:szCs w:val="24"/>
        </w:rPr>
        <w:t xml:space="preserve"> </w:t>
      </w:r>
      <w:r w:rsidRPr="0024134B" w:rsidR="006B6BC6">
        <w:rPr>
          <w:rFonts w:ascii="Times New Roman" w:hAnsi="Times New Roman" w:cs="Times New Roman"/>
          <w:color w:val="000000"/>
          <w:sz w:val="24"/>
          <w:szCs w:val="24"/>
        </w:rPr>
        <w:t>for a “regulated utility [</w:t>
      </w:r>
      <w:r w:rsidRPr="0024134B" w:rsidR="00AD60A8">
        <w:rPr>
          <w:rFonts w:ascii="Times New Roman" w:hAnsi="Times New Roman" w:cs="Times New Roman"/>
          <w:color w:val="000000"/>
          <w:sz w:val="24"/>
          <w:szCs w:val="24"/>
        </w:rPr>
        <w:t>Duke</w:t>
      </w:r>
      <w:r w:rsidRPr="0024134B" w:rsidR="006B6BC6">
        <w:rPr>
          <w:rFonts w:ascii="Times New Roman" w:hAnsi="Times New Roman" w:cs="Times New Roman"/>
          <w:color w:val="000000"/>
          <w:sz w:val="24"/>
          <w:szCs w:val="24"/>
        </w:rPr>
        <w:t>] that</w:t>
      </w:r>
      <w:r w:rsidR="00980214">
        <w:rPr>
          <w:rFonts w:ascii="Times New Roman" w:hAnsi="Times New Roman" w:cs="Times New Roman"/>
          <w:color w:val="000000"/>
          <w:sz w:val="24"/>
          <w:szCs w:val="24"/>
        </w:rPr>
        <w:t xml:space="preserve"> </w:t>
      </w:r>
      <w:r w:rsidR="00E847A8">
        <w:rPr>
          <w:rFonts w:ascii="Times New Roman" w:hAnsi="Times New Roman" w:cs="Times New Roman"/>
          <w:color w:val="000000"/>
          <w:sz w:val="24"/>
          <w:szCs w:val="24"/>
        </w:rPr>
        <w:t>. . .</w:t>
      </w:r>
      <w:r w:rsidRPr="0024134B" w:rsidR="006B6BC6">
        <w:rPr>
          <w:rFonts w:ascii="Times New Roman" w:hAnsi="Times New Roman" w:cs="Times New Roman"/>
          <w:color w:val="000000"/>
          <w:sz w:val="24"/>
          <w:szCs w:val="24"/>
        </w:rPr>
        <w:t>provide</w:t>
      </w:r>
      <w:r w:rsidR="00E847A8">
        <w:rPr>
          <w:rFonts w:ascii="Times New Roman" w:hAnsi="Times New Roman" w:cs="Times New Roman"/>
          <w:color w:val="000000"/>
          <w:sz w:val="24"/>
          <w:szCs w:val="24"/>
        </w:rPr>
        <w:t>[s]</w:t>
      </w:r>
      <w:r w:rsidRPr="0024134B" w:rsidR="006B6BC6">
        <w:rPr>
          <w:rFonts w:ascii="Times New Roman" w:hAnsi="Times New Roman" w:cs="Times New Roman"/>
          <w:color w:val="000000"/>
          <w:sz w:val="24"/>
          <w:szCs w:val="24"/>
        </w:rPr>
        <w:t xml:space="preserve"> favorable treatment to its affiliates over a provision that would lower costs to its customers.</w:t>
      </w:r>
      <w:r w:rsidR="00E847A8">
        <w:rPr>
          <w:rFonts w:ascii="Times New Roman" w:hAnsi="Times New Roman" w:cs="Times New Roman"/>
          <w:color w:val="000000"/>
          <w:sz w:val="24"/>
          <w:szCs w:val="24"/>
        </w:rPr>
        <w:t xml:space="preserve"> </w:t>
      </w:r>
      <w:r w:rsidRPr="0024134B" w:rsidR="006B6BC6">
        <w:rPr>
          <w:rFonts w:ascii="Times New Roman" w:hAnsi="Times New Roman" w:cs="Times New Roman"/>
          <w:color w:val="000000"/>
          <w:sz w:val="24"/>
          <w:szCs w:val="24"/>
        </w:rPr>
        <w:t>”</w:t>
      </w:r>
      <w:r>
        <w:rPr>
          <w:rStyle w:val="FootnoteReference"/>
          <w:rFonts w:ascii="Times New Roman" w:hAnsi="Times New Roman" w:cs="Times New Roman"/>
          <w:color w:val="000000"/>
          <w:sz w:val="24"/>
          <w:szCs w:val="24"/>
        </w:rPr>
        <w:footnoteReference w:id="91"/>
      </w:r>
    </w:p>
    <w:p w:rsidR="00011166" w:rsidP="00953C05" w14:paraId="1B6E6373" w14:textId="77777777">
      <w:pPr>
        <w:spacing w:after="0" w:line="480" w:lineRule="auto"/>
        <w:ind w:firstLine="720"/>
        <w:rPr>
          <w:rFonts w:ascii="Times New Roman" w:hAnsi="Times New Roman" w:cs="Times New Roman"/>
          <w:color w:val="000000"/>
          <w:sz w:val="24"/>
          <w:szCs w:val="24"/>
        </w:rPr>
      </w:pPr>
      <w:r w:rsidRPr="0024134B">
        <w:rPr>
          <w:rFonts w:ascii="Times New Roman" w:hAnsi="Times New Roman" w:cs="Times New Roman"/>
          <w:color w:val="000000"/>
          <w:sz w:val="24"/>
          <w:szCs w:val="24"/>
        </w:rPr>
        <w:t>The Auditor</w:t>
      </w:r>
      <w:r w:rsidRPr="0024134B" w:rsidR="006B6BC6">
        <w:rPr>
          <w:rFonts w:ascii="Times New Roman" w:hAnsi="Times New Roman" w:cs="Times New Roman"/>
          <w:color w:val="000000"/>
          <w:sz w:val="24"/>
          <w:szCs w:val="24"/>
        </w:rPr>
        <w:t xml:space="preserve"> found other troubling issues with </w:t>
      </w:r>
      <w:r w:rsidRPr="0024134B" w:rsidR="00AD60A8">
        <w:rPr>
          <w:rFonts w:ascii="Times New Roman" w:hAnsi="Times New Roman" w:cs="Times New Roman"/>
          <w:color w:val="000000"/>
          <w:sz w:val="24"/>
          <w:szCs w:val="24"/>
        </w:rPr>
        <w:t>Duke</w:t>
      </w:r>
      <w:r w:rsidRPr="0024134B" w:rsidR="006B6BC6">
        <w:rPr>
          <w:rFonts w:ascii="Times New Roman" w:hAnsi="Times New Roman" w:cs="Times New Roman"/>
          <w:color w:val="000000"/>
          <w:sz w:val="24"/>
          <w:szCs w:val="24"/>
        </w:rPr>
        <w:t xml:space="preserve">’s operations in 2019, but seemingly </w:t>
      </w:r>
      <w:r>
        <w:rPr>
          <w:rFonts w:ascii="Times New Roman" w:hAnsi="Times New Roman" w:cs="Times New Roman"/>
          <w:color w:val="000000"/>
          <w:sz w:val="24"/>
          <w:szCs w:val="24"/>
        </w:rPr>
        <w:t>avoided or</w:t>
      </w:r>
      <w:r w:rsidRPr="0024134B" w:rsidR="006B6BC6">
        <w:rPr>
          <w:rFonts w:ascii="Times New Roman" w:hAnsi="Times New Roman" w:cs="Times New Roman"/>
          <w:color w:val="000000"/>
          <w:sz w:val="24"/>
          <w:szCs w:val="24"/>
        </w:rPr>
        <w:t xml:space="preserve"> excused it.</w:t>
      </w:r>
      <w:r w:rsidRPr="0024134B" w:rsidR="006D7498">
        <w:rPr>
          <w:rFonts w:ascii="Times New Roman" w:hAnsi="Times New Roman" w:cs="Times New Roman"/>
          <w:color w:val="000000"/>
          <w:sz w:val="24"/>
          <w:szCs w:val="24"/>
        </w:rPr>
        <w:t xml:space="preserve"> </w:t>
      </w:r>
      <w:r w:rsidRPr="0024134B" w:rsidR="006B6BC6">
        <w:rPr>
          <w:rFonts w:ascii="Times New Roman" w:hAnsi="Times New Roman" w:cs="Times New Roman"/>
          <w:color w:val="000000"/>
          <w:sz w:val="24"/>
          <w:szCs w:val="24"/>
        </w:rPr>
        <w:t xml:space="preserve">For example, </w:t>
      </w:r>
      <w:r w:rsidRPr="0024134B" w:rsidR="000B2DE8">
        <w:rPr>
          <w:rFonts w:ascii="Times New Roman" w:hAnsi="Times New Roman" w:cs="Times New Roman"/>
          <w:color w:val="000000"/>
          <w:sz w:val="24"/>
          <w:szCs w:val="24"/>
        </w:rPr>
        <w:t xml:space="preserve">the Auditor </w:t>
      </w:r>
      <w:r w:rsidRPr="0024134B" w:rsidR="006B6BC6">
        <w:rPr>
          <w:rFonts w:ascii="Times New Roman" w:hAnsi="Times New Roman" w:cs="Times New Roman"/>
          <w:color w:val="000000"/>
          <w:sz w:val="24"/>
          <w:szCs w:val="24"/>
        </w:rPr>
        <w:t xml:space="preserve">noted </w:t>
      </w:r>
      <w:r w:rsidR="00E00664">
        <w:rPr>
          <w:rFonts w:ascii="Times New Roman" w:hAnsi="Times New Roman" w:cs="Times New Roman"/>
          <w:color w:val="000000"/>
          <w:sz w:val="24"/>
          <w:szCs w:val="24"/>
        </w:rPr>
        <w:t xml:space="preserve">the </w:t>
      </w:r>
      <w:r w:rsidRPr="0024134B" w:rsidR="006B6BC6">
        <w:rPr>
          <w:rFonts w:ascii="Times New Roman" w:hAnsi="Times New Roman" w:cs="Times New Roman"/>
          <w:color w:val="000000"/>
          <w:sz w:val="24"/>
          <w:szCs w:val="24"/>
        </w:rPr>
        <w:t>Clifty Creek Plant was purchasing coal at seventeen percent (17%) more than the spot prices from the S&amp;P Global Marke</w:t>
      </w:r>
      <w:r w:rsidRPr="0024134B" w:rsidR="007F78CD">
        <w:rPr>
          <w:rFonts w:ascii="Times New Roman" w:hAnsi="Times New Roman" w:cs="Times New Roman"/>
          <w:color w:val="000000"/>
          <w:sz w:val="24"/>
          <w:szCs w:val="24"/>
        </w:rPr>
        <w:t>t</w:t>
      </w:r>
      <w:r w:rsidRPr="0024134B" w:rsidR="006B6BC6">
        <w:rPr>
          <w:rFonts w:ascii="Times New Roman" w:hAnsi="Times New Roman" w:cs="Times New Roman"/>
          <w:color w:val="000000"/>
          <w:sz w:val="24"/>
          <w:szCs w:val="24"/>
        </w:rPr>
        <w:t xml:space="preserve"> Intelligence (f</w:t>
      </w:r>
      <w:r w:rsidR="00451601">
        <w:rPr>
          <w:rFonts w:ascii="Times New Roman" w:hAnsi="Times New Roman" w:cs="Times New Roman"/>
          <w:color w:val="000000"/>
          <w:sz w:val="24"/>
          <w:szCs w:val="24"/>
        </w:rPr>
        <w:t>.</w:t>
      </w:r>
      <w:r w:rsidRPr="0024134B" w:rsidR="006B6BC6">
        <w:rPr>
          <w:rFonts w:ascii="Times New Roman" w:hAnsi="Times New Roman" w:cs="Times New Roman"/>
          <w:color w:val="000000"/>
          <w:sz w:val="24"/>
          <w:szCs w:val="24"/>
        </w:rPr>
        <w:t>n</w:t>
      </w:r>
      <w:r w:rsidR="00451601">
        <w:rPr>
          <w:rFonts w:ascii="Times New Roman" w:hAnsi="Times New Roman" w:cs="Times New Roman"/>
          <w:color w:val="000000"/>
          <w:sz w:val="24"/>
          <w:szCs w:val="24"/>
        </w:rPr>
        <w:t>.</w:t>
      </w:r>
      <w:r w:rsidRPr="0024134B" w:rsidR="006B6BC6">
        <w:rPr>
          <w:rFonts w:ascii="Times New Roman" w:hAnsi="Times New Roman" w:cs="Times New Roman"/>
          <w:color w:val="000000"/>
          <w:sz w:val="24"/>
          <w:szCs w:val="24"/>
        </w:rPr>
        <w:t>a</w:t>
      </w:r>
      <w:r w:rsidR="00451601">
        <w:rPr>
          <w:rFonts w:ascii="Times New Roman" w:hAnsi="Times New Roman" w:cs="Times New Roman"/>
          <w:color w:val="000000"/>
          <w:sz w:val="24"/>
          <w:szCs w:val="24"/>
        </w:rPr>
        <w:t>.</w:t>
      </w:r>
      <w:r w:rsidRPr="0024134B" w:rsidR="006B6BC6">
        <w:rPr>
          <w:rFonts w:ascii="Times New Roman" w:hAnsi="Times New Roman" w:cs="Times New Roman"/>
          <w:color w:val="000000"/>
          <w:sz w:val="24"/>
          <w:szCs w:val="24"/>
        </w:rPr>
        <w:t xml:space="preserve"> SNL).</w:t>
      </w:r>
      <w:r>
        <w:rPr>
          <w:rStyle w:val="FootnoteReference"/>
          <w:rFonts w:ascii="Times New Roman" w:hAnsi="Times New Roman" w:cs="Times New Roman"/>
          <w:color w:val="000000"/>
          <w:sz w:val="24"/>
          <w:szCs w:val="24"/>
        </w:rPr>
        <w:footnoteReference w:id="92"/>
      </w:r>
      <w:r w:rsidRPr="0024134B" w:rsidR="006D7498">
        <w:rPr>
          <w:rFonts w:ascii="Times New Roman" w:hAnsi="Times New Roman" w:cs="Times New Roman"/>
          <w:color w:val="000000"/>
          <w:sz w:val="24"/>
          <w:szCs w:val="24"/>
        </w:rPr>
        <w:t xml:space="preserve"> </w:t>
      </w:r>
      <w:r w:rsidRPr="0024134B" w:rsidR="000B2DE8">
        <w:rPr>
          <w:rFonts w:ascii="Times New Roman" w:hAnsi="Times New Roman" w:cs="Times New Roman"/>
          <w:color w:val="000000"/>
          <w:sz w:val="24"/>
          <w:szCs w:val="24"/>
        </w:rPr>
        <w:t>The Auditor</w:t>
      </w:r>
      <w:r w:rsidRPr="0024134B" w:rsidR="006B6BC6">
        <w:rPr>
          <w:rFonts w:ascii="Times New Roman" w:hAnsi="Times New Roman" w:cs="Times New Roman"/>
          <w:color w:val="000000"/>
          <w:sz w:val="24"/>
          <w:szCs w:val="24"/>
        </w:rPr>
        <w:t xml:space="preserve"> also noticed </w:t>
      </w:r>
      <w:r w:rsidRPr="0024134B" w:rsidR="00AD60A8">
        <w:rPr>
          <w:rFonts w:ascii="Times New Roman" w:hAnsi="Times New Roman" w:cs="Times New Roman"/>
          <w:color w:val="000000"/>
          <w:sz w:val="24"/>
          <w:szCs w:val="24"/>
        </w:rPr>
        <w:t>Duke</w:t>
      </w:r>
      <w:r w:rsidRPr="0024134B" w:rsidR="006B6BC6">
        <w:rPr>
          <w:rFonts w:ascii="Times New Roman" w:hAnsi="Times New Roman" w:cs="Times New Roman"/>
          <w:color w:val="000000"/>
          <w:sz w:val="24"/>
          <w:szCs w:val="24"/>
        </w:rPr>
        <w:t xml:space="preserve"> performed no fuel procurement audits in 2019.</w:t>
      </w:r>
      <w:r>
        <w:rPr>
          <w:rStyle w:val="FootnoteReference"/>
          <w:rFonts w:ascii="Times New Roman" w:hAnsi="Times New Roman" w:cs="Times New Roman"/>
          <w:color w:val="000000"/>
          <w:sz w:val="24"/>
          <w:szCs w:val="24"/>
        </w:rPr>
        <w:footnoteReference w:id="93"/>
      </w:r>
      <w:r w:rsidRPr="0024134B" w:rsidR="006B6BC6">
        <w:rPr>
          <w:rFonts w:ascii="Times New Roman" w:hAnsi="Times New Roman" w:cs="Times New Roman"/>
          <w:color w:val="000000"/>
          <w:sz w:val="24"/>
          <w:szCs w:val="24"/>
        </w:rPr>
        <w:t xml:space="preserve"> </w:t>
      </w:r>
      <w:r w:rsidRPr="0024134B" w:rsidR="000B2DE8">
        <w:rPr>
          <w:rFonts w:ascii="Times New Roman" w:hAnsi="Times New Roman" w:cs="Times New Roman"/>
          <w:color w:val="000000"/>
          <w:sz w:val="24"/>
          <w:szCs w:val="24"/>
        </w:rPr>
        <w:t>The Auditor</w:t>
      </w:r>
      <w:r w:rsidRPr="0024134B" w:rsidR="006B6BC6">
        <w:rPr>
          <w:rFonts w:ascii="Times New Roman" w:hAnsi="Times New Roman" w:cs="Times New Roman"/>
          <w:color w:val="000000"/>
          <w:sz w:val="24"/>
          <w:szCs w:val="24"/>
        </w:rPr>
        <w:t xml:space="preserve"> also mentioned the number of employees at Kyger Creek was ten percent (10%) higher than the average for coal plants in PJM.</w:t>
      </w:r>
      <w:r>
        <w:rPr>
          <w:rStyle w:val="FootnoteReference"/>
          <w:rFonts w:ascii="Times New Roman" w:hAnsi="Times New Roman" w:cs="Times New Roman"/>
          <w:color w:val="000000"/>
          <w:sz w:val="24"/>
          <w:szCs w:val="24"/>
        </w:rPr>
        <w:footnoteReference w:id="94"/>
      </w:r>
      <w:r w:rsidRPr="0024134B" w:rsidR="006D7498">
        <w:rPr>
          <w:rFonts w:ascii="Times New Roman" w:hAnsi="Times New Roman" w:cs="Times New Roman"/>
          <w:color w:val="000000"/>
          <w:sz w:val="24"/>
          <w:szCs w:val="24"/>
        </w:rPr>
        <w:t xml:space="preserve"> </w:t>
      </w:r>
      <w:r w:rsidRPr="0024134B" w:rsidR="006B6BC6">
        <w:rPr>
          <w:rFonts w:ascii="Times New Roman" w:hAnsi="Times New Roman" w:cs="Times New Roman"/>
          <w:color w:val="000000"/>
          <w:sz w:val="24"/>
          <w:szCs w:val="24"/>
        </w:rPr>
        <w:t>At Clifty Creek, it was twelve percent (12%) higher.</w:t>
      </w:r>
      <w:r>
        <w:rPr>
          <w:rStyle w:val="FootnoteReference"/>
          <w:rFonts w:ascii="Times New Roman" w:hAnsi="Times New Roman" w:cs="Times New Roman"/>
          <w:color w:val="000000"/>
          <w:sz w:val="24"/>
          <w:szCs w:val="24"/>
        </w:rPr>
        <w:footnoteReference w:id="95"/>
      </w:r>
      <w:r w:rsidRPr="0024134B" w:rsidR="006D7498">
        <w:rPr>
          <w:rFonts w:ascii="Times New Roman" w:hAnsi="Times New Roman" w:cs="Times New Roman"/>
          <w:color w:val="000000"/>
          <w:sz w:val="24"/>
          <w:szCs w:val="24"/>
        </w:rPr>
        <w:t xml:space="preserve"> </w:t>
      </w:r>
    </w:p>
    <w:p w:rsidR="006B6BC6" w:rsidP="00953C05" w14:paraId="74EA0100" w14:textId="77777777">
      <w:pPr>
        <w:spacing w:after="0" w:line="480" w:lineRule="auto"/>
        <w:ind w:firstLine="720"/>
        <w:rPr>
          <w:rFonts w:ascii="Times New Roman" w:hAnsi="Times New Roman" w:cs="Times New Roman"/>
          <w:color w:val="000000"/>
          <w:sz w:val="24"/>
          <w:szCs w:val="24"/>
        </w:rPr>
      </w:pPr>
      <w:r w:rsidRPr="0024134B">
        <w:rPr>
          <w:rFonts w:ascii="Times New Roman" w:hAnsi="Times New Roman" w:cs="Times New Roman"/>
          <w:color w:val="000000"/>
          <w:sz w:val="24"/>
          <w:szCs w:val="24"/>
        </w:rPr>
        <w:t xml:space="preserve">For </w:t>
      </w:r>
      <w:r w:rsidRPr="0024134B" w:rsidR="00AD60A8">
        <w:rPr>
          <w:rFonts w:ascii="Times New Roman" w:hAnsi="Times New Roman" w:cs="Times New Roman"/>
          <w:color w:val="000000"/>
          <w:sz w:val="24"/>
          <w:szCs w:val="24"/>
        </w:rPr>
        <w:t>Duke</w:t>
      </w:r>
      <w:r w:rsidRPr="0024134B">
        <w:rPr>
          <w:rFonts w:ascii="Times New Roman" w:hAnsi="Times New Roman" w:cs="Times New Roman"/>
          <w:color w:val="000000"/>
          <w:sz w:val="24"/>
          <w:szCs w:val="24"/>
        </w:rPr>
        <w:t>’s Ohio customers, this translated into $24</w:t>
      </w:r>
      <w:r w:rsidR="00011166">
        <w:rPr>
          <w:rFonts w:ascii="Times New Roman" w:hAnsi="Times New Roman" w:cs="Times New Roman"/>
          <w:color w:val="000000"/>
          <w:sz w:val="24"/>
          <w:szCs w:val="24"/>
        </w:rPr>
        <w:t xml:space="preserve">.6 million </w:t>
      </w:r>
      <w:r w:rsidRPr="0024134B">
        <w:rPr>
          <w:rFonts w:ascii="Times New Roman" w:hAnsi="Times New Roman" w:cs="Times New Roman"/>
          <w:color w:val="000000"/>
          <w:sz w:val="24"/>
          <w:szCs w:val="24"/>
        </w:rPr>
        <w:t>in additional (but unnecessary) energy costs.</w:t>
      </w:r>
      <w:r w:rsidRPr="0024134B" w:rsidR="006D7498">
        <w:rPr>
          <w:rFonts w:ascii="Times New Roman" w:hAnsi="Times New Roman" w:cs="Times New Roman"/>
          <w:color w:val="000000"/>
          <w:sz w:val="24"/>
          <w:szCs w:val="24"/>
        </w:rPr>
        <w:t xml:space="preserve"> </w:t>
      </w:r>
      <w:r w:rsidRPr="0024134B" w:rsidR="00953C05">
        <w:rPr>
          <w:rFonts w:ascii="Times New Roman" w:hAnsi="Times New Roman" w:cs="Times New Roman"/>
          <w:color w:val="000000"/>
          <w:sz w:val="24"/>
          <w:szCs w:val="24"/>
        </w:rPr>
        <w:t>The PUCO should deny Duke recovery of the entire $24.6 million charged to Ohio consumers under the Price Stabilization Rider.</w:t>
      </w:r>
    </w:p>
    <w:p w:rsidR="00DD180D" w:rsidP="00953C05" w14:paraId="50354F1D" w14:textId="77777777">
      <w:pPr>
        <w:spacing w:after="0" w:line="480" w:lineRule="auto"/>
        <w:ind w:firstLine="720"/>
        <w:rPr>
          <w:rFonts w:ascii="Times New Roman" w:hAnsi="Times New Roman" w:cs="Times New Roman"/>
          <w:color w:val="000000"/>
          <w:sz w:val="24"/>
          <w:szCs w:val="24"/>
        </w:rPr>
      </w:pPr>
    </w:p>
    <w:p w:rsidR="00DD180D" w:rsidRPr="00CD7A91" w:rsidP="00980214" w14:paraId="2828FDF4" w14:textId="77777777">
      <w:pPr>
        <w:pStyle w:val="Heading2"/>
        <w:numPr>
          <w:ilvl w:val="0"/>
          <w:numId w:val="0"/>
        </w:numPr>
        <w:ind w:left="1440" w:hanging="720"/>
      </w:pPr>
      <w:bookmarkStart w:id="58" w:name="_Toc110004953"/>
      <w:r>
        <w:t>D.</w:t>
      </w:r>
      <w:r w:rsidR="00980214">
        <w:tab/>
      </w:r>
      <w:r w:rsidR="001716E3">
        <w:t xml:space="preserve">OCC Appeals Attorney Examiner </w:t>
      </w:r>
      <w:r w:rsidR="001B03C7">
        <w:t xml:space="preserve">Mathew Sandor’s </w:t>
      </w:r>
      <w:r w:rsidRPr="00CD7A91">
        <w:t xml:space="preserve">rulings </w:t>
      </w:r>
      <w:r w:rsidR="001716E3">
        <w:t>under O.A.C.</w:t>
      </w:r>
      <w:r w:rsidR="00980214">
        <w:t xml:space="preserve"> </w:t>
      </w:r>
      <w:r w:rsidRPr="00CD7A91" w:rsidR="001716E3">
        <w:rPr>
          <w:rFonts w:cs="Times New Roman"/>
        </w:rPr>
        <w:t>4901-1-15(F)</w:t>
      </w:r>
      <w:r w:rsidR="001716E3">
        <w:rPr>
          <w:rFonts w:cs="Times New Roman"/>
        </w:rPr>
        <w:t xml:space="preserve"> </w:t>
      </w:r>
      <w:r w:rsidRPr="00CD7A91">
        <w:t>that</w:t>
      </w:r>
      <w:r w:rsidR="001B03C7">
        <w:t xml:space="preserve"> struck portions of OCC witness Mike Haugh’s testimony and excluded </w:t>
      </w:r>
      <w:r w:rsidR="00B46EDA">
        <w:t xml:space="preserve">from evidence </w:t>
      </w:r>
      <w:r w:rsidR="001B03C7">
        <w:t xml:space="preserve">a </w:t>
      </w:r>
      <w:r w:rsidR="00B46EDA">
        <w:t xml:space="preserve">nearly identical </w:t>
      </w:r>
      <w:r w:rsidR="001B03C7">
        <w:t>draft AEP Audit Report</w:t>
      </w:r>
      <w:r w:rsidR="00B46EDA">
        <w:t xml:space="preserve"> showing </w:t>
      </w:r>
      <w:r w:rsidR="00F4508C">
        <w:t xml:space="preserve">language the </w:t>
      </w:r>
      <w:r w:rsidR="00B46EDA">
        <w:t xml:space="preserve">PUCO Staff asked the Auditor to remove </w:t>
      </w:r>
      <w:r w:rsidR="00F4508C">
        <w:t>from its report</w:t>
      </w:r>
      <w:r w:rsidR="001716E3">
        <w:t xml:space="preserve"> </w:t>
      </w:r>
      <w:r w:rsidR="00B46EDA">
        <w:t xml:space="preserve">stating that </w:t>
      </w:r>
      <w:r w:rsidRPr="00CD7A91" w:rsidR="00B46EDA">
        <w:rPr>
          <w:rFonts w:cs="Times New Roman"/>
        </w:rPr>
        <w:t>“keeping the plants running does not seem to be in the best interests of the ratepayers.’</w:t>
      </w:r>
      <w:bookmarkEnd w:id="58"/>
    </w:p>
    <w:p w:rsidR="00EA6014" w:rsidP="00DD180D" w14:paraId="47A33B21" w14:textId="77777777">
      <w:pPr>
        <w:spacing w:after="0" w:line="480" w:lineRule="auto"/>
        <w:rPr>
          <w:rFonts w:ascii="Times New Roman" w:hAnsi="Times New Roman" w:cs="Times New Roman"/>
          <w:sz w:val="24"/>
          <w:szCs w:val="24"/>
        </w:rPr>
      </w:pPr>
      <w:r w:rsidRPr="00CD7A91">
        <w:rPr>
          <w:rFonts w:ascii="Times New Roman" w:hAnsi="Times New Roman" w:cs="Times New Roman"/>
          <w:b/>
          <w:sz w:val="24"/>
          <w:szCs w:val="24"/>
        </w:rPr>
        <w:tab/>
      </w:r>
      <w:r w:rsidRPr="00CD7A91">
        <w:rPr>
          <w:rFonts w:ascii="Times New Roman" w:hAnsi="Times New Roman" w:cs="Times New Roman"/>
          <w:sz w:val="24"/>
          <w:szCs w:val="24"/>
        </w:rPr>
        <w:t xml:space="preserve">The Attorney Examiner made </w:t>
      </w:r>
      <w:r>
        <w:rPr>
          <w:rFonts w:ascii="Times New Roman" w:hAnsi="Times New Roman" w:cs="Times New Roman"/>
          <w:sz w:val="24"/>
          <w:szCs w:val="24"/>
        </w:rPr>
        <w:t>two</w:t>
      </w:r>
      <w:r w:rsidRPr="00CD7A91">
        <w:rPr>
          <w:rFonts w:ascii="Times New Roman" w:hAnsi="Times New Roman" w:cs="Times New Roman"/>
          <w:sz w:val="24"/>
          <w:szCs w:val="24"/>
        </w:rPr>
        <w:t xml:space="preserve"> erroneous evidentiary rulings</w:t>
      </w:r>
      <w:r>
        <w:rPr>
          <w:rFonts w:ascii="Times New Roman" w:hAnsi="Times New Roman" w:cs="Times New Roman"/>
          <w:sz w:val="24"/>
          <w:szCs w:val="24"/>
        </w:rPr>
        <w:t xml:space="preserve"> that violated OCC’s substantial rights</w:t>
      </w:r>
      <w:r w:rsidRPr="00CD7A91">
        <w:rPr>
          <w:rFonts w:ascii="Times New Roman" w:hAnsi="Times New Roman" w:cs="Times New Roman"/>
          <w:sz w:val="24"/>
          <w:szCs w:val="24"/>
        </w:rPr>
        <w:t xml:space="preserve">. </w:t>
      </w:r>
      <w:r w:rsidR="00B46EDA">
        <w:rPr>
          <w:rFonts w:ascii="Times New Roman" w:hAnsi="Times New Roman" w:cs="Times New Roman"/>
          <w:sz w:val="24"/>
          <w:szCs w:val="24"/>
        </w:rPr>
        <w:t xml:space="preserve">The first ruling struck parts of OCC witness Mike Haugh’s testimony discussing how PUCO Staff asked the Auditor to change language in a draft AEP Audit Report stating that </w:t>
      </w:r>
      <w:r w:rsidRPr="00CD7A91" w:rsidR="00761BE2">
        <w:rPr>
          <w:rFonts w:ascii="Times New Roman" w:hAnsi="Times New Roman" w:cs="Times New Roman"/>
          <w:sz w:val="24"/>
          <w:szCs w:val="24"/>
        </w:rPr>
        <w:t>“keeping the plants running does not seem to be in the best interests of the ratepayers.</w:t>
      </w:r>
      <w:r w:rsidR="001E1243">
        <w:rPr>
          <w:rFonts w:ascii="Times New Roman" w:hAnsi="Times New Roman" w:cs="Times New Roman"/>
          <w:sz w:val="24"/>
          <w:szCs w:val="24"/>
        </w:rPr>
        <w:t>”</w:t>
      </w:r>
      <w:r w:rsidR="00980214">
        <w:rPr>
          <w:rFonts w:ascii="Times New Roman" w:hAnsi="Times New Roman" w:cs="Times New Roman"/>
          <w:sz w:val="24"/>
          <w:szCs w:val="24"/>
        </w:rPr>
        <w:t xml:space="preserve"> </w:t>
      </w:r>
      <w:r w:rsidR="00B46EDA">
        <w:rPr>
          <w:rFonts w:ascii="Times New Roman" w:hAnsi="Times New Roman" w:cs="Times New Roman"/>
          <w:sz w:val="24"/>
          <w:szCs w:val="24"/>
        </w:rPr>
        <w:t xml:space="preserve">The second ruling excluded from evidence </w:t>
      </w:r>
      <w:r w:rsidR="00761BE2">
        <w:rPr>
          <w:rFonts w:ascii="Times New Roman" w:hAnsi="Times New Roman" w:cs="Times New Roman"/>
          <w:sz w:val="24"/>
          <w:szCs w:val="24"/>
        </w:rPr>
        <w:t>the</w:t>
      </w:r>
      <w:r w:rsidR="00B46EDA">
        <w:rPr>
          <w:rFonts w:ascii="Times New Roman" w:hAnsi="Times New Roman" w:cs="Times New Roman"/>
          <w:sz w:val="24"/>
          <w:szCs w:val="24"/>
        </w:rPr>
        <w:t xml:space="preserve"> draft AEP Audit Report </w:t>
      </w:r>
      <w:r w:rsidR="00761BE2">
        <w:rPr>
          <w:rFonts w:ascii="Times New Roman" w:hAnsi="Times New Roman" w:cs="Times New Roman"/>
          <w:sz w:val="24"/>
          <w:szCs w:val="24"/>
        </w:rPr>
        <w:t>itself.</w:t>
      </w:r>
      <w:r w:rsidR="00980214">
        <w:rPr>
          <w:rFonts w:ascii="Times New Roman" w:hAnsi="Times New Roman" w:cs="Times New Roman"/>
          <w:sz w:val="24"/>
          <w:szCs w:val="24"/>
        </w:rPr>
        <w:t xml:space="preserve"> </w:t>
      </w:r>
      <w:r w:rsidRPr="00CD7A91">
        <w:rPr>
          <w:rFonts w:ascii="Times New Roman" w:hAnsi="Times New Roman" w:cs="Times New Roman"/>
          <w:sz w:val="24"/>
          <w:szCs w:val="24"/>
        </w:rPr>
        <w:t xml:space="preserve">Under Ohio Adm. Code 4901-1-15(F), OCC respectfully requests that the PUCO reverse these rulings and re-open the hearing to allow OCC to present the evidence that the Attorney Examiner excluded from the hearing. </w:t>
      </w:r>
    </w:p>
    <w:p w:rsidR="00DD180D" w:rsidRPr="00CD7A91" w:rsidP="00980214" w14:paraId="5C203163" w14:textId="77777777">
      <w:pPr>
        <w:spacing w:after="0" w:line="480" w:lineRule="auto"/>
        <w:ind w:firstLine="720"/>
        <w:rPr>
          <w:rFonts w:ascii="Times New Roman" w:hAnsi="Times New Roman" w:cs="Times New Roman"/>
          <w:sz w:val="24"/>
          <w:szCs w:val="24"/>
        </w:rPr>
      </w:pPr>
      <w:r w:rsidRPr="00CD7A91">
        <w:rPr>
          <w:rFonts w:ascii="Times New Roman" w:hAnsi="Times New Roman" w:cs="Times New Roman"/>
          <w:sz w:val="24"/>
          <w:szCs w:val="24"/>
        </w:rPr>
        <w:t>A party may seek reversal of an Attorney Examiner’s ruling by “discussing the matter as a distinct issue in its initial brief….”</w:t>
      </w:r>
      <w:r>
        <w:rPr>
          <w:rStyle w:val="FootnoteReference"/>
          <w:rFonts w:ascii="Times New Roman" w:hAnsi="Times New Roman" w:cs="Times New Roman"/>
          <w:szCs w:val="24"/>
        </w:rPr>
        <w:footnoteReference w:id="96"/>
      </w:r>
      <w:r w:rsidRPr="00CD7A91">
        <w:rPr>
          <w:rFonts w:ascii="Times New Roman" w:hAnsi="Times New Roman" w:cs="Times New Roman"/>
          <w:sz w:val="24"/>
          <w:szCs w:val="24"/>
        </w:rPr>
        <w:t xml:space="preserve"> Below is a </w:t>
      </w:r>
      <w:r>
        <w:rPr>
          <w:rFonts w:ascii="Times New Roman" w:hAnsi="Times New Roman" w:cs="Times New Roman"/>
          <w:sz w:val="24"/>
          <w:szCs w:val="24"/>
        </w:rPr>
        <w:t>discussion</w:t>
      </w:r>
      <w:r w:rsidRPr="00CD7A91">
        <w:rPr>
          <w:rFonts w:ascii="Times New Roman" w:hAnsi="Times New Roman" w:cs="Times New Roman"/>
          <w:sz w:val="24"/>
          <w:szCs w:val="24"/>
        </w:rPr>
        <w:t xml:space="preserve"> of the </w:t>
      </w:r>
      <w:r>
        <w:rPr>
          <w:rFonts w:ascii="Times New Roman" w:hAnsi="Times New Roman" w:cs="Times New Roman"/>
          <w:sz w:val="24"/>
          <w:szCs w:val="24"/>
        </w:rPr>
        <w:t xml:space="preserve">two </w:t>
      </w:r>
      <w:r w:rsidRPr="00CD7A91">
        <w:rPr>
          <w:rFonts w:ascii="Times New Roman" w:hAnsi="Times New Roman" w:cs="Times New Roman"/>
          <w:sz w:val="24"/>
          <w:szCs w:val="24"/>
        </w:rPr>
        <w:t>evidentiary rulings OCC seeks to be reversed. As required by the rule, OCC discusses each ruling</w:t>
      </w:r>
      <w:r>
        <w:rPr>
          <w:rFonts w:ascii="Times New Roman" w:hAnsi="Times New Roman" w:cs="Times New Roman"/>
          <w:sz w:val="24"/>
          <w:szCs w:val="24"/>
        </w:rPr>
        <w:t xml:space="preserve"> separately</w:t>
      </w:r>
      <w:r w:rsidRPr="00CD7A91">
        <w:rPr>
          <w:rFonts w:ascii="Times New Roman" w:hAnsi="Times New Roman" w:cs="Times New Roman"/>
          <w:sz w:val="24"/>
          <w:szCs w:val="24"/>
        </w:rPr>
        <w:t xml:space="preserve"> and explains how the Attorney Examiner’s ruling</w:t>
      </w:r>
      <w:r>
        <w:rPr>
          <w:rFonts w:ascii="Times New Roman" w:hAnsi="Times New Roman" w:cs="Times New Roman"/>
          <w:sz w:val="24"/>
          <w:szCs w:val="24"/>
        </w:rPr>
        <w:t>s</w:t>
      </w:r>
      <w:r w:rsidRPr="00CD7A91">
        <w:rPr>
          <w:rFonts w:ascii="Times New Roman" w:hAnsi="Times New Roman" w:cs="Times New Roman"/>
          <w:sz w:val="24"/>
          <w:szCs w:val="24"/>
        </w:rPr>
        <w:t xml:space="preserve"> </w:t>
      </w:r>
      <w:r>
        <w:rPr>
          <w:rFonts w:ascii="Times New Roman" w:hAnsi="Times New Roman" w:cs="Times New Roman"/>
          <w:sz w:val="24"/>
          <w:szCs w:val="24"/>
        </w:rPr>
        <w:t>violated OCC’s substantial rights</w:t>
      </w:r>
      <w:r w:rsidRPr="00CD7A91">
        <w:rPr>
          <w:rFonts w:ascii="Times New Roman" w:hAnsi="Times New Roman" w:cs="Times New Roman"/>
          <w:sz w:val="24"/>
          <w:szCs w:val="24"/>
        </w:rPr>
        <w:t>.</w:t>
      </w:r>
    </w:p>
    <w:p w:rsidR="00DD180D" w:rsidP="00DD180D" w14:paraId="5A1378FB" w14:textId="77777777">
      <w:pPr>
        <w:spacing w:after="0" w:line="480" w:lineRule="auto"/>
        <w:ind w:firstLine="720"/>
        <w:rPr>
          <w:rFonts w:ascii="Times New Roman" w:hAnsi="Times New Roman" w:cs="Times New Roman"/>
          <w:sz w:val="24"/>
          <w:szCs w:val="24"/>
        </w:rPr>
      </w:pPr>
      <w:r w:rsidRPr="00CD7A91">
        <w:rPr>
          <w:rFonts w:ascii="Times New Roman" w:hAnsi="Times New Roman" w:cs="Times New Roman"/>
          <w:sz w:val="24"/>
          <w:szCs w:val="24"/>
        </w:rPr>
        <w:t xml:space="preserve">Under Ohio R. Evid. 103(A), “[e]rror may not be predicated upon a ruling which admits or excludes evidence unless a substantial right of the party is affected.” Here OCC’s substantial rights were affected because these evidentiary rulings go to </w:t>
      </w:r>
      <w:r>
        <w:rPr>
          <w:rFonts w:ascii="Times New Roman" w:hAnsi="Times New Roman" w:cs="Times New Roman"/>
          <w:sz w:val="24"/>
          <w:szCs w:val="24"/>
        </w:rPr>
        <w:t xml:space="preserve">a key issue – that </w:t>
      </w:r>
      <w:r w:rsidRPr="00CD7A91">
        <w:rPr>
          <w:rFonts w:ascii="Times New Roman" w:hAnsi="Times New Roman" w:cs="Times New Roman"/>
          <w:sz w:val="24"/>
          <w:szCs w:val="24"/>
        </w:rPr>
        <w:t xml:space="preserve">the </w:t>
      </w:r>
      <w:r>
        <w:rPr>
          <w:rFonts w:ascii="Times New Roman" w:hAnsi="Times New Roman" w:cs="Times New Roman"/>
          <w:sz w:val="24"/>
          <w:szCs w:val="24"/>
        </w:rPr>
        <w:t xml:space="preserve">PUCO Staff asked the </w:t>
      </w:r>
      <w:r w:rsidRPr="00CD7A91">
        <w:rPr>
          <w:rFonts w:ascii="Times New Roman" w:hAnsi="Times New Roman" w:cs="Times New Roman"/>
          <w:sz w:val="24"/>
          <w:szCs w:val="24"/>
        </w:rPr>
        <w:t xml:space="preserve">Auditor </w:t>
      </w:r>
      <w:r>
        <w:rPr>
          <w:rFonts w:ascii="Times New Roman" w:hAnsi="Times New Roman" w:cs="Times New Roman"/>
          <w:sz w:val="24"/>
          <w:szCs w:val="24"/>
        </w:rPr>
        <w:t xml:space="preserve">to </w:t>
      </w:r>
      <w:r w:rsidRPr="00CD7A91">
        <w:rPr>
          <w:rFonts w:ascii="Times New Roman" w:hAnsi="Times New Roman" w:cs="Times New Roman"/>
          <w:sz w:val="24"/>
          <w:szCs w:val="24"/>
        </w:rPr>
        <w:t xml:space="preserve">change the draft </w:t>
      </w:r>
      <w:r>
        <w:rPr>
          <w:rFonts w:ascii="Times New Roman" w:hAnsi="Times New Roman" w:cs="Times New Roman"/>
          <w:sz w:val="24"/>
          <w:szCs w:val="24"/>
        </w:rPr>
        <w:t>AEP Audit R</w:t>
      </w:r>
      <w:r w:rsidRPr="00CD7A91">
        <w:rPr>
          <w:rFonts w:ascii="Times New Roman" w:hAnsi="Times New Roman" w:cs="Times New Roman"/>
          <w:sz w:val="24"/>
          <w:szCs w:val="24"/>
        </w:rPr>
        <w:t xml:space="preserve">eport </w:t>
      </w:r>
      <w:r>
        <w:rPr>
          <w:rFonts w:ascii="Times New Roman" w:hAnsi="Times New Roman" w:cs="Times New Roman"/>
          <w:sz w:val="24"/>
          <w:szCs w:val="24"/>
        </w:rPr>
        <w:t xml:space="preserve">(filed a few weeks before the Duke Audit Report) </w:t>
      </w:r>
      <w:r w:rsidRPr="00CD7A91">
        <w:rPr>
          <w:rFonts w:ascii="Times New Roman" w:hAnsi="Times New Roman" w:cs="Times New Roman"/>
          <w:sz w:val="24"/>
          <w:szCs w:val="24"/>
        </w:rPr>
        <w:t>to remove the conclusory statement that “keeping the plants running does not seem to be in the best interests of the ratepayers.’”</w:t>
      </w:r>
      <w:r>
        <w:rPr>
          <w:rStyle w:val="FootnoteReference"/>
          <w:rFonts w:ascii="Times New Roman" w:hAnsi="Times New Roman" w:cs="Times New Roman"/>
          <w:szCs w:val="24"/>
        </w:rPr>
        <w:footnoteReference w:id="97"/>
      </w:r>
      <w:r w:rsidRPr="00CD7A91">
        <w:rPr>
          <w:rFonts w:ascii="Times New Roman" w:hAnsi="Times New Roman" w:cs="Times New Roman"/>
          <w:sz w:val="24"/>
          <w:szCs w:val="24"/>
        </w:rPr>
        <w:t xml:space="preserve"> </w:t>
      </w:r>
    </w:p>
    <w:p w:rsidR="00DD180D" w:rsidP="00DD180D" w14:paraId="3815231B" w14:textId="77777777">
      <w:pPr>
        <w:spacing w:after="0" w:line="480" w:lineRule="auto"/>
        <w:ind w:firstLine="720"/>
        <w:rPr>
          <w:rFonts w:ascii="Times New Roman" w:hAnsi="Times New Roman" w:cs="Times New Roman"/>
          <w:sz w:val="24"/>
          <w:szCs w:val="24"/>
        </w:rPr>
      </w:pPr>
      <w:r w:rsidRPr="00CD7A91">
        <w:rPr>
          <w:rFonts w:ascii="Times New Roman" w:hAnsi="Times New Roman" w:cs="Times New Roman"/>
          <w:sz w:val="24"/>
          <w:szCs w:val="24"/>
        </w:rPr>
        <w:t xml:space="preserve">OCC offers this as proof that the Auditor </w:t>
      </w:r>
      <w:r>
        <w:rPr>
          <w:rFonts w:ascii="Times New Roman" w:hAnsi="Times New Roman" w:cs="Times New Roman"/>
          <w:sz w:val="24"/>
          <w:szCs w:val="24"/>
        </w:rPr>
        <w:t xml:space="preserve">initially </w:t>
      </w:r>
      <w:r w:rsidRPr="00CD7A91">
        <w:rPr>
          <w:rFonts w:ascii="Times New Roman" w:hAnsi="Times New Roman" w:cs="Times New Roman"/>
          <w:sz w:val="24"/>
          <w:szCs w:val="24"/>
        </w:rPr>
        <w:t>concluded that the OVEC costs were imprudent</w:t>
      </w:r>
      <w:r>
        <w:rPr>
          <w:rFonts w:ascii="Times New Roman" w:hAnsi="Times New Roman" w:cs="Times New Roman"/>
          <w:sz w:val="24"/>
          <w:szCs w:val="24"/>
        </w:rPr>
        <w:t xml:space="preserve"> but </w:t>
      </w:r>
      <w:r w:rsidR="00EA6014">
        <w:rPr>
          <w:rFonts w:ascii="Times New Roman" w:hAnsi="Times New Roman" w:cs="Times New Roman"/>
          <w:sz w:val="24"/>
          <w:szCs w:val="24"/>
        </w:rPr>
        <w:t>did not in</w:t>
      </w:r>
      <w:r>
        <w:rPr>
          <w:rFonts w:ascii="Times New Roman" w:hAnsi="Times New Roman" w:cs="Times New Roman"/>
          <w:sz w:val="24"/>
          <w:szCs w:val="24"/>
        </w:rPr>
        <w:t xml:space="preserve">clude this statement </w:t>
      </w:r>
      <w:r w:rsidR="00EA6014">
        <w:rPr>
          <w:rFonts w:ascii="Times New Roman" w:hAnsi="Times New Roman" w:cs="Times New Roman"/>
          <w:sz w:val="24"/>
          <w:szCs w:val="24"/>
        </w:rPr>
        <w:t xml:space="preserve">in </w:t>
      </w:r>
      <w:r>
        <w:rPr>
          <w:rFonts w:ascii="Times New Roman" w:hAnsi="Times New Roman" w:cs="Times New Roman"/>
          <w:sz w:val="24"/>
          <w:szCs w:val="24"/>
        </w:rPr>
        <w:t>the Duke Audit Report</w:t>
      </w:r>
      <w:r w:rsidR="00EA6014">
        <w:rPr>
          <w:rFonts w:ascii="Times New Roman" w:hAnsi="Times New Roman" w:cs="Times New Roman"/>
          <w:sz w:val="24"/>
          <w:szCs w:val="24"/>
        </w:rPr>
        <w:t>.</w:t>
      </w:r>
      <w:r w:rsidR="00980214">
        <w:rPr>
          <w:rFonts w:ascii="Times New Roman" w:hAnsi="Times New Roman" w:cs="Times New Roman"/>
          <w:sz w:val="24"/>
          <w:szCs w:val="24"/>
        </w:rPr>
        <w:t xml:space="preserve"> </w:t>
      </w:r>
      <w:r w:rsidR="00EA6014">
        <w:rPr>
          <w:rFonts w:ascii="Times New Roman" w:hAnsi="Times New Roman" w:cs="Times New Roman"/>
          <w:sz w:val="24"/>
          <w:szCs w:val="24"/>
        </w:rPr>
        <w:t>It is speculated this occurred</w:t>
      </w:r>
      <w:r>
        <w:rPr>
          <w:rFonts w:ascii="Times New Roman" w:hAnsi="Times New Roman" w:cs="Times New Roman"/>
          <w:sz w:val="24"/>
          <w:szCs w:val="24"/>
        </w:rPr>
        <w:t xml:space="preserve"> because PUCO Staff asked </w:t>
      </w:r>
      <w:r w:rsidR="00EA6014">
        <w:rPr>
          <w:rFonts w:ascii="Times New Roman" w:hAnsi="Times New Roman" w:cs="Times New Roman"/>
          <w:sz w:val="24"/>
          <w:szCs w:val="24"/>
        </w:rPr>
        <w:t xml:space="preserve">the Auditor </w:t>
      </w:r>
      <w:r>
        <w:rPr>
          <w:rFonts w:ascii="Times New Roman" w:hAnsi="Times New Roman" w:cs="Times New Roman"/>
          <w:sz w:val="24"/>
          <w:szCs w:val="24"/>
        </w:rPr>
        <w:t>to omit it from the (nearly identical) AEP Audit Report filed a few weeks earlier</w:t>
      </w:r>
      <w:r w:rsidRPr="00CD7A91">
        <w:rPr>
          <w:rFonts w:ascii="Times New Roman" w:hAnsi="Times New Roman" w:cs="Times New Roman"/>
          <w:sz w:val="24"/>
          <w:szCs w:val="24"/>
        </w:rPr>
        <w:t xml:space="preserve">. These rulings </w:t>
      </w:r>
      <w:r>
        <w:rPr>
          <w:rFonts w:ascii="Times New Roman" w:hAnsi="Times New Roman" w:cs="Times New Roman"/>
          <w:sz w:val="24"/>
          <w:szCs w:val="24"/>
        </w:rPr>
        <w:t>violated</w:t>
      </w:r>
      <w:r w:rsidRPr="00CD7A91">
        <w:rPr>
          <w:rFonts w:ascii="Times New Roman" w:hAnsi="Times New Roman" w:cs="Times New Roman"/>
          <w:sz w:val="24"/>
          <w:szCs w:val="24"/>
        </w:rPr>
        <w:t xml:space="preserve"> OCC’s substantial right to </w:t>
      </w:r>
      <w:r>
        <w:rPr>
          <w:rFonts w:ascii="Times New Roman" w:hAnsi="Times New Roman" w:cs="Times New Roman"/>
          <w:sz w:val="24"/>
          <w:szCs w:val="24"/>
        </w:rPr>
        <w:t>present</w:t>
      </w:r>
      <w:r w:rsidRPr="00CD7A91">
        <w:rPr>
          <w:rFonts w:ascii="Times New Roman" w:hAnsi="Times New Roman" w:cs="Times New Roman"/>
          <w:sz w:val="24"/>
          <w:szCs w:val="24"/>
        </w:rPr>
        <w:t xml:space="preserve"> evidence </w:t>
      </w:r>
      <w:r>
        <w:rPr>
          <w:rFonts w:ascii="Times New Roman" w:hAnsi="Times New Roman" w:cs="Times New Roman"/>
          <w:sz w:val="24"/>
          <w:szCs w:val="24"/>
        </w:rPr>
        <w:t>that Duke acted imprudently.</w:t>
      </w:r>
      <w:r w:rsidR="00980214">
        <w:rPr>
          <w:rFonts w:ascii="Times New Roman" w:hAnsi="Times New Roman" w:cs="Times New Roman"/>
          <w:sz w:val="24"/>
          <w:szCs w:val="24"/>
        </w:rPr>
        <w:t xml:space="preserve"> </w:t>
      </w:r>
      <w:r>
        <w:rPr>
          <w:rFonts w:ascii="Times New Roman" w:hAnsi="Times New Roman" w:cs="Times New Roman"/>
          <w:sz w:val="24"/>
          <w:szCs w:val="24"/>
        </w:rPr>
        <w:t>T</w:t>
      </w:r>
      <w:r w:rsidRPr="00CD7A91">
        <w:rPr>
          <w:rFonts w:ascii="Times New Roman" w:hAnsi="Times New Roman" w:cs="Times New Roman"/>
          <w:sz w:val="24"/>
          <w:szCs w:val="24"/>
        </w:rPr>
        <w:t xml:space="preserve">he PUCO should re-open the hearing to allow OCC to obtain this evidence and to conduct reasonable follow-up questioning. </w:t>
      </w:r>
    </w:p>
    <w:p w:rsidR="00F4508C" w:rsidRPr="00214CF7" w:rsidP="00214CF7" w14:paraId="1DF08832" w14:textId="77777777">
      <w:pPr>
        <w:pStyle w:val="Heading3"/>
        <w:spacing w:after="0"/>
        <w:ind w:left="2160" w:hanging="720"/>
        <w:jc w:val="left"/>
        <w:rPr>
          <w:rFonts w:ascii="Times New Roman" w:hAnsi="Times New Roman" w:cs="Times New Roman"/>
        </w:rPr>
      </w:pPr>
      <w:bookmarkStart w:id="59" w:name="_Toc110004954"/>
      <w:r w:rsidRPr="00A51921">
        <w:rPr>
          <w:rFonts w:ascii="Times New Roman" w:hAnsi="Times New Roman" w:cs="Times New Roman"/>
          <w:b/>
        </w:rPr>
        <w:t>Attorney Examiner Sandor unreasonably and unlawfully granted a Motion to Strike portions of OCC Witness Haugh’s testimony.</w:t>
      </w:r>
      <w:bookmarkEnd w:id="59"/>
    </w:p>
    <w:p w:rsidR="00214CF7" w:rsidRPr="00A51921" w:rsidP="00214CF7" w14:paraId="2FA5A149" w14:textId="77777777">
      <w:pPr>
        <w:pStyle w:val="Heading3"/>
        <w:numPr>
          <w:ilvl w:val="0"/>
          <w:numId w:val="0"/>
        </w:numPr>
        <w:spacing w:after="0"/>
        <w:ind w:left="720"/>
        <w:rPr>
          <w:rFonts w:ascii="Times New Roman" w:hAnsi="Times New Roman" w:cs="Times New Roman"/>
        </w:rPr>
      </w:pPr>
    </w:p>
    <w:p w:rsidR="00DD180D" w:rsidP="00DD180D" w14:paraId="00292D10" w14:textId="77777777">
      <w:pPr>
        <w:spacing w:after="0" w:line="480" w:lineRule="auto"/>
        <w:rPr>
          <w:rFonts w:ascii="Times New Roman" w:hAnsi="Times New Roman" w:cs="Times New Roman"/>
          <w:sz w:val="24"/>
          <w:szCs w:val="24"/>
        </w:rPr>
      </w:pPr>
      <w:r>
        <w:rPr>
          <w:rFonts w:ascii="Times New Roman" w:hAnsi="Times New Roman" w:cs="Times New Roman"/>
          <w:color w:val="000000"/>
          <w:sz w:val="24"/>
          <w:szCs w:val="24"/>
        </w:rPr>
        <w:tab/>
        <w:t>The first ruling occurred when</w:t>
      </w:r>
      <w:r w:rsidR="00980214">
        <w:rPr>
          <w:rFonts w:ascii="Times New Roman" w:hAnsi="Times New Roman" w:cs="Times New Roman"/>
          <w:color w:val="000000"/>
          <w:sz w:val="24"/>
          <w:szCs w:val="24"/>
        </w:rPr>
        <w:t xml:space="preserve"> </w:t>
      </w:r>
      <w:r>
        <w:rPr>
          <w:rFonts w:ascii="Times New Roman" w:hAnsi="Times New Roman" w:cs="Times New Roman"/>
          <w:color w:val="000000"/>
          <w:sz w:val="24"/>
          <w:szCs w:val="24"/>
        </w:rPr>
        <w:t>Attorney Examiner</w:t>
      </w:r>
      <w:r w:rsidR="00980214">
        <w:rPr>
          <w:rFonts w:ascii="Times New Roman" w:hAnsi="Times New Roman" w:cs="Times New Roman"/>
          <w:color w:val="000000"/>
          <w:sz w:val="24"/>
          <w:szCs w:val="24"/>
        </w:rPr>
        <w:t xml:space="preserve"> </w:t>
      </w:r>
      <w:r w:rsidR="00761BE2">
        <w:rPr>
          <w:rFonts w:ascii="Times New Roman" w:hAnsi="Times New Roman" w:cs="Times New Roman"/>
          <w:color w:val="000000"/>
          <w:sz w:val="24"/>
          <w:szCs w:val="24"/>
        </w:rPr>
        <w:t>Mathew Sandor</w:t>
      </w:r>
      <w:r w:rsidR="00EA6014">
        <w:rPr>
          <w:rFonts w:ascii="Times New Roman" w:hAnsi="Times New Roman" w:cs="Times New Roman"/>
          <w:color w:val="000000"/>
          <w:sz w:val="24"/>
          <w:szCs w:val="24"/>
        </w:rPr>
        <w:t xml:space="preserve"> </w:t>
      </w:r>
      <w:r w:rsidR="000B6F61">
        <w:rPr>
          <w:rFonts w:ascii="Times New Roman" w:hAnsi="Times New Roman" w:cs="Times New Roman"/>
          <w:color w:val="000000"/>
          <w:sz w:val="24"/>
          <w:szCs w:val="24"/>
        </w:rPr>
        <w:t>granted a Motion to Strike portions of</w:t>
      </w:r>
      <w:r>
        <w:rPr>
          <w:rFonts w:ascii="Times New Roman" w:hAnsi="Times New Roman" w:cs="Times New Roman"/>
          <w:color w:val="000000"/>
          <w:sz w:val="24"/>
          <w:szCs w:val="24"/>
        </w:rPr>
        <w:t xml:space="preserve"> the testimony of OCC witness Mike Haugh discussing PUCO Staff’s request to the Auditor in the AEP case to eliminate her statement that </w:t>
      </w:r>
      <w:r w:rsidRPr="00CD7A91">
        <w:rPr>
          <w:rFonts w:ascii="Times New Roman" w:hAnsi="Times New Roman" w:cs="Times New Roman"/>
          <w:sz w:val="24"/>
          <w:szCs w:val="24"/>
        </w:rPr>
        <w:t>“keeping the plants running does not seem to be in the best interests of the ratepayers.’”</w:t>
      </w:r>
      <w:r>
        <w:rPr>
          <w:rStyle w:val="FootnoteReference"/>
          <w:rFonts w:ascii="Times New Roman" w:hAnsi="Times New Roman" w:cs="Times New Roman"/>
          <w:szCs w:val="24"/>
        </w:rPr>
        <w:footnoteReference w:id="98"/>
      </w:r>
      <w:r w:rsidR="00980214">
        <w:rPr>
          <w:rFonts w:ascii="Times New Roman" w:hAnsi="Times New Roman" w:cs="Times New Roman"/>
          <w:sz w:val="24"/>
          <w:szCs w:val="24"/>
        </w:rPr>
        <w:t xml:space="preserve"> </w:t>
      </w:r>
      <w:r w:rsidR="000B6F61">
        <w:rPr>
          <w:rFonts w:ascii="Times New Roman" w:hAnsi="Times New Roman" w:cs="Times New Roman"/>
          <w:sz w:val="24"/>
          <w:szCs w:val="24"/>
        </w:rPr>
        <w:t xml:space="preserve">The portions of </w:t>
      </w:r>
      <w:r>
        <w:rPr>
          <w:rFonts w:ascii="Times New Roman" w:hAnsi="Times New Roman" w:cs="Times New Roman"/>
          <w:sz w:val="24"/>
          <w:szCs w:val="24"/>
        </w:rPr>
        <w:t>Mr. Haugh</w:t>
      </w:r>
      <w:r w:rsidR="000B6F61">
        <w:rPr>
          <w:rFonts w:ascii="Times New Roman" w:hAnsi="Times New Roman" w:cs="Times New Roman"/>
          <w:sz w:val="24"/>
          <w:szCs w:val="24"/>
        </w:rPr>
        <w:t>’s testimony that were struck</w:t>
      </w:r>
      <w:r>
        <w:rPr>
          <w:rFonts w:ascii="Times New Roman" w:hAnsi="Times New Roman" w:cs="Times New Roman"/>
          <w:sz w:val="24"/>
          <w:szCs w:val="24"/>
        </w:rPr>
        <w:t xml:space="preserve"> presented a detailed explanation of the communications between PUCO Staff and the Auditor, which OCC learned about through a public records request in the AEP case.</w:t>
      </w:r>
      <w:r w:rsidR="00980214">
        <w:rPr>
          <w:rFonts w:ascii="Times New Roman" w:hAnsi="Times New Roman" w:cs="Times New Roman"/>
          <w:sz w:val="24"/>
          <w:szCs w:val="24"/>
        </w:rPr>
        <w:t xml:space="preserve"> </w:t>
      </w:r>
      <w:r>
        <w:rPr>
          <w:rFonts w:ascii="Times New Roman" w:hAnsi="Times New Roman" w:cs="Times New Roman"/>
          <w:sz w:val="24"/>
          <w:szCs w:val="24"/>
        </w:rPr>
        <w:t>Mr. Haugh also explained how PUCO Staff’s actions prejudiced consumers because the PUCO had ordered an “independent” audit but PUCO Staff interfered with the Auditor’s independence by asking her to modify her ultimate conclusion in the case – whether the plants were operated prudently.</w:t>
      </w:r>
      <w:r w:rsidR="00980214">
        <w:rPr>
          <w:rFonts w:ascii="Times New Roman" w:hAnsi="Times New Roman" w:cs="Times New Roman"/>
          <w:sz w:val="24"/>
          <w:szCs w:val="24"/>
        </w:rPr>
        <w:t xml:space="preserve"> </w:t>
      </w:r>
    </w:p>
    <w:p w:rsidR="000B6F61" w:rsidRPr="000B6F61" w:rsidP="00214CF7" w14:paraId="46B2737D" w14:textId="77777777">
      <w:pPr>
        <w:pStyle w:val="Heading3"/>
        <w:numPr>
          <w:ilvl w:val="0"/>
          <w:numId w:val="0"/>
        </w:numPr>
        <w:ind w:left="2160" w:hanging="720"/>
        <w:jc w:val="left"/>
        <w:rPr>
          <w:rFonts w:ascii="Times New Roman" w:hAnsi="Times New Roman" w:cs="Times New Roman"/>
          <w:b/>
          <w:bCs w:val="0"/>
        </w:rPr>
      </w:pPr>
      <w:bookmarkStart w:id="60" w:name="_Toc110004955"/>
      <w:r w:rsidRPr="000B6F61">
        <w:rPr>
          <w:rFonts w:ascii="Times New Roman" w:hAnsi="Times New Roman" w:cs="Times New Roman"/>
          <w:b/>
          <w:bCs w:val="0"/>
        </w:rPr>
        <w:t>2.</w:t>
      </w:r>
      <w:r w:rsidRPr="000B6F61" w:rsidR="00DD180D">
        <w:rPr>
          <w:rFonts w:ascii="Times New Roman" w:hAnsi="Times New Roman" w:cs="Times New Roman"/>
          <w:b/>
          <w:bCs w:val="0"/>
        </w:rPr>
        <w:tab/>
      </w:r>
      <w:r w:rsidRPr="000B6F61">
        <w:rPr>
          <w:rFonts w:ascii="Times New Roman" w:hAnsi="Times New Roman" w:cs="Times New Roman"/>
          <w:b/>
          <w:bCs w:val="0"/>
        </w:rPr>
        <w:t>Attorney Examiner Sandor unreasonably and unlawfully denied the admission of a copy of the draft AEP Audit Report into evidence.</w:t>
      </w:r>
      <w:bookmarkEnd w:id="60"/>
    </w:p>
    <w:p w:rsidR="00DD180D" w:rsidP="000B6F61" w14:paraId="4705507D" w14:textId="77777777">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The second ruling occurred when the Attorney Examiner precluded intervenors from introducing into evidence a draft</w:t>
      </w:r>
      <w:r w:rsidR="005910F6">
        <w:rPr>
          <w:rFonts w:ascii="Times New Roman" w:hAnsi="Times New Roman" w:cs="Times New Roman"/>
          <w:sz w:val="24"/>
          <w:szCs w:val="24"/>
        </w:rPr>
        <w:t xml:space="preserve"> copy</w:t>
      </w:r>
      <w:r>
        <w:rPr>
          <w:rFonts w:ascii="Times New Roman" w:hAnsi="Times New Roman" w:cs="Times New Roman"/>
          <w:sz w:val="24"/>
          <w:szCs w:val="24"/>
        </w:rPr>
        <w:t xml:space="preserve"> of the AEP Audit Report containing the Auditor’s statement that </w:t>
      </w:r>
      <w:r w:rsidRPr="00CD7A91">
        <w:rPr>
          <w:rFonts w:ascii="Times New Roman" w:hAnsi="Times New Roman" w:cs="Times New Roman"/>
          <w:sz w:val="24"/>
          <w:szCs w:val="24"/>
        </w:rPr>
        <w:t>“keeping the plants running does not seem to be in the best interests of the ratepayers.’”</w:t>
      </w:r>
      <w:r>
        <w:rPr>
          <w:rStyle w:val="FootnoteReference"/>
          <w:rFonts w:ascii="Times New Roman" w:hAnsi="Times New Roman" w:cs="Times New Roman"/>
          <w:szCs w:val="24"/>
        </w:rPr>
        <w:footnoteReference w:id="99"/>
      </w:r>
      <w:r w:rsidR="00980214">
        <w:rPr>
          <w:rFonts w:ascii="Times New Roman" w:hAnsi="Times New Roman" w:cs="Times New Roman"/>
          <w:sz w:val="24"/>
          <w:szCs w:val="24"/>
        </w:rPr>
        <w:t xml:space="preserve"> </w:t>
      </w:r>
      <w:r>
        <w:rPr>
          <w:rFonts w:ascii="Times New Roman" w:hAnsi="Times New Roman" w:cs="Times New Roman"/>
          <w:sz w:val="24"/>
          <w:szCs w:val="24"/>
        </w:rPr>
        <w:t>As noted earlier, the Auditor prepared the AEP and Duke Audit Reports at the same time and the summary section of the reports are essentially identical.</w:t>
      </w:r>
      <w:r w:rsidR="00980214">
        <w:rPr>
          <w:rFonts w:ascii="Times New Roman" w:hAnsi="Times New Roman" w:cs="Times New Roman"/>
          <w:sz w:val="24"/>
          <w:szCs w:val="24"/>
        </w:rPr>
        <w:t xml:space="preserve"> </w:t>
      </w:r>
      <w:r>
        <w:rPr>
          <w:rFonts w:ascii="Times New Roman" w:hAnsi="Times New Roman" w:cs="Times New Roman"/>
          <w:sz w:val="24"/>
          <w:szCs w:val="24"/>
        </w:rPr>
        <w:t>She finished the AEP Audit Report shortly before the Duke Audit Report, so when preparing the Duke Audit Report</w:t>
      </w:r>
      <w:r w:rsidR="002E1FC4">
        <w:rPr>
          <w:rFonts w:ascii="Times New Roman" w:hAnsi="Times New Roman" w:cs="Times New Roman"/>
          <w:sz w:val="24"/>
          <w:szCs w:val="24"/>
        </w:rPr>
        <w:t>,</w:t>
      </w:r>
      <w:r>
        <w:rPr>
          <w:rFonts w:ascii="Times New Roman" w:hAnsi="Times New Roman" w:cs="Times New Roman"/>
          <w:sz w:val="24"/>
          <w:szCs w:val="24"/>
        </w:rPr>
        <w:t xml:space="preserve"> </w:t>
      </w:r>
      <w:r w:rsidR="00980214">
        <w:rPr>
          <w:rFonts w:ascii="Times New Roman" w:hAnsi="Times New Roman" w:cs="Times New Roman"/>
          <w:sz w:val="24"/>
          <w:szCs w:val="24"/>
        </w:rPr>
        <w:t>apparently</w:t>
      </w:r>
      <w:r w:rsidR="005910F6">
        <w:rPr>
          <w:rFonts w:ascii="Times New Roman" w:hAnsi="Times New Roman" w:cs="Times New Roman"/>
          <w:sz w:val="24"/>
          <w:szCs w:val="24"/>
        </w:rPr>
        <w:t xml:space="preserve"> </w:t>
      </w:r>
      <w:r>
        <w:rPr>
          <w:rFonts w:ascii="Times New Roman" w:hAnsi="Times New Roman" w:cs="Times New Roman"/>
          <w:sz w:val="24"/>
          <w:szCs w:val="24"/>
        </w:rPr>
        <w:t>she had already been coached-up by PUCO Staff that they didn’t want her to conclude that the plants were operated imprudently.</w:t>
      </w:r>
    </w:p>
    <w:p w:rsidR="00DD180D" w:rsidP="00DD180D" w14:paraId="31ED979D" w14:textId="0D7536A6">
      <w:pPr>
        <w:spacing w:after="0" w:line="480" w:lineRule="auto"/>
        <w:rPr>
          <w:rFonts w:ascii="Times New Roman" w:hAnsi="Times New Roman" w:cs="Times New Roman"/>
          <w:sz w:val="24"/>
          <w:szCs w:val="24"/>
        </w:rPr>
      </w:pPr>
      <w:r>
        <w:rPr>
          <w:rFonts w:ascii="Times New Roman" w:hAnsi="Times New Roman" w:cs="Times New Roman"/>
          <w:sz w:val="24"/>
          <w:szCs w:val="24"/>
        </w:rPr>
        <w:tab/>
        <w:t xml:space="preserve">The draft AEP Audit Report with the statement </w:t>
      </w:r>
      <w:r w:rsidRPr="00CD7A91">
        <w:rPr>
          <w:rFonts w:ascii="Times New Roman" w:hAnsi="Times New Roman" w:cs="Times New Roman"/>
          <w:sz w:val="24"/>
          <w:szCs w:val="24"/>
        </w:rPr>
        <w:t>“keeping the plants running does not seem to be in the best interests of the ratepayers”</w:t>
      </w:r>
      <w:r>
        <w:rPr>
          <w:rStyle w:val="FootnoteReference"/>
          <w:rFonts w:ascii="Times New Roman" w:hAnsi="Times New Roman" w:cs="Times New Roman"/>
          <w:szCs w:val="24"/>
        </w:rPr>
        <w:footnoteReference w:id="100"/>
      </w:r>
      <w:r w:rsidR="00980214">
        <w:rPr>
          <w:rFonts w:ascii="Times New Roman" w:hAnsi="Times New Roman" w:cs="Times New Roman"/>
          <w:sz w:val="24"/>
          <w:szCs w:val="24"/>
        </w:rPr>
        <w:t xml:space="preserve"> </w:t>
      </w:r>
      <w:r>
        <w:rPr>
          <w:rFonts w:ascii="Times New Roman" w:hAnsi="Times New Roman" w:cs="Times New Roman"/>
          <w:sz w:val="24"/>
          <w:szCs w:val="24"/>
        </w:rPr>
        <w:t xml:space="preserve">is the best evidence that the Auditor originally concluded it was imprudent to operate the plants as </w:t>
      </w:r>
      <w:r w:rsidR="002E1FC4">
        <w:rPr>
          <w:rFonts w:ascii="Times New Roman" w:hAnsi="Times New Roman" w:cs="Times New Roman"/>
          <w:sz w:val="24"/>
          <w:szCs w:val="24"/>
        </w:rPr>
        <w:t>m</w:t>
      </w:r>
      <w:r>
        <w:rPr>
          <w:rFonts w:ascii="Times New Roman" w:hAnsi="Times New Roman" w:cs="Times New Roman"/>
          <w:sz w:val="24"/>
          <w:szCs w:val="24"/>
        </w:rPr>
        <w:t>ust-</w:t>
      </w:r>
      <w:r w:rsidR="002E1FC4">
        <w:rPr>
          <w:rFonts w:ascii="Times New Roman" w:hAnsi="Times New Roman" w:cs="Times New Roman"/>
          <w:sz w:val="24"/>
          <w:szCs w:val="24"/>
        </w:rPr>
        <w:t>r</w:t>
      </w:r>
      <w:r>
        <w:rPr>
          <w:rFonts w:ascii="Times New Roman" w:hAnsi="Times New Roman" w:cs="Times New Roman"/>
          <w:sz w:val="24"/>
          <w:szCs w:val="24"/>
        </w:rPr>
        <w:t>un at all times.</w:t>
      </w:r>
      <w:r w:rsidR="00980214">
        <w:rPr>
          <w:rFonts w:ascii="Times New Roman" w:hAnsi="Times New Roman" w:cs="Times New Roman"/>
          <w:sz w:val="24"/>
          <w:szCs w:val="24"/>
        </w:rPr>
        <w:t xml:space="preserve"> </w:t>
      </w:r>
      <w:r>
        <w:rPr>
          <w:rFonts w:ascii="Times New Roman" w:hAnsi="Times New Roman" w:cs="Times New Roman"/>
          <w:sz w:val="24"/>
          <w:szCs w:val="24"/>
        </w:rPr>
        <w:t xml:space="preserve"> </w:t>
      </w:r>
      <w:r w:rsidR="00D46213">
        <w:rPr>
          <w:rFonts w:ascii="Times New Roman" w:hAnsi="Times New Roman" w:cs="Times New Roman"/>
          <w:sz w:val="24"/>
          <w:szCs w:val="24"/>
        </w:rPr>
        <w:t xml:space="preserve">The </w:t>
      </w:r>
      <w:r>
        <w:rPr>
          <w:rFonts w:ascii="Times New Roman" w:hAnsi="Times New Roman" w:cs="Times New Roman"/>
          <w:sz w:val="24"/>
          <w:szCs w:val="24"/>
        </w:rPr>
        <w:t xml:space="preserve">intervenors </w:t>
      </w:r>
      <w:r w:rsidR="00D46213">
        <w:rPr>
          <w:rFonts w:ascii="Times New Roman" w:hAnsi="Times New Roman" w:cs="Times New Roman"/>
          <w:sz w:val="24"/>
          <w:szCs w:val="24"/>
        </w:rPr>
        <w:t>should have had the opportunity to</w:t>
      </w:r>
      <w:r>
        <w:rPr>
          <w:rFonts w:ascii="Times New Roman" w:hAnsi="Times New Roman" w:cs="Times New Roman"/>
          <w:sz w:val="24"/>
          <w:szCs w:val="24"/>
        </w:rPr>
        <w:t xml:space="preserve"> present the </w:t>
      </w:r>
      <w:r w:rsidR="00D46213">
        <w:rPr>
          <w:rFonts w:ascii="Times New Roman" w:hAnsi="Times New Roman" w:cs="Times New Roman"/>
          <w:sz w:val="24"/>
          <w:szCs w:val="24"/>
        </w:rPr>
        <w:t>draft AEP Audit Report</w:t>
      </w:r>
      <w:r>
        <w:rPr>
          <w:rFonts w:ascii="Times New Roman" w:hAnsi="Times New Roman" w:cs="Times New Roman"/>
          <w:sz w:val="24"/>
          <w:szCs w:val="24"/>
        </w:rPr>
        <w:t xml:space="preserve"> containing the Auditor’s original conclusion that the plants were operated imprudently.</w:t>
      </w:r>
    </w:p>
    <w:p w:rsidR="00DD180D" w:rsidP="00DD180D" w14:paraId="02DE3177" w14:textId="77777777">
      <w:pPr>
        <w:spacing w:after="0" w:line="480" w:lineRule="auto"/>
        <w:rPr>
          <w:rFonts w:ascii="Times New Roman" w:hAnsi="Times New Roman" w:cs="Times New Roman"/>
          <w:color w:val="000000"/>
          <w:sz w:val="24"/>
          <w:szCs w:val="24"/>
        </w:rPr>
      </w:pPr>
      <w:r>
        <w:rPr>
          <w:rFonts w:ascii="Times New Roman" w:hAnsi="Times New Roman" w:cs="Times New Roman"/>
          <w:sz w:val="24"/>
          <w:szCs w:val="24"/>
        </w:rPr>
        <w:tab/>
        <w:t>These two evidentiary rulings violated OCC’s substantial rights because they precluded OCC from introducing material evidence on the ultimate issue in the case.</w:t>
      </w:r>
      <w:r w:rsidR="00980214">
        <w:rPr>
          <w:rFonts w:ascii="Times New Roman" w:hAnsi="Times New Roman" w:cs="Times New Roman"/>
          <w:sz w:val="24"/>
          <w:szCs w:val="24"/>
        </w:rPr>
        <w:t xml:space="preserve"> </w:t>
      </w:r>
      <w:r>
        <w:rPr>
          <w:rFonts w:ascii="Times New Roman" w:hAnsi="Times New Roman" w:cs="Times New Roman"/>
          <w:sz w:val="24"/>
          <w:szCs w:val="24"/>
        </w:rPr>
        <w:t>As a result, t</w:t>
      </w:r>
      <w:r w:rsidRPr="00CD7A91">
        <w:rPr>
          <w:rFonts w:ascii="Times New Roman" w:hAnsi="Times New Roman" w:cs="Times New Roman"/>
          <w:sz w:val="24"/>
          <w:szCs w:val="24"/>
        </w:rPr>
        <w:t>he PUCO should re-open the hearing to allow OCC to obtain this evidence and to conduct reasonable follow-up questioning.</w:t>
      </w:r>
    </w:p>
    <w:p w:rsidR="00D4198D" w:rsidRPr="0024134B" w:rsidP="00D4198D" w14:paraId="211C4406" w14:textId="77777777">
      <w:pPr>
        <w:spacing w:after="0" w:line="240" w:lineRule="auto"/>
        <w:ind w:firstLine="720"/>
        <w:rPr>
          <w:rFonts w:ascii="Times New Roman" w:hAnsi="Times New Roman" w:cs="Times New Roman"/>
          <w:color w:val="000000"/>
          <w:sz w:val="24"/>
          <w:szCs w:val="24"/>
        </w:rPr>
      </w:pPr>
    </w:p>
    <w:p w:rsidR="006B6BC6" w:rsidRPr="0024134B" w:rsidP="00E218A6" w14:paraId="546A70F3" w14:textId="77777777">
      <w:pPr>
        <w:pStyle w:val="Heading1"/>
        <w:rPr>
          <w:rFonts w:cs="Times New Roman"/>
        </w:rPr>
      </w:pPr>
      <w:bookmarkStart w:id="61" w:name="_Toc110004956"/>
      <w:r w:rsidRPr="0024134B">
        <w:rPr>
          <w:rFonts w:cs="Times New Roman"/>
        </w:rPr>
        <w:t>CONCLUSION</w:t>
      </w:r>
      <w:bookmarkEnd w:id="61"/>
    </w:p>
    <w:p w:rsidR="005E652B" w:rsidRPr="0024134B" w:rsidP="00D4198D" w14:paraId="127BF1CC" w14:textId="77777777">
      <w:pPr>
        <w:spacing w:after="0" w:line="480" w:lineRule="auto"/>
        <w:ind w:firstLine="720"/>
        <w:rPr>
          <w:rFonts w:ascii="Times New Roman" w:hAnsi="Times New Roman" w:cs="Times New Roman"/>
          <w:color w:val="000000"/>
          <w:sz w:val="24"/>
          <w:szCs w:val="24"/>
        </w:rPr>
      </w:pPr>
      <w:r w:rsidRPr="0024134B">
        <w:rPr>
          <w:rFonts w:ascii="Times New Roman" w:hAnsi="Times New Roman" w:cs="Times New Roman"/>
          <w:color w:val="000000"/>
          <w:sz w:val="24"/>
          <w:szCs w:val="24"/>
        </w:rPr>
        <w:t xml:space="preserve">The evidence demonstrates that </w:t>
      </w:r>
      <w:r w:rsidRPr="0024134B" w:rsidR="00462EC3">
        <w:rPr>
          <w:rFonts w:ascii="Times New Roman" w:hAnsi="Times New Roman" w:cs="Times New Roman"/>
          <w:color w:val="000000"/>
          <w:sz w:val="24"/>
          <w:szCs w:val="24"/>
        </w:rPr>
        <w:t>Duke’s</w:t>
      </w:r>
      <w:r w:rsidRPr="0024134B">
        <w:rPr>
          <w:rFonts w:ascii="Times New Roman" w:hAnsi="Times New Roman" w:cs="Times New Roman"/>
          <w:color w:val="000000"/>
          <w:sz w:val="24"/>
          <w:szCs w:val="24"/>
        </w:rPr>
        <w:t xml:space="preserve"> charges to consumers through the </w:t>
      </w:r>
      <w:r w:rsidR="00BD3EF5">
        <w:rPr>
          <w:rFonts w:ascii="Times New Roman" w:hAnsi="Times New Roman" w:cs="Times New Roman"/>
          <w:color w:val="000000"/>
          <w:sz w:val="24"/>
          <w:szCs w:val="24"/>
        </w:rPr>
        <w:t xml:space="preserve">so-called </w:t>
      </w:r>
      <w:r w:rsidRPr="0024134B" w:rsidR="00462EC3">
        <w:rPr>
          <w:rFonts w:ascii="Times New Roman" w:hAnsi="Times New Roman" w:cs="Times New Roman"/>
          <w:color w:val="000000"/>
          <w:sz w:val="24"/>
          <w:szCs w:val="24"/>
        </w:rPr>
        <w:t>Price Stabilization Rider</w:t>
      </w:r>
      <w:r w:rsidRPr="0024134B">
        <w:rPr>
          <w:rFonts w:ascii="Times New Roman" w:hAnsi="Times New Roman" w:cs="Times New Roman"/>
          <w:color w:val="000000"/>
          <w:sz w:val="24"/>
          <w:szCs w:val="24"/>
        </w:rPr>
        <w:t xml:space="preserve"> in 2019 were imprudent and operation of the OVEC plants is not in the best interest of consumers.</w:t>
      </w:r>
      <w:r w:rsidRPr="0024134B" w:rsidR="00462EC3">
        <w:rPr>
          <w:rFonts w:ascii="Times New Roman" w:hAnsi="Times New Roman" w:cs="Times New Roman"/>
          <w:color w:val="000000"/>
          <w:sz w:val="24"/>
          <w:szCs w:val="24"/>
        </w:rPr>
        <w:t xml:space="preserve"> Therefore, the PUCO should adopt OCC’s recommendations and deny Duke’s </w:t>
      </w:r>
      <w:r w:rsidR="00BD3EF5">
        <w:rPr>
          <w:rFonts w:ascii="Times New Roman" w:hAnsi="Times New Roman" w:cs="Times New Roman"/>
          <w:color w:val="000000"/>
          <w:sz w:val="24"/>
          <w:szCs w:val="24"/>
        </w:rPr>
        <w:t>charges to consumers for</w:t>
      </w:r>
      <w:r w:rsidRPr="0024134B" w:rsidR="00462EC3">
        <w:rPr>
          <w:rFonts w:ascii="Times New Roman" w:hAnsi="Times New Roman" w:cs="Times New Roman"/>
          <w:color w:val="000000"/>
          <w:sz w:val="24"/>
          <w:szCs w:val="24"/>
        </w:rPr>
        <w:t xml:space="preserve"> $24.6 million in above-market energy charges for running the OVEC plants.</w:t>
      </w:r>
    </w:p>
    <w:p w:rsidR="00D4198D" w:rsidRPr="008D0476" w:rsidP="00D4198D" w14:paraId="37F7D895" w14:textId="77777777">
      <w:pPr>
        <w:spacing w:after="0" w:line="240" w:lineRule="auto"/>
        <w:ind w:left="3600"/>
        <w:rPr>
          <w:rFonts w:ascii="Times New Roman" w:eastAsia="Times New Roman" w:hAnsi="Times New Roman" w:cs="Times New Roman"/>
          <w:sz w:val="24"/>
          <w:szCs w:val="24"/>
        </w:rPr>
      </w:pPr>
      <w:r w:rsidRPr="008D0476">
        <w:rPr>
          <w:rFonts w:ascii="Times New Roman" w:eastAsia="Times New Roman" w:hAnsi="Times New Roman" w:cs="Times New Roman"/>
          <w:sz w:val="24"/>
          <w:szCs w:val="24"/>
        </w:rPr>
        <w:t>Respectfully submitted,</w:t>
      </w:r>
    </w:p>
    <w:p w:rsidR="00D4198D" w:rsidRPr="008D0476" w:rsidP="00D4198D" w14:paraId="3A3C8BD2" w14:textId="77777777">
      <w:pPr>
        <w:tabs>
          <w:tab w:val="left" w:pos="4320"/>
          <w:tab w:val="right" w:pos="8640"/>
        </w:tabs>
        <w:spacing w:after="0" w:line="240" w:lineRule="auto"/>
        <w:ind w:left="4320"/>
        <w:rPr>
          <w:rFonts w:ascii="Times New Roman" w:eastAsia="Times New Roman" w:hAnsi="Times New Roman" w:cs="Times New Roman"/>
          <w:sz w:val="24"/>
          <w:szCs w:val="24"/>
        </w:rPr>
      </w:pPr>
    </w:p>
    <w:p w:rsidR="00D4198D" w:rsidRPr="008D0476" w:rsidP="00D4198D" w14:paraId="3FCCB9E7" w14:textId="77777777">
      <w:pPr>
        <w:tabs>
          <w:tab w:val="right" w:pos="8640"/>
        </w:tabs>
        <w:spacing w:after="0" w:line="240" w:lineRule="auto"/>
        <w:ind w:left="3600"/>
        <w:rPr>
          <w:rFonts w:ascii="Times New Roman" w:eastAsia="Times New Roman" w:hAnsi="Times New Roman" w:cs="Times New Roman"/>
          <w:sz w:val="24"/>
          <w:szCs w:val="24"/>
        </w:rPr>
      </w:pPr>
      <w:r w:rsidRPr="008D0476">
        <w:rPr>
          <w:rFonts w:ascii="Times New Roman" w:eastAsia="Times New Roman" w:hAnsi="Times New Roman" w:cs="Times New Roman"/>
          <w:sz w:val="24"/>
          <w:szCs w:val="24"/>
        </w:rPr>
        <w:t>Bruce Weston (0016973)</w:t>
      </w:r>
    </w:p>
    <w:p w:rsidR="00D4198D" w:rsidRPr="008D0476" w:rsidP="00D4198D" w14:paraId="2C0498C1" w14:textId="77777777">
      <w:pPr>
        <w:spacing w:after="0" w:line="240" w:lineRule="auto"/>
        <w:ind w:left="3600"/>
        <w:contextualSpacing/>
        <w:rPr>
          <w:rFonts w:ascii="Times New Roman" w:eastAsia="Calibri" w:hAnsi="Times New Roman" w:cs="Times New Roman"/>
          <w:sz w:val="24"/>
          <w:szCs w:val="24"/>
        </w:rPr>
      </w:pPr>
      <w:r w:rsidRPr="008D0476">
        <w:rPr>
          <w:rFonts w:ascii="Times New Roman" w:eastAsia="Calibri" w:hAnsi="Times New Roman" w:cs="Times New Roman"/>
          <w:sz w:val="24"/>
          <w:szCs w:val="24"/>
        </w:rPr>
        <w:t>Ohio Consumers’ Counsel</w:t>
      </w:r>
    </w:p>
    <w:p w:rsidR="00D4198D" w:rsidRPr="008D0476" w:rsidP="00D4198D" w14:paraId="4764E2AE" w14:textId="77777777">
      <w:pPr>
        <w:spacing w:after="0" w:line="240" w:lineRule="auto"/>
        <w:ind w:left="3600"/>
        <w:contextualSpacing/>
        <w:rPr>
          <w:rFonts w:ascii="Times New Roman" w:eastAsia="Calibri" w:hAnsi="Times New Roman" w:cs="Times New Roman"/>
          <w:sz w:val="24"/>
          <w:szCs w:val="24"/>
        </w:rPr>
      </w:pPr>
      <w:r w:rsidRPr="008D0476">
        <w:rPr>
          <w:rFonts w:ascii="Times New Roman" w:eastAsia="Calibri" w:hAnsi="Times New Roman" w:cs="Times New Roman"/>
          <w:sz w:val="24"/>
          <w:szCs w:val="24"/>
        </w:rPr>
        <w:tab/>
      </w:r>
    </w:p>
    <w:p w:rsidR="00D4198D" w:rsidRPr="008D0476" w:rsidP="00D4198D" w14:paraId="0458FA64" w14:textId="77777777">
      <w:pPr>
        <w:spacing w:after="0" w:line="240" w:lineRule="auto"/>
        <w:ind w:left="2880" w:firstLine="720"/>
        <w:rPr>
          <w:rFonts w:ascii="Times New Roman" w:eastAsia="Times New Roman" w:hAnsi="Times New Roman" w:cs="Times New Roman"/>
          <w:i/>
          <w:iCs/>
          <w:sz w:val="24"/>
          <w:szCs w:val="24"/>
          <w:u w:val="single"/>
        </w:rPr>
      </w:pPr>
      <w:bookmarkStart w:id="62" w:name="_Hlk86832658"/>
      <w:r w:rsidRPr="008D0476">
        <w:rPr>
          <w:rFonts w:ascii="Times New Roman" w:eastAsia="Times New Roman" w:hAnsi="Times New Roman" w:cs="Times New Roman"/>
          <w:i/>
          <w:iCs/>
          <w:sz w:val="24"/>
          <w:szCs w:val="24"/>
          <w:u w:val="single"/>
        </w:rPr>
        <w:t>/s/ Angela D. O’Brien</w:t>
      </w:r>
    </w:p>
    <w:bookmarkEnd w:id="62"/>
    <w:p w:rsidR="00D4198D" w:rsidRPr="008D0476" w:rsidP="00D4198D" w14:paraId="648A8540" w14:textId="77777777">
      <w:pPr>
        <w:spacing w:after="0" w:line="240" w:lineRule="auto"/>
        <w:ind w:left="2880" w:firstLine="720"/>
        <w:rPr>
          <w:rFonts w:ascii="Times New Roman" w:eastAsia="Times New Roman" w:hAnsi="Times New Roman" w:cs="Times New Roman"/>
          <w:b/>
          <w:bCs/>
          <w:sz w:val="24"/>
          <w:szCs w:val="24"/>
        </w:rPr>
      </w:pPr>
      <w:r w:rsidRPr="008D0476">
        <w:rPr>
          <w:rFonts w:ascii="Times New Roman" w:eastAsia="Times New Roman" w:hAnsi="Times New Roman" w:cs="Times New Roman"/>
          <w:sz w:val="24"/>
          <w:szCs w:val="24"/>
        </w:rPr>
        <w:t>Angela D. O’Brien (0097579)</w:t>
      </w:r>
    </w:p>
    <w:p w:rsidR="00D4198D" w:rsidRPr="008D0476" w:rsidP="00D4198D" w14:paraId="3126C78F" w14:textId="77777777">
      <w:pPr>
        <w:spacing w:after="0" w:line="240" w:lineRule="auto"/>
        <w:ind w:left="3600"/>
        <w:rPr>
          <w:rFonts w:ascii="Times New Roman" w:eastAsia="Times New Roman" w:hAnsi="Times New Roman" w:cs="Times New Roman"/>
          <w:b/>
          <w:bCs/>
          <w:sz w:val="24"/>
          <w:szCs w:val="24"/>
        </w:rPr>
      </w:pPr>
      <w:r w:rsidRPr="008D0476">
        <w:rPr>
          <w:rFonts w:ascii="Times New Roman" w:eastAsia="Times New Roman" w:hAnsi="Times New Roman" w:cs="Times New Roman"/>
          <w:sz w:val="24"/>
          <w:szCs w:val="24"/>
        </w:rPr>
        <w:t>Counsel of Record</w:t>
      </w:r>
    </w:p>
    <w:p w:rsidR="00D4198D" w:rsidRPr="008D0476" w:rsidP="00D4198D" w14:paraId="37C29496" w14:textId="77777777">
      <w:pPr>
        <w:spacing w:after="0" w:line="240" w:lineRule="auto"/>
        <w:ind w:left="3600"/>
        <w:rPr>
          <w:rFonts w:ascii="Times New Roman" w:eastAsia="Times New Roman" w:hAnsi="Times New Roman" w:cs="Times New Roman"/>
          <w:b/>
          <w:bCs/>
          <w:sz w:val="24"/>
          <w:szCs w:val="24"/>
        </w:rPr>
      </w:pPr>
      <w:r w:rsidRPr="008D0476">
        <w:rPr>
          <w:rFonts w:ascii="Times New Roman" w:eastAsia="Times New Roman" w:hAnsi="Times New Roman" w:cs="Times New Roman"/>
          <w:sz w:val="24"/>
          <w:szCs w:val="24"/>
        </w:rPr>
        <w:t>John Finnigan (0018689)</w:t>
      </w:r>
    </w:p>
    <w:p w:rsidR="00D4198D" w:rsidRPr="008D0476" w:rsidP="00D4198D" w14:paraId="3ECB1DF4" w14:textId="77777777">
      <w:pPr>
        <w:spacing w:after="0" w:line="240" w:lineRule="auto"/>
        <w:ind w:left="3600"/>
        <w:rPr>
          <w:rFonts w:ascii="Times New Roman" w:eastAsia="Times New Roman" w:hAnsi="Times New Roman" w:cs="Times New Roman"/>
          <w:b/>
          <w:bCs/>
          <w:sz w:val="24"/>
          <w:szCs w:val="24"/>
        </w:rPr>
      </w:pPr>
      <w:r w:rsidRPr="008D0476">
        <w:rPr>
          <w:rFonts w:ascii="Times New Roman" w:eastAsia="Times New Roman" w:hAnsi="Times New Roman" w:cs="Times New Roman"/>
          <w:sz w:val="24"/>
          <w:szCs w:val="24"/>
        </w:rPr>
        <w:t>Assistant Consumers’ Counsel</w:t>
      </w:r>
    </w:p>
    <w:p w:rsidR="00D4198D" w:rsidRPr="008D0476" w:rsidP="00D4198D" w14:paraId="1148DCDB" w14:textId="77777777">
      <w:pPr>
        <w:tabs>
          <w:tab w:val="left" w:pos="4320"/>
        </w:tabs>
        <w:spacing w:after="0" w:line="240" w:lineRule="auto"/>
        <w:ind w:left="3600"/>
        <w:rPr>
          <w:rFonts w:ascii="Times New Roman" w:eastAsia="Times New Roman" w:hAnsi="Times New Roman" w:cs="Times New Roman"/>
          <w:b/>
          <w:sz w:val="24"/>
          <w:szCs w:val="24"/>
        </w:rPr>
      </w:pPr>
    </w:p>
    <w:p w:rsidR="00D4198D" w:rsidRPr="008D0476" w:rsidP="00D4198D" w14:paraId="334D6E6A" w14:textId="77777777">
      <w:pPr>
        <w:tabs>
          <w:tab w:val="left" w:pos="4320"/>
        </w:tabs>
        <w:spacing w:after="0" w:line="240" w:lineRule="auto"/>
        <w:ind w:left="3600"/>
        <w:rPr>
          <w:rFonts w:ascii="Times New Roman" w:eastAsia="Times New Roman" w:hAnsi="Times New Roman" w:cs="Times New Roman"/>
          <w:b/>
          <w:bCs/>
          <w:sz w:val="24"/>
          <w:szCs w:val="24"/>
        </w:rPr>
      </w:pPr>
      <w:r w:rsidRPr="008D0476">
        <w:rPr>
          <w:rFonts w:ascii="Times New Roman" w:eastAsia="Times New Roman" w:hAnsi="Times New Roman" w:cs="Times New Roman"/>
          <w:b/>
          <w:sz w:val="24"/>
          <w:szCs w:val="24"/>
        </w:rPr>
        <w:t>Office of the Ohio Consumers’ Counsel</w:t>
      </w:r>
    </w:p>
    <w:p w:rsidR="00D4198D" w:rsidRPr="008D0476" w:rsidP="00D4198D" w14:paraId="3C919C78" w14:textId="77777777">
      <w:pPr>
        <w:spacing w:after="0" w:line="240" w:lineRule="auto"/>
        <w:ind w:left="3600"/>
        <w:rPr>
          <w:rFonts w:ascii="Times New Roman" w:eastAsia="Times New Roman" w:hAnsi="Times New Roman" w:cs="Times New Roman"/>
          <w:sz w:val="24"/>
          <w:szCs w:val="24"/>
        </w:rPr>
      </w:pPr>
      <w:r w:rsidRPr="008D0476">
        <w:rPr>
          <w:rFonts w:ascii="Times New Roman" w:eastAsia="Times New Roman" w:hAnsi="Times New Roman" w:cs="Times New Roman"/>
          <w:sz w:val="24"/>
          <w:szCs w:val="24"/>
        </w:rPr>
        <w:t>65 East State Street, Suite 700</w:t>
      </w:r>
    </w:p>
    <w:p w:rsidR="00D4198D" w:rsidRPr="008D0476" w:rsidP="00D4198D" w14:paraId="392C77C5" w14:textId="77777777">
      <w:pPr>
        <w:spacing w:after="0" w:line="240" w:lineRule="auto"/>
        <w:ind w:left="3600"/>
        <w:rPr>
          <w:rFonts w:ascii="Times New Roman" w:eastAsia="Times New Roman" w:hAnsi="Times New Roman" w:cs="Times New Roman"/>
          <w:sz w:val="24"/>
          <w:szCs w:val="24"/>
        </w:rPr>
      </w:pPr>
      <w:r w:rsidRPr="008D0476">
        <w:rPr>
          <w:rFonts w:ascii="Times New Roman" w:eastAsia="Times New Roman" w:hAnsi="Times New Roman" w:cs="Times New Roman"/>
          <w:sz w:val="24"/>
          <w:szCs w:val="24"/>
        </w:rPr>
        <w:t>Columbus, Ohio 43215</w:t>
      </w:r>
    </w:p>
    <w:p w:rsidR="00D4198D" w:rsidRPr="008D0476" w:rsidP="00D4198D" w14:paraId="79FB81AD" w14:textId="77777777">
      <w:pPr>
        <w:spacing w:after="0" w:line="240" w:lineRule="auto"/>
        <w:ind w:left="3600"/>
        <w:rPr>
          <w:rFonts w:ascii="Times New Roman" w:eastAsia="Times New Roman" w:hAnsi="Times New Roman" w:cs="Times New Roman"/>
          <w:b/>
          <w:bCs/>
          <w:sz w:val="24"/>
          <w:szCs w:val="24"/>
        </w:rPr>
      </w:pPr>
      <w:r w:rsidRPr="008D0476">
        <w:rPr>
          <w:rFonts w:ascii="Times New Roman" w:eastAsia="Times New Roman" w:hAnsi="Times New Roman" w:cs="Times New Roman"/>
          <w:sz w:val="24"/>
          <w:szCs w:val="24"/>
        </w:rPr>
        <w:t>Telephone [O’Brien]: (614) 466-9531</w:t>
      </w:r>
    </w:p>
    <w:p w:rsidR="00D4198D" w:rsidRPr="008D0476" w:rsidP="00D4198D" w14:paraId="40AAC422" w14:textId="77777777">
      <w:pPr>
        <w:autoSpaceDE w:val="0"/>
        <w:autoSpaceDN w:val="0"/>
        <w:adjustRightInd w:val="0"/>
        <w:spacing w:after="0" w:line="240" w:lineRule="auto"/>
        <w:ind w:left="3600"/>
        <w:contextualSpacing/>
        <w:rPr>
          <w:rFonts w:ascii="Times New Roman" w:eastAsia="Calibri" w:hAnsi="Times New Roman" w:cs="Times New Roman"/>
          <w:sz w:val="24"/>
          <w:szCs w:val="24"/>
        </w:rPr>
      </w:pPr>
      <w:r w:rsidRPr="008D0476">
        <w:rPr>
          <w:rFonts w:ascii="Times New Roman" w:eastAsia="Calibri" w:hAnsi="Times New Roman" w:cs="Times New Roman"/>
          <w:sz w:val="24"/>
          <w:szCs w:val="24"/>
        </w:rPr>
        <w:t>Telephone [Finnigan]: (614) 466-9585</w:t>
      </w:r>
    </w:p>
    <w:p w:rsidR="00D4198D" w:rsidRPr="008D0476" w:rsidP="00D4198D" w14:paraId="7233109C" w14:textId="77777777">
      <w:pPr>
        <w:autoSpaceDE w:val="0"/>
        <w:autoSpaceDN w:val="0"/>
        <w:adjustRightInd w:val="0"/>
        <w:spacing w:after="0" w:line="240" w:lineRule="auto"/>
        <w:ind w:left="3600"/>
        <w:contextualSpacing/>
        <w:rPr>
          <w:rFonts w:ascii="Times New Roman" w:eastAsia="Calibri" w:hAnsi="Times New Roman" w:cs="Times New Roman"/>
          <w:color w:val="0000FF"/>
          <w:sz w:val="24"/>
          <w:szCs w:val="24"/>
        </w:rPr>
      </w:pPr>
      <w:hyperlink r:id="rId6" w:history="1">
        <w:r w:rsidRPr="008D0476" w:rsidR="0028073E">
          <w:rPr>
            <w:rStyle w:val="Hyperlink"/>
            <w:rFonts w:ascii="Times New Roman" w:eastAsia="Calibri" w:hAnsi="Times New Roman" w:cs="Times New Roman"/>
            <w:color w:val="0000FF"/>
            <w:sz w:val="24"/>
            <w:szCs w:val="24"/>
          </w:rPr>
          <w:t>angela.obrien@occ.ohio.gov</w:t>
        </w:r>
      </w:hyperlink>
    </w:p>
    <w:p w:rsidR="00D4198D" w:rsidRPr="008D0476" w:rsidP="00D4198D" w14:paraId="2C111CB8" w14:textId="77777777">
      <w:pPr>
        <w:autoSpaceDE w:val="0"/>
        <w:autoSpaceDN w:val="0"/>
        <w:adjustRightInd w:val="0"/>
        <w:spacing w:after="0" w:line="240" w:lineRule="auto"/>
        <w:ind w:left="3600"/>
        <w:contextualSpacing/>
        <w:rPr>
          <w:rFonts w:ascii="Times New Roman" w:eastAsia="Calibri" w:hAnsi="Times New Roman" w:cs="Times New Roman"/>
          <w:color w:val="0000FF"/>
          <w:sz w:val="24"/>
          <w:szCs w:val="24"/>
        </w:rPr>
      </w:pPr>
      <w:hyperlink r:id="rId7" w:history="1">
        <w:r w:rsidRPr="008D0476" w:rsidR="0028073E">
          <w:rPr>
            <w:rStyle w:val="Hyperlink"/>
            <w:rFonts w:ascii="Times New Roman" w:eastAsia="Calibri" w:hAnsi="Times New Roman" w:cs="Times New Roman"/>
            <w:color w:val="0000FF"/>
            <w:sz w:val="24"/>
            <w:szCs w:val="24"/>
          </w:rPr>
          <w:t>john.finnigan@occ.ohio.gov</w:t>
        </w:r>
      </w:hyperlink>
    </w:p>
    <w:p w:rsidR="00D4198D" w:rsidP="00D4198D" w14:paraId="278795FD" w14:textId="77777777">
      <w:pPr>
        <w:autoSpaceDE w:val="0"/>
        <w:autoSpaceDN w:val="0"/>
        <w:adjustRightInd w:val="0"/>
        <w:spacing w:after="0" w:line="240" w:lineRule="auto"/>
        <w:contextualSpacing/>
        <w:rPr>
          <w:rFonts w:ascii="Times New Roman" w:eastAsia="Calibri" w:hAnsi="Times New Roman" w:cs="Times New Roman"/>
          <w:sz w:val="24"/>
          <w:szCs w:val="24"/>
        </w:rPr>
      </w:pPr>
      <w:r w:rsidRPr="008D0476">
        <w:rPr>
          <w:rFonts w:ascii="Times New Roman" w:eastAsia="Calibri" w:hAnsi="Times New Roman" w:cs="Times New Roman"/>
          <w:sz w:val="24"/>
          <w:szCs w:val="24"/>
        </w:rPr>
        <w:tab/>
      </w:r>
      <w:r w:rsidRPr="008D0476">
        <w:rPr>
          <w:rFonts w:ascii="Times New Roman" w:eastAsia="Calibri" w:hAnsi="Times New Roman" w:cs="Times New Roman"/>
          <w:sz w:val="24"/>
          <w:szCs w:val="24"/>
        </w:rPr>
        <w:tab/>
      </w:r>
      <w:r w:rsidRPr="008D0476">
        <w:rPr>
          <w:rFonts w:ascii="Times New Roman" w:eastAsia="Calibri" w:hAnsi="Times New Roman" w:cs="Times New Roman"/>
          <w:sz w:val="24"/>
          <w:szCs w:val="24"/>
        </w:rPr>
        <w:tab/>
      </w:r>
      <w:r w:rsidRPr="008D0476">
        <w:rPr>
          <w:rFonts w:ascii="Times New Roman" w:eastAsia="Calibri" w:hAnsi="Times New Roman" w:cs="Times New Roman"/>
          <w:sz w:val="24"/>
          <w:szCs w:val="24"/>
        </w:rPr>
        <w:tab/>
      </w:r>
      <w:r w:rsidRPr="008D0476">
        <w:rPr>
          <w:rFonts w:ascii="Times New Roman" w:eastAsia="Calibri" w:hAnsi="Times New Roman" w:cs="Times New Roman"/>
          <w:sz w:val="24"/>
          <w:szCs w:val="24"/>
        </w:rPr>
        <w:tab/>
        <w:t>(willing to accept service by e-mail)</w:t>
      </w:r>
    </w:p>
    <w:p w:rsidR="00D6062D" w:rsidP="00D4198D" w14:paraId="1791C7E8" w14:textId="77777777">
      <w:pPr>
        <w:autoSpaceDE w:val="0"/>
        <w:autoSpaceDN w:val="0"/>
        <w:adjustRightInd w:val="0"/>
        <w:spacing w:after="0" w:line="240" w:lineRule="auto"/>
        <w:contextualSpacing/>
        <w:rPr>
          <w:rFonts w:ascii="Times New Roman" w:eastAsia="Calibri" w:hAnsi="Times New Roman" w:cs="Times New Roman"/>
          <w:sz w:val="24"/>
          <w:szCs w:val="24"/>
        </w:rPr>
      </w:pPr>
    </w:p>
    <w:p w:rsidR="00D6062D" w:rsidRPr="001F1977" w:rsidP="004E5C7E" w14:paraId="4EAEBD36" w14:textId="77777777">
      <w:pPr>
        <w:spacing w:after="0" w:line="240" w:lineRule="auto"/>
        <w:ind w:left="3600"/>
        <w:rPr>
          <w:rFonts w:ascii="Times New Roman" w:hAnsi="Times New Roman" w:cs="Times New Roman"/>
          <w:sz w:val="24"/>
          <w:szCs w:val="24"/>
        </w:rPr>
      </w:pPr>
      <w:r w:rsidRPr="001F1977">
        <w:rPr>
          <w:rFonts w:ascii="Times New Roman" w:hAnsi="Times New Roman" w:cs="Times New Roman"/>
          <w:sz w:val="24"/>
          <w:szCs w:val="24"/>
        </w:rPr>
        <w:t>Brian M. Zets (0066544)</w:t>
      </w:r>
    </w:p>
    <w:p w:rsidR="00D6062D" w:rsidRPr="001F1977" w:rsidP="004E5C7E" w14:paraId="209DA7B9" w14:textId="77777777">
      <w:pPr>
        <w:spacing w:after="0" w:line="240" w:lineRule="auto"/>
        <w:ind w:left="3600"/>
        <w:rPr>
          <w:rFonts w:ascii="Times New Roman" w:hAnsi="Times New Roman" w:cs="Times New Roman"/>
          <w:b/>
          <w:bCs/>
          <w:sz w:val="24"/>
          <w:szCs w:val="24"/>
        </w:rPr>
      </w:pPr>
      <w:r w:rsidRPr="001F1977">
        <w:rPr>
          <w:rFonts w:ascii="Times New Roman" w:hAnsi="Times New Roman" w:cs="Times New Roman"/>
          <w:b/>
          <w:sz w:val="24"/>
          <w:szCs w:val="24"/>
        </w:rPr>
        <w:t>Isaac Wiles &amp; Burkholder, LLC</w:t>
      </w:r>
    </w:p>
    <w:p w:rsidR="00D6062D" w:rsidRPr="001F1977" w:rsidP="004E5C7E" w14:paraId="5B381549" w14:textId="77777777">
      <w:pPr>
        <w:spacing w:after="0" w:line="240" w:lineRule="auto"/>
        <w:ind w:left="3600"/>
        <w:rPr>
          <w:rFonts w:ascii="Times New Roman" w:hAnsi="Times New Roman" w:cs="Times New Roman"/>
          <w:b/>
          <w:bCs/>
          <w:sz w:val="24"/>
          <w:szCs w:val="24"/>
        </w:rPr>
      </w:pPr>
      <w:r w:rsidRPr="001F1977">
        <w:rPr>
          <w:rFonts w:ascii="Times New Roman" w:hAnsi="Times New Roman" w:cs="Times New Roman"/>
          <w:sz w:val="24"/>
          <w:szCs w:val="24"/>
        </w:rPr>
        <w:t>Two Miranova Place, Suite 700</w:t>
      </w:r>
    </w:p>
    <w:p w:rsidR="00D6062D" w:rsidRPr="001F1977" w:rsidP="004E5C7E" w14:paraId="11956A63" w14:textId="77777777">
      <w:pPr>
        <w:spacing w:after="0" w:line="240" w:lineRule="auto"/>
        <w:ind w:left="3600"/>
        <w:rPr>
          <w:rFonts w:ascii="Times New Roman" w:hAnsi="Times New Roman" w:cs="Times New Roman"/>
          <w:sz w:val="24"/>
          <w:szCs w:val="24"/>
        </w:rPr>
      </w:pPr>
      <w:r w:rsidRPr="001F1977">
        <w:rPr>
          <w:rFonts w:ascii="Times New Roman" w:hAnsi="Times New Roman" w:cs="Times New Roman"/>
          <w:sz w:val="24"/>
          <w:szCs w:val="24"/>
        </w:rPr>
        <w:t>Columbus, Ohio 43215</w:t>
      </w:r>
    </w:p>
    <w:p w:rsidR="00D6062D" w:rsidRPr="001F1977" w:rsidP="004E5C7E" w14:paraId="2C1F1BC7" w14:textId="77777777">
      <w:pPr>
        <w:spacing w:after="0" w:line="240" w:lineRule="auto"/>
        <w:ind w:left="3600"/>
        <w:rPr>
          <w:rFonts w:ascii="Times New Roman" w:hAnsi="Times New Roman" w:cs="Times New Roman"/>
          <w:sz w:val="24"/>
          <w:szCs w:val="24"/>
        </w:rPr>
      </w:pPr>
      <w:r w:rsidRPr="001F1977">
        <w:rPr>
          <w:rFonts w:ascii="Times New Roman" w:hAnsi="Times New Roman" w:cs="Times New Roman"/>
          <w:sz w:val="24"/>
          <w:szCs w:val="24"/>
        </w:rPr>
        <w:t>Telephone: (614) 221-2121</w:t>
      </w:r>
    </w:p>
    <w:p w:rsidR="00D6062D" w:rsidRPr="001F1977" w:rsidP="004E5C7E" w14:paraId="40796388" w14:textId="77777777">
      <w:pPr>
        <w:spacing w:after="0" w:line="240" w:lineRule="auto"/>
        <w:ind w:left="3600"/>
        <w:rPr>
          <w:rFonts w:ascii="Times New Roman" w:hAnsi="Times New Roman" w:cs="Times New Roman"/>
          <w:color w:val="0000FF"/>
          <w:sz w:val="24"/>
          <w:szCs w:val="24"/>
        </w:rPr>
      </w:pPr>
      <w:hyperlink r:id="rId8" w:history="1">
        <w:r w:rsidRPr="001F1977" w:rsidR="0028073E">
          <w:rPr>
            <w:rStyle w:val="Hyperlink"/>
            <w:rFonts w:ascii="Times New Roman" w:hAnsi="Times New Roman" w:cs="Times New Roman"/>
            <w:color w:val="0000FF"/>
            <w:sz w:val="24"/>
            <w:szCs w:val="24"/>
          </w:rPr>
          <w:t>bzets@isaacwiles.com</w:t>
        </w:r>
      </w:hyperlink>
    </w:p>
    <w:p w:rsidR="00D6062D" w:rsidRPr="001F1977" w:rsidP="004E5C7E" w14:paraId="0BEC21C4" w14:textId="77777777">
      <w:pPr>
        <w:spacing w:after="0" w:line="240" w:lineRule="auto"/>
        <w:ind w:left="3600" w:hanging="4500"/>
        <w:rPr>
          <w:rFonts w:ascii="Times New Roman" w:hAnsi="Times New Roman" w:cs="Times New Roman"/>
          <w:sz w:val="24"/>
          <w:szCs w:val="24"/>
        </w:rPr>
      </w:pPr>
      <w:r w:rsidRPr="001F1977">
        <w:rPr>
          <w:rFonts w:ascii="Times New Roman" w:hAnsi="Times New Roman" w:cs="Times New Roman"/>
          <w:sz w:val="24"/>
          <w:szCs w:val="24"/>
        </w:rPr>
        <w:t xml:space="preserve"> </w:t>
      </w:r>
      <w:r w:rsidRPr="001F1977">
        <w:rPr>
          <w:rFonts w:ascii="Times New Roman" w:hAnsi="Times New Roman" w:cs="Times New Roman"/>
          <w:sz w:val="24"/>
          <w:szCs w:val="24"/>
        </w:rPr>
        <w:tab/>
        <w:t>(willing to accept service by e-mail)</w:t>
      </w:r>
    </w:p>
    <w:p w:rsidR="00D6062D" w:rsidRPr="008D0476" w:rsidP="00D4198D" w14:paraId="7CD80902" w14:textId="77777777">
      <w:pPr>
        <w:autoSpaceDE w:val="0"/>
        <w:autoSpaceDN w:val="0"/>
        <w:adjustRightInd w:val="0"/>
        <w:spacing w:after="0" w:line="240" w:lineRule="auto"/>
        <w:contextualSpacing/>
        <w:rPr>
          <w:rFonts w:ascii="Times New Roman" w:eastAsia="Calibri" w:hAnsi="Times New Roman" w:cs="Times New Roman"/>
          <w:sz w:val="24"/>
          <w:szCs w:val="24"/>
        </w:rPr>
      </w:pPr>
    </w:p>
    <w:p w:rsidR="00A07E9B" w:rsidRPr="0024134B" w14:paraId="06DE8366" w14:textId="77777777">
      <w:pPr>
        <w:rPr>
          <w:rFonts w:ascii="Times New Roman" w:eastAsia="Calibri" w:hAnsi="Times New Roman" w:cs="Times New Roman"/>
          <w:sz w:val="24"/>
          <w:szCs w:val="24"/>
        </w:rPr>
      </w:pPr>
      <w:r w:rsidRPr="0024134B">
        <w:rPr>
          <w:rFonts w:ascii="Times New Roman" w:eastAsia="Calibri" w:hAnsi="Times New Roman" w:cs="Times New Roman"/>
          <w:sz w:val="24"/>
          <w:szCs w:val="24"/>
        </w:rPr>
        <w:br w:type="page"/>
      </w:r>
    </w:p>
    <w:p w:rsidR="00A07E9B" w:rsidRPr="00761E97" w:rsidP="00761E97" w14:paraId="2163824D" w14:textId="77777777">
      <w:pPr>
        <w:jc w:val="center"/>
        <w:rPr>
          <w:rFonts w:ascii="Times New Roman" w:hAnsi="Times New Roman" w:cs="Times New Roman"/>
          <w:b/>
          <w:bCs/>
          <w:sz w:val="24"/>
          <w:szCs w:val="24"/>
          <w:u w:val="single"/>
        </w:rPr>
      </w:pPr>
      <w:bookmarkStart w:id="63" w:name="_Toc109294653"/>
      <w:r w:rsidRPr="00761E97">
        <w:rPr>
          <w:rFonts w:ascii="Times New Roman" w:hAnsi="Times New Roman" w:cs="Times New Roman"/>
          <w:b/>
          <w:bCs/>
          <w:sz w:val="24"/>
          <w:szCs w:val="24"/>
          <w:u w:val="single"/>
        </w:rPr>
        <w:t>CERTIFICATE OF SERVICE</w:t>
      </w:r>
      <w:bookmarkEnd w:id="63"/>
    </w:p>
    <w:p w:rsidR="00BB780C" w:rsidRPr="0024134B" w:rsidP="007F3C9D" w14:paraId="018A77D4" w14:textId="77777777">
      <w:pPr>
        <w:spacing w:after="0" w:line="480" w:lineRule="auto"/>
        <w:ind w:firstLine="720"/>
        <w:rPr>
          <w:rFonts w:ascii="Times New Roman" w:eastAsia="Times New Roman" w:hAnsi="Times New Roman" w:cs="Times New Roman"/>
          <w:sz w:val="24"/>
          <w:szCs w:val="24"/>
        </w:rPr>
      </w:pPr>
      <w:r w:rsidRPr="0024134B">
        <w:rPr>
          <w:rFonts w:ascii="Times New Roman" w:eastAsia="Times New Roman" w:hAnsi="Times New Roman" w:cs="Times New Roman"/>
          <w:sz w:val="24"/>
          <w:szCs w:val="24"/>
        </w:rPr>
        <w:t xml:space="preserve">I hereby certify that a copy of this </w:t>
      </w:r>
      <w:r w:rsidRPr="0024134B" w:rsidR="007827DE">
        <w:rPr>
          <w:rFonts w:ascii="Times New Roman" w:eastAsia="Times New Roman" w:hAnsi="Times New Roman" w:cs="Times New Roman"/>
          <w:sz w:val="24"/>
          <w:szCs w:val="24"/>
        </w:rPr>
        <w:t>Initial</w:t>
      </w:r>
      <w:r w:rsidRPr="0024134B">
        <w:rPr>
          <w:rFonts w:ascii="Times New Roman" w:eastAsia="Times New Roman" w:hAnsi="Times New Roman" w:cs="Times New Roman"/>
          <w:sz w:val="24"/>
          <w:szCs w:val="24"/>
        </w:rPr>
        <w:t xml:space="preserve"> Brief was served on the persons stated below via</w:t>
      </w:r>
      <w:r w:rsidRPr="0024134B">
        <w:rPr>
          <w:rFonts w:ascii="Times New Roman" w:eastAsia="Times New Roman" w:hAnsi="Times New Roman" w:cs="Times New Roman"/>
          <w:i/>
          <w:sz w:val="24"/>
          <w:szCs w:val="24"/>
        </w:rPr>
        <w:t xml:space="preserve"> </w:t>
      </w:r>
      <w:r w:rsidRPr="0024134B">
        <w:rPr>
          <w:rFonts w:ascii="Times New Roman" w:eastAsia="Times New Roman" w:hAnsi="Times New Roman" w:cs="Times New Roman"/>
          <w:sz w:val="24"/>
          <w:szCs w:val="24"/>
        </w:rPr>
        <w:t>electric transmission this 29</w:t>
      </w:r>
      <w:r w:rsidRPr="0024134B">
        <w:rPr>
          <w:rFonts w:ascii="Times New Roman" w:eastAsia="Times New Roman" w:hAnsi="Times New Roman" w:cs="Times New Roman"/>
          <w:sz w:val="24"/>
          <w:szCs w:val="24"/>
          <w:vertAlign w:val="superscript"/>
        </w:rPr>
        <w:t>th</w:t>
      </w:r>
      <w:r w:rsidRPr="0024134B">
        <w:rPr>
          <w:rFonts w:ascii="Times New Roman" w:eastAsia="Times New Roman" w:hAnsi="Times New Roman" w:cs="Times New Roman"/>
          <w:sz w:val="24"/>
          <w:szCs w:val="24"/>
        </w:rPr>
        <w:t xml:space="preserve"> day of July 2022.</w:t>
      </w:r>
    </w:p>
    <w:p w:rsidR="00A07E9B" w:rsidRPr="0024134B" w:rsidP="00A07E9B" w14:paraId="3823A7CE" w14:textId="77777777">
      <w:pPr>
        <w:autoSpaceDE w:val="0"/>
        <w:autoSpaceDN w:val="0"/>
        <w:adjustRightInd w:val="0"/>
        <w:spacing w:after="0" w:line="240" w:lineRule="auto"/>
        <w:ind w:left="4320"/>
        <w:rPr>
          <w:rFonts w:ascii="Times New Roman" w:eastAsia="Times New Roman" w:hAnsi="Times New Roman" w:cs="Times New Roman"/>
          <w:i/>
          <w:sz w:val="24"/>
          <w:szCs w:val="24"/>
        </w:rPr>
      </w:pPr>
      <w:r w:rsidRPr="0024134B">
        <w:rPr>
          <w:rFonts w:ascii="Times New Roman" w:eastAsia="Times New Roman" w:hAnsi="Times New Roman" w:cs="Times New Roman"/>
          <w:i/>
          <w:sz w:val="24"/>
          <w:szCs w:val="24"/>
          <w:u w:val="single"/>
        </w:rPr>
        <w:t>/s/ Angela D. O’Brien</w:t>
      </w:r>
      <w:r w:rsidRPr="0024134B">
        <w:rPr>
          <w:rFonts w:ascii="Times New Roman" w:eastAsia="Times New Roman" w:hAnsi="Times New Roman" w:cs="Times New Roman"/>
          <w:i/>
          <w:sz w:val="24"/>
          <w:szCs w:val="24"/>
          <w:u w:val="single"/>
        </w:rPr>
        <w:tab/>
      </w:r>
    </w:p>
    <w:p w:rsidR="00A07E9B" w:rsidRPr="0024134B" w:rsidP="00A07E9B" w14:paraId="4AE94E9F" w14:textId="77777777">
      <w:pPr>
        <w:tabs>
          <w:tab w:val="left" w:pos="4320"/>
        </w:tabs>
        <w:spacing w:after="0" w:line="240" w:lineRule="auto"/>
        <w:ind w:left="4320"/>
        <w:rPr>
          <w:rFonts w:ascii="Times New Roman" w:eastAsia="Times New Roman" w:hAnsi="Times New Roman" w:cs="Times New Roman"/>
          <w:sz w:val="24"/>
          <w:szCs w:val="24"/>
        </w:rPr>
      </w:pPr>
      <w:r w:rsidRPr="0024134B">
        <w:rPr>
          <w:rFonts w:ascii="Times New Roman" w:eastAsia="Times New Roman" w:hAnsi="Times New Roman" w:cs="Times New Roman"/>
          <w:sz w:val="24"/>
          <w:szCs w:val="24"/>
        </w:rPr>
        <w:t>Angela D. O’Brien</w:t>
      </w:r>
      <w:r w:rsidRPr="0024134B">
        <w:rPr>
          <w:rFonts w:ascii="Times New Roman" w:eastAsia="Times New Roman" w:hAnsi="Times New Roman" w:cs="Times New Roman"/>
          <w:sz w:val="24"/>
          <w:szCs w:val="24"/>
        </w:rPr>
        <w:br/>
        <w:t>Assistant Consumers’ Counsel</w:t>
      </w:r>
    </w:p>
    <w:p w:rsidR="00A07E9B" w:rsidRPr="0024134B" w:rsidP="00A07E9B" w14:paraId="737A0552" w14:textId="77777777">
      <w:pPr>
        <w:widowControl w:val="0"/>
        <w:autoSpaceDE w:val="0"/>
        <w:autoSpaceDN w:val="0"/>
        <w:adjustRightInd w:val="0"/>
        <w:spacing w:after="0" w:line="240" w:lineRule="auto"/>
        <w:rPr>
          <w:rFonts w:ascii="Times New Roman" w:eastAsia="Times New Roman" w:hAnsi="Times New Roman" w:cs="Times New Roman"/>
          <w:b/>
          <w:bCs/>
          <w:sz w:val="24"/>
          <w:szCs w:val="24"/>
        </w:rPr>
      </w:pPr>
    </w:p>
    <w:p w:rsidR="00A07E9B" w:rsidRPr="0024134B" w:rsidP="00A07E9B" w14:paraId="2B2B19A5" w14:textId="77777777">
      <w:pPr>
        <w:spacing w:after="0" w:line="240" w:lineRule="auto"/>
        <w:rPr>
          <w:rFonts w:ascii="Times New Roman" w:eastAsia="Times New Roman" w:hAnsi="Times New Roman" w:cs="Times New Roman"/>
          <w:bCs/>
          <w:sz w:val="24"/>
          <w:szCs w:val="24"/>
        </w:rPr>
      </w:pPr>
      <w:r w:rsidRPr="0024134B">
        <w:rPr>
          <w:rFonts w:ascii="Times New Roman" w:eastAsia="Times New Roman" w:hAnsi="Times New Roman" w:cs="Times New Roman"/>
          <w:bCs/>
          <w:sz w:val="24"/>
          <w:szCs w:val="24"/>
        </w:rPr>
        <w:t>The PUCO’s e-filing system will electronically serve notice of the filing of this document on the following parties:</w:t>
      </w:r>
    </w:p>
    <w:p w:rsidR="00A07E9B" w:rsidRPr="0024134B" w:rsidP="00A07E9B" w14:paraId="2F839659" w14:textId="77777777">
      <w:pPr>
        <w:spacing w:after="0" w:line="240" w:lineRule="auto"/>
        <w:rPr>
          <w:rFonts w:ascii="Times New Roman" w:eastAsia="Times New Roman" w:hAnsi="Times New Roman" w:cs="Times New Roman"/>
          <w:b/>
          <w:sz w:val="24"/>
          <w:szCs w:val="24"/>
          <w:u w:val="single"/>
        </w:rPr>
      </w:pPr>
    </w:p>
    <w:p w:rsidR="00A07E9B" w:rsidRPr="00761E97" w:rsidP="00761E97" w14:paraId="662BB224" w14:textId="77777777">
      <w:pPr>
        <w:jc w:val="center"/>
        <w:rPr>
          <w:rFonts w:ascii="Times New Roman" w:hAnsi="Times New Roman" w:cs="Times New Roman"/>
          <w:b/>
          <w:bCs/>
          <w:sz w:val="24"/>
          <w:szCs w:val="24"/>
          <w:u w:val="single"/>
        </w:rPr>
      </w:pPr>
      <w:bookmarkStart w:id="64" w:name="_Toc109294654"/>
      <w:r w:rsidRPr="00761E97">
        <w:rPr>
          <w:rFonts w:ascii="Times New Roman" w:hAnsi="Times New Roman" w:cs="Times New Roman"/>
          <w:b/>
          <w:bCs/>
          <w:sz w:val="24"/>
          <w:szCs w:val="24"/>
          <w:u w:val="single"/>
        </w:rPr>
        <w:t>SERVICE LIST</w:t>
      </w:r>
      <w:bookmarkEnd w:id="64"/>
    </w:p>
    <w:tbl>
      <w:tblPr>
        <w:tblW w:w="0" w:type="auto"/>
        <w:tblLook w:val="04A0"/>
      </w:tblPr>
      <w:tblGrid>
        <w:gridCol w:w="4500"/>
        <w:gridCol w:w="4140"/>
      </w:tblGrid>
      <w:tr w14:paraId="35247254" w14:textId="77777777" w:rsidTr="00F63409">
        <w:tblPrEx>
          <w:tblW w:w="0" w:type="auto"/>
          <w:tblLook w:val="04A0"/>
        </w:tblPrEx>
        <w:tc>
          <w:tcPr>
            <w:tcW w:w="4500" w:type="dxa"/>
            <w:shd w:val="clear" w:color="auto" w:fill="auto"/>
          </w:tcPr>
          <w:p w:rsidR="007827DE" w:rsidRPr="0024134B" w:rsidP="00F63409" w14:paraId="355DF8CE" w14:textId="77777777">
            <w:pPr>
              <w:spacing w:after="0" w:line="240" w:lineRule="auto"/>
              <w:rPr>
                <w:rFonts w:ascii="Times New Roman" w:eastAsia="Times New Roman" w:hAnsi="Times New Roman" w:cs="Times New Roman"/>
                <w:bCs/>
                <w:color w:val="0000FF"/>
                <w:sz w:val="24"/>
                <w:szCs w:val="24"/>
              </w:rPr>
            </w:pPr>
            <w:hyperlink r:id="rId13" w:history="1">
              <w:r w:rsidRPr="0024134B" w:rsidR="0028073E">
                <w:rPr>
                  <w:rFonts w:ascii="Times New Roman" w:eastAsia="Times New Roman" w:hAnsi="Times New Roman" w:cs="Times New Roman"/>
                  <w:bCs/>
                  <w:color w:val="0000FF"/>
                  <w:sz w:val="24"/>
                  <w:szCs w:val="24"/>
                  <w:u w:val="single"/>
                </w:rPr>
                <w:t>thomas.lindgren@ohioAGO.gov</w:t>
              </w:r>
            </w:hyperlink>
          </w:p>
          <w:p w:rsidR="007827DE" w:rsidRPr="0024134B" w:rsidP="00F63409" w14:paraId="711EB5A0" w14:textId="77777777">
            <w:pPr>
              <w:spacing w:after="0" w:line="240" w:lineRule="auto"/>
              <w:rPr>
                <w:rFonts w:ascii="Times New Roman" w:eastAsia="Times New Roman" w:hAnsi="Times New Roman" w:cs="Times New Roman"/>
                <w:color w:val="0000FF"/>
                <w:sz w:val="24"/>
                <w:szCs w:val="24"/>
              </w:rPr>
            </w:pPr>
            <w:hyperlink r:id="rId14" w:history="1">
              <w:r w:rsidRPr="0024134B" w:rsidR="0028073E">
                <w:rPr>
                  <w:rStyle w:val="Hyperlink"/>
                  <w:rFonts w:ascii="Times New Roman" w:eastAsia="Times New Roman" w:hAnsi="Times New Roman" w:cs="Times New Roman"/>
                  <w:color w:val="0000FF"/>
                  <w:sz w:val="24"/>
                  <w:szCs w:val="24"/>
                </w:rPr>
                <w:t>sarah.feldkamp@ohioAGO.gov</w:t>
              </w:r>
            </w:hyperlink>
          </w:p>
          <w:p w:rsidR="007827DE" w:rsidRPr="0024134B" w:rsidP="00F63409" w14:paraId="422A9D35" w14:textId="77777777">
            <w:pPr>
              <w:spacing w:after="0" w:line="240" w:lineRule="auto"/>
              <w:rPr>
                <w:rFonts w:ascii="Times New Roman" w:eastAsia="Times New Roman" w:hAnsi="Times New Roman" w:cs="Times New Roman"/>
                <w:bCs/>
                <w:color w:val="0000FF"/>
                <w:sz w:val="24"/>
                <w:szCs w:val="24"/>
                <w:u w:val="single"/>
              </w:rPr>
            </w:pPr>
            <w:hyperlink r:id="rId15" w:history="1">
              <w:r w:rsidRPr="0024134B" w:rsidR="0028073E">
                <w:rPr>
                  <w:rFonts w:ascii="Times New Roman" w:eastAsia="Times New Roman" w:hAnsi="Times New Roman" w:cs="Times New Roman"/>
                  <w:bCs/>
                  <w:color w:val="0000FF"/>
                  <w:sz w:val="24"/>
                  <w:szCs w:val="24"/>
                  <w:u w:val="single"/>
                </w:rPr>
                <w:t>bojko@carpenterlipps.com</w:t>
              </w:r>
            </w:hyperlink>
          </w:p>
          <w:p w:rsidR="007827DE" w:rsidRPr="0024134B" w:rsidP="00F63409" w14:paraId="77DDCB40" w14:textId="77777777">
            <w:pPr>
              <w:spacing w:after="0" w:line="240" w:lineRule="auto"/>
              <w:rPr>
                <w:rFonts w:ascii="Times New Roman" w:eastAsia="Times New Roman" w:hAnsi="Times New Roman" w:cs="Times New Roman"/>
                <w:color w:val="0000FF"/>
                <w:sz w:val="24"/>
                <w:szCs w:val="24"/>
                <w:u w:val="single"/>
              </w:rPr>
            </w:pPr>
            <w:hyperlink r:id="rId16" w:history="1">
              <w:r w:rsidRPr="0024134B" w:rsidR="0028073E">
                <w:rPr>
                  <w:rFonts w:ascii="Times New Roman" w:eastAsia="Times New Roman" w:hAnsi="Times New Roman" w:cs="Times New Roman"/>
                  <w:color w:val="0000FF"/>
                  <w:sz w:val="24"/>
                  <w:szCs w:val="24"/>
                  <w:u w:val="single"/>
                </w:rPr>
                <w:t>paul@carpenterlipps.com</w:t>
              </w:r>
            </w:hyperlink>
          </w:p>
          <w:p w:rsidR="007827DE" w:rsidRPr="0024134B" w:rsidP="00F63409" w14:paraId="12CB3DA7" w14:textId="77777777">
            <w:pPr>
              <w:spacing w:after="0" w:line="240" w:lineRule="auto"/>
              <w:rPr>
                <w:rFonts w:ascii="Times New Roman" w:eastAsia="Times New Roman" w:hAnsi="Times New Roman" w:cs="Times New Roman"/>
                <w:color w:val="0000FF"/>
                <w:sz w:val="24"/>
                <w:szCs w:val="24"/>
                <w:u w:val="single"/>
              </w:rPr>
            </w:pPr>
            <w:r w:rsidRPr="0024134B">
              <w:rPr>
                <w:rFonts w:ascii="Times New Roman" w:eastAsia="Times New Roman" w:hAnsi="Times New Roman" w:cs="Times New Roman"/>
                <w:color w:val="0000FF"/>
                <w:sz w:val="24"/>
                <w:szCs w:val="24"/>
                <w:u w:val="single"/>
              </w:rPr>
              <w:t>wygonski@carpenterlipps.com</w:t>
            </w:r>
          </w:p>
          <w:p w:rsidR="007827DE" w:rsidRPr="0024134B" w:rsidP="00F63409" w14:paraId="1A08FC9F" w14:textId="77777777">
            <w:pPr>
              <w:autoSpaceDE w:val="0"/>
              <w:autoSpaceDN w:val="0"/>
              <w:adjustRightInd w:val="0"/>
              <w:spacing w:after="0" w:line="240" w:lineRule="auto"/>
              <w:rPr>
                <w:rFonts w:ascii="Times New Roman" w:eastAsia="Times New Roman" w:hAnsi="Times New Roman" w:cs="Times New Roman"/>
                <w:color w:val="0000FF"/>
                <w:sz w:val="24"/>
                <w:szCs w:val="24"/>
              </w:rPr>
            </w:pPr>
            <w:hyperlink r:id="rId17" w:history="1">
              <w:r w:rsidRPr="0024134B" w:rsidR="0028073E">
                <w:rPr>
                  <w:rFonts w:ascii="Times New Roman" w:eastAsia="Times New Roman" w:hAnsi="Times New Roman" w:cs="Times New Roman"/>
                  <w:color w:val="0000FF"/>
                  <w:sz w:val="24"/>
                  <w:szCs w:val="24"/>
                  <w:u w:val="single"/>
                </w:rPr>
                <w:t>mkurtz@BKLlawfirm.com</w:t>
              </w:r>
            </w:hyperlink>
          </w:p>
          <w:p w:rsidR="007827DE" w:rsidRPr="0024134B" w:rsidP="00F63409" w14:paraId="65D02824" w14:textId="77777777">
            <w:pPr>
              <w:autoSpaceDE w:val="0"/>
              <w:autoSpaceDN w:val="0"/>
              <w:adjustRightInd w:val="0"/>
              <w:spacing w:after="0" w:line="240" w:lineRule="auto"/>
              <w:rPr>
                <w:rFonts w:ascii="Times New Roman" w:eastAsia="Times New Roman" w:hAnsi="Times New Roman" w:cs="Times New Roman"/>
                <w:color w:val="0000FF"/>
                <w:sz w:val="24"/>
                <w:szCs w:val="24"/>
              </w:rPr>
            </w:pPr>
            <w:hyperlink r:id="rId18" w:history="1">
              <w:r w:rsidRPr="0024134B" w:rsidR="0028073E">
                <w:rPr>
                  <w:rFonts w:ascii="Times New Roman" w:eastAsia="Times New Roman" w:hAnsi="Times New Roman" w:cs="Times New Roman"/>
                  <w:color w:val="0000FF"/>
                  <w:sz w:val="24"/>
                  <w:szCs w:val="24"/>
                  <w:u w:val="single"/>
                </w:rPr>
                <w:t>kboehm@BKLlawfirm.com</w:t>
              </w:r>
            </w:hyperlink>
          </w:p>
          <w:p w:rsidR="007827DE" w:rsidRPr="0024134B" w:rsidP="00F63409" w14:paraId="7DA0D8BF" w14:textId="77777777">
            <w:pPr>
              <w:spacing w:after="0" w:line="240" w:lineRule="auto"/>
              <w:rPr>
                <w:rFonts w:ascii="Times New Roman" w:eastAsia="Times New Roman" w:hAnsi="Times New Roman" w:cs="Times New Roman"/>
                <w:color w:val="0000FF"/>
                <w:sz w:val="24"/>
                <w:szCs w:val="24"/>
                <w:u w:val="single"/>
              </w:rPr>
            </w:pPr>
            <w:hyperlink r:id="rId19" w:history="1">
              <w:r w:rsidRPr="0024134B" w:rsidR="0028073E">
                <w:rPr>
                  <w:rFonts w:ascii="Times New Roman" w:eastAsia="Times New Roman" w:hAnsi="Times New Roman" w:cs="Times New Roman"/>
                  <w:color w:val="0000FF"/>
                  <w:sz w:val="24"/>
                  <w:szCs w:val="24"/>
                  <w:u w:val="single"/>
                </w:rPr>
                <w:t>jkylercohn@BKLlawfirm.com</w:t>
              </w:r>
            </w:hyperlink>
          </w:p>
          <w:p w:rsidR="007827DE" w:rsidRPr="0024134B" w:rsidP="00F63409" w14:paraId="1EA81844" w14:textId="77777777">
            <w:pPr>
              <w:spacing w:after="0" w:line="240" w:lineRule="auto"/>
              <w:rPr>
                <w:rFonts w:ascii="Times New Roman" w:eastAsia="Times New Roman" w:hAnsi="Times New Roman" w:cs="Times New Roman"/>
                <w:color w:val="0000FF"/>
                <w:sz w:val="24"/>
                <w:szCs w:val="24"/>
                <w:u w:val="single"/>
              </w:rPr>
            </w:pPr>
          </w:p>
          <w:p w:rsidR="007827DE" w:rsidRPr="0024134B" w:rsidP="00F63409" w14:paraId="31B7AC5D" w14:textId="77777777">
            <w:pPr>
              <w:spacing w:after="0" w:line="240" w:lineRule="auto"/>
              <w:rPr>
                <w:rFonts w:ascii="Times New Roman" w:eastAsia="Times New Roman" w:hAnsi="Times New Roman" w:cs="Times New Roman"/>
                <w:sz w:val="24"/>
                <w:szCs w:val="24"/>
              </w:rPr>
            </w:pPr>
            <w:r w:rsidRPr="0024134B">
              <w:rPr>
                <w:rFonts w:ascii="Times New Roman" w:eastAsia="Times New Roman" w:hAnsi="Times New Roman" w:cs="Times New Roman"/>
                <w:sz w:val="24"/>
                <w:szCs w:val="24"/>
              </w:rPr>
              <w:t>Attorney Examiners:</w:t>
            </w:r>
          </w:p>
          <w:p w:rsidR="007827DE" w:rsidRPr="0024134B" w:rsidP="00F63409" w14:paraId="6E5C4672" w14:textId="77777777">
            <w:pPr>
              <w:spacing w:after="0" w:line="240" w:lineRule="auto"/>
              <w:rPr>
                <w:rFonts w:ascii="Times New Roman" w:eastAsia="Times New Roman" w:hAnsi="Times New Roman" w:cs="Times New Roman"/>
                <w:color w:val="0000FF"/>
                <w:sz w:val="24"/>
                <w:szCs w:val="24"/>
              </w:rPr>
            </w:pPr>
            <w:hyperlink r:id="rId20" w:history="1">
              <w:r w:rsidRPr="0024134B" w:rsidR="0028073E">
                <w:rPr>
                  <w:rStyle w:val="Hyperlink"/>
                  <w:rFonts w:ascii="Times New Roman" w:eastAsia="Times New Roman" w:hAnsi="Times New Roman" w:cs="Times New Roman"/>
                  <w:color w:val="0000FF"/>
                  <w:sz w:val="24"/>
                  <w:szCs w:val="24"/>
                </w:rPr>
                <w:t>matthew.sandor@puco.ohio.gov</w:t>
              </w:r>
            </w:hyperlink>
          </w:p>
          <w:p w:rsidR="007827DE" w:rsidRPr="00E71907" w:rsidP="00F63409" w14:paraId="65077B5F" w14:textId="77777777">
            <w:pPr>
              <w:spacing w:after="0" w:line="240" w:lineRule="auto"/>
              <w:rPr>
                <w:rFonts w:ascii="Times New Roman" w:eastAsia="Times New Roman" w:hAnsi="Times New Roman" w:cs="Times New Roman"/>
                <w:color w:val="0000FF"/>
                <w:sz w:val="24"/>
                <w:szCs w:val="24"/>
              </w:rPr>
            </w:pPr>
            <w:hyperlink r:id="rId21" w:history="1">
              <w:r w:rsidRPr="0024134B" w:rsidR="0028073E">
                <w:rPr>
                  <w:rStyle w:val="Hyperlink"/>
                  <w:rFonts w:ascii="Times New Roman" w:eastAsia="Times New Roman" w:hAnsi="Times New Roman" w:cs="Times New Roman"/>
                  <w:color w:val="0000FF"/>
                  <w:sz w:val="24"/>
                  <w:szCs w:val="24"/>
                </w:rPr>
                <w:t>nicholas.walstra@puco.ohio.gov</w:t>
              </w:r>
            </w:hyperlink>
          </w:p>
        </w:tc>
        <w:tc>
          <w:tcPr>
            <w:tcW w:w="4140" w:type="dxa"/>
            <w:shd w:val="clear" w:color="auto" w:fill="auto"/>
          </w:tcPr>
          <w:p w:rsidR="007827DE" w:rsidRPr="0024134B" w:rsidP="00F63409" w14:paraId="6B14E45E" w14:textId="77777777">
            <w:pPr>
              <w:spacing w:after="0" w:line="240" w:lineRule="auto"/>
              <w:ind w:left="360" w:firstLine="162"/>
              <w:rPr>
                <w:rFonts w:ascii="Times New Roman" w:eastAsia="Times New Roman" w:hAnsi="Times New Roman" w:cs="Times New Roman"/>
                <w:bCs/>
                <w:color w:val="0000FF"/>
                <w:sz w:val="24"/>
                <w:szCs w:val="24"/>
                <w:u w:val="single"/>
              </w:rPr>
            </w:pPr>
            <w:hyperlink r:id="rId22" w:history="1">
              <w:r w:rsidRPr="0024134B" w:rsidR="0028073E">
                <w:rPr>
                  <w:rFonts w:ascii="Times New Roman" w:eastAsia="Times New Roman" w:hAnsi="Times New Roman" w:cs="Times New Roman"/>
                  <w:bCs/>
                  <w:color w:val="0000FF"/>
                  <w:sz w:val="24"/>
                  <w:szCs w:val="24"/>
                  <w:u w:val="single"/>
                </w:rPr>
                <w:t>rocco.dascenzo@duke-energy.com</w:t>
              </w:r>
            </w:hyperlink>
          </w:p>
          <w:p w:rsidR="007827DE" w:rsidRPr="0024134B" w:rsidP="00F63409" w14:paraId="1B89E9D4" w14:textId="77777777">
            <w:pPr>
              <w:spacing w:after="0" w:line="240" w:lineRule="auto"/>
              <w:ind w:left="522" w:hanging="18"/>
              <w:rPr>
                <w:rFonts w:ascii="Times New Roman" w:eastAsia="Times New Roman" w:hAnsi="Times New Roman" w:cs="Times New Roman"/>
                <w:bCs/>
                <w:color w:val="0000FF"/>
                <w:sz w:val="24"/>
                <w:szCs w:val="24"/>
                <w:u w:val="single"/>
              </w:rPr>
            </w:pPr>
            <w:hyperlink r:id="rId23" w:history="1">
              <w:r w:rsidRPr="0024134B" w:rsidR="0028073E">
                <w:rPr>
                  <w:rStyle w:val="Hyperlink"/>
                  <w:rFonts w:ascii="Times New Roman" w:eastAsia="Times New Roman" w:hAnsi="Times New Roman" w:cs="Times New Roman"/>
                  <w:color w:val="0000FF"/>
                  <w:sz w:val="24"/>
                  <w:szCs w:val="24"/>
                </w:rPr>
                <w:t>j</w:t>
              </w:r>
              <w:r w:rsidRPr="0024134B" w:rsidR="0028073E">
                <w:rPr>
                  <w:rStyle w:val="Hyperlink"/>
                  <w:rFonts w:ascii="Times New Roman" w:eastAsia="Times New Roman" w:hAnsi="Times New Roman" w:cs="Times New Roman"/>
                  <w:bCs/>
                  <w:color w:val="0000FF"/>
                  <w:sz w:val="24"/>
                  <w:szCs w:val="24"/>
                </w:rPr>
                <w:t>eanne.kingery@duke-energy.com</w:t>
              </w:r>
            </w:hyperlink>
          </w:p>
          <w:p w:rsidR="007827DE" w:rsidRPr="0024134B" w:rsidP="00F63409" w14:paraId="14DC3147" w14:textId="77777777">
            <w:pPr>
              <w:spacing w:after="0" w:line="240" w:lineRule="auto"/>
              <w:ind w:left="522" w:hanging="18"/>
              <w:rPr>
                <w:rFonts w:ascii="Times New Roman" w:eastAsia="Times New Roman" w:hAnsi="Times New Roman" w:cs="Times New Roman"/>
                <w:color w:val="0000FF"/>
                <w:sz w:val="24"/>
                <w:szCs w:val="24"/>
              </w:rPr>
            </w:pPr>
            <w:hyperlink r:id="rId24" w:history="1">
              <w:r w:rsidRPr="0024134B" w:rsidR="0028073E">
                <w:rPr>
                  <w:rStyle w:val="Hyperlink"/>
                  <w:rFonts w:ascii="Times New Roman" w:eastAsia="Times New Roman" w:hAnsi="Times New Roman" w:cs="Times New Roman"/>
                  <w:color w:val="0000FF"/>
                  <w:sz w:val="24"/>
                  <w:szCs w:val="24"/>
                </w:rPr>
                <w:t>larisa.vaysman@duke-energy.com</w:t>
              </w:r>
            </w:hyperlink>
          </w:p>
          <w:p w:rsidR="007827DE" w:rsidRPr="0024134B" w:rsidP="00F63409" w14:paraId="5E5B1A4D" w14:textId="77777777">
            <w:pPr>
              <w:spacing w:after="0" w:line="240" w:lineRule="auto"/>
              <w:ind w:left="522" w:hanging="18"/>
              <w:rPr>
                <w:rFonts w:ascii="Times New Roman" w:eastAsia="Times New Roman" w:hAnsi="Times New Roman" w:cs="Times New Roman"/>
                <w:color w:val="0000FF"/>
                <w:sz w:val="24"/>
                <w:szCs w:val="24"/>
                <w:u w:val="single"/>
              </w:rPr>
            </w:pPr>
            <w:r w:rsidRPr="0024134B">
              <w:rPr>
                <w:rFonts w:ascii="Times New Roman" w:eastAsia="Times New Roman" w:hAnsi="Times New Roman" w:cs="Times New Roman"/>
                <w:color w:val="0000FF"/>
                <w:sz w:val="24"/>
                <w:szCs w:val="24"/>
                <w:u w:val="single"/>
              </w:rPr>
              <w:t>elyse.akhbari@duke-energy.com</w:t>
            </w:r>
          </w:p>
          <w:p w:rsidR="007827DE" w:rsidRPr="0024134B" w:rsidP="00F63409" w14:paraId="680CEDF0" w14:textId="77777777">
            <w:pPr>
              <w:spacing w:after="0" w:line="240" w:lineRule="auto"/>
              <w:ind w:left="522" w:hanging="18"/>
              <w:rPr>
                <w:rFonts w:ascii="Times New Roman" w:eastAsia="Times New Roman" w:hAnsi="Times New Roman" w:cs="Times New Roman"/>
                <w:color w:val="0000FF"/>
                <w:sz w:val="24"/>
                <w:szCs w:val="24"/>
              </w:rPr>
            </w:pPr>
            <w:hyperlink r:id="rId22" w:history="1">
              <w:r w:rsidRPr="0024134B" w:rsidR="0028073E">
                <w:rPr>
                  <w:rFonts w:ascii="Times New Roman" w:eastAsia="Times New Roman" w:hAnsi="Times New Roman" w:cs="Times New Roman"/>
                  <w:color w:val="0000FF"/>
                  <w:sz w:val="24"/>
                  <w:szCs w:val="24"/>
                  <w:u w:val="single"/>
                </w:rPr>
                <w:t>stnourse@aep.com</w:t>
              </w:r>
            </w:hyperlink>
          </w:p>
          <w:p w:rsidR="007827DE" w:rsidRPr="0024134B" w:rsidP="00F63409" w14:paraId="5310F497" w14:textId="77777777">
            <w:pPr>
              <w:spacing w:after="0" w:line="240" w:lineRule="auto"/>
              <w:ind w:left="522" w:hanging="18"/>
              <w:rPr>
                <w:rFonts w:ascii="Times New Roman" w:eastAsia="Times New Roman" w:hAnsi="Times New Roman" w:cs="Times New Roman"/>
                <w:sz w:val="24"/>
                <w:szCs w:val="24"/>
              </w:rPr>
            </w:pPr>
            <w:hyperlink r:id="rId25" w:history="1">
              <w:r w:rsidRPr="0024134B" w:rsidR="0028073E">
                <w:rPr>
                  <w:rFonts w:ascii="Times New Roman" w:eastAsia="Times New Roman" w:hAnsi="Times New Roman" w:cs="Times New Roman"/>
                  <w:color w:val="0000FF"/>
                  <w:sz w:val="24"/>
                  <w:szCs w:val="24"/>
                  <w:u w:val="single"/>
                </w:rPr>
                <w:t>rdove@keglerbrown.com</w:t>
              </w:r>
            </w:hyperlink>
          </w:p>
          <w:p w:rsidR="007827DE" w:rsidRPr="0024134B" w:rsidP="00F63409" w14:paraId="4C842DFB" w14:textId="77777777">
            <w:pPr>
              <w:spacing w:after="0" w:line="240" w:lineRule="auto"/>
              <w:ind w:left="522" w:hanging="18"/>
              <w:rPr>
                <w:rFonts w:ascii="Times New Roman" w:eastAsia="Times New Roman" w:hAnsi="Times New Roman" w:cs="Times New Roman"/>
                <w:color w:val="0000FF"/>
                <w:sz w:val="24"/>
                <w:szCs w:val="24"/>
                <w:u w:val="single"/>
              </w:rPr>
            </w:pPr>
          </w:p>
          <w:p w:rsidR="007827DE" w:rsidRPr="0024134B" w:rsidP="00F63409" w14:paraId="05E4C9F5" w14:textId="77777777">
            <w:pPr>
              <w:spacing w:after="0" w:line="240" w:lineRule="auto"/>
              <w:rPr>
                <w:rFonts w:ascii="Times New Roman" w:eastAsia="Times New Roman" w:hAnsi="Times New Roman" w:cs="Times New Roman"/>
                <w:b/>
                <w:sz w:val="24"/>
                <w:szCs w:val="24"/>
                <w:u w:val="single"/>
              </w:rPr>
            </w:pPr>
          </w:p>
        </w:tc>
      </w:tr>
    </w:tbl>
    <w:p w:rsidR="002D3CEF" w:rsidRPr="0024134B" w:rsidP="00FF647F" w14:paraId="5242CE71" w14:textId="77777777">
      <w:pPr>
        <w:spacing w:after="0" w:line="480" w:lineRule="auto"/>
        <w:rPr>
          <w:rFonts w:ascii="Times New Roman" w:hAnsi="Times New Roman" w:cs="Times New Roman"/>
          <w:color w:val="000000"/>
          <w:sz w:val="24"/>
          <w:szCs w:val="24"/>
        </w:rPr>
      </w:pPr>
    </w:p>
    <w:sectPr w:rsidSect="00902AFF">
      <w:pgSz w:w="12240" w:h="15840"/>
      <w:pgMar w:top="1440" w:right="1800" w:bottom="1440" w:left="1800" w:header="720" w:footer="720" w:gutter="0"/>
      <w:pgNumType w:start="1"/>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Roman">
    <w:altName w:val="Times New Roman"/>
    <w:charset w:val="00"/>
    <w:family w:val="auto"/>
    <w:pitch w:val="variable"/>
    <w:sig w:usb0="E00002FF" w:usb1="5000205A"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2395B" w:rsidRPr="006225D6" w14:paraId="269DA43B" w14:textId="77777777">
    <w:pPr>
      <w:pStyle w:val="Footer"/>
      <w:jc w:val="center"/>
      <w:rPr>
        <w:rFonts w:ascii="Times New Roman" w:hAnsi="Times New Roman" w:cs="Times New Roman"/>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779021935"/>
      <w:docPartObj>
        <w:docPartGallery w:val="Page Numbers (Bottom of Page)"/>
        <w:docPartUnique/>
      </w:docPartObj>
    </w:sdtPr>
    <w:sdtEndPr>
      <w:rPr>
        <w:rFonts w:ascii="Times New Roman" w:hAnsi="Times New Roman" w:cs="Times New Roman"/>
        <w:noProof/>
        <w:sz w:val="24"/>
        <w:szCs w:val="24"/>
      </w:rPr>
    </w:sdtEndPr>
    <w:sdtContent>
      <w:p w:rsidR="0072395B" w:rsidRPr="00C875E9" w14:paraId="7CB745BE" w14:textId="77777777">
        <w:pPr>
          <w:pStyle w:val="Footer"/>
          <w:jc w:val="center"/>
          <w:rPr>
            <w:rFonts w:ascii="Times New Roman" w:hAnsi="Times New Roman" w:cs="Times New Roman"/>
            <w:sz w:val="24"/>
            <w:szCs w:val="24"/>
          </w:rPr>
        </w:pPr>
        <w:r w:rsidRPr="00C875E9">
          <w:rPr>
            <w:rFonts w:ascii="Times New Roman" w:hAnsi="Times New Roman" w:cs="Times New Roman"/>
            <w:sz w:val="24"/>
            <w:szCs w:val="24"/>
          </w:rPr>
          <w:fldChar w:fldCharType="begin"/>
        </w:r>
        <w:r w:rsidRPr="00C875E9">
          <w:rPr>
            <w:rFonts w:ascii="Times New Roman" w:hAnsi="Times New Roman" w:cs="Times New Roman"/>
            <w:sz w:val="24"/>
            <w:szCs w:val="24"/>
          </w:rPr>
          <w:instrText xml:space="preserve"> PAGE   \* MERGEFORMAT </w:instrText>
        </w:r>
        <w:r w:rsidRPr="00C875E9">
          <w:rPr>
            <w:rFonts w:ascii="Times New Roman" w:hAnsi="Times New Roman" w:cs="Times New Roman"/>
            <w:sz w:val="24"/>
            <w:szCs w:val="24"/>
          </w:rPr>
          <w:fldChar w:fldCharType="separate"/>
        </w:r>
        <w:r w:rsidRPr="00C875E9">
          <w:rPr>
            <w:rFonts w:ascii="Times New Roman" w:hAnsi="Times New Roman" w:cs="Times New Roman"/>
            <w:noProof/>
            <w:sz w:val="24"/>
            <w:szCs w:val="24"/>
          </w:rPr>
          <w:t>2</w:t>
        </w:r>
        <w:r w:rsidRPr="00C875E9">
          <w:rPr>
            <w:rFonts w:ascii="Times New Roman" w:hAnsi="Times New Roman" w:cs="Times New Roman"/>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097348" w:rsidP="005E7577" w14:paraId="4ED2198D" w14:textId="77777777">
      <w:pPr>
        <w:spacing w:after="0" w:line="240" w:lineRule="auto"/>
      </w:pPr>
      <w:r>
        <w:separator/>
      </w:r>
    </w:p>
  </w:footnote>
  <w:footnote w:type="continuationSeparator" w:id="1">
    <w:p w:rsidR="00097348" w:rsidP="005E7577" w14:paraId="2B4A2280" w14:textId="77777777">
      <w:pPr>
        <w:spacing w:after="0" w:line="240" w:lineRule="auto"/>
      </w:pPr>
      <w:r>
        <w:continuationSeparator/>
      </w:r>
    </w:p>
  </w:footnote>
  <w:footnote w:id="2">
    <w:p w:rsidR="0072395B" w:rsidRPr="002769BD" w:rsidP="002769BD" w14:paraId="13AA51EA" w14:textId="77777777">
      <w:pPr>
        <w:pStyle w:val="FootnoteText"/>
        <w:spacing w:after="120"/>
        <w:rPr>
          <w:rFonts w:ascii="Times New Roman" w:hAnsi="Times New Roman" w:cs="Times New Roman"/>
        </w:rPr>
      </w:pPr>
      <w:r w:rsidRPr="002769BD">
        <w:rPr>
          <w:rStyle w:val="FootnoteReference"/>
          <w:rFonts w:ascii="Times New Roman" w:hAnsi="Times New Roman" w:cs="Times New Roman"/>
        </w:rPr>
        <w:footnoteRef/>
      </w:r>
      <w:r w:rsidRPr="002769BD">
        <w:rPr>
          <w:rFonts w:ascii="Times New Roman" w:hAnsi="Times New Roman" w:cs="Times New Roman"/>
        </w:rPr>
        <w:t xml:space="preserve"> Hearing Trans. Vol. II, p. 203:11-19.</w:t>
      </w:r>
    </w:p>
  </w:footnote>
  <w:footnote w:id="3">
    <w:p w:rsidR="0072395B" w:rsidRPr="002769BD" w:rsidP="002769BD" w14:paraId="081530BD" w14:textId="77777777">
      <w:pPr>
        <w:pStyle w:val="FootnoteText"/>
        <w:spacing w:after="120"/>
        <w:rPr>
          <w:rFonts w:ascii="Times New Roman" w:hAnsi="Times New Roman" w:cs="Times New Roman"/>
          <w:i/>
          <w:iCs/>
        </w:rPr>
      </w:pPr>
      <w:r w:rsidRPr="002769BD">
        <w:rPr>
          <w:rStyle w:val="FootnoteReference"/>
          <w:rFonts w:ascii="Times New Roman" w:hAnsi="Times New Roman" w:cs="Times New Roman"/>
        </w:rPr>
        <w:footnoteRef/>
      </w:r>
      <w:r w:rsidRPr="002769BD">
        <w:rPr>
          <w:rFonts w:ascii="Times New Roman" w:hAnsi="Times New Roman" w:cs="Times New Roman"/>
        </w:rPr>
        <w:t xml:space="preserve"> </w:t>
      </w:r>
      <w:r w:rsidRPr="002769BD">
        <w:rPr>
          <w:rFonts w:ascii="Times New Roman" w:hAnsi="Times New Roman" w:cs="Times New Roman"/>
          <w:i/>
          <w:iCs/>
        </w:rPr>
        <w:t>Id.</w:t>
      </w:r>
    </w:p>
  </w:footnote>
  <w:footnote w:id="4">
    <w:p w:rsidR="0072395B" w:rsidRPr="002769BD" w:rsidP="002769BD" w14:paraId="2FFB7503" w14:textId="77777777">
      <w:pPr>
        <w:pStyle w:val="FootnoteText"/>
        <w:spacing w:after="120"/>
        <w:rPr>
          <w:rFonts w:ascii="Times New Roman" w:hAnsi="Times New Roman" w:cs="Times New Roman"/>
        </w:rPr>
      </w:pPr>
      <w:r w:rsidRPr="002769BD">
        <w:rPr>
          <w:rStyle w:val="FootnoteReference"/>
          <w:rFonts w:ascii="Times New Roman" w:hAnsi="Times New Roman" w:cs="Times New Roman"/>
        </w:rPr>
        <w:footnoteRef/>
      </w:r>
      <w:r w:rsidRPr="002769BD">
        <w:rPr>
          <w:rFonts w:ascii="Times New Roman" w:hAnsi="Times New Roman" w:cs="Times New Roman"/>
        </w:rPr>
        <w:t xml:space="preserve"> Hearing Trans. Vol. II, p. 208:11-19</w:t>
      </w:r>
      <w:r w:rsidR="002769BD">
        <w:rPr>
          <w:rFonts w:ascii="Times New Roman" w:hAnsi="Times New Roman" w:cs="Times New Roman"/>
        </w:rPr>
        <w:t>.</w:t>
      </w:r>
    </w:p>
  </w:footnote>
  <w:footnote w:id="5">
    <w:p w:rsidR="0072395B" w:rsidRPr="002769BD" w:rsidP="002769BD" w14:paraId="5CC4D053" w14:textId="77777777">
      <w:pPr>
        <w:pStyle w:val="FootnoteText"/>
        <w:spacing w:after="120"/>
        <w:rPr>
          <w:rFonts w:ascii="Times New Roman" w:hAnsi="Times New Roman" w:cs="Times New Roman"/>
        </w:rPr>
      </w:pPr>
      <w:r w:rsidRPr="002769BD">
        <w:rPr>
          <w:rStyle w:val="FootnoteReference"/>
          <w:rFonts w:ascii="Times New Roman" w:hAnsi="Times New Roman" w:cs="Times New Roman"/>
        </w:rPr>
        <w:footnoteRef/>
      </w:r>
      <w:r w:rsidRPr="002769BD">
        <w:rPr>
          <w:rFonts w:ascii="Times New Roman" w:hAnsi="Times New Roman" w:cs="Times New Roman"/>
        </w:rPr>
        <w:t xml:space="preserve"> Hearing Trans. Vol. II, p. 214:10-14.</w:t>
      </w:r>
    </w:p>
  </w:footnote>
  <w:footnote w:id="6">
    <w:p w:rsidR="0072395B" w:rsidRPr="002769BD" w:rsidP="002769BD" w14:paraId="0578F100" w14:textId="77777777">
      <w:pPr>
        <w:pStyle w:val="FootnoteText"/>
        <w:spacing w:after="120"/>
        <w:rPr>
          <w:rFonts w:ascii="Times New Roman" w:hAnsi="Times New Roman" w:cs="Times New Roman"/>
          <w:i/>
          <w:iCs/>
        </w:rPr>
      </w:pPr>
      <w:r w:rsidRPr="002769BD">
        <w:rPr>
          <w:rStyle w:val="FootnoteReference"/>
          <w:rFonts w:ascii="Times New Roman" w:hAnsi="Times New Roman" w:cs="Times New Roman"/>
        </w:rPr>
        <w:footnoteRef/>
      </w:r>
      <w:r w:rsidRPr="002769BD">
        <w:rPr>
          <w:rFonts w:ascii="Times New Roman" w:hAnsi="Times New Roman" w:cs="Times New Roman"/>
        </w:rPr>
        <w:t xml:space="preserve"> </w:t>
      </w:r>
      <w:r w:rsidRPr="002769BD">
        <w:rPr>
          <w:rFonts w:ascii="Times New Roman" w:hAnsi="Times New Roman" w:cs="Times New Roman"/>
          <w:i/>
          <w:iCs/>
        </w:rPr>
        <w:t>Id.</w:t>
      </w:r>
    </w:p>
  </w:footnote>
  <w:footnote w:id="7">
    <w:p w:rsidR="0072395B" w:rsidRPr="002769BD" w:rsidP="002769BD" w14:paraId="0BC22F3F" w14:textId="77777777">
      <w:pPr>
        <w:pStyle w:val="FootnoteText"/>
        <w:spacing w:after="120"/>
        <w:rPr>
          <w:rFonts w:ascii="Times New Roman" w:hAnsi="Times New Roman" w:cs="Times New Roman"/>
        </w:rPr>
      </w:pPr>
      <w:r w:rsidRPr="002769BD">
        <w:rPr>
          <w:rStyle w:val="FootnoteReference"/>
          <w:rFonts w:ascii="Times New Roman" w:hAnsi="Times New Roman" w:cs="Times New Roman"/>
        </w:rPr>
        <w:footnoteRef/>
      </w:r>
      <w:r w:rsidRPr="002769BD">
        <w:rPr>
          <w:rFonts w:ascii="Times New Roman" w:hAnsi="Times New Roman" w:cs="Times New Roman"/>
        </w:rPr>
        <w:t xml:space="preserve"> J. Beecher, </w:t>
      </w:r>
      <w:r w:rsidRPr="002769BD">
        <w:rPr>
          <w:rFonts w:ascii="Times New Roman" w:hAnsi="Times New Roman" w:cs="Times New Roman"/>
          <w:i/>
          <w:iCs/>
        </w:rPr>
        <w:t xml:space="preserve">The Prudent Regulator: Politics, Independence, Ethics, and the Public Interest, </w:t>
      </w:r>
      <w:r w:rsidRPr="002769BD">
        <w:rPr>
          <w:rFonts w:ascii="Times New Roman" w:hAnsi="Times New Roman" w:cs="Times New Roman"/>
        </w:rPr>
        <w:t>29 Energy L.J. 577 (2008) (Emphasis in original).</w:t>
      </w:r>
    </w:p>
  </w:footnote>
  <w:footnote w:id="8">
    <w:p w:rsidR="0072395B" w:rsidRPr="002769BD" w:rsidP="002769BD" w14:paraId="339B37BD" w14:textId="77777777">
      <w:pPr>
        <w:pStyle w:val="FootnoteText"/>
        <w:spacing w:after="120"/>
        <w:rPr>
          <w:rFonts w:ascii="Times New Roman" w:hAnsi="Times New Roman" w:cs="Times New Roman"/>
        </w:rPr>
      </w:pPr>
      <w:r w:rsidRPr="002769BD">
        <w:rPr>
          <w:rStyle w:val="FootnoteReference"/>
          <w:rFonts w:ascii="Times New Roman" w:hAnsi="Times New Roman" w:cs="Times New Roman"/>
        </w:rPr>
        <w:footnoteRef/>
      </w:r>
      <w:r w:rsidRPr="002769BD">
        <w:rPr>
          <w:rFonts w:ascii="Times New Roman" w:hAnsi="Times New Roman" w:cs="Times New Roman"/>
        </w:rPr>
        <w:t xml:space="preserve"> </w:t>
      </w:r>
      <w:r w:rsidRPr="002769BD">
        <w:rPr>
          <w:rFonts w:ascii="Times New Roman" w:hAnsi="Times New Roman" w:cs="Times New Roman"/>
          <w:i/>
          <w:iCs/>
        </w:rPr>
        <w:t>In the Matter of the Application Seeking Approval of Ohio Power Company’s Proposal to Enter into an Affiliate Purchase Power Agreement</w:t>
      </w:r>
      <w:r w:rsidRPr="002769BD">
        <w:rPr>
          <w:rFonts w:ascii="Times New Roman" w:hAnsi="Times New Roman" w:cs="Times New Roman"/>
        </w:rPr>
        <w:t>, PUCO Case 14-1693-EL-RDR, Opinion and Order, Concurring Opinion of Chairman Haque at p. 5 (Mar</w:t>
      </w:r>
      <w:r w:rsidR="002769BD">
        <w:rPr>
          <w:rFonts w:ascii="Times New Roman" w:hAnsi="Times New Roman" w:cs="Times New Roman"/>
        </w:rPr>
        <w:t>ch</w:t>
      </w:r>
      <w:r w:rsidRPr="002769BD">
        <w:rPr>
          <w:rFonts w:ascii="Times New Roman" w:hAnsi="Times New Roman" w:cs="Times New Roman"/>
        </w:rPr>
        <w:t xml:space="preserve"> 31, 2016).</w:t>
      </w:r>
    </w:p>
  </w:footnote>
  <w:footnote w:id="9">
    <w:p w:rsidR="0072395B" w:rsidRPr="002769BD" w:rsidP="002769BD" w14:paraId="64B61BCF" w14:textId="77777777">
      <w:pPr>
        <w:pStyle w:val="FootnoteText"/>
        <w:spacing w:after="120"/>
        <w:rPr>
          <w:rFonts w:ascii="Times New Roman" w:hAnsi="Times New Roman" w:cs="Times New Roman"/>
        </w:rPr>
      </w:pPr>
      <w:r w:rsidRPr="002769BD">
        <w:rPr>
          <w:rStyle w:val="FootnoteReference"/>
          <w:rFonts w:ascii="Times New Roman" w:hAnsi="Times New Roman" w:cs="Times New Roman"/>
        </w:rPr>
        <w:footnoteRef/>
      </w:r>
      <w:r w:rsidRPr="002769BD">
        <w:rPr>
          <w:rFonts w:ascii="Times New Roman" w:hAnsi="Times New Roman" w:cs="Times New Roman"/>
        </w:rPr>
        <w:t xml:space="preserve"> </w:t>
      </w:r>
      <w:r w:rsidRPr="002769BD">
        <w:rPr>
          <w:rFonts w:ascii="Times New Roman" w:hAnsi="Times New Roman" w:cs="Times New Roman"/>
          <w:i/>
          <w:iCs/>
        </w:rPr>
        <w:t xml:space="preserve">Id., </w:t>
      </w:r>
      <w:r w:rsidRPr="002769BD">
        <w:rPr>
          <w:rFonts w:ascii="Times New Roman" w:hAnsi="Times New Roman" w:cs="Times New Roman"/>
        </w:rPr>
        <w:t>Concurring Opinion of Commissioner M. Beth Trombold at 2.</w:t>
      </w:r>
    </w:p>
  </w:footnote>
  <w:footnote w:id="10">
    <w:p w:rsidR="0072395B" w:rsidRPr="002769BD" w:rsidP="002769BD" w14:paraId="3955BF59" w14:textId="77777777">
      <w:pPr>
        <w:pStyle w:val="FootnoteText"/>
        <w:spacing w:after="120"/>
        <w:rPr>
          <w:rFonts w:ascii="Times New Roman" w:hAnsi="Times New Roman" w:cs="Times New Roman"/>
        </w:rPr>
      </w:pPr>
      <w:r w:rsidRPr="002769BD">
        <w:rPr>
          <w:rStyle w:val="FootnoteReference"/>
          <w:rFonts w:ascii="Times New Roman" w:hAnsi="Times New Roman" w:cs="Times New Roman"/>
        </w:rPr>
        <w:footnoteRef/>
      </w:r>
      <w:r w:rsidRPr="002769BD">
        <w:rPr>
          <w:rFonts w:ascii="Times New Roman" w:hAnsi="Times New Roman" w:cs="Times New Roman"/>
        </w:rPr>
        <w:t xml:space="preserve"> OCC Ex. 2 (Glick Direct) at 10.</w:t>
      </w:r>
    </w:p>
  </w:footnote>
  <w:footnote w:id="11">
    <w:p w:rsidR="0072395B" w:rsidRPr="002769BD" w:rsidP="002769BD" w14:paraId="299A896F" w14:textId="77777777">
      <w:pPr>
        <w:pStyle w:val="FootnoteText"/>
        <w:spacing w:after="120"/>
        <w:rPr>
          <w:rFonts w:ascii="Times New Roman" w:hAnsi="Times New Roman" w:cs="Times New Roman"/>
        </w:rPr>
      </w:pPr>
      <w:r w:rsidRPr="002769BD">
        <w:rPr>
          <w:rStyle w:val="FootnoteReference"/>
          <w:rFonts w:ascii="Times New Roman" w:hAnsi="Times New Roman" w:cs="Times New Roman"/>
        </w:rPr>
        <w:footnoteRef/>
      </w:r>
      <w:r w:rsidRPr="002769BD">
        <w:rPr>
          <w:rFonts w:ascii="Times New Roman" w:hAnsi="Times New Roman" w:cs="Times New Roman"/>
        </w:rPr>
        <w:t xml:space="preserve"> </w:t>
      </w:r>
      <w:bookmarkStart w:id="4" w:name="_Hlk109216738"/>
      <w:r w:rsidRPr="002769BD">
        <w:rPr>
          <w:rFonts w:ascii="Times New Roman" w:hAnsi="Times New Roman" w:cs="Times New Roman"/>
          <w:i/>
          <w:iCs/>
        </w:rPr>
        <w:t>Id</w:t>
      </w:r>
      <w:r w:rsidRPr="002769BD">
        <w:rPr>
          <w:rFonts w:ascii="Times New Roman" w:hAnsi="Times New Roman" w:cs="Times New Roman"/>
        </w:rPr>
        <w:t>.</w:t>
      </w:r>
      <w:bookmarkEnd w:id="4"/>
    </w:p>
  </w:footnote>
  <w:footnote w:id="12">
    <w:p w:rsidR="0072395B" w:rsidRPr="002769BD" w:rsidP="002769BD" w14:paraId="28972178" w14:textId="77777777">
      <w:pPr>
        <w:pStyle w:val="FootnoteText"/>
        <w:spacing w:after="120"/>
        <w:rPr>
          <w:rFonts w:ascii="Times New Roman" w:hAnsi="Times New Roman" w:cs="Times New Roman"/>
        </w:rPr>
      </w:pPr>
      <w:r w:rsidRPr="002769BD">
        <w:rPr>
          <w:rStyle w:val="FootnoteReference"/>
          <w:rFonts w:ascii="Times New Roman" w:hAnsi="Times New Roman" w:cs="Times New Roman"/>
        </w:rPr>
        <w:footnoteRef/>
      </w:r>
      <w:r w:rsidRPr="002769BD">
        <w:rPr>
          <w:rFonts w:ascii="Times New Roman" w:hAnsi="Times New Roman" w:cs="Times New Roman"/>
        </w:rPr>
        <w:t xml:space="preserve"> </w:t>
      </w:r>
      <w:bookmarkStart w:id="6" w:name="_Hlk109216654"/>
      <w:r w:rsidRPr="002769BD">
        <w:rPr>
          <w:rFonts w:ascii="Times New Roman" w:hAnsi="Times New Roman" w:cs="Times New Roman"/>
          <w:i/>
          <w:iCs/>
        </w:rPr>
        <w:t>Id</w:t>
      </w:r>
      <w:r w:rsidRPr="002769BD">
        <w:rPr>
          <w:rFonts w:ascii="Times New Roman" w:hAnsi="Times New Roman" w:cs="Times New Roman"/>
        </w:rPr>
        <w:t xml:space="preserve">. at </w:t>
      </w:r>
      <w:bookmarkEnd w:id="6"/>
      <w:r w:rsidRPr="002769BD">
        <w:rPr>
          <w:rFonts w:ascii="Times New Roman" w:hAnsi="Times New Roman" w:cs="Times New Roman"/>
        </w:rPr>
        <w:t>16.</w:t>
      </w:r>
    </w:p>
  </w:footnote>
  <w:footnote w:id="13">
    <w:p w:rsidR="0072395B" w:rsidRPr="002769BD" w:rsidP="002769BD" w14:paraId="48EBD0A2" w14:textId="77777777">
      <w:pPr>
        <w:pStyle w:val="FootnoteText"/>
        <w:spacing w:after="120"/>
        <w:rPr>
          <w:rFonts w:ascii="Times New Roman" w:hAnsi="Times New Roman" w:cs="Times New Roman"/>
        </w:rPr>
      </w:pPr>
      <w:r w:rsidRPr="002769BD">
        <w:rPr>
          <w:rStyle w:val="FootnoteReference"/>
          <w:rFonts w:ascii="Times New Roman" w:hAnsi="Times New Roman" w:cs="Times New Roman"/>
        </w:rPr>
        <w:footnoteRef/>
      </w:r>
      <w:r w:rsidRPr="002769BD">
        <w:rPr>
          <w:rFonts w:ascii="Times New Roman" w:hAnsi="Times New Roman" w:cs="Times New Roman"/>
        </w:rPr>
        <w:t xml:space="preserve"> Entry (Apr</w:t>
      </w:r>
      <w:r w:rsidR="002769BD">
        <w:rPr>
          <w:rFonts w:ascii="Times New Roman" w:hAnsi="Times New Roman" w:cs="Times New Roman"/>
        </w:rPr>
        <w:t>il</w:t>
      </w:r>
      <w:r w:rsidRPr="002769BD">
        <w:rPr>
          <w:rFonts w:ascii="Times New Roman" w:hAnsi="Times New Roman" w:cs="Times New Roman"/>
        </w:rPr>
        <w:t xml:space="preserve"> 8, 2020).</w:t>
      </w:r>
    </w:p>
  </w:footnote>
  <w:footnote w:id="14">
    <w:p w:rsidR="0072395B" w:rsidRPr="002769BD" w:rsidP="002769BD" w14:paraId="19AFC11A" w14:textId="77777777">
      <w:pPr>
        <w:pStyle w:val="FootnoteText"/>
        <w:spacing w:after="120"/>
        <w:rPr>
          <w:rFonts w:ascii="Times New Roman" w:hAnsi="Times New Roman" w:cs="Times New Roman"/>
        </w:rPr>
      </w:pPr>
      <w:r w:rsidRPr="002769BD">
        <w:rPr>
          <w:rStyle w:val="FootnoteReference"/>
          <w:rFonts w:ascii="Times New Roman" w:hAnsi="Times New Roman" w:cs="Times New Roman"/>
        </w:rPr>
        <w:footnoteRef/>
      </w:r>
      <w:r w:rsidRPr="002769BD">
        <w:rPr>
          <w:rFonts w:ascii="Times New Roman" w:hAnsi="Times New Roman" w:cs="Times New Roman"/>
        </w:rPr>
        <w:t xml:space="preserve"> Audit Report, at 9.</w:t>
      </w:r>
    </w:p>
  </w:footnote>
  <w:footnote w:id="15">
    <w:p w:rsidR="0072395B" w:rsidRPr="002769BD" w:rsidP="002769BD" w14:paraId="068FCBA7" w14:textId="77777777">
      <w:pPr>
        <w:pStyle w:val="FootnoteText"/>
        <w:spacing w:after="120"/>
        <w:rPr>
          <w:rFonts w:ascii="Times New Roman" w:hAnsi="Times New Roman" w:cs="Times New Roman"/>
        </w:rPr>
      </w:pPr>
      <w:r w:rsidRPr="002769BD">
        <w:rPr>
          <w:rStyle w:val="FootnoteReference"/>
          <w:rFonts w:ascii="Times New Roman" w:hAnsi="Times New Roman" w:cs="Times New Roman"/>
        </w:rPr>
        <w:footnoteRef/>
      </w:r>
      <w:r w:rsidRPr="002769BD">
        <w:rPr>
          <w:rFonts w:ascii="Times New Roman" w:hAnsi="Times New Roman" w:cs="Times New Roman"/>
        </w:rPr>
        <w:t xml:space="preserve"> Duke Ex. 1 (Swez Direct) at p. 8:19.</w:t>
      </w:r>
    </w:p>
  </w:footnote>
  <w:footnote w:id="16">
    <w:p w:rsidR="0072395B" w:rsidRPr="002769BD" w:rsidP="002769BD" w14:paraId="55848AE7" w14:textId="77777777">
      <w:pPr>
        <w:pStyle w:val="FootnoteText"/>
        <w:spacing w:after="120"/>
        <w:rPr>
          <w:rFonts w:ascii="Times New Roman" w:hAnsi="Times New Roman" w:cs="Times New Roman"/>
        </w:rPr>
      </w:pPr>
      <w:r w:rsidRPr="002769BD">
        <w:rPr>
          <w:rStyle w:val="FootnoteReference"/>
          <w:rFonts w:ascii="Times New Roman" w:hAnsi="Times New Roman" w:cs="Times New Roman"/>
        </w:rPr>
        <w:footnoteRef/>
      </w:r>
      <w:r w:rsidRPr="002769BD">
        <w:rPr>
          <w:rFonts w:ascii="Times New Roman" w:hAnsi="Times New Roman" w:cs="Times New Roman"/>
        </w:rPr>
        <w:t xml:space="preserve"> OCC Ex. 2 (Glick Direct) at 1-14.</w:t>
      </w:r>
    </w:p>
  </w:footnote>
  <w:footnote w:id="17">
    <w:p w:rsidR="0072395B" w:rsidRPr="002769BD" w:rsidP="002769BD" w14:paraId="58D19376" w14:textId="77777777">
      <w:pPr>
        <w:pStyle w:val="FootnoteText"/>
        <w:spacing w:after="120"/>
        <w:rPr>
          <w:rFonts w:ascii="Times New Roman" w:hAnsi="Times New Roman" w:cs="Times New Roman"/>
        </w:rPr>
      </w:pPr>
      <w:r w:rsidRPr="002769BD">
        <w:rPr>
          <w:rStyle w:val="FootnoteReference"/>
          <w:rFonts w:ascii="Times New Roman" w:hAnsi="Times New Roman" w:cs="Times New Roman"/>
        </w:rPr>
        <w:footnoteRef/>
      </w:r>
      <w:r w:rsidRPr="002769BD">
        <w:rPr>
          <w:rFonts w:ascii="Times New Roman" w:hAnsi="Times New Roman" w:cs="Times New Roman"/>
        </w:rPr>
        <w:t xml:space="preserve"> OCC Ex. 2 (Glick Direct) at 8.</w:t>
      </w:r>
    </w:p>
  </w:footnote>
  <w:footnote w:id="18">
    <w:p w:rsidR="0072395B" w:rsidRPr="002769BD" w:rsidP="002769BD" w14:paraId="7B130402" w14:textId="77777777">
      <w:pPr>
        <w:pStyle w:val="FootnoteText"/>
        <w:spacing w:after="120"/>
        <w:rPr>
          <w:rFonts w:ascii="Times New Roman" w:hAnsi="Times New Roman" w:cs="Times New Roman"/>
        </w:rPr>
      </w:pPr>
      <w:r w:rsidRPr="002769BD">
        <w:rPr>
          <w:rStyle w:val="FootnoteReference"/>
          <w:rFonts w:ascii="Times New Roman" w:hAnsi="Times New Roman" w:cs="Times New Roman"/>
        </w:rPr>
        <w:footnoteRef/>
      </w:r>
      <w:r w:rsidRPr="002769BD">
        <w:rPr>
          <w:rFonts w:ascii="Times New Roman" w:hAnsi="Times New Roman" w:cs="Times New Roman"/>
        </w:rPr>
        <w:t xml:space="preserve"> OCC Ex. 2 (Glick Direct) at 9.</w:t>
      </w:r>
    </w:p>
  </w:footnote>
  <w:footnote w:id="19">
    <w:p w:rsidR="0072395B" w:rsidRPr="002769BD" w:rsidP="002769BD" w14:paraId="238DC161" w14:textId="77777777">
      <w:pPr>
        <w:pStyle w:val="FootnoteText"/>
        <w:spacing w:after="120"/>
        <w:rPr>
          <w:rFonts w:ascii="Times New Roman" w:hAnsi="Times New Roman" w:cs="Times New Roman"/>
        </w:rPr>
      </w:pPr>
      <w:r w:rsidRPr="002769BD">
        <w:rPr>
          <w:rStyle w:val="FootnoteReference"/>
          <w:rFonts w:ascii="Times New Roman" w:hAnsi="Times New Roman" w:cs="Times New Roman"/>
        </w:rPr>
        <w:footnoteRef/>
      </w:r>
      <w:r w:rsidRPr="002769BD">
        <w:rPr>
          <w:rFonts w:ascii="Times New Roman" w:hAnsi="Times New Roman" w:cs="Times New Roman"/>
        </w:rPr>
        <w:t xml:space="preserve"> OCC Ex. 2 (Glick Direct) at 10. </w:t>
      </w:r>
    </w:p>
  </w:footnote>
  <w:footnote w:id="20">
    <w:p w:rsidR="0072395B" w:rsidRPr="002769BD" w:rsidP="002769BD" w14:paraId="10407B6F" w14:textId="77777777">
      <w:pPr>
        <w:pStyle w:val="FootnoteText"/>
        <w:spacing w:after="120"/>
        <w:rPr>
          <w:rFonts w:ascii="Times New Roman" w:hAnsi="Times New Roman" w:cs="Times New Roman"/>
        </w:rPr>
      </w:pPr>
      <w:r w:rsidRPr="002769BD">
        <w:rPr>
          <w:rStyle w:val="FootnoteReference"/>
          <w:rFonts w:ascii="Times New Roman" w:hAnsi="Times New Roman" w:cs="Times New Roman"/>
        </w:rPr>
        <w:footnoteRef/>
      </w:r>
      <w:r w:rsidRPr="002769BD">
        <w:rPr>
          <w:rFonts w:ascii="Times New Roman" w:hAnsi="Times New Roman" w:cs="Times New Roman"/>
        </w:rPr>
        <w:t xml:space="preserve"> OCC Ex. 2 (Glick Direct) at 10.</w:t>
      </w:r>
    </w:p>
  </w:footnote>
  <w:footnote w:id="21">
    <w:p w:rsidR="0072395B" w:rsidRPr="002769BD" w:rsidP="002769BD" w14:paraId="14CC18F5" w14:textId="77777777">
      <w:pPr>
        <w:pStyle w:val="FootnoteText"/>
        <w:spacing w:after="120"/>
        <w:rPr>
          <w:rFonts w:ascii="Times New Roman" w:hAnsi="Times New Roman" w:cs="Times New Roman"/>
        </w:rPr>
      </w:pPr>
      <w:r w:rsidRPr="002769BD">
        <w:rPr>
          <w:rStyle w:val="FootnoteReference"/>
          <w:rFonts w:ascii="Times New Roman" w:hAnsi="Times New Roman" w:cs="Times New Roman"/>
        </w:rPr>
        <w:footnoteRef/>
      </w:r>
      <w:r w:rsidRPr="002769BD">
        <w:rPr>
          <w:rFonts w:ascii="Times New Roman" w:hAnsi="Times New Roman" w:cs="Times New Roman"/>
        </w:rPr>
        <w:t xml:space="preserve"> OCC Ex. 2 (Glick Direct) at 14.</w:t>
      </w:r>
    </w:p>
  </w:footnote>
  <w:footnote w:id="22">
    <w:p w:rsidR="0072395B" w:rsidRPr="002769BD" w:rsidP="002769BD" w14:paraId="74E63B5A" w14:textId="77777777">
      <w:pPr>
        <w:pStyle w:val="FootnoteText"/>
        <w:spacing w:after="120"/>
        <w:rPr>
          <w:rFonts w:ascii="Times New Roman" w:hAnsi="Times New Roman" w:cs="Times New Roman"/>
        </w:rPr>
      </w:pPr>
      <w:r w:rsidRPr="002769BD">
        <w:rPr>
          <w:rStyle w:val="FootnoteReference"/>
          <w:rFonts w:ascii="Times New Roman" w:hAnsi="Times New Roman" w:cs="Times New Roman"/>
        </w:rPr>
        <w:footnoteRef/>
      </w:r>
      <w:r w:rsidRPr="002769BD">
        <w:rPr>
          <w:rFonts w:ascii="Times New Roman" w:hAnsi="Times New Roman" w:cs="Times New Roman"/>
        </w:rPr>
        <w:t xml:space="preserve"> OCC Ex. 2 (Glick Direct) at 14.</w:t>
      </w:r>
    </w:p>
  </w:footnote>
  <w:footnote w:id="23">
    <w:p w:rsidR="0072395B" w:rsidRPr="002769BD" w:rsidP="002769BD" w14:paraId="3F7FEF6B" w14:textId="77777777">
      <w:pPr>
        <w:pStyle w:val="FootnoteText"/>
        <w:spacing w:after="120"/>
        <w:rPr>
          <w:rFonts w:ascii="Times New Roman" w:hAnsi="Times New Roman" w:cs="Times New Roman"/>
        </w:rPr>
      </w:pPr>
      <w:r w:rsidRPr="002769BD">
        <w:rPr>
          <w:rStyle w:val="FootnoteReference"/>
          <w:rFonts w:ascii="Times New Roman" w:hAnsi="Times New Roman" w:cs="Times New Roman"/>
        </w:rPr>
        <w:footnoteRef/>
      </w:r>
      <w:r w:rsidRPr="002769BD">
        <w:rPr>
          <w:rFonts w:ascii="Times New Roman" w:hAnsi="Times New Roman" w:cs="Times New Roman"/>
        </w:rPr>
        <w:t xml:space="preserve"> OCC Ex. 2 (Glick Direct) at 14.</w:t>
      </w:r>
    </w:p>
  </w:footnote>
  <w:footnote w:id="24">
    <w:p w:rsidR="0072395B" w:rsidRPr="002769BD" w:rsidP="002769BD" w14:paraId="2A10C24D" w14:textId="77777777">
      <w:pPr>
        <w:pStyle w:val="FootnoteText"/>
        <w:spacing w:after="120"/>
        <w:rPr>
          <w:rFonts w:ascii="Times New Roman" w:hAnsi="Times New Roman" w:cs="Times New Roman"/>
        </w:rPr>
      </w:pPr>
      <w:r w:rsidRPr="002769BD">
        <w:rPr>
          <w:rStyle w:val="FootnoteReference"/>
          <w:rFonts w:ascii="Times New Roman" w:hAnsi="Times New Roman" w:cs="Times New Roman"/>
        </w:rPr>
        <w:footnoteRef/>
      </w:r>
      <w:r w:rsidRPr="002769BD">
        <w:rPr>
          <w:rFonts w:ascii="Times New Roman" w:hAnsi="Times New Roman" w:cs="Times New Roman"/>
        </w:rPr>
        <w:t xml:space="preserve"> OCC Ex. 2 (Glick Direct) at 17 </w:t>
      </w:r>
    </w:p>
  </w:footnote>
  <w:footnote w:id="25">
    <w:p w:rsidR="0072395B" w:rsidRPr="002769BD" w:rsidP="002769BD" w14:paraId="5FFAC310" w14:textId="77777777">
      <w:pPr>
        <w:pStyle w:val="FootnoteText"/>
        <w:spacing w:after="120"/>
        <w:rPr>
          <w:rFonts w:ascii="Times New Roman" w:hAnsi="Times New Roman" w:cs="Times New Roman"/>
        </w:rPr>
      </w:pPr>
      <w:r w:rsidRPr="002769BD">
        <w:rPr>
          <w:rStyle w:val="FootnoteReference"/>
          <w:rFonts w:ascii="Times New Roman" w:hAnsi="Times New Roman" w:cs="Times New Roman"/>
        </w:rPr>
        <w:footnoteRef/>
      </w:r>
      <w:r w:rsidRPr="002769BD">
        <w:rPr>
          <w:rFonts w:ascii="Times New Roman" w:hAnsi="Times New Roman" w:cs="Times New Roman"/>
        </w:rPr>
        <w:t xml:space="preserve"> </w:t>
      </w:r>
      <w:bookmarkStart w:id="18" w:name="_Hlk107487769"/>
      <w:r w:rsidRPr="002769BD">
        <w:rPr>
          <w:rFonts w:ascii="Times New Roman" w:hAnsi="Times New Roman" w:cs="Times New Roman"/>
        </w:rPr>
        <w:t>Entry (Feb</w:t>
      </w:r>
      <w:r w:rsidR="002769BD">
        <w:rPr>
          <w:rFonts w:ascii="Times New Roman" w:hAnsi="Times New Roman" w:cs="Times New Roman"/>
        </w:rPr>
        <w:t>ruary</w:t>
      </w:r>
      <w:r w:rsidRPr="002769BD">
        <w:rPr>
          <w:rFonts w:ascii="Times New Roman" w:hAnsi="Times New Roman" w:cs="Times New Roman"/>
        </w:rPr>
        <w:t xml:space="preserve">13, 2020) at </w:t>
      </w:r>
      <w:bookmarkEnd w:id="18"/>
      <w:r w:rsidRPr="002769BD">
        <w:rPr>
          <w:rFonts w:ascii="Times New Roman" w:hAnsi="Times New Roman" w:cs="Times New Roman"/>
        </w:rPr>
        <w:t>¶ 6.</w:t>
      </w:r>
    </w:p>
  </w:footnote>
  <w:footnote w:id="26">
    <w:p w:rsidR="0072395B" w:rsidRPr="002769BD" w:rsidP="002769BD" w14:paraId="321A1468" w14:textId="77777777">
      <w:pPr>
        <w:pStyle w:val="FootnoteText"/>
        <w:spacing w:after="120"/>
        <w:rPr>
          <w:rFonts w:ascii="Times New Roman" w:hAnsi="Times New Roman" w:cs="Times New Roman"/>
        </w:rPr>
      </w:pPr>
      <w:r w:rsidRPr="002769BD">
        <w:rPr>
          <w:rStyle w:val="FootnoteReference"/>
          <w:rFonts w:ascii="Times New Roman" w:hAnsi="Times New Roman" w:cs="Times New Roman"/>
        </w:rPr>
        <w:footnoteRef/>
      </w:r>
      <w:r w:rsidRPr="002769BD">
        <w:rPr>
          <w:rFonts w:ascii="Times New Roman" w:hAnsi="Times New Roman" w:cs="Times New Roman"/>
        </w:rPr>
        <w:t xml:space="preserve"> </w:t>
      </w:r>
      <w:r w:rsidRPr="002769BD">
        <w:rPr>
          <w:rFonts w:ascii="Times New Roman" w:hAnsi="Times New Roman" w:cs="Times New Roman"/>
          <w:i/>
          <w:iCs/>
        </w:rPr>
        <w:t>Id</w:t>
      </w:r>
      <w:r w:rsidRPr="002769BD">
        <w:rPr>
          <w:rFonts w:ascii="Times New Roman" w:hAnsi="Times New Roman" w:cs="Times New Roman"/>
        </w:rPr>
        <w:t>.</w:t>
      </w:r>
    </w:p>
  </w:footnote>
  <w:footnote w:id="27">
    <w:p w:rsidR="0072395B" w:rsidRPr="002769BD" w:rsidP="002769BD" w14:paraId="2D8D9A39" w14:textId="77777777">
      <w:pPr>
        <w:pStyle w:val="FootnoteText"/>
        <w:spacing w:after="120"/>
        <w:rPr>
          <w:rFonts w:ascii="Times New Roman" w:hAnsi="Times New Roman" w:cs="Times New Roman"/>
        </w:rPr>
      </w:pPr>
      <w:r w:rsidRPr="002769BD">
        <w:rPr>
          <w:rStyle w:val="FootnoteReference"/>
          <w:rFonts w:ascii="Times New Roman" w:hAnsi="Times New Roman" w:cs="Times New Roman"/>
        </w:rPr>
        <w:footnoteRef/>
      </w:r>
      <w:r w:rsidRPr="002769BD">
        <w:rPr>
          <w:rFonts w:ascii="Times New Roman" w:hAnsi="Times New Roman" w:cs="Times New Roman"/>
        </w:rPr>
        <w:t xml:space="preserve"> </w:t>
      </w:r>
      <w:r w:rsidRPr="002769BD">
        <w:rPr>
          <w:rFonts w:ascii="Times New Roman" w:hAnsi="Times New Roman" w:cs="Times New Roman"/>
          <w:i/>
          <w:iCs/>
        </w:rPr>
        <w:t>Id</w:t>
      </w:r>
      <w:r w:rsidRPr="002769BD">
        <w:rPr>
          <w:rFonts w:ascii="Times New Roman" w:hAnsi="Times New Roman" w:cs="Times New Roman"/>
        </w:rPr>
        <w:t>. at ¶ 7.</w:t>
      </w:r>
    </w:p>
  </w:footnote>
  <w:footnote w:id="28">
    <w:p w:rsidR="0072395B" w:rsidRPr="002769BD" w:rsidP="002769BD" w14:paraId="2C623847" w14:textId="77777777">
      <w:pPr>
        <w:pStyle w:val="FootnoteText"/>
        <w:spacing w:after="120"/>
        <w:rPr>
          <w:rFonts w:ascii="Times New Roman" w:hAnsi="Times New Roman" w:cs="Times New Roman"/>
        </w:rPr>
      </w:pPr>
      <w:r w:rsidRPr="002769BD">
        <w:rPr>
          <w:rStyle w:val="FootnoteReference"/>
          <w:rFonts w:ascii="Times New Roman" w:hAnsi="Times New Roman" w:cs="Times New Roman"/>
        </w:rPr>
        <w:footnoteRef/>
      </w:r>
      <w:r w:rsidRPr="002769BD">
        <w:rPr>
          <w:rFonts w:ascii="Times New Roman" w:hAnsi="Times New Roman" w:cs="Times New Roman"/>
        </w:rPr>
        <w:t xml:space="preserve"> </w:t>
      </w:r>
      <w:r w:rsidRPr="002769BD">
        <w:rPr>
          <w:rFonts w:ascii="Times New Roman" w:hAnsi="Times New Roman" w:cs="Times New Roman"/>
          <w:i/>
          <w:iCs/>
        </w:rPr>
        <w:t>Id</w:t>
      </w:r>
      <w:r w:rsidRPr="002769BD">
        <w:rPr>
          <w:rFonts w:ascii="Times New Roman" w:hAnsi="Times New Roman" w:cs="Times New Roman"/>
        </w:rPr>
        <w:t>. (emphasis added).</w:t>
      </w:r>
    </w:p>
  </w:footnote>
  <w:footnote w:id="29">
    <w:p w:rsidR="0072395B" w:rsidRPr="002769BD" w:rsidP="002769BD" w14:paraId="4F15BEC7" w14:textId="77777777">
      <w:pPr>
        <w:pStyle w:val="FootnoteText"/>
        <w:spacing w:after="120"/>
        <w:rPr>
          <w:rFonts w:ascii="Times New Roman" w:hAnsi="Times New Roman" w:cs="Times New Roman"/>
        </w:rPr>
      </w:pPr>
      <w:r w:rsidRPr="002769BD">
        <w:rPr>
          <w:rStyle w:val="FootnoteReference"/>
          <w:rFonts w:ascii="Times New Roman" w:hAnsi="Times New Roman" w:cs="Times New Roman"/>
        </w:rPr>
        <w:footnoteRef/>
      </w:r>
      <w:r w:rsidRPr="002769BD">
        <w:rPr>
          <w:rFonts w:ascii="Times New Roman" w:hAnsi="Times New Roman" w:cs="Times New Roman"/>
          <w:i/>
          <w:iCs/>
        </w:rPr>
        <w:t xml:space="preserve"> Id</w:t>
      </w:r>
      <w:r w:rsidRPr="002769BD">
        <w:rPr>
          <w:rFonts w:ascii="Times New Roman" w:hAnsi="Times New Roman" w:cs="Times New Roman"/>
        </w:rPr>
        <w:t>.</w:t>
      </w:r>
    </w:p>
  </w:footnote>
  <w:footnote w:id="30">
    <w:p w:rsidR="0072395B" w:rsidRPr="002769BD" w:rsidP="002769BD" w14:paraId="1044C0F9" w14:textId="77777777">
      <w:pPr>
        <w:pStyle w:val="FootnoteText"/>
        <w:spacing w:after="120"/>
        <w:rPr>
          <w:rFonts w:ascii="Times New Roman" w:hAnsi="Times New Roman" w:cs="Times New Roman"/>
        </w:rPr>
      </w:pPr>
      <w:r w:rsidRPr="002769BD">
        <w:rPr>
          <w:rStyle w:val="FootnoteReference"/>
          <w:rFonts w:ascii="Times New Roman" w:hAnsi="Times New Roman" w:cs="Times New Roman"/>
        </w:rPr>
        <w:footnoteRef/>
      </w:r>
      <w:r w:rsidRPr="002769BD">
        <w:rPr>
          <w:rFonts w:ascii="Times New Roman" w:hAnsi="Times New Roman" w:cs="Times New Roman"/>
        </w:rPr>
        <w:t xml:space="preserve"> </w:t>
      </w:r>
      <w:bookmarkStart w:id="19" w:name="_Hlk107489227"/>
      <w:r w:rsidRPr="002769BD">
        <w:rPr>
          <w:rFonts w:ascii="Times New Roman" w:hAnsi="Times New Roman" w:cs="Times New Roman"/>
        </w:rPr>
        <w:t>Hearing Trans. Vol. II, p. 24:</w:t>
      </w:r>
      <w:bookmarkEnd w:id="19"/>
      <w:r w:rsidRPr="002769BD">
        <w:rPr>
          <w:rFonts w:ascii="Times New Roman" w:hAnsi="Times New Roman" w:cs="Times New Roman"/>
        </w:rPr>
        <w:t>14 and 17.</w:t>
      </w:r>
    </w:p>
  </w:footnote>
  <w:footnote w:id="31">
    <w:p w:rsidR="0072395B" w:rsidRPr="002769BD" w:rsidP="002769BD" w14:paraId="38ABBA6B" w14:textId="77777777">
      <w:pPr>
        <w:pStyle w:val="FootnoteText"/>
        <w:spacing w:after="120"/>
        <w:rPr>
          <w:rFonts w:ascii="Times New Roman" w:hAnsi="Times New Roman" w:cs="Times New Roman"/>
        </w:rPr>
      </w:pPr>
      <w:r w:rsidRPr="002769BD">
        <w:rPr>
          <w:rStyle w:val="FootnoteReference"/>
          <w:rFonts w:ascii="Times New Roman" w:hAnsi="Times New Roman" w:cs="Times New Roman"/>
        </w:rPr>
        <w:footnoteRef/>
      </w:r>
      <w:r w:rsidRPr="002769BD">
        <w:rPr>
          <w:rFonts w:ascii="Times New Roman" w:hAnsi="Times New Roman" w:cs="Times New Roman"/>
        </w:rPr>
        <w:t xml:space="preserve"> </w:t>
      </w:r>
      <w:r w:rsidRPr="002769BD">
        <w:rPr>
          <w:rFonts w:ascii="Times New Roman" w:hAnsi="Times New Roman" w:cs="Times New Roman"/>
          <w:i/>
          <w:iCs/>
        </w:rPr>
        <w:t>Id</w:t>
      </w:r>
      <w:r w:rsidRPr="002769BD">
        <w:rPr>
          <w:rFonts w:ascii="Times New Roman" w:hAnsi="Times New Roman" w:cs="Times New Roman"/>
        </w:rPr>
        <w:t>. at p. 24:23 and p. 25:1.</w:t>
      </w:r>
    </w:p>
  </w:footnote>
  <w:footnote w:id="32">
    <w:p w:rsidR="0072395B" w:rsidRPr="002769BD" w:rsidP="002769BD" w14:paraId="2F1B69EC" w14:textId="77777777">
      <w:pPr>
        <w:pStyle w:val="FootnoteText"/>
        <w:spacing w:after="120"/>
        <w:rPr>
          <w:rFonts w:ascii="Times New Roman" w:hAnsi="Times New Roman" w:cs="Times New Roman"/>
        </w:rPr>
      </w:pPr>
      <w:r w:rsidRPr="002769BD">
        <w:rPr>
          <w:rStyle w:val="FootnoteReference"/>
          <w:rFonts w:ascii="Times New Roman" w:hAnsi="Times New Roman" w:cs="Times New Roman"/>
        </w:rPr>
        <w:footnoteRef/>
      </w:r>
      <w:r w:rsidRPr="002769BD">
        <w:rPr>
          <w:rFonts w:ascii="Times New Roman" w:hAnsi="Times New Roman" w:cs="Times New Roman"/>
        </w:rPr>
        <w:t xml:space="preserve"> Merriam-Webster, Collegiate Dictionary, 2022.</w:t>
      </w:r>
    </w:p>
  </w:footnote>
  <w:footnote w:id="33">
    <w:p w:rsidR="0072395B" w:rsidRPr="002769BD" w:rsidP="002769BD" w14:paraId="49BB4E69" w14:textId="77777777">
      <w:pPr>
        <w:pStyle w:val="FootnoteText"/>
        <w:spacing w:after="120"/>
        <w:rPr>
          <w:rFonts w:ascii="Times New Roman" w:hAnsi="Times New Roman" w:cs="Times New Roman"/>
        </w:rPr>
      </w:pPr>
      <w:r w:rsidRPr="002769BD">
        <w:rPr>
          <w:rStyle w:val="FootnoteReference"/>
          <w:rFonts w:ascii="Times New Roman" w:hAnsi="Times New Roman" w:cs="Times New Roman"/>
        </w:rPr>
        <w:footnoteRef/>
      </w:r>
      <w:r w:rsidRPr="002769BD">
        <w:rPr>
          <w:rFonts w:ascii="Times New Roman" w:hAnsi="Times New Roman" w:cs="Times New Roman"/>
        </w:rPr>
        <w:t xml:space="preserve"> </w:t>
      </w:r>
      <w:bookmarkStart w:id="20" w:name="_Hlk107493251"/>
      <w:r w:rsidRPr="002769BD">
        <w:rPr>
          <w:rFonts w:ascii="Times New Roman" w:hAnsi="Times New Roman" w:cs="Times New Roman"/>
        </w:rPr>
        <w:t>Hearing Trans. Vol. II, p. 24:8</w:t>
      </w:r>
      <w:bookmarkEnd w:id="20"/>
      <w:r w:rsidRPr="002769BD">
        <w:rPr>
          <w:rFonts w:ascii="Times New Roman" w:hAnsi="Times New Roman" w:cs="Times New Roman"/>
        </w:rPr>
        <w:t>.</w:t>
      </w:r>
    </w:p>
  </w:footnote>
  <w:footnote w:id="34">
    <w:p w:rsidR="0072395B" w:rsidRPr="002769BD" w:rsidP="002769BD" w14:paraId="31BBFD85" w14:textId="77777777">
      <w:pPr>
        <w:pStyle w:val="FootnoteText"/>
        <w:spacing w:after="120"/>
        <w:rPr>
          <w:rFonts w:ascii="Times New Roman" w:hAnsi="Times New Roman" w:cs="Times New Roman"/>
        </w:rPr>
      </w:pPr>
      <w:r w:rsidRPr="002769BD">
        <w:rPr>
          <w:rStyle w:val="FootnoteReference"/>
          <w:rFonts w:ascii="Times New Roman" w:hAnsi="Times New Roman" w:cs="Times New Roman"/>
        </w:rPr>
        <w:footnoteRef/>
      </w:r>
      <w:r w:rsidRPr="002769BD">
        <w:rPr>
          <w:rFonts w:ascii="Times New Roman" w:hAnsi="Times New Roman" w:cs="Times New Roman"/>
        </w:rPr>
        <w:t xml:space="preserve"> February 13, 200 Entry, Case No. 20-167-EL-RDR at RFP, p. 6.</w:t>
      </w:r>
    </w:p>
  </w:footnote>
  <w:footnote w:id="35">
    <w:p w:rsidR="0072395B" w:rsidRPr="002769BD" w:rsidP="002769BD" w14:paraId="13F995F6" w14:textId="77777777">
      <w:pPr>
        <w:pStyle w:val="FootnoteText"/>
        <w:spacing w:after="120"/>
        <w:rPr>
          <w:rFonts w:ascii="Times New Roman" w:hAnsi="Times New Roman" w:cs="Times New Roman"/>
        </w:rPr>
      </w:pPr>
      <w:r w:rsidRPr="002769BD">
        <w:rPr>
          <w:rStyle w:val="FootnoteReference"/>
          <w:rFonts w:ascii="Times New Roman" w:hAnsi="Times New Roman" w:cs="Times New Roman"/>
        </w:rPr>
        <w:footnoteRef/>
      </w:r>
      <w:r w:rsidRPr="002769BD">
        <w:rPr>
          <w:rFonts w:ascii="Times New Roman" w:hAnsi="Times New Roman" w:cs="Times New Roman"/>
        </w:rPr>
        <w:t xml:space="preserve"> </w:t>
      </w:r>
      <w:r w:rsidRPr="002769BD">
        <w:rPr>
          <w:rFonts w:ascii="Times New Roman" w:hAnsi="Times New Roman" w:cs="Times New Roman"/>
          <w:i/>
          <w:iCs/>
        </w:rPr>
        <w:t>Id</w:t>
      </w:r>
      <w:r w:rsidRPr="002769BD">
        <w:rPr>
          <w:rFonts w:ascii="Times New Roman" w:hAnsi="Times New Roman" w:cs="Times New Roman"/>
        </w:rPr>
        <w:t>.</w:t>
      </w:r>
    </w:p>
  </w:footnote>
  <w:footnote w:id="36">
    <w:p w:rsidR="0072395B" w:rsidRPr="002769BD" w:rsidP="002769BD" w14:paraId="68FAAC25" w14:textId="77777777">
      <w:pPr>
        <w:pStyle w:val="FootnoteText"/>
        <w:spacing w:after="120"/>
        <w:rPr>
          <w:rFonts w:ascii="Times New Roman" w:hAnsi="Times New Roman" w:cs="Times New Roman"/>
        </w:rPr>
      </w:pPr>
      <w:r w:rsidRPr="002769BD">
        <w:rPr>
          <w:rStyle w:val="FootnoteReference"/>
          <w:rFonts w:ascii="Times New Roman" w:hAnsi="Times New Roman" w:cs="Times New Roman"/>
        </w:rPr>
        <w:footnoteRef/>
      </w:r>
      <w:r w:rsidRPr="002769BD">
        <w:rPr>
          <w:rFonts w:ascii="Times New Roman" w:hAnsi="Times New Roman" w:cs="Times New Roman"/>
        </w:rPr>
        <w:t xml:space="preserve"> Hearing Trans. Vol. II, p. 93:3.</w:t>
      </w:r>
    </w:p>
  </w:footnote>
  <w:footnote w:id="37">
    <w:p w:rsidR="0072395B" w:rsidRPr="002769BD" w:rsidP="002769BD" w14:paraId="73AB06F7" w14:textId="77777777">
      <w:pPr>
        <w:pStyle w:val="FootnoteText"/>
        <w:spacing w:after="120"/>
        <w:rPr>
          <w:rFonts w:ascii="Times New Roman" w:hAnsi="Times New Roman" w:cs="Times New Roman"/>
        </w:rPr>
      </w:pPr>
      <w:r w:rsidRPr="002769BD">
        <w:rPr>
          <w:rStyle w:val="FootnoteReference"/>
          <w:rFonts w:ascii="Times New Roman" w:hAnsi="Times New Roman" w:cs="Times New Roman"/>
        </w:rPr>
        <w:footnoteRef/>
      </w:r>
      <w:r w:rsidRPr="002769BD">
        <w:rPr>
          <w:rFonts w:ascii="Times New Roman" w:hAnsi="Times New Roman" w:cs="Times New Roman"/>
        </w:rPr>
        <w:t xml:space="preserve"> </w:t>
      </w:r>
      <w:r w:rsidRPr="002769BD">
        <w:rPr>
          <w:rFonts w:ascii="Times New Roman" w:hAnsi="Times New Roman" w:cs="Times New Roman"/>
          <w:i/>
          <w:iCs/>
        </w:rPr>
        <w:t>Id</w:t>
      </w:r>
      <w:r w:rsidRPr="002769BD">
        <w:rPr>
          <w:rFonts w:ascii="Times New Roman" w:hAnsi="Times New Roman" w:cs="Times New Roman"/>
        </w:rPr>
        <w:t>.</w:t>
      </w:r>
    </w:p>
  </w:footnote>
  <w:footnote w:id="38">
    <w:p w:rsidR="0072395B" w:rsidRPr="002769BD" w:rsidP="002769BD" w14:paraId="033737C8" w14:textId="77777777">
      <w:pPr>
        <w:pStyle w:val="FootnoteText"/>
        <w:spacing w:after="120"/>
        <w:rPr>
          <w:rFonts w:ascii="Times New Roman" w:hAnsi="Times New Roman" w:cs="Times New Roman"/>
        </w:rPr>
      </w:pPr>
      <w:r w:rsidRPr="002769BD">
        <w:rPr>
          <w:rStyle w:val="FootnoteReference"/>
          <w:rFonts w:ascii="Times New Roman" w:hAnsi="Times New Roman" w:cs="Times New Roman"/>
        </w:rPr>
        <w:footnoteRef/>
      </w:r>
      <w:r w:rsidRPr="002769BD">
        <w:rPr>
          <w:rFonts w:ascii="Times New Roman" w:hAnsi="Times New Roman" w:cs="Times New Roman"/>
        </w:rPr>
        <w:t xml:space="preserve"> Entry (Feb</w:t>
      </w:r>
      <w:r w:rsidR="002769BD">
        <w:rPr>
          <w:rFonts w:ascii="Times New Roman" w:hAnsi="Times New Roman" w:cs="Times New Roman"/>
        </w:rPr>
        <w:t>ruary</w:t>
      </w:r>
      <w:r w:rsidRPr="002769BD">
        <w:rPr>
          <w:rFonts w:ascii="Times New Roman" w:hAnsi="Times New Roman" w:cs="Times New Roman"/>
        </w:rPr>
        <w:t xml:space="preserve"> 13, 2020) at ¶ 7.</w:t>
      </w:r>
    </w:p>
  </w:footnote>
  <w:footnote w:id="39">
    <w:p w:rsidR="0072395B" w:rsidRPr="002769BD" w:rsidP="002769BD" w14:paraId="7863A57B" w14:textId="77777777">
      <w:pPr>
        <w:pStyle w:val="FootnoteText"/>
        <w:spacing w:after="120"/>
        <w:rPr>
          <w:rFonts w:ascii="Times New Roman" w:hAnsi="Times New Roman" w:cs="Times New Roman"/>
        </w:rPr>
      </w:pPr>
      <w:r w:rsidRPr="002769BD">
        <w:rPr>
          <w:rStyle w:val="FootnoteReference"/>
          <w:rFonts w:ascii="Times New Roman" w:hAnsi="Times New Roman" w:cs="Times New Roman"/>
        </w:rPr>
        <w:footnoteRef/>
      </w:r>
      <w:r w:rsidRPr="002769BD">
        <w:rPr>
          <w:rFonts w:ascii="Times New Roman" w:hAnsi="Times New Roman" w:cs="Times New Roman"/>
        </w:rPr>
        <w:t xml:space="preserve"> </w:t>
      </w:r>
      <w:bookmarkStart w:id="21" w:name="_Hlk107493567"/>
      <w:r w:rsidRPr="002769BD">
        <w:rPr>
          <w:rFonts w:ascii="Times New Roman" w:hAnsi="Times New Roman" w:cs="Times New Roman"/>
        </w:rPr>
        <w:t>Hearing Trans. Vol. II, p. 5:17</w:t>
      </w:r>
      <w:bookmarkEnd w:id="21"/>
      <w:r w:rsidRPr="002769BD">
        <w:rPr>
          <w:rFonts w:ascii="Times New Roman" w:hAnsi="Times New Roman" w:cs="Times New Roman"/>
        </w:rPr>
        <w:t>.</w:t>
      </w:r>
    </w:p>
  </w:footnote>
  <w:footnote w:id="40">
    <w:p w:rsidR="0072395B" w:rsidRPr="002769BD" w:rsidP="002769BD" w14:paraId="21D057E0" w14:textId="77777777">
      <w:pPr>
        <w:pStyle w:val="FootnoteText"/>
        <w:spacing w:after="120"/>
        <w:rPr>
          <w:rFonts w:ascii="Times New Roman" w:hAnsi="Times New Roman" w:cs="Times New Roman"/>
        </w:rPr>
      </w:pPr>
      <w:r w:rsidRPr="002769BD">
        <w:rPr>
          <w:rStyle w:val="FootnoteReference"/>
          <w:rFonts w:ascii="Times New Roman" w:hAnsi="Times New Roman" w:cs="Times New Roman"/>
        </w:rPr>
        <w:footnoteRef/>
      </w:r>
      <w:r w:rsidRPr="002769BD">
        <w:rPr>
          <w:rFonts w:ascii="Times New Roman" w:hAnsi="Times New Roman" w:cs="Times New Roman"/>
        </w:rPr>
        <w:t xml:space="preserve"> </w:t>
      </w:r>
      <w:r w:rsidRPr="002769BD">
        <w:rPr>
          <w:rFonts w:ascii="Times New Roman" w:hAnsi="Times New Roman" w:cs="Times New Roman"/>
          <w:i/>
          <w:iCs/>
        </w:rPr>
        <w:t>Id</w:t>
      </w:r>
      <w:r w:rsidRPr="002769BD">
        <w:rPr>
          <w:rFonts w:ascii="Times New Roman" w:hAnsi="Times New Roman" w:cs="Times New Roman"/>
        </w:rPr>
        <w:t>. at 95:21.</w:t>
      </w:r>
    </w:p>
  </w:footnote>
  <w:footnote w:id="41">
    <w:p w:rsidR="0072395B" w:rsidRPr="002769BD" w:rsidP="002769BD" w14:paraId="50C7DE0D" w14:textId="77777777">
      <w:pPr>
        <w:pStyle w:val="FootnoteText"/>
        <w:spacing w:after="120"/>
        <w:rPr>
          <w:rFonts w:ascii="Times New Roman" w:hAnsi="Times New Roman" w:cs="Times New Roman"/>
        </w:rPr>
      </w:pPr>
      <w:r w:rsidRPr="002769BD">
        <w:rPr>
          <w:rStyle w:val="FootnoteReference"/>
          <w:rFonts w:ascii="Times New Roman" w:hAnsi="Times New Roman" w:cs="Times New Roman"/>
        </w:rPr>
        <w:footnoteRef/>
      </w:r>
      <w:r w:rsidRPr="002769BD">
        <w:rPr>
          <w:rFonts w:ascii="Times New Roman" w:hAnsi="Times New Roman" w:cs="Times New Roman"/>
        </w:rPr>
        <w:t xml:space="preserve"> OCC Ex. 2 (Glick Direct) at p. 7:19.</w:t>
      </w:r>
    </w:p>
  </w:footnote>
  <w:footnote w:id="42">
    <w:p w:rsidR="0072395B" w:rsidRPr="002769BD" w:rsidP="002769BD" w14:paraId="1E9E82F9" w14:textId="77777777">
      <w:pPr>
        <w:pStyle w:val="FootnoteText"/>
        <w:spacing w:after="120"/>
        <w:rPr>
          <w:rFonts w:ascii="Times New Roman" w:hAnsi="Times New Roman" w:cs="Times New Roman"/>
        </w:rPr>
      </w:pPr>
      <w:r w:rsidRPr="002769BD">
        <w:rPr>
          <w:rStyle w:val="FootnoteReference"/>
          <w:rFonts w:ascii="Times New Roman" w:hAnsi="Times New Roman" w:cs="Times New Roman"/>
        </w:rPr>
        <w:footnoteRef/>
      </w:r>
      <w:r w:rsidRPr="002769BD">
        <w:rPr>
          <w:rFonts w:ascii="Times New Roman" w:hAnsi="Times New Roman" w:cs="Times New Roman"/>
        </w:rPr>
        <w:t xml:space="preserve"> </w:t>
      </w:r>
      <w:r w:rsidRPr="002769BD">
        <w:rPr>
          <w:rFonts w:ascii="Times New Roman" w:hAnsi="Times New Roman" w:cs="Times New Roman"/>
          <w:i/>
          <w:iCs/>
        </w:rPr>
        <w:t>See</w:t>
      </w:r>
      <w:r w:rsidRPr="002769BD">
        <w:rPr>
          <w:rFonts w:ascii="Times New Roman" w:hAnsi="Times New Roman" w:cs="Times New Roman"/>
        </w:rPr>
        <w:t xml:space="preserve"> Staff Exhibit 1, p. 26, Figure 8.</w:t>
      </w:r>
    </w:p>
  </w:footnote>
  <w:footnote w:id="43">
    <w:p w:rsidR="0072395B" w:rsidRPr="002769BD" w:rsidP="002769BD" w14:paraId="421353AA" w14:textId="77777777">
      <w:pPr>
        <w:pStyle w:val="FootnoteText"/>
        <w:spacing w:after="120"/>
        <w:rPr>
          <w:rFonts w:ascii="Times New Roman" w:hAnsi="Times New Roman" w:cs="Times New Roman"/>
        </w:rPr>
      </w:pPr>
      <w:r w:rsidRPr="002769BD">
        <w:rPr>
          <w:rStyle w:val="FootnoteReference"/>
          <w:rFonts w:ascii="Times New Roman" w:hAnsi="Times New Roman" w:cs="Times New Roman"/>
        </w:rPr>
        <w:footnoteRef/>
      </w:r>
      <w:r w:rsidRPr="002769BD">
        <w:rPr>
          <w:rFonts w:ascii="Times New Roman" w:hAnsi="Times New Roman" w:cs="Times New Roman"/>
        </w:rPr>
        <w:t xml:space="preserve"> OCC Ex. 2 (Glick Direct) at pp. 37-48.</w:t>
      </w:r>
    </w:p>
  </w:footnote>
  <w:footnote w:id="44">
    <w:p w:rsidR="0072395B" w:rsidRPr="002769BD" w:rsidP="002769BD" w14:paraId="7A7D65FD" w14:textId="77777777">
      <w:pPr>
        <w:pStyle w:val="FootnoteText"/>
        <w:spacing w:after="120"/>
        <w:rPr>
          <w:rFonts w:ascii="Times New Roman" w:hAnsi="Times New Roman" w:cs="Times New Roman"/>
        </w:rPr>
      </w:pPr>
      <w:r w:rsidRPr="002769BD">
        <w:rPr>
          <w:rStyle w:val="FootnoteReference"/>
          <w:rFonts w:ascii="Times New Roman" w:hAnsi="Times New Roman" w:cs="Times New Roman"/>
        </w:rPr>
        <w:footnoteRef/>
      </w:r>
      <w:r w:rsidRPr="002769BD">
        <w:rPr>
          <w:rFonts w:ascii="Times New Roman" w:hAnsi="Times New Roman" w:cs="Times New Roman"/>
        </w:rPr>
        <w:t xml:space="preserve"> </w:t>
      </w:r>
      <w:bookmarkStart w:id="28" w:name="_Hlk107568674"/>
      <w:r w:rsidRPr="002769BD">
        <w:rPr>
          <w:rFonts w:ascii="Times New Roman" w:hAnsi="Times New Roman" w:cs="Times New Roman"/>
        </w:rPr>
        <w:t>OCC Ex. 2 (Glick Direct) at p. 11:7</w:t>
      </w:r>
      <w:bookmarkEnd w:id="28"/>
      <w:r w:rsidRPr="002769BD">
        <w:rPr>
          <w:rFonts w:ascii="Times New Roman" w:hAnsi="Times New Roman" w:cs="Times New Roman"/>
        </w:rPr>
        <w:t>.</w:t>
      </w:r>
    </w:p>
  </w:footnote>
  <w:footnote w:id="45">
    <w:p w:rsidR="0072395B" w:rsidRPr="002769BD" w:rsidP="002769BD" w14:paraId="37BE94D2" w14:textId="77777777">
      <w:pPr>
        <w:pStyle w:val="FootnoteText"/>
        <w:spacing w:after="120"/>
        <w:rPr>
          <w:rFonts w:ascii="Times New Roman" w:hAnsi="Times New Roman" w:cs="Times New Roman"/>
        </w:rPr>
      </w:pPr>
      <w:r w:rsidRPr="002769BD">
        <w:rPr>
          <w:rStyle w:val="FootnoteReference"/>
          <w:rFonts w:ascii="Times New Roman" w:hAnsi="Times New Roman" w:cs="Times New Roman"/>
        </w:rPr>
        <w:footnoteRef/>
      </w:r>
      <w:r w:rsidRPr="002769BD">
        <w:rPr>
          <w:rFonts w:ascii="Times New Roman" w:hAnsi="Times New Roman" w:cs="Times New Roman"/>
        </w:rPr>
        <w:t xml:space="preserve"> </w:t>
      </w:r>
      <w:bookmarkStart w:id="29" w:name="_Hlk107568249"/>
      <w:r w:rsidRPr="002769BD">
        <w:rPr>
          <w:rFonts w:ascii="Times New Roman" w:hAnsi="Times New Roman" w:cs="Times New Roman"/>
          <w:i/>
          <w:iCs/>
        </w:rPr>
        <w:t>Id</w:t>
      </w:r>
      <w:r w:rsidRPr="002769BD">
        <w:rPr>
          <w:rFonts w:ascii="Times New Roman" w:hAnsi="Times New Roman" w:cs="Times New Roman"/>
        </w:rPr>
        <w:t>. at 11:10</w:t>
      </w:r>
      <w:bookmarkEnd w:id="29"/>
      <w:r w:rsidRPr="002769BD">
        <w:rPr>
          <w:rFonts w:ascii="Times New Roman" w:hAnsi="Times New Roman" w:cs="Times New Roman"/>
        </w:rPr>
        <w:t>.</w:t>
      </w:r>
    </w:p>
  </w:footnote>
  <w:footnote w:id="46">
    <w:p w:rsidR="0072395B" w:rsidRPr="002769BD" w:rsidP="002769BD" w14:paraId="25600426" w14:textId="77777777">
      <w:pPr>
        <w:pStyle w:val="FootnoteText"/>
        <w:spacing w:after="120"/>
        <w:rPr>
          <w:rFonts w:ascii="Times New Roman" w:hAnsi="Times New Roman" w:cs="Times New Roman"/>
        </w:rPr>
      </w:pPr>
      <w:r w:rsidRPr="002769BD">
        <w:rPr>
          <w:rStyle w:val="FootnoteReference"/>
          <w:rFonts w:ascii="Times New Roman" w:hAnsi="Times New Roman" w:cs="Times New Roman"/>
        </w:rPr>
        <w:footnoteRef/>
      </w:r>
      <w:r w:rsidRPr="002769BD">
        <w:rPr>
          <w:rFonts w:ascii="Times New Roman" w:hAnsi="Times New Roman" w:cs="Times New Roman"/>
        </w:rPr>
        <w:t xml:space="preserve"> </w:t>
      </w:r>
      <w:r w:rsidRPr="002769BD">
        <w:rPr>
          <w:rFonts w:ascii="Times New Roman" w:hAnsi="Times New Roman" w:cs="Times New Roman"/>
          <w:i/>
          <w:iCs/>
        </w:rPr>
        <w:t>Id</w:t>
      </w:r>
      <w:r w:rsidRPr="002769BD">
        <w:rPr>
          <w:rFonts w:ascii="Times New Roman" w:hAnsi="Times New Roman" w:cs="Times New Roman"/>
        </w:rPr>
        <w:t>. at 17.</w:t>
      </w:r>
    </w:p>
  </w:footnote>
  <w:footnote w:id="47">
    <w:p w:rsidR="0072395B" w:rsidRPr="002769BD" w:rsidP="002769BD" w14:paraId="6F8BE0B2" w14:textId="77777777">
      <w:pPr>
        <w:pStyle w:val="FootnoteText"/>
        <w:spacing w:after="120"/>
        <w:rPr>
          <w:rFonts w:ascii="Times New Roman" w:hAnsi="Times New Roman" w:cs="Times New Roman"/>
        </w:rPr>
      </w:pPr>
      <w:r w:rsidRPr="002769BD">
        <w:rPr>
          <w:rStyle w:val="FootnoteReference"/>
          <w:rFonts w:ascii="Times New Roman" w:hAnsi="Times New Roman" w:cs="Times New Roman"/>
        </w:rPr>
        <w:footnoteRef/>
      </w:r>
      <w:r w:rsidRPr="002769BD">
        <w:rPr>
          <w:rFonts w:ascii="Times New Roman" w:hAnsi="Times New Roman" w:cs="Times New Roman"/>
        </w:rPr>
        <w:t xml:space="preserve"> </w:t>
      </w:r>
      <w:bookmarkStart w:id="30" w:name="_Hlk107572019"/>
      <w:r w:rsidRPr="002769BD">
        <w:rPr>
          <w:rFonts w:ascii="Times New Roman" w:hAnsi="Times New Roman" w:cs="Times New Roman"/>
        </w:rPr>
        <w:t>OCC Ex. 2 (Glick Direct) at p. 17:19</w:t>
      </w:r>
      <w:bookmarkEnd w:id="30"/>
      <w:r w:rsidRPr="002769BD">
        <w:rPr>
          <w:rFonts w:ascii="Times New Roman" w:hAnsi="Times New Roman" w:cs="Times New Roman"/>
        </w:rPr>
        <w:t>.</w:t>
      </w:r>
    </w:p>
  </w:footnote>
  <w:footnote w:id="48">
    <w:p w:rsidR="0072395B" w:rsidRPr="002769BD" w:rsidP="002769BD" w14:paraId="64380406" w14:textId="77777777">
      <w:pPr>
        <w:pStyle w:val="FootnoteText"/>
        <w:spacing w:after="120"/>
        <w:rPr>
          <w:rFonts w:ascii="Times New Roman" w:hAnsi="Times New Roman" w:cs="Times New Roman"/>
        </w:rPr>
      </w:pPr>
      <w:r w:rsidRPr="002769BD">
        <w:rPr>
          <w:rStyle w:val="FootnoteReference"/>
          <w:rFonts w:ascii="Times New Roman" w:hAnsi="Times New Roman" w:cs="Times New Roman"/>
        </w:rPr>
        <w:footnoteRef/>
      </w:r>
      <w:r w:rsidRPr="002769BD">
        <w:rPr>
          <w:rFonts w:ascii="Times New Roman" w:hAnsi="Times New Roman" w:cs="Times New Roman"/>
        </w:rPr>
        <w:t xml:space="preserve"> </w:t>
      </w:r>
      <w:r w:rsidRPr="002769BD">
        <w:rPr>
          <w:rFonts w:ascii="Times New Roman" w:hAnsi="Times New Roman" w:cs="Times New Roman"/>
          <w:i/>
          <w:iCs/>
        </w:rPr>
        <w:t>Id</w:t>
      </w:r>
      <w:r w:rsidRPr="002769BD">
        <w:rPr>
          <w:rFonts w:ascii="Times New Roman" w:hAnsi="Times New Roman" w:cs="Times New Roman"/>
        </w:rPr>
        <w:t>. at pp. 17 – 18.</w:t>
      </w:r>
    </w:p>
  </w:footnote>
  <w:footnote w:id="49">
    <w:p w:rsidR="0072395B" w:rsidRPr="002769BD" w:rsidP="002769BD" w14:paraId="53FF41A8" w14:textId="77777777">
      <w:pPr>
        <w:pStyle w:val="FootnoteText"/>
        <w:spacing w:after="120"/>
        <w:rPr>
          <w:rFonts w:ascii="Times New Roman" w:hAnsi="Times New Roman" w:cs="Times New Roman"/>
        </w:rPr>
      </w:pPr>
      <w:r w:rsidRPr="002769BD">
        <w:rPr>
          <w:rStyle w:val="FootnoteReference"/>
          <w:rFonts w:ascii="Times New Roman" w:hAnsi="Times New Roman" w:cs="Times New Roman"/>
        </w:rPr>
        <w:footnoteRef/>
      </w:r>
      <w:r w:rsidRPr="002769BD">
        <w:rPr>
          <w:rFonts w:ascii="Times New Roman" w:hAnsi="Times New Roman" w:cs="Times New Roman"/>
        </w:rPr>
        <w:t xml:space="preserve"> OCC Ex. 2 (Glick Direct) at 19.</w:t>
      </w:r>
    </w:p>
  </w:footnote>
  <w:footnote w:id="50">
    <w:p w:rsidR="0072395B" w:rsidRPr="002769BD" w:rsidP="002769BD" w14:paraId="02869DF4" w14:textId="77777777">
      <w:pPr>
        <w:pStyle w:val="FootnoteText"/>
        <w:spacing w:after="120"/>
        <w:rPr>
          <w:rFonts w:ascii="Times New Roman" w:hAnsi="Times New Roman" w:cs="Times New Roman"/>
        </w:rPr>
      </w:pPr>
      <w:r w:rsidRPr="002769BD">
        <w:rPr>
          <w:rStyle w:val="FootnoteReference"/>
          <w:rFonts w:ascii="Times New Roman" w:hAnsi="Times New Roman" w:cs="Times New Roman"/>
        </w:rPr>
        <w:footnoteRef/>
      </w:r>
      <w:r w:rsidRPr="002769BD">
        <w:rPr>
          <w:rFonts w:ascii="Times New Roman" w:hAnsi="Times New Roman" w:cs="Times New Roman"/>
        </w:rPr>
        <w:t xml:space="preserve"> </w:t>
      </w:r>
      <w:bookmarkStart w:id="31" w:name="_Hlk107574708"/>
      <w:r w:rsidRPr="002769BD">
        <w:rPr>
          <w:rFonts w:ascii="Times New Roman" w:hAnsi="Times New Roman" w:cs="Times New Roman"/>
          <w:i/>
          <w:iCs/>
        </w:rPr>
        <w:t>Id</w:t>
      </w:r>
      <w:r w:rsidRPr="002769BD">
        <w:rPr>
          <w:rFonts w:ascii="Times New Roman" w:hAnsi="Times New Roman" w:cs="Times New Roman"/>
        </w:rPr>
        <w:t>. at 20:10</w:t>
      </w:r>
      <w:bookmarkEnd w:id="31"/>
      <w:r w:rsidRPr="002769BD">
        <w:rPr>
          <w:rFonts w:ascii="Times New Roman" w:hAnsi="Times New Roman" w:cs="Times New Roman"/>
        </w:rPr>
        <w:t>.</w:t>
      </w:r>
    </w:p>
  </w:footnote>
  <w:footnote w:id="51">
    <w:p w:rsidR="0072395B" w:rsidRPr="002769BD" w:rsidP="002769BD" w14:paraId="01665DE8" w14:textId="77777777">
      <w:pPr>
        <w:pStyle w:val="FootnoteText"/>
        <w:spacing w:after="120"/>
        <w:rPr>
          <w:rFonts w:ascii="Times New Roman" w:hAnsi="Times New Roman" w:cs="Times New Roman"/>
        </w:rPr>
      </w:pPr>
      <w:r w:rsidRPr="002769BD">
        <w:rPr>
          <w:rStyle w:val="FootnoteReference"/>
          <w:rFonts w:ascii="Times New Roman" w:hAnsi="Times New Roman" w:cs="Times New Roman"/>
        </w:rPr>
        <w:footnoteRef/>
      </w:r>
      <w:r w:rsidRPr="002769BD">
        <w:rPr>
          <w:rFonts w:ascii="Times New Roman" w:hAnsi="Times New Roman" w:cs="Times New Roman"/>
        </w:rPr>
        <w:t xml:space="preserve"> OCC Ex. 1 (Haugh Direct) at 20-23.</w:t>
      </w:r>
    </w:p>
  </w:footnote>
  <w:footnote w:id="52">
    <w:p w:rsidR="0072395B" w:rsidRPr="002769BD" w:rsidP="002769BD" w14:paraId="4F2D2C9A" w14:textId="77777777">
      <w:pPr>
        <w:pStyle w:val="FootnoteText"/>
        <w:spacing w:after="120"/>
        <w:rPr>
          <w:rFonts w:ascii="Times New Roman" w:hAnsi="Times New Roman" w:cs="Times New Roman"/>
        </w:rPr>
      </w:pPr>
      <w:r w:rsidRPr="002769BD">
        <w:rPr>
          <w:rStyle w:val="FootnoteReference"/>
          <w:rFonts w:ascii="Times New Roman" w:hAnsi="Times New Roman" w:cs="Times New Roman"/>
        </w:rPr>
        <w:footnoteRef/>
      </w:r>
      <w:r w:rsidRPr="002769BD">
        <w:rPr>
          <w:rFonts w:ascii="Times New Roman" w:hAnsi="Times New Roman" w:cs="Times New Roman"/>
        </w:rPr>
        <w:t xml:space="preserve"> OCC Ex. 1 (Haugh Direct) at 23.</w:t>
      </w:r>
    </w:p>
  </w:footnote>
  <w:footnote w:id="53">
    <w:p w:rsidR="0072395B" w:rsidRPr="002769BD" w:rsidP="002769BD" w14:paraId="1314FDF0" w14:textId="77777777">
      <w:pPr>
        <w:pStyle w:val="FootnoteText"/>
        <w:spacing w:after="120"/>
        <w:rPr>
          <w:rFonts w:ascii="Times New Roman" w:hAnsi="Times New Roman" w:cs="Times New Roman"/>
        </w:rPr>
      </w:pPr>
      <w:r w:rsidRPr="002769BD">
        <w:rPr>
          <w:rStyle w:val="FootnoteReference"/>
          <w:rFonts w:ascii="Times New Roman" w:hAnsi="Times New Roman" w:cs="Times New Roman"/>
        </w:rPr>
        <w:footnoteRef/>
      </w:r>
      <w:r w:rsidRPr="002769BD">
        <w:rPr>
          <w:rFonts w:ascii="Times New Roman" w:hAnsi="Times New Roman" w:cs="Times New Roman"/>
        </w:rPr>
        <w:t xml:space="preserve"> OCC Ex. 2 (Glick Direct) at 19.</w:t>
      </w:r>
    </w:p>
  </w:footnote>
  <w:footnote w:id="54">
    <w:p w:rsidR="0072395B" w:rsidRPr="002769BD" w:rsidP="002769BD" w14:paraId="275E996F" w14:textId="77777777">
      <w:pPr>
        <w:pStyle w:val="FootnoteText"/>
        <w:spacing w:after="120"/>
        <w:rPr>
          <w:rFonts w:ascii="Times New Roman" w:hAnsi="Times New Roman" w:cs="Times New Roman"/>
        </w:rPr>
      </w:pPr>
      <w:r w:rsidRPr="002769BD">
        <w:rPr>
          <w:rStyle w:val="FootnoteReference"/>
          <w:rFonts w:ascii="Times New Roman" w:hAnsi="Times New Roman" w:cs="Times New Roman"/>
        </w:rPr>
        <w:footnoteRef/>
      </w:r>
      <w:r w:rsidRPr="002769BD">
        <w:rPr>
          <w:rFonts w:ascii="Times New Roman" w:hAnsi="Times New Roman" w:cs="Times New Roman"/>
        </w:rPr>
        <w:t xml:space="preserve"> </w:t>
      </w:r>
      <w:bookmarkStart w:id="36" w:name="_Hlk107913242"/>
      <w:r w:rsidRPr="002769BD">
        <w:rPr>
          <w:rFonts w:ascii="Times New Roman" w:hAnsi="Times New Roman" w:cs="Times New Roman"/>
        </w:rPr>
        <w:t>OCC Ex. 2 (Glick Direct) at 39</w:t>
      </w:r>
      <w:bookmarkEnd w:id="36"/>
      <w:r w:rsidRPr="002769BD">
        <w:rPr>
          <w:rFonts w:ascii="Times New Roman" w:hAnsi="Times New Roman" w:cs="Times New Roman"/>
        </w:rPr>
        <w:t>.</w:t>
      </w:r>
    </w:p>
  </w:footnote>
  <w:footnote w:id="55">
    <w:p w:rsidR="0072395B" w:rsidRPr="002769BD" w:rsidP="002769BD" w14:paraId="73310878" w14:textId="77777777">
      <w:pPr>
        <w:pStyle w:val="FootnoteText"/>
        <w:spacing w:after="120"/>
        <w:rPr>
          <w:rFonts w:ascii="Times New Roman" w:hAnsi="Times New Roman" w:cs="Times New Roman"/>
        </w:rPr>
      </w:pPr>
      <w:r w:rsidRPr="002769BD">
        <w:rPr>
          <w:rStyle w:val="FootnoteReference"/>
          <w:rFonts w:ascii="Times New Roman" w:hAnsi="Times New Roman" w:cs="Times New Roman"/>
        </w:rPr>
        <w:footnoteRef/>
      </w:r>
      <w:r w:rsidRPr="002769BD">
        <w:rPr>
          <w:rFonts w:ascii="Times New Roman" w:hAnsi="Times New Roman" w:cs="Times New Roman"/>
        </w:rPr>
        <w:t xml:space="preserve"> </w:t>
      </w:r>
      <w:r w:rsidRPr="002769BD">
        <w:rPr>
          <w:rFonts w:ascii="Times New Roman" w:hAnsi="Times New Roman" w:cs="Times New Roman"/>
          <w:i/>
          <w:iCs/>
        </w:rPr>
        <w:t>Id</w:t>
      </w:r>
      <w:r w:rsidRPr="002769BD">
        <w:rPr>
          <w:rFonts w:ascii="Times New Roman" w:hAnsi="Times New Roman" w:cs="Times New Roman"/>
        </w:rPr>
        <w:t>.</w:t>
      </w:r>
    </w:p>
  </w:footnote>
  <w:footnote w:id="56">
    <w:p w:rsidR="0072395B" w:rsidRPr="002769BD" w:rsidP="002769BD" w14:paraId="3B1ED8EF" w14:textId="77777777">
      <w:pPr>
        <w:pStyle w:val="FootnoteText"/>
        <w:spacing w:after="120"/>
        <w:rPr>
          <w:rFonts w:ascii="Times New Roman" w:hAnsi="Times New Roman" w:cs="Times New Roman"/>
        </w:rPr>
      </w:pPr>
      <w:r w:rsidRPr="002769BD">
        <w:rPr>
          <w:rStyle w:val="FootnoteReference"/>
          <w:rFonts w:ascii="Times New Roman" w:hAnsi="Times New Roman" w:cs="Times New Roman"/>
        </w:rPr>
        <w:footnoteRef/>
      </w:r>
      <w:r w:rsidRPr="002769BD">
        <w:rPr>
          <w:rFonts w:ascii="Times New Roman" w:hAnsi="Times New Roman" w:cs="Times New Roman"/>
        </w:rPr>
        <w:t xml:space="preserve"> </w:t>
      </w:r>
      <w:r w:rsidRPr="002769BD">
        <w:rPr>
          <w:rFonts w:ascii="Times New Roman" w:hAnsi="Times New Roman" w:cs="Times New Roman"/>
          <w:i/>
          <w:iCs/>
        </w:rPr>
        <w:t>Id</w:t>
      </w:r>
      <w:r w:rsidRPr="002769BD">
        <w:rPr>
          <w:rFonts w:ascii="Times New Roman" w:hAnsi="Times New Roman" w:cs="Times New Roman"/>
        </w:rPr>
        <w:t>. at 40.</w:t>
      </w:r>
    </w:p>
  </w:footnote>
  <w:footnote w:id="57">
    <w:p w:rsidR="0072395B" w:rsidRPr="002769BD" w:rsidP="002769BD" w14:paraId="29750DAF" w14:textId="77777777">
      <w:pPr>
        <w:pStyle w:val="FootnoteText"/>
        <w:spacing w:after="120"/>
        <w:rPr>
          <w:rFonts w:ascii="Times New Roman" w:hAnsi="Times New Roman" w:cs="Times New Roman"/>
        </w:rPr>
      </w:pPr>
      <w:r w:rsidRPr="002769BD">
        <w:rPr>
          <w:rStyle w:val="FootnoteReference"/>
          <w:rFonts w:ascii="Times New Roman" w:hAnsi="Times New Roman" w:cs="Times New Roman"/>
        </w:rPr>
        <w:footnoteRef/>
      </w:r>
      <w:r w:rsidRPr="002769BD">
        <w:rPr>
          <w:rFonts w:ascii="Times New Roman" w:hAnsi="Times New Roman" w:cs="Times New Roman"/>
        </w:rPr>
        <w:t xml:space="preserve"> </w:t>
      </w:r>
      <w:r w:rsidRPr="002769BD">
        <w:rPr>
          <w:rFonts w:ascii="Times New Roman" w:hAnsi="Times New Roman" w:cs="Times New Roman"/>
          <w:i/>
          <w:iCs/>
        </w:rPr>
        <w:t>Id</w:t>
      </w:r>
      <w:r w:rsidRPr="002769BD">
        <w:rPr>
          <w:rFonts w:ascii="Times New Roman" w:hAnsi="Times New Roman" w:cs="Times New Roman"/>
        </w:rPr>
        <w:t>. at 40.</w:t>
      </w:r>
    </w:p>
  </w:footnote>
  <w:footnote w:id="58">
    <w:p w:rsidR="0072395B" w:rsidRPr="002769BD" w:rsidP="002769BD" w14:paraId="0A9AC9A5" w14:textId="77777777">
      <w:pPr>
        <w:pStyle w:val="FootnoteText"/>
        <w:spacing w:after="120"/>
        <w:rPr>
          <w:rFonts w:ascii="Times New Roman" w:hAnsi="Times New Roman" w:cs="Times New Roman"/>
        </w:rPr>
      </w:pPr>
      <w:r w:rsidRPr="002769BD">
        <w:rPr>
          <w:rStyle w:val="FootnoteReference"/>
          <w:rFonts w:ascii="Times New Roman" w:hAnsi="Times New Roman" w:cs="Times New Roman"/>
        </w:rPr>
        <w:footnoteRef/>
      </w:r>
      <w:r w:rsidRPr="002769BD">
        <w:rPr>
          <w:rFonts w:ascii="Times New Roman" w:hAnsi="Times New Roman" w:cs="Times New Roman"/>
        </w:rPr>
        <w:t xml:space="preserve"> </w:t>
      </w:r>
      <w:r w:rsidRPr="002769BD">
        <w:rPr>
          <w:rFonts w:ascii="Times New Roman" w:hAnsi="Times New Roman" w:cs="Times New Roman"/>
          <w:i/>
          <w:iCs/>
        </w:rPr>
        <w:t>Id</w:t>
      </w:r>
      <w:r w:rsidRPr="002769BD">
        <w:rPr>
          <w:rFonts w:ascii="Times New Roman" w:hAnsi="Times New Roman" w:cs="Times New Roman"/>
        </w:rPr>
        <w:t>. at 41.</w:t>
      </w:r>
    </w:p>
  </w:footnote>
  <w:footnote w:id="59">
    <w:p w:rsidR="0072395B" w:rsidRPr="002769BD" w:rsidP="002769BD" w14:paraId="6F3674F6" w14:textId="77777777">
      <w:pPr>
        <w:pStyle w:val="FootnoteText"/>
        <w:spacing w:after="120"/>
        <w:rPr>
          <w:rFonts w:ascii="Times New Roman" w:hAnsi="Times New Roman" w:cs="Times New Roman"/>
        </w:rPr>
      </w:pPr>
      <w:r w:rsidRPr="002769BD">
        <w:rPr>
          <w:rStyle w:val="FootnoteReference"/>
          <w:rFonts w:ascii="Times New Roman" w:hAnsi="Times New Roman" w:cs="Times New Roman"/>
        </w:rPr>
        <w:footnoteRef/>
      </w:r>
      <w:r w:rsidRPr="002769BD">
        <w:rPr>
          <w:rFonts w:ascii="Times New Roman" w:hAnsi="Times New Roman" w:cs="Times New Roman"/>
        </w:rPr>
        <w:t xml:space="preserve"> </w:t>
      </w:r>
      <w:r w:rsidRPr="002769BD">
        <w:rPr>
          <w:rFonts w:ascii="Times New Roman" w:hAnsi="Times New Roman" w:cs="Times New Roman"/>
          <w:i/>
          <w:iCs/>
        </w:rPr>
        <w:t>Id</w:t>
      </w:r>
      <w:r w:rsidRPr="002769BD">
        <w:rPr>
          <w:rFonts w:ascii="Times New Roman" w:hAnsi="Times New Roman" w:cs="Times New Roman"/>
        </w:rPr>
        <w:t>. at 42.</w:t>
      </w:r>
    </w:p>
  </w:footnote>
  <w:footnote w:id="60">
    <w:p w:rsidR="0072395B" w:rsidRPr="002769BD" w:rsidP="002769BD" w14:paraId="17320026" w14:textId="77777777">
      <w:pPr>
        <w:pStyle w:val="FootnoteText"/>
        <w:spacing w:after="120"/>
        <w:rPr>
          <w:rFonts w:ascii="Times New Roman" w:hAnsi="Times New Roman" w:cs="Times New Roman"/>
        </w:rPr>
      </w:pPr>
      <w:r w:rsidRPr="002769BD">
        <w:rPr>
          <w:rStyle w:val="FootnoteReference"/>
          <w:rFonts w:ascii="Times New Roman" w:hAnsi="Times New Roman" w:cs="Times New Roman"/>
        </w:rPr>
        <w:footnoteRef/>
      </w:r>
      <w:r w:rsidRPr="002769BD">
        <w:rPr>
          <w:rFonts w:ascii="Times New Roman" w:hAnsi="Times New Roman" w:cs="Times New Roman"/>
        </w:rPr>
        <w:t xml:space="preserve"> </w:t>
      </w:r>
      <w:r w:rsidRPr="002769BD">
        <w:rPr>
          <w:rFonts w:ascii="Times New Roman" w:hAnsi="Times New Roman" w:cs="Times New Roman"/>
          <w:i/>
          <w:iCs/>
        </w:rPr>
        <w:t>Id</w:t>
      </w:r>
      <w:r w:rsidRPr="002769BD">
        <w:rPr>
          <w:rFonts w:ascii="Times New Roman" w:hAnsi="Times New Roman" w:cs="Times New Roman"/>
        </w:rPr>
        <w:t xml:space="preserve">.; </w:t>
      </w:r>
      <w:r w:rsidRPr="002769BD">
        <w:rPr>
          <w:rFonts w:ascii="Times New Roman" w:hAnsi="Times New Roman" w:cs="Times New Roman"/>
          <w:i/>
          <w:iCs/>
        </w:rPr>
        <w:t xml:space="preserve">see also </w:t>
      </w:r>
      <w:r w:rsidRPr="002769BD">
        <w:rPr>
          <w:rFonts w:ascii="Times New Roman" w:hAnsi="Times New Roman" w:cs="Times New Roman"/>
        </w:rPr>
        <w:t>OCC Ex. 1 (Haugh Direct) at 21.</w:t>
      </w:r>
    </w:p>
  </w:footnote>
  <w:footnote w:id="61">
    <w:p w:rsidR="0072395B" w:rsidRPr="002769BD" w:rsidP="002769BD" w14:paraId="743C722A" w14:textId="77777777">
      <w:pPr>
        <w:pStyle w:val="FootnoteText"/>
        <w:spacing w:after="120"/>
        <w:rPr>
          <w:rFonts w:ascii="Times New Roman" w:hAnsi="Times New Roman" w:cs="Times New Roman"/>
        </w:rPr>
      </w:pPr>
      <w:r w:rsidRPr="002769BD">
        <w:rPr>
          <w:rStyle w:val="FootnoteReference"/>
          <w:rFonts w:ascii="Times New Roman" w:hAnsi="Times New Roman" w:cs="Times New Roman"/>
        </w:rPr>
        <w:footnoteRef/>
      </w:r>
      <w:r w:rsidRPr="002769BD">
        <w:rPr>
          <w:rFonts w:ascii="Times New Roman" w:hAnsi="Times New Roman" w:cs="Times New Roman"/>
        </w:rPr>
        <w:t xml:space="preserve"> </w:t>
      </w:r>
      <w:bookmarkStart w:id="37" w:name="_Hlk107924093"/>
      <w:r w:rsidRPr="002769BD">
        <w:rPr>
          <w:rFonts w:ascii="Times New Roman" w:hAnsi="Times New Roman" w:cs="Times New Roman"/>
        </w:rPr>
        <w:t>OCC Ex. 2 (Glick Direct) at</w:t>
      </w:r>
      <w:bookmarkEnd w:id="37"/>
      <w:r w:rsidRPr="002769BD">
        <w:rPr>
          <w:rFonts w:ascii="Times New Roman" w:hAnsi="Times New Roman" w:cs="Times New Roman"/>
        </w:rPr>
        <w:t xml:space="preserve"> 47 – 48.</w:t>
      </w:r>
    </w:p>
  </w:footnote>
  <w:footnote w:id="62">
    <w:p w:rsidR="0072395B" w:rsidRPr="002769BD" w:rsidP="002769BD" w14:paraId="4DF4B695" w14:textId="77777777">
      <w:pPr>
        <w:pStyle w:val="FootnoteText"/>
        <w:spacing w:after="120"/>
        <w:rPr>
          <w:rFonts w:ascii="Times New Roman" w:hAnsi="Times New Roman" w:cs="Times New Roman"/>
        </w:rPr>
      </w:pPr>
      <w:r w:rsidRPr="002769BD">
        <w:rPr>
          <w:rStyle w:val="FootnoteReference"/>
          <w:rFonts w:ascii="Times New Roman" w:hAnsi="Times New Roman" w:cs="Times New Roman"/>
        </w:rPr>
        <w:footnoteRef/>
      </w:r>
      <w:r w:rsidRPr="002769BD">
        <w:rPr>
          <w:rFonts w:ascii="Times New Roman" w:hAnsi="Times New Roman" w:cs="Times New Roman"/>
        </w:rPr>
        <w:t xml:space="preserve"> </w:t>
      </w:r>
      <w:bookmarkStart w:id="38" w:name="_Hlk109225342"/>
      <w:bookmarkStart w:id="39" w:name="_Hlk107913794"/>
      <w:r w:rsidRPr="002769BD">
        <w:rPr>
          <w:rFonts w:ascii="Times New Roman" w:hAnsi="Times New Roman" w:cs="Times New Roman"/>
          <w:i/>
          <w:iCs/>
        </w:rPr>
        <w:t>Id</w:t>
      </w:r>
      <w:r w:rsidRPr="002769BD">
        <w:rPr>
          <w:rFonts w:ascii="Times New Roman" w:hAnsi="Times New Roman" w:cs="Times New Roman"/>
        </w:rPr>
        <w:t>. at 43</w:t>
      </w:r>
      <w:bookmarkEnd w:id="38"/>
      <w:bookmarkEnd w:id="39"/>
      <w:r w:rsidRPr="002769BD">
        <w:rPr>
          <w:rFonts w:ascii="Times New Roman" w:hAnsi="Times New Roman" w:cs="Times New Roman"/>
        </w:rPr>
        <w:t xml:space="preserve">; </w:t>
      </w:r>
      <w:r w:rsidRPr="002769BD">
        <w:rPr>
          <w:rFonts w:ascii="Times New Roman" w:hAnsi="Times New Roman" w:cs="Times New Roman"/>
          <w:i/>
          <w:iCs/>
        </w:rPr>
        <w:t>see also Id</w:t>
      </w:r>
      <w:r w:rsidRPr="002769BD">
        <w:rPr>
          <w:rFonts w:ascii="Times New Roman" w:hAnsi="Times New Roman" w:cs="Times New Roman"/>
        </w:rPr>
        <w:t>. at 44.</w:t>
      </w:r>
    </w:p>
  </w:footnote>
  <w:footnote w:id="63">
    <w:p w:rsidR="0072395B" w:rsidRPr="002769BD" w:rsidP="002769BD" w14:paraId="400D5FC0" w14:textId="77777777">
      <w:pPr>
        <w:pStyle w:val="FootnoteText"/>
        <w:spacing w:after="120"/>
        <w:rPr>
          <w:rFonts w:ascii="Times New Roman" w:hAnsi="Times New Roman" w:cs="Times New Roman"/>
        </w:rPr>
      </w:pPr>
      <w:r w:rsidRPr="002769BD">
        <w:rPr>
          <w:rStyle w:val="FootnoteReference"/>
          <w:rFonts w:ascii="Times New Roman" w:hAnsi="Times New Roman" w:cs="Times New Roman"/>
        </w:rPr>
        <w:footnoteRef/>
      </w:r>
      <w:r w:rsidRPr="002769BD">
        <w:rPr>
          <w:rFonts w:ascii="Times New Roman" w:hAnsi="Times New Roman" w:cs="Times New Roman"/>
        </w:rPr>
        <w:t xml:space="preserve"> </w:t>
      </w:r>
      <w:bookmarkStart w:id="40" w:name="_Hlk107921267"/>
      <w:r w:rsidRPr="002769BD">
        <w:rPr>
          <w:rFonts w:ascii="Times New Roman" w:hAnsi="Times New Roman" w:cs="Times New Roman"/>
          <w:i/>
          <w:iCs/>
        </w:rPr>
        <w:t>Id</w:t>
      </w:r>
      <w:r w:rsidRPr="002769BD">
        <w:rPr>
          <w:rFonts w:ascii="Times New Roman" w:hAnsi="Times New Roman" w:cs="Times New Roman"/>
        </w:rPr>
        <w:t>. at 44</w:t>
      </w:r>
      <w:bookmarkEnd w:id="40"/>
      <w:r w:rsidRPr="002769BD">
        <w:rPr>
          <w:rFonts w:ascii="Times New Roman" w:hAnsi="Times New Roman" w:cs="Times New Roman"/>
        </w:rPr>
        <w:t>.</w:t>
      </w:r>
    </w:p>
  </w:footnote>
  <w:footnote w:id="64">
    <w:p w:rsidR="0072395B" w:rsidRPr="002769BD" w:rsidP="002769BD" w14:paraId="5C1F189F" w14:textId="77777777">
      <w:pPr>
        <w:pStyle w:val="FootnoteText"/>
        <w:spacing w:after="120"/>
        <w:rPr>
          <w:rFonts w:ascii="Times New Roman" w:hAnsi="Times New Roman" w:cs="Times New Roman"/>
        </w:rPr>
      </w:pPr>
      <w:r w:rsidRPr="002769BD">
        <w:rPr>
          <w:rStyle w:val="FootnoteReference"/>
          <w:rFonts w:ascii="Times New Roman" w:hAnsi="Times New Roman" w:cs="Times New Roman"/>
        </w:rPr>
        <w:footnoteRef/>
      </w:r>
      <w:r w:rsidRPr="002769BD">
        <w:rPr>
          <w:rFonts w:ascii="Times New Roman" w:hAnsi="Times New Roman" w:cs="Times New Roman"/>
        </w:rPr>
        <w:t xml:space="preserve"> </w:t>
      </w:r>
      <w:bookmarkStart w:id="41" w:name="_Hlk107921455"/>
      <w:r w:rsidRPr="002769BD">
        <w:rPr>
          <w:rFonts w:ascii="Times New Roman" w:hAnsi="Times New Roman" w:cs="Times New Roman"/>
          <w:i/>
          <w:iCs/>
        </w:rPr>
        <w:t>Id</w:t>
      </w:r>
      <w:r w:rsidRPr="002769BD">
        <w:rPr>
          <w:rFonts w:ascii="Times New Roman" w:hAnsi="Times New Roman" w:cs="Times New Roman"/>
        </w:rPr>
        <w:t>. at 45</w:t>
      </w:r>
      <w:bookmarkEnd w:id="41"/>
      <w:r w:rsidRPr="002769BD">
        <w:rPr>
          <w:rFonts w:ascii="Times New Roman" w:hAnsi="Times New Roman" w:cs="Times New Roman"/>
        </w:rPr>
        <w:t>.</w:t>
      </w:r>
    </w:p>
  </w:footnote>
  <w:footnote w:id="65">
    <w:p w:rsidR="0072395B" w:rsidRPr="002769BD" w:rsidP="002769BD" w14:paraId="30007DBB" w14:textId="77777777">
      <w:pPr>
        <w:pStyle w:val="FootnoteText"/>
        <w:spacing w:after="120"/>
        <w:rPr>
          <w:rFonts w:ascii="Times New Roman" w:hAnsi="Times New Roman" w:cs="Times New Roman"/>
        </w:rPr>
      </w:pPr>
      <w:r w:rsidRPr="002769BD">
        <w:rPr>
          <w:rStyle w:val="FootnoteReference"/>
          <w:rFonts w:ascii="Times New Roman" w:hAnsi="Times New Roman" w:cs="Times New Roman"/>
        </w:rPr>
        <w:footnoteRef/>
      </w:r>
      <w:r w:rsidRPr="002769BD">
        <w:rPr>
          <w:rFonts w:ascii="Times New Roman" w:hAnsi="Times New Roman" w:cs="Times New Roman"/>
        </w:rPr>
        <w:t xml:space="preserve"> OCC. Ex. 1 (Haugh Direct) at 11.</w:t>
      </w:r>
    </w:p>
  </w:footnote>
  <w:footnote w:id="66">
    <w:p w:rsidR="0072395B" w:rsidRPr="002769BD" w:rsidP="002769BD" w14:paraId="1DE42CFA" w14:textId="77777777">
      <w:pPr>
        <w:pStyle w:val="FootnoteText"/>
        <w:spacing w:after="120"/>
        <w:rPr>
          <w:rFonts w:ascii="Times New Roman" w:hAnsi="Times New Roman" w:cs="Times New Roman"/>
        </w:rPr>
      </w:pPr>
      <w:r w:rsidRPr="002769BD">
        <w:rPr>
          <w:rStyle w:val="FootnoteReference"/>
          <w:rFonts w:ascii="Times New Roman" w:hAnsi="Times New Roman" w:cs="Times New Roman"/>
        </w:rPr>
        <w:footnoteRef/>
      </w:r>
      <w:r w:rsidRPr="002769BD">
        <w:rPr>
          <w:rFonts w:ascii="Times New Roman" w:hAnsi="Times New Roman" w:cs="Times New Roman"/>
        </w:rPr>
        <w:t xml:space="preserve"> </w:t>
      </w:r>
      <w:bookmarkStart w:id="42" w:name="_Hlk107924377"/>
      <w:r w:rsidRPr="002769BD">
        <w:rPr>
          <w:rFonts w:ascii="Times New Roman" w:hAnsi="Times New Roman" w:cs="Times New Roman"/>
          <w:i/>
          <w:iCs/>
        </w:rPr>
        <w:t>Id</w:t>
      </w:r>
      <w:r w:rsidRPr="002769BD">
        <w:rPr>
          <w:rFonts w:ascii="Times New Roman" w:hAnsi="Times New Roman" w:cs="Times New Roman"/>
        </w:rPr>
        <w:t>. at 11</w:t>
      </w:r>
      <w:bookmarkEnd w:id="42"/>
      <w:r w:rsidRPr="002769BD">
        <w:rPr>
          <w:rFonts w:ascii="Times New Roman" w:hAnsi="Times New Roman" w:cs="Times New Roman"/>
        </w:rPr>
        <w:t>.</w:t>
      </w:r>
    </w:p>
  </w:footnote>
  <w:footnote w:id="67">
    <w:p w:rsidR="0072395B" w:rsidRPr="002769BD" w:rsidP="002769BD" w14:paraId="559E3595" w14:textId="77777777">
      <w:pPr>
        <w:pStyle w:val="FootnoteText"/>
        <w:spacing w:after="120"/>
        <w:rPr>
          <w:rFonts w:ascii="Times New Roman" w:hAnsi="Times New Roman" w:cs="Times New Roman"/>
        </w:rPr>
      </w:pPr>
      <w:r w:rsidRPr="002769BD">
        <w:rPr>
          <w:rStyle w:val="FootnoteReference"/>
          <w:rFonts w:ascii="Times New Roman" w:hAnsi="Times New Roman" w:cs="Times New Roman"/>
        </w:rPr>
        <w:footnoteRef/>
      </w:r>
      <w:r w:rsidRPr="002769BD">
        <w:rPr>
          <w:rFonts w:ascii="Times New Roman" w:hAnsi="Times New Roman" w:cs="Times New Roman"/>
        </w:rPr>
        <w:t xml:space="preserve"> </w:t>
      </w:r>
      <w:r w:rsidRPr="002769BD">
        <w:rPr>
          <w:rFonts w:ascii="Times New Roman" w:hAnsi="Times New Roman" w:cs="Times New Roman"/>
          <w:i/>
          <w:iCs/>
        </w:rPr>
        <w:t>Id</w:t>
      </w:r>
      <w:r w:rsidRPr="002769BD">
        <w:rPr>
          <w:rFonts w:ascii="Times New Roman" w:hAnsi="Times New Roman" w:cs="Times New Roman"/>
        </w:rPr>
        <w:t>. at 11.</w:t>
      </w:r>
    </w:p>
  </w:footnote>
  <w:footnote w:id="68">
    <w:p w:rsidR="0072395B" w:rsidRPr="002769BD" w:rsidP="002769BD" w14:paraId="317A68E6" w14:textId="77777777">
      <w:pPr>
        <w:pStyle w:val="FootnoteText"/>
        <w:spacing w:after="120"/>
        <w:rPr>
          <w:rFonts w:ascii="Times New Roman" w:hAnsi="Times New Roman" w:cs="Times New Roman"/>
        </w:rPr>
      </w:pPr>
      <w:r w:rsidRPr="002769BD">
        <w:rPr>
          <w:rStyle w:val="FootnoteReference"/>
          <w:rFonts w:ascii="Times New Roman" w:hAnsi="Times New Roman" w:cs="Times New Roman"/>
        </w:rPr>
        <w:footnoteRef/>
      </w:r>
      <w:r w:rsidRPr="002769BD">
        <w:rPr>
          <w:rFonts w:ascii="Times New Roman" w:hAnsi="Times New Roman" w:cs="Times New Roman"/>
        </w:rPr>
        <w:t xml:space="preserve"> </w:t>
      </w:r>
      <w:r w:rsidRPr="002769BD">
        <w:rPr>
          <w:rFonts w:ascii="Times New Roman" w:hAnsi="Times New Roman" w:cs="Times New Roman"/>
          <w:i/>
          <w:iCs/>
        </w:rPr>
        <w:t>Id</w:t>
      </w:r>
      <w:r w:rsidRPr="002769BD">
        <w:rPr>
          <w:rFonts w:ascii="Times New Roman" w:hAnsi="Times New Roman" w:cs="Times New Roman"/>
        </w:rPr>
        <w:t>.</w:t>
      </w:r>
    </w:p>
  </w:footnote>
  <w:footnote w:id="69">
    <w:p w:rsidR="0072395B" w:rsidRPr="002769BD" w:rsidP="002769BD" w14:paraId="40171C3E" w14:textId="77777777">
      <w:pPr>
        <w:pStyle w:val="FootnoteText"/>
        <w:spacing w:after="120"/>
        <w:rPr>
          <w:rFonts w:ascii="Times New Roman" w:hAnsi="Times New Roman" w:cs="Times New Roman"/>
        </w:rPr>
      </w:pPr>
      <w:r w:rsidRPr="002769BD">
        <w:rPr>
          <w:rStyle w:val="FootnoteReference"/>
          <w:rFonts w:ascii="Times New Roman" w:hAnsi="Times New Roman" w:cs="Times New Roman"/>
        </w:rPr>
        <w:footnoteRef/>
      </w:r>
      <w:r w:rsidRPr="002769BD">
        <w:rPr>
          <w:rFonts w:ascii="Times New Roman" w:hAnsi="Times New Roman" w:cs="Times New Roman"/>
        </w:rPr>
        <w:t xml:space="preserve"> </w:t>
      </w:r>
      <w:bookmarkStart w:id="43" w:name="_Hlk109132071"/>
      <w:r w:rsidRPr="002769BD">
        <w:rPr>
          <w:rFonts w:ascii="Times New Roman" w:hAnsi="Times New Roman" w:cs="Times New Roman"/>
        </w:rPr>
        <w:t>OCC Ex. 2 (Glick Direct) at 45</w:t>
      </w:r>
      <w:bookmarkEnd w:id="43"/>
      <w:r w:rsidRPr="002769BD">
        <w:rPr>
          <w:rFonts w:ascii="Times New Roman" w:hAnsi="Times New Roman" w:cs="Times New Roman"/>
        </w:rPr>
        <w:t>.</w:t>
      </w:r>
    </w:p>
  </w:footnote>
  <w:footnote w:id="70">
    <w:p w:rsidR="0072395B" w:rsidRPr="002769BD" w:rsidP="002769BD" w14:paraId="51A34473" w14:textId="77777777">
      <w:pPr>
        <w:pStyle w:val="FootnoteText"/>
        <w:spacing w:after="120"/>
        <w:rPr>
          <w:rFonts w:ascii="Times New Roman" w:hAnsi="Times New Roman" w:cs="Times New Roman"/>
        </w:rPr>
      </w:pPr>
      <w:r w:rsidRPr="002769BD">
        <w:rPr>
          <w:rStyle w:val="FootnoteReference"/>
          <w:rFonts w:ascii="Times New Roman" w:hAnsi="Times New Roman" w:cs="Times New Roman"/>
        </w:rPr>
        <w:footnoteRef/>
      </w:r>
      <w:r w:rsidRPr="002769BD">
        <w:rPr>
          <w:rFonts w:ascii="Times New Roman" w:hAnsi="Times New Roman" w:cs="Times New Roman"/>
        </w:rPr>
        <w:t xml:space="preserve"> </w:t>
      </w:r>
      <w:bookmarkStart w:id="44" w:name="_Hlk107923255"/>
      <w:r w:rsidRPr="002769BD">
        <w:rPr>
          <w:rFonts w:ascii="Times New Roman" w:hAnsi="Times New Roman" w:cs="Times New Roman"/>
          <w:i/>
          <w:iCs/>
        </w:rPr>
        <w:t>Id</w:t>
      </w:r>
      <w:r w:rsidRPr="002769BD">
        <w:rPr>
          <w:rFonts w:ascii="Times New Roman" w:hAnsi="Times New Roman" w:cs="Times New Roman"/>
        </w:rPr>
        <w:t>. at 45</w:t>
      </w:r>
      <w:bookmarkEnd w:id="44"/>
      <w:r w:rsidRPr="002769BD">
        <w:rPr>
          <w:rFonts w:ascii="Times New Roman" w:hAnsi="Times New Roman" w:cs="Times New Roman"/>
        </w:rPr>
        <w:t>.</w:t>
      </w:r>
    </w:p>
  </w:footnote>
  <w:footnote w:id="71">
    <w:p w:rsidR="0072395B" w:rsidRPr="002769BD" w:rsidP="002769BD" w14:paraId="7F85C604" w14:textId="77777777">
      <w:pPr>
        <w:pStyle w:val="FootnoteText"/>
        <w:spacing w:after="120"/>
        <w:rPr>
          <w:rFonts w:ascii="Times New Roman" w:hAnsi="Times New Roman" w:cs="Times New Roman"/>
        </w:rPr>
      </w:pPr>
      <w:r w:rsidRPr="002769BD">
        <w:rPr>
          <w:rStyle w:val="FootnoteReference"/>
          <w:rFonts w:ascii="Times New Roman" w:hAnsi="Times New Roman" w:cs="Times New Roman"/>
        </w:rPr>
        <w:footnoteRef/>
      </w:r>
      <w:r w:rsidRPr="002769BD">
        <w:rPr>
          <w:rFonts w:ascii="Times New Roman" w:hAnsi="Times New Roman" w:cs="Times New Roman"/>
        </w:rPr>
        <w:t xml:space="preserve"> </w:t>
      </w:r>
      <w:bookmarkStart w:id="45" w:name="_Hlk109225911"/>
      <w:r w:rsidRPr="002769BD">
        <w:rPr>
          <w:rFonts w:ascii="Times New Roman" w:hAnsi="Times New Roman" w:cs="Times New Roman"/>
          <w:i/>
          <w:iCs/>
        </w:rPr>
        <w:t>Id</w:t>
      </w:r>
      <w:r w:rsidRPr="002769BD">
        <w:rPr>
          <w:rFonts w:ascii="Times New Roman" w:hAnsi="Times New Roman" w:cs="Times New Roman"/>
        </w:rPr>
        <w:t>. at 48</w:t>
      </w:r>
      <w:bookmarkEnd w:id="45"/>
      <w:r w:rsidRPr="002769BD">
        <w:rPr>
          <w:rFonts w:ascii="Times New Roman" w:hAnsi="Times New Roman" w:cs="Times New Roman"/>
        </w:rPr>
        <w:t>.</w:t>
      </w:r>
    </w:p>
  </w:footnote>
  <w:footnote w:id="72">
    <w:p w:rsidR="0072395B" w:rsidRPr="002769BD" w:rsidP="002769BD" w14:paraId="4A0A8A47" w14:textId="77777777">
      <w:pPr>
        <w:pStyle w:val="FootnoteText"/>
        <w:spacing w:after="120"/>
        <w:rPr>
          <w:rFonts w:ascii="Times New Roman" w:hAnsi="Times New Roman" w:cs="Times New Roman"/>
        </w:rPr>
      </w:pPr>
      <w:r w:rsidRPr="002769BD">
        <w:rPr>
          <w:rStyle w:val="FootnoteReference"/>
          <w:rFonts w:ascii="Times New Roman" w:hAnsi="Times New Roman" w:cs="Times New Roman"/>
        </w:rPr>
        <w:footnoteRef/>
      </w:r>
      <w:r w:rsidRPr="002769BD">
        <w:rPr>
          <w:rFonts w:ascii="Times New Roman" w:hAnsi="Times New Roman" w:cs="Times New Roman"/>
        </w:rPr>
        <w:t xml:space="preserve"> </w:t>
      </w:r>
      <w:r w:rsidRPr="002769BD">
        <w:rPr>
          <w:rFonts w:ascii="Times New Roman" w:hAnsi="Times New Roman" w:cs="Times New Roman"/>
          <w:i/>
          <w:iCs/>
        </w:rPr>
        <w:t>Id</w:t>
      </w:r>
      <w:r w:rsidRPr="002769BD">
        <w:rPr>
          <w:rFonts w:ascii="Times New Roman" w:hAnsi="Times New Roman" w:cs="Times New Roman"/>
        </w:rPr>
        <w:t>. at 48 – 49.</w:t>
      </w:r>
    </w:p>
  </w:footnote>
  <w:footnote w:id="73">
    <w:p w:rsidR="0072395B" w:rsidRPr="002769BD" w:rsidP="002769BD" w14:paraId="1167A554" w14:textId="77777777">
      <w:pPr>
        <w:pStyle w:val="FootnoteText"/>
        <w:spacing w:after="120"/>
        <w:rPr>
          <w:rFonts w:ascii="Times New Roman" w:hAnsi="Times New Roman" w:cs="Times New Roman"/>
        </w:rPr>
      </w:pPr>
      <w:r w:rsidRPr="002769BD">
        <w:rPr>
          <w:rStyle w:val="FootnoteReference"/>
          <w:rFonts w:ascii="Times New Roman" w:hAnsi="Times New Roman" w:cs="Times New Roman"/>
        </w:rPr>
        <w:footnoteRef/>
      </w:r>
      <w:r w:rsidRPr="002769BD">
        <w:rPr>
          <w:rFonts w:ascii="Times New Roman" w:hAnsi="Times New Roman" w:cs="Times New Roman"/>
        </w:rPr>
        <w:t xml:space="preserve"> </w:t>
      </w:r>
      <w:r w:rsidRPr="002769BD">
        <w:rPr>
          <w:rFonts w:ascii="Times New Roman" w:hAnsi="Times New Roman" w:cs="Times New Roman"/>
          <w:i/>
          <w:iCs/>
        </w:rPr>
        <w:t>Id</w:t>
      </w:r>
      <w:r w:rsidRPr="002769BD">
        <w:rPr>
          <w:rFonts w:ascii="Times New Roman" w:hAnsi="Times New Roman" w:cs="Times New Roman"/>
        </w:rPr>
        <w:t>. at 47.</w:t>
      </w:r>
    </w:p>
  </w:footnote>
  <w:footnote w:id="74">
    <w:p w:rsidR="0072395B" w:rsidRPr="002769BD" w:rsidP="002769BD" w14:paraId="503E51B2" w14:textId="77777777">
      <w:pPr>
        <w:pStyle w:val="FootnoteText"/>
        <w:spacing w:after="120"/>
        <w:rPr>
          <w:rFonts w:ascii="Times New Roman" w:hAnsi="Times New Roman" w:cs="Times New Roman"/>
        </w:rPr>
      </w:pPr>
      <w:r w:rsidRPr="002769BD">
        <w:rPr>
          <w:rStyle w:val="FootnoteReference"/>
          <w:rFonts w:ascii="Times New Roman" w:hAnsi="Times New Roman" w:cs="Times New Roman"/>
        </w:rPr>
        <w:footnoteRef/>
      </w:r>
      <w:r w:rsidRPr="002769BD">
        <w:rPr>
          <w:rFonts w:ascii="Times New Roman" w:hAnsi="Times New Roman" w:cs="Times New Roman"/>
        </w:rPr>
        <w:t xml:space="preserve"> OCC Ex. 2 (Glick Direct) at 48.</w:t>
      </w:r>
    </w:p>
  </w:footnote>
  <w:footnote w:id="75">
    <w:p w:rsidR="0072395B" w:rsidRPr="002769BD" w:rsidP="002769BD" w14:paraId="01D0ECC3" w14:textId="77777777">
      <w:pPr>
        <w:pStyle w:val="FootnoteText"/>
        <w:spacing w:after="120"/>
        <w:rPr>
          <w:rFonts w:ascii="Times New Roman" w:hAnsi="Times New Roman" w:cs="Times New Roman"/>
        </w:rPr>
      </w:pPr>
      <w:r w:rsidRPr="002769BD">
        <w:rPr>
          <w:rStyle w:val="FootnoteReference"/>
          <w:rFonts w:ascii="Times New Roman" w:hAnsi="Times New Roman" w:cs="Times New Roman"/>
        </w:rPr>
        <w:footnoteRef/>
      </w:r>
      <w:r w:rsidRPr="002769BD">
        <w:rPr>
          <w:rFonts w:ascii="Times New Roman" w:hAnsi="Times New Roman" w:cs="Times New Roman"/>
        </w:rPr>
        <w:t xml:space="preserve"> </w:t>
      </w:r>
      <w:r w:rsidRPr="002769BD">
        <w:rPr>
          <w:rFonts w:ascii="Times New Roman" w:hAnsi="Times New Roman" w:cs="Times New Roman"/>
          <w:i/>
          <w:iCs/>
        </w:rPr>
        <w:t>Id</w:t>
      </w:r>
      <w:r w:rsidRPr="002769BD">
        <w:rPr>
          <w:rFonts w:ascii="Times New Roman" w:hAnsi="Times New Roman" w:cs="Times New Roman"/>
        </w:rPr>
        <w:t>.</w:t>
      </w:r>
    </w:p>
  </w:footnote>
  <w:footnote w:id="76">
    <w:p w:rsidR="0072395B" w:rsidRPr="002769BD" w:rsidP="002769BD" w14:paraId="4717B92D" w14:textId="77777777">
      <w:pPr>
        <w:pStyle w:val="FootnoteText"/>
        <w:spacing w:after="120"/>
        <w:rPr>
          <w:rFonts w:ascii="Times New Roman" w:hAnsi="Times New Roman" w:cs="Times New Roman"/>
        </w:rPr>
      </w:pPr>
      <w:r w:rsidRPr="002769BD">
        <w:rPr>
          <w:rStyle w:val="FootnoteReference"/>
          <w:rFonts w:ascii="Times New Roman" w:hAnsi="Times New Roman" w:cs="Times New Roman"/>
        </w:rPr>
        <w:footnoteRef/>
      </w:r>
      <w:r w:rsidRPr="002769BD">
        <w:rPr>
          <w:rFonts w:ascii="Times New Roman" w:hAnsi="Times New Roman" w:cs="Times New Roman"/>
        </w:rPr>
        <w:t xml:space="preserve"> </w:t>
      </w:r>
      <w:r w:rsidRPr="002769BD">
        <w:rPr>
          <w:rFonts w:ascii="Times New Roman" w:hAnsi="Times New Roman" w:cs="Times New Roman"/>
          <w:i/>
          <w:iCs/>
        </w:rPr>
        <w:t>Id</w:t>
      </w:r>
      <w:r w:rsidRPr="002769BD">
        <w:rPr>
          <w:rFonts w:ascii="Times New Roman" w:hAnsi="Times New Roman" w:cs="Times New Roman"/>
        </w:rPr>
        <w:t>. at 49.</w:t>
      </w:r>
    </w:p>
  </w:footnote>
  <w:footnote w:id="77">
    <w:p w:rsidR="0072395B" w:rsidRPr="002769BD" w:rsidP="002769BD" w14:paraId="7427C000" w14:textId="77777777">
      <w:pPr>
        <w:pStyle w:val="FootnoteText"/>
        <w:spacing w:after="120"/>
        <w:rPr>
          <w:rFonts w:ascii="Times New Roman" w:hAnsi="Times New Roman" w:cs="Times New Roman"/>
        </w:rPr>
      </w:pPr>
      <w:r w:rsidRPr="002769BD">
        <w:rPr>
          <w:rStyle w:val="FootnoteReference"/>
          <w:rFonts w:ascii="Times New Roman" w:hAnsi="Times New Roman" w:cs="Times New Roman"/>
        </w:rPr>
        <w:footnoteRef/>
      </w:r>
      <w:r w:rsidRPr="002769BD">
        <w:rPr>
          <w:rFonts w:ascii="Times New Roman" w:hAnsi="Times New Roman" w:cs="Times New Roman"/>
        </w:rPr>
        <w:t xml:space="preserve"> OCC Ex. 1 (Haugh Direct) at 22.</w:t>
      </w:r>
    </w:p>
  </w:footnote>
  <w:footnote w:id="78">
    <w:p w:rsidR="0072395B" w:rsidRPr="002769BD" w:rsidP="002769BD" w14:paraId="33FDA9E0" w14:textId="77777777">
      <w:pPr>
        <w:pStyle w:val="FootnoteText"/>
        <w:spacing w:after="120"/>
        <w:rPr>
          <w:rFonts w:ascii="Times New Roman" w:hAnsi="Times New Roman" w:cs="Times New Roman"/>
        </w:rPr>
      </w:pPr>
      <w:r w:rsidRPr="002769BD">
        <w:rPr>
          <w:rStyle w:val="FootnoteReference"/>
          <w:rFonts w:ascii="Times New Roman" w:hAnsi="Times New Roman" w:cs="Times New Roman"/>
        </w:rPr>
        <w:footnoteRef/>
      </w:r>
      <w:r w:rsidRPr="002769BD">
        <w:rPr>
          <w:rFonts w:ascii="Times New Roman" w:hAnsi="Times New Roman" w:cs="Times New Roman"/>
        </w:rPr>
        <w:t xml:space="preserve"> </w:t>
      </w:r>
      <w:bookmarkStart w:id="46" w:name="_Hlk107925110"/>
      <w:r w:rsidRPr="002769BD">
        <w:rPr>
          <w:rFonts w:ascii="Times New Roman" w:hAnsi="Times New Roman" w:cs="Times New Roman"/>
          <w:i/>
          <w:iCs/>
        </w:rPr>
        <w:t>Id</w:t>
      </w:r>
      <w:r w:rsidRPr="002769BD">
        <w:rPr>
          <w:rFonts w:ascii="Times New Roman" w:hAnsi="Times New Roman" w:cs="Times New Roman"/>
        </w:rPr>
        <w:t>. at p. 10</w:t>
      </w:r>
      <w:bookmarkEnd w:id="46"/>
      <w:r w:rsidRPr="002769BD">
        <w:rPr>
          <w:rFonts w:ascii="Times New Roman" w:hAnsi="Times New Roman" w:cs="Times New Roman"/>
        </w:rPr>
        <w:t>.</w:t>
      </w:r>
    </w:p>
  </w:footnote>
  <w:footnote w:id="79">
    <w:p w:rsidR="0072395B" w:rsidRPr="002769BD" w:rsidP="002769BD" w14:paraId="256AC32E" w14:textId="77777777">
      <w:pPr>
        <w:pStyle w:val="FootnoteText"/>
        <w:spacing w:after="120"/>
        <w:rPr>
          <w:rFonts w:ascii="Times New Roman" w:hAnsi="Times New Roman" w:cs="Times New Roman"/>
        </w:rPr>
      </w:pPr>
      <w:r w:rsidRPr="002769BD">
        <w:rPr>
          <w:rStyle w:val="FootnoteReference"/>
          <w:rFonts w:ascii="Times New Roman" w:hAnsi="Times New Roman" w:cs="Times New Roman"/>
        </w:rPr>
        <w:footnoteRef/>
      </w:r>
      <w:r w:rsidRPr="002769BD">
        <w:rPr>
          <w:rFonts w:ascii="Times New Roman" w:hAnsi="Times New Roman" w:cs="Times New Roman"/>
        </w:rPr>
        <w:t xml:space="preserve"> </w:t>
      </w:r>
      <w:r w:rsidRPr="002769BD">
        <w:rPr>
          <w:rFonts w:ascii="Times New Roman" w:hAnsi="Times New Roman" w:cs="Times New Roman"/>
          <w:i/>
          <w:iCs/>
        </w:rPr>
        <w:t>Id</w:t>
      </w:r>
      <w:r w:rsidRPr="002769BD">
        <w:rPr>
          <w:rFonts w:ascii="Times New Roman" w:hAnsi="Times New Roman" w:cs="Times New Roman"/>
        </w:rPr>
        <w:t>. at 19.</w:t>
      </w:r>
    </w:p>
  </w:footnote>
  <w:footnote w:id="80">
    <w:p w:rsidR="0072395B" w:rsidRPr="002769BD" w:rsidP="002769BD" w14:paraId="0BCE7629" w14:textId="77777777">
      <w:pPr>
        <w:pStyle w:val="FootnoteText"/>
        <w:spacing w:after="120"/>
        <w:rPr>
          <w:rFonts w:ascii="Times New Roman" w:hAnsi="Times New Roman" w:cs="Times New Roman"/>
        </w:rPr>
      </w:pPr>
      <w:r w:rsidRPr="002769BD">
        <w:rPr>
          <w:rStyle w:val="FootnoteReference"/>
          <w:rFonts w:ascii="Times New Roman" w:hAnsi="Times New Roman" w:cs="Times New Roman"/>
        </w:rPr>
        <w:footnoteRef/>
      </w:r>
      <w:r w:rsidRPr="002769BD">
        <w:rPr>
          <w:rFonts w:ascii="Times New Roman" w:hAnsi="Times New Roman" w:cs="Times New Roman"/>
          <w:i/>
          <w:iCs/>
        </w:rPr>
        <w:t xml:space="preserve"> Id</w:t>
      </w:r>
      <w:r w:rsidRPr="002769BD">
        <w:rPr>
          <w:rFonts w:ascii="Times New Roman" w:hAnsi="Times New Roman" w:cs="Times New Roman"/>
        </w:rPr>
        <w:t>. at 10.</w:t>
      </w:r>
    </w:p>
  </w:footnote>
  <w:footnote w:id="81">
    <w:p w:rsidR="0072395B" w:rsidRPr="002769BD" w:rsidP="002769BD" w14:paraId="0A97AA16" w14:textId="77777777">
      <w:pPr>
        <w:pStyle w:val="FootnoteText"/>
        <w:spacing w:after="120"/>
        <w:rPr>
          <w:rFonts w:ascii="Times New Roman" w:hAnsi="Times New Roman" w:cs="Times New Roman"/>
        </w:rPr>
      </w:pPr>
      <w:r w:rsidRPr="002769BD">
        <w:rPr>
          <w:rStyle w:val="FootnoteReference"/>
          <w:rFonts w:ascii="Times New Roman" w:hAnsi="Times New Roman" w:cs="Times New Roman"/>
        </w:rPr>
        <w:footnoteRef/>
      </w:r>
      <w:r w:rsidRPr="002769BD">
        <w:rPr>
          <w:rFonts w:ascii="Times New Roman" w:hAnsi="Times New Roman" w:cs="Times New Roman"/>
        </w:rPr>
        <w:t xml:space="preserve"> </w:t>
      </w:r>
      <w:r w:rsidRPr="002769BD">
        <w:rPr>
          <w:rFonts w:ascii="Times New Roman" w:hAnsi="Times New Roman" w:cs="Times New Roman"/>
          <w:i/>
          <w:iCs/>
        </w:rPr>
        <w:t>Id</w:t>
      </w:r>
      <w:r w:rsidRPr="002769BD">
        <w:rPr>
          <w:rFonts w:ascii="Times New Roman" w:hAnsi="Times New Roman" w:cs="Times New Roman"/>
        </w:rPr>
        <w:t>. at p. 8.</w:t>
      </w:r>
    </w:p>
  </w:footnote>
  <w:footnote w:id="82">
    <w:p w:rsidR="0072395B" w:rsidRPr="002769BD" w:rsidP="002769BD" w14:paraId="7764C164" w14:textId="77777777">
      <w:pPr>
        <w:pStyle w:val="FootnoteText"/>
        <w:spacing w:after="120"/>
        <w:rPr>
          <w:rFonts w:ascii="Times New Roman" w:hAnsi="Times New Roman" w:cs="Times New Roman"/>
        </w:rPr>
      </w:pPr>
      <w:r w:rsidRPr="002769BD">
        <w:rPr>
          <w:rStyle w:val="FootnoteReference"/>
          <w:rFonts w:ascii="Times New Roman" w:hAnsi="Times New Roman" w:cs="Times New Roman"/>
        </w:rPr>
        <w:footnoteRef/>
      </w:r>
      <w:r w:rsidRPr="002769BD">
        <w:rPr>
          <w:rFonts w:ascii="Times New Roman" w:hAnsi="Times New Roman" w:cs="Times New Roman"/>
        </w:rPr>
        <w:t xml:space="preserve"> </w:t>
      </w:r>
      <w:r w:rsidRPr="002769BD">
        <w:rPr>
          <w:rFonts w:ascii="Times New Roman" w:hAnsi="Times New Roman" w:cs="Times New Roman"/>
          <w:i/>
          <w:iCs/>
        </w:rPr>
        <w:t>Id</w:t>
      </w:r>
      <w:r w:rsidRPr="002769BD">
        <w:rPr>
          <w:rFonts w:ascii="Times New Roman" w:hAnsi="Times New Roman" w:cs="Times New Roman"/>
        </w:rPr>
        <w:t>. at p. 9 (emphasis added).</w:t>
      </w:r>
    </w:p>
  </w:footnote>
  <w:footnote w:id="83">
    <w:p w:rsidR="0072395B" w:rsidRPr="002769BD" w:rsidP="002769BD" w14:paraId="6F5C0A64" w14:textId="77777777">
      <w:pPr>
        <w:pStyle w:val="FootnoteText"/>
        <w:spacing w:after="120"/>
        <w:rPr>
          <w:rFonts w:ascii="Times New Roman" w:hAnsi="Times New Roman" w:cs="Times New Roman"/>
        </w:rPr>
      </w:pPr>
      <w:r w:rsidRPr="002769BD">
        <w:rPr>
          <w:rStyle w:val="FootnoteReference"/>
          <w:rFonts w:ascii="Times New Roman" w:hAnsi="Times New Roman" w:cs="Times New Roman"/>
        </w:rPr>
        <w:footnoteRef/>
      </w:r>
      <w:r w:rsidRPr="002769BD">
        <w:rPr>
          <w:rFonts w:ascii="Times New Roman" w:hAnsi="Times New Roman" w:cs="Times New Roman"/>
        </w:rPr>
        <w:t xml:space="preserve"> </w:t>
      </w:r>
      <w:bookmarkStart w:id="51" w:name="_Hlk108013568"/>
      <w:r w:rsidRPr="002769BD">
        <w:rPr>
          <w:rFonts w:ascii="Times New Roman" w:hAnsi="Times New Roman" w:cs="Times New Roman"/>
        </w:rPr>
        <w:t>Hearing Trans. Vol. II, p. 31:22</w:t>
      </w:r>
      <w:bookmarkEnd w:id="51"/>
      <w:r w:rsidRPr="002769BD">
        <w:rPr>
          <w:rFonts w:ascii="Times New Roman" w:hAnsi="Times New Roman" w:cs="Times New Roman"/>
        </w:rPr>
        <w:t>.</w:t>
      </w:r>
    </w:p>
  </w:footnote>
  <w:footnote w:id="84">
    <w:p w:rsidR="0072395B" w:rsidRPr="002769BD" w:rsidP="002769BD" w14:paraId="3907A247" w14:textId="77777777">
      <w:pPr>
        <w:pStyle w:val="FootnoteText"/>
        <w:spacing w:after="120"/>
        <w:rPr>
          <w:rFonts w:ascii="Times New Roman" w:hAnsi="Times New Roman" w:cs="Times New Roman"/>
        </w:rPr>
      </w:pPr>
      <w:r w:rsidRPr="002769BD">
        <w:rPr>
          <w:rStyle w:val="FootnoteReference"/>
          <w:rFonts w:ascii="Times New Roman" w:hAnsi="Times New Roman" w:cs="Times New Roman"/>
        </w:rPr>
        <w:footnoteRef/>
      </w:r>
      <w:r w:rsidRPr="002769BD">
        <w:rPr>
          <w:rFonts w:ascii="Times New Roman" w:hAnsi="Times New Roman" w:cs="Times New Roman"/>
        </w:rPr>
        <w:t xml:space="preserve"> </w:t>
      </w:r>
      <w:bookmarkStart w:id="52" w:name="_Hlk108012168"/>
      <w:r w:rsidRPr="002769BD">
        <w:rPr>
          <w:rFonts w:ascii="Times New Roman" w:hAnsi="Times New Roman" w:cs="Times New Roman"/>
        </w:rPr>
        <w:t>Staff Exhibit 1, p. 17.</w:t>
      </w:r>
    </w:p>
    <w:bookmarkEnd w:id="52"/>
  </w:footnote>
  <w:footnote w:id="85">
    <w:p w:rsidR="0072395B" w:rsidRPr="002769BD" w:rsidP="002769BD" w14:paraId="74E952AF" w14:textId="77777777">
      <w:pPr>
        <w:pStyle w:val="FootnoteText"/>
        <w:spacing w:after="120"/>
        <w:rPr>
          <w:rFonts w:ascii="Times New Roman" w:hAnsi="Times New Roman" w:cs="Times New Roman"/>
        </w:rPr>
      </w:pPr>
      <w:r w:rsidRPr="002769BD">
        <w:rPr>
          <w:rStyle w:val="FootnoteReference"/>
          <w:rFonts w:ascii="Times New Roman" w:hAnsi="Times New Roman" w:cs="Times New Roman"/>
        </w:rPr>
        <w:footnoteRef/>
      </w:r>
      <w:r w:rsidRPr="002769BD">
        <w:rPr>
          <w:rFonts w:ascii="Times New Roman" w:hAnsi="Times New Roman" w:cs="Times New Roman"/>
        </w:rPr>
        <w:t xml:space="preserve"> </w:t>
      </w:r>
      <w:bookmarkStart w:id="55" w:name="_Hlk108012585"/>
      <w:r w:rsidRPr="002769BD">
        <w:rPr>
          <w:rFonts w:ascii="Times New Roman" w:hAnsi="Times New Roman" w:cs="Times New Roman"/>
          <w:i/>
          <w:iCs/>
        </w:rPr>
        <w:t>Id</w:t>
      </w:r>
      <w:r w:rsidRPr="002769BD">
        <w:rPr>
          <w:rFonts w:ascii="Times New Roman" w:hAnsi="Times New Roman" w:cs="Times New Roman"/>
        </w:rPr>
        <w:t xml:space="preserve">. at p. 26; </w:t>
      </w:r>
      <w:r w:rsidRPr="002769BD">
        <w:rPr>
          <w:rFonts w:ascii="Times New Roman" w:hAnsi="Times New Roman" w:cs="Times New Roman"/>
          <w:i/>
          <w:iCs/>
        </w:rPr>
        <w:t>see also</w:t>
      </w:r>
      <w:r w:rsidRPr="002769BD">
        <w:rPr>
          <w:rFonts w:ascii="Times New Roman" w:hAnsi="Times New Roman" w:cs="Times New Roman"/>
        </w:rPr>
        <w:t xml:space="preserve"> Hearing Trans. Vol. II, p. 45:20</w:t>
      </w:r>
      <w:bookmarkEnd w:id="55"/>
      <w:r w:rsidRPr="002769BD">
        <w:rPr>
          <w:rFonts w:ascii="Times New Roman" w:hAnsi="Times New Roman" w:cs="Times New Roman"/>
        </w:rPr>
        <w:t>.</w:t>
      </w:r>
    </w:p>
  </w:footnote>
  <w:footnote w:id="86">
    <w:p w:rsidR="0072395B" w:rsidRPr="002769BD" w:rsidP="002769BD" w14:paraId="3615FC0F" w14:textId="77777777">
      <w:pPr>
        <w:pStyle w:val="FootnoteText"/>
        <w:spacing w:after="120"/>
        <w:rPr>
          <w:rFonts w:ascii="Times New Roman" w:hAnsi="Times New Roman" w:cs="Times New Roman"/>
        </w:rPr>
      </w:pPr>
      <w:r w:rsidRPr="002769BD">
        <w:rPr>
          <w:rStyle w:val="FootnoteReference"/>
          <w:rFonts w:ascii="Times New Roman" w:hAnsi="Times New Roman" w:cs="Times New Roman"/>
        </w:rPr>
        <w:footnoteRef/>
      </w:r>
      <w:r w:rsidRPr="002769BD">
        <w:rPr>
          <w:rFonts w:ascii="Times New Roman" w:hAnsi="Times New Roman" w:cs="Times New Roman"/>
        </w:rPr>
        <w:t xml:space="preserve"> Staff Exhibit 1, p. 18.</w:t>
      </w:r>
    </w:p>
  </w:footnote>
  <w:footnote w:id="87">
    <w:p w:rsidR="0072395B" w:rsidRPr="002769BD" w:rsidP="002769BD" w14:paraId="0473A84A" w14:textId="77777777">
      <w:pPr>
        <w:pStyle w:val="FootnoteText"/>
        <w:spacing w:after="120"/>
        <w:rPr>
          <w:rFonts w:ascii="Times New Roman" w:hAnsi="Times New Roman" w:cs="Times New Roman"/>
        </w:rPr>
      </w:pPr>
      <w:r w:rsidRPr="002769BD">
        <w:rPr>
          <w:rStyle w:val="FootnoteReference"/>
          <w:rFonts w:ascii="Times New Roman" w:hAnsi="Times New Roman" w:cs="Times New Roman"/>
        </w:rPr>
        <w:footnoteRef/>
      </w:r>
      <w:r w:rsidRPr="002769BD">
        <w:rPr>
          <w:rFonts w:ascii="Times New Roman" w:hAnsi="Times New Roman" w:cs="Times New Roman"/>
        </w:rPr>
        <w:t xml:space="preserve"> </w:t>
      </w:r>
      <w:r w:rsidRPr="002769BD">
        <w:rPr>
          <w:rFonts w:ascii="Times New Roman" w:hAnsi="Times New Roman" w:cs="Times New Roman"/>
          <w:i/>
          <w:iCs/>
        </w:rPr>
        <w:t>Id</w:t>
      </w:r>
      <w:r w:rsidRPr="002769BD">
        <w:rPr>
          <w:rFonts w:ascii="Times New Roman" w:hAnsi="Times New Roman" w:cs="Times New Roman"/>
        </w:rPr>
        <w:t xml:space="preserve">. at Figure 8; </w:t>
      </w:r>
      <w:r w:rsidRPr="002769BD">
        <w:rPr>
          <w:rFonts w:ascii="Times New Roman" w:hAnsi="Times New Roman" w:cs="Times New Roman"/>
          <w:i/>
          <w:iCs/>
        </w:rPr>
        <w:t>see also</w:t>
      </w:r>
      <w:r w:rsidRPr="002769BD">
        <w:rPr>
          <w:rFonts w:ascii="Times New Roman" w:hAnsi="Times New Roman" w:cs="Times New Roman"/>
        </w:rPr>
        <w:t xml:space="preserve"> Hearing Trans. Vol. II, p. 49:18.</w:t>
      </w:r>
    </w:p>
  </w:footnote>
  <w:footnote w:id="88">
    <w:p w:rsidR="0072395B" w:rsidRPr="002769BD" w:rsidP="002769BD" w14:paraId="640BD461" w14:textId="77777777">
      <w:pPr>
        <w:pStyle w:val="FootnoteText"/>
        <w:spacing w:after="120"/>
        <w:rPr>
          <w:rFonts w:ascii="Times New Roman" w:hAnsi="Times New Roman" w:cs="Times New Roman"/>
        </w:rPr>
      </w:pPr>
      <w:r w:rsidRPr="002769BD">
        <w:rPr>
          <w:rStyle w:val="FootnoteReference"/>
          <w:rFonts w:ascii="Times New Roman" w:hAnsi="Times New Roman" w:cs="Times New Roman"/>
        </w:rPr>
        <w:footnoteRef/>
      </w:r>
      <w:r w:rsidRPr="002769BD">
        <w:rPr>
          <w:rFonts w:ascii="Times New Roman" w:hAnsi="Times New Roman" w:cs="Times New Roman"/>
        </w:rPr>
        <w:t xml:space="preserve"> Hearing Trans. Vol. II, p. 53:5.</w:t>
      </w:r>
    </w:p>
  </w:footnote>
  <w:footnote w:id="89">
    <w:p w:rsidR="0072395B" w:rsidRPr="002769BD" w:rsidP="002769BD" w14:paraId="34DF819A" w14:textId="77777777">
      <w:pPr>
        <w:pStyle w:val="FootnoteText"/>
        <w:spacing w:after="120"/>
        <w:rPr>
          <w:rFonts w:ascii="Times New Roman" w:hAnsi="Times New Roman" w:cs="Times New Roman"/>
        </w:rPr>
      </w:pPr>
      <w:r w:rsidRPr="002769BD">
        <w:rPr>
          <w:rStyle w:val="FootnoteReference"/>
          <w:rFonts w:ascii="Times New Roman" w:hAnsi="Times New Roman" w:cs="Times New Roman"/>
        </w:rPr>
        <w:footnoteRef/>
      </w:r>
      <w:r w:rsidRPr="002769BD">
        <w:rPr>
          <w:rFonts w:ascii="Times New Roman" w:hAnsi="Times New Roman" w:cs="Times New Roman"/>
        </w:rPr>
        <w:t xml:space="preserve"> OCC Ex. 2 (Glick Direct) at 43 – 44.</w:t>
      </w:r>
    </w:p>
  </w:footnote>
  <w:footnote w:id="90">
    <w:p w:rsidR="0072395B" w:rsidRPr="002769BD" w:rsidP="002769BD" w14:paraId="7D7BCE27" w14:textId="77777777">
      <w:pPr>
        <w:pStyle w:val="FootnoteText"/>
        <w:spacing w:after="120"/>
        <w:rPr>
          <w:rFonts w:ascii="Times New Roman" w:hAnsi="Times New Roman" w:cs="Times New Roman"/>
        </w:rPr>
      </w:pPr>
      <w:r w:rsidRPr="002769BD">
        <w:rPr>
          <w:rStyle w:val="FootnoteReference"/>
          <w:rFonts w:ascii="Times New Roman" w:hAnsi="Times New Roman" w:cs="Times New Roman"/>
        </w:rPr>
        <w:footnoteRef/>
      </w:r>
      <w:r w:rsidRPr="002769BD">
        <w:rPr>
          <w:rFonts w:ascii="Times New Roman" w:hAnsi="Times New Roman" w:cs="Times New Roman"/>
        </w:rPr>
        <w:t xml:space="preserve"> OCC Ex. 1 (Haugh Direct) at 20-23.</w:t>
      </w:r>
    </w:p>
  </w:footnote>
  <w:footnote w:id="91">
    <w:p w:rsidR="0072395B" w:rsidRPr="002769BD" w:rsidP="002769BD" w14:paraId="11A0ACE0" w14:textId="77777777">
      <w:pPr>
        <w:pStyle w:val="FootnoteText"/>
        <w:spacing w:after="120"/>
        <w:rPr>
          <w:rFonts w:ascii="Times New Roman" w:hAnsi="Times New Roman" w:cs="Times New Roman"/>
        </w:rPr>
      </w:pPr>
      <w:r w:rsidRPr="002769BD">
        <w:rPr>
          <w:rStyle w:val="FootnoteReference"/>
          <w:rFonts w:ascii="Times New Roman" w:hAnsi="Times New Roman" w:cs="Times New Roman"/>
        </w:rPr>
        <w:footnoteRef/>
      </w:r>
      <w:r w:rsidRPr="002769BD">
        <w:rPr>
          <w:rFonts w:ascii="Times New Roman" w:hAnsi="Times New Roman" w:cs="Times New Roman"/>
        </w:rPr>
        <w:t xml:space="preserve"> </w:t>
      </w:r>
      <w:r w:rsidRPr="002769BD">
        <w:rPr>
          <w:rFonts w:ascii="Times New Roman" w:hAnsi="Times New Roman" w:cs="Times New Roman"/>
          <w:i/>
          <w:iCs/>
        </w:rPr>
        <w:t>Id</w:t>
      </w:r>
      <w:r w:rsidRPr="002769BD">
        <w:rPr>
          <w:rFonts w:ascii="Times New Roman" w:hAnsi="Times New Roman" w:cs="Times New Roman"/>
        </w:rPr>
        <w:t>. at 91:24.</w:t>
      </w:r>
    </w:p>
  </w:footnote>
  <w:footnote w:id="92">
    <w:p w:rsidR="0072395B" w:rsidRPr="002769BD" w:rsidP="002769BD" w14:paraId="5C14C6D8" w14:textId="77777777">
      <w:pPr>
        <w:pStyle w:val="FootnoteText"/>
        <w:spacing w:after="120"/>
        <w:rPr>
          <w:rFonts w:ascii="Times New Roman" w:hAnsi="Times New Roman" w:cs="Times New Roman"/>
        </w:rPr>
      </w:pPr>
      <w:r w:rsidRPr="002769BD">
        <w:rPr>
          <w:rStyle w:val="FootnoteReference"/>
          <w:rFonts w:ascii="Times New Roman" w:hAnsi="Times New Roman" w:cs="Times New Roman"/>
        </w:rPr>
        <w:footnoteRef/>
      </w:r>
      <w:r w:rsidRPr="002769BD">
        <w:rPr>
          <w:rFonts w:ascii="Times New Roman" w:hAnsi="Times New Roman" w:cs="Times New Roman"/>
        </w:rPr>
        <w:t xml:space="preserve"> Staff Exhibit 1, p. 63.</w:t>
      </w:r>
    </w:p>
  </w:footnote>
  <w:footnote w:id="93">
    <w:p w:rsidR="0072395B" w:rsidRPr="002769BD" w:rsidP="002769BD" w14:paraId="241D3286" w14:textId="77777777">
      <w:pPr>
        <w:pStyle w:val="FootnoteText"/>
        <w:spacing w:after="120"/>
        <w:rPr>
          <w:rFonts w:ascii="Times New Roman" w:hAnsi="Times New Roman" w:cs="Times New Roman"/>
        </w:rPr>
      </w:pPr>
      <w:r w:rsidRPr="002769BD">
        <w:rPr>
          <w:rStyle w:val="FootnoteReference"/>
          <w:rFonts w:ascii="Times New Roman" w:hAnsi="Times New Roman" w:cs="Times New Roman"/>
        </w:rPr>
        <w:footnoteRef/>
      </w:r>
      <w:r w:rsidRPr="002769BD">
        <w:rPr>
          <w:rFonts w:ascii="Times New Roman" w:hAnsi="Times New Roman" w:cs="Times New Roman"/>
        </w:rPr>
        <w:t xml:space="preserve"> </w:t>
      </w:r>
      <w:bookmarkStart w:id="56" w:name="_Hlk108078374"/>
      <w:r w:rsidRPr="002769BD">
        <w:rPr>
          <w:rFonts w:ascii="Times New Roman" w:hAnsi="Times New Roman" w:cs="Times New Roman"/>
          <w:i/>
          <w:iCs/>
        </w:rPr>
        <w:t>Id</w:t>
      </w:r>
      <w:r w:rsidRPr="002769BD">
        <w:rPr>
          <w:rFonts w:ascii="Times New Roman" w:hAnsi="Times New Roman" w:cs="Times New Roman"/>
        </w:rPr>
        <w:t>. at p. 71</w:t>
      </w:r>
      <w:bookmarkEnd w:id="56"/>
      <w:r w:rsidRPr="002769BD">
        <w:rPr>
          <w:rFonts w:ascii="Times New Roman" w:hAnsi="Times New Roman" w:cs="Times New Roman"/>
        </w:rPr>
        <w:t>.</w:t>
      </w:r>
    </w:p>
  </w:footnote>
  <w:footnote w:id="94">
    <w:p w:rsidR="0072395B" w:rsidRPr="002769BD" w:rsidP="002769BD" w14:paraId="0F28014B" w14:textId="77777777">
      <w:pPr>
        <w:pStyle w:val="FootnoteText"/>
        <w:spacing w:after="120"/>
        <w:rPr>
          <w:rFonts w:ascii="Times New Roman" w:hAnsi="Times New Roman" w:cs="Times New Roman"/>
        </w:rPr>
      </w:pPr>
      <w:r w:rsidRPr="002769BD">
        <w:rPr>
          <w:rStyle w:val="FootnoteReference"/>
          <w:rFonts w:ascii="Times New Roman" w:hAnsi="Times New Roman" w:cs="Times New Roman"/>
        </w:rPr>
        <w:footnoteRef/>
      </w:r>
      <w:r w:rsidRPr="002769BD">
        <w:rPr>
          <w:rFonts w:ascii="Times New Roman" w:hAnsi="Times New Roman" w:cs="Times New Roman"/>
        </w:rPr>
        <w:t xml:space="preserve"> </w:t>
      </w:r>
      <w:bookmarkStart w:id="57" w:name="_Hlk108078428"/>
      <w:r w:rsidRPr="002769BD">
        <w:rPr>
          <w:rFonts w:ascii="Times New Roman" w:hAnsi="Times New Roman" w:cs="Times New Roman"/>
          <w:i/>
          <w:iCs/>
        </w:rPr>
        <w:t>Id</w:t>
      </w:r>
      <w:r w:rsidRPr="002769BD">
        <w:rPr>
          <w:rFonts w:ascii="Times New Roman" w:hAnsi="Times New Roman" w:cs="Times New Roman"/>
        </w:rPr>
        <w:t>. at p. 98</w:t>
      </w:r>
      <w:bookmarkEnd w:id="57"/>
      <w:r w:rsidRPr="002769BD">
        <w:rPr>
          <w:rFonts w:ascii="Times New Roman" w:hAnsi="Times New Roman" w:cs="Times New Roman"/>
        </w:rPr>
        <w:t>.</w:t>
      </w:r>
    </w:p>
  </w:footnote>
  <w:footnote w:id="95">
    <w:p w:rsidR="0072395B" w:rsidRPr="002769BD" w:rsidP="002769BD" w14:paraId="0CC66015" w14:textId="77777777">
      <w:pPr>
        <w:pStyle w:val="FootnoteText"/>
        <w:spacing w:after="120"/>
        <w:rPr>
          <w:rFonts w:ascii="Times New Roman" w:hAnsi="Times New Roman" w:cs="Times New Roman"/>
        </w:rPr>
      </w:pPr>
      <w:r w:rsidRPr="002769BD">
        <w:rPr>
          <w:rStyle w:val="FootnoteReference"/>
          <w:rFonts w:ascii="Times New Roman" w:hAnsi="Times New Roman" w:cs="Times New Roman"/>
        </w:rPr>
        <w:footnoteRef/>
      </w:r>
      <w:r w:rsidRPr="002769BD">
        <w:rPr>
          <w:rFonts w:ascii="Times New Roman" w:hAnsi="Times New Roman" w:cs="Times New Roman"/>
        </w:rPr>
        <w:t xml:space="preserve"> </w:t>
      </w:r>
      <w:r w:rsidRPr="002769BD">
        <w:rPr>
          <w:rFonts w:ascii="Times New Roman" w:hAnsi="Times New Roman" w:cs="Times New Roman"/>
          <w:i/>
          <w:iCs/>
        </w:rPr>
        <w:t>Id</w:t>
      </w:r>
      <w:r w:rsidRPr="002769BD">
        <w:rPr>
          <w:rFonts w:ascii="Times New Roman" w:hAnsi="Times New Roman" w:cs="Times New Roman"/>
        </w:rPr>
        <w:t>.</w:t>
      </w:r>
    </w:p>
  </w:footnote>
  <w:footnote w:id="96">
    <w:p w:rsidR="00DD180D" w:rsidRPr="002769BD" w:rsidP="002769BD" w14:paraId="3160C432" w14:textId="77777777">
      <w:pPr>
        <w:pStyle w:val="FootnoteText"/>
        <w:spacing w:after="120"/>
        <w:rPr>
          <w:rFonts w:ascii="Times New Roman" w:hAnsi="Times New Roman" w:cs="Times New Roman"/>
        </w:rPr>
      </w:pPr>
      <w:r w:rsidRPr="002769BD">
        <w:rPr>
          <w:rStyle w:val="FootnoteReference"/>
          <w:rFonts w:ascii="Times New Roman" w:hAnsi="Times New Roman" w:cs="Times New Roman"/>
        </w:rPr>
        <w:footnoteRef/>
      </w:r>
      <w:r w:rsidRPr="002769BD">
        <w:rPr>
          <w:rFonts w:ascii="Times New Roman" w:hAnsi="Times New Roman" w:cs="Times New Roman"/>
        </w:rPr>
        <w:t xml:space="preserve"> Ohio Adm. Code 4901-1-15(F).</w:t>
      </w:r>
    </w:p>
  </w:footnote>
  <w:footnote w:id="97">
    <w:p w:rsidR="00DD180D" w:rsidRPr="002769BD" w:rsidP="002769BD" w14:paraId="68537F57" w14:textId="77777777">
      <w:pPr>
        <w:pStyle w:val="FootnoteText"/>
        <w:spacing w:after="120"/>
        <w:rPr>
          <w:rFonts w:ascii="Times New Roman" w:hAnsi="Times New Roman" w:cs="Times New Roman"/>
        </w:rPr>
      </w:pPr>
      <w:r w:rsidRPr="002769BD">
        <w:rPr>
          <w:rStyle w:val="FootnoteReference"/>
          <w:rFonts w:ascii="Times New Roman" w:hAnsi="Times New Roman" w:cs="Times New Roman"/>
        </w:rPr>
        <w:footnoteRef/>
      </w:r>
      <w:r w:rsidRPr="002769BD">
        <w:rPr>
          <w:rFonts w:ascii="Times New Roman" w:hAnsi="Times New Roman" w:cs="Times New Roman"/>
        </w:rPr>
        <w:t xml:space="preserve"> Hearing Trans. Vol. II, p. 214:10-14.</w:t>
      </w:r>
    </w:p>
  </w:footnote>
  <w:footnote w:id="98">
    <w:p w:rsidR="00DD180D" w:rsidRPr="002769BD" w:rsidP="002769BD" w14:paraId="664909E4" w14:textId="77777777">
      <w:pPr>
        <w:pStyle w:val="FootnoteText"/>
        <w:spacing w:after="120"/>
        <w:rPr>
          <w:rFonts w:ascii="Times New Roman" w:hAnsi="Times New Roman" w:cs="Times New Roman"/>
        </w:rPr>
      </w:pPr>
      <w:r w:rsidRPr="002769BD">
        <w:rPr>
          <w:rStyle w:val="FootnoteReference"/>
          <w:rFonts w:ascii="Times New Roman" w:hAnsi="Times New Roman" w:cs="Times New Roman"/>
        </w:rPr>
        <w:footnoteRef/>
      </w:r>
      <w:r w:rsidRPr="002769BD">
        <w:rPr>
          <w:rFonts w:ascii="Times New Roman" w:hAnsi="Times New Roman" w:cs="Times New Roman"/>
        </w:rPr>
        <w:t xml:space="preserve"> Hearing Trans. Vol. III, p. 426:14 – 428:3.</w:t>
      </w:r>
    </w:p>
  </w:footnote>
  <w:footnote w:id="99">
    <w:p w:rsidR="00DD180D" w:rsidRPr="002769BD" w:rsidP="002769BD" w14:paraId="1B0D4F24" w14:textId="77777777">
      <w:pPr>
        <w:pStyle w:val="FootnoteText"/>
        <w:spacing w:after="120"/>
        <w:rPr>
          <w:rFonts w:ascii="Times New Roman" w:hAnsi="Times New Roman" w:cs="Times New Roman"/>
        </w:rPr>
      </w:pPr>
      <w:r w:rsidRPr="002769BD">
        <w:rPr>
          <w:rStyle w:val="FootnoteReference"/>
          <w:rFonts w:ascii="Times New Roman" w:hAnsi="Times New Roman" w:cs="Times New Roman"/>
        </w:rPr>
        <w:footnoteRef/>
      </w:r>
      <w:r w:rsidRPr="002769BD">
        <w:rPr>
          <w:rFonts w:ascii="Times New Roman" w:hAnsi="Times New Roman" w:cs="Times New Roman"/>
        </w:rPr>
        <w:t xml:space="preserve"> Hearing Trans. Vol. II, p. 214:10-14; Hearing Trans. Vol. II, p. 222:20 – 223:20.</w:t>
      </w:r>
    </w:p>
  </w:footnote>
  <w:footnote w:id="100">
    <w:p w:rsidR="00DD180D" w:rsidRPr="002769BD" w:rsidP="002769BD" w14:paraId="68A1CD5A" w14:textId="77777777">
      <w:pPr>
        <w:pStyle w:val="FootnoteText"/>
        <w:spacing w:after="120"/>
        <w:rPr>
          <w:rFonts w:ascii="Times New Roman" w:hAnsi="Times New Roman" w:cs="Times New Roman"/>
        </w:rPr>
      </w:pPr>
      <w:r w:rsidRPr="002769BD">
        <w:rPr>
          <w:rStyle w:val="FootnoteReference"/>
          <w:rFonts w:ascii="Times New Roman" w:hAnsi="Times New Roman" w:cs="Times New Roman"/>
        </w:rPr>
        <w:footnoteRef/>
      </w:r>
      <w:r w:rsidRPr="002769BD">
        <w:rPr>
          <w:rFonts w:ascii="Times New Roman" w:hAnsi="Times New Roman" w:cs="Times New Roman"/>
        </w:rPr>
        <w:t xml:space="preserve"> Hearing Trans. Vol. II, p. 214:10-14.</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469211BF"/>
    <w:multiLevelType w:val="hybridMultilevel"/>
    <w:tmpl w:val="A0128032"/>
    <w:lvl w:ilvl="0">
      <w:start w:val="4"/>
      <w:numFmt w:val="bullet"/>
      <w:lvlText w:val=""/>
      <w:lvlJc w:val="left"/>
      <w:pPr>
        <w:ind w:left="1080" w:hanging="360"/>
      </w:pPr>
      <w:rPr>
        <w:rFonts w:ascii="Symbol" w:hAnsi="Symbol" w:eastAsiaTheme="minorHAnsi" w:cstheme="minorBidi"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
    <w:nsid w:val="4DAF75E9"/>
    <w:multiLevelType w:val="multilevel"/>
    <w:tmpl w:val="B918618E"/>
    <w:name w:val="OutlineHeadings"/>
    <w:lvl w:ilvl="0">
      <w:start w:val="1"/>
      <w:numFmt w:val="upperRoman"/>
      <w:pStyle w:val="Heading1"/>
      <w:lvlText w:val="%1."/>
      <w:lvlJc w:val="left"/>
      <w:pPr>
        <w:tabs>
          <w:tab w:val="num" w:pos="720"/>
        </w:tabs>
        <w:ind w:left="0" w:firstLine="0"/>
      </w:pPr>
      <w:rPr>
        <w:b/>
        <w:bCs w:val="0"/>
      </w:rPr>
    </w:lvl>
    <w:lvl w:ilvl="1">
      <w:start w:val="1"/>
      <w:numFmt w:val="upperLetter"/>
      <w:pStyle w:val="Heading2"/>
      <w:lvlText w:val="%2."/>
      <w:lvlJc w:val="left"/>
      <w:pPr>
        <w:tabs>
          <w:tab w:val="num" w:pos="720"/>
        </w:tabs>
        <w:ind w:left="0" w:firstLine="720"/>
      </w:pPr>
      <w:rPr>
        <w:b/>
        <w:bCs w:val="0"/>
      </w:rPr>
    </w:lvl>
    <w:lvl w:ilvl="2">
      <w:start w:val="1"/>
      <w:numFmt w:val="decimal"/>
      <w:pStyle w:val="Heading3"/>
      <w:lvlText w:val="%3."/>
      <w:lvlJc w:val="left"/>
      <w:pPr>
        <w:tabs>
          <w:tab w:val="num" w:pos="720"/>
        </w:tabs>
        <w:ind w:left="0" w:firstLine="1440"/>
      </w:pPr>
      <w:rPr>
        <w:b/>
        <w:bCs w:val="0"/>
      </w:rPr>
    </w:lvl>
    <w:lvl w:ilvl="3">
      <w:start w:val="1"/>
      <w:numFmt w:val="lowerRoman"/>
      <w:pStyle w:val="Heading4"/>
      <w:lvlText w:val="(%4)"/>
      <w:lvlJc w:val="left"/>
      <w:pPr>
        <w:tabs>
          <w:tab w:val="num" w:pos="3600"/>
        </w:tabs>
        <w:ind w:left="0" w:firstLine="2880"/>
      </w:pPr>
    </w:lvl>
    <w:lvl w:ilvl="4">
      <w:start w:val="1"/>
      <w:numFmt w:val="decimal"/>
      <w:pStyle w:val="Heading5"/>
      <w:lvlText w:val="%5)"/>
      <w:lvlJc w:val="left"/>
      <w:pPr>
        <w:tabs>
          <w:tab w:val="num" w:pos="4320"/>
        </w:tabs>
        <w:ind w:left="0" w:firstLine="3600"/>
      </w:pPr>
    </w:lvl>
    <w:lvl w:ilvl="5">
      <w:start w:val="1"/>
      <w:numFmt w:val="upperLetter"/>
      <w:pStyle w:val="Heading6"/>
      <w:lvlText w:val="%6)"/>
      <w:lvlJc w:val="left"/>
      <w:pPr>
        <w:tabs>
          <w:tab w:val="num" w:pos="5040"/>
        </w:tabs>
        <w:ind w:left="0" w:firstLine="4320"/>
      </w:pPr>
    </w:lvl>
    <w:lvl w:ilvl="6">
      <w:start w:val="1"/>
      <w:numFmt w:val="decimal"/>
      <w:pStyle w:val="Heading7"/>
      <w:lvlText w:val="[%7]"/>
      <w:lvlJc w:val="left"/>
      <w:pPr>
        <w:tabs>
          <w:tab w:val="num" w:pos="5760"/>
        </w:tabs>
        <w:ind w:left="0" w:firstLine="5040"/>
      </w:pPr>
    </w:lvl>
    <w:lvl w:ilvl="7">
      <w:start w:val="1"/>
      <w:numFmt w:val="lowerRoman"/>
      <w:pStyle w:val="Heading8"/>
      <w:lvlText w:val="%8)"/>
      <w:lvlJc w:val="left"/>
      <w:pPr>
        <w:tabs>
          <w:tab w:val="num" w:pos="6480"/>
        </w:tabs>
        <w:ind w:left="0" w:firstLine="5760"/>
      </w:pPr>
    </w:lvl>
    <w:lvl w:ilvl="8">
      <w:start w:val="1"/>
      <w:numFmt w:val="lowerLetter"/>
      <w:pStyle w:val="Heading9"/>
      <w:lvlText w:val="%9)"/>
      <w:lvlJc w:val="left"/>
      <w:pPr>
        <w:tabs>
          <w:tab w:val="num" w:pos="7200"/>
        </w:tabs>
        <w:ind w:left="0" w:firstLine="6480"/>
      </w:pPr>
    </w:lvl>
  </w:abstractNum>
  <w:abstractNum w:abstractNumId="2">
    <w:nsid w:val="51B12CA8"/>
    <w:multiLevelType w:val="hybridMultilevel"/>
    <w:tmpl w:val="81DEBDA4"/>
    <w:lvl w:ilvl="0">
      <w:start w:val="4"/>
      <w:numFmt w:val="bullet"/>
      <w:lvlText w:val=""/>
      <w:lvlJc w:val="left"/>
      <w:pPr>
        <w:ind w:left="1080" w:hanging="360"/>
      </w:pPr>
      <w:rPr>
        <w:rFonts w:ascii="Symbol" w:hAnsi="Symbol" w:eastAsiaTheme="minorHAnsi" w:cstheme="minorBidi"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
    <w:nsid w:val="5B120630"/>
    <w:multiLevelType w:val="multilevel"/>
    <w:tmpl w:val="896684CA"/>
    <w:name w:val="OutlineHeadings"/>
    <w:lvl w:ilvl="0">
      <w:start w:val="1"/>
      <w:numFmt w:val="decimal"/>
      <w:lvlText w:val="%1."/>
      <w:lvlJc w:val="left"/>
      <w:pPr>
        <w:tabs>
          <w:tab w:val="num" w:pos="1440"/>
        </w:tabs>
        <w:ind w:left="0" w:firstLine="720"/>
      </w:pPr>
    </w:lvl>
    <w:lvl w:ilvl="1">
      <w:start w:val="1"/>
      <w:numFmt w:val="upperLetter"/>
      <w:lvlText w:val="%2."/>
      <w:lvlJc w:val="left"/>
      <w:pPr>
        <w:tabs>
          <w:tab w:val="num" w:pos="2160"/>
        </w:tabs>
        <w:ind w:left="0" w:firstLine="1440"/>
      </w:pPr>
    </w:lvl>
    <w:lvl w:ilvl="2">
      <w:start w:val="1"/>
      <w:numFmt w:val="decimal"/>
      <w:lvlText w:val="(%3)"/>
      <w:lvlJc w:val="left"/>
      <w:pPr>
        <w:tabs>
          <w:tab w:val="num" w:pos="2880"/>
        </w:tabs>
        <w:ind w:left="0" w:firstLine="2160"/>
      </w:pPr>
    </w:lvl>
    <w:lvl w:ilvl="3">
      <w:start w:val="1"/>
      <w:numFmt w:val="lowerRoman"/>
      <w:lvlText w:val="(%4)"/>
      <w:lvlJc w:val="left"/>
      <w:pPr>
        <w:tabs>
          <w:tab w:val="num" w:pos="3600"/>
        </w:tabs>
        <w:ind w:left="0" w:firstLine="2880"/>
      </w:pPr>
    </w:lvl>
    <w:lvl w:ilvl="4">
      <w:start w:val="1"/>
      <w:numFmt w:val="decimal"/>
      <w:lvlText w:val="%5)"/>
      <w:lvlJc w:val="left"/>
      <w:pPr>
        <w:tabs>
          <w:tab w:val="num" w:pos="4320"/>
        </w:tabs>
        <w:ind w:left="0" w:firstLine="3600"/>
      </w:pPr>
    </w:lvl>
    <w:lvl w:ilvl="5">
      <w:start w:val="1"/>
      <w:numFmt w:val="upperLetter"/>
      <w:lvlText w:val="%6)"/>
      <w:lvlJc w:val="left"/>
      <w:pPr>
        <w:tabs>
          <w:tab w:val="num" w:pos="5040"/>
        </w:tabs>
        <w:ind w:left="0" w:firstLine="4320"/>
      </w:pPr>
    </w:lvl>
    <w:lvl w:ilvl="6">
      <w:start w:val="1"/>
      <w:numFmt w:val="decimal"/>
      <w:lvlText w:val="[%7]"/>
      <w:lvlJc w:val="left"/>
      <w:pPr>
        <w:tabs>
          <w:tab w:val="num" w:pos="5760"/>
        </w:tabs>
        <w:ind w:left="0" w:firstLine="5040"/>
      </w:pPr>
    </w:lvl>
    <w:lvl w:ilvl="7">
      <w:start w:val="1"/>
      <w:numFmt w:val="lowerRoman"/>
      <w:lvlText w:val="%8)"/>
      <w:lvlJc w:val="left"/>
      <w:pPr>
        <w:tabs>
          <w:tab w:val="num" w:pos="6480"/>
        </w:tabs>
        <w:ind w:left="0" w:firstLine="5760"/>
      </w:pPr>
    </w:lvl>
    <w:lvl w:ilvl="8">
      <w:start w:val="1"/>
      <w:numFmt w:val="lowerLetter"/>
      <w:lvlText w:val="%9)"/>
      <w:lvlJc w:val="left"/>
      <w:pPr>
        <w:tabs>
          <w:tab w:val="num" w:pos="7200"/>
        </w:tabs>
        <w:ind w:left="0" w:firstLine="6480"/>
      </w:pPr>
    </w:lvl>
  </w:abstractNum>
  <w:num w:numId="1">
    <w:abstractNumId w:val="2"/>
  </w:num>
  <w:num w:numId="2">
    <w:abstractNumId w:val="0"/>
  </w:num>
  <w:num w:numId="3">
    <w:abstractNumId w:val="3"/>
  </w:num>
  <w:num w:numId="4">
    <w:abstractNumId w:val="3"/>
  </w:num>
  <w:num w:numId="5">
    <w:abstractNumId w:val="3"/>
  </w:num>
  <w:num w:numId="6">
    <w:abstractNumId w:val="3"/>
  </w:num>
  <w:num w:numId="7">
    <w:abstractNumId w:val="3"/>
  </w:num>
  <w:num w:numId="8">
    <w:abstractNumId w:val="3"/>
  </w:num>
  <w:num w:numId="9">
    <w:abstractNumId w:val="3"/>
  </w:num>
  <w:num w:numId="10">
    <w:abstractNumId w:val="3"/>
  </w:num>
  <w:num w:numId="11">
    <w:abstractNumId w:val="3"/>
  </w:num>
  <w:num w:numId="12">
    <w:abstractNumId w:val="1"/>
  </w:num>
  <w:num w:numId="13">
    <w:abstractNumId w:val="1"/>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removePersonalInformation/>
  <w:removeDateAndTime/>
  <w:defaultTabStop w:val="720"/>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577"/>
    <w:rsid w:val="00001B38"/>
    <w:rsid w:val="000059FA"/>
    <w:rsid w:val="00010E7E"/>
    <w:rsid w:val="00011166"/>
    <w:rsid w:val="00022FBE"/>
    <w:rsid w:val="00027623"/>
    <w:rsid w:val="00031E00"/>
    <w:rsid w:val="00041BE2"/>
    <w:rsid w:val="000459BA"/>
    <w:rsid w:val="00046A08"/>
    <w:rsid w:val="0004729B"/>
    <w:rsid w:val="000520ED"/>
    <w:rsid w:val="00054420"/>
    <w:rsid w:val="00055EB2"/>
    <w:rsid w:val="0005732B"/>
    <w:rsid w:val="00066A3C"/>
    <w:rsid w:val="00073502"/>
    <w:rsid w:val="00073C4F"/>
    <w:rsid w:val="000748F3"/>
    <w:rsid w:val="00080792"/>
    <w:rsid w:val="00082625"/>
    <w:rsid w:val="00087D1E"/>
    <w:rsid w:val="00092D7A"/>
    <w:rsid w:val="00095787"/>
    <w:rsid w:val="00097348"/>
    <w:rsid w:val="00097ADF"/>
    <w:rsid w:val="000A3F60"/>
    <w:rsid w:val="000B297B"/>
    <w:rsid w:val="000B2DE8"/>
    <w:rsid w:val="000B6F61"/>
    <w:rsid w:val="000C0AD4"/>
    <w:rsid w:val="000C5E91"/>
    <w:rsid w:val="000D0573"/>
    <w:rsid w:val="000D0AEB"/>
    <w:rsid w:val="000D10ED"/>
    <w:rsid w:val="000D2FFB"/>
    <w:rsid w:val="000D52BA"/>
    <w:rsid w:val="000E62AD"/>
    <w:rsid w:val="000F6081"/>
    <w:rsid w:val="0011039A"/>
    <w:rsid w:val="00113260"/>
    <w:rsid w:val="001241DF"/>
    <w:rsid w:val="0012507F"/>
    <w:rsid w:val="001379CE"/>
    <w:rsid w:val="001427DD"/>
    <w:rsid w:val="001716E3"/>
    <w:rsid w:val="00176028"/>
    <w:rsid w:val="00176AE1"/>
    <w:rsid w:val="00186DB3"/>
    <w:rsid w:val="001B03C7"/>
    <w:rsid w:val="001D19B2"/>
    <w:rsid w:val="001D1FE7"/>
    <w:rsid w:val="001D5B06"/>
    <w:rsid w:val="001D5BD0"/>
    <w:rsid w:val="001D73FF"/>
    <w:rsid w:val="001E1243"/>
    <w:rsid w:val="001F1977"/>
    <w:rsid w:val="001F71C6"/>
    <w:rsid w:val="002149DA"/>
    <w:rsid w:val="00214CF7"/>
    <w:rsid w:val="00215F93"/>
    <w:rsid w:val="00216EDA"/>
    <w:rsid w:val="00233DFA"/>
    <w:rsid w:val="0023790F"/>
    <w:rsid w:val="0024134B"/>
    <w:rsid w:val="00250D0D"/>
    <w:rsid w:val="00255577"/>
    <w:rsid w:val="0025665B"/>
    <w:rsid w:val="00257FCC"/>
    <w:rsid w:val="0026246A"/>
    <w:rsid w:val="002637B6"/>
    <w:rsid w:val="002769BD"/>
    <w:rsid w:val="0028073E"/>
    <w:rsid w:val="00294E6F"/>
    <w:rsid w:val="002A2370"/>
    <w:rsid w:val="002A23AC"/>
    <w:rsid w:val="002B53B5"/>
    <w:rsid w:val="002C0808"/>
    <w:rsid w:val="002C4B86"/>
    <w:rsid w:val="002C67BD"/>
    <w:rsid w:val="002D3CEF"/>
    <w:rsid w:val="002E1FC4"/>
    <w:rsid w:val="002E6C8A"/>
    <w:rsid w:val="002F54D1"/>
    <w:rsid w:val="00306124"/>
    <w:rsid w:val="0030778B"/>
    <w:rsid w:val="003125B4"/>
    <w:rsid w:val="003157F0"/>
    <w:rsid w:val="003174A8"/>
    <w:rsid w:val="00320D4A"/>
    <w:rsid w:val="00332247"/>
    <w:rsid w:val="00340525"/>
    <w:rsid w:val="00370FFF"/>
    <w:rsid w:val="00375AF0"/>
    <w:rsid w:val="00395551"/>
    <w:rsid w:val="003A21A8"/>
    <w:rsid w:val="003C13F4"/>
    <w:rsid w:val="003C1925"/>
    <w:rsid w:val="003C7B26"/>
    <w:rsid w:val="003D4A3D"/>
    <w:rsid w:val="003D5EAC"/>
    <w:rsid w:val="0040596A"/>
    <w:rsid w:val="0041727B"/>
    <w:rsid w:val="00421244"/>
    <w:rsid w:val="00423662"/>
    <w:rsid w:val="004246F9"/>
    <w:rsid w:val="00430E02"/>
    <w:rsid w:val="00432CE5"/>
    <w:rsid w:val="004429E5"/>
    <w:rsid w:val="00451601"/>
    <w:rsid w:val="00460F63"/>
    <w:rsid w:val="00462EC3"/>
    <w:rsid w:val="0046736E"/>
    <w:rsid w:val="00467CD6"/>
    <w:rsid w:val="00474C55"/>
    <w:rsid w:val="00483DC4"/>
    <w:rsid w:val="00487A92"/>
    <w:rsid w:val="004A40C9"/>
    <w:rsid w:val="004A5632"/>
    <w:rsid w:val="004C0863"/>
    <w:rsid w:val="004D6F4E"/>
    <w:rsid w:val="004E56AE"/>
    <w:rsid w:val="004E5C7E"/>
    <w:rsid w:val="004F1731"/>
    <w:rsid w:val="004F3AF3"/>
    <w:rsid w:val="00500DFD"/>
    <w:rsid w:val="00526FC7"/>
    <w:rsid w:val="0053115F"/>
    <w:rsid w:val="00535310"/>
    <w:rsid w:val="00554971"/>
    <w:rsid w:val="0055799B"/>
    <w:rsid w:val="00561A6C"/>
    <w:rsid w:val="0056567F"/>
    <w:rsid w:val="00570D22"/>
    <w:rsid w:val="005765E1"/>
    <w:rsid w:val="00577A10"/>
    <w:rsid w:val="00577F08"/>
    <w:rsid w:val="00590C91"/>
    <w:rsid w:val="005910F6"/>
    <w:rsid w:val="005928B1"/>
    <w:rsid w:val="00596E1D"/>
    <w:rsid w:val="005A1902"/>
    <w:rsid w:val="005A267F"/>
    <w:rsid w:val="005B23A9"/>
    <w:rsid w:val="005B45A0"/>
    <w:rsid w:val="005C36FE"/>
    <w:rsid w:val="005C5117"/>
    <w:rsid w:val="005D211F"/>
    <w:rsid w:val="005D3DD1"/>
    <w:rsid w:val="005E61F2"/>
    <w:rsid w:val="005E652B"/>
    <w:rsid w:val="005E6B5D"/>
    <w:rsid w:val="005E7577"/>
    <w:rsid w:val="005F4FC3"/>
    <w:rsid w:val="005F51B3"/>
    <w:rsid w:val="005F64D6"/>
    <w:rsid w:val="00602180"/>
    <w:rsid w:val="0060648D"/>
    <w:rsid w:val="00620B06"/>
    <w:rsid w:val="006225D6"/>
    <w:rsid w:val="00623352"/>
    <w:rsid w:val="006241A2"/>
    <w:rsid w:val="006278CB"/>
    <w:rsid w:val="0063256C"/>
    <w:rsid w:val="006402E0"/>
    <w:rsid w:val="00640BEC"/>
    <w:rsid w:val="006422FC"/>
    <w:rsid w:val="00654039"/>
    <w:rsid w:val="00661CAC"/>
    <w:rsid w:val="00665B7E"/>
    <w:rsid w:val="00672424"/>
    <w:rsid w:val="006747B9"/>
    <w:rsid w:val="00680914"/>
    <w:rsid w:val="00681655"/>
    <w:rsid w:val="006931F5"/>
    <w:rsid w:val="00694925"/>
    <w:rsid w:val="006A036B"/>
    <w:rsid w:val="006A4342"/>
    <w:rsid w:val="006A4D06"/>
    <w:rsid w:val="006A681E"/>
    <w:rsid w:val="006A6975"/>
    <w:rsid w:val="006A6E9F"/>
    <w:rsid w:val="006A7BCC"/>
    <w:rsid w:val="006B3A7D"/>
    <w:rsid w:val="006B6BC6"/>
    <w:rsid w:val="006D1FCD"/>
    <w:rsid w:val="006D37F1"/>
    <w:rsid w:val="006D7498"/>
    <w:rsid w:val="006E1AD3"/>
    <w:rsid w:val="006E4B41"/>
    <w:rsid w:val="00702376"/>
    <w:rsid w:val="0071095E"/>
    <w:rsid w:val="00715EF6"/>
    <w:rsid w:val="0072395B"/>
    <w:rsid w:val="00733056"/>
    <w:rsid w:val="0074197E"/>
    <w:rsid w:val="007436F2"/>
    <w:rsid w:val="0074511A"/>
    <w:rsid w:val="00752904"/>
    <w:rsid w:val="00753ADC"/>
    <w:rsid w:val="00761235"/>
    <w:rsid w:val="00761A1A"/>
    <w:rsid w:val="00761BE2"/>
    <w:rsid w:val="00761E97"/>
    <w:rsid w:val="007636D1"/>
    <w:rsid w:val="007647C1"/>
    <w:rsid w:val="00771272"/>
    <w:rsid w:val="00777FF6"/>
    <w:rsid w:val="007827DE"/>
    <w:rsid w:val="00791BAF"/>
    <w:rsid w:val="007A1DF2"/>
    <w:rsid w:val="007B061B"/>
    <w:rsid w:val="007B2734"/>
    <w:rsid w:val="007B434E"/>
    <w:rsid w:val="007B49DD"/>
    <w:rsid w:val="007E6134"/>
    <w:rsid w:val="007F3C9D"/>
    <w:rsid w:val="007F5EF6"/>
    <w:rsid w:val="007F78CD"/>
    <w:rsid w:val="007F7D86"/>
    <w:rsid w:val="0081476B"/>
    <w:rsid w:val="008217D5"/>
    <w:rsid w:val="00824E45"/>
    <w:rsid w:val="00831DF1"/>
    <w:rsid w:val="00832C52"/>
    <w:rsid w:val="008332DC"/>
    <w:rsid w:val="00834276"/>
    <w:rsid w:val="008449E9"/>
    <w:rsid w:val="00863DF8"/>
    <w:rsid w:val="00866B2F"/>
    <w:rsid w:val="00875597"/>
    <w:rsid w:val="00883548"/>
    <w:rsid w:val="008B4603"/>
    <w:rsid w:val="008B6A53"/>
    <w:rsid w:val="008C5C7C"/>
    <w:rsid w:val="008D0476"/>
    <w:rsid w:val="008D26C1"/>
    <w:rsid w:val="008D2B55"/>
    <w:rsid w:val="008D3C0E"/>
    <w:rsid w:val="008D5A45"/>
    <w:rsid w:val="008E6B1C"/>
    <w:rsid w:val="008F78E4"/>
    <w:rsid w:val="00902AFF"/>
    <w:rsid w:val="009166A7"/>
    <w:rsid w:val="00926917"/>
    <w:rsid w:val="00937ACC"/>
    <w:rsid w:val="009450F5"/>
    <w:rsid w:val="0095126A"/>
    <w:rsid w:val="00953C05"/>
    <w:rsid w:val="009624C0"/>
    <w:rsid w:val="00964C91"/>
    <w:rsid w:val="00970672"/>
    <w:rsid w:val="0097365F"/>
    <w:rsid w:val="009776A9"/>
    <w:rsid w:val="00980214"/>
    <w:rsid w:val="00981A67"/>
    <w:rsid w:val="00997F07"/>
    <w:rsid w:val="009A7A18"/>
    <w:rsid w:val="009B13C4"/>
    <w:rsid w:val="009C2A22"/>
    <w:rsid w:val="009C59AE"/>
    <w:rsid w:val="009D360C"/>
    <w:rsid w:val="009D3693"/>
    <w:rsid w:val="009E00C9"/>
    <w:rsid w:val="009E3408"/>
    <w:rsid w:val="009E6D8E"/>
    <w:rsid w:val="009E72DD"/>
    <w:rsid w:val="009F4C31"/>
    <w:rsid w:val="00A01D6C"/>
    <w:rsid w:val="00A047EE"/>
    <w:rsid w:val="00A06A83"/>
    <w:rsid w:val="00A07E9B"/>
    <w:rsid w:val="00A1009A"/>
    <w:rsid w:val="00A16A56"/>
    <w:rsid w:val="00A36C23"/>
    <w:rsid w:val="00A3789D"/>
    <w:rsid w:val="00A40877"/>
    <w:rsid w:val="00A418AF"/>
    <w:rsid w:val="00A51921"/>
    <w:rsid w:val="00A51BC6"/>
    <w:rsid w:val="00A729BF"/>
    <w:rsid w:val="00A73DEE"/>
    <w:rsid w:val="00A768FD"/>
    <w:rsid w:val="00AA25AB"/>
    <w:rsid w:val="00AB20AB"/>
    <w:rsid w:val="00AB6322"/>
    <w:rsid w:val="00AC434C"/>
    <w:rsid w:val="00AD60A8"/>
    <w:rsid w:val="00AE1673"/>
    <w:rsid w:val="00AE54D5"/>
    <w:rsid w:val="00AE58D4"/>
    <w:rsid w:val="00AF05F2"/>
    <w:rsid w:val="00AF0CB7"/>
    <w:rsid w:val="00AF76B0"/>
    <w:rsid w:val="00B00D19"/>
    <w:rsid w:val="00B11AC1"/>
    <w:rsid w:val="00B14829"/>
    <w:rsid w:val="00B224B1"/>
    <w:rsid w:val="00B37ECC"/>
    <w:rsid w:val="00B45232"/>
    <w:rsid w:val="00B46EDA"/>
    <w:rsid w:val="00B658A3"/>
    <w:rsid w:val="00B700CB"/>
    <w:rsid w:val="00B70705"/>
    <w:rsid w:val="00B8370A"/>
    <w:rsid w:val="00B846F1"/>
    <w:rsid w:val="00B84802"/>
    <w:rsid w:val="00B84FBB"/>
    <w:rsid w:val="00B976D2"/>
    <w:rsid w:val="00BB2417"/>
    <w:rsid w:val="00BB5FB9"/>
    <w:rsid w:val="00BB780C"/>
    <w:rsid w:val="00BD3EF5"/>
    <w:rsid w:val="00BD4761"/>
    <w:rsid w:val="00BF3204"/>
    <w:rsid w:val="00BF54B2"/>
    <w:rsid w:val="00C005F7"/>
    <w:rsid w:val="00C026B6"/>
    <w:rsid w:val="00C129E7"/>
    <w:rsid w:val="00C13FE3"/>
    <w:rsid w:val="00C14CA0"/>
    <w:rsid w:val="00C23152"/>
    <w:rsid w:val="00C23CA7"/>
    <w:rsid w:val="00C34E44"/>
    <w:rsid w:val="00C35ED3"/>
    <w:rsid w:val="00C42B99"/>
    <w:rsid w:val="00C43DC2"/>
    <w:rsid w:val="00C44C49"/>
    <w:rsid w:val="00C50BBB"/>
    <w:rsid w:val="00C51150"/>
    <w:rsid w:val="00C52030"/>
    <w:rsid w:val="00C5783C"/>
    <w:rsid w:val="00C70BB6"/>
    <w:rsid w:val="00C86D76"/>
    <w:rsid w:val="00C875E9"/>
    <w:rsid w:val="00C93C94"/>
    <w:rsid w:val="00CA2EA8"/>
    <w:rsid w:val="00CC19EB"/>
    <w:rsid w:val="00CD7A91"/>
    <w:rsid w:val="00CE758C"/>
    <w:rsid w:val="00D0020C"/>
    <w:rsid w:val="00D028BF"/>
    <w:rsid w:val="00D0296B"/>
    <w:rsid w:val="00D06F32"/>
    <w:rsid w:val="00D0730F"/>
    <w:rsid w:val="00D11644"/>
    <w:rsid w:val="00D13791"/>
    <w:rsid w:val="00D159F6"/>
    <w:rsid w:val="00D15D03"/>
    <w:rsid w:val="00D16CFC"/>
    <w:rsid w:val="00D217E4"/>
    <w:rsid w:val="00D30570"/>
    <w:rsid w:val="00D413D6"/>
    <w:rsid w:val="00D4198D"/>
    <w:rsid w:val="00D45910"/>
    <w:rsid w:val="00D46213"/>
    <w:rsid w:val="00D54FB5"/>
    <w:rsid w:val="00D6062D"/>
    <w:rsid w:val="00D654C8"/>
    <w:rsid w:val="00D707DD"/>
    <w:rsid w:val="00D71350"/>
    <w:rsid w:val="00D73A70"/>
    <w:rsid w:val="00DB0D43"/>
    <w:rsid w:val="00DC237C"/>
    <w:rsid w:val="00DC26B8"/>
    <w:rsid w:val="00DC3D08"/>
    <w:rsid w:val="00DD180D"/>
    <w:rsid w:val="00DD3EC6"/>
    <w:rsid w:val="00E00664"/>
    <w:rsid w:val="00E1447C"/>
    <w:rsid w:val="00E218A6"/>
    <w:rsid w:val="00E27941"/>
    <w:rsid w:val="00E3022B"/>
    <w:rsid w:val="00E33682"/>
    <w:rsid w:val="00E36959"/>
    <w:rsid w:val="00E4646D"/>
    <w:rsid w:val="00E548F4"/>
    <w:rsid w:val="00E6719D"/>
    <w:rsid w:val="00E70778"/>
    <w:rsid w:val="00E71907"/>
    <w:rsid w:val="00E847A8"/>
    <w:rsid w:val="00EA3E36"/>
    <w:rsid w:val="00EA6014"/>
    <w:rsid w:val="00EB3AC1"/>
    <w:rsid w:val="00EB3FC3"/>
    <w:rsid w:val="00EC320D"/>
    <w:rsid w:val="00ED5748"/>
    <w:rsid w:val="00ED6C88"/>
    <w:rsid w:val="00EE316C"/>
    <w:rsid w:val="00EE5856"/>
    <w:rsid w:val="00EF3903"/>
    <w:rsid w:val="00F056BC"/>
    <w:rsid w:val="00F1455D"/>
    <w:rsid w:val="00F32C72"/>
    <w:rsid w:val="00F360C5"/>
    <w:rsid w:val="00F43B76"/>
    <w:rsid w:val="00F4508C"/>
    <w:rsid w:val="00F63409"/>
    <w:rsid w:val="00F6422E"/>
    <w:rsid w:val="00F702C7"/>
    <w:rsid w:val="00F83105"/>
    <w:rsid w:val="00F85419"/>
    <w:rsid w:val="00F86DDA"/>
    <w:rsid w:val="00F92A74"/>
    <w:rsid w:val="00FA4E02"/>
    <w:rsid w:val="00FB2F22"/>
    <w:rsid w:val="00FC0D7C"/>
    <w:rsid w:val="00FC1AAA"/>
    <w:rsid w:val="00FC2FD5"/>
    <w:rsid w:val="00FC5E99"/>
    <w:rsid w:val="00FD0A29"/>
    <w:rsid w:val="00FD3393"/>
    <w:rsid w:val="00FE1BD1"/>
    <w:rsid w:val="00FE28F3"/>
    <w:rsid w:val="00FF647F"/>
    <w:rsid w:val="00FF6522"/>
    <w:rsid w:val="00FF6930"/>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7577"/>
  </w:style>
  <w:style w:type="paragraph" w:styleId="Heading1">
    <w:name w:val="heading 1"/>
    <w:basedOn w:val="Normal"/>
    <w:link w:val="Heading1Char"/>
    <w:qFormat/>
    <w:rsid w:val="00981A67"/>
    <w:pPr>
      <w:keepNext/>
      <w:keepLines/>
      <w:numPr>
        <w:numId w:val="12"/>
      </w:numPr>
      <w:spacing w:after="240" w:line="240" w:lineRule="auto"/>
      <w:outlineLvl w:val="0"/>
    </w:pPr>
    <w:rPr>
      <w:rFonts w:ascii="Times New Roman" w:hAnsi="Times New Roman" w:eastAsiaTheme="minorEastAsia" w:cs="Arial"/>
      <w:b/>
      <w:bCs/>
      <w:sz w:val="24"/>
      <w:szCs w:val="24"/>
    </w:rPr>
  </w:style>
  <w:style w:type="paragraph" w:styleId="Heading2">
    <w:name w:val="heading 2"/>
    <w:basedOn w:val="Normal"/>
    <w:link w:val="Heading2Char"/>
    <w:qFormat/>
    <w:rsid w:val="00B00D19"/>
    <w:pPr>
      <w:keepNext/>
      <w:keepLines/>
      <w:numPr>
        <w:ilvl w:val="1"/>
        <w:numId w:val="12"/>
      </w:numPr>
      <w:spacing w:after="240" w:line="240" w:lineRule="auto"/>
      <w:ind w:left="1440" w:hanging="720"/>
      <w:outlineLvl w:val="1"/>
    </w:pPr>
    <w:rPr>
      <w:rFonts w:ascii="Times New Roman" w:hAnsi="Times New Roman" w:eastAsiaTheme="minorEastAsia" w:cs="Arial"/>
      <w:b/>
      <w:bCs/>
      <w:iCs/>
      <w:sz w:val="24"/>
      <w:szCs w:val="24"/>
    </w:rPr>
  </w:style>
  <w:style w:type="paragraph" w:styleId="Heading3">
    <w:name w:val="heading 3"/>
    <w:basedOn w:val="Normal"/>
    <w:link w:val="Heading3Char"/>
    <w:qFormat/>
    <w:rsid w:val="007F78CD"/>
    <w:pPr>
      <w:keepNext/>
      <w:keepLines/>
      <w:numPr>
        <w:ilvl w:val="2"/>
        <w:numId w:val="12"/>
      </w:numPr>
      <w:spacing w:after="240" w:line="240" w:lineRule="auto"/>
      <w:jc w:val="both"/>
      <w:outlineLvl w:val="2"/>
    </w:pPr>
    <w:rPr>
      <w:rFonts w:asciiTheme="majorHAnsi" w:eastAsiaTheme="minorEastAsia" w:hAnsiTheme="majorHAnsi" w:cs="Arial"/>
      <w:bCs/>
      <w:sz w:val="24"/>
      <w:szCs w:val="24"/>
    </w:rPr>
  </w:style>
  <w:style w:type="paragraph" w:styleId="Heading4">
    <w:name w:val="heading 4"/>
    <w:basedOn w:val="Normal"/>
    <w:link w:val="Heading4Char"/>
    <w:qFormat/>
    <w:rsid w:val="007F78CD"/>
    <w:pPr>
      <w:keepNext/>
      <w:numPr>
        <w:ilvl w:val="3"/>
        <w:numId w:val="12"/>
      </w:numPr>
      <w:spacing w:after="240" w:line="240" w:lineRule="auto"/>
      <w:jc w:val="both"/>
      <w:outlineLvl w:val="3"/>
    </w:pPr>
    <w:rPr>
      <w:rFonts w:asciiTheme="majorHAnsi" w:eastAsiaTheme="minorEastAsia" w:hAnsiTheme="majorHAnsi" w:cstheme="minorHAnsi"/>
      <w:bCs/>
      <w:sz w:val="24"/>
      <w:szCs w:val="28"/>
    </w:rPr>
  </w:style>
  <w:style w:type="paragraph" w:styleId="Heading5">
    <w:name w:val="heading 5"/>
    <w:basedOn w:val="Normal"/>
    <w:link w:val="Heading5Char"/>
    <w:qFormat/>
    <w:rsid w:val="007F78CD"/>
    <w:pPr>
      <w:keepNext/>
      <w:numPr>
        <w:ilvl w:val="4"/>
        <w:numId w:val="12"/>
      </w:numPr>
      <w:spacing w:after="240" w:line="240" w:lineRule="auto"/>
      <w:jc w:val="both"/>
      <w:outlineLvl w:val="4"/>
    </w:pPr>
    <w:rPr>
      <w:rFonts w:asciiTheme="majorHAnsi" w:eastAsiaTheme="minorEastAsia" w:hAnsiTheme="majorHAnsi" w:cstheme="minorHAnsi"/>
      <w:bCs/>
      <w:iCs/>
      <w:sz w:val="24"/>
      <w:szCs w:val="26"/>
    </w:rPr>
  </w:style>
  <w:style w:type="paragraph" w:styleId="Heading6">
    <w:name w:val="heading 6"/>
    <w:basedOn w:val="Normal"/>
    <w:link w:val="Heading6Char"/>
    <w:qFormat/>
    <w:rsid w:val="007F78CD"/>
    <w:pPr>
      <w:keepNext/>
      <w:numPr>
        <w:ilvl w:val="5"/>
        <w:numId w:val="12"/>
      </w:numPr>
      <w:spacing w:after="240" w:line="240" w:lineRule="auto"/>
      <w:jc w:val="both"/>
      <w:outlineLvl w:val="5"/>
    </w:pPr>
    <w:rPr>
      <w:rFonts w:asciiTheme="majorHAnsi" w:eastAsiaTheme="minorEastAsia" w:hAnsiTheme="majorHAnsi" w:cstheme="minorHAnsi"/>
      <w:bCs/>
      <w:sz w:val="24"/>
    </w:rPr>
  </w:style>
  <w:style w:type="paragraph" w:styleId="Heading7">
    <w:name w:val="heading 7"/>
    <w:basedOn w:val="Normal"/>
    <w:link w:val="Heading7Char"/>
    <w:qFormat/>
    <w:rsid w:val="007F78CD"/>
    <w:pPr>
      <w:keepNext/>
      <w:numPr>
        <w:ilvl w:val="6"/>
        <w:numId w:val="12"/>
      </w:numPr>
      <w:spacing w:after="240" w:line="240" w:lineRule="auto"/>
      <w:jc w:val="both"/>
      <w:outlineLvl w:val="6"/>
    </w:pPr>
    <w:rPr>
      <w:rFonts w:asciiTheme="majorHAnsi" w:eastAsiaTheme="minorEastAsia" w:hAnsiTheme="majorHAnsi" w:cstheme="minorHAnsi"/>
      <w:sz w:val="24"/>
      <w:szCs w:val="24"/>
    </w:rPr>
  </w:style>
  <w:style w:type="paragraph" w:styleId="Heading8">
    <w:name w:val="heading 8"/>
    <w:basedOn w:val="Normal"/>
    <w:link w:val="Heading8Char"/>
    <w:qFormat/>
    <w:rsid w:val="007F78CD"/>
    <w:pPr>
      <w:keepNext/>
      <w:numPr>
        <w:ilvl w:val="7"/>
        <w:numId w:val="12"/>
      </w:numPr>
      <w:spacing w:after="240" w:line="240" w:lineRule="auto"/>
      <w:jc w:val="both"/>
      <w:outlineLvl w:val="7"/>
    </w:pPr>
    <w:rPr>
      <w:rFonts w:asciiTheme="majorHAnsi" w:eastAsiaTheme="minorEastAsia" w:hAnsiTheme="majorHAnsi" w:cstheme="minorHAnsi"/>
      <w:iCs/>
      <w:sz w:val="24"/>
      <w:szCs w:val="24"/>
    </w:rPr>
  </w:style>
  <w:style w:type="paragraph" w:styleId="Heading9">
    <w:name w:val="heading 9"/>
    <w:basedOn w:val="Normal"/>
    <w:link w:val="Heading9Char"/>
    <w:qFormat/>
    <w:rsid w:val="007F78CD"/>
    <w:pPr>
      <w:keepNext/>
      <w:numPr>
        <w:ilvl w:val="8"/>
        <w:numId w:val="12"/>
      </w:numPr>
      <w:spacing w:after="240" w:line="240" w:lineRule="auto"/>
      <w:jc w:val="both"/>
      <w:outlineLvl w:val="8"/>
    </w:pPr>
    <w:rPr>
      <w:rFonts w:asciiTheme="majorHAnsi" w:eastAsiaTheme="minorEastAsia" w:hAnsiTheme="majorHAnsi" w:cs="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5E75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7577"/>
  </w:style>
  <w:style w:type="paragraph" w:styleId="FootnoteText">
    <w:name w:val="footnote text"/>
    <w:aliases w:val="Footnote Text Char Char,Footnote Text Char Char Char Char,Footnote Text Char Char Char1,Footnote Text Char Char1,Footnote Text Char1 Char Char,Footnote Text Char1 Char1,Footnote Text Char2,Footnote Text Char4 Char Char Char Char,fn"/>
    <w:basedOn w:val="Normal"/>
    <w:link w:val="FootnoteTextChar"/>
    <w:uiPriority w:val="99"/>
    <w:unhideWhenUsed/>
    <w:rsid w:val="005E7577"/>
    <w:pPr>
      <w:spacing w:after="0" w:line="240" w:lineRule="auto"/>
    </w:pPr>
    <w:rPr>
      <w:sz w:val="20"/>
      <w:szCs w:val="20"/>
    </w:rPr>
  </w:style>
  <w:style w:type="character" w:customStyle="1" w:styleId="FootnoteTextChar">
    <w:name w:val="Footnote Text Char"/>
    <w:aliases w:val="Footnote Text Char Char Char,Footnote Text Char Char Char Char Char,Footnote Text Char Char Char1 Char,Footnote Text Char Char1 Char,Footnote Text Char1 Char Char Char,Footnote Text Char1 Char1 Char,Footnote Text Char2 Char,fn Char"/>
    <w:basedOn w:val="DefaultParagraphFont"/>
    <w:link w:val="FootnoteText"/>
    <w:uiPriority w:val="99"/>
    <w:rsid w:val="005E7577"/>
    <w:rPr>
      <w:sz w:val="20"/>
      <w:szCs w:val="20"/>
    </w:rPr>
  </w:style>
  <w:style w:type="character" w:styleId="FootnoteReference">
    <w:name w:val="footnote reference"/>
    <w:aliases w:val="(NECG) Footnote Reference,Appel note de bas de p,SR FR,Style 11,Style 12,Style 124,Style 13,Style 15,Style 17,Style 18,Style 19,Style 20,Style 21,Style 28,Style 3,Style 4,Style 42,Style 7,Style 8,Style 9,fnr,fr,fr1,fr2,fr3,o,o1,o2,o3"/>
    <w:basedOn w:val="DefaultParagraphFont"/>
    <w:uiPriority w:val="99"/>
    <w:unhideWhenUsed/>
    <w:qFormat/>
    <w:rsid w:val="005E7577"/>
    <w:rPr>
      <w:vertAlign w:val="superscript"/>
    </w:rPr>
  </w:style>
  <w:style w:type="paragraph" w:styleId="Header">
    <w:name w:val="header"/>
    <w:basedOn w:val="Normal"/>
    <w:link w:val="HeaderChar"/>
    <w:uiPriority w:val="99"/>
    <w:unhideWhenUsed/>
    <w:rsid w:val="000573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5732B"/>
  </w:style>
  <w:style w:type="character" w:customStyle="1" w:styleId="fontstyle01">
    <w:name w:val="fontstyle01"/>
    <w:basedOn w:val="DefaultParagraphFont"/>
    <w:rsid w:val="00C42B99"/>
    <w:rPr>
      <w:rFonts w:ascii="Times-Roman" w:hAnsi="Times-Roman" w:hint="default"/>
      <w:b w:val="0"/>
      <w:bCs w:val="0"/>
      <w:i w:val="0"/>
      <w:iCs w:val="0"/>
      <w:color w:val="000000"/>
      <w:sz w:val="24"/>
      <w:szCs w:val="24"/>
    </w:rPr>
  </w:style>
  <w:style w:type="paragraph" w:styleId="ListParagraph">
    <w:name w:val="List Paragraph"/>
    <w:basedOn w:val="Normal"/>
    <w:uiPriority w:val="34"/>
    <w:qFormat/>
    <w:rsid w:val="00620B06"/>
    <w:pPr>
      <w:ind w:left="720"/>
      <w:contextualSpacing/>
    </w:pPr>
  </w:style>
  <w:style w:type="character" w:customStyle="1" w:styleId="Heading1Char">
    <w:name w:val="Heading 1 Char"/>
    <w:basedOn w:val="DefaultParagraphFont"/>
    <w:link w:val="Heading1"/>
    <w:rsid w:val="00981A67"/>
    <w:rPr>
      <w:rFonts w:ascii="Times New Roman" w:hAnsi="Times New Roman" w:eastAsiaTheme="minorEastAsia" w:cs="Arial"/>
      <w:b/>
      <w:bCs/>
      <w:sz w:val="24"/>
      <w:szCs w:val="24"/>
    </w:rPr>
  </w:style>
  <w:style w:type="character" w:customStyle="1" w:styleId="Heading2Char">
    <w:name w:val="Heading 2 Char"/>
    <w:basedOn w:val="DefaultParagraphFont"/>
    <w:link w:val="Heading2"/>
    <w:rsid w:val="00B00D19"/>
    <w:rPr>
      <w:rFonts w:ascii="Times New Roman" w:hAnsi="Times New Roman" w:eastAsiaTheme="minorEastAsia" w:cs="Arial"/>
      <w:b/>
      <w:bCs/>
      <w:iCs/>
      <w:sz w:val="24"/>
      <w:szCs w:val="24"/>
    </w:rPr>
  </w:style>
  <w:style w:type="character" w:customStyle="1" w:styleId="Heading3Char">
    <w:name w:val="Heading 3 Char"/>
    <w:basedOn w:val="DefaultParagraphFont"/>
    <w:link w:val="Heading3"/>
    <w:rsid w:val="007F78CD"/>
    <w:rPr>
      <w:rFonts w:asciiTheme="majorHAnsi" w:eastAsiaTheme="minorEastAsia" w:hAnsiTheme="majorHAnsi" w:cs="Arial"/>
      <w:bCs/>
      <w:sz w:val="24"/>
      <w:szCs w:val="24"/>
    </w:rPr>
  </w:style>
  <w:style w:type="character" w:customStyle="1" w:styleId="Heading4Char">
    <w:name w:val="Heading 4 Char"/>
    <w:basedOn w:val="DefaultParagraphFont"/>
    <w:link w:val="Heading4"/>
    <w:rsid w:val="007F78CD"/>
    <w:rPr>
      <w:rFonts w:asciiTheme="majorHAnsi" w:eastAsiaTheme="minorEastAsia" w:hAnsiTheme="majorHAnsi" w:cstheme="minorHAnsi"/>
      <w:bCs/>
      <w:sz w:val="24"/>
      <w:szCs w:val="28"/>
    </w:rPr>
  </w:style>
  <w:style w:type="character" w:customStyle="1" w:styleId="Heading5Char">
    <w:name w:val="Heading 5 Char"/>
    <w:basedOn w:val="DefaultParagraphFont"/>
    <w:link w:val="Heading5"/>
    <w:rsid w:val="007F78CD"/>
    <w:rPr>
      <w:rFonts w:asciiTheme="majorHAnsi" w:eastAsiaTheme="minorEastAsia" w:hAnsiTheme="majorHAnsi" w:cstheme="minorHAnsi"/>
      <w:bCs/>
      <w:iCs/>
      <w:sz w:val="24"/>
      <w:szCs w:val="26"/>
    </w:rPr>
  </w:style>
  <w:style w:type="character" w:customStyle="1" w:styleId="Heading6Char">
    <w:name w:val="Heading 6 Char"/>
    <w:basedOn w:val="DefaultParagraphFont"/>
    <w:link w:val="Heading6"/>
    <w:rsid w:val="007F78CD"/>
    <w:rPr>
      <w:rFonts w:asciiTheme="majorHAnsi" w:eastAsiaTheme="minorEastAsia" w:hAnsiTheme="majorHAnsi" w:cstheme="minorHAnsi"/>
      <w:bCs/>
      <w:sz w:val="24"/>
    </w:rPr>
  </w:style>
  <w:style w:type="character" w:customStyle="1" w:styleId="Heading7Char">
    <w:name w:val="Heading 7 Char"/>
    <w:basedOn w:val="DefaultParagraphFont"/>
    <w:link w:val="Heading7"/>
    <w:rsid w:val="007F78CD"/>
    <w:rPr>
      <w:rFonts w:asciiTheme="majorHAnsi" w:eastAsiaTheme="minorEastAsia" w:hAnsiTheme="majorHAnsi" w:cstheme="minorHAnsi"/>
      <w:sz w:val="24"/>
      <w:szCs w:val="24"/>
    </w:rPr>
  </w:style>
  <w:style w:type="character" w:customStyle="1" w:styleId="Heading8Char">
    <w:name w:val="Heading 8 Char"/>
    <w:basedOn w:val="DefaultParagraphFont"/>
    <w:link w:val="Heading8"/>
    <w:rsid w:val="007F78CD"/>
    <w:rPr>
      <w:rFonts w:asciiTheme="majorHAnsi" w:eastAsiaTheme="minorEastAsia" w:hAnsiTheme="majorHAnsi" w:cstheme="minorHAnsi"/>
      <w:iCs/>
      <w:sz w:val="24"/>
      <w:szCs w:val="24"/>
    </w:rPr>
  </w:style>
  <w:style w:type="character" w:customStyle="1" w:styleId="Heading9Char">
    <w:name w:val="Heading 9 Char"/>
    <w:basedOn w:val="DefaultParagraphFont"/>
    <w:link w:val="Heading9"/>
    <w:rsid w:val="007F78CD"/>
    <w:rPr>
      <w:rFonts w:asciiTheme="majorHAnsi" w:eastAsiaTheme="minorEastAsia" w:hAnsiTheme="majorHAnsi" w:cs="Arial"/>
      <w:sz w:val="24"/>
    </w:rPr>
  </w:style>
  <w:style w:type="paragraph" w:styleId="TOCHeading">
    <w:name w:val="TOC Heading"/>
    <w:basedOn w:val="Heading1"/>
    <w:next w:val="Normal"/>
    <w:uiPriority w:val="39"/>
    <w:unhideWhenUsed/>
    <w:qFormat/>
    <w:rsid w:val="0097365F"/>
    <w:pPr>
      <w:numPr>
        <w:numId w:val="0"/>
      </w:numPr>
      <w:spacing w:before="240" w:after="0" w:line="259" w:lineRule="auto"/>
      <w:outlineLvl w:val="9"/>
    </w:pPr>
    <w:rPr>
      <w:rFonts w:asciiTheme="majorHAnsi" w:eastAsiaTheme="majorEastAsia" w:hAnsiTheme="majorHAnsi" w:cstheme="majorBidi"/>
      <w:b w:val="0"/>
      <w:bCs w:val="0"/>
      <w:color w:val="2F5496" w:themeColor="accent1" w:themeShade="BF"/>
      <w:sz w:val="32"/>
      <w:szCs w:val="32"/>
    </w:rPr>
  </w:style>
  <w:style w:type="paragraph" w:styleId="TOC1">
    <w:name w:val="toc 1"/>
    <w:basedOn w:val="Normal"/>
    <w:next w:val="Normal"/>
    <w:autoRedefine/>
    <w:uiPriority w:val="39"/>
    <w:unhideWhenUsed/>
    <w:rsid w:val="00761E97"/>
    <w:pPr>
      <w:tabs>
        <w:tab w:val="right" w:leader="dot" w:pos="9350"/>
      </w:tabs>
      <w:spacing w:after="240" w:line="240" w:lineRule="auto"/>
      <w:ind w:left="720" w:hanging="720"/>
    </w:pPr>
    <w:rPr>
      <w:rFonts w:ascii="Times New Roman" w:hAnsi="Times New Roman"/>
      <w:sz w:val="24"/>
    </w:rPr>
  </w:style>
  <w:style w:type="paragraph" w:styleId="TOC2">
    <w:name w:val="toc 2"/>
    <w:basedOn w:val="Normal"/>
    <w:next w:val="Normal"/>
    <w:autoRedefine/>
    <w:uiPriority w:val="39"/>
    <w:unhideWhenUsed/>
    <w:rsid w:val="00761E97"/>
    <w:pPr>
      <w:tabs>
        <w:tab w:val="left" w:pos="1440"/>
        <w:tab w:val="right" w:leader="dot" w:pos="9350"/>
      </w:tabs>
      <w:spacing w:after="240" w:line="240" w:lineRule="auto"/>
      <w:ind w:left="1440" w:hanging="720"/>
    </w:pPr>
    <w:rPr>
      <w:rFonts w:ascii="Times New Roman" w:hAnsi="Times New Roman"/>
      <w:sz w:val="24"/>
    </w:rPr>
  </w:style>
  <w:style w:type="character" w:styleId="Hyperlink">
    <w:name w:val="Hyperlink"/>
    <w:basedOn w:val="DefaultParagraphFont"/>
    <w:uiPriority w:val="99"/>
    <w:unhideWhenUsed/>
    <w:rsid w:val="0097365F"/>
    <w:rPr>
      <w:color w:val="0563C1" w:themeColor="hyperlink"/>
      <w:u w:val="single"/>
    </w:rPr>
  </w:style>
  <w:style w:type="character" w:customStyle="1" w:styleId="UnresolvedMention1">
    <w:name w:val="Unresolved Mention1"/>
    <w:basedOn w:val="DefaultParagraphFont"/>
    <w:uiPriority w:val="99"/>
    <w:semiHidden/>
    <w:unhideWhenUsed/>
    <w:rsid w:val="0097365F"/>
    <w:rPr>
      <w:color w:val="605E5C"/>
      <w:shd w:val="clear" w:color="auto" w:fill="E1DFDD"/>
    </w:rPr>
  </w:style>
  <w:style w:type="paragraph" w:styleId="Revision">
    <w:name w:val="Revision"/>
    <w:hidden/>
    <w:uiPriority w:val="99"/>
    <w:semiHidden/>
    <w:rsid w:val="005B23A9"/>
    <w:pPr>
      <w:spacing w:after="0" w:line="240" w:lineRule="auto"/>
    </w:pPr>
  </w:style>
  <w:style w:type="paragraph" w:styleId="TOC3">
    <w:name w:val="toc 3"/>
    <w:basedOn w:val="Normal"/>
    <w:next w:val="Normal"/>
    <w:autoRedefine/>
    <w:uiPriority w:val="39"/>
    <w:unhideWhenUsed/>
    <w:rsid w:val="00214CF7"/>
    <w:pPr>
      <w:tabs>
        <w:tab w:val="decimal" w:leader="dot" w:pos="9360"/>
      </w:tabs>
      <w:spacing w:after="240" w:line="240" w:lineRule="auto"/>
      <w:ind w:left="2160" w:hanging="720"/>
    </w:pPr>
    <w:rPr>
      <w:rFonts w:ascii="Times New Roman" w:hAnsi="Times New Roman"/>
      <w:sz w:val="24"/>
    </w:rPr>
  </w:style>
  <w:style w:type="paragraph" w:customStyle="1" w:styleId="TitleCenterBoldUnderlineAllCaps">
    <w:name w:val="*Title Center Bold Underline All Caps"/>
    <w:aliases w:val="TCBUA"/>
    <w:basedOn w:val="Normal"/>
    <w:link w:val="TitleCenterBoldUnderlineAllCapsChar"/>
    <w:qFormat/>
    <w:rsid w:val="00E218A6"/>
    <w:pPr>
      <w:keepNext/>
      <w:spacing w:after="240" w:line="240" w:lineRule="auto"/>
      <w:jc w:val="center"/>
      <w:outlineLvl w:val="0"/>
    </w:pPr>
    <w:rPr>
      <w:rFonts w:ascii="Times New Roman" w:eastAsia="Times New Roman" w:hAnsi="Times New Roman" w:cs="Times New Roman"/>
      <w:b/>
      <w:caps/>
      <w:sz w:val="24"/>
      <w:szCs w:val="24"/>
      <w:u w:val="single"/>
    </w:rPr>
  </w:style>
  <w:style w:type="character" w:customStyle="1" w:styleId="TitleCenterBoldUnderlineAllCapsChar">
    <w:name w:val="*Title Center Bold Underline All Caps Char"/>
    <w:aliases w:val="TCBUA Char"/>
    <w:basedOn w:val="DefaultParagraphFont"/>
    <w:link w:val="TitleCenterBoldUnderlineAllCaps"/>
    <w:rsid w:val="00E218A6"/>
    <w:rPr>
      <w:rFonts w:ascii="Times New Roman" w:eastAsia="Times New Roman" w:hAnsi="Times New Roman" w:cs="Times New Roman"/>
      <w:b/>
      <w:caps/>
      <w:sz w:val="24"/>
      <w:szCs w:val="24"/>
      <w:u w:val="single"/>
    </w:rPr>
  </w:style>
  <w:style w:type="character" w:styleId="CommentReference">
    <w:name w:val="annotation reference"/>
    <w:basedOn w:val="DefaultParagraphFont"/>
    <w:uiPriority w:val="99"/>
    <w:semiHidden/>
    <w:unhideWhenUsed/>
    <w:rsid w:val="00F360C5"/>
    <w:rPr>
      <w:sz w:val="16"/>
      <w:szCs w:val="16"/>
    </w:rPr>
  </w:style>
  <w:style w:type="paragraph" w:styleId="CommentText">
    <w:name w:val="annotation text"/>
    <w:basedOn w:val="Normal"/>
    <w:link w:val="CommentTextChar"/>
    <w:unhideWhenUsed/>
    <w:rsid w:val="00F360C5"/>
    <w:pPr>
      <w:spacing w:line="240" w:lineRule="auto"/>
    </w:pPr>
    <w:rPr>
      <w:sz w:val="20"/>
      <w:szCs w:val="20"/>
    </w:rPr>
  </w:style>
  <w:style w:type="character" w:customStyle="1" w:styleId="CommentTextChar">
    <w:name w:val="Comment Text Char"/>
    <w:basedOn w:val="DefaultParagraphFont"/>
    <w:link w:val="CommentText"/>
    <w:rsid w:val="00F360C5"/>
    <w:rPr>
      <w:sz w:val="20"/>
      <w:szCs w:val="20"/>
    </w:rPr>
  </w:style>
  <w:style w:type="paragraph" w:styleId="CommentSubject">
    <w:name w:val="annotation subject"/>
    <w:basedOn w:val="CommentText"/>
    <w:next w:val="CommentText"/>
    <w:link w:val="CommentSubjectChar"/>
    <w:uiPriority w:val="99"/>
    <w:semiHidden/>
    <w:unhideWhenUsed/>
    <w:rsid w:val="00F360C5"/>
    <w:rPr>
      <w:b/>
      <w:bCs/>
    </w:rPr>
  </w:style>
  <w:style w:type="character" w:customStyle="1" w:styleId="CommentSubjectChar">
    <w:name w:val="Comment Subject Char"/>
    <w:basedOn w:val="CommentTextChar"/>
    <w:link w:val="CommentSubject"/>
    <w:uiPriority w:val="99"/>
    <w:semiHidden/>
    <w:rsid w:val="00F360C5"/>
    <w:rPr>
      <w:b/>
      <w:bCs/>
      <w:sz w:val="20"/>
      <w:szCs w:val="20"/>
    </w:rPr>
  </w:style>
  <w:style w:type="paragraph" w:styleId="BalloonText">
    <w:name w:val="Balloon Text"/>
    <w:basedOn w:val="Normal"/>
    <w:link w:val="BalloonTextChar"/>
    <w:uiPriority w:val="99"/>
    <w:semiHidden/>
    <w:unhideWhenUsed/>
    <w:rsid w:val="00D0020C"/>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D0020C"/>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2.xml" /><Relationship Id="rId11" Type="http://schemas.openxmlformats.org/officeDocument/2006/relationships/image" Target="media/image1.png" /><Relationship Id="rId12" Type="http://schemas.openxmlformats.org/officeDocument/2006/relationships/image" Target="media/image2.png" /><Relationship Id="rId13" Type="http://schemas.openxmlformats.org/officeDocument/2006/relationships/hyperlink" Target="mailto:thomas.lindgren@ohioAGO.gov" TargetMode="External" /><Relationship Id="rId14" Type="http://schemas.openxmlformats.org/officeDocument/2006/relationships/hyperlink" Target="mailto:sarah.feldkamp@ohioAGO.gov" TargetMode="External" /><Relationship Id="rId15" Type="http://schemas.openxmlformats.org/officeDocument/2006/relationships/hyperlink" Target="mailto:bojko@carpenterlipps.com" TargetMode="External" /><Relationship Id="rId16" Type="http://schemas.openxmlformats.org/officeDocument/2006/relationships/hyperlink" Target="mailto:paul@carpenterlipps.com" TargetMode="External" /><Relationship Id="rId17" Type="http://schemas.openxmlformats.org/officeDocument/2006/relationships/hyperlink" Target="mailto:mkurtz@BKLlawfirm.com" TargetMode="External" /><Relationship Id="rId18" Type="http://schemas.openxmlformats.org/officeDocument/2006/relationships/hyperlink" Target="mailto:kboehm@BKLlawfirm.com" TargetMode="External" /><Relationship Id="rId19" Type="http://schemas.openxmlformats.org/officeDocument/2006/relationships/hyperlink" Target="mailto:jkylercohn@BKLlawfirm.com" TargetMode="External" /><Relationship Id="rId2" Type="http://schemas.openxmlformats.org/officeDocument/2006/relationships/settings" Target="settings.xml" /><Relationship Id="rId20" Type="http://schemas.openxmlformats.org/officeDocument/2006/relationships/hyperlink" Target="mailto:matthew.sandor@puco.ohio.gov" TargetMode="External" /><Relationship Id="rId21" Type="http://schemas.openxmlformats.org/officeDocument/2006/relationships/hyperlink" Target="mailto:nicholas.walstra@puco.ohio.gov" TargetMode="External" /><Relationship Id="rId22" Type="http://schemas.openxmlformats.org/officeDocument/2006/relationships/hyperlink" Target="mailto:stnourse@aep.com" TargetMode="External" /><Relationship Id="rId23" Type="http://schemas.openxmlformats.org/officeDocument/2006/relationships/hyperlink" Target="mailto:jeanne.kingery@duke-energy.com" TargetMode="External" /><Relationship Id="rId24" Type="http://schemas.openxmlformats.org/officeDocument/2006/relationships/hyperlink" Target="mailto:larisa.vaysman@duke-energy.com" TargetMode="External" /><Relationship Id="rId25" Type="http://schemas.openxmlformats.org/officeDocument/2006/relationships/hyperlink" Target="mailto:rdove@keglerbrown.com" TargetMode="External" /><Relationship Id="rId26" Type="http://schemas.openxmlformats.org/officeDocument/2006/relationships/theme" Target="theme/theme1.xml" /><Relationship Id="rId27" Type="http://schemas.openxmlformats.org/officeDocument/2006/relationships/numbering" Target="numbering.xml" /><Relationship Id="rId28" Type="http://schemas.openxmlformats.org/officeDocument/2006/relationships/styles" Target="style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hyperlink" Target="mailto:angela.obrien@occ.ohio.gov" TargetMode="External" /><Relationship Id="rId7" Type="http://schemas.openxmlformats.org/officeDocument/2006/relationships/hyperlink" Target="mailto:john.finnigan@occ.ohio.gov" TargetMode="External" /><Relationship Id="rId8" Type="http://schemas.openxmlformats.org/officeDocument/2006/relationships/hyperlink" Target="mailto:bzets@isaacwiles.com" TargetMode="Externa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BF4B2F-BA7D-4D76-9EB5-5898EAC38D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5119</Words>
  <Characters>29184</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2022-07-29T20:55:42Z</dcterms:created>
  <dcterms:modified xsi:type="dcterms:W3CDTF">2022-07-29T20:55:42Z</dcterms:modified>
</cp:coreProperties>
</file>