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81990" w:rsidP="00E81990" w14:paraId="761EA7DD" w14:textId="77777777">
      <w:pPr>
        <w:pStyle w:val="List"/>
        <w:ind w:left="0" w:firstLine="0"/>
        <w:jc w:val="center"/>
        <w:rPr>
          <w:b/>
          <w:szCs w:val="24"/>
        </w:rPr>
      </w:pPr>
      <w:r>
        <w:rPr>
          <w:b/>
          <w:szCs w:val="24"/>
        </w:rPr>
        <w:t>BEFORE</w:t>
      </w:r>
    </w:p>
    <w:p w:rsidR="00E81990" w:rsidP="00E81990" w14:paraId="111AB6C3" w14:textId="77777777">
      <w:pPr>
        <w:pStyle w:val="List"/>
        <w:ind w:left="0" w:firstLine="0"/>
        <w:jc w:val="center"/>
        <w:rPr>
          <w:szCs w:val="24"/>
        </w:rPr>
      </w:pPr>
      <w:r>
        <w:rPr>
          <w:b/>
          <w:szCs w:val="24"/>
        </w:rPr>
        <w:t>THE PUBLIC UTILITIES COMMISSION OF OHIO</w:t>
      </w:r>
    </w:p>
    <w:p w:rsidR="00E81990" w:rsidP="00E81990" w14:paraId="48E2096B" w14:textId="77777777">
      <w:pPr>
        <w:pStyle w:val="HTMLPreformatted"/>
        <w:rPr>
          <w:rFonts w:ascii="Times New Roman" w:hAnsi="Times New Roman" w:cs="Times New Roman"/>
          <w:sz w:val="24"/>
          <w:szCs w:val="24"/>
        </w:rPr>
      </w:pPr>
    </w:p>
    <w:tbl>
      <w:tblPr>
        <w:tblW w:w="8838" w:type="dxa"/>
        <w:tblLook w:val="01E0"/>
      </w:tblPr>
      <w:tblGrid>
        <w:gridCol w:w="4230"/>
        <w:gridCol w:w="630"/>
        <w:gridCol w:w="3978"/>
      </w:tblGrid>
      <w:tr w14:paraId="410223FF" w14:textId="77777777" w:rsidTr="008831FD">
        <w:tblPrEx>
          <w:tblW w:w="8838" w:type="dxa"/>
          <w:tblLook w:val="01E0"/>
        </w:tblPrEx>
        <w:trPr>
          <w:trHeight w:val="807"/>
        </w:trPr>
        <w:tc>
          <w:tcPr>
            <w:tcW w:w="4230" w:type="dxa"/>
            <w:shd w:val="clear" w:color="auto" w:fill="auto"/>
          </w:tcPr>
          <w:p w:rsidR="00E81990" w:rsidP="008831FD" w14:paraId="229018A7" w14:textId="77777777">
            <w:pPr>
              <w:autoSpaceDE w:val="0"/>
              <w:autoSpaceDN w:val="0"/>
              <w:adjustRightInd w:val="0"/>
              <w:rPr>
                <w:sz w:val="24"/>
                <w:szCs w:val="24"/>
              </w:rPr>
            </w:pPr>
            <w:r>
              <w:rPr>
                <w:sz w:val="24"/>
                <w:szCs w:val="24"/>
              </w:rPr>
              <w:t>In the Matter of the Certification of Northeast Ohio Public Energy Council as a Governmental Aggregator.</w:t>
            </w:r>
          </w:p>
        </w:tc>
        <w:tc>
          <w:tcPr>
            <w:tcW w:w="630" w:type="dxa"/>
            <w:shd w:val="clear" w:color="auto" w:fill="auto"/>
          </w:tcPr>
          <w:p w:rsidR="00E81990" w:rsidP="008831FD" w14:paraId="0D0E7CC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Pr>
                <w:rFonts w:eastAsia="Courier New"/>
                <w:sz w:val="24"/>
                <w:szCs w:val="24"/>
              </w:rPr>
              <w:t>)</w:t>
            </w:r>
          </w:p>
          <w:p w:rsidR="00E81990" w:rsidP="008831FD" w14:paraId="7FD5F4B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Pr>
                <w:rFonts w:eastAsia="Courier New"/>
                <w:sz w:val="24"/>
                <w:szCs w:val="24"/>
              </w:rPr>
              <w:t>)</w:t>
            </w:r>
          </w:p>
          <w:p w:rsidR="00E81990" w:rsidP="008831FD" w14:paraId="4E1B396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Pr>
                <w:rFonts w:eastAsia="Courier New"/>
                <w:sz w:val="24"/>
                <w:szCs w:val="24"/>
              </w:rPr>
              <w:t>)</w:t>
            </w:r>
          </w:p>
        </w:tc>
        <w:tc>
          <w:tcPr>
            <w:tcW w:w="3978" w:type="dxa"/>
            <w:shd w:val="clear" w:color="auto" w:fill="auto"/>
          </w:tcPr>
          <w:p w:rsidR="00E81990" w:rsidP="008831FD" w14:paraId="0575DB3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E81990" w:rsidP="008831FD" w14:paraId="1566B82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Pr>
                <w:rFonts w:eastAsia="Courier New"/>
                <w:sz w:val="24"/>
                <w:szCs w:val="24"/>
              </w:rPr>
              <w:t>Case No. 00-2317-EL-GAG</w:t>
            </w:r>
          </w:p>
          <w:p w:rsidR="00E81990" w:rsidP="008831FD" w14:paraId="20B453D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tc>
      </w:tr>
    </w:tbl>
    <w:p w:rsidR="00E81990" w:rsidP="00E81990" w14:paraId="0A2BB7E5" w14:textId="77777777">
      <w:pPr>
        <w:widowControl w:val="0"/>
        <w:pBdr>
          <w:bottom w:val="single" w:sz="12" w:space="1" w:color="auto"/>
        </w:pBdr>
        <w:autoSpaceDE w:val="0"/>
        <w:autoSpaceDN w:val="0"/>
        <w:adjustRightInd w:val="0"/>
        <w:rPr>
          <w:b/>
          <w:sz w:val="24"/>
          <w:szCs w:val="24"/>
        </w:rPr>
      </w:pPr>
    </w:p>
    <w:p w:rsidR="00E81990" w:rsidP="00E81990" w14:paraId="4A3A7FE4" w14:textId="77777777">
      <w:pPr>
        <w:widowControl w:val="0"/>
        <w:pBdr>
          <w:bottom w:val="single" w:sz="12" w:space="1" w:color="auto"/>
        </w:pBdr>
        <w:autoSpaceDE w:val="0"/>
        <w:autoSpaceDN w:val="0"/>
        <w:adjustRightInd w:val="0"/>
        <w:rPr>
          <w:b/>
          <w:sz w:val="24"/>
          <w:szCs w:val="24"/>
        </w:rPr>
      </w:pPr>
    </w:p>
    <w:p w:rsidR="00E81990" w:rsidP="00E81990" w14:paraId="41493468" w14:textId="77777777">
      <w:pPr>
        <w:widowControl w:val="0"/>
        <w:autoSpaceDE w:val="0"/>
        <w:autoSpaceDN w:val="0"/>
        <w:adjustRightInd w:val="0"/>
        <w:rPr>
          <w:b/>
          <w:sz w:val="24"/>
          <w:szCs w:val="24"/>
        </w:rPr>
      </w:pPr>
    </w:p>
    <w:p w:rsidR="00E81990" w:rsidP="00E81990" w14:paraId="306C46CF" w14:textId="77777777">
      <w:pPr>
        <w:widowControl w:val="0"/>
        <w:pBdr>
          <w:bottom w:val="single" w:sz="12" w:space="1" w:color="auto"/>
        </w:pBdr>
        <w:autoSpaceDE w:val="0"/>
        <w:autoSpaceDN w:val="0"/>
        <w:adjustRightInd w:val="0"/>
        <w:jc w:val="center"/>
        <w:rPr>
          <w:b/>
          <w:sz w:val="24"/>
          <w:szCs w:val="24"/>
        </w:rPr>
      </w:pPr>
      <w:r>
        <w:rPr>
          <w:b/>
          <w:sz w:val="24"/>
          <w:szCs w:val="24"/>
        </w:rPr>
        <w:t>REPLY COMMENTS FOR CONSUMER PROTECTION</w:t>
      </w:r>
    </w:p>
    <w:p w:rsidR="00E81990" w:rsidP="00E81990" w14:paraId="44E5428C" w14:textId="77777777">
      <w:pPr>
        <w:widowControl w:val="0"/>
        <w:pBdr>
          <w:bottom w:val="single" w:sz="12" w:space="1" w:color="auto"/>
        </w:pBdr>
        <w:autoSpaceDE w:val="0"/>
        <w:autoSpaceDN w:val="0"/>
        <w:adjustRightInd w:val="0"/>
        <w:jc w:val="center"/>
        <w:rPr>
          <w:b/>
          <w:sz w:val="24"/>
          <w:szCs w:val="24"/>
        </w:rPr>
      </w:pPr>
      <w:r>
        <w:rPr>
          <w:b/>
          <w:sz w:val="24"/>
          <w:szCs w:val="24"/>
        </w:rPr>
        <w:t>BY</w:t>
      </w:r>
    </w:p>
    <w:p w:rsidR="00E81990" w:rsidP="00E81990" w14:paraId="2A36DC69" w14:textId="77777777">
      <w:pPr>
        <w:widowControl w:val="0"/>
        <w:pBdr>
          <w:bottom w:val="single" w:sz="12" w:space="1" w:color="auto"/>
        </w:pBdr>
        <w:autoSpaceDE w:val="0"/>
        <w:autoSpaceDN w:val="0"/>
        <w:adjustRightInd w:val="0"/>
        <w:jc w:val="center"/>
        <w:rPr>
          <w:b/>
          <w:sz w:val="24"/>
          <w:szCs w:val="24"/>
        </w:rPr>
      </w:pPr>
      <w:r>
        <w:rPr>
          <w:b/>
          <w:sz w:val="24"/>
          <w:szCs w:val="24"/>
        </w:rPr>
        <w:t>OFFICE OF THE OHIO CONSUMERS’ COUNSEL</w:t>
      </w:r>
    </w:p>
    <w:p w:rsidR="00E81990" w:rsidP="00E81990" w14:paraId="15B28309" w14:textId="77777777">
      <w:pPr>
        <w:widowControl w:val="0"/>
        <w:pBdr>
          <w:bottom w:val="single" w:sz="12" w:space="1" w:color="auto"/>
        </w:pBdr>
        <w:autoSpaceDE w:val="0"/>
        <w:autoSpaceDN w:val="0"/>
        <w:adjustRightInd w:val="0"/>
        <w:jc w:val="center"/>
        <w:rPr>
          <w:b/>
          <w:sz w:val="24"/>
          <w:szCs w:val="24"/>
        </w:rPr>
      </w:pPr>
    </w:p>
    <w:p w:rsidR="00E81990" w:rsidP="00E81990" w14:paraId="7C59B068" w14:textId="77777777">
      <w:pPr>
        <w:rPr>
          <w:sz w:val="24"/>
          <w:szCs w:val="24"/>
        </w:rPr>
      </w:pPr>
    </w:p>
    <w:p w:rsidR="00E81990" w14:paraId="0814929E" w14:textId="0A41DCC7">
      <w:pPr>
        <w:pStyle w:val="List"/>
        <w:ind w:left="0" w:firstLine="0"/>
        <w:jc w:val="center"/>
        <w:rPr>
          <w:b/>
          <w:szCs w:val="24"/>
        </w:rPr>
      </w:pPr>
    </w:p>
    <w:p w:rsidR="00884B02" w14:paraId="1BBF652F" w14:textId="743C0E5F">
      <w:pPr>
        <w:pStyle w:val="List"/>
        <w:ind w:left="0" w:firstLine="0"/>
        <w:jc w:val="center"/>
        <w:rPr>
          <w:b/>
          <w:szCs w:val="24"/>
        </w:rPr>
      </w:pPr>
    </w:p>
    <w:p w:rsidR="00884B02" w14:paraId="3F005B42" w14:textId="77777777">
      <w:pPr>
        <w:pStyle w:val="List"/>
        <w:ind w:left="0" w:firstLine="0"/>
        <w:jc w:val="center"/>
        <w:rPr>
          <w:b/>
          <w:szCs w:val="24"/>
        </w:rPr>
      </w:pPr>
    </w:p>
    <w:p w:rsidR="00884B02" w14:paraId="4A565153" w14:textId="4E5C7D01">
      <w:pPr>
        <w:pStyle w:val="List"/>
        <w:ind w:left="0" w:firstLine="0"/>
        <w:jc w:val="center"/>
        <w:rPr>
          <w:b/>
          <w:szCs w:val="24"/>
        </w:rPr>
      </w:pPr>
    </w:p>
    <w:p w:rsidR="00884B02" w:rsidP="00884B02" w14:paraId="494883CB" w14:textId="77777777">
      <w:pPr>
        <w:tabs>
          <w:tab w:val="left" w:pos="4320"/>
        </w:tabs>
        <w:ind w:left="4234"/>
        <w:rPr>
          <w:sz w:val="24"/>
          <w:szCs w:val="24"/>
        </w:rPr>
      </w:pPr>
      <w:r>
        <w:rPr>
          <w:sz w:val="24"/>
          <w:szCs w:val="24"/>
        </w:rPr>
        <w:t>Bruce Weston (0016973)</w:t>
      </w:r>
    </w:p>
    <w:p w:rsidR="00884B02" w:rsidP="00884B02" w14:paraId="7DF4E2F3" w14:textId="77777777">
      <w:pPr>
        <w:tabs>
          <w:tab w:val="left" w:pos="4320"/>
        </w:tabs>
        <w:ind w:left="4234"/>
        <w:rPr>
          <w:sz w:val="24"/>
          <w:szCs w:val="24"/>
        </w:rPr>
      </w:pPr>
      <w:r>
        <w:rPr>
          <w:sz w:val="24"/>
          <w:szCs w:val="24"/>
        </w:rPr>
        <w:t>Ohio Consumers’ Counsel</w:t>
      </w:r>
      <w:r>
        <w:rPr>
          <w:sz w:val="24"/>
          <w:szCs w:val="24"/>
        </w:rPr>
        <w:tab/>
      </w:r>
    </w:p>
    <w:p w:rsidR="00884B02" w:rsidP="00884B02" w14:paraId="36B38D2C" w14:textId="77777777">
      <w:pPr>
        <w:tabs>
          <w:tab w:val="left" w:pos="4320"/>
        </w:tabs>
        <w:ind w:left="4234"/>
        <w:rPr>
          <w:sz w:val="24"/>
          <w:szCs w:val="24"/>
        </w:rPr>
      </w:pPr>
      <w:r>
        <w:rPr>
          <w:sz w:val="24"/>
          <w:szCs w:val="24"/>
        </w:rPr>
        <w:tab/>
      </w:r>
    </w:p>
    <w:p w:rsidR="00884B02" w:rsidP="00884B02" w14:paraId="08463BA4" w14:textId="77777777">
      <w:pPr>
        <w:tabs>
          <w:tab w:val="left" w:pos="4320"/>
        </w:tabs>
        <w:ind w:left="4234"/>
        <w:rPr>
          <w:sz w:val="24"/>
          <w:szCs w:val="24"/>
        </w:rPr>
      </w:pPr>
      <w:r>
        <w:rPr>
          <w:sz w:val="24"/>
          <w:szCs w:val="24"/>
        </w:rPr>
        <w:t>John Finnigan (0018689)</w:t>
      </w:r>
    </w:p>
    <w:p w:rsidR="00884B02" w:rsidP="00884B02" w14:paraId="096AAB6B" w14:textId="77777777">
      <w:pPr>
        <w:tabs>
          <w:tab w:val="left" w:pos="4320"/>
        </w:tabs>
        <w:ind w:left="4234"/>
        <w:rPr>
          <w:sz w:val="24"/>
          <w:szCs w:val="24"/>
        </w:rPr>
      </w:pPr>
      <w:r>
        <w:rPr>
          <w:sz w:val="24"/>
          <w:szCs w:val="24"/>
        </w:rPr>
        <w:t xml:space="preserve">Counsel of Record </w:t>
      </w:r>
    </w:p>
    <w:p w:rsidR="00884B02" w:rsidP="00884B02" w14:paraId="5C3EDB1F" w14:textId="77777777">
      <w:pPr>
        <w:tabs>
          <w:tab w:val="left" w:pos="4320"/>
        </w:tabs>
        <w:ind w:left="4234"/>
        <w:rPr>
          <w:sz w:val="24"/>
          <w:szCs w:val="24"/>
        </w:rPr>
      </w:pPr>
      <w:r>
        <w:rPr>
          <w:sz w:val="24"/>
          <w:szCs w:val="24"/>
        </w:rPr>
        <w:t>Maureen R. Willis (0020847)</w:t>
      </w:r>
    </w:p>
    <w:p w:rsidR="00884B02" w:rsidP="00884B02" w14:paraId="72691764" w14:textId="77777777">
      <w:pPr>
        <w:tabs>
          <w:tab w:val="left" w:pos="4320"/>
        </w:tabs>
        <w:ind w:left="4234"/>
        <w:rPr>
          <w:sz w:val="24"/>
          <w:szCs w:val="24"/>
        </w:rPr>
      </w:pPr>
      <w:r>
        <w:rPr>
          <w:sz w:val="24"/>
          <w:szCs w:val="24"/>
        </w:rPr>
        <w:t>Assistant Consumers’ Counsel</w:t>
      </w:r>
    </w:p>
    <w:p w:rsidR="00884B02" w:rsidP="00884B02" w14:paraId="44B33D15" w14:textId="77777777">
      <w:pPr>
        <w:ind w:left="4230"/>
        <w:rPr>
          <w:sz w:val="24"/>
          <w:szCs w:val="24"/>
        </w:rPr>
      </w:pPr>
      <w:r>
        <w:rPr>
          <w:sz w:val="24"/>
          <w:szCs w:val="24"/>
        </w:rPr>
        <w:tab/>
      </w:r>
    </w:p>
    <w:p w:rsidR="00884B02" w:rsidP="00884B02" w14:paraId="2B3B1BE2" w14:textId="77777777">
      <w:pPr>
        <w:ind w:left="4230"/>
        <w:rPr>
          <w:b/>
          <w:bCs/>
          <w:sz w:val="24"/>
          <w:szCs w:val="24"/>
        </w:rPr>
      </w:pPr>
      <w:r>
        <w:rPr>
          <w:b/>
          <w:bCs/>
          <w:sz w:val="24"/>
          <w:szCs w:val="24"/>
        </w:rPr>
        <w:t>Office of the Ohio Consumers’ Counsel</w:t>
      </w:r>
    </w:p>
    <w:p w:rsidR="00884B02" w:rsidP="00884B02" w14:paraId="15A96AFF" w14:textId="77777777">
      <w:pPr>
        <w:ind w:left="4230"/>
        <w:rPr>
          <w:sz w:val="24"/>
          <w:szCs w:val="24"/>
        </w:rPr>
      </w:pPr>
      <w:r>
        <w:rPr>
          <w:sz w:val="24"/>
          <w:szCs w:val="24"/>
        </w:rPr>
        <w:t>65 East State Street, Suite 700</w:t>
      </w:r>
    </w:p>
    <w:p w:rsidR="00884B02" w:rsidP="00884B02" w14:paraId="1F7A6D77" w14:textId="77777777">
      <w:pPr>
        <w:ind w:left="4230"/>
        <w:rPr>
          <w:sz w:val="24"/>
          <w:szCs w:val="24"/>
        </w:rPr>
      </w:pPr>
      <w:r>
        <w:rPr>
          <w:sz w:val="24"/>
          <w:szCs w:val="24"/>
        </w:rPr>
        <w:t>Columbus, Ohio 43215</w:t>
      </w:r>
    </w:p>
    <w:p w:rsidR="00884B02" w:rsidP="00884B02" w14:paraId="36C623E1" w14:textId="77777777">
      <w:pPr>
        <w:autoSpaceDE w:val="0"/>
        <w:autoSpaceDN w:val="0"/>
        <w:adjustRightInd w:val="0"/>
        <w:ind w:left="4234"/>
        <w:rPr>
          <w:sz w:val="24"/>
          <w:szCs w:val="24"/>
        </w:rPr>
      </w:pPr>
      <w:r>
        <w:rPr>
          <w:sz w:val="24"/>
          <w:szCs w:val="24"/>
        </w:rPr>
        <w:t>Telephone [Finnigan]: (614) 466-9585</w:t>
      </w:r>
    </w:p>
    <w:p w:rsidR="00884B02" w:rsidP="00884B02" w14:paraId="6A5B4AAC" w14:textId="77777777">
      <w:pPr>
        <w:autoSpaceDE w:val="0"/>
        <w:autoSpaceDN w:val="0"/>
        <w:adjustRightInd w:val="0"/>
        <w:ind w:left="4234"/>
        <w:rPr>
          <w:sz w:val="24"/>
          <w:szCs w:val="24"/>
        </w:rPr>
      </w:pPr>
      <w:r>
        <w:rPr>
          <w:sz w:val="24"/>
          <w:szCs w:val="24"/>
        </w:rPr>
        <w:t>Telephone [Willis]: (614) 466-9567</w:t>
      </w:r>
    </w:p>
    <w:p w:rsidR="00884B02" w:rsidP="00884B02" w14:paraId="4B4CA3D1" w14:textId="77777777">
      <w:pPr>
        <w:ind w:left="4234"/>
        <w:rPr>
          <w:sz w:val="24"/>
          <w:szCs w:val="24"/>
        </w:rPr>
      </w:pPr>
      <w:hyperlink r:id="rId6" w:history="1">
        <w:r>
          <w:rPr>
            <w:color w:val="0000FF"/>
            <w:sz w:val="24"/>
            <w:szCs w:val="24"/>
            <w:u w:val="single"/>
          </w:rPr>
          <w:t>john.finnigan@occ.ohio.gov</w:t>
        </w:r>
      </w:hyperlink>
    </w:p>
    <w:p w:rsidR="00884B02" w:rsidP="00884B02" w14:paraId="56356204" w14:textId="77777777">
      <w:pPr>
        <w:ind w:left="4234"/>
        <w:rPr>
          <w:sz w:val="24"/>
          <w:szCs w:val="24"/>
        </w:rPr>
      </w:pPr>
      <w:hyperlink r:id="rId7" w:history="1">
        <w:r>
          <w:rPr>
            <w:color w:val="0000FF"/>
            <w:sz w:val="24"/>
            <w:szCs w:val="24"/>
            <w:u w:val="single"/>
          </w:rPr>
          <w:t>maureen.willis@occ.ohio.gov</w:t>
        </w:r>
      </w:hyperlink>
    </w:p>
    <w:p w:rsidR="00884B02" w:rsidP="00884B02" w14:paraId="58FE0C2B" w14:textId="77777777">
      <w:pPr>
        <w:ind w:left="4234"/>
        <w:rPr>
          <w:sz w:val="24"/>
          <w:szCs w:val="24"/>
        </w:rPr>
      </w:pPr>
      <w:r>
        <w:rPr>
          <w:sz w:val="24"/>
          <w:szCs w:val="24"/>
        </w:rPr>
        <w:t>(willing to accept service by e-mail)</w:t>
      </w:r>
    </w:p>
    <w:p w:rsidR="00884B02" w14:paraId="4D34756A" w14:textId="271109A6">
      <w:pPr>
        <w:pStyle w:val="List"/>
        <w:ind w:left="0" w:firstLine="0"/>
        <w:jc w:val="center"/>
        <w:rPr>
          <w:b/>
          <w:szCs w:val="24"/>
        </w:rPr>
      </w:pPr>
    </w:p>
    <w:p w:rsidR="00884B02" w:rsidP="00884B02" w14:paraId="53ABECDC" w14:textId="74D88080">
      <w:pPr>
        <w:pStyle w:val="List"/>
        <w:ind w:left="0" w:firstLine="0"/>
        <w:rPr>
          <w:b/>
          <w:szCs w:val="24"/>
        </w:rPr>
      </w:pPr>
    </w:p>
    <w:p w:rsidR="007A6C13" w:rsidRPr="00396B92" w:rsidP="00396B92" w14:paraId="30C697ED" w14:textId="29D4102A">
      <w:pPr>
        <w:pStyle w:val="List"/>
        <w:ind w:left="0" w:firstLine="0"/>
        <w:rPr>
          <w:bCs/>
          <w:szCs w:val="24"/>
        </w:rPr>
      </w:pPr>
      <w:r w:rsidRPr="00396B92">
        <w:rPr>
          <w:bCs/>
          <w:szCs w:val="24"/>
        </w:rPr>
        <w:t>February 3, 2023</w:t>
      </w:r>
    </w:p>
    <w:p w:rsidR="00E81990" w14:paraId="21C85F25" w14:textId="77777777">
      <w:pPr>
        <w:pStyle w:val="List"/>
        <w:ind w:left="0" w:firstLine="0"/>
        <w:jc w:val="center"/>
        <w:rPr>
          <w:b/>
          <w:szCs w:val="24"/>
        </w:rPr>
      </w:pPr>
    </w:p>
    <w:p w:rsidR="00E81990" w14:paraId="3D92767D" w14:textId="71388EBA">
      <w:pPr>
        <w:pStyle w:val="List"/>
        <w:ind w:left="0" w:firstLine="0"/>
        <w:jc w:val="center"/>
        <w:rPr>
          <w:b/>
          <w:szCs w:val="24"/>
        </w:rPr>
        <w:sectPr>
          <w:footerReference w:type="default" r:id="rId8"/>
          <w:footerReference w:type="first" r:id="rId9"/>
          <w:pgSz w:w="12240" w:h="15840"/>
          <w:pgMar w:top="1440" w:right="1800" w:bottom="1440" w:left="1800" w:header="720" w:footer="720" w:gutter="0"/>
          <w:pgNumType w:start="1"/>
          <w:cols w:space="720"/>
          <w:titlePg/>
          <w:docGrid w:linePitch="360"/>
        </w:sectPr>
      </w:pPr>
    </w:p>
    <w:p w:rsidR="00E81990" w:rsidRPr="00396B92" w14:paraId="03F62A79" w14:textId="77777777">
      <w:pPr>
        <w:pStyle w:val="List"/>
        <w:ind w:left="0" w:firstLine="0"/>
        <w:jc w:val="center"/>
        <w:rPr>
          <w:b/>
          <w:szCs w:val="24"/>
          <w:u w:val="single"/>
        </w:rPr>
      </w:pPr>
      <w:r w:rsidRPr="00396B92">
        <w:rPr>
          <w:b/>
          <w:szCs w:val="24"/>
          <w:u w:val="single"/>
        </w:rPr>
        <w:t>TABLE OF CONTENTS</w:t>
      </w:r>
    </w:p>
    <w:p w:rsidR="00E81990" w:rsidP="00E81990" w14:paraId="6B02CBE6" w14:textId="26A4A22D">
      <w:pPr>
        <w:pStyle w:val="List"/>
        <w:ind w:left="0" w:firstLine="0"/>
        <w:jc w:val="right"/>
        <w:rPr>
          <w:b/>
          <w:szCs w:val="24"/>
        </w:rPr>
      </w:pPr>
      <w:r>
        <w:rPr>
          <w:b/>
          <w:szCs w:val="24"/>
        </w:rPr>
        <w:t>Page</w:t>
      </w:r>
    </w:p>
    <w:p w:rsidR="00E81990" w:rsidP="00E81990" w14:paraId="14EE550B" w14:textId="52A2C7CB">
      <w:pPr>
        <w:pStyle w:val="List"/>
        <w:ind w:left="0" w:firstLine="0"/>
        <w:jc w:val="right"/>
        <w:rPr>
          <w:b/>
          <w:szCs w:val="24"/>
        </w:rPr>
      </w:pPr>
    </w:p>
    <w:p w:rsidR="00AB6455" w14:paraId="5019C0C0" w14:textId="56E9E432">
      <w:pPr>
        <w:pStyle w:val="TOC1"/>
        <w:rPr>
          <w:rFonts w:asciiTheme="minorHAnsi" w:eastAsiaTheme="minorEastAsia" w:hAnsiTheme="minorHAnsi" w:cstheme="minorBidi"/>
          <w:smallCaps w:val="0"/>
          <w:noProof/>
          <w:sz w:val="22"/>
          <w:szCs w:val="22"/>
        </w:rPr>
      </w:pPr>
      <w:r>
        <w:rPr>
          <w:b/>
          <w:smallCaps w:val="0"/>
          <w:szCs w:val="24"/>
        </w:rPr>
        <w:fldChar w:fldCharType="begin"/>
      </w:r>
      <w:r>
        <w:rPr>
          <w:b/>
          <w:smallCaps w:val="0"/>
          <w:szCs w:val="24"/>
        </w:rPr>
        <w:instrText xml:space="preserve"> TOC \o "1-3" \h \z \u </w:instrText>
      </w:r>
      <w:r>
        <w:rPr>
          <w:b/>
          <w:smallCaps w:val="0"/>
          <w:szCs w:val="24"/>
        </w:rPr>
        <w:fldChar w:fldCharType="separate"/>
      </w:r>
      <w:hyperlink w:anchor="_Toc126333670" w:history="1">
        <w:r w:rsidRPr="00F867C0">
          <w:rPr>
            <w:rStyle w:val="Hyperlink"/>
            <w:noProof/>
          </w:rPr>
          <w:t>I.</w:t>
        </w:r>
        <w:r>
          <w:rPr>
            <w:rFonts w:asciiTheme="minorHAnsi" w:eastAsiaTheme="minorEastAsia" w:hAnsiTheme="minorHAnsi" w:cstheme="minorBidi"/>
            <w:smallCaps w:val="0"/>
            <w:noProof/>
            <w:sz w:val="22"/>
            <w:szCs w:val="22"/>
          </w:rPr>
          <w:tab/>
        </w:r>
        <w:r w:rsidRPr="00F867C0">
          <w:rPr>
            <w:rStyle w:val="Hyperlink"/>
            <w:noProof/>
          </w:rPr>
          <w:t>INTRODUCTION</w:t>
        </w:r>
        <w:r>
          <w:rPr>
            <w:noProof/>
            <w:webHidden/>
          </w:rPr>
          <w:tab/>
        </w:r>
        <w:r>
          <w:rPr>
            <w:noProof/>
            <w:webHidden/>
          </w:rPr>
          <w:fldChar w:fldCharType="begin"/>
        </w:r>
        <w:r>
          <w:rPr>
            <w:noProof/>
            <w:webHidden/>
          </w:rPr>
          <w:instrText xml:space="preserve"> PAGEREF _Toc126333670 \h </w:instrText>
        </w:r>
        <w:r>
          <w:rPr>
            <w:noProof/>
            <w:webHidden/>
          </w:rPr>
          <w:fldChar w:fldCharType="separate"/>
        </w:r>
        <w:r>
          <w:rPr>
            <w:noProof/>
            <w:webHidden/>
          </w:rPr>
          <w:t>1</w:t>
        </w:r>
        <w:r>
          <w:rPr>
            <w:noProof/>
            <w:webHidden/>
          </w:rPr>
          <w:fldChar w:fldCharType="end"/>
        </w:r>
      </w:hyperlink>
    </w:p>
    <w:p w:rsidR="00AB6455" w14:paraId="070474CC" w14:textId="29EB82DA">
      <w:pPr>
        <w:pStyle w:val="TOC1"/>
        <w:rPr>
          <w:rFonts w:asciiTheme="minorHAnsi" w:eastAsiaTheme="minorEastAsia" w:hAnsiTheme="minorHAnsi" w:cstheme="minorBidi"/>
          <w:smallCaps w:val="0"/>
          <w:noProof/>
          <w:sz w:val="22"/>
          <w:szCs w:val="22"/>
        </w:rPr>
      </w:pPr>
      <w:hyperlink w:anchor="_Toc126333671" w:history="1">
        <w:r w:rsidRPr="00F867C0">
          <w:rPr>
            <w:rStyle w:val="Hyperlink"/>
            <w:noProof/>
          </w:rPr>
          <w:t>II.</w:t>
        </w:r>
        <w:r>
          <w:rPr>
            <w:rFonts w:asciiTheme="minorHAnsi" w:eastAsiaTheme="minorEastAsia" w:hAnsiTheme="minorHAnsi" w:cstheme="minorBidi"/>
            <w:smallCaps w:val="0"/>
            <w:noProof/>
            <w:sz w:val="22"/>
            <w:szCs w:val="22"/>
          </w:rPr>
          <w:tab/>
        </w:r>
        <w:r w:rsidRPr="00F867C0">
          <w:rPr>
            <w:rStyle w:val="Hyperlink"/>
            <w:noProof/>
          </w:rPr>
          <w:t>REPLY COMMENTS AND RECOMMENDATIONS</w:t>
        </w:r>
        <w:r>
          <w:rPr>
            <w:noProof/>
            <w:webHidden/>
          </w:rPr>
          <w:tab/>
        </w:r>
        <w:r>
          <w:rPr>
            <w:noProof/>
            <w:webHidden/>
          </w:rPr>
          <w:fldChar w:fldCharType="begin"/>
        </w:r>
        <w:r>
          <w:rPr>
            <w:noProof/>
            <w:webHidden/>
          </w:rPr>
          <w:instrText xml:space="preserve"> PAGEREF _Toc126333671 \h </w:instrText>
        </w:r>
        <w:r>
          <w:rPr>
            <w:noProof/>
            <w:webHidden/>
          </w:rPr>
          <w:fldChar w:fldCharType="separate"/>
        </w:r>
        <w:r>
          <w:rPr>
            <w:noProof/>
            <w:webHidden/>
          </w:rPr>
          <w:t>2</w:t>
        </w:r>
        <w:r>
          <w:rPr>
            <w:noProof/>
            <w:webHidden/>
          </w:rPr>
          <w:fldChar w:fldCharType="end"/>
        </w:r>
      </w:hyperlink>
    </w:p>
    <w:p w:rsidR="00AB6455" w14:paraId="510170ED" w14:textId="30DB97DB">
      <w:pPr>
        <w:pStyle w:val="TOC2"/>
        <w:tabs>
          <w:tab w:val="left" w:pos="1440"/>
        </w:tabs>
        <w:rPr>
          <w:rFonts w:asciiTheme="minorHAnsi" w:eastAsiaTheme="minorEastAsia" w:hAnsiTheme="minorHAnsi" w:cstheme="minorBidi"/>
          <w:noProof/>
          <w:sz w:val="22"/>
          <w:szCs w:val="22"/>
        </w:rPr>
      </w:pPr>
      <w:hyperlink w:anchor="_Toc126333672" w:history="1">
        <w:r w:rsidRPr="00F867C0">
          <w:rPr>
            <w:rStyle w:val="Hyperlink"/>
            <w:noProof/>
          </w:rPr>
          <w:t>A.</w:t>
        </w:r>
        <w:r>
          <w:rPr>
            <w:rFonts w:asciiTheme="minorHAnsi" w:eastAsiaTheme="minorEastAsia" w:hAnsiTheme="minorHAnsi" w:cstheme="minorBidi"/>
            <w:noProof/>
            <w:sz w:val="22"/>
            <w:szCs w:val="22"/>
          </w:rPr>
          <w:tab/>
        </w:r>
        <w:r w:rsidRPr="00F867C0">
          <w:rPr>
            <w:rStyle w:val="Hyperlink"/>
            <w:noProof/>
          </w:rPr>
          <w:t xml:space="preserve">NOPEC’s current certificate should not be suspended, per Ohio law. </w:t>
        </w:r>
        <w:r>
          <w:rPr>
            <w:rStyle w:val="Hyperlink"/>
            <w:noProof/>
          </w:rPr>
          <w:br/>
        </w:r>
        <w:r w:rsidRPr="00F867C0">
          <w:rPr>
            <w:rStyle w:val="Hyperlink"/>
            <w:noProof/>
          </w:rPr>
          <w:t xml:space="preserve">And NOPEC’s application to renew its certificate should be granted per Ohio law and the public interest because NOPEC possesses the managerial, technical and financial capability for renewal of its </w:t>
        </w:r>
        <w:r>
          <w:rPr>
            <w:rStyle w:val="Hyperlink"/>
            <w:noProof/>
          </w:rPr>
          <w:br/>
        </w:r>
        <w:r w:rsidRPr="00F867C0">
          <w:rPr>
            <w:rStyle w:val="Hyperlink"/>
            <w:noProof/>
          </w:rPr>
          <w:t>certificate.</w:t>
        </w:r>
        <w:r>
          <w:rPr>
            <w:noProof/>
            <w:webHidden/>
          </w:rPr>
          <w:tab/>
        </w:r>
        <w:r>
          <w:rPr>
            <w:noProof/>
            <w:webHidden/>
          </w:rPr>
          <w:fldChar w:fldCharType="begin"/>
        </w:r>
        <w:r>
          <w:rPr>
            <w:noProof/>
            <w:webHidden/>
          </w:rPr>
          <w:instrText xml:space="preserve"> PAGEREF _Toc126333672 \h </w:instrText>
        </w:r>
        <w:r>
          <w:rPr>
            <w:noProof/>
            <w:webHidden/>
          </w:rPr>
          <w:fldChar w:fldCharType="separate"/>
        </w:r>
        <w:r>
          <w:rPr>
            <w:noProof/>
            <w:webHidden/>
          </w:rPr>
          <w:t>2</w:t>
        </w:r>
        <w:r>
          <w:rPr>
            <w:noProof/>
            <w:webHidden/>
          </w:rPr>
          <w:fldChar w:fldCharType="end"/>
        </w:r>
      </w:hyperlink>
    </w:p>
    <w:p w:rsidR="00AB6455" w14:paraId="3F56247E" w14:textId="060DF66D">
      <w:pPr>
        <w:pStyle w:val="TOC3"/>
        <w:rPr>
          <w:rFonts w:asciiTheme="minorHAnsi" w:eastAsiaTheme="minorEastAsia" w:hAnsiTheme="minorHAnsi" w:cstheme="minorBidi"/>
          <w:noProof/>
          <w:sz w:val="22"/>
          <w:szCs w:val="22"/>
        </w:rPr>
      </w:pPr>
      <w:hyperlink w:anchor="_Toc126333673" w:history="1">
        <w:r w:rsidRPr="00F867C0">
          <w:rPr>
            <w:rStyle w:val="Hyperlink"/>
            <w:noProof/>
          </w:rPr>
          <w:t>1.</w:t>
        </w:r>
        <w:r>
          <w:rPr>
            <w:rFonts w:asciiTheme="minorHAnsi" w:eastAsiaTheme="minorEastAsia" w:hAnsiTheme="minorHAnsi" w:cstheme="minorBidi"/>
            <w:noProof/>
            <w:sz w:val="22"/>
            <w:szCs w:val="22"/>
          </w:rPr>
          <w:tab/>
        </w:r>
        <w:r w:rsidRPr="00F867C0">
          <w:rPr>
            <w:rStyle w:val="Hyperlink"/>
            <w:noProof/>
          </w:rPr>
          <w:t>NOPEC has the requisite managerial, technical and financial capabilities to serve as a governmental aggregator.</w:t>
        </w:r>
        <w:r>
          <w:rPr>
            <w:noProof/>
            <w:webHidden/>
          </w:rPr>
          <w:tab/>
        </w:r>
        <w:r>
          <w:rPr>
            <w:noProof/>
            <w:webHidden/>
          </w:rPr>
          <w:fldChar w:fldCharType="begin"/>
        </w:r>
        <w:r>
          <w:rPr>
            <w:noProof/>
            <w:webHidden/>
          </w:rPr>
          <w:instrText xml:space="preserve"> PAGEREF _Toc126333673 \h </w:instrText>
        </w:r>
        <w:r>
          <w:rPr>
            <w:noProof/>
            <w:webHidden/>
          </w:rPr>
          <w:fldChar w:fldCharType="separate"/>
        </w:r>
        <w:r>
          <w:rPr>
            <w:noProof/>
            <w:webHidden/>
          </w:rPr>
          <w:t>2</w:t>
        </w:r>
        <w:r>
          <w:rPr>
            <w:noProof/>
            <w:webHidden/>
          </w:rPr>
          <w:fldChar w:fldCharType="end"/>
        </w:r>
      </w:hyperlink>
    </w:p>
    <w:p w:rsidR="00AB6455" w14:paraId="66C2BAEE" w14:textId="21BF32D4">
      <w:pPr>
        <w:pStyle w:val="TOC3"/>
        <w:rPr>
          <w:rFonts w:asciiTheme="minorHAnsi" w:eastAsiaTheme="minorEastAsia" w:hAnsiTheme="minorHAnsi" w:cstheme="minorBidi"/>
          <w:noProof/>
          <w:sz w:val="22"/>
          <w:szCs w:val="22"/>
        </w:rPr>
      </w:pPr>
      <w:hyperlink w:anchor="_Toc126333674" w:history="1">
        <w:r w:rsidRPr="00F867C0">
          <w:rPr>
            <w:rStyle w:val="Hyperlink"/>
            <w:noProof/>
          </w:rPr>
          <w:t>2.</w:t>
        </w:r>
        <w:r>
          <w:rPr>
            <w:rFonts w:asciiTheme="minorHAnsi" w:eastAsiaTheme="minorEastAsia" w:hAnsiTheme="minorHAnsi" w:cstheme="minorBidi"/>
            <w:noProof/>
            <w:sz w:val="22"/>
            <w:szCs w:val="22"/>
          </w:rPr>
          <w:tab/>
        </w:r>
        <w:r w:rsidRPr="00F867C0">
          <w:rPr>
            <w:rStyle w:val="Hyperlink"/>
            <w:noProof/>
          </w:rPr>
          <w:t xml:space="preserve">NOPEC has shown cause, in response to the PUCO’s </w:t>
        </w:r>
        <w:r>
          <w:rPr>
            <w:rStyle w:val="Hyperlink"/>
            <w:noProof/>
          </w:rPr>
          <w:br/>
        </w:r>
        <w:r w:rsidRPr="00F867C0">
          <w:rPr>
            <w:rStyle w:val="Hyperlink"/>
            <w:noProof/>
          </w:rPr>
          <w:t xml:space="preserve">Show-Cause Order, that it complied with law and rules and </w:t>
        </w:r>
        <w:r>
          <w:rPr>
            <w:rStyle w:val="Hyperlink"/>
            <w:noProof/>
          </w:rPr>
          <w:br/>
        </w:r>
        <w:r w:rsidRPr="00F867C0">
          <w:rPr>
            <w:rStyle w:val="Hyperlink"/>
            <w:noProof/>
          </w:rPr>
          <w:t xml:space="preserve">that its certificate should not be suspended. Its certificate should </w:t>
        </w:r>
        <w:r>
          <w:rPr>
            <w:rStyle w:val="Hyperlink"/>
            <w:noProof/>
          </w:rPr>
          <w:br/>
        </w:r>
        <w:r w:rsidRPr="00F867C0">
          <w:rPr>
            <w:rStyle w:val="Hyperlink"/>
            <w:noProof/>
          </w:rPr>
          <w:t xml:space="preserve">be renewed. What also has been shown is that Dynegy is </w:t>
        </w:r>
        <w:r>
          <w:rPr>
            <w:rStyle w:val="Hyperlink"/>
            <w:noProof/>
          </w:rPr>
          <w:br/>
        </w:r>
        <w:r w:rsidRPr="00F867C0">
          <w:rPr>
            <w:rStyle w:val="Hyperlink"/>
            <w:noProof/>
          </w:rPr>
          <w:t xml:space="preserve">misusing the PUCO’s certification process as a substitute </w:t>
        </w:r>
        <w:r>
          <w:rPr>
            <w:rStyle w:val="Hyperlink"/>
            <w:noProof/>
          </w:rPr>
          <w:br/>
        </w:r>
        <w:r w:rsidRPr="00F867C0">
          <w:rPr>
            <w:rStyle w:val="Hyperlink"/>
            <w:noProof/>
          </w:rPr>
          <w:t>for the complaint against NOPEC that it withdrew.</w:t>
        </w:r>
        <w:r>
          <w:rPr>
            <w:noProof/>
            <w:webHidden/>
          </w:rPr>
          <w:tab/>
        </w:r>
        <w:r>
          <w:rPr>
            <w:noProof/>
            <w:webHidden/>
          </w:rPr>
          <w:fldChar w:fldCharType="begin"/>
        </w:r>
        <w:r>
          <w:rPr>
            <w:noProof/>
            <w:webHidden/>
          </w:rPr>
          <w:instrText xml:space="preserve"> PAGEREF _Toc126333674 \h </w:instrText>
        </w:r>
        <w:r>
          <w:rPr>
            <w:noProof/>
            <w:webHidden/>
          </w:rPr>
          <w:fldChar w:fldCharType="separate"/>
        </w:r>
        <w:r>
          <w:rPr>
            <w:noProof/>
            <w:webHidden/>
          </w:rPr>
          <w:t>5</w:t>
        </w:r>
        <w:r>
          <w:rPr>
            <w:noProof/>
            <w:webHidden/>
          </w:rPr>
          <w:fldChar w:fldCharType="end"/>
        </w:r>
      </w:hyperlink>
    </w:p>
    <w:p w:rsidR="00AB6455" w14:paraId="578A2F66" w14:textId="69232D9A">
      <w:pPr>
        <w:pStyle w:val="TOC3"/>
        <w:rPr>
          <w:rFonts w:asciiTheme="minorHAnsi" w:eastAsiaTheme="minorEastAsia" w:hAnsiTheme="minorHAnsi" w:cstheme="minorBidi"/>
          <w:noProof/>
          <w:sz w:val="22"/>
          <w:szCs w:val="22"/>
        </w:rPr>
      </w:pPr>
      <w:hyperlink w:anchor="_Toc126333675" w:history="1">
        <w:r w:rsidRPr="00F867C0">
          <w:rPr>
            <w:rStyle w:val="Hyperlink"/>
            <w:noProof/>
          </w:rPr>
          <w:t>3.</w:t>
        </w:r>
        <w:r>
          <w:rPr>
            <w:rFonts w:asciiTheme="minorHAnsi" w:eastAsiaTheme="minorEastAsia" w:hAnsiTheme="minorHAnsi" w:cstheme="minorBidi"/>
            <w:noProof/>
            <w:sz w:val="22"/>
            <w:szCs w:val="22"/>
          </w:rPr>
          <w:tab/>
        </w:r>
        <w:r w:rsidRPr="00F867C0">
          <w:rPr>
            <w:rStyle w:val="Hyperlink"/>
            <w:noProof/>
          </w:rPr>
          <w:t xml:space="preserve">The objections by Dynegy and Buckeye that NOPEC violated </w:t>
        </w:r>
        <w:r>
          <w:rPr>
            <w:rStyle w:val="Hyperlink"/>
            <w:noProof/>
          </w:rPr>
          <w:br/>
        </w:r>
        <w:r w:rsidRPr="00F867C0">
          <w:rPr>
            <w:rStyle w:val="Hyperlink"/>
            <w:noProof/>
          </w:rPr>
          <w:t xml:space="preserve">its contracts and plan of operation are contradicted by the numerous comments by NOPEC’s individual members, </w:t>
        </w:r>
        <w:r>
          <w:rPr>
            <w:rStyle w:val="Hyperlink"/>
            <w:noProof/>
          </w:rPr>
          <w:br/>
        </w:r>
        <w:r w:rsidRPr="00F867C0">
          <w:rPr>
            <w:rStyle w:val="Hyperlink"/>
            <w:noProof/>
          </w:rPr>
          <w:t xml:space="preserve">customers and others who support NOPEC’s return of </w:t>
        </w:r>
        <w:r>
          <w:rPr>
            <w:rStyle w:val="Hyperlink"/>
            <w:noProof/>
          </w:rPr>
          <w:br/>
        </w:r>
        <w:r w:rsidRPr="00F867C0">
          <w:rPr>
            <w:rStyle w:val="Hyperlink"/>
            <w:noProof/>
          </w:rPr>
          <w:t>consumers to FirstEnergy’s standard service offer.</w:t>
        </w:r>
        <w:r>
          <w:rPr>
            <w:noProof/>
            <w:webHidden/>
          </w:rPr>
          <w:tab/>
        </w:r>
        <w:r>
          <w:rPr>
            <w:noProof/>
            <w:webHidden/>
          </w:rPr>
          <w:fldChar w:fldCharType="begin"/>
        </w:r>
        <w:r>
          <w:rPr>
            <w:noProof/>
            <w:webHidden/>
          </w:rPr>
          <w:instrText xml:space="preserve"> PAGEREF _Toc126333675 \h </w:instrText>
        </w:r>
        <w:r>
          <w:rPr>
            <w:noProof/>
            <w:webHidden/>
          </w:rPr>
          <w:fldChar w:fldCharType="separate"/>
        </w:r>
        <w:r>
          <w:rPr>
            <w:noProof/>
            <w:webHidden/>
          </w:rPr>
          <w:t>8</w:t>
        </w:r>
        <w:r>
          <w:rPr>
            <w:noProof/>
            <w:webHidden/>
          </w:rPr>
          <w:fldChar w:fldCharType="end"/>
        </w:r>
      </w:hyperlink>
    </w:p>
    <w:p w:rsidR="00AB6455" w14:paraId="6B494E51" w14:textId="05995746">
      <w:pPr>
        <w:pStyle w:val="TOC3"/>
        <w:rPr>
          <w:rFonts w:asciiTheme="minorHAnsi" w:eastAsiaTheme="minorEastAsia" w:hAnsiTheme="minorHAnsi" w:cstheme="minorBidi"/>
          <w:noProof/>
          <w:sz w:val="22"/>
          <w:szCs w:val="22"/>
        </w:rPr>
      </w:pPr>
      <w:hyperlink w:anchor="_Toc126333676" w:history="1">
        <w:r w:rsidRPr="00F867C0">
          <w:rPr>
            <w:rStyle w:val="Hyperlink"/>
            <w:noProof/>
          </w:rPr>
          <w:t>4.</w:t>
        </w:r>
        <w:r>
          <w:rPr>
            <w:rFonts w:asciiTheme="minorHAnsi" w:eastAsiaTheme="minorEastAsia" w:hAnsiTheme="minorHAnsi" w:cstheme="minorBidi"/>
            <w:noProof/>
            <w:sz w:val="22"/>
            <w:szCs w:val="22"/>
          </w:rPr>
          <w:tab/>
        </w:r>
        <w:r w:rsidRPr="00F867C0">
          <w:rPr>
            <w:rStyle w:val="Hyperlink"/>
            <w:noProof/>
          </w:rPr>
          <w:t xml:space="preserve">The PUCO would be violating law and improperly interfering </w:t>
        </w:r>
        <w:r>
          <w:rPr>
            <w:rStyle w:val="Hyperlink"/>
            <w:noProof/>
          </w:rPr>
          <w:br/>
        </w:r>
        <w:r w:rsidRPr="00F867C0">
          <w:rPr>
            <w:rStyle w:val="Hyperlink"/>
            <w:noProof/>
          </w:rPr>
          <w:t>with the competitive market were it to suspend or not renew NOPEC’s certificate, in response to Dynegy and Buckeye’s opposition.</w:t>
        </w:r>
        <w:r>
          <w:rPr>
            <w:noProof/>
            <w:webHidden/>
          </w:rPr>
          <w:tab/>
        </w:r>
        <w:r>
          <w:rPr>
            <w:noProof/>
            <w:webHidden/>
          </w:rPr>
          <w:fldChar w:fldCharType="begin"/>
        </w:r>
        <w:r>
          <w:rPr>
            <w:noProof/>
            <w:webHidden/>
          </w:rPr>
          <w:instrText xml:space="preserve"> PAGEREF _Toc126333676 \h </w:instrText>
        </w:r>
        <w:r>
          <w:rPr>
            <w:noProof/>
            <w:webHidden/>
          </w:rPr>
          <w:fldChar w:fldCharType="separate"/>
        </w:r>
        <w:r>
          <w:rPr>
            <w:noProof/>
            <w:webHidden/>
          </w:rPr>
          <w:t>9</w:t>
        </w:r>
        <w:r>
          <w:rPr>
            <w:noProof/>
            <w:webHidden/>
          </w:rPr>
          <w:fldChar w:fldCharType="end"/>
        </w:r>
      </w:hyperlink>
    </w:p>
    <w:p w:rsidR="00AB6455" w14:paraId="764E79B3" w14:textId="799063DA">
      <w:pPr>
        <w:pStyle w:val="TOC3"/>
        <w:rPr>
          <w:rStyle w:val="Hyperlink"/>
          <w:noProof/>
        </w:rPr>
      </w:pPr>
      <w:hyperlink w:anchor="_Toc126333677" w:history="1">
        <w:r w:rsidRPr="00F867C0">
          <w:rPr>
            <w:rStyle w:val="Hyperlink"/>
            <w:noProof/>
          </w:rPr>
          <w:t>5.</w:t>
        </w:r>
        <w:r>
          <w:rPr>
            <w:rFonts w:asciiTheme="minorHAnsi" w:eastAsiaTheme="minorEastAsia" w:hAnsiTheme="minorHAnsi" w:cstheme="minorBidi"/>
            <w:noProof/>
            <w:sz w:val="22"/>
            <w:szCs w:val="22"/>
          </w:rPr>
          <w:tab/>
        </w:r>
        <w:r w:rsidRPr="00F867C0">
          <w:rPr>
            <w:rStyle w:val="Hyperlink"/>
            <w:noProof/>
          </w:rPr>
          <w:t xml:space="preserve">Dynegy’s complaint, in reality, is that NOPEC gave smaller consumers the benefit of switching to the standard offer that </w:t>
        </w:r>
        <w:r>
          <w:rPr>
            <w:rStyle w:val="Hyperlink"/>
            <w:noProof/>
          </w:rPr>
          <w:br/>
        </w:r>
        <w:r w:rsidRPr="00F867C0">
          <w:rPr>
            <w:rStyle w:val="Hyperlink"/>
            <w:noProof/>
          </w:rPr>
          <w:t xml:space="preserve">larger consumers have enjoyed. Dynegy does not complain </w:t>
        </w:r>
        <w:r>
          <w:rPr>
            <w:rStyle w:val="Hyperlink"/>
            <w:noProof/>
          </w:rPr>
          <w:br/>
        </w:r>
        <w:r w:rsidRPr="00F867C0">
          <w:rPr>
            <w:rStyle w:val="Hyperlink"/>
            <w:noProof/>
          </w:rPr>
          <w:t xml:space="preserve">about large-customer switching. But larger customers </w:t>
        </w:r>
        <w:r>
          <w:rPr>
            <w:rStyle w:val="Hyperlink"/>
            <w:noProof/>
          </w:rPr>
          <w:br/>
        </w:r>
        <w:r w:rsidRPr="00F867C0">
          <w:rPr>
            <w:rStyle w:val="Hyperlink"/>
            <w:noProof/>
          </w:rPr>
          <w:t xml:space="preserve">returning to the standard service offer have a greater impact on load than smaller consumers. NOPEC simply helped smaller </w:t>
        </w:r>
        <w:r>
          <w:rPr>
            <w:rStyle w:val="Hyperlink"/>
            <w:noProof/>
          </w:rPr>
          <w:br/>
        </w:r>
        <w:r w:rsidRPr="00F867C0">
          <w:rPr>
            <w:rStyle w:val="Hyperlink"/>
            <w:noProof/>
          </w:rPr>
          <w:t xml:space="preserve">and more vulnerable consumers exercise the same opportunity </w:t>
        </w:r>
        <w:r>
          <w:rPr>
            <w:rStyle w:val="Hyperlink"/>
            <w:noProof/>
          </w:rPr>
          <w:br/>
        </w:r>
        <w:r w:rsidRPr="00F867C0">
          <w:rPr>
            <w:rStyle w:val="Hyperlink"/>
            <w:noProof/>
          </w:rPr>
          <w:t>that larger consumers have done.</w:t>
        </w:r>
        <w:r>
          <w:rPr>
            <w:noProof/>
            <w:webHidden/>
          </w:rPr>
          <w:tab/>
        </w:r>
        <w:r>
          <w:rPr>
            <w:noProof/>
            <w:webHidden/>
          </w:rPr>
          <w:fldChar w:fldCharType="begin"/>
        </w:r>
        <w:r>
          <w:rPr>
            <w:noProof/>
            <w:webHidden/>
          </w:rPr>
          <w:instrText xml:space="preserve"> PAGEREF _Toc126333677 \h </w:instrText>
        </w:r>
        <w:r>
          <w:rPr>
            <w:noProof/>
            <w:webHidden/>
          </w:rPr>
          <w:fldChar w:fldCharType="separate"/>
        </w:r>
        <w:r>
          <w:rPr>
            <w:noProof/>
            <w:webHidden/>
          </w:rPr>
          <w:t>11</w:t>
        </w:r>
        <w:r>
          <w:rPr>
            <w:noProof/>
            <w:webHidden/>
          </w:rPr>
          <w:fldChar w:fldCharType="end"/>
        </w:r>
      </w:hyperlink>
    </w:p>
    <w:p w:rsidR="00AB6455" w:rsidP="00AB6455" w14:paraId="33539E0E" w14:textId="29E33C4E">
      <w:pPr>
        <w:rPr>
          <w:rFonts w:eastAsiaTheme="minorEastAsia"/>
        </w:rPr>
      </w:pPr>
    </w:p>
    <w:p w:rsidR="00AB6455" w:rsidP="00AB6455" w14:paraId="0D8D3F2D" w14:textId="7EBD55B8">
      <w:pPr>
        <w:rPr>
          <w:rFonts w:eastAsiaTheme="minorEastAsia"/>
        </w:rPr>
      </w:pPr>
    </w:p>
    <w:p w:rsidR="00AB6455" w:rsidP="00AB6455" w14:paraId="408E72C6" w14:textId="33D5E461">
      <w:pPr>
        <w:rPr>
          <w:rFonts w:eastAsiaTheme="minorEastAsia"/>
        </w:rPr>
      </w:pPr>
    </w:p>
    <w:p w:rsidR="00AB6455" w:rsidRPr="00AB6455" w:rsidP="00AB6455" w14:paraId="2FA73DE6" w14:textId="77777777">
      <w:pPr>
        <w:rPr>
          <w:rFonts w:eastAsiaTheme="minorEastAsia"/>
        </w:rPr>
      </w:pPr>
    </w:p>
    <w:p w:rsidR="00AB6455" w14:paraId="3B9FC708" w14:textId="3DFE602B">
      <w:pPr>
        <w:pStyle w:val="TOC3"/>
        <w:rPr>
          <w:rFonts w:asciiTheme="minorHAnsi" w:eastAsiaTheme="minorEastAsia" w:hAnsiTheme="minorHAnsi" w:cstheme="minorBidi"/>
          <w:noProof/>
          <w:sz w:val="22"/>
          <w:szCs w:val="22"/>
        </w:rPr>
      </w:pPr>
      <w:hyperlink w:anchor="_Toc126333678" w:history="1">
        <w:r w:rsidRPr="00F867C0">
          <w:rPr>
            <w:rStyle w:val="Hyperlink"/>
            <w:noProof/>
          </w:rPr>
          <w:t>6.</w:t>
        </w:r>
        <w:r>
          <w:rPr>
            <w:rFonts w:asciiTheme="minorHAnsi" w:eastAsiaTheme="minorEastAsia" w:hAnsiTheme="minorHAnsi" w:cstheme="minorBidi"/>
            <w:noProof/>
            <w:sz w:val="22"/>
            <w:szCs w:val="22"/>
          </w:rPr>
          <w:tab/>
        </w:r>
        <w:r w:rsidRPr="00F867C0">
          <w:rPr>
            <w:rStyle w:val="Hyperlink"/>
            <w:noProof/>
          </w:rPr>
          <w:t xml:space="preserve">The initial commenters raise broad concerns about how standard service offer prices might be impacted when a governmental aggregator ends its aggregation program. Such concerns should </w:t>
        </w:r>
        <w:r>
          <w:rPr>
            <w:rStyle w:val="Hyperlink"/>
            <w:noProof/>
          </w:rPr>
          <w:br/>
        </w:r>
        <w:r w:rsidRPr="00F867C0">
          <w:rPr>
            <w:rStyle w:val="Hyperlink"/>
            <w:noProof/>
          </w:rPr>
          <w:t>be addressed in a generic PUCO investigation rather than the certification case of an individual governmental aggregator (NOPEC).</w:t>
        </w:r>
        <w:r>
          <w:rPr>
            <w:noProof/>
            <w:webHidden/>
          </w:rPr>
          <w:tab/>
        </w:r>
        <w:r>
          <w:rPr>
            <w:noProof/>
            <w:webHidden/>
          </w:rPr>
          <w:fldChar w:fldCharType="begin"/>
        </w:r>
        <w:r>
          <w:rPr>
            <w:noProof/>
            <w:webHidden/>
          </w:rPr>
          <w:instrText xml:space="preserve"> PAGEREF _Toc126333678 \h </w:instrText>
        </w:r>
        <w:r>
          <w:rPr>
            <w:noProof/>
            <w:webHidden/>
          </w:rPr>
          <w:fldChar w:fldCharType="separate"/>
        </w:r>
        <w:r>
          <w:rPr>
            <w:noProof/>
            <w:webHidden/>
          </w:rPr>
          <w:t>13</w:t>
        </w:r>
        <w:r>
          <w:rPr>
            <w:noProof/>
            <w:webHidden/>
          </w:rPr>
          <w:fldChar w:fldCharType="end"/>
        </w:r>
      </w:hyperlink>
    </w:p>
    <w:p w:rsidR="00AB6455" w14:paraId="7BA3533F" w14:textId="429C66C2">
      <w:pPr>
        <w:pStyle w:val="TOC1"/>
        <w:rPr>
          <w:rFonts w:asciiTheme="minorHAnsi" w:eastAsiaTheme="minorEastAsia" w:hAnsiTheme="minorHAnsi" w:cstheme="minorBidi"/>
          <w:smallCaps w:val="0"/>
          <w:noProof/>
          <w:sz w:val="22"/>
          <w:szCs w:val="22"/>
        </w:rPr>
      </w:pPr>
      <w:hyperlink w:anchor="_Toc126333679" w:history="1">
        <w:r w:rsidRPr="00F867C0">
          <w:rPr>
            <w:rStyle w:val="Hyperlink"/>
            <w:noProof/>
          </w:rPr>
          <w:t>III.</w:t>
        </w:r>
        <w:r>
          <w:rPr>
            <w:rFonts w:asciiTheme="minorHAnsi" w:eastAsiaTheme="minorEastAsia" w:hAnsiTheme="minorHAnsi" w:cstheme="minorBidi"/>
            <w:smallCaps w:val="0"/>
            <w:noProof/>
            <w:sz w:val="22"/>
            <w:szCs w:val="22"/>
          </w:rPr>
          <w:tab/>
        </w:r>
        <w:r w:rsidRPr="00F867C0">
          <w:rPr>
            <w:rStyle w:val="Hyperlink"/>
            <w:noProof/>
          </w:rPr>
          <w:t>CONCLUSION</w:t>
        </w:r>
        <w:r>
          <w:rPr>
            <w:noProof/>
            <w:webHidden/>
          </w:rPr>
          <w:tab/>
        </w:r>
        <w:r>
          <w:rPr>
            <w:noProof/>
            <w:webHidden/>
          </w:rPr>
          <w:fldChar w:fldCharType="begin"/>
        </w:r>
        <w:r>
          <w:rPr>
            <w:noProof/>
            <w:webHidden/>
          </w:rPr>
          <w:instrText xml:space="preserve"> PAGEREF _Toc126333679 \h </w:instrText>
        </w:r>
        <w:r>
          <w:rPr>
            <w:noProof/>
            <w:webHidden/>
          </w:rPr>
          <w:fldChar w:fldCharType="separate"/>
        </w:r>
        <w:r>
          <w:rPr>
            <w:noProof/>
            <w:webHidden/>
          </w:rPr>
          <w:t>16</w:t>
        </w:r>
        <w:r>
          <w:rPr>
            <w:noProof/>
            <w:webHidden/>
          </w:rPr>
          <w:fldChar w:fldCharType="end"/>
        </w:r>
      </w:hyperlink>
    </w:p>
    <w:p w:rsidR="00E81990" w:rsidP="00396B92" w14:paraId="49D794A2" w14:textId="43BD93D1">
      <w:pPr>
        <w:pStyle w:val="List"/>
        <w:ind w:left="0" w:firstLine="0"/>
        <w:jc w:val="right"/>
        <w:rPr>
          <w:b/>
          <w:szCs w:val="24"/>
        </w:rPr>
      </w:pPr>
      <w:r>
        <w:rPr>
          <w:b/>
          <w:smallCaps/>
          <w:szCs w:val="24"/>
        </w:rPr>
        <w:fldChar w:fldCharType="end"/>
      </w:r>
    </w:p>
    <w:p w:rsidR="00E81990" w14:paraId="47CD730D" w14:textId="26822CF0">
      <w:pPr>
        <w:pStyle w:val="List"/>
        <w:ind w:left="0" w:firstLine="0"/>
        <w:jc w:val="center"/>
        <w:rPr>
          <w:b/>
          <w:szCs w:val="24"/>
        </w:rPr>
        <w:sectPr w:rsidSect="00396B92">
          <w:footerReference w:type="first" r:id="rId10"/>
          <w:pgSz w:w="12240" w:h="15840"/>
          <w:pgMar w:top="1440" w:right="1800" w:bottom="1440" w:left="1800" w:header="720" w:footer="720" w:gutter="0"/>
          <w:pgNumType w:fmt="lowerRoman" w:start="1"/>
          <w:cols w:space="720"/>
          <w:titlePg/>
          <w:docGrid w:linePitch="360"/>
        </w:sectPr>
      </w:pPr>
    </w:p>
    <w:p w:rsidR="00983744" w14:paraId="08A7F070" w14:textId="77777777">
      <w:pPr>
        <w:pStyle w:val="List"/>
        <w:ind w:left="0" w:firstLine="0"/>
        <w:jc w:val="center"/>
        <w:rPr>
          <w:b/>
          <w:szCs w:val="24"/>
        </w:rPr>
      </w:pPr>
      <w:r>
        <w:rPr>
          <w:b/>
          <w:szCs w:val="24"/>
        </w:rPr>
        <w:t>BEFORE</w:t>
      </w:r>
    </w:p>
    <w:p w:rsidR="00983744" w14:paraId="2DBF9E27" w14:textId="77777777">
      <w:pPr>
        <w:pStyle w:val="List"/>
        <w:ind w:left="0" w:firstLine="0"/>
        <w:jc w:val="center"/>
        <w:rPr>
          <w:szCs w:val="24"/>
        </w:rPr>
      </w:pPr>
      <w:r>
        <w:rPr>
          <w:b/>
          <w:szCs w:val="24"/>
        </w:rPr>
        <w:t>THE PUBLIC UTILITIES COMMISSION OF OHIO</w:t>
      </w:r>
    </w:p>
    <w:p w:rsidR="00983744" w14:paraId="2B23111D" w14:textId="77777777">
      <w:pPr>
        <w:pStyle w:val="HTMLPreformatted"/>
        <w:rPr>
          <w:rFonts w:ascii="Times New Roman" w:hAnsi="Times New Roman" w:cs="Times New Roman"/>
          <w:sz w:val="24"/>
          <w:szCs w:val="24"/>
        </w:rPr>
      </w:pPr>
    </w:p>
    <w:tbl>
      <w:tblPr>
        <w:tblW w:w="8838" w:type="dxa"/>
        <w:tblLook w:val="01E0"/>
      </w:tblPr>
      <w:tblGrid>
        <w:gridCol w:w="4230"/>
        <w:gridCol w:w="630"/>
        <w:gridCol w:w="3978"/>
      </w:tblGrid>
      <w:tr w14:paraId="4FB5128F" w14:textId="77777777">
        <w:tblPrEx>
          <w:tblW w:w="8838" w:type="dxa"/>
          <w:tblLook w:val="01E0"/>
        </w:tblPrEx>
        <w:trPr>
          <w:trHeight w:val="807"/>
        </w:trPr>
        <w:tc>
          <w:tcPr>
            <w:tcW w:w="4230" w:type="dxa"/>
            <w:shd w:val="clear" w:color="auto" w:fill="auto"/>
          </w:tcPr>
          <w:p w:rsidR="00983744" w14:paraId="7B54624B" w14:textId="77777777">
            <w:pPr>
              <w:autoSpaceDE w:val="0"/>
              <w:autoSpaceDN w:val="0"/>
              <w:adjustRightInd w:val="0"/>
              <w:rPr>
                <w:sz w:val="24"/>
                <w:szCs w:val="24"/>
              </w:rPr>
            </w:pPr>
            <w:r>
              <w:rPr>
                <w:sz w:val="24"/>
                <w:szCs w:val="24"/>
              </w:rPr>
              <w:t>In the Matter of the Certification of Northeast Ohio Public Energy Council as a Governmental Aggregator.</w:t>
            </w:r>
          </w:p>
        </w:tc>
        <w:tc>
          <w:tcPr>
            <w:tcW w:w="630" w:type="dxa"/>
            <w:shd w:val="clear" w:color="auto" w:fill="auto"/>
          </w:tcPr>
          <w:p w:rsidR="00983744" w14:paraId="6F4BD28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Pr>
                <w:rFonts w:eastAsia="Courier New"/>
                <w:sz w:val="24"/>
                <w:szCs w:val="24"/>
              </w:rPr>
              <w:t>)</w:t>
            </w:r>
          </w:p>
          <w:p w:rsidR="00983744" w14:paraId="4AD7710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Pr>
                <w:rFonts w:eastAsia="Courier New"/>
                <w:sz w:val="24"/>
                <w:szCs w:val="24"/>
              </w:rPr>
              <w:t>)</w:t>
            </w:r>
          </w:p>
          <w:p w:rsidR="00983744" w14:paraId="4619305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Pr>
                <w:rFonts w:eastAsia="Courier New"/>
                <w:sz w:val="24"/>
                <w:szCs w:val="24"/>
              </w:rPr>
              <w:t>)</w:t>
            </w:r>
          </w:p>
        </w:tc>
        <w:tc>
          <w:tcPr>
            <w:tcW w:w="3978" w:type="dxa"/>
            <w:shd w:val="clear" w:color="auto" w:fill="auto"/>
          </w:tcPr>
          <w:p w:rsidR="00983744" w14:paraId="4F5FE53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983744" w14:paraId="2CE9AC5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Pr>
                <w:rFonts w:eastAsia="Courier New"/>
                <w:sz w:val="24"/>
                <w:szCs w:val="24"/>
              </w:rPr>
              <w:t>Case No. 00-2317-EL-GAG</w:t>
            </w:r>
          </w:p>
          <w:p w:rsidR="00983744" w14:paraId="1B84C63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tc>
      </w:tr>
    </w:tbl>
    <w:p w:rsidR="00983744" w14:paraId="7095C4F9" w14:textId="77777777">
      <w:pPr>
        <w:widowControl w:val="0"/>
        <w:pBdr>
          <w:bottom w:val="single" w:sz="12" w:space="1" w:color="auto"/>
        </w:pBdr>
        <w:autoSpaceDE w:val="0"/>
        <w:autoSpaceDN w:val="0"/>
        <w:adjustRightInd w:val="0"/>
        <w:rPr>
          <w:b/>
          <w:sz w:val="24"/>
          <w:szCs w:val="24"/>
        </w:rPr>
      </w:pPr>
    </w:p>
    <w:p w:rsidR="00983744" w14:paraId="2605AB40" w14:textId="77777777">
      <w:pPr>
        <w:widowControl w:val="0"/>
        <w:pBdr>
          <w:bottom w:val="single" w:sz="12" w:space="1" w:color="auto"/>
        </w:pBdr>
        <w:autoSpaceDE w:val="0"/>
        <w:autoSpaceDN w:val="0"/>
        <w:adjustRightInd w:val="0"/>
        <w:rPr>
          <w:b/>
          <w:sz w:val="24"/>
          <w:szCs w:val="24"/>
        </w:rPr>
      </w:pPr>
    </w:p>
    <w:p w:rsidR="00983744" w14:paraId="428771BE" w14:textId="77777777">
      <w:pPr>
        <w:widowControl w:val="0"/>
        <w:autoSpaceDE w:val="0"/>
        <w:autoSpaceDN w:val="0"/>
        <w:adjustRightInd w:val="0"/>
        <w:rPr>
          <w:b/>
          <w:sz w:val="24"/>
          <w:szCs w:val="24"/>
        </w:rPr>
      </w:pPr>
    </w:p>
    <w:p w:rsidR="00983744" w14:paraId="61236867" w14:textId="0B9F7BBF">
      <w:pPr>
        <w:widowControl w:val="0"/>
        <w:pBdr>
          <w:bottom w:val="single" w:sz="12" w:space="1" w:color="auto"/>
        </w:pBdr>
        <w:autoSpaceDE w:val="0"/>
        <w:autoSpaceDN w:val="0"/>
        <w:adjustRightInd w:val="0"/>
        <w:jc w:val="center"/>
        <w:rPr>
          <w:b/>
          <w:sz w:val="24"/>
          <w:szCs w:val="24"/>
        </w:rPr>
      </w:pPr>
      <w:r>
        <w:rPr>
          <w:b/>
          <w:sz w:val="24"/>
          <w:szCs w:val="24"/>
        </w:rPr>
        <w:t>REPLY COMMENTS FOR CONSUMER PROTECTION</w:t>
      </w:r>
    </w:p>
    <w:p w:rsidR="00983744" w14:paraId="26692437" w14:textId="77777777">
      <w:pPr>
        <w:widowControl w:val="0"/>
        <w:pBdr>
          <w:bottom w:val="single" w:sz="12" w:space="1" w:color="auto"/>
        </w:pBdr>
        <w:autoSpaceDE w:val="0"/>
        <w:autoSpaceDN w:val="0"/>
        <w:adjustRightInd w:val="0"/>
        <w:jc w:val="center"/>
        <w:rPr>
          <w:b/>
          <w:sz w:val="24"/>
          <w:szCs w:val="24"/>
        </w:rPr>
      </w:pPr>
      <w:r>
        <w:rPr>
          <w:b/>
          <w:sz w:val="24"/>
          <w:szCs w:val="24"/>
        </w:rPr>
        <w:t>BY</w:t>
      </w:r>
    </w:p>
    <w:p w:rsidR="00983744" w14:paraId="2A9F21EE" w14:textId="77777777">
      <w:pPr>
        <w:widowControl w:val="0"/>
        <w:pBdr>
          <w:bottom w:val="single" w:sz="12" w:space="1" w:color="auto"/>
        </w:pBdr>
        <w:autoSpaceDE w:val="0"/>
        <w:autoSpaceDN w:val="0"/>
        <w:adjustRightInd w:val="0"/>
        <w:jc w:val="center"/>
        <w:rPr>
          <w:b/>
          <w:sz w:val="24"/>
          <w:szCs w:val="24"/>
        </w:rPr>
      </w:pPr>
      <w:r>
        <w:rPr>
          <w:b/>
          <w:sz w:val="24"/>
          <w:szCs w:val="24"/>
        </w:rPr>
        <w:t>OFFICE OF THE OHIO CONSUMERS’ COUNSEL</w:t>
      </w:r>
    </w:p>
    <w:p w:rsidR="00983744" w14:paraId="35E57A08" w14:textId="77777777">
      <w:pPr>
        <w:widowControl w:val="0"/>
        <w:pBdr>
          <w:bottom w:val="single" w:sz="12" w:space="1" w:color="auto"/>
        </w:pBdr>
        <w:autoSpaceDE w:val="0"/>
        <w:autoSpaceDN w:val="0"/>
        <w:adjustRightInd w:val="0"/>
        <w:jc w:val="center"/>
        <w:rPr>
          <w:b/>
          <w:sz w:val="24"/>
          <w:szCs w:val="24"/>
        </w:rPr>
      </w:pPr>
    </w:p>
    <w:p w:rsidR="00983744" w14:paraId="3F876531" w14:textId="77777777">
      <w:pPr>
        <w:rPr>
          <w:sz w:val="24"/>
          <w:szCs w:val="24"/>
        </w:rPr>
      </w:pPr>
    </w:p>
    <w:p w:rsidR="00983744" w:rsidRPr="000B3542" w:rsidP="00396B92" w14:paraId="4841CBF0" w14:textId="4E76BA7C">
      <w:pPr>
        <w:pStyle w:val="Heading1"/>
      </w:pPr>
      <w:bookmarkStart w:id="0" w:name="_Toc126333670"/>
      <w:r>
        <w:t>INTRODUCTION</w:t>
      </w:r>
      <w:bookmarkEnd w:id="0"/>
    </w:p>
    <w:p w:rsidR="000C6E6E" w:rsidP="002D7E0C" w14:paraId="1C04EE79" w14:textId="7D01D0DA">
      <w:pPr>
        <w:spacing w:line="480" w:lineRule="auto"/>
        <w:ind w:firstLine="720"/>
        <w:rPr>
          <w:sz w:val="24"/>
          <w:szCs w:val="24"/>
        </w:rPr>
      </w:pPr>
      <w:r>
        <w:rPr>
          <w:sz w:val="24"/>
          <w:szCs w:val="24"/>
        </w:rPr>
        <w:t xml:space="preserve">Dynegy and </w:t>
      </w:r>
      <w:r w:rsidR="009B423C">
        <w:rPr>
          <w:sz w:val="24"/>
          <w:szCs w:val="24"/>
        </w:rPr>
        <w:t>any</w:t>
      </w:r>
      <w:r>
        <w:rPr>
          <w:sz w:val="24"/>
          <w:szCs w:val="24"/>
        </w:rPr>
        <w:t xml:space="preserve"> other </w:t>
      </w:r>
      <w:r w:rsidR="008C4B06">
        <w:rPr>
          <w:sz w:val="24"/>
          <w:szCs w:val="24"/>
        </w:rPr>
        <w:t>competitor</w:t>
      </w:r>
      <w:r>
        <w:rPr>
          <w:sz w:val="24"/>
          <w:szCs w:val="24"/>
        </w:rPr>
        <w:t xml:space="preserve"> opposing NOPEC’s certification should focus more on competing and less on complaining.</w:t>
      </w:r>
      <w:r w:rsidR="00E81990">
        <w:rPr>
          <w:sz w:val="24"/>
          <w:szCs w:val="24"/>
        </w:rPr>
        <w:t xml:space="preserve"> </w:t>
      </w:r>
      <w:r w:rsidR="00390D81">
        <w:rPr>
          <w:sz w:val="24"/>
          <w:szCs w:val="24"/>
        </w:rPr>
        <w:t xml:space="preserve">What </w:t>
      </w:r>
      <w:r w:rsidR="008C4B06">
        <w:rPr>
          <w:sz w:val="24"/>
          <w:szCs w:val="24"/>
        </w:rPr>
        <w:t>Dynegy</w:t>
      </w:r>
      <w:r>
        <w:rPr>
          <w:sz w:val="24"/>
          <w:szCs w:val="24"/>
        </w:rPr>
        <w:t xml:space="preserve"> </w:t>
      </w:r>
      <w:r w:rsidR="00390D81">
        <w:rPr>
          <w:sz w:val="24"/>
          <w:szCs w:val="24"/>
        </w:rPr>
        <w:t xml:space="preserve">wrongly seeks to </w:t>
      </w:r>
      <w:r w:rsidRPr="002D7E0C">
        <w:rPr>
          <w:sz w:val="24"/>
          <w:szCs w:val="24"/>
        </w:rPr>
        <w:t>accomplish through government</w:t>
      </w:r>
      <w:r w:rsidR="0044229F">
        <w:rPr>
          <w:sz w:val="24"/>
          <w:szCs w:val="24"/>
        </w:rPr>
        <w:t xml:space="preserve"> (PUCO)</w:t>
      </w:r>
      <w:r w:rsidRPr="002D7E0C">
        <w:rPr>
          <w:sz w:val="24"/>
          <w:szCs w:val="24"/>
        </w:rPr>
        <w:t xml:space="preserve"> intrusion in the market </w:t>
      </w:r>
      <w:r w:rsidR="00390D81">
        <w:rPr>
          <w:sz w:val="24"/>
          <w:szCs w:val="24"/>
        </w:rPr>
        <w:t xml:space="preserve">is </w:t>
      </w:r>
      <w:r w:rsidRPr="002D7E0C">
        <w:rPr>
          <w:sz w:val="24"/>
          <w:szCs w:val="24"/>
        </w:rPr>
        <w:t>what Ohio law</w:t>
      </w:r>
      <w:r w:rsidR="008C4B06">
        <w:rPr>
          <w:sz w:val="24"/>
          <w:szCs w:val="24"/>
        </w:rPr>
        <w:t xml:space="preserve"> </w:t>
      </w:r>
      <w:r w:rsidRPr="002D7E0C">
        <w:rPr>
          <w:sz w:val="24"/>
          <w:szCs w:val="24"/>
        </w:rPr>
        <w:t xml:space="preserve">instead intends for Dynegy and others to accomplish (if they can) through </w:t>
      </w:r>
      <w:r w:rsidR="0041012A">
        <w:rPr>
          <w:sz w:val="24"/>
          <w:szCs w:val="24"/>
        </w:rPr>
        <w:t>real</w:t>
      </w:r>
      <w:r w:rsidR="008C4B06">
        <w:rPr>
          <w:sz w:val="24"/>
          <w:szCs w:val="24"/>
        </w:rPr>
        <w:t xml:space="preserve"> </w:t>
      </w:r>
      <w:r w:rsidRPr="002D7E0C">
        <w:rPr>
          <w:sz w:val="24"/>
          <w:szCs w:val="24"/>
        </w:rPr>
        <w:t>competing</w:t>
      </w:r>
      <w:r w:rsidR="008C4B06">
        <w:rPr>
          <w:sz w:val="24"/>
          <w:szCs w:val="24"/>
        </w:rPr>
        <w:t xml:space="preserve"> against NOPEC</w:t>
      </w:r>
      <w:r w:rsidRPr="002D7E0C">
        <w:rPr>
          <w:sz w:val="24"/>
          <w:szCs w:val="24"/>
        </w:rPr>
        <w:t>.</w:t>
      </w:r>
      <w:r w:rsidR="00E81990">
        <w:rPr>
          <w:sz w:val="24"/>
          <w:szCs w:val="24"/>
        </w:rPr>
        <w:t xml:space="preserve"> </w:t>
      </w:r>
      <w:r w:rsidR="008C4B06">
        <w:rPr>
          <w:sz w:val="24"/>
          <w:szCs w:val="24"/>
        </w:rPr>
        <w:t>In this regard, t</w:t>
      </w:r>
      <w:r w:rsidR="0044229F">
        <w:rPr>
          <w:sz w:val="24"/>
          <w:szCs w:val="24"/>
        </w:rPr>
        <w:t>he PUCO should not mistake Dynegy’s rants for credible advocacy. It’s not.</w:t>
      </w:r>
      <w:r>
        <w:rPr>
          <w:rStyle w:val="FootnoteReference"/>
          <w:sz w:val="24"/>
          <w:szCs w:val="24"/>
        </w:rPr>
        <w:footnoteReference w:id="2"/>
      </w:r>
    </w:p>
    <w:p w:rsidR="00B964D6" w:rsidP="002D7E0C" w14:paraId="1EC81C6F" w14:textId="18C9707A">
      <w:pPr>
        <w:spacing w:line="480" w:lineRule="auto"/>
        <w:ind w:firstLine="720"/>
        <w:rPr>
          <w:sz w:val="24"/>
          <w:szCs w:val="24"/>
        </w:rPr>
      </w:pPr>
      <w:r>
        <w:rPr>
          <w:sz w:val="24"/>
          <w:szCs w:val="24"/>
        </w:rPr>
        <w:t>Ohio energy policy seeks to “Ensure diversity of electricity supplies and suppliers, by giving consumers effective choices over the selection of those supplies and suppliers…”</w:t>
      </w:r>
      <w:r>
        <w:rPr>
          <w:rStyle w:val="FootnoteReference"/>
          <w:sz w:val="24"/>
          <w:szCs w:val="24"/>
        </w:rPr>
        <w:footnoteReference w:id="3"/>
      </w:r>
      <w:r w:rsidR="00E81990">
        <w:rPr>
          <w:sz w:val="24"/>
          <w:szCs w:val="24"/>
        </w:rPr>
        <w:t xml:space="preserve"> </w:t>
      </w:r>
      <w:r w:rsidR="006813A0">
        <w:rPr>
          <w:sz w:val="24"/>
          <w:szCs w:val="24"/>
        </w:rPr>
        <w:t>NOPEC plays a key role in ensuring a diversity of electricity supplies and suppliers and giving consumers effective choices.</w:t>
      </w:r>
      <w:r w:rsidR="00E81990">
        <w:rPr>
          <w:sz w:val="24"/>
          <w:szCs w:val="24"/>
        </w:rPr>
        <w:t xml:space="preserve"> </w:t>
      </w:r>
    </w:p>
    <w:p w:rsidR="002D7E0C" w:rsidP="002D7E0C" w14:paraId="01BC5070" w14:textId="74DE9CCA">
      <w:pPr>
        <w:spacing w:line="480" w:lineRule="auto"/>
        <w:ind w:firstLine="720"/>
        <w:rPr>
          <w:sz w:val="24"/>
          <w:szCs w:val="24"/>
        </w:rPr>
      </w:pPr>
      <w:r>
        <w:rPr>
          <w:sz w:val="24"/>
          <w:szCs w:val="24"/>
        </w:rPr>
        <w:t xml:space="preserve">The PUCO should </w:t>
      </w:r>
      <w:r w:rsidR="00B964D6">
        <w:rPr>
          <w:sz w:val="24"/>
          <w:szCs w:val="24"/>
        </w:rPr>
        <w:t>not suspend NOPEC’s certificate. The PUCO should renew NOPEC’s certificate.</w:t>
      </w:r>
    </w:p>
    <w:p w:rsidR="009A42FC" w:rsidP="009A42FC" w14:paraId="1B31EC7E" w14:textId="77777777">
      <w:pPr>
        <w:ind w:firstLine="720"/>
        <w:rPr>
          <w:sz w:val="24"/>
          <w:szCs w:val="24"/>
        </w:rPr>
      </w:pPr>
    </w:p>
    <w:p w:rsidR="000B3542" w:rsidP="00396B92" w14:paraId="35002B00" w14:textId="30706012">
      <w:pPr>
        <w:pStyle w:val="Heading1"/>
      </w:pPr>
      <w:bookmarkStart w:id="1" w:name="_Toc126333671"/>
      <w:r>
        <w:t>REPLY COMMENTS AND RECOMMENDATIONS</w:t>
      </w:r>
      <w:bookmarkEnd w:id="1"/>
    </w:p>
    <w:p w:rsidR="000B3542" w:rsidRPr="000B3542" w:rsidP="00396B92" w14:paraId="152938D1" w14:textId="6840FC83">
      <w:pPr>
        <w:pStyle w:val="Heading2"/>
        <w:numPr>
          <w:ilvl w:val="0"/>
          <w:numId w:val="14"/>
        </w:numPr>
        <w:ind w:left="1440" w:hanging="720"/>
      </w:pPr>
      <w:bookmarkStart w:id="2" w:name="_Toc126333672"/>
      <w:r w:rsidRPr="00396B92">
        <w:t>NOPEC’s current certificate should not be suspended</w:t>
      </w:r>
      <w:r w:rsidRPr="00396B92" w:rsidR="0038525F">
        <w:t>, per Ohio law</w:t>
      </w:r>
      <w:r w:rsidRPr="00396B92">
        <w:t>.</w:t>
      </w:r>
      <w:r w:rsidR="00E81990">
        <w:t xml:space="preserve"> </w:t>
      </w:r>
      <w:r w:rsidRPr="000B3542">
        <w:t xml:space="preserve">And NOPEC’s application to renew its certificate should be granted </w:t>
      </w:r>
      <w:r w:rsidR="00157CC1">
        <w:t xml:space="preserve">per Ohio law and </w:t>
      </w:r>
      <w:r w:rsidRPr="000B3542">
        <w:t xml:space="preserve">the public interest because </w:t>
      </w:r>
      <w:r w:rsidRPr="000B3542">
        <w:rPr>
          <w:color w:val="000000"/>
        </w:rPr>
        <w:t xml:space="preserve">NOPEC possesses the managerial, technical and financial capability </w:t>
      </w:r>
      <w:r w:rsidR="00157CC1">
        <w:rPr>
          <w:color w:val="000000"/>
        </w:rPr>
        <w:t>for</w:t>
      </w:r>
      <w:r w:rsidRPr="000B3542">
        <w:rPr>
          <w:color w:val="000000"/>
        </w:rPr>
        <w:t xml:space="preserve"> renewal of its certificate.</w:t>
      </w:r>
      <w:r>
        <w:rPr>
          <w:rStyle w:val="FootnoteReference"/>
          <w:color w:val="000000"/>
        </w:rPr>
        <w:footnoteReference w:id="4"/>
      </w:r>
      <w:bookmarkEnd w:id="2"/>
    </w:p>
    <w:p w:rsidR="006517D9" w:rsidRPr="00884B02" w:rsidP="00396B92" w14:paraId="3B9991D5" w14:textId="669CE6C8">
      <w:pPr>
        <w:pStyle w:val="Heading3"/>
        <w:numPr>
          <w:ilvl w:val="0"/>
          <w:numId w:val="16"/>
        </w:numPr>
        <w:ind w:left="2160" w:hanging="720"/>
      </w:pPr>
      <w:bookmarkStart w:id="3" w:name="_Toc126315969"/>
      <w:bookmarkStart w:id="4" w:name="_Toc126316009"/>
      <w:bookmarkStart w:id="5" w:name="_Toc126316101"/>
      <w:bookmarkStart w:id="6" w:name="_Toc126333673"/>
      <w:bookmarkEnd w:id="3"/>
      <w:bookmarkEnd w:id="4"/>
      <w:bookmarkEnd w:id="5"/>
      <w:r w:rsidRPr="00884B02">
        <w:t>NOPEC has the requisite managerial, technical and financial capabilities to serve as a governmental aggregator</w:t>
      </w:r>
      <w:r w:rsidRPr="00884B02" w:rsidR="00E34352">
        <w:t>.</w:t>
      </w:r>
      <w:bookmarkEnd w:id="6"/>
    </w:p>
    <w:p w:rsidR="004A2B79" w:rsidP="002D7E0C" w14:paraId="7095F8A9" w14:textId="1CD303C5">
      <w:pPr>
        <w:spacing w:line="480" w:lineRule="auto"/>
        <w:ind w:firstLine="720"/>
        <w:rPr>
          <w:sz w:val="24"/>
          <w:szCs w:val="24"/>
        </w:rPr>
      </w:pPr>
      <w:r>
        <w:rPr>
          <w:sz w:val="24"/>
          <w:szCs w:val="24"/>
        </w:rPr>
        <w:t xml:space="preserve">NOPEC </w:t>
      </w:r>
      <w:r w:rsidR="0011344B">
        <w:rPr>
          <w:sz w:val="24"/>
          <w:szCs w:val="24"/>
        </w:rPr>
        <w:t>qualifies for</w:t>
      </w:r>
      <w:r>
        <w:rPr>
          <w:sz w:val="24"/>
          <w:szCs w:val="24"/>
        </w:rPr>
        <w:t xml:space="preserve"> certification as a government</w:t>
      </w:r>
      <w:r w:rsidR="00374D51">
        <w:rPr>
          <w:sz w:val="24"/>
          <w:szCs w:val="24"/>
        </w:rPr>
        <w:t>al</w:t>
      </w:r>
      <w:r>
        <w:rPr>
          <w:sz w:val="24"/>
          <w:szCs w:val="24"/>
        </w:rPr>
        <w:t xml:space="preserve"> aggregator if it has the necessary managerial, technical and financial capability.</w:t>
      </w:r>
      <w:r>
        <w:rPr>
          <w:rStyle w:val="FootnoteReference"/>
          <w:sz w:val="24"/>
          <w:szCs w:val="24"/>
        </w:rPr>
        <w:footnoteReference w:id="5"/>
      </w:r>
      <w:r w:rsidR="00E81990">
        <w:rPr>
          <w:sz w:val="24"/>
          <w:szCs w:val="24"/>
        </w:rPr>
        <w:t xml:space="preserve"> </w:t>
      </w:r>
      <w:r>
        <w:rPr>
          <w:sz w:val="24"/>
          <w:szCs w:val="24"/>
        </w:rPr>
        <w:t xml:space="preserve">A </w:t>
      </w:r>
      <w:r w:rsidR="00847636">
        <w:rPr>
          <w:sz w:val="24"/>
          <w:szCs w:val="24"/>
        </w:rPr>
        <w:t>broad and diverse group</w:t>
      </w:r>
      <w:r>
        <w:rPr>
          <w:sz w:val="24"/>
          <w:szCs w:val="24"/>
        </w:rPr>
        <w:t xml:space="preserve"> of commentors </w:t>
      </w:r>
      <w:r w:rsidR="00847636">
        <w:rPr>
          <w:sz w:val="24"/>
          <w:szCs w:val="24"/>
        </w:rPr>
        <w:t>remarked</w:t>
      </w:r>
      <w:r>
        <w:rPr>
          <w:sz w:val="24"/>
          <w:szCs w:val="24"/>
        </w:rPr>
        <w:t xml:space="preserve"> that NOPEC has strong managerial, technical and financial capabilities and deserves to continue operating as a government</w:t>
      </w:r>
      <w:r w:rsidR="00374D51">
        <w:rPr>
          <w:sz w:val="24"/>
          <w:szCs w:val="24"/>
        </w:rPr>
        <w:t>al</w:t>
      </w:r>
      <w:r>
        <w:rPr>
          <w:sz w:val="24"/>
          <w:szCs w:val="24"/>
        </w:rPr>
        <w:t xml:space="preserve"> aggregator.</w:t>
      </w:r>
      <w:r>
        <w:rPr>
          <w:rStyle w:val="FootnoteReference"/>
          <w:sz w:val="24"/>
          <w:szCs w:val="24"/>
        </w:rPr>
        <w:footnoteReference w:id="6"/>
      </w:r>
    </w:p>
    <w:p w:rsidR="0066313F" w:rsidP="00396B92" w14:paraId="621AFDE0" w14:textId="77777777">
      <w:pPr>
        <w:spacing w:line="480" w:lineRule="auto"/>
        <w:ind w:firstLine="720"/>
        <w:rPr>
          <w:sz w:val="24"/>
          <w:szCs w:val="24"/>
        </w:rPr>
      </w:pPr>
      <w:r>
        <w:rPr>
          <w:sz w:val="24"/>
          <w:szCs w:val="24"/>
        </w:rPr>
        <w:t>The Ohio Manufacturers’ Association Energy Group (“OMAEG”) filed in support of NOPEC. OMAEG plays an active role representing energy consumers, as summarized below:</w:t>
      </w:r>
    </w:p>
    <w:p w:rsidR="0066313F" w:rsidRPr="00847636" w:rsidP="0066313F" w14:paraId="408A7316" w14:textId="77777777">
      <w:pPr>
        <w:ind w:left="1440" w:right="1440"/>
        <w:rPr>
          <w:sz w:val="24"/>
          <w:szCs w:val="24"/>
        </w:rPr>
      </w:pPr>
      <w:r>
        <w:rPr>
          <w:sz w:val="24"/>
          <w:szCs w:val="24"/>
        </w:rPr>
        <w:t xml:space="preserve">[OMAEG] </w:t>
      </w:r>
      <w:r w:rsidRPr="00847636">
        <w:rPr>
          <w:sz w:val="24"/>
          <w:szCs w:val="24"/>
        </w:rPr>
        <w:t>strives to improve business conditions in Ohio and drive down the cost of doing business for Ohio manufacturers. OMAEG members and their representatives work directly with elected officials, regulatory agencies, the judiciary, and the media to provide education and information to energy consumers, regulatory boards and suppliers of energy; advance energy policies to promote an adequate, reliable, and efficient supply of energy at reasonable prices; and advocate in critical cases before the Commission. As consumers and purchasers of energy and electric distribution and related services</w:t>
      </w:r>
      <w:r>
        <w:rPr>
          <w:sz w:val="24"/>
          <w:szCs w:val="24"/>
        </w:rPr>
        <w:t>…</w:t>
      </w:r>
      <w:r w:rsidRPr="00847636">
        <w:rPr>
          <w:sz w:val="24"/>
          <w:szCs w:val="24"/>
        </w:rPr>
        <w:t>, OMAEG has been involved in numerous cases before the Commission</w:t>
      </w:r>
      <w:r>
        <w:rPr>
          <w:sz w:val="24"/>
          <w:szCs w:val="24"/>
        </w:rPr>
        <w:t>….</w:t>
      </w:r>
      <w:r>
        <w:rPr>
          <w:rStyle w:val="FootnoteReference"/>
          <w:sz w:val="24"/>
          <w:szCs w:val="24"/>
        </w:rPr>
        <w:footnoteReference w:id="7"/>
      </w:r>
    </w:p>
    <w:p w:rsidR="0066313F" w:rsidP="0066313F" w14:paraId="1A6DDE5F" w14:textId="77777777">
      <w:pPr>
        <w:rPr>
          <w:sz w:val="24"/>
          <w:szCs w:val="24"/>
        </w:rPr>
      </w:pPr>
    </w:p>
    <w:p w:rsidR="0066313F" w:rsidP="0066313F" w14:paraId="03F8B204" w14:textId="77777777">
      <w:pPr>
        <w:spacing w:line="480" w:lineRule="auto"/>
        <w:ind w:firstLine="720"/>
        <w:rPr>
          <w:sz w:val="24"/>
          <w:szCs w:val="24"/>
        </w:rPr>
      </w:pPr>
      <w:r>
        <w:rPr>
          <w:sz w:val="24"/>
          <w:szCs w:val="24"/>
        </w:rPr>
        <w:t>Mr. Ryan Augsburger, President of the Ohio Manufacturers’ Association, stated:</w:t>
      </w:r>
    </w:p>
    <w:p w:rsidR="0066313F" w:rsidP="0066313F" w14:paraId="76D1EC36" w14:textId="77777777">
      <w:pPr>
        <w:ind w:left="1440" w:right="1440"/>
        <w:rPr>
          <w:sz w:val="24"/>
          <w:szCs w:val="24"/>
        </w:rPr>
      </w:pPr>
      <w:r w:rsidRPr="00847636">
        <w:rPr>
          <w:sz w:val="24"/>
          <w:szCs w:val="24"/>
        </w:rPr>
        <w:t>For twenty years, NOPEC has been an important stakeholder in the state of Ohio, managing governmental aggregation programs that serve many of the communities where OMA’s member companies operate and their employees live. NOPEC has been an active participant in the competitive market, advocating for its communities in both regulatory and legislative proceedings. Based upon NOPEC’s response, OMA supports NOPEC’s continued certification as a governmental aggregator in the state.</w:t>
      </w:r>
      <w:r>
        <w:rPr>
          <w:rStyle w:val="FootnoteReference"/>
          <w:sz w:val="24"/>
          <w:szCs w:val="24"/>
        </w:rPr>
        <w:footnoteReference w:id="8"/>
      </w:r>
    </w:p>
    <w:p w:rsidR="007A6C13" w:rsidP="00396B92" w14:paraId="11AFDD73" w14:textId="77777777">
      <w:pPr>
        <w:ind w:firstLine="720"/>
        <w:rPr>
          <w:sz w:val="24"/>
          <w:szCs w:val="24"/>
        </w:rPr>
      </w:pPr>
    </w:p>
    <w:p w:rsidR="00F71281" w:rsidP="002D7E0C" w14:paraId="32A21CB3" w14:textId="32A4427C">
      <w:pPr>
        <w:spacing w:line="480" w:lineRule="auto"/>
        <w:ind w:firstLine="720"/>
        <w:rPr>
          <w:sz w:val="24"/>
          <w:szCs w:val="24"/>
        </w:rPr>
      </w:pPr>
      <w:r>
        <w:rPr>
          <w:sz w:val="24"/>
          <w:szCs w:val="24"/>
        </w:rPr>
        <w:t xml:space="preserve">NOPEC </w:t>
      </w:r>
      <w:r w:rsidR="002C556B">
        <w:rPr>
          <w:sz w:val="24"/>
          <w:szCs w:val="24"/>
        </w:rPr>
        <w:t>procures</w:t>
      </w:r>
      <w:r w:rsidR="00C21AD2">
        <w:rPr>
          <w:sz w:val="24"/>
          <w:szCs w:val="24"/>
        </w:rPr>
        <w:t xml:space="preserve"> its generation supply for </w:t>
      </w:r>
      <w:r w:rsidR="002C556B">
        <w:rPr>
          <w:sz w:val="24"/>
          <w:szCs w:val="24"/>
        </w:rPr>
        <w:t xml:space="preserve">its </w:t>
      </w:r>
      <w:r w:rsidR="00C21AD2">
        <w:rPr>
          <w:sz w:val="24"/>
          <w:szCs w:val="24"/>
        </w:rPr>
        <w:t>governmental aggregation programs from</w:t>
      </w:r>
      <w:r>
        <w:rPr>
          <w:sz w:val="24"/>
          <w:szCs w:val="24"/>
        </w:rPr>
        <w:t xml:space="preserve"> Next</w:t>
      </w:r>
      <w:r w:rsidR="0066313F">
        <w:rPr>
          <w:sz w:val="24"/>
          <w:szCs w:val="24"/>
        </w:rPr>
        <w:t>E</w:t>
      </w:r>
      <w:r>
        <w:rPr>
          <w:sz w:val="24"/>
          <w:szCs w:val="24"/>
        </w:rPr>
        <w:t>ra Energy Services Ohio, LLC (“NESO”).</w:t>
      </w:r>
      <w:r>
        <w:rPr>
          <w:rStyle w:val="FootnoteReference"/>
          <w:sz w:val="24"/>
          <w:szCs w:val="24"/>
        </w:rPr>
        <w:footnoteReference w:id="9"/>
      </w:r>
      <w:r w:rsidR="00E81990">
        <w:rPr>
          <w:sz w:val="24"/>
          <w:szCs w:val="24"/>
        </w:rPr>
        <w:t xml:space="preserve"> </w:t>
      </w:r>
      <w:r>
        <w:rPr>
          <w:sz w:val="24"/>
          <w:szCs w:val="24"/>
        </w:rPr>
        <w:t>NESO is a subsidiary of NextEra Energy Services ("NES”),</w:t>
      </w:r>
      <w:r>
        <w:rPr>
          <w:rStyle w:val="FootnoteReference"/>
          <w:sz w:val="24"/>
          <w:szCs w:val="24"/>
        </w:rPr>
        <w:footnoteReference w:id="10"/>
      </w:r>
      <w:r w:rsidR="00E81990">
        <w:rPr>
          <w:sz w:val="24"/>
          <w:szCs w:val="24"/>
        </w:rPr>
        <w:t xml:space="preserve"> </w:t>
      </w:r>
      <w:r>
        <w:rPr>
          <w:sz w:val="24"/>
          <w:szCs w:val="24"/>
        </w:rPr>
        <w:t>which is a subsidiary of NextEra Energy</w:t>
      </w:r>
      <w:r w:rsidR="00EE6B0C">
        <w:rPr>
          <w:sz w:val="24"/>
          <w:szCs w:val="24"/>
        </w:rPr>
        <w:t>. NextEra Energy is</w:t>
      </w:r>
      <w:r>
        <w:rPr>
          <w:sz w:val="24"/>
          <w:szCs w:val="24"/>
        </w:rPr>
        <w:t xml:space="preserve"> the world’s largest utility company.</w:t>
      </w:r>
      <w:r>
        <w:rPr>
          <w:rStyle w:val="FootnoteReference"/>
          <w:sz w:val="24"/>
          <w:szCs w:val="24"/>
        </w:rPr>
        <w:footnoteReference w:id="11"/>
      </w:r>
      <w:r w:rsidR="00E81990">
        <w:rPr>
          <w:sz w:val="24"/>
          <w:szCs w:val="24"/>
        </w:rPr>
        <w:t xml:space="preserve"> </w:t>
      </w:r>
      <w:r w:rsidR="002C556B">
        <w:rPr>
          <w:sz w:val="24"/>
          <w:szCs w:val="24"/>
        </w:rPr>
        <w:t>NESO filed comments attesting to NOPEC’s managerial, technical and financial expertise.</w:t>
      </w:r>
      <w:r>
        <w:rPr>
          <w:rStyle w:val="FootnoteReference"/>
          <w:sz w:val="24"/>
          <w:szCs w:val="24"/>
        </w:rPr>
        <w:footnoteReference w:id="12"/>
      </w:r>
    </w:p>
    <w:p w:rsidR="005E6BD1" w:rsidP="002D7E0C" w14:paraId="00BA922F" w14:textId="087B0E85">
      <w:pPr>
        <w:spacing w:line="480" w:lineRule="auto"/>
        <w:ind w:firstLine="720"/>
        <w:rPr>
          <w:sz w:val="24"/>
          <w:szCs w:val="24"/>
        </w:rPr>
      </w:pPr>
      <w:r>
        <w:rPr>
          <w:sz w:val="24"/>
          <w:szCs w:val="24"/>
        </w:rPr>
        <w:t xml:space="preserve">A </w:t>
      </w:r>
      <w:r w:rsidR="00374D51">
        <w:rPr>
          <w:sz w:val="24"/>
          <w:szCs w:val="24"/>
        </w:rPr>
        <w:t xml:space="preserve">large </w:t>
      </w:r>
      <w:r>
        <w:rPr>
          <w:sz w:val="24"/>
          <w:szCs w:val="24"/>
        </w:rPr>
        <w:t>group of NOPEC member communities filed comments attesting to NOPEC’s managerial, technical and financial capability.</w:t>
      </w:r>
      <w:r>
        <w:rPr>
          <w:rStyle w:val="FootnoteReference"/>
          <w:sz w:val="24"/>
          <w:szCs w:val="24"/>
        </w:rPr>
        <w:footnoteReference w:id="13"/>
      </w:r>
      <w:r w:rsidR="00E81990">
        <w:rPr>
          <w:sz w:val="24"/>
          <w:szCs w:val="24"/>
        </w:rPr>
        <w:t xml:space="preserve"> </w:t>
      </w:r>
      <w:r>
        <w:rPr>
          <w:sz w:val="24"/>
          <w:szCs w:val="24"/>
        </w:rPr>
        <w:t xml:space="preserve">This </w:t>
      </w:r>
      <w:r w:rsidR="00EE6B0C">
        <w:rPr>
          <w:sz w:val="24"/>
          <w:szCs w:val="24"/>
        </w:rPr>
        <w:t xml:space="preserve">group </w:t>
      </w:r>
      <w:r>
        <w:rPr>
          <w:sz w:val="24"/>
          <w:szCs w:val="24"/>
        </w:rPr>
        <w:t>i</w:t>
      </w:r>
      <w:r w:rsidR="008A2318">
        <w:rPr>
          <w:sz w:val="24"/>
          <w:szCs w:val="24"/>
        </w:rPr>
        <w:t>ncludes</w:t>
      </w:r>
      <w:r>
        <w:rPr>
          <w:sz w:val="24"/>
          <w:szCs w:val="24"/>
        </w:rPr>
        <w:t xml:space="preserve"> 79 local governments which participated in NOPEC</w:t>
      </w:r>
      <w:r w:rsidR="00EE6B0C">
        <w:rPr>
          <w:sz w:val="24"/>
          <w:szCs w:val="24"/>
        </w:rPr>
        <w:t>’s</w:t>
      </w:r>
      <w:r>
        <w:rPr>
          <w:sz w:val="24"/>
          <w:szCs w:val="24"/>
        </w:rPr>
        <w:t xml:space="preserve"> governmental aggregations during the past 20 years.</w:t>
      </w:r>
      <w:r>
        <w:rPr>
          <w:rStyle w:val="FootnoteReference"/>
          <w:sz w:val="24"/>
          <w:szCs w:val="24"/>
        </w:rPr>
        <w:footnoteReference w:id="14"/>
      </w:r>
      <w:r w:rsidR="00E81990">
        <w:rPr>
          <w:sz w:val="24"/>
          <w:szCs w:val="24"/>
        </w:rPr>
        <w:t xml:space="preserve"> </w:t>
      </w:r>
      <w:r w:rsidR="00374D51">
        <w:rPr>
          <w:sz w:val="24"/>
          <w:szCs w:val="24"/>
        </w:rPr>
        <w:t>Additional local governments filed comments individually.</w:t>
      </w:r>
      <w:r>
        <w:rPr>
          <w:rStyle w:val="FootnoteReference"/>
          <w:sz w:val="24"/>
          <w:szCs w:val="24"/>
        </w:rPr>
        <w:footnoteReference w:id="15"/>
      </w:r>
      <w:r w:rsidR="00E81990">
        <w:rPr>
          <w:sz w:val="24"/>
          <w:szCs w:val="24"/>
        </w:rPr>
        <w:t xml:space="preserve"> </w:t>
      </w:r>
      <w:r w:rsidR="00374D51">
        <w:rPr>
          <w:sz w:val="24"/>
          <w:szCs w:val="24"/>
        </w:rPr>
        <w:t>Each commenter supported NOPEC’s experience and capabilities as a governmental aggregator.</w:t>
      </w:r>
      <w:r w:rsidR="00E81990">
        <w:rPr>
          <w:sz w:val="24"/>
          <w:szCs w:val="24"/>
        </w:rPr>
        <w:t xml:space="preserve"> </w:t>
      </w:r>
      <w:r w:rsidR="00374D51">
        <w:rPr>
          <w:sz w:val="24"/>
          <w:szCs w:val="24"/>
        </w:rPr>
        <w:t>The following comments of Andover Township are representative of the group’s comments:</w:t>
      </w:r>
    </w:p>
    <w:p w:rsidR="00374D51" w:rsidP="00374D51" w14:paraId="2B108F73" w14:textId="41BC4210">
      <w:pPr>
        <w:ind w:left="1440" w:right="1440"/>
        <w:rPr>
          <w:sz w:val="24"/>
          <w:szCs w:val="24"/>
        </w:rPr>
      </w:pPr>
      <w:r>
        <w:rPr>
          <w:sz w:val="24"/>
          <w:szCs w:val="24"/>
        </w:rPr>
        <w:t>This community’s residents have participated in NOPEC’s electric aggregation since 2001, and NOPEC has been a valued partner for our Township.</w:t>
      </w:r>
    </w:p>
    <w:p w:rsidR="00374D51" w:rsidP="00374D51" w14:paraId="764BEFA1" w14:textId="5A34DBDD">
      <w:pPr>
        <w:ind w:left="1440" w:right="1440"/>
        <w:rPr>
          <w:sz w:val="24"/>
          <w:szCs w:val="24"/>
        </w:rPr>
      </w:pPr>
    </w:p>
    <w:p w:rsidR="00374D51" w:rsidP="00374D51" w14:paraId="38E3882D" w14:textId="418C5C2B">
      <w:pPr>
        <w:ind w:left="1440" w:right="1440"/>
        <w:rPr>
          <w:sz w:val="24"/>
          <w:szCs w:val="24"/>
        </w:rPr>
      </w:pPr>
      <w:r>
        <w:rPr>
          <w:sz w:val="24"/>
          <w:szCs w:val="24"/>
        </w:rPr>
        <w:t>The purpose of this letter is simple – to strongly support NOPEC’s continued certification by the PUCO.</w:t>
      </w:r>
      <w:r w:rsidR="00E81990">
        <w:rPr>
          <w:sz w:val="24"/>
          <w:szCs w:val="24"/>
        </w:rPr>
        <w:t xml:space="preserve"> </w:t>
      </w:r>
      <w:r w:rsidR="004B4192">
        <w:rPr>
          <w:sz w:val="24"/>
          <w:szCs w:val="24"/>
        </w:rPr>
        <w:t>[We] write to firmly oppose any suspension of NOPEC’s operating certificate.</w:t>
      </w:r>
      <w:r w:rsidR="00E81990">
        <w:rPr>
          <w:sz w:val="24"/>
          <w:szCs w:val="24"/>
        </w:rPr>
        <w:t xml:space="preserve"> </w:t>
      </w:r>
      <w:r w:rsidR="004B4192">
        <w:rPr>
          <w:sz w:val="24"/>
          <w:szCs w:val="24"/>
        </w:rPr>
        <w:t>* * *</w:t>
      </w:r>
    </w:p>
    <w:p w:rsidR="006517D9" w:rsidP="00374D51" w14:paraId="1386D478" w14:textId="77777777">
      <w:pPr>
        <w:ind w:left="1440" w:right="1440"/>
        <w:rPr>
          <w:sz w:val="24"/>
          <w:szCs w:val="24"/>
        </w:rPr>
      </w:pPr>
    </w:p>
    <w:p w:rsidR="004B4192" w:rsidP="00374D51" w14:paraId="39F2CB25" w14:textId="09FE348F">
      <w:pPr>
        <w:ind w:left="1440" w:right="1440"/>
        <w:rPr>
          <w:sz w:val="24"/>
          <w:szCs w:val="24"/>
        </w:rPr>
      </w:pPr>
      <w:r>
        <w:rPr>
          <w:sz w:val="24"/>
          <w:szCs w:val="24"/>
        </w:rPr>
        <w:t>Importantly, NOPEC was chosen by our community and over 200 other local governments in Ohio, to provide electric aggregation service.</w:t>
      </w:r>
      <w:r w:rsidR="00E81990">
        <w:rPr>
          <w:sz w:val="24"/>
          <w:szCs w:val="24"/>
        </w:rPr>
        <w:t xml:space="preserve"> </w:t>
      </w:r>
      <w:r>
        <w:rPr>
          <w:sz w:val="24"/>
          <w:szCs w:val="24"/>
        </w:rPr>
        <w:t>As a non-profit regional council of governments, NOPEC has a 20+ year track record of providing excellent service to its member communities.</w:t>
      </w:r>
      <w:r w:rsidR="00E81990">
        <w:rPr>
          <w:sz w:val="24"/>
          <w:szCs w:val="24"/>
        </w:rPr>
        <w:t xml:space="preserve"> </w:t>
      </w:r>
      <w:r>
        <w:rPr>
          <w:sz w:val="24"/>
          <w:szCs w:val="24"/>
        </w:rPr>
        <w:t>It has an experienced and active management team, and its talented staff (in collaboration with NOPEC’s chosen supplier) provide strong technical support and customer service to our community.</w:t>
      </w:r>
      <w:r>
        <w:rPr>
          <w:rStyle w:val="FootnoteReference"/>
          <w:sz w:val="24"/>
          <w:szCs w:val="24"/>
        </w:rPr>
        <w:footnoteReference w:id="16"/>
      </w:r>
    </w:p>
    <w:p w:rsidR="00D56491" w:rsidP="00D56491" w14:paraId="1B36BCC3" w14:textId="77777777">
      <w:pPr>
        <w:rPr>
          <w:sz w:val="24"/>
          <w:szCs w:val="24"/>
        </w:rPr>
      </w:pPr>
    </w:p>
    <w:p w:rsidR="008A2318" w:rsidP="008A2318" w14:paraId="15D63397" w14:textId="5977EBDA">
      <w:pPr>
        <w:spacing w:line="480" w:lineRule="auto"/>
        <w:rPr>
          <w:sz w:val="24"/>
          <w:szCs w:val="24"/>
        </w:rPr>
      </w:pPr>
      <w:r>
        <w:rPr>
          <w:sz w:val="24"/>
          <w:szCs w:val="24"/>
        </w:rPr>
        <w:tab/>
      </w:r>
      <w:r>
        <w:rPr>
          <w:sz w:val="24"/>
          <w:szCs w:val="24"/>
        </w:rPr>
        <w:t>A group of present and former state legislators also filed comments in support of NOPEC’s managerial, technical and financial capabilities as a governmental aggregator.</w:t>
      </w:r>
      <w:r>
        <w:rPr>
          <w:rStyle w:val="FootnoteReference"/>
          <w:sz w:val="24"/>
          <w:szCs w:val="24"/>
        </w:rPr>
        <w:footnoteReference w:id="17"/>
      </w:r>
      <w:r w:rsidR="00E81990">
        <w:rPr>
          <w:sz w:val="24"/>
          <w:szCs w:val="24"/>
        </w:rPr>
        <w:t xml:space="preserve"> </w:t>
      </w:r>
      <w:r>
        <w:rPr>
          <w:sz w:val="24"/>
          <w:szCs w:val="24"/>
        </w:rPr>
        <w:t>These state legislators represent districts with local governments that enrolled in NOPEC governmental aggregation programs.</w:t>
      </w:r>
      <w:r w:rsidR="00E81990">
        <w:rPr>
          <w:sz w:val="24"/>
          <w:szCs w:val="24"/>
        </w:rPr>
        <w:t xml:space="preserve"> </w:t>
      </w:r>
      <w:r>
        <w:rPr>
          <w:sz w:val="24"/>
          <w:szCs w:val="24"/>
        </w:rPr>
        <w:t>Typical of these comments from state legislators are the following comments from Representative Bill Roemer:</w:t>
      </w:r>
    </w:p>
    <w:p w:rsidR="008A2318" w:rsidP="008A2318" w14:paraId="5585D8EF" w14:textId="77777777">
      <w:pPr>
        <w:ind w:left="1440" w:right="1440"/>
        <w:rPr>
          <w:sz w:val="24"/>
          <w:szCs w:val="24"/>
        </w:rPr>
      </w:pPr>
      <w:r w:rsidRPr="00235C2B">
        <w:rPr>
          <w:sz w:val="24"/>
          <w:szCs w:val="24"/>
        </w:rPr>
        <w:t xml:space="preserve">I am aware of NOPEC’s track record and performance for my constituents since I began public service in 2010. Many of my District’s constituents have participated in NOPEC’s electric aggregation and have benefitted from their consumer advocacy. I firmly support the opportunity for my constituents to achieve a better aggregation process and cost. NOPEC’s decision to return customers to electric utility was appropriate. </w:t>
      </w:r>
    </w:p>
    <w:p w:rsidR="008A2318" w:rsidP="008A2318" w14:paraId="0AE021B1" w14:textId="77777777">
      <w:pPr>
        <w:ind w:left="1440" w:right="1440"/>
        <w:rPr>
          <w:sz w:val="24"/>
          <w:szCs w:val="24"/>
        </w:rPr>
      </w:pPr>
    </w:p>
    <w:p w:rsidR="008A2318" w:rsidP="008A2318" w14:paraId="5379471C" w14:textId="77777777">
      <w:pPr>
        <w:ind w:left="1440" w:right="1440"/>
        <w:rPr>
          <w:sz w:val="24"/>
          <w:szCs w:val="24"/>
        </w:rPr>
      </w:pPr>
      <w:r w:rsidRPr="00235C2B">
        <w:rPr>
          <w:sz w:val="24"/>
          <w:szCs w:val="24"/>
        </w:rPr>
        <w:t>NOPEC has been chosen by over 200 local governments in Ohio to provide electric aggregation service. As a non-profit regional council of governments, NOPEC has a 20+ year track record of providing excellent service to its member communities. It has a strong and active management team, and it (in collaboration with NOPEC’s chosen supplier) provides strong technical support to communities in my District.</w:t>
      </w:r>
      <w:r>
        <w:rPr>
          <w:rStyle w:val="FootnoteReference"/>
          <w:sz w:val="24"/>
          <w:szCs w:val="24"/>
        </w:rPr>
        <w:footnoteReference w:id="18"/>
      </w:r>
    </w:p>
    <w:p w:rsidR="008A2318" w:rsidP="00396B92" w14:paraId="70555CCE" w14:textId="34C58F72">
      <w:pPr>
        <w:rPr>
          <w:sz w:val="24"/>
          <w:szCs w:val="24"/>
        </w:rPr>
      </w:pPr>
      <w:r>
        <w:rPr>
          <w:sz w:val="24"/>
          <w:szCs w:val="24"/>
        </w:rPr>
        <w:tab/>
      </w:r>
    </w:p>
    <w:p w:rsidR="004A2B79" w:rsidP="002D7E0C" w14:paraId="4BB5BB4C" w14:textId="78238A8A">
      <w:pPr>
        <w:spacing w:line="480" w:lineRule="auto"/>
        <w:ind w:firstLine="720"/>
        <w:rPr>
          <w:sz w:val="24"/>
          <w:szCs w:val="24"/>
        </w:rPr>
      </w:pPr>
      <w:r>
        <w:rPr>
          <w:sz w:val="24"/>
          <w:szCs w:val="24"/>
        </w:rPr>
        <w:t>NOPEC has the necessary managerial, technical and financial capabilit</w:t>
      </w:r>
      <w:r w:rsidR="00A811F5">
        <w:rPr>
          <w:sz w:val="24"/>
          <w:szCs w:val="24"/>
        </w:rPr>
        <w:t>ies</w:t>
      </w:r>
      <w:r>
        <w:rPr>
          <w:sz w:val="24"/>
          <w:szCs w:val="24"/>
        </w:rPr>
        <w:t xml:space="preserve"> to serve </w:t>
      </w:r>
      <w:r w:rsidR="005E5A7D">
        <w:rPr>
          <w:sz w:val="24"/>
          <w:szCs w:val="24"/>
        </w:rPr>
        <w:t xml:space="preserve">Ohioans </w:t>
      </w:r>
      <w:r>
        <w:rPr>
          <w:sz w:val="24"/>
          <w:szCs w:val="24"/>
        </w:rPr>
        <w:t>as a governmental aggregator.</w:t>
      </w:r>
    </w:p>
    <w:p w:rsidR="00FA217C" w:rsidRPr="00A05A16" w:rsidP="00396B92" w14:paraId="32B96F4F" w14:textId="0012C18F">
      <w:pPr>
        <w:pStyle w:val="Heading3"/>
        <w:numPr>
          <w:ilvl w:val="0"/>
          <w:numId w:val="16"/>
        </w:numPr>
        <w:ind w:left="2160" w:hanging="720"/>
      </w:pPr>
      <w:bookmarkStart w:id="7" w:name="_Toc126333674"/>
      <w:r w:rsidRPr="00396B92">
        <w:rPr>
          <w:rStyle w:val="Heading2Char"/>
          <w:rFonts w:ascii="Times New Roman" w:hAnsi="Times New Roman"/>
          <w:b/>
          <w:bCs/>
          <w:szCs w:val="26"/>
        </w:rPr>
        <w:t>NOPEC</w:t>
      </w:r>
      <w:r w:rsidRPr="00396B92" w:rsidR="00A811F5">
        <w:rPr>
          <w:rStyle w:val="Heading2Char"/>
          <w:rFonts w:ascii="Times New Roman" w:hAnsi="Times New Roman"/>
          <w:b/>
          <w:bCs/>
          <w:szCs w:val="26"/>
        </w:rPr>
        <w:t xml:space="preserve"> has shown cause, in</w:t>
      </w:r>
      <w:r w:rsidRPr="00396B92">
        <w:rPr>
          <w:rStyle w:val="Heading2Char"/>
          <w:rFonts w:ascii="Times New Roman" w:hAnsi="Times New Roman"/>
          <w:b/>
          <w:bCs/>
          <w:szCs w:val="26"/>
        </w:rPr>
        <w:t xml:space="preserve"> response to the PUCO’s Show-</w:t>
      </w:r>
      <w:r w:rsidRPr="00A05A16">
        <w:t>Cause Order</w:t>
      </w:r>
      <w:r w:rsidRPr="00A05A16" w:rsidR="00A811F5">
        <w:t>,</w:t>
      </w:r>
      <w:r w:rsidRPr="00A05A16">
        <w:t xml:space="preserve"> that it complied with law and rules</w:t>
      </w:r>
      <w:r w:rsidRPr="00A05A16" w:rsidR="00A811F5">
        <w:t xml:space="preserve"> and that its </w:t>
      </w:r>
      <w:r w:rsidRPr="00A05A16" w:rsidR="004D284E">
        <w:t>certificate</w:t>
      </w:r>
      <w:r w:rsidRPr="00A05A16" w:rsidR="00A811F5">
        <w:t xml:space="preserve"> should not be suspended</w:t>
      </w:r>
      <w:r w:rsidRPr="00A05A16">
        <w:t>.</w:t>
      </w:r>
      <w:r w:rsidRPr="00A05A16" w:rsidR="00A242E8">
        <w:t xml:space="preserve"> Its certificate should be renewed.</w:t>
      </w:r>
      <w:r w:rsidRPr="00A05A16">
        <w:t xml:space="preserve"> </w:t>
      </w:r>
      <w:r w:rsidRPr="00A05A16" w:rsidR="003E6A95">
        <w:t>What also has been shown is that Dynegy is misusing the PUCO’s certification process as a substitute for the complaint against NOPEC that it withdrew.</w:t>
      </w:r>
      <w:bookmarkEnd w:id="7"/>
      <w:r w:rsidRPr="00A05A16" w:rsidR="00E81990">
        <w:t xml:space="preserve"> </w:t>
      </w:r>
    </w:p>
    <w:p w:rsidR="009A42FC" w:rsidP="00FA217C" w14:paraId="17873FA3" w14:textId="77777777">
      <w:pPr>
        <w:spacing w:line="480" w:lineRule="auto"/>
        <w:ind w:firstLine="720"/>
        <w:rPr>
          <w:sz w:val="24"/>
          <w:szCs w:val="24"/>
        </w:rPr>
      </w:pPr>
      <w:r>
        <w:rPr>
          <w:sz w:val="24"/>
          <w:szCs w:val="24"/>
        </w:rPr>
        <w:t>Dynegy claim</w:t>
      </w:r>
      <w:r w:rsidR="00E132D2">
        <w:rPr>
          <w:sz w:val="24"/>
          <w:szCs w:val="24"/>
        </w:rPr>
        <w:t>s</w:t>
      </w:r>
      <w:r>
        <w:rPr>
          <w:sz w:val="24"/>
          <w:szCs w:val="24"/>
        </w:rPr>
        <w:t xml:space="preserve"> that the PUCO should suspend</w:t>
      </w:r>
      <w:r w:rsidR="00CC6E6C">
        <w:rPr>
          <w:sz w:val="24"/>
          <w:szCs w:val="24"/>
        </w:rPr>
        <w:t xml:space="preserve"> and </w:t>
      </w:r>
      <w:r>
        <w:rPr>
          <w:sz w:val="24"/>
          <w:szCs w:val="24"/>
        </w:rPr>
        <w:t xml:space="preserve">reject </w:t>
      </w:r>
      <w:r w:rsidR="00747794">
        <w:rPr>
          <w:sz w:val="24"/>
          <w:szCs w:val="24"/>
        </w:rPr>
        <w:t xml:space="preserve">NOPEC’s </w:t>
      </w:r>
      <w:r>
        <w:rPr>
          <w:sz w:val="24"/>
          <w:szCs w:val="24"/>
        </w:rPr>
        <w:t xml:space="preserve">certification because NOPEC violated certain laws and rules </w:t>
      </w:r>
      <w:r w:rsidR="00747794">
        <w:rPr>
          <w:sz w:val="24"/>
          <w:szCs w:val="24"/>
        </w:rPr>
        <w:t>when it returned consumers to</w:t>
      </w:r>
      <w:r w:rsidR="003914C2">
        <w:rPr>
          <w:sz w:val="24"/>
          <w:szCs w:val="24"/>
        </w:rPr>
        <w:t xml:space="preserve"> </w:t>
      </w:r>
    </w:p>
    <w:p w:rsidR="009A42FC" w14:paraId="4D70B679" w14:textId="77777777">
      <w:pPr>
        <w:rPr>
          <w:sz w:val="24"/>
          <w:szCs w:val="24"/>
        </w:rPr>
      </w:pPr>
      <w:r>
        <w:rPr>
          <w:sz w:val="24"/>
          <w:szCs w:val="24"/>
        </w:rPr>
        <w:br w:type="page"/>
      </w:r>
    </w:p>
    <w:p w:rsidR="00CC6E6C" w:rsidP="009A42FC" w14:paraId="3A1C73AD" w14:textId="3AA0FF58">
      <w:pPr>
        <w:spacing w:line="480" w:lineRule="auto"/>
        <w:rPr>
          <w:sz w:val="24"/>
          <w:szCs w:val="24"/>
        </w:rPr>
      </w:pPr>
      <w:r>
        <w:rPr>
          <w:sz w:val="24"/>
          <w:szCs w:val="24"/>
        </w:rPr>
        <w:t>FirstEnergy’s standard service offer</w:t>
      </w:r>
      <w:r w:rsidR="003914C2">
        <w:rPr>
          <w:sz w:val="24"/>
          <w:szCs w:val="24"/>
        </w:rPr>
        <w:t>.</w:t>
      </w:r>
      <w:r>
        <w:rPr>
          <w:rStyle w:val="FootnoteReference"/>
          <w:sz w:val="24"/>
          <w:szCs w:val="24"/>
        </w:rPr>
        <w:footnoteReference w:id="19"/>
      </w:r>
      <w:r w:rsidR="00E81990">
        <w:rPr>
          <w:sz w:val="24"/>
          <w:szCs w:val="24"/>
        </w:rPr>
        <w:t xml:space="preserve"> </w:t>
      </w:r>
      <w:r w:rsidR="00EC367E">
        <w:rPr>
          <w:sz w:val="24"/>
          <w:szCs w:val="24"/>
        </w:rPr>
        <w:t>NOPEC’s response to the PUCO’s Show-Cause Order establish</w:t>
      </w:r>
      <w:r>
        <w:rPr>
          <w:sz w:val="24"/>
          <w:szCs w:val="24"/>
        </w:rPr>
        <w:t>es</w:t>
      </w:r>
      <w:r w:rsidR="00EC367E">
        <w:rPr>
          <w:sz w:val="24"/>
          <w:szCs w:val="24"/>
        </w:rPr>
        <w:t xml:space="preserve"> that no such violations occurred.</w:t>
      </w:r>
      <w:r>
        <w:rPr>
          <w:rStyle w:val="FootnoteReference"/>
          <w:sz w:val="24"/>
          <w:szCs w:val="24"/>
        </w:rPr>
        <w:footnoteReference w:id="20"/>
      </w:r>
      <w:r w:rsidR="00E81990">
        <w:rPr>
          <w:sz w:val="24"/>
          <w:szCs w:val="24"/>
        </w:rPr>
        <w:t xml:space="preserve"> </w:t>
      </w:r>
      <w:r>
        <w:rPr>
          <w:sz w:val="24"/>
          <w:szCs w:val="24"/>
        </w:rPr>
        <w:t xml:space="preserve">NOPEC’s certificate should not be suspended. </w:t>
      </w:r>
    </w:p>
    <w:p w:rsidR="00D07336" w:rsidP="00FA217C" w14:paraId="19D28DAD" w14:textId="31CFE8C9">
      <w:pPr>
        <w:spacing w:line="480" w:lineRule="auto"/>
        <w:ind w:firstLine="720"/>
        <w:rPr>
          <w:sz w:val="24"/>
          <w:szCs w:val="24"/>
        </w:rPr>
      </w:pPr>
      <w:r>
        <w:rPr>
          <w:sz w:val="24"/>
          <w:szCs w:val="24"/>
        </w:rPr>
        <w:t xml:space="preserve">As stated in our Initial Comments, the PUCO should be skeptical about </w:t>
      </w:r>
      <w:r>
        <w:rPr>
          <w:sz w:val="24"/>
          <w:szCs w:val="24"/>
        </w:rPr>
        <w:t>Dynegy’s</w:t>
      </w:r>
      <w:r>
        <w:rPr>
          <w:sz w:val="24"/>
          <w:szCs w:val="24"/>
        </w:rPr>
        <w:t xml:space="preserve"> </w:t>
      </w:r>
      <w:r>
        <w:rPr>
          <w:sz w:val="24"/>
          <w:szCs w:val="24"/>
        </w:rPr>
        <w:t>agenda, as a competitor, in the certification case of its competitor, NOPEC.</w:t>
      </w:r>
      <w:r w:rsidR="00E81990">
        <w:rPr>
          <w:sz w:val="24"/>
          <w:szCs w:val="24"/>
        </w:rPr>
        <w:t xml:space="preserve"> </w:t>
      </w:r>
      <w:r>
        <w:rPr>
          <w:sz w:val="24"/>
          <w:szCs w:val="24"/>
        </w:rPr>
        <w:t xml:space="preserve">Dynegy could certainly benefit from a PUCO denial of NOPEC’s certificate. But that kind of self-serving benefit should </w:t>
      </w:r>
      <w:r w:rsidR="00B7788A">
        <w:rPr>
          <w:sz w:val="24"/>
          <w:szCs w:val="24"/>
        </w:rPr>
        <w:t xml:space="preserve">instead </w:t>
      </w:r>
      <w:r>
        <w:rPr>
          <w:sz w:val="24"/>
          <w:szCs w:val="24"/>
        </w:rPr>
        <w:t xml:space="preserve">be left to </w:t>
      </w:r>
      <w:r w:rsidR="00A2231B">
        <w:rPr>
          <w:sz w:val="24"/>
          <w:szCs w:val="24"/>
        </w:rPr>
        <w:t xml:space="preserve">whether </w:t>
      </w:r>
      <w:r>
        <w:rPr>
          <w:sz w:val="24"/>
          <w:szCs w:val="24"/>
        </w:rPr>
        <w:t>Dynegy</w:t>
      </w:r>
      <w:r w:rsidR="00A2231B">
        <w:rPr>
          <w:sz w:val="24"/>
          <w:szCs w:val="24"/>
        </w:rPr>
        <w:t xml:space="preserve"> can succeed as a competitor against NOPEC</w:t>
      </w:r>
      <w:r w:rsidR="00B7788A">
        <w:rPr>
          <w:sz w:val="24"/>
          <w:szCs w:val="24"/>
        </w:rPr>
        <w:t xml:space="preserve"> in the market</w:t>
      </w:r>
      <w:r>
        <w:rPr>
          <w:sz w:val="24"/>
          <w:szCs w:val="24"/>
        </w:rPr>
        <w:t xml:space="preserve">. </w:t>
      </w:r>
    </w:p>
    <w:p w:rsidR="00D07336" w:rsidP="00D07336" w14:paraId="072CF7B6" w14:textId="654A6208">
      <w:pPr>
        <w:spacing w:line="480" w:lineRule="auto"/>
        <w:ind w:firstLine="720"/>
        <w:rPr>
          <w:sz w:val="24"/>
          <w:szCs w:val="24"/>
        </w:rPr>
      </w:pPr>
      <w:r>
        <w:rPr>
          <w:sz w:val="24"/>
          <w:szCs w:val="24"/>
        </w:rPr>
        <w:t>Dynegy has filed to prove that NOPEC</w:t>
      </w:r>
      <w:r w:rsidR="00EC367E">
        <w:rPr>
          <w:sz w:val="24"/>
          <w:szCs w:val="24"/>
        </w:rPr>
        <w:t xml:space="preserve"> </w:t>
      </w:r>
      <w:r w:rsidR="00E132D2">
        <w:rPr>
          <w:sz w:val="24"/>
          <w:szCs w:val="24"/>
        </w:rPr>
        <w:t xml:space="preserve">lacks the managerial, technical and financial </w:t>
      </w:r>
      <w:r>
        <w:rPr>
          <w:sz w:val="24"/>
          <w:szCs w:val="24"/>
        </w:rPr>
        <w:t>capabilities required for a certificate per law</w:t>
      </w:r>
      <w:r w:rsidR="00E132D2">
        <w:rPr>
          <w:sz w:val="24"/>
          <w:szCs w:val="24"/>
        </w:rPr>
        <w:t>.</w:t>
      </w:r>
      <w:r>
        <w:rPr>
          <w:rStyle w:val="FootnoteReference"/>
          <w:sz w:val="24"/>
          <w:szCs w:val="24"/>
        </w:rPr>
        <w:footnoteReference w:id="21"/>
      </w:r>
      <w:r w:rsidR="00E81990">
        <w:rPr>
          <w:sz w:val="24"/>
          <w:szCs w:val="24"/>
        </w:rPr>
        <w:t xml:space="preserve"> </w:t>
      </w:r>
      <w:r>
        <w:rPr>
          <w:sz w:val="24"/>
          <w:szCs w:val="24"/>
        </w:rPr>
        <w:t>What’s really happening here is that Dynegy is seeking to prosecute in a certificate case</w:t>
      </w:r>
      <w:r w:rsidR="00A2231B">
        <w:rPr>
          <w:sz w:val="24"/>
          <w:szCs w:val="24"/>
        </w:rPr>
        <w:t xml:space="preserve"> under R.C. 4828.08</w:t>
      </w:r>
      <w:r>
        <w:rPr>
          <w:sz w:val="24"/>
          <w:szCs w:val="24"/>
        </w:rPr>
        <w:t xml:space="preserve"> what is</w:t>
      </w:r>
      <w:r w:rsidR="00A2231B">
        <w:rPr>
          <w:sz w:val="24"/>
          <w:szCs w:val="24"/>
        </w:rPr>
        <w:t xml:space="preserve"> </w:t>
      </w:r>
      <w:r>
        <w:rPr>
          <w:sz w:val="24"/>
          <w:szCs w:val="24"/>
        </w:rPr>
        <w:t xml:space="preserve">meant by law to be heard in a </w:t>
      </w:r>
      <w:r w:rsidR="005A6387">
        <w:rPr>
          <w:sz w:val="24"/>
          <w:szCs w:val="24"/>
        </w:rPr>
        <w:t>complaint case under R.C. 4905.26</w:t>
      </w:r>
      <w:r>
        <w:rPr>
          <w:sz w:val="24"/>
          <w:szCs w:val="24"/>
        </w:rPr>
        <w:t>.</w:t>
      </w:r>
      <w:r w:rsidR="005A6387">
        <w:rPr>
          <w:sz w:val="24"/>
          <w:szCs w:val="24"/>
        </w:rPr>
        <w:t xml:space="preserve"> </w:t>
      </w:r>
      <w:r>
        <w:rPr>
          <w:sz w:val="24"/>
          <w:szCs w:val="24"/>
        </w:rPr>
        <w:t>It speaks volumes about Dynegy’s weak prospects in a complaint case that Dynegy withdrew its complaint in short order after filing it against NOPEC.</w:t>
      </w:r>
      <w:r>
        <w:rPr>
          <w:rStyle w:val="FootnoteReference"/>
          <w:sz w:val="24"/>
          <w:szCs w:val="24"/>
        </w:rPr>
        <w:footnoteReference w:id="22"/>
      </w:r>
    </w:p>
    <w:p w:rsidR="0069589A" w:rsidP="00D07336" w14:paraId="7B267898" w14:textId="59A6811E">
      <w:pPr>
        <w:spacing w:line="480" w:lineRule="auto"/>
        <w:ind w:firstLine="720"/>
        <w:rPr>
          <w:sz w:val="24"/>
          <w:szCs w:val="24"/>
        </w:rPr>
      </w:pPr>
      <w:r>
        <w:rPr>
          <w:sz w:val="24"/>
          <w:szCs w:val="24"/>
        </w:rPr>
        <w:t xml:space="preserve">In this regard, </w:t>
      </w:r>
      <w:r w:rsidR="005A6387">
        <w:rPr>
          <w:sz w:val="24"/>
          <w:szCs w:val="24"/>
        </w:rPr>
        <w:t>R.C. 4905.26 states that a complaint is the available process for any allegations of “violation of law.”</w:t>
      </w:r>
      <w:r>
        <w:rPr>
          <w:rStyle w:val="FootnoteReference"/>
          <w:sz w:val="24"/>
          <w:szCs w:val="24"/>
        </w:rPr>
        <w:footnoteReference w:id="23"/>
      </w:r>
      <w:r w:rsidR="00E81990">
        <w:rPr>
          <w:sz w:val="24"/>
          <w:szCs w:val="24"/>
        </w:rPr>
        <w:t xml:space="preserve"> </w:t>
      </w:r>
      <w:r w:rsidR="005A6387">
        <w:rPr>
          <w:sz w:val="24"/>
          <w:szCs w:val="24"/>
        </w:rPr>
        <w:t>R.C. 4928.16 provides that the PUCO’s jurisdiction to hear complaints extends to complaints against governmental aggregators.</w:t>
      </w:r>
      <w:r>
        <w:rPr>
          <w:rStyle w:val="FootnoteReference"/>
          <w:sz w:val="24"/>
          <w:szCs w:val="24"/>
        </w:rPr>
        <w:footnoteReference w:id="24"/>
      </w:r>
      <w:r w:rsidR="00E81990">
        <w:rPr>
          <w:sz w:val="24"/>
          <w:szCs w:val="24"/>
        </w:rPr>
        <w:t xml:space="preserve"> </w:t>
      </w:r>
      <w:r w:rsidR="002B428B">
        <w:rPr>
          <w:sz w:val="24"/>
          <w:szCs w:val="24"/>
        </w:rPr>
        <w:t>W</w:t>
      </w:r>
      <w:r>
        <w:rPr>
          <w:sz w:val="24"/>
          <w:szCs w:val="24"/>
        </w:rPr>
        <w:t>hen a</w:t>
      </w:r>
      <w:r w:rsidR="00396B92">
        <w:rPr>
          <w:sz w:val="24"/>
          <w:szCs w:val="24"/>
        </w:rPr>
        <w:t xml:space="preserve"> </w:t>
      </w:r>
      <w:r w:rsidR="00E81990">
        <w:rPr>
          <w:sz w:val="24"/>
          <w:szCs w:val="24"/>
        </w:rPr>
        <w:t>marketer claims</w:t>
      </w:r>
      <w:r>
        <w:rPr>
          <w:sz w:val="24"/>
          <w:szCs w:val="24"/>
        </w:rPr>
        <w:t xml:space="preserve"> that another person or entity has violated Ohio law or regulations pertaining to service, the PUCO’s precedent has been to resolve these claims in the context of a complaint case under R.C. 4905.26.</w:t>
      </w:r>
      <w:r>
        <w:rPr>
          <w:rStyle w:val="FootnoteReference"/>
          <w:sz w:val="24"/>
          <w:szCs w:val="24"/>
        </w:rPr>
        <w:footnoteReference w:id="25"/>
      </w:r>
      <w:r w:rsidR="00E81990">
        <w:rPr>
          <w:sz w:val="24"/>
          <w:szCs w:val="24"/>
        </w:rPr>
        <w:t xml:space="preserve"> </w:t>
      </w:r>
      <w:r w:rsidR="00760100">
        <w:rPr>
          <w:sz w:val="24"/>
          <w:szCs w:val="24"/>
        </w:rPr>
        <w:t>The burden of proof in a complaint case rests with the party bringing the complaint.</w:t>
      </w:r>
      <w:r>
        <w:rPr>
          <w:rStyle w:val="FootnoteReference"/>
          <w:sz w:val="24"/>
          <w:szCs w:val="24"/>
        </w:rPr>
        <w:footnoteReference w:id="26"/>
      </w:r>
      <w:r w:rsidR="00E81990">
        <w:rPr>
          <w:sz w:val="24"/>
          <w:szCs w:val="24"/>
        </w:rPr>
        <w:t xml:space="preserve"> </w:t>
      </w:r>
      <w:r w:rsidR="002B428B">
        <w:rPr>
          <w:sz w:val="24"/>
          <w:szCs w:val="24"/>
        </w:rPr>
        <w:t>The defendant in a complaint case is entitled to a hearing.</w:t>
      </w:r>
      <w:r>
        <w:rPr>
          <w:rStyle w:val="FootnoteReference"/>
          <w:sz w:val="24"/>
          <w:szCs w:val="24"/>
        </w:rPr>
        <w:footnoteReference w:id="27"/>
      </w:r>
      <w:r w:rsidR="00E81990">
        <w:rPr>
          <w:sz w:val="24"/>
          <w:szCs w:val="24"/>
        </w:rPr>
        <w:t xml:space="preserve"> </w:t>
      </w:r>
    </w:p>
    <w:p w:rsidR="00874BF1" w:rsidP="00FA217C" w14:paraId="22684461" w14:textId="0A0EF5F8">
      <w:pPr>
        <w:spacing w:line="480" w:lineRule="auto"/>
        <w:ind w:firstLine="720"/>
        <w:rPr>
          <w:sz w:val="24"/>
          <w:szCs w:val="24"/>
        </w:rPr>
      </w:pPr>
      <w:r>
        <w:rPr>
          <w:sz w:val="24"/>
          <w:szCs w:val="24"/>
        </w:rPr>
        <w:t>In th</w:t>
      </w:r>
      <w:r w:rsidR="005D02C6">
        <w:rPr>
          <w:sz w:val="24"/>
          <w:szCs w:val="24"/>
        </w:rPr>
        <w:t>is certificate</w:t>
      </w:r>
      <w:r>
        <w:rPr>
          <w:sz w:val="24"/>
          <w:szCs w:val="24"/>
        </w:rPr>
        <w:t xml:space="preserve"> case, </w:t>
      </w:r>
      <w:r w:rsidR="005D02C6">
        <w:rPr>
          <w:sz w:val="24"/>
          <w:szCs w:val="24"/>
        </w:rPr>
        <w:t>Dynegy is creating an administrative burden and a waste of state and local resources by attempting to litigate its complaint issues against NOPEC.</w:t>
      </w:r>
      <w:r w:rsidR="00E81990">
        <w:rPr>
          <w:sz w:val="24"/>
          <w:szCs w:val="24"/>
        </w:rPr>
        <w:t xml:space="preserve"> </w:t>
      </w:r>
      <w:r>
        <w:rPr>
          <w:sz w:val="24"/>
          <w:szCs w:val="24"/>
        </w:rPr>
        <w:t>Dynegy is also contributing to increased market risk</w:t>
      </w:r>
      <w:r w:rsidR="00AB178E">
        <w:rPr>
          <w:sz w:val="24"/>
          <w:szCs w:val="24"/>
        </w:rPr>
        <w:t>, as the PUCO delays resolving NOPEC issues,</w:t>
      </w:r>
      <w:r>
        <w:rPr>
          <w:sz w:val="24"/>
          <w:szCs w:val="24"/>
        </w:rPr>
        <w:t xml:space="preserve"> with a likely result of increased prices for consumers.</w:t>
      </w:r>
      <w:r w:rsidR="005D02C6">
        <w:rPr>
          <w:sz w:val="24"/>
          <w:szCs w:val="24"/>
        </w:rPr>
        <w:t xml:space="preserve"> </w:t>
      </w:r>
    </w:p>
    <w:p w:rsidR="002B428B" w:rsidP="00FA217C" w14:paraId="16387774" w14:textId="6E765647">
      <w:pPr>
        <w:spacing w:line="480" w:lineRule="auto"/>
        <w:ind w:firstLine="720"/>
        <w:rPr>
          <w:sz w:val="24"/>
          <w:szCs w:val="24"/>
        </w:rPr>
      </w:pPr>
      <w:r>
        <w:rPr>
          <w:sz w:val="24"/>
          <w:szCs w:val="24"/>
        </w:rPr>
        <w:t>By prosecuting its issues in NOPEC’s certificate case and under a show-cause order, Dynegy gains a strategic advantage. Dynegy’s advantage is from</w:t>
      </w:r>
      <w:r w:rsidR="00AB178E">
        <w:rPr>
          <w:sz w:val="24"/>
          <w:szCs w:val="24"/>
        </w:rPr>
        <w:t xml:space="preserve"> a</w:t>
      </w:r>
      <w:r>
        <w:rPr>
          <w:sz w:val="24"/>
          <w:szCs w:val="24"/>
        </w:rPr>
        <w:t xml:space="preserve"> shifting</w:t>
      </w:r>
      <w:r w:rsidR="00AB178E">
        <w:rPr>
          <w:sz w:val="24"/>
          <w:szCs w:val="24"/>
        </w:rPr>
        <w:t xml:space="preserve"> of</w:t>
      </w:r>
      <w:r>
        <w:rPr>
          <w:sz w:val="24"/>
          <w:szCs w:val="24"/>
        </w:rPr>
        <w:t xml:space="preserve"> the burden of proof to NOPEC, instead of bearing the burden</w:t>
      </w:r>
      <w:r w:rsidR="00874BF1">
        <w:rPr>
          <w:sz w:val="24"/>
          <w:szCs w:val="24"/>
        </w:rPr>
        <w:t xml:space="preserve"> itself</w:t>
      </w:r>
      <w:r>
        <w:rPr>
          <w:sz w:val="24"/>
          <w:szCs w:val="24"/>
        </w:rPr>
        <w:t xml:space="preserve"> in a </w:t>
      </w:r>
      <w:r w:rsidR="00A2231B">
        <w:rPr>
          <w:sz w:val="24"/>
          <w:szCs w:val="24"/>
        </w:rPr>
        <w:t>complaint</w:t>
      </w:r>
      <w:r>
        <w:rPr>
          <w:sz w:val="24"/>
          <w:szCs w:val="24"/>
        </w:rPr>
        <w:t xml:space="preserve"> case. That’s wrong. Dynegy’s issues </w:t>
      </w:r>
      <w:r w:rsidR="007C32F3">
        <w:rPr>
          <w:sz w:val="24"/>
          <w:szCs w:val="24"/>
        </w:rPr>
        <w:t>mostly</w:t>
      </w:r>
      <w:r w:rsidR="00AB178E">
        <w:rPr>
          <w:sz w:val="24"/>
          <w:szCs w:val="24"/>
        </w:rPr>
        <w:t xml:space="preserve"> </w:t>
      </w:r>
      <w:r>
        <w:rPr>
          <w:sz w:val="24"/>
          <w:szCs w:val="24"/>
        </w:rPr>
        <w:t xml:space="preserve">belong </w:t>
      </w:r>
      <w:r w:rsidR="00760100">
        <w:rPr>
          <w:sz w:val="24"/>
          <w:szCs w:val="24"/>
        </w:rPr>
        <w:t>under R.C. 4905.26</w:t>
      </w:r>
      <w:r>
        <w:rPr>
          <w:sz w:val="24"/>
          <w:szCs w:val="24"/>
        </w:rPr>
        <w:t xml:space="preserve"> (complaints)</w:t>
      </w:r>
      <w:r w:rsidR="00760100">
        <w:rPr>
          <w:sz w:val="24"/>
          <w:szCs w:val="24"/>
        </w:rPr>
        <w:t xml:space="preserve"> </w:t>
      </w:r>
      <w:r>
        <w:rPr>
          <w:sz w:val="24"/>
          <w:szCs w:val="24"/>
        </w:rPr>
        <w:t>and not</w:t>
      </w:r>
      <w:r w:rsidR="00760100">
        <w:rPr>
          <w:sz w:val="24"/>
          <w:szCs w:val="24"/>
        </w:rPr>
        <w:t xml:space="preserve"> </w:t>
      </w:r>
      <w:r>
        <w:rPr>
          <w:sz w:val="24"/>
          <w:szCs w:val="24"/>
        </w:rPr>
        <w:t>under R.C. 4928.08 (certificates) – not that Dynegy’s</w:t>
      </w:r>
      <w:r w:rsidR="00A867E8">
        <w:rPr>
          <w:sz w:val="24"/>
          <w:szCs w:val="24"/>
        </w:rPr>
        <w:t xml:space="preserve"> </w:t>
      </w:r>
      <w:r>
        <w:rPr>
          <w:sz w:val="24"/>
          <w:szCs w:val="24"/>
        </w:rPr>
        <w:t>issues belong anywhere</w:t>
      </w:r>
      <w:r w:rsidR="00760100">
        <w:rPr>
          <w:sz w:val="24"/>
          <w:szCs w:val="24"/>
        </w:rPr>
        <w:t>.</w:t>
      </w:r>
      <w:r w:rsidR="00E81990">
        <w:rPr>
          <w:sz w:val="24"/>
          <w:szCs w:val="24"/>
        </w:rPr>
        <w:t xml:space="preserve"> </w:t>
      </w:r>
    </w:p>
    <w:p w:rsidR="00B3658C" w:rsidP="00FA217C" w14:paraId="335B4105" w14:textId="7F52326C">
      <w:pPr>
        <w:spacing w:line="480" w:lineRule="auto"/>
        <w:ind w:firstLine="720"/>
        <w:rPr>
          <w:sz w:val="24"/>
          <w:szCs w:val="24"/>
        </w:rPr>
      </w:pPr>
      <w:r>
        <w:rPr>
          <w:sz w:val="24"/>
          <w:szCs w:val="24"/>
        </w:rPr>
        <w:t>C</w:t>
      </w:r>
      <w:r w:rsidR="008060CE">
        <w:rPr>
          <w:sz w:val="24"/>
          <w:szCs w:val="24"/>
        </w:rPr>
        <w:t xml:space="preserve">omplaint cases </w:t>
      </w:r>
      <w:r>
        <w:rPr>
          <w:sz w:val="24"/>
          <w:szCs w:val="24"/>
        </w:rPr>
        <w:t>lack a timeline for</w:t>
      </w:r>
      <w:r w:rsidR="008060CE">
        <w:rPr>
          <w:sz w:val="24"/>
          <w:szCs w:val="24"/>
        </w:rPr>
        <w:t xml:space="preserve"> resol</w:t>
      </w:r>
      <w:r>
        <w:rPr>
          <w:sz w:val="24"/>
          <w:szCs w:val="24"/>
        </w:rPr>
        <w:t>ution. But</w:t>
      </w:r>
      <w:r w:rsidR="008060CE">
        <w:rPr>
          <w:sz w:val="24"/>
          <w:szCs w:val="24"/>
        </w:rPr>
        <w:t xml:space="preserve"> certificat</w:t>
      </w:r>
      <w:r>
        <w:rPr>
          <w:sz w:val="24"/>
          <w:szCs w:val="24"/>
        </w:rPr>
        <w:t>e</w:t>
      </w:r>
      <w:r w:rsidR="008060CE">
        <w:rPr>
          <w:sz w:val="24"/>
          <w:szCs w:val="24"/>
        </w:rPr>
        <w:t xml:space="preserve"> cases are designed to be resolved expeditiously.</w:t>
      </w:r>
      <w:r>
        <w:rPr>
          <w:rStyle w:val="FootnoteReference"/>
          <w:sz w:val="24"/>
          <w:szCs w:val="24"/>
        </w:rPr>
        <w:footnoteReference w:id="28"/>
      </w:r>
      <w:r w:rsidR="00E81990">
        <w:rPr>
          <w:sz w:val="24"/>
          <w:szCs w:val="24"/>
        </w:rPr>
        <w:t xml:space="preserve"> </w:t>
      </w:r>
      <w:r w:rsidR="00A2231B">
        <w:rPr>
          <w:sz w:val="24"/>
          <w:szCs w:val="24"/>
        </w:rPr>
        <w:t>Dynegy is messing with that formula, to the detriment of Ohio consumers.</w:t>
      </w:r>
    </w:p>
    <w:p w:rsidR="004660B8" w:rsidP="004660B8" w14:paraId="29C4EDD2" w14:textId="720A14C7">
      <w:pPr>
        <w:spacing w:line="480" w:lineRule="auto"/>
        <w:ind w:firstLine="720"/>
        <w:rPr>
          <w:color w:val="000000"/>
          <w:sz w:val="24"/>
          <w:szCs w:val="24"/>
        </w:rPr>
      </w:pPr>
      <w:r>
        <w:rPr>
          <w:color w:val="000000"/>
          <w:sz w:val="24"/>
          <w:szCs w:val="24"/>
        </w:rPr>
        <w:t>By attempting to litigate claims that belong in a complaint proceeding</w:t>
      </w:r>
      <w:r w:rsidR="003E6A95">
        <w:rPr>
          <w:color w:val="000000"/>
          <w:sz w:val="24"/>
          <w:szCs w:val="24"/>
        </w:rPr>
        <w:t xml:space="preserve"> (if anywhere)</w:t>
      </w:r>
      <w:r>
        <w:rPr>
          <w:color w:val="000000"/>
          <w:sz w:val="24"/>
          <w:szCs w:val="24"/>
        </w:rPr>
        <w:t xml:space="preserve">, </w:t>
      </w:r>
      <w:r>
        <w:rPr>
          <w:color w:val="000000"/>
          <w:sz w:val="24"/>
          <w:szCs w:val="24"/>
        </w:rPr>
        <w:t xml:space="preserve">Dynegy has not established a </w:t>
      </w:r>
      <w:r>
        <w:rPr>
          <w:color w:val="000000"/>
          <w:sz w:val="24"/>
          <w:szCs w:val="24"/>
        </w:rPr>
        <w:t xml:space="preserve">proper </w:t>
      </w:r>
      <w:r>
        <w:rPr>
          <w:color w:val="000000"/>
          <w:sz w:val="24"/>
          <w:szCs w:val="24"/>
        </w:rPr>
        <w:t xml:space="preserve">foundation </w:t>
      </w:r>
      <w:r>
        <w:rPr>
          <w:color w:val="000000"/>
          <w:sz w:val="24"/>
          <w:szCs w:val="24"/>
        </w:rPr>
        <w:t xml:space="preserve">for opposing NOPEC’s certification. </w:t>
      </w:r>
      <w:r w:rsidR="00874BF1">
        <w:rPr>
          <w:color w:val="000000"/>
          <w:sz w:val="24"/>
          <w:szCs w:val="24"/>
        </w:rPr>
        <w:t>Here, i</w:t>
      </w:r>
      <w:r w:rsidR="00F21004">
        <w:rPr>
          <w:color w:val="000000"/>
          <w:sz w:val="24"/>
          <w:szCs w:val="24"/>
        </w:rPr>
        <w:t>ts</w:t>
      </w:r>
      <w:r w:rsidR="00780F45">
        <w:rPr>
          <w:color w:val="000000"/>
          <w:sz w:val="24"/>
          <w:szCs w:val="24"/>
        </w:rPr>
        <w:t xml:space="preserve"> </w:t>
      </w:r>
      <w:r w:rsidR="00874BF1">
        <w:rPr>
          <w:color w:val="000000"/>
          <w:sz w:val="24"/>
          <w:szCs w:val="24"/>
        </w:rPr>
        <w:t xml:space="preserve">claims </w:t>
      </w:r>
      <w:r w:rsidR="00A867E8">
        <w:rPr>
          <w:color w:val="000000"/>
          <w:sz w:val="24"/>
          <w:szCs w:val="24"/>
        </w:rPr>
        <w:t>should be viewed as a</w:t>
      </w:r>
      <w:r w:rsidR="00874BF1">
        <w:rPr>
          <w:color w:val="000000"/>
          <w:sz w:val="24"/>
          <w:szCs w:val="24"/>
        </w:rPr>
        <w:t xml:space="preserve"> misuse </w:t>
      </w:r>
      <w:r w:rsidR="00F21004">
        <w:rPr>
          <w:color w:val="000000"/>
          <w:sz w:val="24"/>
          <w:szCs w:val="24"/>
        </w:rPr>
        <w:t xml:space="preserve">of </w:t>
      </w:r>
      <w:r w:rsidR="00874BF1">
        <w:rPr>
          <w:color w:val="000000"/>
          <w:sz w:val="24"/>
          <w:szCs w:val="24"/>
        </w:rPr>
        <w:t xml:space="preserve">the </w:t>
      </w:r>
      <w:r w:rsidR="00F21004">
        <w:rPr>
          <w:color w:val="000000"/>
          <w:sz w:val="24"/>
          <w:szCs w:val="24"/>
        </w:rPr>
        <w:t>PUCO</w:t>
      </w:r>
      <w:r w:rsidR="00874BF1">
        <w:rPr>
          <w:color w:val="000000"/>
          <w:sz w:val="24"/>
          <w:szCs w:val="24"/>
        </w:rPr>
        <w:t>’s certification</w:t>
      </w:r>
      <w:r w:rsidR="00F21004">
        <w:rPr>
          <w:color w:val="000000"/>
          <w:sz w:val="24"/>
          <w:szCs w:val="24"/>
        </w:rPr>
        <w:t xml:space="preserve"> process.</w:t>
      </w:r>
      <w:r w:rsidR="00E81990">
        <w:rPr>
          <w:color w:val="000000"/>
          <w:sz w:val="24"/>
          <w:szCs w:val="24"/>
        </w:rPr>
        <w:t xml:space="preserve"> </w:t>
      </w:r>
    </w:p>
    <w:p w:rsidR="00DC6B36" w:rsidP="003A30A0" w14:paraId="76F7FA2C" w14:textId="11FCD903">
      <w:pPr>
        <w:spacing w:line="480" w:lineRule="auto"/>
        <w:ind w:firstLine="720"/>
        <w:rPr>
          <w:color w:val="000000"/>
          <w:sz w:val="24"/>
          <w:szCs w:val="24"/>
        </w:rPr>
      </w:pPr>
      <w:r>
        <w:rPr>
          <w:color w:val="000000"/>
          <w:sz w:val="24"/>
          <w:szCs w:val="24"/>
          <w:shd w:val="clear" w:color="auto" w:fill="FFFFFF"/>
        </w:rPr>
        <w:t xml:space="preserve">The </w:t>
      </w:r>
      <w:r w:rsidR="004660B8">
        <w:rPr>
          <w:color w:val="000000"/>
          <w:sz w:val="24"/>
          <w:szCs w:val="24"/>
          <w:shd w:val="clear" w:color="auto" w:fill="FFFFFF"/>
        </w:rPr>
        <w:t xml:space="preserve">PUCO has stated that “The </w:t>
      </w:r>
      <w:r w:rsidRPr="00D85461" w:rsidR="004660B8">
        <w:rPr>
          <w:color w:val="000000"/>
          <w:sz w:val="24"/>
          <w:szCs w:val="24"/>
          <w:shd w:val="clear" w:color="auto" w:fill="FFFFFF"/>
        </w:rPr>
        <w:t>Commission's resources are not unlimited and must be allocated efficiently.”</w:t>
      </w:r>
      <w:r>
        <w:rPr>
          <w:rStyle w:val="FootnoteReference"/>
          <w:color w:val="000000"/>
          <w:sz w:val="24"/>
          <w:szCs w:val="24"/>
          <w:shd w:val="clear" w:color="auto" w:fill="FFFFFF"/>
        </w:rPr>
        <w:footnoteReference w:id="29"/>
      </w:r>
      <w:r w:rsidR="004660B8">
        <w:rPr>
          <w:color w:val="000000"/>
          <w:sz w:val="24"/>
          <w:szCs w:val="24"/>
          <w:shd w:val="clear" w:color="auto" w:fill="FFFFFF"/>
        </w:rPr>
        <w:t xml:space="preserve"> </w:t>
      </w:r>
      <w:r w:rsidR="00D85461">
        <w:rPr>
          <w:color w:val="000000"/>
          <w:sz w:val="24"/>
          <w:szCs w:val="24"/>
        </w:rPr>
        <w:t xml:space="preserve">The General Assembly acknowledged </w:t>
      </w:r>
      <w:r w:rsidR="003A30A0">
        <w:rPr>
          <w:color w:val="000000"/>
          <w:sz w:val="24"/>
          <w:szCs w:val="24"/>
        </w:rPr>
        <w:t>the importance of conserving PUCO resources</w:t>
      </w:r>
      <w:r w:rsidR="00D85461">
        <w:rPr>
          <w:color w:val="000000"/>
          <w:sz w:val="24"/>
          <w:szCs w:val="24"/>
        </w:rPr>
        <w:t xml:space="preserve"> by enacting R.C. 4903.24, which gives the PUCO power to </w:t>
      </w:r>
      <w:r w:rsidR="004660B8">
        <w:rPr>
          <w:color w:val="000000"/>
          <w:sz w:val="24"/>
          <w:szCs w:val="24"/>
        </w:rPr>
        <w:t xml:space="preserve">impose costs of an investigation “in such proportion as the commission determines.” </w:t>
      </w:r>
      <w:r w:rsidR="00F21004">
        <w:rPr>
          <w:color w:val="000000"/>
          <w:sz w:val="24"/>
          <w:szCs w:val="24"/>
        </w:rPr>
        <w:t>One circumstance in which the PUCO</w:t>
      </w:r>
      <w:r>
        <w:rPr>
          <w:color w:val="000000"/>
          <w:sz w:val="24"/>
          <w:szCs w:val="24"/>
        </w:rPr>
        <w:t xml:space="preserve"> may assess costs </w:t>
      </w:r>
      <w:r w:rsidR="00F21004">
        <w:rPr>
          <w:color w:val="000000"/>
          <w:sz w:val="24"/>
          <w:szCs w:val="24"/>
        </w:rPr>
        <w:t>is where “</w:t>
      </w:r>
      <w:r w:rsidRPr="00D85461" w:rsidR="00D85461">
        <w:rPr>
          <w:color w:val="000000"/>
          <w:sz w:val="24"/>
          <w:szCs w:val="24"/>
          <w:shd w:val="clear" w:color="auto" w:fill="FFFFFF"/>
        </w:rPr>
        <w:t>issues raised in the case were insignificant, without merit, and/or did not justify the substantial use of the Commission's resources required in connection with the investigation and/or hearing</w:t>
      </w:r>
      <w:r w:rsidR="00F21004">
        <w:rPr>
          <w:color w:val="000000"/>
          <w:sz w:val="24"/>
          <w:szCs w:val="24"/>
          <w:shd w:val="clear" w:color="auto" w:fill="FFFFFF"/>
        </w:rPr>
        <w:t>…</w:t>
      </w:r>
      <w:r w:rsidRPr="00D85461" w:rsidR="00D85461">
        <w:rPr>
          <w:color w:val="000000"/>
          <w:sz w:val="24"/>
          <w:szCs w:val="24"/>
          <w:shd w:val="clear" w:color="auto" w:fill="FFFFFF"/>
        </w:rPr>
        <w:t>.”</w:t>
      </w:r>
      <w:r>
        <w:rPr>
          <w:rStyle w:val="FootnoteReference"/>
          <w:color w:val="000000"/>
          <w:sz w:val="24"/>
          <w:szCs w:val="24"/>
          <w:shd w:val="clear" w:color="auto" w:fill="FFFFFF"/>
        </w:rPr>
        <w:footnoteReference w:id="30"/>
      </w:r>
      <w:r w:rsidR="003A30A0">
        <w:rPr>
          <w:color w:val="000000"/>
          <w:sz w:val="24"/>
          <w:szCs w:val="24"/>
        </w:rPr>
        <w:t xml:space="preserve"> </w:t>
      </w:r>
    </w:p>
    <w:p w:rsidR="008060CE" w:rsidP="00FA217C" w14:paraId="6F3830F5" w14:textId="0C72E521">
      <w:pPr>
        <w:spacing w:line="480" w:lineRule="auto"/>
        <w:ind w:firstLine="720"/>
        <w:rPr>
          <w:sz w:val="24"/>
          <w:szCs w:val="24"/>
        </w:rPr>
      </w:pPr>
      <w:r>
        <w:rPr>
          <w:color w:val="000000"/>
          <w:sz w:val="24"/>
          <w:szCs w:val="24"/>
        </w:rPr>
        <w:t>The PUCO should not indulge in this certificate case</w:t>
      </w:r>
      <w:r w:rsidR="001438F0">
        <w:rPr>
          <w:sz w:val="24"/>
          <w:szCs w:val="24"/>
        </w:rPr>
        <w:t xml:space="preserve"> </w:t>
      </w:r>
      <w:r w:rsidR="009537B8">
        <w:rPr>
          <w:sz w:val="24"/>
          <w:szCs w:val="24"/>
        </w:rPr>
        <w:t xml:space="preserve">a waste of </w:t>
      </w:r>
      <w:r w:rsidR="001438F0">
        <w:rPr>
          <w:sz w:val="24"/>
          <w:szCs w:val="24"/>
        </w:rPr>
        <w:t xml:space="preserve">PUCO and others’ </w:t>
      </w:r>
      <w:r w:rsidR="009537B8">
        <w:rPr>
          <w:sz w:val="24"/>
          <w:szCs w:val="24"/>
        </w:rPr>
        <w:t xml:space="preserve">resources. </w:t>
      </w:r>
      <w:r w:rsidR="001438F0">
        <w:rPr>
          <w:sz w:val="24"/>
          <w:szCs w:val="24"/>
        </w:rPr>
        <w:t>NOPEC’s certificate should not be suspended.</w:t>
      </w:r>
      <w:r w:rsidR="00F9437C">
        <w:rPr>
          <w:sz w:val="24"/>
          <w:szCs w:val="24"/>
        </w:rPr>
        <w:t xml:space="preserve"> It should be renewed</w:t>
      </w:r>
      <w:r>
        <w:rPr>
          <w:sz w:val="24"/>
          <w:szCs w:val="24"/>
        </w:rPr>
        <w:t xml:space="preserve"> now</w:t>
      </w:r>
      <w:r w:rsidR="00F9437C">
        <w:rPr>
          <w:sz w:val="24"/>
          <w:szCs w:val="24"/>
        </w:rPr>
        <w:t>.</w:t>
      </w:r>
    </w:p>
    <w:p w:rsidR="00760100" w:rsidRPr="007A6C13" w:rsidP="00396B92" w14:paraId="088B7A24" w14:textId="46E0F276">
      <w:pPr>
        <w:pStyle w:val="Heading3"/>
        <w:numPr>
          <w:ilvl w:val="0"/>
          <w:numId w:val="16"/>
        </w:numPr>
        <w:ind w:left="2160" w:hanging="720"/>
      </w:pPr>
      <w:bookmarkStart w:id="8" w:name="_Toc126333675"/>
      <w:r w:rsidRPr="00FA217C">
        <w:t>The</w:t>
      </w:r>
      <w:r w:rsidRPr="007A6C13">
        <w:t xml:space="preserve"> objections by Dynegy and Buckeye that NOPEC violated its contracts and plan of operation are contradicted by the numerous comments by NOPEC’s individual members, customers and others who support NOPEC’s return of consumers to FirstEnergy’s standard service offer.</w:t>
      </w:r>
      <w:bookmarkEnd w:id="8"/>
    </w:p>
    <w:p w:rsidR="009A42FC" w:rsidP="009A42FC" w14:paraId="3A358D31" w14:textId="77777777">
      <w:pPr>
        <w:spacing w:line="480" w:lineRule="auto"/>
        <w:ind w:firstLine="720"/>
        <w:rPr>
          <w:sz w:val="24"/>
          <w:szCs w:val="24"/>
        </w:rPr>
      </w:pPr>
      <w:r>
        <w:rPr>
          <w:sz w:val="24"/>
          <w:szCs w:val="24"/>
        </w:rPr>
        <w:t xml:space="preserve">Dynegy and Buckeye claim that NOPEC’s return of consumers to FirstEnergy’s </w:t>
      </w:r>
    </w:p>
    <w:p w:rsidR="008F2268" w:rsidP="009A42FC" w14:paraId="1FFD67CD" w14:textId="337659B5">
      <w:pPr>
        <w:spacing w:line="480" w:lineRule="auto"/>
        <w:rPr>
          <w:sz w:val="24"/>
          <w:szCs w:val="24"/>
        </w:rPr>
      </w:pPr>
      <w:r>
        <w:rPr>
          <w:sz w:val="24"/>
          <w:szCs w:val="24"/>
        </w:rPr>
        <w:t>standard offer service violated NOPEC’s contract and plan of operation.</w:t>
      </w:r>
      <w:r>
        <w:rPr>
          <w:rStyle w:val="FootnoteReference"/>
          <w:sz w:val="24"/>
          <w:szCs w:val="24"/>
        </w:rPr>
        <w:footnoteReference w:id="31"/>
      </w:r>
      <w:r w:rsidR="00E81990">
        <w:rPr>
          <w:sz w:val="24"/>
          <w:szCs w:val="24"/>
        </w:rPr>
        <w:t xml:space="preserve"> </w:t>
      </w:r>
      <w:r>
        <w:rPr>
          <w:sz w:val="24"/>
          <w:szCs w:val="24"/>
        </w:rPr>
        <w:t>These objections can be summarized as follows:</w:t>
      </w:r>
    </w:p>
    <w:p w:rsidR="00234765" w:rsidP="00234765" w14:paraId="4C3CD41C" w14:textId="13FCDFA5">
      <w:pPr>
        <w:ind w:left="1440" w:right="1440"/>
        <w:rPr>
          <w:sz w:val="24"/>
          <w:szCs w:val="24"/>
        </w:rPr>
      </w:pPr>
      <w:r>
        <w:rPr>
          <w:sz w:val="24"/>
          <w:szCs w:val="24"/>
        </w:rPr>
        <w:t xml:space="preserve">NOPEC </w:t>
      </w:r>
      <w:r w:rsidRPr="00AD027B">
        <w:rPr>
          <w:sz w:val="24"/>
          <w:szCs w:val="24"/>
        </w:rPr>
        <w:t>violated multiple Commission rules and its own governing documents, deceived its customers about NOPEC’s Standard Program Price aggregation program, engaged in an anti-competitive campaign that devasted</w:t>
      </w:r>
      <w:r w:rsidR="00396B92">
        <w:rPr>
          <w:sz w:val="24"/>
          <w:szCs w:val="24"/>
        </w:rPr>
        <w:t xml:space="preserve"> </w:t>
      </w:r>
      <w:r w:rsidRPr="00396B92" w:rsidR="00892758">
        <w:rPr>
          <w:rStyle w:val="CommentReference"/>
          <w:sz w:val="24"/>
          <w:szCs w:val="24"/>
        </w:rPr>
        <w:t xml:space="preserve">[sic] </w:t>
      </w:r>
      <w:r w:rsidRPr="00AD027B">
        <w:rPr>
          <w:sz w:val="24"/>
          <w:szCs w:val="24"/>
        </w:rPr>
        <w:t>Ohio’s standard service offer (“SSO”) market, knowingly caused hundreds of millions of dollars in damages to SSO load suppliers</w:t>
      </w:r>
      <w:r>
        <w:rPr>
          <w:sz w:val="24"/>
          <w:szCs w:val="24"/>
        </w:rPr>
        <w:t>….</w:t>
      </w:r>
      <w:r>
        <w:rPr>
          <w:rStyle w:val="FootnoteReference"/>
          <w:sz w:val="24"/>
          <w:szCs w:val="24"/>
        </w:rPr>
        <w:footnoteReference w:id="32"/>
      </w:r>
    </w:p>
    <w:p w:rsidR="00234765" w:rsidP="00234765" w14:paraId="54A225E4" w14:textId="77777777">
      <w:pPr>
        <w:rPr>
          <w:sz w:val="24"/>
          <w:szCs w:val="24"/>
        </w:rPr>
      </w:pPr>
    </w:p>
    <w:p w:rsidR="009A42FC" w:rsidP="002D7E0C" w14:paraId="7024A64C" w14:textId="756B3931">
      <w:pPr>
        <w:spacing w:line="480" w:lineRule="auto"/>
        <w:ind w:firstLine="720"/>
        <w:rPr>
          <w:sz w:val="24"/>
          <w:szCs w:val="24"/>
        </w:rPr>
      </w:pPr>
      <w:r>
        <w:rPr>
          <w:sz w:val="24"/>
          <w:szCs w:val="24"/>
        </w:rPr>
        <w:t>T</w:t>
      </w:r>
      <w:r w:rsidR="00076FA4">
        <w:rPr>
          <w:sz w:val="24"/>
          <w:szCs w:val="24"/>
        </w:rPr>
        <w:t>he comments from consumers</w:t>
      </w:r>
      <w:r w:rsidR="00272654">
        <w:rPr>
          <w:sz w:val="24"/>
          <w:szCs w:val="24"/>
        </w:rPr>
        <w:t xml:space="preserve">, </w:t>
      </w:r>
      <w:r w:rsidR="00076FA4">
        <w:rPr>
          <w:sz w:val="24"/>
          <w:szCs w:val="24"/>
        </w:rPr>
        <w:t>local governments</w:t>
      </w:r>
      <w:r w:rsidR="00026AD3">
        <w:rPr>
          <w:sz w:val="24"/>
          <w:szCs w:val="24"/>
        </w:rPr>
        <w:t>, manufacturers</w:t>
      </w:r>
      <w:r w:rsidR="00076FA4">
        <w:rPr>
          <w:sz w:val="24"/>
          <w:szCs w:val="24"/>
        </w:rPr>
        <w:t xml:space="preserve"> </w:t>
      </w:r>
      <w:r w:rsidR="00272654">
        <w:rPr>
          <w:sz w:val="24"/>
          <w:szCs w:val="24"/>
        </w:rPr>
        <w:t xml:space="preserve">and others </w:t>
      </w:r>
      <w:r w:rsidR="00076FA4">
        <w:rPr>
          <w:sz w:val="24"/>
          <w:szCs w:val="24"/>
        </w:rPr>
        <w:t>prais</w:t>
      </w:r>
      <w:r w:rsidR="00276692">
        <w:rPr>
          <w:sz w:val="24"/>
          <w:szCs w:val="24"/>
        </w:rPr>
        <w:t>ed</w:t>
      </w:r>
      <w:r w:rsidR="00076FA4">
        <w:rPr>
          <w:sz w:val="24"/>
          <w:szCs w:val="24"/>
        </w:rPr>
        <w:t xml:space="preserve"> NOPEC’s actions</w:t>
      </w:r>
      <w:r w:rsidR="00276692">
        <w:rPr>
          <w:sz w:val="24"/>
          <w:szCs w:val="24"/>
        </w:rPr>
        <w:t xml:space="preserve"> and its track record of providing energy savings for consumers during the past 20 years</w:t>
      </w:r>
      <w:r w:rsidR="00076FA4">
        <w:rPr>
          <w:sz w:val="24"/>
          <w:szCs w:val="24"/>
        </w:rPr>
        <w:t>.</w:t>
      </w:r>
      <w:r>
        <w:rPr>
          <w:rStyle w:val="FootnoteReference"/>
          <w:sz w:val="24"/>
          <w:szCs w:val="24"/>
        </w:rPr>
        <w:footnoteReference w:id="33"/>
      </w:r>
      <w:r w:rsidR="00E81990">
        <w:rPr>
          <w:sz w:val="24"/>
          <w:szCs w:val="24"/>
        </w:rPr>
        <w:t xml:space="preserve"> </w:t>
      </w:r>
      <w:r w:rsidR="00276692">
        <w:rPr>
          <w:sz w:val="24"/>
          <w:szCs w:val="24"/>
        </w:rPr>
        <w:t xml:space="preserve">This widespread support for NOPEC </w:t>
      </w:r>
      <w:r w:rsidR="003E1922">
        <w:rPr>
          <w:sz w:val="24"/>
          <w:szCs w:val="24"/>
        </w:rPr>
        <w:t>underscore</w:t>
      </w:r>
      <w:r w:rsidR="008479E8">
        <w:rPr>
          <w:sz w:val="24"/>
          <w:szCs w:val="24"/>
        </w:rPr>
        <w:t>s</w:t>
      </w:r>
      <w:r w:rsidR="003E1922">
        <w:rPr>
          <w:sz w:val="24"/>
          <w:szCs w:val="24"/>
        </w:rPr>
        <w:t xml:space="preserve"> the importance of preserving NOPEC’s status as a governmental aggregator</w:t>
      </w:r>
      <w:r w:rsidR="00A51C6B">
        <w:rPr>
          <w:sz w:val="24"/>
          <w:szCs w:val="24"/>
        </w:rPr>
        <w:t xml:space="preserve">. That way, </w:t>
      </w:r>
      <w:r w:rsidR="003E1922">
        <w:rPr>
          <w:sz w:val="24"/>
          <w:szCs w:val="24"/>
        </w:rPr>
        <w:t xml:space="preserve">it can continue to </w:t>
      </w:r>
      <w:r>
        <w:rPr>
          <w:sz w:val="24"/>
          <w:szCs w:val="24"/>
        </w:rPr>
        <w:t xml:space="preserve">contribute to </w:t>
      </w:r>
      <w:r w:rsidR="003E1922">
        <w:rPr>
          <w:sz w:val="24"/>
          <w:szCs w:val="24"/>
        </w:rPr>
        <w:t>a diversity of suppliers and competitive price</w:t>
      </w:r>
      <w:r w:rsidR="008479E8">
        <w:rPr>
          <w:sz w:val="24"/>
          <w:szCs w:val="24"/>
        </w:rPr>
        <w:t xml:space="preserve"> options</w:t>
      </w:r>
      <w:r>
        <w:rPr>
          <w:sz w:val="24"/>
          <w:szCs w:val="24"/>
        </w:rPr>
        <w:t xml:space="preserve"> under R.C. 4928.02</w:t>
      </w:r>
      <w:r w:rsidR="008479E8">
        <w:rPr>
          <w:sz w:val="24"/>
          <w:szCs w:val="24"/>
        </w:rPr>
        <w:t>.</w:t>
      </w:r>
    </w:p>
    <w:p w:rsidR="00234765" w:rsidRPr="00234765" w:rsidP="00396B92" w14:paraId="6098BBDF" w14:textId="55856251">
      <w:pPr>
        <w:pStyle w:val="Heading3"/>
        <w:numPr>
          <w:ilvl w:val="0"/>
          <w:numId w:val="16"/>
        </w:numPr>
        <w:ind w:left="2160" w:hanging="720"/>
      </w:pPr>
      <w:bookmarkStart w:id="9" w:name="_Toc126333676"/>
      <w:r>
        <w:t xml:space="preserve">The PUCO </w:t>
      </w:r>
      <w:r w:rsidR="00B179F9">
        <w:t>would be</w:t>
      </w:r>
      <w:r w:rsidR="008E23F5">
        <w:t xml:space="preserve"> violating law and </w:t>
      </w:r>
      <w:r w:rsidR="00B179F9">
        <w:t xml:space="preserve">improperly </w:t>
      </w:r>
      <w:r w:rsidR="00D27949">
        <w:t>interfer</w:t>
      </w:r>
      <w:r w:rsidR="008E23F5">
        <w:t>ing</w:t>
      </w:r>
      <w:r w:rsidR="00D27949">
        <w:t xml:space="preserve"> with the competitive </w:t>
      </w:r>
      <w:r w:rsidRPr="007A6C13" w:rsidR="00D27949">
        <w:t xml:space="preserve">market </w:t>
      </w:r>
      <w:r w:rsidRPr="007A6C13" w:rsidR="008E23F5">
        <w:t>were it to</w:t>
      </w:r>
      <w:r w:rsidRPr="007A6C13" w:rsidR="00D27949">
        <w:t xml:space="preserve"> suspend</w:t>
      </w:r>
      <w:r w:rsidRPr="007A6C13" w:rsidR="008E23F5">
        <w:t xml:space="preserve"> or </w:t>
      </w:r>
      <w:r w:rsidRPr="007A6C13" w:rsidR="00D27949">
        <w:t>no</w:t>
      </w:r>
      <w:r w:rsidRPr="007A6C13" w:rsidR="008E23F5">
        <w:t xml:space="preserve">t </w:t>
      </w:r>
      <w:r w:rsidRPr="007A6C13" w:rsidR="00D27949">
        <w:t>renew NOPEC’s certificate</w:t>
      </w:r>
      <w:r w:rsidRPr="007A6C13" w:rsidR="008E23F5">
        <w:t>,</w:t>
      </w:r>
      <w:r w:rsidRPr="007A6C13" w:rsidR="00D27949">
        <w:t xml:space="preserve"> in response to Dynegy and Buckeye’s </w:t>
      </w:r>
      <w:r w:rsidRPr="007A6C13" w:rsidR="008E23F5">
        <w:t>opposition</w:t>
      </w:r>
      <w:r w:rsidR="00B179F9">
        <w:t>.</w:t>
      </w:r>
      <w:bookmarkEnd w:id="9"/>
      <w:r w:rsidRPr="007A6C13" w:rsidR="00D27949">
        <w:t xml:space="preserve"> </w:t>
      </w:r>
    </w:p>
    <w:p w:rsidR="00F117B3" w:rsidP="00F117B3" w14:paraId="2266A45B" w14:textId="12406C3D">
      <w:pPr>
        <w:spacing w:line="480" w:lineRule="auto"/>
        <w:ind w:firstLine="720"/>
        <w:rPr>
          <w:sz w:val="24"/>
          <w:szCs w:val="24"/>
        </w:rPr>
      </w:pPr>
      <w:r>
        <w:rPr>
          <w:sz w:val="24"/>
          <w:szCs w:val="24"/>
        </w:rPr>
        <w:t>Dynegy and Buckeye oppose NOPEC’s certification</w:t>
      </w:r>
      <w:r w:rsidR="008E23F5">
        <w:rPr>
          <w:sz w:val="24"/>
          <w:szCs w:val="24"/>
        </w:rPr>
        <w:t>.</w:t>
      </w:r>
      <w:r>
        <w:rPr>
          <w:sz w:val="24"/>
          <w:szCs w:val="24"/>
        </w:rPr>
        <w:t xml:space="preserve"> </w:t>
      </w:r>
      <w:r w:rsidR="008E23F5">
        <w:rPr>
          <w:sz w:val="24"/>
          <w:szCs w:val="24"/>
        </w:rPr>
        <w:t>B</w:t>
      </w:r>
      <w:r>
        <w:rPr>
          <w:sz w:val="24"/>
          <w:szCs w:val="24"/>
        </w:rPr>
        <w:t>ut, as competitors, they should focus more on competing and less on complaining.</w:t>
      </w:r>
      <w:r w:rsidR="00E81990">
        <w:rPr>
          <w:sz w:val="24"/>
          <w:szCs w:val="24"/>
        </w:rPr>
        <w:t xml:space="preserve"> </w:t>
      </w:r>
      <w:r>
        <w:rPr>
          <w:sz w:val="24"/>
          <w:szCs w:val="24"/>
        </w:rPr>
        <w:t xml:space="preserve">They want to accomplish </w:t>
      </w:r>
      <w:r w:rsidRPr="002D7E0C">
        <w:rPr>
          <w:sz w:val="24"/>
          <w:szCs w:val="24"/>
        </w:rPr>
        <w:t>through government</w:t>
      </w:r>
      <w:r w:rsidR="008E23F5">
        <w:rPr>
          <w:sz w:val="24"/>
          <w:szCs w:val="24"/>
        </w:rPr>
        <w:t xml:space="preserve"> (PUCO)</w:t>
      </w:r>
      <w:r w:rsidRPr="002D7E0C">
        <w:rPr>
          <w:sz w:val="24"/>
          <w:szCs w:val="24"/>
        </w:rPr>
        <w:t xml:space="preserve"> intrusion</w:t>
      </w:r>
      <w:r w:rsidR="00796ABD">
        <w:rPr>
          <w:sz w:val="24"/>
          <w:szCs w:val="24"/>
        </w:rPr>
        <w:t xml:space="preserve"> against NOPEC</w:t>
      </w:r>
      <w:r w:rsidRPr="002D7E0C">
        <w:rPr>
          <w:sz w:val="24"/>
          <w:szCs w:val="24"/>
        </w:rPr>
        <w:t xml:space="preserve"> what Ohio law (</w:t>
      </w:r>
      <w:r w:rsidR="00FB6C80">
        <w:rPr>
          <w:sz w:val="24"/>
          <w:szCs w:val="24"/>
        </w:rPr>
        <w:t xml:space="preserve">e.g., </w:t>
      </w:r>
      <w:r>
        <w:rPr>
          <w:sz w:val="24"/>
          <w:szCs w:val="24"/>
        </w:rPr>
        <w:t>R.C.</w:t>
      </w:r>
      <w:r w:rsidRPr="002D7E0C">
        <w:rPr>
          <w:sz w:val="24"/>
          <w:szCs w:val="24"/>
        </w:rPr>
        <w:t xml:space="preserve"> 4928.02) instead intends for Dynegy and others to accomplish (if they can) through competing</w:t>
      </w:r>
      <w:r w:rsidR="00B206F5">
        <w:rPr>
          <w:sz w:val="24"/>
          <w:szCs w:val="24"/>
        </w:rPr>
        <w:t xml:space="preserve"> in the market</w:t>
      </w:r>
      <w:r w:rsidRPr="002D7E0C">
        <w:rPr>
          <w:sz w:val="24"/>
          <w:szCs w:val="24"/>
        </w:rPr>
        <w:t>.</w:t>
      </w:r>
      <w:r w:rsidR="00E81990">
        <w:rPr>
          <w:sz w:val="24"/>
          <w:szCs w:val="24"/>
        </w:rPr>
        <w:t xml:space="preserve"> </w:t>
      </w:r>
    </w:p>
    <w:p w:rsidR="00AD027B" w:rsidP="008479E8" w14:paraId="153DEC4A" w14:textId="3BD6B6F8">
      <w:pPr>
        <w:spacing w:line="480" w:lineRule="auto"/>
        <w:ind w:firstLine="720"/>
        <w:rPr>
          <w:sz w:val="24"/>
          <w:szCs w:val="24"/>
        </w:rPr>
      </w:pPr>
      <w:r>
        <w:rPr>
          <w:sz w:val="24"/>
          <w:szCs w:val="24"/>
        </w:rPr>
        <w:t xml:space="preserve">A former U.S. Federal Trade Commission </w:t>
      </w:r>
      <w:r w:rsidR="00C6337C">
        <w:rPr>
          <w:sz w:val="24"/>
          <w:szCs w:val="24"/>
        </w:rPr>
        <w:t xml:space="preserve">official </w:t>
      </w:r>
      <w:r>
        <w:rPr>
          <w:sz w:val="24"/>
          <w:szCs w:val="24"/>
        </w:rPr>
        <w:t>cautioned against</w:t>
      </w:r>
      <w:r w:rsidR="00C6337C">
        <w:rPr>
          <w:sz w:val="24"/>
          <w:szCs w:val="24"/>
        </w:rPr>
        <w:t xml:space="preserve"> indulging</w:t>
      </w:r>
      <w:r>
        <w:rPr>
          <w:sz w:val="24"/>
          <w:szCs w:val="24"/>
        </w:rPr>
        <w:t xml:space="preserve"> an approach</w:t>
      </w:r>
      <w:r w:rsidR="0013523E">
        <w:rPr>
          <w:sz w:val="24"/>
          <w:szCs w:val="24"/>
        </w:rPr>
        <w:t xml:space="preserve"> of government intrusion</w:t>
      </w:r>
      <w:r>
        <w:rPr>
          <w:sz w:val="24"/>
          <w:szCs w:val="24"/>
        </w:rPr>
        <w:t>:</w:t>
      </w:r>
    </w:p>
    <w:p w:rsidR="009E1BA6" w:rsidRPr="009E1BA6" w:rsidP="008F2268" w14:paraId="7E4E8F93" w14:textId="73D0D657">
      <w:pPr>
        <w:pStyle w:val="NormalWeb"/>
        <w:shd w:val="clear" w:color="auto" w:fill="FFFFFF"/>
        <w:spacing w:before="0" w:beforeAutospacing="0" w:after="0" w:afterAutospacing="0"/>
        <w:ind w:left="1440" w:right="1440"/>
      </w:pPr>
      <w:r w:rsidRPr="009E1BA6">
        <w:t xml:space="preserve">When private markets are permitted to operate without, or with minimal, government intervention or control, they generally produce more and better products at lower prices for all Americans. For the most part, private markets should be left alone to work their magic. Nevertheless, there is a persistent temptation among some in government to think that the government can produce </w:t>
      </w:r>
      <w:r>
        <w:t>‘</w:t>
      </w:r>
      <w:r w:rsidRPr="009E1BA6">
        <w:t>better</w:t>
      </w:r>
      <w:r>
        <w:t>’</w:t>
      </w:r>
      <w:r w:rsidRPr="009E1BA6">
        <w:t xml:space="preserve"> outcomes if it controls, directs, regulates or otherwise alters decisions made in the marketplace.</w:t>
      </w:r>
      <w:r>
        <w:rPr>
          <w:rStyle w:val="FootnoteReference"/>
        </w:rPr>
        <w:footnoteReference w:id="34"/>
      </w:r>
    </w:p>
    <w:p w:rsidR="009E1BA6" w:rsidP="00F117B3" w14:paraId="7774913D" w14:textId="556BAE39">
      <w:pPr>
        <w:ind w:right="1440"/>
        <w:rPr>
          <w:sz w:val="24"/>
          <w:szCs w:val="24"/>
        </w:rPr>
      </w:pPr>
    </w:p>
    <w:p w:rsidR="00371D93" w:rsidP="00371D93" w14:paraId="5A61CA89" w14:textId="51AF259C">
      <w:pPr>
        <w:spacing w:line="480" w:lineRule="auto"/>
        <w:rPr>
          <w:sz w:val="24"/>
          <w:szCs w:val="24"/>
        </w:rPr>
      </w:pPr>
      <w:r>
        <w:rPr>
          <w:sz w:val="24"/>
          <w:szCs w:val="24"/>
        </w:rPr>
        <w:t>The</w:t>
      </w:r>
      <w:r w:rsidR="008E23F5">
        <w:rPr>
          <w:sz w:val="24"/>
          <w:szCs w:val="24"/>
        </w:rPr>
        <w:t xml:space="preserve"> </w:t>
      </w:r>
      <w:r>
        <w:rPr>
          <w:sz w:val="24"/>
          <w:szCs w:val="24"/>
        </w:rPr>
        <w:t>PUCO should allow</w:t>
      </w:r>
      <w:r w:rsidR="0050411F">
        <w:rPr>
          <w:sz w:val="24"/>
          <w:szCs w:val="24"/>
        </w:rPr>
        <w:t xml:space="preserve"> NOPEC to compete in</w:t>
      </w:r>
      <w:r>
        <w:rPr>
          <w:sz w:val="24"/>
          <w:szCs w:val="24"/>
        </w:rPr>
        <w:t xml:space="preserve"> the competitive market</w:t>
      </w:r>
      <w:r w:rsidR="0050411F">
        <w:rPr>
          <w:sz w:val="24"/>
          <w:szCs w:val="24"/>
        </w:rPr>
        <w:t>, for the benefit of consumers</w:t>
      </w:r>
      <w:r>
        <w:rPr>
          <w:sz w:val="24"/>
          <w:szCs w:val="24"/>
        </w:rPr>
        <w:t>.</w:t>
      </w:r>
      <w:r w:rsidR="00E81990">
        <w:rPr>
          <w:sz w:val="24"/>
          <w:szCs w:val="24"/>
        </w:rPr>
        <w:t xml:space="preserve"> </w:t>
      </w:r>
      <w:r w:rsidR="0050411F">
        <w:rPr>
          <w:sz w:val="24"/>
          <w:szCs w:val="24"/>
        </w:rPr>
        <w:t>As OCC wrote in its Initial Comments, NOPEC should not be treated like a bad-actor marketer that has been accused of deceiving the public.</w:t>
      </w:r>
    </w:p>
    <w:p w:rsidR="00AD4A78" w:rsidP="00892758" w14:paraId="7576A634" w14:textId="2C33A523">
      <w:pPr>
        <w:spacing w:line="480" w:lineRule="auto"/>
        <w:rPr>
          <w:sz w:val="24"/>
          <w:szCs w:val="24"/>
        </w:rPr>
      </w:pPr>
      <w:r>
        <w:rPr>
          <w:sz w:val="24"/>
          <w:szCs w:val="24"/>
        </w:rPr>
        <w:tab/>
        <w:t xml:space="preserve">Dynegy’s real beef </w:t>
      </w:r>
      <w:r w:rsidR="008479E8">
        <w:rPr>
          <w:sz w:val="24"/>
          <w:szCs w:val="24"/>
        </w:rPr>
        <w:t>seems to be</w:t>
      </w:r>
      <w:r>
        <w:rPr>
          <w:sz w:val="24"/>
          <w:szCs w:val="24"/>
        </w:rPr>
        <w:t xml:space="preserve"> that it supplied FirstEnergy’s standard service offer auction and lost money when NOPEC returned its consumers to the standard service offer.</w:t>
      </w:r>
      <w:r w:rsidR="00396B92">
        <w:rPr>
          <w:sz w:val="24"/>
          <w:szCs w:val="24"/>
        </w:rPr>
        <w:t xml:space="preserve"> </w:t>
      </w:r>
      <w:r w:rsidR="00892758">
        <w:rPr>
          <w:sz w:val="24"/>
          <w:szCs w:val="24"/>
        </w:rPr>
        <w:t>IGS summed up the situation well in the PUCO’s minimum-stay cases, where it wrote that NOPEC’s return of consumers to the standard offer “does not mean that any nefarious behavior occurred.”</w:t>
      </w:r>
      <w:r>
        <w:rPr>
          <w:rStyle w:val="FootnoteReference"/>
          <w:sz w:val="24"/>
          <w:szCs w:val="24"/>
        </w:rPr>
        <w:footnoteReference w:id="35"/>
      </w:r>
      <w:r w:rsidR="00892758">
        <w:rPr>
          <w:sz w:val="24"/>
          <w:szCs w:val="24"/>
        </w:rPr>
        <w:t xml:space="preserve"> </w:t>
      </w:r>
    </w:p>
    <w:p w:rsidR="00AD4A78" w14:paraId="5452FA91" w14:textId="77777777">
      <w:pPr>
        <w:rPr>
          <w:sz w:val="24"/>
          <w:szCs w:val="24"/>
        </w:rPr>
      </w:pPr>
      <w:r>
        <w:rPr>
          <w:sz w:val="24"/>
          <w:szCs w:val="24"/>
        </w:rPr>
        <w:br w:type="page"/>
      </w:r>
    </w:p>
    <w:p w:rsidR="00892758" w:rsidP="00396B92" w14:paraId="1A171252" w14:textId="0661EABA">
      <w:pPr>
        <w:spacing w:line="480" w:lineRule="auto"/>
        <w:ind w:firstLine="720"/>
        <w:rPr>
          <w:sz w:val="24"/>
          <w:szCs w:val="24"/>
        </w:rPr>
      </w:pPr>
      <w:r>
        <w:rPr>
          <w:sz w:val="24"/>
          <w:szCs w:val="24"/>
        </w:rPr>
        <w:t>IGS wrote the following about complaints by electricity suppliers such as Dynegy:</w:t>
      </w:r>
    </w:p>
    <w:p w:rsidR="00892758" w:rsidP="0009683C" w14:paraId="0226979A" w14:textId="77777777">
      <w:pPr>
        <w:ind w:left="1080" w:right="1440"/>
        <w:rPr>
          <w:sz w:val="24"/>
          <w:szCs w:val="24"/>
        </w:rPr>
      </w:pPr>
      <w:r>
        <w:rPr>
          <w:sz w:val="24"/>
          <w:szCs w:val="24"/>
        </w:rPr>
        <w:t xml:space="preserve">In the instance of NOPEC, suppliers willingly undertook a business transaction to bid on and eventually serve the SSO within the FirstEnergy Ohio service territory knowing the uncertainties that come with serving the SSO. Simply because winning bidders did not expect or anticipate NOPEC returning so many customers to the SSO does not mean that any nefarious behavior has occurred. </w:t>
      </w:r>
    </w:p>
    <w:p w:rsidR="00892758" w:rsidP="00892758" w14:paraId="1D92B12F" w14:textId="77777777">
      <w:pPr>
        <w:ind w:left="1080" w:right="720"/>
        <w:rPr>
          <w:sz w:val="24"/>
          <w:szCs w:val="24"/>
        </w:rPr>
      </w:pPr>
    </w:p>
    <w:p w:rsidR="00892758" w:rsidP="0009683C" w14:paraId="1FA4216F" w14:textId="77777777">
      <w:pPr>
        <w:ind w:left="1080" w:right="1440"/>
        <w:rPr>
          <w:sz w:val="24"/>
          <w:szCs w:val="24"/>
        </w:rPr>
      </w:pPr>
      <w:r>
        <w:rPr>
          <w:sz w:val="24"/>
          <w:szCs w:val="24"/>
        </w:rPr>
        <w:t>NOPEC’s decision to drop customers to the SSO was a present and inherent risk during the auction process and any party bidding on the SSO should have effectively priced in such a risk.</w:t>
      </w:r>
      <w:r>
        <w:rPr>
          <w:rStyle w:val="FootnoteReference"/>
          <w:sz w:val="24"/>
          <w:szCs w:val="24"/>
        </w:rPr>
        <w:footnoteReference w:id="36"/>
      </w:r>
      <w:r>
        <w:rPr>
          <w:sz w:val="24"/>
          <w:szCs w:val="24"/>
        </w:rPr>
        <w:t xml:space="preserve"> </w:t>
      </w:r>
    </w:p>
    <w:p w:rsidR="007A6C13" w:rsidP="00396B92" w14:paraId="7AC8017D" w14:textId="77777777">
      <w:pPr>
        <w:rPr>
          <w:sz w:val="24"/>
          <w:szCs w:val="24"/>
        </w:rPr>
      </w:pPr>
    </w:p>
    <w:p w:rsidR="007C4983" w:rsidP="007C4983" w14:paraId="7ED172DB" w14:textId="1CD134EB">
      <w:pPr>
        <w:spacing w:line="480" w:lineRule="auto"/>
        <w:rPr>
          <w:sz w:val="24"/>
          <w:szCs w:val="24"/>
        </w:rPr>
      </w:pPr>
      <w:r>
        <w:rPr>
          <w:sz w:val="24"/>
          <w:szCs w:val="24"/>
        </w:rPr>
        <w:t xml:space="preserve"> </w:t>
      </w:r>
      <w:r w:rsidR="00C27337">
        <w:rPr>
          <w:sz w:val="24"/>
          <w:szCs w:val="24"/>
        </w:rPr>
        <w:tab/>
      </w:r>
      <w:r w:rsidR="00BE2C30">
        <w:rPr>
          <w:sz w:val="24"/>
          <w:szCs w:val="24"/>
        </w:rPr>
        <w:t>The PUCO should not suspend NOPEC’s certificate. The PUCO should renew NOPEC’s certificate.</w:t>
      </w:r>
      <w:r w:rsidR="00E81990">
        <w:rPr>
          <w:sz w:val="24"/>
          <w:szCs w:val="24"/>
        </w:rPr>
        <w:t xml:space="preserve"> </w:t>
      </w:r>
    </w:p>
    <w:p w:rsidR="00DC655B" w:rsidRPr="00F9330F" w:rsidP="00396B92" w14:paraId="3CBA2DF3" w14:textId="1E75259D">
      <w:pPr>
        <w:pStyle w:val="Heading3"/>
        <w:numPr>
          <w:ilvl w:val="0"/>
          <w:numId w:val="16"/>
        </w:numPr>
        <w:ind w:left="2160" w:hanging="720"/>
        <w:rPr>
          <w:rStyle w:val="cf01"/>
          <w:rFonts w:ascii="Times New Roman" w:hAnsi="Times New Roman" w:cs="Times New Roman"/>
          <w:sz w:val="24"/>
          <w:szCs w:val="24"/>
        </w:rPr>
      </w:pPr>
      <w:bookmarkStart w:id="10" w:name="_Toc126315974"/>
      <w:bookmarkStart w:id="11" w:name="_Toc126316014"/>
      <w:bookmarkStart w:id="12" w:name="_Toc126316106"/>
      <w:bookmarkStart w:id="13" w:name="_Toc126315975"/>
      <w:bookmarkStart w:id="14" w:name="_Toc126316015"/>
      <w:bookmarkStart w:id="15" w:name="_Toc126316107"/>
      <w:bookmarkStart w:id="16" w:name="_Toc126315976"/>
      <w:bookmarkStart w:id="17" w:name="_Toc126316016"/>
      <w:bookmarkStart w:id="18" w:name="_Toc126316108"/>
      <w:bookmarkStart w:id="19" w:name="_Toc126315977"/>
      <w:bookmarkStart w:id="20" w:name="_Toc126316017"/>
      <w:bookmarkStart w:id="21" w:name="_Toc126316109"/>
      <w:bookmarkStart w:id="22" w:name="_Toc126333677"/>
      <w:bookmarkEnd w:id="10"/>
      <w:bookmarkEnd w:id="11"/>
      <w:bookmarkEnd w:id="12"/>
      <w:bookmarkEnd w:id="13"/>
      <w:bookmarkEnd w:id="14"/>
      <w:bookmarkEnd w:id="15"/>
      <w:bookmarkEnd w:id="16"/>
      <w:bookmarkEnd w:id="17"/>
      <w:bookmarkEnd w:id="18"/>
      <w:bookmarkEnd w:id="19"/>
      <w:bookmarkEnd w:id="20"/>
      <w:bookmarkEnd w:id="21"/>
      <w:r w:rsidRPr="00F9330F">
        <w:rPr>
          <w:rStyle w:val="cf01"/>
          <w:rFonts w:ascii="Times New Roman" w:hAnsi="Times New Roman" w:cs="Times New Roman"/>
          <w:sz w:val="24"/>
          <w:szCs w:val="24"/>
        </w:rPr>
        <w:t>Dynegy</w:t>
      </w:r>
      <w:r w:rsidR="008831FD">
        <w:rPr>
          <w:rStyle w:val="cf01"/>
          <w:rFonts w:ascii="Times New Roman" w:hAnsi="Times New Roman" w:cs="Times New Roman"/>
          <w:sz w:val="24"/>
          <w:szCs w:val="24"/>
        </w:rPr>
        <w:t>’s</w:t>
      </w:r>
      <w:r w:rsidR="00174AC5">
        <w:rPr>
          <w:rStyle w:val="cf01"/>
          <w:rFonts w:ascii="Times New Roman" w:hAnsi="Times New Roman" w:cs="Times New Roman"/>
          <w:sz w:val="24"/>
          <w:szCs w:val="24"/>
        </w:rPr>
        <w:t xml:space="preserve"> </w:t>
      </w:r>
      <w:r w:rsidRPr="00F9330F">
        <w:rPr>
          <w:rStyle w:val="cf01"/>
          <w:rFonts w:ascii="Times New Roman" w:hAnsi="Times New Roman" w:cs="Times New Roman"/>
          <w:sz w:val="24"/>
          <w:szCs w:val="24"/>
        </w:rPr>
        <w:t>complain</w:t>
      </w:r>
      <w:r w:rsidR="003B6D84">
        <w:rPr>
          <w:rStyle w:val="cf01"/>
          <w:rFonts w:ascii="Times New Roman" w:hAnsi="Times New Roman" w:cs="Times New Roman"/>
          <w:sz w:val="24"/>
          <w:szCs w:val="24"/>
        </w:rPr>
        <w:t>t</w:t>
      </w:r>
      <w:r w:rsidR="008831FD">
        <w:rPr>
          <w:rStyle w:val="cf01"/>
          <w:rFonts w:ascii="Times New Roman" w:hAnsi="Times New Roman" w:cs="Times New Roman"/>
          <w:sz w:val="24"/>
          <w:szCs w:val="24"/>
        </w:rPr>
        <w:t>, in reality, is that</w:t>
      </w:r>
      <w:r w:rsidRPr="00F9330F">
        <w:rPr>
          <w:rStyle w:val="cf01"/>
          <w:rFonts w:ascii="Times New Roman" w:hAnsi="Times New Roman" w:cs="Times New Roman"/>
          <w:sz w:val="24"/>
          <w:szCs w:val="24"/>
        </w:rPr>
        <w:t xml:space="preserve"> </w:t>
      </w:r>
      <w:r w:rsidRPr="00396B92">
        <w:t>NOPEC g</w:t>
      </w:r>
      <w:r w:rsidR="008831FD">
        <w:t>ave</w:t>
      </w:r>
      <w:r w:rsidRPr="00396B92">
        <w:t xml:space="preserve"> smaller consumers the benefit of switching to the standard offer that larger consumers </w:t>
      </w:r>
      <w:r w:rsidR="008831FD">
        <w:t xml:space="preserve">have </w:t>
      </w:r>
      <w:r w:rsidRPr="00396B92">
        <w:t xml:space="preserve">enjoyed. </w:t>
      </w:r>
      <w:r w:rsidRPr="00396B92" w:rsidR="00174AC5">
        <w:t>Dynegy</w:t>
      </w:r>
      <w:r w:rsidRPr="00396B92" w:rsidR="007336AC">
        <w:t xml:space="preserve"> do</w:t>
      </w:r>
      <w:r w:rsidRPr="00396B92" w:rsidR="00174AC5">
        <w:t>es</w:t>
      </w:r>
      <w:r w:rsidRPr="00396B92">
        <w:t xml:space="preserve"> not complain about large-customer switching.</w:t>
      </w:r>
      <w:r w:rsidRPr="00396B92" w:rsidR="00E81990">
        <w:t xml:space="preserve"> </w:t>
      </w:r>
      <w:r w:rsidR="008831FD">
        <w:t>But l</w:t>
      </w:r>
      <w:r w:rsidRPr="00396B92">
        <w:t>arge</w:t>
      </w:r>
      <w:r w:rsidR="008831FD">
        <w:t>r</w:t>
      </w:r>
      <w:r w:rsidRPr="00396B92">
        <w:t xml:space="preserve"> customers returning to the standard service offer have a greater impact</w:t>
      </w:r>
      <w:r w:rsidR="008831FD">
        <w:t xml:space="preserve"> on load</w:t>
      </w:r>
      <w:r w:rsidRPr="00396B92">
        <w:t xml:space="preserve"> than small</w:t>
      </w:r>
      <w:r w:rsidR="008831FD">
        <w:t>er</w:t>
      </w:r>
      <w:r w:rsidRPr="00396B92">
        <w:t xml:space="preserve"> consumers.</w:t>
      </w:r>
      <w:r w:rsidRPr="00396B92" w:rsidR="00E81990">
        <w:t xml:space="preserve"> </w:t>
      </w:r>
      <w:r w:rsidRPr="00396B92" w:rsidR="003E7C6F">
        <w:t>NOPEC simply helped small</w:t>
      </w:r>
      <w:r w:rsidR="008831FD">
        <w:t>er</w:t>
      </w:r>
      <w:r w:rsidRPr="00396B92" w:rsidR="003E7C6F">
        <w:t xml:space="preserve"> </w:t>
      </w:r>
      <w:r w:rsidRPr="00396B92" w:rsidR="008555FA">
        <w:t xml:space="preserve">and more vulnerable </w:t>
      </w:r>
      <w:r w:rsidRPr="00396B92" w:rsidR="003E7C6F">
        <w:t xml:space="preserve">consumers exercise the same </w:t>
      </w:r>
      <w:r w:rsidR="008831FD">
        <w:t>opportunity</w:t>
      </w:r>
      <w:r w:rsidRPr="00396B92" w:rsidR="003E7C6F">
        <w:t xml:space="preserve"> that large</w:t>
      </w:r>
      <w:r w:rsidR="008831FD">
        <w:t>r</w:t>
      </w:r>
      <w:r w:rsidRPr="00396B92" w:rsidR="003E7C6F">
        <w:t xml:space="preserve"> consumers have</w:t>
      </w:r>
      <w:r w:rsidR="008831FD">
        <w:t xml:space="preserve"> done</w:t>
      </w:r>
      <w:r w:rsidRPr="00396B92" w:rsidR="003E7C6F">
        <w:t>.</w:t>
      </w:r>
      <w:bookmarkEnd w:id="22"/>
    </w:p>
    <w:p w:rsidR="007336AC" w:rsidP="00DC655B" w14:paraId="3126C520" w14:textId="72468D38">
      <w:pPr>
        <w:spacing w:line="480" w:lineRule="auto"/>
        <w:ind w:firstLine="720"/>
        <w:rPr>
          <w:sz w:val="24"/>
          <w:szCs w:val="24"/>
        </w:rPr>
      </w:pPr>
      <w:r>
        <w:rPr>
          <w:sz w:val="24"/>
          <w:szCs w:val="24"/>
        </w:rPr>
        <w:t>Dynegy complain</w:t>
      </w:r>
      <w:r w:rsidR="00174AC5">
        <w:rPr>
          <w:sz w:val="24"/>
          <w:szCs w:val="24"/>
        </w:rPr>
        <w:t>s</w:t>
      </w:r>
      <w:r>
        <w:rPr>
          <w:sz w:val="24"/>
          <w:szCs w:val="24"/>
        </w:rPr>
        <w:t xml:space="preserve"> that NOPEC’s return of consumers to the standard service offer had a devastating impact on energy prices.</w:t>
      </w:r>
      <w:r w:rsidR="00E81990">
        <w:rPr>
          <w:sz w:val="24"/>
          <w:szCs w:val="24"/>
        </w:rPr>
        <w:t xml:space="preserve"> </w:t>
      </w:r>
      <w:r>
        <w:rPr>
          <w:sz w:val="24"/>
          <w:szCs w:val="24"/>
        </w:rPr>
        <w:t>In fact, larger consumers have a greater impact</w:t>
      </w:r>
      <w:r w:rsidR="008831FD">
        <w:rPr>
          <w:sz w:val="24"/>
          <w:szCs w:val="24"/>
        </w:rPr>
        <w:t xml:space="preserve"> on load</w:t>
      </w:r>
      <w:r>
        <w:rPr>
          <w:sz w:val="24"/>
          <w:szCs w:val="24"/>
        </w:rPr>
        <w:t xml:space="preserve"> when they return to the standard service offer.</w:t>
      </w:r>
      <w:r w:rsidR="00E81990">
        <w:rPr>
          <w:sz w:val="24"/>
          <w:szCs w:val="24"/>
        </w:rPr>
        <w:t xml:space="preserve"> </w:t>
      </w:r>
      <w:r>
        <w:rPr>
          <w:sz w:val="24"/>
          <w:szCs w:val="24"/>
        </w:rPr>
        <w:t>The PUCO should reject Dynegy’s distorted view of how the standard service offer works.</w:t>
      </w:r>
    </w:p>
    <w:p w:rsidR="00DC655B" w:rsidP="00DC655B" w14:paraId="5F556621" w14:textId="41B2735B">
      <w:pPr>
        <w:spacing w:line="480" w:lineRule="auto"/>
        <w:ind w:firstLine="720"/>
        <w:rPr>
          <w:sz w:val="24"/>
          <w:szCs w:val="24"/>
        </w:rPr>
      </w:pPr>
      <w:r>
        <w:rPr>
          <w:sz w:val="24"/>
          <w:szCs w:val="24"/>
        </w:rPr>
        <w:t>Dynegy p</w:t>
      </w:r>
      <w:r w:rsidR="00086999">
        <w:rPr>
          <w:sz w:val="24"/>
          <w:szCs w:val="24"/>
        </w:rPr>
        <w:t>aints a misleading picture by solely focusing on NOPEC’s return of small</w:t>
      </w:r>
      <w:r w:rsidR="008831FD">
        <w:rPr>
          <w:sz w:val="24"/>
          <w:szCs w:val="24"/>
        </w:rPr>
        <w:t>er</w:t>
      </w:r>
      <w:r w:rsidR="00086999">
        <w:rPr>
          <w:sz w:val="24"/>
          <w:szCs w:val="24"/>
        </w:rPr>
        <w:t xml:space="preserve"> consumers to the standard service offer.</w:t>
      </w:r>
      <w:r w:rsidR="00E81990">
        <w:rPr>
          <w:sz w:val="24"/>
          <w:szCs w:val="24"/>
        </w:rPr>
        <w:t xml:space="preserve"> </w:t>
      </w:r>
      <w:r w:rsidR="00086999">
        <w:rPr>
          <w:sz w:val="24"/>
          <w:szCs w:val="24"/>
        </w:rPr>
        <w:t xml:space="preserve">For example, Dynegy </w:t>
      </w:r>
      <w:r w:rsidR="008831FD">
        <w:rPr>
          <w:sz w:val="24"/>
          <w:szCs w:val="24"/>
        </w:rPr>
        <w:t>alleges</w:t>
      </w:r>
      <w:r w:rsidR="00086999">
        <w:rPr>
          <w:sz w:val="24"/>
          <w:szCs w:val="24"/>
        </w:rPr>
        <w:t xml:space="preserve"> “the disastrous consequences that [NOPEC’s] unprecedented customer drop would have on Ohio’s energy market.”</w:t>
      </w:r>
      <w:r>
        <w:rPr>
          <w:rStyle w:val="FootnoteReference"/>
          <w:sz w:val="24"/>
          <w:szCs w:val="24"/>
        </w:rPr>
        <w:footnoteReference w:id="37"/>
      </w:r>
      <w:r w:rsidR="00E81990">
        <w:rPr>
          <w:sz w:val="24"/>
          <w:szCs w:val="24"/>
        </w:rPr>
        <w:t xml:space="preserve"> </w:t>
      </w:r>
      <w:r>
        <w:rPr>
          <w:sz w:val="24"/>
          <w:szCs w:val="24"/>
        </w:rPr>
        <w:t xml:space="preserve">In fact, </w:t>
      </w:r>
      <w:r w:rsidR="00F258EF">
        <w:rPr>
          <w:sz w:val="24"/>
          <w:szCs w:val="24"/>
        </w:rPr>
        <w:t xml:space="preserve">the </w:t>
      </w:r>
      <w:r w:rsidR="008831FD">
        <w:rPr>
          <w:sz w:val="24"/>
          <w:szCs w:val="24"/>
        </w:rPr>
        <w:t>energy-</w:t>
      </w:r>
      <w:r w:rsidR="00F258EF">
        <w:rPr>
          <w:sz w:val="24"/>
          <w:szCs w:val="24"/>
        </w:rPr>
        <w:t xml:space="preserve">sophisticated </w:t>
      </w:r>
      <w:r>
        <w:rPr>
          <w:sz w:val="24"/>
          <w:szCs w:val="24"/>
        </w:rPr>
        <w:t>large commercial and industrial customers,</w:t>
      </w:r>
      <w:r w:rsidR="00396B92">
        <w:rPr>
          <w:sz w:val="24"/>
          <w:szCs w:val="24"/>
        </w:rPr>
        <w:t xml:space="preserve"> </w:t>
      </w:r>
      <w:r w:rsidR="00F258EF">
        <w:rPr>
          <w:sz w:val="24"/>
          <w:szCs w:val="24"/>
        </w:rPr>
        <w:t xml:space="preserve">which have </w:t>
      </w:r>
      <w:r>
        <w:rPr>
          <w:sz w:val="24"/>
          <w:szCs w:val="24"/>
        </w:rPr>
        <w:t xml:space="preserve">a greater understanding of the retail market, </w:t>
      </w:r>
      <w:r w:rsidR="008831FD">
        <w:rPr>
          <w:sz w:val="24"/>
          <w:szCs w:val="24"/>
        </w:rPr>
        <w:t xml:space="preserve">can </w:t>
      </w:r>
      <w:r>
        <w:rPr>
          <w:sz w:val="24"/>
          <w:szCs w:val="24"/>
        </w:rPr>
        <w:t xml:space="preserve">have </w:t>
      </w:r>
      <w:r w:rsidR="008831FD">
        <w:rPr>
          <w:sz w:val="24"/>
          <w:szCs w:val="24"/>
        </w:rPr>
        <w:t xml:space="preserve">a more significant </w:t>
      </w:r>
      <w:r>
        <w:rPr>
          <w:sz w:val="24"/>
          <w:szCs w:val="24"/>
        </w:rPr>
        <w:t xml:space="preserve">impact </w:t>
      </w:r>
      <w:r w:rsidR="008831FD">
        <w:rPr>
          <w:sz w:val="24"/>
          <w:szCs w:val="24"/>
        </w:rPr>
        <w:t xml:space="preserve">on the market </w:t>
      </w:r>
      <w:r>
        <w:rPr>
          <w:sz w:val="24"/>
          <w:szCs w:val="24"/>
        </w:rPr>
        <w:t>when they return to the standard service offer.</w:t>
      </w:r>
      <w:r>
        <w:rPr>
          <w:rStyle w:val="FootnoteReference"/>
          <w:sz w:val="24"/>
          <w:szCs w:val="24"/>
        </w:rPr>
        <w:footnoteReference w:id="38"/>
      </w:r>
      <w:r w:rsidR="00E81990">
        <w:rPr>
          <w:sz w:val="24"/>
          <w:szCs w:val="24"/>
        </w:rPr>
        <w:t xml:space="preserve"> </w:t>
      </w:r>
    </w:p>
    <w:p w:rsidR="00DC655B" w:rsidP="00DC655B" w14:paraId="5C575667" w14:textId="1CCC1AD3">
      <w:pPr>
        <w:spacing w:line="480" w:lineRule="auto"/>
        <w:rPr>
          <w:sz w:val="24"/>
          <w:szCs w:val="24"/>
        </w:rPr>
      </w:pPr>
      <w:r>
        <w:rPr>
          <w:b/>
          <w:bCs/>
          <w:sz w:val="24"/>
          <w:szCs w:val="24"/>
        </w:rPr>
        <w:tab/>
      </w:r>
      <w:r>
        <w:rPr>
          <w:sz w:val="24"/>
          <w:szCs w:val="24"/>
        </w:rPr>
        <w:t xml:space="preserve">OCC’s Initial Comments </w:t>
      </w:r>
      <w:r w:rsidR="003B6D84">
        <w:rPr>
          <w:sz w:val="24"/>
          <w:szCs w:val="24"/>
        </w:rPr>
        <w:t xml:space="preserve">had an </w:t>
      </w:r>
      <w:r>
        <w:rPr>
          <w:sz w:val="24"/>
          <w:szCs w:val="24"/>
        </w:rPr>
        <w:t xml:space="preserve">attached letter from </w:t>
      </w:r>
      <w:r w:rsidRPr="00396B92">
        <w:rPr>
          <w:sz w:val="24"/>
          <w:szCs w:val="24"/>
        </w:rPr>
        <w:t>Mr. Andrew Thomas, Executive in Residence and Director, Cleveland State University Levin College of Public Affairs and Education</w:t>
      </w:r>
      <w:r>
        <w:rPr>
          <w:sz w:val="24"/>
          <w:szCs w:val="24"/>
        </w:rPr>
        <w:t>.</w:t>
      </w:r>
      <w:r>
        <w:rPr>
          <w:rStyle w:val="FootnoteReference"/>
          <w:sz w:val="24"/>
          <w:szCs w:val="24"/>
        </w:rPr>
        <w:footnoteReference w:id="39"/>
      </w:r>
      <w:r w:rsidR="00E81990">
        <w:rPr>
          <w:sz w:val="24"/>
          <w:szCs w:val="24"/>
        </w:rPr>
        <w:t xml:space="preserve"> </w:t>
      </w:r>
      <w:r>
        <w:rPr>
          <w:sz w:val="24"/>
          <w:szCs w:val="24"/>
        </w:rPr>
        <w:t>Mr. Tho</w:t>
      </w:r>
      <w:r w:rsidR="00B02392">
        <w:rPr>
          <w:sz w:val="24"/>
          <w:szCs w:val="24"/>
        </w:rPr>
        <w:t>m</w:t>
      </w:r>
      <w:r>
        <w:rPr>
          <w:sz w:val="24"/>
          <w:szCs w:val="24"/>
        </w:rPr>
        <w:t>as noted: “</w:t>
      </w:r>
      <w:r w:rsidRPr="00396B92" w:rsidR="00C05830">
        <w:rPr>
          <w:sz w:val="24"/>
          <w:szCs w:val="24"/>
        </w:rPr>
        <w:t>NOPEC’s movement of its load into the SSO is not what is driving up prices in SSO.</w:t>
      </w:r>
      <w:r w:rsidR="00E81990">
        <w:rPr>
          <w:sz w:val="24"/>
          <w:szCs w:val="24"/>
        </w:rPr>
        <w:t xml:space="preserve"> </w:t>
      </w:r>
      <w:r w:rsidRPr="00396B92" w:rsidR="00C05830">
        <w:rPr>
          <w:sz w:val="24"/>
          <w:szCs w:val="24"/>
        </w:rPr>
        <w:t>Rather, it is the auction bidders’ accounting for the movement of educated ratepayers throughout the state into the SSO that has resulted in higher auction prices.</w:t>
      </w:r>
      <w:r w:rsidR="00C05830">
        <w:rPr>
          <w:sz w:val="24"/>
          <w:szCs w:val="24"/>
        </w:rPr>
        <w:t>”</w:t>
      </w:r>
      <w:r>
        <w:rPr>
          <w:rStyle w:val="FootnoteReference"/>
          <w:sz w:val="24"/>
          <w:szCs w:val="24"/>
        </w:rPr>
        <w:footnoteReference w:id="40"/>
      </w:r>
    </w:p>
    <w:p w:rsidR="00C05830" w:rsidP="00DC655B" w14:paraId="390DF183" w14:textId="7D344899">
      <w:pPr>
        <w:spacing w:line="480" w:lineRule="auto"/>
        <w:rPr>
          <w:sz w:val="24"/>
          <w:szCs w:val="24"/>
        </w:rPr>
      </w:pPr>
      <w:r>
        <w:rPr>
          <w:sz w:val="24"/>
          <w:szCs w:val="24"/>
        </w:rPr>
        <w:tab/>
        <w:t>The Brakey</w:t>
      </w:r>
      <w:r w:rsidRPr="00396B92">
        <w:rPr>
          <w:sz w:val="24"/>
          <w:szCs w:val="24"/>
        </w:rPr>
        <w:t xml:space="preserve"> Energy Report (April 2022)</w:t>
      </w:r>
      <w:r w:rsidR="00026571">
        <w:rPr>
          <w:sz w:val="24"/>
          <w:szCs w:val="24"/>
        </w:rPr>
        <w:t xml:space="preserve"> remarked on the increasing trend of large consumers returning to the standard service offer</w:t>
      </w:r>
      <w:r w:rsidRPr="00396B92">
        <w:rPr>
          <w:sz w:val="24"/>
          <w:szCs w:val="24"/>
        </w:rPr>
        <w:t xml:space="preserve">: </w:t>
      </w:r>
    </w:p>
    <w:p w:rsidR="00C05830" w:rsidRPr="00396B92" w:rsidP="00396B92" w14:paraId="7E9AC2DE" w14:textId="502532AB">
      <w:pPr>
        <w:ind w:left="1440" w:right="1440"/>
        <w:rPr>
          <w:sz w:val="24"/>
          <w:szCs w:val="24"/>
        </w:rPr>
      </w:pPr>
      <w:r w:rsidRPr="00396B92">
        <w:rPr>
          <w:sz w:val="24"/>
          <w:szCs w:val="24"/>
        </w:rPr>
        <w:t>Customers that now choose not to enter into power contracts are better positioned than those trying to proactively enter into supplier agreements…. The smallest, least sophisticated customers tend to be on the SSO in most years, and we're seeing this flip where now the most sophisticated customers are going to the SSO because of the value it now represents, just because of the strange quirks that led to power prices going up.</w:t>
      </w:r>
      <w:r>
        <w:rPr>
          <w:rStyle w:val="FootnoteReference"/>
          <w:sz w:val="24"/>
          <w:szCs w:val="24"/>
        </w:rPr>
        <w:footnoteReference w:id="41"/>
      </w:r>
      <w:r w:rsidRPr="00396B92">
        <w:rPr>
          <w:sz w:val="24"/>
          <w:szCs w:val="24"/>
        </w:rPr>
        <w:t xml:space="preserve"> </w:t>
      </w:r>
    </w:p>
    <w:p w:rsidR="00B02392" w:rsidP="00DC655B" w14:paraId="3D2347AD" w14:textId="06251B45">
      <w:pPr>
        <w:spacing w:line="480" w:lineRule="auto"/>
        <w:rPr>
          <w:sz w:val="24"/>
          <w:szCs w:val="24"/>
        </w:rPr>
      </w:pPr>
      <w:r>
        <w:rPr>
          <w:sz w:val="24"/>
          <w:szCs w:val="24"/>
        </w:rPr>
        <w:tab/>
        <w:t>Vitol’s comments noted that</w:t>
      </w:r>
      <w:r w:rsidR="00D40A3A">
        <w:rPr>
          <w:sz w:val="24"/>
          <w:szCs w:val="24"/>
        </w:rPr>
        <w:t xml:space="preserve">, of the </w:t>
      </w:r>
      <w:r>
        <w:rPr>
          <w:sz w:val="24"/>
          <w:szCs w:val="24"/>
        </w:rPr>
        <w:t xml:space="preserve">2,000 MW of load </w:t>
      </w:r>
      <w:r w:rsidR="00D40A3A">
        <w:rPr>
          <w:sz w:val="24"/>
          <w:szCs w:val="24"/>
        </w:rPr>
        <w:t>switching</w:t>
      </w:r>
      <w:r>
        <w:rPr>
          <w:sz w:val="24"/>
          <w:szCs w:val="24"/>
        </w:rPr>
        <w:t xml:space="preserve"> to </w:t>
      </w:r>
      <w:r w:rsidR="00D40A3A">
        <w:rPr>
          <w:sz w:val="24"/>
          <w:szCs w:val="24"/>
        </w:rPr>
        <w:t>FirstEnergy’s and AEP’s</w:t>
      </w:r>
      <w:r>
        <w:rPr>
          <w:sz w:val="24"/>
          <w:szCs w:val="24"/>
        </w:rPr>
        <w:t xml:space="preserve"> standard service offer </w:t>
      </w:r>
      <w:r w:rsidR="00D40A3A">
        <w:rPr>
          <w:sz w:val="24"/>
          <w:szCs w:val="24"/>
        </w:rPr>
        <w:t>in 2022, over half of the load consisted of large commercial and industrial consumers.</w:t>
      </w:r>
      <w:r>
        <w:rPr>
          <w:rStyle w:val="FootnoteReference"/>
          <w:sz w:val="24"/>
          <w:szCs w:val="24"/>
        </w:rPr>
        <w:footnoteReference w:id="42"/>
      </w:r>
    </w:p>
    <w:p w:rsidR="00C578D6" w:rsidRPr="00396B92" w:rsidP="00DC655B" w14:paraId="5893E707" w14:textId="3358DCCF">
      <w:pPr>
        <w:spacing w:line="480" w:lineRule="auto"/>
        <w:rPr>
          <w:sz w:val="24"/>
          <w:szCs w:val="24"/>
        </w:rPr>
      </w:pPr>
      <w:r>
        <w:rPr>
          <w:sz w:val="24"/>
          <w:szCs w:val="24"/>
        </w:rPr>
        <w:tab/>
        <w:t>NOPEC protected small consumers by switching them to the standard service offer as quickly as possible in the face of an unprecedented worldwide energy crisis.</w:t>
      </w:r>
      <w:r w:rsidR="00E81990">
        <w:rPr>
          <w:sz w:val="24"/>
          <w:szCs w:val="24"/>
        </w:rPr>
        <w:t xml:space="preserve"> </w:t>
      </w:r>
      <w:r>
        <w:rPr>
          <w:sz w:val="24"/>
          <w:szCs w:val="24"/>
        </w:rPr>
        <w:t xml:space="preserve">Large consumers </w:t>
      </w:r>
      <w:r w:rsidR="008831FD">
        <w:rPr>
          <w:sz w:val="24"/>
          <w:szCs w:val="24"/>
        </w:rPr>
        <w:t xml:space="preserve">can </w:t>
      </w:r>
      <w:r>
        <w:rPr>
          <w:sz w:val="24"/>
          <w:szCs w:val="24"/>
        </w:rPr>
        <w:t xml:space="preserve">do this all the time and their switching </w:t>
      </w:r>
      <w:r w:rsidR="001C316C">
        <w:rPr>
          <w:sz w:val="24"/>
          <w:szCs w:val="24"/>
        </w:rPr>
        <w:t xml:space="preserve">can have </w:t>
      </w:r>
      <w:r>
        <w:rPr>
          <w:sz w:val="24"/>
          <w:szCs w:val="24"/>
        </w:rPr>
        <w:t>a greater impact on the standard service offer load.</w:t>
      </w:r>
      <w:r w:rsidR="00E81990">
        <w:rPr>
          <w:sz w:val="24"/>
          <w:szCs w:val="24"/>
        </w:rPr>
        <w:t xml:space="preserve"> </w:t>
      </w:r>
      <w:r>
        <w:rPr>
          <w:sz w:val="24"/>
          <w:szCs w:val="24"/>
        </w:rPr>
        <w:t xml:space="preserve">NOPEC should </w:t>
      </w:r>
      <w:r w:rsidR="001C316C">
        <w:rPr>
          <w:sz w:val="24"/>
          <w:szCs w:val="24"/>
        </w:rPr>
        <w:t>not be</w:t>
      </w:r>
      <w:r>
        <w:rPr>
          <w:sz w:val="24"/>
          <w:szCs w:val="24"/>
        </w:rPr>
        <w:t xml:space="preserve"> punished for acting in the best interest of small</w:t>
      </w:r>
      <w:r w:rsidR="001C316C">
        <w:rPr>
          <w:sz w:val="24"/>
          <w:szCs w:val="24"/>
        </w:rPr>
        <w:t>er</w:t>
      </w:r>
      <w:r>
        <w:rPr>
          <w:sz w:val="24"/>
          <w:szCs w:val="24"/>
        </w:rPr>
        <w:t xml:space="preserve"> consumers and putting them on the same footing as large</w:t>
      </w:r>
      <w:r w:rsidR="000E6BF4">
        <w:rPr>
          <w:sz w:val="24"/>
          <w:szCs w:val="24"/>
        </w:rPr>
        <w:t>r</w:t>
      </w:r>
      <w:r>
        <w:rPr>
          <w:sz w:val="24"/>
          <w:szCs w:val="24"/>
        </w:rPr>
        <w:t xml:space="preserve"> consumers.</w:t>
      </w:r>
    </w:p>
    <w:p w:rsidR="00F117B3" w:rsidP="00396B92" w14:paraId="0F1F28F3" w14:textId="25A251EA">
      <w:pPr>
        <w:pStyle w:val="Heading3"/>
        <w:numPr>
          <w:ilvl w:val="0"/>
          <w:numId w:val="16"/>
        </w:numPr>
        <w:ind w:left="2160" w:hanging="720"/>
      </w:pPr>
      <w:bookmarkStart w:id="23" w:name="_Toc126315979"/>
      <w:bookmarkStart w:id="24" w:name="_Toc126316019"/>
      <w:bookmarkStart w:id="25" w:name="_Toc126316111"/>
      <w:bookmarkStart w:id="26" w:name="_Toc126333678"/>
      <w:bookmarkEnd w:id="23"/>
      <w:bookmarkEnd w:id="24"/>
      <w:bookmarkEnd w:id="25"/>
      <w:r>
        <w:t>The</w:t>
      </w:r>
      <w:r w:rsidR="008D794F">
        <w:t xml:space="preserve"> </w:t>
      </w:r>
      <w:r>
        <w:t>i</w:t>
      </w:r>
      <w:r w:rsidR="008D794F">
        <w:t xml:space="preserve">nitial </w:t>
      </w:r>
      <w:r>
        <w:t>c</w:t>
      </w:r>
      <w:r w:rsidRPr="00F9330F">
        <w:t>omment</w:t>
      </w:r>
      <w:r>
        <w:t>er</w:t>
      </w:r>
      <w:r w:rsidRPr="00F9330F">
        <w:t>s raise broad concerns about how standard service offer prices might be impacted when a governmental aggregator ends its aggregation program.</w:t>
      </w:r>
      <w:r w:rsidRPr="00F9330F" w:rsidR="00E81990">
        <w:t xml:space="preserve"> </w:t>
      </w:r>
      <w:r w:rsidRPr="00F9330F">
        <w:t>Such concerns should be addressed in a generic PUCO investigation rather than the certification case of an individual governmental aggregator</w:t>
      </w:r>
      <w:r>
        <w:t xml:space="preserve"> (NOPEC)</w:t>
      </w:r>
      <w:r w:rsidRPr="00F9330F">
        <w:t>.</w:t>
      </w:r>
      <w:bookmarkEnd w:id="26"/>
    </w:p>
    <w:p w:rsidR="00F117B3" w:rsidP="00E12207" w14:paraId="45358999" w14:textId="5F2D32C1">
      <w:pPr>
        <w:spacing w:line="480" w:lineRule="auto"/>
        <w:ind w:firstLine="720"/>
        <w:rPr>
          <w:sz w:val="24"/>
          <w:szCs w:val="24"/>
        </w:rPr>
      </w:pPr>
      <w:r>
        <w:rPr>
          <w:sz w:val="24"/>
          <w:szCs w:val="24"/>
        </w:rPr>
        <w:t>When confronted by broad over-arching issues which impact Ohio’s retail electricity market, the PUCO has addressed these issues through a generic investigation.</w:t>
      </w:r>
      <w:r>
        <w:rPr>
          <w:rStyle w:val="FootnoteReference"/>
          <w:sz w:val="24"/>
          <w:szCs w:val="24"/>
        </w:rPr>
        <w:footnoteReference w:id="43"/>
      </w:r>
      <w:r w:rsidR="00E81990">
        <w:rPr>
          <w:sz w:val="24"/>
          <w:szCs w:val="24"/>
        </w:rPr>
        <w:t xml:space="preserve"> </w:t>
      </w:r>
      <w:r>
        <w:rPr>
          <w:sz w:val="24"/>
          <w:szCs w:val="24"/>
        </w:rPr>
        <w:t>This case presents such broad over-arching issues which are more appropriately addressed in a generic investigation rather than the certification case of an individual governmental aggregator.</w:t>
      </w:r>
    </w:p>
    <w:p w:rsidR="008D794F" w:rsidP="001840B0" w14:paraId="3232B765" w14:textId="43380228">
      <w:pPr>
        <w:spacing w:line="480" w:lineRule="auto"/>
        <w:ind w:firstLine="720"/>
        <w:rPr>
          <w:sz w:val="24"/>
          <w:szCs w:val="24"/>
        </w:rPr>
      </w:pPr>
      <w:r>
        <w:rPr>
          <w:sz w:val="24"/>
          <w:szCs w:val="24"/>
        </w:rPr>
        <w:t xml:space="preserve">Some </w:t>
      </w:r>
      <w:r w:rsidR="00E12207">
        <w:rPr>
          <w:sz w:val="24"/>
          <w:szCs w:val="24"/>
        </w:rPr>
        <w:t>issue</w:t>
      </w:r>
      <w:r>
        <w:rPr>
          <w:sz w:val="24"/>
          <w:szCs w:val="24"/>
        </w:rPr>
        <w:t>s raised</w:t>
      </w:r>
      <w:r w:rsidR="00E12207">
        <w:rPr>
          <w:sz w:val="24"/>
          <w:szCs w:val="24"/>
        </w:rPr>
        <w:t xml:space="preserve"> in this case involve how the standard service offer price is impacted by consumers returning from governmental aggregation programs and what, if any, changes should be made to address th</w:t>
      </w:r>
      <w:r>
        <w:rPr>
          <w:sz w:val="24"/>
          <w:szCs w:val="24"/>
        </w:rPr>
        <w:t>e situation</w:t>
      </w:r>
      <w:r w:rsidR="00E12207">
        <w:rPr>
          <w:sz w:val="24"/>
          <w:szCs w:val="24"/>
        </w:rPr>
        <w:t>.</w:t>
      </w:r>
      <w:r w:rsidR="00E81990">
        <w:rPr>
          <w:sz w:val="24"/>
          <w:szCs w:val="24"/>
        </w:rPr>
        <w:t xml:space="preserve"> </w:t>
      </w:r>
      <w:r>
        <w:rPr>
          <w:sz w:val="24"/>
          <w:szCs w:val="24"/>
        </w:rPr>
        <w:t>In this regard, t</w:t>
      </w:r>
      <w:r w:rsidR="001840B0">
        <w:rPr>
          <w:sz w:val="24"/>
          <w:szCs w:val="24"/>
        </w:rPr>
        <w:t xml:space="preserve">he PUCO </w:t>
      </w:r>
      <w:r>
        <w:rPr>
          <w:sz w:val="24"/>
          <w:szCs w:val="24"/>
        </w:rPr>
        <w:t xml:space="preserve">now </w:t>
      </w:r>
      <w:r w:rsidR="001840B0">
        <w:rPr>
          <w:sz w:val="24"/>
          <w:szCs w:val="24"/>
        </w:rPr>
        <w:t>has opened tariff cases for Ohio’s electric distribution utilities to consider whether to add minimum</w:t>
      </w:r>
      <w:r>
        <w:rPr>
          <w:sz w:val="24"/>
          <w:szCs w:val="24"/>
        </w:rPr>
        <w:t>-</w:t>
      </w:r>
      <w:r w:rsidR="001840B0">
        <w:rPr>
          <w:sz w:val="24"/>
          <w:szCs w:val="24"/>
        </w:rPr>
        <w:t>stay language to the utilities’ supplier tariffs.</w:t>
      </w:r>
      <w:r w:rsidR="00E81990">
        <w:rPr>
          <w:sz w:val="24"/>
          <w:szCs w:val="24"/>
        </w:rPr>
        <w:t xml:space="preserve"> </w:t>
      </w:r>
    </w:p>
    <w:p w:rsidR="001840B0" w:rsidP="001840B0" w14:paraId="05F70E31" w14:textId="190C15AF">
      <w:pPr>
        <w:spacing w:line="480" w:lineRule="auto"/>
        <w:ind w:firstLine="720"/>
        <w:rPr>
          <w:sz w:val="24"/>
          <w:szCs w:val="24"/>
        </w:rPr>
      </w:pPr>
      <w:r>
        <w:rPr>
          <w:sz w:val="24"/>
          <w:szCs w:val="24"/>
        </w:rPr>
        <w:t>A minimum stay would require consumers returning to the standard service offer from a governmental aggregation to remain on the standard service offer for a specified time period.</w:t>
      </w:r>
      <w:r w:rsidR="00E81990">
        <w:rPr>
          <w:sz w:val="24"/>
          <w:szCs w:val="24"/>
        </w:rPr>
        <w:t xml:space="preserve"> </w:t>
      </w:r>
      <w:r>
        <w:rPr>
          <w:sz w:val="24"/>
          <w:szCs w:val="24"/>
        </w:rPr>
        <w:t>A minimum stay is intended to reduce risk for bidd</w:t>
      </w:r>
      <w:r w:rsidR="00552BFF">
        <w:rPr>
          <w:sz w:val="24"/>
          <w:szCs w:val="24"/>
        </w:rPr>
        <w:t>ers</w:t>
      </w:r>
      <w:r>
        <w:rPr>
          <w:sz w:val="24"/>
          <w:szCs w:val="24"/>
        </w:rPr>
        <w:t xml:space="preserve"> </w:t>
      </w:r>
      <w:r w:rsidR="00552BFF">
        <w:rPr>
          <w:sz w:val="24"/>
          <w:szCs w:val="24"/>
        </w:rPr>
        <w:t>who</w:t>
      </w:r>
      <w:r>
        <w:rPr>
          <w:sz w:val="24"/>
          <w:szCs w:val="24"/>
        </w:rPr>
        <w:t xml:space="preserve"> provide generation supply for the standard service offer.</w:t>
      </w:r>
      <w:r w:rsidR="00E81990">
        <w:rPr>
          <w:sz w:val="24"/>
          <w:szCs w:val="24"/>
        </w:rPr>
        <w:t xml:space="preserve"> </w:t>
      </w:r>
      <w:r>
        <w:rPr>
          <w:sz w:val="24"/>
          <w:szCs w:val="24"/>
        </w:rPr>
        <w:t>Th</w:t>
      </w:r>
      <w:r w:rsidR="00552BFF">
        <w:rPr>
          <w:sz w:val="24"/>
          <w:szCs w:val="24"/>
        </w:rPr>
        <w:t>e arrangement</w:t>
      </w:r>
      <w:r>
        <w:rPr>
          <w:sz w:val="24"/>
          <w:szCs w:val="24"/>
        </w:rPr>
        <w:t xml:space="preserve"> is intended to mitigate </w:t>
      </w:r>
      <w:r w:rsidR="008D794F">
        <w:rPr>
          <w:sz w:val="24"/>
          <w:szCs w:val="24"/>
        </w:rPr>
        <w:t>the risk of uncertainty about the electric load to be served, which can allow for reduced auction prices</w:t>
      </w:r>
      <w:r>
        <w:rPr>
          <w:sz w:val="24"/>
          <w:szCs w:val="24"/>
        </w:rPr>
        <w:t>.</w:t>
      </w:r>
      <w:r w:rsidR="00E81990">
        <w:rPr>
          <w:sz w:val="24"/>
          <w:szCs w:val="24"/>
        </w:rPr>
        <w:t xml:space="preserve"> </w:t>
      </w:r>
    </w:p>
    <w:p w:rsidR="001840B0" w:rsidP="001840B0" w14:paraId="7EFC997A" w14:textId="2E856158">
      <w:pPr>
        <w:spacing w:line="480" w:lineRule="auto"/>
        <w:ind w:firstLine="720"/>
        <w:rPr>
          <w:sz w:val="24"/>
          <w:szCs w:val="24"/>
        </w:rPr>
      </w:pPr>
      <w:r>
        <w:rPr>
          <w:sz w:val="24"/>
          <w:szCs w:val="24"/>
        </w:rPr>
        <w:t>NextEra notes that Ohio is one of several states which does not restrict switching from a retail supplier to the standard service offer, or vice versa.</w:t>
      </w:r>
      <w:r>
        <w:rPr>
          <w:rStyle w:val="FootnoteReference"/>
          <w:sz w:val="24"/>
          <w:szCs w:val="24"/>
        </w:rPr>
        <w:footnoteReference w:id="44"/>
      </w:r>
      <w:r w:rsidR="00E81990">
        <w:rPr>
          <w:sz w:val="24"/>
          <w:szCs w:val="24"/>
        </w:rPr>
        <w:t xml:space="preserve"> </w:t>
      </w:r>
      <w:r>
        <w:rPr>
          <w:sz w:val="24"/>
          <w:szCs w:val="24"/>
        </w:rPr>
        <w:t xml:space="preserve">As a result, suppliers </w:t>
      </w:r>
      <w:r w:rsidR="008D794F">
        <w:rPr>
          <w:sz w:val="24"/>
          <w:szCs w:val="24"/>
        </w:rPr>
        <w:t>for</w:t>
      </w:r>
      <w:r w:rsidR="00396B92">
        <w:rPr>
          <w:sz w:val="24"/>
          <w:szCs w:val="24"/>
        </w:rPr>
        <w:t xml:space="preserve"> </w:t>
      </w:r>
      <w:r>
        <w:rPr>
          <w:sz w:val="24"/>
          <w:szCs w:val="24"/>
        </w:rPr>
        <w:t>the standard service offer are used to large numbers of consumers returning to the standard service offer from a governmental aggregation.</w:t>
      </w:r>
      <w:r w:rsidR="00E81990">
        <w:rPr>
          <w:sz w:val="24"/>
          <w:szCs w:val="24"/>
        </w:rPr>
        <w:t xml:space="preserve"> </w:t>
      </w:r>
      <w:r>
        <w:rPr>
          <w:sz w:val="24"/>
          <w:szCs w:val="24"/>
        </w:rPr>
        <w:t xml:space="preserve">For example, NextEra reports that over 100,000 consumers returned to the standard service offer from a governmental aggregation </w:t>
      </w:r>
      <w:r w:rsidR="001F2247">
        <w:rPr>
          <w:sz w:val="24"/>
          <w:szCs w:val="24"/>
        </w:rPr>
        <w:t>in Northeast Ohio between March and September 2022.</w:t>
      </w:r>
      <w:r>
        <w:rPr>
          <w:rStyle w:val="FootnoteReference"/>
          <w:sz w:val="24"/>
          <w:szCs w:val="24"/>
        </w:rPr>
        <w:footnoteReference w:id="45"/>
      </w:r>
      <w:r w:rsidR="00E81990">
        <w:rPr>
          <w:sz w:val="24"/>
          <w:szCs w:val="24"/>
        </w:rPr>
        <w:t xml:space="preserve"> </w:t>
      </w:r>
      <w:r w:rsidR="001F2247">
        <w:rPr>
          <w:sz w:val="24"/>
          <w:szCs w:val="24"/>
        </w:rPr>
        <w:t>NextEra has participated in over 125 default supply auctions for electric utilities during the past two years.</w:t>
      </w:r>
      <w:r>
        <w:rPr>
          <w:rStyle w:val="FootnoteReference"/>
          <w:sz w:val="24"/>
          <w:szCs w:val="24"/>
        </w:rPr>
        <w:footnoteReference w:id="46"/>
      </w:r>
      <w:r w:rsidR="00E81990">
        <w:rPr>
          <w:sz w:val="24"/>
          <w:szCs w:val="24"/>
        </w:rPr>
        <w:t xml:space="preserve"> </w:t>
      </w:r>
      <w:r w:rsidR="001F2247">
        <w:rPr>
          <w:sz w:val="24"/>
          <w:szCs w:val="24"/>
        </w:rPr>
        <w:t>NextEra explained that the supplier must evaluate the risk of consumers returning to the standard service offer and incorporate an appropriate risk premium into its bid.</w:t>
      </w:r>
      <w:r>
        <w:rPr>
          <w:rStyle w:val="FootnoteReference"/>
          <w:sz w:val="24"/>
          <w:szCs w:val="24"/>
        </w:rPr>
        <w:footnoteReference w:id="47"/>
      </w:r>
      <w:r w:rsidR="00E81990">
        <w:rPr>
          <w:sz w:val="24"/>
          <w:szCs w:val="24"/>
        </w:rPr>
        <w:t xml:space="preserve"> </w:t>
      </w:r>
    </w:p>
    <w:p w:rsidR="001F2247" w:rsidP="001840B0" w14:paraId="1F25E856" w14:textId="730456B5">
      <w:pPr>
        <w:spacing w:line="480" w:lineRule="auto"/>
        <w:ind w:firstLine="720"/>
        <w:rPr>
          <w:sz w:val="24"/>
          <w:szCs w:val="24"/>
        </w:rPr>
      </w:pPr>
      <w:r>
        <w:rPr>
          <w:sz w:val="24"/>
          <w:szCs w:val="24"/>
        </w:rPr>
        <w:t>NextEra illustrated how market forces can drive huge changes in standard service offer load.</w:t>
      </w:r>
      <w:r w:rsidR="00E81990">
        <w:rPr>
          <w:sz w:val="24"/>
          <w:szCs w:val="24"/>
        </w:rPr>
        <w:t xml:space="preserve"> </w:t>
      </w:r>
      <w:r>
        <w:rPr>
          <w:sz w:val="24"/>
          <w:szCs w:val="24"/>
        </w:rPr>
        <w:t>As an example, NextEra cited the 2009-2010 time period when default suppliers locked in high prices for default service, but the market prices dropped sharply and large numbers of consumers left the standard service offer.</w:t>
      </w:r>
      <w:r>
        <w:rPr>
          <w:rStyle w:val="FootnoteReference"/>
          <w:sz w:val="24"/>
          <w:szCs w:val="24"/>
        </w:rPr>
        <w:footnoteReference w:id="48"/>
      </w:r>
      <w:r w:rsidR="00E81990">
        <w:rPr>
          <w:sz w:val="24"/>
          <w:szCs w:val="24"/>
        </w:rPr>
        <w:t xml:space="preserve"> </w:t>
      </w:r>
      <w:r w:rsidR="0093002B">
        <w:rPr>
          <w:sz w:val="24"/>
          <w:szCs w:val="24"/>
        </w:rPr>
        <w:t>NextEra also explained how the increase in standard service offer prices in 2022-2023 resulted from macroeconomic forces, not from NOPEC’s decision to return consumers to the standard service offer.</w:t>
      </w:r>
      <w:r>
        <w:rPr>
          <w:rStyle w:val="FootnoteReference"/>
          <w:sz w:val="24"/>
          <w:szCs w:val="24"/>
        </w:rPr>
        <w:footnoteReference w:id="49"/>
      </w:r>
    </w:p>
    <w:p w:rsidR="0093002B" w:rsidP="001840B0" w14:paraId="672E9FD1" w14:textId="498DE6E4">
      <w:pPr>
        <w:spacing w:line="480" w:lineRule="auto"/>
        <w:ind w:firstLine="720"/>
        <w:rPr>
          <w:sz w:val="24"/>
          <w:szCs w:val="24"/>
        </w:rPr>
      </w:pPr>
      <w:r>
        <w:rPr>
          <w:sz w:val="24"/>
          <w:szCs w:val="24"/>
        </w:rPr>
        <w:t>In contrast, Vitol and Hartree Partners contend that the volatility in standard service offer pricing was caused by NOPEC rather than broad macroeconomic trends.</w:t>
      </w:r>
      <w:r>
        <w:rPr>
          <w:rStyle w:val="FootnoteReference"/>
          <w:sz w:val="24"/>
          <w:szCs w:val="24"/>
        </w:rPr>
        <w:footnoteReference w:id="50"/>
      </w:r>
      <w:r w:rsidR="00E81990">
        <w:rPr>
          <w:sz w:val="24"/>
          <w:szCs w:val="24"/>
        </w:rPr>
        <w:t xml:space="preserve"> </w:t>
      </w:r>
      <w:r w:rsidR="008D794F">
        <w:rPr>
          <w:sz w:val="24"/>
          <w:szCs w:val="24"/>
        </w:rPr>
        <w:t xml:space="preserve">The PUCO should be skeptical. NOPEC did not create the worldwide turmoil in the energy markets. </w:t>
      </w:r>
      <w:r>
        <w:rPr>
          <w:sz w:val="24"/>
          <w:szCs w:val="24"/>
        </w:rPr>
        <w:t>In any event, a PUCO generic investigation is the more appropriate forum to consider these types of issues.</w:t>
      </w:r>
    </w:p>
    <w:p w:rsidR="00F117B3" w:rsidP="00A56499" w14:paraId="0152EC00" w14:textId="47730863">
      <w:pPr>
        <w:spacing w:line="480" w:lineRule="auto"/>
        <w:ind w:firstLine="720"/>
        <w:rPr>
          <w:sz w:val="24"/>
          <w:szCs w:val="24"/>
        </w:rPr>
      </w:pPr>
      <w:r>
        <w:rPr>
          <w:sz w:val="24"/>
          <w:szCs w:val="24"/>
        </w:rPr>
        <w:t>The FirstEnergy Utilities also raise issues which could be considered in a broader PUCO investigation.</w:t>
      </w:r>
      <w:r w:rsidR="00E81990">
        <w:rPr>
          <w:sz w:val="24"/>
          <w:szCs w:val="24"/>
        </w:rPr>
        <w:t xml:space="preserve"> </w:t>
      </w:r>
      <w:r>
        <w:rPr>
          <w:sz w:val="24"/>
          <w:szCs w:val="24"/>
        </w:rPr>
        <w:t>These issues include</w:t>
      </w:r>
      <w:r w:rsidR="00A56499">
        <w:rPr>
          <w:sz w:val="24"/>
          <w:szCs w:val="24"/>
        </w:rPr>
        <w:t xml:space="preserve"> whether monthly variable pricing is appropriate for opt-out governmental aggregations and what communications consumers should receive about governmental aggregation pricing.</w:t>
      </w:r>
      <w:r>
        <w:rPr>
          <w:rStyle w:val="FootnoteReference"/>
          <w:sz w:val="24"/>
          <w:szCs w:val="24"/>
        </w:rPr>
        <w:footnoteReference w:id="51"/>
      </w:r>
      <w:r w:rsidR="00E81990">
        <w:rPr>
          <w:sz w:val="24"/>
          <w:szCs w:val="24"/>
        </w:rPr>
        <w:t xml:space="preserve"> </w:t>
      </w:r>
      <w:r w:rsidR="00A56499">
        <w:rPr>
          <w:sz w:val="24"/>
          <w:szCs w:val="24"/>
        </w:rPr>
        <w:t>The FirstEnergy Utilities point out that these issues could also be considered in the PUCO’s rules review.</w:t>
      </w:r>
      <w:r>
        <w:rPr>
          <w:rStyle w:val="FootnoteReference"/>
          <w:sz w:val="24"/>
          <w:szCs w:val="24"/>
        </w:rPr>
        <w:footnoteReference w:id="52"/>
      </w:r>
      <w:r w:rsidR="00E81990">
        <w:rPr>
          <w:sz w:val="24"/>
          <w:szCs w:val="24"/>
        </w:rPr>
        <w:t xml:space="preserve"> </w:t>
      </w:r>
      <w:r w:rsidR="00A56499">
        <w:rPr>
          <w:sz w:val="24"/>
          <w:szCs w:val="24"/>
        </w:rPr>
        <w:t>But the FirstEnergy Utilities also recommend that the PUCO examine the impact of governmental aggregation consumers returning to the standard service offer.</w:t>
      </w:r>
      <w:r>
        <w:rPr>
          <w:rStyle w:val="FootnoteReference"/>
          <w:sz w:val="24"/>
          <w:szCs w:val="24"/>
        </w:rPr>
        <w:footnoteReference w:id="53"/>
      </w:r>
      <w:r w:rsidR="00E81990">
        <w:rPr>
          <w:sz w:val="24"/>
          <w:szCs w:val="24"/>
        </w:rPr>
        <w:t xml:space="preserve"> </w:t>
      </w:r>
      <w:r w:rsidR="00A56499">
        <w:rPr>
          <w:sz w:val="24"/>
          <w:szCs w:val="24"/>
        </w:rPr>
        <w:t>This topic would be appropriately addressed in a PUCO generic investigation and not in a five-year rules review case.</w:t>
      </w:r>
    </w:p>
    <w:p w:rsidR="001C36E6" w:rsidP="00A56499" w14:paraId="37A50DC2" w14:textId="75BBDED3">
      <w:pPr>
        <w:spacing w:line="480" w:lineRule="auto"/>
        <w:ind w:firstLine="720"/>
        <w:rPr>
          <w:sz w:val="24"/>
          <w:szCs w:val="24"/>
        </w:rPr>
      </w:pPr>
      <w:r>
        <w:rPr>
          <w:sz w:val="24"/>
          <w:szCs w:val="24"/>
        </w:rPr>
        <w:t>Any</w:t>
      </w:r>
      <w:r w:rsidR="00072D37">
        <w:rPr>
          <w:sz w:val="24"/>
          <w:szCs w:val="24"/>
        </w:rPr>
        <w:t xml:space="preserve"> PUCO changes to the standard service offer</w:t>
      </w:r>
      <w:r>
        <w:rPr>
          <w:sz w:val="24"/>
          <w:szCs w:val="24"/>
        </w:rPr>
        <w:t>,</w:t>
      </w:r>
      <w:r w:rsidR="00072D37">
        <w:rPr>
          <w:sz w:val="24"/>
          <w:szCs w:val="24"/>
        </w:rPr>
        <w:t xml:space="preserve"> as a result of issues raised in this case, should </w:t>
      </w:r>
      <w:r w:rsidR="00552BFF">
        <w:rPr>
          <w:sz w:val="24"/>
          <w:szCs w:val="24"/>
        </w:rPr>
        <w:t xml:space="preserve">not </w:t>
      </w:r>
      <w:r w:rsidR="00072D37">
        <w:rPr>
          <w:sz w:val="24"/>
          <w:szCs w:val="24"/>
        </w:rPr>
        <w:t>unfairly restrict the service options available to residential consumers returning to the standard service offer from a governmental aggregation.</w:t>
      </w:r>
      <w:r w:rsidR="00E81990">
        <w:rPr>
          <w:sz w:val="24"/>
          <w:szCs w:val="24"/>
        </w:rPr>
        <w:t xml:space="preserve"> </w:t>
      </w:r>
      <w:r w:rsidR="00072D37">
        <w:rPr>
          <w:sz w:val="24"/>
          <w:szCs w:val="24"/>
        </w:rPr>
        <w:t xml:space="preserve">In other words, </w:t>
      </w:r>
      <w:r>
        <w:rPr>
          <w:sz w:val="24"/>
          <w:szCs w:val="24"/>
        </w:rPr>
        <w:t xml:space="preserve">residential </w:t>
      </w:r>
      <w:r w:rsidR="00072D37">
        <w:rPr>
          <w:sz w:val="24"/>
          <w:szCs w:val="24"/>
        </w:rPr>
        <w:t xml:space="preserve">consumers should </w:t>
      </w:r>
      <w:r>
        <w:rPr>
          <w:sz w:val="24"/>
          <w:szCs w:val="24"/>
        </w:rPr>
        <w:t>not be denied benefits that have been accruing to large customers who return to the standard offer.</w:t>
      </w:r>
      <w:r w:rsidR="00072D37">
        <w:rPr>
          <w:sz w:val="24"/>
          <w:szCs w:val="24"/>
        </w:rPr>
        <w:t xml:space="preserve"> </w:t>
      </w:r>
    </w:p>
    <w:p w:rsidR="00026AD3" w:rsidP="00396B92" w14:paraId="47C87DC2" w14:textId="43604228">
      <w:pPr>
        <w:rPr>
          <w:b/>
          <w:bCs/>
          <w:sz w:val="24"/>
          <w:szCs w:val="24"/>
        </w:rPr>
      </w:pPr>
    </w:p>
    <w:p w:rsidR="00A059A9" w:rsidRPr="00F9330F" w:rsidP="00396B92" w14:paraId="6C56D184" w14:textId="76D87103">
      <w:pPr>
        <w:pStyle w:val="Heading1"/>
      </w:pPr>
      <w:bookmarkStart w:id="27" w:name="_Toc126333679"/>
      <w:r>
        <w:t>CONCLUSION</w:t>
      </w:r>
      <w:bookmarkEnd w:id="27"/>
    </w:p>
    <w:p w:rsidR="00026AD3" w:rsidP="00026AD3" w14:paraId="377349B9" w14:textId="5D16F633">
      <w:pPr>
        <w:spacing w:line="480" w:lineRule="auto"/>
        <w:ind w:firstLine="720"/>
        <w:rPr>
          <w:sz w:val="24"/>
          <w:szCs w:val="24"/>
        </w:rPr>
      </w:pPr>
      <w:r>
        <w:rPr>
          <w:color w:val="000000" w:themeColor="text1"/>
          <w:sz w:val="24"/>
          <w:szCs w:val="24"/>
        </w:rPr>
        <w:t>NOPEC’s certificate should not be suspended</w:t>
      </w:r>
      <w:r w:rsidR="00E065CE">
        <w:rPr>
          <w:color w:val="000000" w:themeColor="text1"/>
          <w:sz w:val="24"/>
          <w:szCs w:val="24"/>
        </w:rPr>
        <w:t>, given NOPEC’s qualification for certification under law and its advancement of the public interest.</w:t>
      </w:r>
      <w:r w:rsidR="00A56499">
        <w:rPr>
          <w:color w:val="000000" w:themeColor="text1"/>
          <w:sz w:val="24"/>
          <w:szCs w:val="24"/>
        </w:rPr>
        <w:t xml:space="preserve"> </w:t>
      </w:r>
      <w:r w:rsidR="00552BFF">
        <w:rPr>
          <w:color w:val="000000" w:themeColor="text1"/>
          <w:sz w:val="24"/>
          <w:szCs w:val="24"/>
        </w:rPr>
        <w:t>NOPEC’s</w:t>
      </w:r>
      <w:r w:rsidR="00A56499">
        <w:rPr>
          <w:color w:val="000000" w:themeColor="text1"/>
          <w:sz w:val="24"/>
          <w:szCs w:val="24"/>
        </w:rPr>
        <w:t xml:space="preserve"> application for a certificate renewal should be approved </w:t>
      </w:r>
      <w:r w:rsidR="00E065CE">
        <w:rPr>
          <w:color w:val="000000" w:themeColor="text1"/>
          <w:sz w:val="24"/>
          <w:szCs w:val="24"/>
        </w:rPr>
        <w:t>for similar reasons.</w:t>
      </w:r>
      <w:r>
        <w:rPr>
          <w:color w:val="000000" w:themeColor="text1"/>
          <w:sz w:val="24"/>
          <w:szCs w:val="24"/>
        </w:rPr>
        <w:t xml:space="preserve"> </w:t>
      </w:r>
      <w:r>
        <w:rPr>
          <w:color w:val="000000"/>
          <w:sz w:val="24"/>
          <w:szCs w:val="24"/>
        </w:rPr>
        <w:t>NOPEC possesses the managerial, technical and financial capabilit</w:t>
      </w:r>
      <w:r w:rsidR="00E065CE">
        <w:rPr>
          <w:color w:val="000000"/>
          <w:sz w:val="24"/>
          <w:szCs w:val="24"/>
        </w:rPr>
        <w:t>ies</w:t>
      </w:r>
      <w:r>
        <w:rPr>
          <w:color w:val="000000"/>
          <w:sz w:val="24"/>
          <w:szCs w:val="24"/>
        </w:rPr>
        <w:t xml:space="preserve"> to </w:t>
      </w:r>
      <w:r w:rsidR="00E065CE">
        <w:rPr>
          <w:color w:val="000000"/>
          <w:sz w:val="24"/>
          <w:szCs w:val="24"/>
        </w:rPr>
        <w:t xml:space="preserve">hold a certificate to operate and to be granted </w:t>
      </w:r>
      <w:r>
        <w:rPr>
          <w:color w:val="000000"/>
          <w:sz w:val="24"/>
          <w:szCs w:val="24"/>
        </w:rPr>
        <w:t>renewal of its certificate, in the public interest.</w:t>
      </w:r>
      <w:r>
        <w:rPr>
          <w:rStyle w:val="FootnoteReference"/>
          <w:color w:val="000000"/>
          <w:sz w:val="24"/>
          <w:szCs w:val="24"/>
        </w:rPr>
        <w:footnoteReference w:id="54"/>
      </w:r>
      <w:r w:rsidR="00E81990">
        <w:rPr>
          <w:color w:val="000000"/>
          <w:sz w:val="24"/>
          <w:szCs w:val="24"/>
        </w:rPr>
        <w:t xml:space="preserve"> </w:t>
      </w:r>
    </w:p>
    <w:p w:rsidR="00983744" w:rsidP="007C39F4" w14:paraId="29479072" w14:textId="77777777">
      <w:pPr>
        <w:ind w:firstLine="720"/>
        <w:rPr>
          <w:color w:val="000000" w:themeColor="text1"/>
          <w:sz w:val="24"/>
          <w:szCs w:val="24"/>
        </w:rPr>
      </w:pPr>
    </w:p>
    <w:p w:rsidR="00983744" w14:paraId="5A4C76DF" w14:textId="77777777">
      <w:pPr>
        <w:rPr>
          <w:sz w:val="24"/>
          <w:szCs w:val="24"/>
        </w:rPr>
      </w:pPr>
    </w:p>
    <w:p w:rsidR="00983744" w14:paraId="42793CED" w14:textId="77777777">
      <w:pPr>
        <w:ind w:left="3514" w:firstLine="720"/>
        <w:rPr>
          <w:sz w:val="24"/>
          <w:szCs w:val="24"/>
        </w:rPr>
      </w:pPr>
      <w:r>
        <w:rPr>
          <w:sz w:val="24"/>
          <w:szCs w:val="24"/>
        </w:rPr>
        <w:t>Respectfully submitted,</w:t>
      </w:r>
    </w:p>
    <w:p w:rsidR="00983744" w14:paraId="402329DD" w14:textId="77777777">
      <w:pPr>
        <w:widowControl w:val="0"/>
        <w:ind w:left="4234" w:right="-672"/>
        <w:rPr>
          <w:sz w:val="24"/>
          <w:szCs w:val="24"/>
        </w:rPr>
      </w:pPr>
    </w:p>
    <w:p w:rsidR="00983744" w14:paraId="2009CDFE" w14:textId="77777777">
      <w:pPr>
        <w:tabs>
          <w:tab w:val="left" w:pos="4320"/>
        </w:tabs>
        <w:ind w:left="4234"/>
        <w:rPr>
          <w:sz w:val="24"/>
          <w:szCs w:val="24"/>
        </w:rPr>
      </w:pPr>
      <w:bookmarkStart w:id="28" w:name="_Hlk125725493"/>
      <w:r>
        <w:rPr>
          <w:sz w:val="24"/>
          <w:szCs w:val="24"/>
        </w:rPr>
        <w:t>Bruce Weston (0016973)</w:t>
      </w:r>
    </w:p>
    <w:p w:rsidR="00983744" w14:paraId="3330406C" w14:textId="77777777">
      <w:pPr>
        <w:tabs>
          <w:tab w:val="left" w:pos="4320"/>
        </w:tabs>
        <w:ind w:left="4234"/>
        <w:rPr>
          <w:sz w:val="24"/>
          <w:szCs w:val="24"/>
        </w:rPr>
      </w:pPr>
      <w:r>
        <w:rPr>
          <w:sz w:val="24"/>
          <w:szCs w:val="24"/>
        </w:rPr>
        <w:t>Ohio Consumers’ Counsel</w:t>
      </w:r>
      <w:r>
        <w:rPr>
          <w:sz w:val="24"/>
          <w:szCs w:val="24"/>
        </w:rPr>
        <w:tab/>
      </w:r>
    </w:p>
    <w:p w:rsidR="00983744" w14:paraId="5D243D15" w14:textId="77777777">
      <w:pPr>
        <w:tabs>
          <w:tab w:val="left" w:pos="4320"/>
        </w:tabs>
        <w:ind w:left="4234"/>
        <w:rPr>
          <w:sz w:val="24"/>
          <w:szCs w:val="24"/>
        </w:rPr>
      </w:pPr>
      <w:r>
        <w:rPr>
          <w:sz w:val="24"/>
          <w:szCs w:val="24"/>
        </w:rPr>
        <w:tab/>
      </w:r>
    </w:p>
    <w:p w:rsidR="00983744" w14:paraId="52484444" w14:textId="77777777">
      <w:pPr>
        <w:tabs>
          <w:tab w:val="left" w:pos="4320"/>
        </w:tabs>
        <w:ind w:left="4234"/>
        <w:rPr>
          <w:i/>
          <w:iCs/>
          <w:sz w:val="24"/>
          <w:szCs w:val="24"/>
          <w:u w:val="single"/>
        </w:rPr>
      </w:pPr>
      <w:r>
        <w:rPr>
          <w:i/>
          <w:iCs/>
          <w:sz w:val="24"/>
          <w:szCs w:val="24"/>
          <w:u w:val="single"/>
        </w:rPr>
        <w:t>/s/ John Finnigan</w:t>
      </w:r>
    </w:p>
    <w:p w:rsidR="00983744" w14:paraId="396FC549" w14:textId="77777777">
      <w:pPr>
        <w:tabs>
          <w:tab w:val="left" w:pos="4320"/>
        </w:tabs>
        <w:ind w:left="4234"/>
        <w:rPr>
          <w:sz w:val="24"/>
          <w:szCs w:val="24"/>
        </w:rPr>
      </w:pPr>
      <w:r>
        <w:rPr>
          <w:sz w:val="24"/>
          <w:szCs w:val="24"/>
        </w:rPr>
        <w:t>John Finnigan (0018689)</w:t>
      </w:r>
    </w:p>
    <w:p w:rsidR="00983744" w14:paraId="0FF06088" w14:textId="77777777">
      <w:pPr>
        <w:tabs>
          <w:tab w:val="left" w:pos="4320"/>
        </w:tabs>
        <w:ind w:left="4234"/>
        <w:rPr>
          <w:sz w:val="24"/>
          <w:szCs w:val="24"/>
        </w:rPr>
      </w:pPr>
      <w:r>
        <w:rPr>
          <w:sz w:val="24"/>
          <w:szCs w:val="24"/>
        </w:rPr>
        <w:t xml:space="preserve">Counsel of Record </w:t>
      </w:r>
    </w:p>
    <w:p w:rsidR="00983744" w14:paraId="13B4012C" w14:textId="77777777">
      <w:pPr>
        <w:tabs>
          <w:tab w:val="left" w:pos="4320"/>
        </w:tabs>
        <w:ind w:left="4234"/>
        <w:rPr>
          <w:sz w:val="24"/>
          <w:szCs w:val="24"/>
        </w:rPr>
      </w:pPr>
      <w:r>
        <w:rPr>
          <w:sz w:val="24"/>
          <w:szCs w:val="24"/>
        </w:rPr>
        <w:t>Maureen R. Willis (0020847)</w:t>
      </w:r>
    </w:p>
    <w:p w:rsidR="00983744" w14:paraId="7B9DBE90" w14:textId="77777777">
      <w:pPr>
        <w:tabs>
          <w:tab w:val="left" w:pos="4320"/>
        </w:tabs>
        <w:ind w:left="4234"/>
        <w:rPr>
          <w:sz w:val="24"/>
          <w:szCs w:val="24"/>
        </w:rPr>
      </w:pPr>
      <w:r>
        <w:rPr>
          <w:sz w:val="24"/>
          <w:szCs w:val="24"/>
        </w:rPr>
        <w:t>Assistant Consumers’ Counsel</w:t>
      </w:r>
    </w:p>
    <w:p w:rsidR="00983744" w14:paraId="6DA48263" w14:textId="77777777">
      <w:pPr>
        <w:ind w:left="4230"/>
        <w:rPr>
          <w:sz w:val="24"/>
          <w:szCs w:val="24"/>
        </w:rPr>
      </w:pPr>
      <w:r>
        <w:rPr>
          <w:sz w:val="24"/>
          <w:szCs w:val="24"/>
        </w:rPr>
        <w:tab/>
      </w:r>
    </w:p>
    <w:p w:rsidR="00983744" w14:paraId="5B2AF557" w14:textId="77777777">
      <w:pPr>
        <w:ind w:left="4230"/>
        <w:rPr>
          <w:b/>
          <w:bCs/>
          <w:sz w:val="24"/>
          <w:szCs w:val="24"/>
        </w:rPr>
      </w:pPr>
      <w:bookmarkStart w:id="29" w:name="_Toc125725817"/>
      <w:r>
        <w:rPr>
          <w:b/>
          <w:bCs/>
          <w:sz w:val="24"/>
          <w:szCs w:val="24"/>
        </w:rPr>
        <w:t>Office of the Ohio Consumers’ Counsel</w:t>
      </w:r>
      <w:bookmarkEnd w:id="29"/>
    </w:p>
    <w:p w:rsidR="00983744" w14:paraId="1A1301AB" w14:textId="77777777">
      <w:pPr>
        <w:ind w:left="4230"/>
        <w:rPr>
          <w:sz w:val="24"/>
          <w:szCs w:val="24"/>
        </w:rPr>
      </w:pPr>
      <w:bookmarkStart w:id="30" w:name="_Toc125725818"/>
      <w:r>
        <w:rPr>
          <w:sz w:val="24"/>
          <w:szCs w:val="24"/>
        </w:rPr>
        <w:t>65 East State Street, Suite 700</w:t>
      </w:r>
      <w:bookmarkEnd w:id="30"/>
    </w:p>
    <w:p w:rsidR="00983744" w14:paraId="6633C8A6" w14:textId="77777777">
      <w:pPr>
        <w:ind w:left="4230"/>
        <w:rPr>
          <w:sz w:val="24"/>
          <w:szCs w:val="24"/>
        </w:rPr>
      </w:pPr>
      <w:bookmarkStart w:id="31" w:name="_Toc125725819"/>
      <w:r>
        <w:rPr>
          <w:sz w:val="24"/>
          <w:szCs w:val="24"/>
        </w:rPr>
        <w:t>Columbus, Ohio 43215</w:t>
      </w:r>
      <w:bookmarkEnd w:id="31"/>
    </w:p>
    <w:p w:rsidR="00983744" w14:paraId="6BA565BD" w14:textId="77777777">
      <w:pPr>
        <w:autoSpaceDE w:val="0"/>
        <w:autoSpaceDN w:val="0"/>
        <w:adjustRightInd w:val="0"/>
        <w:ind w:left="4234"/>
        <w:rPr>
          <w:sz w:val="24"/>
          <w:szCs w:val="24"/>
        </w:rPr>
      </w:pPr>
      <w:r>
        <w:rPr>
          <w:sz w:val="24"/>
          <w:szCs w:val="24"/>
        </w:rPr>
        <w:t>Telephone [Finnigan]: (614) 466-9585</w:t>
      </w:r>
    </w:p>
    <w:p w:rsidR="00983744" w14:paraId="433CF0E8" w14:textId="77777777">
      <w:pPr>
        <w:autoSpaceDE w:val="0"/>
        <w:autoSpaceDN w:val="0"/>
        <w:adjustRightInd w:val="0"/>
        <w:ind w:left="4234"/>
        <w:rPr>
          <w:sz w:val="24"/>
          <w:szCs w:val="24"/>
        </w:rPr>
      </w:pPr>
      <w:r>
        <w:rPr>
          <w:sz w:val="24"/>
          <w:szCs w:val="24"/>
        </w:rPr>
        <w:t>Telephone [Willis]: (614) 466-9567</w:t>
      </w:r>
    </w:p>
    <w:p w:rsidR="00983744" w14:paraId="13F2C7D4" w14:textId="77777777">
      <w:pPr>
        <w:ind w:left="4234"/>
        <w:rPr>
          <w:sz w:val="24"/>
          <w:szCs w:val="24"/>
        </w:rPr>
      </w:pPr>
      <w:hyperlink r:id="rId6" w:history="1">
        <w:r w:rsidR="00F95735">
          <w:rPr>
            <w:color w:val="0000FF"/>
            <w:sz w:val="24"/>
            <w:szCs w:val="24"/>
            <w:u w:val="single"/>
          </w:rPr>
          <w:t>john.finnigan@occ.ohio.gov</w:t>
        </w:r>
      </w:hyperlink>
    </w:p>
    <w:p w:rsidR="00983744" w14:paraId="63E8D7CC" w14:textId="77777777">
      <w:pPr>
        <w:ind w:left="4234"/>
        <w:rPr>
          <w:sz w:val="24"/>
          <w:szCs w:val="24"/>
        </w:rPr>
      </w:pPr>
      <w:hyperlink r:id="rId7" w:history="1">
        <w:r w:rsidR="00F95735">
          <w:rPr>
            <w:color w:val="0000FF"/>
            <w:sz w:val="24"/>
            <w:szCs w:val="24"/>
            <w:u w:val="single"/>
          </w:rPr>
          <w:t>maureen.willis@occ.ohio.gov</w:t>
        </w:r>
      </w:hyperlink>
    </w:p>
    <w:p w:rsidR="00983744" w:rsidP="009A42FC" w14:paraId="29166403" w14:textId="6FB8E03C">
      <w:pPr>
        <w:ind w:left="4234"/>
        <w:rPr>
          <w:b/>
          <w:sz w:val="24"/>
          <w:szCs w:val="24"/>
          <w:u w:val="single"/>
        </w:rPr>
      </w:pPr>
      <w:r>
        <w:rPr>
          <w:sz w:val="24"/>
          <w:szCs w:val="24"/>
        </w:rPr>
        <w:t>(willing to accept service by e-mail)</w:t>
      </w:r>
      <w:bookmarkEnd w:id="28"/>
      <w:r>
        <w:rPr>
          <w:b/>
          <w:sz w:val="24"/>
          <w:szCs w:val="24"/>
          <w:u w:val="single"/>
        </w:rPr>
        <w:br w:type="page"/>
      </w:r>
    </w:p>
    <w:p w:rsidR="00983744" w14:paraId="5B079790" w14:textId="77777777">
      <w:pPr>
        <w:pStyle w:val="Footer"/>
        <w:tabs>
          <w:tab w:val="left" w:pos="4320"/>
          <w:tab w:val="clear" w:pos="8640"/>
        </w:tabs>
        <w:jc w:val="center"/>
        <w:rPr>
          <w:sz w:val="24"/>
          <w:szCs w:val="24"/>
        </w:rPr>
      </w:pPr>
      <w:r>
        <w:rPr>
          <w:b/>
          <w:sz w:val="24"/>
          <w:szCs w:val="24"/>
          <w:u w:val="single"/>
        </w:rPr>
        <w:t>CERTIFICATE OF SERVICE</w:t>
      </w:r>
    </w:p>
    <w:p w:rsidR="00983744" w14:paraId="4D4E4C4C" w14:textId="77777777">
      <w:pPr>
        <w:autoSpaceDE w:val="0"/>
        <w:autoSpaceDN w:val="0"/>
        <w:adjustRightInd w:val="0"/>
        <w:ind w:firstLine="4320"/>
        <w:jc w:val="center"/>
        <w:rPr>
          <w:sz w:val="24"/>
          <w:szCs w:val="24"/>
          <w:u w:val="single"/>
        </w:rPr>
      </w:pPr>
    </w:p>
    <w:p w:rsidR="00983744" w14:paraId="4FD1E968" w14:textId="4795FDB8">
      <w:pPr>
        <w:spacing w:line="480" w:lineRule="auto"/>
        <w:ind w:firstLine="720"/>
        <w:rPr>
          <w:b/>
          <w:sz w:val="24"/>
          <w:szCs w:val="24"/>
        </w:rPr>
      </w:pPr>
      <w:r>
        <w:rPr>
          <w:sz w:val="24"/>
          <w:szCs w:val="24"/>
        </w:rPr>
        <w:t xml:space="preserve">I hereby certify that a copy of the foregoing </w:t>
      </w:r>
      <w:r w:rsidR="003A0563">
        <w:rPr>
          <w:sz w:val="24"/>
          <w:szCs w:val="24"/>
        </w:rPr>
        <w:t>Reply</w:t>
      </w:r>
      <w:r>
        <w:rPr>
          <w:sz w:val="24"/>
          <w:szCs w:val="24"/>
        </w:rPr>
        <w:t xml:space="preserve"> Comments for Consumer Protection was served via electronic transmission upon the parties this </w:t>
      </w:r>
      <w:r w:rsidR="003A0563">
        <w:rPr>
          <w:sz w:val="24"/>
          <w:szCs w:val="24"/>
        </w:rPr>
        <w:t>3rd</w:t>
      </w:r>
      <w:r>
        <w:rPr>
          <w:sz w:val="24"/>
          <w:szCs w:val="24"/>
        </w:rPr>
        <w:t xml:space="preserve"> day of </w:t>
      </w:r>
      <w:r w:rsidR="003A0563">
        <w:rPr>
          <w:sz w:val="24"/>
          <w:szCs w:val="24"/>
        </w:rPr>
        <w:t>Febr</w:t>
      </w:r>
      <w:r>
        <w:rPr>
          <w:sz w:val="24"/>
          <w:szCs w:val="24"/>
        </w:rPr>
        <w:t xml:space="preserve">uary 2023. </w:t>
      </w:r>
    </w:p>
    <w:p w:rsidR="00983744" w14:paraId="42F426E7" w14:textId="77777777">
      <w:pPr>
        <w:tabs>
          <w:tab w:val="left" w:pos="4320"/>
        </w:tabs>
        <w:rPr>
          <w:i/>
          <w:iCs/>
          <w:sz w:val="24"/>
          <w:szCs w:val="24"/>
          <w:u w:val="single"/>
        </w:rPr>
      </w:pPr>
      <w:r>
        <w:rPr>
          <w:sz w:val="24"/>
          <w:szCs w:val="24"/>
        </w:rPr>
        <w:tab/>
      </w:r>
      <w:r>
        <w:rPr>
          <w:i/>
          <w:iCs/>
          <w:sz w:val="24"/>
          <w:szCs w:val="24"/>
          <w:u w:val="single"/>
        </w:rPr>
        <w:t xml:space="preserve">/s/ John Finnigan </w:t>
      </w:r>
    </w:p>
    <w:p w:rsidR="00983744" w14:paraId="2B8549E1" w14:textId="77777777">
      <w:pPr>
        <w:tabs>
          <w:tab w:val="left" w:pos="4320"/>
        </w:tabs>
        <w:rPr>
          <w:sz w:val="24"/>
          <w:szCs w:val="24"/>
        </w:rPr>
      </w:pPr>
      <w:r>
        <w:rPr>
          <w:sz w:val="24"/>
          <w:szCs w:val="24"/>
        </w:rPr>
        <w:tab/>
        <w:t>John Finnigan</w:t>
      </w:r>
    </w:p>
    <w:p w:rsidR="00983744" w14:paraId="33700E09" w14:textId="77777777">
      <w:pPr>
        <w:tabs>
          <w:tab w:val="left" w:pos="4320"/>
        </w:tabs>
        <w:rPr>
          <w:sz w:val="24"/>
          <w:szCs w:val="24"/>
        </w:rPr>
      </w:pPr>
      <w:r>
        <w:rPr>
          <w:sz w:val="24"/>
          <w:szCs w:val="24"/>
        </w:rPr>
        <w:tab/>
        <w:t>Assistant Consumers’ Counsel</w:t>
      </w:r>
    </w:p>
    <w:p w:rsidR="00983744" w14:paraId="6CD74C2E" w14:textId="77777777">
      <w:pPr>
        <w:tabs>
          <w:tab w:val="left" w:pos="4320"/>
        </w:tabs>
        <w:rPr>
          <w:sz w:val="24"/>
          <w:szCs w:val="24"/>
        </w:rPr>
      </w:pPr>
    </w:p>
    <w:p w:rsidR="00983744" w14:paraId="1A92638B" w14:textId="77777777">
      <w:pPr>
        <w:pStyle w:val="CommentText"/>
        <w:rPr>
          <w:sz w:val="24"/>
          <w:szCs w:val="24"/>
        </w:rPr>
      </w:pPr>
      <w:r>
        <w:rPr>
          <w:sz w:val="24"/>
          <w:szCs w:val="24"/>
        </w:rPr>
        <w:t>The PUCO’s e-filing system will electronically serve notice of the filing of this document on the following parties:</w:t>
      </w:r>
    </w:p>
    <w:p w:rsidR="00983744" w14:paraId="7D019572" w14:textId="77777777">
      <w:pPr>
        <w:pStyle w:val="CommentText"/>
        <w:rPr>
          <w:b/>
          <w:sz w:val="24"/>
          <w:szCs w:val="24"/>
          <w:u w:val="single"/>
        </w:rPr>
      </w:pPr>
    </w:p>
    <w:p w:rsidR="00983744" w14:paraId="40CF4155" w14:textId="77777777">
      <w:pPr>
        <w:pStyle w:val="CommentText"/>
        <w:jc w:val="center"/>
        <w:rPr>
          <w:b/>
          <w:sz w:val="24"/>
          <w:szCs w:val="24"/>
          <w:u w:val="single"/>
        </w:rPr>
      </w:pPr>
      <w:r>
        <w:rPr>
          <w:b/>
          <w:sz w:val="24"/>
          <w:szCs w:val="24"/>
          <w:u w:val="single"/>
        </w:rPr>
        <w:t>SERVICE LIST</w:t>
      </w:r>
    </w:p>
    <w:p w:rsidR="00983744" w14:paraId="6A0A2AB9" w14:textId="77777777">
      <w:pPr>
        <w:pStyle w:val="CommentText"/>
        <w:jc w:val="center"/>
        <w:rPr>
          <w:b/>
          <w:sz w:val="24"/>
          <w:szCs w:val="24"/>
          <w:u w:val="single"/>
        </w:rPr>
      </w:pPr>
    </w:p>
    <w:tbl>
      <w:tblPr>
        <w:tblW w:w="0" w:type="auto"/>
        <w:tblLook w:val="01E0"/>
      </w:tblPr>
      <w:tblGrid>
        <w:gridCol w:w="4348"/>
        <w:gridCol w:w="4292"/>
      </w:tblGrid>
      <w:tr w14:paraId="36AF843F" w14:textId="77777777">
        <w:tblPrEx>
          <w:tblW w:w="0" w:type="auto"/>
          <w:tblLook w:val="01E0"/>
        </w:tblPrEx>
        <w:tc>
          <w:tcPr>
            <w:tcW w:w="4428" w:type="dxa"/>
            <w:shd w:val="clear" w:color="auto" w:fill="auto"/>
          </w:tcPr>
          <w:p w:rsidR="00983744" w14:paraId="2315FB09" w14:textId="77777777">
            <w:pPr>
              <w:rPr>
                <w:color w:val="0000FF"/>
                <w:sz w:val="24"/>
                <w:szCs w:val="24"/>
                <w:u w:val="single"/>
              </w:rPr>
            </w:pPr>
            <w:r>
              <w:rPr>
                <w:color w:val="0000FF"/>
                <w:sz w:val="24"/>
                <w:szCs w:val="24"/>
                <w:u w:val="single"/>
              </w:rPr>
              <w:t>thomas.lindgren@ohioago.gov</w:t>
            </w:r>
          </w:p>
          <w:p w:rsidR="00983744" w14:paraId="1D4C5D77" w14:textId="77777777">
            <w:pPr>
              <w:rPr>
                <w:color w:val="0000FF"/>
                <w:sz w:val="24"/>
                <w:szCs w:val="24"/>
                <w:u w:val="single"/>
              </w:rPr>
            </w:pPr>
            <w:hyperlink r:id="rId11" w:history="1">
              <w:r w:rsidR="00F95735">
                <w:rPr>
                  <w:color w:val="0000FF"/>
                  <w:sz w:val="24"/>
                  <w:szCs w:val="24"/>
                  <w:u w:val="single"/>
                </w:rPr>
                <w:t>rhiannon.plant@ohioago.gov</w:t>
              </w:r>
            </w:hyperlink>
          </w:p>
          <w:p w:rsidR="00983744" w14:paraId="15AA65DD" w14:textId="77777777">
            <w:pPr>
              <w:rPr>
                <w:sz w:val="24"/>
              </w:rPr>
            </w:pPr>
            <w:hyperlink r:id="rId12" w:history="1">
              <w:r w:rsidR="00F95735">
                <w:rPr>
                  <w:color w:val="0000FF"/>
                  <w:sz w:val="24"/>
                  <w:u w:val="single"/>
                </w:rPr>
                <w:t>dproano@bakerlaw.com</w:t>
              </w:r>
            </w:hyperlink>
          </w:p>
          <w:p w:rsidR="00983744" w14:paraId="45129BA3" w14:textId="77777777">
            <w:pPr>
              <w:rPr>
                <w:sz w:val="24"/>
              </w:rPr>
            </w:pPr>
            <w:hyperlink r:id="rId13" w:history="1">
              <w:r w:rsidR="00F95735">
                <w:rPr>
                  <w:color w:val="0000FF"/>
                  <w:sz w:val="24"/>
                  <w:u w:val="single"/>
                </w:rPr>
                <w:t>jrollinson@bakerlaw.com</w:t>
              </w:r>
            </w:hyperlink>
          </w:p>
          <w:p w:rsidR="00983744" w14:paraId="75E99993" w14:textId="77777777">
            <w:pPr>
              <w:rPr>
                <w:sz w:val="24"/>
              </w:rPr>
            </w:pPr>
            <w:hyperlink r:id="rId14" w:history="1">
              <w:r w:rsidR="00F95735">
                <w:rPr>
                  <w:color w:val="0000FF"/>
                  <w:sz w:val="24"/>
                  <w:u w:val="single"/>
                </w:rPr>
                <w:t>plewis@bakerlaw.com</w:t>
              </w:r>
            </w:hyperlink>
          </w:p>
          <w:p w:rsidR="00983744" w14:paraId="1DB582AF" w14:textId="77777777">
            <w:pPr>
              <w:rPr>
                <w:sz w:val="24"/>
              </w:rPr>
            </w:pPr>
            <w:hyperlink r:id="rId15" w:history="1">
              <w:r w:rsidR="00F95735">
                <w:rPr>
                  <w:color w:val="0000FF"/>
                  <w:sz w:val="24"/>
                  <w:u w:val="single"/>
                </w:rPr>
                <w:t>kcutts@bakerlaw.com</w:t>
              </w:r>
            </w:hyperlink>
          </w:p>
          <w:p w:rsidR="00983744" w14:paraId="576324CD" w14:textId="77777777">
            <w:pPr>
              <w:rPr>
                <w:sz w:val="24"/>
              </w:rPr>
            </w:pPr>
            <w:hyperlink r:id="rId16" w:history="1">
              <w:r w:rsidR="00F95735">
                <w:rPr>
                  <w:color w:val="0000FF"/>
                  <w:sz w:val="24"/>
                  <w:u w:val="single"/>
                </w:rPr>
                <w:t>tathompson@bakerlaw.com</w:t>
              </w:r>
            </w:hyperlink>
          </w:p>
          <w:p w:rsidR="00983744" w14:paraId="1187B347" w14:textId="77777777">
            <w:pPr>
              <w:rPr>
                <w:color w:val="0000FF"/>
                <w:sz w:val="24"/>
                <w:szCs w:val="24"/>
                <w:u w:val="single"/>
              </w:rPr>
            </w:pPr>
            <w:hyperlink r:id="rId17" w:history="1">
              <w:r w:rsidR="00F95735">
                <w:rPr>
                  <w:color w:val="0000FF"/>
                  <w:sz w:val="24"/>
                  <w:szCs w:val="24"/>
                  <w:u w:val="single"/>
                </w:rPr>
                <w:t>ahaque@bakerlaw.com</w:t>
              </w:r>
            </w:hyperlink>
          </w:p>
          <w:p w:rsidR="00983744" w14:paraId="1DF5665D" w14:textId="77777777">
            <w:pPr>
              <w:rPr>
                <w:color w:val="0000FF"/>
                <w:sz w:val="24"/>
                <w:szCs w:val="24"/>
                <w:u w:val="single"/>
              </w:rPr>
            </w:pPr>
            <w:r>
              <w:rPr>
                <w:color w:val="0000FF"/>
                <w:sz w:val="24"/>
                <w:szCs w:val="24"/>
                <w:u w:val="single"/>
              </w:rPr>
              <w:t>gbenson@bakerlaw.com</w:t>
            </w:r>
          </w:p>
          <w:p w:rsidR="00983744" w14:paraId="6A64C0C5" w14:textId="77777777">
            <w:pPr>
              <w:rPr>
                <w:sz w:val="24"/>
                <w:szCs w:val="24"/>
              </w:rPr>
            </w:pPr>
            <w:hyperlink r:id="rId18" w:history="1">
              <w:r w:rsidR="00F95735">
                <w:rPr>
                  <w:rStyle w:val="Hyperlink"/>
                  <w:sz w:val="24"/>
                  <w:szCs w:val="24"/>
                </w:rPr>
                <w:t>michael.yuffee@bakerbotts.com</w:t>
              </w:r>
            </w:hyperlink>
          </w:p>
          <w:p w:rsidR="00983744" w14:paraId="36442E3E" w14:textId="77777777">
            <w:pPr>
              <w:rPr>
                <w:color w:val="0000FF"/>
                <w:sz w:val="24"/>
                <w:szCs w:val="24"/>
                <w:u w:val="single"/>
              </w:rPr>
            </w:pPr>
            <w:hyperlink r:id="rId19" w:history="1">
              <w:r w:rsidR="00F95735">
                <w:rPr>
                  <w:rStyle w:val="Hyperlink"/>
                  <w:sz w:val="24"/>
                  <w:szCs w:val="24"/>
                </w:rPr>
                <w:t>ryan.norfolk@bakerbotts.com</w:t>
              </w:r>
            </w:hyperlink>
          </w:p>
          <w:p w:rsidR="00983744" w14:paraId="70AED0D8" w14:textId="77777777">
            <w:pPr>
              <w:rPr>
                <w:color w:val="0000FF"/>
                <w:sz w:val="24"/>
                <w:szCs w:val="24"/>
                <w:u w:val="single"/>
              </w:rPr>
            </w:pPr>
            <w:hyperlink r:id="rId20" w:history="1">
              <w:r w:rsidR="00F95735">
                <w:rPr>
                  <w:rStyle w:val="Hyperlink"/>
                  <w:sz w:val="24"/>
                  <w:szCs w:val="24"/>
                </w:rPr>
                <w:t>mrgladman@jonesday.com</w:t>
              </w:r>
            </w:hyperlink>
          </w:p>
          <w:p w:rsidR="00983744" w14:paraId="7D8EE3E1" w14:textId="77777777">
            <w:pPr>
              <w:rPr>
                <w:color w:val="0000FF"/>
                <w:sz w:val="24"/>
                <w:szCs w:val="24"/>
                <w:u w:val="single"/>
              </w:rPr>
            </w:pPr>
            <w:hyperlink r:id="rId21" w:history="1">
              <w:r w:rsidR="00F95735">
                <w:rPr>
                  <w:rStyle w:val="Hyperlink"/>
                  <w:sz w:val="24"/>
                  <w:szCs w:val="24"/>
                </w:rPr>
                <w:t>sgoyal@jonesday.com</w:t>
              </w:r>
            </w:hyperlink>
          </w:p>
          <w:p w:rsidR="00983744" w14:paraId="6DC920DA" w14:textId="77777777">
            <w:pPr>
              <w:rPr>
                <w:color w:val="0000FF"/>
                <w:sz w:val="24"/>
                <w:szCs w:val="24"/>
                <w:u w:val="single"/>
              </w:rPr>
            </w:pPr>
            <w:hyperlink r:id="rId22" w:history="1">
              <w:r w:rsidR="00F95735">
                <w:rPr>
                  <w:rStyle w:val="Hyperlink"/>
                  <w:sz w:val="24"/>
                  <w:szCs w:val="24"/>
                </w:rPr>
                <w:t>mdengler@jonesday.com</w:t>
              </w:r>
            </w:hyperlink>
          </w:p>
          <w:p w:rsidR="00983744" w14:paraId="57FE3D9C" w14:textId="77777777">
            <w:pPr>
              <w:rPr>
                <w:color w:val="0000FF"/>
                <w:sz w:val="24"/>
                <w:szCs w:val="24"/>
                <w:u w:val="single"/>
              </w:rPr>
            </w:pPr>
            <w:hyperlink r:id="rId23" w:history="1">
              <w:r w:rsidR="00F95735">
                <w:rPr>
                  <w:rStyle w:val="Hyperlink"/>
                  <w:sz w:val="24"/>
                  <w:szCs w:val="24"/>
                </w:rPr>
                <w:t>radoringo@jonesday.com</w:t>
              </w:r>
            </w:hyperlink>
          </w:p>
          <w:p w:rsidR="00983744" w14:paraId="4F8E7199" w14:textId="77777777">
            <w:pPr>
              <w:rPr>
                <w:color w:val="0000FF"/>
                <w:sz w:val="24"/>
                <w:szCs w:val="24"/>
                <w:u w:val="single"/>
              </w:rPr>
            </w:pPr>
            <w:hyperlink r:id="rId24" w:history="1">
              <w:r w:rsidR="00F95735">
                <w:rPr>
                  <w:rStyle w:val="Hyperlink"/>
                  <w:sz w:val="24"/>
                  <w:szCs w:val="24"/>
                </w:rPr>
                <w:t>cwatchorn@firstenergycorp.com</w:t>
              </w:r>
            </w:hyperlink>
          </w:p>
          <w:p w:rsidR="00983744" w14:paraId="26A8D1F3" w14:textId="77777777">
            <w:pPr>
              <w:rPr>
                <w:color w:val="0000FF"/>
                <w:sz w:val="24"/>
                <w:szCs w:val="24"/>
                <w:u w:val="single"/>
              </w:rPr>
            </w:pPr>
            <w:r>
              <w:rPr>
                <w:color w:val="0000FF"/>
                <w:sz w:val="24"/>
                <w:szCs w:val="24"/>
                <w:u w:val="single"/>
              </w:rPr>
              <w:t>zwoltz@firstenergycorp.com</w:t>
            </w:r>
          </w:p>
          <w:p w:rsidR="00983744" w14:paraId="358B292D" w14:textId="77777777">
            <w:pPr>
              <w:rPr>
                <w:color w:val="0000FF"/>
                <w:sz w:val="24"/>
                <w:szCs w:val="24"/>
                <w:u w:val="single"/>
              </w:rPr>
            </w:pPr>
          </w:p>
          <w:p w:rsidR="00983744" w14:paraId="36B76B48" w14:textId="77777777">
            <w:pPr>
              <w:rPr>
                <w:sz w:val="24"/>
                <w:szCs w:val="24"/>
              </w:rPr>
            </w:pPr>
            <w:r>
              <w:rPr>
                <w:sz w:val="24"/>
                <w:szCs w:val="24"/>
              </w:rPr>
              <w:t>Attorney Examiners:</w:t>
            </w:r>
          </w:p>
          <w:p w:rsidR="00983744" w14:paraId="359B6B05" w14:textId="77777777">
            <w:pPr>
              <w:rPr>
                <w:sz w:val="24"/>
                <w:szCs w:val="24"/>
              </w:rPr>
            </w:pPr>
            <w:hyperlink r:id="rId25" w:history="1">
              <w:r w:rsidR="00F95735">
                <w:rPr>
                  <w:color w:val="0000FF"/>
                  <w:sz w:val="24"/>
                  <w:szCs w:val="24"/>
                  <w:u w:val="single"/>
                </w:rPr>
                <w:t>megan.addison@puco.ohio.gov</w:t>
              </w:r>
            </w:hyperlink>
          </w:p>
          <w:p w:rsidR="00983744" w14:paraId="26656BB2" w14:textId="77777777">
            <w:pPr>
              <w:rPr>
                <w:sz w:val="24"/>
                <w:szCs w:val="24"/>
              </w:rPr>
            </w:pPr>
            <w:hyperlink r:id="rId26" w:history="1">
              <w:r w:rsidR="00F95735">
                <w:rPr>
                  <w:color w:val="0000FF"/>
                  <w:sz w:val="24"/>
                  <w:szCs w:val="24"/>
                  <w:u w:val="single"/>
                </w:rPr>
                <w:t>greg.price@puco.ohio.gov</w:t>
              </w:r>
            </w:hyperlink>
          </w:p>
        </w:tc>
        <w:tc>
          <w:tcPr>
            <w:tcW w:w="4428" w:type="dxa"/>
            <w:shd w:val="clear" w:color="auto" w:fill="auto"/>
          </w:tcPr>
          <w:p w:rsidR="00983744" w14:paraId="1BE14D14" w14:textId="77777777">
            <w:pPr>
              <w:jc w:val="both"/>
              <w:rPr>
                <w:sz w:val="24"/>
              </w:rPr>
            </w:pPr>
            <w:hyperlink r:id="rId27" w:history="1">
              <w:r w:rsidR="00F95735">
                <w:rPr>
                  <w:color w:val="0000FF"/>
                  <w:sz w:val="24"/>
                  <w:u w:val="single"/>
                </w:rPr>
                <w:t>dstinson@bricker.com</w:t>
              </w:r>
            </w:hyperlink>
          </w:p>
          <w:p w:rsidR="00983744" w14:paraId="2D56C1B2" w14:textId="77777777">
            <w:pPr>
              <w:jc w:val="both"/>
              <w:rPr>
                <w:color w:val="0000FF"/>
                <w:sz w:val="24"/>
                <w:u w:val="single"/>
              </w:rPr>
            </w:pPr>
            <w:hyperlink r:id="rId28" w:history="1">
              <w:r w:rsidR="00F95735">
                <w:rPr>
                  <w:color w:val="0000FF"/>
                  <w:sz w:val="24"/>
                  <w:u w:val="single"/>
                </w:rPr>
                <w:t>dparram@bricker.com</w:t>
              </w:r>
            </w:hyperlink>
          </w:p>
          <w:p w:rsidR="00983744" w14:paraId="7451A3CD" w14:textId="77777777">
            <w:pPr>
              <w:jc w:val="both"/>
              <w:rPr>
                <w:sz w:val="24"/>
              </w:rPr>
            </w:pPr>
            <w:hyperlink r:id="rId29" w:history="1">
              <w:r w:rsidR="00F95735">
                <w:rPr>
                  <w:rStyle w:val="Hyperlink"/>
                  <w:sz w:val="24"/>
                </w:rPr>
                <w:t>dcampbell@bricker.com</w:t>
              </w:r>
            </w:hyperlink>
          </w:p>
          <w:p w:rsidR="00983744" w14:paraId="7B05DD04" w14:textId="77777777">
            <w:pPr>
              <w:jc w:val="both"/>
              <w:rPr>
                <w:color w:val="0000FF"/>
                <w:sz w:val="24"/>
                <w:u w:val="single"/>
              </w:rPr>
            </w:pPr>
            <w:hyperlink r:id="rId30" w:history="1">
              <w:r w:rsidR="00F95735">
                <w:rPr>
                  <w:color w:val="0000FF"/>
                  <w:sz w:val="24"/>
                  <w:u w:val="single"/>
                </w:rPr>
                <w:t>mwarnock@bricker.com</w:t>
              </w:r>
            </w:hyperlink>
          </w:p>
          <w:p w:rsidR="00983744" w14:paraId="2AFCD1E0" w14:textId="77777777">
            <w:pPr>
              <w:jc w:val="both"/>
              <w:rPr>
                <w:sz w:val="24"/>
              </w:rPr>
            </w:pPr>
            <w:hyperlink r:id="rId31" w:history="1">
              <w:r w:rsidR="00F95735">
                <w:rPr>
                  <w:rStyle w:val="Hyperlink"/>
                  <w:sz w:val="24"/>
                </w:rPr>
                <w:t>gkrassen@nopec.org</w:t>
              </w:r>
            </w:hyperlink>
          </w:p>
          <w:p w:rsidR="00983744" w14:paraId="400C35BF" w14:textId="77777777">
            <w:pPr>
              <w:jc w:val="both"/>
              <w:rPr>
                <w:sz w:val="24"/>
              </w:rPr>
            </w:pPr>
            <w:hyperlink r:id="rId32" w:history="1">
              <w:r w:rsidR="00F95735">
                <w:rPr>
                  <w:color w:val="0000FF"/>
                  <w:sz w:val="24"/>
                  <w:u w:val="single"/>
                </w:rPr>
                <w:t>jlang@calfee.com</w:t>
              </w:r>
            </w:hyperlink>
          </w:p>
          <w:p w:rsidR="00983744" w14:paraId="2F76C325" w14:textId="77777777">
            <w:pPr>
              <w:jc w:val="both"/>
              <w:rPr>
                <w:sz w:val="24"/>
              </w:rPr>
            </w:pPr>
            <w:hyperlink r:id="rId33" w:history="1">
              <w:r w:rsidR="00F95735">
                <w:rPr>
                  <w:color w:val="0000FF"/>
                  <w:sz w:val="24"/>
                  <w:u w:val="single"/>
                </w:rPr>
                <w:t>lmcbride@calfee.com</w:t>
              </w:r>
            </w:hyperlink>
          </w:p>
          <w:p w:rsidR="00983744" w14:paraId="7A292559" w14:textId="77777777">
            <w:pPr>
              <w:jc w:val="both"/>
              <w:rPr>
                <w:sz w:val="24"/>
              </w:rPr>
            </w:pPr>
            <w:hyperlink r:id="rId34" w:history="1">
              <w:r w:rsidR="00F95735">
                <w:rPr>
                  <w:color w:val="0000FF"/>
                  <w:sz w:val="24"/>
                  <w:u w:val="single"/>
                </w:rPr>
                <w:t>jejadwin@aep.com</w:t>
              </w:r>
            </w:hyperlink>
          </w:p>
          <w:p w:rsidR="00983744" w14:paraId="178ACF68" w14:textId="77777777">
            <w:pPr>
              <w:jc w:val="both"/>
              <w:rPr>
                <w:sz w:val="24"/>
              </w:rPr>
            </w:pPr>
            <w:hyperlink r:id="rId35" w:history="1">
              <w:r w:rsidR="00F95735">
                <w:rPr>
                  <w:color w:val="0000FF"/>
                  <w:sz w:val="24"/>
                  <w:u w:val="single"/>
                </w:rPr>
                <w:t>stnourse@aep.com</w:t>
              </w:r>
            </w:hyperlink>
          </w:p>
          <w:p w:rsidR="00983744" w14:paraId="434376DD" w14:textId="77777777">
            <w:pPr>
              <w:jc w:val="both"/>
              <w:rPr>
                <w:sz w:val="24"/>
              </w:rPr>
            </w:pPr>
            <w:hyperlink r:id="rId36" w:history="1">
              <w:r w:rsidR="00F95735">
                <w:rPr>
                  <w:color w:val="0000FF"/>
                  <w:sz w:val="24"/>
                  <w:u w:val="single"/>
                </w:rPr>
                <w:t>mdortch@kravitzllc.com</w:t>
              </w:r>
            </w:hyperlink>
          </w:p>
          <w:p w:rsidR="00983744" w14:paraId="0E33CAF7" w14:textId="77777777">
            <w:pPr>
              <w:jc w:val="both"/>
              <w:rPr>
                <w:sz w:val="24"/>
              </w:rPr>
            </w:pPr>
            <w:hyperlink r:id="rId37" w:history="1">
              <w:r w:rsidR="00F95735">
                <w:rPr>
                  <w:color w:val="0000FF"/>
                  <w:sz w:val="24"/>
                  <w:u w:val="single"/>
                </w:rPr>
                <w:t>jdortch@kravitzllc.com</w:t>
              </w:r>
            </w:hyperlink>
          </w:p>
          <w:p w:rsidR="00983744" w14:paraId="73FE0E90" w14:textId="77777777">
            <w:pPr>
              <w:jc w:val="both"/>
              <w:rPr>
                <w:sz w:val="24"/>
              </w:rPr>
            </w:pPr>
            <w:hyperlink r:id="rId38" w:history="1">
              <w:r w:rsidR="00F95735">
                <w:rPr>
                  <w:color w:val="0000FF"/>
                  <w:sz w:val="24"/>
                  <w:u w:val="single"/>
                </w:rPr>
                <w:t>rparsons@kravitzllc.com</w:t>
              </w:r>
            </w:hyperlink>
          </w:p>
          <w:p w:rsidR="00983744" w14:paraId="7481AA4A" w14:textId="77777777">
            <w:pPr>
              <w:jc w:val="both"/>
              <w:rPr>
                <w:sz w:val="24"/>
              </w:rPr>
            </w:pPr>
            <w:hyperlink r:id="rId39" w:history="1">
              <w:r w:rsidR="00F95735">
                <w:rPr>
                  <w:color w:val="0000FF"/>
                  <w:sz w:val="24"/>
                  <w:u w:val="single"/>
                </w:rPr>
                <w:t>amy.spiller@duke-energy.com</w:t>
              </w:r>
            </w:hyperlink>
          </w:p>
          <w:p w:rsidR="00983744" w14:paraId="2D6EBC04" w14:textId="77777777">
            <w:pPr>
              <w:jc w:val="both"/>
              <w:rPr>
                <w:sz w:val="24"/>
              </w:rPr>
            </w:pPr>
            <w:hyperlink r:id="rId40" w:history="1">
              <w:r w:rsidR="00F95735">
                <w:rPr>
                  <w:color w:val="0000FF"/>
                  <w:sz w:val="24"/>
                  <w:u w:val="single"/>
                </w:rPr>
                <w:t>evan.betterton@igs.com</w:t>
              </w:r>
            </w:hyperlink>
          </w:p>
          <w:p w:rsidR="00983744" w14:paraId="0C2FA4EC" w14:textId="77777777">
            <w:pPr>
              <w:jc w:val="both"/>
              <w:rPr>
                <w:color w:val="0000FF"/>
                <w:sz w:val="24"/>
                <w:u w:val="single"/>
              </w:rPr>
            </w:pPr>
            <w:hyperlink r:id="rId41" w:history="1">
              <w:r w:rsidR="00F95735">
                <w:rPr>
                  <w:color w:val="0000FF"/>
                  <w:sz w:val="24"/>
                  <w:u w:val="single"/>
                </w:rPr>
                <w:t>stacie.cathcart@igs.com</w:t>
              </w:r>
            </w:hyperlink>
          </w:p>
          <w:p w:rsidR="00983744" w14:paraId="1AD69F71" w14:textId="77777777">
            <w:pPr>
              <w:jc w:val="both"/>
              <w:rPr>
                <w:sz w:val="24"/>
              </w:rPr>
            </w:pPr>
          </w:p>
        </w:tc>
      </w:tr>
      <w:tr w14:paraId="3969225F" w14:textId="77777777">
        <w:tblPrEx>
          <w:tblW w:w="0" w:type="auto"/>
          <w:tblLook w:val="01E0"/>
        </w:tblPrEx>
        <w:tc>
          <w:tcPr>
            <w:tcW w:w="4428" w:type="dxa"/>
            <w:shd w:val="clear" w:color="auto" w:fill="auto"/>
          </w:tcPr>
          <w:p w:rsidR="00983744" w14:paraId="067148B2" w14:textId="77777777">
            <w:pPr>
              <w:rPr>
                <w:sz w:val="24"/>
                <w:szCs w:val="24"/>
              </w:rPr>
            </w:pPr>
          </w:p>
        </w:tc>
        <w:tc>
          <w:tcPr>
            <w:tcW w:w="4428" w:type="dxa"/>
            <w:shd w:val="clear" w:color="auto" w:fill="auto"/>
          </w:tcPr>
          <w:p w:rsidR="00983744" w14:paraId="42FE860B" w14:textId="77777777">
            <w:pPr>
              <w:rPr>
                <w:bCs/>
                <w:sz w:val="24"/>
                <w:szCs w:val="24"/>
              </w:rPr>
            </w:pPr>
          </w:p>
        </w:tc>
      </w:tr>
    </w:tbl>
    <w:p w:rsidR="00983744" w14:paraId="11587034" w14:textId="77777777">
      <w:pPr>
        <w:rPr>
          <w:sz w:val="24"/>
          <w:szCs w:val="24"/>
        </w:rPr>
      </w:pPr>
    </w:p>
    <w:sectPr>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27296919"/>
      <w:docPartObj>
        <w:docPartGallery w:val="Page Numbers (Bottom of Page)"/>
        <w:docPartUnique/>
      </w:docPartObj>
    </w:sdtPr>
    <w:sdtEndPr>
      <w:rPr>
        <w:noProof/>
        <w:sz w:val="24"/>
        <w:szCs w:val="24"/>
      </w:rPr>
    </w:sdtEndPr>
    <w:sdtContent>
      <w:p w:rsidR="008831FD" w:rsidP="00396B92" w14:paraId="5F151258" w14:textId="4E32808B">
        <w:pPr>
          <w:pStyle w:val="Footer"/>
          <w:jc w:val="center"/>
        </w:pPr>
        <w:r w:rsidRPr="00396B92">
          <w:rPr>
            <w:sz w:val="24"/>
            <w:szCs w:val="24"/>
          </w:rPr>
          <w:fldChar w:fldCharType="begin"/>
        </w:r>
        <w:r w:rsidRPr="00396B92">
          <w:rPr>
            <w:sz w:val="24"/>
            <w:szCs w:val="24"/>
          </w:rPr>
          <w:instrText xml:space="preserve"> PAGE   \* MERGEFORMAT </w:instrText>
        </w:r>
        <w:r w:rsidRPr="00396B92">
          <w:rPr>
            <w:sz w:val="24"/>
            <w:szCs w:val="24"/>
          </w:rPr>
          <w:fldChar w:fldCharType="separate"/>
        </w:r>
        <w:r w:rsidRPr="00396B92">
          <w:rPr>
            <w:noProof/>
            <w:sz w:val="24"/>
            <w:szCs w:val="24"/>
          </w:rPr>
          <w:t>2</w:t>
        </w:r>
        <w:r w:rsidRPr="00396B92">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31FD" w14:paraId="725D3CD1" w14:textId="57CD55A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1618671740"/>
      <w:docPartObj>
        <w:docPartGallery w:val="Page Numbers (Bottom of Page)"/>
        <w:docPartUnique/>
      </w:docPartObj>
    </w:sdtPr>
    <w:sdtEndPr>
      <w:rPr>
        <w:noProof/>
      </w:rPr>
    </w:sdtEndPr>
    <w:sdtContent>
      <w:p w:rsidR="008831FD" w:rsidRPr="00396B92" w14:paraId="33547551" w14:textId="19438E9D">
        <w:pPr>
          <w:pStyle w:val="Footer"/>
          <w:jc w:val="center"/>
          <w:rPr>
            <w:sz w:val="24"/>
            <w:szCs w:val="24"/>
          </w:rPr>
        </w:pPr>
        <w:r w:rsidRPr="00396B92">
          <w:rPr>
            <w:sz w:val="24"/>
            <w:szCs w:val="24"/>
          </w:rPr>
          <w:fldChar w:fldCharType="begin"/>
        </w:r>
        <w:r w:rsidRPr="00396B92">
          <w:rPr>
            <w:sz w:val="24"/>
            <w:szCs w:val="24"/>
          </w:rPr>
          <w:instrText xml:space="preserve"> PAGE   \* MERGEFORMAT </w:instrText>
        </w:r>
        <w:r w:rsidRPr="00396B92">
          <w:rPr>
            <w:sz w:val="24"/>
            <w:szCs w:val="24"/>
          </w:rPr>
          <w:fldChar w:fldCharType="separate"/>
        </w:r>
        <w:r w:rsidRPr="00396B92">
          <w:rPr>
            <w:noProof/>
            <w:sz w:val="24"/>
            <w:szCs w:val="24"/>
          </w:rPr>
          <w:t>2</w:t>
        </w:r>
        <w:r w:rsidRPr="00396B92">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3359" w14:paraId="11CD6C5E" w14:textId="77777777">
      <w:r>
        <w:separator/>
      </w:r>
    </w:p>
  </w:footnote>
  <w:footnote w:type="continuationSeparator" w:id="1">
    <w:p w:rsidR="00A03359" w14:paraId="26FD62CE" w14:textId="77777777">
      <w:r>
        <w:continuationSeparator/>
      </w:r>
    </w:p>
  </w:footnote>
  <w:footnote w:id="2">
    <w:p w:rsidR="008831FD" w:rsidRPr="00396B92" w:rsidP="00396B92" w14:paraId="5560521E" w14:textId="60BBDD8E">
      <w:pPr>
        <w:pStyle w:val="FootnoteText"/>
        <w:spacing w:after="120"/>
      </w:pPr>
      <w:r w:rsidRPr="00396B92">
        <w:rPr>
          <w:rStyle w:val="FootnoteReference"/>
        </w:rPr>
        <w:footnoteRef/>
      </w:r>
      <w:r w:rsidRPr="00396B92">
        <w:t xml:space="preserve"> In Initial Comments, OCC questioned Dynegy’s credibility. </w:t>
      </w:r>
      <w:r w:rsidR="002D3B5D">
        <w:t>I</w:t>
      </w:r>
      <w:r w:rsidRPr="00396B92">
        <w:t xml:space="preserve">t was reported in a news story about the federal trial on House Bill 6 that </w:t>
      </w:r>
      <w:r w:rsidR="002D3B5D">
        <w:t xml:space="preserve">Defendant Householder “had a shorthand for close allies: ‘on the farm.’” It also was reported in the news story that </w:t>
      </w:r>
      <w:r w:rsidRPr="00396B92">
        <w:t>Dynegy was on a list labeled “quasi-farm.” (</w:t>
      </w:r>
      <w:r w:rsidRPr="0009683C">
        <w:rPr>
          <w:i/>
          <w:iCs/>
        </w:rPr>
        <w:t>Householder trial: Jurors dropped into world of dark money, energy, high-stakes politics</w:t>
      </w:r>
      <w:r w:rsidRPr="00396B92">
        <w:t>, Columbus Dispatch, Bischoff and Balmert (Jan. 30, 2023)</w:t>
      </w:r>
      <w:r w:rsidR="001C32FD">
        <w:t>)</w:t>
      </w:r>
      <w:r w:rsidRPr="00396B92">
        <w:t>. The news story did not identify any wrongdoing by Dynegy. OCC will seek to supplement the record in this case, as appropriate, if applicable information is revealed on this subject.</w:t>
      </w:r>
      <w:r w:rsidRPr="00396B92" w:rsidR="00396B92">
        <w:t xml:space="preserve"> </w:t>
      </w:r>
    </w:p>
  </w:footnote>
  <w:footnote w:id="3">
    <w:p w:rsidR="008831FD" w:rsidRPr="00396B92" w:rsidP="00396B92" w14:paraId="66D4732F" w14:textId="1D83ABC6">
      <w:pPr>
        <w:pStyle w:val="FootnoteText"/>
        <w:spacing w:after="120"/>
      </w:pPr>
      <w:r w:rsidRPr="00396B92">
        <w:rPr>
          <w:rStyle w:val="FootnoteReference"/>
        </w:rPr>
        <w:footnoteRef/>
      </w:r>
      <w:r w:rsidRPr="00396B92">
        <w:t xml:space="preserve"> R.C. 4928.02(C).</w:t>
      </w:r>
    </w:p>
  </w:footnote>
  <w:footnote w:id="4">
    <w:p w:rsidR="008831FD" w:rsidRPr="00396B92" w:rsidP="00396B92" w14:paraId="0C615104" w14:textId="77777777">
      <w:pPr>
        <w:pStyle w:val="FootnoteText"/>
        <w:spacing w:after="120"/>
      </w:pPr>
      <w:r w:rsidRPr="00396B92">
        <w:rPr>
          <w:rStyle w:val="FootnoteReference"/>
        </w:rPr>
        <w:footnoteRef/>
      </w:r>
      <w:r w:rsidRPr="00396B92">
        <w:t xml:space="preserve"> R.C. 4928.08(B).</w:t>
      </w:r>
    </w:p>
  </w:footnote>
  <w:footnote w:id="5">
    <w:p w:rsidR="008831FD" w:rsidRPr="00396B92" w:rsidP="00396B92" w14:paraId="3219CE83" w14:textId="10A9EE98">
      <w:pPr>
        <w:pStyle w:val="FootnoteText"/>
        <w:spacing w:after="120"/>
        <w:rPr>
          <w:i/>
          <w:iCs/>
        </w:rPr>
      </w:pPr>
      <w:r w:rsidRPr="00396B92">
        <w:rPr>
          <w:rStyle w:val="FootnoteReference"/>
        </w:rPr>
        <w:footnoteRef/>
      </w:r>
      <w:r w:rsidRPr="00396B92">
        <w:t xml:space="preserve"> </w:t>
      </w:r>
      <w:r w:rsidRPr="00396B92">
        <w:rPr>
          <w:i/>
          <w:iCs/>
        </w:rPr>
        <w:t>Id.</w:t>
      </w:r>
    </w:p>
  </w:footnote>
  <w:footnote w:id="6">
    <w:p w:rsidR="008831FD" w:rsidRPr="00396B92" w:rsidP="00396B92" w14:paraId="24082242" w14:textId="5B268367">
      <w:pPr>
        <w:pStyle w:val="FootnoteText"/>
        <w:spacing w:after="120"/>
      </w:pPr>
      <w:r w:rsidRPr="00396B92">
        <w:rPr>
          <w:rStyle w:val="FootnoteReference"/>
        </w:rPr>
        <w:footnoteRef/>
      </w:r>
      <w:r w:rsidRPr="00396B92">
        <w:t xml:space="preserve"> Letter in Support of NOPEC’s Continued Certification filed by Patric A. Ward, Mayor of City of Lyndhurst (Oct. 11, 2022); Letter in Support of NOPEC’s Continued Certification filed by Timothy J. DeGeeter, Mayor of the City of Parma (Oct. 11, 2022); Comments on Behalf of Cleveland State University Energy Policy Center (Dec. 16, 2022); Comments on Behalf of Interested Current and Former State Legislators in Support of NOPEC (Dec. 16, 2022); Comments on Behalf of Interested Party Organizations in Support of NOPEC (Dec. 16, 2022); Comments on Behalf of Interested NOPEC Member Communities in Support of NOPEC (Dec. 16, 2022): Comments on Behalf of NOPEC Customers (Dec. 16, 2022); Comments in Support of NOPEC (Jan. 13, 2023); Initial Comments of NextEra Energy Services Ohio, LLC (Jan. 27, 2023); Initial Comments of NextEra Energy Marketing, LLC (Jan. 27, 2023); Correspondence Supporting NOPEC’s Certification on Behalf of Ryan Augsburger, President of the Ohio Manufacturers’ Association Energy Group (Jan. 27, 2023).</w:t>
      </w:r>
    </w:p>
  </w:footnote>
  <w:footnote w:id="7">
    <w:p w:rsidR="008831FD" w:rsidRPr="00396B92" w:rsidP="00396B92" w14:paraId="07BD1134" w14:textId="77777777">
      <w:pPr>
        <w:pStyle w:val="FootnoteText"/>
        <w:spacing w:after="120"/>
      </w:pPr>
      <w:r w:rsidRPr="00396B92">
        <w:rPr>
          <w:rStyle w:val="FootnoteReference"/>
        </w:rPr>
        <w:footnoteRef/>
      </w:r>
      <w:r w:rsidRPr="00396B92">
        <w:t xml:space="preserve"> </w:t>
      </w:r>
      <w:r w:rsidRPr="00396B92">
        <w:rPr>
          <w:i/>
          <w:iCs/>
        </w:rPr>
        <w:t xml:space="preserve">In the Matter of the Application of The Dayton Power and Light Company d/b/a AES Ohio for Approval of Its Electric Security Plan, </w:t>
      </w:r>
      <w:r w:rsidRPr="00396B92">
        <w:t>Case No. 22-900-EL-SSO, Motion to Intervene of The Ohio Manufacturers’ Association Energy Group at 4-5 (Oct. 7, 2022).</w:t>
      </w:r>
    </w:p>
  </w:footnote>
  <w:footnote w:id="8">
    <w:p w:rsidR="008831FD" w:rsidRPr="00396B92" w:rsidP="00396B92" w14:paraId="7B49A512" w14:textId="77777777">
      <w:pPr>
        <w:pStyle w:val="FootnoteText"/>
        <w:spacing w:after="120"/>
      </w:pPr>
      <w:r w:rsidRPr="00396B92">
        <w:rPr>
          <w:rStyle w:val="FootnoteReference"/>
        </w:rPr>
        <w:footnoteRef/>
      </w:r>
      <w:r w:rsidRPr="00396B92">
        <w:t xml:space="preserve"> Correspondence Supporting NOPEC’s Certification on Behalf of Ryan Augsburger, President of the Ohio Manufacturers’ Association Energy Group (Jan. 27, 2023).</w:t>
      </w:r>
    </w:p>
  </w:footnote>
  <w:footnote w:id="9">
    <w:p w:rsidR="008831FD" w:rsidRPr="00396B92" w:rsidP="00396B92" w14:paraId="54126891" w14:textId="24127618">
      <w:pPr>
        <w:pStyle w:val="FootnoteText"/>
        <w:spacing w:after="120"/>
      </w:pPr>
      <w:r w:rsidRPr="00396B92">
        <w:rPr>
          <w:rStyle w:val="FootnoteReference"/>
        </w:rPr>
        <w:footnoteRef/>
      </w:r>
      <w:r w:rsidRPr="00396B92">
        <w:t xml:space="preserve"> Initial Comments of NextEra Energy Services Ohio, LLC at 3 (Jan. 27, 2023).</w:t>
      </w:r>
    </w:p>
  </w:footnote>
  <w:footnote w:id="10">
    <w:p w:rsidR="008831FD" w:rsidRPr="00396B92" w:rsidP="00396B92" w14:paraId="29C88433" w14:textId="59100481">
      <w:pPr>
        <w:pStyle w:val="FootnoteText"/>
        <w:spacing w:after="120"/>
      </w:pPr>
      <w:r w:rsidRPr="00396B92">
        <w:rPr>
          <w:rStyle w:val="FootnoteReference"/>
        </w:rPr>
        <w:footnoteRef/>
      </w:r>
      <w:r w:rsidRPr="00396B92">
        <w:t xml:space="preserve"> </w:t>
      </w:r>
      <w:r w:rsidRPr="00396B92">
        <w:rPr>
          <w:i/>
          <w:iCs/>
        </w:rPr>
        <w:t xml:space="preserve">Id. </w:t>
      </w:r>
      <w:r w:rsidRPr="00396B92">
        <w:t>at 1.</w:t>
      </w:r>
    </w:p>
  </w:footnote>
  <w:footnote w:id="11">
    <w:p w:rsidR="008831FD" w:rsidRPr="00396B92" w:rsidP="00396B92" w14:paraId="151AD834" w14:textId="6F8BEA86">
      <w:pPr>
        <w:pStyle w:val="FootnoteText"/>
        <w:spacing w:after="120"/>
      </w:pPr>
      <w:r w:rsidRPr="00396B92">
        <w:rPr>
          <w:rStyle w:val="FootnoteReference"/>
        </w:rPr>
        <w:footnoteRef/>
      </w:r>
      <w:r w:rsidRPr="00396B92">
        <w:t xml:space="preserve"> NextEra Energy web page, available at: </w:t>
      </w:r>
      <w:hyperlink r:id="rId1" w:history="1">
        <w:r w:rsidRPr="00396B92">
          <w:rPr>
            <w:rStyle w:val="Hyperlink"/>
          </w:rPr>
          <w:t>https://www.nexteraenergy.com/real-zero.html?cid=SEANEE0013aug22&amp;gclid=EAIaIQobChMImfWjj8_v_AIV04ZbCh3cJwfDEAAYASAAEgL9x_D_BwE</w:t>
        </w:r>
      </w:hyperlink>
      <w:r w:rsidRPr="00396B92">
        <w:t>.</w:t>
      </w:r>
    </w:p>
  </w:footnote>
  <w:footnote w:id="12">
    <w:p w:rsidR="008831FD" w:rsidRPr="00396B92" w:rsidP="00396B92" w14:paraId="353F70C3" w14:textId="65B0FAEF">
      <w:pPr>
        <w:pStyle w:val="FootnoteText"/>
        <w:spacing w:after="120"/>
      </w:pPr>
      <w:r w:rsidRPr="00396B92">
        <w:rPr>
          <w:rStyle w:val="FootnoteReference"/>
        </w:rPr>
        <w:footnoteRef/>
      </w:r>
      <w:r w:rsidRPr="00396B92">
        <w:t xml:space="preserve"> Initial Comments of NextEra Energy Services Ohio, LLC (Jan. 27, 2023).</w:t>
      </w:r>
    </w:p>
  </w:footnote>
  <w:footnote w:id="13">
    <w:p w:rsidR="008831FD" w:rsidRPr="00396B92" w:rsidP="00396B92" w14:paraId="3AD23F6C" w14:textId="2A547882">
      <w:pPr>
        <w:pStyle w:val="FootnoteText"/>
        <w:spacing w:after="120"/>
      </w:pPr>
      <w:r w:rsidRPr="00396B92">
        <w:rPr>
          <w:rStyle w:val="FootnoteReference"/>
        </w:rPr>
        <w:footnoteRef/>
      </w:r>
      <w:r w:rsidRPr="00396B92">
        <w:t xml:space="preserve"> Comments on Behalf of Interested NOPEC Member Communities in Support of NOPEC (Dec. 16, 2022).</w:t>
      </w:r>
    </w:p>
  </w:footnote>
  <w:footnote w:id="14">
    <w:p w:rsidR="008831FD" w:rsidRPr="00396B92" w:rsidP="00396B92" w14:paraId="33A91BB6" w14:textId="6578B645">
      <w:pPr>
        <w:pStyle w:val="FootnoteText"/>
        <w:spacing w:after="120"/>
        <w:rPr>
          <w:i/>
          <w:iCs/>
        </w:rPr>
      </w:pPr>
      <w:r w:rsidRPr="00396B92">
        <w:rPr>
          <w:rStyle w:val="FootnoteReference"/>
        </w:rPr>
        <w:footnoteRef/>
      </w:r>
      <w:r w:rsidRPr="00396B92">
        <w:t xml:space="preserve"> </w:t>
      </w:r>
      <w:r w:rsidRPr="00396B92">
        <w:rPr>
          <w:i/>
          <w:iCs/>
        </w:rPr>
        <w:t>Id.</w:t>
      </w:r>
    </w:p>
  </w:footnote>
  <w:footnote w:id="15">
    <w:p w:rsidR="008831FD" w:rsidRPr="00396B92" w:rsidP="00396B92" w14:paraId="7A3BC144" w14:textId="3BCFD4D8">
      <w:pPr>
        <w:pStyle w:val="FootnoteText"/>
        <w:spacing w:after="120"/>
      </w:pPr>
      <w:r w:rsidRPr="00396B92">
        <w:rPr>
          <w:rStyle w:val="FootnoteReference"/>
        </w:rPr>
        <w:footnoteRef/>
      </w:r>
      <w:r w:rsidRPr="00396B92">
        <w:t xml:space="preserve"> Letter in Support of NOPEC’s Continued Certification filed by Patric A. Ward, Mayor of City of Lyndhurst (Oct. 11, 2022); Letter in Support of NOPEC’s Continued Certification filed by Timothy J. DeGeeter, Mayor of the City of Parma (Oct. 11, 2022). Comments in Support of NOPEC (Jan. 13, 2023).</w:t>
      </w:r>
    </w:p>
  </w:footnote>
  <w:footnote w:id="16">
    <w:p w:rsidR="008831FD" w:rsidRPr="00396B92" w:rsidP="00396B92" w14:paraId="10F6D50F" w14:textId="33449950">
      <w:pPr>
        <w:pStyle w:val="FootnoteText"/>
        <w:spacing w:after="120"/>
      </w:pPr>
      <w:r w:rsidRPr="00396B92">
        <w:rPr>
          <w:rStyle w:val="FootnoteReference"/>
        </w:rPr>
        <w:footnoteRef/>
      </w:r>
      <w:r w:rsidRPr="00396B92">
        <w:t xml:space="preserve"> Comments on Behalf of Interested NOPEC Member Communities in Support of NOPEC, Letter of Karen A. Chapman, Fiscal Officer of the Andover Township Board of Trustees (Dec. 16, 2022).</w:t>
      </w:r>
    </w:p>
  </w:footnote>
  <w:footnote w:id="17">
    <w:p w:rsidR="008831FD" w:rsidRPr="00396B92" w:rsidP="00396B92" w14:paraId="65C7BE51" w14:textId="77777777">
      <w:pPr>
        <w:pStyle w:val="FootnoteText"/>
        <w:spacing w:after="120"/>
      </w:pPr>
      <w:r w:rsidRPr="00396B92">
        <w:rPr>
          <w:rStyle w:val="FootnoteReference"/>
        </w:rPr>
        <w:footnoteRef/>
      </w:r>
      <w:r w:rsidRPr="00396B92">
        <w:t xml:space="preserve"> Comments on Behalf of Interested Current and Former State Legislators in Support of NOPEC (Dec. 16, 2022).</w:t>
      </w:r>
    </w:p>
  </w:footnote>
  <w:footnote w:id="18">
    <w:p w:rsidR="008831FD" w:rsidRPr="00396B92" w:rsidP="00396B92" w14:paraId="3ADD0686" w14:textId="77777777">
      <w:pPr>
        <w:pStyle w:val="FootnoteText"/>
        <w:spacing w:after="120"/>
      </w:pPr>
      <w:r w:rsidRPr="00396B92">
        <w:rPr>
          <w:rStyle w:val="FootnoteReference"/>
        </w:rPr>
        <w:footnoteRef/>
      </w:r>
      <w:r w:rsidRPr="00396B92">
        <w:t xml:space="preserve"> </w:t>
      </w:r>
      <w:r w:rsidRPr="00396B92">
        <w:rPr>
          <w:i/>
          <w:iCs/>
        </w:rPr>
        <w:t xml:space="preserve">Id., </w:t>
      </w:r>
      <w:r w:rsidRPr="00396B92">
        <w:t>Letter from Representative Bill Roemer.</w:t>
      </w:r>
    </w:p>
  </w:footnote>
  <w:footnote w:id="19">
    <w:p w:rsidR="008831FD" w:rsidRPr="00396B92" w:rsidP="00396B92" w14:paraId="52547003" w14:textId="3503B5C1">
      <w:pPr>
        <w:pStyle w:val="FootnoteText"/>
        <w:spacing w:after="120"/>
      </w:pPr>
      <w:r w:rsidRPr="00396B92">
        <w:rPr>
          <w:rStyle w:val="FootnoteReference"/>
        </w:rPr>
        <w:footnoteRef/>
      </w:r>
      <w:r w:rsidRPr="00396B92">
        <w:t xml:space="preserve"> Dynegy Marketing and Trade, LLC’s Comments Opposing the Renewal of NOPEC’s Governmental Aggregation Certificate and Addressing NOPEC’s Response to the September 7, 2022 Show-Cause Order at 1 (Jan. 27, 2023); Buckeye Energy Brokers, Inc’s Comments Regarding Northeast Ohio Public Energy Council’s Response to the PUCO’s September 7, 2023 Show Cause Order at 3 (Jan. 27, 2023).</w:t>
      </w:r>
    </w:p>
  </w:footnote>
  <w:footnote w:id="20">
    <w:p w:rsidR="008831FD" w:rsidRPr="00396B92" w:rsidP="00396B92" w14:paraId="50BDFB1E" w14:textId="588F78D3">
      <w:pPr>
        <w:pStyle w:val="FootnoteText"/>
        <w:spacing w:after="120"/>
      </w:pPr>
      <w:r w:rsidRPr="00396B92">
        <w:rPr>
          <w:rStyle w:val="FootnoteReference"/>
        </w:rPr>
        <w:footnoteRef/>
      </w:r>
      <w:r w:rsidRPr="00396B92">
        <w:t xml:space="preserve"> NOPEC’s Response to the September 7, 2022 Show Cause Order (Sept. 28, 2022).</w:t>
      </w:r>
    </w:p>
  </w:footnote>
  <w:footnote w:id="21">
    <w:p w:rsidR="008831FD" w:rsidRPr="00396B92" w:rsidP="00396B92" w14:paraId="3D831711" w14:textId="6883049B">
      <w:pPr>
        <w:pStyle w:val="FootnoteText"/>
        <w:spacing w:after="120"/>
      </w:pPr>
      <w:r w:rsidRPr="00396B92">
        <w:rPr>
          <w:rStyle w:val="FootnoteReference"/>
        </w:rPr>
        <w:footnoteRef/>
      </w:r>
      <w:r w:rsidRPr="00396B92">
        <w:t xml:space="preserve"> </w:t>
      </w:r>
      <w:r w:rsidRPr="00396B92">
        <w:rPr>
          <w:i/>
          <w:iCs/>
        </w:rPr>
        <w:t xml:space="preserve">In re application of FirstEnergy Advisors for Certification as a Competitive Retail Elec. Serv. Power Broker &amp; Aggregator, </w:t>
      </w:r>
      <w:r w:rsidRPr="00396B92">
        <w:t>166 Ohio St.3d 519, 2021-Ohio-3630.</w:t>
      </w:r>
    </w:p>
  </w:footnote>
  <w:footnote w:id="22">
    <w:p w:rsidR="008831FD" w:rsidRPr="00396B92" w:rsidP="00396B92" w14:paraId="193B9393" w14:textId="0799D201">
      <w:pPr>
        <w:pStyle w:val="FootnoteText"/>
        <w:spacing w:after="120"/>
      </w:pPr>
      <w:r w:rsidRPr="00396B92">
        <w:rPr>
          <w:rStyle w:val="FootnoteReference"/>
        </w:rPr>
        <w:footnoteRef/>
      </w:r>
      <w:r w:rsidRPr="00396B92">
        <w:t xml:space="preserve"> </w:t>
      </w:r>
      <w:r w:rsidRPr="00396B92">
        <w:rPr>
          <w:i/>
          <w:iCs/>
        </w:rPr>
        <w:t xml:space="preserve">In the Matter of the Complaint of Dynegy Marketing &amp; Trade, LLC v. NOPEC, </w:t>
      </w:r>
      <w:r w:rsidRPr="00396B92">
        <w:t>Case No. 22-817-EL-CSS, Notice of Voluntary Dismissal Without Prejudice (Oct. 11, 2022).</w:t>
      </w:r>
    </w:p>
  </w:footnote>
  <w:footnote w:id="23">
    <w:p w:rsidR="008831FD" w:rsidRPr="00396B92" w:rsidP="00396B92" w14:paraId="730E70C7" w14:textId="3B771828">
      <w:pPr>
        <w:pStyle w:val="FootnoteText"/>
        <w:spacing w:after="120"/>
      </w:pPr>
      <w:r w:rsidRPr="00396B92">
        <w:rPr>
          <w:rStyle w:val="FootnoteReference"/>
        </w:rPr>
        <w:footnoteRef/>
      </w:r>
      <w:r w:rsidRPr="00396B92">
        <w:t xml:space="preserve"> R.C. 4905.26.</w:t>
      </w:r>
    </w:p>
  </w:footnote>
  <w:footnote w:id="24">
    <w:p w:rsidR="008831FD" w:rsidRPr="00396B92" w:rsidP="00396B92" w14:paraId="2D3E5FE7" w14:textId="13B17D39">
      <w:pPr>
        <w:pStyle w:val="FootnoteText"/>
        <w:spacing w:after="120"/>
      </w:pPr>
      <w:r w:rsidRPr="00396B92">
        <w:rPr>
          <w:rStyle w:val="FootnoteReference"/>
        </w:rPr>
        <w:footnoteRef/>
      </w:r>
      <w:r w:rsidRPr="00396B92">
        <w:t xml:space="preserve"> R.C. 4928.16(A)(1) and (2).</w:t>
      </w:r>
    </w:p>
  </w:footnote>
  <w:footnote w:id="25">
    <w:p w:rsidR="008831FD" w:rsidRPr="00396B92" w:rsidP="00396B92" w14:paraId="11418B46" w14:textId="30D1FC30">
      <w:pPr>
        <w:pStyle w:val="FootnoteText"/>
        <w:spacing w:after="120"/>
      </w:pPr>
      <w:r w:rsidRPr="00396B92">
        <w:rPr>
          <w:rStyle w:val="FootnoteReference"/>
        </w:rPr>
        <w:footnoteRef/>
      </w:r>
      <w:r w:rsidRPr="00396B92">
        <w:t xml:space="preserve"> </w:t>
      </w:r>
      <w:r w:rsidRPr="00396B92">
        <w:rPr>
          <w:i/>
          <w:iCs/>
        </w:rPr>
        <w:t xml:space="preserve">In the Matter of the Complaint of H.P. Technologies, Inc. v. Ryan E. Boucher, et al., </w:t>
      </w:r>
      <w:r w:rsidRPr="00396B92">
        <w:t>Case No. 19-2050-GE-CSS, Entry Denying Motion to Dismiss (Sept. 14, 2020).</w:t>
      </w:r>
    </w:p>
  </w:footnote>
  <w:footnote w:id="26">
    <w:p w:rsidR="008831FD" w:rsidRPr="00396B92" w:rsidP="00396B92" w14:paraId="6636AD02" w14:textId="14106CC6">
      <w:pPr>
        <w:pStyle w:val="FootnoteText"/>
        <w:spacing w:after="120"/>
      </w:pPr>
      <w:r w:rsidRPr="00396B92">
        <w:rPr>
          <w:rStyle w:val="FootnoteReference"/>
        </w:rPr>
        <w:footnoteRef/>
      </w:r>
      <w:r w:rsidRPr="00396B92">
        <w:t xml:space="preserve"> </w:t>
      </w:r>
      <w:r w:rsidRPr="00396B92">
        <w:rPr>
          <w:i/>
          <w:iCs/>
        </w:rPr>
        <w:t xml:space="preserve">In the Matter of the Complaint of Allnet Communications Services, Inc. v. The Ohio Bell Telephone Company, </w:t>
      </w:r>
      <w:r w:rsidRPr="00396B92">
        <w:t>Case No. 86-771-TP-CSS, Opinion and Order (Apr. 15, 1993).</w:t>
      </w:r>
    </w:p>
  </w:footnote>
  <w:footnote w:id="27">
    <w:p w:rsidR="008831FD" w:rsidRPr="00396B92" w:rsidP="00396B92" w14:paraId="2FFA0783" w14:textId="58013932">
      <w:pPr>
        <w:pStyle w:val="FootnoteText"/>
        <w:spacing w:after="120"/>
      </w:pPr>
      <w:r w:rsidRPr="00396B92">
        <w:rPr>
          <w:rStyle w:val="FootnoteReference"/>
        </w:rPr>
        <w:footnoteRef/>
      </w:r>
      <w:r w:rsidRPr="00396B92">
        <w:t xml:space="preserve"> R.C. 4905.26.</w:t>
      </w:r>
    </w:p>
  </w:footnote>
  <w:footnote w:id="28">
    <w:p w:rsidR="008831FD" w:rsidRPr="00396B92" w:rsidP="00396B92" w14:paraId="00872FF2" w14:textId="122E5413">
      <w:pPr>
        <w:pStyle w:val="FootnoteText"/>
        <w:spacing w:after="120"/>
      </w:pPr>
      <w:r w:rsidRPr="00396B92">
        <w:rPr>
          <w:rStyle w:val="FootnoteReference"/>
        </w:rPr>
        <w:footnoteRef/>
      </w:r>
      <w:r w:rsidRPr="00396B92">
        <w:t xml:space="preserve"> R.C. 4928.08(B).</w:t>
      </w:r>
    </w:p>
  </w:footnote>
  <w:footnote w:id="29">
    <w:p w:rsidR="008831FD" w:rsidRPr="00396B92" w:rsidP="00396B92" w14:paraId="55FE55B9" w14:textId="77777777">
      <w:pPr>
        <w:pStyle w:val="FootnoteText"/>
        <w:spacing w:after="120"/>
      </w:pPr>
      <w:r w:rsidRPr="00396B92">
        <w:rPr>
          <w:rStyle w:val="FootnoteReference"/>
          <w:color w:val="000000" w:themeColor="text1"/>
        </w:rPr>
        <w:footnoteRef/>
      </w:r>
      <w:r w:rsidRPr="00396B92">
        <w:rPr>
          <w:color w:val="000000" w:themeColor="text1"/>
        </w:rPr>
        <w:t xml:space="preserve"> </w:t>
      </w:r>
      <w:r w:rsidRPr="00396B92">
        <w:rPr>
          <w:i/>
          <w:iCs/>
          <w:color w:val="000000" w:themeColor="text1"/>
          <w:shd w:val="clear" w:color="auto" w:fill="FFFFFF"/>
        </w:rPr>
        <w:t xml:space="preserve">In the Matter of the Application of General Telephone Company of Ohio for Authority to Increase and Adjust its Rates </w:t>
      </w:r>
      <w:r w:rsidRPr="00396B92">
        <w:rPr>
          <w:i/>
          <w:iCs/>
          <w:color w:val="000000"/>
          <w:shd w:val="clear" w:color="auto" w:fill="FFFFFF"/>
        </w:rPr>
        <w:t>and Charges and to Change Regulations and Practices Affecting the Same</w:t>
      </w:r>
      <w:r w:rsidRPr="00396B92">
        <w:rPr>
          <w:color w:val="000000"/>
          <w:shd w:val="clear" w:color="auto" w:fill="FFFFFF"/>
        </w:rPr>
        <w:t>, Case No. 84-1026-TP-AIR, Entry (April 25, 1985) at 2.</w:t>
      </w:r>
    </w:p>
  </w:footnote>
  <w:footnote w:id="30">
    <w:p w:rsidR="008831FD" w:rsidRPr="00396B92" w:rsidP="00396B92" w14:paraId="0E089602" w14:textId="0FF0699B">
      <w:pPr>
        <w:pStyle w:val="FootnoteText"/>
        <w:spacing w:after="120"/>
      </w:pPr>
      <w:r w:rsidRPr="00396B92">
        <w:rPr>
          <w:rStyle w:val="FootnoteReference"/>
        </w:rPr>
        <w:footnoteRef/>
      </w:r>
      <w:r w:rsidRPr="00396B92">
        <w:t xml:space="preserve"> </w:t>
      </w:r>
      <w:r w:rsidRPr="00396B92">
        <w:rPr>
          <w:i/>
          <w:iCs/>
          <w:color w:val="000000"/>
          <w:shd w:val="clear" w:color="auto" w:fill="FFFFFF"/>
        </w:rPr>
        <w:t>In the Matter of the Application for Waiver of Certain Portions of The Standard Filing Requirements Required Prior to a Filing of a Complaint and Appeal of The Cleveland Electric Illuminating Company from Ordinance No. 21-1994</w:t>
      </w:r>
      <w:r w:rsidRPr="00396B92">
        <w:rPr>
          <w:color w:val="000000"/>
          <w:shd w:val="clear" w:color="auto" w:fill="FFFFFF"/>
        </w:rPr>
        <w:t>, Case No. 94-578-EL-CMR, Entry (April 7, 1994) at 5.</w:t>
      </w:r>
    </w:p>
  </w:footnote>
  <w:footnote w:id="31">
    <w:p w:rsidR="008831FD" w:rsidRPr="00396B92" w:rsidP="00396B92" w14:paraId="1F534C43" w14:textId="2F25362A">
      <w:pPr>
        <w:pStyle w:val="FootnoteText"/>
        <w:spacing w:after="120"/>
      </w:pPr>
      <w:r w:rsidRPr="00396B92">
        <w:rPr>
          <w:rStyle w:val="FootnoteReference"/>
        </w:rPr>
        <w:footnoteRef/>
      </w:r>
      <w:r w:rsidRPr="00396B92">
        <w:t xml:space="preserve"> Dynegy Marketing and Trade, LLC’s Comments Opposing the Renewal of NOPEC’s Governmental Aggregation Certificate and Addressing NOPEC’s Response to the September 7, 2022 Show-Cause Order at 1 (Jan. 27, 2023); Buckeye Energy Brokers, Inc’s Comments Regarding Northeast Ohio Public Energy Council’s Response to the PUCO’s September 7, 2023 Show Cause Order at 3 (Jan. 27, 2023).</w:t>
      </w:r>
    </w:p>
  </w:footnote>
  <w:footnote w:id="32">
    <w:p w:rsidR="008831FD" w:rsidRPr="00396B92" w:rsidP="00396B92" w14:paraId="38731E4E" w14:textId="77777777">
      <w:pPr>
        <w:pStyle w:val="FootnoteText"/>
        <w:spacing w:after="120"/>
      </w:pPr>
      <w:r w:rsidRPr="00396B92">
        <w:rPr>
          <w:rStyle w:val="FootnoteReference"/>
        </w:rPr>
        <w:footnoteRef/>
      </w:r>
      <w:r w:rsidRPr="00396B92">
        <w:t xml:space="preserve"> Dynegy Marketing &amp; Trade Comments at 1 (Jan. 27, 2023).</w:t>
      </w:r>
    </w:p>
  </w:footnote>
  <w:footnote w:id="33">
    <w:p w:rsidR="008831FD" w:rsidRPr="00396B92" w:rsidP="00396B92" w14:paraId="089CA0B0" w14:textId="186F3337">
      <w:pPr>
        <w:pStyle w:val="FootnoteText"/>
        <w:spacing w:after="120"/>
      </w:pPr>
      <w:r w:rsidRPr="00396B92">
        <w:rPr>
          <w:rStyle w:val="FootnoteReference"/>
        </w:rPr>
        <w:footnoteRef/>
      </w:r>
      <w:r w:rsidRPr="00396B92">
        <w:t xml:space="preserve"> Letter in Support of NOPEC’s Continued Certification filed by Patric A. Ward, Mayor of City of Lyndhurst (Oct. 11, 2022); Letter in Support of NOPEC’s Continued Certification filed by Timothy J. DeGeeter, Mayor of the City of Parma (Oct. 11, 2022); Comments on Behalf of Cleveland State University Energy Policy Center (Dec. 16, 2022); Comments on Behalf of Interested Current and Former State Legislators in Support of NOPEC (Dec. 16, 2022); Comments on Behalf of Interested Party Organizations in Support of NOPEC (Dec. 16, 2022); Comments on Behalf of Interested NOPEC Member Communities in Support of NOPEC (Dec. 16, 2022): Comments on Behalf of NOPEC Customers (Dec. 16, 2022); Comments in Support of NOPEC (Jan. 13, 2023); Initial Comments of NextEra Energy Services Ohio, LLC (Jan. 27, 2023); Initial Comments of NextEra Energy Marketing, LLC (Jan. 27, 2023); Correspondence Supporting NOPEC’s Certification on Behalf of Ryan Augsburger, President of the Ohio Manufacturers’ Association Energy Group (Jan. 27, 2023).</w:t>
      </w:r>
    </w:p>
  </w:footnote>
  <w:footnote w:id="34">
    <w:p w:rsidR="009A42FC" w:rsidP="009A42FC" w14:paraId="16BC20C2" w14:textId="77777777">
      <w:pPr>
        <w:rPr>
          <w:rFonts w:ascii="Arial" w:hAnsi="Arial" w:cs="Arial"/>
        </w:rPr>
      </w:pPr>
      <w:r>
        <w:rPr>
          <w:rStyle w:val="FootnoteReference"/>
        </w:rPr>
        <w:footnoteRef/>
      </w:r>
      <w:r>
        <w:t xml:space="preserve"> Orson Swindle, </w:t>
      </w:r>
      <w:r>
        <w:rPr>
          <w:i/>
          <w:iCs/>
        </w:rPr>
        <w:t xml:space="preserve">A Regulator’s Perspective on Protecting Consumers and Competitive Marketplaces: Developments at the FTC, </w:t>
      </w:r>
      <w:r>
        <w:t xml:space="preserve">Remarks before the American Bar Association, Section of Administrative Law and Regulatory Practice, 2003 Administrative Law Conference, available at: </w:t>
      </w:r>
      <w:hyperlink r:id="rId2" w:history="1">
        <w:r>
          <w:rPr>
            <w:rStyle w:val="Hyperlink"/>
          </w:rPr>
          <w:t>https://www.ftc.gov/news-events/news/speeches/regulators-perspective-protecting-consumers-competitive-marketplaces-developments-ftc</w:t>
        </w:r>
      </w:hyperlink>
    </w:p>
    <w:p w:rsidR="009A42FC" w14:paraId="2DBBCE67" w14:textId="4A416E58">
      <w:pPr>
        <w:pStyle w:val="FootnoteText"/>
      </w:pPr>
    </w:p>
  </w:footnote>
  <w:footnote w:id="35">
    <w:p w:rsidR="008831FD" w:rsidRPr="00396B92" w:rsidP="00396B92" w14:paraId="401B14FF" w14:textId="77777777">
      <w:pPr>
        <w:pStyle w:val="FootnoteText"/>
        <w:spacing w:after="120"/>
      </w:pPr>
      <w:r w:rsidRPr="00396B92">
        <w:rPr>
          <w:rStyle w:val="FootnoteReference"/>
        </w:rPr>
        <w:footnoteRef/>
      </w:r>
      <w:r w:rsidRPr="00396B92">
        <w:t xml:space="preserve"> </w:t>
      </w:r>
      <w:r w:rsidRPr="00396B92">
        <w:rPr>
          <w:i/>
          <w:iCs/>
        </w:rPr>
        <w:t xml:space="preserve">In re AEP Supplier Tariffs, </w:t>
      </w:r>
      <w:r w:rsidRPr="00396B92">
        <w:t>Case No. 22-1140-EL-ATA, Initial Comments of Interstate Gas Supply, Inc., p. 4 (Jan. 6, 2023).</w:t>
      </w:r>
    </w:p>
  </w:footnote>
  <w:footnote w:id="36">
    <w:p w:rsidR="008831FD" w:rsidRPr="00396B92" w:rsidP="00396B92" w14:paraId="6A014DE1" w14:textId="77777777">
      <w:pPr>
        <w:pStyle w:val="FootnoteText"/>
        <w:spacing w:after="120"/>
      </w:pPr>
      <w:r w:rsidRPr="00396B92">
        <w:rPr>
          <w:rStyle w:val="FootnoteReference"/>
        </w:rPr>
        <w:footnoteRef/>
      </w:r>
      <w:r w:rsidRPr="00396B92">
        <w:t xml:space="preserve"> </w:t>
      </w:r>
      <w:r w:rsidRPr="00396B92">
        <w:rPr>
          <w:i/>
          <w:iCs/>
        </w:rPr>
        <w:t>Id.</w:t>
      </w:r>
    </w:p>
  </w:footnote>
  <w:footnote w:id="37">
    <w:p w:rsidR="008831FD" w:rsidRPr="00396B92" w:rsidP="00396B92" w14:paraId="427EBC18" w14:textId="137D312D">
      <w:pPr>
        <w:pStyle w:val="FootnoteText"/>
        <w:spacing w:after="120"/>
      </w:pPr>
      <w:r w:rsidRPr="00396B92">
        <w:rPr>
          <w:rStyle w:val="FootnoteReference"/>
        </w:rPr>
        <w:footnoteRef/>
      </w:r>
      <w:r w:rsidRPr="00396B92">
        <w:t xml:space="preserve"> Dynegy Marketing and Trade, LLC’s Comments Opposing the Renewal of NOPEC’s Governmental Aggregation Certificate and Addressing NOPEC’s Response to the September 7, 2022 Show-Cause Order at 4 (Jan. 27, 2023).</w:t>
      </w:r>
    </w:p>
  </w:footnote>
  <w:footnote w:id="38">
    <w:p w:rsidR="008831FD" w:rsidRPr="00396B92" w:rsidP="00396B92" w14:paraId="290D3A03" w14:textId="77777777">
      <w:pPr>
        <w:pStyle w:val="FootnoteText"/>
        <w:spacing w:after="120"/>
      </w:pPr>
      <w:r w:rsidRPr="00396B92">
        <w:rPr>
          <w:rStyle w:val="FootnoteReference"/>
        </w:rPr>
        <w:footnoteRef/>
      </w:r>
      <w:r w:rsidRPr="00396B92">
        <w:t xml:space="preserve"> OCC Initial Comments, Attachment – Letter of Mr. Andrew Thomas, Executive in Residence and Director, Cleveland State University Levin College of Public Affairs and Education at 3 (Jan. 27, 2023).</w:t>
      </w:r>
    </w:p>
  </w:footnote>
  <w:footnote w:id="39">
    <w:p w:rsidR="008831FD" w:rsidRPr="00396B92" w:rsidP="00396B92" w14:paraId="505384A7" w14:textId="59212384">
      <w:pPr>
        <w:pStyle w:val="FootnoteText"/>
        <w:spacing w:after="120"/>
        <w:rPr>
          <w:i/>
          <w:iCs/>
        </w:rPr>
      </w:pPr>
      <w:r w:rsidRPr="00396B92">
        <w:rPr>
          <w:rStyle w:val="FootnoteReference"/>
        </w:rPr>
        <w:footnoteRef/>
      </w:r>
      <w:r w:rsidRPr="00396B92">
        <w:t xml:space="preserve"> </w:t>
      </w:r>
      <w:r w:rsidRPr="00396B92">
        <w:rPr>
          <w:i/>
          <w:iCs/>
        </w:rPr>
        <w:t xml:space="preserve">Id. </w:t>
      </w:r>
    </w:p>
  </w:footnote>
  <w:footnote w:id="40">
    <w:p w:rsidR="008831FD" w:rsidRPr="00396B92" w:rsidP="00396B92" w14:paraId="768BA75C" w14:textId="4FF6D37B">
      <w:pPr>
        <w:pStyle w:val="FootnoteText"/>
        <w:spacing w:after="120"/>
      </w:pPr>
      <w:r w:rsidRPr="00396B92">
        <w:rPr>
          <w:rStyle w:val="FootnoteReference"/>
        </w:rPr>
        <w:footnoteRef/>
      </w:r>
      <w:r w:rsidRPr="00396B92">
        <w:t xml:space="preserve"> </w:t>
      </w:r>
      <w:r w:rsidRPr="00396B92">
        <w:rPr>
          <w:i/>
          <w:iCs/>
        </w:rPr>
        <w:t xml:space="preserve">Id., </w:t>
      </w:r>
      <w:r w:rsidRPr="00396B92">
        <w:t>Attachment at 3.</w:t>
      </w:r>
    </w:p>
  </w:footnote>
  <w:footnote w:id="41">
    <w:p w:rsidR="008831FD" w:rsidRPr="00396B92" w:rsidP="00396B92" w14:paraId="3E15AD07" w14:textId="5E8E0317">
      <w:pPr>
        <w:pStyle w:val="FootnoteText"/>
        <w:spacing w:after="120"/>
      </w:pPr>
      <w:r w:rsidRPr="00396B92">
        <w:rPr>
          <w:rStyle w:val="FootnoteReference"/>
        </w:rPr>
        <w:footnoteRef/>
      </w:r>
      <w:r w:rsidRPr="00396B92">
        <w:t xml:space="preserve"> Brakey Energy Report (Apr</w:t>
      </w:r>
      <w:r w:rsidR="008F2268">
        <w:t>.</w:t>
      </w:r>
      <w:r w:rsidRPr="00396B92">
        <w:t xml:space="preserve"> 2022), cited at p. 10 of NOPEC’s Response to the September 7, 2022 Show Cause Order (Sept. 29, 2022).</w:t>
      </w:r>
    </w:p>
  </w:footnote>
  <w:footnote w:id="42">
    <w:p w:rsidR="008831FD" w:rsidRPr="00396B92" w:rsidP="00396B92" w14:paraId="14B0F89D" w14:textId="36888B8A">
      <w:pPr>
        <w:pStyle w:val="FootnoteText"/>
        <w:spacing w:after="120"/>
      </w:pPr>
      <w:r w:rsidRPr="00396B92">
        <w:rPr>
          <w:rStyle w:val="FootnoteReference"/>
        </w:rPr>
        <w:footnoteRef/>
      </w:r>
      <w:r w:rsidRPr="00396B92">
        <w:t xml:space="preserve"> Comments of Vitol, Inc. at 2-3 (Jan. 27, 2023).</w:t>
      </w:r>
    </w:p>
  </w:footnote>
  <w:footnote w:id="43">
    <w:p w:rsidR="008831FD" w:rsidRPr="00396B92" w:rsidP="00396B92" w14:paraId="7B2F613D" w14:textId="4637829D">
      <w:pPr>
        <w:pStyle w:val="FootnoteText"/>
        <w:spacing w:after="120"/>
      </w:pPr>
      <w:r w:rsidRPr="00396B92">
        <w:rPr>
          <w:rStyle w:val="FootnoteReference"/>
        </w:rPr>
        <w:footnoteRef/>
      </w:r>
      <w:r w:rsidRPr="00396B92">
        <w:t xml:space="preserve"> </w:t>
      </w:r>
      <w:r w:rsidRPr="00396B92">
        <w:rPr>
          <w:i/>
          <w:iCs/>
        </w:rPr>
        <w:t xml:space="preserve">In the Matter of the Commission’s Investigation of Ohio’s Retail Electric Service Market, </w:t>
      </w:r>
      <w:r w:rsidRPr="00396B92">
        <w:t>Case No. 12-3151-EL-COI, Entry (Dec. 12, 2012).</w:t>
      </w:r>
    </w:p>
  </w:footnote>
  <w:footnote w:id="44">
    <w:p w:rsidR="008831FD" w:rsidRPr="00396B92" w:rsidP="00396B92" w14:paraId="1EA93DB1" w14:textId="4D1387C2">
      <w:pPr>
        <w:pStyle w:val="FootnoteText"/>
        <w:spacing w:after="120"/>
      </w:pPr>
      <w:r w:rsidRPr="00396B92">
        <w:rPr>
          <w:rStyle w:val="FootnoteReference"/>
        </w:rPr>
        <w:footnoteRef/>
      </w:r>
      <w:r w:rsidRPr="00396B92">
        <w:t xml:space="preserve"> Initial Comments of NextEra Energy Marketing, LLC at 2 (Jan. 27, 2023).</w:t>
      </w:r>
    </w:p>
  </w:footnote>
  <w:footnote w:id="45">
    <w:p w:rsidR="008831FD" w:rsidRPr="00396B92" w:rsidP="00396B92" w14:paraId="4495940E" w14:textId="71092652">
      <w:pPr>
        <w:pStyle w:val="FootnoteText"/>
        <w:spacing w:after="120"/>
        <w:rPr>
          <w:i/>
          <w:iCs/>
        </w:rPr>
      </w:pPr>
      <w:r w:rsidRPr="00396B92">
        <w:rPr>
          <w:rStyle w:val="FootnoteReference"/>
        </w:rPr>
        <w:footnoteRef/>
      </w:r>
      <w:r w:rsidRPr="00396B92">
        <w:t xml:space="preserve"> </w:t>
      </w:r>
      <w:r w:rsidRPr="00396B92">
        <w:rPr>
          <w:i/>
          <w:iCs/>
        </w:rPr>
        <w:t>Id.</w:t>
      </w:r>
    </w:p>
  </w:footnote>
  <w:footnote w:id="46">
    <w:p w:rsidR="008831FD" w:rsidRPr="00396B92" w:rsidP="00396B92" w14:paraId="47525198" w14:textId="699BEB76">
      <w:pPr>
        <w:pStyle w:val="FootnoteText"/>
        <w:spacing w:after="120"/>
      </w:pPr>
      <w:r w:rsidRPr="00396B92">
        <w:rPr>
          <w:rStyle w:val="FootnoteReference"/>
        </w:rPr>
        <w:footnoteRef/>
      </w:r>
      <w:r w:rsidRPr="00396B92">
        <w:t xml:space="preserve"> </w:t>
      </w:r>
      <w:r w:rsidRPr="00396B92">
        <w:rPr>
          <w:i/>
          <w:iCs/>
        </w:rPr>
        <w:t xml:space="preserve">Id. </w:t>
      </w:r>
      <w:r w:rsidRPr="00396B92">
        <w:t>at 3.</w:t>
      </w:r>
    </w:p>
  </w:footnote>
  <w:footnote w:id="47">
    <w:p w:rsidR="008831FD" w:rsidRPr="00396B92" w:rsidP="00396B92" w14:paraId="2776E4DE" w14:textId="4B05F5B9">
      <w:pPr>
        <w:pStyle w:val="FootnoteText"/>
        <w:spacing w:after="120"/>
        <w:rPr>
          <w:i/>
          <w:iCs/>
        </w:rPr>
      </w:pPr>
      <w:r w:rsidRPr="00396B92">
        <w:rPr>
          <w:rStyle w:val="FootnoteReference"/>
        </w:rPr>
        <w:footnoteRef/>
      </w:r>
      <w:r w:rsidRPr="00396B92">
        <w:t xml:space="preserve"> </w:t>
      </w:r>
      <w:r w:rsidRPr="00396B92">
        <w:rPr>
          <w:i/>
          <w:iCs/>
        </w:rPr>
        <w:t>Id.</w:t>
      </w:r>
    </w:p>
  </w:footnote>
  <w:footnote w:id="48">
    <w:p w:rsidR="008831FD" w:rsidRPr="00396B92" w:rsidP="00396B92" w14:paraId="1CC432B1" w14:textId="5C2BF478">
      <w:pPr>
        <w:pStyle w:val="FootnoteText"/>
        <w:spacing w:after="120"/>
      </w:pPr>
      <w:r w:rsidRPr="00396B92">
        <w:rPr>
          <w:rStyle w:val="FootnoteReference"/>
        </w:rPr>
        <w:footnoteRef/>
      </w:r>
      <w:r w:rsidRPr="00396B92">
        <w:t xml:space="preserve"> </w:t>
      </w:r>
      <w:r w:rsidRPr="00396B92">
        <w:rPr>
          <w:i/>
          <w:iCs/>
        </w:rPr>
        <w:t>Id.</w:t>
      </w:r>
      <w:r w:rsidRPr="00396B92">
        <w:t xml:space="preserve"> at 4.</w:t>
      </w:r>
    </w:p>
  </w:footnote>
  <w:footnote w:id="49">
    <w:p w:rsidR="008831FD" w:rsidRPr="00396B92" w:rsidP="00396B92" w14:paraId="06073907" w14:textId="5B1D980C">
      <w:pPr>
        <w:pStyle w:val="FootnoteText"/>
        <w:spacing w:after="120"/>
      </w:pPr>
      <w:r w:rsidRPr="00396B92">
        <w:rPr>
          <w:rStyle w:val="FootnoteReference"/>
        </w:rPr>
        <w:footnoteRef/>
      </w:r>
      <w:r w:rsidRPr="00396B92">
        <w:t xml:space="preserve"> </w:t>
      </w:r>
      <w:r w:rsidRPr="00396B92">
        <w:rPr>
          <w:i/>
          <w:iCs/>
        </w:rPr>
        <w:t xml:space="preserve">Id. </w:t>
      </w:r>
      <w:r w:rsidRPr="00396B92">
        <w:t>at 4-5.</w:t>
      </w:r>
    </w:p>
  </w:footnote>
  <w:footnote w:id="50">
    <w:p w:rsidR="008831FD" w:rsidRPr="00396B92" w:rsidP="00396B92" w14:paraId="70B294D3" w14:textId="2A3B372E">
      <w:pPr>
        <w:pStyle w:val="FootnoteText"/>
        <w:spacing w:after="120"/>
      </w:pPr>
      <w:r w:rsidRPr="00396B92">
        <w:rPr>
          <w:rStyle w:val="FootnoteReference"/>
        </w:rPr>
        <w:footnoteRef/>
      </w:r>
      <w:r w:rsidRPr="00396B92">
        <w:t xml:space="preserve"> Comments of Vitol, Inc. (Jan. 27, 2023): Comments of Hartree Partners, LP (Jan. 27, 2023).</w:t>
      </w:r>
    </w:p>
  </w:footnote>
  <w:footnote w:id="51">
    <w:p w:rsidR="008831FD" w:rsidRPr="00396B92" w:rsidP="00396B92" w14:paraId="466D80FC" w14:textId="74E198DD">
      <w:pPr>
        <w:pStyle w:val="FootnoteText"/>
        <w:spacing w:after="120"/>
      </w:pPr>
      <w:r w:rsidRPr="00396B92">
        <w:rPr>
          <w:rStyle w:val="FootnoteReference"/>
        </w:rPr>
        <w:footnoteRef/>
      </w:r>
      <w:r w:rsidRPr="00396B92">
        <w:t xml:space="preserve"> Initial Comments of FirstEnergy Utilities (Jan. 27, 2023).</w:t>
      </w:r>
    </w:p>
  </w:footnote>
  <w:footnote w:id="52">
    <w:p w:rsidR="008831FD" w:rsidRPr="00396B92" w:rsidP="00396B92" w14:paraId="24E506D6" w14:textId="28640286">
      <w:pPr>
        <w:pStyle w:val="FootnoteText"/>
        <w:spacing w:after="120"/>
        <w:rPr>
          <w:i/>
          <w:iCs/>
        </w:rPr>
      </w:pPr>
      <w:r w:rsidRPr="00396B92">
        <w:rPr>
          <w:rStyle w:val="FootnoteReference"/>
        </w:rPr>
        <w:footnoteRef/>
      </w:r>
      <w:r w:rsidRPr="00396B92">
        <w:t xml:space="preserve"> </w:t>
      </w:r>
      <w:r w:rsidRPr="00396B92">
        <w:rPr>
          <w:i/>
          <w:iCs/>
        </w:rPr>
        <w:t>Id.</w:t>
      </w:r>
    </w:p>
  </w:footnote>
  <w:footnote w:id="53">
    <w:p w:rsidR="008831FD" w:rsidRPr="00396B92" w:rsidP="00396B92" w14:paraId="58D84EE0" w14:textId="115FB0AF">
      <w:pPr>
        <w:pStyle w:val="FootnoteText"/>
        <w:spacing w:after="120"/>
      </w:pPr>
      <w:r w:rsidRPr="00396B92">
        <w:rPr>
          <w:rStyle w:val="FootnoteReference"/>
        </w:rPr>
        <w:footnoteRef/>
      </w:r>
      <w:r w:rsidRPr="00396B92">
        <w:t xml:space="preserve"> </w:t>
      </w:r>
      <w:r w:rsidRPr="00396B92">
        <w:rPr>
          <w:i/>
          <w:iCs/>
        </w:rPr>
        <w:t xml:space="preserve">Id. </w:t>
      </w:r>
      <w:r w:rsidRPr="00396B92">
        <w:t>at 2.</w:t>
      </w:r>
    </w:p>
  </w:footnote>
  <w:footnote w:id="54">
    <w:p w:rsidR="008831FD" w:rsidRPr="00396B92" w:rsidP="00396B92" w14:paraId="5CE01220" w14:textId="77777777">
      <w:pPr>
        <w:pStyle w:val="FootnoteText"/>
        <w:spacing w:after="120"/>
      </w:pPr>
      <w:r w:rsidRPr="00396B92">
        <w:rPr>
          <w:rStyle w:val="FootnoteReference"/>
        </w:rPr>
        <w:footnoteRef/>
      </w:r>
      <w:r w:rsidRPr="00396B92">
        <w:t xml:space="preserve"> R.C. 4928.08(B).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306D9"/>
    <w:multiLevelType w:val="hybridMultilevel"/>
    <w:tmpl w:val="4D36A92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200A6C"/>
    <w:multiLevelType w:val="hybridMultilevel"/>
    <w:tmpl w:val="9DC40F06"/>
    <w:lvl w:ilvl="0">
      <w:start w:val="1"/>
      <w:numFmt w:val="decimal"/>
      <w:lvlText w:val="%1."/>
      <w:lvlJc w:val="left"/>
      <w:pPr>
        <w:ind w:left="4500" w:hanging="360"/>
      </w:pPr>
      <w:rPr>
        <w:rFonts w:hint="default"/>
      </w:rPr>
    </w:lvl>
    <w:lvl w:ilvl="1" w:tentative="1">
      <w:start w:val="1"/>
      <w:numFmt w:val="lowerLetter"/>
      <w:lvlText w:val="%2."/>
      <w:lvlJc w:val="left"/>
      <w:pPr>
        <w:ind w:left="5310" w:hanging="360"/>
      </w:pPr>
    </w:lvl>
    <w:lvl w:ilvl="2" w:tentative="1">
      <w:start w:val="1"/>
      <w:numFmt w:val="lowerRoman"/>
      <w:lvlText w:val="%3."/>
      <w:lvlJc w:val="right"/>
      <w:pPr>
        <w:ind w:left="6030" w:hanging="180"/>
      </w:pPr>
    </w:lvl>
    <w:lvl w:ilvl="3" w:tentative="1">
      <w:start w:val="1"/>
      <w:numFmt w:val="decimal"/>
      <w:lvlText w:val="%4."/>
      <w:lvlJc w:val="left"/>
      <w:pPr>
        <w:ind w:left="6750" w:hanging="360"/>
      </w:pPr>
    </w:lvl>
    <w:lvl w:ilvl="4" w:tentative="1">
      <w:start w:val="1"/>
      <w:numFmt w:val="lowerLetter"/>
      <w:lvlText w:val="%5."/>
      <w:lvlJc w:val="left"/>
      <w:pPr>
        <w:ind w:left="7470" w:hanging="360"/>
      </w:pPr>
    </w:lvl>
    <w:lvl w:ilvl="5" w:tentative="1">
      <w:start w:val="1"/>
      <w:numFmt w:val="lowerRoman"/>
      <w:lvlText w:val="%6."/>
      <w:lvlJc w:val="right"/>
      <w:pPr>
        <w:ind w:left="8190" w:hanging="180"/>
      </w:pPr>
    </w:lvl>
    <w:lvl w:ilvl="6" w:tentative="1">
      <w:start w:val="1"/>
      <w:numFmt w:val="decimal"/>
      <w:lvlText w:val="%7."/>
      <w:lvlJc w:val="left"/>
      <w:pPr>
        <w:ind w:left="8910" w:hanging="360"/>
      </w:pPr>
    </w:lvl>
    <w:lvl w:ilvl="7" w:tentative="1">
      <w:start w:val="1"/>
      <w:numFmt w:val="lowerLetter"/>
      <w:lvlText w:val="%8."/>
      <w:lvlJc w:val="left"/>
      <w:pPr>
        <w:ind w:left="9630" w:hanging="360"/>
      </w:pPr>
    </w:lvl>
    <w:lvl w:ilvl="8" w:tentative="1">
      <w:start w:val="1"/>
      <w:numFmt w:val="lowerRoman"/>
      <w:lvlText w:val="%9."/>
      <w:lvlJc w:val="right"/>
      <w:pPr>
        <w:ind w:left="10350" w:hanging="180"/>
      </w:pPr>
    </w:lvl>
  </w:abstractNum>
  <w:abstractNum w:abstractNumId="2">
    <w:nsid w:val="265545B7"/>
    <w:multiLevelType w:val="multilevel"/>
    <w:tmpl w:val="9C1A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CE2AF8"/>
    <w:multiLevelType w:val="hybridMultilevel"/>
    <w:tmpl w:val="4808B18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33C011A3"/>
    <w:multiLevelType w:val="hybridMultilevel"/>
    <w:tmpl w:val="EC8435C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46C5BB2"/>
    <w:multiLevelType w:val="hybridMultilevel"/>
    <w:tmpl w:val="5D3C4B9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465452E8"/>
    <w:multiLevelType w:val="hybridMultilevel"/>
    <w:tmpl w:val="52C853F0"/>
    <w:lvl w:ilvl="0">
      <w:start w:val="3"/>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471B125D"/>
    <w:multiLevelType w:val="hybridMultilevel"/>
    <w:tmpl w:val="9A72875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71E13B1"/>
    <w:multiLevelType w:val="hybridMultilevel"/>
    <w:tmpl w:val="2070CD6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7850A1E"/>
    <w:multiLevelType w:val="hybridMultilevel"/>
    <w:tmpl w:val="80523D2A"/>
    <w:lvl w:ilvl="0">
      <w:start w:val="1"/>
      <w:numFmt w:val="upperRoman"/>
      <w:pStyle w:val="Heading1"/>
      <w:lvlText w:val="%1."/>
      <w:lvlJc w:val="left"/>
      <w:pPr>
        <w:ind w:left="126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7EA204A"/>
    <w:multiLevelType w:val="hybridMultilevel"/>
    <w:tmpl w:val="738A19C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8381FD2"/>
    <w:multiLevelType w:val="hybridMultilevel"/>
    <w:tmpl w:val="00BCAF1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60393BC1"/>
    <w:multiLevelType w:val="hybridMultilevel"/>
    <w:tmpl w:val="DA523656"/>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22D2F9D"/>
    <w:multiLevelType w:val="hybridMultilevel"/>
    <w:tmpl w:val="8948F8CE"/>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625E0DB5"/>
    <w:multiLevelType w:val="hybridMultilevel"/>
    <w:tmpl w:val="9C563C4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9287BF3"/>
    <w:multiLevelType w:val="hybridMultilevel"/>
    <w:tmpl w:val="1E727634"/>
    <w:lvl w:ilvl="0">
      <w:start w:val="3"/>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9"/>
  </w:num>
  <w:num w:numId="3">
    <w:abstractNumId w:val="14"/>
  </w:num>
  <w:num w:numId="4">
    <w:abstractNumId w:val="1"/>
  </w:num>
  <w:num w:numId="5">
    <w:abstractNumId w:val="8"/>
  </w:num>
  <w:num w:numId="6">
    <w:abstractNumId w:val="6"/>
  </w:num>
  <w:num w:numId="7">
    <w:abstractNumId w:val="12"/>
  </w:num>
  <w:num w:numId="8">
    <w:abstractNumId w:val="15"/>
  </w:num>
  <w:num w:numId="9">
    <w:abstractNumId w:val="3"/>
  </w:num>
  <w:num w:numId="10">
    <w:abstractNumId w:val="0"/>
  </w:num>
  <w:num w:numId="11">
    <w:abstractNumId w:val="13"/>
  </w:num>
  <w:num w:numId="12">
    <w:abstractNumId w:val="7"/>
  </w:num>
  <w:num w:numId="13">
    <w:abstractNumId w:val="2"/>
  </w:num>
  <w:num w:numId="14">
    <w:abstractNumId w:val="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embedSystemFonts/>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44"/>
    <w:rsid w:val="000108E3"/>
    <w:rsid w:val="000176E3"/>
    <w:rsid w:val="00026571"/>
    <w:rsid w:val="00026AD3"/>
    <w:rsid w:val="000576F7"/>
    <w:rsid w:val="00060A3F"/>
    <w:rsid w:val="00064A06"/>
    <w:rsid w:val="00072D37"/>
    <w:rsid w:val="00076FA4"/>
    <w:rsid w:val="00086999"/>
    <w:rsid w:val="0009683C"/>
    <w:rsid w:val="000B3542"/>
    <w:rsid w:val="000C211D"/>
    <w:rsid w:val="000C6E6E"/>
    <w:rsid w:val="000E5019"/>
    <w:rsid w:val="000E6BF4"/>
    <w:rsid w:val="0011344B"/>
    <w:rsid w:val="00114D93"/>
    <w:rsid w:val="00121ACD"/>
    <w:rsid w:val="0013523E"/>
    <w:rsid w:val="00140269"/>
    <w:rsid w:val="001438F0"/>
    <w:rsid w:val="00157CC1"/>
    <w:rsid w:val="00162587"/>
    <w:rsid w:val="00174AC5"/>
    <w:rsid w:val="001811BC"/>
    <w:rsid w:val="001840B0"/>
    <w:rsid w:val="001C316C"/>
    <w:rsid w:val="001C32FD"/>
    <w:rsid w:val="001C36E6"/>
    <w:rsid w:val="001F2247"/>
    <w:rsid w:val="00216748"/>
    <w:rsid w:val="00223489"/>
    <w:rsid w:val="00234765"/>
    <w:rsid w:val="00235C2B"/>
    <w:rsid w:val="002409DB"/>
    <w:rsid w:val="00272654"/>
    <w:rsid w:val="00276692"/>
    <w:rsid w:val="00291D61"/>
    <w:rsid w:val="002B428B"/>
    <w:rsid w:val="002C556B"/>
    <w:rsid w:val="002D3B5D"/>
    <w:rsid w:val="002D7E0C"/>
    <w:rsid w:val="002F5BCD"/>
    <w:rsid w:val="0031544A"/>
    <w:rsid w:val="00316070"/>
    <w:rsid w:val="00365483"/>
    <w:rsid w:val="00371D93"/>
    <w:rsid w:val="00374D51"/>
    <w:rsid w:val="00381D9B"/>
    <w:rsid w:val="0038525F"/>
    <w:rsid w:val="00387B62"/>
    <w:rsid w:val="00390D81"/>
    <w:rsid w:val="0039103D"/>
    <w:rsid w:val="003914C2"/>
    <w:rsid w:val="003963D0"/>
    <w:rsid w:val="00396B92"/>
    <w:rsid w:val="003A0563"/>
    <w:rsid w:val="003A30A0"/>
    <w:rsid w:val="003B6D84"/>
    <w:rsid w:val="003D4741"/>
    <w:rsid w:val="003E1922"/>
    <w:rsid w:val="003E6A95"/>
    <w:rsid w:val="003E7C6F"/>
    <w:rsid w:val="00405EC0"/>
    <w:rsid w:val="0041012A"/>
    <w:rsid w:val="00413AC6"/>
    <w:rsid w:val="004272E9"/>
    <w:rsid w:val="004369EE"/>
    <w:rsid w:val="0044229F"/>
    <w:rsid w:val="00454AF9"/>
    <w:rsid w:val="004658C8"/>
    <w:rsid w:val="004660B8"/>
    <w:rsid w:val="00467A0A"/>
    <w:rsid w:val="004A2B79"/>
    <w:rsid w:val="004B4192"/>
    <w:rsid w:val="004B5A51"/>
    <w:rsid w:val="004D284E"/>
    <w:rsid w:val="0050411F"/>
    <w:rsid w:val="00552BFF"/>
    <w:rsid w:val="00596E22"/>
    <w:rsid w:val="005A6387"/>
    <w:rsid w:val="005C46EB"/>
    <w:rsid w:val="005D02C6"/>
    <w:rsid w:val="005E5A7D"/>
    <w:rsid w:val="005E6BD1"/>
    <w:rsid w:val="00613498"/>
    <w:rsid w:val="00614EF8"/>
    <w:rsid w:val="006171BE"/>
    <w:rsid w:val="00621A44"/>
    <w:rsid w:val="006401B6"/>
    <w:rsid w:val="006517D9"/>
    <w:rsid w:val="0066313F"/>
    <w:rsid w:val="006813A0"/>
    <w:rsid w:val="00681FEA"/>
    <w:rsid w:val="00683DC6"/>
    <w:rsid w:val="0069589A"/>
    <w:rsid w:val="006D205C"/>
    <w:rsid w:val="00716EBC"/>
    <w:rsid w:val="007336AC"/>
    <w:rsid w:val="00747794"/>
    <w:rsid w:val="00760100"/>
    <w:rsid w:val="00780F45"/>
    <w:rsid w:val="0078640A"/>
    <w:rsid w:val="007873BB"/>
    <w:rsid w:val="00795A0E"/>
    <w:rsid w:val="00796ABD"/>
    <w:rsid w:val="007A1FF6"/>
    <w:rsid w:val="007A6C13"/>
    <w:rsid w:val="007B59D2"/>
    <w:rsid w:val="007B5F65"/>
    <w:rsid w:val="007B7272"/>
    <w:rsid w:val="007C32F3"/>
    <w:rsid w:val="007C39F4"/>
    <w:rsid w:val="007C4983"/>
    <w:rsid w:val="007F268F"/>
    <w:rsid w:val="008060CE"/>
    <w:rsid w:val="00813773"/>
    <w:rsid w:val="00831B78"/>
    <w:rsid w:val="00847636"/>
    <w:rsid w:val="008479E8"/>
    <w:rsid w:val="008555FA"/>
    <w:rsid w:val="00855B57"/>
    <w:rsid w:val="00874BF1"/>
    <w:rsid w:val="00881567"/>
    <w:rsid w:val="008831FD"/>
    <w:rsid w:val="00884B02"/>
    <w:rsid w:val="00892758"/>
    <w:rsid w:val="008976D8"/>
    <w:rsid w:val="008A2318"/>
    <w:rsid w:val="008A4F28"/>
    <w:rsid w:val="008B76CC"/>
    <w:rsid w:val="008C03A0"/>
    <w:rsid w:val="008C4B06"/>
    <w:rsid w:val="008D794F"/>
    <w:rsid w:val="008E23F5"/>
    <w:rsid w:val="008F2268"/>
    <w:rsid w:val="00922273"/>
    <w:rsid w:val="0093002B"/>
    <w:rsid w:val="009361D0"/>
    <w:rsid w:val="00943CA5"/>
    <w:rsid w:val="0094426E"/>
    <w:rsid w:val="009537B8"/>
    <w:rsid w:val="00983744"/>
    <w:rsid w:val="00991CC9"/>
    <w:rsid w:val="009A190C"/>
    <w:rsid w:val="009A42FC"/>
    <w:rsid w:val="009B2F9D"/>
    <w:rsid w:val="009B423C"/>
    <w:rsid w:val="009E1BA6"/>
    <w:rsid w:val="00A03359"/>
    <w:rsid w:val="00A05276"/>
    <w:rsid w:val="00A059A9"/>
    <w:rsid w:val="00A05A16"/>
    <w:rsid w:val="00A2231B"/>
    <w:rsid w:val="00A242E8"/>
    <w:rsid w:val="00A37D4A"/>
    <w:rsid w:val="00A51C6B"/>
    <w:rsid w:val="00A56499"/>
    <w:rsid w:val="00A811F5"/>
    <w:rsid w:val="00A84535"/>
    <w:rsid w:val="00A867E8"/>
    <w:rsid w:val="00AB178E"/>
    <w:rsid w:val="00AB6455"/>
    <w:rsid w:val="00AC0C33"/>
    <w:rsid w:val="00AC4524"/>
    <w:rsid w:val="00AD027B"/>
    <w:rsid w:val="00AD4A78"/>
    <w:rsid w:val="00AD5A97"/>
    <w:rsid w:val="00B00E2B"/>
    <w:rsid w:val="00B02392"/>
    <w:rsid w:val="00B179F9"/>
    <w:rsid w:val="00B206F5"/>
    <w:rsid w:val="00B30AEE"/>
    <w:rsid w:val="00B3658C"/>
    <w:rsid w:val="00B7788A"/>
    <w:rsid w:val="00B825B5"/>
    <w:rsid w:val="00B87C88"/>
    <w:rsid w:val="00B9369D"/>
    <w:rsid w:val="00B93946"/>
    <w:rsid w:val="00B94473"/>
    <w:rsid w:val="00B964D6"/>
    <w:rsid w:val="00BB7835"/>
    <w:rsid w:val="00BD34DC"/>
    <w:rsid w:val="00BE2C30"/>
    <w:rsid w:val="00C05830"/>
    <w:rsid w:val="00C12738"/>
    <w:rsid w:val="00C21AD2"/>
    <w:rsid w:val="00C27337"/>
    <w:rsid w:val="00C578D6"/>
    <w:rsid w:val="00C60D11"/>
    <w:rsid w:val="00C6337C"/>
    <w:rsid w:val="00C972E2"/>
    <w:rsid w:val="00CC6E6C"/>
    <w:rsid w:val="00CD2AAF"/>
    <w:rsid w:val="00D07336"/>
    <w:rsid w:val="00D27949"/>
    <w:rsid w:val="00D40A3A"/>
    <w:rsid w:val="00D56491"/>
    <w:rsid w:val="00D61B92"/>
    <w:rsid w:val="00D62483"/>
    <w:rsid w:val="00D82839"/>
    <w:rsid w:val="00D85461"/>
    <w:rsid w:val="00DB5B48"/>
    <w:rsid w:val="00DC655B"/>
    <w:rsid w:val="00DC6B36"/>
    <w:rsid w:val="00DD2ADE"/>
    <w:rsid w:val="00E065CE"/>
    <w:rsid w:val="00E11409"/>
    <w:rsid w:val="00E12207"/>
    <w:rsid w:val="00E132D2"/>
    <w:rsid w:val="00E34352"/>
    <w:rsid w:val="00E81990"/>
    <w:rsid w:val="00EC367E"/>
    <w:rsid w:val="00EE6B0C"/>
    <w:rsid w:val="00F117B3"/>
    <w:rsid w:val="00F21004"/>
    <w:rsid w:val="00F258EF"/>
    <w:rsid w:val="00F266DA"/>
    <w:rsid w:val="00F40931"/>
    <w:rsid w:val="00F71281"/>
    <w:rsid w:val="00F800C0"/>
    <w:rsid w:val="00F867C0"/>
    <w:rsid w:val="00F9330F"/>
    <w:rsid w:val="00F9437C"/>
    <w:rsid w:val="00F95735"/>
    <w:rsid w:val="00FA217C"/>
    <w:rsid w:val="00FB6C80"/>
    <w:rsid w:val="00FF31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B02"/>
  </w:style>
  <w:style w:type="paragraph" w:styleId="Heading1">
    <w:name w:val="heading 1"/>
    <w:basedOn w:val="ListParagraph"/>
    <w:next w:val="Normal"/>
    <w:qFormat/>
    <w:pPr>
      <w:numPr>
        <w:numId w:val="2"/>
      </w:numPr>
      <w:spacing w:after="240"/>
      <w:ind w:left="720"/>
      <w:contextualSpacing w:val="0"/>
      <w:outlineLvl w:val="0"/>
    </w:pPr>
    <w:rPr>
      <w:rFonts w:ascii="Times New Roman Bold" w:hAnsi="Times New Roman Bold"/>
      <w:b/>
      <w:bCs/>
      <w:caps/>
      <w:sz w:val="24"/>
      <w:szCs w:val="24"/>
    </w:rPr>
  </w:style>
  <w:style w:type="paragraph" w:styleId="Heading2">
    <w:name w:val="heading 2"/>
    <w:basedOn w:val="Normal"/>
    <w:next w:val="Normal"/>
    <w:link w:val="Heading2Char"/>
    <w:unhideWhenUsed/>
    <w:qFormat/>
    <w:pPr>
      <w:spacing w:after="240"/>
      <w:ind w:left="1440" w:hanging="720"/>
      <w:outlineLvl w:val="1"/>
    </w:pPr>
    <w:rPr>
      <w:rFonts w:ascii="Times New Roman Bold" w:hAnsi="Times New Roman Bold"/>
      <w:b/>
      <w:bCs/>
      <w:sz w:val="24"/>
      <w:szCs w:val="24"/>
    </w:rPr>
  </w:style>
  <w:style w:type="paragraph" w:styleId="Heading3">
    <w:name w:val="heading 3"/>
    <w:basedOn w:val="Normal"/>
    <w:next w:val="Normal"/>
    <w:qFormat/>
    <w:rsid w:val="00884B02"/>
    <w:pPr>
      <w:keepNext/>
      <w:spacing w:after="240"/>
      <w:ind w:left="2160" w:hanging="720"/>
      <w:outlineLvl w:val="2"/>
    </w:pPr>
    <w:rPr>
      <w:rFonts w:cs="Arial"/>
      <w:b/>
      <w:bCs/>
      <w:sz w:val="24"/>
      <w:szCs w:val="26"/>
    </w:rPr>
  </w:style>
  <w:style w:type="paragraph" w:styleId="Heading4">
    <w:name w:val="heading 4"/>
    <w:basedOn w:val="Normal"/>
    <w:next w:val="Normal"/>
    <w:qFormat/>
    <w:pPr>
      <w:keepNext/>
      <w:jc w:val="center"/>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qFormat/>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rPr>
      <w:sz w:val="24"/>
    </w:rPr>
  </w:style>
  <w:style w:type="paragraph" w:styleId="Date">
    <w:name w:val="Date"/>
    <w:basedOn w:val="Normal"/>
    <w:next w:val="Normal"/>
    <w:rPr>
      <w:sz w:val="24"/>
    </w:rPr>
  </w:style>
  <w:style w:type="paragraph" w:customStyle="1" w:styleId="ShortReturnAddress">
    <w:name w:val="Short Return Address"/>
    <w:basedOn w:val="Normal"/>
    <w:rPr>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Indent3">
    <w:name w:val="Body Text Indent 3"/>
    <w:basedOn w:val="Normal"/>
    <w:link w:val="BodyTextIndent3Char"/>
    <w:pPr>
      <w:spacing w:line="480" w:lineRule="atLeast"/>
      <w:ind w:firstLine="720"/>
    </w:pPr>
    <w:rPr>
      <w:sz w:val="24"/>
    </w:rPr>
  </w:style>
  <w:style w:type="paragraph" w:styleId="BodyText">
    <w:name w:val="Body Text"/>
    <w:basedOn w:val="Normal"/>
    <w:pPr>
      <w:spacing w:after="120"/>
    </w:pPr>
  </w:style>
  <w:style w:type="character" w:styleId="Hyperlink">
    <w:name w:val="Hyperlink"/>
    <w:uiPriority w:val="99"/>
    <w:rPr>
      <w:color w:val="0000FF"/>
      <w:u w:val="single"/>
    </w:rPr>
  </w:style>
  <w:style w:type="paragraph" w:styleId="EndnoteText">
    <w:name w:val="endnote text"/>
    <w:basedOn w:val="Normal"/>
    <w:semiHidden/>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HTMLPreformattedChar">
    <w:name w:val="HTML Preformatted Char"/>
    <w:link w:val="HTMLPreformatted"/>
    <w:locked/>
    <w:rPr>
      <w:rFonts w:ascii="Courier New" w:eastAsia="Courier New" w:hAnsi="Courier New" w:cs="Courier New"/>
      <w:lang w:val="en-US" w:eastAsia="en-US" w:bidi="ar-SA"/>
    </w:rPr>
  </w:style>
  <w:style w:type="paragraph" w:styleId="CommentText">
    <w:name w:val="annotation text"/>
    <w:basedOn w:val="Normal"/>
    <w:link w:val="CommentTextCha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CharChar">
    <w:name w:val="Char Char"/>
    <w:semiHidden/>
    <w:locked/>
    <w:rPr>
      <w:rFonts w:ascii="Courier New" w:eastAsia="Courier New" w:hAnsi="Courier New" w:cs="Courier New"/>
      <w:lang w:val="en-US" w:eastAsia="en-US" w:bidi="ar-SA"/>
    </w:rPr>
  </w:style>
  <w:style w:type="character" w:styleId="Strong">
    <w:name w:val="Strong"/>
    <w:uiPriority w:val="22"/>
    <w:qFormat/>
    <w:rPr>
      <w:b/>
      <w:bCs/>
    </w:rPr>
  </w:style>
  <w:style w:type="character" w:customStyle="1" w:styleId="CharChar1">
    <w:name w:val="Char Char1"/>
    <w:rPr>
      <w:rFonts w:ascii="Courier New" w:hAnsi="Courier New" w:cs="Courier New"/>
      <w:lang w:val="en-US" w:eastAsia="en-US" w:bidi="ar-SA"/>
    </w:rPr>
  </w:style>
  <w:style w:type="character" w:customStyle="1" w:styleId="CommentTextChar">
    <w:name w:val="Comment Text Char"/>
    <w:link w:val="CommentTex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uiPriority w:val="99"/>
  </w:style>
  <w:style w:type="paragraph" w:styleId="Revision">
    <w:name w:val="Revision"/>
    <w:hidden/>
    <w:uiPriority w:val="99"/>
    <w:semiHidden/>
  </w:style>
  <w:style w:type="character" w:customStyle="1" w:styleId="BodyTextIndent3Char">
    <w:name w:val="Body Text Indent 3 Char"/>
    <w:basedOn w:val="DefaultParagraphFont"/>
    <w:link w:val="BodyTextIndent3"/>
    <w:rPr>
      <w:sz w:val="24"/>
    </w:rPr>
  </w:style>
  <w:style w:type="character" w:customStyle="1" w:styleId="UnresolvedMention2">
    <w:name w:val="Unresolved Mention2"/>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style>
  <w:style w:type="character" w:styleId="FootnoteReference">
    <w:name w:val="footnote reference"/>
    <w:basedOn w:val="DefaultParagraphFont"/>
    <w:uiPriority w:val="99"/>
    <w:unhideWhenUsed/>
    <w:rPr>
      <w:vertAlign w:val="superscript"/>
    </w:rPr>
  </w:style>
  <w:style w:type="paragraph" w:styleId="NormalWeb">
    <w:name w:val="Normal (Web)"/>
    <w:basedOn w:val="Normal"/>
    <w:uiPriority w:val="99"/>
    <w:unhideWhenUsed/>
    <w:pPr>
      <w:spacing w:before="100" w:beforeAutospacing="1" w:after="100" w:afterAutospacing="1"/>
    </w:pPr>
    <w:rPr>
      <w:sz w:val="24"/>
      <w:szCs w:val="24"/>
    </w:rPr>
  </w:style>
  <w:style w:type="character" w:styleId="FollowedHyperlink">
    <w:name w:val="FollowedHyperlink"/>
    <w:basedOn w:val="DefaultParagraphFont"/>
    <w:rPr>
      <w:color w:val="954F72" w:themeColor="followedHyperlink"/>
      <w:u w:val="single"/>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2Char">
    <w:name w:val="Heading 2 Char"/>
    <w:basedOn w:val="DefaultParagraphFont"/>
    <w:link w:val="Heading2"/>
    <w:rPr>
      <w:rFonts w:ascii="Times New Roman Bold" w:hAnsi="Times New Roman Bold"/>
      <w:b/>
      <w:bCs/>
      <w:sz w:val="24"/>
      <w:szCs w:val="24"/>
    </w:rPr>
  </w:style>
  <w:style w:type="character" w:customStyle="1" w:styleId="cf01">
    <w:name w:val="cf01"/>
    <w:basedOn w:val="DefaultParagraphFont"/>
    <w:rPr>
      <w:rFonts w:ascii="Segoe UI" w:hAnsi="Segoe UI" w:cs="Segoe UI" w:hint="default"/>
      <w:sz w:val="18"/>
      <w:szCs w:val="18"/>
    </w:rPr>
  </w:style>
  <w:style w:type="character" w:customStyle="1" w:styleId="cf11">
    <w:name w:val="cf11"/>
    <w:basedOn w:val="DefaultParagraphFont"/>
    <w:rPr>
      <w:rFonts w:ascii="Segoe UI" w:hAnsi="Segoe UI" w:cs="Segoe UI" w:hint="default"/>
      <w:i/>
      <w:iCs/>
      <w:sz w:val="18"/>
      <w:szCs w:val="18"/>
    </w:rPr>
  </w:style>
  <w:style w:type="character" w:customStyle="1" w:styleId="cf21">
    <w:name w:val="cf21"/>
    <w:basedOn w:val="DefaultParagraphFont"/>
    <w:rPr>
      <w:rFonts w:ascii="Segoe UI" w:hAnsi="Segoe UI" w:cs="Segoe UI" w:hint="default"/>
      <w:sz w:val="18"/>
      <w:szCs w:val="18"/>
    </w:rPr>
  </w:style>
  <w:style w:type="paragraph" w:styleId="TOC1">
    <w:name w:val="toc 1"/>
    <w:basedOn w:val="Normal"/>
    <w:next w:val="Normal"/>
    <w:autoRedefine/>
    <w:uiPriority w:val="39"/>
    <w:rsid w:val="00F9330F"/>
    <w:pPr>
      <w:tabs>
        <w:tab w:val="decimal" w:leader="dot" w:pos="9360"/>
      </w:tabs>
      <w:spacing w:after="240"/>
      <w:ind w:left="720" w:hanging="720"/>
    </w:pPr>
    <w:rPr>
      <w:smallCaps/>
      <w:sz w:val="24"/>
    </w:rPr>
  </w:style>
  <w:style w:type="paragraph" w:styleId="TOC2">
    <w:name w:val="toc 2"/>
    <w:basedOn w:val="Normal"/>
    <w:next w:val="Normal"/>
    <w:autoRedefine/>
    <w:uiPriority w:val="39"/>
    <w:rsid w:val="00F9330F"/>
    <w:pPr>
      <w:tabs>
        <w:tab w:val="decimal" w:leader="dot" w:pos="9360"/>
      </w:tabs>
      <w:spacing w:after="240"/>
      <w:ind w:left="1440" w:hanging="720"/>
    </w:pPr>
    <w:rPr>
      <w:sz w:val="24"/>
    </w:rPr>
  </w:style>
  <w:style w:type="character" w:customStyle="1" w:styleId="UnresolvedMention">
    <w:name w:val="Unresolved Mention"/>
    <w:basedOn w:val="DefaultParagraphFont"/>
    <w:rsid w:val="000E5019"/>
    <w:rPr>
      <w:color w:val="605E5C"/>
      <w:shd w:val="clear" w:color="auto" w:fill="E1DFDD"/>
    </w:rPr>
  </w:style>
  <w:style w:type="paragraph" w:customStyle="1" w:styleId="xmsonormal">
    <w:name w:val="x_msonormal"/>
    <w:basedOn w:val="Normal"/>
    <w:rsid w:val="001C36E6"/>
    <w:rPr>
      <w:rFonts w:ascii="Calibri" w:hAnsi="Calibri" w:eastAsiaTheme="minorHAnsi" w:cs="Calibri"/>
    </w:rPr>
  </w:style>
  <w:style w:type="character" w:customStyle="1" w:styleId="apple-converted-space">
    <w:name w:val="apple-converted-space"/>
    <w:basedOn w:val="DefaultParagraphFont"/>
    <w:rsid w:val="00D85461"/>
  </w:style>
  <w:style w:type="paragraph" w:styleId="TOC3">
    <w:name w:val="toc 3"/>
    <w:basedOn w:val="Normal"/>
    <w:next w:val="Normal"/>
    <w:autoRedefine/>
    <w:uiPriority w:val="39"/>
    <w:rsid w:val="008F2268"/>
    <w:pPr>
      <w:tabs>
        <w:tab w:val="left" w:pos="2160"/>
        <w:tab w:val="decimal" w:leader="dot" w:pos="9360"/>
      </w:tabs>
      <w:spacing w:after="240"/>
      <w:ind w:left="2160" w:hanging="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hiannon.plant@ohioago.gov" TargetMode="External" /><Relationship Id="rId12" Type="http://schemas.openxmlformats.org/officeDocument/2006/relationships/hyperlink" Target="mailto:dproano@bakerlaw.com" TargetMode="External" /><Relationship Id="rId13" Type="http://schemas.openxmlformats.org/officeDocument/2006/relationships/hyperlink" Target="mailto:jrollinson@bakerlaw.com" TargetMode="External" /><Relationship Id="rId14" Type="http://schemas.openxmlformats.org/officeDocument/2006/relationships/hyperlink" Target="mailto:plewis@bakerlaw.com" TargetMode="External" /><Relationship Id="rId15" Type="http://schemas.openxmlformats.org/officeDocument/2006/relationships/hyperlink" Target="mailto:kcutts@bakerlaw.com" TargetMode="External" /><Relationship Id="rId16" Type="http://schemas.openxmlformats.org/officeDocument/2006/relationships/hyperlink" Target="mailto:tathompson@bakerlaw.com" TargetMode="External" /><Relationship Id="rId17" Type="http://schemas.openxmlformats.org/officeDocument/2006/relationships/hyperlink" Target="mailto:ahaque@bakerlaw.com" TargetMode="External" /><Relationship Id="rId18" Type="http://schemas.openxmlformats.org/officeDocument/2006/relationships/hyperlink" Target="mailto:michael.yuffee@bakerbotts.com" TargetMode="External" /><Relationship Id="rId19" Type="http://schemas.openxmlformats.org/officeDocument/2006/relationships/hyperlink" Target="mailto:ryan.norfolk@bakerbotts.com" TargetMode="External" /><Relationship Id="rId2" Type="http://schemas.openxmlformats.org/officeDocument/2006/relationships/settings" Target="settings.xml" /><Relationship Id="rId20" Type="http://schemas.openxmlformats.org/officeDocument/2006/relationships/hyperlink" Target="mailto:mrgladman@jonesday.com" TargetMode="External" /><Relationship Id="rId21" Type="http://schemas.openxmlformats.org/officeDocument/2006/relationships/hyperlink" Target="mailto:sgoyal@jonesday.com" TargetMode="External" /><Relationship Id="rId22" Type="http://schemas.openxmlformats.org/officeDocument/2006/relationships/hyperlink" Target="mailto:mdengler@jonesday.com" TargetMode="External" /><Relationship Id="rId23" Type="http://schemas.openxmlformats.org/officeDocument/2006/relationships/hyperlink" Target="mailto:radoringo@jonesday.com" TargetMode="External" /><Relationship Id="rId24" Type="http://schemas.openxmlformats.org/officeDocument/2006/relationships/hyperlink" Target="mailto:cwatchorn@firstenergycorp.com" TargetMode="External" /><Relationship Id="rId25" Type="http://schemas.openxmlformats.org/officeDocument/2006/relationships/hyperlink" Target="mailto:megan.addison@puco.ohio.gov" TargetMode="External" /><Relationship Id="rId26" Type="http://schemas.openxmlformats.org/officeDocument/2006/relationships/hyperlink" Target="mailto:greg.price@puco.ohio.gov" TargetMode="External" /><Relationship Id="rId27" Type="http://schemas.openxmlformats.org/officeDocument/2006/relationships/hyperlink" Target="mailto:dstinson@bricker.com" TargetMode="External" /><Relationship Id="rId28" Type="http://schemas.openxmlformats.org/officeDocument/2006/relationships/hyperlink" Target="mailto:dparram@bricker.com" TargetMode="External" /><Relationship Id="rId29" Type="http://schemas.openxmlformats.org/officeDocument/2006/relationships/hyperlink" Target="mailto:dcampbell@bricker.com" TargetMode="External" /><Relationship Id="rId3" Type="http://schemas.openxmlformats.org/officeDocument/2006/relationships/webSettings" Target="webSettings.xml" /><Relationship Id="rId30" Type="http://schemas.openxmlformats.org/officeDocument/2006/relationships/hyperlink" Target="mailto:mwarnock@bricker.com" TargetMode="External" /><Relationship Id="rId31" Type="http://schemas.openxmlformats.org/officeDocument/2006/relationships/hyperlink" Target="mailto:gkrassen@nopec.org" TargetMode="External" /><Relationship Id="rId32" Type="http://schemas.openxmlformats.org/officeDocument/2006/relationships/hyperlink" Target="mailto:jlang@calfee.com" TargetMode="External" /><Relationship Id="rId33" Type="http://schemas.openxmlformats.org/officeDocument/2006/relationships/hyperlink" Target="mailto:lmcbride@calfee.com" TargetMode="External" /><Relationship Id="rId34" Type="http://schemas.openxmlformats.org/officeDocument/2006/relationships/hyperlink" Target="mailto:jejadwin@aep.com" TargetMode="External" /><Relationship Id="rId35" Type="http://schemas.openxmlformats.org/officeDocument/2006/relationships/hyperlink" Target="mailto:stnourse@aep.com" TargetMode="External" /><Relationship Id="rId36" Type="http://schemas.openxmlformats.org/officeDocument/2006/relationships/hyperlink" Target="mailto:mdortch@kravitzllc.com" TargetMode="External" /><Relationship Id="rId37" Type="http://schemas.openxmlformats.org/officeDocument/2006/relationships/hyperlink" Target="mailto:jdortch@kravitzllc.com" TargetMode="External" /><Relationship Id="rId38" Type="http://schemas.openxmlformats.org/officeDocument/2006/relationships/hyperlink" Target="mailto:rparsons@kravitzllc.com" TargetMode="External" /><Relationship Id="rId39" Type="http://schemas.openxmlformats.org/officeDocument/2006/relationships/hyperlink" Target="mailto:amy.spiller@duke-energy.com" TargetMode="External" /><Relationship Id="rId4" Type="http://schemas.openxmlformats.org/officeDocument/2006/relationships/fontTable" Target="fontTable.xml" /><Relationship Id="rId40" Type="http://schemas.openxmlformats.org/officeDocument/2006/relationships/hyperlink" Target="mailto:evan.betterton@igs.com" TargetMode="External" /><Relationship Id="rId41" Type="http://schemas.openxmlformats.org/officeDocument/2006/relationships/hyperlink" Target="mailto:stacie.cathcart@igs.com" TargetMode="External" /><Relationship Id="rId42" Type="http://schemas.openxmlformats.org/officeDocument/2006/relationships/theme" Target="theme/theme1.xml" /><Relationship Id="rId43" Type="http://schemas.openxmlformats.org/officeDocument/2006/relationships/numbering" Target="numbering.xml" /><Relationship Id="rId44"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john.finnigan@occ.ohio.gov" TargetMode="External" /><Relationship Id="rId7" Type="http://schemas.openxmlformats.org/officeDocument/2006/relationships/hyperlink" Target="mailto:maureen.willis@occ.ohio.gov"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exteraenergy.com/real-zero.html?cid=SEANEE0013aug22&amp;gclid=EAIaIQobChMImfWjj8_v_AIV04ZbCh3cJwfDEAAYASAAEgL9x_D_BwE" TargetMode="External" /><Relationship Id="rId2" Type="http://schemas.openxmlformats.org/officeDocument/2006/relationships/hyperlink" Target="https://gcc02.safelinks.protection.outlook.com/?url=https%3A%2F%2Fwww.ftc.gov%2Fnews-events%2Fnews%2Fspeeches%2Fregulators-perspective-protecting-consumers-competitive-marketplaces-developments-ftc&amp;data=05%7C01%7CTracy.Greene%40occ.ohio.gov%7C2816909467314261077b08db06242b92%7C50f8fcc494d84f0784eb36ed57c7c8a2%7C0%7C0%7C638110524633978052%7CUnknown%7CTWFpbGZsb3d8eyJWIjoiMC4wLjAwMDAiLCJQIjoiV2luMzIiLCJBTiI6Ik1haWwiLCJXVCI6Mn0%3D%7C3000%7C%7C%7C&amp;sdata=kadkt3sRvjzBWDExxJUIjTq%2BrTHXK%2F5ZM937mEOtPcM%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DB197-36BA-4CC2-8079-29860420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4226</Words>
  <Characters>24090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2023-02-03T21:24:40Z</dcterms:created>
  <dcterms:modified xsi:type="dcterms:W3CDTF">2023-02-03T21:24:40Z</dcterms:modified>
</cp:coreProperties>
</file>