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2E93F" w14:textId="77777777" w:rsidR="000B2FEC" w:rsidRPr="0019456D" w:rsidRDefault="000B2FEC">
      <w:pPr>
        <w:pStyle w:val="HTMLPreformatted"/>
        <w:jc w:val="center"/>
        <w:rPr>
          <w:rFonts w:ascii="Times New Roman" w:hAnsi="Times New Roman" w:cs="Times New Roman"/>
          <w:b/>
          <w:bCs/>
          <w:sz w:val="24"/>
          <w:szCs w:val="24"/>
        </w:rPr>
      </w:pPr>
      <w:bookmarkStart w:id="0" w:name="_GoBack"/>
      <w:bookmarkEnd w:id="0"/>
      <w:r w:rsidRPr="0019456D">
        <w:rPr>
          <w:rFonts w:ascii="Times New Roman" w:hAnsi="Times New Roman" w:cs="Times New Roman"/>
          <w:b/>
          <w:bCs/>
          <w:sz w:val="24"/>
          <w:szCs w:val="24"/>
        </w:rPr>
        <w:t>BEFORE</w:t>
      </w:r>
    </w:p>
    <w:p w14:paraId="138B02C3" w14:textId="77777777" w:rsidR="000B2FEC" w:rsidRDefault="000B2FEC">
      <w:pPr>
        <w:pStyle w:val="HTMLPreformatted"/>
        <w:jc w:val="center"/>
        <w:rPr>
          <w:rFonts w:ascii="Times New Roman" w:hAnsi="Times New Roman" w:cs="Times New Roman"/>
          <w:b/>
          <w:bCs/>
          <w:sz w:val="24"/>
          <w:szCs w:val="24"/>
        </w:rPr>
      </w:pPr>
      <w:r w:rsidRPr="0019456D">
        <w:rPr>
          <w:rFonts w:ascii="Times New Roman" w:hAnsi="Times New Roman" w:cs="Times New Roman"/>
          <w:b/>
          <w:bCs/>
          <w:sz w:val="24"/>
          <w:szCs w:val="24"/>
        </w:rPr>
        <w:t>THE PUBLIC UTILITIES COMMISSION OF OHIO</w:t>
      </w:r>
    </w:p>
    <w:p w14:paraId="56F5A378" w14:textId="77777777" w:rsidR="00957146" w:rsidRDefault="00957146" w:rsidP="00957146"/>
    <w:tbl>
      <w:tblPr>
        <w:tblW w:w="9092" w:type="dxa"/>
        <w:jc w:val="center"/>
        <w:tblLook w:val="01E0" w:firstRow="1" w:lastRow="1" w:firstColumn="1" w:lastColumn="1" w:noHBand="0" w:noVBand="0"/>
      </w:tblPr>
      <w:tblGrid>
        <w:gridCol w:w="4332"/>
        <w:gridCol w:w="360"/>
        <w:gridCol w:w="4400"/>
      </w:tblGrid>
      <w:tr w:rsidR="00CB08EA" w14:paraId="177107E8" w14:textId="77777777">
        <w:trPr>
          <w:trHeight w:val="807"/>
          <w:jc w:val="center"/>
        </w:trPr>
        <w:tc>
          <w:tcPr>
            <w:tcW w:w="4332" w:type="dxa"/>
          </w:tcPr>
          <w:p w14:paraId="288D0804" w14:textId="77777777" w:rsidR="00CB08EA" w:rsidRDefault="00CB08EA">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Ohio Power Company to Update its Transmission Cost Recovery Rider Rates. </w:t>
            </w:r>
          </w:p>
        </w:tc>
        <w:tc>
          <w:tcPr>
            <w:tcW w:w="360" w:type="dxa"/>
          </w:tcPr>
          <w:p w14:paraId="457937A0" w14:textId="77777777" w:rsidR="00CB08EA" w:rsidRDefault="00CB08EA">
            <w:pPr>
              <w:pStyle w:val="HTMLPreformatted"/>
              <w:rPr>
                <w:rFonts w:ascii="Times New Roman" w:hAnsi="Times New Roman"/>
                <w:sz w:val="24"/>
              </w:rPr>
            </w:pPr>
            <w:r>
              <w:rPr>
                <w:rFonts w:ascii="Times New Roman" w:hAnsi="Times New Roman"/>
                <w:sz w:val="24"/>
              </w:rPr>
              <w:t>)</w:t>
            </w:r>
          </w:p>
          <w:p w14:paraId="5657DB7A" w14:textId="77777777" w:rsidR="00CB08EA" w:rsidRDefault="00CB08EA">
            <w:pPr>
              <w:pStyle w:val="HTMLPreformatted"/>
              <w:rPr>
                <w:rFonts w:ascii="Times New Roman" w:hAnsi="Times New Roman"/>
                <w:sz w:val="24"/>
              </w:rPr>
            </w:pPr>
            <w:r>
              <w:rPr>
                <w:rFonts w:ascii="Times New Roman" w:hAnsi="Times New Roman"/>
                <w:sz w:val="24"/>
              </w:rPr>
              <w:t>)</w:t>
            </w:r>
          </w:p>
          <w:p w14:paraId="038BB5CF" w14:textId="77777777" w:rsidR="00CB08EA" w:rsidRDefault="00CB08EA">
            <w:pPr>
              <w:pStyle w:val="HTMLPreformatted"/>
              <w:rPr>
                <w:rFonts w:ascii="Times New Roman" w:hAnsi="Times New Roman"/>
                <w:sz w:val="24"/>
              </w:rPr>
            </w:pPr>
            <w:r>
              <w:rPr>
                <w:rFonts w:ascii="Times New Roman" w:hAnsi="Times New Roman"/>
                <w:sz w:val="24"/>
              </w:rPr>
              <w:t>)</w:t>
            </w:r>
          </w:p>
          <w:p w14:paraId="21CA7B8D" w14:textId="77777777" w:rsidR="00CB08EA" w:rsidRDefault="00CB08EA">
            <w:pPr>
              <w:pStyle w:val="HTMLPreformatted"/>
              <w:rPr>
                <w:rFonts w:ascii="Times New Roman" w:hAnsi="Times New Roman"/>
                <w:sz w:val="24"/>
              </w:rPr>
            </w:pPr>
          </w:p>
        </w:tc>
        <w:tc>
          <w:tcPr>
            <w:tcW w:w="4400" w:type="dxa"/>
          </w:tcPr>
          <w:p w14:paraId="6FF29049" w14:textId="77777777" w:rsidR="00CB08EA" w:rsidRDefault="00CB08EA">
            <w:pPr>
              <w:pStyle w:val="HTMLPreformatted"/>
              <w:rPr>
                <w:rFonts w:ascii="Times New Roman" w:hAnsi="Times New Roman"/>
                <w:sz w:val="24"/>
              </w:rPr>
            </w:pPr>
          </w:p>
          <w:p w14:paraId="479625F9" w14:textId="77777777" w:rsidR="00CB08EA" w:rsidRDefault="00CB08EA">
            <w:pPr>
              <w:pStyle w:val="HTMLPreformatted"/>
              <w:rPr>
                <w:rFonts w:ascii="Times New Roman" w:hAnsi="Times New Roman"/>
                <w:sz w:val="24"/>
              </w:rPr>
            </w:pPr>
            <w:r>
              <w:rPr>
                <w:rFonts w:ascii="Times New Roman" w:hAnsi="Times New Roman"/>
                <w:sz w:val="24"/>
              </w:rPr>
              <w:t>Case No. 13-1406-EL-RDR</w:t>
            </w:r>
          </w:p>
          <w:p w14:paraId="663B9932" w14:textId="77777777" w:rsidR="00CB08EA" w:rsidRDefault="00CB08EA">
            <w:pPr>
              <w:pStyle w:val="HTMLPreformatted"/>
              <w:rPr>
                <w:rFonts w:ascii="Times New Roman" w:hAnsi="Times New Roman"/>
                <w:sz w:val="24"/>
              </w:rPr>
            </w:pPr>
          </w:p>
        </w:tc>
      </w:tr>
    </w:tbl>
    <w:p w14:paraId="6649029B" w14:textId="77777777" w:rsidR="000B2FEC" w:rsidRPr="0019456D" w:rsidRDefault="000B2FEC">
      <w:pPr>
        <w:pBdr>
          <w:top w:val="single" w:sz="12" w:space="1" w:color="auto"/>
        </w:pBdr>
        <w:tabs>
          <w:tab w:val="left" w:pos="-720"/>
        </w:tabs>
        <w:suppressAutoHyphens/>
        <w:jc w:val="center"/>
        <w:rPr>
          <w:b/>
          <w:spacing w:val="-3"/>
        </w:rPr>
      </w:pPr>
    </w:p>
    <w:p w14:paraId="08621D6B" w14:textId="58C77004" w:rsidR="003D30B1" w:rsidRDefault="003635BB" w:rsidP="009E44D8">
      <w:pPr>
        <w:pBdr>
          <w:top w:val="single" w:sz="12" w:space="1" w:color="auto"/>
        </w:pBdr>
        <w:tabs>
          <w:tab w:val="left" w:pos="-720"/>
        </w:tabs>
        <w:suppressAutoHyphens/>
        <w:jc w:val="center"/>
        <w:rPr>
          <w:b/>
        </w:rPr>
      </w:pPr>
      <w:r>
        <w:rPr>
          <w:b/>
        </w:rPr>
        <w:t>MOTION TO ENLARGE THE TIME PERIOD FOR</w:t>
      </w:r>
      <w:r w:rsidR="003D06AF">
        <w:rPr>
          <w:b/>
        </w:rPr>
        <w:t xml:space="preserve"> DISCOVERY</w:t>
      </w:r>
      <w:r w:rsidR="003D30B1">
        <w:rPr>
          <w:b/>
        </w:rPr>
        <w:t>,</w:t>
      </w:r>
    </w:p>
    <w:p w14:paraId="370F38FC" w14:textId="77777777" w:rsidR="005C7224" w:rsidRDefault="003635BB" w:rsidP="009E44D8">
      <w:pPr>
        <w:pBdr>
          <w:top w:val="single" w:sz="12" w:space="1" w:color="auto"/>
        </w:pBdr>
        <w:tabs>
          <w:tab w:val="left" w:pos="-720"/>
        </w:tabs>
        <w:suppressAutoHyphens/>
        <w:jc w:val="center"/>
        <w:rPr>
          <w:b/>
        </w:rPr>
      </w:pPr>
      <w:r>
        <w:rPr>
          <w:b/>
        </w:rPr>
        <w:t xml:space="preserve">MOTION TO </w:t>
      </w:r>
      <w:r w:rsidR="003D30B1">
        <w:rPr>
          <w:b/>
        </w:rPr>
        <w:t xml:space="preserve">REQUIRE </w:t>
      </w:r>
      <w:r w:rsidR="009E44D8">
        <w:rPr>
          <w:b/>
        </w:rPr>
        <w:t>EXPEDITE</w:t>
      </w:r>
      <w:r w:rsidR="003D30B1">
        <w:rPr>
          <w:b/>
        </w:rPr>
        <w:t>D</w:t>
      </w:r>
      <w:r w:rsidR="009E44D8">
        <w:rPr>
          <w:b/>
        </w:rPr>
        <w:t xml:space="preserve"> RESPONSES TO DISCOVERY,</w:t>
      </w:r>
    </w:p>
    <w:p w14:paraId="5E09EE57" w14:textId="762121CA" w:rsidR="009E44D8" w:rsidRDefault="003635BB" w:rsidP="009E44D8">
      <w:pPr>
        <w:pBdr>
          <w:top w:val="single" w:sz="12" w:space="1" w:color="auto"/>
        </w:pBdr>
        <w:tabs>
          <w:tab w:val="left" w:pos="-720"/>
        </w:tabs>
        <w:suppressAutoHyphens/>
        <w:jc w:val="center"/>
        <w:rPr>
          <w:b/>
        </w:rPr>
      </w:pPr>
      <w:r>
        <w:rPr>
          <w:b/>
        </w:rPr>
        <w:t xml:space="preserve">MOTION TO EXTEND </w:t>
      </w:r>
      <w:r w:rsidR="003D30B1">
        <w:rPr>
          <w:b/>
        </w:rPr>
        <w:t xml:space="preserve">THE </w:t>
      </w:r>
      <w:r w:rsidR="009E44D8">
        <w:rPr>
          <w:b/>
        </w:rPr>
        <w:t>DUE DATE FOR FILING INTERVENOR</w:t>
      </w:r>
    </w:p>
    <w:p w14:paraId="0BD26CE3" w14:textId="230E2E17" w:rsidR="003635BB" w:rsidRDefault="009E44D8" w:rsidP="0004712E">
      <w:pPr>
        <w:jc w:val="center"/>
        <w:rPr>
          <w:b/>
        </w:rPr>
      </w:pPr>
      <w:r>
        <w:rPr>
          <w:b/>
        </w:rPr>
        <w:t xml:space="preserve">TESTIMONY, </w:t>
      </w:r>
      <w:r w:rsidR="003635BB">
        <w:rPr>
          <w:b/>
        </w:rPr>
        <w:t xml:space="preserve">MOTION TO </w:t>
      </w:r>
      <w:r w:rsidR="003D30B1">
        <w:rPr>
          <w:b/>
        </w:rPr>
        <w:t>CONTINUE</w:t>
      </w:r>
      <w:r>
        <w:rPr>
          <w:b/>
        </w:rPr>
        <w:t xml:space="preserve"> </w:t>
      </w:r>
      <w:r w:rsidR="003635BB">
        <w:rPr>
          <w:b/>
        </w:rPr>
        <w:t xml:space="preserve">THE </w:t>
      </w:r>
      <w:r>
        <w:rPr>
          <w:b/>
        </w:rPr>
        <w:t>HEARING DATE</w:t>
      </w:r>
      <w:r w:rsidR="00D92C06">
        <w:rPr>
          <w:b/>
        </w:rPr>
        <w:t xml:space="preserve">, </w:t>
      </w:r>
    </w:p>
    <w:p w14:paraId="1F0164D7" w14:textId="2C7A6F48" w:rsidR="003F0562" w:rsidRDefault="00D92C06" w:rsidP="0004712E">
      <w:pPr>
        <w:jc w:val="center"/>
        <w:rPr>
          <w:b/>
        </w:rPr>
      </w:pPr>
      <w:r>
        <w:rPr>
          <w:b/>
        </w:rPr>
        <w:t>AND</w:t>
      </w:r>
      <w:r w:rsidR="00483869">
        <w:rPr>
          <w:b/>
        </w:rPr>
        <w:t xml:space="preserve"> </w:t>
      </w:r>
      <w:r w:rsidR="00EB04D9">
        <w:rPr>
          <w:b/>
        </w:rPr>
        <w:t>REQUEST FOR EXPEDITED RULING</w:t>
      </w:r>
      <w:r w:rsidR="003635BB">
        <w:rPr>
          <w:b/>
        </w:rPr>
        <w:t>S</w:t>
      </w:r>
      <w:r w:rsidR="00EB04D9">
        <w:rPr>
          <w:b/>
        </w:rPr>
        <w:t xml:space="preserve"> </w:t>
      </w:r>
    </w:p>
    <w:p w14:paraId="13864474" w14:textId="77777777" w:rsidR="000B2FEC" w:rsidRPr="0019456D" w:rsidRDefault="000B2FEC" w:rsidP="0004712E">
      <w:pPr>
        <w:jc w:val="center"/>
        <w:rPr>
          <w:b/>
        </w:rPr>
      </w:pPr>
      <w:r>
        <w:rPr>
          <w:b/>
        </w:rPr>
        <w:t>BY</w:t>
      </w:r>
    </w:p>
    <w:p w14:paraId="20FCE066" w14:textId="77777777" w:rsidR="000B2FEC" w:rsidRPr="0019456D" w:rsidRDefault="000B2FEC">
      <w:pPr>
        <w:jc w:val="center"/>
        <w:rPr>
          <w:b/>
        </w:rPr>
      </w:pPr>
      <w:r w:rsidRPr="0019456D">
        <w:rPr>
          <w:b/>
        </w:rPr>
        <w:t>THE OFFICE OF THE OHIO CONSUMERS</w:t>
      </w:r>
      <w:r w:rsidR="00895B79">
        <w:rPr>
          <w:b/>
        </w:rPr>
        <w:t>’</w:t>
      </w:r>
      <w:r w:rsidRPr="0019456D">
        <w:rPr>
          <w:b/>
        </w:rPr>
        <w:t xml:space="preserve"> COUNSEL</w:t>
      </w:r>
    </w:p>
    <w:p w14:paraId="20395CC2" w14:textId="77777777" w:rsidR="000B2FEC" w:rsidRPr="0019456D" w:rsidRDefault="000B2FEC">
      <w:pPr>
        <w:pBdr>
          <w:bottom w:val="single" w:sz="12" w:space="1" w:color="auto"/>
        </w:pBdr>
        <w:tabs>
          <w:tab w:val="left" w:pos="-720"/>
        </w:tabs>
        <w:suppressAutoHyphens/>
        <w:jc w:val="center"/>
        <w:rPr>
          <w:b/>
          <w:spacing w:val="-3"/>
        </w:rPr>
      </w:pPr>
    </w:p>
    <w:p w14:paraId="53A83EB0" w14:textId="77777777" w:rsidR="000B2FEC" w:rsidRPr="0019456D" w:rsidRDefault="000B2FEC">
      <w:pPr>
        <w:tabs>
          <w:tab w:val="left" w:pos="-720"/>
        </w:tabs>
        <w:suppressAutoHyphens/>
        <w:jc w:val="both"/>
        <w:rPr>
          <w:bCs/>
          <w:spacing w:val="-3"/>
        </w:rPr>
      </w:pPr>
    </w:p>
    <w:p w14:paraId="7879D953" w14:textId="77777777" w:rsidR="0027618A" w:rsidRDefault="0027618A" w:rsidP="0027618A">
      <w:pPr>
        <w:ind w:left="1440" w:right="1440"/>
      </w:pPr>
    </w:p>
    <w:p w14:paraId="75933ADD" w14:textId="027AE9BD" w:rsidR="009E3F83" w:rsidRDefault="00275A8B" w:rsidP="00D057E4">
      <w:pPr>
        <w:spacing w:line="480" w:lineRule="auto"/>
        <w:ind w:firstLine="720"/>
      </w:pPr>
      <w:r>
        <w:t xml:space="preserve">The Office of the Ohio Consumers’ Counsel (“OCC”) </w:t>
      </w:r>
      <w:r w:rsidR="008B7749">
        <w:t>moves to extend the</w:t>
      </w:r>
      <w:r>
        <w:t xml:space="preserve"> procedural schedule, given developments this week in the case,</w:t>
      </w:r>
      <w:r w:rsidR="007E6579">
        <w:t xml:space="preserve"> </w:t>
      </w:r>
      <w:r w:rsidR="00F12B8F">
        <w:t>to</w:t>
      </w:r>
      <w:r w:rsidR="0075308B">
        <w:t xml:space="preserve"> better</w:t>
      </w:r>
      <w:r w:rsidR="00F12B8F">
        <w:t xml:space="preserve"> provide</w:t>
      </w:r>
      <w:r>
        <w:t xml:space="preserve"> the Public Utilities Commission of Ohio (“PUCO” or “Commission”) with evidence for its decision-making on issues </w:t>
      </w:r>
      <w:r w:rsidR="007E6579">
        <w:t>involving millions of dollars in customer</w:t>
      </w:r>
      <w:r w:rsidR="00596889">
        <w:t>s</w:t>
      </w:r>
      <w:r w:rsidR="007E6579">
        <w:t>’ rates.</w:t>
      </w:r>
      <w:r>
        <w:t xml:space="preserve"> </w:t>
      </w:r>
      <w:r w:rsidR="000F7989">
        <w:t xml:space="preserve"> </w:t>
      </w:r>
      <w:r w:rsidR="00220907">
        <w:t xml:space="preserve">As background, </w:t>
      </w:r>
      <w:r w:rsidR="009E3F83">
        <w:t>Ohio Power Company (“OPC,” “AEP Ohio,” or “Utility”)</w:t>
      </w:r>
      <w:r w:rsidR="000F7989">
        <w:t xml:space="preserve"> is claiming</w:t>
      </w:r>
      <w:r w:rsidR="009E3F83">
        <w:t xml:space="preserve"> </w:t>
      </w:r>
      <w:r w:rsidR="009E3F83" w:rsidRPr="009E44D8">
        <w:t>that it</w:t>
      </w:r>
      <w:r w:rsidR="00C610DF">
        <w:t xml:space="preserve"> should charge customers</w:t>
      </w:r>
      <w:r w:rsidR="009E3F83" w:rsidRPr="009E44D8">
        <w:t xml:space="preserve"> $23 million in PJM Reactive Supply charges from July 2011 through March 2013 </w:t>
      </w:r>
      <w:r w:rsidR="00C610DF">
        <w:t>that</w:t>
      </w:r>
      <w:r w:rsidR="009E3F83" w:rsidRPr="009E44D8">
        <w:t xml:space="preserve">, because of an </w:t>
      </w:r>
      <w:r w:rsidR="009E3F83">
        <w:t>“inadvertent” omission</w:t>
      </w:r>
      <w:r w:rsidR="009E3F83" w:rsidRPr="009E44D8">
        <w:t xml:space="preserve">, </w:t>
      </w:r>
      <w:r w:rsidR="00C610DF">
        <w:t xml:space="preserve">it </w:t>
      </w:r>
      <w:r w:rsidR="009E3F83" w:rsidRPr="009E44D8">
        <w:t xml:space="preserve">didn’t </w:t>
      </w:r>
      <w:r w:rsidR="000F7989">
        <w:t>charge customers</w:t>
      </w:r>
      <w:r w:rsidR="009E3F83" w:rsidRPr="009E44D8">
        <w:t xml:space="preserve"> in its Transmission Cost Recovery Rider (“TCRR”).  </w:t>
      </w:r>
    </w:p>
    <w:p w14:paraId="2C4617EA" w14:textId="7F65C53A" w:rsidR="009E3F83" w:rsidRDefault="009E3F83" w:rsidP="00D057E4">
      <w:pPr>
        <w:spacing w:line="480" w:lineRule="auto"/>
        <w:ind w:firstLine="720"/>
      </w:pPr>
      <w:r>
        <w:t xml:space="preserve">But </w:t>
      </w:r>
      <w:r w:rsidR="0047734B">
        <w:t xml:space="preserve">it also came to light in </w:t>
      </w:r>
      <w:r>
        <w:t>depositions held on October 1</w:t>
      </w:r>
      <w:r w:rsidR="00B62277">
        <w:t>6</w:t>
      </w:r>
      <w:r>
        <w:t>, 2013, that AEP Ohio has not, since 2006, flowed back millions of dollars of off-setting revenues for transmission-related charges to customers</w:t>
      </w:r>
      <w:r w:rsidR="0047734B">
        <w:t>.</w:t>
      </w:r>
      <w:r>
        <w:t xml:space="preserve"> </w:t>
      </w:r>
      <w:r w:rsidR="0047734B">
        <w:t>There is</w:t>
      </w:r>
      <w:r>
        <w:t xml:space="preserve"> a PUCO regulation (O.A.C. 4901:1-36-04(C)</w:t>
      </w:r>
      <w:r w:rsidR="000E6FB8">
        <w:t>)</w:t>
      </w:r>
      <w:r>
        <w:t xml:space="preserve"> that requires </w:t>
      </w:r>
      <w:r w:rsidR="0047734B">
        <w:t xml:space="preserve">crediting </w:t>
      </w:r>
      <w:r>
        <w:t>such revenues to the TCRR.</w:t>
      </w:r>
    </w:p>
    <w:p w14:paraId="18102794" w14:textId="3023CCAD" w:rsidR="003C641E" w:rsidRDefault="00515828" w:rsidP="00515828">
      <w:pPr>
        <w:spacing w:line="480" w:lineRule="auto"/>
        <w:ind w:firstLine="720"/>
      </w:pPr>
      <w:r>
        <w:t>Given the discovery</w:t>
      </w:r>
      <w:r w:rsidR="008B7749">
        <w:t xml:space="preserve"> this week</w:t>
      </w:r>
      <w:r>
        <w:t xml:space="preserve"> </w:t>
      </w:r>
      <w:r w:rsidR="008B7749">
        <w:t xml:space="preserve">of </w:t>
      </w:r>
      <w:r>
        <w:t>OPC</w:t>
      </w:r>
      <w:r w:rsidR="008B7749">
        <w:t>’s approach to accounting and ratemaking on this transmission issue</w:t>
      </w:r>
      <w:r>
        <w:t>, the</w:t>
      </w:r>
      <w:r w:rsidR="008B7749">
        <w:t xml:space="preserve"> case due dates</w:t>
      </w:r>
      <w:r w:rsidR="0075308B">
        <w:t>,</w:t>
      </w:r>
      <w:r w:rsidR="008B7749">
        <w:t xml:space="preserve"> including those for </w:t>
      </w:r>
      <w:r>
        <w:t xml:space="preserve">testimony (October 18, </w:t>
      </w:r>
      <w:r>
        <w:lastRenderedPageBreak/>
        <w:t>2013),</w:t>
      </w:r>
      <w:r w:rsidR="008B7749">
        <w:t xml:space="preserve"> for discovery</w:t>
      </w:r>
      <w:r>
        <w:t xml:space="preserve"> </w:t>
      </w:r>
      <w:r w:rsidR="00FB4408">
        <w:t xml:space="preserve">(October 18, 2013) </w:t>
      </w:r>
      <w:r>
        <w:t>and</w:t>
      </w:r>
      <w:r w:rsidR="008B7749">
        <w:t xml:space="preserve"> for the</w:t>
      </w:r>
      <w:r>
        <w:t xml:space="preserve"> scheduled hearing </w:t>
      </w:r>
      <w:r w:rsidR="008B7749">
        <w:t>(</w:t>
      </w:r>
      <w:r>
        <w:t>October 29, 2013</w:t>
      </w:r>
      <w:r w:rsidR="008B7749">
        <w:t>)</w:t>
      </w:r>
      <w:r w:rsidR="003D06AF">
        <w:t xml:space="preserve"> </w:t>
      </w:r>
      <w:r w:rsidR="008B7749">
        <w:t>should be extended and continued</w:t>
      </w:r>
      <w:r w:rsidR="003D06AF">
        <w:t>.</w:t>
      </w:r>
      <w:r w:rsidR="00810C1C">
        <w:t xml:space="preserve">  The extension of these due dates will not affect the substantial rights of any party. </w:t>
      </w:r>
      <w:r w:rsidR="003D06AF">
        <w:t xml:space="preserve">  Therefore,</w:t>
      </w:r>
      <w:r>
        <w:t xml:space="preserve"> OCC </w:t>
      </w:r>
      <w:r w:rsidR="0008169A">
        <w:t xml:space="preserve">asks the PUCO to </w:t>
      </w:r>
      <w:r w:rsidR="00A84982">
        <w:t>make</w:t>
      </w:r>
      <w:r w:rsidR="003D30B1">
        <w:t xml:space="preserve"> </w:t>
      </w:r>
      <w:r w:rsidR="0008169A">
        <w:t>the following changes in due dates:</w:t>
      </w:r>
      <w:r w:rsidR="003D06AF">
        <w:rPr>
          <w:rStyle w:val="FootnoteReference"/>
        </w:rPr>
        <w:footnoteReference w:id="1"/>
      </w:r>
      <w:r w:rsidR="00483869">
        <w:t xml:space="preserve"> </w:t>
      </w:r>
    </w:p>
    <w:p w14:paraId="3ECB1BC0" w14:textId="3706070B" w:rsidR="003C641E" w:rsidRDefault="003C641E" w:rsidP="00515828">
      <w:pPr>
        <w:spacing w:line="480" w:lineRule="auto"/>
        <w:ind w:firstLine="720"/>
      </w:pPr>
      <w:r>
        <w:t>Intervenor Testimony Due Date:  November 1</w:t>
      </w:r>
      <w:r w:rsidR="00FB4408">
        <w:t>8</w:t>
      </w:r>
      <w:r>
        <w:t>, 2013</w:t>
      </w:r>
    </w:p>
    <w:p w14:paraId="34C49A72" w14:textId="60142CD7" w:rsidR="00DB6234" w:rsidRDefault="003C641E" w:rsidP="00515828">
      <w:pPr>
        <w:spacing w:line="480" w:lineRule="auto"/>
        <w:ind w:firstLine="720"/>
      </w:pPr>
      <w:r>
        <w:t xml:space="preserve">Hearing Date:  </w:t>
      </w:r>
      <w:r w:rsidR="00BB249F">
        <w:t xml:space="preserve">December </w:t>
      </w:r>
      <w:r w:rsidR="009C4C9A">
        <w:t>3</w:t>
      </w:r>
      <w:r>
        <w:t>, 2013</w:t>
      </w:r>
      <w:r>
        <w:rPr>
          <w:rStyle w:val="FootnoteReference"/>
        </w:rPr>
        <w:footnoteReference w:id="2"/>
      </w:r>
    </w:p>
    <w:p w14:paraId="10F47D6E" w14:textId="7A7E883D" w:rsidR="003C641E" w:rsidRDefault="00DB6234" w:rsidP="00515828">
      <w:pPr>
        <w:spacing w:line="480" w:lineRule="auto"/>
        <w:ind w:firstLine="720"/>
      </w:pPr>
      <w:r>
        <w:t xml:space="preserve">Discovery Period End:  </w:t>
      </w:r>
      <w:r w:rsidR="00A86455">
        <w:t xml:space="preserve">November </w:t>
      </w:r>
      <w:r w:rsidR="00FB4408">
        <w:t>18</w:t>
      </w:r>
      <w:r w:rsidR="00A86455">
        <w:t>, 2013</w:t>
      </w:r>
      <w:r w:rsidR="00515828">
        <w:t xml:space="preserve"> </w:t>
      </w:r>
    </w:p>
    <w:p w14:paraId="3F68D516" w14:textId="33C374C6" w:rsidR="00A84982" w:rsidRDefault="00A84982" w:rsidP="00515828">
      <w:pPr>
        <w:spacing w:line="480" w:lineRule="auto"/>
        <w:ind w:firstLine="720"/>
      </w:pPr>
      <w:r>
        <w:t>Discovery Response Time:  Seven Days</w:t>
      </w:r>
    </w:p>
    <w:p w14:paraId="0E7C8EED" w14:textId="5D70AE77" w:rsidR="00615DC1" w:rsidRDefault="00515828" w:rsidP="00515828">
      <w:pPr>
        <w:spacing w:line="480" w:lineRule="auto"/>
        <w:ind w:firstLine="720"/>
      </w:pPr>
      <w:r>
        <w:t xml:space="preserve">OCC also </w:t>
      </w:r>
      <w:r w:rsidR="00B62277">
        <w:t xml:space="preserve">requests </w:t>
      </w:r>
      <w:r>
        <w:t>expedited approval of this Motion.</w:t>
      </w:r>
      <w:r w:rsidR="003D06AF">
        <w:rPr>
          <w:rStyle w:val="FootnoteReference"/>
        </w:rPr>
        <w:footnoteReference w:id="3"/>
      </w:r>
      <w:r w:rsidR="003C641E">
        <w:t xml:space="preserve">  OCC has advised other parties that it will be filing this Motion</w:t>
      </w:r>
      <w:r w:rsidR="00A86455">
        <w:t>.</w:t>
      </w:r>
      <w:r w:rsidR="0075308B">
        <w:t xml:space="preserve">  </w:t>
      </w:r>
      <w:r w:rsidR="00BB249F">
        <w:t>PUCO Staff</w:t>
      </w:r>
      <w:r w:rsidR="00BF5BF4">
        <w:t>,</w:t>
      </w:r>
      <w:r w:rsidR="00BB249F">
        <w:t xml:space="preserve"> </w:t>
      </w:r>
      <w:r w:rsidR="00D0711B">
        <w:t>Industrial Energy Users of Ohio (“IEU-Ohio”)</w:t>
      </w:r>
      <w:r w:rsidR="00BF5BF4">
        <w:t>, and Ohio Energy Group (“OEG”)</w:t>
      </w:r>
      <w:r w:rsidR="00D0711B">
        <w:t xml:space="preserve"> </w:t>
      </w:r>
      <w:r w:rsidR="00BB249F">
        <w:t>ha</w:t>
      </w:r>
      <w:r w:rsidR="00D0711B">
        <w:t>ve</w:t>
      </w:r>
      <w:r w:rsidR="00BB249F">
        <w:t xml:space="preserve"> indicated that </w:t>
      </w:r>
      <w:r w:rsidR="00D0711B">
        <w:t xml:space="preserve">they do </w:t>
      </w:r>
      <w:r w:rsidR="00BB249F">
        <w:t>not oppose OCC’s Motion</w:t>
      </w:r>
      <w:r w:rsidR="00BF5BF4">
        <w:t xml:space="preserve"> to Extend the Procedural Schedule or OCC’s Request for an Expedited Ruling</w:t>
      </w:r>
      <w:r w:rsidR="00BB249F">
        <w:t xml:space="preserve">.  However, </w:t>
      </w:r>
      <w:r w:rsidR="00A86455">
        <w:t>OPC has indicated that it objects to this Motion</w:t>
      </w:r>
      <w:r w:rsidR="008873B8">
        <w:t xml:space="preserve"> and OCC’s Request for an Expedited Ruling</w:t>
      </w:r>
      <w:r w:rsidR="00A86455">
        <w:t>.</w:t>
      </w:r>
      <w:r w:rsidR="00BB249F">
        <w:rPr>
          <w:rStyle w:val="FootnoteReference"/>
        </w:rPr>
        <w:footnoteReference w:id="4"/>
      </w:r>
    </w:p>
    <w:p w14:paraId="5B83C2C8" w14:textId="77777777" w:rsidR="000B2FEC" w:rsidRPr="0019456D" w:rsidRDefault="001C69A4">
      <w:pPr>
        <w:spacing w:line="480" w:lineRule="auto"/>
      </w:pPr>
      <w:r>
        <w:tab/>
      </w:r>
      <w:r w:rsidR="000B2FEC" w:rsidRPr="0019456D">
        <w:t>The grounds for OCC</w:t>
      </w:r>
      <w:r w:rsidR="00895B79">
        <w:t>’</w:t>
      </w:r>
      <w:r w:rsidR="000B2FEC" w:rsidRPr="0019456D">
        <w:t xml:space="preserve">s </w:t>
      </w:r>
      <w:r w:rsidR="000B2FEC">
        <w:t>M</w:t>
      </w:r>
      <w:r w:rsidR="000B2FEC" w:rsidRPr="0019456D">
        <w:t>otion are more fully set forth in the accompanying Memorandum in Support.</w:t>
      </w:r>
    </w:p>
    <w:p w14:paraId="173C76E6" w14:textId="77777777" w:rsidR="002F5398" w:rsidRDefault="002F5398">
      <w:r>
        <w:br w:type="page"/>
      </w:r>
    </w:p>
    <w:p w14:paraId="68D464B2" w14:textId="341B5299" w:rsidR="00957146" w:rsidRDefault="00957146" w:rsidP="00957146">
      <w:pPr>
        <w:pStyle w:val="BodyTextIndent3"/>
        <w:widowControl w:val="0"/>
        <w:spacing w:line="480" w:lineRule="auto"/>
        <w:ind w:left="4320"/>
        <w:rPr>
          <w:sz w:val="24"/>
          <w:szCs w:val="24"/>
        </w:rPr>
      </w:pPr>
      <w:r>
        <w:rPr>
          <w:sz w:val="24"/>
          <w:szCs w:val="24"/>
        </w:rPr>
        <w:lastRenderedPageBreak/>
        <w:t>Respectfully submitted,</w:t>
      </w:r>
    </w:p>
    <w:p w14:paraId="3727EC0A" w14:textId="77777777" w:rsidR="00957146" w:rsidRPr="00A75AE0" w:rsidRDefault="00957146" w:rsidP="00957146">
      <w:pPr>
        <w:tabs>
          <w:tab w:val="left" w:pos="4320"/>
        </w:tabs>
        <w:ind w:left="4320"/>
      </w:pPr>
      <w:r w:rsidRPr="00A75AE0">
        <w:t>BRUCE J. WESTON</w:t>
      </w:r>
    </w:p>
    <w:p w14:paraId="1196FA47" w14:textId="77777777" w:rsidR="00957146" w:rsidRPr="00A75AE0" w:rsidRDefault="00957146" w:rsidP="00957146">
      <w:pPr>
        <w:tabs>
          <w:tab w:val="left" w:pos="4320"/>
        </w:tabs>
        <w:ind w:left="4320"/>
      </w:pPr>
      <w:r>
        <w:t xml:space="preserve">OHIO </w:t>
      </w:r>
      <w:r w:rsidRPr="00A75AE0">
        <w:t>CONSUMERS</w:t>
      </w:r>
      <w:r w:rsidR="00895B79">
        <w:t>’</w:t>
      </w:r>
      <w:r w:rsidRPr="00A75AE0">
        <w:t xml:space="preserve"> COUNSEL</w:t>
      </w:r>
    </w:p>
    <w:p w14:paraId="680C2392" w14:textId="77777777" w:rsidR="00957146" w:rsidRPr="00A75AE0" w:rsidRDefault="00957146" w:rsidP="00957146">
      <w:pPr>
        <w:tabs>
          <w:tab w:val="left" w:pos="4320"/>
        </w:tabs>
        <w:ind w:left="4320"/>
      </w:pPr>
    </w:p>
    <w:p w14:paraId="34BD9791" w14:textId="77777777" w:rsidR="00957146" w:rsidRDefault="00957146" w:rsidP="00957146">
      <w:pPr>
        <w:tabs>
          <w:tab w:val="left" w:pos="4320"/>
        </w:tabs>
        <w:ind w:left="4320"/>
        <w:rPr>
          <w:i/>
          <w:u w:val="single"/>
        </w:rPr>
      </w:pPr>
      <w:r>
        <w:rPr>
          <w:i/>
          <w:u w:val="single"/>
        </w:rPr>
        <w:t xml:space="preserve">/s/ </w:t>
      </w:r>
      <w:r w:rsidR="00515828">
        <w:rPr>
          <w:i/>
          <w:u w:val="single"/>
        </w:rPr>
        <w:t>Edmund “Tad” Berger</w:t>
      </w:r>
      <w:r>
        <w:rPr>
          <w:i/>
          <w:u w:val="single"/>
        </w:rPr>
        <w:tab/>
      </w:r>
      <w:r>
        <w:rPr>
          <w:i/>
          <w:u w:val="single"/>
        </w:rPr>
        <w:tab/>
      </w:r>
    </w:p>
    <w:p w14:paraId="23DF228A" w14:textId="77777777" w:rsidR="00957146" w:rsidRPr="00A9293D" w:rsidRDefault="00957146" w:rsidP="00957146">
      <w:pPr>
        <w:tabs>
          <w:tab w:val="left" w:pos="4320"/>
        </w:tabs>
        <w:ind w:left="4320"/>
      </w:pPr>
      <w:r>
        <w:t>Edmund Berger</w:t>
      </w:r>
    </w:p>
    <w:p w14:paraId="423CD2FD" w14:textId="77777777" w:rsidR="00957146" w:rsidRPr="00A75AE0" w:rsidRDefault="00957146" w:rsidP="00957146">
      <w:pPr>
        <w:tabs>
          <w:tab w:val="left" w:pos="4320"/>
        </w:tabs>
        <w:ind w:left="4320"/>
      </w:pPr>
      <w:r w:rsidRPr="00A75AE0">
        <w:t>Assistant Consumers</w:t>
      </w:r>
      <w:r w:rsidR="00895B79">
        <w:t>’</w:t>
      </w:r>
      <w:r w:rsidRPr="00A75AE0">
        <w:t xml:space="preserve"> Counsel</w:t>
      </w:r>
    </w:p>
    <w:p w14:paraId="3276F8FF" w14:textId="77777777" w:rsidR="00FF231C" w:rsidRDefault="00FF231C" w:rsidP="00FF231C">
      <w:pPr>
        <w:ind w:left="4320"/>
      </w:pPr>
    </w:p>
    <w:p w14:paraId="193B143F" w14:textId="77777777" w:rsidR="00957146" w:rsidRPr="00FF231C" w:rsidRDefault="00957146" w:rsidP="00FF231C">
      <w:pPr>
        <w:ind w:left="4320"/>
        <w:rPr>
          <w:b/>
        </w:rPr>
      </w:pPr>
      <w:r w:rsidRPr="00FF231C">
        <w:rPr>
          <w:b/>
        </w:rPr>
        <w:t>Office of the Ohio Consumers</w:t>
      </w:r>
      <w:r w:rsidR="00895B79">
        <w:rPr>
          <w:b/>
        </w:rPr>
        <w:t>’</w:t>
      </w:r>
      <w:r w:rsidRPr="00FF231C">
        <w:rPr>
          <w:b/>
        </w:rPr>
        <w:t xml:space="preserve"> Counsel</w:t>
      </w:r>
    </w:p>
    <w:p w14:paraId="0A8484EA" w14:textId="77777777" w:rsidR="00957146" w:rsidRPr="00A75AE0" w:rsidRDefault="00957146" w:rsidP="00FF231C">
      <w:pPr>
        <w:ind w:left="4320"/>
      </w:pPr>
      <w:r w:rsidRPr="00A75AE0">
        <w:t>10 West Broad Street, Suite 1800</w:t>
      </w:r>
    </w:p>
    <w:p w14:paraId="18EBB830" w14:textId="77777777" w:rsidR="00957146" w:rsidRPr="00A75AE0" w:rsidRDefault="00957146" w:rsidP="00FF231C">
      <w:pPr>
        <w:ind w:left="4320"/>
      </w:pPr>
      <w:r w:rsidRPr="00A75AE0">
        <w:t>Columbus, Ohio 43215-3485</w:t>
      </w:r>
    </w:p>
    <w:p w14:paraId="2605BF3D" w14:textId="77777777" w:rsidR="00957146" w:rsidRPr="00A75AE0" w:rsidRDefault="00957146" w:rsidP="00957146">
      <w:pPr>
        <w:autoSpaceDE w:val="0"/>
        <w:autoSpaceDN w:val="0"/>
        <w:adjustRightInd w:val="0"/>
        <w:ind w:left="4320"/>
      </w:pPr>
      <w:r>
        <w:t>Telephone: Berger – (614) 466-1292</w:t>
      </w:r>
    </w:p>
    <w:p w14:paraId="45864AAC" w14:textId="060A8966" w:rsidR="00957146" w:rsidRDefault="00F70808" w:rsidP="00957146">
      <w:pPr>
        <w:ind w:left="4320"/>
      </w:pPr>
      <w:hyperlink r:id="rId8" w:history="1">
        <w:r w:rsidR="00D06183" w:rsidRPr="00666BAA">
          <w:rPr>
            <w:rStyle w:val="Hyperlink"/>
          </w:rPr>
          <w:t>berger@occ.state.oh.us</w:t>
        </w:r>
      </w:hyperlink>
    </w:p>
    <w:p w14:paraId="2FA06DA8" w14:textId="77777777" w:rsidR="00D06183" w:rsidRDefault="00D06183" w:rsidP="00957146">
      <w:pPr>
        <w:ind w:left="4320"/>
      </w:pPr>
    </w:p>
    <w:p w14:paraId="05AA1BB1" w14:textId="77777777" w:rsidR="002F5398" w:rsidRDefault="002F5398" w:rsidP="00957146">
      <w:pPr>
        <w:ind w:left="4320"/>
      </w:pPr>
    </w:p>
    <w:p w14:paraId="4BEB7536" w14:textId="77777777" w:rsidR="00957146" w:rsidRPr="00A75AE0" w:rsidRDefault="00957146" w:rsidP="00957146">
      <w:pPr>
        <w:ind w:left="4320"/>
      </w:pPr>
    </w:p>
    <w:p w14:paraId="22FC7275" w14:textId="77777777" w:rsidR="000264FC" w:rsidRDefault="000264FC">
      <w:pPr>
        <w:ind w:left="4320"/>
      </w:pPr>
    </w:p>
    <w:p w14:paraId="49BFC42D" w14:textId="77777777" w:rsidR="000B2FEC" w:rsidRPr="0019456D" w:rsidRDefault="000B2FEC">
      <w:pPr>
        <w:spacing w:line="480" w:lineRule="auto"/>
        <w:sectPr w:rsidR="000B2FEC" w:rsidRPr="0019456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sectPr>
      </w:pPr>
    </w:p>
    <w:p w14:paraId="5CD5CBBC" w14:textId="6935AA09" w:rsidR="00F52ACF" w:rsidRDefault="00861CC9">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14:paraId="10F5DFE3" w14:textId="77777777" w:rsidR="00861CC9" w:rsidRPr="00861CC9" w:rsidRDefault="00861CC9" w:rsidP="00861CC9">
      <w:pPr>
        <w:pStyle w:val="HTMLPreformatted"/>
        <w:jc w:val="right"/>
        <w:rPr>
          <w:rFonts w:ascii="Times New Roman" w:hAnsi="Times New Roman" w:cs="Times New Roman"/>
          <w:b/>
          <w:bCs/>
          <w:sz w:val="24"/>
          <w:szCs w:val="24"/>
          <w:u w:val="single"/>
        </w:rPr>
      </w:pPr>
      <w:r w:rsidRPr="00861CC9">
        <w:rPr>
          <w:rFonts w:ascii="Times New Roman" w:hAnsi="Times New Roman" w:cs="Times New Roman"/>
          <w:b/>
          <w:bCs/>
          <w:sz w:val="24"/>
          <w:szCs w:val="24"/>
          <w:u w:val="single"/>
        </w:rPr>
        <w:t>Page</w:t>
      </w:r>
    </w:p>
    <w:p w14:paraId="439AD338" w14:textId="77777777" w:rsidR="00861CC9" w:rsidRDefault="00861CC9" w:rsidP="00861CC9">
      <w:pPr>
        <w:pStyle w:val="HTMLPreformatted"/>
        <w:rPr>
          <w:rFonts w:ascii="Times New Roman" w:hAnsi="Times New Roman" w:cs="Times New Roman"/>
          <w:b/>
          <w:bCs/>
          <w:sz w:val="24"/>
          <w:szCs w:val="24"/>
        </w:rPr>
      </w:pPr>
    </w:p>
    <w:p w14:paraId="072C8FB8" w14:textId="77777777" w:rsidR="003577A9" w:rsidRDefault="00895B79">
      <w:pPr>
        <w:pStyle w:val="TOC1"/>
        <w:rPr>
          <w:rFonts w:asciiTheme="minorHAnsi" w:eastAsiaTheme="minorEastAsia" w:hAnsiTheme="minorHAnsi" w:cstheme="minorBidi"/>
          <w:caps w:val="0"/>
          <w:noProof/>
          <w:sz w:val="22"/>
          <w:szCs w:val="22"/>
        </w:rPr>
      </w:pPr>
      <w:r>
        <w:rPr>
          <w:b/>
          <w:bCs/>
        </w:rPr>
        <w:fldChar w:fldCharType="begin"/>
      </w:r>
      <w:r>
        <w:rPr>
          <w:b/>
          <w:bCs/>
        </w:rPr>
        <w:instrText xml:space="preserve"> TOC \o "1-3" \h \z \u </w:instrText>
      </w:r>
      <w:r>
        <w:rPr>
          <w:b/>
          <w:bCs/>
        </w:rPr>
        <w:fldChar w:fldCharType="separate"/>
      </w:r>
      <w:hyperlink w:anchor="_Toc369864174" w:history="1">
        <w:r w:rsidR="003577A9" w:rsidRPr="005E73EE">
          <w:rPr>
            <w:rStyle w:val="Hyperlink"/>
            <w:noProof/>
          </w:rPr>
          <w:t>I.</w:t>
        </w:r>
        <w:r w:rsidR="003577A9">
          <w:rPr>
            <w:rFonts w:asciiTheme="minorHAnsi" w:eastAsiaTheme="minorEastAsia" w:hAnsiTheme="minorHAnsi" w:cstheme="minorBidi"/>
            <w:caps w:val="0"/>
            <w:noProof/>
            <w:sz w:val="22"/>
            <w:szCs w:val="22"/>
          </w:rPr>
          <w:tab/>
        </w:r>
        <w:r w:rsidR="003577A9" w:rsidRPr="005E73EE">
          <w:rPr>
            <w:rStyle w:val="Hyperlink"/>
            <w:noProof/>
          </w:rPr>
          <w:t>INTRODUCTION</w:t>
        </w:r>
        <w:r w:rsidR="003577A9">
          <w:rPr>
            <w:noProof/>
            <w:webHidden/>
          </w:rPr>
          <w:tab/>
        </w:r>
        <w:r w:rsidR="003577A9">
          <w:rPr>
            <w:noProof/>
            <w:webHidden/>
          </w:rPr>
          <w:fldChar w:fldCharType="begin"/>
        </w:r>
        <w:r w:rsidR="003577A9">
          <w:rPr>
            <w:noProof/>
            <w:webHidden/>
          </w:rPr>
          <w:instrText xml:space="preserve"> PAGEREF _Toc369864174 \h </w:instrText>
        </w:r>
        <w:r w:rsidR="003577A9">
          <w:rPr>
            <w:noProof/>
            <w:webHidden/>
          </w:rPr>
        </w:r>
        <w:r w:rsidR="003577A9">
          <w:rPr>
            <w:noProof/>
            <w:webHidden/>
          </w:rPr>
          <w:fldChar w:fldCharType="separate"/>
        </w:r>
        <w:r w:rsidR="008A6ADF">
          <w:rPr>
            <w:noProof/>
            <w:webHidden/>
          </w:rPr>
          <w:t>1</w:t>
        </w:r>
        <w:r w:rsidR="003577A9">
          <w:rPr>
            <w:noProof/>
            <w:webHidden/>
          </w:rPr>
          <w:fldChar w:fldCharType="end"/>
        </w:r>
      </w:hyperlink>
    </w:p>
    <w:p w14:paraId="53922E14" w14:textId="77777777" w:rsidR="003577A9" w:rsidRDefault="00F70808">
      <w:pPr>
        <w:pStyle w:val="TOC1"/>
        <w:rPr>
          <w:rFonts w:asciiTheme="minorHAnsi" w:eastAsiaTheme="minorEastAsia" w:hAnsiTheme="minorHAnsi" w:cstheme="minorBidi"/>
          <w:caps w:val="0"/>
          <w:noProof/>
          <w:sz w:val="22"/>
          <w:szCs w:val="22"/>
        </w:rPr>
      </w:pPr>
      <w:hyperlink w:anchor="_Toc369864175" w:history="1">
        <w:r w:rsidR="003577A9" w:rsidRPr="005E73EE">
          <w:rPr>
            <w:rStyle w:val="Hyperlink"/>
            <w:noProof/>
          </w:rPr>
          <w:t>II.</w:t>
        </w:r>
        <w:r w:rsidR="003577A9">
          <w:rPr>
            <w:rFonts w:asciiTheme="minorHAnsi" w:eastAsiaTheme="minorEastAsia" w:hAnsiTheme="minorHAnsi" w:cstheme="minorBidi"/>
            <w:caps w:val="0"/>
            <w:noProof/>
            <w:sz w:val="22"/>
            <w:szCs w:val="22"/>
          </w:rPr>
          <w:tab/>
        </w:r>
        <w:r w:rsidR="003577A9" w:rsidRPr="005E73EE">
          <w:rPr>
            <w:rStyle w:val="Hyperlink"/>
            <w:noProof/>
          </w:rPr>
          <w:t>ARGUMENT</w:t>
        </w:r>
        <w:r w:rsidR="003577A9">
          <w:rPr>
            <w:noProof/>
            <w:webHidden/>
          </w:rPr>
          <w:tab/>
        </w:r>
        <w:r w:rsidR="003577A9">
          <w:rPr>
            <w:noProof/>
            <w:webHidden/>
          </w:rPr>
          <w:fldChar w:fldCharType="begin"/>
        </w:r>
        <w:r w:rsidR="003577A9">
          <w:rPr>
            <w:noProof/>
            <w:webHidden/>
          </w:rPr>
          <w:instrText xml:space="preserve"> PAGEREF _Toc369864175 \h </w:instrText>
        </w:r>
        <w:r w:rsidR="003577A9">
          <w:rPr>
            <w:noProof/>
            <w:webHidden/>
          </w:rPr>
        </w:r>
        <w:r w:rsidR="003577A9">
          <w:rPr>
            <w:noProof/>
            <w:webHidden/>
          </w:rPr>
          <w:fldChar w:fldCharType="separate"/>
        </w:r>
        <w:r w:rsidR="008A6ADF">
          <w:rPr>
            <w:noProof/>
            <w:webHidden/>
          </w:rPr>
          <w:t>2</w:t>
        </w:r>
        <w:r w:rsidR="003577A9">
          <w:rPr>
            <w:noProof/>
            <w:webHidden/>
          </w:rPr>
          <w:fldChar w:fldCharType="end"/>
        </w:r>
      </w:hyperlink>
    </w:p>
    <w:p w14:paraId="29FEA3DD" w14:textId="77777777" w:rsidR="003577A9" w:rsidRDefault="00F70808">
      <w:pPr>
        <w:pStyle w:val="TOC2"/>
        <w:tabs>
          <w:tab w:val="left" w:pos="1440"/>
        </w:tabs>
        <w:rPr>
          <w:rFonts w:asciiTheme="minorHAnsi" w:eastAsiaTheme="minorEastAsia" w:hAnsiTheme="minorHAnsi" w:cstheme="minorBidi"/>
          <w:noProof/>
          <w:sz w:val="22"/>
          <w:szCs w:val="22"/>
        </w:rPr>
      </w:pPr>
      <w:hyperlink w:anchor="_Toc369864176" w:history="1">
        <w:r w:rsidR="003577A9" w:rsidRPr="005E73EE">
          <w:rPr>
            <w:rStyle w:val="Hyperlink"/>
            <w:noProof/>
          </w:rPr>
          <w:t>A.</w:t>
        </w:r>
        <w:r w:rsidR="003577A9">
          <w:rPr>
            <w:rFonts w:asciiTheme="minorHAnsi" w:eastAsiaTheme="minorEastAsia" w:hAnsiTheme="minorHAnsi" w:cstheme="minorBidi"/>
            <w:noProof/>
            <w:sz w:val="22"/>
            <w:szCs w:val="22"/>
          </w:rPr>
          <w:tab/>
        </w:r>
        <w:r w:rsidR="003577A9" w:rsidRPr="005E73EE">
          <w:rPr>
            <w:rStyle w:val="Hyperlink"/>
            <w:noProof/>
          </w:rPr>
          <w:t>Standard Of Review</w:t>
        </w:r>
        <w:r w:rsidR="003577A9">
          <w:rPr>
            <w:noProof/>
            <w:webHidden/>
          </w:rPr>
          <w:tab/>
        </w:r>
        <w:r w:rsidR="003577A9">
          <w:rPr>
            <w:noProof/>
            <w:webHidden/>
          </w:rPr>
          <w:fldChar w:fldCharType="begin"/>
        </w:r>
        <w:r w:rsidR="003577A9">
          <w:rPr>
            <w:noProof/>
            <w:webHidden/>
          </w:rPr>
          <w:instrText xml:space="preserve"> PAGEREF _Toc369864176 \h </w:instrText>
        </w:r>
        <w:r w:rsidR="003577A9">
          <w:rPr>
            <w:noProof/>
            <w:webHidden/>
          </w:rPr>
        </w:r>
        <w:r w:rsidR="003577A9">
          <w:rPr>
            <w:noProof/>
            <w:webHidden/>
          </w:rPr>
          <w:fldChar w:fldCharType="separate"/>
        </w:r>
        <w:r w:rsidR="008A6ADF">
          <w:rPr>
            <w:noProof/>
            <w:webHidden/>
          </w:rPr>
          <w:t>2</w:t>
        </w:r>
        <w:r w:rsidR="003577A9">
          <w:rPr>
            <w:noProof/>
            <w:webHidden/>
          </w:rPr>
          <w:fldChar w:fldCharType="end"/>
        </w:r>
      </w:hyperlink>
    </w:p>
    <w:p w14:paraId="28E10CA9" w14:textId="77777777" w:rsidR="003577A9" w:rsidRDefault="00F70808">
      <w:pPr>
        <w:pStyle w:val="TOC2"/>
        <w:tabs>
          <w:tab w:val="left" w:pos="1440"/>
        </w:tabs>
        <w:rPr>
          <w:rFonts w:asciiTheme="minorHAnsi" w:eastAsiaTheme="minorEastAsia" w:hAnsiTheme="minorHAnsi" w:cstheme="minorBidi"/>
          <w:noProof/>
          <w:sz w:val="22"/>
          <w:szCs w:val="22"/>
        </w:rPr>
      </w:pPr>
      <w:hyperlink w:anchor="_Toc369864177" w:history="1">
        <w:r w:rsidR="003577A9" w:rsidRPr="005E73EE">
          <w:rPr>
            <w:rStyle w:val="Hyperlink"/>
            <w:noProof/>
          </w:rPr>
          <w:t>B.</w:t>
        </w:r>
        <w:r w:rsidR="003577A9">
          <w:rPr>
            <w:rFonts w:asciiTheme="minorHAnsi" w:eastAsiaTheme="minorEastAsia" w:hAnsiTheme="minorHAnsi" w:cstheme="minorBidi"/>
            <w:noProof/>
            <w:sz w:val="22"/>
            <w:szCs w:val="22"/>
          </w:rPr>
          <w:tab/>
        </w:r>
        <w:r w:rsidR="003577A9" w:rsidRPr="005E73EE">
          <w:rPr>
            <w:rStyle w:val="Hyperlink"/>
            <w:noProof/>
          </w:rPr>
          <w:t>Good Cause Exists For Granting OCC’s Motions Because Of The Need To Continue Case Preparation Based On The Discovery This Week, During Depositions, That OPC Has Been Denying Its Customers A Credit For Off-Setting Revenues In Transmission-Related Rates, Even Though Such Crediting Is Required By O.A.C. 4901:1-36-04(C).</w:t>
        </w:r>
        <w:r w:rsidR="003577A9">
          <w:rPr>
            <w:noProof/>
            <w:webHidden/>
          </w:rPr>
          <w:tab/>
        </w:r>
        <w:r w:rsidR="003577A9">
          <w:rPr>
            <w:noProof/>
            <w:webHidden/>
          </w:rPr>
          <w:fldChar w:fldCharType="begin"/>
        </w:r>
        <w:r w:rsidR="003577A9">
          <w:rPr>
            <w:noProof/>
            <w:webHidden/>
          </w:rPr>
          <w:instrText xml:space="preserve"> PAGEREF _Toc369864177 \h </w:instrText>
        </w:r>
        <w:r w:rsidR="003577A9">
          <w:rPr>
            <w:noProof/>
            <w:webHidden/>
          </w:rPr>
        </w:r>
        <w:r w:rsidR="003577A9">
          <w:rPr>
            <w:noProof/>
            <w:webHidden/>
          </w:rPr>
          <w:fldChar w:fldCharType="separate"/>
        </w:r>
        <w:r w:rsidR="008A6ADF">
          <w:rPr>
            <w:noProof/>
            <w:webHidden/>
          </w:rPr>
          <w:t>3</w:t>
        </w:r>
        <w:r w:rsidR="003577A9">
          <w:rPr>
            <w:noProof/>
            <w:webHidden/>
          </w:rPr>
          <w:fldChar w:fldCharType="end"/>
        </w:r>
      </w:hyperlink>
    </w:p>
    <w:p w14:paraId="5CAF6BC9" w14:textId="77777777" w:rsidR="003577A9" w:rsidRDefault="00F70808">
      <w:pPr>
        <w:pStyle w:val="TOC1"/>
        <w:rPr>
          <w:rFonts w:asciiTheme="minorHAnsi" w:eastAsiaTheme="minorEastAsia" w:hAnsiTheme="minorHAnsi" w:cstheme="minorBidi"/>
          <w:caps w:val="0"/>
          <w:noProof/>
          <w:sz w:val="22"/>
          <w:szCs w:val="22"/>
        </w:rPr>
      </w:pPr>
      <w:hyperlink w:anchor="_Toc369864178" w:history="1">
        <w:r w:rsidR="003577A9" w:rsidRPr="005E73EE">
          <w:rPr>
            <w:rStyle w:val="Hyperlink"/>
            <w:noProof/>
          </w:rPr>
          <w:t>III.</w:t>
        </w:r>
        <w:r w:rsidR="003577A9">
          <w:rPr>
            <w:rFonts w:asciiTheme="minorHAnsi" w:eastAsiaTheme="minorEastAsia" w:hAnsiTheme="minorHAnsi" w:cstheme="minorBidi"/>
            <w:caps w:val="0"/>
            <w:noProof/>
            <w:sz w:val="22"/>
            <w:szCs w:val="22"/>
          </w:rPr>
          <w:tab/>
        </w:r>
        <w:r w:rsidR="003577A9" w:rsidRPr="005E73EE">
          <w:rPr>
            <w:rStyle w:val="Hyperlink"/>
            <w:noProof/>
          </w:rPr>
          <w:t>conclusion</w:t>
        </w:r>
        <w:r w:rsidR="003577A9">
          <w:rPr>
            <w:noProof/>
            <w:webHidden/>
          </w:rPr>
          <w:tab/>
        </w:r>
        <w:r w:rsidR="003577A9">
          <w:rPr>
            <w:noProof/>
            <w:webHidden/>
          </w:rPr>
          <w:fldChar w:fldCharType="begin"/>
        </w:r>
        <w:r w:rsidR="003577A9">
          <w:rPr>
            <w:noProof/>
            <w:webHidden/>
          </w:rPr>
          <w:instrText xml:space="preserve"> PAGEREF _Toc369864178 \h </w:instrText>
        </w:r>
        <w:r w:rsidR="003577A9">
          <w:rPr>
            <w:noProof/>
            <w:webHidden/>
          </w:rPr>
        </w:r>
        <w:r w:rsidR="003577A9">
          <w:rPr>
            <w:noProof/>
            <w:webHidden/>
          </w:rPr>
          <w:fldChar w:fldCharType="separate"/>
        </w:r>
        <w:r w:rsidR="008A6ADF">
          <w:rPr>
            <w:noProof/>
            <w:webHidden/>
          </w:rPr>
          <w:t>6</w:t>
        </w:r>
        <w:r w:rsidR="003577A9">
          <w:rPr>
            <w:noProof/>
            <w:webHidden/>
          </w:rPr>
          <w:fldChar w:fldCharType="end"/>
        </w:r>
      </w:hyperlink>
    </w:p>
    <w:p w14:paraId="6F4B4BD2" w14:textId="77777777" w:rsidR="00861CC9" w:rsidRDefault="00895B79" w:rsidP="00895B79">
      <w:pPr>
        <w:pStyle w:val="HTMLPreformatted"/>
        <w:tabs>
          <w:tab w:val="decimal" w:leader="dot" w:pos="8640"/>
        </w:tabs>
        <w:ind w:right="720"/>
        <w:rPr>
          <w:rFonts w:ascii="Times New Roman" w:hAnsi="Times New Roman" w:cs="Times New Roman"/>
          <w:b/>
          <w:bCs/>
          <w:sz w:val="24"/>
          <w:szCs w:val="24"/>
        </w:rPr>
      </w:pPr>
      <w:r>
        <w:rPr>
          <w:rFonts w:ascii="Times New Roman" w:hAnsi="Times New Roman" w:cs="Times New Roman"/>
          <w:b/>
          <w:bCs/>
          <w:sz w:val="24"/>
          <w:szCs w:val="24"/>
        </w:rPr>
        <w:fldChar w:fldCharType="end"/>
      </w:r>
    </w:p>
    <w:p w14:paraId="36A8BD56" w14:textId="77777777" w:rsidR="00861CC9" w:rsidRDefault="00861CC9">
      <w:pPr>
        <w:pStyle w:val="HTMLPreformatted"/>
        <w:jc w:val="center"/>
        <w:rPr>
          <w:rFonts w:ascii="Times New Roman" w:hAnsi="Times New Roman" w:cs="Times New Roman"/>
          <w:b/>
          <w:bCs/>
          <w:sz w:val="24"/>
          <w:szCs w:val="24"/>
        </w:rPr>
      </w:pPr>
    </w:p>
    <w:p w14:paraId="02746470" w14:textId="77777777" w:rsidR="00861CC9" w:rsidRDefault="00861CC9">
      <w:pPr>
        <w:pStyle w:val="HTMLPreformatted"/>
        <w:jc w:val="center"/>
        <w:rPr>
          <w:rFonts w:ascii="Times New Roman" w:hAnsi="Times New Roman" w:cs="Times New Roman"/>
          <w:b/>
          <w:bCs/>
          <w:sz w:val="24"/>
          <w:szCs w:val="24"/>
        </w:rPr>
      </w:pPr>
    </w:p>
    <w:p w14:paraId="463DC825" w14:textId="77777777" w:rsidR="00861CC9" w:rsidRDefault="00861CC9">
      <w:pPr>
        <w:pStyle w:val="HTMLPreformatted"/>
        <w:jc w:val="center"/>
        <w:rPr>
          <w:rFonts w:ascii="Times New Roman" w:hAnsi="Times New Roman" w:cs="Times New Roman"/>
          <w:b/>
          <w:bCs/>
          <w:sz w:val="24"/>
          <w:szCs w:val="24"/>
        </w:rPr>
      </w:pPr>
    </w:p>
    <w:p w14:paraId="4B341AC5" w14:textId="77777777" w:rsidR="00861CC9" w:rsidRDefault="00861CC9">
      <w:pPr>
        <w:pStyle w:val="HTMLPreformatted"/>
        <w:jc w:val="center"/>
        <w:rPr>
          <w:rFonts w:ascii="Times New Roman" w:hAnsi="Times New Roman" w:cs="Times New Roman"/>
          <w:b/>
          <w:bCs/>
          <w:sz w:val="24"/>
          <w:szCs w:val="24"/>
        </w:rPr>
      </w:pPr>
    </w:p>
    <w:p w14:paraId="28F3D48E" w14:textId="77777777" w:rsidR="00861CC9" w:rsidRDefault="00861CC9">
      <w:pPr>
        <w:pStyle w:val="HTMLPreformatted"/>
        <w:jc w:val="center"/>
        <w:rPr>
          <w:rFonts w:ascii="Times New Roman" w:hAnsi="Times New Roman" w:cs="Times New Roman"/>
          <w:b/>
          <w:bCs/>
          <w:sz w:val="24"/>
          <w:szCs w:val="24"/>
        </w:rPr>
        <w:sectPr w:rsidR="00861CC9" w:rsidSect="00F52ACF">
          <w:headerReference w:type="even" r:id="rId15"/>
          <w:headerReference w:type="default" r:id="rId16"/>
          <w:footerReference w:type="default" r:id="rId17"/>
          <w:headerReference w:type="first" r:id="rId18"/>
          <w:footerReference w:type="first" r:id="rId19"/>
          <w:pgSz w:w="12240" w:h="15840"/>
          <w:pgMar w:top="1440" w:right="1800" w:bottom="1440" w:left="1800" w:header="720" w:footer="720" w:gutter="0"/>
          <w:pgNumType w:fmt="lowerRoman" w:start="1"/>
          <w:cols w:space="720"/>
          <w:docGrid w:linePitch="326"/>
        </w:sectPr>
      </w:pPr>
    </w:p>
    <w:p w14:paraId="2D2E0F06" w14:textId="77777777" w:rsidR="000B2FEC" w:rsidRPr="0019456D" w:rsidRDefault="000B2FEC">
      <w:pPr>
        <w:pStyle w:val="HTMLPreformatted"/>
        <w:jc w:val="center"/>
        <w:rPr>
          <w:rFonts w:ascii="Times New Roman" w:hAnsi="Times New Roman" w:cs="Times New Roman"/>
          <w:b/>
          <w:bCs/>
          <w:sz w:val="24"/>
          <w:szCs w:val="24"/>
        </w:rPr>
      </w:pPr>
      <w:r w:rsidRPr="0019456D">
        <w:rPr>
          <w:rFonts w:ascii="Times New Roman" w:hAnsi="Times New Roman" w:cs="Times New Roman"/>
          <w:b/>
          <w:bCs/>
          <w:sz w:val="24"/>
          <w:szCs w:val="24"/>
        </w:rPr>
        <w:t>BEFORE</w:t>
      </w:r>
    </w:p>
    <w:p w14:paraId="5B031EF0" w14:textId="77777777" w:rsidR="000B2FEC" w:rsidRPr="0019456D" w:rsidRDefault="000B2FEC">
      <w:pPr>
        <w:pStyle w:val="HTMLPreformatted"/>
        <w:jc w:val="center"/>
        <w:rPr>
          <w:rFonts w:ascii="Times New Roman" w:hAnsi="Times New Roman" w:cs="Times New Roman"/>
          <w:sz w:val="24"/>
          <w:szCs w:val="24"/>
        </w:rPr>
      </w:pPr>
      <w:r w:rsidRPr="0019456D">
        <w:rPr>
          <w:rFonts w:ascii="Times New Roman" w:hAnsi="Times New Roman" w:cs="Times New Roman"/>
          <w:b/>
          <w:bCs/>
          <w:sz w:val="24"/>
          <w:szCs w:val="24"/>
        </w:rPr>
        <w:t>THE PUBLIC UTILITIES COMMISSION OF OHIO</w:t>
      </w:r>
    </w:p>
    <w:p w14:paraId="21C6BB26" w14:textId="77777777" w:rsidR="00957146" w:rsidRDefault="00957146" w:rsidP="00957146"/>
    <w:tbl>
      <w:tblPr>
        <w:tblW w:w="9092" w:type="dxa"/>
        <w:jc w:val="center"/>
        <w:tblLook w:val="01E0" w:firstRow="1" w:lastRow="1" w:firstColumn="1" w:lastColumn="1" w:noHBand="0" w:noVBand="0"/>
      </w:tblPr>
      <w:tblGrid>
        <w:gridCol w:w="4332"/>
        <w:gridCol w:w="360"/>
        <w:gridCol w:w="4400"/>
      </w:tblGrid>
      <w:tr w:rsidR="00CB08EA" w14:paraId="6B24E133" w14:textId="77777777">
        <w:trPr>
          <w:trHeight w:val="807"/>
          <w:jc w:val="center"/>
        </w:trPr>
        <w:tc>
          <w:tcPr>
            <w:tcW w:w="4332" w:type="dxa"/>
          </w:tcPr>
          <w:p w14:paraId="6006721A" w14:textId="77777777" w:rsidR="00CB08EA" w:rsidRDefault="00CB08EA">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Ohio Power Company to Update its Transmission Cost Recovery Rider Rates. </w:t>
            </w:r>
          </w:p>
        </w:tc>
        <w:tc>
          <w:tcPr>
            <w:tcW w:w="360" w:type="dxa"/>
          </w:tcPr>
          <w:p w14:paraId="72542C5B" w14:textId="77777777" w:rsidR="00CB08EA" w:rsidRDefault="00CB08EA">
            <w:pPr>
              <w:pStyle w:val="HTMLPreformatted"/>
              <w:rPr>
                <w:rFonts w:ascii="Times New Roman" w:hAnsi="Times New Roman"/>
                <w:sz w:val="24"/>
              </w:rPr>
            </w:pPr>
            <w:r>
              <w:rPr>
                <w:rFonts w:ascii="Times New Roman" w:hAnsi="Times New Roman"/>
                <w:sz w:val="24"/>
              </w:rPr>
              <w:t>)</w:t>
            </w:r>
          </w:p>
          <w:p w14:paraId="223681E4" w14:textId="77777777" w:rsidR="00CB08EA" w:rsidRDefault="00CB08EA">
            <w:pPr>
              <w:pStyle w:val="HTMLPreformatted"/>
              <w:rPr>
                <w:rFonts w:ascii="Times New Roman" w:hAnsi="Times New Roman"/>
                <w:sz w:val="24"/>
              </w:rPr>
            </w:pPr>
            <w:r>
              <w:rPr>
                <w:rFonts w:ascii="Times New Roman" w:hAnsi="Times New Roman"/>
                <w:sz w:val="24"/>
              </w:rPr>
              <w:t>)</w:t>
            </w:r>
          </w:p>
          <w:p w14:paraId="4C79CA36" w14:textId="5B444B76" w:rsidR="00CB08EA" w:rsidRDefault="00CB08EA">
            <w:pPr>
              <w:pStyle w:val="HTMLPreformatted"/>
              <w:rPr>
                <w:rFonts w:ascii="Times New Roman" w:hAnsi="Times New Roman"/>
                <w:sz w:val="24"/>
              </w:rPr>
            </w:pPr>
            <w:r>
              <w:rPr>
                <w:rFonts w:ascii="Times New Roman" w:hAnsi="Times New Roman"/>
                <w:sz w:val="24"/>
              </w:rPr>
              <w:t>)</w:t>
            </w:r>
          </w:p>
          <w:p w14:paraId="774F4A50" w14:textId="77777777" w:rsidR="00CB08EA" w:rsidRDefault="00CB08EA">
            <w:pPr>
              <w:pStyle w:val="HTMLPreformatted"/>
              <w:rPr>
                <w:rFonts w:ascii="Times New Roman" w:hAnsi="Times New Roman"/>
                <w:sz w:val="24"/>
              </w:rPr>
            </w:pPr>
          </w:p>
        </w:tc>
        <w:tc>
          <w:tcPr>
            <w:tcW w:w="4400" w:type="dxa"/>
          </w:tcPr>
          <w:p w14:paraId="37E2D0F4" w14:textId="77777777" w:rsidR="00CB08EA" w:rsidRDefault="00CB08EA">
            <w:pPr>
              <w:pStyle w:val="HTMLPreformatted"/>
              <w:rPr>
                <w:rFonts w:ascii="Times New Roman" w:hAnsi="Times New Roman"/>
                <w:sz w:val="24"/>
              </w:rPr>
            </w:pPr>
          </w:p>
          <w:p w14:paraId="1376FE14" w14:textId="77777777" w:rsidR="00CB08EA" w:rsidRDefault="00CB08EA">
            <w:pPr>
              <w:pStyle w:val="HTMLPreformatted"/>
              <w:rPr>
                <w:rFonts w:ascii="Times New Roman" w:hAnsi="Times New Roman"/>
                <w:sz w:val="24"/>
              </w:rPr>
            </w:pPr>
            <w:r>
              <w:rPr>
                <w:rFonts w:ascii="Times New Roman" w:hAnsi="Times New Roman"/>
                <w:sz w:val="24"/>
              </w:rPr>
              <w:t>Case No. 13-1406-EL-RDR</w:t>
            </w:r>
          </w:p>
          <w:p w14:paraId="56FE0C26" w14:textId="77777777" w:rsidR="00CB08EA" w:rsidRDefault="00CB08EA">
            <w:pPr>
              <w:pStyle w:val="HTMLPreformatted"/>
              <w:rPr>
                <w:rFonts w:ascii="Times New Roman" w:hAnsi="Times New Roman"/>
                <w:sz w:val="24"/>
              </w:rPr>
            </w:pPr>
          </w:p>
        </w:tc>
      </w:tr>
    </w:tbl>
    <w:p w14:paraId="00E041BD" w14:textId="77777777" w:rsidR="000B2FEC" w:rsidRPr="0019456D" w:rsidRDefault="000B2FEC">
      <w:pPr>
        <w:pBdr>
          <w:top w:val="single" w:sz="12" w:space="1" w:color="auto"/>
        </w:pBdr>
        <w:tabs>
          <w:tab w:val="left" w:pos="-720"/>
        </w:tabs>
        <w:suppressAutoHyphens/>
        <w:jc w:val="center"/>
        <w:rPr>
          <w:b/>
          <w:spacing w:val="-3"/>
        </w:rPr>
      </w:pPr>
    </w:p>
    <w:p w14:paraId="3646ABD4" w14:textId="77777777" w:rsidR="00D41D4C" w:rsidRDefault="00D41D4C" w:rsidP="00D41D4C">
      <w:pPr>
        <w:pBdr>
          <w:top w:val="single" w:sz="12" w:space="1" w:color="auto"/>
        </w:pBdr>
        <w:tabs>
          <w:tab w:val="left" w:pos="-720"/>
        </w:tabs>
        <w:suppressAutoHyphens/>
        <w:jc w:val="center"/>
        <w:rPr>
          <w:b/>
        </w:rPr>
      </w:pPr>
      <w:r w:rsidRPr="0019456D">
        <w:rPr>
          <w:b/>
        </w:rPr>
        <w:t>M</w:t>
      </w:r>
      <w:r w:rsidR="00FF16C1">
        <w:rPr>
          <w:b/>
        </w:rPr>
        <w:t>EMORANDUM IN SUPPORT</w:t>
      </w:r>
    </w:p>
    <w:p w14:paraId="503AB863" w14:textId="77777777" w:rsidR="00D41D4C" w:rsidRPr="0019456D" w:rsidRDefault="00D41D4C" w:rsidP="00D41D4C">
      <w:pPr>
        <w:pBdr>
          <w:top w:val="single" w:sz="12" w:space="1" w:color="auto"/>
        </w:pBdr>
        <w:tabs>
          <w:tab w:val="left" w:pos="-720"/>
        </w:tabs>
        <w:suppressAutoHyphens/>
        <w:jc w:val="center"/>
        <w:rPr>
          <w:b/>
        </w:rPr>
      </w:pPr>
      <w:r>
        <w:rPr>
          <w:b/>
        </w:rPr>
        <w:t>BY</w:t>
      </w:r>
    </w:p>
    <w:p w14:paraId="77C08122" w14:textId="77777777" w:rsidR="00D41D4C" w:rsidRPr="0019456D" w:rsidRDefault="00D41D4C" w:rsidP="00D41D4C">
      <w:pPr>
        <w:jc w:val="center"/>
        <w:rPr>
          <w:b/>
        </w:rPr>
      </w:pPr>
      <w:r w:rsidRPr="0019456D">
        <w:rPr>
          <w:b/>
        </w:rPr>
        <w:t>THE OFFICE OF THE OHIO CONSUMERS</w:t>
      </w:r>
      <w:r w:rsidR="00895B79">
        <w:rPr>
          <w:b/>
        </w:rPr>
        <w:t>’</w:t>
      </w:r>
      <w:r w:rsidRPr="0019456D">
        <w:rPr>
          <w:b/>
        </w:rPr>
        <w:t xml:space="preserve"> COUNSEL</w:t>
      </w:r>
    </w:p>
    <w:p w14:paraId="2F26E705" w14:textId="77777777" w:rsidR="000B2FEC" w:rsidRPr="0019456D" w:rsidRDefault="000B2FEC">
      <w:pPr>
        <w:pBdr>
          <w:bottom w:val="single" w:sz="12" w:space="1" w:color="auto"/>
        </w:pBdr>
        <w:tabs>
          <w:tab w:val="left" w:pos="-720"/>
        </w:tabs>
        <w:suppressAutoHyphens/>
        <w:jc w:val="center"/>
        <w:rPr>
          <w:b/>
          <w:spacing w:val="-3"/>
        </w:rPr>
      </w:pPr>
    </w:p>
    <w:p w14:paraId="0279736D" w14:textId="77777777" w:rsidR="000B2FEC" w:rsidRPr="0019456D" w:rsidRDefault="000B2FEC">
      <w:pPr>
        <w:tabs>
          <w:tab w:val="left" w:pos="-720"/>
        </w:tabs>
        <w:suppressAutoHyphens/>
        <w:jc w:val="both"/>
        <w:rPr>
          <w:bCs/>
          <w:spacing w:val="-3"/>
        </w:rPr>
      </w:pPr>
    </w:p>
    <w:p w14:paraId="084DD074" w14:textId="77777777" w:rsidR="000B2FEC" w:rsidRPr="0019456D" w:rsidRDefault="000B2FEC" w:rsidP="007343F2">
      <w:pPr>
        <w:pStyle w:val="Heading1"/>
      </w:pPr>
      <w:bookmarkStart w:id="1" w:name="_Toc348599888"/>
      <w:bookmarkStart w:id="2" w:name="_Toc360025398"/>
      <w:bookmarkStart w:id="3" w:name="_Toc369864174"/>
      <w:r w:rsidRPr="0019456D">
        <w:t>I.</w:t>
      </w:r>
      <w:r w:rsidRPr="0019456D">
        <w:tab/>
        <w:t>INTRODUCTION</w:t>
      </w:r>
      <w:bookmarkEnd w:id="1"/>
      <w:bookmarkEnd w:id="2"/>
      <w:bookmarkEnd w:id="3"/>
    </w:p>
    <w:p w14:paraId="4065A7B1" w14:textId="77777777" w:rsidR="0075308B" w:rsidRDefault="002D7A1D" w:rsidP="002D7A1D">
      <w:pPr>
        <w:spacing w:line="480" w:lineRule="auto"/>
        <w:ind w:firstLine="720"/>
      </w:pPr>
      <w:r>
        <w:t>On June 17, 2013, Ohio Power Company (“OPC,” “AEP Ohio,” or “Utility”) filed its annual TCRR update</w:t>
      </w:r>
      <w:r w:rsidR="000874B0">
        <w:t xml:space="preserve"> for charging transmission costs to its customers</w:t>
      </w:r>
      <w:r>
        <w:t xml:space="preserve">.  As part of its annual TCRR update, OPC </w:t>
      </w:r>
      <w:r w:rsidRPr="009E44D8">
        <w:t>claim</w:t>
      </w:r>
      <w:r>
        <w:t>ed</w:t>
      </w:r>
      <w:r w:rsidRPr="009E44D8">
        <w:t xml:space="preserve"> that it incurred $23 million in PJM Reactive Supply charges from July 2011 through March 2013 but, because of an </w:t>
      </w:r>
      <w:r>
        <w:t>“inadvertent” omission</w:t>
      </w:r>
      <w:r w:rsidRPr="009E44D8">
        <w:t>, didn’t include them in its Transmission Cost Recovery Rider (“TCRR”).</w:t>
      </w:r>
      <w:r w:rsidR="00CB08EA">
        <w:t xml:space="preserve">  </w:t>
      </w:r>
    </w:p>
    <w:p w14:paraId="0276D264" w14:textId="77777777" w:rsidR="0075308B" w:rsidRDefault="00CB08EA" w:rsidP="002D7A1D">
      <w:pPr>
        <w:spacing w:line="480" w:lineRule="auto"/>
        <w:ind w:firstLine="720"/>
      </w:pPr>
      <w:r>
        <w:t xml:space="preserve">But </w:t>
      </w:r>
      <w:r w:rsidR="00810C1C">
        <w:t xml:space="preserve">AEP’s </w:t>
      </w:r>
      <w:r>
        <w:t xml:space="preserve">$23 million “inadvertent omission” </w:t>
      </w:r>
      <w:r w:rsidR="00810C1C">
        <w:t>in fact resulted from an accounting procedure that had offset $</w:t>
      </w:r>
      <w:r w:rsidR="00810C1C" w:rsidRPr="00810C1C">
        <w:t>25</w:t>
      </w:r>
      <w:r w:rsidR="00810C1C">
        <w:t>,</w:t>
      </w:r>
      <w:r w:rsidR="00810C1C" w:rsidRPr="00810C1C">
        <w:t>765</w:t>
      </w:r>
      <w:r w:rsidR="00810C1C">
        <w:t>,</w:t>
      </w:r>
      <w:r w:rsidR="00810C1C" w:rsidRPr="00810C1C">
        <w:t>390.55</w:t>
      </w:r>
      <w:r w:rsidR="00810C1C">
        <w:t xml:space="preserve"> in PJM Reactive Supply Credits against</w:t>
      </w:r>
      <w:r w:rsidR="002365AA">
        <w:t xml:space="preserve"> $23,852,413.06 in PJM Reactive Supply </w:t>
      </w:r>
      <w:r w:rsidR="00FB4408">
        <w:t>charges</w:t>
      </w:r>
      <w:r w:rsidR="002365AA">
        <w:t xml:space="preserve">.  This produced a net credit and when there was a net credit, AEP’s accounting system canceled out the charges (Account 5550074) </w:t>
      </w:r>
      <w:r w:rsidR="00FB4408">
        <w:t xml:space="preserve">and credits (Account 5550075) </w:t>
      </w:r>
      <w:r w:rsidR="002365AA">
        <w:t>and recorded the net amount as a revenue (Account 4470098)</w:t>
      </w:r>
      <w:r w:rsidR="00217A43">
        <w:t xml:space="preserve">.  The result was that neither charges, credits, or net credit </w:t>
      </w:r>
      <w:r w:rsidR="00483869">
        <w:t>was reflected in the TCRR</w:t>
      </w:r>
      <w:r w:rsidR="002365AA">
        <w:t>.  AEP’</w:t>
      </w:r>
      <w:r w:rsidR="001F0547">
        <w:t>s</w:t>
      </w:r>
      <w:r w:rsidR="002365AA">
        <w:t xml:space="preserve"> claim in this case is that its accounting procedure should not have canceled out the charges where there was a net credit.  </w:t>
      </w:r>
    </w:p>
    <w:p w14:paraId="2C4299EE" w14:textId="2371FA41" w:rsidR="00CB08EA" w:rsidRDefault="002365AA" w:rsidP="002D7A1D">
      <w:pPr>
        <w:spacing w:line="480" w:lineRule="auto"/>
        <w:ind w:firstLine="720"/>
      </w:pPr>
      <w:r>
        <w:t xml:space="preserve">As discovered in depositions on October 16, 2013, </w:t>
      </w:r>
      <w:r w:rsidR="001F0547">
        <w:t xml:space="preserve">except for the period of its “inadvertent omission,” </w:t>
      </w:r>
      <w:r>
        <w:t>AEP</w:t>
      </w:r>
      <w:r w:rsidR="001F0547">
        <w:t xml:space="preserve"> has not netted PJM Reactive Supply credits against PJM Reactive Supply charges since 2006.  But </w:t>
      </w:r>
      <w:r w:rsidR="00CB08EA">
        <w:t xml:space="preserve">the PUCO’s regulations require </w:t>
      </w:r>
      <w:r w:rsidR="00483869">
        <w:t>“</w:t>
      </w:r>
      <w:r w:rsidR="00866148">
        <w:t>off-setting revenues, including ancillary . . . revenues . . . credited to the utility” to be included in the transmission cost recovery rider</w:t>
      </w:r>
      <w:r w:rsidR="00CB08EA">
        <w:t>.</w:t>
      </w:r>
      <w:r w:rsidR="00AD6572">
        <w:rPr>
          <w:rStyle w:val="FootnoteReference"/>
        </w:rPr>
        <w:footnoteReference w:id="5"/>
      </w:r>
    </w:p>
    <w:p w14:paraId="12181B3E" w14:textId="4D4717A7" w:rsidR="00CB08EA" w:rsidRDefault="00CB08EA" w:rsidP="002D7A1D">
      <w:pPr>
        <w:spacing w:line="480" w:lineRule="auto"/>
        <w:ind w:firstLine="720"/>
      </w:pPr>
      <w:r>
        <w:t>OCC learned the real meaning of the “inadvertent omission” at depositions held on October 1</w:t>
      </w:r>
      <w:r w:rsidR="00B62277">
        <w:t>6</w:t>
      </w:r>
      <w:r>
        <w:t xml:space="preserve">, 2013 – a week after OPC filed its testimony.  And OCC learned that </w:t>
      </w:r>
      <w:r w:rsidR="00483869">
        <w:t>OPC had not offset</w:t>
      </w:r>
      <w:r w:rsidR="00AD6572">
        <w:t xml:space="preserve"> </w:t>
      </w:r>
      <w:r w:rsidR="00217A43">
        <w:t xml:space="preserve">certain </w:t>
      </w:r>
      <w:r w:rsidR="00866148">
        <w:t xml:space="preserve">ancillary service </w:t>
      </w:r>
      <w:r w:rsidR="00AD6572">
        <w:t xml:space="preserve">revenues </w:t>
      </w:r>
      <w:r w:rsidR="00866148">
        <w:t xml:space="preserve">against ancillary service charges </w:t>
      </w:r>
      <w:r w:rsidR="00AD6572">
        <w:t xml:space="preserve">since 2006 even though the PUCO’s regulations </w:t>
      </w:r>
      <w:r w:rsidR="00F12782">
        <w:t xml:space="preserve">have </w:t>
      </w:r>
      <w:r w:rsidR="00AD6572">
        <w:t>require</w:t>
      </w:r>
      <w:r w:rsidR="00F12782">
        <w:t>d</w:t>
      </w:r>
      <w:r w:rsidR="00AD6572">
        <w:t xml:space="preserve"> </w:t>
      </w:r>
      <w:r w:rsidR="00F12782">
        <w:t>such netting since at least April 2009</w:t>
      </w:r>
      <w:r w:rsidR="00AD6572">
        <w:t>.  Because of the late discovery of this information</w:t>
      </w:r>
      <w:r w:rsidR="007922BF">
        <w:t>—which was timed to follow the very recent filing of AEP Ohio’s testimony</w:t>
      </w:r>
      <w:r w:rsidR="00AD6572">
        <w:t xml:space="preserve">, OCC </w:t>
      </w:r>
      <w:r w:rsidR="007922BF">
        <w:t xml:space="preserve">is </w:t>
      </w:r>
      <w:r w:rsidR="00AD6572">
        <w:t>mov</w:t>
      </w:r>
      <w:r w:rsidR="007922BF">
        <w:t>ing</w:t>
      </w:r>
      <w:r w:rsidR="00AD6572">
        <w:t xml:space="preserve"> for additional time to perform discovery, file prepared testimony, and for a continuance of the hearing in this matter.  OCC requests the PUCO act on this request in an expedited manner given that the deadline for intervenor testimony is </w:t>
      </w:r>
      <w:r w:rsidR="00E8134D">
        <w:t>today</w:t>
      </w:r>
      <w:r w:rsidR="001F0547">
        <w:t>,</w:t>
      </w:r>
      <w:r w:rsidR="00E8134D">
        <w:t xml:space="preserve"> </w:t>
      </w:r>
      <w:r w:rsidR="00AD6572">
        <w:t>October 18, 2013 and the hearing is scheduled for October 29, 20</w:t>
      </w:r>
      <w:r w:rsidR="00A02AE4">
        <w:t>1</w:t>
      </w:r>
      <w:r w:rsidR="00AD6572">
        <w:t>3.</w:t>
      </w:r>
    </w:p>
    <w:p w14:paraId="41D9D14F" w14:textId="77777777" w:rsidR="002D7A1D" w:rsidRDefault="002D7A1D" w:rsidP="00CB08EA">
      <w:pPr>
        <w:ind w:left="1440" w:right="1440"/>
      </w:pPr>
    </w:p>
    <w:p w14:paraId="5C3F933C" w14:textId="77777777" w:rsidR="000B2FEC" w:rsidRPr="00A33B33" w:rsidRDefault="000B2FEC" w:rsidP="00A33B33">
      <w:pPr>
        <w:pStyle w:val="Heading1"/>
      </w:pPr>
      <w:bookmarkStart w:id="4" w:name="_Toc348599889"/>
      <w:bookmarkStart w:id="5" w:name="_Toc360025399"/>
      <w:bookmarkStart w:id="6" w:name="_Toc369864175"/>
      <w:r w:rsidRPr="00A33B33">
        <w:t>II.</w:t>
      </w:r>
      <w:r w:rsidRPr="00A33B33">
        <w:tab/>
        <w:t>ARGUMENT</w:t>
      </w:r>
      <w:bookmarkEnd w:id="4"/>
      <w:bookmarkEnd w:id="5"/>
      <w:bookmarkEnd w:id="6"/>
    </w:p>
    <w:p w14:paraId="0E004A8E" w14:textId="6D1D1CA6" w:rsidR="003D30B1" w:rsidRDefault="003D30B1" w:rsidP="00A33B33">
      <w:pPr>
        <w:pStyle w:val="Heading2"/>
      </w:pPr>
      <w:bookmarkStart w:id="7" w:name="_Toc369864176"/>
      <w:bookmarkStart w:id="8" w:name="_Toc348599890"/>
      <w:bookmarkStart w:id="9" w:name="_Toc360025400"/>
      <w:r>
        <w:t>A.</w:t>
      </w:r>
      <w:r>
        <w:tab/>
      </w:r>
      <w:r w:rsidR="008A2F75">
        <w:t xml:space="preserve">Standard </w:t>
      </w:r>
      <w:r w:rsidR="002F5398">
        <w:t>O</w:t>
      </w:r>
      <w:r w:rsidR="008A2F75">
        <w:t>f Review</w:t>
      </w:r>
      <w:bookmarkEnd w:id="7"/>
    </w:p>
    <w:p w14:paraId="77672080" w14:textId="4DA184EC" w:rsidR="007F3917" w:rsidRDefault="000E6FB8" w:rsidP="000E6FB8">
      <w:pPr>
        <w:spacing w:line="480" w:lineRule="auto"/>
      </w:pPr>
      <w:r>
        <w:tab/>
        <w:t xml:space="preserve">O.A.C. 4901-1-13 provides that </w:t>
      </w:r>
      <w:r w:rsidRPr="000E6FB8">
        <w:t>continuances of public hearings and extensions of time to file pleadings or other papers may be granted upon motion of</w:t>
      </w:r>
      <w:r>
        <w:t xml:space="preserve"> any party for good cause shown.</w:t>
      </w:r>
      <w:r w:rsidR="00E8134D">
        <w:t xml:space="preserve">  O.A.C 4901-1-17(G) allows the PUCO to enlarge the time period for discovery, for good cause shown.</w:t>
      </w:r>
      <w:r w:rsidR="001340EC">
        <w:t xml:space="preserve">  </w:t>
      </w:r>
      <w:r w:rsidR="00133089">
        <w:t xml:space="preserve"> O.A.C.</w:t>
      </w:r>
      <w:r w:rsidR="00875686">
        <w:t xml:space="preserve"> 4901-1-19(A) and 20(C</w:t>
      </w:r>
      <w:r w:rsidR="00133089">
        <w:t>) allow the PUCO to shorten the response time for interrogatories and requests for documents.</w:t>
      </w:r>
      <w:r w:rsidR="00866148">
        <w:t xml:space="preserve">  O.A.C. 4901-1-12(C) allows a party to request an expedited ruling and O.A.C. 4901-1-12(F) allows the PUCO or its representatives to issue an expedited ruling even where a party objects, “</w:t>
      </w:r>
      <w:r w:rsidR="00866148" w:rsidRPr="00866148">
        <w:t>where the issuance of such a ruling will not adversely affect a substantial right of any party</w:t>
      </w:r>
      <w:r w:rsidR="00866148">
        <w:t>.”</w:t>
      </w:r>
    </w:p>
    <w:p w14:paraId="6A9CD678" w14:textId="2570BFC7" w:rsidR="000B2FEC" w:rsidRPr="00A33B33" w:rsidRDefault="000E6FB8" w:rsidP="00A33B33">
      <w:pPr>
        <w:pStyle w:val="Heading2"/>
      </w:pPr>
      <w:bookmarkStart w:id="10" w:name="_Toc369864177"/>
      <w:r>
        <w:t>B</w:t>
      </w:r>
      <w:r w:rsidR="00A33B33" w:rsidRPr="00A33B33">
        <w:t>.</w:t>
      </w:r>
      <w:r w:rsidR="00A33B33" w:rsidRPr="00A33B33">
        <w:tab/>
      </w:r>
      <w:bookmarkEnd w:id="8"/>
      <w:bookmarkEnd w:id="9"/>
      <w:r w:rsidR="00E04558">
        <w:t xml:space="preserve">Good </w:t>
      </w:r>
      <w:r w:rsidR="002F5398">
        <w:t xml:space="preserve">Cause Exists For Granting </w:t>
      </w:r>
      <w:r w:rsidR="00E04558">
        <w:t xml:space="preserve">OCC’s Motions </w:t>
      </w:r>
      <w:r w:rsidR="002F5398">
        <w:t xml:space="preserve">Because Of The Need To Continue Case Preparation Based On The Discovery This Week, During Depositions, That </w:t>
      </w:r>
      <w:r w:rsidR="00AD6572">
        <w:t xml:space="preserve">OPC </w:t>
      </w:r>
      <w:r w:rsidR="009F42AE">
        <w:t xml:space="preserve">Has Been </w:t>
      </w:r>
      <w:r w:rsidR="00E04558">
        <w:t xml:space="preserve">Denying Its Customers </w:t>
      </w:r>
      <w:r w:rsidR="002F5398">
        <w:t xml:space="preserve">A </w:t>
      </w:r>
      <w:r w:rsidR="00AD6572">
        <w:t xml:space="preserve">Credit </w:t>
      </w:r>
      <w:r w:rsidR="002F5398">
        <w:t xml:space="preserve">For </w:t>
      </w:r>
      <w:r w:rsidR="00AD6572">
        <w:t>Off</w:t>
      </w:r>
      <w:r w:rsidR="002F5398">
        <w:t>-</w:t>
      </w:r>
      <w:r w:rsidR="00AD6572">
        <w:t>Setting Revenues</w:t>
      </w:r>
      <w:r w:rsidR="009F42AE">
        <w:t xml:space="preserve"> </w:t>
      </w:r>
      <w:r w:rsidR="002F5398">
        <w:t xml:space="preserve">In Transmission-Related Rates, </w:t>
      </w:r>
      <w:r w:rsidR="009F42AE">
        <w:t xml:space="preserve">Even Though Such Crediting </w:t>
      </w:r>
      <w:r w:rsidR="002F5398">
        <w:t xml:space="preserve">Is </w:t>
      </w:r>
      <w:r w:rsidR="00AD6572">
        <w:t xml:space="preserve">Required </w:t>
      </w:r>
      <w:r w:rsidR="002F5398">
        <w:t xml:space="preserve">By </w:t>
      </w:r>
      <w:r w:rsidR="00AD6572">
        <w:t>O</w:t>
      </w:r>
      <w:r w:rsidR="002F5398">
        <w:t>.</w:t>
      </w:r>
      <w:r w:rsidR="00AD6572">
        <w:t>A</w:t>
      </w:r>
      <w:r w:rsidR="002F5398">
        <w:t>.</w:t>
      </w:r>
      <w:r w:rsidR="00AD6572">
        <w:t>C</w:t>
      </w:r>
      <w:r w:rsidR="002F5398">
        <w:t>. 4901:1-36-04(</w:t>
      </w:r>
      <w:r w:rsidR="00AD6572">
        <w:t>C</w:t>
      </w:r>
      <w:r w:rsidR="002F5398">
        <w:t>).</w:t>
      </w:r>
      <w:bookmarkEnd w:id="10"/>
      <w:r w:rsidR="002F5398">
        <w:t xml:space="preserve">  </w:t>
      </w:r>
    </w:p>
    <w:p w14:paraId="1DDC9D07" w14:textId="77777777" w:rsidR="00AD6572" w:rsidRDefault="00AD6572" w:rsidP="00AD6572">
      <w:pPr>
        <w:spacing w:line="480" w:lineRule="auto"/>
        <w:ind w:firstLine="720"/>
      </w:pPr>
      <w:r>
        <w:t>The PUCO’s regulations require that “off-setting revenues” to charges included in the TCRR be credited to customers through the TCRR.</w:t>
      </w:r>
      <w:r>
        <w:rPr>
          <w:rStyle w:val="FootnoteReference"/>
        </w:rPr>
        <w:footnoteReference w:id="6"/>
      </w:r>
      <w:r>
        <w:t xml:space="preserve">  That provision provides as follows:</w:t>
      </w:r>
    </w:p>
    <w:p w14:paraId="3380CA72" w14:textId="77777777" w:rsidR="00AD6572" w:rsidRDefault="00AD6572" w:rsidP="002F5398">
      <w:pPr>
        <w:ind w:left="1440" w:right="720" w:hanging="720"/>
      </w:pPr>
      <w:r w:rsidRPr="007022B4">
        <w:t xml:space="preserve">(C) </w:t>
      </w:r>
      <w:r>
        <w:tab/>
        <w:t>T</w:t>
      </w:r>
      <w:r w:rsidRPr="007022B4">
        <w:t xml:space="preserve">he transmission cost recovery rider </w:t>
      </w:r>
      <w:r w:rsidRPr="007022B4">
        <w:rPr>
          <w:b/>
          <w:i/>
        </w:rPr>
        <w:t>shall include</w:t>
      </w:r>
      <w:r w:rsidRPr="007022B4">
        <w:t xml:space="preserve"> transmission and transmission-related costs and </w:t>
      </w:r>
      <w:r w:rsidRPr="007022B4">
        <w:rPr>
          <w:b/>
          <w:i/>
        </w:rPr>
        <w:t xml:space="preserve">off-setting revenues, including ancillary and congestion-related costs and revenues, charged or credited to the utility by the federal energy regulatory commission or a regional transmission organization, independent transmission operator, </w:t>
      </w:r>
      <w:r w:rsidRPr="007022B4">
        <w:t>or similar organization approved by the federal energy regulatory commission to the extent such costs and revenues are not included in any other schedule or rider in the electric utility's tariff on file with the commission.</w:t>
      </w:r>
      <w:r>
        <w:rPr>
          <w:rStyle w:val="FootnoteReference"/>
        </w:rPr>
        <w:footnoteReference w:id="7"/>
      </w:r>
    </w:p>
    <w:p w14:paraId="6EE33407" w14:textId="77777777" w:rsidR="00AD6572" w:rsidRDefault="00AD6572" w:rsidP="00AD6572">
      <w:pPr>
        <w:ind w:left="1440" w:right="1440" w:hanging="720"/>
      </w:pPr>
    </w:p>
    <w:p w14:paraId="1D4FEEBA" w14:textId="3E1048F9" w:rsidR="00AD6572" w:rsidRDefault="00AD6572" w:rsidP="00AD6572">
      <w:pPr>
        <w:spacing w:line="480" w:lineRule="auto"/>
        <w:ind w:firstLine="720"/>
      </w:pPr>
      <w:r>
        <w:t xml:space="preserve">Despite the clear requirement of this rule, OPC has not been crediting millions of dollars of off-setting revenues to customers </w:t>
      </w:r>
      <w:r w:rsidRPr="00A115D3">
        <w:t>since 2006</w:t>
      </w:r>
      <w:r>
        <w:t xml:space="preserve"> based on a </w:t>
      </w:r>
      <w:r w:rsidR="001921F2">
        <w:t xml:space="preserve">single </w:t>
      </w:r>
      <w:r w:rsidR="00F12782">
        <w:t xml:space="preserve">sentence </w:t>
      </w:r>
      <w:r>
        <w:t xml:space="preserve">of testimony </w:t>
      </w:r>
      <w:r w:rsidR="001921F2">
        <w:t xml:space="preserve">it </w:t>
      </w:r>
      <w:r>
        <w:t>filed in a 2006 case.</w:t>
      </w:r>
      <w:r>
        <w:rPr>
          <w:rStyle w:val="FootnoteReference"/>
        </w:rPr>
        <w:footnoteReference w:id="8"/>
      </w:r>
      <w:r>
        <w:t xml:space="preserve">  </w:t>
      </w:r>
      <w:r w:rsidRPr="00A115D3">
        <w:t xml:space="preserve">Apparently, OPC believes that the PUCO’s approval of its filing in that 2006 case authorized it to </w:t>
      </w:r>
      <w:r w:rsidR="003C641E" w:rsidRPr="00A115D3">
        <w:t xml:space="preserve">depart from </w:t>
      </w:r>
      <w:r w:rsidRPr="00A115D3">
        <w:t xml:space="preserve">the requirements of </w:t>
      </w:r>
      <w:r w:rsidR="003C641E" w:rsidRPr="00A115D3">
        <w:t>the above-</w:t>
      </w:r>
      <w:r w:rsidRPr="00A115D3">
        <w:t>regulation</w:t>
      </w:r>
      <w:r w:rsidR="003C641E" w:rsidRPr="00A115D3">
        <w:t xml:space="preserve"> which was </w:t>
      </w:r>
      <w:r w:rsidRPr="00A115D3">
        <w:t xml:space="preserve">subsequently adopted </w:t>
      </w:r>
      <w:r w:rsidR="003C641E" w:rsidRPr="00A115D3">
        <w:t xml:space="preserve">by the PUCO </w:t>
      </w:r>
      <w:r w:rsidRPr="00A115D3">
        <w:t>and became effective on April 2, 2009</w:t>
      </w:r>
      <w:r w:rsidRPr="00217A43">
        <w:t>.</w:t>
      </w:r>
      <w:r>
        <w:t xml:space="preserve">  Notably, in its Finding and Order of September 17, 2008 approving the above-noted regulation, the PUCO stated the following:</w:t>
      </w:r>
    </w:p>
    <w:p w14:paraId="1E86048D" w14:textId="77777777" w:rsidR="009F42AE" w:rsidRDefault="00AD6572" w:rsidP="002F5398">
      <w:pPr>
        <w:autoSpaceDE w:val="0"/>
        <w:autoSpaceDN w:val="0"/>
        <w:adjustRightInd w:val="0"/>
        <w:ind w:left="1440" w:right="720"/>
      </w:pPr>
      <w:r w:rsidRPr="0027618A">
        <w:t>With respect to Rule 04, IEU recommended that the Commission include a requirement in this rule that electric utilities must include offsetting benefits in the calculation of the rider. The Commission agrees with this recommendation and revised the rule.</w:t>
      </w:r>
      <w:r>
        <w:rPr>
          <w:rStyle w:val="FootnoteReference"/>
        </w:rPr>
        <w:footnoteReference w:id="9"/>
      </w:r>
    </w:p>
    <w:p w14:paraId="16696ACB" w14:textId="77777777" w:rsidR="009F42AE" w:rsidRDefault="009F42AE" w:rsidP="009F42AE">
      <w:pPr>
        <w:autoSpaceDE w:val="0"/>
        <w:autoSpaceDN w:val="0"/>
        <w:adjustRightInd w:val="0"/>
        <w:ind w:left="1440" w:right="1440"/>
      </w:pPr>
    </w:p>
    <w:p w14:paraId="669A64BB" w14:textId="77777777" w:rsidR="0075308B" w:rsidRDefault="009F42AE" w:rsidP="009F42AE">
      <w:pPr>
        <w:autoSpaceDE w:val="0"/>
        <w:autoSpaceDN w:val="0"/>
        <w:adjustRightInd w:val="0"/>
        <w:spacing w:line="480" w:lineRule="auto"/>
      </w:pPr>
      <w:r>
        <w:tab/>
      </w:r>
      <w:r w:rsidR="00C56F9A">
        <w:t>In the current case, OPC’s Application indicated that the $23 million in PJM Reactive Supply “charges” had been “inadvertently omitted” from July 2011 through March 2013.</w:t>
      </w:r>
      <w:r w:rsidR="00C56F9A">
        <w:rPr>
          <w:rStyle w:val="FootnoteReference"/>
        </w:rPr>
        <w:footnoteReference w:id="10"/>
      </w:r>
      <w:r w:rsidR="00C56F9A">
        <w:t xml:space="preserve">  But neither the Application or OPC’s responses to discovery of Staff, OCC or  IEU explained that OPC’s proposed $23 million correction was primarily the result of an accounting procedure that adjusted PJM Reactive Supply charges for “offsetting revenues” (PJM’s Account 2330 credits)  that OPC receives from PJM for providing PJM Reactive Supply.  </w:t>
      </w:r>
    </w:p>
    <w:p w14:paraId="5D49B8EE" w14:textId="36966623" w:rsidR="00C56F9A" w:rsidRDefault="0075308B" w:rsidP="009F42AE">
      <w:pPr>
        <w:autoSpaceDE w:val="0"/>
        <w:autoSpaceDN w:val="0"/>
        <w:adjustRightInd w:val="0"/>
        <w:spacing w:line="480" w:lineRule="auto"/>
      </w:pPr>
      <w:r>
        <w:tab/>
      </w:r>
      <w:r w:rsidR="00C56F9A">
        <w:t>Until OPC filed its testimony in this matter, the cause of OPC’s adjustment of PJM Reactive Supply charges appeared to be simply that the charges had been omitted.  It was not apparent to OCC that AEP omitted PJM Reactive Supply credits from TCRR rates.</w:t>
      </w:r>
      <w:r w:rsidR="00265E84">
        <w:t xml:space="preserve">  Further, until depositions were held, it did not become </w:t>
      </w:r>
      <w:r w:rsidR="00265E84" w:rsidRPr="00265E84">
        <w:t xml:space="preserve">apparent </w:t>
      </w:r>
      <w:r w:rsidR="00265E84">
        <w:t xml:space="preserve">to OCC </w:t>
      </w:r>
      <w:r w:rsidR="00265E84" w:rsidRPr="00265E84">
        <w:t>that, in fact, “offsetting revenues” from other services, including “Regulation,” “Synchronous Reserve,” and “Blackstart Service” have not been credited to customers since 2006.</w:t>
      </w:r>
      <w:r w:rsidR="00C56F9A">
        <w:t xml:space="preserve">    </w:t>
      </w:r>
    </w:p>
    <w:p w14:paraId="2E75FC67" w14:textId="6898B0CE" w:rsidR="00C56F9A" w:rsidRDefault="00C56F9A" w:rsidP="009F42AE">
      <w:pPr>
        <w:autoSpaceDE w:val="0"/>
        <w:autoSpaceDN w:val="0"/>
        <w:adjustRightInd w:val="0"/>
        <w:spacing w:line="480" w:lineRule="auto"/>
      </w:pPr>
      <w:r>
        <w:tab/>
      </w:r>
      <w:r w:rsidR="005503FD">
        <w:t xml:space="preserve">With regard to OCC’s good cause, it should be noted that AEP Ohio only recently filed its testimony, on October </w:t>
      </w:r>
      <w:r w:rsidR="001F0547">
        <w:t>8</w:t>
      </w:r>
      <w:r w:rsidR="005503FD">
        <w:t xml:space="preserve">, 2013.  And OCC promptly </w:t>
      </w:r>
      <w:r w:rsidR="002573F5">
        <w:t xml:space="preserve">thereafter </w:t>
      </w:r>
      <w:r w:rsidR="005503FD">
        <w:t xml:space="preserve">(two days ago) deposed AEP Ohio personnel.  The above issue is obscure, was not described in AEP Ohio’s application and </w:t>
      </w:r>
      <w:r w:rsidR="00217A43">
        <w:t xml:space="preserve">did not become apparent to OCC </w:t>
      </w:r>
      <w:r w:rsidR="009F42AE">
        <w:t xml:space="preserve">until </w:t>
      </w:r>
      <w:r w:rsidR="005503FD">
        <w:t xml:space="preserve">the </w:t>
      </w:r>
      <w:r w:rsidR="009F42AE">
        <w:t>depositions on Wednesday, October 1</w:t>
      </w:r>
      <w:r w:rsidR="00B62277">
        <w:t>6</w:t>
      </w:r>
      <w:r w:rsidR="009F42AE">
        <w:t>, 2013</w:t>
      </w:r>
      <w:r w:rsidR="005503FD">
        <w:t>.</w:t>
      </w:r>
    </w:p>
    <w:p w14:paraId="6532B1DB" w14:textId="4E86B7D7" w:rsidR="009F42AE" w:rsidRDefault="00217A43" w:rsidP="00217A43">
      <w:pPr>
        <w:autoSpaceDE w:val="0"/>
        <w:autoSpaceDN w:val="0"/>
        <w:adjustRightInd w:val="0"/>
        <w:spacing w:line="480" w:lineRule="auto"/>
      </w:pPr>
      <w:r>
        <w:tab/>
      </w:r>
      <w:r w:rsidR="005503FD">
        <w:t>OCC is now conducting further discovery (sent yesterday)</w:t>
      </w:r>
      <w:r w:rsidR="002573F5">
        <w:t xml:space="preserve"> and otherwise continuing its case preparation in light of the new information that affects consumers.  That gives rise to OCC’s motion</w:t>
      </w:r>
      <w:r w:rsidR="005E22A0">
        <w:t>s</w:t>
      </w:r>
      <w:r w:rsidR="002573F5">
        <w:t xml:space="preserve"> to</w:t>
      </w:r>
      <w:r w:rsidR="005E22A0">
        <w:t xml:space="preserve"> shorten the discovery response time and</w:t>
      </w:r>
      <w:r w:rsidR="002573F5">
        <w:t xml:space="preserve"> enlarge the discovery period until </w:t>
      </w:r>
      <w:r w:rsidR="001F0547">
        <w:t>November 18</w:t>
      </w:r>
      <w:r w:rsidR="002573F5">
        <w:t>, 2013, pursuant to O.A.C. 4901-1-17(G)</w:t>
      </w:r>
      <w:r w:rsidR="005E22A0">
        <w:t>, 19(A) and 20(C)</w:t>
      </w:r>
      <w:r w:rsidR="002573F5">
        <w:t xml:space="preserve">. </w:t>
      </w:r>
      <w:r w:rsidR="007E37C9">
        <w:t xml:space="preserve"> And OCC is considering its approach to evidence through testimony for the PUCO to consider for purposes of the record under R.C. 4903.09, in light of the developments this week.  That gives rise to OCC’s request to extend the due date for testimony.  And all of the above give rise to continuing the hearing date.  </w:t>
      </w:r>
      <w:r w:rsidR="005503FD">
        <w:t>T</w:t>
      </w:r>
      <w:r w:rsidR="009F42AE">
        <w:t xml:space="preserve">here is good cause for OCC’s </w:t>
      </w:r>
      <w:r w:rsidR="005503FD">
        <w:t>motions.</w:t>
      </w:r>
      <w:r>
        <w:t xml:space="preserve">  And extension of the due dates will not affect the substantial rights of any party.</w:t>
      </w:r>
      <w:r w:rsidR="005503FD">
        <w:t xml:space="preserve">   </w:t>
      </w:r>
    </w:p>
    <w:p w14:paraId="495F370C" w14:textId="7BEDEB05" w:rsidR="00EB04D9" w:rsidRDefault="00EB04D9" w:rsidP="00EB04D9">
      <w:pPr>
        <w:spacing w:line="480" w:lineRule="auto"/>
        <w:ind w:firstLine="720"/>
      </w:pPr>
      <w:r>
        <w:t xml:space="preserve">OCC requests the PUCO act on this request in an expedited manner given that the </w:t>
      </w:r>
      <w:r w:rsidR="00217A43">
        <w:t xml:space="preserve">current </w:t>
      </w:r>
      <w:r>
        <w:t>deadline for intervenor testimony is October 18, 2013 and the hearing is scheduled for October 29, 2013.</w:t>
      </w:r>
      <w:r w:rsidR="00217A43">
        <w:t xml:space="preserve">  OCC has advised other parties that it will be filing this Motion.  </w:t>
      </w:r>
      <w:r w:rsidR="00BF5BF4">
        <w:t xml:space="preserve">PUCO Staff, Industrial Energy Users of Ohio (“IEU-Ohio”), and Ohio Energy Group (“OEG”) have indicated that they do not oppose OCC’s Motion to Extend the Procedural Schedule or OCC’s Request for an Expedited Ruling.  </w:t>
      </w:r>
      <w:r w:rsidR="00217A43">
        <w:t>However, OPC has indicated that it objects to this Motion</w:t>
      </w:r>
      <w:r w:rsidR="008873B8">
        <w:t xml:space="preserve"> and OCC’s Request for an Expedited Ruling</w:t>
      </w:r>
      <w:r w:rsidR="00217A43">
        <w:t>.</w:t>
      </w:r>
      <w:r w:rsidR="00217A43">
        <w:rPr>
          <w:rStyle w:val="FootnoteReference"/>
        </w:rPr>
        <w:footnoteReference w:id="11"/>
      </w:r>
      <w:r>
        <w:t xml:space="preserve">  </w:t>
      </w:r>
    </w:p>
    <w:p w14:paraId="10E1065E" w14:textId="77777777" w:rsidR="002F5398" w:rsidRDefault="002F5398" w:rsidP="002F5398">
      <w:pPr>
        <w:ind w:firstLine="720"/>
      </w:pPr>
    </w:p>
    <w:p w14:paraId="0F75D007" w14:textId="77777777" w:rsidR="000B2FEC" w:rsidRPr="00A33B33" w:rsidRDefault="000B2FEC" w:rsidP="00A33B33">
      <w:pPr>
        <w:pStyle w:val="Heading1"/>
      </w:pPr>
      <w:bookmarkStart w:id="11" w:name="_Toc155160326"/>
      <w:bookmarkStart w:id="12" w:name="_Toc348599893"/>
      <w:bookmarkStart w:id="13" w:name="_Toc360025401"/>
      <w:bookmarkStart w:id="14" w:name="_Toc369864178"/>
      <w:r w:rsidRPr="00A33B33">
        <w:t>III.</w:t>
      </w:r>
      <w:r w:rsidRPr="00A33B33">
        <w:tab/>
        <w:t>conclusion</w:t>
      </w:r>
      <w:bookmarkEnd w:id="11"/>
      <w:bookmarkEnd w:id="12"/>
      <w:bookmarkEnd w:id="13"/>
      <w:bookmarkEnd w:id="14"/>
    </w:p>
    <w:p w14:paraId="11A0097B" w14:textId="576260CE" w:rsidR="00A115D3" w:rsidRDefault="00F12782" w:rsidP="00A33B33">
      <w:pPr>
        <w:spacing w:line="480" w:lineRule="auto"/>
        <w:ind w:firstLine="720"/>
      </w:pPr>
      <w:r>
        <w:t xml:space="preserve">Good </w:t>
      </w:r>
      <w:r w:rsidR="000E6FB8">
        <w:t xml:space="preserve">cause </w:t>
      </w:r>
      <w:r>
        <w:t>exists to grant OCC’</w:t>
      </w:r>
      <w:r w:rsidR="000E6FB8">
        <w:t xml:space="preserve">s Motion to </w:t>
      </w:r>
      <w:r w:rsidR="001340EC">
        <w:t>extend the procedural deadlines in this matter, to provide for expedited responses to discovery, extend the due dates for filing intervenor discovery and testimony, and to continue the hearing.</w:t>
      </w:r>
      <w:r w:rsidR="005B6F4F">
        <w:t xml:space="preserve">  Intervenor Testimony should be due on November 1</w:t>
      </w:r>
      <w:r w:rsidR="00217A43">
        <w:t>8</w:t>
      </w:r>
      <w:r w:rsidR="005B6F4F">
        <w:t xml:space="preserve">, 2013 and the hearing should be held on </w:t>
      </w:r>
      <w:r w:rsidR="00217A43">
        <w:t xml:space="preserve">December </w:t>
      </w:r>
      <w:r w:rsidR="009C4C9A">
        <w:t>3</w:t>
      </w:r>
      <w:r w:rsidR="005B6F4F">
        <w:t>, 2013.</w:t>
      </w:r>
      <w:r w:rsidR="005B6F4F">
        <w:rPr>
          <w:rStyle w:val="FootnoteReference"/>
        </w:rPr>
        <w:footnoteReference w:id="12"/>
      </w:r>
      <w:r w:rsidR="001340EC">
        <w:t xml:space="preserve">  </w:t>
      </w:r>
      <w:r w:rsidR="0075308B">
        <w:t xml:space="preserve">Discovery should also be concluded by November 18, 2013.  </w:t>
      </w:r>
      <w:r w:rsidR="00217A43">
        <w:t>In light of the fact that, until depositions were held two days ago, it did not become apparent that OPC has not been crediting transmission-related revenues to customers</w:t>
      </w:r>
      <w:r w:rsidR="00FA72AC">
        <w:t xml:space="preserve"> as required by O.A.C. 4901:1-36-04(C)</w:t>
      </w:r>
      <w:r w:rsidR="00217A43">
        <w:t>,</w:t>
      </w:r>
      <w:r w:rsidR="00FA72AC">
        <w:t xml:space="preserve"> the PUCO should grant OCC’s Motion on an expedited basis and extend the procedural schedule in this matter.</w:t>
      </w:r>
      <w:r w:rsidR="00B66C3C">
        <w:t xml:space="preserve">  This will allow the PUCO to consider this evidence </w:t>
      </w:r>
      <w:r w:rsidR="00B66C3C" w:rsidRPr="00B66C3C">
        <w:t>for its decision-making on issues involving millions of dollars in customers’ rates</w:t>
      </w:r>
      <w:r w:rsidR="00B66C3C">
        <w:t>.</w:t>
      </w:r>
    </w:p>
    <w:p w14:paraId="21A848AD" w14:textId="77777777" w:rsidR="002F5398" w:rsidRDefault="00A115D3" w:rsidP="00A33B33">
      <w:pPr>
        <w:spacing w:line="480" w:lineRule="auto"/>
        <w:ind w:firstLine="720"/>
      </w:pPr>
      <w:r>
        <w:tab/>
      </w:r>
      <w:r>
        <w:tab/>
      </w:r>
      <w:r>
        <w:tab/>
      </w:r>
      <w:r>
        <w:tab/>
      </w:r>
      <w:r>
        <w:tab/>
      </w:r>
    </w:p>
    <w:p w14:paraId="1B70F88C" w14:textId="77777777" w:rsidR="002F5398" w:rsidRDefault="002F5398">
      <w:r>
        <w:br w:type="page"/>
      </w:r>
    </w:p>
    <w:p w14:paraId="35BA472E" w14:textId="4FF8EB8A" w:rsidR="000B2FEC" w:rsidRPr="00730841" w:rsidRDefault="00A115D3" w:rsidP="002F5398">
      <w:pPr>
        <w:spacing w:line="480" w:lineRule="auto"/>
        <w:ind w:left="3600" w:firstLine="720"/>
      </w:pPr>
      <w:r>
        <w:t>Respectfully submitted,</w:t>
      </w:r>
      <w:r w:rsidR="003C641E">
        <w:t xml:space="preserve"> </w:t>
      </w:r>
    </w:p>
    <w:p w14:paraId="464970C0" w14:textId="77777777" w:rsidR="003B090C" w:rsidRPr="00A75AE0" w:rsidRDefault="003B090C" w:rsidP="003B090C">
      <w:pPr>
        <w:tabs>
          <w:tab w:val="left" w:pos="4320"/>
        </w:tabs>
        <w:ind w:left="4320"/>
      </w:pPr>
      <w:r w:rsidRPr="00A75AE0">
        <w:t>BRUCE J. WESTON</w:t>
      </w:r>
    </w:p>
    <w:p w14:paraId="0A7742B4" w14:textId="77777777" w:rsidR="003B090C" w:rsidRPr="00A75AE0" w:rsidRDefault="003B090C" w:rsidP="003B090C">
      <w:pPr>
        <w:tabs>
          <w:tab w:val="left" w:pos="4320"/>
        </w:tabs>
        <w:ind w:left="4320"/>
      </w:pPr>
      <w:r>
        <w:t xml:space="preserve">OHIO </w:t>
      </w:r>
      <w:r w:rsidRPr="00A75AE0">
        <w:t>CONSUMERS</w:t>
      </w:r>
      <w:r w:rsidR="00895B79">
        <w:t>’</w:t>
      </w:r>
      <w:r w:rsidRPr="00A75AE0">
        <w:t xml:space="preserve"> COUNSEL</w:t>
      </w:r>
    </w:p>
    <w:p w14:paraId="1C46BBC6" w14:textId="77777777" w:rsidR="003B090C" w:rsidRPr="00A75AE0" w:rsidRDefault="003B090C" w:rsidP="003B090C">
      <w:pPr>
        <w:tabs>
          <w:tab w:val="left" w:pos="4320"/>
        </w:tabs>
        <w:ind w:left="4320"/>
      </w:pPr>
    </w:p>
    <w:p w14:paraId="609E603D" w14:textId="77777777" w:rsidR="003B090C" w:rsidRDefault="003B090C" w:rsidP="003B090C">
      <w:pPr>
        <w:tabs>
          <w:tab w:val="left" w:pos="4320"/>
        </w:tabs>
        <w:ind w:left="4320"/>
        <w:rPr>
          <w:i/>
          <w:u w:val="single"/>
        </w:rPr>
      </w:pPr>
      <w:r>
        <w:rPr>
          <w:i/>
          <w:u w:val="single"/>
        </w:rPr>
        <w:t xml:space="preserve">/s/ </w:t>
      </w:r>
      <w:r w:rsidR="001340EC">
        <w:rPr>
          <w:i/>
          <w:u w:val="single"/>
        </w:rPr>
        <w:t>Edmund “Tad” Berger</w:t>
      </w:r>
      <w:r>
        <w:rPr>
          <w:i/>
          <w:u w:val="single"/>
        </w:rPr>
        <w:tab/>
      </w:r>
      <w:r>
        <w:rPr>
          <w:i/>
          <w:u w:val="single"/>
        </w:rPr>
        <w:tab/>
      </w:r>
      <w:r>
        <w:rPr>
          <w:i/>
          <w:u w:val="single"/>
        </w:rPr>
        <w:tab/>
      </w:r>
    </w:p>
    <w:p w14:paraId="36DEDEAD" w14:textId="77777777" w:rsidR="003B090C" w:rsidRPr="00A9293D" w:rsidRDefault="003B090C" w:rsidP="003B090C">
      <w:pPr>
        <w:tabs>
          <w:tab w:val="left" w:pos="4320"/>
        </w:tabs>
        <w:ind w:left="4320"/>
      </w:pPr>
      <w:r>
        <w:t>Edmund Berger</w:t>
      </w:r>
    </w:p>
    <w:p w14:paraId="1F115683" w14:textId="77777777" w:rsidR="003B090C" w:rsidRDefault="003B090C" w:rsidP="003B090C">
      <w:pPr>
        <w:tabs>
          <w:tab w:val="left" w:pos="4320"/>
        </w:tabs>
        <w:ind w:left="4320"/>
      </w:pPr>
      <w:r w:rsidRPr="00A75AE0">
        <w:t>Assistant Consumers</w:t>
      </w:r>
      <w:r w:rsidR="00895B79">
        <w:t>’</w:t>
      </w:r>
      <w:r w:rsidRPr="00A75AE0">
        <w:t xml:space="preserve"> Counsel</w:t>
      </w:r>
    </w:p>
    <w:p w14:paraId="773093E3" w14:textId="77777777" w:rsidR="00FF231C" w:rsidRPr="00A75AE0" w:rsidRDefault="00FF231C" w:rsidP="003B090C">
      <w:pPr>
        <w:tabs>
          <w:tab w:val="left" w:pos="4320"/>
        </w:tabs>
        <w:ind w:left="4320"/>
      </w:pPr>
    </w:p>
    <w:p w14:paraId="1DA6636D" w14:textId="77777777" w:rsidR="003B090C" w:rsidRPr="00FF231C" w:rsidRDefault="003B090C" w:rsidP="00FF231C">
      <w:pPr>
        <w:ind w:left="4320"/>
        <w:rPr>
          <w:b/>
        </w:rPr>
      </w:pPr>
      <w:r w:rsidRPr="00FF231C">
        <w:rPr>
          <w:b/>
        </w:rPr>
        <w:t>Office of the Ohio Consumers</w:t>
      </w:r>
      <w:r w:rsidR="00895B79">
        <w:rPr>
          <w:b/>
        </w:rPr>
        <w:t>’</w:t>
      </w:r>
      <w:r w:rsidRPr="00FF231C">
        <w:rPr>
          <w:b/>
        </w:rPr>
        <w:t xml:space="preserve"> Counsel</w:t>
      </w:r>
    </w:p>
    <w:p w14:paraId="13411F19" w14:textId="77777777" w:rsidR="003B090C" w:rsidRPr="00A75AE0" w:rsidRDefault="003B090C" w:rsidP="00FF231C">
      <w:pPr>
        <w:ind w:left="4320"/>
      </w:pPr>
      <w:r w:rsidRPr="00A75AE0">
        <w:t>10 West Broad Street, Suite 1800</w:t>
      </w:r>
    </w:p>
    <w:p w14:paraId="4452B509" w14:textId="77777777" w:rsidR="003B090C" w:rsidRPr="00A75AE0" w:rsidRDefault="003B090C" w:rsidP="00FF231C">
      <w:pPr>
        <w:ind w:left="4320"/>
      </w:pPr>
      <w:r w:rsidRPr="00A75AE0">
        <w:t>Columbus, Ohio 43215-3485</w:t>
      </w:r>
    </w:p>
    <w:p w14:paraId="33F7E187" w14:textId="10D208F9" w:rsidR="003B090C" w:rsidRPr="00A75AE0" w:rsidRDefault="003B090C" w:rsidP="003B090C">
      <w:pPr>
        <w:autoSpaceDE w:val="0"/>
        <w:autoSpaceDN w:val="0"/>
        <w:adjustRightInd w:val="0"/>
        <w:ind w:left="4320"/>
      </w:pPr>
      <w:r>
        <w:t xml:space="preserve">Telephone: </w:t>
      </w:r>
      <w:r w:rsidR="002F5398">
        <w:t xml:space="preserve"> </w:t>
      </w:r>
      <w:r>
        <w:t>Berger – (614) 466-1292</w:t>
      </w:r>
    </w:p>
    <w:p w14:paraId="4793C7EB" w14:textId="793C681D" w:rsidR="003B090C" w:rsidRDefault="00F70808" w:rsidP="003B090C">
      <w:pPr>
        <w:ind w:left="4320"/>
      </w:pPr>
      <w:hyperlink r:id="rId20" w:history="1">
        <w:r w:rsidR="00D06183" w:rsidRPr="00666BAA">
          <w:rPr>
            <w:rStyle w:val="Hyperlink"/>
          </w:rPr>
          <w:t>berger@occ.state.oh.us</w:t>
        </w:r>
      </w:hyperlink>
    </w:p>
    <w:p w14:paraId="7B49F637" w14:textId="77777777" w:rsidR="00D06183" w:rsidRDefault="00D06183" w:rsidP="003B090C">
      <w:pPr>
        <w:ind w:left="4320"/>
      </w:pPr>
    </w:p>
    <w:p w14:paraId="57FBC1D7" w14:textId="77777777" w:rsidR="002F5398" w:rsidRDefault="002F5398" w:rsidP="003B090C">
      <w:pPr>
        <w:ind w:left="4320"/>
      </w:pPr>
    </w:p>
    <w:p w14:paraId="0B694DFA" w14:textId="77777777" w:rsidR="003B090C" w:rsidRPr="00A75AE0" w:rsidRDefault="003B090C" w:rsidP="003B090C">
      <w:pPr>
        <w:ind w:left="4320"/>
      </w:pPr>
    </w:p>
    <w:p w14:paraId="61E12DDC" w14:textId="77777777" w:rsidR="000B2FEC" w:rsidRPr="0019456D" w:rsidRDefault="000B2FEC">
      <w:pPr>
        <w:pStyle w:val="Footer"/>
        <w:tabs>
          <w:tab w:val="clear" w:pos="8640"/>
          <w:tab w:val="left" w:pos="4320"/>
        </w:tabs>
        <w:jc w:val="center"/>
        <w:rPr>
          <w:b/>
        </w:rPr>
      </w:pPr>
      <w:r w:rsidRPr="0019456D">
        <w:br w:type="page"/>
      </w:r>
      <w:r w:rsidRPr="0019456D">
        <w:rPr>
          <w:b/>
        </w:rPr>
        <w:t>CERTIFICATE OF SERVICE</w:t>
      </w:r>
    </w:p>
    <w:p w14:paraId="16A93A0D" w14:textId="77777777" w:rsidR="000B2FEC" w:rsidRPr="0019456D" w:rsidRDefault="000B2FEC">
      <w:pPr>
        <w:pStyle w:val="Footer"/>
        <w:tabs>
          <w:tab w:val="clear" w:pos="8640"/>
          <w:tab w:val="left" w:pos="4320"/>
        </w:tabs>
        <w:jc w:val="center"/>
      </w:pPr>
    </w:p>
    <w:p w14:paraId="746C52D8" w14:textId="0898D277" w:rsidR="00454F99" w:rsidRPr="00E93A0E" w:rsidRDefault="000B2FEC" w:rsidP="00265E84">
      <w:pPr>
        <w:spacing w:line="480" w:lineRule="auto"/>
      </w:pPr>
      <w:r w:rsidRPr="0019456D">
        <w:tab/>
      </w:r>
      <w:r w:rsidR="00454F99" w:rsidRPr="00E93A0E">
        <w:t>I her</w:t>
      </w:r>
      <w:r w:rsidR="00454F99">
        <w:t>eby certify that a copy of the</w:t>
      </w:r>
      <w:r w:rsidR="006D65B7">
        <w:t xml:space="preserve"> </w:t>
      </w:r>
      <w:r w:rsidR="006D65B7" w:rsidRPr="002F5398">
        <w:rPr>
          <w:i/>
        </w:rPr>
        <w:t>for</w:t>
      </w:r>
      <w:r w:rsidR="00265E84" w:rsidRPr="002F5398">
        <w:rPr>
          <w:i/>
        </w:rPr>
        <w:t>e</w:t>
      </w:r>
      <w:r w:rsidR="006D65B7" w:rsidRPr="002F5398">
        <w:rPr>
          <w:i/>
        </w:rPr>
        <w:t xml:space="preserve">going </w:t>
      </w:r>
      <w:r w:rsidR="00265E84" w:rsidRPr="002F5398">
        <w:rPr>
          <w:i/>
        </w:rPr>
        <w:t>Motion To Enlarge The Time Period For Discovery, Motion To Require Expedited Responses To Discovery, Motion To Extend The Due Date For Filing Intervenor Testimony, Motion To Continue The Hearing Date, And Request For Expedited Rulings By The Office Of The Ohio Consumers’ Counsel</w:t>
      </w:r>
      <w:r w:rsidR="00217A43" w:rsidRPr="002F5398">
        <w:rPr>
          <w:b/>
          <w:i/>
        </w:rPr>
        <w:t xml:space="preserve"> </w:t>
      </w:r>
      <w:r w:rsidR="00454F99" w:rsidRPr="00E93A0E">
        <w:t xml:space="preserve">was served on the persons stated below via electronic service, this </w:t>
      </w:r>
      <w:r w:rsidR="000E6FB8">
        <w:t>1</w:t>
      </w:r>
      <w:r w:rsidR="00B62277">
        <w:t>8</w:t>
      </w:r>
      <w:r w:rsidR="000E6FB8" w:rsidRPr="000E6FB8">
        <w:rPr>
          <w:vertAlign w:val="superscript"/>
        </w:rPr>
        <w:t>th</w:t>
      </w:r>
      <w:r w:rsidR="000E6FB8">
        <w:t xml:space="preserve"> </w:t>
      </w:r>
      <w:r w:rsidR="00454F99" w:rsidRPr="00E93A0E">
        <w:t xml:space="preserve">day of </w:t>
      </w:r>
      <w:r w:rsidR="000E6FB8">
        <w:t xml:space="preserve">October </w:t>
      </w:r>
      <w:r w:rsidR="00454F99" w:rsidRPr="00E93A0E">
        <w:t>201</w:t>
      </w:r>
      <w:r w:rsidR="00454F99">
        <w:t>3</w:t>
      </w:r>
      <w:r w:rsidR="00454F99" w:rsidRPr="00E93A0E">
        <w:t>.</w:t>
      </w:r>
    </w:p>
    <w:p w14:paraId="7AB32C0A" w14:textId="77777777" w:rsidR="000B2FEC" w:rsidRPr="0019456D" w:rsidRDefault="000B2FEC" w:rsidP="0087251E"/>
    <w:p w14:paraId="46AD7A56" w14:textId="25D7128C" w:rsidR="000B2FEC" w:rsidRPr="0019456D" w:rsidRDefault="000B2FEC" w:rsidP="0087251E">
      <w:pPr>
        <w:tabs>
          <w:tab w:val="left" w:pos="4320"/>
        </w:tabs>
      </w:pPr>
      <w:r w:rsidRPr="0019456D">
        <w:tab/>
      </w:r>
      <w:r w:rsidR="002F5398">
        <w:rPr>
          <w:i/>
          <w:u w:val="single"/>
        </w:rPr>
        <w:t xml:space="preserve">/s/ </w:t>
      </w:r>
      <w:r w:rsidR="00D06183">
        <w:rPr>
          <w:i/>
          <w:u w:val="single"/>
        </w:rPr>
        <w:t>Edmund “</w:t>
      </w:r>
      <w:r w:rsidR="002F5398">
        <w:rPr>
          <w:i/>
          <w:u w:val="single"/>
        </w:rPr>
        <w:t>Tad</w:t>
      </w:r>
      <w:r w:rsidR="00D06183">
        <w:rPr>
          <w:i/>
          <w:u w:val="single"/>
        </w:rPr>
        <w:t>”</w:t>
      </w:r>
      <w:r w:rsidR="002F5398">
        <w:rPr>
          <w:i/>
          <w:u w:val="single"/>
        </w:rPr>
        <w:t xml:space="preserve"> Berger</w:t>
      </w:r>
      <w:r w:rsidRPr="0019456D">
        <w:rPr>
          <w:u w:val="single"/>
        </w:rPr>
        <w:t>                 </w:t>
      </w:r>
    </w:p>
    <w:p w14:paraId="083B1514" w14:textId="77777777" w:rsidR="000B2FEC" w:rsidRPr="0019456D" w:rsidRDefault="000B2FEC" w:rsidP="0087251E">
      <w:pPr>
        <w:tabs>
          <w:tab w:val="left" w:pos="4320"/>
        </w:tabs>
      </w:pPr>
      <w:r w:rsidRPr="0019456D">
        <w:tab/>
      </w:r>
      <w:r w:rsidR="000E6FB8">
        <w:t>Edmund “Tad” Berger</w:t>
      </w:r>
    </w:p>
    <w:p w14:paraId="5DA45FF4" w14:textId="77777777" w:rsidR="000B2FEC" w:rsidRPr="0019456D" w:rsidRDefault="000B2FEC" w:rsidP="0087251E">
      <w:pPr>
        <w:pStyle w:val="Footer"/>
        <w:tabs>
          <w:tab w:val="clear" w:pos="8640"/>
          <w:tab w:val="left" w:pos="4320"/>
        </w:tabs>
      </w:pPr>
      <w:r w:rsidRPr="0019456D">
        <w:tab/>
        <w:t>Assistant Consumers</w:t>
      </w:r>
      <w:r w:rsidR="00895B79">
        <w:t>’</w:t>
      </w:r>
      <w:r w:rsidRPr="0019456D">
        <w:t xml:space="preserve"> Counsel</w:t>
      </w:r>
    </w:p>
    <w:p w14:paraId="0601FC9E" w14:textId="77777777" w:rsidR="000B2FEC" w:rsidRDefault="000B2FEC" w:rsidP="0087251E">
      <w:pPr>
        <w:pStyle w:val="BodyTextIndent3"/>
        <w:spacing w:after="0"/>
        <w:ind w:left="0"/>
        <w:rPr>
          <w:sz w:val="24"/>
          <w:szCs w:val="24"/>
        </w:rPr>
      </w:pPr>
    </w:p>
    <w:p w14:paraId="1544FF3C" w14:textId="77777777" w:rsidR="000B2FEC" w:rsidRDefault="000B2FEC" w:rsidP="0087251E">
      <w:pPr>
        <w:tabs>
          <w:tab w:val="left" w:pos="4320"/>
        </w:tabs>
        <w:jc w:val="center"/>
        <w:rPr>
          <w:b/>
          <w:u w:val="single"/>
        </w:rPr>
      </w:pPr>
      <w:r>
        <w:rPr>
          <w:b/>
          <w:u w:val="single"/>
        </w:rPr>
        <w:t>PARTIES OF RECORD</w:t>
      </w:r>
    </w:p>
    <w:p w14:paraId="2B14A411" w14:textId="77777777" w:rsidR="002F5398" w:rsidRDefault="002F5398" w:rsidP="0087251E">
      <w:pPr>
        <w:tabs>
          <w:tab w:val="left" w:pos="4320"/>
        </w:tabs>
        <w:jc w:val="center"/>
        <w:rPr>
          <w:b/>
          <w:u w:val="single"/>
        </w:rPr>
      </w:pPr>
    </w:p>
    <w:p w14:paraId="02DF76C0" w14:textId="77777777" w:rsidR="002F5398" w:rsidRDefault="002F5398" w:rsidP="002F5398">
      <w:pPr>
        <w:pStyle w:val="CommentText"/>
        <w:jc w:val="center"/>
        <w:rPr>
          <w:b/>
          <w:szCs w:val="24"/>
          <w:u w:val="single"/>
        </w:rPr>
      </w:pPr>
      <w:r>
        <w:rPr>
          <w:b/>
          <w:szCs w:val="24"/>
          <w:u w:val="single"/>
        </w:rPr>
        <w:t xml:space="preserve"> </w:t>
      </w:r>
    </w:p>
    <w:tbl>
      <w:tblPr>
        <w:tblW w:w="0" w:type="auto"/>
        <w:tblLook w:val="01E0" w:firstRow="1" w:lastRow="1" w:firstColumn="1" w:lastColumn="1" w:noHBand="0" w:noVBand="0"/>
      </w:tblPr>
      <w:tblGrid>
        <w:gridCol w:w="4428"/>
        <w:gridCol w:w="4428"/>
      </w:tblGrid>
      <w:tr w:rsidR="002F5398" w14:paraId="1F60D39E" w14:textId="77777777" w:rsidTr="005C2686">
        <w:tc>
          <w:tcPr>
            <w:tcW w:w="4428" w:type="dxa"/>
            <w:shd w:val="clear" w:color="auto" w:fill="auto"/>
          </w:tcPr>
          <w:p w14:paraId="51DB689C" w14:textId="77777777" w:rsidR="002F5398" w:rsidRDefault="002F5398" w:rsidP="005C2686">
            <w:pPr>
              <w:tabs>
                <w:tab w:val="left" w:pos="-720"/>
              </w:tabs>
              <w:suppressAutoHyphens/>
              <w:spacing w:line="240" w:lineRule="atLeast"/>
              <w:rPr>
                <w:color w:val="000000"/>
              </w:rPr>
            </w:pPr>
            <w:r w:rsidRPr="001330CC">
              <w:rPr>
                <w:color w:val="000000"/>
              </w:rPr>
              <w:t xml:space="preserve">Thomas </w:t>
            </w:r>
            <w:r>
              <w:rPr>
                <w:color w:val="000000"/>
              </w:rPr>
              <w:t>Lindgren</w:t>
            </w:r>
          </w:p>
          <w:p w14:paraId="6948FFBD" w14:textId="77777777" w:rsidR="002F5398" w:rsidRPr="001330CC" w:rsidRDefault="002F5398" w:rsidP="005C2686">
            <w:pPr>
              <w:tabs>
                <w:tab w:val="left" w:pos="-720"/>
              </w:tabs>
              <w:suppressAutoHyphens/>
              <w:spacing w:line="240" w:lineRule="atLeast"/>
              <w:rPr>
                <w:color w:val="000000"/>
              </w:rPr>
            </w:pPr>
            <w:r>
              <w:rPr>
                <w:color w:val="000000"/>
              </w:rPr>
              <w:t>Ryan O’Rourke</w:t>
            </w:r>
          </w:p>
          <w:p w14:paraId="3087E90D" w14:textId="77777777" w:rsidR="002F5398" w:rsidRPr="001330CC" w:rsidRDefault="002F5398" w:rsidP="005C2686">
            <w:pPr>
              <w:tabs>
                <w:tab w:val="left" w:pos="-720"/>
              </w:tabs>
              <w:suppressAutoHyphens/>
              <w:spacing w:line="240" w:lineRule="atLeast"/>
              <w:rPr>
                <w:color w:val="000000"/>
              </w:rPr>
            </w:pPr>
            <w:r w:rsidRPr="001330CC">
              <w:rPr>
                <w:color w:val="000000"/>
              </w:rPr>
              <w:t xml:space="preserve">Attorney General’s Office </w:t>
            </w:r>
          </w:p>
          <w:p w14:paraId="69046712" w14:textId="77777777" w:rsidR="002F5398" w:rsidRPr="001330CC" w:rsidRDefault="002F5398" w:rsidP="005C2686">
            <w:pPr>
              <w:tabs>
                <w:tab w:val="left" w:pos="-720"/>
              </w:tabs>
              <w:suppressAutoHyphens/>
              <w:spacing w:line="240" w:lineRule="atLeast"/>
              <w:rPr>
                <w:color w:val="000000"/>
              </w:rPr>
            </w:pPr>
            <w:r w:rsidRPr="001330CC">
              <w:rPr>
                <w:color w:val="000000"/>
              </w:rPr>
              <w:t>Public Utilities Commission of Ohio</w:t>
            </w:r>
          </w:p>
          <w:p w14:paraId="68F30516" w14:textId="77777777" w:rsidR="002F5398" w:rsidRPr="001330CC" w:rsidRDefault="002F5398" w:rsidP="005C2686">
            <w:pPr>
              <w:tabs>
                <w:tab w:val="left" w:pos="-720"/>
              </w:tabs>
              <w:suppressAutoHyphens/>
              <w:spacing w:line="240" w:lineRule="atLeast"/>
              <w:rPr>
                <w:color w:val="000000"/>
              </w:rPr>
            </w:pPr>
            <w:r w:rsidRPr="001330CC">
              <w:rPr>
                <w:color w:val="000000"/>
              </w:rPr>
              <w:t>180 East Broad Street, 6</w:t>
            </w:r>
            <w:r w:rsidRPr="001330CC">
              <w:rPr>
                <w:color w:val="000000"/>
                <w:vertAlign w:val="superscript"/>
              </w:rPr>
              <w:t>th</w:t>
            </w:r>
            <w:r w:rsidRPr="001330CC">
              <w:rPr>
                <w:color w:val="000000"/>
              </w:rPr>
              <w:t xml:space="preserve"> Floor</w:t>
            </w:r>
          </w:p>
          <w:p w14:paraId="4E171E3E" w14:textId="77777777" w:rsidR="002F5398" w:rsidRDefault="002F5398" w:rsidP="005C2686">
            <w:pPr>
              <w:tabs>
                <w:tab w:val="left" w:pos="-720"/>
              </w:tabs>
              <w:suppressAutoHyphens/>
              <w:spacing w:line="240" w:lineRule="atLeast"/>
              <w:rPr>
                <w:color w:val="000000"/>
              </w:rPr>
            </w:pPr>
            <w:r w:rsidRPr="001330CC">
              <w:rPr>
                <w:color w:val="000000"/>
              </w:rPr>
              <w:t>Columbus, OH 43215</w:t>
            </w:r>
          </w:p>
          <w:p w14:paraId="67F01706" w14:textId="42F45F1B" w:rsidR="002F5398" w:rsidRDefault="00F70808" w:rsidP="005C2686">
            <w:pPr>
              <w:tabs>
                <w:tab w:val="left" w:pos="-720"/>
              </w:tabs>
              <w:suppressAutoHyphens/>
              <w:spacing w:line="240" w:lineRule="atLeast"/>
              <w:rPr>
                <w:rFonts w:eastAsia="Courier New"/>
              </w:rPr>
            </w:pPr>
            <w:hyperlink r:id="rId21" w:history="1">
              <w:r w:rsidR="00D06183" w:rsidRPr="00666BAA">
                <w:rPr>
                  <w:rStyle w:val="Hyperlink"/>
                  <w:rFonts w:eastAsia="Courier New"/>
                </w:rPr>
                <w:t>Thomas.lindgren@puc.state.oh.us</w:t>
              </w:r>
            </w:hyperlink>
          </w:p>
          <w:p w14:paraId="00B02D9B" w14:textId="5894A168" w:rsidR="002F5398" w:rsidRDefault="00F70808" w:rsidP="005C2686">
            <w:pPr>
              <w:tabs>
                <w:tab w:val="left" w:pos="-720"/>
              </w:tabs>
              <w:suppressAutoHyphens/>
              <w:spacing w:line="240" w:lineRule="atLeast"/>
              <w:rPr>
                <w:rFonts w:eastAsia="Courier New"/>
              </w:rPr>
            </w:pPr>
            <w:hyperlink r:id="rId22" w:history="1">
              <w:r w:rsidR="00D06183" w:rsidRPr="00666BAA">
                <w:rPr>
                  <w:rStyle w:val="Hyperlink"/>
                  <w:rFonts w:eastAsia="Courier New"/>
                </w:rPr>
                <w:t>Ryan.orourke@puc.state.oh.us</w:t>
              </w:r>
            </w:hyperlink>
          </w:p>
          <w:p w14:paraId="01D2406B" w14:textId="77777777" w:rsidR="002F5398" w:rsidRDefault="002F5398" w:rsidP="005C2686">
            <w:pPr>
              <w:autoSpaceDE w:val="0"/>
              <w:autoSpaceDN w:val="0"/>
              <w:adjustRightInd w:val="0"/>
              <w:rPr>
                <w:bCs/>
              </w:rPr>
            </w:pPr>
          </w:p>
          <w:p w14:paraId="79FE09AF" w14:textId="77777777" w:rsidR="002F5398" w:rsidRDefault="002F5398" w:rsidP="005C2686">
            <w:pPr>
              <w:autoSpaceDE w:val="0"/>
              <w:autoSpaceDN w:val="0"/>
              <w:adjustRightInd w:val="0"/>
              <w:rPr>
                <w:bCs/>
              </w:rPr>
            </w:pPr>
          </w:p>
          <w:p w14:paraId="21C6687C" w14:textId="77777777" w:rsidR="002F5398" w:rsidRDefault="002F5398" w:rsidP="005C2686">
            <w:pPr>
              <w:autoSpaceDE w:val="0"/>
              <w:autoSpaceDN w:val="0"/>
              <w:adjustRightInd w:val="0"/>
              <w:rPr>
                <w:bCs/>
              </w:rPr>
            </w:pPr>
            <w:r>
              <w:rPr>
                <w:bCs/>
              </w:rPr>
              <w:t>David F. Boehm</w:t>
            </w:r>
          </w:p>
          <w:p w14:paraId="53A32966" w14:textId="77777777" w:rsidR="002F5398" w:rsidRDefault="002F5398" w:rsidP="005C2686">
            <w:pPr>
              <w:autoSpaceDE w:val="0"/>
              <w:autoSpaceDN w:val="0"/>
              <w:adjustRightInd w:val="0"/>
              <w:rPr>
                <w:bCs/>
              </w:rPr>
            </w:pPr>
            <w:r>
              <w:rPr>
                <w:bCs/>
              </w:rPr>
              <w:t>Michael L. Kurtz</w:t>
            </w:r>
          </w:p>
          <w:p w14:paraId="35780B6B" w14:textId="77777777" w:rsidR="002F5398" w:rsidRPr="003E0316" w:rsidRDefault="002F5398" w:rsidP="005C2686">
            <w:pPr>
              <w:autoSpaceDE w:val="0"/>
              <w:autoSpaceDN w:val="0"/>
              <w:adjustRightInd w:val="0"/>
              <w:rPr>
                <w:bCs/>
              </w:rPr>
            </w:pPr>
            <w:r w:rsidRPr="003E0316">
              <w:rPr>
                <w:bCs/>
              </w:rPr>
              <w:t>Jody Kyler Cohn</w:t>
            </w:r>
          </w:p>
          <w:p w14:paraId="595AC7C9" w14:textId="77777777" w:rsidR="002F5398" w:rsidRPr="003E0316" w:rsidRDefault="002F5398" w:rsidP="005C2686">
            <w:pPr>
              <w:autoSpaceDE w:val="0"/>
              <w:autoSpaceDN w:val="0"/>
              <w:adjustRightInd w:val="0"/>
              <w:rPr>
                <w:bCs/>
              </w:rPr>
            </w:pPr>
            <w:r w:rsidRPr="003E0316">
              <w:rPr>
                <w:bCs/>
              </w:rPr>
              <w:t>Boehm, Kurtz &amp; Lowry</w:t>
            </w:r>
          </w:p>
          <w:p w14:paraId="0AAF418A" w14:textId="77777777" w:rsidR="002F5398" w:rsidRPr="003E0316" w:rsidRDefault="002F5398" w:rsidP="005C2686">
            <w:pPr>
              <w:autoSpaceDE w:val="0"/>
              <w:autoSpaceDN w:val="0"/>
              <w:adjustRightInd w:val="0"/>
              <w:rPr>
                <w:bCs/>
              </w:rPr>
            </w:pPr>
            <w:r w:rsidRPr="003E0316">
              <w:rPr>
                <w:bCs/>
              </w:rPr>
              <w:t>36 East Seventh Street, Suite 1510</w:t>
            </w:r>
          </w:p>
          <w:p w14:paraId="0072049B" w14:textId="77777777" w:rsidR="002F5398" w:rsidRPr="003E0316" w:rsidRDefault="002F5398" w:rsidP="005C2686">
            <w:pPr>
              <w:autoSpaceDE w:val="0"/>
              <w:autoSpaceDN w:val="0"/>
              <w:adjustRightInd w:val="0"/>
              <w:rPr>
                <w:bCs/>
              </w:rPr>
            </w:pPr>
            <w:r w:rsidRPr="003E0316">
              <w:rPr>
                <w:bCs/>
              </w:rPr>
              <w:t>Cincinnati, Ohio 45202</w:t>
            </w:r>
          </w:p>
          <w:p w14:paraId="31276E00" w14:textId="2E9EA169" w:rsidR="002F5398" w:rsidRDefault="00F70808" w:rsidP="005C2686">
            <w:pPr>
              <w:autoSpaceDE w:val="0"/>
              <w:autoSpaceDN w:val="0"/>
              <w:adjustRightInd w:val="0"/>
              <w:rPr>
                <w:rFonts w:eastAsia="Courier New"/>
                <w:bCs/>
              </w:rPr>
            </w:pPr>
            <w:hyperlink r:id="rId23" w:history="1">
              <w:r w:rsidR="00D06183" w:rsidRPr="00666BAA">
                <w:rPr>
                  <w:rStyle w:val="Hyperlink"/>
                  <w:rFonts w:eastAsia="Courier New"/>
                  <w:bCs/>
                </w:rPr>
                <w:t>dboehm@BKLlawfirm.com</w:t>
              </w:r>
            </w:hyperlink>
          </w:p>
          <w:p w14:paraId="50B3B89D" w14:textId="5F286009" w:rsidR="002F5398" w:rsidRDefault="00F70808" w:rsidP="005C2686">
            <w:pPr>
              <w:autoSpaceDE w:val="0"/>
              <w:autoSpaceDN w:val="0"/>
              <w:adjustRightInd w:val="0"/>
              <w:rPr>
                <w:rFonts w:eastAsia="Courier New"/>
                <w:bCs/>
              </w:rPr>
            </w:pPr>
            <w:hyperlink r:id="rId24" w:history="1">
              <w:r w:rsidR="00D06183" w:rsidRPr="00666BAA">
                <w:rPr>
                  <w:rStyle w:val="Hyperlink"/>
                  <w:rFonts w:eastAsia="Courier New"/>
                  <w:bCs/>
                </w:rPr>
                <w:t>mkurtz@BKLlawfirm.com</w:t>
              </w:r>
            </w:hyperlink>
          </w:p>
          <w:p w14:paraId="19BE305F" w14:textId="1DF1E354" w:rsidR="002F5398" w:rsidRDefault="00F70808" w:rsidP="005C2686">
            <w:pPr>
              <w:autoSpaceDE w:val="0"/>
              <w:autoSpaceDN w:val="0"/>
              <w:adjustRightInd w:val="0"/>
              <w:rPr>
                <w:rFonts w:eastAsia="Courier New"/>
                <w:bCs/>
              </w:rPr>
            </w:pPr>
            <w:hyperlink r:id="rId25" w:history="1">
              <w:r w:rsidR="00D06183" w:rsidRPr="00666BAA">
                <w:rPr>
                  <w:rStyle w:val="Hyperlink"/>
                  <w:rFonts w:eastAsia="Courier New"/>
                  <w:bCs/>
                </w:rPr>
                <w:t>jkylercohn@BKLlawfirm.com</w:t>
              </w:r>
            </w:hyperlink>
          </w:p>
          <w:p w14:paraId="305279C4" w14:textId="77777777" w:rsidR="002F5398" w:rsidRDefault="002F5398" w:rsidP="005C2686">
            <w:pPr>
              <w:autoSpaceDE w:val="0"/>
              <w:autoSpaceDN w:val="0"/>
              <w:adjustRightInd w:val="0"/>
              <w:rPr>
                <w:bCs/>
              </w:rPr>
            </w:pPr>
          </w:p>
          <w:p w14:paraId="67161218" w14:textId="77777777" w:rsidR="002F5398" w:rsidRDefault="002F5398" w:rsidP="005C2686">
            <w:pPr>
              <w:autoSpaceDE w:val="0"/>
              <w:autoSpaceDN w:val="0"/>
              <w:adjustRightInd w:val="0"/>
              <w:rPr>
                <w:bCs/>
              </w:rPr>
            </w:pPr>
          </w:p>
          <w:p w14:paraId="54C0FDE8" w14:textId="435FEE0E" w:rsidR="002F5398" w:rsidRDefault="002F5398" w:rsidP="005C2686">
            <w:pPr>
              <w:autoSpaceDE w:val="0"/>
              <w:autoSpaceDN w:val="0"/>
              <w:adjustRightInd w:val="0"/>
              <w:rPr>
                <w:bCs/>
              </w:rPr>
            </w:pPr>
            <w:r>
              <w:rPr>
                <w:bCs/>
              </w:rPr>
              <w:t xml:space="preserve">AEs:  </w:t>
            </w:r>
            <w:hyperlink r:id="rId26" w:history="1">
              <w:r w:rsidR="00D06183" w:rsidRPr="00666BAA">
                <w:rPr>
                  <w:rStyle w:val="Hyperlink"/>
                  <w:bCs/>
                </w:rPr>
                <w:t>Sarah.parrot@puc.state.oh.us</w:t>
              </w:r>
            </w:hyperlink>
          </w:p>
          <w:p w14:paraId="0AD9894C" w14:textId="15E2604C" w:rsidR="002F5398" w:rsidRDefault="002F5398" w:rsidP="005C2686">
            <w:pPr>
              <w:autoSpaceDE w:val="0"/>
              <w:autoSpaceDN w:val="0"/>
              <w:adjustRightInd w:val="0"/>
              <w:rPr>
                <w:bCs/>
              </w:rPr>
            </w:pPr>
            <w:r>
              <w:rPr>
                <w:bCs/>
              </w:rPr>
              <w:t xml:space="preserve">          </w:t>
            </w:r>
            <w:hyperlink r:id="rId27" w:history="1">
              <w:r w:rsidR="00D06183" w:rsidRPr="00666BAA">
                <w:rPr>
                  <w:rStyle w:val="Hyperlink"/>
                  <w:bCs/>
                </w:rPr>
                <w:t>Jonathan.tauber@puc.state.oh.us</w:t>
              </w:r>
            </w:hyperlink>
          </w:p>
          <w:p w14:paraId="5674DE2F" w14:textId="77777777" w:rsidR="002F5398" w:rsidRDefault="002F5398" w:rsidP="005C2686">
            <w:pPr>
              <w:autoSpaceDE w:val="0"/>
              <w:autoSpaceDN w:val="0"/>
              <w:adjustRightInd w:val="0"/>
              <w:rPr>
                <w:bCs/>
              </w:rPr>
            </w:pPr>
          </w:p>
        </w:tc>
        <w:tc>
          <w:tcPr>
            <w:tcW w:w="4428" w:type="dxa"/>
            <w:shd w:val="clear" w:color="auto" w:fill="auto"/>
          </w:tcPr>
          <w:p w14:paraId="5C7C860B" w14:textId="77777777" w:rsidR="002F5398" w:rsidRPr="0091287F" w:rsidRDefault="002F5398" w:rsidP="005C2686">
            <w:pPr>
              <w:autoSpaceDE w:val="0"/>
              <w:autoSpaceDN w:val="0"/>
              <w:adjustRightInd w:val="0"/>
              <w:rPr>
                <w:bCs/>
              </w:rPr>
            </w:pPr>
            <w:r w:rsidRPr="0091287F">
              <w:rPr>
                <w:bCs/>
              </w:rPr>
              <w:t>Steven T. Nourse</w:t>
            </w:r>
          </w:p>
          <w:p w14:paraId="302F2D16" w14:textId="77777777" w:rsidR="002F5398" w:rsidRPr="0091287F" w:rsidRDefault="002F5398" w:rsidP="005C2686">
            <w:pPr>
              <w:autoSpaceDE w:val="0"/>
              <w:autoSpaceDN w:val="0"/>
              <w:adjustRightInd w:val="0"/>
              <w:rPr>
                <w:bCs/>
              </w:rPr>
            </w:pPr>
            <w:r w:rsidRPr="0091287F">
              <w:rPr>
                <w:bCs/>
              </w:rPr>
              <w:t>Yazen Alami</w:t>
            </w:r>
          </w:p>
          <w:p w14:paraId="1CE17DB6" w14:textId="77777777" w:rsidR="002F5398" w:rsidRPr="0091287F" w:rsidRDefault="002F5398" w:rsidP="005C2686">
            <w:pPr>
              <w:autoSpaceDE w:val="0"/>
              <w:autoSpaceDN w:val="0"/>
              <w:adjustRightInd w:val="0"/>
              <w:rPr>
                <w:bCs/>
              </w:rPr>
            </w:pPr>
            <w:r w:rsidRPr="0091287F">
              <w:rPr>
                <w:bCs/>
              </w:rPr>
              <w:t>American Electric Power Service Corporation</w:t>
            </w:r>
          </w:p>
          <w:p w14:paraId="11A064FE" w14:textId="77777777" w:rsidR="002F5398" w:rsidRPr="0091287F" w:rsidRDefault="002F5398" w:rsidP="005C2686">
            <w:pPr>
              <w:autoSpaceDE w:val="0"/>
              <w:autoSpaceDN w:val="0"/>
              <w:adjustRightInd w:val="0"/>
              <w:rPr>
                <w:bCs/>
              </w:rPr>
            </w:pPr>
            <w:r w:rsidRPr="0091287F">
              <w:rPr>
                <w:bCs/>
              </w:rPr>
              <w:t>1 Riverside Plaza, 29th Floor</w:t>
            </w:r>
          </w:p>
          <w:p w14:paraId="514F2EC0" w14:textId="77777777" w:rsidR="002F5398" w:rsidRPr="0091287F" w:rsidRDefault="002F5398" w:rsidP="005C2686">
            <w:pPr>
              <w:autoSpaceDE w:val="0"/>
              <w:autoSpaceDN w:val="0"/>
              <w:adjustRightInd w:val="0"/>
              <w:rPr>
                <w:bCs/>
              </w:rPr>
            </w:pPr>
            <w:r w:rsidRPr="0091287F">
              <w:rPr>
                <w:bCs/>
              </w:rPr>
              <w:t>Columbus, Ohio 43215</w:t>
            </w:r>
          </w:p>
          <w:p w14:paraId="65C16AB8" w14:textId="074454D9" w:rsidR="002F5398" w:rsidRDefault="00F70808" w:rsidP="005C2686">
            <w:pPr>
              <w:autoSpaceDE w:val="0"/>
              <w:autoSpaceDN w:val="0"/>
              <w:adjustRightInd w:val="0"/>
              <w:rPr>
                <w:rFonts w:eastAsia="Courier New"/>
                <w:bCs/>
              </w:rPr>
            </w:pPr>
            <w:hyperlink r:id="rId28" w:history="1">
              <w:r w:rsidR="00D06183" w:rsidRPr="00666BAA">
                <w:rPr>
                  <w:rStyle w:val="Hyperlink"/>
                  <w:rFonts w:eastAsia="Courier New"/>
                  <w:bCs/>
                </w:rPr>
                <w:t>stnourse@aep.com</w:t>
              </w:r>
            </w:hyperlink>
          </w:p>
          <w:p w14:paraId="4827EF0F" w14:textId="66231218" w:rsidR="002F5398" w:rsidRDefault="00F70808" w:rsidP="005C2686">
            <w:pPr>
              <w:autoSpaceDE w:val="0"/>
              <w:autoSpaceDN w:val="0"/>
              <w:adjustRightInd w:val="0"/>
              <w:rPr>
                <w:rFonts w:eastAsia="Courier New"/>
                <w:bCs/>
              </w:rPr>
            </w:pPr>
            <w:hyperlink r:id="rId29" w:history="1">
              <w:r w:rsidR="00D06183" w:rsidRPr="00666BAA">
                <w:rPr>
                  <w:rStyle w:val="Hyperlink"/>
                  <w:rFonts w:eastAsia="Courier New"/>
                  <w:bCs/>
                </w:rPr>
                <w:t>yalami@aep.com</w:t>
              </w:r>
            </w:hyperlink>
          </w:p>
          <w:p w14:paraId="3F0AE09A" w14:textId="77777777" w:rsidR="002F5398" w:rsidRDefault="002F5398" w:rsidP="005C2686">
            <w:pPr>
              <w:autoSpaceDE w:val="0"/>
              <w:autoSpaceDN w:val="0"/>
              <w:adjustRightInd w:val="0"/>
              <w:rPr>
                <w:bCs/>
              </w:rPr>
            </w:pPr>
          </w:p>
          <w:p w14:paraId="78F7205C" w14:textId="77777777" w:rsidR="003577A9" w:rsidRDefault="003577A9" w:rsidP="005C2686">
            <w:pPr>
              <w:autoSpaceDE w:val="0"/>
              <w:autoSpaceDN w:val="0"/>
              <w:adjustRightInd w:val="0"/>
            </w:pPr>
          </w:p>
          <w:p w14:paraId="1F5738BB" w14:textId="3D9093D5" w:rsidR="002F5398" w:rsidRPr="003577A9" w:rsidRDefault="009C4C9A" w:rsidP="005C2686">
            <w:pPr>
              <w:autoSpaceDE w:val="0"/>
              <w:autoSpaceDN w:val="0"/>
              <w:adjustRightInd w:val="0"/>
              <w:rPr>
                <w:bCs/>
              </w:rPr>
            </w:pPr>
            <w:r w:rsidRPr="003577A9">
              <w:t>Samuel C. Randazzo</w:t>
            </w:r>
          </w:p>
          <w:p w14:paraId="70282E08" w14:textId="77777777" w:rsidR="002F5398" w:rsidRPr="00D17B56" w:rsidRDefault="002F5398" w:rsidP="005C2686">
            <w:pPr>
              <w:autoSpaceDE w:val="0"/>
              <w:autoSpaceDN w:val="0"/>
              <w:adjustRightInd w:val="0"/>
            </w:pPr>
            <w:r w:rsidRPr="00D17B56">
              <w:t>Frank P. Darr</w:t>
            </w:r>
          </w:p>
          <w:p w14:paraId="507AC96A" w14:textId="77777777" w:rsidR="002F5398" w:rsidRPr="00D17B56" w:rsidRDefault="002F5398" w:rsidP="005C2686">
            <w:pPr>
              <w:autoSpaceDE w:val="0"/>
              <w:autoSpaceDN w:val="0"/>
              <w:adjustRightInd w:val="0"/>
            </w:pPr>
            <w:r w:rsidRPr="00D17B56">
              <w:t>Joseph E. Oliker</w:t>
            </w:r>
          </w:p>
          <w:p w14:paraId="118DBF8D" w14:textId="77777777" w:rsidR="002F5398" w:rsidRPr="00D17B56" w:rsidRDefault="002F5398" w:rsidP="005C2686">
            <w:pPr>
              <w:autoSpaceDE w:val="0"/>
              <w:autoSpaceDN w:val="0"/>
              <w:adjustRightInd w:val="0"/>
            </w:pPr>
            <w:r w:rsidRPr="00D17B56">
              <w:t>Matthew R. Pritchard</w:t>
            </w:r>
          </w:p>
          <w:p w14:paraId="05FA481D" w14:textId="77777777" w:rsidR="002F5398" w:rsidRPr="00D17B56" w:rsidRDefault="002F5398" w:rsidP="005C2686">
            <w:pPr>
              <w:autoSpaceDE w:val="0"/>
              <w:autoSpaceDN w:val="0"/>
              <w:adjustRightInd w:val="0"/>
            </w:pPr>
            <w:r w:rsidRPr="00D17B56">
              <w:t>Mc</w:t>
            </w:r>
            <w:r>
              <w:t>N</w:t>
            </w:r>
            <w:r w:rsidRPr="00D17B56">
              <w:t>ees Wallace &amp; Nurick LLC</w:t>
            </w:r>
          </w:p>
          <w:p w14:paraId="6DAD2360" w14:textId="77777777" w:rsidR="002F5398" w:rsidRPr="00D17B56" w:rsidRDefault="002F5398" w:rsidP="005C2686">
            <w:pPr>
              <w:autoSpaceDE w:val="0"/>
              <w:autoSpaceDN w:val="0"/>
              <w:adjustRightInd w:val="0"/>
            </w:pPr>
            <w:r w:rsidRPr="00D17B56">
              <w:t>21 East State Street, 17th Floor</w:t>
            </w:r>
          </w:p>
          <w:p w14:paraId="26330579" w14:textId="77777777" w:rsidR="002F5398" w:rsidRPr="00D17B56" w:rsidRDefault="002F5398" w:rsidP="005C2686">
            <w:pPr>
              <w:autoSpaceDE w:val="0"/>
              <w:autoSpaceDN w:val="0"/>
              <w:adjustRightInd w:val="0"/>
            </w:pPr>
            <w:r w:rsidRPr="00D17B56">
              <w:t>Columbus, OH 43215-4228</w:t>
            </w:r>
          </w:p>
          <w:p w14:paraId="0E65C681" w14:textId="74036C09" w:rsidR="002F5398" w:rsidRDefault="00F70808" w:rsidP="005C2686">
            <w:pPr>
              <w:autoSpaceDE w:val="0"/>
              <w:autoSpaceDN w:val="0"/>
              <w:adjustRightInd w:val="0"/>
              <w:rPr>
                <w:rFonts w:eastAsia="Courier New"/>
              </w:rPr>
            </w:pPr>
            <w:hyperlink r:id="rId30" w:history="1">
              <w:r w:rsidR="00D06183" w:rsidRPr="00666BAA">
                <w:rPr>
                  <w:rStyle w:val="Hyperlink"/>
                  <w:rFonts w:eastAsia="Courier New"/>
                </w:rPr>
                <w:t>sam@mwncmh.com</w:t>
              </w:r>
            </w:hyperlink>
          </w:p>
          <w:p w14:paraId="717D0AA4" w14:textId="5A198CF8" w:rsidR="002F5398" w:rsidRDefault="00F70808" w:rsidP="005C2686">
            <w:pPr>
              <w:autoSpaceDE w:val="0"/>
              <w:autoSpaceDN w:val="0"/>
              <w:adjustRightInd w:val="0"/>
              <w:rPr>
                <w:rFonts w:eastAsia="Courier New"/>
              </w:rPr>
            </w:pPr>
            <w:hyperlink r:id="rId31" w:history="1">
              <w:r w:rsidR="00D06183" w:rsidRPr="00666BAA">
                <w:rPr>
                  <w:rStyle w:val="Hyperlink"/>
                  <w:rFonts w:eastAsia="Courier New"/>
                </w:rPr>
                <w:t>fdarr@mwncmh.com</w:t>
              </w:r>
            </w:hyperlink>
          </w:p>
          <w:p w14:paraId="650E363A" w14:textId="25B47DD6" w:rsidR="002F5398" w:rsidRDefault="00F70808" w:rsidP="005C2686">
            <w:pPr>
              <w:autoSpaceDE w:val="0"/>
              <w:autoSpaceDN w:val="0"/>
              <w:adjustRightInd w:val="0"/>
              <w:rPr>
                <w:rFonts w:eastAsia="Courier New"/>
              </w:rPr>
            </w:pPr>
            <w:hyperlink r:id="rId32" w:history="1">
              <w:r w:rsidR="00D06183" w:rsidRPr="00666BAA">
                <w:rPr>
                  <w:rStyle w:val="Hyperlink"/>
                  <w:rFonts w:eastAsia="Courier New"/>
                </w:rPr>
                <w:t>joliker@mwncmh.com</w:t>
              </w:r>
            </w:hyperlink>
          </w:p>
          <w:p w14:paraId="6D434AA0" w14:textId="607F8D92" w:rsidR="002F5398" w:rsidRDefault="00F70808" w:rsidP="005C2686">
            <w:pPr>
              <w:autoSpaceDE w:val="0"/>
              <w:autoSpaceDN w:val="0"/>
              <w:adjustRightInd w:val="0"/>
              <w:rPr>
                <w:rFonts w:eastAsia="Courier New"/>
              </w:rPr>
            </w:pPr>
            <w:hyperlink r:id="rId33" w:history="1">
              <w:r w:rsidR="00D06183" w:rsidRPr="00666BAA">
                <w:rPr>
                  <w:rStyle w:val="Hyperlink"/>
                  <w:rFonts w:eastAsia="Courier New"/>
                </w:rPr>
                <w:t>mpritchard@mwncmh.com</w:t>
              </w:r>
            </w:hyperlink>
          </w:p>
          <w:p w14:paraId="549D5BF3" w14:textId="77777777" w:rsidR="00D06183" w:rsidRPr="00D17B56" w:rsidRDefault="00D06183" w:rsidP="005C2686">
            <w:pPr>
              <w:autoSpaceDE w:val="0"/>
              <w:autoSpaceDN w:val="0"/>
              <w:adjustRightInd w:val="0"/>
            </w:pPr>
          </w:p>
          <w:p w14:paraId="4992CA1F" w14:textId="77777777" w:rsidR="002F5398" w:rsidRDefault="002F5398" w:rsidP="005C2686">
            <w:pPr>
              <w:autoSpaceDE w:val="0"/>
              <w:autoSpaceDN w:val="0"/>
              <w:adjustRightInd w:val="0"/>
              <w:rPr>
                <w:bCs/>
              </w:rPr>
            </w:pPr>
          </w:p>
        </w:tc>
      </w:tr>
    </w:tbl>
    <w:p w14:paraId="51E6F824" w14:textId="77777777" w:rsidR="002F5398" w:rsidRDefault="002F5398" w:rsidP="0087251E">
      <w:pPr>
        <w:tabs>
          <w:tab w:val="left" w:pos="4320"/>
        </w:tabs>
        <w:jc w:val="center"/>
        <w:rPr>
          <w:b/>
          <w:u w:val="single"/>
        </w:rPr>
      </w:pPr>
    </w:p>
    <w:sectPr w:rsidR="002F5398" w:rsidSect="00F52ACF">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1BD6" w14:textId="77777777" w:rsidR="0073700E" w:rsidRDefault="0073700E">
      <w:r>
        <w:separator/>
      </w:r>
    </w:p>
  </w:endnote>
  <w:endnote w:type="continuationSeparator" w:id="0">
    <w:p w14:paraId="392B44AD" w14:textId="77777777" w:rsidR="0073700E" w:rsidRDefault="0073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AB04" w14:textId="77777777" w:rsidR="001921F2" w:rsidRDefault="001921F2" w:rsidP="00585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394">
      <w:rPr>
        <w:rStyle w:val="PageNumber"/>
        <w:noProof/>
      </w:rPr>
      <w:t>1</w:t>
    </w:r>
    <w:r>
      <w:rPr>
        <w:rStyle w:val="PageNumber"/>
      </w:rPr>
      <w:fldChar w:fldCharType="end"/>
    </w:r>
  </w:p>
  <w:p w14:paraId="795B9F1A" w14:textId="77777777" w:rsidR="001921F2" w:rsidRDefault="00192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F43E0" w14:textId="77777777" w:rsidR="001921F2" w:rsidRDefault="001921F2" w:rsidP="000B2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0808">
      <w:rPr>
        <w:rStyle w:val="PageNumber"/>
        <w:noProof/>
      </w:rPr>
      <w:t>2</w:t>
    </w:r>
    <w:r>
      <w:rPr>
        <w:rStyle w:val="PageNumber"/>
      </w:rPr>
      <w:fldChar w:fldCharType="end"/>
    </w:r>
  </w:p>
  <w:p w14:paraId="679BF563" w14:textId="77777777" w:rsidR="001921F2" w:rsidRDefault="00192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877E" w14:textId="77777777" w:rsidR="008A6ADF" w:rsidRDefault="008A6A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388B" w14:textId="77777777" w:rsidR="001921F2" w:rsidRDefault="001921F2">
    <w:pPr>
      <w:pStyle w:val="Footer"/>
      <w:jc w:val="center"/>
    </w:pPr>
    <w:r>
      <w:fldChar w:fldCharType="begin"/>
    </w:r>
    <w:r>
      <w:instrText xml:space="preserve"> PAGE   \* MERGEFORMAT </w:instrText>
    </w:r>
    <w:r>
      <w:fldChar w:fldCharType="separate"/>
    </w:r>
    <w:r w:rsidR="008A6ADF">
      <w:rPr>
        <w:noProof/>
      </w:rPr>
      <w:t>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2EDB" w14:textId="77777777" w:rsidR="001921F2" w:rsidRDefault="00192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394">
      <w:rPr>
        <w:rStyle w:val="PageNumber"/>
        <w:noProof/>
      </w:rPr>
      <w:t>i</w:t>
    </w:r>
    <w:r>
      <w:rPr>
        <w:rStyle w:val="PageNumber"/>
      </w:rPr>
      <w:fldChar w:fldCharType="end"/>
    </w:r>
  </w:p>
  <w:p w14:paraId="413760F3" w14:textId="77777777" w:rsidR="001921F2" w:rsidRDefault="00192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BCCD4" w14:textId="77777777" w:rsidR="0073700E" w:rsidRDefault="0073700E">
      <w:r>
        <w:separator/>
      </w:r>
    </w:p>
  </w:footnote>
  <w:footnote w:type="continuationSeparator" w:id="0">
    <w:p w14:paraId="02269CCF" w14:textId="77777777" w:rsidR="0073700E" w:rsidRDefault="0073700E">
      <w:r>
        <w:continuationSeparator/>
      </w:r>
    </w:p>
  </w:footnote>
  <w:footnote w:id="1">
    <w:p w14:paraId="5BA1F160" w14:textId="77777777" w:rsidR="001921F2" w:rsidRDefault="001921F2">
      <w:pPr>
        <w:pStyle w:val="FootnoteText"/>
      </w:pPr>
      <w:r>
        <w:rPr>
          <w:rStyle w:val="FootnoteReference"/>
        </w:rPr>
        <w:footnoteRef/>
      </w:r>
      <w:r>
        <w:t xml:space="preserve"> Ohio Adm. Code 4901-1-12.</w:t>
      </w:r>
    </w:p>
  </w:footnote>
  <w:footnote w:id="2">
    <w:p w14:paraId="6EB5D0C2" w14:textId="487FD883" w:rsidR="001921F2" w:rsidRDefault="001921F2">
      <w:pPr>
        <w:pStyle w:val="FootnoteText"/>
      </w:pPr>
      <w:r>
        <w:rPr>
          <w:rStyle w:val="FootnoteReference"/>
        </w:rPr>
        <w:footnoteRef/>
      </w:r>
      <w:r>
        <w:t xml:space="preserve"> Please note that OCC’s witness is not available from November 5, 2013 through November 15, 2013.</w:t>
      </w:r>
      <w:r w:rsidR="00810C1C">
        <w:t xml:space="preserve">  Additionally, hearings in AEP’s FAC case begin on November 18, 2013, creating conflicts for other counsel in the period prior to Thanksgiving.  Thus, OCC is proposing a hearing to commence after Thanksgiving.</w:t>
      </w:r>
    </w:p>
  </w:footnote>
  <w:footnote w:id="3">
    <w:p w14:paraId="50168276" w14:textId="77777777" w:rsidR="001921F2" w:rsidRDefault="001921F2">
      <w:pPr>
        <w:pStyle w:val="FootnoteText"/>
      </w:pPr>
      <w:r>
        <w:rPr>
          <w:rStyle w:val="FootnoteReference"/>
        </w:rPr>
        <w:footnoteRef/>
      </w:r>
      <w:r>
        <w:t xml:space="preserve"> Ohio Adm. Code 4901-1-12 (C).</w:t>
      </w:r>
    </w:p>
  </w:footnote>
  <w:footnote w:id="4">
    <w:p w14:paraId="4452903E" w14:textId="67D263BC" w:rsidR="00BB249F" w:rsidRDefault="00BB249F">
      <w:pPr>
        <w:pStyle w:val="FootnoteText"/>
      </w:pPr>
      <w:r>
        <w:rPr>
          <w:rStyle w:val="FootnoteReference"/>
        </w:rPr>
        <w:footnoteRef/>
      </w:r>
      <w:r>
        <w:t xml:space="preserve"> Although O.A.C. 4901-1-12(C) provides an objecting party with seven days to file a Memorandum Contra, O.A.C. 4901-1-12(F) provides that the “</w:t>
      </w:r>
      <w:r w:rsidRPr="00BB249F">
        <w:t>the commission, the legal director, the deputy legal director, or the attorney examiner may, upon their own motion, issue an expedited ruling on any motion, with or without the filing of memoranda, where the issuance of such a ruling will not adversely affect a substantial right of any party.</w:t>
      </w:r>
      <w:r>
        <w:t>”</w:t>
      </w:r>
    </w:p>
  </w:footnote>
  <w:footnote w:id="5">
    <w:p w14:paraId="0A97B692" w14:textId="660FDC9C" w:rsidR="001921F2" w:rsidRDefault="001921F2">
      <w:pPr>
        <w:pStyle w:val="FootnoteText"/>
      </w:pPr>
      <w:r>
        <w:rPr>
          <w:rStyle w:val="FootnoteReference"/>
        </w:rPr>
        <w:footnoteRef/>
      </w:r>
      <w:r>
        <w:t xml:space="preserve"> O.A.C. 4901:1-36-04(C)</w:t>
      </w:r>
      <w:r w:rsidR="002F5398">
        <w:t>.</w:t>
      </w:r>
    </w:p>
  </w:footnote>
  <w:footnote w:id="6">
    <w:p w14:paraId="7943C060" w14:textId="77777777" w:rsidR="001921F2" w:rsidRDefault="001921F2" w:rsidP="00AD6572">
      <w:pPr>
        <w:pStyle w:val="FootnoteText"/>
      </w:pPr>
      <w:r>
        <w:rPr>
          <w:rStyle w:val="FootnoteReference"/>
        </w:rPr>
        <w:footnoteRef/>
      </w:r>
      <w:r>
        <w:t xml:space="preserve"> O.A.C. 4901:1-36-04(C).</w:t>
      </w:r>
    </w:p>
  </w:footnote>
  <w:footnote w:id="7">
    <w:p w14:paraId="37380BB3" w14:textId="77777777" w:rsidR="001921F2" w:rsidRPr="007022B4" w:rsidRDefault="001921F2" w:rsidP="00AD6572">
      <w:pPr>
        <w:pStyle w:val="FootnoteText"/>
        <w:rPr>
          <w:i/>
        </w:rPr>
      </w:pPr>
      <w:r>
        <w:rPr>
          <w:rStyle w:val="FootnoteReference"/>
        </w:rPr>
        <w:footnoteRef/>
      </w:r>
      <w:r>
        <w:t xml:space="preserve"> </w:t>
      </w:r>
      <w:r>
        <w:rPr>
          <w:i/>
        </w:rPr>
        <w:t>Id. (emphasis added).</w:t>
      </w:r>
    </w:p>
  </w:footnote>
  <w:footnote w:id="8">
    <w:p w14:paraId="7C25B05C" w14:textId="77777777" w:rsidR="001921F2" w:rsidRDefault="001921F2" w:rsidP="00AD6572">
      <w:pPr>
        <w:pStyle w:val="FootnoteText"/>
      </w:pPr>
      <w:r>
        <w:rPr>
          <w:rStyle w:val="FootnoteReference"/>
        </w:rPr>
        <w:footnoteRef/>
      </w:r>
      <w:r>
        <w:t xml:space="preserve"> </w:t>
      </w:r>
      <w:r w:rsidRPr="00D92C06">
        <w:rPr>
          <w:i/>
        </w:rPr>
        <w:t>In the matter of the application of Columbus Southern Power Company and Ohio Power Company to adjust the transmission component of each company's standard service tariff and to combine that component with its transmission cost recovery rider</w:t>
      </w:r>
      <w:r>
        <w:t>, Case No. 06-273-EL-UNC, Direct Testimony of David Roush at 6 (Filed February 3, 2006).</w:t>
      </w:r>
    </w:p>
  </w:footnote>
  <w:footnote w:id="9">
    <w:p w14:paraId="4CEBAD8F" w14:textId="77777777" w:rsidR="001921F2" w:rsidRDefault="001921F2" w:rsidP="00AD6572">
      <w:pPr>
        <w:pStyle w:val="FootnoteText"/>
      </w:pPr>
      <w:r w:rsidRPr="0027618A">
        <w:rPr>
          <w:rStyle w:val="FootnoteReference"/>
          <w:i/>
        </w:rPr>
        <w:footnoteRef/>
      </w:r>
      <w:r w:rsidRPr="0027618A">
        <w:rPr>
          <w:i/>
        </w:rPr>
        <w:t xml:space="preserve"> In the Matter of the Adoption of Rules for Standard Service Offer, Corporate Separation, Reasonable Arrangements, and Transmission Riders for Electric Utilities Pursuant to Sections 4928,14, 4928.17, and 4905.31, Revised Code, as amended by Amended Substitute Senate Bill No. 221</w:t>
      </w:r>
      <w:r>
        <w:rPr>
          <w:i/>
        </w:rPr>
        <w:t xml:space="preserve">, </w:t>
      </w:r>
      <w:r>
        <w:t>Case No. 08-777-EL-ORD, Opinion and Order at 12, 2008 Ohio PUC LEXIS 630 (PUC Ohio September 17, 2008).</w:t>
      </w:r>
    </w:p>
  </w:footnote>
  <w:footnote w:id="10">
    <w:p w14:paraId="51D0A1B1" w14:textId="77777777" w:rsidR="00C56F9A" w:rsidRDefault="00C56F9A" w:rsidP="00C56F9A">
      <w:pPr>
        <w:pStyle w:val="FootnoteText"/>
      </w:pPr>
      <w:r>
        <w:rPr>
          <w:rStyle w:val="FootnoteReference"/>
        </w:rPr>
        <w:footnoteRef/>
      </w:r>
      <w:r>
        <w:t xml:space="preserve"> OPC’s application stated the following:</w:t>
      </w:r>
    </w:p>
    <w:p w14:paraId="275F4BC5" w14:textId="378F539F" w:rsidR="00C56F9A" w:rsidRPr="00C7327D" w:rsidRDefault="00C56F9A" w:rsidP="00A115D3">
      <w:pPr>
        <w:pStyle w:val="FootnoteText"/>
        <w:ind w:left="720" w:right="720"/>
        <w:rPr>
          <w:i/>
        </w:rPr>
      </w:pPr>
      <w:r>
        <w:t>Reactive Supply charges are a true cost to the Company and included in the line items for recovery as shown on the Company’s Schedule B-1. Reactive Supply charges (and credits) are billed by PJM to the Company as line items 1330 (charge) and 2330 (credit) on the PJM bill. The charge line item relates to FERC account 5550074 and the credit line item relates to FERC account 5550075. During the review phase for this filing, the Company discovered that from July 2011 through March 2013, the net of the two line items has been a credit but the separate charge line item was not recorded in account 5550074 and thus was inadvertently not included in the TCRR rate calculations. The Company reclassified the charges to the correct account (5550074) for inclusion in the current TCRR calculations.</w:t>
      </w:r>
    </w:p>
  </w:footnote>
  <w:footnote w:id="11">
    <w:p w14:paraId="1364E856" w14:textId="77777777" w:rsidR="00217A43" w:rsidRDefault="00217A43" w:rsidP="00217A43">
      <w:pPr>
        <w:pStyle w:val="FootnoteText"/>
      </w:pPr>
      <w:r>
        <w:rPr>
          <w:rStyle w:val="FootnoteReference"/>
        </w:rPr>
        <w:footnoteRef/>
      </w:r>
      <w:r>
        <w:t xml:space="preserve"> Although O.A.C. 4901-1-12(C) provides an objecting party with seven days to file a Memorandum Contra, O.A.C. 4901-1-12(F) provides that the “</w:t>
      </w:r>
      <w:r w:rsidRPr="00BB249F">
        <w:t>the commission, the legal director, the deputy legal director, or the attorney examiner may, upon their own motion, issue an expedited ruling on any motion, with or without the filing of memoranda, where the issuance of such a ruling will not adversely affect a substantial right of any party.</w:t>
      </w:r>
      <w:r>
        <w:t>”</w:t>
      </w:r>
    </w:p>
  </w:footnote>
  <w:footnote w:id="12">
    <w:p w14:paraId="483B3EDC" w14:textId="1896D3F0" w:rsidR="001921F2" w:rsidRDefault="001921F2">
      <w:pPr>
        <w:pStyle w:val="FootnoteText"/>
      </w:pPr>
      <w:r>
        <w:rPr>
          <w:rStyle w:val="FootnoteReference"/>
        </w:rPr>
        <w:footnoteRef/>
      </w:r>
      <w:r>
        <w:t xml:space="preserve"> Please note that OCC’s witness is not available from November 5, 2013 through November 15, 2013.</w:t>
      </w:r>
      <w:r w:rsidR="00FA72AC">
        <w:t xml:space="preserve">  Additionally, hearings in AEP’s FAC case begin on November 18, 2013, creating conflicts for other counsel in the period prior to Thanksgiving.  Thus, OCC is proposing a hearing to commence after Thanksgiving.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2A76" w14:textId="77777777" w:rsidR="008A6ADF" w:rsidRDefault="008A6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2B05" w14:textId="77777777" w:rsidR="008A6ADF" w:rsidRDefault="008A6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F650" w14:textId="77777777" w:rsidR="008A6ADF" w:rsidRDefault="008A6A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EEE" w14:textId="7C10C79E" w:rsidR="001921F2" w:rsidRDefault="00192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5C2C7" w14:textId="2AC701E5" w:rsidR="001921F2" w:rsidRDefault="001921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34974" w14:textId="6FD290FA" w:rsidR="001921F2" w:rsidRDefault="00192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C2C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740839"/>
    <w:multiLevelType w:val="hybridMultilevel"/>
    <w:tmpl w:val="4DECC45A"/>
    <w:lvl w:ilvl="0" w:tplc="E1E00B7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BA7D85"/>
    <w:multiLevelType w:val="hybridMultilevel"/>
    <w:tmpl w:val="EB2A2E12"/>
    <w:lvl w:ilvl="0" w:tplc="9F32C03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795F60"/>
    <w:multiLevelType w:val="hybridMultilevel"/>
    <w:tmpl w:val="3B2437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B723518"/>
    <w:multiLevelType w:val="hybridMultilevel"/>
    <w:tmpl w:val="9A8C5508"/>
    <w:lvl w:ilvl="0" w:tplc="BC4E7E0A">
      <w:start w:val="1"/>
      <w:numFmt w:val="bullet"/>
      <w:lvlText w:val=""/>
      <w:lvlJc w:val="left"/>
      <w:pPr>
        <w:tabs>
          <w:tab w:val="num" w:pos="1224"/>
        </w:tabs>
        <w:ind w:left="1080" w:hanging="360"/>
      </w:pPr>
      <w:rPr>
        <w:rFonts w:ascii="Wingdings" w:hAnsi="Wingdings" w:hint="default"/>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nsid w:val="3DE421C8"/>
    <w:multiLevelType w:val="hybridMultilevel"/>
    <w:tmpl w:val="34B46B68"/>
    <w:lvl w:ilvl="0" w:tplc="BA32947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6E6B10"/>
    <w:multiLevelType w:val="hybridMultilevel"/>
    <w:tmpl w:val="71763526"/>
    <w:lvl w:ilvl="0" w:tplc="62B64E20">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5C0DFC"/>
    <w:multiLevelType w:val="hybridMultilevel"/>
    <w:tmpl w:val="1AF449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6807158F"/>
    <w:multiLevelType w:val="hybridMultilevel"/>
    <w:tmpl w:val="9EE651F2"/>
    <w:lvl w:ilvl="0" w:tplc="3D542B1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796A92"/>
    <w:multiLevelType w:val="hybridMultilevel"/>
    <w:tmpl w:val="CD523B74"/>
    <w:lvl w:ilvl="0" w:tplc="BB5890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5"/>
  </w:num>
  <w:num w:numId="5">
    <w:abstractNumId w:val="8"/>
  </w:num>
  <w:num w:numId="6">
    <w:abstractNumId w:val="3"/>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FC"/>
    <w:rsid w:val="00000F0E"/>
    <w:rsid w:val="00002369"/>
    <w:rsid w:val="00002C5C"/>
    <w:rsid w:val="00010E95"/>
    <w:rsid w:val="00013C60"/>
    <w:rsid w:val="00014EC2"/>
    <w:rsid w:val="000264FC"/>
    <w:rsid w:val="00027476"/>
    <w:rsid w:val="00030D32"/>
    <w:rsid w:val="00041322"/>
    <w:rsid w:val="0004712E"/>
    <w:rsid w:val="00054AB0"/>
    <w:rsid w:val="0008169A"/>
    <w:rsid w:val="00083254"/>
    <w:rsid w:val="000874B0"/>
    <w:rsid w:val="00096CDA"/>
    <w:rsid w:val="000B0B52"/>
    <w:rsid w:val="000B2FEC"/>
    <w:rsid w:val="000C0DEA"/>
    <w:rsid w:val="000C2466"/>
    <w:rsid w:val="000D0494"/>
    <w:rsid w:val="000D06BE"/>
    <w:rsid w:val="000D3745"/>
    <w:rsid w:val="000D7F17"/>
    <w:rsid w:val="000E1FFB"/>
    <w:rsid w:val="000E3E40"/>
    <w:rsid w:val="000E62A7"/>
    <w:rsid w:val="000E6FB8"/>
    <w:rsid w:val="000F7837"/>
    <w:rsid w:val="000F7989"/>
    <w:rsid w:val="001031F3"/>
    <w:rsid w:val="00122088"/>
    <w:rsid w:val="00131352"/>
    <w:rsid w:val="00133089"/>
    <w:rsid w:val="001340EC"/>
    <w:rsid w:val="00151B2E"/>
    <w:rsid w:val="00157BFD"/>
    <w:rsid w:val="001601C5"/>
    <w:rsid w:val="00160C0A"/>
    <w:rsid w:val="00163C15"/>
    <w:rsid w:val="00165293"/>
    <w:rsid w:val="00165FA4"/>
    <w:rsid w:val="00167DAE"/>
    <w:rsid w:val="0017334D"/>
    <w:rsid w:val="0018187D"/>
    <w:rsid w:val="001921F2"/>
    <w:rsid w:val="001C1209"/>
    <w:rsid w:val="001C18F0"/>
    <w:rsid w:val="001C2820"/>
    <w:rsid w:val="001C4706"/>
    <w:rsid w:val="001C69A4"/>
    <w:rsid w:val="001D374D"/>
    <w:rsid w:val="001F0547"/>
    <w:rsid w:val="001F3671"/>
    <w:rsid w:val="001F4485"/>
    <w:rsid w:val="002064E2"/>
    <w:rsid w:val="00210317"/>
    <w:rsid w:val="00213FE7"/>
    <w:rsid w:val="00217A43"/>
    <w:rsid w:val="00220907"/>
    <w:rsid w:val="002227E2"/>
    <w:rsid w:val="002365AA"/>
    <w:rsid w:val="002573F5"/>
    <w:rsid w:val="00265E84"/>
    <w:rsid w:val="00273A2E"/>
    <w:rsid w:val="00275A8B"/>
    <w:rsid w:val="0027618A"/>
    <w:rsid w:val="00281CEA"/>
    <w:rsid w:val="00295DC4"/>
    <w:rsid w:val="002A211C"/>
    <w:rsid w:val="002B119F"/>
    <w:rsid w:val="002C525E"/>
    <w:rsid w:val="002D7A1D"/>
    <w:rsid w:val="002E3D6E"/>
    <w:rsid w:val="002E7AE4"/>
    <w:rsid w:val="002F1421"/>
    <w:rsid w:val="002F5398"/>
    <w:rsid w:val="002F740C"/>
    <w:rsid w:val="00306A77"/>
    <w:rsid w:val="00312A53"/>
    <w:rsid w:val="00316584"/>
    <w:rsid w:val="00342C15"/>
    <w:rsid w:val="003442D0"/>
    <w:rsid w:val="003577A9"/>
    <w:rsid w:val="00362C91"/>
    <w:rsid w:val="003635BB"/>
    <w:rsid w:val="00364029"/>
    <w:rsid w:val="00371DDA"/>
    <w:rsid w:val="00381A21"/>
    <w:rsid w:val="003826AF"/>
    <w:rsid w:val="00394029"/>
    <w:rsid w:val="003971FF"/>
    <w:rsid w:val="003A6476"/>
    <w:rsid w:val="003B090C"/>
    <w:rsid w:val="003B257C"/>
    <w:rsid w:val="003B3AE1"/>
    <w:rsid w:val="003B4FF3"/>
    <w:rsid w:val="003C641E"/>
    <w:rsid w:val="003C6993"/>
    <w:rsid w:val="003C7964"/>
    <w:rsid w:val="003D06AF"/>
    <w:rsid w:val="003D30B1"/>
    <w:rsid w:val="003E2A8A"/>
    <w:rsid w:val="003E3A6A"/>
    <w:rsid w:val="003F0562"/>
    <w:rsid w:val="003F3B86"/>
    <w:rsid w:val="003F578D"/>
    <w:rsid w:val="00401DC3"/>
    <w:rsid w:val="00404AC0"/>
    <w:rsid w:val="00414C50"/>
    <w:rsid w:val="00417148"/>
    <w:rsid w:val="004214C7"/>
    <w:rsid w:val="0042187C"/>
    <w:rsid w:val="004307A6"/>
    <w:rsid w:val="00440E3D"/>
    <w:rsid w:val="00445DA4"/>
    <w:rsid w:val="00451EDC"/>
    <w:rsid w:val="004536F4"/>
    <w:rsid w:val="00454F99"/>
    <w:rsid w:val="0047734B"/>
    <w:rsid w:val="00482B52"/>
    <w:rsid w:val="00483416"/>
    <w:rsid w:val="00483869"/>
    <w:rsid w:val="004A2007"/>
    <w:rsid w:val="004B6645"/>
    <w:rsid w:val="004D69B5"/>
    <w:rsid w:val="004E6572"/>
    <w:rsid w:val="00515828"/>
    <w:rsid w:val="00526E5B"/>
    <w:rsid w:val="00540727"/>
    <w:rsid w:val="005503FD"/>
    <w:rsid w:val="00552ABB"/>
    <w:rsid w:val="00585D43"/>
    <w:rsid w:val="00591F77"/>
    <w:rsid w:val="00593DF8"/>
    <w:rsid w:val="00593DFB"/>
    <w:rsid w:val="00596889"/>
    <w:rsid w:val="005A38DE"/>
    <w:rsid w:val="005A47BD"/>
    <w:rsid w:val="005A62A2"/>
    <w:rsid w:val="005B1FED"/>
    <w:rsid w:val="005B6F4F"/>
    <w:rsid w:val="005C2F82"/>
    <w:rsid w:val="005C482E"/>
    <w:rsid w:val="005C70AE"/>
    <w:rsid w:val="005C7224"/>
    <w:rsid w:val="005D1EAA"/>
    <w:rsid w:val="005E0AB2"/>
    <w:rsid w:val="005E22A0"/>
    <w:rsid w:val="005E71AE"/>
    <w:rsid w:val="005F0233"/>
    <w:rsid w:val="00605572"/>
    <w:rsid w:val="00610976"/>
    <w:rsid w:val="00615DC1"/>
    <w:rsid w:val="00627DE7"/>
    <w:rsid w:val="00627EC8"/>
    <w:rsid w:val="0063176D"/>
    <w:rsid w:val="006318E5"/>
    <w:rsid w:val="0066379B"/>
    <w:rsid w:val="00664160"/>
    <w:rsid w:val="00664991"/>
    <w:rsid w:val="00671A4D"/>
    <w:rsid w:val="006847D4"/>
    <w:rsid w:val="00686459"/>
    <w:rsid w:val="006A2322"/>
    <w:rsid w:val="006B097C"/>
    <w:rsid w:val="006C17A9"/>
    <w:rsid w:val="006C2249"/>
    <w:rsid w:val="006C37D2"/>
    <w:rsid w:val="006C41D2"/>
    <w:rsid w:val="006C543E"/>
    <w:rsid w:val="006C58C0"/>
    <w:rsid w:val="006D65B7"/>
    <w:rsid w:val="006E3914"/>
    <w:rsid w:val="006F2423"/>
    <w:rsid w:val="00700DEA"/>
    <w:rsid w:val="007022B4"/>
    <w:rsid w:val="00712497"/>
    <w:rsid w:val="00713382"/>
    <w:rsid w:val="00724F56"/>
    <w:rsid w:val="00730841"/>
    <w:rsid w:val="00733438"/>
    <w:rsid w:val="007343F2"/>
    <w:rsid w:val="0073700E"/>
    <w:rsid w:val="007442BA"/>
    <w:rsid w:val="0074540D"/>
    <w:rsid w:val="0075026A"/>
    <w:rsid w:val="0075308B"/>
    <w:rsid w:val="00757B45"/>
    <w:rsid w:val="007624F4"/>
    <w:rsid w:val="00772AE1"/>
    <w:rsid w:val="0078261E"/>
    <w:rsid w:val="00784414"/>
    <w:rsid w:val="007922BF"/>
    <w:rsid w:val="007A0C8E"/>
    <w:rsid w:val="007A15A5"/>
    <w:rsid w:val="007A5B79"/>
    <w:rsid w:val="007E37C9"/>
    <w:rsid w:val="007E6579"/>
    <w:rsid w:val="007F3917"/>
    <w:rsid w:val="00801CCF"/>
    <w:rsid w:val="00803E00"/>
    <w:rsid w:val="00810C1C"/>
    <w:rsid w:val="008140D4"/>
    <w:rsid w:val="008143E7"/>
    <w:rsid w:val="00815475"/>
    <w:rsid w:val="00817657"/>
    <w:rsid w:val="00827680"/>
    <w:rsid w:val="00834002"/>
    <w:rsid w:val="00850A16"/>
    <w:rsid w:val="00861CC9"/>
    <w:rsid w:val="00866148"/>
    <w:rsid w:val="0087251E"/>
    <w:rsid w:val="00873DDC"/>
    <w:rsid w:val="00874C9E"/>
    <w:rsid w:val="00875686"/>
    <w:rsid w:val="008873B8"/>
    <w:rsid w:val="00895B79"/>
    <w:rsid w:val="008A2F75"/>
    <w:rsid w:val="008A6ADF"/>
    <w:rsid w:val="008B5130"/>
    <w:rsid w:val="008B7749"/>
    <w:rsid w:val="008B7ABC"/>
    <w:rsid w:val="008D1BC1"/>
    <w:rsid w:val="008D6BE4"/>
    <w:rsid w:val="008E3A32"/>
    <w:rsid w:val="008F6EF7"/>
    <w:rsid w:val="008F7074"/>
    <w:rsid w:val="009028CD"/>
    <w:rsid w:val="009048F1"/>
    <w:rsid w:val="00914D1E"/>
    <w:rsid w:val="00914F85"/>
    <w:rsid w:val="009162DE"/>
    <w:rsid w:val="009238F8"/>
    <w:rsid w:val="0093221E"/>
    <w:rsid w:val="00957146"/>
    <w:rsid w:val="00974195"/>
    <w:rsid w:val="0097621D"/>
    <w:rsid w:val="009871C8"/>
    <w:rsid w:val="009875AF"/>
    <w:rsid w:val="00987A56"/>
    <w:rsid w:val="009C3725"/>
    <w:rsid w:val="009C4C9A"/>
    <w:rsid w:val="009E2E39"/>
    <w:rsid w:val="009E3F83"/>
    <w:rsid w:val="009E44D8"/>
    <w:rsid w:val="009F42AE"/>
    <w:rsid w:val="00A00427"/>
    <w:rsid w:val="00A02AE4"/>
    <w:rsid w:val="00A10EF0"/>
    <w:rsid w:val="00A115D3"/>
    <w:rsid w:val="00A33B33"/>
    <w:rsid w:val="00A42B37"/>
    <w:rsid w:val="00A633C1"/>
    <w:rsid w:val="00A64BCC"/>
    <w:rsid w:val="00A84576"/>
    <w:rsid w:val="00A84982"/>
    <w:rsid w:val="00A86455"/>
    <w:rsid w:val="00AA77ED"/>
    <w:rsid w:val="00AB0E0E"/>
    <w:rsid w:val="00AB77DE"/>
    <w:rsid w:val="00AC0938"/>
    <w:rsid w:val="00AC38FE"/>
    <w:rsid w:val="00AC44BC"/>
    <w:rsid w:val="00AD632A"/>
    <w:rsid w:val="00AD6572"/>
    <w:rsid w:val="00AF1233"/>
    <w:rsid w:val="00AF1CC5"/>
    <w:rsid w:val="00AF244C"/>
    <w:rsid w:val="00B01805"/>
    <w:rsid w:val="00B02AFF"/>
    <w:rsid w:val="00B0344C"/>
    <w:rsid w:val="00B13EA5"/>
    <w:rsid w:val="00B22E4C"/>
    <w:rsid w:val="00B307E6"/>
    <w:rsid w:val="00B44417"/>
    <w:rsid w:val="00B516F0"/>
    <w:rsid w:val="00B62277"/>
    <w:rsid w:val="00B646FF"/>
    <w:rsid w:val="00B658B3"/>
    <w:rsid w:val="00B66C3C"/>
    <w:rsid w:val="00B6729E"/>
    <w:rsid w:val="00B67DE0"/>
    <w:rsid w:val="00B733DC"/>
    <w:rsid w:val="00B77DB7"/>
    <w:rsid w:val="00B852BA"/>
    <w:rsid w:val="00B85C73"/>
    <w:rsid w:val="00BA63AF"/>
    <w:rsid w:val="00BB249F"/>
    <w:rsid w:val="00BC2333"/>
    <w:rsid w:val="00BC64FA"/>
    <w:rsid w:val="00BD1B1C"/>
    <w:rsid w:val="00BD1BC1"/>
    <w:rsid w:val="00BD45BB"/>
    <w:rsid w:val="00BF30AD"/>
    <w:rsid w:val="00BF5BF4"/>
    <w:rsid w:val="00C02F82"/>
    <w:rsid w:val="00C0336C"/>
    <w:rsid w:val="00C03D60"/>
    <w:rsid w:val="00C25DE5"/>
    <w:rsid w:val="00C40018"/>
    <w:rsid w:val="00C47393"/>
    <w:rsid w:val="00C56F9A"/>
    <w:rsid w:val="00C610DF"/>
    <w:rsid w:val="00C6683B"/>
    <w:rsid w:val="00C7327D"/>
    <w:rsid w:val="00C75F32"/>
    <w:rsid w:val="00C83BD0"/>
    <w:rsid w:val="00C960F1"/>
    <w:rsid w:val="00CA3FA3"/>
    <w:rsid w:val="00CB08EA"/>
    <w:rsid w:val="00CB0C49"/>
    <w:rsid w:val="00CB36B1"/>
    <w:rsid w:val="00CD3A05"/>
    <w:rsid w:val="00CE4D5A"/>
    <w:rsid w:val="00CF2A69"/>
    <w:rsid w:val="00D01047"/>
    <w:rsid w:val="00D057E4"/>
    <w:rsid w:val="00D06183"/>
    <w:rsid w:val="00D0711B"/>
    <w:rsid w:val="00D15011"/>
    <w:rsid w:val="00D25394"/>
    <w:rsid w:val="00D2673B"/>
    <w:rsid w:val="00D2736C"/>
    <w:rsid w:val="00D41D4C"/>
    <w:rsid w:val="00D4687F"/>
    <w:rsid w:val="00D549A4"/>
    <w:rsid w:val="00D54E40"/>
    <w:rsid w:val="00D851E6"/>
    <w:rsid w:val="00D87ADE"/>
    <w:rsid w:val="00D92C06"/>
    <w:rsid w:val="00DB6234"/>
    <w:rsid w:val="00DC36E2"/>
    <w:rsid w:val="00DC660E"/>
    <w:rsid w:val="00DC7129"/>
    <w:rsid w:val="00DC77C2"/>
    <w:rsid w:val="00DD26A6"/>
    <w:rsid w:val="00DE283C"/>
    <w:rsid w:val="00DF070F"/>
    <w:rsid w:val="00E04558"/>
    <w:rsid w:val="00E312AB"/>
    <w:rsid w:val="00E55DF8"/>
    <w:rsid w:val="00E66095"/>
    <w:rsid w:val="00E8134D"/>
    <w:rsid w:val="00E93C70"/>
    <w:rsid w:val="00EA10D0"/>
    <w:rsid w:val="00EA17D2"/>
    <w:rsid w:val="00EB04D9"/>
    <w:rsid w:val="00EB07AB"/>
    <w:rsid w:val="00EB6DC3"/>
    <w:rsid w:val="00ED0010"/>
    <w:rsid w:val="00ED422C"/>
    <w:rsid w:val="00EE1C97"/>
    <w:rsid w:val="00EE257B"/>
    <w:rsid w:val="00EE663F"/>
    <w:rsid w:val="00EF6B54"/>
    <w:rsid w:val="00F1155A"/>
    <w:rsid w:val="00F12782"/>
    <w:rsid w:val="00F12B8F"/>
    <w:rsid w:val="00F25972"/>
    <w:rsid w:val="00F45767"/>
    <w:rsid w:val="00F52ACF"/>
    <w:rsid w:val="00F559A3"/>
    <w:rsid w:val="00F61543"/>
    <w:rsid w:val="00F63B1B"/>
    <w:rsid w:val="00F70808"/>
    <w:rsid w:val="00F950ED"/>
    <w:rsid w:val="00F96194"/>
    <w:rsid w:val="00FA475D"/>
    <w:rsid w:val="00FA72AC"/>
    <w:rsid w:val="00FB0563"/>
    <w:rsid w:val="00FB202F"/>
    <w:rsid w:val="00FB4408"/>
    <w:rsid w:val="00FC04E3"/>
    <w:rsid w:val="00FC60E8"/>
    <w:rsid w:val="00FF16C1"/>
    <w:rsid w:val="00FF231C"/>
    <w:rsid w:val="00FF278D"/>
    <w:rsid w:val="00FF59AD"/>
    <w:rsid w:val="00FF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89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ind w:left="720" w:hanging="720"/>
      <w:outlineLvl w:val="0"/>
    </w:pPr>
    <w:rPr>
      <w:rFonts w:cs="Arial"/>
      <w:b/>
      <w:bCs/>
      <w:caps/>
      <w:kern w:val="32"/>
    </w:rPr>
  </w:style>
  <w:style w:type="paragraph" w:styleId="Heading2">
    <w:name w:val="heading 2"/>
    <w:basedOn w:val="Normal"/>
    <w:next w:val="Normal"/>
    <w:autoRedefine/>
    <w:qFormat/>
    <w:rsid w:val="00A33B33"/>
    <w:pPr>
      <w:keepNext/>
      <w:tabs>
        <w:tab w:val="left" w:pos="0"/>
        <w:tab w:val="left" w:pos="720"/>
      </w:tabs>
      <w:spacing w:after="240"/>
      <w:ind w:left="1440" w:hanging="720"/>
      <w:outlineLvl w:val="1"/>
    </w:pPr>
    <w:rPr>
      <w:rFonts w:ascii="Times New Roman Bold" w:hAnsi="Times New Roman Bold"/>
      <w:b/>
      <w:bCs/>
    </w:rPr>
  </w:style>
  <w:style w:type="paragraph" w:styleId="Heading3">
    <w:name w:val="heading 3"/>
    <w:basedOn w:val="Normal"/>
    <w:next w:val="Normal"/>
    <w:qFormat/>
    <w:rsid w:val="007343F2"/>
    <w:pPr>
      <w:keepNext/>
      <w:tabs>
        <w:tab w:val="center" w:pos="4680"/>
      </w:tabs>
      <w:suppressAutoHyphens/>
      <w:spacing w:after="240"/>
      <w:ind w:left="2160" w:hanging="720"/>
      <w:outlineLvl w:val="2"/>
    </w:pPr>
    <w:rPr>
      <w:rFonts w:ascii="Times New Roman Bold" w:hAnsi="Times New Roman Bold" w:cs="Arial"/>
      <w:b/>
      <w:spacing w:val="-3"/>
    </w:rPr>
  </w:style>
  <w:style w:type="paragraph" w:styleId="Heading4">
    <w:name w:val="heading 4"/>
    <w:basedOn w:val="Normal"/>
    <w:next w:val="Normal"/>
    <w:qFormat/>
    <w:pPr>
      <w:keepNext/>
      <w:spacing w:after="240"/>
      <w:ind w:left="2520" w:hanging="72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pPr>
      <w:spacing w:after="240"/>
      <w:ind w:left="720" w:right="720"/>
    </w:pPr>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semiHidden/>
    <w:pPr>
      <w:spacing w:after="120"/>
    </w:pPr>
    <w:rPr>
      <w:sz w:val="20"/>
      <w:szCs w:val="20"/>
    </w:rPr>
  </w:style>
  <w:style w:type="character" w:styleId="FootnoteReference">
    <w:name w:val="footnote reference"/>
    <w:semiHidden/>
    <w:rPr>
      <w:rFonts w:ascii="Times New Roman" w:hAnsi="Times New Roman"/>
      <w:sz w:val="20"/>
      <w:szCs w:val="20"/>
      <w:vertAlign w:val="superscript"/>
    </w:rPr>
  </w:style>
  <w:style w:type="paragraph" w:styleId="Quote">
    <w:name w:val="Quote"/>
    <w:basedOn w:val="Normal"/>
    <w:qFormat/>
    <w:pPr>
      <w:spacing w:after="240"/>
      <w:ind w:left="720" w:right="720"/>
    </w:pPr>
    <w:rPr>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FF231C"/>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FF231C"/>
    <w:pPr>
      <w:tabs>
        <w:tab w:val="left" w:pos="720"/>
        <w:tab w:val="decimal" w:leader="dot" w:pos="8640"/>
      </w:tabs>
      <w:spacing w:after="240"/>
      <w:ind w:left="1440" w:hanging="720"/>
    </w:pPr>
  </w:style>
  <w:style w:type="character" w:styleId="Hyperlink">
    <w:name w:val="Hyperlink"/>
    <w:uiPriority w:val="99"/>
    <w:rPr>
      <w:color w:val="0000FF"/>
      <w:u w:val="single"/>
    </w:rPr>
  </w:style>
  <w:style w:type="paragraph" w:styleId="Title">
    <w:name w:val="Title"/>
    <w:basedOn w:val="Normal"/>
    <w:qFormat/>
    <w:pPr>
      <w:jc w:val="center"/>
    </w:pPr>
    <w:rPr>
      <w:b/>
      <w:szCs w:val="20"/>
    </w:rPr>
  </w:style>
  <w:style w:type="paragraph" w:styleId="TOAHeading">
    <w:name w:val="toa heading"/>
    <w:basedOn w:val="Normal"/>
    <w:next w:val="Normal"/>
    <w:semiHidden/>
    <w:pPr>
      <w:spacing w:after="120"/>
    </w:pPr>
    <w:rPr>
      <w:rFonts w:cs="Arial"/>
      <w:b/>
      <w:bCs/>
    </w:r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semiHidden/>
    <w:rPr>
      <w:lang w:val="en-US"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link w:val="BodyTextIndent3"/>
    <w:rPr>
      <w:sz w:val="16"/>
      <w:szCs w:val="16"/>
      <w:lang w:val="en-US" w:eastAsia="en-US" w:bidi="ar-SA"/>
    </w:rPr>
  </w:style>
  <w:style w:type="paragraph" w:styleId="Header">
    <w:name w:val="header"/>
    <w:basedOn w:val="Normal"/>
    <w:pPr>
      <w:tabs>
        <w:tab w:val="center" w:pos="4320"/>
        <w:tab w:val="right" w:pos="8640"/>
      </w:tabs>
    </w:pPr>
  </w:style>
  <w:style w:type="paragraph" w:styleId="BodyText">
    <w:name w:val="Body Text"/>
    <w:basedOn w:val="Normal"/>
    <w:rsid w:val="00CB36B1"/>
    <w:pPr>
      <w:spacing w:after="120"/>
    </w:pPr>
  </w:style>
  <w:style w:type="character" w:customStyle="1" w:styleId="FooterChar">
    <w:name w:val="Footer Char"/>
    <w:link w:val="Footer"/>
    <w:uiPriority w:val="99"/>
    <w:rsid w:val="007343F2"/>
    <w:rPr>
      <w:sz w:val="24"/>
      <w:szCs w:val="24"/>
    </w:rPr>
  </w:style>
  <w:style w:type="paragraph" w:styleId="TOC3">
    <w:name w:val="toc 3"/>
    <w:basedOn w:val="Normal"/>
    <w:next w:val="Normal"/>
    <w:autoRedefine/>
    <w:uiPriority w:val="39"/>
    <w:rsid w:val="00FF231C"/>
    <w:pPr>
      <w:tabs>
        <w:tab w:val="left" w:pos="720"/>
        <w:tab w:val="left" w:pos="1440"/>
        <w:tab w:val="decimal" w:leader="dot" w:pos="8640"/>
      </w:tabs>
      <w:spacing w:after="240"/>
      <w:ind w:left="2160" w:hanging="720"/>
    </w:p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
    <w:locked/>
    <w:rsid w:val="003442D0"/>
    <w:rPr>
      <w:lang w:val="en-US" w:eastAsia="en-US" w:bidi="ar-SA"/>
    </w:rPr>
  </w:style>
  <w:style w:type="character" w:customStyle="1" w:styleId="HTMLPreformattedChar">
    <w:name w:val="HTML Preformatted Char"/>
    <w:link w:val="HTMLPreformatted"/>
    <w:rsid w:val="00515828"/>
    <w:rPr>
      <w:rFonts w:ascii="Courier New" w:eastAsia="Courier New" w:hAnsi="Courier New" w:cs="Courier New"/>
    </w:rPr>
  </w:style>
  <w:style w:type="character" w:customStyle="1" w:styleId="CommentTextChar">
    <w:name w:val="Comment Text Char"/>
    <w:basedOn w:val="DefaultParagraphFont"/>
    <w:link w:val="CommentText"/>
    <w:uiPriority w:val="99"/>
    <w:semiHidden/>
    <w:rsid w:val="002F5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after="240"/>
      <w:ind w:left="720" w:hanging="720"/>
      <w:outlineLvl w:val="0"/>
    </w:pPr>
    <w:rPr>
      <w:rFonts w:cs="Arial"/>
      <w:b/>
      <w:bCs/>
      <w:caps/>
      <w:kern w:val="32"/>
    </w:rPr>
  </w:style>
  <w:style w:type="paragraph" w:styleId="Heading2">
    <w:name w:val="heading 2"/>
    <w:basedOn w:val="Normal"/>
    <w:next w:val="Normal"/>
    <w:autoRedefine/>
    <w:qFormat/>
    <w:rsid w:val="00A33B33"/>
    <w:pPr>
      <w:keepNext/>
      <w:tabs>
        <w:tab w:val="left" w:pos="0"/>
        <w:tab w:val="left" w:pos="720"/>
      </w:tabs>
      <w:spacing w:after="240"/>
      <w:ind w:left="1440" w:hanging="720"/>
      <w:outlineLvl w:val="1"/>
    </w:pPr>
    <w:rPr>
      <w:rFonts w:ascii="Times New Roman Bold" w:hAnsi="Times New Roman Bold"/>
      <w:b/>
      <w:bCs/>
    </w:rPr>
  </w:style>
  <w:style w:type="paragraph" w:styleId="Heading3">
    <w:name w:val="heading 3"/>
    <w:basedOn w:val="Normal"/>
    <w:next w:val="Normal"/>
    <w:qFormat/>
    <w:rsid w:val="007343F2"/>
    <w:pPr>
      <w:keepNext/>
      <w:tabs>
        <w:tab w:val="center" w:pos="4680"/>
      </w:tabs>
      <w:suppressAutoHyphens/>
      <w:spacing w:after="240"/>
      <w:ind w:left="2160" w:hanging="720"/>
      <w:outlineLvl w:val="2"/>
    </w:pPr>
    <w:rPr>
      <w:rFonts w:ascii="Times New Roman Bold" w:hAnsi="Times New Roman Bold" w:cs="Arial"/>
      <w:b/>
      <w:spacing w:val="-3"/>
    </w:rPr>
  </w:style>
  <w:style w:type="paragraph" w:styleId="Heading4">
    <w:name w:val="heading 4"/>
    <w:basedOn w:val="Normal"/>
    <w:next w:val="Normal"/>
    <w:qFormat/>
    <w:pPr>
      <w:keepNext/>
      <w:spacing w:after="240"/>
      <w:ind w:left="2520" w:hanging="720"/>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pPr>
      <w:spacing w:after="240"/>
      <w:ind w:left="720" w:right="720"/>
    </w:pPr>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ootnote Text Char,fn Char,f"/>
    <w:basedOn w:val="Normal"/>
    <w:link w:val="FootnoteTextChar2"/>
    <w:semiHidden/>
    <w:pPr>
      <w:spacing w:after="120"/>
    </w:pPr>
    <w:rPr>
      <w:sz w:val="20"/>
      <w:szCs w:val="20"/>
    </w:rPr>
  </w:style>
  <w:style w:type="character" w:styleId="FootnoteReference">
    <w:name w:val="footnote reference"/>
    <w:semiHidden/>
    <w:rPr>
      <w:rFonts w:ascii="Times New Roman" w:hAnsi="Times New Roman"/>
      <w:sz w:val="20"/>
      <w:szCs w:val="20"/>
      <w:vertAlign w:val="superscript"/>
    </w:rPr>
  </w:style>
  <w:style w:type="paragraph" w:styleId="Quote">
    <w:name w:val="Quote"/>
    <w:basedOn w:val="Normal"/>
    <w:qFormat/>
    <w:pPr>
      <w:spacing w:after="240"/>
      <w:ind w:left="720" w:right="720"/>
    </w:pPr>
    <w:rPr>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FF231C"/>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FF231C"/>
    <w:pPr>
      <w:tabs>
        <w:tab w:val="left" w:pos="720"/>
        <w:tab w:val="decimal" w:leader="dot" w:pos="8640"/>
      </w:tabs>
      <w:spacing w:after="240"/>
      <w:ind w:left="1440" w:hanging="720"/>
    </w:pPr>
  </w:style>
  <w:style w:type="character" w:styleId="Hyperlink">
    <w:name w:val="Hyperlink"/>
    <w:uiPriority w:val="99"/>
    <w:rPr>
      <w:color w:val="0000FF"/>
      <w:u w:val="single"/>
    </w:rPr>
  </w:style>
  <w:style w:type="paragraph" w:styleId="Title">
    <w:name w:val="Title"/>
    <w:basedOn w:val="Normal"/>
    <w:qFormat/>
    <w:pPr>
      <w:jc w:val="center"/>
    </w:pPr>
    <w:rPr>
      <w:b/>
      <w:szCs w:val="20"/>
    </w:rPr>
  </w:style>
  <w:style w:type="paragraph" w:styleId="TOAHeading">
    <w:name w:val="toa heading"/>
    <w:basedOn w:val="Normal"/>
    <w:next w:val="Normal"/>
    <w:semiHidden/>
    <w:pPr>
      <w:spacing w:after="120"/>
    </w:pPr>
    <w:rPr>
      <w:rFonts w:cs="Arial"/>
      <w:b/>
      <w:bCs/>
    </w:rPr>
  </w:style>
  <w:style w:type="character" w:customStyle="1" w:styleId="FootnoteTextChar2">
    <w:name w:val="Footnote Text Char2"/>
    <w:aliases w:val="Footnote Text Char1 Char,Footnote Text Char Char Char,ALTS FOOTNOTE Char Char Char,fn Char Char Char,Footnote Text Char1 Char Char Char,Footnote Text Char Char Char Char Char,ALTS FOOTNOTE Char Char Char Char Char,fn Char1 Char"/>
    <w:link w:val="FootnoteText"/>
    <w:semiHidden/>
    <w:rPr>
      <w:lang w:val="en-US"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term1">
    <w:name w:val="term1"/>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link w:val="BodyTextIndent3"/>
    <w:rPr>
      <w:sz w:val="16"/>
      <w:szCs w:val="16"/>
      <w:lang w:val="en-US" w:eastAsia="en-US" w:bidi="ar-SA"/>
    </w:rPr>
  </w:style>
  <w:style w:type="paragraph" w:styleId="Header">
    <w:name w:val="header"/>
    <w:basedOn w:val="Normal"/>
    <w:pPr>
      <w:tabs>
        <w:tab w:val="center" w:pos="4320"/>
        <w:tab w:val="right" w:pos="8640"/>
      </w:tabs>
    </w:pPr>
  </w:style>
  <w:style w:type="paragraph" w:styleId="BodyText">
    <w:name w:val="Body Text"/>
    <w:basedOn w:val="Normal"/>
    <w:rsid w:val="00CB36B1"/>
    <w:pPr>
      <w:spacing w:after="120"/>
    </w:pPr>
  </w:style>
  <w:style w:type="character" w:customStyle="1" w:styleId="FooterChar">
    <w:name w:val="Footer Char"/>
    <w:link w:val="Footer"/>
    <w:uiPriority w:val="99"/>
    <w:rsid w:val="007343F2"/>
    <w:rPr>
      <w:sz w:val="24"/>
      <w:szCs w:val="24"/>
    </w:rPr>
  </w:style>
  <w:style w:type="paragraph" w:styleId="TOC3">
    <w:name w:val="toc 3"/>
    <w:basedOn w:val="Normal"/>
    <w:next w:val="Normal"/>
    <w:autoRedefine/>
    <w:uiPriority w:val="39"/>
    <w:rsid w:val="00FF231C"/>
    <w:pPr>
      <w:tabs>
        <w:tab w:val="left" w:pos="720"/>
        <w:tab w:val="left" w:pos="1440"/>
        <w:tab w:val="decimal" w:leader="dot" w:pos="8640"/>
      </w:tabs>
      <w:spacing w:after="240"/>
      <w:ind w:left="2160" w:hanging="720"/>
    </w:p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
    <w:locked/>
    <w:rsid w:val="003442D0"/>
    <w:rPr>
      <w:lang w:val="en-US" w:eastAsia="en-US" w:bidi="ar-SA"/>
    </w:rPr>
  </w:style>
  <w:style w:type="character" w:customStyle="1" w:styleId="HTMLPreformattedChar">
    <w:name w:val="HTML Preformatted Char"/>
    <w:link w:val="HTMLPreformatted"/>
    <w:rsid w:val="00515828"/>
    <w:rPr>
      <w:rFonts w:ascii="Courier New" w:eastAsia="Courier New" w:hAnsi="Courier New" w:cs="Courier New"/>
    </w:rPr>
  </w:style>
  <w:style w:type="character" w:customStyle="1" w:styleId="CommentTextChar">
    <w:name w:val="Comment Text Char"/>
    <w:basedOn w:val="DefaultParagraphFont"/>
    <w:link w:val="CommentText"/>
    <w:uiPriority w:val="99"/>
    <w:semiHidden/>
    <w:rsid w:val="002F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3589">
      <w:bodyDiv w:val="1"/>
      <w:marLeft w:val="0"/>
      <w:marRight w:val="0"/>
      <w:marTop w:val="0"/>
      <w:marBottom w:val="0"/>
      <w:divBdr>
        <w:top w:val="none" w:sz="0" w:space="0" w:color="auto"/>
        <w:left w:val="none" w:sz="0" w:space="0" w:color="auto"/>
        <w:bottom w:val="none" w:sz="0" w:space="0" w:color="auto"/>
        <w:right w:val="none" w:sz="0" w:space="0" w:color="auto"/>
      </w:divBdr>
      <w:divsChild>
        <w:div w:id="1732456840">
          <w:marLeft w:val="0"/>
          <w:marRight w:val="-5040"/>
          <w:marTop w:val="0"/>
          <w:marBottom w:val="0"/>
          <w:divBdr>
            <w:top w:val="none" w:sz="0" w:space="0" w:color="auto"/>
            <w:left w:val="none" w:sz="0" w:space="0" w:color="auto"/>
            <w:bottom w:val="none" w:sz="0" w:space="0" w:color="auto"/>
            <w:right w:val="none" w:sz="0" w:space="0" w:color="auto"/>
          </w:divBdr>
          <w:divsChild>
            <w:div w:id="1613122691">
              <w:marLeft w:val="0"/>
              <w:marRight w:val="5040"/>
              <w:marTop w:val="0"/>
              <w:marBottom w:val="0"/>
              <w:divBdr>
                <w:top w:val="none" w:sz="0" w:space="0" w:color="auto"/>
                <w:left w:val="none" w:sz="0" w:space="0" w:color="auto"/>
                <w:bottom w:val="none" w:sz="0" w:space="0" w:color="auto"/>
                <w:right w:val="none" w:sz="0" w:space="0" w:color="auto"/>
              </w:divBdr>
              <w:divsChild>
                <w:div w:id="9609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89110">
      <w:bodyDiv w:val="1"/>
      <w:marLeft w:val="0"/>
      <w:marRight w:val="0"/>
      <w:marTop w:val="0"/>
      <w:marBottom w:val="0"/>
      <w:divBdr>
        <w:top w:val="none" w:sz="0" w:space="0" w:color="auto"/>
        <w:left w:val="none" w:sz="0" w:space="0" w:color="auto"/>
        <w:bottom w:val="none" w:sz="0" w:space="0" w:color="auto"/>
        <w:right w:val="none" w:sz="0" w:space="0" w:color="auto"/>
      </w:divBdr>
      <w:divsChild>
        <w:div w:id="50345667">
          <w:marLeft w:val="0"/>
          <w:marRight w:val="-5040"/>
          <w:marTop w:val="0"/>
          <w:marBottom w:val="0"/>
          <w:divBdr>
            <w:top w:val="none" w:sz="0" w:space="0" w:color="auto"/>
            <w:left w:val="none" w:sz="0" w:space="0" w:color="auto"/>
            <w:bottom w:val="none" w:sz="0" w:space="0" w:color="auto"/>
            <w:right w:val="none" w:sz="0" w:space="0" w:color="auto"/>
          </w:divBdr>
          <w:divsChild>
            <w:div w:id="1483497342">
              <w:marLeft w:val="0"/>
              <w:marRight w:val="5040"/>
              <w:marTop w:val="0"/>
              <w:marBottom w:val="0"/>
              <w:divBdr>
                <w:top w:val="none" w:sz="0" w:space="0" w:color="auto"/>
                <w:left w:val="none" w:sz="0" w:space="0" w:color="auto"/>
                <w:bottom w:val="none" w:sz="0" w:space="0" w:color="auto"/>
                <w:right w:val="none" w:sz="0" w:space="0" w:color="auto"/>
              </w:divBdr>
              <w:divsChild>
                <w:div w:id="13031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rger@occ.state.oh.us"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Sarah.parrot@puc.state.oh.us" TargetMode="External"/><Relationship Id="rId3" Type="http://schemas.microsoft.com/office/2007/relationships/stylesWithEffects" Target="stylesWithEffects.xml"/><Relationship Id="rId21" Type="http://schemas.openxmlformats.org/officeDocument/2006/relationships/hyperlink" Target="mailto:Thomas.lindgren@puc.state.oh.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jkylercohn@BKLlawfirm.com" TargetMode="External"/><Relationship Id="rId33" Type="http://schemas.openxmlformats.org/officeDocument/2006/relationships/hyperlink" Target="mailto:mpritchard@mwncmh.co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berger@occ.state.oh.us" TargetMode="External"/><Relationship Id="rId29" Type="http://schemas.openxmlformats.org/officeDocument/2006/relationships/hyperlink" Target="mailto:yalami@aep.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kurtz@BKLlawfirm.com" TargetMode="External"/><Relationship Id="rId32" Type="http://schemas.openxmlformats.org/officeDocument/2006/relationships/hyperlink" Target="mailto:joliker@mwncmh.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dboehm@BKLlawfirm.com" TargetMode="External"/><Relationship Id="rId28" Type="http://schemas.openxmlformats.org/officeDocument/2006/relationships/hyperlink" Target="mailto:stnourse@aep.com"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mailto:fdarr@mwncmh.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yan.orourke@puc.state.oh.us" TargetMode="External"/><Relationship Id="rId27" Type="http://schemas.openxmlformats.org/officeDocument/2006/relationships/hyperlink" Target="mailto:Jonathan.tauber@puc.state.oh.us" TargetMode="External"/><Relationship Id="rId30" Type="http://schemas.openxmlformats.org/officeDocument/2006/relationships/hyperlink" Target="mailto:sam@mwncmh.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11506</Characters>
  <Application>Microsoft Office Word</Application>
  <DocSecurity>0</DocSecurity>
  <Lines>312</Lines>
  <Paragraphs>125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13612</CharactersWithSpaces>
  <SharedDoc>false</SharedDoc>
  <HyperlinkBase> </HyperlinkBase>
  <HLinks>
    <vt:vector size="102" baseType="variant">
      <vt:variant>
        <vt:i4>7995406</vt:i4>
      </vt:variant>
      <vt:variant>
        <vt:i4>66</vt:i4>
      </vt:variant>
      <vt:variant>
        <vt:i4>0</vt:i4>
      </vt:variant>
      <vt:variant>
        <vt:i4>5</vt:i4>
      </vt:variant>
      <vt:variant>
        <vt:lpwstr>mailto:Jonathan.tauber@puc.state.oh.us</vt:lpwstr>
      </vt:variant>
      <vt:variant>
        <vt:lpwstr/>
      </vt:variant>
      <vt:variant>
        <vt:i4>5111846</vt:i4>
      </vt:variant>
      <vt:variant>
        <vt:i4>63</vt:i4>
      </vt:variant>
      <vt:variant>
        <vt:i4>0</vt:i4>
      </vt:variant>
      <vt:variant>
        <vt:i4>5</vt:i4>
      </vt:variant>
      <vt:variant>
        <vt:lpwstr>mailto:Sarah.parrot@puc.state.oh.us</vt:lpwstr>
      </vt:variant>
      <vt:variant>
        <vt:lpwstr/>
      </vt:variant>
      <vt:variant>
        <vt:i4>2162714</vt:i4>
      </vt:variant>
      <vt:variant>
        <vt:i4>60</vt:i4>
      </vt:variant>
      <vt:variant>
        <vt:i4>0</vt:i4>
      </vt:variant>
      <vt:variant>
        <vt:i4>5</vt:i4>
      </vt:variant>
      <vt:variant>
        <vt:lpwstr>mailto:mpritchard@mwncmh.com</vt:lpwstr>
      </vt:variant>
      <vt:variant>
        <vt:lpwstr/>
      </vt:variant>
      <vt:variant>
        <vt:i4>5374070</vt:i4>
      </vt:variant>
      <vt:variant>
        <vt:i4>57</vt:i4>
      </vt:variant>
      <vt:variant>
        <vt:i4>0</vt:i4>
      </vt:variant>
      <vt:variant>
        <vt:i4>5</vt:i4>
      </vt:variant>
      <vt:variant>
        <vt:lpwstr>mailto:joliker@mwncmh.com</vt:lpwstr>
      </vt:variant>
      <vt:variant>
        <vt:lpwstr/>
      </vt:variant>
      <vt:variant>
        <vt:i4>3670019</vt:i4>
      </vt:variant>
      <vt:variant>
        <vt:i4>54</vt:i4>
      </vt:variant>
      <vt:variant>
        <vt:i4>0</vt:i4>
      </vt:variant>
      <vt:variant>
        <vt:i4>5</vt:i4>
      </vt:variant>
      <vt:variant>
        <vt:lpwstr>mailto:fdarr@mwncmh.com</vt:lpwstr>
      </vt:variant>
      <vt:variant>
        <vt:lpwstr/>
      </vt:variant>
      <vt:variant>
        <vt:i4>5439604</vt:i4>
      </vt:variant>
      <vt:variant>
        <vt:i4>51</vt:i4>
      </vt:variant>
      <vt:variant>
        <vt:i4>0</vt:i4>
      </vt:variant>
      <vt:variant>
        <vt:i4>5</vt:i4>
      </vt:variant>
      <vt:variant>
        <vt:lpwstr>mailto:sam@mwncmh.com</vt:lpwstr>
      </vt:variant>
      <vt:variant>
        <vt:lpwstr/>
      </vt:variant>
      <vt:variant>
        <vt:i4>8257617</vt:i4>
      </vt:variant>
      <vt:variant>
        <vt:i4>48</vt:i4>
      </vt:variant>
      <vt:variant>
        <vt:i4>0</vt:i4>
      </vt:variant>
      <vt:variant>
        <vt:i4>5</vt:i4>
      </vt:variant>
      <vt:variant>
        <vt:lpwstr>mailto:yalami@aep.com</vt:lpwstr>
      </vt:variant>
      <vt:variant>
        <vt:lpwstr/>
      </vt:variant>
      <vt:variant>
        <vt:i4>1900596</vt:i4>
      </vt:variant>
      <vt:variant>
        <vt:i4>45</vt:i4>
      </vt:variant>
      <vt:variant>
        <vt:i4>0</vt:i4>
      </vt:variant>
      <vt:variant>
        <vt:i4>5</vt:i4>
      </vt:variant>
      <vt:variant>
        <vt:lpwstr>mailto:stnourse@aep.com</vt:lpwstr>
      </vt:variant>
      <vt:variant>
        <vt:lpwstr/>
      </vt:variant>
      <vt:variant>
        <vt:i4>2424836</vt:i4>
      </vt:variant>
      <vt:variant>
        <vt:i4>42</vt:i4>
      </vt:variant>
      <vt:variant>
        <vt:i4>0</vt:i4>
      </vt:variant>
      <vt:variant>
        <vt:i4>5</vt:i4>
      </vt:variant>
      <vt:variant>
        <vt:lpwstr>mailto:jkylercohn@BKLlawfirm.com</vt:lpwstr>
      </vt:variant>
      <vt:variant>
        <vt:lpwstr/>
      </vt:variant>
      <vt:variant>
        <vt:i4>3407891</vt:i4>
      </vt:variant>
      <vt:variant>
        <vt:i4>39</vt:i4>
      </vt:variant>
      <vt:variant>
        <vt:i4>0</vt:i4>
      </vt:variant>
      <vt:variant>
        <vt:i4>5</vt:i4>
      </vt:variant>
      <vt:variant>
        <vt:lpwstr>mailto:mkurtz@BKLlawfirm.com</vt:lpwstr>
      </vt:variant>
      <vt:variant>
        <vt:lpwstr/>
      </vt:variant>
      <vt:variant>
        <vt:i4>5570664</vt:i4>
      </vt:variant>
      <vt:variant>
        <vt:i4>36</vt:i4>
      </vt:variant>
      <vt:variant>
        <vt:i4>0</vt:i4>
      </vt:variant>
      <vt:variant>
        <vt:i4>5</vt:i4>
      </vt:variant>
      <vt:variant>
        <vt:lpwstr>mailto:dboehrn@BKLlawfirm.com</vt:lpwstr>
      </vt:variant>
      <vt:variant>
        <vt:lpwstr/>
      </vt:variant>
      <vt:variant>
        <vt:i4>2293828</vt:i4>
      </vt:variant>
      <vt:variant>
        <vt:i4>33</vt:i4>
      </vt:variant>
      <vt:variant>
        <vt:i4>0</vt:i4>
      </vt:variant>
      <vt:variant>
        <vt:i4>5</vt:i4>
      </vt:variant>
      <vt:variant>
        <vt:lpwstr>mailto:William.wright@puc.state.oh.us</vt:lpwstr>
      </vt:variant>
      <vt:variant>
        <vt:lpwstr/>
      </vt:variant>
      <vt:variant>
        <vt:i4>1441850</vt:i4>
      </vt:variant>
      <vt:variant>
        <vt:i4>26</vt:i4>
      </vt:variant>
      <vt:variant>
        <vt:i4>0</vt:i4>
      </vt:variant>
      <vt:variant>
        <vt:i4>5</vt:i4>
      </vt:variant>
      <vt:variant>
        <vt:lpwstr/>
      </vt:variant>
      <vt:variant>
        <vt:lpwstr>_Toc369783830</vt:lpwstr>
      </vt:variant>
      <vt:variant>
        <vt:i4>1507386</vt:i4>
      </vt:variant>
      <vt:variant>
        <vt:i4>20</vt:i4>
      </vt:variant>
      <vt:variant>
        <vt:i4>0</vt:i4>
      </vt:variant>
      <vt:variant>
        <vt:i4>5</vt:i4>
      </vt:variant>
      <vt:variant>
        <vt:lpwstr/>
      </vt:variant>
      <vt:variant>
        <vt:lpwstr>_Toc369783829</vt:lpwstr>
      </vt:variant>
      <vt:variant>
        <vt:i4>1507386</vt:i4>
      </vt:variant>
      <vt:variant>
        <vt:i4>14</vt:i4>
      </vt:variant>
      <vt:variant>
        <vt:i4>0</vt:i4>
      </vt:variant>
      <vt:variant>
        <vt:i4>5</vt:i4>
      </vt:variant>
      <vt:variant>
        <vt:lpwstr/>
      </vt:variant>
      <vt:variant>
        <vt:lpwstr>_Toc369783828</vt:lpwstr>
      </vt:variant>
      <vt:variant>
        <vt:i4>1507386</vt:i4>
      </vt:variant>
      <vt:variant>
        <vt:i4>8</vt:i4>
      </vt:variant>
      <vt:variant>
        <vt:i4>0</vt:i4>
      </vt:variant>
      <vt:variant>
        <vt:i4>5</vt:i4>
      </vt:variant>
      <vt:variant>
        <vt:lpwstr/>
      </vt:variant>
      <vt:variant>
        <vt:lpwstr>_Toc369783827</vt:lpwstr>
      </vt:variant>
      <vt:variant>
        <vt:i4>1507386</vt:i4>
      </vt:variant>
      <vt:variant>
        <vt:i4>2</vt:i4>
      </vt:variant>
      <vt:variant>
        <vt:i4>0</vt:i4>
      </vt:variant>
      <vt:variant>
        <vt:i4>5</vt:i4>
      </vt:variant>
      <vt:variant>
        <vt:lpwstr/>
      </vt:variant>
      <vt:variant>
        <vt:lpwstr>_Toc369783826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2013-10-18T16:23:00Z</cp:lastPrinted>
  <dcterms:created xsi:type="dcterms:W3CDTF">2013-10-18T16:54:00Z</dcterms:created>
  <dcterms:modified xsi:type="dcterms:W3CDTF">2013-10-18T16:54:00Z</dcterms:modified>
  <cp:category> </cp:category>
  <cp:contentStatus> </cp:contentStatus>
</cp:coreProperties>
</file>