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8C" w:rsidRPr="005A799D" w:rsidRDefault="00EE448C" w:rsidP="00EE448C">
      <w:pPr>
        <w:tabs>
          <w:tab w:val="left" w:pos="0"/>
          <w:tab w:val="left" w:pos="720"/>
        </w:tabs>
        <w:spacing w:after="0" w:line="240" w:lineRule="auto"/>
        <w:jc w:val="center"/>
        <w:rPr>
          <w:rFonts w:ascii="Times New Roman" w:eastAsia="Times New Roman" w:hAnsi="Times New Roman" w:cs="Times New Roman"/>
          <w:b/>
          <w:sz w:val="24"/>
          <w:szCs w:val="24"/>
        </w:rPr>
      </w:pPr>
      <w:bookmarkStart w:id="0" w:name="_GoBack"/>
      <w:bookmarkEnd w:id="0"/>
      <w:r w:rsidRPr="005A799D">
        <w:rPr>
          <w:rFonts w:ascii="Times New Roman" w:eastAsia="Times New Roman" w:hAnsi="Times New Roman" w:cs="Times New Roman"/>
          <w:b/>
          <w:sz w:val="24"/>
          <w:szCs w:val="24"/>
        </w:rPr>
        <w:t>BEFORE</w:t>
      </w:r>
    </w:p>
    <w:p w:rsidR="00EE448C" w:rsidRPr="005A799D" w:rsidRDefault="00EE448C" w:rsidP="00EE448C">
      <w:pPr>
        <w:tabs>
          <w:tab w:val="left" w:pos="0"/>
          <w:tab w:val="left" w:pos="720"/>
        </w:tabs>
        <w:spacing w:after="0" w:line="240" w:lineRule="auto"/>
        <w:jc w:val="center"/>
        <w:rPr>
          <w:rFonts w:ascii="Times New Roman" w:eastAsia="Times New Roman" w:hAnsi="Times New Roman" w:cs="Times New Roman"/>
          <w:b/>
          <w:sz w:val="24"/>
          <w:szCs w:val="24"/>
        </w:rPr>
      </w:pPr>
      <w:r w:rsidRPr="005A799D">
        <w:rPr>
          <w:rFonts w:ascii="Times New Roman" w:eastAsia="Times New Roman" w:hAnsi="Times New Roman" w:cs="Times New Roman"/>
          <w:b/>
          <w:sz w:val="24"/>
          <w:szCs w:val="24"/>
        </w:rPr>
        <w:t>THE PUBLIC UTILITIES COMMISSION OF OHIO</w:t>
      </w:r>
    </w:p>
    <w:p w:rsidR="00EE448C" w:rsidRDefault="00EE448C" w:rsidP="00EE448C">
      <w:pPr>
        <w:tabs>
          <w:tab w:val="left" w:pos="0"/>
          <w:tab w:val="left" w:pos="720"/>
        </w:tabs>
        <w:spacing w:after="0" w:line="240" w:lineRule="auto"/>
        <w:jc w:val="center"/>
        <w:rPr>
          <w:rFonts w:ascii="Times New Roman" w:eastAsia="Times New Roman" w:hAnsi="Times New Roman" w:cs="Times New Roman"/>
          <w:b/>
          <w:sz w:val="24"/>
          <w:szCs w:val="24"/>
        </w:rPr>
      </w:pPr>
    </w:p>
    <w:p w:rsidR="00EE448C" w:rsidRPr="005A799D" w:rsidRDefault="00EE448C" w:rsidP="00EE448C">
      <w:pPr>
        <w:tabs>
          <w:tab w:val="left" w:pos="0"/>
          <w:tab w:val="left" w:pos="720"/>
        </w:tabs>
        <w:spacing w:after="0" w:line="240" w:lineRule="auto"/>
        <w:jc w:val="center"/>
        <w:rPr>
          <w:rFonts w:ascii="Times New Roman" w:eastAsia="Times New Roman" w:hAnsi="Times New Roman" w:cs="Times New Roman"/>
          <w:b/>
          <w:sz w:val="24"/>
          <w:szCs w:val="24"/>
        </w:rPr>
      </w:pPr>
    </w:p>
    <w:tbl>
      <w:tblPr>
        <w:tblW w:w="9844" w:type="dxa"/>
        <w:tblLook w:val="04A0" w:firstRow="1" w:lastRow="0" w:firstColumn="1" w:lastColumn="0" w:noHBand="0" w:noVBand="1"/>
      </w:tblPr>
      <w:tblGrid>
        <w:gridCol w:w="4788"/>
        <w:gridCol w:w="455"/>
        <w:gridCol w:w="4601"/>
      </w:tblGrid>
      <w:tr w:rsidR="00EE448C" w:rsidRPr="005A799D" w:rsidTr="0059406D">
        <w:trPr>
          <w:trHeight w:val="1252"/>
        </w:trPr>
        <w:tc>
          <w:tcPr>
            <w:tcW w:w="4788" w:type="dxa"/>
            <w:shd w:val="clear" w:color="auto" w:fill="auto"/>
          </w:tcPr>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The Office of the Ohio Consumers’ Counsel,</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ind w:firstLine="7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Complainant,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v.</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Ohio Power Company,</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ind w:firstLine="7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Respondent.</w:t>
            </w:r>
          </w:p>
        </w:tc>
        <w:tc>
          <w:tcPr>
            <w:tcW w:w="455" w:type="dxa"/>
            <w:shd w:val="clear" w:color="auto" w:fill="auto"/>
          </w:tcPr>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  )</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tc>
        <w:tc>
          <w:tcPr>
            <w:tcW w:w="4601" w:type="dxa"/>
            <w:shd w:val="clear" w:color="auto" w:fill="auto"/>
          </w:tcPr>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r w:rsidRPr="005105AB">
              <w:rPr>
                <w:rFonts w:ascii="Times New Roman" w:eastAsia="Times New Roman" w:hAnsi="Times New Roman" w:cs="Times New Roman"/>
                <w:sz w:val="24"/>
                <w:szCs w:val="24"/>
              </w:rPr>
              <w:t>Case No. 16-0782</w:t>
            </w:r>
            <w:r w:rsidRPr="005A799D">
              <w:rPr>
                <w:rFonts w:ascii="Times New Roman" w:eastAsia="Times New Roman" w:hAnsi="Times New Roman" w:cs="Times New Roman"/>
                <w:sz w:val="24"/>
                <w:szCs w:val="24"/>
              </w:rPr>
              <w:t>-EL-CSS</w:t>
            </w:r>
          </w:p>
          <w:p w:rsidR="00EE448C" w:rsidRPr="005A799D" w:rsidRDefault="00EE448C" w:rsidP="0059406D">
            <w:pPr>
              <w:autoSpaceDE w:val="0"/>
              <w:autoSpaceDN w:val="0"/>
              <w:adjustRightInd w:val="0"/>
              <w:spacing w:after="0" w:line="240" w:lineRule="auto"/>
              <w:rPr>
                <w:rFonts w:ascii="Times New Roman" w:eastAsia="Times New Roman" w:hAnsi="Times New Roman" w:cs="Times New Roman"/>
                <w:sz w:val="24"/>
                <w:szCs w:val="24"/>
              </w:rPr>
            </w:pPr>
          </w:p>
        </w:tc>
      </w:tr>
    </w:tbl>
    <w:p w:rsidR="00EE448C" w:rsidRPr="005A799D" w:rsidRDefault="00EE448C" w:rsidP="00EE448C">
      <w:pPr>
        <w:pBdr>
          <w:bottom w:val="single" w:sz="12" w:space="0" w:color="auto"/>
        </w:pBdr>
        <w:tabs>
          <w:tab w:val="left" w:pos="0"/>
          <w:tab w:val="left" w:pos="720"/>
        </w:tabs>
        <w:spacing w:after="0" w:line="240" w:lineRule="auto"/>
        <w:rPr>
          <w:rFonts w:ascii="Times New Roman" w:eastAsia="Times New Roman" w:hAnsi="Times New Roman" w:cs="Times New Roman"/>
          <w:b/>
          <w:sz w:val="24"/>
          <w:szCs w:val="24"/>
        </w:rPr>
      </w:pPr>
    </w:p>
    <w:p w:rsidR="00EE448C" w:rsidRPr="005A799D" w:rsidRDefault="00EE448C" w:rsidP="00EE448C">
      <w:pPr>
        <w:tabs>
          <w:tab w:val="left" w:pos="0"/>
          <w:tab w:val="left" w:pos="720"/>
        </w:tabs>
        <w:spacing w:after="0" w:line="240" w:lineRule="auto"/>
        <w:rPr>
          <w:rFonts w:ascii="Times New Roman" w:eastAsia="Times New Roman" w:hAnsi="Times New Roman" w:cs="Times New Roman"/>
          <w:b/>
          <w:sz w:val="24"/>
          <w:szCs w:val="24"/>
        </w:rPr>
      </w:pPr>
    </w:p>
    <w:p w:rsidR="00EE448C" w:rsidRPr="005A799D" w:rsidRDefault="00EE448C" w:rsidP="00A71B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MEMORANDUM CONTRA </w:t>
      </w:r>
      <w:r w:rsidR="00A71B47">
        <w:rPr>
          <w:rFonts w:ascii="Times New Roman" w:eastAsia="Times New Roman" w:hAnsi="Times New Roman" w:cs="Times New Roman"/>
          <w:b/>
          <w:sz w:val="24"/>
          <w:szCs w:val="24"/>
        </w:rPr>
        <w:t>MOTIONS TO INTERVENE OF INDUSTRIAL ENERGY USERS-OHIO, NATIONWIDE ENERGY PARTNERS, LLC, THE OHIO APARTMENT ASSOCIATION, AND THE INTERNATIONAL COUNCIL OF SHOPPING CENTERS</w:t>
      </w:r>
    </w:p>
    <w:p w:rsidR="00EE448C" w:rsidRPr="005A799D" w:rsidRDefault="00EE448C" w:rsidP="00EE448C">
      <w:pPr>
        <w:spacing w:after="0" w:line="240" w:lineRule="auto"/>
        <w:jc w:val="center"/>
        <w:rPr>
          <w:rFonts w:ascii="Times New Roman" w:eastAsia="Times New Roman" w:hAnsi="Times New Roman" w:cs="Times New Roman"/>
          <w:b/>
          <w:sz w:val="24"/>
          <w:szCs w:val="24"/>
        </w:rPr>
      </w:pPr>
      <w:r w:rsidRPr="005A799D">
        <w:rPr>
          <w:rFonts w:ascii="Times New Roman" w:eastAsia="Times New Roman" w:hAnsi="Times New Roman" w:cs="Times New Roman"/>
          <w:b/>
          <w:sz w:val="24"/>
          <w:szCs w:val="24"/>
        </w:rPr>
        <w:t>BY</w:t>
      </w:r>
    </w:p>
    <w:p w:rsidR="00EE448C" w:rsidRPr="005A799D" w:rsidRDefault="00EE448C" w:rsidP="00EE448C">
      <w:pPr>
        <w:pBdr>
          <w:bottom w:val="single" w:sz="12" w:space="1" w:color="auto"/>
        </w:pBdr>
        <w:spacing w:after="0" w:line="240" w:lineRule="auto"/>
        <w:jc w:val="center"/>
        <w:rPr>
          <w:rFonts w:ascii="Times New Roman" w:eastAsia="Times New Roman" w:hAnsi="Times New Roman" w:cs="Times New Roman"/>
          <w:b/>
          <w:sz w:val="24"/>
          <w:szCs w:val="24"/>
        </w:rPr>
      </w:pPr>
      <w:r w:rsidRPr="005A799D">
        <w:rPr>
          <w:rFonts w:ascii="Times New Roman" w:eastAsia="Times New Roman" w:hAnsi="Times New Roman" w:cs="Times New Roman"/>
          <w:b/>
          <w:sz w:val="24"/>
          <w:szCs w:val="24"/>
        </w:rPr>
        <w:t>THE OFFICE OF THE OHIO CONSUMERS’ COUNSEL</w:t>
      </w:r>
      <w:r w:rsidRPr="005A799D">
        <w:rPr>
          <w:rFonts w:ascii="Times New Roman" w:eastAsia="Times New Roman" w:hAnsi="Times New Roman" w:cs="Times New Roman"/>
          <w:b/>
          <w:sz w:val="24"/>
          <w:szCs w:val="24"/>
        </w:rPr>
        <w:br/>
      </w:r>
    </w:p>
    <w:p w:rsidR="00EE448C" w:rsidRPr="005A799D" w:rsidRDefault="00EE448C" w:rsidP="00EE448C">
      <w:pPr>
        <w:autoSpaceDE w:val="0"/>
        <w:autoSpaceDN w:val="0"/>
        <w:adjustRightInd w:val="0"/>
        <w:spacing w:after="0" w:line="240" w:lineRule="auto"/>
        <w:ind w:firstLine="720"/>
        <w:rPr>
          <w:rFonts w:ascii="Times New Roman" w:eastAsia="Times New Roman" w:hAnsi="Times New Roman" w:cs="Times New Roman"/>
          <w:sz w:val="24"/>
          <w:szCs w:val="24"/>
        </w:rPr>
      </w:pPr>
    </w:p>
    <w:p w:rsidR="00F238C3" w:rsidRPr="00F238C3" w:rsidRDefault="00537111" w:rsidP="00537111">
      <w:pPr>
        <w:pStyle w:val="Heading1"/>
        <w:rPr>
          <w:rFonts w:eastAsia="Times New Roman"/>
        </w:rPr>
      </w:pPr>
      <w:r>
        <w:rPr>
          <w:rFonts w:eastAsia="Times New Roman"/>
        </w:rPr>
        <w:t>I.</w:t>
      </w:r>
      <w:r>
        <w:rPr>
          <w:rFonts w:eastAsia="Times New Roman"/>
        </w:rPr>
        <w:tab/>
      </w:r>
      <w:r w:rsidR="00F238C3" w:rsidRPr="00F238C3">
        <w:rPr>
          <w:rFonts w:eastAsia="Times New Roman"/>
        </w:rPr>
        <w:t>Introduction</w:t>
      </w:r>
    </w:p>
    <w:p w:rsidR="00537111" w:rsidRDefault="003234A1" w:rsidP="00A90B7B">
      <w:pPr>
        <w:autoSpaceDE w:val="0"/>
        <w:autoSpaceDN w:val="0"/>
        <w:spacing w:after="0" w:line="480" w:lineRule="auto"/>
        <w:ind w:firstLine="720"/>
        <w:rPr>
          <w:rFonts w:ascii="Times New Roman" w:eastAsia="Times New Roman" w:hAnsi="Times New Roman" w:cs="Times New Roman"/>
          <w:sz w:val="24"/>
          <w:szCs w:val="24"/>
        </w:rPr>
        <w:sectPr w:rsidR="00537111" w:rsidSect="0053711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Pr>
          <w:rFonts w:ascii="Times New Roman" w:eastAsia="Times New Roman" w:hAnsi="Times New Roman" w:cs="Times New Roman"/>
          <w:sz w:val="24"/>
          <w:szCs w:val="24"/>
        </w:rPr>
        <w:t>T</w:t>
      </w:r>
      <w:r w:rsidR="00C655D6">
        <w:rPr>
          <w:rFonts w:ascii="Times New Roman" w:eastAsia="Times New Roman" w:hAnsi="Times New Roman" w:cs="Times New Roman"/>
          <w:sz w:val="24"/>
          <w:szCs w:val="24"/>
        </w:rPr>
        <w:t xml:space="preserve">his </w:t>
      </w:r>
      <w:r w:rsidR="00E13DB2">
        <w:rPr>
          <w:rFonts w:ascii="Times New Roman" w:eastAsia="Times New Roman" w:hAnsi="Times New Roman" w:cs="Times New Roman"/>
          <w:sz w:val="24"/>
          <w:szCs w:val="24"/>
        </w:rPr>
        <w:t xml:space="preserve">case centers </w:t>
      </w:r>
      <w:r w:rsidR="0094766A">
        <w:rPr>
          <w:rFonts w:ascii="Times New Roman" w:eastAsia="Times New Roman" w:hAnsi="Times New Roman" w:cs="Times New Roman"/>
          <w:sz w:val="24"/>
          <w:szCs w:val="24"/>
        </w:rPr>
        <w:t xml:space="preserve">solely </w:t>
      </w:r>
      <w:r w:rsidR="00E13DB2">
        <w:rPr>
          <w:rFonts w:ascii="Times New Roman" w:eastAsia="Times New Roman" w:hAnsi="Times New Roman" w:cs="Times New Roman"/>
          <w:sz w:val="24"/>
          <w:szCs w:val="24"/>
        </w:rPr>
        <w:t xml:space="preserve">on the plight of </w:t>
      </w:r>
      <w:r w:rsidR="00E13DB2" w:rsidRPr="006F65E7">
        <w:rPr>
          <w:rFonts w:ascii="Times New Roman" w:eastAsia="Times New Roman" w:hAnsi="Times New Roman" w:cs="Times New Roman"/>
          <w:sz w:val="24"/>
          <w:szCs w:val="24"/>
        </w:rPr>
        <w:t>residential customers</w:t>
      </w:r>
      <w:r w:rsidR="00E13DB2">
        <w:rPr>
          <w:rFonts w:ascii="Times New Roman" w:eastAsia="Times New Roman" w:hAnsi="Times New Roman" w:cs="Times New Roman"/>
          <w:sz w:val="24"/>
          <w:szCs w:val="24"/>
        </w:rPr>
        <w:t xml:space="preserve"> in the Ohio Power Co</w:t>
      </w:r>
      <w:r w:rsidR="006545FF">
        <w:rPr>
          <w:rFonts w:ascii="Times New Roman" w:eastAsia="Times New Roman" w:hAnsi="Times New Roman" w:cs="Times New Roman"/>
          <w:sz w:val="24"/>
          <w:szCs w:val="24"/>
        </w:rPr>
        <w:t>mpany</w:t>
      </w:r>
      <w:r w:rsidR="00E13DB2">
        <w:rPr>
          <w:rFonts w:ascii="Times New Roman" w:eastAsia="Times New Roman" w:hAnsi="Times New Roman" w:cs="Times New Roman"/>
          <w:sz w:val="24"/>
          <w:szCs w:val="24"/>
        </w:rPr>
        <w:t xml:space="preserve"> (</w:t>
      </w:r>
      <w:r w:rsidR="004942EB">
        <w:rPr>
          <w:rFonts w:ascii="Times New Roman" w:eastAsia="Times New Roman" w:hAnsi="Times New Roman" w:cs="Times New Roman"/>
          <w:sz w:val="24"/>
          <w:szCs w:val="24"/>
        </w:rPr>
        <w:t>“</w:t>
      </w:r>
      <w:r w:rsidR="00E13DB2">
        <w:rPr>
          <w:rFonts w:ascii="Times New Roman" w:eastAsia="Times New Roman" w:hAnsi="Times New Roman" w:cs="Times New Roman"/>
          <w:sz w:val="24"/>
          <w:szCs w:val="24"/>
        </w:rPr>
        <w:t>AEP Ohio</w:t>
      </w:r>
      <w:r w:rsidR="004942EB">
        <w:rPr>
          <w:rFonts w:ascii="Times New Roman" w:eastAsia="Times New Roman" w:hAnsi="Times New Roman" w:cs="Times New Roman"/>
          <w:sz w:val="24"/>
          <w:szCs w:val="24"/>
        </w:rPr>
        <w:t>” or “Utility”</w:t>
      </w:r>
      <w:r w:rsidR="00E13DB2">
        <w:rPr>
          <w:rFonts w:ascii="Times New Roman" w:eastAsia="Times New Roman" w:hAnsi="Times New Roman" w:cs="Times New Roman"/>
          <w:sz w:val="24"/>
          <w:szCs w:val="24"/>
        </w:rPr>
        <w:t xml:space="preserve">) service territory who lack critical protections because they receive </w:t>
      </w:r>
      <w:r w:rsidR="0094766A">
        <w:rPr>
          <w:rFonts w:ascii="Times New Roman" w:eastAsia="Times New Roman" w:hAnsi="Times New Roman" w:cs="Times New Roman"/>
          <w:sz w:val="24"/>
          <w:szCs w:val="24"/>
        </w:rPr>
        <w:t xml:space="preserve">electric </w:t>
      </w:r>
      <w:r w:rsidR="00E13DB2">
        <w:rPr>
          <w:rFonts w:ascii="Times New Roman" w:eastAsia="Times New Roman" w:hAnsi="Times New Roman" w:cs="Times New Roman"/>
          <w:sz w:val="24"/>
          <w:szCs w:val="24"/>
        </w:rPr>
        <w:t xml:space="preserve">utility services through a submeterer or other reseller.  </w:t>
      </w:r>
      <w:r w:rsidR="00C655D6">
        <w:rPr>
          <w:rFonts w:ascii="Times New Roman" w:eastAsia="Times New Roman" w:hAnsi="Times New Roman" w:cs="Times New Roman"/>
          <w:sz w:val="24"/>
          <w:szCs w:val="24"/>
        </w:rPr>
        <w:t xml:space="preserve">To remedy the harms </w:t>
      </w:r>
      <w:r w:rsidR="009F5B6E">
        <w:rPr>
          <w:rFonts w:ascii="Times New Roman" w:eastAsia="Times New Roman" w:hAnsi="Times New Roman" w:cs="Times New Roman"/>
          <w:sz w:val="24"/>
          <w:szCs w:val="24"/>
        </w:rPr>
        <w:t xml:space="preserve">to </w:t>
      </w:r>
      <w:r w:rsidR="00C655D6">
        <w:rPr>
          <w:rFonts w:ascii="Times New Roman" w:eastAsia="Times New Roman" w:hAnsi="Times New Roman" w:cs="Times New Roman"/>
          <w:sz w:val="24"/>
          <w:szCs w:val="24"/>
        </w:rPr>
        <w:t xml:space="preserve">these </w:t>
      </w:r>
      <w:r w:rsidR="006F65E7">
        <w:rPr>
          <w:rFonts w:ascii="Times New Roman" w:eastAsia="Times New Roman" w:hAnsi="Times New Roman" w:cs="Times New Roman"/>
          <w:sz w:val="24"/>
          <w:szCs w:val="24"/>
        </w:rPr>
        <w:t xml:space="preserve">unprotected </w:t>
      </w:r>
      <w:r w:rsidR="00C655D6">
        <w:rPr>
          <w:rFonts w:ascii="Times New Roman" w:eastAsia="Times New Roman" w:hAnsi="Times New Roman" w:cs="Times New Roman"/>
          <w:sz w:val="24"/>
          <w:szCs w:val="24"/>
        </w:rPr>
        <w:t xml:space="preserve">residential customers, the Office of the Ohio Consumers’ Counsel </w:t>
      </w:r>
      <w:r w:rsidR="006F65E7">
        <w:rPr>
          <w:rFonts w:ascii="Times New Roman" w:eastAsia="Times New Roman" w:hAnsi="Times New Roman" w:cs="Times New Roman"/>
          <w:sz w:val="24"/>
          <w:szCs w:val="24"/>
        </w:rPr>
        <w:t>(</w:t>
      </w:r>
      <w:r w:rsidR="004942EB">
        <w:rPr>
          <w:rFonts w:ascii="Times New Roman" w:eastAsia="Times New Roman" w:hAnsi="Times New Roman" w:cs="Times New Roman"/>
          <w:sz w:val="24"/>
          <w:szCs w:val="24"/>
        </w:rPr>
        <w:t>“</w:t>
      </w:r>
      <w:r w:rsidR="006F65E7">
        <w:rPr>
          <w:rFonts w:ascii="Times New Roman" w:eastAsia="Times New Roman" w:hAnsi="Times New Roman" w:cs="Times New Roman"/>
          <w:sz w:val="24"/>
          <w:szCs w:val="24"/>
        </w:rPr>
        <w:t>OCC</w:t>
      </w:r>
      <w:r w:rsidR="004942EB">
        <w:rPr>
          <w:rFonts w:ascii="Times New Roman" w:eastAsia="Times New Roman" w:hAnsi="Times New Roman" w:cs="Times New Roman"/>
          <w:sz w:val="24"/>
          <w:szCs w:val="24"/>
        </w:rPr>
        <w:t>”</w:t>
      </w:r>
      <w:r w:rsidR="006F65E7">
        <w:rPr>
          <w:rFonts w:ascii="Times New Roman" w:eastAsia="Times New Roman" w:hAnsi="Times New Roman" w:cs="Times New Roman"/>
          <w:sz w:val="24"/>
          <w:szCs w:val="24"/>
        </w:rPr>
        <w:t xml:space="preserve">) </w:t>
      </w:r>
      <w:r w:rsidR="00C655D6">
        <w:rPr>
          <w:rFonts w:ascii="Times New Roman" w:eastAsia="Times New Roman" w:hAnsi="Times New Roman" w:cs="Times New Roman"/>
          <w:sz w:val="24"/>
          <w:szCs w:val="24"/>
        </w:rPr>
        <w:t>filed a complaint</w:t>
      </w:r>
      <w:r w:rsidR="00CB1AA2">
        <w:rPr>
          <w:rFonts w:ascii="Times New Roman" w:eastAsia="Times New Roman" w:hAnsi="Times New Roman" w:cs="Times New Roman"/>
          <w:sz w:val="24"/>
          <w:szCs w:val="24"/>
        </w:rPr>
        <w:t xml:space="preserve">.  In its complaint, OCC </w:t>
      </w:r>
      <w:r w:rsidR="00C655D6">
        <w:rPr>
          <w:rFonts w:ascii="Times New Roman" w:eastAsia="Times New Roman" w:hAnsi="Times New Roman" w:cs="Times New Roman"/>
          <w:sz w:val="24"/>
          <w:szCs w:val="24"/>
        </w:rPr>
        <w:t xml:space="preserve"> request</w:t>
      </w:r>
      <w:r w:rsidR="00CB1AA2">
        <w:rPr>
          <w:rFonts w:ascii="Times New Roman" w:eastAsia="Times New Roman" w:hAnsi="Times New Roman" w:cs="Times New Roman"/>
          <w:sz w:val="24"/>
          <w:szCs w:val="24"/>
        </w:rPr>
        <w:t>ed</w:t>
      </w:r>
      <w:r w:rsidR="00C655D6">
        <w:rPr>
          <w:rFonts w:ascii="Times New Roman" w:eastAsia="Times New Roman" w:hAnsi="Times New Roman" w:cs="Times New Roman"/>
          <w:sz w:val="24"/>
          <w:szCs w:val="24"/>
        </w:rPr>
        <w:t xml:space="preserve"> that AEP Ohio amend its tariffs to bar the resale and redistribution of electric services to residential customers by submetering entities or third-party agents (other than landlords) that are operating as public utilities.</w:t>
      </w:r>
      <w:r w:rsidR="006545FF">
        <w:rPr>
          <w:rStyle w:val="FootnoteReference"/>
          <w:rFonts w:ascii="Times New Roman" w:eastAsia="Times New Roman" w:hAnsi="Times New Roman" w:cs="Times New Roman"/>
          <w:sz w:val="24"/>
          <w:szCs w:val="24"/>
        </w:rPr>
        <w:footnoteReference w:id="1"/>
      </w:r>
      <w:r w:rsidR="00C655D6">
        <w:rPr>
          <w:rFonts w:ascii="Times New Roman" w:eastAsia="Times New Roman" w:hAnsi="Times New Roman" w:cs="Times New Roman"/>
          <w:sz w:val="24"/>
          <w:szCs w:val="24"/>
        </w:rPr>
        <w:t xml:space="preserve">  </w:t>
      </w:r>
      <w:r w:rsidR="006F65E7">
        <w:rPr>
          <w:rFonts w:ascii="Times New Roman" w:eastAsia="Times New Roman" w:hAnsi="Times New Roman" w:cs="Times New Roman"/>
          <w:sz w:val="24"/>
          <w:szCs w:val="24"/>
        </w:rPr>
        <w:t xml:space="preserve">OCC also asked for a moratorium to stop AEP </w:t>
      </w:r>
    </w:p>
    <w:p w:rsidR="00E13DB2" w:rsidRDefault="006F65E7" w:rsidP="00537111">
      <w:pPr>
        <w:autoSpaceDE w:val="0"/>
        <w:autoSpaceDN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Ohio from providing new service to those who resell service to submetered residential customers.</w:t>
      </w:r>
      <w:r w:rsidR="006545FF">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w:t>
      </w:r>
      <w:r w:rsidR="005859D7">
        <w:rPr>
          <w:rFonts w:ascii="Times New Roman" w:eastAsia="Times New Roman" w:hAnsi="Times New Roman" w:cs="Times New Roman"/>
          <w:sz w:val="24"/>
          <w:szCs w:val="24"/>
        </w:rPr>
        <w:t>T</w:t>
      </w:r>
      <w:r w:rsidR="00627BF9">
        <w:rPr>
          <w:rFonts w:ascii="Times New Roman" w:eastAsia="Times New Roman" w:hAnsi="Times New Roman" w:cs="Times New Roman"/>
          <w:sz w:val="24"/>
          <w:szCs w:val="24"/>
        </w:rPr>
        <w:t>hese</w:t>
      </w:r>
      <w:r w:rsidR="003836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w:t>
      </w:r>
      <w:r w:rsidR="00627BF9">
        <w:rPr>
          <w:rFonts w:ascii="Times New Roman" w:eastAsia="Times New Roman" w:hAnsi="Times New Roman" w:cs="Times New Roman"/>
          <w:sz w:val="24"/>
          <w:szCs w:val="24"/>
        </w:rPr>
        <w:t>nly these</w:t>
      </w:r>
      <w:r w:rsidR="003836F9">
        <w:rPr>
          <w:rFonts w:ascii="Times New Roman" w:eastAsia="Times New Roman" w:hAnsi="Times New Roman" w:cs="Times New Roman"/>
          <w:sz w:val="24"/>
          <w:szCs w:val="24"/>
        </w:rPr>
        <w:t>,</w:t>
      </w:r>
      <w:r w:rsidR="00C2607B">
        <w:rPr>
          <w:rFonts w:ascii="Times New Roman" w:eastAsia="Times New Roman" w:hAnsi="Times New Roman" w:cs="Times New Roman"/>
          <w:sz w:val="24"/>
          <w:szCs w:val="24"/>
        </w:rPr>
        <w:t xml:space="preserve"> are the issues in this</w:t>
      </w:r>
      <w:r>
        <w:rPr>
          <w:rFonts w:ascii="Times New Roman" w:eastAsia="Times New Roman" w:hAnsi="Times New Roman" w:cs="Times New Roman"/>
          <w:sz w:val="24"/>
          <w:szCs w:val="24"/>
        </w:rPr>
        <w:t xml:space="preserve"> case.</w:t>
      </w:r>
      <w:r w:rsidR="00FD1593">
        <w:rPr>
          <w:rStyle w:val="FootnoteReference"/>
          <w:rFonts w:ascii="Times New Roman" w:eastAsia="Times New Roman" w:hAnsi="Times New Roman" w:cs="Times New Roman"/>
          <w:sz w:val="24"/>
          <w:szCs w:val="24"/>
        </w:rPr>
        <w:footnoteReference w:id="3"/>
      </w:r>
    </w:p>
    <w:p w:rsidR="00A90B7B" w:rsidRDefault="002A57FC" w:rsidP="00C2607B">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w:t>
      </w:r>
      <w:r w:rsidR="00FF1763">
        <w:rPr>
          <w:rFonts w:ascii="Times New Roman" w:eastAsia="Times New Roman" w:hAnsi="Times New Roman" w:cs="Times New Roman"/>
          <w:sz w:val="24"/>
          <w:szCs w:val="24"/>
        </w:rPr>
        <w:t xml:space="preserve">Public Utilities </w:t>
      </w:r>
      <w:r>
        <w:rPr>
          <w:rFonts w:ascii="Times New Roman" w:eastAsia="Times New Roman" w:hAnsi="Times New Roman" w:cs="Times New Roman"/>
          <w:sz w:val="24"/>
          <w:szCs w:val="24"/>
        </w:rPr>
        <w:t>Commission</w:t>
      </w:r>
      <w:r w:rsidR="00FF1763">
        <w:rPr>
          <w:rFonts w:ascii="Times New Roman" w:eastAsia="Times New Roman" w:hAnsi="Times New Roman" w:cs="Times New Roman"/>
          <w:sz w:val="24"/>
          <w:szCs w:val="24"/>
        </w:rPr>
        <w:t xml:space="preserve"> of Ohio (</w:t>
      </w:r>
      <w:r w:rsidR="004942EB">
        <w:rPr>
          <w:rFonts w:ascii="Times New Roman" w:eastAsia="Times New Roman" w:hAnsi="Times New Roman" w:cs="Times New Roman"/>
          <w:sz w:val="24"/>
          <w:szCs w:val="24"/>
        </w:rPr>
        <w:t>“</w:t>
      </w:r>
      <w:r w:rsidR="00FF1763">
        <w:rPr>
          <w:rFonts w:ascii="Times New Roman" w:eastAsia="Times New Roman" w:hAnsi="Times New Roman" w:cs="Times New Roman"/>
          <w:sz w:val="24"/>
          <w:szCs w:val="24"/>
        </w:rPr>
        <w:t>PUCO</w:t>
      </w:r>
      <w:r w:rsidR="004942EB">
        <w:rPr>
          <w:rFonts w:ascii="Times New Roman" w:eastAsia="Times New Roman" w:hAnsi="Times New Roman" w:cs="Times New Roman"/>
          <w:sz w:val="24"/>
          <w:szCs w:val="24"/>
        </w:rPr>
        <w:t>”</w:t>
      </w:r>
      <w:r w:rsidR="00FF17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F65E7">
        <w:rPr>
          <w:rFonts w:ascii="Times New Roman" w:eastAsia="Times New Roman" w:hAnsi="Times New Roman" w:cs="Times New Roman"/>
          <w:sz w:val="24"/>
          <w:szCs w:val="24"/>
        </w:rPr>
        <w:t>is</w:t>
      </w:r>
      <w:r w:rsidR="00557E18">
        <w:rPr>
          <w:rFonts w:ascii="Times New Roman" w:eastAsia="Times New Roman" w:hAnsi="Times New Roman" w:cs="Times New Roman"/>
          <w:sz w:val="24"/>
          <w:szCs w:val="24"/>
        </w:rPr>
        <w:t xml:space="preserve"> well aware,</w:t>
      </w:r>
      <w:r>
        <w:rPr>
          <w:rFonts w:ascii="Times New Roman" w:eastAsia="Times New Roman" w:hAnsi="Times New Roman" w:cs="Times New Roman"/>
          <w:sz w:val="24"/>
          <w:szCs w:val="24"/>
        </w:rPr>
        <w:t xml:space="preserve"> a separate docket </w:t>
      </w:r>
      <w:r w:rsidR="003234A1">
        <w:rPr>
          <w:rFonts w:ascii="Times New Roman" w:eastAsia="Times New Roman" w:hAnsi="Times New Roman" w:cs="Times New Roman"/>
          <w:sz w:val="24"/>
          <w:szCs w:val="24"/>
        </w:rPr>
        <w:t>(</w:t>
      </w:r>
      <w:r w:rsidR="004942EB">
        <w:rPr>
          <w:rFonts w:ascii="Times New Roman" w:eastAsia="Times New Roman" w:hAnsi="Times New Roman" w:cs="Times New Roman"/>
          <w:sz w:val="24"/>
          <w:szCs w:val="24"/>
        </w:rPr>
        <w:t>“</w:t>
      </w:r>
      <w:r w:rsidR="003234A1">
        <w:rPr>
          <w:rFonts w:ascii="Times New Roman" w:eastAsia="Times New Roman" w:hAnsi="Times New Roman" w:cs="Times New Roman"/>
          <w:sz w:val="24"/>
          <w:szCs w:val="24"/>
        </w:rPr>
        <w:t>Submetering COI</w:t>
      </w:r>
      <w:r w:rsidR="004942EB">
        <w:rPr>
          <w:rFonts w:ascii="Times New Roman" w:eastAsia="Times New Roman" w:hAnsi="Times New Roman" w:cs="Times New Roman"/>
          <w:sz w:val="24"/>
          <w:szCs w:val="24"/>
        </w:rPr>
        <w:t>”</w:t>
      </w:r>
      <w:r w:rsidR="003234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been opened up to </w:t>
      </w:r>
      <w:r w:rsidR="00557E18">
        <w:rPr>
          <w:rFonts w:ascii="Times New Roman" w:eastAsia="Times New Roman" w:hAnsi="Times New Roman" w:cs="Times New Roman"/>
          <w:sz w:val="24"/>
          <w:szCs w:val="24"/>
        </w:rPr>
        <w:t xml:space="preserve">investigate </w:t>
      </w:r>
      <w:r w:rsidR="00D77056">
        <w:rPr>
          <w:rFonts w:ascii="Times New Roman" w:eastAsia="Times New Roman" w:hAnsi="Times New Roman" w:cs="Times New Roman"/>
          <w:sz w:val="24"/>
          <w:szCs w:val="24"/>
        </w:rPr>
        <w:t xml:space="preserve">the actions of </w:t>
      </w:r>
      <w:r w:rsidR="00557E18">
        <w:rPr>
          <w:rFonts w:ascii="Times New Roman" w:eastAsia="Times New Roman" w:hAnsi="Times New Roman" w:cs="Times New Roman"/>
          <w:sz w:val="24"/>
          <w:szCs w:val="24"/>
        </w:rPr>
        <w:t>submetering entities</w:t>
      </w:r>
      <w:r w:rsidR="00D77056">
        <w:rPr>
          <w:rFonts w:ascii="Times New Roman" w:eastAsia="Times New Roman" w:hAnsi="Times New Roman" w:cs="Times New Roman"/>
          <w:sz w:val="24"/>
          <w:szCs w:val="24"/>
        </w:rPr>
        <w:t xml:space="preserve"> throughout Ohio</w:t>
      </w:r>
      <w:r w:rsidR="003234A1">
        <w:rPr>
          <w:rFonts w:ascii="Times New Roman" w:eastAsia="Times New Roman" w:hAnsi="Times New Roman" w:cs="Times New Roman"/>
          <w:sz w:val="24"/>
          <w:szCs w:val="24"/>
        </w:rPr>
        <w:t>.</w:t>
      </w:r>
      <w:r w:rsidR="003234A1">
        <w:rPr>
          <w:rStyle w:val="FootnoteReference"/>
          <w:rFonts w:ascii="Times New Roman" w:eastAsia="Times New Roman" w:hAnsi="Times New Roman" w:cs="Times New Roman"/>
          <w:sz w:val="24"/>
          <w:szCs w:val="24"/>
        </w:rPr>
        <w:footnoteReference w:id="4"/>
      </w:r>
      <w:r w:rsidR="003234A1">
        <w:rPr>
          <w:rFonts w:ascii="Times New Roman" w:eastAsia="Times New Roman" w:hAnsi="Times New Roman" w:cs="Times New Roman"/>
          <w:sz w:val="24"/>
          <w:szCs w:val="24"/>
        </w:rPr>
        <w:t xml:space="preserve">  The focus of that docket is</w:t>
      </w:r>
      <w:r w:rsidR="00557E18">
        <w:rPr>
          <w:rFonts w:ascii="Times New Roman" w:eastAsia="Times New Roman" w:hAnsi="Times New Roman" w:cs="Times New Roman"/>
          <w:sz w:val="24"/>
          <w:szCs w:val="24"/>
        </w:rPr>
        <w:t xml:space="preserve"> to determine whether </w:t>
      </w:r>
      <w:r w:rsidR="003234A1">
        <w:rPr>
          <w:rFonts w:ascii="Times New Roman" w:eastAsia="Times New Roman" w:hAnsi="Times New Roman" w:cs="Times New Roman"/>
          <w:sz w:val="24"/>
          <w:szCs w:val="24"/>
        </w:rPr>
        <w:t>submeterers’</w:t>
      </w:r>
      <w:r w:rsidR="00557E18">
        <w:rPr>
          <w:rFonts w:ascii="Times New Roman" w:eastAsia="Times New Roman" w:hAnsi="Times New Roman" w:cs="Times New Roman"/>
          <w:sz w:val="24"/>
          <w:szCs w:val="24"/>
        </w:rPr>
        <w:t xml:space="preserve"> activities fall under the </w:t>
      </w:r>
      <w:r w:rsidR="005859D7">
        <w:rPr>
          <w:rFonts w:ascii="Times New Roman" w:eastAsia="Times New Roman" w:hAnsi="Times New Roman" w:cs="Times New Roman"/>
          <w:sz w:val="24"/>
          <w:szCs w:val="24"/>
        </w:rPr>
        <w:t>PUCO</w:t>
      </w:r>
      <w:r w:rsidR="00557E18">
        <w:rPr>
          <w:rFonts w:ascii="Times New Roman" w:eastAsia="Times New Roman" w:hAnsi="Times New Roman" w:cs="Times New Roman"/>
          <w:sz w:val="24"/>
          <w:szCs w:val="24"/>
        </w:rPr>
        <w:t xml:space="preserve">’s </w:t>
      </w:r>
      <w:r w:rsidR="00CB1AA2">
        <w:rPr>
          <w:rFonts w:ascii="Times New Roman" w:eastAsia="Times New Roman" w:hAnsi="Times New Roman" w:cs="Times New Roman"/>
          <w:sz w:val="24"/>
          <w:szCs w:val="24"/>
        </w:rPr>
        <w:t xml:space="preserve">supervisory </w:t>
      </w:r>
      <w:r w:rsidR="00557E18">
        <w:rPr>
          <w:rFonts w:ascii="Times New Roman" w:eastAsia="Times New Roman" w:hAnsi="Times New Roman" w:cs="Times New Roman"/>
          <w:sz w:val="24"/>
          <w:szCs w:val="24"/>
        </w:rPr>
        <w:t>jurisdiction</w:t>
      </w:r>
      <w:r w:rsidR="00CB1A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607B">
        <w:rPr>
          <w:rFonts w:ascii="Times New Roman" w:eastAsia="Times New Roman" w:hAnsi="Times New Roman" w:cs="Times New Roman"/>
          <w:sz w:val="24"/>
          <w:szCs w:val="24"/>
        </w:rPr>
        <w:t>Th</w:t>
      </w:r>
      <w:r w:rsidR="003234A1">
        <w:rPr>
          <w:rFonts w:ascii="Times New Roman" w:eastAsia="Times New Roman" w:hAnsi="Times New Roman" w:cs="Times New Roman"/>
          <w:sz w:val="24"/>
          <w:szCs w:val="24"/>
        </w:rPr>
        <w:t>at jurisdictional question is not a</w:t>
      </w:r>
      <w:r w:rsidR="003836F9">
        <w:rPr>
          <w:rFonts w:ascii="Times New Roman" w:eastAsia="Times New Roman" w:hAnsi="Times New Roman" w:cs="Times New Roman"/>
          <w:sz w:val="24"/>
          <w:szCs w:val="24"/>
        </w:rPr>
        <w:t>n issue OCC has requested the PUCO decide</w:t>
      </w:r>
      <w:r w:rsidR="003234A1">
        <w:rPr>
          <w:rFonts w:ascii="Times New Roman" w:eastAsia="Times New Roman" w:hAnsi="Times New Roman" w:cs="Times New Roman"/>
          <w:sz w:val="24"/>
          <w:szCs w:val="24"/>
        </w:rPr>
        <w:t xml:space="preserve"> here.</w:t>
      </w:r>
      <w:r w:rsidR="00C2607B">
        <w:rPr>
          <w:rFonts w:ascii="Times New Roman" w:eastAsia="Times New Roman" w:hAnsi="Times New Roman" w:cs="Times New Roman"/>
          <w:sz w:val="24"/>
          <w:szCs w:val="24"/>
        </w:rPr>
        <w:t xml:space="preserve"> </w:t>
      </w:r>
      <w:r w:rsidR="003234A1">
        <w:rPr>
          <w:rFonts w:ascii="Times New Roman" w:eastAsia="Times New Roman" w:hAnsi="Times New Roman" w:cs="Times New Roman"/>
          <w:sz w:val="24"/>
          <w:szCs w:val="24"/>
        </w:rPr>
        <w:t xml:space="preserve"> The </w:t>
      </w:r>
      <w:r w:rsidR="00C2607B">
        <w:rPr>
          <w:rFonts w:ascii="Times New Roman" w:eastAsia="Times New Roman" w:hAnsi="Times New Roman" w:cs="Times New Roman"/>
          <w:sz w:val="24"/>
          <w:szCs w:val="24"/>
        </w:rPr>
        <w:t xml:space="preserve">issues </w:t>
      </w:r>
      <w:r w:rsidR="003234A1">
        <w:rPr>
          <w:rFonts w:ascii="Times New Roman" w:eastAsia="Times New Roman" w:hAnsi="Times New Roman" w:cs="Times New Roman"/>
          <w:sz w:val="24"/>
          <w:szCs w:val="24"/>
        </w:rPr>
        <w:t xml:space="preserve">presented </w:t>
      </w:r>
      <w:r w:rsidR="00C2607B">
        <w:rPr>
          <w:rFonts w:ascii="Times New Roman" w:eastAsia="Times New Roman" w:hAnsi="Times New Roman" w:cs="Times New Roman"/>
          <w:sz w:val="24"/>
          <w:szCs w:val="24"/>
        </w:rPr>
        <w:t>in th</w:t>
      </w:r>
      <w:r w:rsidR="003234A1">
        <w:rPr>
          <w:rFonts w:ascii="Times New Roman" w:eastAsia="Times New Roman" w:hAnsi="Times New Roman" w:cs="Times New Roman"/>
          <w:sz w:val="24"/>
          <w:szCs w:val="24"/>
        </w:rPr>
        <w:t>e Submetering COI</w:t>
      </w:r>
      <w:r w:rsidR="00C2607B">
        <w:rPr>
          <w:rFonts w:ascii="Times New Roman" w:eastAsia="Times New Roman" w:hAnsi="Times New Roman" w:cs="Times New Roman"/>
          <w:sz w:val="24"/>
          <w:szCs w:val="24"/>
        </w:rPr>
        <w:t xml:space="preserve"> docket </w:t>
      </w:r>
      <w:r w:rsidR="00CB1AA2">
        <w:rPr>
          <w:rFonts w:ascii="Times New Roman" w:eastAsia="Times New Roman" w:hAnsi="Times New Roman" w:cs="Times New Roman"/>
          <w:sz w:val="24"/>
          <w:szCs w:val="24"/>
        </w:rPr>
        <w:t xml:space="preserve">are far broader </w:t>
      </w:r>
      <w:r w:rsidR="00C2607B">
        <w:rPr>
          <w:rFonts w:ascii="Times New Roman" w:eastAsia="Times New Roman" w:hAnsi="Times New Roman" w:cs="Times New Roman"/>
          <w:sz w:val="24"/>
          <w:szCs w:val="24"/>
        </w:rPr>
        <w:t>than the</w:t>
      </w:r>
      <w:r w:rsidR="00080349">
        <w:rPr>
          <w:rFonts w:ascii="Times New Roman" w:eastAsia="Times New Roman" w:hAnsi="Times New Roman" w:cs="Times New Roman"/>
          <w:sz w:val="24"/>
          <w:szCs w:val="24"/>
        </w:rPr>
        <w:t xml:space="preserve"> limited </w:t>
      </w:r>
      <w:r w:rsidR="00C2607B">
        <w:rPr>
          <w:rFonts w:ascii="Times New Roman" w:eastAsia="Times New Roman" w:hAnsi="Times New Roman" w:cs="Times New Roman"/>
          <w:sz w:val="24"/>
          <w:szCs w:val="24"/>
        </w:rPr>
        <w:t xml:space="preserve">issues </w:t>
      </w:r>
      <w:r w:rsidR="003234A1">
        <w:rPr>
          <w:rFonts w:ascii="Times New Roman" w:eastAsia="Times New Roman" w:hAnsi="Times New Roman" w:cs="Times New Roman"/>
          <w:sz w:val="24"/>
          <w:szCs w:val="24"/>
        </w:rPr>
        <w:t xml:space="preserve">OCC </w:t>
      </w:r>
      <w:r w:rsidR="00C2607B">
        <w:rPr>
          <w:rFonts w:ascii="Times New Roman" w:eastAsia="Times New Roman" w:hAnsi="Times New Roman" w:cs="Times New Roman"/>
          <w:sz w:val="24"/>
          <w:szCs w:val="24"/>
        </w:rPr>
        <w:t xml:space="preserve">presented in </w:t>
      </w:r>
      <w:r w:rsidR="003234A1">
        <w:rPr>
          <w:rFonts w:ascii="Times New Roman" w:eastAsia="Times New Roman" w:hAnsi="Times New Roman" w:cs="Times New Roman"/>
          <w:sz w:val="24"/>
          <w:szCs w:val="24"/>
        </w:rPr>
        <w:t>it</w:t>
      </w:r>
      <w:r w:rsidR="00C27C76">
        <w:rPr>
          <w:rFonts w:ascii="Times New Roman" w:eastAsia="Times New Roman" w:hAnsi="Times New Roman" w:cs="Times New Roman"/>
          <w:sz w:val="24"/>
          <w:szCs w:val="24"/>
        </w:rPr>
        <w:t>s</w:t>
      </w:r>
      <w:r w:rsidR="00C2607B">
        <w:rPr>
          <w:rFonts w:ascii="Times New Roman" w:eastAsia="Times New Roman" w:hAnsi="Times New Roman" w:cs="Times New Roman"/>
          <w:sz w:val="24"/>
          <w:szCs w:val="24"/>
        </w:rPr>
        <w:t xml:space="preserve"> </w:t>
      </w:r>
      <w:r w:rsidR="00C27C76">
        <w:rPr>
          <w:rFonts w:ascii="Times New Roman" w:eastAsia="Times New Roman" w:hAnsi="Times New Roman" w:cs="Times New Roman"/>
          <w:sz w:val="24"/>
          <w:szCs w:val="24"/>
        </w:rPr>
        <w:t>C</w:t>
      </w:r>
      <w:r w:rsidR="00C2607B">
        <w:rPr>
          <w:rFonts w:ascii="Times New Roman" w:eastAsia="Times New Roman" w:hAnsi="Times New Roman" w:cs="Times New Roman"/>
          <w:sz w:val="24"/>
          <w:szCs w:val="24"/>
        </w:rPr>
        <w:t xml:space="preserve">omplaint.  </w:t>
      </w:r>
      <w:r w:rsidR="00D77056">
        <w:rPr>
          <w:rFonts w:ascii="Times New Roman" w:eastAsia="Times New Roman" w:hAnsi="Times New Roman" w:cs="Times New Roman"/>
          <w:sz w:val="24"/>
          <w:szCs w:val="24"/>
        </w:rPr>
        <w:t xml:space="preserve">Stakeholders representing a broad and diverse array of interests participated in </w:t>
      </w:r>
      <w:r w:rsidR="00C2607B">
        <w:rPr>
          <w:rFonts w:ascii="Times New Roman" w:eastAsia="Times New Roman" w:hAnsi="Times New Roman" w:cs="Times New Roman"/>
          <w:sz w:val="24"/>
          <w:szCs w:val="24"/>
        </w:rPr>
        <w:t>the Submetering COI</w:t>
      </w:r>
      <w:r w:rsidR="00D77056">
        <w:rPr>
          <w:rFonts w:ascii="Times New Roman" w:eastAsia="Times New Roman" w:hAnsi="Times New Roman" w:cs="Times New Roman"/>
          <w:sz w:val="24"/>
          <w:szCs w:val="24"/>
        </w:rPr>
        <w:t>, including the Industrial Energy Users-Ohio (</w:t>
      </w:r>
      <w:r w:rsidR="004942EB">
        <w:rPr>
          <w:rFonts w:ascii="Times New Roman" w:eastAsia="Times New Roman" w:hAnsi="Times New Roman" w:cs="Times New Roman"/>
          <w:sz w:val="24"/>
          <w:szCs w:val="24"/>
        </w:rPr>
        <w:t>“</w:t>
      </w:r>
      <w:r w:rsidR="00D77056">
        <w:rPr>
          <w:rFonts w:ascii="Times New Roman" w:eastAsia="Times New Roman" w:hAnsi="Times New Roman" w:cs="Times New Roman"/>
          <w:sz w:val="24"/>
          <w:szCs w:val="24"/>
        </w:rPr>
        <w:t>IEU</w:t>
      </w:r>
      <w:r w:rsidR="007673A1">
        <w:rPr>
          <w:rFonts w:ascii="Times New Roman" w:eastAsia="Times New Roman" w:hAnsi="Times New Roman" w:cs="Times New Roman"/>
          <w:sz w:val="24"/>
          <w:szCs w:val="24"/>
        </w:rPr>
        <w:t>-Ohio</w:t>
      </w:r>
      <w:r w:rsidR="004942EB">
        <w:rPr>
          <w:rFonts w:ascii="Times New Roman" w:eastAsia="Times New Roman" w:hAnsi="Times New Roman" w:cs="Times New Roman"/>
          <w:sz w:val="24"/>
          <w:szCs w:val="24"/>
        </w:rPr>
        <w:t>”</w:t>
      </w:r>
      <w:r w:rsidR="00D77056">
        <w:rPr>
          <w:rFonts w:ascii="Times New Roman" w:eastAsia="Times New Roman" w:hAnsi="Times New Roman" w:cs="Times New Roman"/>
          <w:sz w:val="24"/>
          <w:szCs w:val="24"/>
        </w:rPr>
        <w:t>), Nationwide Energy Partners, LLC (</w:t>
      </w:r>
      <w:r w:rsidR="004942EB">
        <w:rPr>
          <w:rFonts w:ascii="Times New Roman" w:eastAsia="Times New Roman" w:hAnsi="Times New Roman" w:cs="Times New Roman"/>
          <w:sz w:val="24"/>
          <w:szCs w:val="24"/>
        </w:rPr>
        <w:t>“</w:t>
      </w:r>
      <w:r w:rsidR="00D77056">
        <w:rPr>
          <w:rFonts w:ascii="Times New Roman" w:eastAsia="Times New Roman" w:hAnsi="Times New Roman" w:cs="Times New Roman"/>
          <w:sz w:val="24"/>
          <w:szCs w:val="24"/>
        </w:rPr>
        <w:t>NEP</w:t>
      </w:r>
      <w:r w:rsidR="004942EB">
        <w:rPr>
          <w:rFonts w:ascii="Times New Roman" w:eastAsia="Times New Roman" w:hAnsi="Times New Roman" w:cs="Times New Roman"/>
          <w:sz w:val="24"/>
          <w:szCs w:val="24"/>
        </w:rPr>
        <w:t>”</w:t>
      </w:r>
      <w:r w:rsidR="00D77056">
        <w:rPr>
          <w:rFonts w:ascii="Times New Roman" w:eastAsia="Times New Roman" w:hAnsi="Times New Roman" w:cs="Times New Roman"/>
          <w:sz w:val="24"/>
          <w:szCs w:val="24"/>
        </w:rPr>
        <w:t xml:space="preserve">), and the Ohio Apartment </w:t>
      </w:r>
      <w:r w:rsidR="006545FF">
        <w:rPr>
          <w:rFonts w:ascii="Times New Roman" w:eastAsia="Times New Roman" w:hAnsi="Times New Roman" w:cs="Times New Roman"/>
          <w:sz w:val="24"/>
          <w:szCs w:val="24"/>
        </w:rPr>
        <w:t>A</w:t>
      </w:r>
      <w:r w:rsidR="00D77056">
        <w:rPr>
          <w:rFonts w:ascii="Times New Roman" w:eastAsia="Times New Roman" w:hAnsi="Times New Roman" w:cs="Times New Roman"/>
          <w:sz w:val="24"/>
          <w:szCs w:val="24"/>
        </w:rPr>
        <w:t>ssociation/International Council of Shopping Centers (</w:t>
      </w:r>
      <w:r w:rsidR="004942EB">
        <w:rPr>
          <w:rFonts w:ascii="Times New Roman" w:eastAsia="Times New Roman" w:hAnsi="Times New Roman" w:cs="Times New Roman"/>
          <w:sz w:val="24"/>
          <w:szCs w:val="24"/>
        </w:rPr>
        <w:t>“</w:t>
      </w:r>
      <w:r w:rsidR="00D77056">
        <w:rPr>
          <w:rFonts w:ascii="Times New Roman" w:eastAsia="Times New Roman" w:hAnsi="Times New Roman" w:cs="Times New Roman"/>
          <w:sz w:val="24"/>
          <w:szCs w:val="24"/>
        </w:rPr>
        <w:t>OAA/ICSC</w:t>
      </w:r>
      <w:r w:rsidR="004942EB">
        <w:rPr>
          <w:rFonts w:ascii="Times New Roman" w:eastAsia="Times New Roman" w:hAnsi="Times New Roman" w:cs="Times New Roman"/>
          <w:sz w:val="24"/>
          <w:szCs w:val="24"/>
        </w:rPr>
        <w:t>”</w:t>
      </w:r>
      <w:r w:rsidR="00D77056">
        <w:rPr>
          <w:rFonts w:ascii="Times New Roman" w:eastAsia="Times New Roman" w:hAnsi="Times New Roman" w:cs="Times New Roman"/>
          <w:sz w:val="24"/>
          <w:szCs w:val="24"/>
        </w:rPr>
        <w:t xml:space="preserve">) (collectively, </w:t>
      </w:r>
      <w:r w:rsidR="004942EB">
        <w:rPr>
          <w:rFonts w:ascii="Times New Roman" w:eastAsia="Times New Roman" w:hAnsi="Times New Roman" w:cs="Times New Roman"/>
          <w:sz w:val="24"/>
          <w:szCs w:val="24"/>
        </w:rPr>
        <w:t>“</w:t>
      </w:r>
      <w:r w:rsidR="005A14C0">
        <w:rPr>
          <w:rFonts w:ascii="Times New Roman" w:eastAsia="Times New Roman" w:hAnsi="Times New Roman" w:cs="Times New Roman"/>
          <w:sz w:val="24"/>
          <w:szCs w:val="24"/>
        </w:rPr>
        <w:t>Movants</w:t>
      </w:r>
      <w:r w:rsidR="004942EB">
        <w:rPr>
          <w:rFonts w:ascii="Times New Roman" w:eastAsia="Times New Roman" w:hAnsi="Times New Roman" w:cs="Times New Roman"/>
          <w:sz w:val="24"/>
          <w:szCs w:val="24"/>
        </w:rPr>
        <w:t>”</w:t>
      </w:r>
      <w:r w:rsidR="00D77056">
        <w:rPr>
          <w:rFonts w:ascii="Times New Roman" w:eastAsia="Times New Roman" w:hAnsi="Times New Roman" w:cs="Times New Roman"/>
          <w:sz w:val="24"/>
          <w:szCs w:val="24"/>
        </w:rPr>
        <w:t xml:space="preserve">).  </w:t>
      </w:r>
      <w:r w:rsidR="00436E3F">
        <w:rPr>
          <w:rFonts w:ascii="Times New Roman" w:eastAsia="Times New Roman" w:hAnsi="Times New Roman" w:cs="Times New Roman"/>
          <w:sz w:val="24"/>
          <w:szCs w:val="24"/>
        </w:rPr>
        <w:t xml:space="preserve">The </w:t>
      </w:r>
      <w:r w:rsidR="005A14C0">
        <w:rPr>
          <w:rFonts w:ascii="Times New Roman" w:eastAsia="Times New Roman" w:hAnsi="Times New Roman" w:cs="Times New Roman"/>
          <w:sz w:val="24"/>
          <w:szCs w:val="24"/>
        </w:rPr>
        <w:t>Movants</w:t>
      </w:r>
      <w:r w:rsidR="00436E3F">
        <w:rPr>
          <w:rFonts w:ascii="Times New Roman" w:eastAsia="Times New Roman" w:hAnsi="Times New Roman" w:cs="Times New Roman"/>
          <w:sz w:val="24"/>
          <w:szCs w:val="24"/>
        </w:rPr>
        <w:t xml:space="preserve"> </w:t>
      </w:r>
      <w:r w:rsidR="003234A1">
        <w:rPr>
          <w:rFonts w:ascii="Times New Roman" w:eastAsia="Times New Roman" w:hAnsi="Times New Roman" w:cs="Times New Roman"/>
          <w:sz w:val="24"/>
          <w:szCs w:val="24"/>
        </w:rPr>
        <w:t>filed comments</w:t>
      </w:r>
      <w:r w:rsidR="00955B8B">
        <w:rPr>
          <w:rFonts w:ascii="Times New Roman" w:eastAsia="Times New Roman" w:hAnsi="Times New Roman" w:cs="Times New Roman"/>
          <w:sz w:val="24"/>
          <w:szCs w:val="24"/>
        </w:rPr>
        <w:t xml:space="preserve"> </w:t>
      </w:r>
      <w:r w:rsidR="007673A1">
        <w:rPr>
          <w:rFonts w:ascii="Times New Roman" w:eastAsia="Times New Roman" w:hAnsi="Times New Roman" w:cs="Times New Roman"/>
          <w:sz w:val="24"/>
          <w:szCs w:val="24"/>
        </w:rPr>
        <w:t>in the Submetering COI</w:t>
      </w:r>
      <w:r w:rsidR="003234A1">
        <w:rPr>
          <w:rFonts w:ascii="Times New Roman" w:eastAsia="Times New Roman" w:hAnsi="Times New Roman" w:cs="Times New Roman"/>
          <w:sz w:val="24"/>
          <w:szCs w:val="24"/>
        </w:rPr>
        <w:t xml:space="preserve">.  The </w:t>
      </w:r>
      <w:r w:rsidR="005859D7">
        <w:rPr>
          <w:rFonts w:ascii="Times New Roman" w:eastAsia="Times New Roman" w:hAnsi="Times New Roman" w:cs="Times New Roman"/>
          <w:sz w:val="24"/>
          <w:szCs w:val="24"/>
        </w:rPr>
        <w:t>PUCO</w:t>
      </w:r>
      <w:r w:rsidR="00FF1763">
        <w:rPr>
          <w:rFonts w:ascii="Times New Roman" w:eastAsia="Times New Roman" w:hAnsi="Times New Roman" w:cs="Times New Roman"/>
          <w:sz w:val="24"/>
          <w:szCs w:val="24"/>
        </w:rPr>
        <w:t xml:space="preserve"> </w:t>
      </w:r>
      <w:r w:rsidR="003234A1">
        <w:rPr>
          <w:rFonts w:ascii="Times New Roman" w:eastAsia="Times New Roman" w:hAnsi="Times New Roman" w:cs="Times New Roman"/>
          <w:sz w:val="24"/>
          <w:szCs w:val="24"/>
        </w:rPr>
        <w:t>can</w:t>
      </w:r>
      <w:r w:rsidR="00FF1763">
        <w:rPr>
          <w:rFonts w:ascii="Times New Roman" w:eastAsia="Times New Roman" w:hAnsi="Times New Roman" w:cs="Times New Roman"/>
          <w:sz w:val="24"/>
          <w:szCs w:val="24"/>
        </w:rPr>
        <w:t xml:space="preserve"> </w:t>
      </w:r>
      <w:r w:rsidR="00A90B7B">
        <w:rPr>
          <w:rFonts w:ascii="Times New Roman" w:eastAsia="Times New Roman" w:hAnsi="Times New Roman" w:cs="Times New Roman"/>
          <w:sz w:val="24"/>
          <w:szCs w:val="24"/>
        </w:rPr>
        <w:t>take their</w:t>
      </w:r>
      <w:r w:rsidR="003234A1">
        <w:rPr>
          <w:rFonts w:ascii="Times New Roman" w:eastAsia="Times New Roman" w:hAnsi="Times New Roman" w:cs="Times New Roman"/>
          <w:sz w:val="24"/>
          <w:szCs w:val="24"/>
        </w:rPr>
        <w:t xml:space="preserve"> (and others’)</w:t>
      </w:r>
      <w:r w:rsidR="00A90B7B">
        <w:rPr>
          <w:rFonts w:ascii="Times New Roman" w:eastAsia="Times New Roman" w:hAnsi="Times New Roman" w:cs="Times New Roman"/>
          <w:sz w:val="24"/>
          <w:szCs w:val="24"/>
        </w:rPr>
        <w:t xml:space="preserve"> interest</w:t>
      </w:r>
      <w:r w:rsidR="00DD3B27">
        <w:rPr>
          <w:rFonts w:ascii="Times New Roman" w:eastAsia="Times New Roman" w:hAnsi="Times New Roman" w:cs="Times New Roman"/>
          <w:sz w:val="24"/>
          <w:szCs w:val="24"/>
        </w:rPr>
        <w:t>s into account as it decides how</w:t>
      </w:r>
      <w:r w:rsidR="00E002E2">
        <w:rPr>
          <w:rFonts w:ascii="Times New Roman" w:eastAsia="Times New Roman" w:hAnsi="Times New Roman" w:cs="Times New Roman"/>
          <w:sz w:val="24"/>
          <w:szCs w:val="24"/>
        </w:rPr>
        <w:t xml:space="preserve"> best</w:t>
      </w:r>
      <w:r w:rsidR="00DD3B27">
        <w:rPr>
          <w:rFonts w:ascii="Times New Roman" w:eastAsia="Times New Roman" w:hAnsi="Times New Roman" w:cs="Times New Roman"/>
          <w:sz w:val="24"/>
          <w:szCs w:val="24"/>
        </w:rPr>
        <w:t xml:space="preserve"> to move forward </w:t>
      </w:r>
      <w:r w:rsidR="00C27C76">
        <w:rPr>
          <w:rFonts w:ascii="Times New Roman" w:eastAsia="Times New Roman" w:hAnsi="Times New Roman" w:cs="Times New Roman"/>
          <w:sz w:val="24"/>
          <w:szCs w:val="24"/>
        </w:rPr>
        <w:t xml:space="preserve">with </w:t>
      </w:r>
      <w:r w:rsidR="003234A1">
        <w:rPr>
          <w:rFonts w:ascii="Times New Roman" w:eastAsia="Times New Roman" w:hAnsi="Times New Roman" w:cs="Times New Roman"/>
          <w:sz w:val="24"/>
          <w:szCs w:val="24"/>
        </w:rPr>
        <w:t>that</w:t>
      </w:r>
      <w:r w:rsidR="00C27C76">
        <w:rPr>
          <w:rFonts w:ascii="Times New Roman" w:eastAsia="Times New Roman" w:hAnsi="Times New Roman" w:cs="Times New Roman"/>
          <w:sz w:val="24"/>
          <w:szCs w:val="24"/>
        </w:rPr>
        <w:t xml:space="preserve"> investigation</w:t>
      </w:r>
      <w:r w:rsidR="00E002E2">
        <w:rPr>
          <w:rFonts w:ascii="Times New Roman" w:eastAsia="Times New Roman" w:hAnsi="Times New Roman" w:cs="Times New Roman"/>
          <w:sz w:val="24"/>
          <w:szCs w:val="24"/>
        </w:rPr>
        <w:t>.</w:t>
      </w:r>
    </w:p>
    <w:p w:rsidR="00E002E2" w:rsidRDefault="003234A1" w:rsidP="00A90B7B">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Movants’ presence in this case will </w:t>
      </w:r>
      <w:r w:rsidR="00E002E2">
        <w:rPr>
          <w:rFonts w:ascii="Times New Roman" w:eastAsia="Times New Roman" w:hAnsi="Times New Roman" w:cs="Times New Roman"/>
          <w:sz w:val="24"/>
          <w:szCs w:val="24"/>
        </w:rPr>
        <w:t xml:space="preserve">open up </w:t>
      </w:r>
      <w:r w:rsidR="00C27C76">
        <w:rPr>
          <w:rFonts w:ascii="Times New Roman" w:eastAsia="Times New Roman" w:hAnsi="Times New Roman" w:cs="Times New Roman"/>
          <w:sz w:val="24"/>
          <w:szCs w:val="24"/>
        </w:rPr>
        <w:t xml:space="preserve">OCC’s Complaint proceeding to reargue the same issues </w:t>
      </w:r>
      <w:r w:rsidR="00E002E2">
        <w:rPr>
          <w:rFonts w:ascii="Times New Roman" w:eastAsia="Times New Roman" w:hAnsi="Times New Roman" w:cs="Times New Roman"/>
          <w:sz w:val="24"/>
          <w:szCs w:val="24"/>
        </w:rPr>
        <w:t>covered in the Submetering COI</w:t>
      </w:r>
      <w:r w:rsidR="00B227A5">
        <w:rPr>
          <w:rFonts w:ascii="Times New Roman" w:eastAsia="Times New Roman" w:hAnsi="Times New Roman" w:cs="Times New Roman"/>
          <w:sz w:val="24"/>
          <w:szCs w:val="24"/>
        </w:rPr>
        <w:t>.</w:t>
      </w:r>
      <w:r w:rsidR="00CB1AA2">
        <w:rPr>
          <w:rFonts w:ascii="Times New Roman" w:eastAsia="Times New Roman" w:hAnsi="Times New Roman" w:cs="Times New Roman"/>
          <w:sz w:val="24"/>
          <w:szCs w:val="24"/>
        </w:rPr>
        <w:t xml:space="preserve">  </w:t>
      </w:r>
      <w:r w:rsidR="00955B8B">
        <w:rPr>
          <w:rFonts w:ascii="Times New Roman" w:eastAsia="Times New Roman" w:hAnsi="Times New Roman" w:cs="Times New Roman"/>
          <w:sz w:val="24"/>
          <w:szCs w:val="24"/>
        </w:rPr>
        <w:t>A</w:t>
      </w:r>
      <w:r w:rsidR="00557D0E">
        <w:rPr>
          <w:rFonts w:ascii="Times New Roman" w:eastAsia="Times New Roman" w:hAnsi="Times New Roman" w:cs="Times New Roman"/>
          <w:sz w:val="24"/>
          <w:szCs w:val="24"/>
        </w:rPr>
        <w:t xml:space="preserve"> review of the Movants’ motions to intervene removes a</w:t>
      </w:r>
      <w:r w:rsidR="00955B8B">
        <w:rPr>
          <w:rFonts w:ascii="Times New Roman" w:eastAsia="Times New Roman" w:hAnsi="Times New Roman" w:cs="Times New Roman"/>
          <w:sz w:val="24"/>
          <w:szCs w:val="24"/>
        </w:rPr>
        <w:t xml:space="preserve">ny doubt </w:t>
      </w:r>
      <w:r w:rsidR="00557D0E">
        <w:rPr>
          <w:rFonts w:ascii="Times New Roman" w:eastAsia="Times New Roman" w:hAnsi="Times New Roman" w:cs="Times New Roman"/>
          <w:sz w:val="24"/>
          <w:szCs w:val="24"/>
        </w:rPr>
        <w:t xml:space="preserve">that the Movants will </w:t>
      </w:r>
      <w:r w:rsidR="009F5B6E">
        <w:rPr>
          <w:rFonts w:ascii="Times New Roman" w:eastAsia="Times New Roman" w:hAnsi="Times New Roman" w:cs="Times New Roman"/>
          <w:sz w:val="24"/>
          <w:szCs w:val="24"/>
        </w:rPr>
        <w:t>advance</w:t>
      </w:r>
      <w:r w:rsidR="00557D0E">
        <w:rPr>
          <w:rFonts w:ascii="Times New Roman" w:eastAsia="Times New Roman" w:hAnsi="Times New Roman" w:cs="Times New Roman"/>
          <w:sz w:val="24"/>
          <w:szCs w:val="24"/>
        </w:rPr>
        <w:t xml:space="preserve"> the same arguments here as they have in the Submetering COI</w:t>
      </w:r>
      <w:r w:rsidR="00955B8B">
        <w:rPr>
          <w:rFonts w:ascii="Times New Roman" w:eastAsia="Times New Roman" w:hAnsi="Times New Roman" w:cs="Times New Roman"/>
          <w:sz w:val="24"/>
          <w:szCs w:val="24"/>
        </w:rPr>
        <w:t xml:space="preserve">.  IEU-Ohio is concerned about the </w:t>
      </w:r>
      <w:r w:rsidR="00955B8B">
        <w:rPr>
          <w:rFonts w:ascii="Times New Roman" w:eastAsia="Times New Roman" w:hAnsi="Times New Roman" w:cs="Times New Roman"/>
          <w:sz w:val="24"/>
          <w:szCs w:val="24"/>
        </w:rPr>
        <w:lastRenderedPageBreak/>
        <w:t xml:space="preserve">impact this </w:t>
      </w:r>
      <w:r w:rsidR="00D755ED">
        <w:rPr>
          <w:rFonts w:ascii="Times New Roman" w:eastAsia="Times New Roman" w:hAnsi="Times New Roman" w:cs="Times New Roman"/>
          <w:sz w:val="24"/>
          <w:szCs w:val="24"/>
        </w:rPr>
        <w:t>C</w:t>
      </w:r>
      <w:r w:rsidR="00955B8B">
        <w:rPr>
          <w:rFonts w:ascii="Times New Roman" w:eastAsia="Times New Roman" w:hAnsi="Times New Roman" w:cs="Times New Roman"/>
          <w:sz w:val="24"/>
          <w:szCs w:val="24"/>
        </w:rPr>
        <w:t>omplaint case may have on commercial and industrial customers</w:t>
      </w:r>
      <w:r w:rsidR="003A31EA">
        <w:rPr>
          <w:rStyle w:val="FootnoteReference"/>
          <w:rFonts w:ascii="Times New Roman" w:eastAsia="Times New Roman" w:hAnsi="Times New Roman" w:cs="Times New Roman"/>
          <w:sz w:val="24"/>
          <w:szCs w:val="24"/>
        </w:rPr>
        <w:footnoteReference w:id="5"/>
      </w:r>
      <w:r w:rsidR="00B227A5">
        <w:rPr>
          <w:rFonts w:ascii="Times New Roman" w:eastAsia="Times New Roman" w:hAnsi="Times New Roman" w:cs="Times New Roman"/>
          <w:sz w:val="24"/>
          <w:szCs w:val="24"/>
        </w:rPr>
        <w:t xml:space="preserve"> – </w:t>
      </w:r>
      <w:r w:rsidR="00557D0E">
        <w:rPr>
          <w:rFonts w:ascii="Times New Roman" w:eastAsia="Times New Roman" w:hAnsi="Times New Roman" w:cs="Times New Roman"/>
          <w:sz w:val="24"/>
          <w:szCs w:val="24"/>
        </w:rPr>
        <w:t xml:space="preserve">arguments </w:t>
      </w:r>
      <w:r w:rsidR="003A31EA">
        <w:rPr>
          <w:rFonts w:ascii="Times New Roman" w:eastAsia="Times New Roman" w:hAnsi="Times New Roman" w:cs="Times New Roman"/>
          <w:sz w:val="24"/>
          <w:szCs w:val="24"/>
        </w:rPr>
        <w:t>already fully aired in the Submetering COI.</w:t>
      </w:r>
      <w:r w:rsidR="003A31EA">
        <w:rPr>
          <w:rStyle w:val="FootnoteReference"/>
          <w:rFonts w:ascii="Times New Roman" w:eastAsia="Times New Roman" w:hAnsi="Times New Roman" w:cs="Times New Roman"/>
          <w:sz w:val="24"/>
          <w:szCs w:val="24"/>
        </w:rPr>
        <w:footnoteReference w:id="6"/>
      </w:r>
      <w:r w:rsidR="00955B8B">
        <w:rPr>
          <w:rFonts w:ascii="Times New Roman" w:eastAsia="Times New Roman" w:hAnsi="Times New Roman" w:cs="Times New Roman"/>
          <w:sz w:val="24"/>
          <w:szCs w:val="24"/>
        </w:rPr>
        <w:t xml:space="preserve"> </w:t>
      </w:r>
      <w:r w:rsidR="003A31EA">
        <w:rPr>
          <w:rFonts w:ascii="Times New Roman" w:eastAsia="Times New Roman" w:hAnsi="Times New Roman" w:cs="Times New Roman"/>
          <w:sz w:val="24"/>
          <w:szCs w:val="24"/>
        </w:rPr>
        <w:t xml:space="preserve"> </w:t>
      </w:r>
      <w:r w:rsidR="00955B8B">
        <w:rPr>
          <w:rFonts w:ascii="Times New Roman" w:eastAsia="Times New Roman" w:hAnsi="Times New Roman" w:cs="Times New Roman"/>
          <w:sz w:val="24"/>
          <w:szCs w:val="24"/>
        </w:rPr>
        <w:t>NEP directly references</w:t>
      </w:r>
      <w:r w:rsidR="00052360">
        <w:rPr>
          <w:rFonts w:ascii="Times New Roman" w:eastAsia="Times New Roman" w:hAnsi="Times New Roman" w:cs="Times New Roman"/>
          <w:sz w:val="24"/>
          <w:szCs w:val="24"/>
        </w:rPr>
        <w:t xml:space="preserve"> its participation in</w:t>
      </w:r>
      <w:r w:rsidR="00955B8B">
        <w:rPr>
          <w:rFonts w:ascii="Times New Roman" w:eastAsia="Times New Roman" w:hAnsi="Times New Roman" w:cs="Times New Roman"/>
          <w:sz w:val="24"/>
          <w:szCs w:val="24"/>
        </w:rPr>
        <w:t xml:space="preserve"> the Submetering COI as a reason to justify its </w:t>
      </w:r>
      <w:r w:rsidR="00557D0E">
        <w:rPr>
          <w:rFonts w:ascii="Times New Roman" w:eastAsia="Times New Roman" w:hAnsi="Times New Roman" w:cs="Times New Roman"/>
          <w:sz w:val="24"/>
          <w:szCs w:val="24"/>
        </w:rPr>
        <w:t xml:space="preserve">limited </w:t>
      </w:r>
      <w:r w:rsidR="00052360">
        <w:rPr>
          <w:rFonts w:ascii="Times New Roman" w:eastAsia="Times New Roman" w:hAnsi="Times New Roman" w:cs="Times New Roman"/>
          <w:sz w:val="24"/>
          <w:szCs w:val="24"/>
        </w:rPr>
        <w:t>participation in this case, thereby providing a virtual assurance that its prior arguments on the issue of submetering will be repeated here.</w:t>
      </w:r>
      <w:r w:rsidR="003A31EA">
        <w:rPr>
          <w:rStyle w:val="FootnoteReference"/>
          <w:rFonts w:ascii="Times New Roman" w:eastAsia="Times New Roman" w:hAnsi="Times New Roman" w:cs="Times New Roman"/>
          <w:sz w:val="24"/>
          <w:szCs w:val="24"/>
        </w:rPr>
        <w:footnoteReference w:id="7"/>
      </w:r>
      <w:r w:rsidR="00052360">
        <w:rPr>
          <w:rFonts w:ascii="Times New Roman" w:eastAsia="Times New Roman" w:hAnsi="Times New Roman" w:cs="Times New Roman"/>
          <w:sz w:val="24"/>
          <w:szCs w:val="24"/>
        </w:rPr>
        <w:t xml:space="preserve">  OAA/ICSC </w:t>
      </w:r>
      <w:r w:rsidR="003A31EA">
        <w:rPr>
          <w:rFonts w:ascii="Times New Roman" w:eastAsia="Times New Roman" w:hAnsi="Times New Roman" w:cs="Times New Roman"/>
          <w:sz w:val="24"/>
          <w:szCs w:val="24"/>
        </w:rPr>
        <w:t>assert</w:t>
      </w:r>
      <w:r w:rsidR="00B701A4">
        <w:rPr>
          <w:rFonts w:ascii="Times New Roman" w:eastAsia="Times New Roman" w:hAnsi="Times New Roman" w:cs="Times New Roman"/>
          <w:sz w:val="24"/>
          <w:szCs w:val="24"/>
        </w:rPr>
        <w:t xml:space="preserve"> the concerns of residential and commercial landlords on the issue of submetering</w:t>
      </w:r>
      <w:r w:rsidR="003A31EA">
        <w:rPr>
          <w:rStyle w:val="FootnoteReference"/>
          <w:rFonts w:ascii="Times New Roman" w:eastAsia="Times New Roman" w:hAnsi="Times New Roman" w:cs="Times New Roman"/>
          <w:sz w:val="24"/>
          <w:szCs w:val="24"/>
        </w:rPr>
        <w:footnoteReference w:id="8"/>
      </w:r>
      <w:r w:rsidR="00557D0E">
        <w:rPr>
          <w:rFonts w:ascii="Times New Roman" w:eastAsia="Times New Roman" w:hAnsi="Times New Roman" w:cs="Times New Roman"/>
          <w:sz w:val="24"/>
          <w:szCs w:val="24"/>
        </w:rPr>
        <w:t xml:space="preserve"> </w:t>
      </w:r>
      <w:r w:rsidR="00B227A5">
        <w:rPr>
          <w:rFonts w:ascii="Times New Roman" w:eastAsia="Times New Roman" w:hAnsi="Times New Roman" w:cs="Times New Roman"/>
          <w:sz w:val="24"/>
          <w:szCs w:val="24"/>
        </w:rPr>
        <w:t xml:space="preserve">– concerns </w:t>
      </w:r>
      <w:r w:rsidR="00B701A4">
        <w:rPr>
          <w:rFonts w:ascii="Times New Roman" w:eastAsia="Times New Roman" w:hAnsi="Times New Roman" w:cs="Times New Roman"/>
          <w:sz w:val="24"/>
          <w:szCs w:val="24"/>
        </w:rPr>
        <w:t>amply discussed in the Submetering COI.</w:t>
      </w:r>
      <w:r w:rsidR="003A31EA">
        <w:rPr>
          <w:rStyle w:val="FootnoteReference"/>
          <w:rFonts w:ascii="Times New Roman" w:eastAsia="Times New Roman" w:hAnsi="Times New Roman" w:cs="Times New Roman"/>
          <w:sz w:val="24"/>
          <w:szCs w:val="24"/>
        </w:rPr>
        <w:footnoteReference w:id="9"/>
      </w:r>
      <w:r w:rsidR="00557D0E">
        <w:rPr>
          <w:rFonts w:ascii="Times New Roman" w:eastAsia="Times New Roman" w:hAnsi="Times New Roman" w:cs="Times New Roman"/>
          <w:sz w:val="24"/>
          <w:szCs w:val="24"/>
        </w:rPr>
        <w:t xml:space="preserve">  Allowing such repetitive and irrelevant arguments will only delay OCC’s requested relief and needlessly consume the PUCO’s and the parties’ resources.  </w:t>
      </w:r>
    </w:p>
    <w:p w:rsidR="00C27C76" w:rsidRDefault="006152C0" w:rsidP="00537111">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simply, the </w:t>
      </w:r>
      <w:r w:rsidR="005859D7">
        <w:rPr>
          <w:rFonts w:ascii="Times New Roman" w:eastAsia="Times New Roman" w:hAnsi="Times New Roman" w:cs="Times New Roman"/>
          <w:sz w:val="24"/>
          <w:szCs w:val="24"/>
        </w:rPr>
        <w:t>PUCO</w:t>
      </w:r>
      <w:r>
        <w:rPr>
          <w:rFonts w:ascii="Times New Roman" w:eastAsia="Times New Roman" w:hAnsi="Times New Roman" w:cs="Times New Roman"/>
          <w:sz w:val="24"/>
          <w:szCs w:val="24"/>
        </w:rPr>
        <w:t xml:space="preserve"> is well aware of the Movants’ positions on submetering.  A</w:t>
      </w:r>
      <w:r w:rsidR="00C2607B">
        <w:rPr>
          <w:rFonts w:ascii="Times New Roman" w:eastAsia="Times New Roman" w:hAnsi="Times New Roman" w:cs="Times New Roman"/>
          <w:sz w:val="24"/>
          <w:szCs w:val="24"/>
        </w:rPr>
        <w:t>llowing the</w:t>
      </w:r>
      <w:r>
        <w:rPr>
          <w:rFonts w:ascii="Times New Roman" w:eastAsia="Times New Roman" w:hAnsi="Times New Roman" w:cs="Times New Roman"/>
          <w:sz w:val="24"/>
          <w:szCs w:val="24"/>
        </w:rPr>
        <w:t xml:space="preserve"> Movants</w:t>
      </w:r>
      <w:r w:rsidR="00C2607B">
        <w:rPr>
          <w:rFonts w:ascii="Times New Roman" w:eastAsia="Times New Roman" w:hAnsi="Times New Roman" w:cs="Times New Roman"/>
          <w:sz w:val="24"/>
          <w:szCs w:val="24"/>
        </w:rPr>
        <w:t xml:space="preserve"> to repeat their arguments </w:t>
      </w:r>
      <w:r>
        <w:rPr>
          <w:rFonts w:ascii="Times New Roman" w:eastAsia="Times New Roman" w:hAnsi="Times New Roman" w:cs="Times New Roman"/>
          <w:sz w:val="24"/>
          <w:szCs w:val="24"/>
        </w:rPr>
        <w:t xml:space="preserve">here </w:t>
      </w:r>
      <w:r w:rsidR="00C2607B">
        <w:rPr>
          <w:rFonts w:ascii="Times New Roman" w:eastAsia="Times New Roman" w:hAnsi="Times New Roman" w:cs="Times New Roman"/>
          <w:sz w:val="24"/>
          <w:szCs w:val="24"/>
        </w:rPr>
        <w:t xml:space="preserve">and expand the scope of this </w:t>
      </w:r>
      <w:r w:rsidR="00D755ED">
        <w:rPr>
          <w:rFonts w:ascii="Times New Roman" w:eastAsia="Times New Roman" w:hAnsi="Times New Roman" w:cs="Times New Roman"/>
          <w:sz w:val="24"/>
          <w:szCs w:val="24"/>
        </w:rPr>
        <w:t>C</w:t>
      </w:r>
      <w:r w:rsidR="00C27C76">
        <w:rPr>
          <w:rFonts w:ascii="Times New Roman" w:eastAsia="Times New Roman" w:hAnsi="Times New Roman" w:cs="Times New Roman"/>
          <w:sz w:val="24"/>
          <w:szCs w:val="24"/>
        </w:rPr>
        <w:t xml:space="preserve">omplaint </w:t>
      </w:r>
      <w:r w:rsidR="00B701A4">
        <w:rPr>
          <w:rFonts w:ascii="Times New Roman" w:eastAsia="Times New Roman" w:hAnsi="Times New Roman" w:cs="Times New Roman"/>
          <w:sz w:val="24"/>
          <w:szCs w:val="24"/>
        </w:rPr>
        <w:t xml:space="preserve">case beyond </w:t>
      </w:r>
      <w:r w:rsidR="003836F9">
        <w:rPr>
          <w:rFonts w:ascii="Times New Roman" w:eastAsia="Times New Roman" w:hAnsi="Times New Roman" w:cs="Times New Roman"/>
          <w:sz w:val="24"/>
          <w:szCs w:val="24"/>
        </w:rPr>
        <w:t xml:space="preserve">the issues raised in OCC’s </w:t>
      </w:r>
      <w:r w:rsidR="00D755ED">
        <w:rPr>
          <w:rFonts w:ascii="Times New Roman" w:eastAsia="Times New Roman" w:hAnsi="Times New Roman" w:cs="Times New Roman"/>
          <w:sz w:val="24"/>
          <w:szCs w:val="24"/>
        </w:rPr>
        <w:t>C</w:t>
      </w:r>
      <w:r w:rsidR="003836F9">
        <w:rPr>
          <w:rFonts w:ascii="Times New Roman" w:eastAsia="Times New Roman" w:hAnsi="Times New Roman" w:cs="Times New Roman"/>
          <w:sz w:val="24"/>
          <w:szCs w:val="24"/>
        </w:rPr>
        <w:t>omplaint</w:t>
      </w:r>
      <w:r w:rsidR="004942EB">
        <w:rPr>
          <w:rFonts w:ascii="Times New Roman" w:eastAsia="Times New Roman" w:hAnsi="Times New Roman" w:cs="Times New Roman"/>
          <w:sz w:val="24"/>
          <w:szCs w:val="24"/>
        </w:rPr>
        <w:t xml:space="preserve"> </w:t>
      </w:r>
      <w:r w:rsidR="00B701A4">
        <w:rPr>
          <w:rFonts w:ascii="Times New Roman" w:eastAsia="Times New Roman" w:hAnsi="Times New Roman" w:cs="Times New Roman"/>
          <w:sz w:val="24"/>
          <w:szCs w:val="24"/>
        </w:rPr>
        <w:t xml:space="preserve">would generate significant costs </w:t>
      </w:r>
      <w:r w:rsidR="00557D0E">
        <w:rPr>
          <w:rFonts w:ascii="Times New Roman" w:eastAsia="Times New Roman" w:hAnsi="Times New Roman" w:cs="Times New Roman"/>
          <w:sz w:val="24"/>
          <w:szCs w:val="24"/>
        </w:rPr>
        <w:t xml:space="preserve">and </w:t>
      </w:r>
      <w:r w:rsidR="00CB1AA2">
        <w:rPr>
          <w:rFonts w:ascii="Times New Roman" w:eastAsia="Times New Roman" w:hAnsi="Times New Roman" w:cs="Times New Roman"/>
          <w:sz w:val="24"/>
          <w:szCs w:val="24"/>
        </w:rPr>
        <w:t xml:space="preserve">provide no </w:t>
      </w:r>
      <w:r w:rsidR="00B701A4">
        <w:rPr>
          <w:rFonts w:ascii="Times New Roman" w:eastAsia="Times New Roman" w:hAnsi="Times New Roman" w:cs="Times New Roman"/>
          <w:sz w:val="24"/>
          <w:szCs w:val="24"/>
        </w:rPr>
        <w:t>offsetting benefits.</w:t>
      </w:r>
      <w:r>
        <w:rPr>
          <w:rFonts w:ascii="Times New Roman" w:eastAsia="Times New Roman" w:hAnsi="Times New Roman" w:cs="Times New Roman"/>
          <w:sz w:val="24"/>
          <w:szCs w:val="24"/>
        </w:rPr>
        <w:t xml:space="preserve">  </w:t>
      </w:r>
      <w:r w:rsidR="00E13DB2">
        <w:rPr>
          <w:rFonts w:ascii="Times New Roman" w:eastAsia="Times New Roman" w:hAnsi="Times New Roman" w:cs="Times New Roman"/>
          <w:sz w:val="24"/>
          <w:szCs w:val="24"/>
        </w:rPr>
        <w:t xml:space="preserve">The </w:t>
      </w:r>
      <w:r w:rsidR="005859D7">
        <w:rPr>
          <w:rFonts w:ascii="Times New Roman" w:eastAsia="Times New Roman" w:hAnsi="Times New Roman" w:cs="Times New Roman"/>
          <w:sz w:val="24"/>
          <w:szCs w:val="24"/>
        </w:rPr>
        <w:t>PUCO</w:t>
      </w:r>
      <w:r w:rsidR="00E13DB2">
        <w:rPr>
          <w:rFonts w:ascii="Times New Roman" w:eastAsia="Times New Roman" w:hAnsi="Times New Roman" w:cs="Times New Roman"/>
          <w:sz w:val="24"/>
          <w:szCs w:val="24"/>
        </w:rPr>
        <w:t xml:space="preserve"> should deny the </w:t>
      </w:r>
      <w:r w:rsidR="005A14C0">
        <w:rPr>
          <w:rFonts w:ascii="Times New Roman" w:eastAsia="Times New Roman" w:hAnsi="Times New Roman" w:cs="Times New Roman"/>
          <w:sz w:val="24"/>
          <w:szCs w:val="24"/>
        </w:rPr>
        <w:t>Movants’ requests</w:t>
      </w:r>
      <w:r w:rsidR="00E13DB2">
        <w:rPr>
          <w:rFonts w:ascii="Times New Roman" w:eastAsia="Times New Roman" w:hAnsi="Times New Roman" w:cs="Times New Roman"/>
          <w:sz w:val="24"/>
          <w:szCs w:val="24"/>
        </w:rPr>
        <w:t xml:space="preserve"> to intervene and allow this case to proceed </w:t>
      </w:r>
      <w:r w:rsidR="00C27C76">
        <w:rPr>
          <w:rFonts w:ascii="Times New Roman" w:eastAsia="Times New Roman" w:hAnsi="Times New Roman" w:cs="Times New Roman"/>
          <w:sz w:val="24"/>
          <w:szCs w:val="24"/>
        </w:rPr>
        <w:t>as filed</w:t>
      </w:r>
      <w:r w:rsidR="00C2607B">
        <w:rPr>
          <w:rFonts w:ascii="Times New Roman" w:eastAsia="Times New Roman" w:hAnsi="Times New Roman" w:cs="Times New Roman"/>
          <w:sz w:val="24"/>
          <w:szCs w:val="24"/>
        </w:rPr>
        <w:t>.</w:t>
      </w:r>
    </w:p>
    <w:p w:rsidR="00537111" w:rsidRDefault="00537111" w:rsidP="00537111">
      <w:pPr>
        <w:autoSpaceDE w:val="0"/>
        <w:autoSpaceDN w:val="0"/>
        <w:spacing w:after="0" w:line="240" w:lineRule="auto"/>
        <w:ind w:firstLine="720"/>
        <w:rPr>
          <w:rFonts w:ascii="Times New Roman" w:eastAsia="Times New Roman" w:hAnsi="Times New Roman" w:cs="Times New Roman"/>
          <w:sz w:val="24"/>
          <w:szCs w:val="24"/>
        </w:rPr>
      </w:pPr>
    </w:p>
    <w:p w:rsidR="00F238C3" w:rsidRPr="00C2607B" w:rsidRDefault="00537111" w:rsidP="00537111">
      <w:pPr>
        <w:pStyle w:val="Heading1"/>
        <w:rPr>
          <w:rFonts w:eastAsia="Times New Roman"/>
        </w:rPr>
      </w:pPr>
      <w:r>
        <w:rPr>
          <w:rFonts w:eastAsia="Times New Roman"/>
        </w:rPr>
        <w:t>II.</w:t>
      </w:r>
      <w:r>
        <w:rPr>
          <w:rFonts w:eastAsia="Times New Roman"/>
        </w:rPr>
        <w:tab/>
      </w:r>
      <w:r w:rsidR="0059406D" w:rsidRPr="00C2607B">
        <w:rPr>
          <w:rFonts w:eastAsia="Times New Roman"/>
        </w:rPr>
        <w:t>ARGUMENT</w:t>
      </w:r>
    </w:p>
    <w:p w:rsidR="00EE448C" w:rsidRPr="00264FA3" w:rsidRDefault="00F70502" w:rsidP="00537111">
      <w:pPr>
        <w:pStyle w:val="Heading2"/>
        <w:numPr>
          <w:ilvl w:val="0"/>
          <w:numId w:val="12"/>
        </w:numPr>
        <w:ind w:left="1440" w:hanging="720"/>
        <w:rPr>
          <w:rFonts w:eastAsia="Times New Roman"/>
        </w:rPr>
      </w:pPr>
      <w:r>
        <w:rPr>
          <w:rFonts w:eastAsia="Times New Roman"/>
        </w:rPr>
        <w:t>Standards applicable to intervention</w:t>
      </w:r>
      <w:r w:rsidR="00241500" w:rsidRPr="00264FA3">
        <w:rPr>
          <w:rFonts w:eastAsia="Times New Roman"/>
        </w:rPr>
        <w:t>.</w:t>
      </w:r>
    </w:p>
    <w:p w:rsidR="00264FA3" w:rsidRDefault="00264FA3" w:rsidP="00264FA3">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determining </w:t>
      </w:r>
      <w:r w:rsidRPr="00264FA3">
        <w:rPr>
          <w:rFonts w:ascii="Times New Roman" w:eastAsia="Times New Roman" w:hAnsi="Times New Roman" w:cs="Times New Roman"/>
          <w:sz w:val="24"/>
          <w:szCs w:val="24"/>
        </w:rPr>
        <w:t xml:space="preserve">whether intervention is appropriate, </w:t>
      </w:r>
      <w:r>
        <w:rPr>
          <w:rFonts w:ascii="Times New Roman" w:eastAsia="Times New Roman" w:hAnsi="Times New Roman" w:cs="Times New Roman"/>
          <w:sz w:val="24"/>
          <w:szCs w:val="24"/>
        </w:rPr>
        <w:t>R.C. 4903.221</w:t>
      </w:r>
      <w:r w:rsidRPr="00264FA3">
        <w:rPr>
          <w:rFonts w:ascii="Times New Roman" w:eastAsia="Times New Roman" w:hAnsi="Times New Roman" w:cs="Times New Roman"/>
          <w:sz w:val="24"/>
          <w:szCs w:val="24"/>
        </w:rPr>
        <w:t xml:space="preserve"> directs the PUCO to consider:</w:t>
      </w:r>
    </w:p>
    <w:p w:rsidR="00537111" w:rsidRDefault="00537111">
      <w:pPr>
        <w:rPr>
          <w:rFonts w:ascii="Times New Roman" w:hAnsi="Times New Roman" w:cs="Times New Roman"/>
          <w:sz w:val="24"/>
          <w:szCs w:val="24"/>
        </w:rPr>
      </w:pPr>
      <w:r>
        <w:rPr>
          <w:rFonts w:ascii="Times New Roman" w:hAnsi="Times New Roman" w:cs="Times New Roman"/>
          <w:sz w:val="24"/>
          <w:szCs w:val="24"/>
        </w:rPr>
        <w:br w:type="page"/>
      </w:r>
    </w:p>
    <w:p w:rsidR="00264FA3" w:rsidRPr="00264FA3" w:rsidRDefault="00264FA3" w:rsidP="00537111">
      <w:pPr>
        <w:pStyle w:val="ListParagraph"/>
        <w:widowControl w:val="0"/>
        <w:numPr>
          <w:ilvl w:val="0"/>
          <w:numId w:val="3"/>
        </w:numPr>
        <w:autoSpaceDE w:val="0"/>
        <w:autoSpaceDN w:val="0"/>
        <w:adjustRightInd w:val="0"/>
        <w:spacing w:after="0" w:line="480" w:lineRule="auto"/>
        <w:ind w:left="2160" w:right="720" w:hanging="720"/>
        <w:rPr>
          <w:rFonts w:ascii="Times New Roman" w:eastAsia="Times New Roman" w:hAnsi="Times New Roman" w:cs="Times New Roman"/>
          <w:sz w:val="24"/>
          <w:szCs w:val="24"/>
        </w:rPr>
      </w:pPr>
      <w:r w:rsidRPr="00264FA3">
        <w:rPr>
          <w:rFonts w:ascii="Times New Roman" w:hAnsi="Times New Roman" w:cs="Times New Roman"/>
          <w:sz w:val="24"/>
          <w:szCs w:val="24"/>
        </w:rPr>
        <w:t>The nature and exten</w:t>
      </w:r>
      <w:r>
        <w:rPr>
          <w:rFonts w:ascii="Times New Roman" w:hAnsi="Times New Roman" w:cs="Times New Roman"/>
          <w:sz w:val="24"/>
          <w:szCs w:val="24"/>
        </w:rPr>
        <w:t>t of the prospective intervenor’</w:t>
      </w:r>
      <w:r w:rsidRPr="00264FA3">
        <w:rPr>
          <w:rFonts w:ascii="Times New Roman" w:hAnsi="Times New Roman" w:cs="Times New Roman"/>
          <w:sz w:val="24"/>
          <w:szCs w:val="24"/>
        </w:rPr>
        <w:t>s interest;</w:t>
      </w:r>
    </w:p>
    <w:p w:rsidR="00264FA3" w:rsidRPr="00264FA3" w:rsidRDefault="00264FA3" w:rsidP="00537111">
      <w:pPr>
        <w:pStyle w:val="ListParagraph"/>
        <w:widowControl w:val="0"/>
        <w:numPr>
          <w:ilvl w:val="0"/>
          <w:numId w:val="3"/>
        </w:numPr>
        <w:autoSpaceDE w:val="0"/>
        <w:autoSpaceDN w:val="0"/>
        <w:adjustRightInd w:val="0"/>
        <w:spacing w:after="0" w:line="240" w:lineRule="auto"/>
        <w:ind w:left="2160" w:right="720" w:hanging="720"/>
        <w:rPr>
          <w:rFonts w:ascii="Times New Roman" w:eastAsia="Times New Roman" w:hAnsi="Times New Roman" w:cs="Times New Roman"/>
          <w:sz w:val="24"/>
          <w:szCs w:val="24"/>
        </w:rPr>
      </w:pPr>
      <w:r w:rsidRPr="00264FA3">
        <w:rPr>
          <w:rFonts w:ascii="Times New Roman" w:hAnsi="Times New Roman" w:cs="Times New Roman"/>
          <w:sz w:val="24"/>
          <w:szCs w:val="24"/>
        </w:rPr>
        <w:t>The legal position advanced by the prospective intervenor and its probable relation to the merits of the case;</w:t>
      </w:r>
    </w:p>
    <w:p w:rsidR="00264FA3" w:rsidRPr="00264FA3" w:rsidRDefault="00264FA3" w:rsidP="00537111">
      <w:pPr>
        <w:pStyle w:val="ListParagraph"/>
        <w:widowControl w:val="0"/>
        <w:autoSpaceDE w:val="0"/>
        <w:autoSpaceDN w:val="0"/>
        <w:adjustRightInd w:val="0"/>
        <w:spacing w:after="0" w:line="240" w:lineRule="auto"/>
        <w:ind w:left="2160" w:right="720" w:hanging="720"/>
        <w:rPr>
          <w:rFonts w:ascii="Times New Roman" w:eastAsia="Times New Roman" w:hAnsi="Times New Roman" w:cs="Times New Roman"/>
          <w:sz w:val="24"/>
          <w:szCs w:val="24"/>
        </w:rPr>
      </w:pPr>
    </w:p>
    <w:p w:rsidR="00264FA3" w:rsidRPr="00264FA3" w:rsidRDefault="00264FA3" w:rsidP="00537111">
      <w:pPr>
        <w:pStyle w:val="ListParagraph"/>
        <w:widowControl w:val="0"/>
        <w:numPr>
          <w:ilvl w:val="0"/>
          <w:numId w:val="3"/>
        </w:numPr>
        <w:autoSpaceDE w:val="0"/>
        <w:autoSpaceDN w:val="0"/>
        <w:adjustRightInd w:val="0"/>
        <w:spacing w:after="0" w:line="240" w:lineRule="auto"/>
        <w:ind w:left="2160" w:right="720" w:hanging="720"/>
        <w:rPr>
          <w:rFonts w:ascii="Times New Roman" w:eastAsia="Times New Roman" w:hAnsi="Times New Roman" w:cs="Times New Roman"/>
          <w:sz w:val="24"/>
          <w:szCs w:val="24"/>
        </w:rPr>
      </w:pPr>
      <w:r w:rsidRPr="00264FA3">
        <w:rPr>
          <w:rFonts w:ascii="Times New Roman" w:hAnsi="Times New Roman" w:cs="Times New Roman"/>
          <w:sz w:val="24"/>
          <w:szCs w:val="24"/>
        </w:rPr>
        <w:t>Whether the intervention by the prospective intervenor will unduly prolong or delay the proceedings;</w:t>
      </w:r>
      <w:r>
        <w:rPr>
          <w:rFonts w:ascii="Times New Roman" w:hAnsi="Times New Roman" w:cs="Times New Roman"/>
          <w:sz w:val="24"/>
          <w:szCs w:val="24"/>
        </w:rPr>
        <w:t xml:space="preserve"> [and]</w:t>
      </w:r>
    </w:p>
    <w:p w:rsidR="00264FA3" w:rsidRPr="00264FA3" w:rsidRDefault="00264FA3" w:rsidP="00537111">
      <w:pPr>
        <w:widowControl w:val="0"/>
        <w:autoSpaceDE w:val="0"/>
        <w:autoSpaceDN w:val="0"/>
        <w:adjustRightInd w:val="0"/>
        <w:spacing w:after="0" w:line="240" w:lineRule="auto"/>
        <w:ind w:left="2160" w:right="720" w:hanging="720"/>
        <w:rPr>
          <w:rFonts w:ascii="Times New Roman" w:eastAsia="Times New Roman" w:hAnsi="Times New Roman" w:cs="Times New Roman"/>
          <w:sz w:val="24"/>
          <w:szCs w:val="24"/>
        </w:rPr>
      </w:pPr>
    </w:p>
    <w:p w:rsidR="00264FA3" w:rsidRPr="00264FA3" w:rsidRDefault="00264FA3" w:rsidP="00537111">
      <w:pPr>
        <w:pStyle w:val="ListParagraph"/>
        <w:widowControl w:val="0"/>
        <w:numPr>
          <w:ilvl w:val="0"/>
          <w:numId w:val="3"/>
        </w:numPr>
        <w:autoSpaceDE w:val="0"/>
        <w:autoSpaceDN w:val="0"/>
        <w:adjustRightInd w:val="0"/>
        <w:spacing w:after="240" w:line="240" w:lineRule="auto"/>
        <w:ind w:left="2160" w:right="720" w:hanging="720"/>
        <w:contextualSpacing w:val="0"/>
        <w:rPr>
          <w:rFonts w:ascii="Times New Roman" w:eastAsia="Times New Roman" w:hAnsi="Times New Roman" w:cs="Times New Roman"/>
          <w:sz w:val="24"/>
          <w:szCs w:val="24"/>
        </w:rPr>
      </w:pPr>
      <w:r w:rsidRPr="00264FA3">
        <w:rPr>
          <w:rFonts w:ascii="Times New Roman" w:hAnsi="Times New Roman" w:cs="Times New Roman"/>
          <w:sz w:val="24"/>
          <w:szCs w:val="24"/>
        </w:rPr>
        <w:t>Whether the prospective intervenor will significantly contribute to full development and equitable resolution of the factual issues.</w:t>
      </w:r>
    </w:p>
    <w:p w:rsidR="005A14C0" w:rsidRDefault="00312E21" w:rsidP="005A14C0">
      <w:pPr>
        <w:widowControl w:val="0"/>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PUCO’s rules additionally</w:t>
      </w:r>
      <w:r w:rsidR="00264FA3" w:rsidRPr="00312E21">
        <w:rPr>
          <w:rFonts w:ascii="Times New Roman" w:eastAsia="Times New Roman" w:hAnsi="Times New Roman" w:cs="Times New Roman"/>
          <w:sz w:val="24"/>
          <w:szCs w:val="24"/>
        </w:rPr>
        <w:t xml:space="preserve"> </w:t>
      </w:r>
      <w:r w:rsidRPr="00312E21">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w:t>
      </w:r>
      <w:r w:rsidRPr="00312E21">
        <w:rPr>
          <w:rFonts w:ascii="Times New Roman" w:eastAsia="Times New Roman" w:hAnsi="Times New Roman" w:cs="Times New Roman"/>
          <w:sz w:val="24"/>
          <w:szCs w:val="24"/>
        </w:rPr>
        <w:t xml:space="preserve">that intervention shall be granted to a </w:t>
      </w:r>
      <w:r>
        <w:rPr>
          <w:rFonts w:ascii="Times New Roman" w:eastAsia="Times New Roman" w:hAnsi="Times New Roman" w:cs="Times New Roman"/>
          <w:sz w:val="24"/>
          <w:szCs w:val="24"/>
        </w:rPr>
        <w:t>“person [that]</w:t>
      </w:r>
      <w:r w:rsidRPr="00312E21">
        <w:rPr>
          <w:rFonts w:ascii="Times New Roman" w:hAnsi="Times New Roman" w:cs="Times New Roman"/>
          <w:sz w:val="24"/>
          <w:szCs w:val="24"/>
          <w:shd w:val="clear" w:color="auto" w:fill="FFFFFF"/>
        </w:rPr>
        <w:t xml:space="preserve"> has a real and substantial interest in the proceeding, and the person is so situated that the disposition of the proceeding may, as a practical matter, impair or impede his or her ability to protect t</w:t>
      </w:r>
      <w:r>
        <w:rPr>
          <w:rFonts w:ascii="Times New Roman" w:hAnsi="Times New Roman" w:cs="Times New Roman"/>
          <w:sz w:val="24"/>
          <w:szCs w:val="24"/>
          <w:shd w:val="clear" w:color="auto" w:fill="FFFFFF"/>
        </w:rPr>
        <w:t>hat interest, unless the person’</w:t>
      </w:r>
      <w:r w:rsidRPr="00312E21">
        <w:rPr>
          <w:rFonts w:ascii="Times New Roman" w:hAnsi="Times New Roman" w:cs="Times New Roman"/>
          <w:sz w:val="24"/>
          <w:szCs w:val="24"/>
          <w:shd w:val="clear" w:color="auto" w:fill="FFFFFF"/>
        </w:rPr>
        <w:t>s interest is adequately represented by existing parties.</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10"/>
      </w:r>
      <w:r>
        <w:rPr>
          <w:rFonts w:ascii="Times New Roman" w:eastAsia="Times New Roman" w:hAnsi="Times New Roman" w:cs="Times New Roman"/>
          <w:sz w:val="24"/>
          <w:szCs w:val="24"/>
        </w:rPr>
        <w:t xml:space="preserve">  This inquiry </w:t>
      </w:r>
      <w:r w:rsidR="005A14C0" w:rsidRPr="00312E21">
        <w:rPr>
          <w:rFonts w:ascii="Times New Roman" w:eastAsia="Times New Roman" w:hAnsi="Times New Roman" w:cs="Times New Roman"/>
          <w:sz w:val="24"/>
          <w:szCs w:val="24"/>
        </w:rPr>
        <w:t>mirrors</w:t>
      </w:r>
      <w:r>
        <w:rPr>
          <w:rFonts w:ascii="Times New Roman" w:eastAsia="Times New Roman" w:hAnsi="Times New Roman" w:cs="Times New Roman"/>
          <w:sz w:val="24"/>
          <w:szCs w:val="24"/>
        </w:rPr>
        <w:t xml:space="preserve"> the four factors from R.C. 4903.221, with an additional consideration focusing on the “extent to which the person’s interest is represented by existing parties.”</w:t>
      </w:r>
      <w:r>
        <w:rPr>
          <w:rStyle w:val="FootnoteReference"/>
          <w:rFonts w:ascii="Times New Roman" w:eastAsia="Times New Roman" w:hAnsi="Times New Roman" w:cs="Times New Roman"/>
          <w:sz w:val="24"/>
          <w:szCs w:val="24"/>
        </w:rPr>
        <w:footnoteReference w:id="11"/>
      </w:r>
    </w:p>
    <w:p w:rsidR="00537111" w:rsidRDefault="00264FA3" w:rsidP="00284FCD">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construing th</w:t>
      </w:r>
      <w:r w:rsidR="005A14C0">
        <w:rPr>
          <w:rFonts w:ascii="Times New Roman" w:eastAsia="Times New Roman" w:hAnsi="Times New Roman" w:cs="Times New Roman"/>
          <w:sz w:val="24"/>
          <w:szCs w:val="24"/>
        </w:rPr>
        <w:t>e guidelines for intervention</w:t>
      </w:r>
      <w:r>
        <w:rPr>
          <w:rFonts w:ascii="Times New Roman" w:eastAsia="Times New Roman" w:hAnsi="Times New Roman" w:cs="Times New Roman"/>
          <w:sz w:val="24"/>
          <w:szCs w:val="24"/>
        </w:rPr>
        <w:t xml:space="preserve">, the PUCO </w:t>
      </w:r>
      <w:r w:rsidR="006152C0">
        <w:rPr>
          <w:rFonts w:ascii="Times New Roman" w:eastAsia="Times New Roman" w:hAnsi="Times New Roman" w:cs="Times New Roman"/>
          <w:sz w:val="24"/>
          <w:szCs w:val="24"/>
        </w:rPr>
        <w:t>“</w:t>
      </w:r>
      <w:r>
        <w:rPr>
          <w:rFonts w:ascii="Times New Roman" w:eastAsia="Times New Roman" w:hAnsi="Times New Roman" w:cs="Times New Roman"/>
          <w:sz w:val="24"/>
          <w:szCs w:val="24"/>
        </w:rPr>
        <w:t>has</w:t>
      </w:r>
      <w:r w:rsidR="006152C0">
        <w:rPr>
          <w:rFonts w:ascii="Times New Roman" w:eastAsia="Times New Roman" w:hAnsi="Times New Roman" w:cs="Times New Roman"/>
          <w:sz w:val="24"/>
          <w:szCs w:val="24"/>
        </w:rPr>
        <w:t xml:space="preserve"> long held that an interest in the precedential value of a case is not sufficient reason for intervention.”</w:t>
      </w:r>
      <w:r w:rsidR="006152C0">
        <w:rPr>
          <w:rStyle w:val="FootnoteReference"/>
          <w:rFonts w:ascii="Times New Roman" w:eastAsia="Times New Roman" w:hAnsi="Times New Roman" w:cs="Times New Roman"/>
          <w:sz w:val="24"/>
          <w:szCs w:val="24"/>
        </w:rPr>
        <w:footnoteReference w:id="12"/>
      </w:r>
      <w:r w:rsidR="00C048C5">
        <w:rPr>
          <w:rFonts w:ascii="Times New Roman" w:eastAsia="Times New Roman" w:hAnsi="Times New Roman" w:cs="Times New Roman"/>
          <w:sz w:val="24"/>
          <w:szCs w:val="24"/>
        </w:rPr>
        <w:t xml:space="preserve">  </w:t>
      </w:r>
      <w:r w:rsidR="00876754">
        <w:rPr>
          <w:rFonts w:ascii="Times New Roman" w:eastAsia="Times New Roman" w:hAnsi="Times New Roman" w:cs="Times New Roman"/>
          <w:sz w:val="24"/>
          <w:szCs w:val="24"/>
        </w:rPr>
        <w:t>“</w:t>
      </w:r>
      <w:r w:rsidR="00C048C5">
        <w:rPr>
          <w:rFonts w:ascii="Times New Roman" w:eastAsia="Times New Roman" w:hAnsi="Times New Roman" w:cs="Times New Roman"/>
          <w:sz w:val="24"/>
          <w:szCs w:val="24"/>
        </w:rPr>
        <w:t xml:space="preserve">It is the policy of the </w:t>
      </w:r>
      <w:r w:rsidR="005859D7">
        <w:rPr>
          <w:rFonts w:ascii="Times New Roman" w:eastAsia="Times New Roman" w:hAnsi="Times New Roman" w:cs="Times New Roman"/>
          <w:sz w:val="24"/>
          <w:szCs w:val="24"/>
        </w:rPr>
        <w:t>PUCO</w:t>
      </w:r>
      <w:r w:rsidR="00C048C5">
        <w:rPr>
          <w:rFonts w:ascii="Times New Roman" w:eastAsia="Times New Roman" w:hAnsi="Times New Roman" w:cs="Times New Roman"/>
          <w:sz w:val="24"/>
          <w:szCs w:val="24"/>
        </w:rPr>
        <w:t xml:space="preserve"> not to grant intervention to entities whose only real interest in the proceeding is that legal precedent may be established which may affect that entity’s interest in a subsequent case.”</w:t>
      </w:r>
      <w:r w:rsidR="00C048C5">
        <w:rPr>
          <w:rStyle w:val="FootnoteReference"/>
          <w:rFonts w:ascii="Times New Roman" w:eastAsia="Times New Roman" w:hAnsi="Times New Roman" w:cs="Times New Roman"/>
          <w:sz w:val="24"/>
          <w:szCs w:val="24"/>
        </w:rPr>
        <w:footnoteReference w:id="13"/>
      </w:r>
      <w:r w:rsidR="00876754">
        <w:rPr>
          <w:rFonts w:ascii="Times New Roman" w:eastAsia="Times New Roman" w:hAnsi="Times New Roman" w:cs="Times New Roman"/>
          <w:sz w:val="24"/>
          <w:szCs w:val="24"/>
        </w:rPr>
        <w:t xml:space="preserve">  To meet the standards for interven</w:t>
      </w:r>
      <w:r w:rsidR="004F7360">
        <w:rPr>
          <w:rFonts w:ascii="Times New Roman" w:eastAsia="Times New Roman" w:hAnsi="Times New Roman" w:cs="Times New Roman"/>
          <w:sz w:val="24"/>
          <w:szCs w:val="24"/>
        </w:rPr>
        <w:t xml:space="preserve">tion, it is imperative </w:t>
      </w:r>
    </w:p>
    <w:p w:rsidR="00284FCD" w:rsidRDefault="00284FC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152C0" w:rsidRDefault="004F7360" w:rsidP="00537111">
      <w:pPr>
        <w:widowControl w:val="0"/>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w:t>
      </w:r>
      <w:r w:rsidR="00876754">
        <w:rPr>
          <w:rFonts w:ascii="Times New Roman" w:eastAsia="Times New Roman" w:hAnsi="Times New Roman" w:cs="Times New Roman"/>
          <w:sz w:val="24"/>
          <w:szCs w:val="24"/>
        </w:rPr>
        <w:t xml:space="preserve">“[t]he nature and extent of an intervenor’s interest </w:t>
      </w:r>
      <w:r w:rsidR="00F70502">
        <w:rPr>
          <w:rFonts w:ascii="Times New Roman" w:eastAsia="Times New Roman" w:hAnsi="Times New Roman" w:cs="Times New Roman"/>
          <w:sz w:val="24"/>
          <w:szCs w:val="24"/>
        </w:rPr>
        <w:t>* * *</w:t>
      </w:r>
      <w:r w:rsidR="00876754">
        <w:rPr>
          <w:rFonts w:ascii="Times New Roman" w:eastAsia="Times New Roman" w:hAnsi="Times New Roman" w:cs="Times New Roman"/>
          <w:sz w:val="24"/>
          <w:szCs w:val="24"/>
        </w:rPr>
        <w:t xml:space="preserve"> be real and direct as to the factual allegations contained in the complaint itself.”</w:t>
      </w:r>
      <w:r w:rsidR="00876754">
        <w:rPr>
          <w:rStyle w:val="FootnoteReference"/>
          <w:rFonts w:ascii="Times New Roman" w:eastAsia="Times New Roman" w:hAnsi="Times New Roman" w:cs="Times New Roman"/>
          <w:sz w:val="24"/>
          <w:szCs w:val="24"/>
        </w:rPr>
        <w:footnoteReference w:id="14"/>
      </w:r>
    </w:p>
    <w:p w:rsidR="00876754" w:rsidRDefault="00557D0E" w:rsidP="005A14C0">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F705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00F70502">
        <w:rPr>
          <w:rFonts w:ascii="Times New Roman" w:eastAsia="Times New Roman" w:hAnsi="Times New Roman" w:cs="Times New Roman"/>
          <w:sz w:val="24"/>
          <w:szCs w:val="24"/>
        </w:rPr>
        <w:t xml:space="preserve"> intervenor must refrain from expanding the issues beyond those stated in the complaint.  </w:t>
      </w:r>
      <w:r w:rsidR="004F7360">
        <w:rPr>
          <w:rFonts w:ascii="Times New Roman" w:eastAsia="Times New Roman" w:hAnsi="Times New Roman" w:cs="Times New Roman"/>
          <w:sz w:val="24"/>
          <w:szCs w:val="24"/>
        </w:rPr>
        <w:t xml:space="preserve">The </w:t>
      </w:r>
      <w:r w:rsidR="005859D7">
        <w:rPr>
          <w:rFonts w:ascii="Times New Roman" w:eastAsia="Times New Roman" w:hAnsi="Times New Roman" w:cs="Times New Roman"/>
          <w:sz w:val="24"/>
          <w:szCs w:val="24"/>
        </w:rPr>
        <w:t>PUCO</w:t>
      </w:r>
      <w:r w:rsidR="004F7360">
        <w:rPr>
          <w:rFonts w:ascii="Times New Roman" w:eastAsia="Times New Roman" w:hAnsi="Times New Roman" w:cs="Times New Roman"/>
          <w:sz w:val="24"/>
          <w:szCs w:val="24"/>
        </w:rPr>
        <w:t xml:space="preserve"> has rejected </w:t>
      </w:r>
      <w:r w:rsidR="009C4676">
        <w:rPr>
          <w:rFonts w:ascii="Times New Roman" w:eastAsia="Times New Roman" w:hAnsi="Times New Roman" w:cs="Times New Roman"/>
          <w:sz w:val="24"/>
          <w:szCs w:val="24"/>
        </w:rPr>
        <w:t>a prior attempt</w:t>
      </w:r>
      <w:r w:rsidR="004F7360">
        <w:rPr>
          <w:rFonts w:ascii="Times New Roman" w:eastAsia="Times New Roman" w:hAnsi="Times New Roman" w:cs="Times New Roman"/>
          <w:sz w:val="24"/>
          <w:szCs w:val="24"/>
        </w:rPr>
        <w:t xml:space="preserve"> to broaden a complaint</w:t>
      </w:r>
      <w:r w:rsidR="00827BCE">
        <w:rPr>
          <w:rFonts w:ascii="Times New Roman" w:eastAsia="Times New Roman" w:hAnsi="Times New Roman" w:cs="Times New Roman"/>
          <w:sz w:val="24"/>
          <w:szCs w:val="24"/>
        </w:rPr>
        <w:t>’s scope</w:t>
      </w:r>
      <w:r w:rsidR="004F7360">
        <w:rPr>
          <w:rFonts w:ascii="Times New Roman" w:eastAsia="Times New Roman" w:hAnsi="Times New Roman" w:cs="Times New Roman"/>
          <w:sz w:val="24"/>
          <w:szCs w:val="24"/>
        </w:rPr>
        <w:t>, stating that “[t]</w:t>
      </w:r>
      <w:r w:rsidR="00F70502">
        <w:rPr>
          <w:rFonts w:ascii="Times New Roman" w:eastAsia="Times New Roman" w:hAnsi="Times New Roman" w:cs="Times New Roman"/>
          <w:sz w:val="24"/>
          <w:szCs w:val="24"/>
        </w:rPr>
        <w:t>he hearing in this matter shall be confined to the scope of the complaint.”</w:t>
      </w:r>
      <w:r w:rsidR="00F70502">
        <w:rPr>
          <w:rStyle w:val="FootnoteReference"/>
          <w:rFonts w:ascii="Times New Roman" w:eastAsia="Times New Roman" w:hAnsi="Times New Roman" w:cs="Times New Roman"/>
          <w:sz w:val="24"/>
          <w:szCs w:val="24"/>
        </w:rPr>
        <w:footnoteReference w:id="15"/>
      </w:r>
      <w:r w:rsidR="00827BCE">
        <w:rPr>
          <w:rFonts w:ascii="Times New Roman" w:eastAsia="Times New Roman" w:hAnsi="Times New Roman" w:cs="Times New Roman"/>
          <w:sz w:val="24"/>
          <w:szCs w:val="24"/>
        </w:rPr>
        <w:t xml:space="preserve">  This</w:t>
      </w:r>
      <w:r w:rsidR="004F7360">
        <w:rPr>
          <w:rFonts w:ascii="Times New Roman" w:eastAsia="Times New Roman" w:hAnsi="Times New Roman" w:cs="Times New Roman"/>
          <w:sz w:val="24"/>
          <w:szCs w:val="24"/>
        </w:rPr>
        <w:t xml:space="preserve"> promotes the interests of administrative economy by preventing a narrowly-focused dispute from </w:t>
      </w:r>
      <w:r w:rsidR="00CB1AA2">
        <w:rPr>
          <w:rFonts w:ascii="Times New Roman" w:eastAsia="Times New Roman" w:hAnsi="Times New Roman" w:cs="Times New Roman"/>
          <w:sz w:val="24"/>
          <w:szCs w:val="24"/>
        </w:rPr>
        <w:t xml:space="preserve">morphing </w:t>
      </w:r>
      <w:r w:rsidR="009C4676">
        <w:rPr>
          <w:rFonts w:ascii="Times New Roman" w:eastAsia="Times New Roman" w:hAnsi="Times New Roman" w:cs="Times New Roman"/>
          <w:sz w:val="24"/>
          <w:szCs w:val="24"/>
        </w:rPr>
        <w:t>into a wide-ranging inquiry</w:t>
      </w:r>
      <w:r w:rsidR="00C27C76">
        <w:rPr>
          <w:rFonts w:ascii="Times New Roman" w:eastAsia="Times New Roman" w:hAnsi="Times New Roman" w:cs="Times New Roman"/>
          <w:sz w:val="24"/>
          <w:szCs w:val="24"/>
        </w:rPr>
        <w:t xml:space="preserve"> (such as the existing Submetering COI case)</w:t>
      </w:r>
      <w:r w:rsidR="009C4676">
        <w:rPr>
          <w:rFonts w:ascii="Times New Roman" w:eastAsia="Times New Roman" w:hAnsi="Times New Roman" w:cs="Times New Roman"/>
          <w:sz w:val="24"/>
          <w:szCs w:val="24"/>
        </w:rPr>
        <w:t>.</w:t>
      </w:r>
    </w:p>
    <w:p w:rsidR="00264FA3" w:rsidRDefault="00537111" w:rsidP="00537111">
      <w:pPr>
        <w:pStyle w:val="Heading2"/>
        <w:ind w:right="720"/>
        <w:rPr>
          <w:rFonts w:eastAsia="Times New Roman"/>
        </w:rPr>
      </w:pPr>
      <w:r>
        <w:rPr>
          <w:rFonts w:eastAsia="Times New Roman"/>
        </w:rPr>
        <w:t>B.</w:t>
      </w:r>
      <w:r>
        <w:rPr>
          <w:rFonts w:eastAsia="Times New Roman"/>
        </w:rPr>
        <w:tab/>
      </w:r>
      <w:r w:rsidR="00827BCE" w:rsidRPr="00401625">
        <w:rPr>
          <w:rFonts w:eastAsia="Times New Roman"/>
        </w:rPr>
        <w:t>The Movants cannot meet the standards required for intervention.</w:t>
      </w:r>
    </w:p>
    <w:p w:rsidR="00AD4716" w:rsidRPr="00AD4716" w:rsidRDefault="00627BF9" w:rsidP="00AD4716">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Movants’ bases for intervening neither meet the </w:t>
      </w:r>
      <w:r w:rsidR="00AD4716">
        <w:rPr>
          <w:rFonts w:ascii="Times New Roman" w:eastAsia="Times New Roman" w:hAnsi="Times New Roman" w:cs="Times New Roman"/>
          <w:sz w:val="24"/>
          <w:szCs w:val="24"/>
        </w:rPr>
        <w:t>controlling statutory and regulatory provisions</w:t>
      </w:r>
      <w:r>
        <w:rPr>
          <w:rFonts w:ascii="Times New Roman" w:eastAsia="Times New Roman" w:hAnsi="Times New Roman" w:cs="Times New Roman"/>
          <w:sz w:val="24"/>
          <w:szCs w:val="24"/>
        </w:rPr>
        <w:t xml:space="preserve"> nor satisfy the PUCO’s longstanding precedent.</w:t>
      </w:r>
    </w:p>
    <w:p w:rsidR="00827BCE" w:rsidRPr="00D723E9" w:rsidRDefault="00537111" w:rsidP="00537111">
      <w:pPr>
        <w:pStyle w:val="Heading3"/>
        <w:ind w:right="720"/>
        <w:rPr>
          <w:rFonts w:eastAsia="Times New Roman"/>
        </w:rPr>
      </w:pPr>
      <w:r>
        <w:rPr>
          <w:rFonts w:eastAsia="Times New Roman"/>
        </w:rPr>
        <w:t>1.</w:t>
      </w:r>
      <w:r>
        <w:rPr>
          <w:rFonts w:eastAsia="Times New Roman"/>
        </w:rPr>
        <w:tab/>
      </w:r>
      <w:r w:rsidR="00C629D4">
        <w:rPr>
          <w:rFonts w:eastAsia="Times New Roman"/>
        </w:rPr>
        <w:t>The Movants</w:t>
      </w:r>
      <w:r w:rsidR="00D723E9" w:rsidRPr="00D723E9">
        <w:rPr>
          <w:rFonts w:eastAsia="Times New Roman"/>
        </w:rPr>
        <w:t xml:space="preserve"> are not </w:t>
      </w:r>
      <w:r w:rsidR="00B511C2">
        <w:rPr>
          <w:rFonts w:eastAsia="Times New Roman"/>
        </w:rPr>
        <w:t>charged with</w:t>
      </w:r>
      <w:r w:rsidR="00D723E9" w:rsidRPr="00D723E9">
        <w:rPr>
          <w:rFonts w:eastAsia="Times New Roman"/>
        </w:rPr>
        <w:t xml:space="preserve"> represent</w:t>
      </w:r>
      <w:r w:rsidR="00B511C2">
        <w:rPr>
          <w:rFonts w:eastAsia="Times New Roman"/>
        </w:rPr>
        <w:t>ing</w:t>
      </w:r>
      <w:r w:rsidR="00D723E9" w:rsidRPr="00D723E9">
        <w:rPr>
          <w:rFonts w:eastAsia="Times New Roman"/>
        </w:rPr>
        <w:t xml:space="preserve"> residential customers’ interests</w:t>
      </w:r>
      <w:r w:rsidR="00747A3B">
        <w:rPr>
          <w:rFonts w:eastAsia="Times New Roman"/>
        </w:rPr>
        <w:t xml:space="preserve"> and are not required to file tariffs</w:t>
      </w:r>
      <w:r w:rsidR="00D723E9" w:rsidRPr="00D723E9">
        <w:rPr>
          <w:rFonts w:eastAsia="Times New Roman"/>
        </w:rPr>
        <w:t>.</w:t>
      </w:r>
      <w:r w:rsidR="00A80D70">
        <w:rPr>
          <w:rFonts w:eastAsia="Times New Roman"/>
        </w:rPr>
        <w:t xml:space="preserve">  </w:t>
      </w:r>
    </w:p>
    <w:p w:rsidR="001E6C19" w:rsidRDefault="001E471C" w:rsidP="00B511C2">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R.C. 4903.221(B)(1)-(2) direct the PUCO to consider “t</w:t>
      </w:r>
      <w:r w:rsidR="00D723E9">
        <w:rPr>
          <w:rFonts w:ascii="Times New Roman" w:eastAsia="Times New Roman" w:hAnsi="Times New Roman" w:cs="Times New Roman"/>
          <w:sz w:val="24"/>
          <w:szCs w:val="24"/>
        </w:rPr>
        <w:t>he nature and extent</w:t>
      </w:r>
      <w:r>
        <w:rPr>
          <w:rFonts w:ascii="Times New Roman" w:eastAsia="Times New Roman" w:hAnsi="Times New Roman" w:cs="Times New Roman"/>
          <w:sz w:val="24"/>
          <w:szCs w:val="24"/>
        </w:rPr>
        <w:t>”</w:t>
      </w:r>
      <w:r w:rsidR="00D723E9">
        <w:rPr>
          <w:rFonts w:ascii="Times New Roman" w:eastAsia="Times New Roman" w:hAnsi="Times New Roman" w:cs="Times New Roman"/>
          <w:sz w:val="24"/>
          <w:szCs w:val="24"/>
        </w:rPr>
        <w:t xml:space="preserve"> of the Movants’</w:t>
      </w:r>
      <w:r>
        <w:rPr>
          <w:rFonts w:ascii="Times New Roman" w:eastAsia="Times New Roman" w:hAnsi="Times New Roman" w:cs="Times New Roman"/>
          <w:sz w:val="24"/>
          <w:szCs w:val="24"/>
        </w:rPr>
        <w:t xml:space="preserve"> interests as well as the “legal position advanced” by the Movants and </w:t>
      </w:r>
      <w:r w:rsidR="00557D0E">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“probable relation to the merits of the case.”</w:t>
      </w:r>
      <w:r w:rsidR="00D33801">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w:t>
      </w:r>
      <w:r w:rsidR="0033068B">
        <w:rPr>
          <w:rFonts w:ascii="Times New Roman" w:eastAsia="Times New Roman" w:hAnsi="Times New Roman" w:cs="Times New Roman"/>
          <w:sz w:val="24"/>
          <w:szCs w:val="24"/>
        </w:rPr>
        <w:t xml:space="preserve">These inquiries weigh decidedly against granting the Movants’ intervention requests.  </w:t>
      </w:r>
      <w:r w:rsidR="00557D0E">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the complaint defines the issues in the case, it is essential to first consider the complaint’s scope before deciding whether the Movants’ positions fit within it.</w:t>
      </w:r>
    </w:p>
    <w:p w:rsidR="002A48B9" w:rsidRDefault="002A48B9" w:rsidP="00B511C2">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OCC</w:t>
      </w:r>
      <w:r w:rsidR="00557D0E">
        <w:rPr>
          <w:rFonts w:ascii="Times New Roman" w:eastAsia="Times New Roman" w:hAnsi="Times New Roman" w:cs="Times New Roman"/>
          <w:sz w:val="24"/>
          <w:szCs w:val="24"/>
        </w:rPr>
        <w:t xml:space="preserve"> filed it</w:t>
      </w:r>
      <w:r>
        <w:rPr>
          <w:rFonts w:ascii="Times New Roman" w:eastAsia="Times New Roman" w:hAnsi="Times New Roman" w:cs="Times New Roman"/>
          <w:sz w:val="24"/>
          <w:szCs w:val="24"/>
        </w:rPr>
        <w:t xml:space="preserve">s </w:t>
      </w:r>
      <w:r w:rsidR="00C27C76">
        <w:rPr>
          <w:rFonts w:ascii="Times New Roman" w:eastAsia="Times New Roman" w:hAnsi="Times New Roman" w:cs="Times New Roman"/>
          <w:sz w:val="24"/>
          <w:szCs w:val="24"/>
        </w:rPr>
        <w:t>C</w:t>
      </w:r>
      <w:r w:rsidR="001E471C">
        <w:rPr>
          <w:rFonts w:ascii="Times New Roman" w:eastAsia="Times New Roman" w:hAnsi="Times New Roman" w:cs="Times New Roman"/>
          <w:sz w:val="24"/>
          <w:szCs w:val="24"/>
        </w:rPr>
        <w:t xml:space="preserve">omplaint on behalf of residential customers against </w:t>
      </w:r>
      <w:r>
        <w:rPr>
          <w:rFonts w:ascii="Times New Roman" w:eastAsia="Times New Roman" w:hAnsi="Times New Roman" w:cs="Times New Roman"/>
          <w:sz w:val="24"/>
          <w:szCs w:val="24"/>
        </w:rPr>
        <w:t>AEP Ohio</w:t>
      </w:r>
      <w:r w:rsidR="00557D0E">
        <w:rPr>
          <w:rFonts w:ascii="Times New Roman" w:eastAsia="Times New Roman" w:hAnsi="Times New Roman" w:cs="Times New Roman"/>
          <w:sz w:val="24"/>
          <w:szCs w:val="24"/>
        </w:rPr>
        <w:t>.  OCC sought</w:t>
      </w:r>
      <w:r>
        <w:rPr>
          <w:rFonts w:ascii="Times New Roman" w:eastAsia="Times New Roman" w:hAnsi="Times New Roman" w:cs="Times New Roman"/>
          <w:sz w:val="24"/>
          <w:szCs w:val="24"/>
        </w:rPr>
        <w:t xml:space="preserve"> to </w:t>
      </w:r>
      <w:r w:rsidR="00C27C76">
        <w:rPr>
          <w:rFonts w:ascii="Times New Roman" w:eastAsia="Times New Roman" w:hAnsi="Times New Roman" w:cs="Times New Roman"/>
          <w:sz w:val="24"/>
          <w:szCs w:val="24"/>
        </w:rPr>
        <w:t xml:space="preserve">prohibit AEP Ohio from providing electric service to </w:t>
      </w:r>
      <w:r>
        <w:rPr>
          <w:rFonts w:ascii="Times New Roman" w:eastAsia="Times New Roman" w:hAnsi="Times New Roman" w:cs="Times New Roman"/>
          <w:sz w:val="24"/>
          <w:szCs w:val="24"/>
        </w:rPr>
        <w:t>submetering and reselling</w:t>
      </w:r>
      <w:r w:rsidR="00C27C76">
        <w:rPr>
          <w:rFonts w:ascii="Times New Roman" w:eastAsia="Times New Roman" w:hAnsi="Times New Roman" w:cs="Times New Roman"/>
          <w:sz w:val="24"/>
          <w:szCs w:val="24"/>
        </w:rPr>
        <w:t xml:space="preserve"> entities that</w:t>
      </w:r>
      <w:r>
        <w:rPr>
          <w:rFonts w:ascii="Times New Roman" w:eastAsia="Times New Roman" w:hAnsi="Times New Roman" w:cs="Times New Roman"/>
          <w:sz w:val="24"/>
          <w:szCs w:val="24"/>
        </w:rPr>
        <w:t xml:space="preserve"> inflict </w:t>
      </w:r>
      <w:r w:rsidR="00557D0E">
        <w:rPr>
          <w:rFonts w:ascii="Times New Roman" w:eastAsia="Times New Roman" w:hAnsi="Times New Roman" w:cs="Times New Roman"/>
          <w:sz w:val="24"/>
          <w:szCs w:val="24"/>
        </w:rPr>
        <w:t xml:space="preserve">substantial </w:t>
      </w:r>
      <w:r w:rsidR="00C27C76">
        <w:rPr>
          <w:rFonts w:ascii="Times New Roman" w:eastAsia="Times New Roman" w:hAnsi="Times New Roman" w:cs="Times New Roman"/>
          <w:sz w:val="24"/>
          <w:szCs w:val="24"/>
        </w:rPr>
        <w:t xml:space="preserve">harm </w:t>
      </w:r>
      <w:r>
        <w:rPr>
          <w:rFonts w:ascii="Times New Roman" w:eastAsia="Times New Roman" w:hAnsi="Times New Roman" w:cs="Times New Roman"/>
          <w:sz w:val="24"/>
          <w:szCs w:val="24"/>
        </w:rPr>
        <w:t xml:space="preserve">on </w:t>
      </w:r>
      <w:r w:rsidR="003836F9">
        <w:rPr>
          <w:rFonts w:ascii="Times New Roman" w:eastAsia="Times New Roman" w:hAnsi="Times New Roman" w:cs="Times New Roman"/>
          <w:sz w:val="24"/>
          <w:szCs w:val="24"/>
        </w:rPr>
        <w:t>the Utilit</w:t>
      </w:r>
      <w:r w:rsidR="004942EB">
        <w:rPr>
          <w:rFonts w:ascii="Times New Roman" w:eastAsia="Times New Roman" w:hAnsi="Times New Roman" w:cs="Times New Roman"/>
          <w:sz w:val="24"/>
          <w:szCs w:val="24"/>
        </w:rPr>
        <w:t>y</w:t>
      </w:r>
      <w:r w:rsidR="003836F9">
        <w:rPr>
          <w:rFonts w:ascii="Times New Roman" w:eastAsia="Times New Roman" w:hAnsi="Times New Roman" w:cs="Times New Roman"/>
          <w:sz w:val="24"/>
          <w:szCs w:val="24"/>
        </w:rPr>
        <w:t>’</w:t>
      </w:r>
      <w:r w:rsidR="004942EB">
        <w:rPr>
          <w:rFonts w:ascii="Times New Roman" w:eastAsia="Times New Roman" w:hAnsi="Times New Roman" w:cs="Times New Roman"/>
          <w:sz w:val="24"/>
          <w:szCs w:val="24"/>
        </w:rPr>
        <w:t>s</w:t>
      </w:r>
      <w:r w:rsidR="00B227A5">
        <w:rPr>
          <w:rFonts w:ascii="Times New Roman" w:eastAsia="Times New Roman" w:hAnsi="Times New Roman" w:cs="Times New Roman"/>
          <w:sz w:val="24"/>
          <w:szCs w:val="24"/>
        </w:rPr>
        <w:t xml:space="preserve"> </w:t>
      </w:r>
      <w:r w:rsidR="00C629D4">
        <w:rPr>
          <w:rFonts w:ascii="Times New Roman" w:eastAsia="Times New Roman" w:hAnsi="Times New Roman" w:cs="Times New Roman"/>
          <w:sz w:val="24"/>
          <w:szCs w:val="24"/>
        </w:rPr>
        <w:t xml:space="preserve">residential </w:t>
      </w:r>
      <w:r>
        <w:rPr>
          <w:rFonts w:ascii="Times New Roman" w:eastAsia="Times New Roman" w:hAnsi="Times New Roman" w:cs="Times New Roman"/>
          <w:sz w:val="24"/>
          <w:szCs w:val="24"/>
        </w:rPr>
        <w:t>customers.  The Movants’ interests are not directly tied to this issue.  IEU-Ohio’s basis for intervention is tied to the interests of commercial and industrial customers</w:t>
      </w:r>
      <w:r w:rsidR="00B511C2">
        <w:rPr>
          <w:rFonts w:ascii="Times New Roman" w:eastAsia="Times New Roman" w:hAnsi="Times New Roman" w:cs="Times New Roman"/>
          <w:sz w:val="24"/>
          <w:szCs w:val="24"/>
        </w:rPr>
        <w:t>.</w:t>
      </w:r>
      <w:r w:rsidR="00C629D4">
        <w:rPr>
          <w:rStyle w:val="FootnoteReference"/>
          <w:rFonts w:ascii="Times New Roman" w:eastAsia="Times New Roman" w:hAnsi="Times New Roman" w:cs="Times New Roman"/>
          <w:sz w:val="24"/>
          <w:szCs w:val="24"/>
        </w:rPr>
        <w:footnoteReference w:id="17"/>
      </w:r>
      <w:r w:rsidR="00B511C2">
        <w:rPr>
          <w:rFonts w:ascii="Times New Roman" w:eastAsia="Times New Roman" w:hAnsi="Times New Roman" w:cs="Times New Roman"/>
          <w:sz w:val="24"/>
          <w:szCs w:val="24"/>
        </w:rPr>
        <w:t xml:space="preserve">  NEP describes itself as a provider of support services to apartment and condominium p</w:t>
      </w:r>
      <w:r w:rsidR="00C629D4">
        <w:rPr>
          <w:rFonts w:ascii="Times New Roman" w:eastAsia="Times New Roman" w:hAnsi="Times New Roman" w:cs="Times New Roman"/>
          <w:sz w:val="24"/>
          <w:szCs w:val="24"/>
        </w:rPr>
        <w:t>roperties</w:t>
      </w:r>
      <w:r w:rsidR="00B511C2">
        <w:rPr>
          <w:rFonts w:ascii="Times New Roman" w:eastAsia="Times New Roman" w:hAnsi="Times New Roman" w:cs="Times New Roman"/>
          <w:sz w:val="24"/>
          <w:szCs w:val="24"/>
        </w:rPr>
        <w:t>.</w:t>
      </w:r>
      <w:r w:rsidR="00C629D4">
        <w:rPr>
          <w:rStyle w:val="FootnoteReference"/>
          <w:rFonts w:ascii="Times New Roman" w:eastAsia="Times New Roman" w:hAnsi="Times New Roman" w:cs="Times New Roman"/>
          <w:sz w:val="24"/>
          <w:szCs w:val="24"/>
        </w:rPr>
        <w:footnoteReference w:id="18"/>
      </w:r>
      <w:r w:rsidR="00B511C2">
        <w:rPr>
          <w:rFonts w:ascii="Times New Roman" w:eastAsia="Times New Roman" w:hAnsi="Times New Roman" w:cs="Times New Roman"/>
          <w:sz w:val="24"/>
          <w:szCs w:val="24"/>
        </w:rPr>
        <w:t xml:space="preserve">  And the OAA/ICSC avers that it represents the interests of residential and c</w:t>
      </w:r>
      <w:r w:rsidR="001E6C19">
        <w:rPr>
          <w:rFonts w:ascii="Times New Roman" w:eastAsia="Times New Roman" w:hAnsi="Times New Roman" w:cs="Times New Roman"/>
          <w:sz w:val="24"/>
          <w:szCs w:val="24"/>
        </w:rPr>
        <w:t>ommercial landlords.</w:t>
      </w:r>
      <w:r w:rsidR="00C629D4">
        <w:rPr>
          <w:rStyle w:val="FootnoteReference"/>
          <w:rFonts w:ascii="Times New Roman" w:eastAsia="Times New Roman" w:hAnsi="Times New Roman" w:cs="Times New Roman"/>
          <w:sz w:val="24"/>
          <w:szCs w:val="24"/>
        </w:rPr>
        <w:footnoteReference w:id="19"/>
      </w:r>
      <w:r w:rsidR="001E6C19">
        <w:rPr>
          <w:rFonts w:ascii="Times New Roman" w:eastAsia="Times New Roman" w:hAnsi="Times New Roman" w:cs="Times New Roman"/>
          <w:sz w:val="24"/>
          <w:szCs w:val="24"/>
        </w:rPr>
        <w:t xml:space="preserve"> </w:t>
      </w:r>
      <w:r w:rsidR="00117AD7">
        <w:rPr>
          <w:rFonts w:ascii="Times New Roman" w:eastAsia="Times New Roman" w:hAnsi="Times New Roman" w:cs="Times New Roman"/>
          <w:sz w:val="24"/>
          <w:szCs w:val="24"/>
        </w:rPr>
        <w:br/>
      </w:r>
      <w:r w:rsidR="00117AD7">
        <w:rPr>
          <w:rFonts w:ascii="Times New Roman" w:eastAsia="Times New Roman" w:hAnsi="Times New Roman" w:cs="Times New Roman"/>
          <w:sz w:val="24"/>
          <w:szCs w:val="24"/>
        </w:rPr>
        <w:tab/>
        <w:t xml:space="preserve">None of the Movants represents the interests </w:t>
      </w:r>
      <w:r w:rsidR="00B511C2">
        <w:rPr>
          <w:rFonts w:ascii="Times New Roman" w:eastAsia="Times New Roman" w:hAnsi="Times New Roman" w:cs="Times New Roman"/>
          <w:sz w:val="24"/>
          <w:szCs w:val="24"/>
        </w:rPr>
        <w:t>of residential customers</w:t>
      </w:r>
      <w:r w:rsidR="00117AD7">
        <w:rPr>
          <w:rFonts w:ascii="Times New Roman" w:eastAsia="Times New Roman" w:hAnsi="Times New Roman" w:cs="Times New Roman"/>
          <w:sz w:val="24"/>
          <w:szCs w:val="24"/>
        </w:rPr>
        <w:t xml:space="preserve"> in </w:t>
      </w:r>
      <w:r w:rsidR="008F39A7">
        <w:rPr>
          <w:rFonts w:ascii="Times New Roman" w:eastAsia="Times New Roman" w:hAnsi="Times New Roman" w:cs="Times New Roman"/>
          <w:sz w:val="24"/>
          <w:szCs w:val="24"/>
        </w:rPr>
        <w:t xml:space="preserve">AEP </w:t>
      </w:r>
      <w:r w:rsidR="00117AD7">
        <w:rPr>
          <w:rFonts w:ascii="Times New Roman" w:eastAsia="Times New Roman" w:hAnsi="Times New Roman" w:cs="Times New Roman"/>
          <w:sz w:val="24"/>
          <w:szCs w:val="24"/>
        </w:rPr>
        <w:t>Ohio</w:t>
      </w:r>
      <w:r w:rsidR="00B227A5">
        <w:rPr>
          <w:rFonts w:ascii="Times New Roman" w:eastAsia="Times New Roman" w:hAnsi="Times New Roman" w:cs="Times New Roman"/>
          <w:sz w:val="24"/>
          <w:szCs w:val="24"/>
        </w:rPr>
        <w:t>’</w:t>
      </w:r>
      <w:r w:rsidR="00117AD7">
        <w:rPr>
          <w:rFonts w:ascii="Times New Roman" w:eastAsia="Times New Roman" w:hAnsi="Times New Roman" w:cs="Times New Roman"/>
          <w:sz w:val="24"/>
          <w:szCs w:val="24"/>
        </w:rPr>
        <w:t>s service territory who are charged electricity rates that have been provided through submetering</w:t>
      </w:r>
      <w:r w:rsidR="00B511C2">
        <w:rPr>
          <w:rFonts w:ascii="Times New Roman" w:eastAsia="Times New Roman" w:hAnsi="Times New Roman" w:cs="Times New Roman"/>
          <w:sz w:val="24"/>
          <w:szCs w:val="24"/>
        </w:rPr>
        <w:t xml:space="preserve">.  </w:t>
      </w:r>
      <w:r w:rsidR="00C629D4">
        <w:rPr>
          <w:rFonts w:ascii="Times New Roman" w:eastAsia="Times New Roman" w:hAnsi="Times New Roman" w:cs="Times New Roman"/>
          <w:sz w:val="24"/>
          <w:szCs w:val="24"/>
        </w:rPr>
        <w:t xml:space="preserve">None of the Movants </w:t>
      </w:r>
      <w:r w:rsidR="00117AD7">
        <w:rPr>
          <w:rFonts w:ascii="Times New Roman" w:eastAsia="Times New Roman" w:hAnsi="Times New Roman" w:cs="Times New Roman"/>
          <w:sz w:val="24"/>
          <w:szCs w:val="24"/>
        </w:rPr>
        <w:t>represent the interests of the utility that is</w:t>
      </w:r>
      <w:r w:rsidR="00C629D4">
        <w:rPr>
          <w:rFonts w:ascii="Times New Roman" w:eastAsia="Times New Roman" w:hAnsi="Times New Roman" w:cs="Times New Roman"/>
          <w:sz w:val="24"/>
          <w:szCs w:val="24"/>
        </w:rPr>
        <w:t xml:space="preserve"> required to file tariffs governing the rendition of electric utility services to residential customers</w:t>
      </w:r>
      <w:r w:rsidR="00117AD7">
        <w:rPr>
          <w:rFonts w:ascii="Times New Roman" w:eastAsia="Times New Roman" w:hAnsi="Times New Roman" w:cs="Times New Roman"/>
          <w:sz w:val="24"/>
          <w:szCs w:val="24"/>
        </w:rPr>
        <w:t xml:space="preserve"> in the </w:t>
      </w:r>
      <w:r w:rsidR="008F39A7">
        <w:rPr>
          <w:rFonts w:ascii="Times New Roman" w:eastAsia="Times New Roman" w:hAnsi="Times New Roman" w:cs="Times New Roman"/>
          <w:sz w:val="24"/>
          <w:szCs w:val="24"/>
        </w:rPr>
        <w:t xml:space="preserve">AEP </w:t>
      </w:r>
      <w:r w:rsidR="00117AD7">
        <w:rPr>
          <w:rFonts w:ascii="Times New Roman" w:eastAsia="Times New Roman" w:hAnsi="Times New Roman" w:cs="Times New Roman"/>
          <w:sz w:val="24"/>
          <w:szCs w:val="24"/>
        </w:rPr>
        <w:t>Ohio service territory</w:t>
      </w:r>
      <w:r w:rsidR="00C629D4">
        <w:rPr>
          <w:rFonts w:ascii="Times New Roman" w:eastAsia="Times New Roman" w:hAnsi="Times New Roman" w:cs="Times New Roman"/>
          <w:sz w:val="24"/>
          <w:szCs w:val="24"/>
        </w:rPr>
        <w:t>.</w:t>
      </w:r>
      <w:r w:rsidR="00117AD7">
        <w:rPr>
          <w:rFonts w:ascii="Times New Roman" w:eastAsia="Times New Roman" w:hAnsi="Times New Roman" w:cs="Times New Roman"/>
          <w:sz w:val="24"/>
          <w:szCs w:val="24"/>
        </w:rPr>
        <w:t xml:space="preserve">  These are the interests that are affected by OCC's </w:t>
      </w:r>
      <w:r w:rsidR="008F39A7">
        <w:rPr>
          <w:rFonts w:ascii="Times New Roman" w:eastAsia="Times New Roman" w:hAnsi="Times New Roman" w:cs="Times New Roman"/>
          <w:sz w:val="24"/>
          <w:szCs w:val="24"/>
        </w:rPr>
        <w:t>C</w:t>
      </w:r>
      <w:r w:rsidR="00117AD7">
        <w:rPr>
          <w:rFonts w:ascii="Times New Roman" w:eastAsia="Times New Roman" w:hAnsi="Times New Roman" w:cs="Times New Roman"/>
          <w:sz w:val="24"/>
          <w:szCs w:val="24"/>
        </w:rPr>
        <w:t xml:space="preserve">omplaint.  </w:t>
      </w:r>
    </w:p>
    <w:p w:rsidR="00B511C2" w:rsidRDefault="00B511C2" w:rsidP="00B511C2">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if OCC prevails, it wi</w:t>
      </w:r>
      <w:r w:rsidR="001E6C19">
        <w:rPr>
          <w:rFonts w:ascii="Times New Roman" w:eastAsia="Times New Roman" w:hAnsi="Times New Roman" w:cs="Times New Roman"/>
          <w:sz w:val="24"/>
          <w:szCs w:val="24"/>
        </w:rPr>
        <w:t>ll require AEP Ohio and no one else</w:t>
      </w:r>
      <w:r w:rsidR="00747A3B">
        <w:rPr>
          <w:rFonts w:ascii="Times New Roman" w:eastAsia="Times New Roman" w:hAnsi="Times New Roman" w:cs="Times New Roman"/>
          <w:sz w:val="24"/>
          <w:szCs w:val="24"/>
        </w:rPr>
        <w:t xml:space="preserve"> (not even any other electric distribution utilities)</w:t>
      </w:r>
      <w:r w:rsidR="001E6C19">
        <w:rPr>
          <w:rFonts w:ascii="Times New Roman" w:eastAsia="Times New Roman" w:hAnsi="Times New Roman" w:cs="Times New Roman"/>
          <w:sz w:val="24"/>
          <w:szCs w:val="24"/>
        </w:rPr>
        <w:t xml:space="preserve"> to take affirmative steps to comply with the PUCO’s order.  </w:t>
      </w:r>
      <w:r w:rsidR="00747A3B">
        <w:rPr>
          <w:rFonts w:ascii="Times New Roman" w:eastAsia="Times New Roman" w:hAnsi="Times New Roman" w:cs="Times New Roman"/>
          <w:sz w:val="24"/>
          <w:szCs w:val="24"/>
        </w:rPr>
        <w:t>“AEP Ohio has the exclusive right to provide retail electric service to * * * consumer[s],” in its certified territory.</w:t>
      </w:r>
      <w:r w:rsidR="00747A3B">
        <w:rPr>
          <w:rStyle w:val="FootnoteReference"/>
          <w:rFonts w:ascii="Times New Roman" w:eastAsia="Times New Roman" w:hAnsi="Times New Roman" w:cs="Times New Roman"/>
          <w:sz w:val="24"/>
          <w:szCs w:val="24"/>
        </w:rPr>
        <w:footnoteReference w:id="20"/>
      </w:r>
      <w:r w:rsidR="00747A3B">
        <w:rPr>
          <w:rFonts w:ascii="Times New Roman" w:eastAsia="Times New Roman" w:hAnsi="Times New Roman" w:cs="Times New Roman"/>
          <w:sz w:val="24"/>
          <w:szCs w:val="24"/>
        </w:rPr>
        <w:t xml:space="preserve">  Thus, any PUCO order requiring tariff modifications will solely apply to AEP Ohio.</w:t>
      </w:r>
    </w:p>
    <w:p w:rsidR="00D723E9" w:rsidRPr="00D723E9" w:rsidRDefault="00747A3B" w:rsidP="001E471C">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Movants may have a</w:t>
      </w:r>
      <w:r w:rsidR="00DD43F5">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interest in the precedent this case may set, longstanding PUCO precedent instructs that this alone is not grounds for granting intervention.  That principle is perfectly captured by the </w:t>
      </w:r>
      <w:r w:rsidR="00AD4716">
        <w:rPr>
          <w:rFonts w:ascii="Times New Roman" w:eastAsia="Times New Roman" w:hAnsi="Times New Roman" w:cs="Times New Roman"/>
          <w:sz w:val="24"/>
          <w:szCs w:val="24"/>
        </w:rPr>
        <w:t xml:space="preserve">PUCO’s decision in </w:t>
      </w:r>
      <w:r w:rsidR="00AD4716" w:rsidRPr="00AD4716">
        <w:rPr>
          <w:rFonts w:ascii="Times New Roman" w:eastAsia="Times New Roman" w:hAnsi="Times New Roman" w:cs="Times New Roman"/>
          <w:i/>
          <w:sz w:val="24"/>
          <w:szCs w:val="24"/>
        </w:rPr>
        <w:t>In re Whitt</w:t>
      </w:r>
      <w:r>
        <w:rPr>
          <w:rFonts w:ascii="Times New Roman" w:eastAsia="Times New Roman" w:hAnsi="Times New Roman" w:cs="Times New Roman"/>
          <w:sz w:val="24"/>
          <w:szCs w:val="24"/>
        </w:rPr>
        <w:t>.</w:t>
      </w:r>
      <w:r w:rsidR="00AD4716">
        <w:rPr>
          <w:rFonts w:ascii="Times New Roman" w:eastAsia="Times New Roman" w:hAnsi="Times New Roman" w:cs="Times New Roman"/>
          <w:sz w:val="24"/>
          <w:szCs w:val="24"/>
        </w:rPr>
        <w:t xml:space="preserve">  There, a residential customer filed a complaint case </w:t>
      </w:r>
      <w:r w:rsidR="00A80D70">
        <w:rPr>
          <w:rFonts w:ascii="Times New Roman" w:eastAsia="Times New Roman" w:hAnsi="Times New Roman" w:cs="Times New Roman"/>
          <w:sz w:val="24"/>
          <w:szCs w:val="24"/>
        </w:rPr>
        <w:t>alleging</w:t>
      </w:r>
      <w:r w:rsidR="00AD4716">
        <w:rPr>
          <w:rFonts w:ascii="Times New Roman" w:eastAsia="Times New Roman" w:hAnsi="Times New Roman" w:cs="Times New Roman"/>
          <w:sz w:val="24"/>
          <w:szCs w:val="24"/>
        </w:rPr>
        <w:t xml:space="preserve"> that </w:t>
      </w:r>
      <w:r w:rsidR="00A80D70">
        <w:rPr>
          <w:rFonts w:ascii="Times New Roman" w:eastAsia="Times New Roman" w:hAnsi="Times New Roman" w:cs="Times New Roman"/>
          <w:sz w:val="24"/>
          <w:szCs w:val="24"/>
        </w:rPr>
        <w:t>NEP</w:t>
      </w:r>
      <w:r w:rsidR="00AD4716">
        <w:rPr>
          <w:rFonts w:ascii="Times New Roman" w:eastAsia="Times New Roman" w:hAnsi="Times New Roman" w:cs="Times New Roman"/>
          <w:sz w:val="24"/>
          <w:szCs w:val="24"/>
        </w:rPr>
        <w:t xml:space="preserve"> provided electric, water, and sewer services without the necessary PUCO approvals.  IEU-Ohio, OCC, and OPAE all moved to intervene in the case on the grounds that the interests of residential customers, low and moderate income customers, and certified retail electric service </w:t>
      </w:r>
      <w:r w:rsidR="001F792B">
        <w:rPr>
          <w:rFonts w:ascii="Times New Roman" w:eastAsia="Times New Roman" w:hAnsi="Times New Roman" w:cs="Times New Roman"/>
          <w:sz w:val="24"/>
          <w:szCs w:val="24"/>
        </w:rPr>
        <w:t>(</w:t>
      </w:r>
      <w:r w:rsidR="004942EB">
        <w:rPr>
          <w:rFonts w:ascii="Times New Roman" w:eastAsia="Times New Roman" w:hAnsi="Times New Roman" w:cs="Times New Roman"/>
          <w:sz w:val="24"/>
          <w:szCs w:val="24"/>
        </w:rPr>
        <w:t>”Marketer”</w:t>
      </w:r>
      <w:r w:rsidR="001F792B">
        <w:rPr>
          <w:rFonts w:ascii="Times New Roman" w:eastAsia="Times New Roman" w:hAnsi="Times New Roman" w:cs="Times New Roman"/>
          <w:sz w:val="24"/>
          <w:szCs w:val="24"/>
        </w:rPr>
        <w:t xml:space="preserve">) </w:t>
      </w:r>
      <w:r w:rsidR="00AD4716">
        <w:rPr>
          <w:rFonts w:ascii="Times New Roman" w:eastAsia="Times New Roman" w:hAnsi="Times New Roman" w:cs="Times New Roman"/>
          <w:sz w:val="24"/>
          <w:szCs w:val="24"/>
        </w:rPr>
        <w:t xml:space="preserve">providers would be adversely affected </w:t>
      </w:r>
      <w:r w:rsidR="00A80D70">
        <w:rPr>
          <w:rFonts w:ascii="Times New Roman" w:eastAsia="Times New Roman" w:hAnsi="Times New Roman" w:cs="Times New Roman"/>
          <w:sz w:val="24"/>
          <w:szCs w:val="24"/>
        </w:rPr>
        <w:t xml:space="preserve">by </w:t>
      </w:r>
      <w:r w:rsidR="00AD4716">
        <w:rPr>
          <w:rFonts w:ascii="Times New Roman" w:eastAsia="Times New Roman" w:hAnsi="Times New Roman" w:cs="Times New Roman"/>
          <w:sz w:val="24"/>
          <w:szCs w:val="24"/>
        </w:rPr>
        <w:t>the case’s outcome.</w:t>
      </w:r>
      <w:r w:rsidR="00A80D70">
        <w:rPr>
          <w:rFonts w:ascii="Times New Roman" w:eastAsia="Times New Roman" w:hAnsi="Times New Roman" w:cs="Times New Roman"/>
          <w:sz w:val="24"/>
          <w:szCs w:val="24"/>
        </w:rPr>
        <w:t xml:space="preserve">  The PUCO denied their intervention requests, however, explaining that a “legitimate interest in the precedent of a complaint case is not sufficient reason for intervention * * *.”</w:t>
      </w:r>
      <w:r w:rsidR="00A80D70">
        <w:rPr>
          <w:rStyle w:val="FootnoteReference"/>
          <w:rFonts w:ascii="Times New Roman" w:eastAsia="Times New Roman" w:hAnsi="Times New Roman" w:cs="Times New Roman"/>
          <w:sz w:val="24"/>
          <w:szCs w:val="24"/>
        </w:rPr>
        <w:footnoteReference w:id="21"/>
      </w:r>
      <w:r w:rsidR="00A80D70">
        <w:rPr>
          <w:rFonts w:ascii="Times New Roman" w:eastAsia="Times New Roman" w:hAnsi="Times New Roman" w:cs="Times New Roman"/>
          <w:sz w:val="24"/>
          <w:szCs w:val="24"/>
        </w:rPr>
        <w:t xml:space="preserve">  </w:t>
      </w:r>
      <w:r w:rsidR="001F792B">
        <w:rPr>
          <w:rFonts w:ascii="Times New Roman" w:eastAsia="Times New Roman" w:hAnsi="Times New Roman" w:cs="Times New Roman"/>
          <w:sz w:val="24"/>
          <w:szCs w:val="24"/>
        </w:rPr>
        <w:t>In</w:t>
      </w:r>
      <w:r w:rsidR="00A80D70">
        <w:rPr>
          <w:rFonts w:ascii="Times New Roman" w:eastAsia="Times New Roman" w:hAnsi="Times New Roman" w:cs="Times New Roman"/>
          <w:sz w:val="24"/>
          <w:szCs w:val="24"/>
        </w:rPr>
        <w:t xml:space="preserve">tervention </w:t>
      </w:r>
      <w:r w:rsidR="001F792B">
        <w:rPr>
          <w:rFonts w:ascii="Times New Roman" w:eastAsia="Times New Roman" w:hAnsi="Times New Roman" w:cs="Times New Roman"/>
          <w:sz w:val="24"/>
          <w:szCs w:val="24"/>
        </w:rPr>
        <w:t>must be grounded in a show</w:t>
      </w:r>
      <w:r w:rsidR="00A80D70">
        <w:rPr>
          <w:rFonts w:ascii="Times New Roman" w:eastAsia="Times New Roman" w:hAnsi="Times New Roman" w:cs="Times New Roman"/>
          <w:sz w:val="24"/>
          <w:szCs w:val="24"/>
        </w:rPr>
        <w:t xml:space="preserve">ing of a </w:t>
      </w:r>
      <w:r w:rsidR="001F792B">
        <w:rPr>
          <w:rFonts w:ascii="Times New Roman" w:eastAsia="Times New Roman" w:hAnsi="Times New Roman" w:cs="Times New Roman"/>
          <w:sz w:val="24"/>
          <w:szCs w:val="24"/>
        </w:rPr>
        <w:t>“</w:t>
      </w:r>
      <w:r w:rsidR="00A80D70">
        <w:rPr>
          <w:rFonts w:ascii="Times New Roman" w:eastAsia="Times New Roman" w:hAnsi="Times New Roman" w:cs="Times New Roman"/>
          <w:sz w:val="24"/>
          <w:szCs w:val="24"/>
        </w:rPr>
        <w:t>real and direct interest</w:t>
      </w:r>
      <w:r w:rsidR="001F792B">
        <w:rPr>
          <w:rFonts w:ascii="Times New Roman" w:eastAsia="Times New Roman" w:hAnsi="Times New Roman" w:cs="Times New Roman"/>
          <w:sz w:val="24"/>
          <w:szCs w:val="24"/>
        </w:rPr>
        <w:t>”</w:t>
      </w:r>
      <w:r w:rsidR="00A80D70">
        <w:rPr>
          <w:rFonts w:ascii="Times New Roman" w:eastAsia="Times New Roman" w:hAnsi="Times New Roman" w:cs="Times New Roman"/>
          <w:sz w:val="24"/>
          <w:szCs w:val="24"/>
        </w:rPr>
        <w:t xml:space="preserve"> in the </w:t>
      </w:r>
      <w:r w:rsidR="001F792B">
        <w:rPr>
          <w:rFonts w:ascii="Times New Roman" w:eastAsia="Times New Roman" w:hAnsi="Times New Roman" w:cs="Times New Roman"/>
          <w:sz w:val="24"/>
          <w:szCs w:val="24"/>
        </w:rPr>
        <w:t>“factual allegations”</w:t>
      </w:r>
      <w:r w:rsidR="00A80D70">
        <w:rPr>
          <w:rFonts w:ascii="Times New Roman" w:eastAsia="Times New Roman" w:hAnsi="Times New Roman" w:cs="Times New Roman"/>
          <w:sz w:val="24"/>
          <w:szCs w:val="24"/>
        </w:rPr>
        <w:t xml:space="preserve"> of the complaint.</w:t>
      </w:r>
      <w:r w:rsidR="001F792B">
        <w:rPr>
          <w:rStyle w:val="FootnoteReference"/>
          <w:rFonts w:ascii="Times New Roman" w:eastAsia="Times New Roman" w:hAnsi="Times New Roman" w:cs="Times New Roman"/>
          <w:sz w:val="24"/>
          <w:szCs w:val="24"/>
        </w:rPr>
        <w:footnoteReference w:id="22"/>
      </w:r>
    </w:p>
    <w:p w:rsidR="008F7CB1" w:rsidRDefault="001F792B" w:rsidP="00537111">
      <w:pPr>
        <w:autoSpaceDE w:val="0"/>
        <w:autoSpaceDN w:val="0"/>
        <w:spacing w:after="0" w:line="480" w:lineRule="auto"/>
        <w:ind w:firstLine="720"/>
        <w:rPr>
          <w:rFonts w:ascii="Times New Roman" w:eastAsia="Times New Roman" w:hAnsi="Times New Roman" w:cs="Times New Roman"/>
          <w:sz w:val="24"/>
          <w:szCs w:val="24"/>
        </w:rPr>
      </w:pPr>
      <w:r w:rsidRPr="001F792B">
        <w:rPr>
          <w:rFonts w:ascii="Times New Roman" w:eastAsia="Times New Roman" w:hAnsi="Times New Roman" w:cs="Times New Roman"/>
          <w:i/>
          <w:sz w:val="24"/>
          <w:szCs w:val="24"/>
        </w:rPr>
        <w:t>In re Whitt</w:t>
      </w:r>
      <w:r>
        <w:rPr>
          <w:rFonts w:ascii="Times New Roman" w:eastAsia="Times New Roman" w:hAnsi="Times New Roman" w:cs="Times New Roman"/>
          <w:sz w:val="24"/>
          <w:szCs w:val="24"/>
        </w:rPr>
        <w:t xml:space="preserve"> defeats the Movants’ requests for intervention.  In spite of that case’s residential focus, other residential-customer advocates were barred from participating because </w:t>
      </w:r>
      <w:r w:rsidR="00557D0E">
        <w:rPr>
          <w:rFonts w:ascii="Times New Roman" w:eastAsia="Times New Roman" w:hAnsi="Times New Roman" w:cs="Times New Roman"/>
          <w:sz w:val="24"/>
          <w:szCs w:val="24"/>
        </w:rPr>
        <w:t xml:space="preserve">the PUCO held that </w:t>
      </w:r>
      <w:r>
        <w:rPr>
          <w:rFonts w:ascii="Times New Roman" w:eastAsia="Times New Roman" w:hAnsi="Times New Roman" w:cs="Times New Roman"/>
          <w:sz w:val="24"/>
          <w:szCs w:val="24"/>
        </w:rPr>
        <w:t xml:space="preserve">they did not have a </w:t>
      </w:r>
      <w:r w:rsidR="00557D0E">
        <w:rPr>
          <w:rFonts w:ascii="Times New Roman" w:eastAsia="Times New Roman" w:hAnsi="Times New Roman" w:cs="Times New Roman"/>
          <w:sz w:val="24"/>
          <w:szCs w:val="24"/>
        </w:rPr>
        <w:t>“</w:t>
      </w:r>
      <w:r>
        <w:rPr>
          <w:rFonts w:ascii="Times New Roman" w:eastAsia="Times New Roman" w:hAnsi="Times New Roman" w:cs="Times New Roman"/>
          <w:sz w:val="24"/>
          <w:szCs w:val="24"/>
        </w:rPr>
        <w:t>real and direct interest</w:t>
      </w:r>
      <w:r w:rsidR="00557D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w:t>
      </w:r>
      <w:r w:rsidR="00557D0E">
        <w:rPr>
          <w:rFonts w:ascii="Times New Roman" w:eastAsia="Times New Roman" w:hAnsi="Times New Roman" w:cs="Times New Roman"/>
          <w:sz w:val="24"/>
          <w:szCs w:val="24"/>
        </w:rPr>
        <w:t xml:space="preserve">complaint’s </w:t>
      </w:r>
      <w:r>
        <w:rPr>
          <w:rFonts w:ascii="Times New Roman" w:eastAsia="Times New Roman" w:hAnsi="Times New Roman" w:cs="Times New Roman"/>
          <w:sz w:val="24"/>
          <w:szCs w:val="24"/>
        </w:rPr>
        <w:t>factual allegations.  Here, the question presented is far easier</w:t>
      </w:r>
      <w:r w:rsidR="0030434C">
        <w:rPr>
          <w:rFonts w:ascii="Times New Roman" w:eastAsia="Times New Roman" w:hAnsi="Times New Roman" w:cs="Times New Roman"/>
          <w:sz w:val="24"/>
          <w:szCs w:val="24"/>
        </w:rPr>
        <w:t>.  N</w:t>
      </w:r>
      <w:r>
        <w:rPr>
          <w:rFonts w:ascii="Times New Roman" w:eastAsia="Times New Roman" w:hAnsi="Times New Roman" w:cs="Times New Roman"/>
          <w:sz w:val="24"/>
          <w:szCs w:val="24"/>
        </w:rPr>
        <w:t>o Movant purports to</w:t>
      </w:r>
      <w:r w:rsidR="00627BF9">
        <w:rPr>
          <w:rFonts w:ascii="Times New Roman" w:eastAsia="Times New Roman" w:hAnsi="Times New Roman" w:cs="Times New Roman"/>
          <w:sz w:val="24"/>
          <w:szCs w:val="24"/>
        </w:rPr>
        <w:t xml:space="preserve"> even</w:t>
      </w:r>
      <w:r>
        <w:rPr>
          <w:rFonts w:ascii="Times New Roman" w:eastAsia="Times New Roman" w:hAnsi="Times New Roman" w:cs="Times New Roman"/>
          <w:sz w:val="24"/>
          <w:szCs w:val="24"/>
        </w:rPr>
        <w:t xml:space="preserve"> represent the interests of residential customers.</w:t>
      </w:r>
      <w:r w:rsidR="00DA21D3">
        <w:rPr>
          <w:rFonts w:ascii="Times New Roman" w:eastAsia="Times New Roman" w:hAnsi="Times New Roman" w:cs="Times New Roman"/>
          <w:sz w:val="24"/>
          <w:szCs w:val="24"/>
        </w:rPr>
        <w:t xml:space="preserve">  </w:t>
      </w:r>
      <w:r w:rsidR="00627BF9">
        <w:rPr>
          <w:rFonts w:ascii="Times New Roman" w:eastAsia="Times New Roman" w:hAnsi="Times New Roman" w:cs="Times New Roman"/>
          <w:sz w:val="24"/>
          <w:szCs w:val="24"/>
        </w:rPr>
        <w:t xml:space="preserve">Surely, if it was inappropriate for residential-customer advocates to intervene in a residential-customer </w:t>
      </w:r>
      <w:r w:rsidR="008F39A7">
        <w:rPr>
          <w:rFonts w:ascii="Times New Roman" w:eastAsia="Times New Roman" w:hAnsi="Times New Roman" w:cs="Times New Roman"/>
          <w:sz w:val="24"/>
          <w:szCs w:val="24"/>
        </w:rPr>
        <w:t xml:space="preserve">complaint </w:t>
      </w:r>
      <w:r w:rsidR="00627BF9">
        <w:rPr>
          <w:rFonts w:ascii="Times New Roman" w:eastAsia="Times New Roman" w:hAnsi="Times New Roman" w:cs="Times New Roman"/>
          <w:sz w:val="24"/>
          <w:szCs w:val="24"/>
        </w:rPr>
        <w:t xml:space="preserve">case, it is even more inappropriate for non-residential-customer advocates to intervene in a residential-customer </w:t>
      </w:r>
      <w:r w:rsidR="008F39A7">
        <w:rPr>
          <w:rFonts w:ascii="Times New Roman" w:eastAsia="Times New Roman" w:hAnsi="Times New Roman" w:cs="Times New Roman"/>
          <w:sz w:val="24"/>
          <w:szCs w:val="24"/>
        </w:rPr>
        <w:t xml:space="preserve">complaint </w:t>
      </w:r>
      <w:r w:rsidR="00627BF9">
        <w:rPr>
          <w:rFonts w:ascii="Times New Roman" w:eastAsia="Times New Roman" w:hAnsi="Times New Roman" w:cs="Times New Roman"/>
          <w:sz w:val="24"/>
          <w:szCs w:val="24"/>
        </w:rPr>
        <w:t xml:space="preserve">case.  </w:t>
      </w:r>
      <w:r w:rsidR="00DA21D3">
        <w:rPr>
          <w:rFonts w:ascii="Times New Roman" w:eastAsia="Times New Roman" w:hAnsi="Times New Roman" w:cs="Times New Roman"/>
          <w:sz w:val="24"/>
          <w:szCs w:val="24"/>
        </w:rPr>
        <w:t xml:space="preserve">Moreover, even though the outcome of </w:t>
      </w:r>
      <w:r w:rsidR="00DA21D3" w:rsidRPr="00DA21D3">
        <w:rPr>
          <w:rFonts w:ascii="Times New Roman" w:eastAsia="Times New Roman" w:hAnsi="Times New Roman" w:cs="Times New Roman"/>
          <w:i/>
          <w:sz w:val="24"/>
          <w:szCs w:val="24"/>
        </w:rPr>
        <w:t>In re Whitt</w:t>
      </w:r>
      <w:r w:rsidR="00DA21D3">
        <w:rPr>
          <w:rFonts w:ascii="Times New Roman" w:eastAsia="Times New Roman" w:hAnsi="Times New Roman" w:cs="Times New Roman"/>
          <w:sz w:val="24"/>
          <w:szCs w:val="24"/>
        </w:rPr>
        <w:t xml:space="preserve"> may impact the </w:t>
      </w:r>
      <w:r w:rsidR="002E15DD">
        <w:rPr>
          <w:rFonts w:ascii="Times New Roman" w:eastAsia="Times New Roman" w:hAnsi="Times New Roman" w:cs="Times New Roman"/>
          <w:sz w:val="24"/>
          <w:szCs w:val="24"/>
        </w:rPr>
        <w:t>operational aspects</w:t>
      </w:r>
      <w:r w:rsidR="00DA21D3">
        <w:rPr>
          <w:rFonts w:ascii="Times New Roman" w:eastAsia="Times New Roman" w:hAnsi="Times New Roman" w:cs="Times New Roman"/>
          <w:sz w:val="24"/>
          <w:szCs w:val="24"/>
        </w:rPr>
        <w:t xml:space="preserve"> of </w:t>
      </w:r>
      <w:r w:rsidR="004942EB">
        <w:rPr>
          <w:rFonts w:ascii="Times New Roman" w:eastAsia="Times New Roman" w:hAnsi="Times New Roman" w:cs="Times New Roman"/>
          <w:sz w:val="24"/>
          <w:szCs w:val="24"/>
        </w:rPr>
        <w:t>Marketer</w:t>
      </w:r>
      <w:r w:rsidR="00DA21D3">
        <w:rPr>
          <w:rFonts w:ascii="Times New Roman" w:eastAsia="Times New Roman" w:hAnsi="Times New Roman" w:cs="Times New Roman"/>
          <w:sz w:val="24"/>
          <w:szCs w:val="24"/>
        </w:rPr>
        <w:t xml:space="preserve">s, the PUCO found that </w:t>
      </w:r>
      <w:r w:rsidR="0030434C">
        <w:rPr>
          <w:rFonts w:ascii="Times New Roman" w:eastAsia="Times New Roman" w:hAnsi="Times New Roman" w:cs="Times New Roman"/>
          <w:sz w:val="24"/>
          <w:szCs w:val="24"/>
        </w:rPr>
        <w:t>such interests are</w:t>
      </w:r>
      <w:r w:rsidR="00DA21D3">
        <w:rPr>
          <w:rFonts w:ascii="Times New Roman" w:eastAsia="Times New Roman" w:hAnsi="Times New Roman" w:cs="Times New Roman"/>
          <w:sz w:val="24"/>
          <w:szCs w:val="24"/>
        </w:rPr>
        <w:t xml:space="preserve"> insufficient grounds to allow intervention.  Applying this logic, </w:t>
      </w:r>
      <w:r w:rsidR="0030434C">
        <w:rPr>
          <w:rFonts w:ascii="Times New Roman" w:eastAsia="Times New Roman" w:hAnsi="Times New Roman" w:cs="Times New Roman"/>
          <w:sz w:val="24"/>
          <w:szCs w:val="24"/>
        </w:rPr>
        <w:t xml:space="preserve">the Movants are </w:t>
      </w:r>
      <w:r w:rsidR="00B10CE4">
        <w:rPr>
          <w:rFonts w:ascii="Times New Roman" w:eastAsia="Times New Roman" w:hAnsi="Times New Roman" w:cs="Times New Roman"/>
          <w:sz w:val="24"/>
          <w:szCs w:val="24"/>
        </w:rPr>
        <w:t>similarly situated</w:t>
      </w:r>
      <w:r w:rsidR="0030434C">
        <w:rPr>
          <w:rFonts w:ascii="Times New Roman" w:eastAsia="Times New Roman" w:hAnsi="Times New Roman" w:cs="Times New Roman"/>
          <w:sz w:val="24"/>
          <w:szCs w:val="24"/>
        </w:rPr>
        <w:t xml:space="preserve"> to the </w:t>
      </w:r>
      <w:r w:rsidR="004942EB">
        <w:rPr>
          <w:rFonts w:ascii="Times New Roman" w:eastAsia="Times New Roman" w:hAnsi="Times New Roman" w:cs="Times New Roman"/>
          <w:sz w:val="24"/>
          <w:szCs w:val="24"/>
        </w:rPr>
        <w:t>Marketer</w:t>
      </w:r>
      <w:r w:rsidR="0030434C">
        <w:rPr>
          <w:rFonts w:ascii="Times New Roman" w:eastAsia="Times New Roman" w:hAnsi="Times New Roman" w:cs="Times New Roman"/>
          <w:sz w:val="24"/>
          <w:szCs w:val="24"/>
        </w:rPr>
        <w:t xml:space="preserve">s in </w:t>
      </w:r>
      <w:r w:rsidR="007D15B8" w:rsidRPr="007D15B8">
        <w:rPr>
          <w:rFonts w:ascii="Times New Roman" w:eastAsia="Times New Roman" w:hAnsi="Times New Roman" w:cs="Times New Roman"/>
          <w:i/>
          <w:sz w:val="24"/>
          <w:szCs w:val="24"/>
        </w:rPr>
        <w:t>In re Whitt</w:t>
      </w:r>
      <w:r w:rsidR="0030434C">
        <w:rPr>
          <w:rFonts w:ascii="Times New Roman" w:eastAsia="Times New Roman" w:hAnsi="Times New Roman" w:cs="Times New Roman"/>
          <w:sz w:val="24"/>
          <w:szCs w:val="24"/>
        </w:rPr>
        <w:t>.</w:t>
      </w:r>
      <w:r w:rsidR="00DA21D3">
        <w:rPr>
          <w:rFonts w:ascii="Times New Roman" w:eastAsia="Times New Roman" w:hAnsi="Times New Roman" w:cs="Times New Roman"/>
          <w:sz w:val="24"/>
          <w:szCs w:val="24"/>
        </w:rPr>
        <w:t xml:space="preserve"> </w:t>
      </w:r>
      <w:r w:rsidR="008F39A7">
        <w:rPr>
          <w:rFonts w:ascii="Times New Roman" w:eastAsia="Times New Roman" w:hAnsi="Times New Roman" w:cs="Times New Roman"/>
          <w:sz w:val="24"/>
          <w:szCs w:val="24"/>
        </w:rPr>
        <w:t xml:space="preserve"> </w:t>
      </w:r>
      <w:r w:rsidR="0030434C">
        <w:rPr>
          <w:rFonts w:ascii="Times New Roman" w:eastAsia="Times New Roman" w:hAnsi="Times New Roman" w:cs="Times New Roman"/>
          <w:sz w:val="24"/>
          <w:szCs w:val="24"/>
        </w:rPr>
        <w:t xml:space="preserve">Although the Movants’ operational aspects may be affected by the outcome of this case, </w:t>
      </w:r>
      <w:r w:rsidR="00DA21D3">
        <w:rPr>
          <w:rFonts w:ascii="Times New Roman" w:eastAsia="Times New Roman" w:hAnsi="Times New Roman" w:cs="Times New Roman"/>
          <w:sz w:val="24"/>
          <w:szCs w:val="24"/>
        </w:rPr>
        <w:t>more is required in order to be granted intervention.</w:t>
      </w:r>
      <w:r w:rsidR="0030434C">
        <w:rPr>
          <w:rFonts w:ascii="Times New Roman" w:eastAsia="Times New Roman" w:hAnsi="Times New Roman" w:cs="Times New Roman"/>
          <w:sz w:val="24"/>
          <w:szCs w:val="24"/>
        </w:rPr>
        <w:t xml:space="preserve"> </w:t>
      </w:r>
      <w:r w:rsidR="008F7CB1">
        <w:rPr>
          <w:rFonts w:ascii="Times New Roman" w:eastAsia="Times New Roman" w:hAnsi="Times New Roman" w:cs="Times New Roman"/>
          <w:sz w:val="24"/>
          <w:szCs w:val="24"/>
        </w:rPr>
        <w:t xml:space="preserve"> Movants have failed to raise sufficient grounds for intervention, and therefore, </w:t>
      </w:r>
      <w:r w:rsidR="0030434C">
        <w:rPr>
          <w:rFonts w:ascii="Times New Roman" w:eastAsia="Times New Roman" w:hAnsi="Times New Roman" w:cs="Times New Roman"/>
          <w:sz w:val="24"/>
          <w:szCs w:val="24"/>
        </w:rPr>
        <w:t xml:space="preserve">their </w:t>
      </w:r>
      <w:r w:rsidR="008F7CB1">
        <w:rPr>
          <w:rFonts w:ascii="Times New Roman" w:eastAsia="Times New Roman" w:hAnsi="Times New Roman" w:cs="Times New Roman"/>
          <w:sz w:val="24"/>
          <w:szCs w:val="24"/>
        </w:rPr>
        <w:t>intervention</w:t>
      </w:r>
      <w:r w:rsidR="0030434C">
        <w:rPr>
          <w:rFonts w:ascii="Times New Roman" w:eastAsia="Times New Roman" w:hAnsi="Times New Roman" w:cs="Times New Roman"/>
          <w:sz w:val="24"/>
          <w:szCs w:val="24"/>
        </w:rPr>
        <w:t>s</w:t>
      </w:r>
      <w:r w:rsidR="008F7CB1">
        <w:rPr>
          <w:rFonts w:ascii="Times New Roman" w:eastAsia="Times New Roman" w:hAnsi="Times New Roman" w:cs="Times New Roman"/>
          <w:sz w:val="24"/>
          <w:szCs w:val="24"/>
        </w:rPr>
        <w:t xml:space="preserve"> should be denied. </w:t>
      </w:r>
    </w:p>
    <w:p w:rsidR="002E15DD" w:rsidRPr="002E15DD" w:rsidRDefault="00537111" w:rsidP="00537111">
      <w:pPr>
        <w:pStyle w:val="Heading3"/>
        <w:ind w:right="720"/>
        <w:rPr>
          <w:rFonts w:eastAsia="Times New Roman"/>
        </w:rPr>
      </w:pPr>
      <w:r>
        <w:rPr>
          <w:rFonts w:eastAsia="Times New Roman"/>
        </w:rPr>
        <w:t>2.</w:t>
      </w:r>
      <w:r>
        <w:rPr>
          <w:rFonts w:eastAsia="Times New Roman"/>
        </w:rPr>
        <w:tab/>
      </w:r>
      <w:r w:rsidR="002E15DD" w:rsidRPr="002E15DD">
        <w:rPr>
          <w:rFonts w:eastAsia="Times New Roman"/>
        </w:rPr>
        <w:t>The Movants will prolong this case and burden the PUCO with repetitive arguments</w:t>
      </w:r>
      <w:r w:rsidR="00F51E9E">
        <w:rPr>
          <w:rFonts w:eastAsia="Times New Roman"/>
        </w:rPr>
        <w:t xml:space="preserve"> that are not germane to this proceeding</w:t>
      </w:r>
      <w:r w:rsidR="002E15DD" w:rsidRPr="002E15DD">
        <w:rPr>
          <w:rFonts w:eastAsia="Times New Roman"/>
        </w:rPr>
        <w:t>.</w:t>
      </w:r>
    </w:p>
    <w:p w:rsidR="002E15DD" w:rsidRDefault="0033068B" w:rsidP="0033068B">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R.C. 4903.221(B)(3)-(4) direct the PUCO to examine whether the Movants “will unduly prolong or delay the proceeding” and evaluate whether they </w:t>
      </w:r>
      <w:r w:rsidR="00843080">
        <w:rPr>
          <w:rFonts w:ascii="Times New Roman" w:eastAsia="Times New Roman" w:hAnsi="Times New Roman" w:cs="Times New Roman"/>
          <w:sz w:val="24"/>
          <w:szCs w:val="24"/>
        </w:rPr>
        <w:t>“</w:t>
      </w:r>
      <w:r>
        <w:rPr>
          <w:rFonts w:ascii="Times New Roman" w:eastAsia="Times New Roman" w:hAnsi="Times New Roman" w:cs="Times New Roman"/>
          <w:sz w:val="24"/>
          <w:szCs w:val="24"/>
        </w:rPr>
        <w:t>will significantly contribute  to full development and equitable resolution of the factual issues.”</w:t>
      </w:r>
      <w:r w:rsidR="0093708F">
        <w:rPr>
          <w:rStyle w:val="FootnoteReference"/>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 xml:space="preserve">  None of these considerations favor the Movants.</w:t>
      </w:r>
    </w:p>
    <w:p w:rsidR="0033068B" w:rsidRDefault="005869DE" w:rsidP="0033068B">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 virtual certainty that the Movants’ presence will unduly prolong and delay the proceeding.  If </w:t>
      </w:r>
      <w:r w:rsidR="0033068B">
        <w:rPr>
          <w:rFonts w:ascii="Times New Roman" w:eastAsia="Times New Roman" w:hAnsi="Times New Roman" w:cs="Times New Roman"/>
          <w:sz w:val="24"/>
          <w:szCs w:val="24"/>
        </w:rPr>
        <w:t xml:space="preserve">IEU-Ohio </w:t>
      </w:r>
      <w:r w:rsidR="008F7CB1">
        <w:rPr>
          <w:rFonts w:ascii="Times New Roman" w:eastAsia="Times New Roman" w:hAnsi="Times New Roman" w:cs="Times New Roman"/>
          <w:sz w:val="24"/>
          <w:szCs w:val="24"/>
        </w:rPr>
        <w:t>is successful</w:t>
      </w:r>
      <w:r>
        <w:rPr>
          <w:rFonts w:ascii="Times New Roman" w:eastAsia="Times New Roman" w:hAnsi="Times New Roman" w:cs="Times New Roman"/>
          <w:sz w:val="24"/>
          <w:szCs w:val="24"/>
        </w:rPr>
        <w:t xml:space="preserve">, this proceeding will needlessly grow beyond the allegations contained in the </w:t>
      </w:r>
      <w:r w:rsidR="008F7CB1">
        <w:rPr>
          <w:rFonts w:ascii="Times New Roman" w:eastAsia="Times New Roman" w:hAnsi="Times New Roman" w:cs="Times New Roman"/>
          <w:sz w:val="24"/>
          <w:szCs w:val="24"/>
        </w:rPr>
        <w:t xml:space="preserve">residential </w:t>
      </w:r>
      <w:r w:rsidR="008F39A7">
        <w:rPr>
          <w:rFonts w:ascii="Times New Roman" w:eastAsia="Times New Roman" w:hAnsi="Times New Roman" w:cs="Times New Roman"/>
          <w:sz w:val="24"/>
          <w:szCs w:val="24"/>
        </w:rPr>
        <w:t>C</w:t>
      </w:r>
      <w:r>
        <w:rPr>
          <w:rFonts w:ascii="Times New Roman" w:eastAsia="Times New Roman" w:hAnsi="Times New Roman" w:cs="Times New Roman"/>
          <w:sz w:val="24"/>
          <w:szCs w:val="24"/>
        </w:rPr>
        <w:t>omplaint to include the interests of</w:t>
      </w:r>
      <w:r w:rsidR="0033068B">
        <w:rPr>
          <w:rFonts w:ascii="Times New Roman" w:eastAsia="Times New Roman" w:hAnsi="Times New Roman" w:cs="Times New Roman"/>
          <w:sz w:val="24"/>
          <w:szCs w:val="24"/>
        </w:rPr>
        <w:t xml:space="preserve"> commercial and industrial customers.  </w:t>
      </w:r>
      <w:r>
        <w:rPr>
          <w:rFonts w:ascii="Times New Roman" w:eastAsia="Times New Roman" w:hAnsi="Times New Roman" w:cs="Times New Roman"/>
          <w:sz w:val="24"/>
          <w:szCs w:val="24"/>
        </w:rPr>
        <w:t xml:space="preserve">If </w:t>
      </w:r>
      <w:r w:rsidR="0033068B">
        <w:rPr>
          <w:rFonts w:ascii="Times New Roman" w:eastAsia="Times New Roman" w:hAnsi="Times New Roman" w:cs="Times New Roman"/>
          <w:sz w:val="24"/>
          <w:szCs w:val="24"/>
        </w:rPr>
        <w:t xml:space="preserve">OAA/ICSC </w:t>
      </w:r>
      <w:r>
        <w:rPr>
          <w:rFonts w:ascii="Times New Roman" w:eastAsia="Times New Roman" w:hAnsi="Times New Roman" w:cs="Times New Roman"/>
          <w:sz w:val="24"/>
          <w:szCs w:val="24"/>
        </w:rPr>
        <w:t>and NEP prevail, this proceeding will unnecessarily expand to include the interests of landlords and others that benefit from submetering and reselling of utility services.  The volume of written discovery, depositions, pre-filed testimony, hearing testimony, and briefing all could expand markedly if the Movants are granted intervention.</w:t>
      </w:r>
      <w:r w:rsidR="005859D7">
        <w:rPr>
          <w:rFonts w:ascii="Times New Roman" w:eastAsia="Times New Roman" w:hAnsi="Times New Roman" w:cs="Times New Roman"/>
          <w:sz w:val="24"/>
          <w:szCs w:val="24"/>
        </w:rPr>
        <w:t xml:space="preserve">  This scenario will drain both the PUCO’s and the parties’ resources</w:t>
      </w:r>
      <w:r w:rsidR="00C80A22">
        <w:rPr>
          <w:rFonts w:ascii="Times New Roman" w:eastAsia="Times New Roman" w:hAnsi="Times New Roman" w:cs="Times New Roman"/>
          <w:sz w:val="24"/>
          <w:szCs w:val="24"/>
        </w:rPr>
        <w:t>.</w:t>
      </w:r>
      <w:r w:rsidR="0030434C">
        <w:rPr>
          <w:rStyle w:val="FootnoteReference"/>
          <w:rFonts w:ascii="Times New Roman" w:eastAsia="Times New Roman" w:hAnsi="Times New Roman" w:cs="Times New Roman"/>
          <w:sz w:val="24"/>
          <w:szCs w:val="24"/>
        </w:rPr>
        <w:footnoteReference w:id="24"/>
      </w:r>
    </w:p>
    <w:p w:rsidR="005869DE" w:rsidRDefault="00982497" w:rsidP="00C80A22">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Movants’ participation will burden the PUCO with repetitive arguments from other dockets</w:t>
      </w:r>
      <w:r w:rsidR="00EB7A48">
        <w:rPr>
          <w:rFonts w:ascii="Times New Roman" w:eastAsia="Times New Roman" w:hAnsi="Times New Roman" w:cs="Times New Roman"/>
          <w:sz w:val="24"/>
          <w:szCs w:val="24"/>
        </w:rPr>
        <w:t xml:space="preserve"> that are not germane to this proceeding</w:t>
      </w:r>
      <w:r>
        <w:rPr>
          <w:rFonts w:ascii="Times New Roman" w:eastAsia="Times New Roman" w:hAnsi="Times New Roman" w:cs="Times New Roman"/>
          <w:sz w:val="24"/>
          <w:szCs w:val="24"/>
        </w:rPr>
        <w:t xml:space="preserve">.  </w:t>
      </w:r>
      <w:r w:rsidR="008F7CB1">
        <w:rPr>
          <w:rFonts w:ascii="Times New Roman" w:eastAsia="Times New Roman" w:hAnsi="Times New Roman" w:cs="Times New Roman"/>
          <w:sz w:val="24"/>
          <w:szCs w:val="24"/>
        </w:rPr>
        <w:t>As explained previously, e</w:t>
      </w:r>
      <w:r>
        <w:rPr>
          <w:rFonts w:ascii="Times New Roman" w:eastAsia="Times New Roman" w:hAnsi="Times New Roman" w:cs="Times New Roman"/>
          <w:sz w:val="24"/>
          <w:szCs w:val="24"/>
        </w:rPr>
        <w:t xml:space="preserve">ach Movant </w:t>
      </w:r>
      <w:r w:rsidR="008F7CB1">
        <w:rPr>
          <w:rFonts w:ascii="Times New Roman" w:eastAsia="Times New Roman" w:hAnsi="Times New Roman" w:cs="Times New Roman"/>
          <w:sz w:val="24"/>
          <w:szCs w:val="24"/>
        </w:rPr>
        <w:t xml:space="preserve">has already </w:t>
      </w:r>
      <w:r>
        <w:rPr>
          <w:rFonts w:ascii="Times New Roman" w:eastAsia="Times New Roman" w:hAnsi="Times New Roman" w:cs="Times New Roman"/>
          <w:sz w:val="24"/>
          <w:szCs w:val="24"/>
        </w:rPr>
        <w:t xml:space="preserve">filed comments for the </w:t>
      </w:r>
      <w:r w:rsidR="00843080">
        <w:rPr>
          <w:rFonts w:ascii="Times New Roman" w:eastAsia="Times New Roman" w:hAnsi="Times New Roman" w:cs="Times New Roman"/>
          <w:sz w:val="24"/>
          <w:szCs w:val="24"/>
        </w:rPr>
        <w:t>PUCO</w:t>
      </w:r>
      <w:r>
        <w:rPr>
          <w:rFonts w:ascii="Times New Roman" w:eastAsia="Times New Roman" w:hAnsi="Times New Roman" w:cs="Times New Roman"/>
          <w:sz w:val="24"/>
          <w:szCs w:val="24"/>
        </w:rPr>
        <w:t>’s consideration in the Submetering COI.  IEU-Ohio asserted the interests of non-residential consumers</w:t>
      </w:r>
      <w:r w:rsidR="00EB7A48">
        <w:rPr>
          <w:rFonts w:ascii="Times New Roman" w:eastAsia="Times New Roman" w:hAnsi="Times New Roman" w:cs="Times New Roman"/>
          <w:sz w:val="24"/>
          <w:szCs w:val="24"/>
        </w:rPr>
        <w:t xml:space="preserve"> in the Submetering COI and </w:t>
      </w:r>
      <w:r w:rsidR="0030434C">
        <w:rPr>
          <w:rFonts w:ascii="Times New Roman" w:eastAsia="Times New Roman" w:hAnsi="Times New Roman" w:cs="Times New Roman"/>
          <w:sz w:val="24"/>
          <w:szCs w:val="24"/>
        </w:rPr>
        <w:t>seeks to advance</w:t>
      </w:r>
      <w:r w:rsidR="00EB7A48">
        <w:rPr>
          <w:rFonts w:ascii="Times New Roman" w:eastAsia="Times New Roman" w:hAnsi="Times New Roman" w:cs="Times New Roman"/>
          <w:sz w:val="24"/>
          <w:szCs w:val="24"/>
        </w:rPr>
        <w:t xml:space="preserve"> those same interests here.</w:t>
      </w:r>
      <w:r>
        <w:rPr>
          <w:rStyle w:val="FootnoteReference"/>
          <w:rFonts w:ascii="Times New Roman" w:eastAsia="Times New Roman" w:hAnsi="Times New Roman" w:cs="Times New Roman"/>
          <w:sz w:val="24"/>
          <w:szCs w:val="24"/>
        </w:rPr>
        <w:footnoteReference w:id="25"/>
      </w:r>
      <w:r w:rsidR="00EB7A48">
        <w:rPr>
          <w:rFonts w:ascii="Times New Roman" w:eastAsia="Times New Roman" w:hAnsi="Times New Roman" w:cs="Times New Roman"/>
          <w:sz w:val="24"/>
          <w:szCs w:val="24"/>
        </w:rPr>
        <w:t xml:space="preserve">  NEP asserted </w:t>
      </w:r>
      <w:r w:rsidR="00F51E9E">
        <w:rPr>
          <w:rFonts w:ascii="Times New Roman" w:eastAsia="Times New Roman" w:hAnsi="Times New Roman" w:cs="Times New Roman"/>
          <w:sz w:val="24"/>
          <w:szCs w:val="24"/>
        </w:rPr>
        <w:t>its interest as a provider of support services to apartment and condominium properties in the Submetering COI and is seeking to advance that interest here.</w:t>
      </w:r>
      <w:r w:rsidR="00F51E9E">
        <w:rPr>
          <w:rStyle w:val="FootnoteReference"/>
          <w:rFonts w:ascii="Times New Roman" w:eastAsia="Times New Roman" w:hAnsi="Times New Roman" w:cs="Times New Roman"/>
          <w:sz w:val="24"/>
          <w:szCs w:val="24"/>
        </w:rPr>
        <w:footnoteReference w:id="26"/>
      </w:r>
      <w:r w:rsidR="00F51E9E">
        <w:rPr>
          <w:rFonts w:ascii="Times New Roman" w:eastAsia="Times New Roman" w:hAnsi="Times New Roman" w:cs="Times New Roman"/>
          <w:sz w:val="24"/>
          <w:szCs w:val="24"/>
        </w:rPr>
        <w:t xml:space="preserve">  OAA/ICSC sought to protect the interests of residential and commercial landlords in the Submetering COI and </w:t>
      </w:r>
      <w:r w:rsidR="0030434C">
        <w:rPr>
          <w:rFonts w:ascii="Times New Roman" w:eastAsia="Times New Roman" w:hAnsi="Times New Roman" w:cs="Times New Roman"/>
          <w:sz w:val="24"/>
          <w:szCs w:val="24"/>
        </w:rPr>
        <w:t>seeks to advance those same interests here</w:t>
      </w:r>
      <w:r w:rsidR="00F51E9E">
        <w:rPr>
          <w:rFonts w:ascii="Times New Roman" w:eastAsia="Times New Roman" w:hAnsi="Times New Roman" w:cs="Times New Roman"/>
          <w:sz w:val="24"/>
          <w:szCs w:val="24"/>
        </w:rPr>
        <w:t>.</w:t>
      </w:r>
      <w:r w:rsidR="00F51E9E">
        <w:rPr>
          <w:rStyle w:val="FootnoteReference"/>
          <w:rFonts w:ascii="Times New Roman" w:eastAsia="Times New Roman" w:hAnsi="Times New Roman" w:cs="Times New Roman"/>
          <w:sz w:val="24"/>
          <w:szCs w:val="24"/>
        </w:rPr>
        <w:footnoteReference w:id="27"/>
      </w:r>
      <w:r w:rsidR="00C80A22">
        <w:rPr>
          <w:rFonts w:ascii="Times New Roman" w:eastAsia="Times New Roman" w:hAnsi="Times New Roman" w:cs="Times New Roman"/>
          <w:sz w:val="24"/>
          <w:szCs w:val="24"/>
        </w:rPr>
        <w:t xml:space="preserve">  Simply put, t</w:t>
      </w:r>
      <w:r w:rsidR="00F51E9E">
        <w:rPr>
          <w:rFonts w:ascii="Times New Roman" w:eastAsia="Times New Roman" w:hAnsi="Times New Roman" w:cs="Times New Roman"/>
          <w:sz w:val="24"/>
          <w:szCs w:val="24"/>
        </w:rPr>
        <w:t>he PUCO is well aware of the Movants’ positions</w:t>
      </w:r>
      <w:r w:rsidR="00C80A22">
        <w:rPr>
          <w:rFonts w:ascii="Times New Roman" w:eastAsia="Times New Roman" w:hAnsi="Times New Roman" w:cs="Times New Roman"/>
          <w:sz w:val="24"/>
          <w:szCs w:val="24"/>
        </w:rPr>
        <w:t xml:space="preserve"> and interests.  Allowing the Movants to </w:t>
      </w:r>
      <w:r w:rsidR="00B10CE4">
        <w:rPr>
          <w:rFonts w:ascii="Times New Roman" w:eastAsia="Times New Roman" w:hAnsi="Times New Roman" w:cs="Times New Roman"/>
          <w:sz w:val="24"/>
          <w:szCs w:val="24"/>
        </w:rPr>
        <w:t xml:space="preserve">broaden the issues in this case and </w:t>
      </w:r>
      <w:r w:rsidR="00C80A22">
        <w:rPr>
          <w:rFonts w:ascii="Times New Roman" w:eastAsia="Times New Roman" w:hAnsi="Times New Roman" w:cs="Times New Roman"/>
          <w:sz w:val="24"/>
          <w:szCs w:val="24"/>
        </w:rPr>
        <w:t xml:space="preserve">repeat </w:t>
      </w:r>
      <w:r w:rsidR="00B10CE4">
        <w:rPr>
          <w:rFonts w:ascii="Times New Roman" w:eastAsia="Times New Roman" w:hAnsi="Times New Roman" w:cs="Times New Roman"/>
          <w:sz w:val="24"/>
          <w:szCs w:val="24"/>
        </w:rPr>
        <w:t xml:space="preserve">arguments in this case already made in the Submetering </w:t>
      </w:r>
      <w:r w:rsidR="007D15B8" w:rsidRPr="007D15B8">
        <w:rPr>
          <w:rFonts w:ascii="Times New Roman" w:eastAsia="Times New Roman" w:hAnsi="Times New Roman" w:cs="Times New Roman"/>
          <w:sz w:val="24"/>
          <w:szCs w:val="24"/>
        </w:rPr>
        <w:t>COI</w:t>
      </w:r>
      <w:r w:rsidR="00C80A22">
        <w:rPr>
          <w:rFonts w:ascii="Times New Roman" w:eastAsia="Times New Roman" w:hAnsi="Times New Roman" w:cs="Times New Roman"/>
          <w:sz w:val="24"/>
          <w:szCs w:val="24"/>
        </w:rPr>
        <w:t xml:space="preserve"> would not materially contribute to the resolution of this </w:t>
      </w:r>
      <w:r w:rsidR="0030434C">
        <w:rPr>
          <w:rFonts w:ascii="Times New Roman" w:eastAsia="Times New Roman" w:hAnsi="Times New Roman" w:cs="Times New Roman"/>
          <w:sz w:val="24"/>
          <w:szCs w:val="24"/>
        </w:rPr>
        <w:t xml:space="preserve">narrower </w:t>
      </w:r>
      <w:r w:rsidR="00C80A22">
        <w:rPr>
          <w:rFonts w:ascii="Times New Roman" w:eastAsia="Times New Roman" w:hAnsi="Times New Roman" w:cs="Times New Roman"/>
          <w:sz w:val="24"/>
          <w:szCs w:val="24"/>
        </w:rPr>
        <w:t>controversy</w:t>
      </w:r>
      <w:r w:rsidR="00B10CE4">
        <w:rPr>
          <w:rFonts w:ascii="Times New Roman" w:eastAsia="Times New Roman" w:hAnsi="Times New Roman" w:cs="Times New Roman"/>
          <w:sz w:val="24"/>
          <w:szCs w:val="24"/>
        </w:rPr>
        <w:t>.  To do so,</w:t>
      </w:r>
      <w:r w:rsidR="00C80A22">
        <w:rPr>
          <w:rFonts w:ascii="Times New Roman" w:eastAsia="Times New Roman" w:hAnsi="Times New Roman" w:cs="Times New Roman"/>
          <w:sz w:val="24"/>
          <w:szCs w:val="24"/>
        </w:rPr>
        <w:t xml:space="preserve"> would </w:t>
      </w:r>
      <w:r w:rsidR="00B10CE4">
        <w:rPr>
          <w:rFonts w:ascii="Times New Roman" w:eastAsia="Times New Roman" w:hAnsi="Times New Roman" w:cs="Times New Roman"/>
          <w:sz w:val="24"/>
          <w:szCs w:val="24"/>
        </w:rPr>
        <w:t xml:space="preserve">also </w:t>
      </w:r>
      <w:r w:rsidR="00C80A22">
        <w:rPr>
          <w:rFonts w:ascii="Times New Roman" w:eastAsia="Times New Roman" w:hAnsi="Times New Roman" w:cs="Times New Roman"/>
          <w:sz w:val="24"/>
          <w:szCs w:val="24"/>
        </w:rPr>
        <w:t xml:space="preserve">not generate any new </w:t>
      </w:r>
      <w:r w:rsidR="0030434C">
        <w:rPr>
          <w:rFonts w:ascii="Times New Roman" w:eastAsia="Times New Roman" w:hAnsi="Times New Roman" w:cs="Times New Roman"/>
          <w:sz w:val="24"/>
          <w:szCs w:val="24"/>
        </w:rPr>
        <w:t xml:space="preserve">or relevant </w:t>
      </w:r>
      <w:r w:rsidR="00C80A22">
        <w:rPr>
          <w:rFonts w:ascii="Times New Roman" w:eastAsia="Times New Roman" w:hAnsi="Times New Roman" w:cs="Times New Roman"/>
          <w:sz w:val="24"/>
          <w:szCs w:val="24"/>
        </w:rPr>
        <w:t>insights or perspectives</w:t>
      </w:r>
      <w:r w:rsidR="008F7CB1">
        <w:rPr>
          <w:rFonts w:ascii="Times New Roman" w:eastAsia="Times New Roman" w:hAnsi="Times New Roman" w:cs="Times New Roman"/>
          <w:sz w:val="24"/>
          <w:szCs w:val="24"/>
        </w:rPr>
        <w:t>, but “will unduly prolong or delay the proceeding.”</w:t>
      </w:r>
      <w:r w:rsidR="008F7CB1">
        <w:rPr>
          <w:rStyle w:val="FootnoteReference"/>
          <w:rFonts w:ascii="Times New Roman" w:eastAsia="Times New Roman" w:hAnsi="Times New Roman" w:cs="Times New Roman"/>
          <w:sz w:val="24"/>
          <w:szCs w:val="24"/>
        </w:rPr>
        <w:footnoteReference w:id="28"/>
      </w:r>
    </w:p>
    <w:p w:rsidR="00D33801" w:rsidRPr="0093708F" w:rsidRDefault="00537111" w:rsidP="00537111">
      <w:pPr>
        <w:pStyle w:val="Heading3"/>
        <w:ind w:right="720"/>
        <w:rPr>
          <w:rFonts w:eastAsia="Times New Roman"/>
        </w:rPr>
      </w:pPr>
      <w:r>
        <w:rPr>
          <w:rFonts w:eastAsia="Times New Roman"/>
        </w:rPr>
        <w:t>3.</w:t>
      </w:r>
      <w:r>
        <w:rPr>
          <w:rFonts w:eastAsia="Times New Roman"/>
        </w:rPr>
        <w:tab/>
      </w:r>
      <w:r w:rsidR="007673A1">
        <w:rPr>
          <w:rFonts w:eastAsia="Times New Roman"/>
        </w:rPr>
        <w:t>OCC and AEP Ohio</w:t>
      </w:r>
      <w:r w:rsidR="0093708F" w:rsidRPr="0093708F">
        <w:rPr>
          <w:rFonts w:eastAsia="Times New Roman"/>
        </w:rPr>
        <w:t xml:space="preserve"> will adequately address the issues set forth in the </w:t>
      </w:r>
      <w:r w:rsidR="008F7CB1">
        <w:rPr>
          <w:rFonts w:eastAsia="Times New Roman"/>
        </w:rPr>
        <w:t>OCC C</w:t>
      </w:r>
      <w:r w:rsidR="0093708F" w:rsidRPr="0093708F">
        <w:rPr>
          <w:rFonts w:eastAsia="Times New Roman"/>
        </w:rPr>
        <w:t>omplaint.</w:t>
      </w:r>
    </w:p>
    <w:p w:rsidR="0093708F" w:rsidRDefault="0093708F" w:rsidP="00D37BD5">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Ohio </w:t>
      </w:r>
      <w:r w:rsidR="00D37BD5">
        <w:rPr>
          <w:rFonts w:ascii="Times New Roman" w:eastAsia="Times New Roman" w:hAnsi="Times New Roman" w:cs="Times New Roman"/>
          <w:sz w:val="24"/>
          <w:szCs w:val="24"/>
        </w:rPr>
        <w:t xml:space="preserve">Adm. Code 4901-1-11(B)(5) directs the PUCO to examine “the extent to which the person’s interest is represented by existing parties.”  This consideration </w:t>
      </w:r>
      <w:r w:rsidR="008F7CB1">
        <w:rPr>
          <w:rFonts w:ascii="Times New Roman" w:eastAsia="Times New Roman" w:hAnsi="Times New Roman" w:cs="Times New Roman"/>
          <w:sz w:val="24"/>
          <w:szCs w:val="24"/>
        </w:rPr>
        <w:t xml:space="preserve">also </w:t>
      </w:r>
      <w:r w:rsidR="00D37BD5">
        <w:rPr>
          <w:rFonts w:ascii="Times New Roman" w:eastAsia="Times New Roman" w:hAnsi="Times New Roman" w:cs="Times New Roman"/>
          <w:sz w:val="24"/>
          <w:szCs w:val="24"/>
        </w:rPr>
        <w:t xml:space="preserve">does not favor the Movants.  OCC is statutorily empowered to represent the interests of residential customers and AEP Ohio is the only entity responsible for administering a tariff that could impact residential customers that receive electric utility services through a submeterer or a reseller.  Because </w:t>
      </w:r>
      <w:r w:rsidR="00DD461F">
        <w:rPr>
          <w:rFonts w:ascii="Times New Roman" w:eastAsia="Times New Roman" w:hAnsi="Times New Roman" w:cs="Times New Roman"/>
          <w:sz w:val="24"/>
          <w:szCs w:val="24"/>
        </w:rPr>
        <w:t xml:space="preserve">the issue in this case will be adequately addressed by </w:t>
      </w:r>
      <w:r w:rsidR="00D37BD5">
        <w:rPr>
          <w:rFonts w:ascii="Times New Roman" w:eastAsia="Times New Roman" w:hAnsi="Times New Roman" w:cs="Times New Roman"/>
          <w:sz w:val="24"/>
          <w:szCs w:val="24"/>
        </w:rPr>
        <w:t>OCC and AEP Ohio</w:t>
      </w:r>
      <w:r w:rsidR="00DD461F">
        <w:rPr>
          <w:rFonts w:ascii="Times New Roman" w:eastAsia="Times New Roman" w:hAnsi="Times New Roman" w:cs="Times New Roman"/>
          <w:sz w:val="24"/>
          <w:szCs w:val="24"/>
        </w:rPr>
        <w:t>, the Movants’ participation is unnecessary.</w:t>
      </w:r>
    </w:p>
    <w:p w:rsidR="00537111" w:rsidRDefault="005371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70629" w:rsidRPr="00264FA3" w:rsidRDefault="00537111" w:rsidP="00537111">
      <w:pPr>
        <w:pStyle w:val="Heading1"/>
        <w:rPr>
          <w:rFonts w:eastAsia="Times New Roman"/>
        </w:rPr>
      </w:pPr>
      <w:r>
        <w:rPr>
          <w:rFonts w:eastAsia="Times New Roman"/>
        </w:rPr>
        <w:t>III.</w:t>
      </w:r>
      <w:r>
        <w:rPr>
          <w:rFonts w:eastAsia="Times New Roman"/>
        </w:rPr>
        <w:tab/>
      </w:r>
      <w:r w:rsidR="00A70629" w:rsidRPr="00264FA3">
        <w:rPr>
          <w:rFonts w:eastAsia="Times New Roman"/>
        </w:rPr>
        <w:t>CONCLUSION</w:t>
      </w:r>
    </w:p>
    <w:p w:rsidR="00A70629" w:rsidRPr="00A70629" w:rsidRDefault="00AC59C5" w:rsidP="00A70629">
      <w:pPr>
        <w:autoSpaceDE w:val="0"/>
        <w:autoSpaceDN w:val="0"/>
        <w:adjustRightInd w:val="0"/>
        <w:spacing w:after="0" w:line="480" w:lineRule="auto"/>
        <w:ind w:firstLine="720"/>
        <w:rPr>
          <w:rFonts w:ascii="Times New Roman" w:hAnsi="Times New Roman"/>
          <w:bCs/>
          <w:color w:val="000000"/>
          <w:sz w:val="24"/>
          <w:szCs w:val="24"/>
        </w:rPr>
      </w:pPr>
      <w:r>
        <w:rPr>
          <w:rFonts w:ascii="Times New Roman" w:hAnsi="Times New Roman"/>
          <w:bCs/>
          <w:sz w:val="24"/>
          <w:szCs w:val="24"/>
        </w:rPr>
        <w:t>The grounds asserted in the Movants</w:t>
      </w:r>
      <w:r w:rsidR="00E36A22">
        <w:rPr>
          <w:rFonts w:ascii="Times New Roman" w:hAnsi="Times New Roman"/>
          <w:bCs/>
          <w:sz w:val="24"/>
          <w:szCs w:val="24"/>
        </w:rPr>
        <w:t>’</w:t>
      </w:r>
      <w:r>
        <w:rPr>
          <w:rFonts w:ascii="Times New Roman" w:hAnsi="Times New Roman"/>
          <w:bCs/>
          <w:sz w:val="24"/>
          <w:szCs w:val="24"/>
        </w:rPr>
        <w:t xml:space="preserve"> collective motions to intervene do not meet the controlling statutory and regulatory standards and are inconsistent with prevailing PUCO precedent.  </w:t>
      </w:r>
      <w:r w:rsidR="00C80A22">
        <w:rPr>
          <w:rFonts w:ascii="Times New Roman" w:hAnsi="Times New Roman"/>
          <w:bCs/>
          <w:sz w:val="24"/>
          <w:szCs w:val="24"/>
        </w:rPr>
        <w:t>The</w:t>
      </w:r>
      <w:r>
        <w:rPr>
          <w:rFonts w:ascii="Times New Roman" w:hAnsi="Times New Roman"/>
          <w:bCs/>
          <w:sz w:val="24"/>
          <w:szCs w:val="24"/>
        </w:rPr>
        <w:t xml:space="preserve"> Movants’ participation</w:t>
      </w:r>
      <w:r w:rsidR="00C80A22">
        <w:rPr>
          <w:rFonts w:ascii="Times New Roman" w:hAnsi="Times New Roman"/>
          <w:bCs/>
          <w:sz w:val="24"/>
          <w:szCs w:val="24"/>
        </w:rPr>
        <w:t xml:space="preserve"> will not only burden the PUCO with repetitive arguments but expand this </w:t>
      </w:r>
      <w:r>
        <w:rPr>
          <w:rFonts w:ascii="Times New Roman" w:hAnsi="Times New Roman"/>
          <w:bCs/>
          <w:sz w:val="24"/>
          <w:szCs w:val="24"/>
        </w:rPr>
        <w:t>proceeding</w:t>
      </w:r>
      <w:r w:rsidR="00C80A22">
        <w:rPr>
          <w:rFonts w:ascii="Times New Roman" w:hAnsi="Times New Roman"/>
          <w:bCs/>
          <w:sz w:val="24"/>
          <w:szCs w:val="24"/>
        </w:rPr>
        <w:t xml:space="preserve"> beyond the scope of </w:t>
      </w:r>
      <w:r w:rsidR="008F7CB1">
        <w:rPr>
          <w:rFonts w:ascii="Times New Roman" w:hAnsi="Times New Roman"/>
          <w:bCs/>
          <w:sz w:val="24"/>
          <w:szCs w:val="24"/>
        </w:rPr>
        <w:t>OCC’s C</w:t>
      </w:r>
      <w:r w:rsidR="00C80A22">
        <w:rPr>
          <w:rFonts w:ascii="Times New Roman" w:hAnsi="Times New Roman"/>
          <w:bCs/>
          <w:sz w:val="24"/>
          <w:szCs w:val="24"/>
        </w:rPr>
        <w:t xml:space="preserve">omplaint.  This will prolong the proceedings and interfere with an orderly resolution of </w:t>
      </w:r>
      <w:r>
        <w:rPr>
          <w:rFonts w:ascii="Times New Roman" w:hAnsi="Times New Roman"/>
          <w:bCs/>
          <w:sz w:val="24"/>
          <w:szCs w:val="24"/>
        </w:rPr>
        <w:t>this</w:t>
      </w:r>
      <w:r w:rsidR="00C80A22">
        <w:rPr>
          <w:rFonts w:ascii="Times New Roman" w:hAnsi="Times New Roman"/>
          <w:bCs/>
          <w:sz w:val="24"/>
          <w:szCs w:val="24"/>
        </w:rPr>
        <w:t xml:space="preserve"> controversy.</w:t>
      </w:r>
      <w:r>
        <w:rPr>
          <w:rFonts w:ascii="Times New Roman" w:hAnsi="Times New Roman"/>
          <w:bCs/>
          <w:sz w:val="24"/>
          <w:szCs w:val="24"/>
        </w:rPr>
        <w:t xml:space="preserve">  Much like the interested stakeholders that were denied intervention in </w:t>
      </w:r>
      <w:r w:rsidRPr="00AC59C5">
        <w:rPr>
          <w:rFonts w:ascii="Times New Roman" w:hAnsi="Times New Roman"/>
          <w:bCs/>
          <w:i/>
          <w:sz w:val="24"/>
          <w:szCs w:val="24"/>
        </w:rPr>
        <w:t>In re Whitt</w:t>
      </w:r>
      <w:r>
        <w:rPr>
          <w:rFonts w:ascii="Times New Roman" w:hAnsi="Times New Roman"/>
          <w:bCs/>
          <w:sz w:val="24"/>
          <w:szCs w:val="24"/>
        </w:rPr>
        <w:t>, the Movants have at most a</w:t>
      </w:r>
      <w:r w:rsidR="0030434C">
        <w:rPr>
          <w:rFonts w:ascii="Times New Roman" w:hAnsi="Times New Roman"/>
          <w:bCs/>
          <w:sz w:val="24"/>
          <w:szCs w:val="24"/>
        </w:rPr>
        <w:t>n</w:t>
      </w:r>
      <w:r>
        <w:rPr>
          <w:rFonts w:ascii="Times New Roman" w:hAnsi="Times New Roman"/>
          <w:bCs/>
          <w:sz w:val="24"/>
          <w:szCs w:val="24"/>
        </w:rPr>
        <w:t xml:space="preserve"> interest in the precedential value of this proceeding, which is insufficient to meet the requirements for intervention.  </w:t>
      </w:r>
      <w:r>
        <w:rPr>
          <w:rFonts w:ascii="Times New Roman" w:hAnsi="Times New Roman" w:cs="Times New Roman"/>
          <w:bCs/>
          <w:sz w:val="24"/>
          <w:szCs w:val="24"/>
        </w:rPr>
        <w:t>The Movants should be denied intervention</w:t>
      </w:r>
      <w:r w:rsidRPr="00A70629">
        <w:rPr>
          <w:rFonts w:ascii="Times New Roman" w:hAnsi="Times New Roman"/>
          <w:bCs/>
          <w:sz w:val="24"/>
          <w:szCs w:val="24"/>
        </w:rPr>
        <w:t xml:space="preserve">.  </w:t>
      </w:r>
    </w:p>
    <w:p w:rsidR="008F7CB1" w:rsidRPr="005A799D" w:rsidRDefault="00620152" w:rsidP="00537111">
      <w:pPr>
        <w:autoSpaceDE w:val="0"/>
        <w:autoSpaceDN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37111">
        <w:rPr>
          <w:rFonts w:ascii="Times New Roman" w:eastAsia="Times New Roman" w:hAnsi="Times New Roman" w:cs="Times New Roman"/>
          <w:sz w:val="24"/>
          <w:szCs w:val="24"/>
        </w:rPr>
        <w:tab/>
      </w:r>
      <w:r w:rsidR="00537111">
        <w:rPr>
          <w:rFonts w:ascii="Times New Roman" w:eastAsia="Times New Roman" w:hAnsi="Times New Roman" w:cs="Times New Roman"/>
          <w:sz w:val="24"/>
          <w:szCs w:val="24"/>
        </w:rPr>
        <w:tab/>
      </w:r>
      <w:r w:rsidR="008F7CB1" w:rsidRPr="005A799D">
        <w:rPr>
          <w:rFonts w:ascii="Times New Roman" w:eastAsia="Times New Roman" w:hAnsi="Times New Roman" w:cs="Times New Roman"/>
          <w:sz w:val="24"/>
          <w:szCs w:val="24"/>
        </w:rPr>
        <w:t>Respectfully submitted,</w:t>
      </w:r>
    </w:p>
    <w:p w:rsidR="008F7CB1" w:rsidRPr="005A799D" w:rsidRDefault="008F7CB1" w:rsidP="008F7CB1">
      <w:pPr>
        <w:tabs>
          <w:tab w:val="left" w:pos="0"/>
          <w:tab w:val="left" w:pos="720"/>
          <w:tab w:val="left" w:pos="4320"/>
          <w:tab w:val="right" w:pos="864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BRUCE J. WESTON (0016973)</w:t>
      </w:r>
    </w:p>
    <w:p w:rsidR="008F7CB1" w:rsidRPr="005A799D" w:rsidRDefault="008F7CB1" w:rsidP="008F7CB1">
      <w:pPr>
        <w:tabs>
          <w:tab w:val="left" w:pos="0"/>
          <w:tab w:val="left" w:pos="720"/>
          <w:tab w:val="left" w:pos="4320"/>
          <w:tab w:val="right" w:pos="8640"/>
        </w:tabs>
        <w:spacing w:after="12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OHIO CONSUMERS’ COUNSEL</w:t>
      </w:r>
    </w:p>
    <w:p w:rsidR="008F7CB1" w:rsidRPr="005A799D" w:rsidRDefault="008F7CB1" w:rsidP="008F7CB1">
      <w:pPr>
        <w:autoSpaceDE w:val="0"/>
        <w:autoSpaceDN w:val="0"/>
        <w:adjustRightInd w:val="0"/>
        <w:spacing w:after="0" w:line="240" w:lineRule="auto"/>
        <w:ind w:firstLine="720"/>
        <w:contextualSpacing/>
        <w:rPr>
          <w:rFonts w:ascii="Times New Roman" w:eastAsia="Times New Roman" w:hAnsi="Times New Roman" w:cs="Times New Roman"/>
          <w:sz w:val="24"/>
          <w:szCs w:val="24"/>
          <w:u w:val="single"/>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p>
    <w:p w:rsidR="008F7CB1" w:rsidRPr="005A799D" w:rsidRDefault="008F7CB1" w:rsidP="008F7CB1">
      <w:pPr>
        <w:spacing w:after="0" w:line="240" w:lineRule="auto"/>
        <w:ind w:left="3600" w:firstLine="720"/>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Kyle L. Kern, Counsel of Record (0084199)</w:t>
      </w:r>
    </w:p>
    <w:p w:rsidR="008F7CB1" w:rsidRPr="005A799D" w:rsidRDefault="008F7CB1" w:rsidP="008F7CB1">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t>Assistant Consumers’ Counsel</w:t>
      </w:r>
    </w:p>
    <w:p w:rsidR="008F7CB1" w:rsidRPr="005A799D" w:rsidRDefault="008F7CB1" w:rsidP="008F7CB1">
      <w:pPr>
        <w:spacing w:after="0" w:line="240" w:lineRule="auto"/>
        <w:contextualSpacing/>
        <w:rPr>
          <w:rFonts w:ascii="Times New Roman" w:eastAsia="Times New Roman" w:hAnsi="Times New Roman" w:cs="Times New Roman"/>
          <w:b/>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b/>
          <w:sz w:val="24"/>
          <w:szCs w:val="24"/>
        </w:rPr>
        <w:t>Office of the Ohio Consumers’ Counsel</w:t>
      </w:r>
    </w:p>
    <w:p w:rsidR="008F7CB1" w:rsidRPr="005A799D" w:rsidRDefault="008F7CB1" w:rsidP="008F7CB1">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t>10 West Broad Street, Suite 1800</w:t>
      </w:r>
    </w:p>
    <w:p w:rsidR="008F7CB1" w:rsidRPr="005A799D" w:rsidRDefault="008F7CB1" w:rsidP="008F7CB1">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t>Columbus, Ohio 43215</w:t>
      </w:r>
    </w:p>
    <w:p w:rsidR="008F7CB1" w:rsidRPr="005A799D" w:rsidRDefault="008F7CB1" w:rsidP="008F7CB1">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t>Telephone (Kern Direct): 614-466-9585</w:t>
      </w:r>
    </w:p>
    <w:p w:rsidR="008F7CB1" w:rsidRPr="005A799D" w:rsidRDefault="008F7CB1" w:rsidP="008F7CB1">
      <w:pPr>
        <w:spacing w:after="0" w:line="240" w:lineRule="auto"/>
        <w:contextualSpacing/>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hyperlink r:id="rId14" w:history="1">
        <w:r w:rsidRPr="002C1E7F">
          <w:rPr>
            <w:rFonts w:ascii="Times New Roman" w:eastAsia="Times New Roman" w:hAnsi="Times New Roman" w:cs="Times New Roman"/>
            <w:color w:val="0000FF"/>
            <w:sz w:val="24"/>
            <w:szCs w:val="24"/>
            <w:u w:val="single"/>
          </w:rPr>
          <w:t>kyle.kern@occ.ohio.gov</w:t>
        </w:r>
      </w:hyperlink>
    </w:p>
    <w:p w:rsidR="008F7CB1" w:rsidRPr="005A799D" w:rsidRDefault="008F7CB1" w:rsidP="008F7CB1">
      <w:pPr>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(Will accept service via email)</w:t>
      </w:r>
    </w:p>
    <w:p w:rsidR="008F7CB1" w:rsidRPr="005A799D" w:rsidRDefault="008F7CB1" w:rsidP="008F7CB1">
      <w:pPr>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ab/>
      </w:r>
    </w:p>
    <w:p w:rsidR="008F7CB1" w:rsidRPr="005A799D" w:rsidRDefault="008F7CB1" w:rsidP="008F7CB1">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p>
    <w:p w:rsidR="008F7CB1" w:rsidRPr="005A799D" w:rsidRDefault="008F7CB1" w:rsidP="008F7CB1">
      <w:pPr>
        <w:autoSpaceDE w:val="0"/>
        <w:autoSpaceDN w:val="0"/>
        <w:adjustRightInd w:val="0"/>
        <w:spacing w:after="0" w:line="240" w:lineRule="auto"/>
        <w:ind w:firstLine="720"/>
        <w:contextualSpacing/>
        <w:rPr>
          <w:rFonts w:ascii="Times New Roman" w:eastAsia="Times New Roman" w:hAnsi="Times New Roman" w:cs="Times New Roman"/>
          <w:sz w:val="24"/>
          <w:szCs w:val="24"/>
          <w:u w:val="single"/>
        </w:rPr>
      </w:pP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sz w:val="24"/>
          <w:szCs w:val="24"/>
        </w:rPr>
        <w:tab/>
      </w:r>
      <w:r w:rsidRPr="005A799D">
        <w:rPr>
          <w:rFonts w:ascii="Times New Roman" w:eastAsia="Times New Roman" w:hAnsi="Times New Roman" w:cs="Times New Roman"/>
          <w:i/>
          <w:sz w:val="24"/>
          <w:szCs w:val="24"/>
          <w:u w:val="single"/>
        </w:rPr>
        <w:t>/s/ Kimberly W. Bojko</w:t>
      </w:r>
      <w:r w:rsidRPr="005A799D">
        <w:rPr>
          <w:rFonts w:ascii="Times New Roman" w:eastAsia="Times New Roman" w:hAnsi="Times New Roman" w:cs="Times New Roman"/>
          <w:sz w:val="24"/>
          <w:szCs w:val="24"/>
          <w:u w:val="single"/>
        </w:rPr>
        <w:tab/>
      </w:r>
      <w:r w:rsidRPr="005A799D">
        <w:rPr>
          <w:rFonts w:ascii="Times New Roman" w:eastAsia="Times New Roman" w:hAnsi="Times New Roman" w:cs="Times New Roman"/>
          <w:sz w:val="24"/>
          <w:szCs w:val="24"/>
          <w:u w:val="single"/>
        </w:rPr>
        <w:tab/>
      </w:r>
      <w:r w:rsidRPr="005A799D">
        <w:rPr>
          <w:rFonts w:ascii="Times New Roman" w:eastAsia="Times New Roman" w:hAnsi="Times New Roman" w:cs="Times New Roman"/>
          <w:sz w:val="24"/>
          <w:szCs w:val="24"/>
          <w:u w:val="single"/>
        </w:rPr>
        <w:tab/>
      </w:r>
    </w:p>
    <w:p w:rsidR="008F7CB1" w:rsidRPr="005A799D" w:rsidRDefault="008F7CB1" w:rsidP="008F7CB1">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Kimberly W. Bojko (0069402)</w:t>
      </w:r>
    </w:p>
    <w:p w:rsidR="008F7CB1" w:rsidRPr="005A799D" w:rsidRDefault="008F7CB1" w:rsidP="008F7CB1">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Carpenter Lipps&amp; Leland LLP</w:t>
      </w:r>
    </w:p>
    <w:p w:rsidR="008F7CB1" w:rsidRPr="005A799D" w:rsidRDefault="008F7CB1" w:rsidP="008F7CB1">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280 North High Street, Suite 1300</w:t>
      </w:r>
    </w:p>
    <w:p w:rsidR="008F7CB1" w:rsidRPr="005A799D" w:rsidRDefault="008F7CB1" w:rsidP="008F7CB1">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Columbus, Ohio 43215</w:t>
      </w:r>
    </w:p>
    <w:p w:rsidR="008F7CB1" w:rsidRPr="005A799D" w:rsidRDefault="008F7CB1" w:rsidP="008F7CB1">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Telephone: (614) 365-4100</w:t>
      </w:r>
    </w:p>
    <w:p w:rsidR="008F7CB1" w:rsidRPr="005A799D" w:rsidRDefault="00E5475E" w:rsidP="008F7CB1">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hyperlink r:id="rId15" w:history="1">
        <w:r w:rsidR="008F7CB1" w:rsidRPr="002C1E7F">
          <w:rPr>
            <w:rFonts w:ascii="Times New Roman" w:eastAsia="Times New Roman" w:hAnsi="Times New Roman" w:cs="Times New Roman"/>
            <w:color w:val="0000FF"/>
            <w:sz w:val="24"/>
            <w:szCs w:val="24"/>
            <w:u w:val="single"/>
          </w:rPr>
          <w:t>bojko@carpenterlipps.com</w:t>
        </w:r>
      </w:hyperlink>
    </w:p>
    <w:p w:rsidR="008F7CB1" w:rsidRPr="005A799D" w:rsidRDefault="008F7CB1" w:rsidP="008F7CB1">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r w:rsidRPr="005A799D">
        <w:rPr>
          <w:rFonts w:ascii="Times New Roman" w:eastAsia="Times New Roman" w:hAnsi="Times New Roman" w:cs="Times New Roman"/>
          <w:sz w:val="24"/>
          <w:szCs w:val="24"/>
        </w:rPr>
        <w:t>(Will accept service via email)</w:t>
      </w:r>
    </w:p>
    <w:p w:rsidR="008F7CB1" w:rsidRPr="005A799D" w:rsidRDefault="008F7CB1" w:rsidP="008F7CB1">
      <w:pPr>
        <w:widowControl w:val="0"/>
        <w:tabs>
          <w:tab w:val="left" w:pos="4320"/>
          <w:tab w:val="center" w:pos="4680"/>
          <w:tab w:val="right" w:pos="9360"/>
        </w:tabs>
        <w:spacing w:after="0" w:line="240" w:lineRule="auto"/>
        <w:ind w:left="4320"/>
        <w:rPr>
          <w:rFonts w:ascii="Times New Roman" w:eastAsia="Times New Roman" w:hAnsi="Times New Roman" w:cs="Times New Roman"/>
          <w:sz w:val="24"/>
          <w:szCs w:val="24"/>
        </w:rPr>
      </w:pPr>
    </w:p>
    <w:p w:rsidR="008F7CB1" w:rsidRPr="005A799D" w:rsidRDefault="008F7CB1" w:rsidP="008F7CB1">
      <w:pPr>
        <w:widowControl w:val="0"/>
        <w:tabs>
          <w:tab w:val="center" w:pos="4680"/>
          <w:tab w:val="right" w:pos="9360"/>
        </w:tabs>
        <w:spacing w:after="0" w:line="240" w:lineRule="auto"/>
        <w:ind w:firstLine="4320"/>
        <w:rPr>
          <w:rFonts w:ascii="Times New Roman" w:eastAsia="Times New Roman" w:hAnsi="Times New Roman" w:cs="Times New Roman"/>
          <w:i/>
          <w:sz w:val="24"/>
          <w:szCs w:val="24"/>
        </w:rPr>
      </w:pPr>
      <w:r w:rsidRPr="005A799D">
        <w:rPr>
          <w:rFonts w:ascii="Times New Roman" w:eastAsia="Times New Roman" w:hAnsi="Times New Roman" w:cs="Times New Roman"/>
          <w:i/>
          <w:sz w:val="24"/>
          <w:szCs w:val="24"/>
        </w:rPr>
        <w:t>Outside Counsel for the</w:t>
      </w:r>
    </w:p>
    <w:p w:rsidR="008F7CB1" w:rsidRDefault="008F7CB1" w:rsidP="008F7CB1">
      <w:pPr>
        <w:widowControl w:val="0"/>
        <w:tabs>
          <w:tab w:val="center" w:pos="4680"/>
          <w:tab w:val="right" w:pos="9360"/>
        </w:tabs>
        <w:spacing w:after="0" w:line="240" w:lineRule="auto"/>
        <w:ind w:firstLine="4320"/>
        <w:rPr>
          <w:rFonts w:ascii="Times New Roman" w:eastAsia="Times New Roman" w:hAnsi="Times New Roman" w:cs="Times New Roman"/>
          <w:i/>
          <w:sz w:val="24"/>
          <w:szCs w:val="24"/>
        </w:rPr>
      </w:pPr>
      <w:r w:rsidRPr="005A799D">
        <w:rPr>
          <w:rFonts w:ascii="Times New Roman" w:eastAsia="Times New Roman" w:hAnsi="Times New Roman" w:cs="Times New Roman"/>
          <w:i/>
          <w:sz w:val="24"/>
          <w:szCs w:val="24"/>
        </w:rPr>
        <w:t>Office of the Ohio Consumers’ Counsel</w:t>
      </w:r>
    </w:p>
    <w:p w:rsidR="008F7CB1" w:rsidRDefault="008F7CB1" w:rsidP="00537111">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br w:type="page"/>
      </w:r>
      <w:r>
        <w:rPr>
          <w:rFonts w:ascii="Times New Roman" w:eastAsia="Times New Roman" w:hAnsi="Times New Roman" w:cs="Times New Roman"/>
          <w:b/>
          <w:sz w:val="24"/>
          <w:szCs w:val="24"/>
        </w:rPr>
        <w:t>CERTIFICATE OF SERVICE</w:t>
      </w:r>
    </w:p>
    <w:p w:rsidR="008F7CB1" w:rsidRDefault="008F7CB1" w:rsidP="008F7CB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hereby certify that a copy of the foregoing Reply was served by electronic mail to the persons listed below, on this 25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May 2016. </w:t>
      </w:r>
    </w:p>
    <w:p w:rsidR="008F7CB1" w:rsidRDefault="008F7CB1" w:rsidP="008F7CB1">
      <w:pPr>
        <w:tabs>
          <w:tab w:val="left" w:pos="1440"/>
          <w:tab w:val="left" w:pos="2016"/>
        </w:tabs>
        <w:spacing w:after="0" w:line="480" w:lineRule="atLeast"/>
        <w:rPr>
          <w:rFonts w:ascii="Times New Roman" w:eastAsia="Times New Roman" w:hAnsi="Times New Roman" w:cs="Times New Roman"/>
          <w:sz w:val="24"/>
          <w:szCs w:val="24"/>
        </w:rPr>
      </w:pPr>
    </w:p>
    <w:p w:rsidR="008F7CB1" w:rsidRDefault="008F7CB1" w:rsidP="008F7CB1">
      <w:pPr>
        <w:tabs>
          <w:tab w:val="left"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/s/ Kimberly W. Bojko</w:t>
      </w:r>
      <w:r>
        <w:rPr>
          <w:rFonts w:ascii="Times New Roman" w:eastAsia="Times New Roman" w:hAnsi="Times New Roman" w:cs="Times New Roman"/>
          <w:sz w:val="24"/>
          <w:szCs w:val="24"/>
        </w:rPr>
        <w:t>______________</w:t>
      </w:r>
    </w:p>
    <w:p w:rsidR="008F7CB1" w:rsidRDefault="008F7CB1" w:rsidP="008F7CB1">
      <w:pPr>
        <w:tabs>
          <w:tab w:val="left"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Kimberly W. Bojko</w:t>
      </w:r>
    </w:p>
    <w:p w:rsidR="008F7CB1" w:rsidRDefault="008F7CB1" w:rsidP="008F7CB1">
      <w:pPr>
        <w:tabs>
          <w:tab w:val="left" w:pos="432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Outside Counsel for the</w:t>
      </w:r>
    </w:p>
    <w:p w:rsidR="008F7CB1" w:rsidRDefault="008F7CB1" w:rsidP="008F7CB1">
      <w:pPr>
        <w:tabs>
          <w:tab w:val="left"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Office of the Ohio Consumers’ Counsel</w:t>
      </w:r>
    </w:p>
    <w:p w:rsidR="008F7CB1" w:rsidRDefault="008F7CB1" w:rsidP="008F7CB1">
      <w:pPr>
        <w:tabs>
          <w:tab w:val="left" w:pos="0"/>
          <w:tab w:val="left" w:pos="720"/>
          <w:tab w:val="left" w:pos="43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F7CB1" w:rsidRDefault="008F7CB1" w:rsidP="008F7CB1">
      <w:pPr>
        <w:tabs>
          <w:tab w:val="left" w:pos="0"/>
          <w:tab w:val="left" w:pos="720"/>
          <w:tab w:val="left" w:pos="4320"/>
        </w:tabs>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 LIST</w:t>
      </w:r>
    </w:p>
    <w:p w:rsidR="00284FCD" w:rsidRDefault="00284FCD" w:rsidP="00284FCD">
      <w:pPr>
        <w:tabs>
          <w:tab w:val="left" w:pos="0"/>
          <w:tab w:val="left" w:pos="720"/>
          <w:tab w:val="left" w:pos="4320"/>
        </w:tabs>
        <w:spacing w:after="0" w:line="480" w:lineRule="auto"/>
        <w:jc w:val="center"/>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284FCD" w:rsidTr="00482909">
        <w:tc>
          <w:tcPr>
            <w:tcW w:w="4428" w:type="dxa"/>
          </w:tcPr>
          <w:p w:rsidR="00284FCD" w:rsidRDefault="00E5475E" w:rsidP="00482909">
            <w:pPr>
              <w:autoSpaceDE w:val="0"/>
              <w:autoSpaceDN w:val="0"/>
              <w:adjustRightInd w:val="0"/>
              <w:rPr>
                <w:rFonts w:ascii="Times New Roman" w:hAnsi="Times New Roman" w:cs="Times New Roman"/>
                <w:sz w:val="24"/>
                <w:szCs w:val="24"/>
              </w:rPr>
            </w:pPr>
            <w:hyperlink r:id="rId16" w:history="1">
              <w:r w:rsidR="00284FCD" w:rsidRPr="00697648">
                <w:rPr>
                  <w:rStyle w:val="Hyperlink"/>
                  <w:rFonts w:ascii="Times New Roman" w:hAnsi="Times New Roman" w:cs="Times New Roman"/>
                  <w:sz w:val="24"/>
                  <w:szCs w:val="24"/>
                </w:rPr>
                <w:t>fdarr@mwncmh.com</w:t>
              </w:r>
            </w:hyperlink>
          </w:p>
          <w:p w:rsidR="00284FCD" w:rsidRDefault="00E5475E" w:rsidP="00482909">
            <w:pPr>
              <w:tabs>
                <w:tab w:val="left" w:pos="0"/>
                <w:tab w:val="left" w:pos="720"/>
                <w:tab w:val="left" w:pos="4320"/>
              </w:tabs>
              <w:rPr>
                <w:rStyle w:val="Hyperlink"/>
                <w:rFonts w:ascii="Times New Roman" w:hAnsi="Times New Roman"/>
                <w:sz w:val="24"/>
                <w:szCs w:val="24"/>
              </w:rPr>
            </w:pPr>
            <w:hyperlink r:id="rId17" w:history="1">
              <w:r w:rsidR="00284FCD" w:rsidRPr="00A5473C">
                <w:rPr>
                  <w:rStyle w:val="Hyperlink"/>
                  <w:rFonts w:ascii="Times New Roman" w:hAnsi="Times New Roman"/>
                  <w:sz w:val="24"/>
                  <w:szCs w:val="24"/>
                </w:rPr>
                <w:t>mjsettineri@vorys.com</w:t>
              </w:r>
            </w:hyperlink>
          </w:p>
          <w:p w:rsidR="00284FCD" w:rsidRPr="006F0789" w:rsidRDefault="00E5475E" w:rsidP="00482909">
            <w:pPr>
              <w:tabs>
                <w:tab w:val="left" w:pos="0"/>
                <w:tab w:val="left" w:pos="720"/>
                <w:tab w:val="left" w:pos="4320"/>
              </w:tabs>
              <w:rPr>
                <w:rFonts w:ascii="Times New Roman" w:eastAsia="Times New Roman" w:hAnsi="Times New Roman" w:cs="Times New Roman"/>
                <w:sz w:val="24"/>
                <w:szCs w:val="24"/>
              </w:rPr>
            </w:pPr>
            <w:hyperlink r:id="rId18" w:history="1">
              <w:r w:rsidR="00284FCD" w:rsidRPr="006F0789">
                <w:rPr>
                  <w:rStyle w:val="Hyperlink"/>
                  <w:rFonts w:ascii="Times New Roman" w:eastAsia="Times New Roman" w:hAnsi="Times New Roman" w:cs="Times New Roman"/>
                  <w:sz w:val="24"/>
                  <w:szCs w:val="24"/>
                </w:rPr>
                <w:t>William.wright@ohioattorneygeneral.gov</w:t>
              </w:r>
            </w:hyperlink>
          </w:p>
          <w:p w:rsidR="00284FCD" w:rsidRDefault="00284FCD" w:rsidP="00482909">
            <w:pPr>
              <w:tabs>
                <w:tab w:val="left" w:pos="0"/>
                <w:tab w:val="left" w:pos="720"/>
                <w:tab w:val="left" w:pos="4320"/>
              </w:tabs>
              <w:spacing w:line="480" w:lineRule="auto"/>
              <w:rPr>
                <w:rFonts w:ascii="Times New Roman" w:eastAsia="Times New Roman" w:hAnsi="Times New Roman" w:cs="Times New Roman"/>
                <w:b/>
                <w:sz w:val="24"/>
                <w:szCs w:val="24"/>
              </w:rPr>
            </w:pPr>
          </w:p>
        </w:tc>
        <w:tc>
          <w:tcPr>
            <w:tcW w:w="4428" w:type="dxa"/>
          </w:tcPr>
          <w:p w:rsidR="00284FCD" w:rsidRDefault="00E5475E" w:rsidP="00482909">
            <w:pPr>
              <w:tabs>
                <w:tab w:val="left" w:pos="0"/>
                <w:tab w:val="left" w:pos="720"/>
                <w:tab w:val="left" w:pos="4320"/>
                <w:tab w:val="right" w:pos="8640"/>
              </w:tabs>
              <w:rPr>
                <w:rFonts w:ascii="Times New Roman" w:eastAsia="Times New Roman" w:hAnsi="Times New Roman" w:cs="Times New Roman"/>
                <w:sz w:val="24"/>
                <w:szCs w:val="24"/>
              </w:rPr>
            </w:pPr>
            <w:hyperlink r:id="rId19" w:history="1">
              <w:r w:rsidR="00284FCD">
                <w:rPr>
                  <w:rStyle w:val="Hyperlink"/>
                  <w:rFonts w:ascii="Times New Roman" w:eastAsia="Times New Roman" w:hAnsi="Times New Roman" w:cs="Times New Roman"/>
                  <w:sz w:val="24"/>
                  <w:szCs w:val="24"/>
                </w:rPr>
                <w:t>stnourse@aep.com</w:t>
              </w:r>
            </w:hyperlink>
          </w:p>
          <w:p w:rsidR="00284FCD" w:rsidRDefault="00E5475E" w:rsidP="00482909">
            <w:pPr>
              <w:autoSpaceDE w:val="0"/>
              <w:autoSpaceDN w:val="0"/>
              <w:rPr>
                <w:rFonts w:ascii="Times New Roman" w:hAnsi="Times New Roman"/>
                <w:sz w:val="24"/>
                <w:szCs w:val="24"/>
              </w:rPr>
            </w:pPr>
            <w:hyperlink r:id="rId20" w:history="1">
              <w:r w:rsidR="00284FCD" w:rsidRPr="00A5473C">
                <w:rPr>
                  <w:rStyle w:val="Hyperlink"/>
                  <w:rFonts w:ascii="Times New Roman" w:hAnsi="Times New Roman"/>
                  <w:sz w:val="24"/>
                  <w:szCs w:val="24"/>
                </w:rPr>
                <w:t>mkeaney@calfee.com</w:t>
              </w:r>
            </w:hyperlink>
          </w:p>
          <w:p w:rsidR="00284FCD" w:rsidRDefault="00284FCD" w:rsidP="00482909">
            <w:pPr>
              <w:autoSpaceDE w:val="0"/>
              <w:autoSpaceDN w:val="0"/>
              <w:rPr>
                <w:rFonts w:ascii="Times New Roman" w:hAnsi="Times New Roman"/>
                <w:sz w:val="24"/>
                <w:szCs w:val="24"/>
              </w:rPr>
            </w:pPr>
          </w:p>
          <w:p w:rsidR="00284FCD" w:rsidRDefault="00284FCD" w:rsidP="00482909">
            <w:pPr>
              <w:tabs>
                <w:tab w:val="left" w:pos="0"/>
                <w:tab w:val="left" w:pos="720"/>
                <w:tab w:val="left" w:pos="4320"/>
                <w:tab w:val="right" w:pos="8640"/>
              </w:tabs>
              <w:rPr>
                <w:rFonts w:ascii="Times New Roman" w:eastAsia="Times New Roman" w:hAnsi="Times New Roman" w:cs="Times New Roman"/>
                <w:sz w:val="24"/>
                <w:szCs w:val="24"/>
              </w:rPr>
            </w:pPr>
          </w:p>
          <w:p w:rsidR="00284FCD" w:rsidRDefault="00284FCD" w:rsidP="00482909">
            <w:pPr>
              <w:tabs>
                <w:tab w:val="left" w:pos="0"/>
                <w:tab w:val="left" w:pos="720"/>
                <w:tab w:val="left" w:pos="4320"/>
              </w:tabs>
              <w:spacing w:line="480" w:lineRule="auto"/>
              <w:jc w:val="center"/>
              <w:rPr>
                <w:rFonts w:ascii="Times New Roman" w:eastAsia="Times New Roman" w:hAnsi="Times New Roman" w:cs="Times New Roman"/>
                <w:b/>
                <w:sz w:val="24"/>
                <w:szCs w:val="24"/>
              </w:rPr>
            </w:pPr>
          </w:p>
        </w:tc>
      </w:tr>
    </w:tbl>
    <w:p w:rsidR="00284FCD" w:rsidRPr="006F0789" w:rsidRDefault="00284FCD" w:rsidP="00284FCD">
      <w:pPr>
        <w:tabs>
          <w:tab w:val="left" w:pos="0"/>
          <w:tab w:val="left" w:pos="720"/>
          <w:tab w:val="left" w:pos="4320"/>
        </w:tabs>
        <w:spacing w:after="0" w:line="480" w:lineRule="auto"/>
        <w:rPr>
          <w:rFonts w:ascii="Times New Roman" w:eastAsia="Times New Roman" w:hAnsi="Times New Roman" w:cs="Times New Roman"/>
          <w:sz w:val="24"/>
          <w:szCs w:val="24"/>
        </w:rPr>
      </w:pPr>
      <w:r w:rsidRPr="006F0789">
        <w:rPr>
          <w:rFonts w:ascii="Times New Roman" w:eastAsia="Times New Roman" w:hAnsi="Times New Roman" w:cs="Times New Roman"/>
          <w:sz w:val="24"/>
          <w:szCs w:val="24"/>
        </w:rPr>
        <w:t>Attorney Examiner:</w:t>
      </w:r>
    </w:p>
    <w:p w:rsidR="00284FCD" w:rsidRPr="006F0789" w:rsidRDefault="00E5475E" w:rsidP="00284FCD">
      <w:pPr>
        <w:tabs>
          <w:tab w:val="left" w:pos="0"/>
          <w:tab w:val="left" w:pos="720"/>
          <w:tab w:val="left" w:pos="4320"/>
        </w:tabs>
        <w:spacing w:after="0" w:line="480" w:lineRule="auto"/>
        <w:rPr>
          <w:rFonts w:ascii="Times New Roman" w:eastAsia="Times New Roman" w:hAnsi="Times New Roman" w:cs="Times New Roman"/>
          <w:sz w:val="24"/>
          <w:szCs w:val="24"/>
        </w:rPr>
      </w:pPr>
      <w:hyperlink r:id="rId21" w:history="1">
        <w:r w:rsidR="00284FCD" w:rsidRPr="006F0789">
          <w:rPr>
            <w:rStyle w:val="Hyperlink"/>
            <w:rFonts w:ascii="Times New Roman" w:eastAsia="Times New Roman" w:hAnsi="Times New Roman" w:cs="Times New Roman"/>
            <w:sz w:val="24"/>
            <w:szCs w:val="24"/>
          </w:rPr>
          <w:t>Bryce.mckenney@puc.state.oh.us</w:t>
        </w:r>
      </w:hyperlink>
    </w:p>
    <w:p w:rsidR="00537111" w:rsidRDefault="00537111" w:rsidP="008F7CB1">
      <w:pPr>
        <w:tabs>
          <w:tab w:val="left" w:pos="0"/>
          <w:tab w:val="left" w:pos="720"/>
          <w:tab w:val="left" w:pos="4320"/>
        </w:tabs>
        <w:spacing w:after="0" w:line="480" w:lineRule="auto"/>
        <w:jc w:val="center"/>
        <w:rPr>
          <w:rFonts w:ascii="Times New Roman" w:eastAsia="Times New Roman" w:hAnsi="Times New Roman" w:cs="Times New Roman"/>
          <w:b/>
          <w:sz w:val="24"/>
          <w:szCs w:val="24"/>
        </w:rPr>
      </w:pPr>
    </w:p>
    <w:sectPr w:rsidR="00537111" w:rsidSect="00537111">
      <w:headerReference w:type="default" r:id="rId22"/>
      <w:footerReference w:type="default" r:id="rId23"/>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6C85F6" w15:done="0"/>
  <w15:commentEx w15:paraId="4AA02EDB" w15:done="0"/>
  <w15:commentEx w15:paraId="267E6D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F5" w:rsidRDefault="00DD43F5" w:rsidP="00EE448C">
      <w:pPr>
        <w:spacing w:after="0" w:line="240" w:lineRule="auto"/>
      </w:pPr>
      <w:r>
        <w:separator/>
      </w:r>
    </w:p>
  </w:endnote>
  <w:endnote w:type="continuationSeparator" w:id="0">
    <w:p w:rsidR="00DD43F5" w:rsidRDefault="00DD43F5" w:rsidP="00EE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9E" w:rsidRDefault="004A1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11" w:rsidRDefault="00537111">
    <w:pPr>
      <w:pStyle w:val="Footer"/>
      <w:jc w:val="center"/>
    </w:pPr>
  </w:p>
  <w:p w:rsidR="00537111" w:rsidRDefault="005371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9E" w:rsidRDefault="004A14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86669"/>
      <w:docPartObj>
        <w:docPartGallery w:val="Page Numbers (Bottom of Page)"/>
        <w:docPartUnique/>
      </w:docPartObj>
    </w:sdtPr>
    <w:sdtEndPr>
      <w:rPr>
        <w:noProof/>
      </w:rPr>
    </w:sdtEndPr>
    <w:sdtContent>
      <w:p w:rsidR="00537111" w:rsidRDefault="00537111">
        <w:pPr>
          <w:pStyle w:val="Footer"/>
          <w:jc w:val="center"/>
        </w:pPr>
        <w:r>
          <w:fldChar w:fldCharType="begin"/>
        </w:r>
        <w:r>
          <w:instrText xml:space="preserve"> PAGE   \* MERGEFORMAT </w:instrText>
        </w:r>
        <w:r>
          <w:fldChar w:fldCharType="separate"/>
        </w:r>
        <w:r w:rsidR="00E5475E">
          <w:rPr>
            <w:noProof/>
          </w:rPr>
          <w:t>2</w:t>
        </w:r>
        <w:r>
          <w:rPr>
            <w:noProof/>
          </w:rPr>
          <w:fldChar w:fldCharType="end"/>
        </w:r>
      </w:p>
    </w:sdtContent>
  </w:sdt>
  <w:p w:rsidR="00537111" w:rsidRDefault="00537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F5" w:rsidRDefault="00DD43F5" w:rsidP="00EE448C">
      <w:pPr>
        <w:spacing w:after="0" w:line="240" w:lineRule="auto"/>
      </w:pPr>
      <w:r>
        <w:separator/>
      </w:r>
    </w:p>
  </w:footnote>
  <w:footnote w:type="continuationSeparator" w:id="0">
    <w:p w:rsidR="00DD43F5" w:rsidRDefault="00DD43F5" w:rsidP="00EE448C">
      <w:pPr>
        <w:spacing w:after="0" w:line="240" w:lineRule="auto"/>
      </w:pPr>
      <w:r>
        <w:continuationSeparator/>
      </w:r>
    </w:p>
  </w:footnote>
  <w:footnote w:id="1">
    <w:p w:rsidR="00DD43F5" w:rsidRDefault="00DD43F5">
      <w:pPr>
        <w:pStyle w:val="FootnoteText"/>
      </w:pPr>
      <w:r>
        <w:rPr>
          <w:rStyle w:val="FootnoteReference"/>
        </w:rPr>
        <w:footnoteRef/>
      </w:r>
      <w:r>
        <w:t xml:space="preserve"> Complaint and Request for Relief for Consumers by the Office of the Ohio Consumers’ Counsel at 2 (Apr</w:t>
      </w:r>
      <w:r w:rsidR="00B227A5">
        <w:t>.</w:t>
      </w:r>
      <w:r>
        <w:t xml:space="preserve"> 12, 2016) (</w:t>
      </w:r>
      <w:r w:rsidR="00B227A5">
        <w:t>“</w:t>
      </w:r>
      <w:r>
        <w:t>OCC Complaint</w:t>
      </w:r>
      <w:r w:rsidR="00B227A5">
        <w:t>”</w:t>
      </w:r>
      <w:r>
        <w:t>).</w:t>
      </w:r>
      <w:r w:rsidR="003234A1">
        <w:t xml:space="preserve"> Alternatively, OCC requested an order directing AEP Ohio to enforce its tariffs to prohibit submetering. Id. </w:t>
      </w:r>
    </w:p>
  </w:footnote>
  <w:footnote w:id="2">
    <w:p w:rsidR="00DD43F5" w:rsidRDefault="00DD43F5">
      <w:pPr>
        <w:pStyle w:val="FootnoteText"/>
      </w:pPr>
      <w:r>
        <w:rPr>
          <w:rStyle w:val="FootnoteReference"/>
        </w:rPr>
        <w:footnoteRef/>
      </w:r>
      <w:r>
        <w:t xml:space="preserve"> Motion for A Moratorium to Stop AEP Ohio from Providing New Service to Those Who Resell Service to Submetered Residential Consumers by the Office of the Ohio Consumers’ Counsel (Apr</w:t>
      </w:r>
      <w:r w:rsidR="00B227A5">
        <w:t>.</w:t>
      </w:r>
      <w:r>
        <w:t xml:space="preserve"> 12, 2016)(OCC Motion for Moratorium). </w:t>
      </w:r>
    </w:p>
  </w:footnote>
  <w:footnote w:id="3">
    <w:p w:rsidR="00DD43F5" w:rsidRDefault="00DD43F5">
      <w:pPr>
        <w:pStyle w:val="FootnoteText"/>
      </w:pPr>
      <w:r>
        <w:rPr>
          <w:rStyle w:val="FootnoteReference"/>
        </w:rPr>
        <w:footnoteRef/>
      </w:r>
      <w:r>
        <w:t xml:space="preserve"> OCC is mindful that AEP Ohio proposed to alter its tariff to address non-residential issues.  See AEP Ohio’s Motion for Tariff Amendment at 8-9.  OCC opposed that motion because it impermissibly exceeds the scope of the complaint. OCC Memo Contra AEP Ohio’s Motion for Tariff Amendment at 3.</w:t>
      </w:r>
    </w:p>
  </w:footnote>
  <w:footnote w:id="4">
    <w:p w:rsidR="003234A1" w:rsidRDefault="003234A1" w:rsidP="003234A1">
      <w:pPr>
        <w:pStyle w:val="FootnoteText"/>
      </w:pPr>
      <w:r>
        <w:rPr>
          <w:rStyle w:val="FootnoteReference"/>
        </w:rPr>
        <w:footnoteRef/>
      </w:r>
      <w:r>
        <w:t xml:space="preserve"> </w:t>
      </w:r>
      <w:r w:rsidRPr="00557E18">
        <w:rPr>
          <w:i/>
        </w:rPr>
        <w:t>In the Matter of the Commission’s Investigation of Submetering in the state of Ohio</w:t>
      </w:r>
      <w:r>
        <w:t>, Case No. 15-1594-AU-COI, Entry at 1 (Dec</w:t>
      </w:r>
      <w:r w:rsidR="00B227A5">
        <w:t>.</w:t>
      </w:r>
      <w:r>
        <w:t xml:space="preserve"> 16, 2015).</w:t>
      </w:r>
    </w:p>
  </w:footnote>
  <w:footnote w:id="5">
    <w:p w:rsidR="00DD43F5" w:rsidRDefault="00DD43F5">
      <w:pPr>
        <w:pStyle w:val="FootnoteText"/>
      </w:pPr>
      <w:r>
        <w:rPr>
          <w:rStyle w:val="FootnoteReference"/>
        </w:rPr>
        <w:footnoteRef/>
      </w:r>
      <w:r>
        <w:t xml:space="preserve"> IEU-Ohio Motion to Intervene at 5.</w:t>
      </w:r>
    </w:p>
  </w:footnote>
  <w:footnote w:id="6">
    <w:p w:rsidR="00DD43F5" w:rsidRDefault="00DD43F5">
      <w:pPr>
        <w:pStyle w:val="FootnoteText"/>
      </w:pPr>
      <w:r>
        <w:rPr>
          <w:rStyle w:val="FootnoteReference"/>
        </w:rPr>
        <w:footnoteRef/>
      </w:r>
      <w:r>
        <w:t xml:space="preserve"> IEU-Ohio Initial Comments at 8, Case No. 15-1594-AU-COI (IEU-Ohio Submetering Comments).</w:t>
      </w:r>
    </w:p>
  </w:footnote>
  <w:footnote w:id="7">
    <w:p w:rsidR="00DD43F5" w:rsidRDefault="00DD43F5">
      <w:pPr>
        <w:pStyle w:val="FootnoteText"/>
      </w:pPr>
      <w:r>
        <w:rPr>
          <w:rStyle w:val="FootnoteReference"/>
        </w:rPr>
        <w:footnoteRef/>
      </w:r>
      <w:r>
        <w:t xml:space="preserve"> NEP Motion to Intervene at 3.  While NEP couches its request as seeking “limited” intervention, NEP’s participation in this proceeding is still unnecessary and counterproductive for all the reasons stated in Section II below. </w:t>
      </w:r>
    </w:p>
  </w:footnote>
  <w:footnote w:id="8">
    <w:p w:rsidR="00DD43F5" w:rsidRDefault="00DD43F5">
      <w:pPr>
        <w:pStyle w:val="FootnoteText"/>
      </w:pPr>
      <w:r>
        <w:rPr>
          <w:rStyle w:val="FootnoteReference"/>
        </w:rPr>
        <w:footnoteRef/>
      </w:r>
      <w:r>
        <w:t xml:space="preserve"> OAA/ICSC Motion to Intervene at 3-4.</w:t>
      </w:r>
    </w:p>
  </w:footnote>
  <w:footnote w:id="9">
    <w:p w:rsidR="00DD43F5" w:rsidRDefault="00DD43F5">
      <w:pPr>
        <w:pStyle w:val="FootnoteText"/>
      </w:pPr>
      <w:r>
        <w:rPr>
          <w:rStyle w:val="FootnoteReference"/>
        </w:rPr>
        <w:footnoteRef/>
      </w:r>
      <w:r>
        <w:t xml:space="preserve"> OAA/ICSC Initial Comments at 2, Case No. 15-1594-AU-COI (OAA/ICSC Submetering COI Initial Comments).</w:t>
      </w:r>
    </w:p>
  </w:footnote>
  <w:footnote w:id="10">
    <w:p w:rsidR="00DD43F5" w:rsidRDefault="00DD43F5">
      <w:pPr>
        <w:pStyle w:val="FootnoteText"/>
      </w:pPr>
      <w:r>
        <w:rPr>
          <w:rStyle w:val="FootnoteReference"/>
        </w:rPr>
        <w:footnoteRef/>
      </w:r>
      <w:r>
        <w:t xml:space="preserve"> Ohio Adm. Code 4901-1-11(A)(2).</w:t>
      </w:r>
    </w:p>
  </w:footnote>
  <w:footnote w:id="11">
    <w:p w:rsidR="00DD43F5" w:rsidRDefault="00DD43F5">
      <w:pPr>
        <w:pStyle w:val="FootnoteText"/>
      </w:pPr>
      <w:r>
        <w:rPr>
          <w:rStyle w:val="FootnoteReference"/>
        </w:rPr>
        <w:footnoteRef/>
      </w:r>
      <w:r>
        <w:t xml:space="preserve"> Ohio Adm. Code 4901-1-11(B)(5).</w:t>
      </w:r>
    </w:p>
  </w:footnote>
  <w:footnote w:id="12">
    <w:p w:rsidR="00DD43F5" w:rsidRDefault="00DD43F5">
      <w:pPr>
        <w:pStyle w:val="FootnoteText"/>
      </w:pPr>
      <w:r>
        <w:rPr>
          <w:rStyle w:val="FootnoteReference"/>
        </w:rPr>
        <w:footnoteRef/>
      </w:r>
      <w:r>
        <w:t xml:space="preserve"> </w:t>
      </w:r>
      <w:r w:rsidRPr="00C048C5">
        <w:rPr>
          <w:i/>
        </w:rPr>
        <w:t>In the Matter of the Complain</w:t>
      </w:r>
      <w:r>
        <w:rPr>
          <w:i/>
        </w:rPr>
        <w:t>t</w:t>
      </w:r>
      <w:r w:rsidRPr="00C048C5">
        <w:rPr>
          <w:i/>
        </w:rPr>
        <w:t xml:space="preserve"> of Whitt v. Nationwide Energy Partners, LLC</w:t>
      </w:r>
      <w:r>
        <w:t>, Case No. 15-697-EL-CSS, Entry at 5 (November 18, 2015) (</w:t>
      </w:r>
      <w:r w:rsidRPr="00C048C5">
        <w:rPr>
          <w:i/>
        </w:rPr>
        <w:t>In re Whitt</w:t>
      </w:r>
      <w:r>
        <w:t>).</w:t>
      </w:r>
    </w:p>
  </w:footnote>
  <w:footnote w:id="13">
    <w:p w:rsidR="00DD43F5" w:rsidRDefault="00DD43F5">
      <w:pPr>
        <w:pStyle w:val="FootnoteText"/>
      </w:pPr>
      <w:r>
        <w:rPr>
          <w:rStyle w:val="FootnoteReference"/>
        </w:rPr>
        <w:footnoteRef/>
      </w:r>
      <w:r>
        <w:t xml:space="preserve"> </w:t>
      </w:r>
      <w:r w:rsidRPr="00C048C5">
        <w:rPr>
          <w:i/>
        </w:rPr>
        <w:t>In the Matter of the Complaint of XO Ohio, Inc. v. City of Upper Arlington</w:t>
      </w:r>
      <w:r>
        <w:t>, Case No. 03870-AU-PWC, Entry at 14 (May 14, 2003).</w:t>
      </w:r>
    </w:p>
  </w:footnote>
  <w:footnote w:id="14">
    <w:p w:rsidR="00DD43F5" w:rsidRDefault="00DD43F5">
      <w:pPr>
        <w:pStyle w:val="FootnoteText"/>
      </w:pPr>
      <w:r>
        <w:rPr>
          <w:rStyle w:val="FootnoteReference"/>
        </w:rPr>
        <w:footnoteRef/>
      </w:r>
      <w:r>
        <w:t xml:space="preserve"> </w:t>
      </w:r>
      <w:r w:rsidRPr="00876754">
        <w:rPr>
          <w:i/>
        </w:rPr>
        <w:t>In re Whitt</w:t>
      </w:r>
      <w:r>
        <w:t xml:space="preserve"> at 5.</w:t>
      </w:r>
    </w:p>
  </w:footnote>
  <w:footnote w:id="15">
    <w:p w:rsidR="00DD43F5" w:rsidRDefault="00DD43F5">
      <w:pPr>
        <w:pStyle w:val="FootnoteText"/>
      </w:pPr>
      <w:r>
        <w:rPr>
          <w:rStyle w:val="FootnoteReference"/>
        </w:rPr>
        <w:footnoteRef/>
      </w:r>
      <w:r>
        <w:t xml:space="preserve"> </w:t>
      </w:r>
      <w:r w:rsidRPr="00F70502">
        <w:rPr>
          <w:i/>
        </w:rPr>
        <w:t>In the Matter of the Complaint of OHIOTELNET.COM, INC. v. Windstream Ohio, Inc.</w:t>
      </w:r>
      <w:r>
        <w:t>, Case No. 09-515-TP-CSS, Entry at 9 (Dec</w:t>
      </w:r>
      <w:r w:rsidR="00B227A5">
        <w:t>.</w:t>
      </w:r>
      <w:r>
        <w:t xml:space="preserve"> 1, 2010).  See also, </w:t>
      </w:r>
      <w:r w:rsidRPr="00827BCE">
        <w:rPr>
          <w:i/>
        </w:rPr>
        <w:t>Cleveland Electric Illuminating Co. v. Medical Center Co.</w:t>
      </w:r>
      <w:r>
        <w:t>, Case No. 95-458-EL-UNC, Entry on Rehearing at 3 (Oct</w:t>
      </w:r>
      <w:r w:rsidR="0049105B">
        <w:t>.</w:t>
      </w:r>
      <w:r>
        <w:t xml:space="preserve"> 5, 1995) (“It would be inappropriate to consider additional allegations not raised in the original complaint.”).</w:t>
      </w:r>
    </w:p>
  </w:footnote>
  <w:footnote w:id="16">
    <w:p w:rsidR="00DD43F5" w:rsidRDefault="00DD43F5">
      <w:pPr>
        <w:pStyle w:val="FootnoteText"/>
      </w:pPr>
      <w:r>
        <w:rPr>
          <w:rStyle w:val="FootnoteReference"/>
        </w:rPr>
        <w:footnoteRef/>
      </w:r>
      <w:r>
        <w:t xml:space="preserve"> See also Ohio Adm. Code 4901-1-11(B)(1)-(2).</w:t>
      </w:r>
    </w:p>
  </w:footnote>
  <w:footnote w:id="17">
    <w:p w:rsidR="00DD43F5" w:rsidRDefault="00DD43F5">
      <w:pPr>
        <w:pStyle w:val="FootnoteText"/>
      </w:pPr>
      <w:r>
        <w:rPr>
          <w:rStyle w:val="FootnoteReference"/>
        </w:rPr>
        <w:footnoteRef/>
      </w:r>
      <w:r>
        <w:t xml:space="preserve"> IEU-Ohio Motion to Intervene at 5.</w:t>
      </w:r>
    </w:p>
  </w:footnote>
  <w:footnote w:id="18">
    <w:p w:rsidR="00DD43F5" w:rsidRDefault="00DD43F5">
      <w:pPr>
        <w:pStyle w:val="FootnoteText"/>
      </w:pPr>
      <w:r>
        <w:rPr>
          <w:rStyle w:val="FootnoteReference"/>
        </w:rPr>
        <w:footnoteRef/>
      </w:r>
      <w:r>
        <w:t xml:space="preserve"> NEP Motion to Intervene at 3.</w:t>
      </w:r>
    </w:p>
  </w:footnote>
  <w:footnote w:id="19">
    <w:p w:rsidR="00DD43F5" w:rsidRDefault="00DD43F5">
      <w:pPr>
        <w:pStyle w:val="FootnoteText"/>
      </w:pPr>
      <w:r>
        <w:rPr>
          <w:rStyle w:val="FootnoteReference"/>
        </w:rPr>
        <w:footnoteRef/>
      </w:r>
      <w:r>
        <w:t xml:space="preserve"> OAA/ICSC Motion to Intervene at 3-4.</w:t>
      </w:r>
    </w:p>
  </w:footnote>
  <w:footnote w:id="20">
    <w:p w:rsidR="00DD43F5" w:rsidRDefault="00DD43F5" w:rsidP="00747A3B">
      <w:pPr>
        <w:pStyle w:val="FootnoteText"/>
      </w:pPr>
      <w:r>
        <w:rPr>
          <w:rStyle w:val="FootnoteReference"/>
        </w:rPr>
        <w:footnoteRef/>
      </w:r>
      <w:r>
        <w:t xml:space="preserve"> </w:t>
      </w:r>
      <w:r w:rsidRPr="005859D7">
        <w:rPr>
          <w:i/>
        </w:rPr>
        <w:t>In re Whitt</w:t>
      </w:r>
      <w:r>
        <w:t xml:space="preserve"> at 6.</w:t>
      </w:r>
    </w:p>
  </w:footnote>
  <w:footnote w:id="21">
    <w:p w:rsidR="00DD43F5" w:rsidRDefault="00DD43F5">
      <w:pPr>
        <w:pStyle w:val="FootnoteText"/>
      </w:pPr>
      <w:r>
        <w:rPr>
          <w:rStyle w:val="FootnoteReference"/>
        </w:rPr>
        <w:footnoteRef/>
      </w:r>
      <w:r>
        <w:t xml:space="preserve"> </w:t>
      </w:r>
      <w:r w:rsidRPr="00CD4505">
        <w:t>Id.</w:t>
      </w:r>
      <w:r>
        <w:t xml:space="preserve"> at 3.</w:t>
      </w:r>
    </w:p>
  </w:footnote>
  <w:footnote w:id="22">
    <w:p w:rsidR="00DD43F5" w:rsidRDefault="00DD43F5">
      <w:pPr>
        <w:pStyle w:val="FootnoteText"/>
      </w:pPr>
      <w:r>
        <w:rPr>
          <w:rStyle w:val="FootnoteReference"/>
        </w:rPr>
        <w:footnoteRef/>
      </w:r>
      <w:r>
        <w:t xml:space="preserve"> Id. at 5.</w:t>
      </w:r>
    </w:p>
  </w:footnote>
  <w:footnote w:id="23">
    <w:p w:rsidR="00DD43F5" w:rsidRDefault="00DD43F5">
      <w:pPr>
        <w:pStyle w:val="FootnoteText"/>
      </w:pPr>
      <w:r>
        <w:rPr>
          <w:rStyle w:val="FootnoteReference"/>
        </w:rPr>
        <w:footnoteRef/>
      </w:r>
      <w:r>
        <w:t xml:space="preserve"> See also Ohio Adm. Code 4901-1-11(B)(3)-(4).</w:t>
      </w:r>
    </w:p>
  </w:footnote>
  <w:footnote w:id="24">
    <w:p w:rsidR="0030434C" w:rsidRDefault="0030434C">
      <w:pPr>
        <w:pStyle w:val="FootnoteText"/>
      </w:pPr>
      <w:r>
        <w:rPr>
          <w:rStyle w:val="FootnoteReference"/>
        </w:rPr>
        <w:footnoteRef/>
      </w:r>
      <w:r>
        <w:t xml:space="preserve"> This is especially true given the seemingly narrow gap between the OCC and AEP Ohio on draft tariff language. </w:t>
      </w:r>
      <w:r w:rsidR="00FF1A07">
        <w:t xml:space="preserve">See </w:t>
      </w:r>
      <w:r w:rsidR="007D15B8" w:rsidRPr="007D15B8">
        <w:rPr>
          <w:i/>
        </w:rPr>
        <w:t>Ohio Power Company’s Reply in Support of Its Motion for Tariff Amendment and Memorandum Contra Motion to Hold Case in Abeyance</w:t>
      </w:r>
      <w:r w:rsidR="00B50EC5">
        <w:t xml:space="preserve"> at 1, Case No 16-0782-EL-CSS (May 19, 2016). </w:t>
      </w:r>
      <w:r>
        <w:t xml:space="preserve"> </w:t>
      </w:r>
    </w:p>
  </w:footnote>
  <w:footnote w:id="25">
    <w:p w:rsidR="00DD43F5" w:rsidRDefault="00DD43F5">
      <w:pPr>
        <w:pStyle w:val="FootnoteText"/>
      </w:pPr>
      <w:r>
        <w:rPr>
          <w:rStyle w:val="FootnoteReference"/>
        </w:rPr>
        <w:footnoteRef/>
      </w:r>
      <w:r>
        <w:t xml:space="preserve"> Compare IEU-Ohio Submetering COI Initial Comments at 8 with IEU-Ohio Motion to Intervene at 5. </w:t>
      </w:r>
    </w:p>
  </w:footnote>
  <w:footnote w:id="26">
    <w:p w:rsidR="00DD43F5" w:rsidRDefault="00DD43F5">
      <w:pPr>
        <w:pStyle w:val="FootnoteText"/>
      </w:pPr>
      <w:r>
        <w:rPr>
          <w:rStyle w:val="FootnoteReference"/>
        </w:rPr>
        <w:footnoteRef/>
      </w:r>
      <w:r>
        <w:t xml:space="preserve"> Compare NEP Submetering COI Initial Comments at 1 with NEP Motion to Intervene at 3.</w:t>
      </w:r>
    </w:p>
  </w:footnote>
  <w:footnote w:id="27">
    <w:p w:rsidR="00DD43F5" w:rsidRDefault="00DD43F5">
      <w:pPr>
        <w:pStyle w:val="FootnoteText"/>
      </w:pPr>
      <w:r>
        <w:rPr>
          <w:rStyle w:val="FootnoteReference"/>
        </w:rPr>
        <w:footnoteRef/>
      </w:r>
      <w:r>
        <w:t xml:space="preserve"> Compare OAA/ICSC Submetering COI Initial Comments at 2 with OAA/ICSC Motion to Intervene at 3-4.</w:t>
      </w:r>
    </w:p>
  </w:footnote>
  <w:footnote w:id="28">
    <w:p w:rsidR="008F7CB1" w:rsidRDefault="008F7CB1">
      <w:pPr>
        <w:pStyle w:val="FootnoteText"/>
      </w:pPr>
      <w:r>
        <w:rPr>
          <w:rStyle w:val="FootnoteReference"/>
        </w:rPr>
        <w:footnoteRef/>
      </w:r>
      <w:r>
        <w:t xml:space="preserve"> See also Ohio Adm. Code 4901-1-11(B)(3)-(4).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9E" w:rsidRDefault="004A1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9E" w:rsidRDefault="004A14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9E" w:rsidRDefault="004A14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11" w:rsidRDefault="00537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710A322"/>
    <w:lvl w:ilvl="0">
      <w:start w:val="1"/>
      <w:numFmt w:val="decimal"/>
      <w:lvlText w:val="%1."/>
      <w:lvlJc w:val="left"/>
      <w:pPr>
        <w:tabs>
          <w:tab w:val="num" w:pos="720"/>
        </w:tabs>
        <w:ind w:left="720" w:hanging="360"/>
      </w:pPr>
    </w:lvl>
  </w:abstractNum>
  <w:abstractNum w:abstractNumId="1">
    <w:nsid w:val="FFFFFF80"/>
    <w:multiLevelType w:val="singleLevel"/>
    <w:tmpl w:val="15108030"/>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58FC1544"/>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43B254F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04A7F22"/>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D8B88B6C"/>
    <w:lvl w:ilvl="0">
      <w:start w:val="1"/>
      <w:numFmt w:val="decimal"/>
      <w:lvlText w:val="%1."/>
      <w:lvlJc w:val="left"/>
      <w:pPr>
        <w:tabs>
          <w:tab w:val="num" w:pos="360"/>
        </w:tabs>
        <w:ind w:left="360" w:hanging="360"/>
      </w:pPr>
    </w:lvl>
  </w:abstractNum>
  <w:abstractNum w:abstractNumId="6">
    <w:nsid w:val="FFFFFF89"/>
    <w:multiLevelType w:val="singleLevel"/>
    <w:tmpl w:val="AF0A8B4E"/>
    <w:lvl w:ilvl="0">
      <w:start w:val="1"/>
      <w:numFmt w:val="bullet"/>
      <w:lvlText w:val=""/>
      <w:lvlJc w:val="left"/>
      <w:pPr>
        <w:tabs>
          <w:tab w:val="num" w:pos="360"/>
        </w:tabs>
        <w:ind w:left="360" w:hanging="360"/>
      </w:pPr>
      <w:rPr>
        <w:rFonts w:ascii="Symbol" w:hAnsi="Symbol" w:hint="default"/>
      </w:rPr>
    </w:lvl>
  </w:abstractNum>
  <w:abstractNum w:abstractNumId="7">
    <w:nsid w:val="369D6A2C"/>
    <w:multiLevelType w:val="hybridMultilevel"/>
    <w:tmpl w:val="3A1EE3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EE6CEC"/>
    <w:multiLevelType w:val="hybridMultilevel"/>
    <w:tmpl w:val="87044E68"/>
    <w:lvl w:ilvl="0" w:tplc="7CBE09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711DCD"/>
    <w:multiLevelType w:val="hybridMultilevel"/>
    <w:tmpl w:val="38D48D8A"/>
    <w:lvl w:ilvl="0" w:tplc="99D63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3942BC"/>
    <w:multiLevelType w:val="hybridMultilevel"/>
    <w:tmpl w:val="B1C8E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FB2B92"/>
    <w:multiLevelType w:val="hybridMultilevel"/>
    <w:tmpl w:val="23C23D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8"/>
  </w:num>
  <w:num w:numId="3">
    <w:abstractNumId w:val="10"/>
  </w:num>
  <w:num w:numId="4">
    <w:abstractNumId w:val="7"/>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8C"/>
    <w:rsid w:val="00002FE7"/>
    <w:rsid w:val="00027406"/>
    <w:rsid w:val="00033449"/>
    <w:rsid w:val="000373E5"/>
    <w:rsid w:val="00052360"/>
    <w:rsid w:val="00080349"/>
    <w:rsid w:val="00082787"/>
    <w:rsid w:val="000A71A1"/>
    <w:rsid w:val="000B1EC7"/>
    <w:rsid w:val="00117AD7"/>
    <w:rsid w:val="00122AEB"/>
    <w:rsid w:val="00164084"/>
    <w:rsid w:val="00191A24"/>
    <w:rsid w:val="001943BE"/>
    <w:rsid w:val="001A25FB"/>
    <w:rsid w:val="001B4AC5"/>
    <w:rsid w:val="001E471C"/>
    <w:rsid w:val="001E6C19"/>
    <w:rsid w:val="001F792B"/>
    <w:rsid w:val="0021528E"/>
    <w:rsid w:val="00230498"/>
    <w:rsid w:val="00241500"/>
    <w:rsid w:val="00242E3F"/>
    <w:rsid w:val="0025548F"/>
    <w:rsid w:val="00264FA3"/>
    <w:rsid w:val="00284FCD"/>
    <w:rsid w:val="002A48B9"/>
    <w:rsid w:val="002A57FC"/>
    <w:rsid w:val="002E15DD"/>
    <w:rsid w:val="0030434C"/>
    <w:rsid w:val="00312E21"/>
    <w:rsid w:val="00322C54"/>
    <w:rsid w:val="003234A1"/>
    <w:rsid w:val="0033068B"/>
    <w:rsid w:val="003526F5"/>
    <w:rsid w:val="003660D7"/>
    <w:rsid w:val="00377CB8"/>
    <w:rsid w:val="003836F9"/>
    <w:rsid w:val="003849AB"/>
    <w:rsid w:val="003A10F6"/>
    <w:rsid w:val="003A31EA"/>
    <w:rsid w:val="003A6D1B"/>
    <w:rsid w:val="003B18D1"/>
    <w:rsid w:val="003B2048"/>
    <w:rsid w:val="003D1CAB"/>
    <w:rsid w:val="003D7563"/>
    <w:rsid w:val="00401625"/>
    <w:rsid w:val="00431E03"/>
    <w:rsid w:val="00436E3F"/>
    <w:rsid w:val="004732D5"/>
    <w:rsid w:val="00480539"/>
    <w:rsid w:val="0049105B"/>
    <w:rsid w:val="004942EB"/>
    <w:rsid w:val="004A149E"/>
    <w:rsid w:val="004B58A1"/>
    <w:rsid w:val="004B6818"/>
    <w:rsid w:val="004D0184"/>
    <w:rsid w:val="004F40C3"/>
    <w:rsid w:val="004F7360"/>
    <w:rsid w:val="004F7E87"/>
    <w:rsid w:val="00503F76"/>
    <w:rsid w:val="00510F82"/>
    <w:rsid w:val="00537111"/>
    <w:rsid w:val="00557D0E"/>
    <w:rsid w:val="00557E18"/>
    <w:rsid w:val="005859D7"/>
    <w:rsid w:val="005869DE"/>
    <w:rsid w:val="0059406D"/>
    <w:rsid w:val="005A14C0"/>
    <w:rsid w:val="006152C0"/>
    <w:rsid w:val="00620152"/>
    <w:rsid w:val="00627BF9"/>
    <w:rsid w:val="006545FF"/>
    <w:rsid w:val="00660EB9"/>
    <w:rsid w:val="00691FD4"/>
    <w:rsid w:val="006F17C7"/>
    <w:rsid w:val="006F65E7"/>
    <w:rsid w:val="006F6FBF"/>
    <w:rsid w:val="0070115E"/>
    <w:rsid w:val="00747A3B"/>
    <w:rsid w:val="00766CEA"/>
    <w:rsid w:val="007673A1"/>
    <w:rsid w:val="0077723E"/>
    <w:rsid w:val="007931AA"/>
    <w:rsid w:val="00793E0A"/>
    <w:rsid w:val="00794367"/>
    <w:rsid w:val="007D15B8"/>
    <w:rsid w:val="00820DE2"/>
    <w:rsid w:val="00827BCE"/>
    <w:rsid w:val="00843080"/>
    <w:rsid w:val="0085469A"/>
    <w:rsid w:val="00876754"/>
    <w:rsid w:val="00882CB7"/>
    <w:rsid w:val="008F39A7"/>
    <w:rsid w:val="008F7CB1"/>
    <w:rsid w:val="0093708F"/>
    <w:rsid w:val="0094653B"/>
    <w:rsid w:val="0094766A"/>
    <w:rsid w:val="00955B8B"/>
    <w:rsid w:val="00982497"/>
    <w:rsid w:val="00991ACE"/>
    <w:rsid w:val="009C4676"/>
    <w:rsid w:val="009F19C9"/>
    <w:rsid w:val="009F5B6E"/>
    <w:rsid w:val="00A12C3A"/>
    <w:rsid w:val="00A26EFC"/>
    <w:rsid w:val="00A36B5D"/>
    <w:rsid w:val="00A37946"/>
    <w:rsid w:val="00A61F8A"/>
    <w:rsid w:val="00A70629"/>
    <w:rsid w:val="00A71B47"/>
    <w:rsid w:val="00A80D70"/>
    <w:rsid w:val="00A90B7B"/>
    <w:rsid w:val="00A92BA6"/>
    <w:rsid w:val="00A9625F"/>
    <w:rsid w:val="00AC59C5"/>
    <w:rsid w:val="00AC67D5"/>
    <w:rsid w:val="00AD4716"/>
    <w:rsid w:val="00AD54C4"/>
    <w:rsid w:val="00B00ECB"/>
    <w:rsid w:val="00B06B00"/>
    <w:rsid w:val="00B10CE4"/>
    <w:rsid w:val="00B227A5"/>
    <w:rsid w:val="00B50EC5"/>
    <w:rsid w:val="00B511C2"/>
    <w:rsid w:val="00B643BC"/>
    <w:rsid w:val="00B701A4"/>
    <w:rsid w:val="00B94EFD"/>
    <w:rsid w:val="00C048C5"/>
    <w:rsid w:val="00C15DEE"/>
    <w:rsid w:val="00C2607B"/>
    <w:rsid w:val="00C27C76"/>
    <w:rsid w:val="00C5161B"/>
    <w:rsid w:val="00C56D6D"/>
    <w:rsid w:val="00C629D4"/>
    <w:rsid w:val="00C655D6"/>
    <w:rsid w:val="00C80A22"/>
    <w:rsid w:val="00C83479"/>
    <w:rsid w:val="00CA0FC8"/>
    <w:rsid w:val="00CB1AA2"/>
    <w:rsid w:val="00CB6F90"/>
    <w:rsid w:val="00CC3BE9"/>
    <w:rsid w:val="00CC4C4D"/>
    <w:rsid w:val="00CD2906"/>
    <w:rsid w:val="00CD4505"/>
    <w:rsid w:val="00CD46EC"/>
    <w:rsid w:val="00D11015"/>
    <w:rsid w:val="00D33801"/>
    <w:rsid w:val="00D37BD5"/>
    <w:rsid w:val="00D62371"/>
    <w:rsid w:val="00D723E9"/>
    <w:rsid w:val="00D755ED"/>
    <w:rsid w:val="00D77056"/>
    <w:rsid w:val="00D85B20"/>
    <w:rsid w:val="00DA21D3"/>
    <w:rsid w:val="00DD2AC5"/>
    <w:rsid w:val="00DD3B27"/>
    <w:rsid w:val="00DD43F5"/>
    <w:rsid w:val="00DD461F"/>
    <w:rsid w:val="00DE4064"/>
    <w:rsid w:val="00DE58C9"/>
    <w:rsid w:val="00E002E2"/>
    <w:rsid w:val="00E1242B"/>
    <w:rsid w:val="00E13DB2"/>
    <w:rsid w:val="00E36A22"/>
    <w:rsid w:val="00E51BE9"/>
    <w:rsid w:val="00E53C7D"/>
    <w:rsid w:val="00E5475E"/>
    <w:rsid w:val="00E64F7E"/>
    <w:rsid w:val="00E8786C"/>
    <w:rsid w:val="00EB7A48"/>
    <w:rsid w:val="00ED4E24"/>
    <w:rsid w:val="00EE448C"/>
    <w:rsid w:val="00EE47DF"/>
    <w:rsid w:val="00EF6239"/>
    <w:rsid w:val="00F03BFF"/>
    <w:rsid w:val="00F05364"/>
    <w:rsid w:val="00F238C3"/>
    <w:rsid w:val="00F51E9E"/>
    <w:rsid w:val="00F53E3A"/>
    <w:rsid w:val="00F5584D"/>
    <w:rsid w:val="00F66FB3"/>
    <w:rsid w:val="00F70502"/>
    <w:rsid w:val="00FA1625"/>
    <w:rsid w:val="00FC44AE"/>
    <w:rsid w:val="00FD1593"/>
    <w:rsid w:val="00FD254A"/>
    <w:rsid w:val="00FD47B4"/>
    <w:rsid w:val="00FF1763"/>
    <w:rsid w:val="00FF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7111"/>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
    <w:unhideWhenUsed/>
    <w:qFormat/>
    <w:rsid w:val="00537111"/>
    <w:pPr>
      <w:keepNext/>
      <w:keepLines/>
      <w:spacing w:after="240" w:line="240" w:lineRule="auto"/>
      <w:ind w:left="1440" w:hanging="7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37111"/>
    <w:pPr>
      <w:keepNext/>
      <w:keepLines/>
      <w:spacing w:after="240" w:line="240" w:lineRule="auto"/>
      <w:ind w:left="2160" w:hanging="72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uiPriority w:val="99"/>
    <w:unhideWhenUsed/>
    <w:rsid w:val="00E53C7D"/>
    <w:pPr>
      <w:spacing w:after="120" w:line="240" w:lineRule="auto"/>
    </w:pPr>
    <w:rPr>
      <w:rFonts w:ascii="Times New Roman" w:hAnsi="Times New Roman"/>
      <w:sz w:val="20"/>
      <w:szCs w:val="20"/>
    </w:rPr>
  </w:style>
  <w:style w:type="character" w:customStyle="1" w:styleId="FootnoteTextChar">
    <w:name w:val="Footnote Text Char"/>
    <w:aliases w:val="Footnote Text Char1 Char,Footnote Text Char Char Char,Footnote Text Char1 Char Char1 Char,Footnote Text Char Char Char Char Char,Footnote Text Char2 Char Char Char Char1 Char,Footnote Text Char1 Char Char1 Char Char Char Char,fn Char"/>
    <w:basedOn w:val="DefaultParagraphFont"/>
    <w:link w:val="FootnoteText"/>
    <w:uiPriority w:val="99"/>
    <w:rsid w:val="00E53C7D"/>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EE448C"/>
    <w:rPr>
      <w:vertAlign w:val="superscript"/>
    </w:rPr>
  </w:style>
  <w:style w:type="paragraph" w:styleId="Footer">
    <w:name w:val="footer"/>
    <w:basedOn w:val="Normal"/>
    <w:link w:val="FooterChar"/>
    <w:uiPriority w:val="99"/>
    <w:unhideWhenUsed/>
    <w:rsid w:val="00EE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8C"/>
    <w:rPr>
      <w:rFonts w:eastAsiaTheme="minorEastAsia"/>
    </w:rPr>
  </w:style>
  <w:style w:type="paragraph" w:styleId="ListParagraph">
    <w:name w:val="List Paragraph"/>
    <w:basedOn w:val="Normal"/>
    <w:uiPriority w:val="34"/>
    <w:qFormat/>
    <w:rsid w:val="00F238C3"/>
    <w:pPr>
      <w:ind w:left="720"/>
      <w:contextualSpacing/>
    </w:pPr>
  </w:style>
  <w:style w:type="paragraph" w:styleId="Header">
    <w:name w:val="header"/>
    <w:basedOn w:val="Normal"/>
    <w:link w:val="HeaderChar"/>
    <w:uiPriority w:val="99"/>
    <w:unhideWhenUsed/>
    <w:rsid w:val="00F2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8C3"/>
    <w:rPr>
      <w:rFonts w:eastAsiaTheme="minorEastAsia"/>
    </w:rPr>
  </w:style>
  <w:style w:type="character" w:styleId="Hyperlink">
    <w:name w:val="Hyperlink"/>
    <w:uiPriority w:val="99"/>
    <w:unhideWhenUsed/>
    <w:rsid w:val="00F53E3A"/>
    <w:rPr>
      <w:color w:val="0000FF"/>
      <w:u w:val="single"/>
    </w:rPr>
  </w:style>
  <w:style w:type="paragraph" w:styleId="BalloonText">
    <w:name w:val="Balloon Text"/>
    <w:basedOn w:val="Normal"/>
    <w:link w:val="BalloonTextChar"/>
    <w:uiPriority w:val="99"/>
    <w:semiHidden/>
    <w:unhideWhenUsed/>
    <w:rsid w:val="00CB6F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6F90"/>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CB6F90"/>
    <w:rPr>
      <w:sz w:val="18"/>
      <w:szCs w:val="18"/>
    </w:rPr>
  </w:style>
  <w:style w:type="paragraph" w:styleId="CommentText">
    <w:name w:val="annotation text"/>
    <w:basedOn w:val="Normal"/>
    <w:link w:val="CommentTextChar"/>
    <w:uiPriority w:val="99"/>
    <w:semiHidden/>
    <w:unhideWhenUsed/>
    <w:rsid w:val="00CB6F90"/>
    <w:pPr>
      <w:spacing w:line="240" w:lineRule="auto"/>
    </w:pPr>
    <w:rPr>
      <w:sz w:val="24"/>
      <w:szCs w:val="24"/>
    </w:rPr>
  </w:style>
  <w:style w:type="character" w:customStyle="1" w:styleId="CommentTextChar">
    <w:name w:val="Comment Text Char"/>
    <w:basedOn w:val="DefaultParagraphFont"/>
    <w:link w:val="CommentText"/>
    <w:uiPriority w:val="99"/>
    <w:semiHidden/>
    <w:rsid w:val="00CB6F90"/>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CB6F90"/>
    <w:rPr>
      <w:b/>
      <w:bCs/>
      <w:sz w:val="20"/>
      <w:szCs w:val="20"/>
    </w:rPr>
  </w:style>
  <w:style w:type="character" w:customStyle="1" w:styleId="CommentSubjectChar">
    <w:name w:val="Comment Subject Char"/>
    <w:basedOn w:val="CommentTextChar"/>
    <w:link w:val="CommentSubject"/>
    <w:uiPriority w:val="99"/>
    <w:semiHidden/>
    <w:rsid w:val="00CB6F90"/>
    <w:rPr>
      <w:rFonts w:eastAsiaTheme="minorEastAsia"/>
      <w:b/>
      <w:bCs/>
      <w:sz w:val="20"/>
      <w:szCs w:val="20"/>
    </w:rPr>
  </w:style>
  <w:style w:type="paragraph" w:styleId="NormalWeb">
    <w:name w:val="Normal (Web)"/>
    <w:basedOn w:val="Normal"/>
    <w:uiPriority w:val="99"/>
    <w:semiHidden/>
    <w:unhideWhenUsed/>
    <w:rsid w:val="00264F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4FA3"/>
  </w:style>
  <w:style w:type="character" w:styleId="FollowedHyperlink">
    <w:name w:val="FollowedHyperlink"/>
    <w:basedOn w:val="DefaultParagraphFont"/>
    <w:uiPriority w:val="99"/>
    <w:semiHidden/>
    <w:unhideWhenUsed/>
    <w:rsid w:val="0049105B"/>
    <w:rPr>
      <w:color w:val="800080" w:themeColor="followedHyperlink"/>
      <w:u w:val="single"/>
    </w:rPr>
  </w:style>
  <w:style w:type="character" w:customStyle="1" w:styleId="Heading1Char">
    <w:name w:val="Heading 1 Char"/>
    <w:basedOn w:val="DefaultParagraphFont"/>
    <w:link w:val="Heading1"/>
    <w:uiPriority w:val="9"/>
    <w:rsid w:val="00537111"/>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3711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37111"/>
    <w:rPr>
      <w:rFonts w:ascii="Times New Roman" w:eastAsiaTheme="majorEastAsia" w:hAnsi="Times New Roman" w:cstheme="majorBidi"/>
      <w:b/>
      <w:bCs/>
      <w:sz w:val="24"/>
    </w:rPr>
  </w:style>
  <w:style w:type="table" w:styleId="TableGrid">
    <w:name w:val="Table Grid"/>
    <w:basedOn w:val="TableNormal"/>
    <w:uiPriority w:val="59"/>
    <w:rsid w:val="0028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7111"/>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
    <w:unhideWhenUsed/>
    <w:qFormat/>
    <w:rsid w:val="00537111"/>
    <w:pPr>
      <w:keepNext/>
      <w:keepLines/>
      <w:spacing w:after="240" w:line="240" w:lineRule="auto"/>
      <w:ind w:left="1440" w:hanging="7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37111"/>
    <w:pPr>
      <w:keepNext/>
      <w:keepLines/>
      <w:spacing w:after="240" w:line="240" w:lineRule="auto"/>
      <w:ind w:left="2160" w:hanging="72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uiPriority w:val="99"/>
    <w:unhideWhenUsed/>
    <w:rsid w:val="00E53C7D"/>
    <w:pPr>
      <w:spacing w:after="120" w:line="240" w:lineRule="auto"/>
    </w:pPr>
    <w:rPr>
      <w:rFonts w:ascii="Times New Roman" w:hAnsi="Times New Roman"/>
      <w:sz w:val="20"/>
      <w:szCs w:val="20"/>
    </w:rPr>
  </w:style>
  <w:style w:type="character" w:customStyle="1" w:styleId="FootnoteTextChar">
    <w:name w:val="Footnote Text Char"/>
    <w:aliases w:val="Footnote Text Char1 Char,Footnote Text Char Char Char,Footnote Text Char1 Char Char1 Char,Footnote Text Char Char Char Char Char,Footnote Text Char2 Char Char Char Char1 Char,Footnote Text Char1 Char Char1 Char Char Char Char,fn Char"/>
    <w:basedOn w:val="DefaultParagraphFont"/>
    <w:link w:val="FootnoteText"/>
    <w:uiPriority w:val="99"/>
    <w:rsid w:val="00E53C7D"/>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EE448C"/>
    <w:rPr>
      <w:vertAlign w:val="superscript"/>
    </w:rPr>
  </w:style>
  <w:style w:type="paragraph" w:styleId="Footer">
    <w:name w:val="footer"/>
    <w:basedOn w:val="Normal"/>
    <w:link w:val="FooterChar"/>
    <w:uiPriority w:val="99"/>
    <w:unhideWhenUsed/>
    <w:rsid w:val="00EE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8C"/>
    <w:rPr>
      <w:rFonts w:eastAsiaTheme="minorEastAsia"/>
    </w:rPr>
  </w:style>
  <w:style w:type="paragraph" w:styleId="ListParagraph">
    <w:name w:val="List Paragraph"/>
    <w:basedOn w:val="Normal"/>
    <w:uiPriority w:val="34"/>
    <w:qFormat/>
    <w:rsid w:val="00F238C3"/>
    <w:pPr>
      <w:ind w:left="720"/>
      <w:contextualSpacing/>
    </w:pPr>
  </w:style>
  <w:style w:type="paragraph" w:styleId="Header">
    <w:name w:val="header"/>
    <w:basedOn w:val="Normal"/>
    <w:link w:val="HeaderChar"/>
    <w:uiPriority w:val="99"/>
    <w:unhideWhenUsed/>
    <w:rsid w:val="00F2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8C3"/>
    <w:rPr>
      <w:rFonts w:eastAsiaTheme="minorEastAsia"/>
    </w:rPr>
  </w:style>
  <w:style w:type="character" w:styleId="Hyperlink">
    <w:name w:val="Hyperlink"/>
    <w:uiPriority w:val="99"/>
    <w:unhideWhenUsed/>
    <w:rsid w:val="00F53E3A"/>
    <w:rPr>
      <w:color w:val="0000FF"/>
      <w:u w:val="single"/>
    </w:rPr>
  </w:style>
  <w:style w:type="paragraph" w:styleId="BalloonText">
    <w:name w:val="Balloon Text"/>
    <w:basedOn w:val="Normal"/>
    <w:link w:val="BalloonTextChar"/>
    <w:uiPriority w:val="99"/>
    <w:semiHidden/>
    <w:unhideWhenUsed/>
    <w:rsid w:val="00CB6F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6F90"/>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CB6F90"/>
    <w:rPr>
      <w:sz w:val="18"/>
      <w:szCs w:val="18"/>
    </w:rPr>
  </w:style>
  <w:style w:type="paragraph" w:styleId="CommentText">
    <w:name w:val="annotation text"/>
    <w:basedOn w:val="Normal"/>
    <w:link w:val="CommentTextChar"/>
    <w:uiPriority w:val="99"/>
    <w:semiHidden/>
    <w:unhideWhenUsed/>
    <w:rsid w:val="00CB6F90"/>
    <w:pPr>
      <w:spacing w:line="240" w:lineRule="auto"/>
    </w:pPr>
    <w:rPr>
      <w:sz w:val="24"/>
      <w:szCs w:val="24"/>
    </w:rPr>
  </w:style>
  <w:style w:type="character" w:customStyle="1" w:styleId="CommentTextChar">
    <w:name w:val="Comment Text Char"/>
    <w:basedOn w:val="DefaultParagraphFont"/>
    <w:link w:val="CommentText"/>
    <w:uiPriority w:val="99"/>
    <w:semiHidden/>
    <w:rsid w:val="00CB6F90"/>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CB6F90"/>
    <w:rPr>
      <w:b/>
      <w:bCs/>
      <w:sz w:val="20"/>
      <w:szCs w:val="20"/>
    </w:rPr>
  </w:style>
  <w:style w:type="character" w:customStyle="1" w:styleId="CommentSubjectChar">
    <w:name w:val="Comment Subject Char"/>
    <w:basedOn w:val="CommentTextChar"/>
    <w:link w:val="CommentSubject"/>
    <w:uiPriority w:val="99"/>
    <w:semiHidden/>
    <w:rsid w:val="00CB6F90"/>
    <w:rPr>
      <w:rFonts w:eastAsiaTheme="minorEastAsia"/>
      <w:b/>
      <w:bCs/>
      <w:sz w:val="20"/>
      <w:szCs w:val="20"/>
    </w:rPr>
  </w:style>
  <w:style w:type="paragraph" w:styleId="NormalWeb">
    <w:name w:val="Normal (Web)"/>
    <w:basedOn w:val="Normal"/>
    <w:uiPriority w:val="99"/>
    <w:semiHidden/>
    <w:unhideWhenUsed/>
    <w:rsid w:val="00264F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4FA3"/>
  </w:style>
  <w:style w:type="character" w:styleId="FollowedHyperlink">
    <w:name w:val="FollowedHyperlink"/>
    <w:basedOn w:val="DefaultParagraphFont"/>
    <w:uiPriority w:val="99"/>
    <w:semiHidden/>
    <w:unhideWhenUsed/>
    <w:rsid w:val="0049105B"/>
    <w:rPr>
      <w:color w:val="800080" w:themeColor="followedHyperlink"/>
      <w:u w:val="single"/>
    </w:rPr>
  </w:style>
  <w:style w:type="character" w:customStyle="1" w:styleId="Heading1Char">
    <w:name w:val="Heading 1 Char"/>
    <w:basedOn w:val="DefaultParagraphFont"/>
    <w:link w:val="Heading1"/>
    <w:uiPriority w:val="9"/>
    <w:rsid w:val="00537111"/>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3711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37111"/>
    <w:rPr>
      <w:rFonts w:ascii="Times New Roman" w:eastAsiaTheme="majorEastAsia" w:hAnsi="Times New Roman" w:cstheme="majorBidi"/>
      <w:b/>
      <w:bCs/>
      <w:sz w:val="24"/>
    </w:rPr>
  </w:style>
  <w:style w:type="table" w:styleId="TableGrid">
    <w:name w:val="Table Grid"/>
    <w:basedOn w:val="TableNormal"/>
    <w:uiPriority w:val="59"/>
    <w:rsid w:val="0028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William.wright@ohioattorneygeneral.gov" TargetMode="External"/><Relationship Id="rId26"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hyperlink" Target="mailto:Bryce.mckenney@puc.state.oh.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jsettineri@vory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darr@mwncmh.com" TargetMode="External"/><Relationship Id="rId20" Type="http://schemas.openxmlformats.org/officeDocument/2006/relationships/hyperlink" Target="mailto:mkeaney@calfe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ojko@carpenterlipps.co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stnourse@aep.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yle.kern@occ.ohio.gov"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2239</Words>
  <Characters>12715</Characters>
  <Application>Microsoft Office Word</Application>
  <DocSecurity>0</DocSecurity>
  <PresentationFormat/>
  <Lines>275</Lines>
  <Paragraphs>87</Paragraphs>
  <ScaleCrop>false</ScaleCrop>
  <HeadingPairs>
    <vt:vector size="2" baseType="variant">
      <vt:variant>
        <vt:lpstr>Title</vt:lpstr>
      </vt:variant>
      <vt:variant>
        <vt:i4>1</vt:i4>
      </vt:variant>
    </vt:vector>
  </HeadingPairs>
  <TitlesOfParts>
    <vt:vector size="1" baseType="lpstr">
      <vt:lpstr>OCC Memo Contra MTIs FINAL  (00012739.DOCX;1)</vt:lpstr>
    </vt:vector>
  </TitlesOfParts>
  <Manager/>
  <Company/>
  <LinksUpToDate>false</LinksUpToDate>
  <CharactersWithSpaces>15017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2016-05-25T17:11:00Z</cp:lastPrinted>
  <dcterms:created xsi:type="dcterms:W3CDTF">2016-05-25T20:44:00Z</dcterms:created>
  <dcterms:modified xsi:type="dcterms:W3CDTF">2016-05-25T20:44:00Z</dcterms:modified>
  <cp:category> </cp:category>
  <cp:contentStatus> </cp:contentStatus>
</cp:coreProperties>
</file>