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4858E7" w:rsidRPr="00254A63" w:rsidP="004858E7" w14:paraId="25AADA66" w14:textId="298F1EA9">
      <w:pPr>
        <w:pStyle w:val="HTMLPreformatted"/>
        <w:jc w:val="center"/>
        <w:rPr>
          <w:rFonts w:ascii="Times New Roman" w:hAnsi="Times New Roman" w:cs="Times New Roman"/>
          <w:b/>
          <w:bCs/>
          <w:sz w:val="24"/>
          <w:szCs w:val="24"/>
        </w:rPr>
      </w:pPr>
      <w:r w:rsidRPr="00254A63">
        <w:rPr>
          <w:rFonts w:ascii="Times New Roman" w:hAnsi="Times New Roman" w:cs="Times New Roman"/>
          <w:b/>
          <w:bCs/>
          <w:sz w:val="24"/>
          <w:szCs w:val="24"/>
        </w:rPr>
        <w:t>BEFORE</w:t>
      </w:r>
    </w:p>
    <w:p w:rsidR="004858E7" w:rsidRPr="00254A63" w:rsidP="004858E7" w14:paraId="268936C6" w14:textId="77777777">
      <w:pPr>
        <w:pStyle w:val="HTMLPreformatted"/>
        <w:jc w:val="center"/>
        <w:rPr>
          <w:rFonts w:ascii="Times New Roman" w:hAnsi="Times New Roman" w:cs="Times New Roman"/>
          <w:b/>
          <w:bCs/>
          <w:sz w:val="24"/>
          <w:szCs w:val="24"/>
        </w:rPr>
      </w:pPr>
      <w:r w:rsidRPr="00254A63">
        <w:rPr>
          <w:rFonts w:ascii="Times New Roman" w:hAnsi="Times New Roman" w:cs="Times New Roman"/>
          <w:b/>
          <w:bCs/>
          <w:sz w:val="24"/>
          <w:szCs w:val="24"/>
        </w:rPr>
        <w:t>THE PUBLIC UTILITIES COMMISSION OF OHIO</w:t>
      </w:r>
    </w:p>
    <w:p w:rsidR="004858E7" w:rsidRPr="00254A63" w:rsidP="004858E7" w14:paraId="79071AD9" w14:textId="77777777">
      <w:pPr>
        <w:pStyle w:val="HTMLPreformatted"/>
        <w:jc w:val="center"/>
        <w:rPr>
          <w:rFonts w:ascii="Times New Roman" w:hAnsi="Times New Roman" w:cs="Times New Roman"/>
          <w:b/>
          <w:bCs/>
          <w:sz w:val="24"/>
          <w:szCs w:val="24"/>
        </w:rPr>
      </w:pPr>
    </w:p>
    <w:tbl>
      <w:tblPr>
        <w:tblW w:w="8640" w:type="dxa"/>
        <w:tblInd w:w="0" w:type="dxa"/>
        <w:tblCellMar>
          <w:top w:w="0" w:type="dxa"/>
          <w:left w:w="108" w:type="dxa"/>
          <w:bottom w:w="0" w:type="dxa"/>
          <w:right w:w="108" w:type="dxa"/>
        </w:tblCellMar>
        <w:tblLook w:val="01E0"/>
      </w:tblPr>
      <w:tblGrid>
        <w:gridCol w:w="4230"/>
        <w:gridCol w:w="630"/>
        <w:gridCol w:w="3780"/>
      </w:tblGrid>
      <w:tr w14:paraId="75AC239F" w14:textId="77777777" w:rsidTr="00BB5FA2">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4858E7" w:rsidRPr="00254A63" w:rsidP="00BB5FA2" w14:paraId="209DFDA1" w14:textId="44008013">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r w:rsidRPr="00254A63">
              <w:rPr>
                <w:rFonts w:ascii="Times New Roman" w:eastAsia="Times New Roman" w:hAnsi="Times New Roman" w:cs="Times New Roman"/>
                <w:sz w:val="24"/>
                <w:szCs w:val="24"/>
                <w:lang w:val="en-US" w:eastAsia="en-US" w:bidi="ar-SA"/>
              </w:rPr>
              <w:t>In the Matter of the Review of Duke Energy Ohio, Inc.</w:t>
            </w:r>
            <w:r w:rsidR="00254A63">
              <w:rPr>
                <w:rFonts w:ascii="Times New Roman" w:eastAsia="Times New Roman" w:hAnsi="Times New Roman" w:cs="Times New Roman"/>
                <w:sz w:val="24"/>
                <w:szCs w:val="24"/>
                <w:lang w:val="en-US" w:eastAsia="en-US" w:bidi="ar-SA"/>
              </w:rPr>
              <w:t>’</w:t>
            </w:r>
            <w:r w:rsidRPr="00254A63">
              <w:rPr>
                <w:rFonts w:ascii="Times New Roman" w:eastAsia="Times New Roman" w:hAnsi="Times New Roman" w:cs="Times New Roman"/>
                <w:sz w:val="24"/>
                <w:szCs w:val="24"/>
                <w:lang w:val="en-US" w:eastAsia="en-US" w:bidi="ar-SA"/>
              </w:rPr>
              <w:t>s Distribution Capital Investment Rider.</w:t>
            </w:r>
          </w:p>
        </w:tc>
        <w:tc>
          <w:tcPr>
            <w:tcW w:w="630" w:type="dxa"/>
            <w:shd w:val="clear" w:color="auto" w:fill="auto"/>
          </w:tcPr>
          <w:p w:rsidR="004858E7" w:rsidRPr="00254A63" w:rsidP="00BB5FA2" w14:paraId="6817DAA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254A63">
              <w:rPr>
                <w:rFonts w:ascii="Times New Roman" w:eastAsia="Courier New" w:hAnsi="Times New Roman" w:cs="Times New Roman"/>
                <w:sz w:val="24"/>
                <w:szCs w:val="24"/>
                <w:lang w:val="en-US" w:eastAsia="en-US" w:bidi="ar-SA"/>
              </w:rPr>
              <w:t>)</w:t>
            </w:r>
          </w:p>
          <w:p w:rsidR="004858E7" w:rsidRPr="00254A63" w:rsidP="00BB5FA2" w14:paraId="762B6E3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254A63">
              <w:rPr>
                <w:rFonts w:ascii="Times New Roman" w:eastAsia="Courier New" w:hAnsi="Times New Roman" w:cs="Times New Roman"/>
                <w:sz w:val="24"/>
                <w:szCs w:val="24"/>
                <w:lang w:val="en-US" w:eastAsia="en-US" w:bidi="ar-SA"/>
              </w:rPr>
              <w:t>)</w:t>
            </w:r>
          </w:p>
          <w:p w:rsidR="004858E7" w:rsidRPr="00254A63" w:rsidP="00BB5FA2" w14:paraId="7B2F128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254A63">
              <w:rPr>
                <w:rFonts w:ascii="Times New Roman" w:eastAsia="Courier New" w:hAnsi="Times New Roman" w:cs="Times New Roman"/>
                <w:sz w:val="24"/>
                <w:szCs w:val="24"/>
                <w:lang w:val="en-US" w:eastAsia="en-US" w:bidi="ar-SA"/>
              </w:rPr>
              <w:t>)</w:t>
            </w:r>
          </w:p>
        </w:tc>
        <w:tc>
          <w:tcPr>
            <w:tcW w:w="3780" w:type="dxa"/>
            <w:shd w:val="clear" w:color="auto" w:fill="auto"/>
          </w:tcPr>
          <w:p w:rsidR="004858E7" w:rsidRPr="00254A63" w:rsidP="00BB5FA2" w14:paraId="57E5F4C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p w:rsidR="004858E7" w:rsidRPr="00254A63" w:rsidP="00BB5FA2" w14:paraId="2BECFB6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r w:rsidRPr="00254A63">
              <w:rPr>
                <w:rFonts w:ascii="Times New Roman" w:eastAsia="Courier New" w:hAnsi="Times New Roman" w:cs="Times New Roman"/>
                <w:sz w:val="24"/>
                <w:szCs w:val="24"/>
                <w:lang w:val="en-US" w:eastAsia="en-US" w:bidi="ar-SA"/>
              </w:rPr>
              <w:t>Case No. 23-549-EL-RDR</w:t>
            </w:r>
          </w:p>
          <w:p w:rsidR="004858E7" w:rsidRPr="00254A63" w:rsidP="00BB5FA2" w14:paraId="3D76126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n-US" w:bidi="ar-SA"/>
              </w:rPr>
            </w:pPr>
          </w:p>
        </w:tc>
      </w:tr>
    </w:tbl>
    <w:p w:rsidR="004858E7" w:rsidRPr="00254A63" w:rsidP="004858E7" w14:paraId="67DF8BC9" w14:textId="77777777">
      <w:pPr>
        <w:pStyle w:val="HTMLPreformatted"/>
        <w:rPr>
          <w:rFonts w:ascii="Times New Roman" w:hAnsi="Times New Roman" w:cs="Times New Roman"/>
          <w:sz w:val="24"/>
          <w:szCs w:val="24"/>
        </w:rPr>
      </w:pPr>
    </w:p>
    <w:p w:rsidR="004858E7" w:rsidRPr="00254A63" w:rsidP="004858E7" w14:paraId="06029622" w14:textId="77777777">
      <w:pPr>
        <w:pBdr>
          <w:top w:val="single" w:sz="12" w:space="1" w:color="auto"/>
        </w:pBdr>
        <w:tabs>
          <w:tab w:val="left" w:pos="-720"/>
        </w:tabs>
        <w:suppressAutoHyphens/>
        <w:spacing w:after="0" w:line="240" w:lineRule="auto"/>
        <w:jc w:val="center"/>
        <w:rPr>
          <w:rFonts w:cs="Times New Roman"/>
          <w:b/>
          <w:bCs/>
          <w:szCs w:val="24"/>
        </w:rPr>
      </w:pPr>
    </w:p>
    <w:p w:rsidR="004858E7" w:rsidRPr="00254A63" w:rsidP="004858E7" w14:paraId="2C465059" w14:textId="522A3EFA">
      <w:pPr>
        <w:spacing w:after="0" w:line="240" w:lineRule="auto"/>
        <w:jc w:val="center"/>
        <w:rPr>
          <w:rFonts w:cs="Times New Roman"/>
          <w:b/>
          <w:bCs/>
          <w:szCs w:val="24"/>
        </w:rPr>
      </w:pPr>
      <w:r w:rsidRPr="00254A63">
        <w:rPr>
          <w:rFonts w:cs="Times New Roman"/>
          <w:b/>
          <w:bCs/>
          <w:szCs w:val="24"/>
        </w:rPr>
        <w:t xml:space="preserve">CONSUMER PROTECTION </w:t>
      </w:r>
      <w:r w:rsidRPr="00254A63" w:rsidR="00E22229">
        <w:rPr>
          <w:rFonts w:cs="Times New Roman"/>
          <w:b/>
          <w:bCs/>
          <w:szCs w:val="24"/>
        </w:rPr>
        <w:t xml:space="preserve">REPLY </w:t>
      </w:r>
      <w:r w:rsidRPr="00254A63">
        <w:rPr>
          <w:rFonts w:cs="Times New Roman"/>
          <w:b/>
          <w:bCs/>
          <w:szCs w:val="24"/>
        </w:rPr>
        <w:t>COMMENTS</w:t>
      </w:r>
    </w:p>
    <w:p w:rsidR="004858E7" w:rsidRPr="00254A63" w:rsidP="004858E7" w14:paraId="20853070" w14:textId="77777777">
      <w:pPr>
        <w:spacing w:after="0" w:line="240" w:lineRule="auto"/>
        <w:jc w:val="center"/>
        <w:rPr>
          <w:rFonts w:cs="Times New Roman"/>
          <w:b/>
          <w:bCs/>
          <w:szCs w:val="24"/>
        </w:rPr>
      </w:pPr>
      <w:r w:rsidRPr="00254A63">
        <w:rPr>
          <w:rFonts w:cs="Times New Roman"/>
          <w:b/>
          <w:bCs/>
          <w:szCs w:val="24"/>
        </w:rPr>
        <w:t>BY</w:t>
      </w:r>
    </w:p>
    <w:p w:rsidR="004858E7" w:rsidRPr="00254A63" w:rsidP="004858E7" w14:paraId="30A004D1" w14:textId="06F1176A">
      <w:pPr>
        <w:spacing w:after="0" w:line="240" w:lineRule="auto"/>
        <w:jc w:val="center"/>
        <w:rPr>
          <w:rFonts w:cs="Times New Roman"/>
          <w:b/>
          <w:bCs/>
          <w:szCs w:val="24"/>
        </w:rPr>
      </w:pPr>
      <w:r w:rsidRPr="00254A63">
        <w:rPr>
          <w:rFonts w:cs="Times New Roman"/>
          <w:b/>
          <w:bCs/>
          <w:szCs w:val="24"/>
        </w:rPr>
        <w:t>OFFICE OF THE OHIO CONSUMERS</w:t>
      </w:r>
      <w:r w:rsidR="00254A63">
        <w:rPr>
          <w:rFonts w:cs="Times New Roman"/>
          <w:b/>
          <w:bCs/>
          <w:szCs w:val="24"/>
        </w:rPr>
        <w:t>’</w:t>
      </w:r>
      <w:r w:rsidRPr="00254A63">
        <w:rPr>
          <w:rFonts w:cs="Times New Roman"/>
          <w:b/>
          <w:bCs/>
          <w:szCs w:val="24"/>
        </w:rPr>
        <w:t xml:space="preserve"> COUNSEL</w:t>
      </w:r>
    </w:p>
    <w:p w:rsidR="004858E7" w:rsidRPr="00254A63" w:rsidP="004858E7" w14:paraId="05E58E63" w14:textId="77777777">
      <w:pPr>
        <w:pBdr>
          <w:bottom w:val="single" w:sz="12" w:space="1" w:color="auto"/>
        </w:pBdr>
        <w:tabs>
          <w:tab w:val="left" w:pos="-720"/>
        </w:tabs>
        <w:suppressAutoHyphens/>
        <w:spacing w:after="0" w:line="240" w:lineRule="auto"/>
        <w:jc w:val="center"/>
        <w:rPr>
          <w:rFonts w:cs="Times New Roman"/>
          <w:b/>
          <w:bCs/>
          <w:szCs w:val="24"/>
        </w:rPr>
      </w:pPr>
    </w:p>
    <w:p w:rsidR="004858E7" w:rsidRPr="00254A63" w:rsidP="006C011E" w14:paraId="529411E1" w14:textId="77777777">
      <w:pPr>
        <w:tabs>
          <w:tab w:val="left" w:pos="-720"/>
        </w:tabs>
        <w:suppressAutoHyphens/>
        <w:spacing w:after="0" w:line="240" w:lineRule="auto"/>
        <w:jc w:val="both"/>
        <w:rPr>
          <w:rFonts w:cs="Times New Roman"/>
          <w:szCs w:val="24"/>
        </w:rPr>
      </w:pPr>
    </w:p>
    <w:p w:rsidR="00CC664D" w:rsidRPr="00254A63" w:rsidP="000F6AE8" w14:paraId="157EBB22" w14:textId="77777777">
      <w:pPr>
        <w:pStyle w:val="Heading1"/>
        <w:rPr>
          <w:rFonts w:ascii="Times New Roman" w:hAnsi="Times New Roman" w:cs="Times New Roman"/>
          <w:szCs w:val="24"/>
        </w:rPr>
      </w:pPr>
      <w:bookmarkStart w:id="0" w:name="_Toc161324649"/>
      <w:r w:rsidRPr="00254A63">
        <w:rPr>
          <w:rFonts w:ascii="Times New Roman" w:hAnsi="Times New Roman" w:cs="Times New Roman"/>
          <w:szCs w:val="24"/>
        </w:rPr>
        <w:t xml:space="preserve">I. </w:t>
      </w:r>
      <w:r w:rsidRPr="00254A63">
        <w:rPr>
          <w:rFonts w:ascii="Times New Roman" w:hAnsi="Times New Roman" w:cs="Times New Roman"/>
          <w:szCs w:val="24"/>
        </w:rPr>
        <w:tab/>
      </w:r>
      <w:r w:rsidRPr="00254A63" w:rsidR="006C011E">
        <w:rPr>
          <w:rFonts w:ascii="Times New Roman" w:hAnsi="Times New Roman" w:cs="Times New Roman"/>
          <w:szCs w:val="24"/>
        </w:rPr>
        <w:t>INTRODUCTION</w:t>
      </w:r>
      <w:bookmarkEnd w:id="0"/>
    </w:p>
    <w:p w:rsidR="00E22229" w:rsidRPr="00254A63" w:rsidP="00E22229" w14:paraId="188ABD57" w14:textId="3F69C99B">
      <w:pPr>
        <w:spacing w:after="0" w:line="480" w:lineRule="auto"/>
        <w:ind w:firstLine="720"/>
        <w:rPr>
          <w:rFonts w:cs="Times New Roman"/>
          <w:szCs w:val="24"/>
        </w:rPr>
      </w:pPr>
      <w:r w:rsidRPr="00254A63">
        <w:rPr>
          <w:rFonts w:cs="Times New Roman"/>
          <w:szCs w:val="24"/>
        </w:rPr>
        <w:t xml:space="preserve">From July 1, 2022 through June 30, 2023, Duke charged consumers $41.5 million through </w:t>
      </w:r>
      <w:r w:rsidRPr="00254A63" w:rsidR="00A130E9">
        <w:rPr>
          <w:rFonts w:cs="Times New Roman"/>
          <w:szCs w:val="24"/>
        </w:rPr>
        <w:t xml:space="preserve">its </w:t>
      </w:r>
      <w:r w:rsidRPr="00254A63">
        <w:rPr>
          <w:rFonts w:cs="Times New Roman"/>
          <w:szCs w:val="24"/>
        </w:rPr>
        <w:t>Distribution Capital Investment Rider (</w:t>
      </w:r>
      <w:r w:rsidR="00254A63">
        <w:rPr>
          <w:rFonts w:cs="Times New Roman"/>
          <w:szCs w:val="24"/>
        </w:rPr>
        <w:t>“</w:t>
      </w:r>
      <w:r w:rsidRPr="00254A63">
        <w:rPr>
          <w:rFonts w:cs="Times New Roman"/>
          <w:szCs w:val="24"/>
        </w:rPr>
        <w:t>DCI</w:t>
      </w:r>
      <w:r w:rsidR="00254A63">
        <w:rPr>
          <w:rFonts w:cs="Times New Roman"/>
          <w:szCs w:val="24"/>
        </w:rPr>
        <w:t>”</w:t>
      </w:r>
      <w:r w:rsidRPr="00254A63">
        <w:rPr>
          <w:rFonts w:cs="Times New Roman"/>
          <w:szCs w:val="24"/>
        </w:rPr>
        <w:t>).</w:t>
      </w:r>
      <w:r>
        <w:rPr>
          <w:rStyle w:val="FootnoteReference"/>
          <w:rFonts w:cs="Times New Roman"/>
          <w:szCs w:val="24"/>
        </w:rPr>
        <w:footnoteReference w:id="2"/>
      </w:r>
      <w:r w:rsidRPr="00254A63">
        <w:rPr>
          <w:rFonts w:cs="Times New Roman"/>
          <w:szCs w:val="24"/>
        </w:rPr>
        <w:t xml:space="preserve"> Duke uses Rider DCI</w:t>
      </w:r>
      <w:r w:rsidR="00254A63">
        <w:rPr>
          <w:rFonts w:cs="Times New Roman"/>
          <w:szCs w:val="24"/>
        </w:rPr>
        <w:t xml:space="preserve"> </w:t>
      </w:r>
      <w:r w:rsidRPr="00254A63">
        <w:rPr>
          <w:rFonts w:cs="Times New Roman"/>
          <w:szCs w:val="24"/>
        </w:rPr>
        <w:t xml:space="preserve">to charge consumers for certain capital costs associated with modernizing </w:t>
      </w:r>
      <w:r w:rsidRPr="00254A63" w:rsidR="00A130E9">
        <w:rPr>
          <w:rFonts w:cs="Times New Roman"/>
          <w:szCs w:val="24"/>
        </w:rPr>
        <w:t>its</w:t>
      </w:r>
      <w:r w:rsidR="00F47921">
        <w:rPr>
          <w:rFonts w:cs="Times New Roman"/>
          <w:szCs w:val="24"/>
        </w:rPr>
        <w:t xml:space="preserve"> </w:t>
      </w:r>
      <w:r w:rsidRPr="00254A63">
        <w:rPr>
          <w:rFonts w:cs="Times New Roman"/>
          <w:szCs w:val="24"/>
        </w:rPr>
        <w:t>distribution system.</w:t>
      </w:r>
      <w:r>
        <w:rPr>
          <w:rStyle w:val="FootnoteReference"/>
          <w:rFonts w:cs="Times New Roman"/>
          <w:szCs w:val="24"/>
        </w:rPr>
        <w:footnoteReference w:id="3"/>
      </w:r>
      <w:r w:rsidRPr="00254A63">
        <w:rPr>
          <w:rFonts w:cs="Times New Roman"/>
          <w:szCs w:val="24"/>
        </w:rPr>
        <w:t xml:space="preserve"> </w:t>
      </w:r>
      <w:r w:rsidRPr="00254A63" w:rsidR="008A2727">
        <w:rPr>
          <w:rFonts w:cs="Times New Roman"/>
          <w:szCs w:val="24"/>
        </w:rPr>
        <w:t>In t</w:t>
      </w:r>
      <w:r w:rsidRPr="00254A63">
        <w:rPr>
          <w:rFonts w:cs="Times New Roman"/>
          <w:szCs w:val="24"/>
        </w:rPr>
        <w:t>his case</w:t>
      </w:r>
      <w:r w:rsidRPr="00254A63" w:rsidR="008A2727">
        <w:rPr>
          <w:rFonts w:cs="Times New Roman"/>
          <w:szCs w:val="24"/>
        </w:rPr>
        <w:t xml:space="preserve">, </w:t>
      </w:r>
      <w:r w:rsidRPr="00254A63">
        <w:rPr>
          <w:rFonts w:cs="Times New Roman"/>
          <w:szCs w:val="24"/>
        </w:rPr>
        <w:t>the PUCO</w:t>
      </w:r>
      <w:r w:rsidRPr="00254A63">
        <w:rPr>
          <w:rFonts w:cs="Times New Roman"/>
          <w:szCs w:val="24"/>
        </w:rPr>
        <w:t xml:space="preserve"> is</w:t>
      </w:r>
      <w:r w:rsidRPr="00254A63">
        <w:rPr>
          <w:rFonts w:cs="Times New Roman"/>
          <w:szCs w:val="24"/>
        </w:rPr>
        <w:t xml:space="preserve"> review</w:t>
      </w:r>
      <w:r w:rsidRPr="00254A63">
        <w:rPr>
          <w:rFonts w:cs="Times New Roman"/>
          <w:szCs w:val="24"/>
        </w:rPr>
        <w:t>ing</w:t>
      </w:r>
      <w:r w:rsidRPr="00254A63">
        <w:rPr>
          <w:rFonts w:cs="Times New Roman"/>
          <w:szCs w:val="24"/>
        </w:rPr>
        <w:t xml:space="preserve"> Duke</w:t>
      </w:r>
      <w:r w:rsidR="00254A63">
        <w:rPr>
          <w:rFonts w:cs="Times New Roman"/>
          <w:szCs w:val="24"/>
        </w:rPr>
        <w:t>’</w:t>
      </w:r>
      <w:r w:rsidRPr="00254A63">
        <w:rPr>
          <w:rFonts w:cs="Times New Roman"/>
          <w:szCs w:val="24"/>
        </w:rPr>
        <w:t xml:space="preserve">s </w:t>
      </w:r>
      <w:r w:rsidRPr="00254A63">
        <w:rPr>
          <w:rFonts w:cs="Times New Roman"/>
          <w:szCs w:val="24"/>
        </w:rPr>
        <w:t>charges to consumers through the Rider DCI</w:t>
      </w:r>
      <w:r w:rsidRPr="00254A63">
        <w:rPr>
          <w:rFonts w:cs="Times New Roman"/>
          <w:szCs w:val="24"/>
        </w:rPr>
        <w:t xml:space="preserve"> during the audit </w:t>
      </w:r>
      <w:r w:rsidRPr="00254A63">
        <w:rPr>
          <w:rFonts w:cs="Times New Roman"/>
          <w:szCs w:val="24"/>
        </w:rPr>
        <w:t>period</w:t>
      </w:r>
      <w:r w:rsidRPr="00254A63">
        <w:rPr>
          <w:rFonts w:cs="Times New Roman"/>
          <w:szCs w:val="24"/>
        </w:rPr>
        <w:t>.</w:t>
      </w:r>
    </w:p>
    <w:p w:rsidR="00C415A5" w:rsidRPr="00254A63" w:rsidP="00E22229" w14:paraId="21DAB5FF" w14:textId="49659593">
      <w:pPr>
        <w:spacing w:after="0" w:line="480" w:lineRule="auto"/>
        <w:ind w:firstLine="720"/>
        <w:rPr>
          <w:rFonts w:cs="Times New Roman"/>
          <w:szCs w:val="24"/>
        </w:rPr>
      </w:pPr>
      <w:r w:rsidRPr="00254A63">
        <w:rPr>
          <w:rFonts w:cs="Times New Roman"/>
          <w:szCs w:val="24"/>
        </w:rPr>
        <w:t>The Auditor in this case made recommendations regarding Duke</w:t>
      </w:r>
      <w:r w:rsidR="00254A63">
        <w:rPr>
          <w:rFonts w:cs="Times New Roman"/>
          <w:szCs w:val="24"/>
        </w:rPr>
        <w:t>’</w:t>
      </w:r>
      <w:r w:rsidRPr="00254A63">
        <w:rPr>
          <w:rFonts w:cs="Times New Roman"/>
          <w:szCs w:val="24"/>
        </w:rPr>
        <w:t>s Rider DCI that the PUCO should adopt. These recommendations include</w:t>
      </w:r>
      <w:r w:rsidRPr="00254A63" w:rsidR="00B35B87">
        <w:rPr>
          <w:rFonts w:cs="Times New Roman"/>
          <w:szCs w:val="24"/>
        </w:rPr>
        <w:t xml:space="preserve">: (1) reducing the Rider DCI revenue requirement by $1.07 million for </w:t>
      </w:r>
      <w:r w:rsidRPr="00254A63" w:rsidR="00E5774A">
        <w:rPr>
          <w:rFonts w:cs="Times New Roman"/>
          <w:szCs w:val="24"/>
        </w:rPr>
        <w:t>the next quarterly Rider DCI update filing to correct for accounting errors</w:t>
      </w:r>
      <w:r>
        <w:rPr>
          <w:rStyle w:val="FootnoteReference"/>
          <w:rFonts w:cs="Times New Roman"/>
          <w:szCs w:val="24"/>
        </w:rPr>
        <w:footnoteReference w:id="4"/>
      </w:r>
      <w:r w:rsidR="00805CA6">
        <w:rPr>
          <w:rFonts w:cs="Times New Roman"/>
          <w:szCs w:val="24"/>
        </w:rPr>
        <w:t xml:space="preserve"> and</w:t>
      </w:r>
      <w:r w:rsidRPr="00254A63" w:rsidR="00E5774A">
        <w:rPr>
          <w:rFonts w:cs="Times New Roman"/>
          <w:szCs w:val="24"/>
        </w:rPr>
        <w:t xml:space="preserve"> (2) mak</w:t>
      </w:r>
      <w:r w:rsidRPr="00254A63" w:rsidR="00A130E9">
        <w:rPr>
          <w:rFonts w:cs="Times New Roman"/>
          <w:szCs w:val="24"/>
        </w:rPr>
        <w:t>ing</w:t>
      </w:r>
      <w:r w:rsidR="00254A63">
        <w:rPr>
          <w:rFonts w:cs="Times New Roman"/>
          <w:szCs w:val="24"/>
        </w:rPr>
        <w:t xml:space="preserve"> </w:t>
      </w:r>
      <w:r w:rsidRPr="00254A63" w:rsidR="00E5774A">
        <w:rPr>
          <w:rFonts w:cs="Times New Roman"/>
          <w:szCs w:val="24"/>
        </w:rPr>
        <w:t>certain improvements in Duke</w:t>
      </w:r>
      <w:r w:rsidR="00254A63">
        <w:rPr>
          <w:rFonts w:cs="Times New Roman"/>
          <w:szCs w:val="24"/>
        </w:rPr>
        <w:t>’</w:t>
      </w:r>
      <w:r w:rsidRPr="00254A63" w:rsidR="00E5774A">
        <w:rPr>
          <w:rFonts w:cs="Times New Roman"/>
          <w:szCs w:val="24"/>
        </w:rPr>
        <w:t>s accounting process for the Rider DCI program.</w:t>
      </w:r>
      <w:r>
        <w:rPr>
          <w:rStyle w:val="FootnoteReference"/>
          <w:rFonts w:cs="Times New Roman"/>
          <w:szCs w:val="24"/>
        </w:rPr>
        <w:footnoteReference w:id="5"/>
      </w:r>
      <w:r w:rsidR="00254A63">
        <w:rPr>
          <w:rFonts w:cs="Times New Roman"/>
          <w:szCs w:val="24"/>
        </w:rPr>
        <w:t xml:space="preserve"> </w:t>
      </w:r>
      <w:r w:rsidRPr="00254A63" w:rsidR="00F35763">
        <w:rPr>
          <w:rFonts w:cs="Times New Roman"/>
          <w:szCs w:val="24"/>
        </w:rPr>
        <w:t>OCC supports these recommendations.</w:t>
      </w:r>
    </w:p>
    <w:p w:rsidR="009D462C" w:rsidRPr="00254A63" w:rsidP="00BF4844" w14:paraId="4EE449DC" w14:textId="2903A298">
      <w:pPr>
        <w:spacing w:after="0" w:line="480" w:lineRule="auto"/>
        <w:ind w:firstLine="720"/>
        <w:rPr>
          <w:rFonts w:cs="Times New Roman"/>
          <w:szCs w:val="24"/>
        </w:rPr>
      </w:pPr>
      <w:r w:rsidRPr="00254A63">
        <w:rPr>
          <w:rFonts w:cs="Times New Roman"/>
          <w:szCs w:val="24"/>
        </w:rPr>
        <w:t>Duke filed Initial Comments on March 14, 2024.</w:t>
      </w:r>
      <w:r>
        <w:rPr>
          <w:rStyle w:val="FootnoteReference"/>
          <w:rFonts w:cs="Times New Roman"/>
          <w:szCs w:val="24"/>
        </w:rPr>
        <w:footnoteReference w:id="6"/>
      </w:r>
      <w:r w:rsidRPr="00254A63" w:rsidR="00B00858">
        <w:rPr>
          <w:rFonts w:cs="Times New Roman"/>
          <w:szCs w:val="24"/>
        </w:rPr>
        <w:t xml:space="preserve"> </w:t>
      </w:r>
      <w:r w:rsidRPr="00254A63" w:rsidR="008A2727">
        <w:rPr>
          <w:rFonts w:cs="Times New Roman"/>
          <w:szCs w:val="24"/>
        </w:rPr>
        <w:t>Duke argu</w:t>
      </w:r>
      <w:r w:rsidRPr="00254A63" w:rsidR="00BF4844">
        <w:rPr>
          <w:rFonts w:cs="Times New Roman"/>
          <w:szCs w:val="24"/>
        </w:rPr>
        <w:t>es</w:t>
      </w:r>
      <w:r w:rsidRPr="00254A63" w:rsidR="008A2727">
        <w:rPr>
          <w:rFonts w:cs="Times New Roman"/>
          <w:szCs w:val="24"/>
        </w:rPr>
        <w:t xml:space="preserve"> against two of the Auditor</w:t>
      </w:r>
      <w:r w:rsidR="00254A63">
        <w:rPr>
          <w:rFonts w:cs="Times New Roman"/>
          <w:szCs w:val="24"/>
        </w:rPr>
        <w:t>’</w:t>
      </w:r>
      <w:r w:rsidRPr="00254A63" w:rsidR="008A2727">
        <w:rPr>
          <w:rFonts w:cs="Times New Roman"/>
          <w:szCs w:val="24"/>
        </w:rPr>
        <w:t>s recommendations relating to: (1) Duke</w:t>
      </w:r>
      <w:r w:rsidR="00254A63">
        <w:rPr>
          <w:rFonts w:cs="Times New Roman"/>
          <w:szCs w:val="24"/>
        </w:rPr>
        <w:t>’</w:t>
      </w:r>
      <w:r w:rsidRPr="00254A63" w:rsidR="008A2727">
        <w:rPr>
          <w:rFonts w:cs="Times New Roman"/>
          <w:szCs w:val="24"/>
        </w:rPr>
        <w:t>s miscalculation of the Accumulated Deferred Income Tax (</w:t>
      </w:r>
      <w:r w:rsidR="00254A63">
        <w:rPr>
          <w:rFonts w:cs="Times New Roman"/>
          <w:szCs w:val="24"/>
        </w:rPr>
        <w:t>“</w:t>
      </w:r>
      <w:r w:rsidRPr="00254A63" w:rsidR="008A2727">
        <w:rPr>
          <w:rFonts w:cs="Times New Roman"/>
          <w:szCs w:val="24"/>
        </w:rPr>
        <w:t>ADIT</w:t>
      </w:r>
      <w:r w:rsidR="00254A63">
        <w:rPr>
          <w:rFonts w:cs="Times New Roman"/>
          <w:szCs w:val="24"/>
        </w:rPr>
        <w:t>”</w:t>
      </w:r>
      <w:r w:rsidRPr="00254A63" w:rsidR="008A2727">
        <w:rPr>
          <w:rFonts w:cs="Times New Roman"/>
          <w:szCs w:val="24"/>
        </w:rPr>
        <w:t>) from Duke</w:t>
      </w:r>
      <w:r w:rsidR="00254A63">
        <w:rPr>
          <w:rFonts w:cs="Times New Roman"/>
          <w:szCs w:val="24"/>
        </w:rPr>
        <w:t>’</w:t>
      </w:r>
      <w:r w:rsidRPr="00254A63" w:rsidR="008A2727">
        <w:rPr>
          <w:rFonts w:cs="Times New Roman"/>
          <w:szCs w:val="24"/>
        </w:rPr>
        <w:t>s last rate case</w:t>
      </w:r>
      <w:r>
        <w:rPr>
          <w:rStyle w:val="FootnoteReference"/>
          <w:rFonts w:cs="Times New Roman"/>
          <w:szCs w:val="24"/>
        </w:rPr>
        <w:footnoteReference w:id="7"/>
      </w:r>
      <w:r w:rsidRPr="00254A63" w:rsidR="008A2727">
        <w:rPr>
          <w:rFonts w:cs="Times New Roman"/>
          <w:szCs w:val="24"/>
        </w:rPr>
        <w:t xml:space="preserve"> and (2) improper capitalization of tree trimming expenses.</w:t>
      </w:r>
      <w:r>
        <w:rPr>
          <w:rStyle w:val="FootnoteReference"/>
          <w:rFonts w:cs="Times New Roman"/>
          <w:szCs w:val="24"/>
        </w:rPr>
        <w:footnoteReference w:id="8"/>
      </w:r>
      <w:r w:rsidRPr="00254A63" w:rsidR="00BF4844">
        <w:rPr>
          <w:rFonts w:cs="Times New Roman"/>
          <w:szCs w:val="24"/>
        </w:rPr>
        <w:t xml:space="preserve"> To protect consumers, </w:t>
      </w:r>
      <w:r w:rsidRPr="00254A63" w:rsidR="00C05CE5">
        <w:rPr>
          <w:rFonts w:cs="Times New Roman"/>
          <w:szCs w:val="24"/>
        </w:rPr>
        <w:t xml:space="preserve">the PUCO </w:t>
      </w:r>
      <w:r w:rsidRPr="00254A63" w:rsidR="00BF4844">
        <w:rPr>
          <w:rFonts w:cs="Times New Roman"/>
          <w:szCs w:val="24"/>
        </w:rPr>
        <w:t>should reject Duke</w:t>
      </w:r>
      <w:r w:rsidR="00254A63">
        <w:rPr>
          <w:rFonts w:cs="Times New Roman"/>
          <w:szCs w:val="24"/>
        </w:rPr>
        <w:t>’</w:t>
      </w:r>
      <w:r w:rsidRPr="00254A63" w:rsidR="00BF4844">
        <w:rPr>
          <w:rFonts w:cs="Times New Roman"/>
          <w:szCs w:val="24"/>
        </w:rPr>
        <w:t xml:space="preserve">s arguments and </w:t>
      </w:r>
      <w:r w:rsidRPr="00254A63" w:rsidR="00C05CE5">
        <w:rPr>
          <w:rFonts w:cs="Times New Roman"/>
          <w:szCs w:val="24"/>
        </w:rPr>
        <w:t>adopt the Auditor</w:t>
      </w:r>
      <w:r w:rsidR="00254A63">
        <w:rPr>
          <w:rFonts w:cs="Times New Roman"/>
          <w:szCs w:val="24"/>
        </w:rPr>
        <w:t>’</w:t>
      </w:r>
      <w:r w:rsidRPr="00254A63" w:rsidR="00C05CE5">
        <w:rPr>
          <w:rFonts w:cs="Times New Roman"/>
          <w:szCs w:val="24"/>
        </w:rPr>
        <w:t xml:space="preserve">s recommendations </w:t>
      </w:r>
      <w:r w:rsidRPr="00254A63" w:rsidR="00BF4844">
        <w:rPr>
          <w:rFonts w:cs="Times New Roman"/>
          <w:szCs w:val="24"/>
        </w:rPr>
        <w:t>and the recommendations set forth in</w:t>
      </w:r>
      <w:r w:rsidRPr="00254A63" w:rsidR="00C05CE5">
        <w:rPr>
          <w:rFonts w:cs="Times New Roman"/>
          <w:szCs w:val="24"/>
        </w:rPr>
        <w:t xml:space="preserve"> OCC</w:t>
      </w:r>
      <w:r w:rsidR="00254A63">
        <w:rPr>
          <w:rFonts w:cs="Times New Roman"/>
          <w:szCs w:val="24"/>
        </w:rPr>
        <w:t>’</w:t>
      </w:r>
      <w:r w:rsidRPr="00254A63" w:rsidR="00BF4844">
        <w:rPr>
          <w:rFonts w:cs="Times New Roman"/>
          <w:szCs w:val="24"/>
        </w:rPr>
        <w:t>s March 14, 2024 comments</w:t>
      </w:r>
      <w:r w:rsidRPr="00254A63" w:rsidR="00C05CE5">
        <w:rPr>
          <w:rFonts w:cs="Times New Roman"/>
          <w:szCs w:val="24"/>
        </w:rPr>
        <w:t>.</w:t>
      </w:r>
    </w:p>
    <w:p w:rsidR="00976500" w:rsidRPr="00254A63" w:rsidP="00147C60" w14:paraId="34C470F5" w14:textId="369FBFEF">
      <w:pPr>
        <w:spacing w:after="0" w:line="240" w:lineRule="auto"/>
        <w:rPr>
          <w:rFonts w:cs="Times New Roman"/>
          <w:szCs w:val="24"/>
        </w:rPr>
      </w:pPr>
      <w:r w:rsidRPr="00254A63">
        <w:rPr>
          <w:rFonts w:cs="Times New Roman"/>
          <w:szCs w:val="24"/>
        </w:rPr>
        <w:tab/>
      </w:r>
    </w:p>
    <w:p w:rsidR="00E22229" w:rsidRPr="00254A63" w:rsidP="00976500" w14:paraId="364FF806" w14:textId="032BEB50">
      <w:pPr>
        <w:pStyle w:val="Heading1"/>
        <w:rPr>
          <w:rFonts w:ascii="Times New Roman" w:hAnsi="Times New Roman" w:cs="Times New Roman"/>
          <w:szCs w:val="24"/>
        </w:rPr>
      </w:pPr>
      <w:r w:rsidRPr="00254A63">
        <w:rPr>
          <w:rFonts w:ascii="Times New Roman" w:hAnsi="Times New Roman" w:cs="Times New Roman"/>
          <w:szCs w:val="24"/>
        </w:rPr>
        <w:t>II.</w:t>
      </w:r>
      <w:r w:rsidRPr="00254A63" w:rsidR="00976500">
        <w:rPr>
          <w:rFonts w:ascii="Times New Roman" w:hAnsi="Times New Roman" w:cs="Times New Roman"/>
          <w:szCs w:val="24"/>
        </w:rPr>
        <w:tab/>
      </w:r>
      <w:r w:rsidRPr="00254A63" w:rsidR="009353E7">
        <w:rPr>
          <w:rFonts w:ascii="Times New Roman" w:hAnsi="Times New Roman" w:cs="Times New Roman"/>
          <w:szCs w:val="24"/>
        </w:rPr>
        <w:t>REPLY COMMENTS</w:t>
      </w:r>
    </w:p>
    <w:p w:rsidR="00602373" w:rsidRPr="00254A63" w:rsidP="00C83373" w14:paraId="7BABC8C1" w14:textId="0D64D0BF">
      <w:pPr>
        <w:pStyle w:val="Heading2"/>
        <w:rPr>
          <w:rFonts w:ascii="Times New Roman" w:hAnsi="Times New Roman" w:cs="Times New Roman"/>
          <w:szCs w:val="24"/>
        </w:rPr>
      </w:pPr>
      <w:r w:rsidRPr="00254A63">
        <w:rPr>
          <w:rFonts w:ascii="Times New Roman" w:hAnsi="Times New Roman" w:cs="Times New Roman"/>
          <w:szCs w:val="24"/>
        </w:rPr>
        <w:t>A.</w:t>
      </w:r>
      <w:r w:rsidRPr="00254A63">
        <w:rPr>
          <w:rFonts w:ascii="Times New Roman" w:hAnsi="Times New Roman" w:cs="Times New Roman"/>
          <w:szCs w:val="24"/>
        </w:rPr>
        <w:tab/>
      </w:r>
      <w:r w:rsidRPr="00254A63">
        <w:rPr>
          <w:rFonts w:ascii="Times New Roman" w:hAnsi="Times New Roman" w:cs="Times New Roman"/>
          <w:szCs w:val="24"/>
        </w:rPr>
        <w:t>Duke overstated the Rider DCI revenue requirement by $14,088,731 during the audit period by making an improper adjustment to the ADIT balance.</w:t>
      </w:r>
      <w:r w:rsidRPr="00254A63" w:rsidR="00194C4E">
        <w:rPr>
          <w:rFonts w:ascii="Times New Roman" w:hAnsi="Times New Roman" w:cs="Times New Roman"/>
          <w:szCs w:val="24"/>
        </w:rPr>
        <w:t xml:space="preserve"> The PUCO should adopt the Auditor</w:t>
      </w:r>
      <w:r w:rsidR="00254A63">
        <w:rPr>
          <w:rFonts w:ascii="Times New Roman" w:hAnsi="Times New Roman" w:cs="Times New Roman"/>
          <w:szCs w:val="24"/>
        </w:rPr>
        <w:t>’</w:t>
      </w:r>
      <w:r w:rsidRPr="00254A63" w:rsidR="00194C4E">
        <w:rPr>
          <w:rFonts w:ascii="Times New Roman" w:hAnsi="Times New Roman" w:cs="Times New Roman"/>
          <w:szCs w:val="24"/>
        </w:rPr>
        <w:t>s recommendation to reject Duke</w:t>
      </w:r>
      <w:r w:rsidR="00254A63">
        <w:rPr>
          <w:rFonts w:ascii="Times New Roman" w:hAnsi="Times New Roman" w:cs="Times New Roman"/>
          <w:szCs w:val="24"/>
        </w:rPr>
        <w:t>’</w:t>
      </w:r>
      <w:r w:rsidRPr="00254A63" w:rsidR="00194C4E">
        <w:rPr>
          <w:rFonts w:ascii="Times New Roman" w:hAnsi="Times New Roman" w:cs="Times New Roman"/>
          <w:szCs w:val="24"/>
        </w:rPr>
        <w:t>s adjustment.</w:t>
      </w:r>
    </w:p>
    <w:p w:rsidR="009353E7" w:rsidRPr="00254A63" w:rsidP="009353E7" w14:paraId="463609DC" w14:textId="3E0039DB">
      <w:pPr>
        <w:pStyle w:val="ListParagraph"/>
        <w:spacing w:after="0" w:line="480" w:lineRule="auto"/>
        <w:ind w:left="0" w:firstLine="720"/>
        <w:rPr>
          <w:rFonts w:ascii="Times New Roman" w:hAnsi="Times New Roman" w:cs="Times New Roman"/>
          <w:sz w:val="24"/>
          <w:szCs w:val="24"/>
        </w:rPr>
      </w:pPr>
      <w:r w:rsidRPr="00254A63">
        <w:rPr>
          <w:rFonts w:ascii="Times New Roman" w:hAnsi="Times New Roman" w:cs="Times New Roman"/>
          <w:sz w:val="24"/>
          <w:szCs w:val="24"/>
        </w:rPr>
        <w:t xml:space="preserve">The Auditor concluded that </w:t>
      </w:r>
      <w:r w:rsidRPr="00254A63" w:rsidR="004F5F2E">
        <w:rPr>
          <w:rFonts w:ascii="Times New Roman" w:hAnsi="Times New Roman" w:cs="Times New Roman"/>
          <w:sz w:val="24"/>
          <w:szCs w:val="24"/>
        </w:rPr>
        <w:t>Duke</w:t>
      </w:r>
      <w:r w:rsidRPr="00254A63">
        <w:rPr>
          <w:rFonts w:ascii="Times New Roman" w:hAnsi="Times New Roman" w:cs="Times New Roman"/>
          <w:sz w:val="24"/>
          <w:szCs w:val="24"/>
        </w:rPr>
        <w:t xml:space="preserve"> made an </w:t>
      </w:r>
      <w:r w:rsidRPr="00254A63" w:rsidR="004F5F2E">
        <w:rPr>
          <w:rFonts w:ascii="Times New Roman" w:hAnsi="Times New Roman" w:cs="Times New Roman"/>
          <w:sz w:val="24"/>
          <w:szCs w:val="24"/>
        </w:rPr>
        <w:t xml:space="preserve">improper </w:t>
      </w:r>
      <w:r w:rsidRPr="00254A63" w:rsidR="002401B2">
        <w:rPr>
          <w:rFonts w:ascii="Times New Roman" w:hAnsi="Times New Roman" w:cs="Times New Roman"/>
          <w:sz w:val="24"/>
          <w:szCs w:val="24"/>
        </w:rPr>
        <w:t xml:space="preserve">adjustment to the </w:t>
      </w:r>
      <w:r w:rsidRPr="00254A63" w:rsidR="004F5F2E">
        <w:rPr>
          <w:rFonts w:ascii="Times New Roman" w:hAnsi="Times New Roman" w:cs="Times New Roman"/>
          <w:sz w:val="24"/>
          <w:szCs w:val="24"/>
        </w:rPr>
        <w:t xml:space="preserve">ADIT </w:t>
      </w:r>
      <w:r w:rsidRPr="00254A63" w:rsidR="002401B2">
        <w:rPr>
          <w:rFonts w:ascii="Times New Roman" w:hAnsi="Times New Roman" w:cs="Times New Roman"/>
          <w:sz w:val="24"/>
          <w:szCs w:val="24"/>
        </w:rPr>
        <w:t>balance</w:t>
      </w:r>
      <w:r w:rsidRPr="00254A63">
        <w:rPr>
          <w:rFonts w:ascii="Times New Roman" w:hAnsi="Times New Roman" w:cs="Times New Roman"/>
          <w:sz w:val="24"/>
          <w:szCs w:val="24"/>
        </w:rPr>
        <w:t>, which</w:t>
      </w:r>
      <w:r w:rsidRPr="00254A63" w:rsidR="004F5F2E">
        <w:rPr>
          <w:rFonts w:ascii="Times New Roman" w:hAnsi="Times New Roman" w:cs="Times New Roman"/>
          <w:sz w:val="24"/>
          <w:szCs w:val="24"/>
        </w:rPr>
        <w:t xml:space="preserve"> overstated the Rider DCI revenue requirement </w:t>
      </w:r>
      <w:r w:rsidRPr="00254A63" w:rsidR="00A130E9">
        <w:rPr>
          <w:rFonts w:ascii="Times New Roman" w:hAnsi="Times New Roman" w:cs="Times New Roman"/>
          <w:sz w:val="24"/>
          <w:szCs w:val="24"/>
        </w:rPr>
        <w:t xml:space="preserve">that consumers must fund </w:t>
      </w:r>
      <w:r w:rsidRPr="00254A63" w:rsidR="004F5F2E">
        <w:rPr>
          <w:rFonts w:ascii="Times New Roman" w:hAnsi="Times New Roman" w:cs="Times New Roman"/>
          <w:sz w:val="24"/>
          <w:szCs w:val="24"/>
        </w:rPr>
        <w:t xml:space="preserve">by </w:t>
      </w:r>
      <w:r w:rsidRPr="00254A63">
        <w:rPr>
          <w:rFonts w:ascii="Times New Roman" w:hAnsi="Times New Roman" w:cs="Times New Roman"/>
          <w:sz w:val="24"/>
          <w:szCs w:val="24"/>
        </w:rPr>
        <w:t>$14,088,731.</w:t>
      </w:r>
      <w:r>
        <w:rPr>
          <w:rStyle w:val="FootnoteReference"/>
          <w:rFonts w:ascii="Times New Roman" w:hAnsi="Times New Roman" w:cs="Times New Roman"/>
          <w:sz w:val="24"/>
          <w:szCs w:val="24"/>
        </w:rPr>
        <w:footnoteReference w:id="9"/>
      </w:r>
      <w:r w:rsidRPr="00254A63" w:rsidR="00B00858">
        <w:rPr>
          <w:rFonts w:ascii="Times New Roman" w:hAnsi="Times New Roman" w:cs="Times New Roman"/>
          <w:sz w:val="24"/>
          <w:szCs w:val="24"/>
        </w:rPr>
        <w:t xml:space="preserve"> </w:t>
      </w:r>
      <w:r w:rsidRPr="00254A63">
        <w:rPr>
          <w:rFonts w:ascii="Times New Roman" w:hAnsi="Times New Roman" w:cs="Times New Roman"/>
          <w:sz w:val="24"/>
          <w:szCs w:val="24"/>
        </w:rPr>
        <w:t>The Auditor recommended that the PUCO reject Duke</w:t>
      </w:r>
      <w:r w:rsidR="00254A63">
        <w:rPr>
          <w:rFonts w:ascii="Times New Roman" w:hAnsi="Times New Roman" w:cs="Times New Roman"/>
          <w:sz w:val="24"/>
          <w:szCs w:val="24"/>
        </w:rPr>
        <w:t>’</w:t>
      </w:r>
      <w:r w:rsidRPr="00254A63">
        <w:rPr>
          <w:rFonts w:ascii="Times New Roman" w:hAnsi="Times New Roman" w:cs="Times New Roman"/>
          <w:sz w:val="24"/>
          <w:szCs w:val="24"/>
        </w:rPr>
        <w:t>s improper ADIT adjustment.</w:t>
      </w:r>
      <w:r>
        <w:rPr>
          <w:rStyle w:val="FootnoteReference"/>
          <w:rFonts w:ascii="Times New Roman" w:hAnsi="Times New Roman" w:cs="Times New Roman"/>
          <w:sz w:val="24"/>
          <w:szCs w:val="24"/>
        </w:rPr>
        <w:footnoteReference w:id="10"/>
      </w:r>
      <w:r w:rsidRPr="00254A63" w:rsidR="00B00858">
        <w:rPr>
          <w:rFonts w:ascii="Times New Roman" w:hAnsi="Times New Roman" w:cs="Times New Roman"/>
          <w:sz w:val="24"/>
          <w:szCs w:val="24"/>
        </w:rPr>
        <w:t xml:space="preserve"> </w:t>
      </w:r>
      <w:r w:rsidRPr="00254A63" w:rsidR="002401B2">
        <w:rPr>
          <w:rFonts w:ascii="Times New Roman" w:hAnsi="Times New Roman" w:cs="Times New Roman"/>
          <w:sz w:val="24"/>
          <w:szCs w:val="24"/>
        </w:rPr>
        <w:t>OCC supports th</w:t>
      </w:r>
      <w:r w:rsidRPr="00254A63" w:rsidR="00DA6289">
        <w:rPr>
          <w:rFonts w:ascii="Times New Roman" w:hAnsi="Times New Roman" w:cs="Times New Roman"/>
          <w:sz w:val="24"/>
          <w:szCs w:val="24"/>
        </w:rPr>
        <w:t>e Auditor</w:t>
      </w:r>
      <w:r w:rsidR="00254A63">
        <w:rPr>
          <w:rFonts w:ascii="Times New Roman" w:hAnsi="Times New Roman" w:cs="Times New Roman"/>
          <w:sz w:val="24"/>
          <w:szCs w:val="24"/>
        </w:rPr>
        <w:t>’</w:t>
      </w:r>
      <w:r w:rsidRPr="00254A63" w:rsidR="00DA6289">
        <w:rPr>
          <w:rFonts w:ascii="Times New Roman" w:hAnsi="Times New Roman" w:cs="Times New Roman"/>
          <w:sz w:val="24"/>
          <w:szCs w:val="24"/>
        </w:rPr>
        <w:t>s</w:t>
      </w:r>
      <w:r w:rsidRPr="00254A63" w:rsidR="002401B2">
        <w:rPr>
          <w:rFonts w:ascii="Times New Roman" w:hAnsi="Times New Roman" w:cs="Times New Roman"/>
          <w:sz w:val="24"/>
          <w:szCs w:val="24"/>
        </w:rPr>
        <w:t xml:space="preserve"> recommendation.</w:t>
      </w:r>
      <w:r w:rsidRPr="00254A63" w:rsidR="00B00858">
        <w:rPr>
          <w:rFonts w:ascii="Times New Roman" w:hAnsi="Times New Roman" w:cs="Times New Roman"/>
          <w:sz w:val="24"/>
          <w:szCs w:val="24"/>
        </w:rPr>
        <w:t xml:space="preserve"> </w:t>
      </w:r>
      <w:r w:rsidRPr="00254A63" w:rsidR="00E51822">
        <w:rPr>
          <w:rFonts w:ascii="Times New Roman" w:hAnsi="Times New Roman" w:cs="Times New Roman"/>
          <w:sz w:val="24"/>
          <w:szCs w:val="24"/>
        </w:rPr>
        <w:t>Duk</w:t>
      </w:r>
      <w:r w:rsidRPr="00254A63" w:rsidR="0057769F">
        <w:rPr>
          <w:rFonts w:ascii="Times New Roman" w:hAnsi="Times New Roman" w:cs="Times New Roman"/>
          <w:sz w:val="24"/>
          <w:szCs w:val="24"/>
        </w:rPr>
        <w:t>e</w:t>
      </w:r>
      <w:r w:rsidR="00254A63">
        <w:rPr>
          <w:rFonts w:ascii="Times New Roman" w:hAnsi="Times New Roman" w:cs="Times New Roman"/>
          <w:sz w:val="24"/>
          <w:szCs w:val="24"/>
        </w:rPr>
        <w:t xml:space="preserve"> </w:t>
      </w:r>
      <w:r w:rsidRPr="00254A63" w:rsidR="00194C4E">
        <w:rPr>
          <w:rFonts w:ascii="Times New Roman" w:hAnsi="Times New Roman" w:cs="Times New Roman"/>
          <w:sz w:val="24"/>
          <w:szCs w:val="24"/>
        </w:rPr>
        <w:t>claims in its</w:t>
      </w:r>
      <w:r w:rsidRPr="00254A63">
        <w:rPr>
          <w:rFonts w:ascii="Times New Roman" w:hAnsi="Times New Roman" w:cs="Times New Roman"/>
          <w:sz w:val="24"/>
          <w:szCs w:val="24"/>
        </w:rPr>
        <w:t xml:space="preserve"> Comments that the Auditor is mistaken</w:t>
      </w:r>
      <w:r w:rsidRPr="00254A63" w:rsidR="00194C4E">
        <w:rPr>
          <w:rFonts w:ascii="Times New Roman" w:hAnsi="Times New Roman" w:cs="Times New Roman"/>
          <w:sz w:val="24"/>
          <w:szCs w:val="24"/>
        </w:rPr>
        <w:t>.</w:t>
      </w:r>
      <w:r w:rsidRPr="00254A63" w:rsidR="00194C4E">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1"/>
      </w:r>
      <w:r w:rsidR="00254A63">
        <w:rPr>
          <w:rFonts w:ascii="Times New Roman" w:hAnsi="Times New Roman" w:cs="Times New Roman"/>
          <w:sz w:val="24"/>
          <w:szCs w:val="24"/>
        </w:rPr>
        <w:t xml:space="preserve"> </w:t>
      </w:r>
      <w:r w:rsidRPr="00254A63" w:rsidR="00194C4E">
        <w:rPr>
          <w:rFonts w:ascii="Times New Roman" w:hAnsi="Times New Roman" w:cs="Times New Roman"/>
          <w:sz w:val="24"/>
          <w:szCs w:val="24"/>
        </w:rPr>
        <w:t>But there is no legitimate reason for Duke</w:t>
      </w:r>
      <w:r w:rsidR="00254A63">
        <w:rPr>
          <w:rFonts w:ascii="Times New Roman" w:hAnsi="Times New Roman" w:cs="Times New Roman"/>
          <w:sz w:val="24"/>
          <w:szCs w:val="24"/>
        </w:rPr>
        <w:t>’</w:t>
      </w:r>
      <w:r w:rsidRPr="00254A63" w:rsidR="00194C4E">
        <w:rPr>
          <w:rFonts w:ascii="Times New Roman" w:hAnsi="Times New Roman" w:cs="Times New Roman"/>
          <w:sz w:val="24"/>
          <w:szCs w:val="24"/>
        </w:rPr>
        <w:t>s extra charges to consumers.</w:t>
      </w:r>
    </w:p>
    <w:p w:rsidR="00E22229" w:rsidRPr="00254A63" w:rsidP="009353E7" w14:paraId="24898D0C" w14:textId="200989BB">
      <w:pPr>
        <w:pStyle w:val="ListParagraph"/>
        <w:spacing w:after="0" w:line="480" w:lineRule="auto"/>
        <w:ind w:left="0" w:firstLine="720"/>
        <w:rPr>
          <w:rFonts w:ascii="Times New Roman" w:hAnsi="Times New Roman" w:cs="Times New Roman"/>
          <w:sz w:val="24"/>
          <w:szCs w:val="24"/>
        </w:rPr>
      </w:pPr>
      <w:r w:rsidRPr="00254A63">
        <w:rPr>
          <w:rFonts w:ascii="Times New Roman" w:hAnsi="Times New Roman" w:cs="Times New Roman"/>
          <w:sz w:val="24"/>
          <w:szCs w:val="24"/>
        </w:rPr>
        <w:t xml:space="preserve">As the </w:t>
      </w:r>
      <w:r w:rsidRPr="00254A63" w:rsidR="0057769F">
        <w:rPr>
          <w:rFonts w:ascii="Times New Roman" w:hAnsi="Times New Roman" w:cs="Times New Roman"/>
          <w:sz w:val="24"/>
          <w:szCs w:val="24"/>
        </w:rPr>
        <w:t>Auditor noted</w:t>
      </w:r>
      <w:r w:rsidRPr="00254A63">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Pr="00254A63">
        <w:rPr>
          <w:rFonts w:ascii="Times New Roman" w:hAnsi="Times New Roman" w:cs="Times New Roman"/>
          <w:sz w:val="24"/>
          <w:szCs w:val="24"/>
        </w:rPr>
        <w:t xml:space="preserve"> Duke claim</w:t>
      </w:r>
      <w:r w:rsidRPr="00254A63" w:rsidR="0057769F">
        <w:rPr>
          <w:rFonts w:ascii="Times New Roman" w:hAnsi="Times New Roman" w:cs="Times New Roman"/>
          <w:sz w:val="24"/>
          <w:szCs w:val="24"/>
        </w:rPr>
        <w:t>ed</w:t>
      </w:r>
      <w:r w:rsidRPr="00254A63">
        <w:rPr>
          <w:rFonts w:ascii="Times New Roman" w:hAnsi="Times New Roman" w:cs="Times New Roman"/>
          <w:sz w:val="24"/>
          <w:szCs w:val="24"/>
        </w:rPr>
        <w:t xml:space="preserve"> </w:t>
      </w:r>
      <w:r w:rsidRPr="00254A63" w:rsidR="0057769F">
        <w:rPr>
          <w:rFonts w:ascii="Times New Roman" w:hAnsi="Times New Roman" w:cs="Times New Roman"/>
          <w:sz w:val="24"/>
          <w:szCs w:val="24"/>
        </w:rPr>
        <w:t xml:space="preserve">during the </w:t>
      </w:r>
      <w:r w:rsidRPr="00254A63" w:rsidR="002401B2">
        <w:rPr>
          <w:rFonts w:ascii="Times New Roman" w:hAnsi="Times New Roman" w:cs="Times New Roman"/>
          <w:sz w:val="24"/>
          <w:szCs w:val="24"/>
        </w:rPr>
        <w:t xml:space="preserve">eleventh hour of the </w:t>
      </w:r>
      <w:r w:rsidRPr="00254A63" w:rsidR="0057769F">
        <w:rPr>
          <w:rFonts w:ascii="Times New Roman" w:hAnsi="Times New Roman" w:cs="Times New Roman"/>
          <w:sz w:val="24"/>
          <w:szCs w:val="24"/>
        </w:rPr>
        <w:t xml:space="preserve">audit that </w:t>
      </w:r>
      <w:r w:rsidRPr="00254A63">
        <w:rPr>
          <w:rFonts w:ascii="Times New Roman" w:hAnsi="Times New Roman" w:cs="Times New Roman"/>
          <w:sz w:val="24"/>
          <w:szCs w:val="24"/>
        </w:rPr>
        <w:t xml:space="preserve">it </w:t>
      </w:r>
      <w:r w:rsidRPr="00254A63" w:rsidR="0057769F">
        <w:rPr>
          <w:rFonts w:ascii="Times New Roman" w:hAnsi="Times New Roman" w:cs="Times New Roman"/>
          <w:sz w:val="24"/>
          <w:szCs w:val="24"/>
        </w:rPr>
        <w:t xml:space="preserve">had </w:t>
      </w:r>
      <w:r w:rsidRPr="00254A63">
        <w:rPr>
          <w:rFonts w:ascii="Times New Roman" w:hAnsi="Times New Roman" w:cs="Times New Roman"/>
          <w:sz w:val="24"/>
          <w:szCs w:val="24"/>
        </w:rPr>
        <w:t xml:space="preserve">inadvertently overstated the ADIT balance in </w:t>
      </w:r>
      <w:r w:rsidRPr="00254A63" w:rsidR="0057769F">
        <w:rPr>
          <w:rFonts w:ascii="Times New Roman" w:hAnsi="Times New Roman" w:cs="Times New Roman"/>
          <w:sz w:val="24"/>
          <w:szCs w:val="24"/>
        </w:rPr>
        <w:t>its last distribution base rate case (</w:t>
      </w:r>
      <w:r w:rsidRPr="00254A63">
        <w:rPr>
          <w:rFonts w:ascii="Times New Roman" w:hAnsi="Times New Roman" w:cs="Times New Roman"/>
          <w:sz w:val="24"/>
          <w:szCs w:val="24"/>
        </w:rPr>
        <w:t>Case No</w:t>
      </w:r>
      <w:r w:rsidRPr="00254A63" w:rsidR="00137B7E">
        <w:rPr>
          <w:rFonts w:ascii="Times New Roman" w:hAnsi="Times New Roman" w:cs="Times New Roman"/>
          <w:sz w:val="24"/>
          <w:szCs w:val="24"/>
        </w:rPr>
        <w:t>.</w:t>
      </w:r>
      <w:r w:rsidRPr="00254A63">
        <w:rPr>
          <w:rFonts w:ascii="Times New Roman" w:hAnsi="Times New Roman" w:cs="Times New Roman"/>
          <w:sz w:val="24"/>
          <w:szCs w:val="24"/>
        </w:rPr>
        <w:t xml:space="preserve"> 21-887-EL-AIR</w:t>
      </w:r>
      <w:r w:rsidRPr="00254A63" w:rsidR="00537336">
        <w:rPr>
          <w:rFonts w:ascii="Times New Roman" w:hAnsi="Times New Roman" w:cs="Times New Roman"/>
          <w:sz w:val="24"/>
          <w:szCs w:val="24"/>
        </w:rPr>
        <w:t>, et al.</w:t>
      </w:r>
      <w:r w:rsidRPr="00254A63" w:rsidR="0057769F">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sidRPr="00254A63" w:rsidR="00B00858">
        <w:rPr>
          <w:rFonts w:ascii="Times New Roman" w:hAnsi="Times New Roman" w:cs="Times New Roman"/>
          <w:sz w:val="24"/>
          <w:szCs w:val="24"/>
        </w:rPr>
        <w:t xml:space="preserve"> </w:t>
      </w:r>
      <w:r w:rsidRPr="00254A63" w:rsidR="0057769F">
        <w:rPr>
          <w:rFonts w:ascii="Times New Roman" w:hAnsi="Times New Roman" w:cs="Times New Roman"/>
          <w:sz w:val="24"/>
          <w:szCs w:val="24"/>
        </w:rPr>
        <w:t>The amount of the ADIT overstat</w:t>
      </w:r>
      <w:r w:rsidRPr="00254A63" w:rsidR="00194C4E">
        <w:rPr>
          <w:rFonts w:ascii="Times New Roman" w:hAnsi="Times New Roman" w:cs="Times New Roman"/>
          <w:sz w:val="24"/>
          <w:szCs w:val="24"/>
        </w:rPr>
        <w:t>ed</w:t>
      </w:r>
      <w:r w:rsidRPr="00254A63" w:rsidR="0057769F">
        <w:rPr>
          <w:rFonts w:ascii="Times New Roman" w:hAnsi="Times New Roman" w:cs="Times New Roman"/>
          <w:sz w:val="24"/>
          <w:szCs w:val="24"/>
        </w:rPr>
        <w:t xml:space="preserve"> </w:t>
      </w:r>
      <w:r w:rsidRPr="00254A63" w:rsidR="002401B2">
        <w:rPr>
          <w:rFonts w:ascii="Times New Roman" w:hAnsi="Times New Roman" w:cs="Times New Roman"/>
          <w:sz w:val="24"/>
          <w:szCs w:val="24"/>
        </w:rPr>
        <w:t xml:space="preserve">from the rate case </w:t>
      </w:r>
      <w:r w:rsidRPr="00254A63" w:rsidR="0057769F">
        <w:rPr>
          <w:rFonts w:ascii="Times New Roman" w:hAnsi="Times New Roman" w:cs="Times New Roman"/>
          <w:sz w:val="24"/>
          <w:szCs w:val="24"/>
        </w:rPr>
        <w:t>was</w:t>
      </w:r>
      <w:r w:rsidRPr="00254A63">
        <w:rPr>
          <w:rFonts w:ascii="Times New Roman" w:hAnsi="Times New Roman" w:cs="Times New Roman"/>
          <w:sz w:val="24"/>
          <w:szCs w:val="24"/>
        </w:rPr>
        <w:t xml:space="preserve"> $189 million (of which $170.5 million was related to distribution</w:t>
      </w:r>
      <w:r w:rsidRPr="00254A63" w:rsidR="0057769F">
        <w:rPr>
          <w:rFonts w:ascii="Times New Roman" w:hAnsi="Times New Roman" w:cs="Times New Roman"/>
          <w:sz w:val="24"/>
          <w:szCs w:val="24"/>
        </w:rPr>
        <w:t>)</w:t>
      </w:r>
      <w:r w:rsidRPr="00254A63">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Pr="00254A63" w:rsidR="00B00858">
        <w:rPr>
          <w:rFonts w:ascii="Times New Roman" w:hAnsi="Times New Roman" w:cs="Times New Roman"/>
          <w:sz w:val="24"/>
          <w:szCs w:val="24"/>
        </w:rPr>
        <w:t xml:space="preserve"> </w:t>
      </w:r>
      <w:r w:rsidRPr="00254A63" w:rsidR="0057769F">
        <w:rPr>
          <w:rFonts w:ascii="Times New Roman" w:hAnsi="Times New Roman" w:cs="Times New Roman"/>
          <w:sz w:val="24"/>
          <w:szCs w:val="24"/>
        </w:rPr>
        <w:t xml:space="preserve">As a result of </w:t>
      </w:r>
      <w:r w:rsidRPr="00254A63" w:rsidR="00484BEB">
        <w:rPr>
          <w:rFonts w:ascii="Times New Roman" w:hAnsi="Times New Roman" w:cs="Times New Roman"/>
          <w:sz w:val="24"/>
          <w:szCs w:val="24"/>
        </w:rPr>
        <w:t>this error, Duke</w:t>
      </w:r>
      <w:r w:rsidR="00254A63">
        <w:rPr>
          <w:rFonts w:ascii="Times New Roman" w:hAnsi="Times New Roman" w:cs="Times New Roman"/>
          <w:sz w:val="24"/>
          <w:szCs w:val="24"/>
        </w:rPr>
        <w:t>’</w:t>
      </w:r>
      <w:r w:rsidRPr="00254A63" w:rsidR="00484BEB">
        <w:rPr>
          <w:rFonts w:ascii="Times New Roman" w:hAnsi="Times New Roman" w:cs="Times New Roman"/>
          <w:sz w:val="24"/>
          <w:szCs w:val="24"/>
        </w:rPr>
        <w:t>s base rates are</w:t>
      </w:r>
      <w:r w:rsidRPr="00254A63" w:rsidR="00B00858">
        <w:rPr>
          <w:rFonts w:ascii="Times New Roman" w:hAnsi="Times New Roman" w:cs="Times New Roman"/>
          <w:sz w:val="24"/>
          <w:szCs w:val="24"/>
        </w:rPr>
        <w:t xml:space="preserve"> </w:t>
      </w:r>
      <w:r w:rsidRPr="00254A63">
        <w:rPr>
          <w:rFonts w:ascii="Times New Roman" w:hAnsi="Times New Roman" w:cs="Times New Roman"/>
          <w:sz w:val="24"/>
          <w:szCs w:val="24"/>
        </w:rPr>
        <w:t xml:space="preserve">$14,088,731 </w:t>
      </w:r>
      <w:r w:rsidRPr="00254A63" w:rsidR="00484BEB">
        <w:rPr>
          <w:rFonts w:ascii="Times New Roman" w:hAnsi="Times New Roman" w:cs="Times New Roman"/>
          <w:sz w:val="24"/>
          <w:szCs w:val="24"/>
        </w:rPr>
        <w:t>lower than they otherwise would have been.</w:t>
      </w:r>
      <w:r>
        <w:rPr>
          <w:rStyle w:val="FootnoteReference"/>
          <w:rFonts w:ascii="Times New Roman" w:hAnsi="Times New Roman" w:cs="Times New Roman"/>
          <w:sz w:val="24"/>
          <w:szCs w:val="24"/>
        </w:rPr>
        <w:footnoteReference w:id="15"/>
      </w:r>
      <w:r w:rsidRPr="00254A63" w:rsidR="00B00858">
        <w:rPr>
          <w:rFonts w:ascii="Times New Roman" w:hAnsi="Times New Roman" w:cs="Times New Roman"/>
          <w:sz w:val="24"/>
          <w:szCs w:val="24"/>
        </w:rPr>
        <w:t xml:space="preserve"> </w:t>
      </w:r>
      <w:r w:rsidRPr="00254A63" w:rsidR="00484BEB">
        <w:rPr>
          <w:rFonts w:ascii="Times New Roman" w:hAnsi="Times New Roman" w:cs="Times New Roman"/>
          <w:sz w:val="24"/>
          <w:szCs w:val="24"/>
        </w:rPr>
        <w:t xml:space="preserve">Duke </w:t>
      </w:r>
      <w:r w:rsidRPr="00254A63" w:rsidR="002401B2">
        <w:rPr>
          <w:rFonts w:ascii="Times New Roman" w:hAnsi="Times New Roman" w:cs="Times New Roman"/>
          <w:sz w:val="24"/>
          <w:szCs w:val="24"/>
        </w:rPr>
        <w:t>adjusted</w:t>
      </w:r>
      <w:r w:rsidRPr="00254A63" w:rsidR="00484BEB">
        <w:rPr>
          <w:rFonts w:ascii="Times New Roman" w:hAnsi="Times New Roman" w:cs="Times New Roman"/>
          <w:sz w:val="24"/>
          <w:szCs w:val="24"/>
        </w:rPr>
        <w:t xml:space="preserve"> its Rider DCI calculation to compensate for this error.</w:t>
      </w:r>
      <w:r>
        <w:rPr>
          <w:rStyle w:val="FootnoteReference"/>
          <w:rFonts w:ascii="Times New Roman" w:hAnsi="Times New Roman" w:cs="Times New Roman"/>
          <w:sz w:val="24"/>
          <w:szCs w:val="24"/>
        </w:rPr>
        <w:footnoteReference w:id="16"/>
      </w:r>
      <w:r w:rsidRPr="00254A63" w:rsidR="00B00858">
        <w:rPr>
          <w:rFonts w:ascii="Times New Roman" w:hAnsi="Times New Roman" w:cs="Times New Roman"/>
          <w:sz w:val="24"/>
          <w:szCs w:val="24"/>
        </w:rPr>
        <w:t xml:space="preserve"> </w:t>
      </w:r>
      <w:r w:rsidRPr="00254A63" w:rsidR="00484BEB">
        <w:rPr>
          <w:rFonts w:ascii="Times New Roman" w:hAnsi="Times New Roman" w:cs="Times New Roman"/>
          <w:sz w:val="24"/>
          <w:szCs w:val="24"/>
        </w:rPr>
        <w:t>Duke did not inform the Audit o</w:t>
      </w:r>
      <w:r w:rsidRPr="00254A63" w:rsidR="002401B2">
        <w:rPr>
          <w:rFonts w:ascii="Times New Roman" w:hAnsi="Times New Roman" w:cs="Times New Roman"/>
          <w:sz w:val="24"/>
          <w:szCs w:val="24"/>
        </w:rPr>
        <w:t>f</w:t>
      </w:r>
      <w:r w:rsidRPr="00254A63" w:rsidR="00484BEB">
        <w:rPr>
          <w:rFonts w:ascii="Times New Roman" w:hAnsi="Times New Roman" w:cs="Times New Roman"/>
          <w:sz w:val="24"/>
          <w:szCs w:val="24"/>
        </w:rPr>
        <w:t xml:space="preserve"> this adjustment </w:t>
      </w:r>
      <w:r w:rsidRPr="00254A63">
        <w:rPr>
          <w:rFonts w:ascii="Times New Roman" w:hAnsi="Times New Roman" w:cs="Times New Roman"/>
          <w:sz w:val="24"/>
          <w:szCs w:val="24"/>
        </w:rPr>
        <w:t>until November 28, 2023</w:t>
      </w:r>
      <w:r w:rsidRPr="00254A63" w:rsidR="00484BEB">
        <w:rPr>
          <w:rFonts w:ascii="Times New Roman" w:hAnsi="Times New Roman" w:cs="Times New Roman"/>
          <w:sz w:val="24"/>
          <w:szCs w:val="24"/>
        </w:rPr>
        <w:t>, shortly before the audit was finished,</w:t>
      </w:r>
      <w:r w:rsidRPr="00254A63">
        <w:rPr>
          <w:rFonts w:ascii="Times New Roman" w:hAnsi="Times New Roman" w:cs="Times New Roman"/>
          <w:sz w:val="24"/>
          <w:szCs w:val="24"/>
        </w:rPr>
        <w:t xml:space="preserve"> in response to Discovery Request BR-DR-13-005.</w:t>
      </w:r>
      <w:r>
        <w:rPr>
          <w:rStyle w:val="FootnoteReference"/>
          <w:rFonts w:ascii="Times New Roman" w:hAnsi="Times New Roman" w:cs="Times New Roman"/>
          <w:sz w:val="24"/>
          <w:szCs w:val="24"/>
        </w:rPr>
        <w:footnoteReference w:id="17"/>
      </w:r>
    </w:p>
    <w:p w:rsidR="004F5F2E" w:rsidRPr="00254A63" w:rsidP="00E22229" w14:paraId="15F7594F" w14:textId="703B8D98">
      <w:pPr>
        <w:pStyle w:val="ListParagraph"/>
        <w:spacing w:after="0" w:line="480" w:lineRule="auto"/>
        <w:ind w:left="0"/>
        <w:rPr>
          <w:rFonts w:ascii="Times New Roman" w:hAnsi="Times New Roman" w:cs="Times New Roman"/>
          <w:sz w:val="24"/>
          <w:szCs w:val="24"/>
        </w:rPr>
      </w:pPr>
      <w:r w:rsidRPr="00254A63">
        <w:rPr>
          <w:rFonts w:ascii="Times New Roman" w:hAnsi="Times New Roman" w:cs="Times New Roman"/>
          <w:i/>
          <w:iCs/>
          <w:sz w:val="24"/>
          <w:szCs w:val="24"/>
        </w:rPr>
        <w:tab/>
      </w:r>
      <w:r w:rsidRPr="00254A63" w:rsidR="00484BEB">
        <w:rPr>
          <w:rFonts w:ascii="Times New Roman" w:hAnsi="Times New Roman" w:cs="Times New Roman"/>
          <w:sz w:val="24"/>
          <w:szCs w:val="24"/>
        </w:rPr>
        <w:t>Duke</w:t>
      </w:r>
      <w:r w:rsidRPr="00254A63" w:rsidR="00194C4E">
        <w:rPr>
          <w:rFonts w:ascii="Times New Roman" w:hAnsi="Times New Roman" w:cs="Times New Roman"/>
          <w:sz w:val="24"/>
          <w:szCs w:val="24"/>
        </w:rPr>
        <w:t xml:space="preserve"> argues that</w:t>
      </w:r>
      <w:r w:rsidRPr="00254A63">
        <w:rPr>
          <w:rFonts w:ascii="Times New Roman" w:hAnsi="Times New Roman" w:cs="Times New Roman"/>
          <w:sz w:val="24"/>
          <w:szCs w:val="24"/>
        </w:rPr>
        <w:t xml:space="preserve"> </w:t>
      </w:r>
      <w:r w:rsidRPr="00254A63" w:rsidR="00CF79E9">
        <w:rPr>
          <w:rFonts w:ascii="Times New Roman" w:hAnsi="Times New Roman" w:cs="Times New Roman"/>
          <w:sz w:val="24"/>
          <w:szCs w:val="24"/>
        </w:rPr>
        <w:t xml:space="preserve">its ADIT adjustment </w:t>
      </w:r>
      <w:r w:rsidRPr="00254A63" w:rsidR="00194C4E">
        <w:rPr>
          <w:rFonts w:ascii="Times New Roman" w:hAnsi="Times New Roman" w:cs="Times New Roman"/>
          <w:sz w:val="24"/>
          <w:szCs w:val="24"/>
        </w:rPr>
        <w:t>is appropriate because it is an</w:t>
      </w:r>
      <w:r w:rsidRPr="00254A63">
        <w:rPr>
          <w:rFonts w:ascii="Times New Roman" w:hAnsi="Times New Roman" w:cs="Times New Roman"/>
          <w:sz w:val="24"/>
          <w:szCs w:val="24"/>
        </w:rPr>
        <w:t xml:space="preserve"> </w:t>
      </w:r>
      <w:r w:rsidRPr="00254A63" w:rsidR="00CF79E9">
        <w:rPr>
          <w:rFonts w:ascii="Times New Roman" w:hAnsi="Times New Roman" w:cs="Times New Roman"/>
          <w:sz w:val="24"/>
          <w:szCs w:val="24"/>
        </w:rPr>
        <w:t xml:space="preserve">attempt to calculate the rider </w:t>
      </w:r>
      <w:r w:rsidR="00254A63">
        <w:rPr>
          <w:rFonts w:ascii="Times New Roman" w:hAnsi="Times New Roman" w:cs="Times New Roman"/>
          <w:sz w:val="24"/>
          <w:szCs w:val="24"/>
        </w:rPr>
        <w:t>“</w:t>
      </w:r>
      <w:r w:rsidRPr="00254A63" w:rsidR="00CF79E9">
        <w:rPr>
          <w:rFonts w:ascii="Times New Roman" w:hAnsi="Times New Roman" w:cs="Times New Roman"/>
          <w:sz w:val="24"/>
          <w:szCs w:val="24"/>
        </w:rPr>
        <w:t>with Commission-approved inputs supporting what is currently in base rates.</w:t>
      </w:r>
      <w:r w:rsidR="00254A63">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sidRPr="00254A63" w:rsidR="00B00858">
        <w:rPr>
          <w:rFonts w:ascii="Times New Roman" w:hAnsi="Times New Roman" w:cs="Times New Roman"/>
          <w:sz w:val="24"/>
          <w:szCs w:val="24"/>
        </w:rPr>
        <w:t xml:space="preserve"> </w:t>
      </w:r>
      <w:r w:rsidRPr="00254A63" w:rsidR="00194C4E">
        <w:rPr>
          <w:rFonts w:ascii="Times New Roman" w:hAnsi="Times New Roman" w:cs="Times New Roman"/>
          <w:sz w:val="24"/>
          <w:szCs w:val="24"/>
        </w:rPr>
        <w:t xml:space="preserve">However, the </w:t>
      </w:r>
      <w:r w:rsidR="00254A63">
        <w:rPr>
          <w:rFonts w:ascii="Times New Roman" w:hAnsi="Times New Roman" w:cs="Times New Roman"/>
          <w:sz w:val="24"/>
          <w:szCs w:val="24"/>
        </w:rPr>
        <w:t>“</w:t>
      </w:r>
      <w:r w:rsidRPr="00254A63">
        <w:rPr>
          <w:rFonts w:ascii="Times New Roman" w:hAnsi="Times New Roman" w:cs="Times New Roman"/>
          <w:sz w:val="24"/>
          <w:szCs w:val="24"/>
        </w:rPr>
        <w:t>Commission-approved inputs</w:t>
      </w:r>
      <w:r w:rsidR="00254A63">
        <w:rPr>
          <w:rFonts w:ascii="Times New Roman" w:hAnsi="Times New Roman" w:cs="Times New Roman"/>
          <w:sz w:val="24"/>
          <w:szCs w:val="24"/>
        </w:rPr>
        <w:t>”</w:t>
      </w:r>
      <w:r w:rsidRPr="00254A63" w:rsidR="00B00858">
        <w:rPr>
          <w:rFonts w:ascii="Times New Roman" w:hAnsi="Times New Roman" w:cs="Times New Roman"/>
          <w:sz w:val="24"/>
          <w:szCs w:val="24"/>
        </w:rPr>
        <w:t xml:space="preserve"> </w:t>
      </w:r>
      <w:r w:rsidRPr="00254A63">
        <w:rPr>
          <w:rFonts w:ascii="Times New Roman" w:hAnsi="Times New Roman" w:cs="Times New Roman"/>
          <w:sz w:val="24"/>
          <w:szCs w:val="24"/>
        </w:rPr>
        <w:t>Duke must</w:t>
      </w:r>
      <w:r w:rsidRPr="00254A63" w:rsidR="00194C4E">
        <w:rPr>
          <w:rFonts w:ascii="Times New Roman" w:hAnsi="Times New Roman" w:cs="Times New Roman"/>
          <w:sz w:val="24"/>
          <w:szCs w:val="24"/>
        </w:rPr>
        <w:t xml:space="preserve"> use to</w:t>
      </w:r>
      <w:r w:rsidRPr="00254A63">
        <w:rPr>
          <w:rFonts w:ascii="Times New Roman" w:hAnsi="Times New Roman" w:cs="Times New Roman"/>
          <w:sz w:val="24"/>
          <w:szCs w:val="24"/>
        </w:rPr>
        <w:t xml:space="preserve"> calculate Rider DCI </w:t>
      </w:r>
      <w:r w:rsidRPr="00254A63" w:rsidR="00194C4E">
        <w:rPr>
          <w:rFonts w:ascii="Times New Roman" w:hAnsi="Times New Roman" w:cs="Times New Roman"/>
          <w:sz w:val="24"/>
          <w:szCs w:val="24"/>
        </w:rPr>
        <w:t xml:space="preserve">are </w:t>
      </w:r>
      <w:r w:rsidRPr="00254A63">
        <w:rPr>
          <w:rFonts w:ascii="Times New Roman" w:hAnsi="Times New Roman" w:cs="Times New Roman"/>
          <w:sz w:val="24"/>
          <w:szCs w:val="24"/>
        </w:rPr>
        <w:t xml:space="preserve">the actual </w:t>
      </w:r>
      <w:r w:rsidRPr="00254A63">
        <w:rPr>
          <w:rFonts w:ascii="Times New Roman" w:hAnsi="Times New Roman" w:cs="Times New Roman"/>
          <w:i/>
          <w:iCs/>
          <w:sz w:val="24"/>
          <w:szCs w:val="24"/>
        </w:rPr>
        <w:t xml:space="preserve">Commission-approved rates </w:t>
      </w:r>
      <w:r w:rsidRPr="00254A63">
        <w:rPr>
          <w:rFonts w:ascii="Times New Roman" w:hAnsi="Times New Roman" w:cs="Times New Roman"/>
          <w:sz w:val="24"/>
          <w:szCs w:val="24"/>
        </w:rPr>
        <w:t xml:space="preserve">from </w:t>
      </w:r>
      <w:r w:rsidRPr="00254A63" w:rsidR="009F2811">
        <w:rPr>
          <w:rFonts w:ascii="Times New Roman" w:hAnsi="Times New Roman" w:cs="Times New Roman"/>
          <w:sz w:val="24"/>
          <w:szCs w:val="24"/>
        </w:rPr>
        <w:t>its</w:t>
      </w:r>
      <w:r w:rsidRPr="00254A63">
        <w:rPr>
          <w:rFonts w:ascii="Times New Roman" w:hAnsi="Times New Roman" w:cs="Times New Roman"/>
          <w:sz w:val="24"/>
          <w:szCs w:val="24"/>
        </w:rPr>
        <w:t xml:space="preserve"> rate case, not the </w:t>
      </w:r>
      <w:r w:rsidR="00254A63">
        <w:rPr>
          <w:rFonts w:ascii="Times New Roman" w:hAnsi="Times New Roman" w:cs="Times New Roman"/>
          <w:sz w:val="24"/>
          <w:szCs w:val="24"/>
        </w:rPr>
        <w:t>“</w:t>
      </w:r>
      <w:r w:rsidRPr="00254A63">
        <w:rPr>
          <w:rFonts w:ascii="Times New Roman" w:hAnsi="Times New Roman" w:cs="Times New Roman"/>
          <w:sz w:val="24"/>
          <w:szCs w:val="24"/>
        </w:rPr>
        <w:t>inputs</w:t>
      </w:r>
      <w:r w:rsidR="00254A63">
        <w:rPr>
          <w:rFonts w:ascii="Times New Roman" w:hAnsi="Times New Roman" w:cs="Times New Roman"/>
          <w:sz w:val="24"/>
          <w:szCs w:val="24"/>
        </w:rPr>
        <w:t>”</w:t>
      </w:r>
      <w:r w:rsidRPr="00254A63">
        <w:rPr>
          <w:rFonts w:ascii="Times New Roman" w:hAnsi="Times New Roman" w:cs="Times New Roman"/>
          <w:sz w:val="24"/>
          <w:szCs w:val="24"/>
        </w:rPr>
        <w:t xml:space="preserve"> </w:t>
      </w:r>
      <w:r w:rsidRPr="00254A63" w:rsidR="00A130E9">
        <w:rPr>
          <w:rFonts w:ascii="Times New Roman" w:hAnsi="Times New Roman" w:cs="Times New Roman"/>
          <w:sz w:val="24"/>
          <w:szCs w:val="24"/>
        </w:rPr>
        <w:t>that Duke has come up with to cover its mistake</w:t>
      </w:r>
      <w:r w:rsidRPr="00254A63" w:rsidR="00D46FAB">
        <w:rPr>
          <w:rFonts w:ascii="Times New Roman" w:hAnsi="Times New Roman" w:cs="Times New Roman"/>
          <w:sz w:val="24"/>
          <w:szCs w:val="24"/>
        </w:rPr>
        <w:t>.</w:t>
      </w:r>
    </w:p>
    <w:p w:rsidR="0089135D" w:rsidRPr="00254A63" w:rsidP="0089135D" w14:paraId="16F37A47" w14:textId="7538EA4F">
      <w:pPr>
        <w:spacing w:after="0" w:line="480" w:lineRule="auto"/>
        <w:ind w:firstLine="720"/>
        <w:rPr>
          <w:rFonts w:cs="Times New Roman"/>
          <w:szCs w:val="24"/>
        </w:rPr>
      </w:pPr>
      <w:r w:rsidRPr="00254A63">
        <w:rPr>
          <w:rFonts w:cs="Times New Roman"/>
          <w:szCs w:val="24"/>
        </w:rPr>
        <w:t>Duke</w:t>
      </w:r>
      <w:r w:rsidRPr="00254A63" w:rsidR="009F2811">
        <w:rPr>
          <w:rFonts w:cs="Times New Roman"/>
          <w:szCs w:val="24"/>
        </w:rPr>
        <w:t xml:space="preserve"> claims that the following </w:t>
      </w:r>
      <w:r w:rsidRPr="00254A63">
        <w:rPr>
          <w:rFonts w:cs="Times New Roman"/>
          <w:szCs w:val="24"/>
        </w:rPr>
        <w:t xml:space="preserve">language from the </w:t>
      </w:r>
      <w:r w:rsidRPr="00254A63" w:rsidR="009F2811">
        <w:rPr>
          <w:rFonts w:cs="Times New Roman"/>
          <w:szCs w:val="24"/>
        </w:rPr>
        <w:t>settlement</w:t>
      </w:r>
      <w:r w:rsidRPr="00254A63">
        <w:rPr>
          <w:rFonts w:cs="Times New Roman"/>
          <w:szCs w:val="24"/>
        </w:rPr>
        <w:t xml:space="preserve"> in Case No. 17-32-EL-AIR</w:t>
      </w:r>
      <w:r w:rsidR="00254A63">
        <w:rPr>
          <w:rFonts w:cs="Times New Roman"/>
          <w:szCs w:val="24"/>
        </w:rPr>
        <w:t xml:space="preserve"> </w:t>
      </w:r>
      <w:r w:rsidRPr="00254A63" w:rsidR="009F2811">
        <w:rPr>
          <w:rFonts w:cs="Times New Roman"/>
          <w:szCs w:val="24"/>
        </w:rPr>
        <w:t>supports</w:t>
      </w:r>
      <w:r w:rsidRPr="00254A63">
        <w:rPr>
          <w:rFonts w:cs="Times New Roman"/>
          <w:szCs w:val="24"/>
        </w:rPr>
        <w:t xml:space="preserve"> </w:t>
      </w:r>
      <w:r w:rsidRPr="00254A63" w:rsidR="00DA6289">
        <w:rPr>
          <w:rFonts w:cs="Times New Roman"/>
          <w:szCs w:val="24"/>
        </w:rPr>
        <w:t>its</w:t>
      </w:r>
      <w:r w:rsidRPr="00254A63">
        <w:rPr>
          <w:rFonts w:cs="Times New Roman"/>
          <w:szCs w:val="24"/>
        </w:rPr>
        <w:t xml:space="preserve"> ADIT </w:t>
      </w:r>
      <w:r w:rsidR="00254A63">
        <w:rPr>
          <w:rFonts w:cs="Times New Roman"/>
          <w:szCs w:val="24"/>
        </w:rPr>
        <w:t>“</w:t>
      </w:r>
      <w:r w:rsidRPr="00254A63">
        <w:rPr>
          <w:rFonts w:cs="Times New Roman"/>
          <w:szCs w:val="24"/>
        </w:rPr>
        <w:t>correction</w:t>
      </w:r>
      <w:r w:rsidR="00926CB1">
        <w:rPr>
          <w:rFonts w:cs="Times New Roman"/>
          <w:szCs w:val="24"/>
        </w:rPr>
        <w:t>:</w:t>
      </w:r>
      <w:r w:rsidR="00254A63">
        <w:rPr>
          <w:rFonts w:cs="Times New Roman"/>
          <w:szCs w:val="24"/>
        </w:rPr>
        <w:t>”</w:t>
      </w:r>
      <w:r>
        <w:rPr>
          <w:rStyle w:val="FootnoteReference"/>
          <w:rFonts w:cs="Times New Roman"/>
          <w:szCs w:val="24"/>
        </w:rPr>
        <w:footnoteReference w:id="19"/>
      </w:r>
      <w:r w:rsidRPr="00254A63" w:rsidR="00B00858">
        <w:rPr>
          <w:rFonts w:cs="Times New Roman"/>
          <w:szCs w:val="24"/>
        </w:rPr>
        <w:t xml:space="preserve"> </w:t>
      </w:r>
    </w:p>
    <w:p w:rsidR="0089135D" w:rsidRPr="00254A63" w:rsidP="00137B7E" w14:paraId="15A6BA21" w14:textId="7A6E05A4">
      <w:pPr>
        <w:spacing w:after="0" w:line="240" w:lineRule="auto"/>
        <w:ind w:left="1440" w:right="1440"/>
        <w:rPr>
          <w:rFonts w:cs="Times New Roman"/>
          <w:szCs w:val="24"/>
        </w:rPr>
      </w:pPr>
      <w:r w:rsidRPr="00254A63">
        <w:rPr>
          <w:rFonts w:cs="Times New Roman"/>
          <w:szCs w:val="24"/>
        </w:rPr>
        <w:t>Capital costs included in Rider DCI shall be those recorded in FERC Accounts 360-374, provided such costs are not recovered elsewhere.</w:t>
      </w:r>
      <w:r w:rsidRPr="00254A63" w:rsidR="00B00858">
        <w:rPr>
          <w:rFonts w:cs="Times New Roman"/>
          <w:szCs w:val="24"/>
        </w:rPr>
        <w:t xml:space="preserve"> </w:t>
      </w:r>
      <w:r w:rsidRPr="00254A63">
        <w:rPr>
          <w:rFonts w:cs="Times New Roman"/>
          <w:szCs w:val="24"/>
        </w:rPr>
        <w:t xml:space="preserve">Rider DCI shall be computed by comparing the current rate base associated exclusively with plant accounts recorded in the FERC accounts noted above to the rate base related to the same accounts as included in the overall </w:t>
      </w:r>
      <w:r w:rsidRPr="00254A63">
        <w:rPr>
          <w:rFonts w:cs="Times New Roman"/>
          <w:i/>
          <w:iCs/>
          <w:szCs w:val="24"/>
        </w:rPr>
        <w:t>rate base approved in the most recent base electric distribution rate case</w:t>
      </w:r>
      <w:r w:rsidRPr="00254A63">
        <w:rPr>
          <w:rFonts w:cs="Times New Roman"/>
          <w:szCs w:val="24"/>
        </w:rPr>
        <w:t>.</w:t>
      </w:r>
      <w:r>
        <w:rPr>
          <w:rStyle w:val="FootnoteReference"/>
          <w:rFonts w:cs="Times New Roman"/>
          <w:szCs w:val="24"/>
        </w:rPr>
        <w:footnoteReference w:id="20"/>
      </w:r>
    </w:p>
    <w:p w:rsidR="00E22229" w:rsidRPr="00254A63" w:rsidP="00796C10" w14:paraId="0663BB6B" w14:textId="1FFB9E96">
      <w:pPr>
        <w:pStyle w:val="ListParagraph"/>
        <w:spacing w:after="0" w:line="480" w:lineRule="auto"/>
        <w:ind w:left="0"/>
        <w:rPr>
          <w:rFonts w:ascii="Times New Roman" w:hAnsi="Times New Roman" w:cs="Times New Roman"/>
          <w:sz w:val="24"/>
          <w:szCs w:val="24"/>
        </w:rPr>
      </w:pPr>
      <w:r w:rsidRPr="00254A63">
        <w:rPr>
          <w:rFonts w:ascii="Times New Roman" w:hAnsi="Times New Roman" w:cs="Times New Roman"/>
          <w:sz w:val="24"/>
          <w:szCs w:val="24"/>
        </w:rPr>
        <w:tab/>
      </w:r>
      <w:r w:rsidRPr="00254A63" w:rsidR="009F2811">
        <w:rPr>
          <w:rFonts w:ascii="Times New Roman" w:hAnsi="Times New Roman" w:cs="Times New Roman"/>
          <w:sz w:val="24"/>
          <w:szCs w:val="24"/>
        </w:rPr>
        <w:t>Duke</w:t>
      </w:r>
      <w:r w:rsidR="00254A63">
        <w:rPr>
          <w:rFonts w:ascii="Times New Roman" w:hAnsi="Times New Roman" w:cs="Times New Roman"/>
          <w:sz w:val="24"/>
          <w:szCs w:val="24"/>
        </w:rPr>
        <w:t>’</w:t>
      </w:r>
      <w:r w:rsidRPr="00254A63" w:rsidR="009F2811">
        <w:rPr>
          <w:rFonts w:ascii="Times New Roman" w:hAnsi="Times New Roman" w:cs="Times New Roman"/>
          <w:sz w:val="24"/>
          <w:szCs w:val="24"/>
        </w:rPr>
        <w:t xml:space="preserve">s reliance on this language for additional charges to consumers should be rejected. </w:t>
      </w:r>
      <w:r w:rsidRPr="00254A63">
        <w:rPr>
          <w:rFonts w:ascii="Times New Roman" w:hAnsi="Times New Roman" w:cs="Times New Roman"/>
          <w:sz w:val="24"/>
          <w:szCs w:val="24"/>
        </w:rPr>
        <w:t xml:space="preserve">This language simply describes the specific FERC accounts covered by Rider DCI and </w:t>
      </w:r>
      <w:r w:rsidRPr="00254A63" w:rsidR="00A93C41">
        <w:rPr>
          <w:rFonts w:ascii="Times New Roman" w:hAnsi="Times New Roman" w:cs="Times New Roman"/>
          <w:sz w:val="24"/>
          <w:szCs w:val="24"/>
        </w:rPr>
        <w:t xml:space="preserve">does </w:t>
      </w:r>
      <w:r w:rsidRPr="00254A63">
        <w:rPr>
          <w:rFonts w:ascii="Times New Roman" w:hAnsi="Times New Roman" w:cs="Times New Roman"/>
          <w:sz w:val="24"/>
          <w:szCs w:val="24"/>
        </w:rPr>
        <w:t xml:space="preserve">not </w:t>
      </w:r>
      <w:r w:rsidRPr="00254A63" w:rsidR="00A93C41">
        <w:rPr>
          <w:rFonts w:ascii="Times New Roman" w:hAnsi="Times New Roman" w:cs="Times New Roman"/>
          <w:sz w:val="24"/>
          <w:szCs w:val="24"/>
        </w:rPr>
        <w:t xml:space="preserve">excuse Duke from </w:t>
      </w:r>
      <w:r w:rsidRPr="00254A63">
        <w:rPr>
          <w:rFonts w:ascii="Times New Roman" w:hAnsi="Times New Roman" w:cs="Times New Roman"/>
          <w:sz w:val="24"/>
          <w:szCs w:val="24"/>
        </w:rPr>
        <w:t xml:space="preserve">calculating Rider DCI using the actual rates </w:t>
      </w:r>
      <w:r w:rsidRPr="00254A63" w:rsidR="00A130E9">
        <w:rPr>
          <w:rFonts w:ascii="Times New Roman" w:hAnsi="Times New Roman" w:cs="Times New Roman"/>
          <w:sz w:val="24"/>
          <w:szCs w:val="24"/>
        </w:rPr>
        <w:t>PUCO-</w:t>
      </w:r>
      <w:r w:rsidRPr="00254A63">
        <w:rPr>
          <w:rFonts w:ascii="Times New Roman" w:hAnsi="Times New Roman" w:cs="Times New Roman"/>
          <w:sz w:val="24"/>
          <w:szCs w:val="24"/>
        </w:rPr>
        <w:t>approved rate</w:t>
      </w:r>
      <w:r w:rsidRPr="00254A63" w:rsidR="00A130E9">
        <w:rPr>
          <w:rFonts w:ascii="Times New Roman" w:hAnsi="Times New Roman" w:cs="Times New Roman"/>
          <w:sz w:val="24"/>
          <w:szCs w:val="24"/>
        </w:rPr>
        <w:t>s</w:t>
      </w:r>
      <w:r w:rsidRPr="00254A63">
        <w:rPr>
          <w:rFonts w:ascii="Times New Roman" w:hAnsi="Times New Roman" w:cs="Times New Roman"/>
          <w:sz w:val="24"/>
          <w:szCs w:val="24"/>
        </w:rPr>
        <w:t>.</w:t>
      </w:r>
      <w:r w:rsidRPr="00254A63" w:rsidR="00B00858">
        <w:rPr>
          <w:rFonts w:ascii="Times New Roman" w:hAnsi="Times New Roman" w:cs="Times New Roman"/>
          <w:sz w:val="24"/>
          <w:szCs w:val="24"/>
        </w:rPr>
        <w:t xml:space="preserve"> </w:t>
      </w:r>
      <w:r w:rsidRPr="00254A63" w:rsidR="00484BEB">
        <w:rPr>
          <w:rFonts w:ascii="Times New Roman" w:hAnsi="Times New Roman" w:cs="Times New Roman"/>
          <w:sz w:val="24"/>
          <w:szCs w:val="24"/>
        </w:rPr>
        <w:t xml:space="preserve">Contrary to </w:t>
      </w:r>
      <w:r w:rsidRPr="00254A63" w:rsidR="004F5F2E">
        <w:rPr>
          <w:rFonts w:ascii="Times New Roman" w:hAnsi="Times New Roman" w:cs="Times New Roman"/>
          <w:sz w:val="24"/>
          <w:szCs w:val="24"/>
        </w:rPr>
        <w:t>Duke</w:t>
      </w:r>
      <w:r w:rsidR="00254A63">
        <w:rPr>
          <w:rFonts w:ascii="Times New Roman" w:hAnsi="Times New Roman" w:cs="Times New Roman"/>
          <w:sz w:val="24"/>
          <w:szCs w:val="24"/>
        </w:rPr>
        <w:t>’</w:t>
      </w:r>
      <w:r w:rsidRPr="00254A63" w:rsidR="004F5F2E">
        <w:rPr>
          <w:rFonts w:ascii="Times New Roman" w:hAnsi="Times New Roman" w:cs="Times New Roman"/>
          <w:sz w:val="24"/>
          <w:szCs w:val="24"/>
        </w:rPr>
        <w:t xml:space="preserve">s </w:t>
      </w:r>
      <w:r w:rsidRPr="00254A63" w:rsidR="0007288D">
        <w:rPr>
          <w:rFonts w:ascii="Times New Roman" w:hAnsi="Times New Roman" w:cs="Times New Roman"/>
          <w:sz w:val="24"/>
          <w:szCs w:val="24"/>
        </w:rPr>
        <w:t>interpretation</w:t>
      </w:r>
      <w:r w:rsidRPr="00254A63" w:rsidR="00484BEB">
        <w:rPr>
          <w:rFonts w:ascii="Times New Roman" w:hAnsi="Times New Roman" w:cs="Times New Roman"/>
          <w:sz w:val="24"/>
          <w:szCs w:val="24"/>
        </w:rPr>
        <w:t>, the Auditor viewed Duke</w:t>
      </w:r>
      <w:r w:rsidR="00254A63">
        <w:rPr>
          <w:rFonts w:ascii="Times New Roman" w:hAnsi="Times New Roman" w:cs="Times New Roman"/>
          <w:sz w:val="24"/>
          <w:szCs w:val="24"/>
        </w:rPr>
        <w:t>’</w:t>
      </w:r>
      <w:r w:rsidRPr="00254A63" w:rsidR="00484BEB">
        <w:rPr>
          <w:rFonts w:ascii="Times New Roman" w:hAnsi="Times New Roman" w:cs="Times New Roman"/>
          <w:sz w:val="24"/>
          <w:szCs w:val="24"/>
        </w:rPr>
        <w:t xml:space="preserve">s </w:t>
      </w:r>
      <w:r w:rsidRPr="00254A63" w:rsidR="00CF79E9">
        <w:rPr>
          <w:rFonts w:ascii="Times New Roman" w:hAnsi="Times New Roman" w:cs="Times New Roman"/>
          <w:sz w:val="24"/>
          <w:szCs w:val="24"/>
        </w:rPr>
        <w:t xml:space="preserve">ADIT </w:t>
      </w:r>
      <w:r w:rsidRPr="00254A63" w:rsidR="004F5F2E">
        <w:rPr>
          <w:rFonts w:ascii="Times New Roman" w:hAnsi="Times New Roman" w:cs="Times New Roman"/>
          <w:sz w:val="24"/>
          <w:szCs w:val="24"/>
        </w:rPr>
        <w:t xml:space="preserve">adjustment </w:t>
      </w:r>
      <w:r w:rsidRPr="00254A63" w:rsidR="00484BEB">
        <w:rPr>
          <w:rFonts w:ascii="Times New Roman" w:hAnsi="Times New Roman" w:cs="Times New Roman"/>
          <w:sz w:val="24"/>
          <w:szCs w:val="24"/>
        </w:rPr>
        <w:t>as a serious matter:</w:t>
      </w:r>
    </w:p>
    <w:p w:rsidR="00E22229" w:rsidRPr="00254A63" w:rsidP="00CF79E9" w14:paraId="62BE07C7" w14:textId="2E551B62">
      <w:pPr>
        <w:pStyle w:val="ListParagraph"/>
        <w:spacing w:after="0" w:line="240" w:lineRule="auto"/>
        <w:ind w:left="1440" w:right="1440"/>
        <w:rPr>
          <w:rFonts w:ascii="Times New Roman" w:hAnsi="Times New Roman" w:cs="Times New Roman"/>
          <w:sz w:val="24"/>
          <w:szCs w:val="24"/>
        </w:rPr>
      </w:pPr>
      <w:r w:rsidRPr="00254A63">
        <w:rPr>
          <w:rFonts w:ascii="Times New Roman" w:hAnsi="Times New Roman" w:cs="Times New Roman"/>
          <w:sz w:val="24"/>
          <w:szCs w:val="24"/>
        </w:rPr>
        <w:t>Blue Ridge has never encountered a situation like the one here and struggled to find clearcut language in the larger Rider DCI record upon which to base a recommendation. Ultimately, Blue Ridge decided not to recommend the Company</w:t>
      </w:r>
      <w:r w:rsidR="00254A63">
        <w:rPr>
          <w:rFonts w:ascii="Times New Roman" w:hAnsi="Times New Roman" w:cs="Times New Roman"/>
          <w:sz w:val="24"/>
          <w:szCs w:val="24"/>
        </w:rPr>
        <w:t>’</w:t>
      </w:r>
      <w:r w:rsidRPr="00254A63">
        <w:rPr>
          <w:rFonts w:ascii="Times New Roman" w:hAnsi="Times New Roman" w:cs="Times New Roman"/>
          <w:sz w:val="24"/>
          <w:szCs w:val="24"/>
        </w:rPr>
        <w:t xml:space="preserve">s proposed adjustment to </w:t>
      </w:r>
      <w:r w:rsidR="00254A63">
        <w:rPr>
          <w:rFonts w:ascii="Times New Roman" w:hAnsi="Times New Roman" w:cs="Times New Roman"/>
          <w:sz w:val="24"/>
          <w:szCs w:val="24"/>
        </w:rPr>
        <w:t>‘</w:t>
      </w:r>
      <w:r w:rsidRPr="00254A63">
        <w:rPr>
          <w:rFonts w:ascii="Times New Roman" w:hAnsi="Times New Roman" w:cs="Times New Roman"/>
          <w:sz w:val="24"/>
          <w:szCs w:val="24"/>
        </w:rPr>
        <w:t>correct</w:t>
      </w:r>
      <w:r w:rsidR="00254A63">
        <w:rPr>
          <w:rFonts w:ascii="Times New Roman" w:hAnsi="Times New Roman" w:cs="Times New Roman"/>
          <w:sz w:val="24"/>
          <w:szCs w:val="24"/>
        </w:rPr>
        <w:t>’</w:t>
      </w:r>
      <w:r w:rsidRPr="00254A63">
        <w:rPr>
          <w:rFonts w:ascii="Times New Roman" w:hAnsi="Times New Roman" w:cs="Times New Roman"/>
          <w:sz w:val="24"/>
          <w:szCs w:val="24"/>
        </w:rPr>
        <w:t xml:space="preserve"> a base rate case filing that has already been resolved among the parties and approved by the Commission, through a rider mechanism.</w:t>
      </w:r>
      <w:r>
        <w:rPr>
          <w:rStyle w:val="FootnoteReference"/>
          <w:rFonts w:ascii="Times New Roman" w:hAnsi="Times New Roman" w:cs="Times New Roman"/>
          <w:sz w:val="24"/>
          <w:szCs w:val="24"/>
        </w:rPr>
        <w:footnoteReference w:id="21"/>
      </w:r>
    </w:p>
    <w:p w:rsidR="00CF79E9" w:rsidRPr="00254A63" w:rsidP="00CF79E9" w14:paraId="4539C3FF" w14:textId="77777777">
      <w:pPr>
        <w:pStyle w:val="ListParagraph"/>
        <w:spacing w:after="0" w:line="240" w:lineRule="auto"/>
        <w:ind w:left="1440" w:right="1440"/>
        <w:rPr>
          <w:rFonts w:ascii="Times New Roman" w:hAnsi="Times New Roman" w:cs="Times New Roman"/>
          <w:sz w:val="24"/>
          <w:szCs w:val="24"/>
        </w:rPr>
      </w:pPr>
    </w:p>
    <w:p w:rsidR="00E22229" w:rsidRPr="00254A63" w:rsidP="00796C10" w14:paraId="7922CD01" w14:textId="22706125">
      <w:pPr>
        <w:pStyle w:val="ListParagraph"/>
        <w:spacing w:after="0" w:line="480" w:lineRule="auto"/>
        <w:ind w:left="0"/>
        <w:rPr>
          <w:rFonts w:ascii="Times New Roman" w:hAnsi="Times New Roman" w:cs="Times New Roman"/>
          <w:sz w:val="24"/>
          <w:szCs w:val="24"/>
        </w:rPr>
      </w:pPr>
      <w:r w:rsidRPr="00254A63">
        <w:rPr>
          <w:rFonts w:ascii="Times New Roman" w:hAnsi="Times New Roman" w:cs="Times New Roman"/>
          <w:sz w:val="24"/>
          <w:szCs w:val="24"/>
        </w:rPr>
        <w:tab/>
        <w:t xml:space="preserve">The PUCO should </w:t>
      </w:r>
      <w:r w:rsidRPr="00254A63" w:rsidR="002401B2">
        <w:rPr>
          <w:rFonts w:ascii="Times New Roman" w:hAnsi="Times New Roman" w:cs="Times New Roman"/>
          <w:sz w:val="24"/>
          <w:szCs w:val="24"/>
        </w:rPr>
        <w:t xml:space="preserve">adopt </w:t>
      </w:r>
      <w:r w:rsidRPr="00254A63">
        <w:rPr>
          <w:rFonts w:ascii="Times New Roman" w:hAnsi="Times New Roman" w:cs="Times New Roman"/>
          <w:sz w:val="24"/>
          <w:szCs w:val="24"/>
        </w:rPr>
        <w:t>the Auditor</w:t>
      </w:r>
      <w:r w:rsidR="00254A63">
        <w:rPr>
          <w:rFonts w:ascii="Times New Roman" w:hAnsi="Times New Roman" w:cs="Times New Roman"/>
          <w:sz w:val="24"/>
          <w:szCs w:val="24"/>
        </w:rPr>
        <w:t>’</w:t>
      </w:r>
      <w:r w:rsidRPr="00254A63" w:rsidR="002401B2">
        <w:rPr>
          <w:rFonts w:ascii="Times New Roman" w:hAnsi="Times New Roman" w:cs="Times New Roman"/>
          <w:sz w:val="24"/>
          <w:szCs w:val="24"/>
        </w:rPr>
        <w:t>s recommendation to reject Duke</w:t>
      </w:r>
      <w:r w:rsidR="00254A63">
        <w:rPr>
          <w:rFonts w:ascii="Times New Roman" w:hAnsi="Times New Roman" w:cs="Times New Roman"/>
          <w:sz w:val="24"/>
          <w:szCs w:val="24"/>
        </w:rPr>
        <w:t>’</w:t>
      </w:r>
      <w:r w:rsidRPr="00254A63" w:rsidR="002401B2">
        <w:rPr>
          <w:rFonts w:ascii="Times New Roman" w:hAnsi="Times New Roman" w:cs="Times New Roman"/>
          <w:sz w:val="24"/>
          <w:szCs w:val="24"/>
        </w:rPr>
        <w:t>s attempted ADIT adjustment.</w:t>
      </w:r>
      <w:r w:rsidRPr="00254A63" w:rsidR="00B00858">
        <w:rPr>
          <w:rFonts w:ascii="Times New Roman" w:hAnsi="Times New Roman" w:cs="Times New Roman"/>
          <w:sz w:val="24"/>
          <w:szCs w:val="24"/>
        </w:rPr>
        <w:t xml:space="preserve"> </w:t>
      </w:r>
      <w:r w:rsidRPr="00254A63" w:rsidR="002401B2">
        <w:rPr>
          <w:rFonts w:ascii="Times New Roman" w:hAnsi="Times New Roman" w:cs="Times New Roman"/>
          <w:sz w:val="24"/>
          <w:szCs w:val="24"/>
        </w:rPr>
        <w:t>This case is not the proper forum to correct Duke</w:t>
      </w:r>
      <w:r w:rsidR="00254A63">
        <w:rPr>
          <w:rFonts w:ascii="Times New Roman" w:hAnsi="Times New Roman" w:cs="Times New Roman"/>
          <w:sz w:val="24"/>
          <w:szCs w:val="24"/>
        </w:rPr>
        <w:t>’</w:t>
      </w:r>
      <w:r w:rsidRPr="00254A63" w:rsidR="002401B2">
        <w:rPr>
          <w:rFonts w:ascii="Times New Roman" w:hAnsi="Times New Roman" w:cs="Times New Roman"/>
          <w:sz w:val="24"/>
          <w:szCs w:val="24"/>
        </w:rPr>
        <w:t xml:space="preserve">s </w:t>
      </w:r>
      <w:r w:rsidRPr="00254A63" w:rsidR="0007288D">
        <w:rPr>
          <w:rFonts w:ascii="Times New Roman" w:hAnsi="Times New Roman" w:cs="Times New Roman"/>
          <w:sz w:val="24"/>
          <w:szCs w:val="24"/>
        </w:rPr>
        <w:t xml:space="preserve">own </w:t>
      </w:r>
      <w:r w:rsidRPr="00254A63" w:rsidR="002401B2">
        <w:rPr>
          <w:rFonts w:ascii="Times New Roman" w:hAnsi="Times New Roman" w:cs="Times New Roman"/>
          <w:sz w:val="24"/>
          <w:szCs w:val="24"/>
        </w:rPr>
        <w:t>error from its last rate case.</w:t>
      </w:r>
      <w:r w:rsidRPr="00254A63" w:rsidR="00B00858">
        <w:rPr>
          <w:rFonts w:ascii="Times New Roman" w:hAnsi="Times New Roman" w:cs="Times New Roman"/>
          <w:sz w:val="24"/>
          <w:szCs w:val="24"/>
        </w:rPr>
        <w:t xml:space="preserve"> </w:t>
      </w:r>
      <w:r w:rsidRPr="00254A63" w:rsidR="009A1C9C">
        <w:rPr>
          <w:rFonts w:ascii="Times New Roman" w:hAnsi="Times New Roman" w:cs="Times New Roman"/>
          <w:sz w:val="24"/>
          <w:szCs w:val="24"/>
        </w:rPr>
        <w:t>If Duke believes that its base rates do not provide it with an opportunity to earn an adequate return, then Duke could consider filing a new rate case.</w:t>
      </w:r>
      <w:r w:rsidRPr="00254A63" w:rsidR="00B00858">
        <w:rPr>
          <w:rFonts w:ascii="Times New Roman" w:hAnsi="Times New Roman" w:cs="Times New Roman"/>
          <w:sz w:val="24"/>
          <w:szCs w:val="24"/>
        </w:rPr>
        <w:t xml:space="preserve"> </w:t>
      </w:r>
      <w:r w:rsidRPr="00254A63" w:rsidR="009A1C9C">
        <w:rPr>
          <w:rFonts w:ascii="Times New Roman" w:hAnsi="Times New Roman" w:cs="Times New Roman"/>
          <w:sz w:val="24"/>
          <w:szCs w:val="24"/>
        </w:rPr>
        <w:t xml:space="preserve">Duke is prohibited by law, however, from </w:t>
      </w:r>
      <w:r w:rsidRPr="00254A63" w:rsidR="00A130E9">
        <w:rPr>
          <w:rFonts w:ascii="Times New Roman" w:hAnsi="Times New Roman" w:cs="Times New Roman"/>
          <w:sz w:val="24"/>
          <w:szCs w:val="24"/>
        </w:rPr>
        <w:t xml:space="preserve">adjusting </w:t>
      </w:r>
      <w:r w:rsidRPr="00254A63" w:rsidR="00774BE6">
        <w:rPr>
          <w:rFonts w:ascii="Times New Roman" w:hAnsi="Times New Roman" w:cs="Times New Roman"/>
          <w:sz w:val="24"/>
          <w:szCs w:val="24"/>
        </w:rPr>
        <w:t>its base rates</w:t>
      </w:r>
      <w:r w:rsidR="00254A63">
        <w:rPr>
          <w:rFonts w:ascii="Times New Roman" w:hAnsi="Times New Roman" w:cs="Times New Roman"/>
          <w:sz w:val="24"/>
          <w:szCs w:val="24"/>
        </w:rPr>
        <w:t xml:space="preserve"> </w:t>
      </w:r>
      <w:r w:rsidRPr="00254A63" w:rsidR="009A1C9C">
        <w:rPr>
          <w:rFonts w:ascii="Times New Roman" w:hAnsi="Times New Roman" w:cs="Times New Roman"/>
          <w:sz w:val="24"/>
          <w:szCs w:val="24"/>
        </w:rPr>
        <w:t xml:space="preserve">in this case to correct its ADIT </w:t>
      </w:r>
      <w:r w:rsidRPr="00254A63" w:rsidR="0007288D">
        <w:rPr>
          <w:rFonts w:ascii="Times New Roman" w:hAnsi="Times New Roman" w:cs="Times New Roman"/>
          <w:sz w:val="24"/>
          <w:szCs w:val="24"/>
        </w:rPr>
        <w:t>mistake</w:t>
      </w:r>
      <w:r w:rsidRPr="00254A63" w:rsidR="009A1C9C">
        <w:rPr>
          <w:rFonts w:ascii="Times New Roman" w:hAnsi="Times New Roman" w:cs="Times New Roman"/>
          <w:sz w:val="24"/>
          <w:szCs w:val="24"/>
        </w:rPr>
        <w:t xml:space="preserve"> from </w:t>
      </w:r>
      <w:r w:rsidRPr="00254A63" w:rsidR="00774BE6">
        <w:rPr>
          <w:rFonts w:ascii="Times New Roman" w:hAnsi="Times New Roman" w:cs="Times New Roman"/>
          <w:sz w:val="24"/>
          <w:szCs w:val="24"/>
        </w:rPr>
        <w:t xml:space="preserve">its </w:t>
      </w:r>
      <w:r w:rsidRPr="00254A63" w:rsidR="0007288D">
        <w:rPr>
          <w:rFonts w:ascii="Times New Roman" w:hAnsi="Times New Roman" w:cs="Times New Roman"/>
          <w:sz w:val="24"/>
          <w:szCs w:val="24"/>
        </w:rPr>
        <w:t xml:space="preserve">last </w:t>
      </w:r>
      <w:r w:rsidRPr="00254A63" w:rsidR="009A1C9C">
        <w:rPr>
          <w:rFonts w:ascii="Times New Roman" w:hAnsi="Times New Roman" w:cs="Times New Roman"/>
          <w:sz w:val="24"/>
          <w:szCs w:val="24"/>
        </w:rPr>
        <w:t>rate case.</w:t>
      </w:r>
      <w:r>
        <w:rPr>
          <w:rStyle w:val="FootnoteReference"/>
          <w:rFonts w:ascii="Times New Roman" w:hAnsi="Times New Roman" w:cs="Times New Roman"/>
          <w:sz w:val="24"/>
          <w:szCs w:val="24"/>
        </w:rPr>
        <w:footnoteReference w:id="22"/>
      </w:r>
      <w:r w:rsidRPr="00254A63">
        <w:rPr>
          <w:rFonts w:ascii="Times New Roman" w:hAnsi="Times New Roman" w:cs="Times New Roman"/>
          <w:b/>
          <w:bCs/>
          <w:sz w:val="24"/>
          <w:szCs w:val="24"/>
        </w:rPr>
        <w:tab/>
      </w:r>
      <w:r w:rsidRPr="00254A63">
        <w:rPr>
          <w:rFonts w:ascii="Times New Roman" w:hAnsi="Times New Roman" w:cs="Times New Roman"/>
          <w:sz w:val="24"/>
          <w:szCs w:val="24"/>
        </w:rPr>
        <w:tab/>
      </w:r>
    </w:p>
    <w:p w:rsidR="00546EB5" w:rsidRPr="00254A63" w:rsidP="005124E7" w14:paraId="0D5FA0CA" w14:textId="7B78B9D8">
      <w:pPr>
        <w:spacing w:after="0" w:line="480" w:lineRule="auto"/>
        <w:rPr>
          <w:rFonts w:cs="Times New Roman"/>
          <w:szCs w:val="24"/>
        </w:rPr>
      </w:pPr>
      <w:r w:rsidRPr="00254A63">
        <w:rPr>
          <w:rFonts w:cs="Times New Roman"/>
          <w:szCs w:val="24"/>
        </w:rPr>
        <w:tab/>
        <w:t xml:space="preserve">The PUCO should </w:t>
      </w:r>
      <w:r w:rsidRPr="00254A63" w:rsidR="00796C10">
        <w:rPr>
          <w:rFonts w:cs="Times New Roman"/>
          <w:szCs w:val="24"/>
        </w:rPr>
        <w:t>adopt the Auditor</w:t>
      </w:r>
      <w:r w:rsidR="00254A63">
        <w:rPr>
          <w:rFonts w:cs="Times New Roman"/>
          <w:szCs w:val="24"/>
        </w:rPr>
        <w:t>’</w:t>
      </w:r>
      <w:r w:rsidRPr="00254A63" w:rsidR="00796C10">
        <w:rPr>
          <w:rFonts w:cs="Times New Roman"/>
          <w:szCs w:val="24"/>
        </w:rPr>
        <w:t xml:space="preserve">s recommendation to </w:t>
      </w:r>
      <w:r w:rsidRPr="00254A63">
        <w:rPr>
          <w:rFonts w:cs="Times New Roman"/>
          <w:szCs w:val="24"/>
        </w:rPr>
        <w:t>reject Duke</w:t>
      </w:r>
      <w:r w:rsidR="00254A63">
        <w:rPr>
          <w:rFonts w:cs="Times New Roman"/>
          <w:szCs w:val="24"/>
        </w:rPr>
        <w:t>’</w:t>
      </w:r>
      <w:r w:rsidRPr="00254A63">
        <w:rPr>
          <w:rFonts w:cs="Times New Roman"/>
          <w:szCs w:val="24"/>
        </w:rPr>
        <w:t>s propos</w:t>
      </w:r>
      <w:r w:rsidRPr="00254A63" w:rsidR="00796C10">
        <w:rPr>
          <w:rFonts w:cs="Times New Roman"/>
          <w:szCs w:val="24"/>
        </w:rPr>
        <w:t>ed ADIT adjustment.</w:t>
      </w:r>
      <w:r w:rsidRPr="00254A63" w:rsidR="00B00858">
        <w:rPr>
          <w:rFonts w:cs="Times New Roman"/>
          <w:szCs w:val="24"/>
        </w:rPr>
        <w:t xml:space="preserve"> </w:t>
      </w:r>
      <w:r w:rsidRPr="00254A63" w:rsidR="00796C10">
        <w:rPr>
          <w:rFonts w:cs="Times New Roman"/>
          <w:szCs w:val="24"/>
        </w:rPr>
        <w:t>Duke</w:t>
      </w:r>
      <w:r w:rsidR="00254A63">
        <w:rPr>
          <w:rFonts w:cs="Times New Roman"/>
          <w:szCs w:val="24"/>
        </w:rPr>
        <w:t>’</w:t>
      </w:r>
      <w:r w:rsidRPr="00254A63" w:rsidR="00796C10">
        <w:rPr>
          <w:rFonts w:cs="Times New Roman"/>
          <w:szCs w:val="24"/>
        </w:rPr>
        <w:t xml:space="preserve">s </w:t>
      </w:r>
      <w:r w:rsidRPr="00254A63" w:rsidR="00FC16F9">
        <w:rPr>
          <w:rFonts w:cs="Times New Roman"/>
          <w:szCs w:val="24"/>
        </w:rPr>
        <w:t xml:space="preserve">improper ADIT adjustment </w:t>
      </w:r>
      <w:r w:rsidRPr="00254A63">
        <w:rPr>
          <w:rFonts w:cs="Times New Roman"/>
          <w:szCs w:val="24"/>
        </w:rPr>
        <w:t>increase</w:t>
      </w:r>
      <w:r w:rsidRPr="00254A63" w:rsidR="00FC16F9">
        <w:rPr>
          <w:rFonts w:cs="Times New Roman"/>
          <w:szCs w:val="24"/>
        </w:rPr>
        <w:t>d</w:t>
      </w:r>
      <w:r w:rsidRPr="00254A63">
        <w:rPr>
          <w:rFonts w:cs="Times New Roman"/>
          <w:szCs w:val="24"/>
        </w:rPr>
        <w:t xml:space="preserve"> </w:t>
      </w:r>
      <w:r w:rsidRPr="00254A63" w:rsidR="00796C10">
        <w:rPr>
          <w:rFonts w:cs="Times New Roman"/>
          <w:szCs w:val="24"/>
        </w:rPr>
        <w:t xml:space="preserve">the </w:t>
      </w:r>
      <w:r w:rsidRPr="00254A63">
        <w:rPr>
          <w:rFonts w:cs="Times New Roman"/>
          <w:szCs w:val="24"/>
        </w:rPr>
        <w:t>Rider DCI r</w:t>
      </w:r>
      <w:r w:rsidRPr="00254A63" w:rsidR="00796C10">
        <w:rPr>
          <w:rFonts w:cs="Times New Roman"/>
          <w:szCs w:val="24"/>
        </w:rPr>
        <w:t>evenue requirement</w:t>
      </w:r>
      <w:r w:rsidR="00254A63">
        <w:rPr>
          <w:rFonts w:cs="Times New Roman"/>
          <w:szCs w:val="24"/>
        </w:rPr>
        <w:t xml:space="preserve"> </w:t>
      </w:r>
      <w:r w:rsidRPr="00254A63" w:rsidR="00774BE6">
        <w:rPr>
          <w:rFonts w:cs="Times New Roman"/>
          <w:szCs w:val="24"/>
        </w:rPr>
        <w:t xml:space="preserve">that consumers pay </w:t>
      </w:r>
      <w:r w:rsidRPr="00254A63">
        <w:rPr>
          <w:rFonts w:cs="Times New Roman"/>
          <w:szCs w:val="24"/>
        </w:rPr>
        <w:t>by $14.1 million.</w:t>
      </w:r>
      <w:r w:rsidRPr="00254A63" w:rsidR="00B00858">
        <w:rPr>
          <w:rFonts w:cs="Times New Roman"/>
          <w:szCs w:val="24"/>
        </w:rPr>
        <w:t xml:space="preserve"> </w:t>
      </w:r>
      <w:r w:rsidRPr="00254A63" w:rsidR="00FC16F9">
        <w:rPr>
          <w:rFonts w:cs="Times New Roman"/>
          <w:szCs w:val="24"/>
        </w:rPr>
        <w:t>The PUCO should order Duke to credit consumers for any over-collection which occurred during the audit period based on the improper ADIT adjustment.</w:t>
      </w:r>
      <w:r w:rsidRPr="00254A63" w:rsidR="00B00858">
        <w:rPr>
          <w:rFonts w:cs="Times New Roman"/>
          <w:szCs w:val="24"/>
        </w:rPr>
        <w:t xml:space="preserve"> </w:t>
      </w:r>
      <w:r w:rsidRPr="00254A63" w:rsidR="00FC16F9">
        <w:rPr>
          <w:rFonts w:cs="Times New Roman"/>
          <w:szCs w:val="24"/>
        </w:rPr>
        <w:t>The PUCO should also order Duke to file new tariff</w:t>
      </w:r>
      <w:r w:rsidRPr="00254A63" w:rsidR="00774BE6">
        <w:rPr>
          <w:rFonts w:cs="Times New Roman"/>
          <w:szCs w:val="24"/>
        </w:rPr>
        <w:t>s</w:t>
      </w:r>
      <w:r w:rsidR="00254A63">
        <w:rPr>
          <w:rFonts w:cs="Times New Roman"/>
          <w:szCs w:val="24"/>
        </w:rPr>
        <w:t xml:space="preserve"> </w:t>
      </w:r>
      <w:r w:rsidRPr="00254A63" w:rsidR="00FC16F9">
        <w:rPr>
          <w:rFonts w:cs="Times New Roman"/>
          <w:szCs w:val="24"/>
        </w:rPr>
        <w:t>removing the impact of the improper ADIT adjustment</w:t>
      </w:r>
      <w:r w:rsidRPr="00254A63" w:rsidR="00DA6289">
        <w:rPr>
          <w:rFonts w:cs="Times New Roman"/>
          <w:szCs w:val="24"/>
        </w:rPr>
        <w:t xml:space="preserve"> on a going forward basis</w:t>
      </w:r>
      <w:r w:rsidRPr="00254A63" w:rsidR="00FC16F9">
        <w:rPr>
          <w:rFonts w:cs="Times New Roman"/>
          <w:szCs w:val="24"/>
        </w:rPr>
        <w:t>.</w:t>
      </w:r>
    </w:p>
    <w:p w:rsidR="00E22229" w:rsidRPr="00254A63" w:rsidP="00546EB5" w14:paraId="2AE8645B" w14:textId="6C162704">
      <w:pPr>
        <w:pStyle w:val="Heading2"/>
        <w:rPr>
          <w:rFonts w:ascii="Times New Roman" w:hAnsi="Times New Roman" w:cs="Times New Roman"/>
          <w:szCs w:val="24"/>
        </w:rPr>
      </w:pPr>
      <w:r w:rsidRPr="00254A63">
        <w:rPr>
          <w:rFonts w:ascii="Times New Roman" w:hAnsi="Times New Roman" w:cs="Times New Roman"/>
          <w:szCs w:val="24"/>
        </w:rPr>
        <w:t>B.</w:t>
      </w:r>
      <w:r w:rsidRPr="00254A63">
        <w:rPr>
          <w:rFonts w:ascii="Times New Roman" w:hAnsi="Times New Roman" w:cs="Times New Roman"/>
          <w:szCs w:val="24"/>
        </w:rPr>
        <w:tab/>
      </w:r>
      <w:r w:rsidRPr="00254A63">
        <w:rPr>
          <w:rFonts w:ascii="Times New Roman" w:hAnsi="Times New Roman" w:cs="Times New Roman"/>
          <w:szCs w:val="24"/>
        </w:rPr>
        <w:t xml:space="preserve">The PUCO should </w:t>
      </w:r>
      <w:r w:rsidRPr="00254A63" w:rsidR="00076549">
        <w:rPr>
          <w:rFonts w:ascii="Times New Roman" w:hAnsi="Times New Roman" w:cs="Times New Roman"/>
          <w:szCs w:val="24"/>
        </w:rPr>
        <w:t>reject Duke</w:t>
      </w:r>
      <w:r w:rsidR="00254A63">
        <w:rPr>
          <w:rFonts w:ascii="Times New Roman" w:hAnsi="Times New Roman" w:cs="Times New Roman"/>
          <w:szCs w:val="24"/>
        </w:rPr>
        <w:t>’</w:t>
      </w:r>
      <w:r w:rsidRPr="00254A63" w:rsidR="00076549">
        <w:rPr>
          <w:rFonts w:ascii="Times New Roman" w:hAnsi="Times New Roman" w:cs="Times New Roman"/>
          <w:szCs w:val="24"/>
        </w:rPr>
        <w:t>s attempt to charge consumers</w:t>
      </w:r>
      <w:r w:rsidR="00254A63">
        <w:rPr>
          <w:rFonts w:ascii="Times New Roman" w:hAnsi="Times New Roman" w:cs="Times New Roman"/>
          <w:szCs w:val="24"/>
        </w:rPr>
        <w:t xml:space="preserve"> </w:t>
      </w:r>
      <w:r w:rsidRPr="00254A63" w:rsidR="00076549">
        <w:rPr>
          <w:rFonts w:ascii="Times New Roman" w:hAnsi="Times New Roman" w:cs="Times New Roman"/>
          <w:szCs w:val="24"/>
        </w:rPr>
        <w:t xml:space="preserve">for </w:t>
      </w:r>
      <w:r w:rsidRPr="00254A63">
        <w:rPr>
          <w:rFonts w:ascii="Times New Roman" w:hAnsi="Times New Roman" w:cs="Times New Roman"/>
          <w:szCs w:val="24"/>
        </w:rPr>
        <w:t>$1,798,674 in improperly capitalized vegetation management costs during the audit period</w:t>
      </w:r>
      <w:r w:rsidRPr="00254A63" w:rsidR="00FC16F9">
        <w:rPr>
          <w:rFonts w:ascii="Times New Roman" w:hAnsi="Times New Roman" w:cs="Times New Roman"/>
          <w:szCs w:val="24"/>
        </w:rPr>
        <w:t>.</w:t>
      </w:r>
      <w:r w:rsidRPr="00254A63" w:rsidR="00076549">
        <w:rPr>
          <w:rFonts w:ascii="Times New Roman" w:hAnsi="Times New Roman" w:cs="Times New Roman"/>
          <w:szCs w:val="24"/>
        </w:rPr>
        <w:t xml:space="preserve"> </w:t>
      </w:r>
    </w:p>
    <w:p w:rsidR="003C3C12" w:rsidRPr="00254A63" w:rsidP="00E22229" w14:paraId="48D940C0" w14:textId="34DFCF26">
      <w:pPr>
        <w:spacing w:after="0" w:line="480" w:lineRule="auto"/>
        <w:rPr>
          <w:rFonts w:cs="Times New Roman"/>
          <w:szCs w:val="24"/>
        </w:rPr>
      </w:pPr>
      <w:r w:rsidRPr="00254A63">
        <w:rPr>
          <w:rFonts w:cs="Times New Roman"/>
          <w:szCs w:val="24"/>
        </w:rPr>
        <w:tab/>
        <w:t xml:space="preserve">The audit report recommended that the Rider DCI gross plant be reduced by $1,798,694 in vegetation management costs that </w:t>
      </w:r>
      <w:r w:rsidRPr="00254A63" w:rsidR="00076549">
        <w:rPr>
          <w:rFonts w:cs="Times New Roman"/>
          <w:szCs w:val="24"/>
        </w:rPr>
        <w:t>Duke</w:t>
      </w:r>
      <w:r w:rsidRPr="00254A63">
        <w:rPr>
          <w:rFonts w:cs="Times New Roman"/>
          <w:szCs w:val="24"/>
        </w:rPr>
        <w:t xml:space="preserve"> improperly capitalized during the audit period</w:t>
      </w:r>
      <w:r w:rsidRPr="00254A63" w:rsidR="00A93C41">
        <w:rPr>
          <w:rFonts w:cs="Times New Roman"/>
          <w:szCs w:val="24"/>
        </w:rPr>
        <w:t>.</w:t>
      </w:r>
      <w:r>
        <w:rPr>
          <w:rStyle w:val="FootnoteReference"/>
          <w:rFonts w:cs="Times New Roman"/>
          <w:szCs w:val="24"/>
        </w:rPr>
        <w:footnoteReference w:id="23"/>
      </w:r>
      <w:r w:rsidRPr="00254A63" w:rsidR="00B00858">
        <w:rPr>
          <w:rFonts w:cs="Times New Roman"/>
          <w:szCs w:val="24"/>
        </w:rPr>
        <w:t xml:space="preserve"> </w:t>
      </w:r>
      <w:r w:rsidRPr="00254A63" w:rsidR="00A93C41">
        <w:rPr>
          <w:rFonts w:cs="Times New Roman"/>
          <w:szCs w:val="24"/>
        </w:rPr>
        <w:t>The Auditor stated that these costs</w:t>
      </w:r>
      <w:r w:rsidRPr="00254A63">
        <w:rPr>
          <w:rFonts w:cs="Times New Roman"/>
          <w:szCs w:val="24"/>
        </w:rPr>
        <w:t xml:space="preserve"> should have been treated as </w:t>
      </w:r>
      <w:r w:rsidRPr="00254A63" w:rsidR="00DA6289">
        <w:rPr>
          <w:rFonts w:cs="Times New Roman"/>
          <w:szCs w:val="24"/>
        </w:rPr>
        <w:t>O</w:t>
      </w:r>
      <w:r w:rsidRPr="00254A63">
        <w:rPr>
          <w:rFonts w:cs="Times New Roman"/>
          <w:szCs w:val="24"/>
        </w:rPr>
        <w:t xml:space="preserve">perations and </w:t>
      </w:r>
      <w:r w:rsidRPr="00254A63" w:rsidR="00DA6289">
        <w:rPr>
          <w:rFonts w:cs="Times New Roman"/>
          <w:szCs w:val="24"/>
        </w:rPr>
        <w:t>M</w:t>
      </w:r>
      <w:r w:rsidRPr="00254A63">
        <w:rPr>
          <w:rFonts w:cs="Times New Roman"/>
          <w:szCs w:val="24"/>
        </w:rPr>
        <w:t>aintenance expenses.</w:t>
      </w:r>
      <w:r>
        <w:rPr>
          <w:rStyle w:val="FootnoteReference"/>
          <w:rFonts w:cs="Times New Roman"/>
          <w:szCs w:val="24"/>
        </w:rPr>
        <w:footnoteReference w:id="24"/>
      </w:r>
      <w:r w:rsidRPr="00254A63">
        <w:rPr>
          <w:rFonts w:cs="Times New Roman"/>
          <w:szCs w:val="24"/>
        </w:rPr>
        <w:t xml:space="preserve"> Duke disagreed with the </w:t>
      </w:r>
      <w:r w:rsidRPr="00254A63">
        <w:rPr>
          <w:rFonts w:cs="Times New Roman"/>
          <w:szCs w:val="24"/>
        </w:rPr>
        <w:t>A</w:t>
      </w:r>
      <w:r w:rsidRPr="00254A63">
        <w:rPr>
          <w:rFonts w:cs="Times New Roman"/>
          <w:szCs w:val="24"/>
        </w:rPr>
        <w:t>uditor</w:t>
      </w:r>
      <w:r w:rsidR="00254A63">
        <w:rPr>
          <w:rFonts w:cs="Times New Roman"/>
          <w:szCs w:val="24"/>
        </w:rPr>
        <w:t>’</w:t>
      </w:r>
      <w:r w:rsidRPr="00254A63">
        <w:rPr>
          <w:rFonts w:cs="Times New Roman"/>
          <w:szCs w:val="24"/>
        </w:rPr>
        <w:t>s</w:t>
      </w:r>
      <w:r w:rsidRPr="00254A63">
        <w:rPr>
          <w:rFonts w:cs="Times New Roman"/>
          <w:szCs w:val="24"/>
        </w:rPr>
        <w:t xml:space="preserve"> finding </w:t>
      </w:r>
      <w:r w:rsidRPr="00254A63">
        <w:rPr>
          <w:rFonts w:cs="Times New Roman"/>
          <w:szCs w:val="24"/>
        </w:rPr>
        <w:t xml:space="preserve">arguing </w:t>
      </w:r>
      <w:r w:rsidRPr="00254A63">
        <w:rPr>
          <w:rFonts w:cs="Times New Roman"/>
          <w:szCs w:val="24"/>
        </w:rPr>
        <w:t>that it</w:t>
      </w:r>
      <w:r w:rsidRPr="00254A63" w:rsidR="00DA6289">
        <w:rPr>
          <w:rFonts w:cs="Times New Roman"/>
          <w:szCs w:val="24"/>
        </w:rPr>
        <w:t>s</w:t>
      </w:r>
      <w:r w:rsidRPr="00254A63">
        <w:rPr>
          <w:rFonts w:cs="Times New Roman"/>
          <w:szCs w:val="24"/>
        </w:rPr>
        <w:t xml:space="preserve"> longstanding Capitalization Guidelines</w:t>
      </w:r>
      <w:r w:rsidRPr="00254A63" w:rsidR="00076549">
        <w:rPr>
          <w:rFonts w:cs="Times New Roman"/>
          <w:szCs w:val="24"/>
        </w:rPr>
        <w:t xml:space="preserve"> and practices</w:t>
      </w:r>
      <w:r w:rsidRPr="00254A63">
        <w:rPr>
          <w:rFonts w:cs="Times New Roman"/>
          <w:szCs w:val="24"/>
        </w:rPr>
        <w:t xml:space="preserve"> have been </w:t>
      </w:r>
      <w:r w:rsidR="00254A63">
        <w:rPr>
          <w:rFonts w:cs="Times New Roman"/>
          <w:szCs w:val="24"/>
        </w:rPr>
        <w:t>“</w:t>
      </w:r>
      <w:r w:rsidRPr="00254A63">
        <w:rPr>
          <w:rFonts w:cs="Times New Roman"/>
          <w:szCs w:val="24"/>
        </w:rPr>
        <w:t>reviewed</w:t>
      </w:r>
      <w:r w:rsidR="00254A63">
        <w:rPr>
          <w:rFonts w:cs="Times New Roman"/>
          <w:szCs w:val="24"/>
        </w:rPr>
        <w:t>”</w:t>
      </w:r>
      <w:r w:rsidRPr="00254A63">
        <w:rPr>
          <w:rFonts w:cs="Times New Roman"/>
          <w:szCs w:val="24"/>
        </w:rPr>
        <w:t xml:space="preserve"> by auditors in previous DCI audit cases.</w:t>
      </w:r>
      <w:r>
        <w:rPr>
          <w:rStyle w:val="FootnoteReference"/>
          <w:rFonts w:cs="Times New Roman"/>
          <w:szCs w:val="24"/>
        </w:rPr>
        <w:footnoteReference w:id="25"/>
      </w:r>
      <w:r w:rsidRPr="00254A63">
        <w:rPr>
          <w:rFonts w:cs="Times New Roman"/>
          <w:szCs w:val="24"/>
        </w:rPr>
        <w:t xml:space="preserve"> </w:t>
      </w:r>
      <w:r w:rsidRPr="00254A63" w:rsidR="00A81F16">
        <w:rPr>
          <w:rFonts w:cs="Times New Roman"/>
          <w:szCs w:val="24"/>
        </w:rPr>
        <w:t xml:space="preserve">Duke seems to be saying that </w:t>
      </w:r>
      <w:r w:rsidRPr="00254A63" w:rsidR="00076549">
        <w:rPr>
          <w:rFonts w:cs="Times New Roman"/>
          <w:szCs w:val="24"/>
        </w:rPr>
        <w:t xml:space="preserve">because </w:t>
      </w:r>
      <w:r w:rsidRPr="00254A63" w:rsidR="00A81F16">
        <w:rPr>
          <w:rFonts w:cs="Times New Roman"/>
          <w:szCs w:val="24"/>
        </w:rPr>
        <w:t xml:space="preserve">it got away with using </w:t>
      </w:r>
      <w:r w:rsidRPr="00254A63" w:rsidR="00774BE6">
        <w:rPr>
          <w:rFonts w:cs="Times New Roman"/>
          <w:szCs w:val="24"/>
        </w:rPr>
        <w:t xml:space="preserve">this </w:t>
      </w:r>
      <w:r w:rsidRPr="00254A63" w:rsidR="00A81F16">
        <w:rPr>
          <w:rFonts w:cs="Times New Roman"/>
          <w:szCs w:val="24"/>
        </w:rPr>
        <w:t xml:space="preserve">improper capitalization policy in the past, it should be allowed to continue </w:t>
      </w:r>
      <w:r w:rsidRPr="00254A63" w:rsidR="00774BE6">
        <w:rPr>
          <w:rFonts w:cs="Times New Roman"/>
          <w:szCs w:val="24"/>
        </w:rPr>
        <w:t xml:space="preserve">its improper accounting. </w:t>
      </w:r>
      <w:r w:rsidRPr="00254A63" w:rsidR="00076549">
        <w:rPr>
          <w:rFonts w:cs="Times New Roman"/>
          <w:szCs w:val="24"/>
        </w:rPr>
        <w:t>Duke</w:t>
      </w:r>
      <w:r w:rsidR="00254A63">
        <w:rPr>
          <w:rFonts w:cs="Times New Roman"/>
          <w:szCs w:val="24"/>
        </w:rPr>
        <w:t>’</w:t>
      </w:r>
      <w:r w:rsidRPr="00254A63" w:rsidR="00076549">
        <w:rPr>
          <w:rFonts w:cs="Times New Roman"/>
          <w:szCs w:val="24"/>
        </w:rPr>
        <w:t>s argument should be rejected.</w:t>
      </w:r>
    </w:p>
    <w:p w:rsidR="00E22229" w:rsidRPr="00254A63" w:rsidP="00A81F16" w14:paraId="3F30885C" w14:textId="44F2970B">
      <w:pPr>
        <w:spacing w:after="0" w:line="480" w:lineRule="auto"/>
        <w:ind w:firstLine="720"/>
        <w:rPr>
          <w:rFonts w:cs="Times New Roman"/>
          <w:szCs w:val="24"/>
        </w:rPr>
      </w:pPr>
      <w:r w:rsidRPr="00254A63">
        <w:rPr>
          <w:rFonts w:cs="Times New Roman"/>
          <w:szCs w:val="24"/>
        </w:rPr>
        <w:t>T</w:t>
      </w:r>
      <w:r w:rsidRPr="00254A63">
        <w:rPr>
          <w:rFonts w:cs="Times New Roman"/>
          <w:szCs w:val="24"/>
        </w:rPr>
        <w:t>he f</w:t>
      </w:r>
      <w:r w:rsidRPr="00254A63">
        <w:rPr>
          <w:rFonts w:cs="Times New Roman"/>
          <w:szCs w:val="24"/>
        </w:rPr>
        <w:t>indings (or lack thereof)</w:t>
      </w:r>
      <w:r w:rsidRPr="00254A63">
        <w:rPr>
          <w:rFonts w:cs="Times New Roman"/>
          <w:szCs w:val="24"/>
        </w:rPr>
        <w:t xml:space="preserve"> </w:t>
      </w:r>
      <w:r w:rsidRPr="00254A63">
        <w:rPr>
          <w:rFonts w:cs="Times New Roman"/>
          <w:szCs w:val="24"/>
        </w:rPr>
        <w:t xml:space="preserve">from prior </w:t>
      </w:r>
      <w:r w:rsidRPr="00254A63">
        <w:rPr>
          <w:rFonts w:cs="Times New Roman"/>
          <w:szCs w:val="24"/>
        </w:rPr>
        <w:t xml:space="preserve">DCI audit cases </w:t>
      </w:r>
      <w:r w:rsidRPr="00254A63" w:rsidR="00774BE6">
        <w:rPr>
          <w:rFonts w:cs="Times New Roman"/>
          <w:szCs w:val="24"/>
        </w:rPr>
        <w:t>are not controlling</w:t>
      </w:r>
      <w:r w:rsidRPr="00254A63">
        <w:rPr>
          <w:rFonts w:cs="Times New Roman"/>
          <w:szCs w:val="24"/>
        </w:rPr>
        <w:t>.</w:t>
      </w:r>
      <w:r w:rsidRPr="00254A63" w:rsidR="00B00858">
        <w:rPr>
          <w:rFonts w:cs="Times New Roman"/>
          <w:szCs w:val="24"/>
        </w:rPr>
        <w:t xml:space="preserve"> </w:t>
      </w:r>
      <w:r w:rsidRPr="00254A63">
        <w:rPr>
          <w:rFonts w:cs="Times New Roman"/>
          <w:szCs w:val="24"/>
        </w:rPr>
        <w:t>N</w:t>
      </w:r>
      <w:r w:rsidRPr="00254A63">
        <w:rPr>
          <w:rFonts w:cs="Times New Roman"/>
          <w:szCs w:val="24"/>
        </w:rPr>
        <w:t xml:space="preserve">either the </w:t>
      </w:r>
      <w:r w:rsidRPr="00254A63">
        <w:rPr>
          <w:rFonts w:cs="Times New Roman"/>
          <w:szCs w:val="24"/>
        </w:rPr>
        <w:t>A</w:t>
      </w:r>
      <w:r w:rsidRPr="00254A63">
        <w:rPr>
          <w:rFonts w:cs="Times New Roman"/>
          <w:szCs w:val="24"/>
        </w:rPr>
        <w:t xml:space="preserve">uditor </w:t>
      </w:r>
      <w:r w:rsidRPr="00254A63">
        <w:rPr>
          <w:rFonts w:cs="Times New Roman"/>
          <w:szCs w:val="24"/>
        </w:rPr>
        <w:t>n</w:t>
      </w:r>
      <w:r w:rsidRPr="00254A63">
        <w:rPr>
          <w:rFonts w:cs="Times New Roman"/>
          <w:szCs w:val="24"/>
        </w:rPr>
        <w:t xml:space="preserve">or the PUCO </w:t>
      </w:r>
      <w:r w:rsidRPr="00254A63">
        <w:rPr>
          <w:rFonts w:cs="Times New Roman"/>
          <w:szCs w:val="24"/>
        </w:rPr>
        <w:t>is</w:t>
      </w:r>
      <w:r w:rsidRPr="00254A63">
        <w:rPr>
          <w:rFonts w:cs="Times New Roman"/>
          <w:szCs w:val="24"/>
        </w:rPr>
        <w:t xml:space="preserve"> bound </w:t>
      </w:r>
      <w:r w:rsidRPr="00254A63" w:rsidR="00076549">
        <w:rPr>
          <w:rFonts w:cs="Times New Roman"/>
          <w:szCs w:val="24"/>
        </w:rPr>
        <w:t xml:space="preserve">to repeat errors </w:t>
      </w:r>
      <w:r w:rsidRPr="00254A63">
        <w:rPr>
          <w:rFonts w:cs="Times New Roman"/>
          <w:szCs w:val="24"/>
        </w:rPr>
        <w:t xml:space="preserve">regarding capitalization of vegetation management costs </w:t>
      </w:r>
      <w:r w:rsidRPr="00254A63" w:rsidR="00076549">
        <w:rPr>
          <w:rFonts w:cs="Times New Roman"/>
          <w:szCs w:val="24"/>
        </w:rPr>
        <w:t>from</w:t>
      </w:r>
      <w:r w:rsidRPr="00254A63">
        <w:rPr>
          <w:rFonts w:cs="Times New Roman"/>
          <w:szCs w:val="24"/>
        </w:rPr>
        <w:t xml:space="preserve"> previous DCI audit</w:t>
      </w:r>
      <w:r w:rsidRPr="00254A63" w:rsidR="00076549">
        <w:rPr>
          <w:rFonts w:cs="Times New Roman"/>
          <w:szCs w:val="24"/>
        </w:rPr>
        <w:t>s</w:t>
      </w:r>
      <w:r w:rsidRPr="00254A63">
        <w:rPr>
          <w:rFonts w:cs="Times New Roman"/>
          <w:szCs w:val="24"/>
        </w:rPr>
        <w:t>.</w:t>
      </w:r>
    </w:p>
    <w:p w:rsidR="00E22229" w:rsidRPr="00254A63" w:rsidP="00E22229" w14:paraId="43EBFA41" w14:textId="32646B1C">
      <w:pPr>
        <w:spacing w:after="0" w:line="480" w:lineRule="auto"/>
        <w:rPr>
          <w:rFonts w:cs="Times New Roman"/>
          <w:szCs w:val="24"/>
        </w:rPr>
      </w:pPr>
      <w:r w:rsidRPr="00254A63">
        <w:rPr>
          <w:rFonts w:cs="Times New Roman"/>
          <w:szCs w:val="24"/>
        </w:rPr>
        <w:tab/>
        <w:t>Duke is required to comply with regulatory and accounting standards established by FERC and adopted by the PUCO.</w:t>
      </w:r>
      <w:r>
        <w:rPr>
          <w:rStyle w:val="FootnoteReference"/>
          <w:rFonts w:cs="Times New Roman"/>
          <w:szCs w:val="24"/>
        </w:rPr>
        <w:footnoteReference w:id="26"/>
      </w:r>
      <w:r w:rsidRPr="00254A63">
        <w:rPr>
          <w:rFonts w:cs="Times New Roman"/>
          <w:szCs w:val="24"/>
        </w:rPr>
        <w:t xml:space="preserve"> The standards used by the </w:t>
      </w:r>
      <w:r w:rsidRPr="00254A63" w:rsidR="00A81F16">
        <w:rPr>
          <w:rFonts w:cs="Times New Roman"/>
          <w:szCs w:val="24"/>
        </w:rPr>
        <w:t>Au</w:t>
      </w:r>
      <w:r w:rsidRPr="00254A63">
        <w:rPr>
          <w:rFonts w:cs="Times New Roman"/>
          <w:szCs w:val="24"/>
        </w:rPr>
        <w:t>ditor specifically included reviewing the DCI rider for accounting accuracy</w:t>
      </w:r>
      <w:r w:rsidRPr="00254A63" w:rsidR="00A81F16">
        <w:rPr>
          <w:rFonts w:cs="Times New Roman"/>
          <w:szCs w:val="24"/>
        </w:rPr>
        <w:t>,</w:t>
      </w:r>
      <w:r w:rsidRPr="00254A63">
        <w:rPr>
          <w:rFonts w:cs="Times New Roman"/>
          <w:szCs w:val="24"/>
        </w:rPr>
        <w:t xml:space="preserve"> including </w:t>
      </w:r>
      <w:r w:rsidRPr="00254A63" w:rsidR="00A81F16">
        <w:rPr>
          <w:rFonts w:cs="Times New Roman"/>
          <w:szCs w:val="24"/>
        </w:rPr>
        <w:t xml:space="preserve">whether </w:t>
      </w:r>
      <w:r w:rsidRPr="00254A63">
        <w:rPr>
          <w:rFonts w:cs="Times New Roman"/>
          <w:szCs w:val="24"/>
        </w:rPr>
        <w:t>transactions were properly recorded as capital expenditures in the appropriate FERC account(s).</w:t>
      </w:r>
      <w:r>
        <w:rPr>
          <w:rStyle w:val="FootnoteReference"/>
          <w:rFonts w:cs="Times New Roman"/>
          <w:szCs w:val="24"/>
        </w:rPr>
        <w:footnoteReference w:id="27"/>
      </w:r>
      <w:r w:rsidRPr="00254A63">
        <w:rPr>
          <w:rFonts w:cs="Times New Roman"/>
          <w:szCs w:val="24"/>
        </w:rPr>
        <w:t xml:space="preserve"> The Auditor correctly identified the </w:t>
      </w:r>
      <w:r w:rsidRPr="00254A63" w:rsidR="00A81F16">
        <w:rPr>
          <w:rFonts w:cs="Times New Roman"/>
          <w:szCs w:val="24"/>
        </w:rPr>
        <w:t>following error regarding Duke</w:t>
      </w:r>
      <w:r w:rsidR="00254A63">
        <w:rPr>
          <w:rFonts w:cs="Times New Roman"/>
          <w:szCs w:val="24"/>
        </w:rPr>
        <w:t>’</w:t>
      </w:r>
      <w:r w:rsidRPr="00254A63" w:rsidR="00A81F16">
        <w:rPr>
          <w:rFonts w:cs="Times New Roman"/>
          <w:szCs w:val="24"/>
        </w:rPr>
        <w:t>s capitalization policy</w:t>
      </w:r>
      <w:r w:rsidRPr="00254A63">
        <w:rPr>
          <w:rFonts w:cs="Times New Roman"/>
          <w:szCs w:val="24"/>
        </w:rPr>
        <w:t>:</w:t>
      </w:r>
    </w:p>
    <w:p w:rsidR="00E22229" w:rsidRPr="00254A63" w:rsidP="00A6624D" w14:paraId="5C06F64C" w14:textId="47FE3641">
      <w:pPr>
        <w:spacing w:after="0" w:line="240" w:lineRule="auto"/>
        <w:ind w:left="1440" w:right="1440"/>
        <w:rPr>
          <w:rFonts w:cs="Times New Roman"/>
          <w:szCs w:val="24"/>
        </w:rPr>
      </w:pPr>
      <w:r w:rsidRPr="00254A63">
        <w:rPr>
          <w:rFonts w:cs="Times New Roman"/>
          <w:szCs w:val="24"/>
        </w:rPr>
        <w:t xml:space="preserve">The Vegetation Management policies and procedures were not unreasonable except as they relate to the capitalization of work on </w:t>
      </w:r>
      <w:r w:rsidR="00254A63">
        <w:rPr>
          <w:rFonts w:cs="Times New Roman"/>
          <w:szCs w:val="24"/>
        </w:rPr>
        <w:t>“</w:t>
      </w:r>
      <w:r w:rsidRPr="00254A63">
        <w:rPr>
          <w:rFonts w:cs="Times New Roman"/>
          <w:szCs w:val="24"/>
        </w:rPr>
        <w:t>Danger Trees</w:t>
      </w:r>
      <w:r w:rsidR="00254A63">
        <w:rPr>
          <w:rFonts w:cs="Times New Roman"/>
          <w:szCs w:val="24"/>
        </w:rPr>
        <w:t>”</w:t>
      </w:r>
      <w:r w:rsidRPr="00254A63">
        <w:rPr>
          <w:rFonts w:cs="Times New Roman"/>
          <w:szCs w:val="24"/>
        </w:rPr>
        <w:t xml:space="preserve"> outside the right-of-way and not directly associated with either the addition or replacement of a capital asset. Recording those type costs as capital is not recording them in accordance with 18 CFR.</w:t>
      </w:r>
      <w:r>
        <w:rPr>
          <w:rStyle w:val="FootnoteReference"/>
          <w:rFonts w:cs="Times New Roman"/>
          <w:szCs w:val="24"/>
        </w:rPr>
        <w:footnoteReference w:id="28"/>
      </w:r>
    </w:p>
    <w:p w:rsidR="00A81F16" w:rsidRPr="00254A63" w:rsidP="00A81F16" w14:paraId="07636E34" w14:textId="77777777">
      <w:pPr>
        <w:spacing w:after="0" w:line="240" w:lineRule="auto"/>
        <w:ind w:left="1440" w:right="1530" w:hanging="720"/>
        <w:rPr>
          <w:rFonts w:cs="Times New Roman"/>
          <w:szCs w:val="24"/>
        </w:rPr>
      </w:pPr>
    </w:p>
    <w:p w:rsidR="00E22229" w:rsidRPr="00254A63" w:rsidP="00A81F16" w14:paraId="1223ADE2" w14:textId="16BFEA9B">
      <w:pPr>
        <w:spacing w:after="0" w:line="480" w:lineRule="auto"/>
        <w:ind w:firstLine="720"/>
        <w:rPr>
          <w:rFonts w:eastAsia="Calibri" w:cs="Times New Roman"/>
          <w:szCs w:val="24"/>
        </w:rPr>
      </w:pPr>
      <w:r w:rsidRPr="00254A63">
        <w:rPr>
          <w:rFonts w:eastAsia="Calibri" w:cs="Times New Roman"/>
          <w:szCs w:val="24"/>
        </w:rPr>
        <w:t xml:space="preserve">Duke </w:t>
      </w:r>
      <w:r w:rsidRPr="00254A63" w:rsidR="00A81F16">
        <w:rPr>
          <w:rFonts w:eastAsia="Calibri" w:cs="Times New Roman"/>
          <w:szCs w:val="24"/>
        </w:rPr>
        <w:t>does not assert</w:t>
      </w:r>
      <w:r w:rsidRPr="00254A63">
        <w:rPr>
          <w:rFonts w:eastAsia="Calibri" w:cs="Times New Roman"/>
          <w:szCs w:val="24"/>
        </w:rPr>
        <w:t xml:space="preserve"> that the </w:t>
      </w:r>
      <w:r w:rsidRPr="00254A63" w:rsidR="00DA6289">
        <w:rPr>
          <w:rFonts w:eastAsia="Calibri" w:cs="Times New Roman"/>
          <w:szCs w:val="24"/>
        </w:rPr>
        <w:t>A</w:t>
      </w:r>
      <w:r w:rsidRPr="00254A63">
        <w:rPr>
          <w:rFonts w:eastAsia="Calibri" w:cs="Times New Roman"/>
          <w:szCs w:val="24"/>
        </w:rPr>
        <w:t>uditor</w:t>
      </w:r>
      <w:r w:rsidR="00254A63">
        <w:rPr>
          <w:rFonts w:eastAsia="Calibri" w:cs="Times New Roman"/>
          <w:szCs w:val="24"/>
        </w:rPr>
        <w:t>’</w:t>
      </w:r>
      <w:r w:rsidRPr="00254A63">
        <w:rPr>
          <w:rFonts w:eastAsia="Calibri" w:cs="Times New Roman"/>
          <w:szCs w:val="24"/>
        </w:rPr>
        <w:t xml:space="preserve">s interpretation of the FERC guidelines and accounting standards </w:t>
      </w:r>
      <w:r w:rsidRPr="00254A63" w:rsidR="00DA6289">
        <w:rPr>
          <w:rFonts w:eastAsia="Calibri" w:cs="Times New Roman"/>
          <w:szCs w:val="24"/>
        </w:rPr>
        <w:t>is</w:t>
      </w:r>
      <w:r w:rsidRPr="00254A63">
        <w:rPr>
          <w:rFonts w:eastAsia="Calibri" w:cs="Times New Roman"/>
          <w:szCs w:val="24"/>
        </w:rPr>
        <w:t xml:space="preserve"> incorrect. Instead, Duke</w:t>
      </w:r>
      <w:r w:rsidRPr="00254A63" w:rsidR="00115A4C">
        <w:rPr>
          <w:rFonts w:eastAsia="Calibri" w:cs="Times New Roman"/>
          <w:szCs w:val="24"/>
        </w:rPr>
        <w:t xml:space="preserve"> </w:t>
      </w:r>
      <w:r w:rsidRPr="00254A63" w:rsidR="00A81F16">
        <w:rPr>
          <w:rFonts w:eastAsia="Calibri" w:cs="Times New Roman"/>
          <w:szCs w:val="24"/>
        </w:rPr>
        <w:t>claim</w:t>
      </w:r>
      <w:r w:rsidRPr="00254A63" w:rsidR="00115A4C">
        <w:rPr>
          <w:rFonts w:eastAsia="Calibri" w:cs="Times New Roman"/>
          <w:szCs w:val="24"/>
        </w:rPr>
        <w:t>s</w:t>
      </w:r>
      <w:r w:rsidRPr="00254A63" w:rsidR="00A81F16">
        <w:rPr>
          <w:rFonts w:eastAsia="Calibri" w:cs="Times New Roman"/>
          <w:szCs w:val="24"/>
        </w:rPr>
        <w:t xml:space="preserve"> that it is entitled to </w:t>
      </w:r>
      <w:r w:rsidRPr="00254A63">
        <w:rPr>
          <w:rFonts w:eastAsia="Calibri" w:cs="Times New Roman"/>
          <w:szCs w:val="24"/>
        </w:rPr>
        <w:t xml:space="preserve">follow its own company-specific Capitalization Guidelines rather than conforming with the FERC Uniform System of Accounts pertaining to Danger Trees outside the right-of-way. </w:t>
      </w:r>
      <w:r w:rsidRPr="00254A63" w:rsidR="00DA6289">
        <w:rPr>
          <w:rFonts w:eastAsia="Calibri" w:cs="Times New Roman"/>
          <w:szCs w:val="24"/>
        </w:rPr>
        <w:t>T</w:t>
      </w:r>
      <w:r w:rsidRPr="00254A63">
        <w:rPr>
          <w:rFonts w:eastAsia="Calibri" w:cs="Times New Roman"/>
          <w:szCs w:val="24"/>
        </w:rPr>
        <w:t>he Audit Report</w:t>
      </w:r>
      <w:r w:rsidRPr="00254A63" w:rsidR="00DA6289">
        <w:rPr>
          <w:rFonts w:eastAsia="Calibri" w:cs="Times New Roman"/>
          <w:szCs w:val="24"/>
        </w:rPr>
        <w:t xml:space="preserve"> explains Duke</w:t>
      </w:r>
      <w:r w:rsidR="00254A63">
        <w:rPr>
          <w:rFonts w:eastAsia="Calibri" w:cs="Times New Roman"/>
          <w:szCs w:val="24"/>
        </w:rPr>
        <w:t>’</w:t>
      </w:r>
      <w:r w:rsidRPr="00254A63" w:rsidR="00DA6289">
        <w:rPr>
          <w:rFonts w:eastAsia="Calibri" w:cs="Times New Roman"/>
          <w:szCs w:val="24"/>
        </w:rPr>
        <w:t>s position as follows</w:t>
      </w:r>
      <w:r w:rsidRPr="00254A63">
        <w:rPr>
          <w:rFonts w:eastAsia="Calibri" w:cs="Times New Roman"/>
          <w:szCs w:val="24"/>
        </w:rPr>
        <w:t>:</w:t>
      </w:r>
    </w:p>
    <w:p w:rsidR="00E22229" w:rsidRPr="00254A63" w:rsidP="00353B5A" w14:paraId="0F044246" w14:textId="6FD19B77">
      <w:pPr>
        <w:spacing w:after="0" w:line="240" w:lineRule="auto"/>
        <w:ind w:left="1440" w:right="1440"/>
        <w:rPr>
          <w:rFonts w:eastAsia="Calibri" w:cs="Times New Roman"/>
          <w:szCs w:val="24"/>
        </w:rPr>
      </w:pPr>
      <w:r w:rsidRPr="00254A63">
        <w:rPr>
          <w:rFonts w:eastAsia="Calibri" w:cs="Times New Roman"/>
          <w:szCs w:val="24"/>
        </w:rPr>
        <w:t xml:space="preserve">Duke defines a </w:t>
      </w:r>
      <w:r w:rsidR="00254A63">
        <w:rPr>
          <w:rFonts w:eastAsia="Calibri" w:cs="Times New Roman"/>
          <w:szCs w:val="24"/>
        </w:rPr>
        <w:t>“</w:t>
      </w:r>
      <w:r w:rsidRPr="00254A63">
        <w:rPr>
          <w:rFonts w:eastAsia="Calibri" w:cs="Times New Roman"/>
          <w:szCs w:val="24"/>
        </w:rPr>
        <w:t>danger tree</w:t>
      </w:r>
      <w:r w:rsidR="00254A63">
        <w:rPr>
          <w:rFonts w:eastAsia="Calibri" w:cs="Times New Roman"/>
          <w:szCs w:val="24"/>
        </w:rPr>
        <w:t>”</w:t>
      </w:r>
      <w:r w:rsidRPr="00254A63">
        <w:rPr>
          <w:rFonts w:eastAsia="Calibri" w:cs="Times New Roman"/>
          <w:szCs w:val="24"/>
        </w:rPr>
        <w:t xml:space="preserve"> in part as </w:t>
      </w:r>
      <w:r w:rsidR="00254A63">
        <w:rPr>
          <w:rFonts w:eastAsia="Calibri" w:cs="Times New Roman"/>
          <w:szCs w:val="24"/>
        </w:rPr>
        <w:t>“</w:t>
      </w:r>
      <w:r w:rsidRPr="00254A63">
        <w:rPr>
          <w:rFonts w:eastAsia="Calibri" w:cs="Times New Roman"/>
          <w:szCs w:val="24"/>
        </w:rPr>
        <w:t>any tree along the right-of-way corridor, but located outside the actual right-of-way boundary [emphasis added] that is dead, dying, diseased or severely leaning such that if it fell it could cause damage to poles, circuits, conductors, etc., or any other tree that, due to its proximity, shape, type or size otherwise endangers these assets.</w:t>
      </w:r>
      <w:r>
        <w:rPr>
          <w:rStyle w:val="FootnoteReference"/>
          <w:rFonts w:eastAsia="Calibri" w:cs="Times New Roman"/>
          <w:szCs w:val="24"/>
        </w:rPr>
        <w:footnoteReference w:id="29"/>
      </w:r>
    </w:p>
    <w:p w:rsidR="00115A4C" w:rsidRPr="00254A63" w:rsidP="00115A4C" w14:paraId="5EF6833C" w14:textId="77777777">
      <w:pPr>
        <w:spacing w:after="0" w:line="240" w:lineRule="auto"/>
        <w:ind w:left="720" w:right="1440"/>
        <w:rPr>
          <w:rFonts w:cs="Times New Roman"/>
          <w:szCs w:val="24"/>
        </w:rPr>
      </w:pPr>
    </w:p>
    <w:p w:rsidR="00E22229" w:rsidRPr="00254A63" w:rsidP="00E22229" w14:paraId="316F2ECE" w14:textId="7112C9F4">
      <w:pPr>
        <w:spacing w:after="0" w:line="480" w:lineRule="auto"/>
        <w:rPr>
          <w:rFonts w:eastAsia="Calibri" w:cs="Times New Roman"/>
          <w:szCs w:val="24"/>
        </w:rPr>
      </w:pPr>
      <w:r w:rsidRPr="00254A63">
        <w:rPr>
          <w:rFonts w:eastAsia="Calibri" w:cs="Times New Roman"/>
          <w:szCs w:val="24"/>
        </w:rPr>
        <w:tab/>
        <w:t xml:space="preserve">The FERC </w:t>
      </w:r>
      <w:r w:rsidRPr="00254A63" w:rsidR="00115A4C">
        <w:rPr>
          <w:rFonts w:eastAsia="Calibri" w:cs="Times New Roman"/>
          <w:szCs w:val="24"/>
        </w:rPr>
        <w:t>capitalization policy is different from Duke</w:t>
      </w:r>
      <w:r w:rsidR="00254A63">
        <w:rPr>
          <w:rFonts w:eastAsia="Calibri" w:cs="Times New Roman"/>
          <w:szCs w:val="24"/>
        </w:rPr>
        <w:t>’</w:t>
      </w:r>
      <w:r w:rsidRPr="00254A63" w:rsidR="00115A4C">
        <w:rPr>
          <w:rFonts w:eastAsia="Calibri" w:cs="Times New Roman"/>
          <w:szCs w:val="24"/>
        </w:rPr>
        <w:t>s own capitalization policy</w:t>
      </w:r>
      <w:r w:rsidRPr="00254A63" w:rsidR="00A70571">
        <w:rPr>
          <w:rFonts w:eastAsia="Calibri" w:cs="Times New Roman"/>
          <w:szCs w:val="24"/>
        </w:rPr>
        <w:t>, but</w:t>
      </w:r>
      <w:r w:rsidRPr="00254A63" w:rsidR="00B00858">
        <w:rPr>
          <w:rFonts w:eastAsia="Calibri" w:cs="Times New Roman"/>
          <w:szCs w:val="24"/>
        </w:rPr>
        <w:t xml:space="preserve"> </w:t>
      </w:r>
      <w:r w:rsidRPr="00254A63" w:rsidR="00A70571">
        <w:rPr>
          <w:rFonts w:eastAsia="Calibri" w:cs="Times New Roman"/>
          <w:szCs w:val="24"/>
        </w:rPr>
        <w:t>t</w:t>
      </w:r>
      <w:r w:rsidRPr="00254A63" w:rsidR="00115A4C">
        <w:rPr>
          <w:rFonts w:eastAsia="Calibri" w:cs="Times New Roman"/>
          <w:szCs w:val="24"/>
        </w:rPr>
        <w:t>he FERC capitalization policy is the one Duke must follow.</w:t>
      </w:r>
      <w:r>
        <w:rPr>
          <w:rStyle w:val="FootnoteReference"/>
          <w:rFonts w:eastAsia="Calibri" w:cs="Times New Roman"/>
          <w:szCs w:val="24"/>
        </w:rPr>
        <w:footnoteReference w:id="30"/>
      </w:r>
      <w:r w:rsidRPr="00254A63" w:rsidR="00B00858">
        <w:rPr>
          <w:rFonts w:eastAsia="Calibri" w:cs="Times New Roman"/>
          <w:szCs w:val="24"/>
        </w:rPr>
        <w:t xml:space="preserve"> </w:t>
      </w:r>
      <w:r w:rsidRPr="00254A63">
        <w:rPr>
          <w:rFonts w:eastAsia="Calibri" w:cs="Times New Roman"/>
          <w:szCs w:val="24"/>
        </w:rPr>
        <w:t>FERC Account 365 only include</w:t>
      </w:r>
      <w:r w:rsidRPr="00254A63" w:rsidR="00115A4C">
        <w:rPr>
          <w:rFonts w:eastAsia="Calibri" w:cs="Times New Roman"/>
          <w:szCs w:val="24"/>
        </w:rPr>
        <w:t>s</w:t>
      </w:r>
      <w:r w:rsidRPr="00254A63">
        <w:rPr>
          <w:rFonts w:eastAsia="Calibri" w:cs="Times New Roman"/>
          <w:szCs w:val="24"/>
        </w:rPr>
        <w:t xml:space="preserve"> the capital costs associated with the </w:t>
      </w:r>
      <w:r w:rsidRPr="00254A63" w:rsidR="00115A4C">
        <w:rPr>
          <w:rFonts w:eastAsia="Calibri" w:cs="Times New Roman"/>
          <w:szCs w:val="24"/>
        </w:rPr>
        <w:t>i</w:t>
      </w:r>
      <w:r w:rsidRPr="00254A63">
        <w:rPr>
          <w:rFonts w:eastAsia="Calibri" w:cs="Times New Roman"/>
          <w:szCs w:val="24"/>
        </w:rPr>
        <w:t>nitial tree-trimming within a right-of-way when electric service is first initiated.</w:t>
      </w:r>
      <w:r>
        <w:rPr>
          <w:rFonts w:eastAsia="Calibri" w:cs="Times New Roman"/>
          <w:szCs w:val="24"/>
          <w:vertAlign w:val="superscript"/>
        </w:rPr>
        <w:footnoteReference w:id="31"/>
      </w:r>
      <w:r w:rsidRPr="00254A63">
        <w:rPr>
          <w:rFonts w:eastAsia="Calibri" w:cs="Times New Roman"/>
          <w:szCs w:val="24"/>
        </w:rPr>
        <w:t xml:space="preserve"> After the initial tree-trimming and vegetation clearing, practically all other costs are expense items associated with the maintenance of the distribution facilities and should be tracked and reported as maintenance expense under FERC Account 593.</w:t>
      </w:r>
      <w:r>
        <w:rPr>
          <w:rFonts w:eastAsia="Calibri" w:cs="Times New Roman"/>
          <w:szCs w:val="24"/>
          <w:vertAlign w:val="superscript"/>
        </w:rPr>
        <w:footnoteReference w:id="32"/>
      </w:r>
      <w:r w:rsidRPr="00254A63">
        <w:rPr>
          <w:rFonts w:eastAsia="Calibri" w:cs="Times New Roman"/>
          <w:szCs w:val="24"/>
        </w:rPr>
        <w:t xml:space="preserve"> </w:t>
      </w:r>
      <w:bookmarkStart w:id="1" w:name="_Hlk161671223"/>
      <w:r w:rsidRPr="00254A63">
        <w:rPr>
          <w:rFonts w:eastAsia="Calibri" w:cs="Times New Roman"/>
          <w:szCs w:val="24"/>
        </w:rPr>
        <w:t>Duke should have treated these type of expenses as normal O&amp;M expenses that are therefore ineligible for inclusion within the DCI rider.</w:t>
      </w:r>
      <w:r w:rsidRPr="00254A63" w:rsidR="00B00858">
        <w:rPr>
          <w:rFonts w:eastAsia="Calibri" w:cs="Times New Roman"/>
          <w:szCs w:val="24"/>
        </w:rPr>
        <w:t xml:space="preserve"> </w:t>
      </w:r>
      <w:bookmarkEnd w:id="1"/>
    </w:p>
    <w:p w:rsidR="00C82948" w:rsidRPr="00254A63" w:rsidP="00E22229" w14:paraId="0D5CE1E8" w14:textId="67DE7B50">
      <w:pPr>
        <w:spacing w:after="0" w:line="480" w:lineRule="auto"/>
        <w:rPr>
          <w:rFonts w:eastAsia="Calibri" w:cs="Times New Roman"/>
          <w:szCs w:val="24"/>
        </w:rPr>
      </w:pPr>
      <w:r w:rsidRPr="00254A63">
        <w:rPr>
          <w:rFonts w:eastAsia="Calibri" w:cs="Times New Roman"/>
          <w:szCs w:val="24"/>
        </w:rPr>
        <w:tab/>
      </w:r>
      <w:r w:rsidRPr="00254A63" w:rsidR="00115A4C">
        <w:rPr>
          <w:rFonts w:eastAsia="Calibri" w:cs="Times New Roman"/>
          <w:szCs w:val="24"/>
        </w:rPr>
        <w:t>By improperly capitalizing these costs</w:t>
      </w:r>
      <w:r w:rsidRPr="00254A63">
        <w:rPr>
          <w:rFonts w:eastAsia="Calibri" w:cs="Times New Roman"/>
          <w:szCs w:val="24"/>
        </w:rPr>
        <w:t xml:space="preserve">, Duke </w:t>
      </w:r>
      <w:r w:rsidRPr="00254A63" w:rsidR="00115A4C">
        <w:rPr>
          <w:rFonts w:eastAsia="Calibri" w:cs="Times New Roman"/>
          <w:szCs w:val="24"/>
        </w:rPr>
        <w:t>was unfairly able</w:t>
      </w:r>
      <w:r w:rsidRPr="00254A63">
        <w:rPr>
          <w:rFonts w:eastAsia="Calibri" w:cs="Times New Roman"/>
          <w:szCs w:val="24"/>
        </w:rPr>
        <w:t xml:space="preserve"> to collect a return </w:t>
      </w:r>
      <w:r w:rsidRPr="00254A63" w:rsidR="00D46FAB">
        <w:rPr>
          <w:rFonts w:eastAsia="Calibri" w:cs="Times New Roman"/>
          <w:szCs w:val="24"/>
        </w:rPr>
        <w:t xml:space="preserve">for </w:t>
      </w:r>
      <w:r w:rsidRPr="00254A63" w:rsidR="00774BE6">
        <w:rPr>
          <w:rFonts w:eastAsia="Calibri" w:cs="Times New Roman"/>
          <w:szCs w:val="24"/>
        </w:rPr>
        <w:t>an item that was not an asse</w:t>
      </w:r>
      <w:r w:rsidRPr="00254A63" w:rsidR="00D46FAB">
        <w:rPr>
          <w:rFonts w:eastAsia="Calibri" w:cs="Times New Roman"/>
          <w:szCs w:val="24"/>
        </w:rPr>
        <w:t>t</w:t>
      </w:r>
      <w:r w:rsidRPr="00254A63" w:rsidR="00774BE6">
        <w:rPr>
          <w:rFonts w:eastAsia="Calibri" w:cs="Times New Roman"/>
          <w:szCs w:val="24"/>
        </w:rPr>
        <w:t xml:space="preserve"> but an expense</w:t>
      </w:r>
      <w:r w:rsidRPr="00254A63" w:rsidR="00115A4C">
        <w:rPr>
          <w:rFonts w:eastAsia="Calibri" w:cs="Times New Roman"/>
          <w:szCs w:val="24"/>
        </w:rPr>
        <w:t>.</w:t>
      </w:r>
      <w:r w:rsidRPr="00254A63" w:rsidR="00B00858">
        <w:rPr>
          <w:rFonts w:eastAsia="Calibri" w:cs="Times New Roman"/>
          <w:szCs w:val="24"/>
        </w:rPr>
        <w:t xml:space="preserve"> </w:t>
      </w:r>
      <w:r w:rsidRPr="00254A63" w:rsidR="00115A4C">
        <w:rPr>
          <w:rFonts w:eastAsia="Calibri" w:cs="Times New Roman"/>
          <w:szCs w:val="24"/>
        </w:rPr>
        <w:t xml:space="preserve">The proper accounting treatment would be to </w:t>
      </w:r>
      <w:r w:rsidRPr="00254A63">
        <w:rPr>
          <w:rFonts w:eastAsia="Calibri" w:cs="Times New Roman"/>
          <w:szCs w:val="24"/>
        </w:rPr>
        <w:t>treat</w:t>
      </w:r>
      <w:r w:rsidRPr="00254A63" w:rsidR="00115A4C">
        <w:rPr>
          <w:rFonts w:eastAsia="Calibri" w:cs="Times New Roman"/>
          <w:szCs w:val="24"/>
        </w:rPr>
        <w:t xml:space="preserve"> </w:t>
      </w:r>
      <w:r w:rsidRPr="00254A63" w:rsidR="00A36327">
        <w:rPr>
          <w:rFonts w:eastAsia="Calibri" w:cs="Times New Roman"/>
          <w:szCs w:val="24"/>
        </w:rPr>
        <w:t>these</w:t>
      </w:r>
      <w:r w:rsidRPr="00254A63" w:rsidR="00774BE6">
        <w:rPr>
          <w:rFonts w:eastAsia="Calibri" w:cs="Times New Roman"/>
          <w:szCs w:val="24"/>
        </w:rPr>
        <w:t xml:space="preserve"> specific costs </w:t>
      </w:r>
      <w:r w:rsidRPr="00254A63">
        <w:rPr>
          <w:rFonts w:eastAsia="Calibri" w:cs="Times New Roman"/>
          <w:szCs w:val="24"/>
        </w:rPr>
        <w:t>as normal O&amp;M expenses</w:t>
      </w:r>
      <w:r w:rsidRPr="00254A63" w:rsidR="00774BE6">
        <w:rPr>
          <w:rFonts w:eastAsia="Calibri" w:cs="Times New Roman"/>
          <w:szCs w:val="24"/>
        </w:rPr>
        <w:t>, that are not subject to an added profit element (a return on)</w:t>
      </w:r>
      <w:r w:rsidRPr="00254A63">
        <w:rPr>
          <w:rFonts w:eastAsia="Calibri" w:cs="Times New Roman"/>
          <w:szCs w:val="24"/>
        </w:rPr>
        <w:t xml:space="preserve">. </w:t>
      </w:r>
    </w:p>
    <w:p w:rsidR="00E22229" w:rsidRPr="00254A63" w:rsidP="00C82948" w14:paraId="2A300759" w14:textId="73EB442C">
      <w:pPr>
        <w:spacing w:after="0" w:line="480" w:lineRule="auto"/>
        <w:ind w:firstLine="720"/>
        <w:rPr>
          <w:rFonts w:eastAsia="Calibri" w:cs="Times New Roman"/>
          <w:szCs w:val="24"/>
        </w:rPr>
      </w:pPr>
      <w:r w:rsidRPr="00254A63">
        <w:rPr>
          <w:rFonts w:eastAsia="Calibri" w:cs="Times New Roman"/>
          <w:szCs w:val="24"/>
        </w:rPr>
        <w:t>The PUCO allows Duke to collect v</w:t>
      </w:r>
      <w:r w:rsidRPr="00254A63">
        <w:rPr>
          <w:rFonts w:eastAsia="Calibri" w:cs="Times New Roman"/>
          <w:szCs w:val="24"/>
        </w:rPr>
        <w:t>egetation management costs through multiple riders and</w:t>
      </w:r>
      <w:r w:rsidRPr="00254A63">
        <w:rPr>
          <w:rFonts w:eastAsia="Calibri" w:cs="Times New Roman"/>
          <w:szCs w:val="24"/>
        </w:rPr>
        <w:t xml:space="preserve"> in </w:t>
      </w:r>
      <w:r w:rsidRPr="00254A63">
        <w:rPr>
          <w:rFonts w:eastAsia="Calibri" w:cs="Times New Roman"/>
          <w:szCs w:val="24"/>
        </w:rPr>
        <w:t>base rates</w:t>
      </w:r>
      <w:r w:rsidRPr="00254A63">
        <w:rPr>
          <w:rFonts w:eastAsia="Calibri" w:cs="Times New Roman"/>
          <w:szCs w:val="24"/>
        </w:rPr>
        <w:t>.</w:t>
      </w:r>
      <w:r w:rsidRPr="00254A63" w:rsidR="00B00858">
        <w:rPr>
          <w:rFonts w:eastAsia="Calibri" w:cs="Times New Roman"/>
          <w:szCs w:val="24"/>
        </w:rPr>
        <w:t xml:space="preserve"> </w:t>
      </w:r>
      <w:r w:rsidRPr="00254A63">
        <w:rPr>
          <w:rFonts w:eastAsia="Calibri" w:cs="Times New Roman"/>
          <w:szCs w:val="24"/>
        </w:rPr>
        <w:t xml:space="preserve">As a result, </w:t>
      </w:r>
      <w:r w:rsidRPr="00254A63">
        <w:rPr>
          <w:rFonts w:eastAsia="Calibri" w:cs="Times New Roman"/>
          <w:szCs w:val="24"/>
        </w:rPr>
        <w:t xml:space="preserve">there is no assurance that Duke </w:t>
      </w:r>
      <w:r w:rsidRPr="00254A63">
        <w:rPr>
          <w:rFonts w:eastAsia="Calibri" w:cs="Times New Roman"/>
          <w:szCs w:val="24"/>
        </w:rPr>
        <w:t>i</w:t>
      </w:r>
      <w:r w:rsidRPr="00254A63" w:rsidR="001B2B54">
        <w:rPr>
          <w:rFonts w:eastAsia="Calibri" w:cs="Times New Roman"/>
          <w:szCs w:val="24"/>
        </w:rPr>
        <w:t>s</w:t>
      </w:r>
      <w:r w:rsidRPr="00254A63">
        <w:rPr>
          <w:rFonts w:eastAsia="Calibri" w:cs="Times New Roman"/>
          <w:szCs w:val="24"/>
        </w:rPr>
        <w:t xml:space="preserve"> not</w:t>
      </w:r>
      <w:r w:rsidRPr="00254A63">
        <w:rPr>
          <w:rFonts w:eastAsia="Calibri" w:cs="Times New Roman"/>
          <w:szCs w:val="24"/>
        </w:rPr>
        <w:t xml:space="preserve"> double</w:t>
      </w:r>
      <w:r w:rsidRPr="00254A63">
        <w:rPr>
          <w:rFonts w:eastAsia="Calibri" w:cs="Times New Roman"/>
          <w:szCs w:val="24"/>
        </w:rPr>
        <w:t>-</w:t>
      </w:r>
      <w:r w:rsidRPr="00254A63">
        <w:rPr>
          <w:rFonts w:eastAsia="Calibri" w:cs="Times New Roman"/>
          <w:szCs w:val="24"/>
        </w:rPr>
        <w:t xml:space="preserve"> collecting these expenses from consumers in base rates and through the </w:t>
      </w:r>
      <w:r w:rsidRPr="00254A63" w:rsidR="00332939">
        <w:rPr>
          <w:rFonts w:eastAsia="Calibri" w:cs="Times New Roman"/>
          <w:szCs w:val="24"/>
        </w:rPr>
        <w:t xml:space="preserve">Enhanced Service Reliability </w:t>
      </w:r>
      <w:r w:rsidRPr="00254A63">
        <w:rPr>
          <w:rFonts w:eastAsia="Calibri" w:cs="Times New Roman"/>
          <w:szCs w:val="24"/>
        </w:rPr>
        <w:t xml:space="preserve">Rider </w:t>
      </w:r>
      <w:r w:rsidRPr="00254A63" w:rsidR="00332939">
        <w:rPr>
          <w:rFonts w:eastAsia="Calibri" w:cs="Times New Roman"/>
          <w:szCs w:val="24"/>
        </w:rPr>
        <w:t>(</w:t>
      </w:r>
      <w:r w:rsidR="00254A63">
        <w:rPr>
          <w:rFonts w:eastAsia="Calibri" w:cs="Times New Roman"/>
          <w:szCs w:val="24"/>
        </w:rPr>
        <w:t>“</w:t>
      </w:r>
      <w:r w:rsidRPr="00254A63" w:rsidR="00332939">
        <w:rPr>
          <w:rFonts w:eastAsia="Calibri" w:cs="Times New Roman"/>
          <w:szCs w:val="24"/>
        </w:rPr>
        <w:t xml:space="preserve">Rider </w:t>
      </w:r>
      <w:r w:rsidRPr="00254A63">
        <w:rPr>
          <w:rFonts w:eastAsia="Calibri" w:cs="Times New Roman"/>
          <w:szCs w:val="24"/>
        </w:rPr>
        <w:t>ESRR</w:t>
      </w:r>
      <w:r w:rsidR="00254A63">
        <w:rPr>
          <w:rFonts w:eastAsia="Calibri" w:cs="Times New Roman"/>
          <w:szCs w:val="24"/>
        </w:rPr>
        <w:t>”</w:t>
      </w:r>
      <w:r w:rsidRPr="00254A63" w:rsidR="00332939">
        <w:rPr>
          <w:rFonts w:eastAsia="Calibri" w:cs="Times New Roman"/>
          <w:szCs w:val="24"/>
        </w:rPr>
        <w:t>)</w:t>
      </w:r>
      <w:r w:rsidRPr="00254A63">
        <w:rPr>
          <w:rFonts w:eastAsia="Calibri" w:cs="Times New Roman"/>
          <w:szCs w:val="24"/>
        </w:rPr>
        <w:t xml:space="preserve"> or through the Rider DCI</w:t>
      </w:r>
      <w:r w:rsidRPr="00254A63">
        <w:rPr>
          <w:rFonts w:eastAsia="Calibri" w:cs="Times New Roman"/>
          <w:szCs w:val="24"/>
        </w:rPr>
        <w:t xml:space="preserve"> (by improperly capitalizing these expenses)</w:t>
      </w:r>
      <w:r w:rsidRPr="00254A63">
        <w:rPr>
          <w:rFonts w:eastAsia="Calibri" w:cs="Times New Roman"/>
          <w:szCs w:val="24"/>
        </w:rPr>
        <w:t xml:space="preserve">. </w:t>
      </w:r>
    </w:p>
    <w:p w:rsidR="00E22229" w:rsidRPr="00254A63" w:rsidP="00E22229" w14:paraId="0F969CAE" w14:textId="083B706B">
      <w:pPr>
        <w:spacing w:after="0" w:line="480" w:lineRule="auto"/>
        <w:rPr>
          <w:rFonts w:eastAsia="Calibri" w:cs="Times New Roman"/>
          <w:szCs w:val="24"/>
        </w:rPr>
      </w:pPr>
      <w:r w:rsidRPr="00254A63">
        <w:rPr>
          <w:rFonts w:eastAsia="Calibri" w:cs="Times New Roman"/>
          <w:szCs w:val="24"/>
        </w:rPr>
        <w:tab/>
        <w:t>The PUCO should adopt the Auditor</w:t>
      </w:r>
      <w:r w:rsidR="00254A63">
        <w:rPr>
          <w:rFonts w:eastAsia="Calibri" w:cs="Times New Roman"/>
          <w:szCs w:val="24"/>
        </w:rPr>
        <w:t>’</w:t>
      </w:r>
      <w:r w:rsidRPr="00254A63">
        <w:rPr>
          <w:rFonts w:eastAsia="Calibri" w:cs="Times New Roman"/>
          <w:szCs w:val="24"/>
        </w:rPr>
        <w:t xml:space="preserve">s recommendation and order Duke to </w:t>
      </w:r>
      <w:r w:rsidRPr="00254A63" w:rsidR="00C82948">
        <w:rPr>
          <w:rFonts w:eastAsia="Calibri" w:cs="Times New Roman"/>
          <w:szCs w:val="24"/>
        </w:rPr>
        <w:t>make an adjustment to remove the costs from the audit period associated with Duke</w:t>
      </w:r>
      <w:r w:rsidR="00254A63">
        <w:rPr>
          <w:rFonts w:eastAsia="Calibri" w:cs="Times New Roman"/>
          <w:szCs w:val="24"/>
        </w:rPr>
        <w:t>’</w:t>
      </w:r>
      <w:r w:rsidRPr="00254A63" w:rsidR="00C82948">
        <w:rPr>
          <w:rFonts w:eastAsia="Calibri" w:cs="Times New Roman"/>
          <w:szCs w:val="24"/>
        </w:rPr>
        <w:t>s improper capitalization policy.</w:t>
      </w:r>
      <w:r w:rsidRPr="00254A63" w:rsidR="00B00858">
        <w:rPr>
          <w:rFonts w:eastAsia="Calibri" w:cs="Times New Roman"/>
          <w:szCs w:val="24"/>
        </w:rPr>
        <w:t xml:space="preserve"> </w:t>
      </w:r>
      <w:r w:rsidRPr="00254A63" w:rsidR="00C82948">
        <w:rPr>
          <w:rFonts w:eastAsia="Calibri" w:cs="Times New Roman"/>
          <w:szCs w:val="24"/>
        </w:rPr>
        <w:t xml:space="preserve">Going forward, the PUCO should order Duke to </w:t>
      </w:r>
      <w:r w:rsidRPr="00254A63">
        <w:rPr>
          <w:rFonts w:eastAsia="Calibri" w:cs="Times New Roman"/>
          <w:szCs w:val="24"/>
        </w:rPr>
        <w:t xml:space="preserve">modify its </w:t>
      </w:r>
      <w:r w:rsidRPr="00254A63" w:rsidR="00C82948">
        <w:rPr>
          <w:rFonts w:eastAsia="Calibri" w:cs="Times New Roman"/>
          <w:szCs w:val="24"/>
        </w:rPr>
        <w:t>c</w:t>
      </w:r>
      <w:r w:rsidRPr="00254A63">
        <w:rPr>
          <w:rFonts w:eastAsia="Calibri" w:cs="Times New Roman"/>
          <w:szCs w:val="24"/>
        </w:rPr>
        <w:t xml:space="preserve">apitalization </w:t>
      </w:r>
      <w:r w:rsidRPr="00254A63" w:rsidR="00C82948">
        <w:rPr>
          <w:rFonts w:eastAsia="Calibri" w:cs="Times New Roman"/>
          <w:szCs w:val="24"/>
        </w:rPr>
        <w:t>p</w:t>
      </w:r>
      <w:r w:rsidRPr="00254A63">
        <w:rPr>
          <w:rFonts w:eastAsia="Calibri" w:cs="Times New Roman"/>
          <w:szCs w:val="24"/>
        </w:rPr>
        <w:t xml:space="preserve">olicy to conform with the FERC Uniform System of Accounts and cease capitalizing costs associated with danger tree removals after the initial clearing through Rider DCI. </w:t>
      </w:r>
    </w:p>
    <w:p w:rsidR="004B187C" w:rsidRPr="00254A63" w:rsidP="009464BE" w14:paraId="56927FAB" w14:textId="31F6AE93">
      <w:pPr>
        <w:spacing w:after="0" w:line="480" w:lineRule="auto"/>
        <w:ind w:firstLine="720"/>
        <w:rPr>
          <w:rFonts w:eastAsia="Calibri" w:cs="Times New Roman"/>
          <w:szCs w:val="24"/>
        </w:rPr>
      </w:pPr>
      <w:r w:rsidRPr="00254A63">
        <w:rPr>
          <w:rFonts w:eastAsia="Calibri" w:cs="Times New Roman"/>
          <w:szCs w:val="24"/>
        </w:rPr>
        <w:t xml:space="preserve">Furthermore, to help protect consumers from the potential from unjust and unreasonable charges, the PUCO should require a more </w:t>
      </w:r>
      <w:r w:rsidRPr="00254A63" w:rsidR="00194140">
        <w:rPr>
          <w:rFonts w:eastAsia="Calibri" w:cs="Times New Roman"/>
          <w:szCs w:val="24"/>
        </w:rPr>
        <w:t>thorough</w:t>
      </w:r>
      <w:r w:rsidR="00254A63">
        <w:rPr>
          <w:rFonts w:eastAsia="Calibri" w:cs="Times New Roman"/>
          <w:szCs w:val="24"/>
        </w:rPr>
        <w:t xml:space="preserve"> </w:t>
      </w:r>
      <w:r w:rsidRPr="00254A63">
        <w:rPr>
          <w:rFonts w:eastAsia="Calibri" w:cs="Times New Roman"/>
          <w:szCs w:val="24"/>
        </w:rPr>
        <w:t>examination of Duke</w:t>
      </w:r>
      <w:r w:rsidR="00254A63">
        <w:rPr>
          <w:rFonts w:eastAsia="Calibri" w:cs="Times New Roman"/>
          <w:szCs w:val="24"/>
        </w:rPr>
        <w:t>’</w:t>
      </w:r>
      <w:r w:rsidRPr="00254A63">
        <w:rPr>
          <w:rFonts w:eastAsia="Calibri" w:cs="Times New Roman"/>
          <w:szCs w:val="24"/>
        </w:rPr>
        <w:t>s accounting practices in Duke</w:t>
      </w:r>
      <w:r w:rsidR="00254A63">
        <w:rPr>
          <w:rFonts w:eastAsia="Calibri" w:cs="Times New Roman"/>
          <w:szCs w:val="24"/>
        </w:rPr>
        <w:t>’</w:t>
      </w:r>
      <w:r w:rsidRPr="00254A63">
        <w:rPr>
          <w:rFonts w:eastAsia="Calibri" w:cs="Times New Roman"/>
          <w:szCs w:val="24"/>
        </w:rPr>
        <w:t>s next distribution base rate case.</w:t>
      </w:r>
      <w:r w:rsidRPr="00254A63" w:rsidR="00B00858">
        <w:rPr>
          <w:rFonts w:eastAsia="Calibri" w:cs="Times New Roman"/>
          <w:szCs w:val="24"/>
        </w:rPr>
        <w:t xml:space="preserve"> </w:t>
      </w:r>
      <w:r w:rsidRPr="00254A63">
        <w:rPr>
          <w:rFonts w:eastAsia="Calibri" w:cs="Times New Roman"/>
          <w:szCs w:val="24"/>
        </w:rPr>
        <w:t xml:space="preserve">This review should be aimed at preventing vegetation management costs from being </w:t>
      </w:r>
      <w:r w:rsidRPr="00254A63">
        <w:rPr>
          <w:rFonts w:eastAsia="Calibri" w:cs="Times New Roman"/>
          <w:szCs w:val="24"/>
        </w:rPr>
        <w:t>double collected</w:t>
      </w:r>
      <w:r w:rsidRPr="00254A63">
        <w:rPr>
          <w:rFonts w:eastAsia="Calibri" w:cs="Times New Roman"/>
          <w:szCs w:val="24"/>
        </w:rPr>
        <w:t xml:space="preserve"> in base rates as well as through other riders like the DCI and the ESRR.</w:t>
      </w:r>
      <w:r w:rsidRPr="00254A63" w:rsidR="00B00858">
        <w:rPr>
          <w:rFonts w:eastAsia="Calibri" w:cs="Times New Roman"/>
          <w:szCs w:val="24"/>
        </w:rPr>
        <w:t xml:space="preserve"> </w:t>
      </w:r>
    </w:p>
    <w:p w:rsidR="009464BE" w:rsidRPr="00254A63" w:rsidP="00A36327" w14:paraId="1D0B2951" w14:textId="77777777">
      <w:pPr>
        <w:spacing w:after="0" w:line="240" w:lineRule="auto"/>
        <w:ind w:firstLine="720"/>
        <w:rPr>
          <w:rFonts w:eastAsia="Calibri" w:cs="Times New Roman"/>
          <w:szCs w:val="24"/>
        </w:rPr>
      </w:pPr>
    </w:p>
    <w:p w:rsidR="00C05CE5" w:rsidRPr="00254A63" w:rsidP="004B187C" w14:paraId="02D737FF" w14:textId="57284E75">
      <w:pPr>
        <w:pStyle w:val="Heading1"/>
        <w:rPr>
          <w:rFonts w:ascii="Times New Roman" w:hAnsi="Times New Roman" w:cs="Times New Roman"/>
          <w:szCs w:val="24"/>
        </w:rPr>
      </w:pPr>
      <w:r w:rsidRPr="00254A63">
        <w:rPr>
          <w:rFonts w:ascii="Times New Roman" w:hAnsi="Times New Roman" w:cs="Times New Roman"/>
          <w:szCs w:val="24"/>
        </w:rPr>
        <w:t>III.</w:t>
      </w:r>
      <w:r w:rsidRPr="00254A63" w:rsidR="004B187C">
        <w:rPr>
          <w:rFonts w:ascii="Times New Roman" w:hAnsi="Times New Roman" w:cs="Times New Roman"/>
          <w:szCs w:val="24"/>
        </w:rPr>
        <w:tab/>
      </w:r>
      <w:r w:rsidRPr="00254A63">
        <w:rPr>
          <w:rFonts w:ascii="Times New Roman" w:hAnsi="Times New Roman" w:cs="Times New Roman"/>
          <w:szCs w:val="24"/>
        </w:rPr>
        <w:t>CONCLUSION</w:t>
      </w:r>
    </w:p>
    <w:p w:rsidR="00E22229" w:rsidRPr="00254A63" w:rsidP="004B187C" w14:paraId="3387EE78" w14:textId="4DAE89D1">
      <w:pPr>
        <w:spacing w:after="0" w:line="480" w:lineRule="auto"/>
        <w:rPr>
          <w:rFonts w:cs="Times New Roman"/>
          <w:szCs w:val="24"/>
        </w:rPr>
      </w:pPr>
      <w:r w:rsidRPr="00254A63">
        <w:rPr>
          <w:rFonts w:eastAsia="Calibri" w:cs="Times New Roman"/>
          <w:szCs w:val="24"/>
        </w:rPr>
        <w:tab/>
      </w:r>
      <w:r w:rsidRPr="00254A63" w:rsidR="00DA6289">
        <w:rPr>
          <w:rFonts w:eastAsia="Calibri" w:cs="Times New Roman"/>
          <w:szCs w:val="24"/>
        </w:rPr>
        <w:t>OCC recommends that the PUCO adopt the Auditor</w:t>
      </w:r>
      <w:r w:rsidR="00254A63">
        <w:rPr>
          <w:rFonts w:eastAsia="Calibri" w:cs="Times New Roman"/>
          <w:szCs w:val="24"/>
        </w:rPr>
        <w:t>’</w:t>
      </w:r>
      <w:r w:rsidRPr="00254A63" w:rsidR="00DA6289">
        <w:rPr>
          <w:rFonts w:eastAsia="Calibri" w:cs="Times New Roman"/>
          <w:szCs w:val="24"/>
        </w:rPr>
        <w:t>s recommendations as well as the additional recommendations provided by OCC in its Initial Comments.</w:t>
      </w:r>
      <w:r w:rsidRPr="00254A63">
        <w:rPr>
          <w:rFonts w:eastAsia="Calibri" w:cs="Times New Roman"/>
          <w:szCs w:val="24"/>
        </w:rPr>
        <w:t xml:space="preserve"> </w:t>
      </w:r>
    </w:p>
    <w:p w:rsidR="00C917DF" w:rsidRPr="00254A63" w:rsidP="00C917DF" w14:paraId="402D2E00" w14:textId="12BE8F30">
      <w:pPr>
        <w:tabs>
          <w:tab w:val="left" w:pos="2776"/>
        </w:tabs>
        <w:spacing w:after="0" w:line="240" w:lineRule="auto"/>
        <w:ind w:left="4230" w:right="339"/>
        <w:rPr>
          <w:rFonts w:cs="Times New Roman"/>
          <w:szCs w:val="24"/>
        </w:rPr>
      </w:pPr>
      <w:r w:rsidRPr="00254A63">
        <w:rPr>
          <w:rFonts w:cs="Times New Roman"/>
          <w:szCs w:val="24"/>
        </w:rPr>
        <w:t>Respectfully submitted,</w:t>
      </w:r>
    </w:p>
    <w:p w:rsidR="00C917DF" w:rsidRPr="00254A63" w:rsidP="00C917DF" w14:paraId="204A84FA" w14:textId="77777777">
      <w:pPr>
        <w:tabs>
          <w:tab w:val="left" w:pos="2776"/>
        </w:tabs>
        <w:spacing w:after="0" w:line="240" w:lineRule="auto"/>
        <w:ind w:left="4230" w:right="339"/>
        <w:rPr>
          <w:rFonts w:cs="Times New Roman"/>
          <w:szCs w:val="24"/>
        </w:rPr>
      </w:pPr>
    </w:p>
    <w:p w:rsidR="00C917DF" w:rsidRPr="00254A63" w:rsidP="00C917DF" w14:paraId="65DC2F87" w14:textId="77777777">
      <w:pPr>
        <w:tabs>
          <w:tab w:val="left" w:pos="2776"/>
        </w:tabs>
        <w:spacing w:after="0" w:line="240" w:lineRule="auto"/>
        <w:ind w:left="4230" w:right="339"/>
        <w:rPr>
          <w:rFonts w:cs="Times New Roman"/>
          <w:szCs w:val="24"/>
        </w:rPr>
      </w:pPr>
      <w:r w:rsidRPr="00254A63">
        <w:rPr>
          <w:rFonts w:cs="Times New Roman"/>
          <w:szCs w:val="24"/>
        </w:rPr>
        <w:t>Maureen R. Willis (0020847)</w:t>
      </w:r>
    </w:p>
    <w:p w:rsidR="00C917DF" w:rsidRPr="00254A63" w:rsidP="00C917DF" w14:paraId="4B183D89" w14:textId="1B67029E">
      <w:pPr>
        <w:tabs>
          <w:tab w:val="left" w:pos="2776"/>
        </w:tabs>
        <w:spacing w:after="0" w:line="240" w:lineRule="auto"/>
        <w:ind w:left="4230" w:right="339"/>
        <w:rPr>
          <w:rFonts w:cs="Times New Roman"/>
          <w:szCs w:val="24"/>
        </w:rPr>
      </w:pPr>
      <w:r w:rsidRPr="00254A63">
        <w:rPr>
          <w:rFonts w:cs="Times New Roman"/>
          <w:szCs w:val="24"/>
        </w:rPr>
        <w:t>Ohio Consumers</w:t>
      </w:r>
      <w:r w:rsidR="00254A63">
        <w:rPr>
          <w:rFonts w:cs="Times New Roman"/>
          <w:szCs w:val="24"/>
        </w:rPr>
        <w:t>’</w:t>
      </w:r>
      <w:r w:rsidRPr="00254A63">
        <w:rPr>
          <w:rFonts w:cs="Times New Roman"/>
          <w:szCs w:val="24"/>
        </w:rPr>
        <w:t xml:space="preserve"> Counsel</w:t>
      </w:r>
    </w:p>
    <w:p w:rsidR="00C917DF" w:rsidRPr="00254A63" w:rsidP="00C917DF" w14:paraId="7BFD9565" w14:textId="77777777">
      <w:pPr>
        <w:tabs>
          <w:tab w:val="left" w:pos="2776"/>
        </w:tabs>
        <w:spacing w:after="0" w:line="240" w:lineRule="auto"/>
        <w:ind w:left="4230" w:right="339"/>
        <w:rPr>
          <w:rFonts w:cs="Times New Roman"/>
          <w:i/>
          <w:iCs/>
          <w:szCs w:val="24"/>
        </w:rPr>
      </w:pPr>
      <w:r w:rsidRPr="00254A63">
        <w:rPr>
          <w:rFonts w:cs="Times New Roman"/>
          <w:i/>
          <w:iCs/>
          <w:szCs w:val="24"/>
        </w:rPr>
        <w:t xml:space="preserve"> </w:t>
      </w:r>
    </w:p>
    <w:p w:rsidR="00C917DF" w:rsidRPr="00254A63" w:rsidP="00C917DF" w14:paraId="4A5941B8" w14:textId="77777777">
      <w:pPr>
        <w:tabs>
          <w:tab w:val="left" w:pos="2776"/>
        </w:tabs>
        <w:spacing w:after="0" w:line="240" w:lineRule="auto"/>
        <w:ind w:left="4230" w:right="339"/>
        <w:rPr>
          <w:rFonts w:cs="Times New Roman"/>
          <w:i/>
          <w:iCs/>
          <w:szCs w:val="24"/>
        </w:rPr>
      </w:pPr>
      <w:r w:rsidRPr="00254A63">
        <w:rPr>
          <w:rFonts w:cs="Times New Roman"/>
          <w:szCs w:val="24"/>
          <w:u w:val="single"/>
        </w:rPr>
        <w:t xml:space="preserve">/s/ </w:t>
      </w:r>
      <w:r w:rsidRPr="00254A63">
        <w:rPr>
          <w:rFonts w:cs="Times New Roman"/>
          <w:i/>
          <w:iCs/>
          <w:szCs w:val="24"/>
          <w:u w:val="single"/>
        </w:rPr>
        <w:t>John Finnigan</w:t>
      </w:r>
    </w:p>
    <w:p w:rsidR="00C917DF" w:rsidRPr="00254A63" w:rsidP="00C917DF" w14:paraId="5D3B1DC3" w14:textId="77777777">
      <w:pPr>
        <w:tabs>
          <w:tab w:val="left" w:pos="2776"/>
        </w:tabs>
        <w:spacing w:after="0" w:line="240" w:lineRule="auto"/>
        <w:ind w:left="4230" w:right="339"/>
        <w:rPr>
          <w:rFonts w:cs="Times New Roman"/>
          <w:szCs w:val="24"/>
        </w:rPr>
      </w:pPr>
      <w:r w:rsidRPr="00254A63">
        <w:rPr>
          <w:rFonts w:cs="Times New Roman"/>
          <w:szCs w:val="24"/>
        </w:rPr>
        <w:t>John Finnigan (0018689)</w:t>
      </w:r>
    </w:p>
    <w:p w:rsidR="00C917DF" w:rsidRPr="00254A63" w:rsidP="00C917DF" w14:paraId="3FF1AD96" w14:textId="77777777">
      <w:pPr>
        <w:tabs>
          <w:tab w:val="left" w:pos="2776"/>
        </w:tabs>
        <w:spacing w:after="0" w:line="240" w:lineRule="auto"/>
        <w:ind w:left="4230" w:right="339"/>
        <w:rPr>
          <w:rFonts w:cs="Times New Roman"/>
          <w:szCs w:val="24"/>
        </w:rPr>
      </w:pPr>
      <w:r w:rsidRPr="00254A63">
        <w:rPr>
          <w:rFonts w:cs="Times New Roman"/>
          <w:szCs w:val="24"/>
        </w:rPr>
        <w:t>Counsel of Record</w:t>
      </w:r>
    </w:p>
    <w:p w:rsidR="00C917DF" w:rsidRPr="00254A63" w:rsidP="00C917DF" w14:paraId="359D34FA" w14:textId="6B255EE0">
      <w:pPr>
        <w:tabs>
          <w:tab w:val="left" w:pos="2776"/>
        </w:tabs>
        <w:spacing w:after="0" w:line="240" w:lineRule="auto"/>
        <w:ind w:left="4230" w:right="339"/>
        <w:rPr>
          <w:rFonts w:cs="Times New Roman"/>
          <w:szCs w:val="24"/>
        </w:rPr>
      </w:pPr>
      <w:r w:rsidRPr="00254A63">
        <w:rPr>
          <w:rFonts w:cs="Times New Roman"/>
          <w:szCs w:val="24"/>
        </w:rPr>
        <w:t>Assistant Consumers</w:t>
      </w:r>
      <w:r w:rsidR="00254A63">
        <w:rPr>
          <w:rFonts w:cs="Times New Roman"/>
          <w:szCs w:val="24"/>
        </w:rPr>
        <w:t>’</w:t>
      </w:r>
      <w:r w:rsidRPr="00254A63">
        <w:rPr>
          <w:rFonts w:cs="Times New Roman"/>
          <w:szCs w:val="24"/>
        </w:rPr>
        <w:t xml:space="preserve"> Counsel</w:t>
      </w:r>
    </w:p>
    <w:p w:rsidR="00C917DF" w:rsidRPr="00254A63" w:rsidP="00C917DF" w14:paraId="6B061A5B" w14:textId="77777777">
      <w:pPr>
        <w:tabs>
          <w:tab w:val="left" w:pos="2776"/>
        </w:tabs>
        <w:spacing w:after="0" w:line="240" w:lineRule="auto"/>
        <w:ind w:left="4230" w:right="339"/>
        <w:rPr>
          <w:rFonts w:cs="Times New Roman"/>
          <w:szCs w:val="24"/>
        </w:rPr>
      </w:pPr>
      <w:r w:rsidRPr="00254A63">
        <w:rPr>
          <w:rFonts w:cs="Times New Roman"/>
          <w:szCs w:val="24"/>
        </w:rPr>
        <w:t>Thomas Zuehlke</w:t>
      </w:r>
    </w:p>
    <w:p w:rsidR="00C917DF" w:rsidRPr="00254A63" w:rsidP="00C917DF" w14:paraId="642E1675" w14:textId="77777777">
      <w:pPr>
        <w:tabs>
          <w:tab w:val="left" w:pos="2776"/>
        </w:tabs>
        <w:spacing w:after="0" w:line="240" w:lineRule="auto"/>
        <w:ind w:left="4230" w:right="339"/>
        <w:rPr>
          <w:rFonts w:cs="Times New Roman"/>
          <w:szCs w:val="24"/>
        </w:rPr>
      </w:pPr>
      <w:r w:rsidRPr="00254A63">
        <w:rPr>
          <w:rFonts w:cs="Times New Roman"/>
          <w:szCs w:val="24"/>
        </w:rPr>
        <w:t>Certified Legal Intern</w:t>
      </w:r>
    </w:p>
    <w:p w:rsidR="00C917DF" w:rsidRPr="00254A63" w:rsidP="00C917DF" w14:paraId="57207B04" w14:textId="77777777">
      <w:pPr>
        <w:tabs>
          <w:tab w:val="left" w:pos="2776"/>
        </w:tabs>
        <w:spacing w:after="0" w:line="240" w:lineRule="auto"/>
        <w:ind w:left="4230" w:right="339"/>
        <w:rPr>
          <w:rFonts w:cs="Times New Roman"/>
          <w:szCs w:val="24"/>
        </w:rPr>
      </w:pPr>
    </w:p>
    <w:p w:rsidR="00C917DF" w:rsidRPr="00254A63" w:rsidP="00C917DF" w14:paraId="141C339B" w14:textId="3870F2A4">
      <w:pPr>
        <w:tabs>
          <w:tab w:val="left" w:pos="2776"/>
        </w:tabs>
        <w:spacing w:after="0" w:line="240" w:lineRule="auto"/>
        <w:ind w:left="4230" w:right="339"/>
        <w:rPr>
          <w:rFonts w:cs="Times New Roman"/>
          <w:b/>
          <w:bCs/>
          <w:szCs w:val="24"/>
        </w:rPr>
      </w:pPr>
      <w:r w:rsidRPr="00254A63">
        <w:rPr>
          <w:rFonts w:cs="Times New Roman"/>
          <w:b/>
          <w:bCs/>
          <w:szCs w:val="24"/>
        </w:rPr>
        <w:t>Office of the Ohio Consumers</w:t>
      </w:r>
      <w:r w:rsidR="00254A63">
        <w:rPr>
          <w:rFonts w:cs="Times New Roman"/>
          <w:b/>
          <w:bCs/>
          <w:szCs w:val="24"/>
        </w:rPr>
        <w:t>’</w:t>
      </w:r>
      <w:r w:rsidRPr="00254A63">
        <w:rPr>
          <w:rFonts w:cs="Times New Roman"/>
          <w:b/>
          <w:bCs/>
          <w:szCs w:val="24"/>
        </w:rPr>
        <w:t xml:space="preserve"> Counsel</w:t>
      </w:r>
    </w:p>
    <w:p w:rsidR="00C917DF" w:rsidRPr="00254A63" w:rsidP="00C917DF" w14:paraId="18F46B0C" w14:textId="77777777">
      <w:pPr>
        <w:tabs>
          <w:tab w:val="left" w:pos="2776"/>
        </w:tabs>
        <w:spacing w:after="0" w:line="240" w:lineRule="auto"/>
        <w:ind w:left="4230" w:right="339"/>
        <w:rPr>
          <w:rFonts w:cs="Times New Roman"/>
          <w:szCs w:val="24"/>
        </w:rPr>
      </w:pPr>
      <w:r w:rsidRPr="00254A63">
        <w:rPr>
          <w:rFonts w:cs="Times New Roman"/>
          <w:szCs w:val="24"/>
        </w:rPr>
        <w:t>65 East State Street, Suite 700</w:t>
      </w:r>
    </w:p>
    <w:p w:rsidR="00C917DF" w:rsidRPr="00254A63" w:rsidP="00C917DF" w14:paraId="73BB6580" w14:textId="77777777">
      <w:pPr>
        <w:tabs>
          <w:tab w:val="left" w:pos="2776"/>
        </w:tabs>
        <w:spacing w:after="0" w:line="240" w:lineRule="auto"/>
        <w:ind w:left="4230" w:right="339"/>
        <w:rPr>
          <w:rFonts w:cs="Times New Roman"/>
          <w:szCs w:val="24"/>
        </w:rPr>
      </w:pPr>
      <w:r w:rsidRPr="00254A63">
        <w:rPr>
          <w:rFonts w:cs="Times New Roman"/>
          <w:szCs w:val="24"/>
        </w:rPr>
        <w:t>Columbus, Ohio 43215</w:t>
      </w:r>
    </w:p>
    <w:p w:rsidR="00C917DF" w:rsidRPr="00254A63" w:rsidP="00C917DF" w14:paraId="7731DDE7" w14:textId="77777777">
      <w:pPr>
        <w:tabs>
          <w:tab w:val="left" w:pos="2776"/>
        </w:tabs>
        <w:spacing w:after="0" w:line="240" w:lineRule="auto"/>
        <w:ind w:left="4230" w:right="339"/>
        <w:rPr>
          <w:rFonts w:cs="Times New Roman"/>
          <w:szCs w:val="24"/>
        </w:rPr>
      </w:pPr>
      <w:r w:rsidRPr="00254A63">
        <w:rPr>
          <w:rFonts w:cs="Times New Roman"/>
          <w:szCs w:val="24"/>
        </w:rPr>
        <w:t>Telephone [Finnigan]: (614) 466-9585</w:t>
      </w:r>
    </w:p>
    <w:p w:rsidR="00C917DF" w:rsidRPr="00254A63" w:rsidP="00C917DF" w14:paraId="4F1AD13E" w14:textId="77777777">
      <w:pPr>
        <w:tabs>
          <w:tab w:val="left" w:pos="2776"/>
        </w:tabs>
        <w:spacing w:after="0" w:line="240" w:lineRule="auto"/>
        <w:ind w:left="4230" w:right="339"/>
        <w:rPr>
          <w:rFonts w:cs="Times New Roman"/>
          <w:szCs w:val="24"/>
        </w:rPr>
      </w:pPr>
      <w:r w:rsidRPr="00254A63">
        <w:rPr>
          <w:rFonts w:cs="Times New Roman"/>
          <w:szCs w:val="24"/>
        </w:rPr>
        <w:t>Telephone [Zuehlke]: (614) 466-9569</w:t>
      </w:r>
    </w:p>
    <w:p w:rsidR="00C917DF" w:rsidRPr="00254A63" w:rsidP="00C917DF" w14:paraId="52DA07C5" w14:textId="77777777">
      <w:pPr>
        <w:tabs>
          <w:tab w:val="left" w:pos="2776"/>
        </w:tabs>
        <w:spacing w:after="0" w:line="240" w:lineRule="auto"/>
        <w:ind w:left="4230" w:right="339"/>
        <w:rPr>
          <w:rFonts w:cs="Times New Roman"/>
          <w:color w:val="0000FF"/>
          <w:szCs w:val="24"/>
        </w:rPr>
      </w:pPr>
      <w:hyperlink r:id="rId6" w:history="1">
        <w:r w:rsidRPr="00254A63" w:rsidR="00474EC9">
          <w:rPr>
            <w:rStyle w:val="Hyperlink"/>
            <w:rFonts w:cs="Times New Roman"/>
            <w:szCs w:val="24"/>
          </w:rPr>
          <w:t>john.finnigan@occ.ohio.gov</w:t>
        </w:r>
      </w:hyperlink>
    </w:p>
    <w:p w:rsidR="00C917DF" w:rsidRPr="00254A63" w:rsidP="00C917DF" w14:paraId="1168FF04" w14:textId="77777777">
      <w:pPr>
        <w:tabs>
          <w:tab w:val="left" w:pos="2776"/>
        </w:tabs>
        <w:spacing w:after="0" w:line="240" w:lineRule="auto"/>
        <w:ind w:left="4230" w:right="339"/>
        <w:rPr>
          <w:rFonts w:cs="Times New Roman"/>
          <w:color w:val="0000FF"/>
          <w:szCs w:val="24"/>
        </w:rPr>
      </w:pPr>
      <w:hyperlink r:id="rId7" w:history="1">
        <w:r w:rsidRPr="00254A63" w:rsidR="00474EC9">
          <w:rPr>
            <w:rStyle w:val="Hyperlink"/>
            <w:rFonts w:cs="Times New Roman"/>
            <w:szCs w:val="24"/>
          </w:rPr>
          <w:t>thomas.zuehlke@occ.ohio.gov</w:t>
        </w:r>
      </w:hyperlink>
    </w:p>
    <w:p w:rsidR="00C917DF" w:rsidRPr="00254A63" w:rsidP="00C917DF" w14:paraId="040BE5E4" w14:textId="77777777">
      <w:pPr>
        <w:tabs>
          <w:tab w:val="left" w:pos="2776"/>
        </w:tabs>
        <w:spacing w:after="0" w:line="240" w:lineRule="auto"/>
        <w:ind w:left="4230" w:right="339"/>
        <w:rPr>
          <w:rFonts w:cs="Times New Roman"/>
          <w:szCs w:val="24"/>
        </w:rPr>
      </w:pPr>
      <w:r w:rsidRPr="00254A63">
        <w:rPr>
          <w:rFonts w:cs="Times New Roman"/>
          <w:szCs w:val="24"/>
        </w:rPr>
        <w:t>(willing to accept service by e-mail)</w:t>
      </w:r>
    </w:p>
    <w:p w:rsidR="00C917DF" w:rsidRPr="00254A63" w:rsidP="00C917DF" w14:paraId="577F2076" w14:textId="77777777">
      <w:pPr>
        <w:tabs>
          <w:tab w:val="left" w:pos="-720"/>
        </w:tabs>
        <w:suppressAutoHyphens/>
        <w:spacing w:after="0" w:line="240" w:lineRule="auto"/>
        <w:ind w:firstLine="720"/>
        <w:rPr>
          <w:rFonts w:cs="Times New Roman"/>
          <w:szCs w:val="24"/>
        </w:rPr>
      </w:pPr>
    </w:p>
    <w:p w:rsidR="00C917DF" w:rsidRPr="00254A63" w:rsidP="00C917DF" w14:paraId="430D3764" w14:textId="77777777">
      <w:pPr>
        <w:tabs>
          <w:tab w:val="left" w:pos="3600"/>
        </w:tabs>
        <w:spacing w:after="0" w:line="240" w:lineRule="auto"/>
        <w:rPr>
          <w:rFonts w:cs="Times New Roman"/>
          <w:szCs w:val="24"/>
        </w:rPr>
      </w:pPr>
    </w:p>
    <w:p w:rsidR="00C917DF" w:rsidRPr="00254A63" w:rsidP="00C917DF" w14:paraId="6D12E013" w14:textId="77777777">
      <w:pPr>
        <w:tabs>
          <w:tab w:val="left" w:pos="3600"/>
        </w:tabs>
        <w:spacing w:after="0" w:line="240" w:lineRule="auto"/>
        <w:rPr>
          <w:rFonts w:cs="Times New Roman"/>
          <w:szCs w:val="24"/>
        </w:rPr>
      </w:pPr>
    </w:p>
    <w:p w:rsidR="00C917DF" w:rsidRPr="00254A63" w:rsidP="00C917DF" w14:paraId="082B3690" w14:textId="77777777">
      <w:pPr>
        <w:spacing w:after="0" w:line="240" w:lineRule="auto"/>
        <w:rPr>
          <w:rFonts w:cs="Times New Roman"/>
          <w:b/>
          <w:szCs w:val="24"/>
          <w:u w:val="single"/>
        </w:rPr>
      </w:pPr>
      <w:r w:rsidRPr="00254A63">
        <w:rPr>
          <w:rFonts w:cs="Times New Roman"/>
          <w:b/>
          <w:szCs w:val="24"/>
          <w:u w:val="single"/>
        </w:rPr>
        <w:br w:type="page"/>
      </w:r>
    </w:p>
    <w:p w:rsidR="00C917DF" w:rsidRPr="00254A63" w:rsidP="00C917DF" w14:paraId="7CD8D6F3" w14:textId="77777777">
      <w:pPr>
        <w:spacing w:after="0" w:line="480" w:lineRule="auto"/>
        <w:ind w:left="720" w:hanging="720"/>
        <w:jc w:val="center"/>
        <w:rPr>
          <w:rFonts w:cs="Times New Roman"/>
          <w:b/>
          <w:szCs w:val="24"/>
          <w:u w:val="single"/>
        </w:rPr>
      </w:pPr>
      <w:r w:rsidRPr="00254A63">
        <w:rPr>
          <w:rFonts w:cs="Times New Roman"/>
          <w:b/>
          <w:szCs w:val="24"/>
          <w:u w:val="single"/>
        </w:rPr>
        <w:t>CERTIFICATE OF SERVICE</w:t>
      </w:r>
    </w:p>
    <w:p w:rsidR="00C917DF" w:rsidRPr="00254A63" w:rsidP="00C917DF" w14:paraId="25BB21AA" w14:textId="1D42B7B8">
      <w:pPr>
        <w:spacing w:after="0" w:line="480" w:lineRule="auto"/>
        <w:ind w:firstLine="720"/>
        <w:rPr>
          <w:rFonts w:cs="Times New Roman"/>
          <w:szCs w:val="24"/>
        </w:rPr>
      </w:pPr>
      <w:r w:rsidRPr="00E542AC">
        <w:t xml:space="preserve">I hereby certify that a copy of the foregoing </w:t>
      </w:r>
      <w:r w:rsidRPr="00254A63" w:rsidR="00D163A1">
        <w:rPr>
          <w:rFonts w:cs="Times New Roman"/>
          <w:szCs w:val="24"/>
        </w:rPr>
        <w:t xml:space="preserve">Consumer Protection </w:t>
      </w:r>
      <w:r w:rsidRPr="00254A63" w:rsidR="00474EC9">
        <w:rPr>
          <w:rFonts w:cs="Times New Roman"/>
          <w:szCs w:val="24"/>
        </w:rPr>
        <w:t xml:space="preserve">Reply Comments </w:t>
      </w:r>
      <w:r w:rsidRPr="00E542AC">
        <w:t>was served on the persons stated below via electronic transmission</w:t>
      </w:r>
      <w:r w:rsidRPr="00254A63">
        <w:rPr>
          <w:rFonts w:cs="Times New Roman"/>
          <w:szCs w:val="24"/>
        </w:rPr>
        <w:t xml:space="preserve"> </w:t>
      </w:r>
      <w:r w:rsidRPr="00254A63" w:rsidR="00474EC9">
        <w:rPr>
          <w:rFonts w:cs="Times New Roman"/>
          <w:szCs w:val="24"/>
        </w:rPr>
        <w:t>this 28</w:t>
      </w:r>
      <w:r w:rsidRPr="00254A63" w:rsidR="00474EC9">
        <w:rPr>
          <w:rFonts w:cs="Times New Roman"/>
          <w:szCs w:val="24"/>
          <w:vertAlign w:val="superscript"/>
        </w:rPr>
        <w:t>th</w:t>
      </w:r>
      <w:r w:rsidRPr="00254A63" w:rsidR="00474EC9">
        <w:rPr>
          <w:rFonts w:cs="Times New Roman"/>
          <w:szCs w:val="24"/>
        </w:rPr>
        <w:t xml:space="preserve"> day of </w:t>
      </w:r>
      <w:r w:rsidRPr="00254A63" w:rsidR="001E57EF">
        <w:rPr>
          <w:rFonts w:cs="Times New Roman"/>
          <w:szCs w:val="24"/>
        </w:rPr>
        <w:t>March</w:t>
      </w:r>
      <w:r w:rsidRPr="00254A63" w:rsidR="00474EC9">
        <w:rPr>
          <w:rFonts w:cs="Times New Roman"/>
          <w:szCs w:val="24"/>
        </w:rPr>
        <w:t xml:space="preserve"> 2024.</w:t>
      </w:r>
    </w:p>
    <w:p w:rsidR="00C917DF" w:rsidRPr="00254A63" w:rsidP="00C917DF" w14:paraId="17073420" w14:textId="77777777">
      <w:pPr>
        <w:tabs>
          <w:tab w:val="left" w:pos="4320"/>
        </w:tabs>
        <w:spacing w:after="0" w:line="240" w:lineRule="auto"/>
        <w:ind w:left="4320"/>
        <w:rPr>
          <w:rFonts w:cs="Times New Roman"/>
          <w:i/>
          <w:iCs/>
          <w:szCs w:val="24"/>
          <w:u w:val="single"/>
        </w:rPr>
      </w:pPr>
      <w:r w:rsidRPr="00254A63">
        <w:rPr>
          <w:rFonts w:cs="Times New Roman"/>
          <w:i/>
          <w:iCs/>
          <w:szCs w:val="24"/>
          <w:u w:val="single"/>
        </w:rPr>
        <w:t>/s/ John Finnigan</w:t>
      </w:r>
    </w:p>
    <w:p w:rsidR="00C917DF" w:rsidRPr="00254A63" w:rsidP="00C917DF" w14:paraId="0A678067" w14:textId="77777777">
      <w:pPr>
        <w:tabs>
          <w:tab w:val="left" w:pos="2776"/>
        </w:tabs>
        <w:spacing w:after="0" w:line="240" w:lineRule="auto"/>
        <w:ind w:left="4140" w:right="339"/>
        <w:rPr>
          <w:rFonts w:cs="Times New Roman"/>
          <w:szCs w:val="24"/>
        </w:rPr>
      </w:pPr>
      <w:r w:rsidRPr="00254A63">
        <w:rPr>
          <w:rFonts w:cs="Times New Roman"/>
          <w:szCs w:val="24"/>
        </w:rPr>
        <w:tab/>
        <w:t>John Finnigan</w:t>
      </w:r>
    </w:p>
    <w:p w:rsidR="00C917DF" w:rsidRPr="00254A63" w:rsidP="00C917DF" w14:paraId="3FB59B8D" w14:textId="4607E361">
      <w:pPr>
        <w:tabs>
          <w:tab w:val="left" w:pos="4320"/>
        </w:tabs>
        <w:spacing w:after="0" w:line="240" w:lineRule="auto"/>
        <w:rPr>
          <w:rFonts w:cs="Times New Roman"/>
          <w:szCs w:val="24"/>
        </w:rPr>
      </w:pPr>
      <w:r w:rsidRPr="00254A63">
        <w:rPr>
          <w:rFonts w:cs="Times New Roman"/>
          <w:szCs w:val="24"/>
        </w:rPr>
        <w:tab/>
        <w:t>Assistant Consumers</w:t>
      </w:r>
      <w:r w:rsidR="00254A63">
        <w:rPr>
          <w:rFonts w:cs="Times New Roman"/>
          <w:szCs w:val="24"/>
        </w:rPr>
        <w:t>’</w:t>
      </w:r>
      <w:r w:rsidRPr="00254A63">
        <w:rPr>
          <w:rFonts w:cs="Times New Roman"/>
          <w:szCs w:val="24"/>
        </w:rPr>
        <w:t xml:space="preserve"> Counsel</w:t>
      </w:r>
    </w:p>
    <w:p w:rsidR="00C917DF" w:rsidRPr="00254A63" w:rsidP="00C917DF" w14:paraId="351D498A" w14:textId="77777777">
      <w:pPr>
        <w:spacing w:after="0" w:line="240" w:lineRule="auto"/>
        <w:rPr>
          <w:rFonts w:cs="Times New Roman"/>
          <w:szCs w:val="24"/>
        </w:rPr>
      </w:pPr>
    </w:p>
    <w:p w:rsidR="00C917DF" w:rsidRPr="00254A63" w:rsidP="00C917DF" w14:paraId="3F9AFA64" w14:textId="334302FF">
      <w:pPr>
        <w:spacing w:after="0" w:line="240" w:lineRule="auto"/>
        <w:rPr>
          <w:rFonts w:cs="Times New Roman"/>
          <w:szCs w:val="24"/>
        </w:rPr>
      </w:pPr>
      <w:r w:rsidRPr="00254A63">
        <w:rPr>
          <w:rFonts w:cs="Times New Roman"/>
          <w:szCs w:val="24"/>
        </w:rPr>
        <w:t>The PUCO</w:t>
      </w:r>
      <w:r w:rsidR="00254A63">
        <w:rPr>
          <w:rFonts w:cs="Times New Roman"/>
          <w:szCs w:val="24"/>
        </w:rPr>
        <w:t>’</w:t>
      </w:r>
      <w:r w:rsidRPr="00254A63">
        <w:rPr>
          <w:rFonts w:cs="Times New Roman"/>
          <w:szCs w:val="24"/>
        </w:rPr>
        <w:t>s e-filing system will electronically serve notice of the filing of this document on the following parties:</w:t>
      </w:r>
    </w:p>
    <w:p w:rsidR="00C917DF" w:rsidRPr="00254A63" w:rsidP="00C917DF" w14:paraId="37849E34" w14:textId="77777777">
      <w:pPr>
        <w:tabs>
          <w:tab w:val="left" w:pos="4320"/>
        </w:tabs>
        <w:spacing w:after="0" w:line="240" w:lineRule="auto"/>
        <w:rPr>
          <w:rFonts w:cs="Times New Roman"/>
          <w:szCs w:val="24"/>
        </w:rPr>
      </w:pPr>
    </w:p>
    <w:p w:rsidR="00C917DF" w:rsidRPr="00254A63" w:rsidP="00C917DF" w14:paraId="75B5FC7E" w14:textId="77777777">
      <w:pPr>
        <w:spacing w:after="0" w:line="240" w:lineRule="auto"/>
        <w:jc w:val="center"/>
        <w:rPr>
          <w:rFonts w:cs="Times New Roman"/>
          <w:b/>
          <w:szCs w:val="24"/>
          <w:u w:val="single"/>
        </w:rPr>
      </w:pPr>
      <w:r w:rsidRPr="00254A63">
        <w:rPr>
          <w:rFonts w:cs="Times New Roman"/>
          <w:b/>
          <w:szCs w:val="24"/>
          <w:u w:val="single"/>
        </w:rPr>
        <w:t>SERVICE LIST</w:t>
      </w:r>
    </w:p>
    <w:p w:rsidR="00C917DF" w:rsidRPr="00254A63" w:rsidP="00C917DF" w14:paraId="61A4522D" w14:textId="77777777">
      <w:pPr>
        <w:spacing w:after="0" w:line="240" w:lineRule="auto"/>
        <w:jc w:val="center"/>
        <w:rPr>
          <w:rFonts w:cs="Times New Roman"/>
          <w:b/>
          <w:szCs w:val="24"/>
          <w:u w:val="single"/>
        </w:rPr>
      </w:pPr>
    </w:p>
    <w:tbl>
      <w:tblPr>
        <w:tblW w:w="8856" w:type="dxa"/>
        <w:tblInd w:w="0" w:type="dxa"/>
        <w:tblCellMar>
          <w:top w:w="0" w:type="dxa"/>
          <w:left w:w="108" w:type="dxa"/>
          <w:bottom w:w="0" w:type="dxa"/>
          <w:right w:w="108" w:type="dxa"/>
        </w:tblCellMar>
        <w:tblLook w:val="04A0"/>
      </w:tblPr>
      <w:tblGrid>
        <w:gridCol w:w="4428"/>
        <w:gridCol w:w="4428"/>
      </w:tblGrid>
      <w:tr w14:paraId="0DDA7138" w14:textId="77777777" w:rsidTr="004D1324">
        <w:tblPrEx>
          <w:tblW w:w="8856" w:type="dxa"/>
          <w:tblInd w:w="0" w:type="dxa"/>
          <w:tblCellMar>
            <w:top w:w="0" w:type="dxa"/>
            <w:left w:w="108" w:type="dxa"/>
            <w:bottom w:w="0" w:type="dxa"/>
            <w:right w:w="108" w:type="dxa"/>
          </w:tblCellMar>
          <w:tblLook w:val="04A0"/>
        </w:tblPrEx>
        <w:tc>
          <w:tcPr>
            <w:tcW w:w="4428" w:type="dxa"/>
            <w:shd w:val="clear" w:color="auto" w:fill="auto"/>
          </w:tcPr>
          <w:p w:rsidR="00C917DF" w:rsidRPr="00254A63" w:rsidP="00C917DF" w14:paraId="77F17178" w14:textId="77777777">
            <w:pPr>
              <w:spacing w:after="0" w:line="240" w:lineRule="auto"/>
              <w:ind w:left="-113"/>
              <w:jc w:val="both"/>
              <w:rPr>
                <w:rFonts w:ascii="Times New Roman" w:hAnsi="Times New Roman" w:eastAsiaTheme="minorHAnsi" w:cs="Times New Roman"/>
                <w:color w:val="0000FF"/>
                <w:sz w:val="24"/>
                <w:szCs w:val="24"/>
                <w:u w:val="single"/>
                <w:lang w:val="en-US" w:eastAsia="en-US" w:bidi="ar-SA"/>
              </w:rPr>
            </w:pPr>
            <w:hyperlink r:id="rId8" w:history="1">
              <w:r w:rsidRPr="00254A63" w:rsidR="00474EC9">
                <w:rPr>
                  <w:rFonts w:ascii="Times New Roman" w:hAnsi="Times New Roman" w:eastAsiaTheme="minorHAnsi" w:cs="Times New Roman"/>
                  <w:color w:val="0000FF"/>
                  <w:sz w:val="24"/>
                  <w:szCs w:val="24"/>
                  <w:u w:val="single"/>
                  <w:lang w:val="en-US" w:eastAsia="en-US" w:bidi="ar-SA"/>
                </w:rPr>
                <w:t>thomas.lindgren@ohioAGO.gov</w:t>
              </w:r>
            </w:hyperlink>
          </w:p>
          <w:p w:rsidR="00C917DF" w:rsidRPr="00254A63" w:rsidP="00C917DF" w14:paraId="049B02BB" w14:textId="77777777">
            <w:pPr>
              <w:spacing w:after="0" w:line="240" w:lineRule="auto"/>
              <w:ind w:left="-113"/>
              <w:jc w:val="both"/>
              <w:rPr>
                <w:rFonts w:ascii="Times New Roman" w:hAnsi="Times New Roman" w:eastAsiaTheme="minorHAnsi" w:cs="Times New Roman"/>
                <w:color w:val="0000FF"/>
                <w:sz w:val="24"/>
                <w:szCs w:val="24"/>
                <w:u w:val="single"/>
                <w:lang w:val="en-US" w:eastAsia="en-US" w:bidi="ar-SA"/>
              </w:rPr>
            </w:pPr>
          </w:p>
          <w:p w:rsidR="00C917DF" w:rsidRPr="00254A63" w:rsidP="00C917DF" w14:paraId="49C47668" w14:textId="77777777">
            <w:pPr>
              <w:spacing w:after="0" w:line="240" w:lineRule="auto"/>
              <w:ind w:left="-113"/>
              <w:jc w:val="both"/>
              <w:rPr>
                <w:rFonts w:ascii="Times New Roman" w:hAnsi="Times New Roman" w:eastAsiaTheme="minorHAnsi" w:cs="Times New Roman"/>
                <w:sz w:val="24"/>
                <w:szCs w:val="24"/>
                <w:lang w:val="en-US" w:eastAsia="en-US" w:bidi="ar-SA"/>
              </w:rPr>
            </w:pPr>
            <w:r w:rsidRPr="00254A63">
              <w:rPr>
                <w:rFonts w:ascii="Times New Roman" w:hAnsi="Times New Roman" w:eastAsiaTheme="minorHAnsi" w:cs="Times New Roman"/>
                <w:sz w:val="24"/>
                <w:szCs w:val="24"/>
                <w:lang w:val="en-US" w:eastAsia="en-US" w:bidi="ar-SA"/>
              </w:rPr>
              <w:t>Attorney Examiners:</w:t>
            </w:r>
          </w:p>
          <w:p w:rsidR="00C917DF" w:rsidRPr="00254A63" w:rsidP="00C917DF" w14:paraId="10FF4FA6" w14:textId="77777777">
            <w:pPr>
              <w:spacing w:after="0" w:line="240" w:lineRule="auto"/>
              <w:ind w:left="-113"/>
              <w:jc w:val="both"/>
              <w:rPr>
                <w:rFonts w:ascii="Times New Roman" w:hAnsi="Times New Roman" w:eastAsiaTheme="minorHAnsi" w:cs="Times New Roman"/>
                <w:sz w:val="24"/>
                <w:szCs w:val="24"/>
                <w:lang w:val="en-US" w:eastAsia="en-US" w:bidi="ar-SA"/>
              </w:rPr>
            </w:pPr>
            <w:hyperlink r:id="rId9" w:history="1">
              <w:r w:rsidRPr="00254A63" w:rsidR="00474EC9">
                <w:rPr>
                  <w:rStyle w:val="Hyperlink"/>
                  <w:rFonts w:ascii="Times New Roman" w:hAnsi="Times New Roman" w:eastAsiaTheme="minorHAnsi" w:cs="Times New Roman"/>
                  <w:color w:val="0000FF"/>
                  <w:sz w:val="24"/>
                  <w:szCs w:val="24"/>
                  <w:u w:val="single"/>
                  <w:lang w:val="en-US" w:eastAsia="en-US" w:bidi="ar-SA"/>
                </w:rPr>
                <w:t>matthew.sandor@puco.ohio.gov</w:t>
              </w:r>
            </w:hyperlink>
          </w:p>
          <w:p w:rsidR="00C917DF" w:rsidRPr="00254A63" w:rsidP="00C917DF" w14:paraId="2D9F3AF1" w14:textId="77777777">
            <w:pPr>
              <w:spacing w:after="0" w:line="240" w:lineRule="auto"/>
              <w:ind w:left="-113"/>
              <w:jc w:val="both"/>
              <w:rPr>
                <w:rFonts w:ascii="Times New Roman" w:hAnsi="Times New Roman" w:eastAsiaTheme="minorHAnsi" w:cs="Times New Roman"/>
                <w:sz w:val="24"/>
                <w:szCs w:val="24"/>
                <w:lang w:val="en-US" w:eastAsia="en-US" w:bidi="ar-SA"/>
              </w:rPr>
            </w:pPr>
            <w:hyperlink r:id="rId10" w:history="1">
              <w:r w:rsidRPr="00254A63" w:rsidR="00474EC9">
                <w:rPr>
                  <w:rStyle w:val="Hyperlink"/>
                  <w:rFonts w:ascii="Times New Roman" w:hAnsi="Times New Roman" w:eastAsiaTheme="minorHAnsi" w:cs="Times New Roman"/>
                  <w:color w:val="0000FF"/>
                  <w:sz w:val="24"/>
                  <w:szCs w:val="24"/>
                  <w:u w:val="single"/>
                  <w:lang w:val="en-US" w:eastAsia="en-US" w:bidi="ar-SA"/>
                </w:rPr>
                <w:t>nicholas.walstra@puco.ohio.gov</w:t>
              </w:r>
            </w:hyperlink>
          </w:p>
          <w:p w:rsidR="00C917DF" w:rsidRPr="00254A63" w:rsidP="00C917DF" w14:paraId="50A50CC3" w14:textId="77777777">
            <w:pPr>
              <w:spacing w:after="0" w:line="240" w:lineRule="auto"/>
              <w:ind w:left="-113"/>
              <w:jc w:val="both"/>
              <w:rPr>
                <w:rFonts w:ascii="Times New Roman" w:hAnsi="Times New Roman" w:eastAsiaTheme="minorHAnsi" w:cs="Times New Roman"/>
                <w:sz w:val="24"/>
                <w:szCs w:val="24"/>
                <w:lang w:val="en-US" w:eastAsia="en-US" w:bidi="ar-SA"/>
              </w:rPr>
            </w:pPr>
          </w:p>
          <w:p w:rsidR="00C917DF" w:rsidRPr="00254A63" w:rsidP="00C917DF" w14:paraId="66E76D2E" w14:textId="77777777">
            <w:pPr>
              <w:spacing w:after="0" w:line="240" w:lineRule="auto"/>
              <w:ind w:left="-113"/>
              <w:jc w:val="both"/>
              <w:rPr>
                <w:rFonts w:ascii="Times New Roman" w:hAnsi="Times New Roman" w:eastAsiaTheme="minorHAnsi" w:cs="Times New Roman"/>
                <w:sz w:val="24"/>
                <w:szCs w:val="24"/>
                <w:lang w:val="en-US" w:eastAsia="en-US" w:bidi="ar-SA"/>
              </w:rPr>
            </w:pPr>
          </w:p>
        </w:tc>
        <w:tc>
          <w:tcPr>
            <w:tcW w:w="4428" w:type="dxa"/>
            <w:shd w:val="clear" w:color="auto" w:fill="auto"/>
          </w:tcPr>
          <w:p w:rsidR="00C917DF" w:rsidRPr="00254A63" w:rsidP="00C917DF" w14:paraId="57545D78" w14:textId="77777777">
            <w:pPr>
              <w:spacing w:after="0" w:line="240" w:lineRule="auto"/>
              <w:jc w:val="both"/>
              <w:rPr>
                <w:rFonts w:ascii="Times New Roman" w:hAnsi="Times New Roman" w:eastAsiaTheme="minorHAnsi" w:cs="Times New Roman"/>
                <w:sz w:val="24"/>
                <w:szCs w:val="24"/>
                <w:lang w:val="en-US" w:eastAsia="en-US" w:bidi="ar-SA"/>
              </w:rPr>
            </w:pPr>
            <w:hyperlink r:id="rId11" w:history="1">
              <w:r w:rsidRPr="00254A63" w:rsidR="00474EC9">
                <w:rPr>
                  <w:rStyle w:val="Hyperlink"/>
                  <w:rFonts w:ascii="Times New Roman" w:hAnsi="Times New Roman" w:eastAsiaTheme="minorHAnsi" w:cs="Times New Roman"/>
                  <w:color w:val="0000FF"/>
                  <w:sz w:val="24"/>
                  <w:szCs w:val="24"/>
                  <w:u w:val="single"/>
                  <w:lang w:val="en-US" w:eastAsia="en-US" w:bidi="ar-SA"/>
                </w:rPr>
                <w:t>rocco.dascenzo@duke-energy.com</w:t>
              </w:r>
            </w:hyperlink>
          </w:p>
          <w:p w:rsidR="00C917DF" w:rsidRPr="00254A63" w:rsidP="00C917DF" w14:paraId="5A92A3AD" w14:textId="77777777">
            <w:pPr>
              <w:spacing w:after="0" w:line="240" w:lineRule="auto"/>
              <w:jc w:val="both"/>
              <w:rPr>
                <w:rFonts w:ascii="Times New Roman" w:hAnsi="Times New Roman" w:eastAsiaTheme="minorHAnsi" w:cs="Times New Roman"/>
                <w:sz w:val="24"/>
                <w:szCs w:val="24"/>
                <w:lang w:val="en-US" w:eastAsia="en-US" w:bidi="ar-SA"/>
              </w:rPr>
            </w:pPr>
            <w:hyperlink r:id="rId12" w:history="1">
              <w:r w:rsidRPr="00254A63" w:rsidR="00474EC9">
                <w:rPr>
                  <w:rStyle w:val="Hyperlink"/>
                  <w:rFonts w:ascii="Times New Roman" w:hAnsi="Times New Roman" w:eastAsiaTheme="minorHAnsi" w:cs="Times New Roman"/>
                  <w:color w:val="0000FF"/>
                  <w:sz w:val="24"/>
                  <w:szCs w:val="24"/>
                  <w:u w:val="single"/>
                  <w:lang w:val="en-US" w:eastAsia="en-US" w:bidi="ar-SA"/>
                </w:rPr>
                <w:t>jeanne.kingery@duke-energy.com</w:t>
              </w:r>
            </w:hyperlink>
          </w:p>
          <w:p w:rsidR="00C917DF" w:rsidRPr="00254A63" w:rsidP="00C917DF" w14:paraId="469E10F1" w14:textId="77777777">
            <w:pPr>
              <w:spacing w:after="0" w:line="240" w:lineRule="auto"/>
              <w:jc w:val="both"/>
              <w:rPr>
                <w:rFonts w:ascii="Times New Roman" w:hAnsi="Times New Roman" w:eastAsiaTheme="minorHAnsi" w:cs="Times New Roman"/>
                <w:sz w:val="24"/>
                <w:szCs w:val="24"/>
                <w:lang w:val="en-US" w:eastAsia="en-US" w:bidi="ar-SA"/>
              </w:rPr>
            </w:pPr>
            <w:hyperlink r:id="rId13" w:history="1">
              <w:r w:rsidRPr="00254A63" w:rsidR="00474EC9">
                <w:rPr>
                  <w:rStyle w:val="Hyperlink"/>
                  <w:rFonts w:ascii="Times New Roman" w:hAnsi="Times New Roman" w:eastAsiaTheme="minorHAnsi" w:cs="Times New Roman"/>
                  <w:color w:val="0000FF"/>
                  <w:sz w:val="24"/>
                  <w:szCs w:val="24"/>
                  <w:u w:val="single"/>
                  <w:lang w:val="en-US" w:eastAsia="en-US" w:bidi="ar-SA"/>
                </w:rPr>
                <w:t>larisa.vaysman@duke-energy.com</w:t>
              </w:r>
            </w:hyperlink>
          </w:p>
          <w:p w:rsidR="00C917DF" w:rsidRPr="00254A63" w:rsidP="00C917DF" w14:paraId="38FCD960" w14:textId="77777777">
            <w:pPr>
              <w:spacing w:after="0" w:line="240" w:lineRule="auto"/>
              <w:jc w:val="both"/>
              <w:rPr>
                <w:rFonts w:ascii="Times New Roman" w:hAnsi="Times New Roman" w:eastAsiaTheme="minorHAnsi" w:cs="Times New Roman"/>
                <w:sz w:val="24"/>
                <w:szCs w:val="24"/>
                <w:lang w:val="en-US" w:eastAsia="en-US" w:bidi="ar-SA"/>
              </w:rPr>
            </w:pPr>
            <w:hyperlink r:id="rId14" w:history="1">
              <w:r w:rsidRPr="00254A63" w:rsidR="00474EC9">
                <w:rPr>
                  <w:rStyle w:val="Hyperlink"/>
                  <w:rFonts w:ascii="Times New Roman" w:hAnsi="Times New Roman" w:eastAsiaTheme="minorHAnsi" w:cs="Times New Roman"/>
                  <w:color w:val="0000FF"/>
                  <w:sz w:val="24"/>
                  <w:szCs w:val="24"/>
                  <w:u w:val="single"/>
                  <w:lang w:val="en-US" w:eastAsia="en-US" w:bidi="ar-SA"/>
                </w:rPr>
                <w:t>elyse.akhbari@duke-energy.com</w:t>
              </w:r>
            </w:hyperlink>
          </w:p>
          <w:p w:rsidR="00C917DF" w:rsidRPr="00254A63" w:rsidP="00C917DF" w14:paraId="572BF9F6" w14:textId="77777777">
            <w:pPr>
              <w:spacing w:after="0" w:line="240" w:lineRule="auto"/>
              <w:jc w:val="both"/>
              <w:rPr>
                <w:rFonts w:ascii="Times New Roman" w:hAnsi="Times New Roman" w:eastAsiaTheme="minorHAnsi" w:cs="Times New Roman"/>
                <w:sz w:val="24"/>
                <w:szCs w:val="24"/>
                <w:lang w:val="en-US" w:eastAsia="en-US" w:bidi="ar-SA"/>
              </w:rPr>
            </w:pPr>
          </w:p>
          <w:p w:rsidR="00C917DF" w:rsidRPr="00254A63" w:rsidP="00C917DF" w14:paraId="4D213426" w14:textId="77777777">
            <w:pPr>
              <w:spacing w:after="0" w:line="240" w:lineRule="auto"/>
              <w:jc w:val="both"/>
              <w:rPr>
                <w:rFonts w:ascii="Times New Roman" w:hAnsi="Times New Roman" w:eastAsiaTheme="minorHAnsi" w:cs="Times New Roman"/>
                <w:b/>
                <w:bCs/>
                <w:sz w:val="24"/>
                <w:szCs w:val="24"/>
                <w:lang w:val="en-US" w:eastAsia="en-US" w:bidi="ar-SA"/>
              </w:rPr>
            </w:pPr>
          </w:p>
        </w:tc>
      </w:tr>
    </w:tbl>
    <w:p w:rsidR="00C917DF" w:rsidRPr="00254A63" w:rsidP="00C917DF" w14:paraId="10363BE7" w14:textId="77777777">
      <w:pPr>
        <w:spacing w:after="0" w:line="240" w:lineRule="auto"/>
        <w:rPr>
          <w:rFonts w:cs="Times New Roman"/>
          <w:szCs w:val="24"/>
        </w:rPr>
      </w:pPr>
    </w:p>
    <w:p w:rsidR="00C917DF" w:rsidRPr="00254A63" w:rsidP="002137E3" w14:paraId="0BA4B622" w14:textId="77777777">
      <w:pPr>
        <w:spacing w:after="0" w:line="480" w:lineRule="auto"/>
        <w:rPr>
          <w:rFonts w:cs="Times New Roman"/>
          <w:szCs w:val="24"/>
        </w:rPr>
      </w:pPr>
    </w:p>
    <w:sectPr w:rsidSect="00B56A33">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693B" w14:paraId="269F86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9158852"/>
      <w:docPartObj>
        <w:docPartGallery w:val="Page Numbers (Bottom of Page)"/>
        <w:docPartUnique/>
      </w:docPartObj>
    </w:sdtPr>
    <w:sdtEndPr>
      <w:rPr>
        <w:noProof/>
      </w:rPr>
    </w:sdtEndPr>
    <w:sdtContent>
      <w:p w:rsidR="007A0083" w:rsidP="009F202E" w14:paraId="1C6B2DB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693B" w14:paraId="6B1EC7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2601" w:rsidP="00293514" w14:paraId="1F129081" w14:textId="77777777">
      <w:pPr>
        <w:spacing w:after="0" w:line="240" w:lineRule="auto"/>
      </w:pPr>
      <w:r>
        <w:separator/>
      </w:r>
    </w:p>
  </w:footnote>
  <w:footnote w:type="continuationSeparator" w:id="1">
    <w:p w:rsidR="00AE2601" w:rsidP="00293514" w14:paraId="40FAF156" w14:textId="77777777">
      <w:pPr>
        <w:spacing w:after="0" w:line="240" w:lineRule="auto"/>
      </w:pPr>
      <w:r>
        <w:continuationSeparator/>
      </w:r>
    </w:p>
  </w:footnote>
  <w:footnote w:id="2">
    <w:p w:rsidR="00C415A5" w:rsidP="00F47921" w14:paraId="454E987C" w14:textId="77777777">
      <w:pPr>
        <w:pStyle w:val="FootnoteText"/>
        <w:spacing w:after="120"/>
      </w:pPr>
      <w:r>
        <w:rPr>
          <w:rStyle w:val="FootnoteReference"/>
        </w:rPr>
        <w:footnoteRef/>
      </w:r>
      <w:r>
        <w:t xml:space="preserve"> Audit Report at 9 (Jan. 16, 2024).</w:t>
      </w:r>
    </w:p>
  </w:footnote>
  <w:footnote w:id="3">
    <w:p w:rsidR="00C415A5" w:rsidP="00F47921" w14:paraId="733C9FFD" w14:textId="77777777">
      <w:pPr>
        <w:pStyle w:val="FootnoteText"/>
        <w:spacing w:after="120"/>
      </w:pPr>
      <w:r>
        <w:rPr>
          <w:rStyle w:val="FootnoteReference"/>
        </w:rPr>
        <w:footnoteRef/>
      </w:r>
      <w:r>
        <w:t xml:space="preserve"> </w:t>
      </w:r>
      <w:r w:rsidRPr="002B70CA">
        <w:rPr>
          <w:i/>
          <w:iCs/>
        </w:rPr>
        <w:t>In the Matter of the Application of Duke Energy Ohio, Inc. for an Increase in Electric Distribution Rates</w:t>
      </w:r>
      <w:r>
        <w:t>, Case No. 17-32-EL-AIR, et al., Opinion and Order (Dec. 19, 2018).</w:t>
      </w:r>
    </w:p>
  </w:footnote>
  <w:footnote w:id="4">
    <w:p w:rsidR="00E5774A" w:rsidP="00F47921" w14:paraId="067CA0DB" w14:textId="113B9CA2">
      <w:pPr>
        <w:pStyle w:val="FootnoteText"/>
        <w:spacing w:after="120"/>
      </w:pPr>
      <w:r>
        <w:rPr>
          <w:rStyle w:val="FootnoteReference"/>
        </w:rPr>
        <w:footnoteRef/>
      </w:r>
      <w:r>
        <w:t xml:space="preserve"> Audit Report at 11-13 (Jan. 16, 2024).</w:t>
      </w:r>
    </w:p>
  </w:footnote>
  <w:footnote w:id="5">
    <w:p w:rsidR="00E5774A" w:rsidRPr="00E5774A" w:rsidP="00F47921" w14:paraId="288AE025" w14:textId="6B8A27C7">
      <w:pPr>
        <w:pStyle w:val="FootnoteText"/>
        <w:spacing w:after="120"/>
      </w:pPr>
      <w:r>
        <w:rPr>
          <w:rStyle w:val="FootnoteReference"/>
        </w:rPr>
        <w:footnoteRef/>
      </w:r>
      <w:r>
        <w:t xml:space="preserve"> </w:t>
      </w:r>
      <w:r>
        <w:rPr>
          <w:i/>
          <w:iCs/>
        </w:rPr>
        <w:t xml:space="preserve">Id. </w:t>
      </w:r>
      <w:r>
        <w:t>at 13-14.</w:t>
      </w:r>
    </w:p>
  </w:footnote>
  <w:footnote w:id="6">
    <w:p w:rsidR="00C4535F" w:rsidP="00F47921" w14:paraId="345EFFB6" w14:textId="61B471DA">
      <w:pPr>
        <w:pStyle w:val="FootnoteText"/>
        <w:spacing w:after="120"/>
      </w:pPr>
      <w:r>
        <w:rPr>
          <w:rStyle w:val="FootnoteReference"/>
        </w:rPr>
        <w:footnoteRef/>
      </w:r>
      <w:r>
        <w:t xml:space="preserve"> Comments of Duke Energy Ohio, Inc. (Mar</w:t>
      </w:r>
      <w:r w:rsidR="002F18F6">
        <w:t>ch</w:t>
      </w:r>
      <w:r>
        <w:t xml:space="preserve"> 14, 2024).</w:t>
      </w:r>
    </w:p>
  </w:footnote>
  <w:footnote w:id="7">
    <w:p w:rsidR="008A2727" w:rsidP="00F47921" w14:paraId="29F31E0D" w14:textId="1B959A80">
      <w:pPr>
        <w:pStyle w:val="FootnoteText"/>
        <w:spacing w:after="120"/>
      </w:pPr>
      <w:r>
        <w:rPr>
          <w:rStyle w:val="FootnoteReference"/>
        </w:rPr>
        <w:footnoteRef/>
      </w:r>
      <w:r>
        <w:t xml:space="preserve"> Consumer Protection Comments of OCC at 4-9 (March 14, 2024).</w:t>
      </w:r>
    </w:p>
  </w:footnote>
  <w:footnote w:id="8">
    <w:p w:rsidR="008A2727" w:rsidRPr="009353E7" w:rsidP="00F47921" w14:paraId="6ED494BD" w14:textId="77777777">
      <w:pPr>
        <w:pStyle w:val="FootnoteText"/>
        <w:spacing w:after="120"/>
      </w:pPr>
      <w:r>
        <w:rPr>
          <w:rStyle w:val="FootnoteReference"/>
        </w:rPr>
        <w:footnoteRef/>
      </w:r>
      <w:r>
        <w:t xml:space="preserve"> </w:t>
      </w:r>
      <w:r>
        <w:rPr>
          <w:i/>
          <w:iCs/>
        </w:rPr>
        <w:t xml:space="preserve">Id. </w:t>
      </w:r>
      <w:r>
        <w:t>at 9-13.</w:t>
      </w:r>
    </w:p>
  </w:footnote>
  <w:footnote w:id="9">
    <w:p w:rsidR="00167B79" w:rsidP="00F47921" w14:paraId="1128615D" w14:textId="7935D410">
      <w:pPr>
        <w:pStyle w:val="FootnoteText"/>
        <w:spacing w:after="120"/>
      </w:pPr>
      <w:r>
        <w:rPr>
          <w:rStyle w:val="FootnoteReference"/>
        </w:rPr>
        <w:footnoteRef/>
      </w:r>
      <w:r>
        <w:t xml:space="preserve"> Audit Report at 64-66 (Jan. 16, 2024).</w:t>
      </w:r>
    </w:p>
  </w:footnote>
  <w:footnote w:id="10">
    <w:p w:rsidR="00167B79" w:rsidRPr="00167B79" w:rsidP="00F47921" w14:paraId="18A49BE4" w14:textId="6F5B1A9A">
      <w:pPr>
        <w:pStyle w:val="FootnoteText"/>
        <w:spacing w:after="120"/>
        <w:rPr>
          <w:i/>
          <w:iCs/>
        </w:rPr>
      </w:pPr>
      <w:r>
        <w:rPr>
          <w:rStyle w:val="FootnoteReference"/>
        </w:rPr>
        <w:footnoteRef/>
      </w:r>
      <w:r>
        <w:t xml:space="preserve"> </w:t>
      </w:r>
      <w:r>
        <w:rPr>
          <w:i/>
          <w:iCs/>
        </w:rPr>
        <w:t>Id.</w:t>
      </w:r>
    </w:p>
  </w:footnote>
  <w:footnote w:id="11">
    <w:p w:rsidR="00194C4E" w:rsidP="00F47921" w14:paraId="5DCB6A4A" w14:textId="6D823D5A">
      <w:pPr>
        <w:pStyle w:val="FootnoteText"/>
        <w:spacing w:after="120"/>
      </w:pPr>
      <w:r>
        <w:rPr>
          <w:rStyle w:val="FootnoteReference"/>
        </w:rPr>
        <w:footnoteRef/>
      </w:r>
      <w:r>
        <w:t xml:space="preserve"> Comments of Duke Energy Ohio, Inc. at 1-4 (March 14, 2024).</w:t>
      </w:r>
    </w:p>
  </w:footnote>
  <w:footnote w:id="12">
    <w:p w:rsidR="0057769F" w:rsidRPr="00167B79" w:rsidP="00F47921" w14:paraId="50625120" w14:textId="77C3C560">
      <w:pPr>
        <w:pStyle w:val="FootnoteText"/>
        <w:spacing w:after="120"/>
        <w:rPr>
          <w:i/>
          <w:iCs/>
        </w:rPr>
      </w:pPr>
      <w:r>
        <w:rPr>
          <w:rStyle w:val="FootnoteReference"/>
        </w:rPr>
        <w:footnoteRef/>
      </w:r>
      <w:r>
        <w:t xml:space="preserve"> </w:t>
      </w:r>
      <w:r w:rsidR="00167B79">
        <w:rPr>
          <w:i/>
          <w:iCs/>
        </w:rPr>
        <w:t>Id.</w:t>
      </w:r>
    </w:p>
  </w:footnote>
  <w:footnote w:id="13">
    <w:p w:rsidR="0057769F" w:rsidRPr="00484BEB" w:rsidP="00F47921" w14:paraId="6515A45A" w14:textId="7C5BB7B8">
      <w:pPr>
        <w:pStyle w:val="FootnoteText"/>
        <w:spacing w:after="120"/>
        <w:rPr>
          <w:i/>
          <w:iCs/>
        </w:rPr>
      </w:pPr>
      <w:r>
        <w:rPr>
          <w:rStyle w:val="FootnoteReference"/>
        </w:rPr>
        <w:footnoteRef/>
      </w:r>
      <w:r>
        <w:t xml:space="preserve"> </w:t>
      </w:r>
      <w:r w:rsidR="00484BEB">
        <w:rPr>
          <w:i/>
          <w:iCs/>
        </w:rPr>
        <w:t>Id.</w:t>
      </w:r>
    </w:p>
  </w:footnote>
  <w:footnote w:id="14">
    <w:p w:rsidR="0057769F" w:rsidP="00F47921" w14:paraId="74CC1FA6" w14:textId="24A0BE4E">
      <w:pPr>
        <w:pStyle w:val="FootnoteText"/>
        <w:spacing w:after="120"/>
      </w:pPr>
      <w:r>
        <w:rPr>
          <w:rStyle w:val="FootnoteReference"/>
        </w:rPr>
        <w:footnoteRef/>
      </w:r>
      <w:r>
        <w:t xml:space="preserve"> </w:t>
      </w:r>
      <w:r w:rsidR="00484BEB">
        <w:rPr>
          <w:i/>
          <w:iCs/>
        </w:rPr>
        <w:t>Id.</w:t>
      </w:r>
    </w:p>
  </w:footnote>
  <w:footnote w:id="15">
    <w:p w:rsidR="00484BEB" w:rsidP="00F47921" w14:paraId="041466CB" w14:textId="45B18CBA">
      <w:pPr>
        <w:pStyle w:val="FootnoteText"/>
        <w:spacing w:after="120"/>
      </w:pPr>
      <w:r>
        <w:rPr>
          <w:rStyle w:val="FootnoteReference"/>
        </w:rPr>
        <w:footnoteRef/>
      </w:r>
      <w:r>
        <w:t xml:space="preserve"> </w:t>
      </w:r>
      <w:r>
        <w:rPr>
          <w:i/>
          <w:iCs/>
        </w:rPr>
        <w:t>Id.</w:t>
      </w:r>
    </w:p>
  </w:footnote>
  <w:footnote w:id="16">
    <w:p w:rsidR="00484BEB" w:rsidP="00F47921" w14:paraId="75A61987" w14:textId="4770A5F8">
      <w:pPr>
        <w:pStyle w:val="FootnoteText"/>
        <w:spacing w:after="120"/>
      </w:pPr>
      <w:r>
        <w:rPr>
          <w:rStyle w:val="FootnoteReference"/>
        </w:rPr>
        <w:footnoteRef/>
      </w:r>
      <w:r>
        <w:t xml:space="preserve"> </w:t>
      </w:r>
      <w:r>
        <w:rPr>
          <w:i/>
          <w:iCs/>
        </w:rPr>
        <w:t>Id.</w:t>
      </w:r>
    </w:p>
  </w:footnote>
  <w:footnote w:id="17">
    <w:p w:rsidR="00484BEB" w:rsidP="00F47921" w14:paraId="776C4DD3" w14:textId="479BF23C">
      <w:pPr>
        <w:pStyle w:val="FootnoteText"/>
        <w:spacing w:after="120"/>
      </w:pPr>
      <w:r>
        <w:rPr>
          <w:rStyle w:val="FootnoteReference"/>
        </w:rPr>
        <w:footnoteRef/>
      </w:r>
      <w:r>
        <w:t xml:space="preserve"> </w:t>
      </w:r>
      <w:r>
        <w:rPr>
          <w:i/>
          <w:iCs/>
        </w:rPr>
        <w:t>Id.</w:t>
      </w:r>
    </w:p>
  </w:footnote>
  <w:footnote w:id="18">
    <w:p w:rsidR="00CF79E9" w:rsidRPr="004F5F2E" w:rsidP="00F47921" w14:paraId="6F55528B" w14:textId="7DCC7E42">
      <w:pPr>
        <w:pStyle w:val="FootnoteText"/>
        <w:spacing w:after="120"/>
      </w:pPr>
      <w:r>
        <w:rPr>
          <w:rStyle w:val="FootnoteReference"/>
        </w:rPr>
        <w:footnoteRef/>
      </w:r>
      <w:r>
        <w:t xml:space="preserve"> </w:t>
      </w:r>
      <w:r>
        <w:rPr>
          <w:i/>
          <w:iCs/>
        </w:rPr>
        <w:t xml:space="preserve">Id. </w:t>
      </w:r>
      <w:r>
        <w:t>at 4.</w:t>
      </w:r>
    </w:p>
  </w:footnote>
  <w:footnote w:id="19">
    <w:p w:rsidR="0089135D" w:rsidP="00F47921" w14:paraId="1C9DEF93" w14:textId="0041A85D">
      <w:pPr>
        <w:pStyle w:val="FootnoteText"/>
        <w:spacing w:after="120"/>
      </w:pPr>
      <w:r>
        <w:rPr>
          <w:rStyle w:val="FootnoteReference"/>
        </w:rPr>
        <w:footnoteRef/>
      </w:r>
      <w:r>
        <w:t xml:space="preserve"> Comments of Duke Energy Ohio, Inc. at 3, Footnote 7 (Mar</w:t>
      </w:r>
      <w:r w:rsidR="00FE7A0D">
        <w:t>ch</w:t>
      </w:r>
      <w:r>
        <w:t xml:space="preserve"> 14, 2024). </w:t>
      </w:r>
    </w:p>
  </w:footnote>
  <w:footnote w:id="20">
    <w:p w:rsidR="0089135D" w:rsidP="00F47921" w14:paraId="71FC8D20" w14:textId="6BE9B4F3">
      <w:pPr>
        <w:pStyle w:val="FootnoteText"/>
        <w:spacing w:after="120"/>
      </w:pPr>
      <w:r>
        <w:rPr>
          <w:rStyle w:val="FootnoteReference"/>
        </w:rPr>
        <w:footnoteRef/>
      </w:r>
      <w:r>
        <w:t xml:space="preserve"> </w:t>
      </w:r>
      <w:r w:rsidRPr="00C354B0">
        <w:rPr>
          <w:i/>
          <w:iCs/>
        </w:rPr>
        <w:t xml:space="preserve">In the Matter of the </w:t>
      </w:r>
      <w:r>
        <w:rPr>
          <w:i/>
          <w:iCs/>
        </w:rPr>
        <w:t>Application of Duke Energy Ohio, Inc. for an Increase in Electric Distribution Rates</w:t>
      </w:r>
      <w:r w:rsidRPr="00C354B0">
        <w:t xml:space="preserve">, Case No. </w:t>
      </w:r>
      <w:r>
        <w:t>17-32-EL-AIR</w:t>
      </w:r>
      <w:r w:rsidR="00BC59CC">
        <w:t>, et al.</w:t>
      </w:r>
      <w:r w:rsidRPr="00C354B0">
        <w:t xml:space="preserve">, </w:t>
      </w:r>
      <w:r>
        <w:t xml:space="preserve">Stipulation and Recommendation </w:t>
      </w:r>
      <w:r w:rsidRPr="00C354B0">
        <w:t>(</w:t>
      </w:r>
      <w:r>
        <w:t>Apr</w:t>
      </w:r>
      <w:r w:rsidR="00AF0D39">
        <w:t>il</w:t>
      </w:r>
      <w:r>
        <w:t xml:space="preserve"> 13</w:t>
      </w:r>
      <w:r w:rsidRPr="00C354B0">
        <w:t>, 20</w:t>
      </w:r>
      <w:r>
        <w:t>18</w:t>
      </w:r>
      <w:r w:rsidRPr="00C354B0">
        <w:t xml:space="preserve">) at </w:t>
      </w:r>
      <w:r>
        <w:t>12</w:t>
      </w:r>
      <w:r w:rsidRPr="00C354B0">
        <w:t>.</w:t>
      </w:r>
      <w:r w:rsidR="009F2811">
        <w:t xml:space="preserve"> (Emphasis added.)</w:t>
      </w:r>
    </w:p>
  </w:footnote>
  <w:footnote w:id="21">
    <w:p w:rsidR="00E22229" w:rsidP="00F47921" w14:paraId="44560D51" w14:textId="59531085">
      <w:pPr>
        <w:pStyle w:val="FootnoteText"/>
        <w:spacing w:after="120"/>
      </w:pPr>
      <w:r>
        <w:rPr>
          <w:rStyle w:val="FootnoteReference"/>
        </w:rPr>
        <w:footnoteRef/>
      </w:r>
      <w:r>
        <w:t xml:space="preserve"> Audit Report</w:t>
      </w:r>
      <w:r w:rsidR="009A1C9C">
        <w:t xml:space="preserve"> at </w:t>
      </w:r>
      <w:r>
        <w:t>66</w:t>
      </w:r>
      <w:r w:rsidR="009A1C9C">
        <w:t xml:space="preserve"> (Jan. 16, 2024).</w:t>
      </w:r>
    </w:p>
  </w:footnote>
  <w:footnote w:id="22">
    <w:p w:rsidR="009A1C9C" w:rsidP="00F47921" w14:paraId="48705FA2" w14:textId="318361CF">
      <w:pPr>
        <w:pStyle w:val="FootnoteText"/>
        <w:spacing w:after="120"/>
      </w:pPr>
      <w:r>
        <w:rPr>
          <w:rStyle w:val="FootnoteReference"/>
        </w:rPr>
        <w:footnoteRef/>
      </w:r>
      <w:r>
        <w:t xml:space="preserve"> R.C. 4905.32. </w:t>
      </w:r>
      <w:r w:rsidRPr="009A1C9C">
        <w:rPr>
          <w:i/>
          <w:iCs/>
        </w:rPr>
        <w:t>See</w:t>
      </w:r>
      <w:r>
        <w:t xml:space="preserve"> </w:t>
      </w:r>
      <w:r w:rsidRPr="009A1C9C">
        <w:rPr>
          <w:i/>
          <w:iCs/>
        </w:rPr>
        <w:t>also</w:t>
      </w:r>
      <w:r>
        <w:t xml:space="preserve"> </w:t>
      </w:r>
      <w:r w:rsidRPr="009A1C9C">
        <w:rPr>
          <w:i/>
          <w:iCs/>
        </w:rPr>
        <w:t>Keco Industries, Inc. v. Cincinnati &amp; Suburban Bell Tel. Co</w:t>
      </w:r>
      <w:r>
        <w:t xml:space="preserve">., 166 Ohio St. 254, 257, 141 N.E.2d 465 (1957), where the Court found that under Ohio law a utility has no option but to collect the rates set by the PUCO and is </w:t>
      </w:r>
      <w:r w:rsidR="00254A63">
        <w:t>“</w:t>
      </w:r>
      <w:r>
        <w:t>clearly forbidden to refund any part of rates so collected.</w:t>
      </w:r>
      <w:r w:rsidR="00254A63">
        <w:t>”</w:t>
      </w:r>
      <w:r>
        <w:t xml:space="preserve"> In addition, under the filed rate doctrine, a filed rate is an independent legal obligation which must be respected. </w:t>
      </w:r>
      <w:r w:rsidRPr="003C3C12">
        <w:rPr>
          <w:i/>
          <w:iCs/>
        </w:rPr>
        <w:t>See, e.g., Pa. Water &amp; Power Co. v. Federal Power Commission</w:t>
      </w:r>
      <w:r>
        <w:t>, 343 U.S. 414, 422 (1952).</w:t>
      </w:r>
    </w:p>
  </w:footnote>
  <w:footnote w:id="23">
    <w:p w:rsidR="00A93C41" w:rsidP="00F47921" w14:paraId="2EAB0010" w14:textId="36A319A9">
      <w:pPr>
        <w:pStyle w:val="FootnoteText"/>
        <w:spacing w:after="120"/>
      </w:pPr>
      <w:r>
        <w:rPr>
          <w:rStyle w:val="FootnoteReference"/>
        </w:rPr>
        <w:footnoteRef/>
      </w:r>
      <w:r>
        <w:t xml:space="preserve"> </w:t>
      </w:r>
      <w:r w:rsidR="003C3C12">
        <w:t>Audit Report at 8 (Jan. 16, 2024).</w:t>
      </w:r>
    </w:p>
  </w:footnote>
  <w:footnote w:id="24">
    <w:p w:rsidR="00E22229" w:rsidP="00F47921" w14:paraId="682F7A40" w14:textId="5B3D25F7">
      <w:pPr>
        <w:pStyle w:val="FootnoteText"/>
        <w:spacing w:after="120"/>
      </w:pPr>
      <w:r>
        <w:rPr>
          <w:rStyle w:val="FootnoteReference"/>
        </w:rPr>
        <w:footnoteRef/>
      </w:r>
      <w:r>
        <w:t xml:space="preserve"> </w:t>
      </w:r>
      <w:r w:rsidR="003C3C12">
        <w:rPr>
          <w:i/>
          <w:iCs/>
        </w:rPr>
        <w:t>Id</w:t>
      </w:r>
      <w:r>
        <w:t>.</w:t>
      </w:r>
    </w:p>
  </w:footnote>
  <w:footnote w:id="25">
    <w:p w:rsidR="003C3C12" w:rsidP="00F47921" w14:paraId="0A434A01" w14:textId="5F414B8C">
      <w:pPr>
        <w:pStyle w:val="FootnoteText"/>
        <w:spacing w:after="120"/>
      </w:pPr>
      <w:r>
        <w:rPr>
          <w:rStyle w:val="FootnoteReference"/>
        </w:rPr>
        <w:footnoteRef/>
      </w:r>
      <w:r>
        <w:t xml:space="preserve"> Comments of Duke Energy Ohio, Inc. at 5 (Mar</w:t>
      </w:r>
      <w:r w:rsidR="00825844">
        <w:t>ch</w:t>
      </w:r>
      <w:r>
        <w:t xml:space="preserve"> 14, 2024).</w:t>
      </w:r>
    </w:p>
  </w:footnote>
  <w:footnote w:id="26">
    <w:p w:rsidR="00E22229" w:rsidRPr="003C07E7" w:rsidP="00F47921" w14:paraId="0071DDFE" w14:textId="77777777">
      <w:pPr>
        <w:pStyle w:val="FootnoteText"/>
        <w:spacing w:after="120"/>
      </w:pPr>
      <w:r>
        <w:rPr>
          <w:rStyle w:val="FootnoteReference"/>
        </w:rPr>
        <w:footnoteRef/>
      </w:r>
      <w:r>
        <w:t xml:space="preserve"> R.C. 4905.13; </w:t>
      </w:r>
      <w:r w:rsidRPr="003C07E7">
        <w:rPr>
          <w:i/>
          <w:iCs/>
        </w:rPr>
        <w:t>See also</w:t>
      </w:r>
      <w:r>
        <w:t xml:space="preserve"> Audit Report at 33.</w:t>
      </w:r>
    </w:p>
  </w:footnote>
  <w:footnote w:id="27">
    <w:p w:rsidR="00E22229" w:rsidP="00F47921" w14:paraId="2B5E0C9A" w14:textId="77777777">
      <w:pPr>
        <w:pStyle w:val="FootnoteText"/>
        <w:spacing w:after="120"/>
      </w:pPr>
      <w:r>
        <w:rPr>
          <w:rStyle w:val="FootnoteReference"/>
        </w:rPr>
        <w:footnoteRef/>
      </w:r>
      <w:r>
        <w:t xml:space="preserve"> Audit Report at 6.</w:t>
      </w:r>
    </w:p>
  </w:footnote>
  <w:footnote w:id="28">
    <w:p w:rsidR="00E22229" w:rsidP="00F47921" w14:paraId="521633AE" w14:textId="77777777">
      <w:pPr>
        <w:pStyle w:val="FootnoteText"/>
        <w:spacing w:after="120"/>
      </w:pPr>
      <w:r>
        <w:rPr>
          <w:rStyle w:val="FootnoteReference"/>
        </w:rPr>
        <w:footnoteRef/>
      </w:r>
      <w:r>
        <w:t xml:space="preserve"> </w:t>
      </w:r>
      <w:r w:rsidRPr="002F2590">
        <w:rPr>
          <w:i/>
          <w:iCs/>
        </w:rPr>
        <w:t>See</w:t>
      </w:r>
      <w:r>
        <w:t xml:space="preserve"> Audit Report at 9.</w:t>
      </w:r>
    </w:p>
  </w:footnote>
  <w:footnote w:id="29">
    <w:p w:rsidR="00E22229" w:rsidP="00F47921" w14:paraId="38C98758" w14:textId="43BC6C80">
      <w:pPr>
        <w:pStyle w:val="FootnoteText"/>
        <w:spacing w:after="120"/>
      </w:pPr>
      <w:r>
        <w:rPr>
          <w:rStyle w:val="FootnoteReference"/>
        </w:rPr>
        <w:footnoteRef/>
      </w:r>
      <w:r>
        <w:t xml:space="preserve"> Audit Report at 32</w:t>
      </w:r>
      <w:r w:rsidR="00115A4C">
        <w:t xml:space="preserve"> (Jan. 16, 2024)</w:t>
      </w:r>
      <w:r>
        <w:t>.</w:t>
      </w:r>
    </w:p>
  </w:footnote>
  <w:footnote w:id="30">
    <w:p w:rsidR="00115A4C" w:rsidP="00F47921" w14:paraId="4EDF6B23" w14:textId="2E605B16">
      <w:pPr>
        <w:pStyle w:val="FootnoteText"/>
        <w:spacing w:after="120"/>
      </w:pPr>
      <w:r>
        <w:rPr>
          <w:rStyle w:val="FootnoteReference"/>
        </w:rPr>
        <w:footnoteRef/>
      </w:r>
      <w:r>
        <w:t xml:space="preserve"> R.C. 4905.13.</w:t>
      </w:r>
    </w:p>
  </w:footnote>
  <w:footnote w:id="31">
    <w:p w:rsidR="00E22229" w:rsidRPr="00115A4C" w:rsidP="00F47921" w14:paraId="693636DC" w14:textId="6605708A">
      <w:pPr>
        <w:pStyle w:val="FootnoteText"/>
        <w:spacing w:after="120"/>
        <w:rPr>
          <w:i/>
          <w:iCs/>
        </w:rPr>
      </w:pPr>
      <w:r>
        <w:rPr>
          <w:rStyle w:val="FootnoteReference"/>
        </w:rPr>
        <w:footnoteRef/>
      </w:r>
      <w:r>
        <w:t xml:space="preserve"> </w:t>
      </w:r>
      <w:r w:rsidRPr="00926AF7">
        <w:rPr>
          <w:i/>
          <w:iCs/>
        </w:rPr>
        <w:t>Id.</w:t>
      </w:r>
    </w:p>
  </w:footnote>
  <w:footnote w:id="32">
    <w:p w:rsidR="00E22229" w:rsidP="00F47921" w14:paraId="5FE38903" w14:textId="4EC3FAF5">
      <w:pPr>
        <w:pStyle w:val="FootnoteText"/>
        <w:spacing w:after="120"/>
      </w:pPr>
      <w:r>
        <w:rPr>
          <w:rStyle w:val="FootnoteReference"/>
        </w:rPr>
        <w:footnoteRef/>
      </w:r>
      <w:r>
        <w:t xml:space="preserve"> </w:t>
      </w:r>
      <w:r w:rsidRPr="004533AC">
        <w:t xml:space="preserve">Audit Report at </w:t>
      </w:r>
      <w:r>
        <w:t>33</w:t>
      </w:r>
      <w:r w:rsidR="00115A4C">
        <w:t xml:space="preserve"> (Jan. 16, 2024)</w:t>
      </w:r>
      <w:r w:rsidRPr="004533A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693B" w14:paraId="42C9095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693B" w14:paraId="4B27C4B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693B" w14:paraId="56E15D1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656054"/>
    <w:multiLevelType w:val="hybridMultilevel"/>
    <w:tmpl w:val="60AE83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14"/>
    <w:rsid w:val="000139DA"/>
    <w:rsid w:val="000227D1"/>
    <w:rsid w:val="000337E0"/>
    <w:rsid w:val="00034883"/>
    <w:rsid w:val="0004272D"/>
    <w:rsid w:val="00050248"/>
    <w:rsid w:val="000525C5"/>
    <w:rsid w:val="00054F2B"/>
    <w:rsid w:val="00056F98"/>
    <w:rsid w:val="000664AB"/>
    <w:rsid w:val="00071B57"/>
    <w:rsid w:val="00072735"/>
    <w:rsid w:val="0007288D"/>
    <w:rsid w:val="00076549"/>
    <w:rsid w:val="00090364"/>
    <w:rsid w:val="00090516"/>
    <w:rsid w:val="0009082E"/>
    <w:rsid w:val="0009460A"/>
    <w:rsid w:val="000A3416"/>
    <w:rsid w:val="000B7923"/>
    <w:rsid w:val="000C2220"/>
    <w:rsid w:val="000F6AE8"/>
    <w:rsid w:val="00100226"/>
    <w:rsid w:val="00115A4C"/>
    <w:rsid w:val="0012611F"/>
    <w:rsid w:val="00131FC8"/>
    <w:rsid w:val="00137B7E"/>
    <w:rsid w:val="001413F8"/>
    <w:rsid w:val="00143173"/>
    <w:rsid w:val="001459D9"/>
    <w:rsid w:val="00147C60"/>
    <w:rsid w:val="00151004"/>
    <w:rsid w:val="00167B79"/>
    <w:rsid w:val="001729A0"/>
    <w:rsid w:val="00175DC7"/>
    <w:rsid w:val="001876D3"/>
    <w:rsid w:val="00193A50"/>
    <w:rsid w:val="00194140"/>
    <w:rsid w:val="00194C4E"/>
    <w:rsid w:val="001965B2"/>
    <w:rsid w:val="001B2B54"/>
    <w:rsid w:val="001B40CB"/>
    <w:rsid w:val="001B533D"/>
    <w:rsid w:val="001B56BA"/>
    <w:rsid w:val="001C20EA"/>
    <w:rsid w:val="001E0FF0"/>
    <w:rsid w:val="001E57EF"/>
    <w:rsid w:val="001F6C89"/>
    <w:rsid w:val="00201B0C"/>
    <w:rsid w:val="00202EAA"/>
    <w:rsid w:val="00207EC6"/>
    <w:rsid w:val="00210755"/>
    <w:rsid w:val="00212808"/>
    <w:rsid w:val="002137E3"/>
    <w:rsid w:val="002401B2"/>
    <w:rsid w:val="00251985"/>
    <w:rsid w:val="00254A63"/>
    <w:rsid w:val="00261418"/>
    <w:rsid w:val="00276D17"/>
    <w:rsid w:val="00282E9F"/>
    <w:rsid w:val="00293514"/>
    <w:rsid w:val="002A552C"/>
    <w:rsid w:val="002B70CA"/>
    <w:rsid w:val="002C2E61"/>
    <w:rsid w:val="002C3D39"/>
    <w:rsid w:val="002D1254"/>
    <w:rsid w:val="002D2B00"/>
    <w:rsid w:val="002D482C"/>
    <w:rsid w:val="002D621C"/>
    <w:rsid w:val="002E7DB4"/>
    <w:rsid w:val="002F18F6"/>
    <w:rsid w:val="002F2590"/>
    <w:rsid w:val="00311B51"/>
    <w:rsid w:val="00317E57"/>
    <w:rsid w:val="00332939"/>
    <w:rsid w:val="00335D70"/>
    <w:rsid w:val="003471D6"/>
    <w:rsid w:val="003477A8"/>
    <w:rsid w:val="003479FB"/>
    <w:rsid w:val="003500AA"/>
    <w:rsid w:val="00353B5A"/>
    <w:rsid w:val="0036125E"/>
    <w:rsid w:val="00365551"/>
    <w:rsid w:val="003824D3"/>
    <w:rsid w:val="003836FE"/>
    <w:rsid w:val="00386122"/>
    <w:rsid w:val="003A3292"/>
    <w:rsid w:val="003A5D76"/>
    <w:rsid w:val="003B6101"/>
    <w:rsid w:val="003C07E7"/>
    <w:rsid w:val="003C3C12"/>
    <w:rsid w:val="003C5A93"/>
    <w:rsid w:val="003E46E8"/>
    <w:rsid w:val="003F2663"/>
    <w:rsid w:val="004006BA"/>
    <w:rsid w:val="00405481"/>
    <w:rsid w:val="00420C84"/>
    <w:rsid w:val="00432EA8"/>
    <w:rsid w:val="004363DC"/>
    <w:rsid w:val="00440090"/>
    <w:rsid w:val="004533AC"/>
    <w:rsid w:val="00454E09"/>
    <w:rsid w:val="00471C84"/>
    <w:rsid w:val="00473ACA"/>
    <w:rsid w:val="00473CB0"/>
    <w:rsid w:val="00474EC9"/>
    <w:rsid w:val="00481A92"/>
    <w:rsid w:val="00481DE6"/>
    <w:rsid w:val="00484BEB"/>
    <w:rsid w:val="004858E7"/>
    <w:rsid w:val="00491660"/>
    <w:rsid w:val="00496E7B"/>
    <w:rsid w:val="004B187C"/>
    <w:rsid w:val="004C2896"/>
    <w:rsid w:val="004C3058"/>
    <w:rsid w:val="004C3B51"/>
    <w:rsid w:val="004C506D"/>
    <w:rsid w:val="004D040C"/>
    <w:rsid w:val="004D1575"/>
    <w:rsid w:val="004D697F"/>
    <w:rsid w:val="004D7F1E"/>
    <w:rsid w:val="004E6E9F"/>
    <w:rsid w:val="004F2C38"/>
    <w:rsid w:val="004F5F2E"/>
    <w:rsid w:val="004F7329"/>
    <w:rsid w:val="00501A8B"/>
    <w:rsid w:val="00505781"/>
    <w:rsid w:val="00505FAA"/>
    <w:rsid w:val="005124E7"/>
    <w:rsid w:val="00515ECE"/>
    <w:rsid w:val="00526EDC"/>
    <w:rsid w:val="00537336"/>
    <w:rsid w:val="0054222E"/>
    <w:rsid w:val="00546EB5"/>
    <w:rsid w:val="00552E1D"/>
    <w:rsid w:val="005543C1"/>
    <w:rsid w:val="00555722"/>
    <w:rsid w:val="00563AF6"/>
    <w:rsid w:val="0057769F"/>
    <w:rsid w:val="00583478"/>
    <w:rsid w:val="00584A13"/>
    <w:rsid w:val="0058675C"/>
    <w:rsid w:val="00591A05"/>
    <w:rsid w:val="00593056"/>
    <w:rsid w:val="00595E5E"/>
    <w:rsid w:val="005A3DB3"/>
    <w:rsid w:val="005A4280"/>
    <w:rsid w:val="005A7D9A"/>
    <w:rsid w:val="005C00A9"/>
    <w:rsid w:val="005C2FC5"/>
    <w:rsid w:val="005C3900"/>
    <w:rsid w:val="005D3007"/>
    <w:rsid w:val="005D43E5"/>
    <w:rsid w:val="005D75AF"/>
    <w:rsid w:val="005D7D7E"/>
    <w:rsid w:val="005E4612"/>
    <w:rsid w:val="005F3E43"/>
    <w:rsid w:val="00601FED"/>
    <w:rsid w:val="00602373"/>
    <w:rsid w:val="00617029"/>
    <w:rsid w:val="00625D5B"/>
    <w:rsid w:val="00627507"/>
    <w:rsid w:val="00635ADC"/>
    <w:rsid w:val="0064051E"/>
    <w:rsid w:val="00642D23"/>
    <w:rsid w:val="00651603"/>
    <w:rsid w:val="00667C02"/>
    <w:rsid w:val="0067625E"/>
    <w:rsid w:val="00685E78"/>
    <w:rsid w:val="0068659C"/>
    <w:rsid w:val="0068711E"/>
    <w:rsid w:val="0069210A"/>
    <w:rsid w:val="006A2A08"/>
    <w:rsid w:val="006A2C2E"/>
    <w:rsid w:val="006A3BB9"/>
    <w:rsid w:val="006A4404"/>
    <w:rsid w:val="006B2E75"/>
    <w:rsid w:val="006B5C5B"/>
    <w:rsid w:val="006B7902"/>
    <w:rsid w:val="006C011E"/>
    <w:rsid w:val="006C0C7D"/>
    <w:rsid w:val="006C3479"/>
    <w:rsid w:val="006D2FE0"/>
    <w:rsid w:val="006D71ED"/>
    <w:rsid w:val="006E1CAD"/>
    <w:rsid w:val="006E63A6"/>
    <w:rsid w:val="006F0196"/>
    <w:rsid w:val="006F2248"/>
    <w:rsid w:val="006F4956"/>
    <w:rsid w:val="00702751"/>
    <w:rsid w:val="00710EB1"/>
    <w:rsid w:val="00725857"/>
    <w:rsid w:val="00730E71"/>
    <w:rsid w:val="00736800"/>
    <w:rsid w:val="00737AD2"/>
    <w:rsid w:val="00751AC0"/>
    <w:rsid w:val="00752D39"/>
    <w:rsid w:val="007624F5"/>
    <w:rsid w:val="00772CB0"/>
    <w:rsid w:val="00774749"/>
    <w:rsid w:val="00774BE6"/>
    <w:rsid w:val="0078693B"/>
    <w:rsid w:val="007955CF"/>
    <w:rsid w:val="00796C10"/>
    <w:rsid w:val="00797E43"/>
    <w:rsid w:val="007A0083"/>
    <w:rsid w:val="007A3EB2"/>
    <w:rsid w:val="007A74D9"/>
    <w:rsid w:val="007A7988"/>
    <w:rsid w:val="007B06FC"/>
    <w:rsid w:val="007B2041"/>
    <w:rsid w:val="007C729B"/>
    <w:rsid w:val="007D1B45"/>
    <w:rsid w:val="007D38A3"/>
    <w:rsid w:val="007D5478"/>
    <w:rsid w:val="007E52AD"/>
    <w:rsid w:val="007E62CA"/>
    <w:rsid w:val="007F19C2"/>
    <w:rsid w:val="007F4D70"/>
    <w:rsid w:val="007F5275"/>
    <w:rsid w:val="008049B7"/>
    <w:rsid w:val="00805CA6"/>
    <w:rsid w:val="008104CD"/>
    <w:rsid w:val="008117E4"/>
    <w:rsid w:val="00812B21"/>
    <w:rsid w:val="0081335C"/>
    <w:rsid w:val="0082193D"/>
    <w:rsid w:val="008242A1"/>
    <w:rsid w:val="00825844"/>
    <w:rsid w:val="00830787"/>
    <w:rsid w:val="00834555"/>
    <w:rsid w:val="00841E63"/>
    <w:rsid w:val="00846B50"/>
    <w:rsid w:val="00847E8A"/>
    <w:rsid w:val="00853A1D"/>
    <w:rsid w:val="00863D2F"/>
    <w:rsid w:val="00876A13"/>
    <w:rsid w:val="00883140"/>
    <w:rsid w:val="00890B71"/>
    <w:rsid w:val="0089135D"/>
    <w:rsid w:val="008A2727"/>
    <w:rsid w:val="008B665A"/>
    <w:rsid w:val="008D1DAE"/>
    <w:rsid w:val="008D2EF2"/>
    <w:rsid w:val="008E56EC"/>
    <w:rsid w:val="008F7137"/>
    <w:rsid w:val="00901733"/>
    <w:rsid w:val="00901A42"/>
    <w:rsid w:val="009041BB"/>
    <w:rsid w:val="00911298"/>
    <w:rsid w:val="00911E00"/>
    <w:rsid w:val="009139BD"/>
    <w:rsid w:val="009147AD"/>
    <w:rsid w:val="00921096"/>
    <w:rsid w:val="00922BB2"/>
    <w:rsid w:val="00926AF7"/>
    <w:rsid w:val="00926CB1"/>
    <w:rsid w:val="00930A05"/>
    <w:rsid w:val="009315B4"/>
    <w:rsid w:val="009353E7"/>
    <w:rsid w:val="009365DB"/>
    <w:rsid w:val="00937440"/>
    <w:rsid w:val="009464BE"/>
    <w:rsid w:val="00950B63"/>
    <w:rsid w:val="00956B89"/>
    <w:rsid w:val="00976500"/>
    <w:rsid w:val="00990C9A"/>
    <w:rsid w:val="009929F5"/>
    <w:rsid w:val="009965F0"/>
    <w:rsid w:val="00996E7E"/>
    <w:rsid w:val="009A1C9C"/>
    <w:rsid w:val="009A69B5"/>
    <w:rsid w:val="009B0EB2"/>
    <w:rsid w:val="009B143A"/>
    <w:rsid w:val="009C36D1"/>
    <w:rsid w:val="009C5383"/>
    <w:rsid w:val="009C5A23"/>
    <w:rsid w:val="009D462C"/>
    <w:rsid w:val="009D47FD"/>
    <w:rsid w:val="009D5A23"/>
    <w:rsid w:val="009F202E"/>
    <w:rsid w:val="009F2811"/>
    <w:rsid w:val="00A068DF"/>
    <w:rsid w:val="00A130E9"/>
    <w:rsid w:val="00A24879"/>
    <w:rsid w:val="00A317DD"/>
    <w:rsid w:val="00A36327"/>
    <w:rsid w:val="00A37075"/>
    <w:rsid w:val="00A52576"/>
    <w:rsid w:val="00A56282"/>
    <w:rsid w:val="00A62510"/>
    <w:rsid w:val="00A647B6"/>
    <w:rsid w:val="00A64F81"/>
    <w:rsid w:val="00A6624D"/>
    <w:rsid w:val="00A70571"/>
    <w:rsid w:val="00A81F16"/>
    <w:rsid w:val="00A90E67"/>
    <w:rsid w:val="00A93C41"/>
    <w:rsid w:val="00A95D9D"/>
    <w:rsid w:val="00A96A46"/>
    <w:rsid w:val="00A96A59"/>
    <w:rsid w:val="00AA6EA5"/>
    <w:rsid w:val="00AA79BD"/>
    <w:rsid w:val="00AC2CAD"/>
    <w:rsid w:val="00AC3ABE"/>
    <w:rsid w:val="00AE2601"/>
    <w:rsid w:val="00AF0D39"/>
    <w:rsid w:val="00AF39A2"/>
    <w:rsid w:val="00B00858"/>
    <w:rsid w:val="00B0451D"/>
    <w:rsid w:val="00B06EDE"/>
    <w:rsid w:val="00B11144"/>
    <w:rsid w:val="00B133E8"/>
    <w:rsid w:val="00B278AE"/>
    <w:rsid w:val="00B30C40"/>
    <w:rsid w:val="00B35B87"/>
    <w:rsid w:val="00B41482"/>
    <w:rsid w:val="00B5084A"/>
    <w:rsid w:val="00B50B1F"/>
    <w:rsid w:val="00B56A33"/>
    <w:rsid w:val="00B86F0D"/>
    <w:rsid w:val="00B8737B"/>
    <w:rsid w:val="00B95F47"/>
    <w:rsid w:val="00B96709"/>
    <w:rsid w:val="00B97507"/>
    <w:rsid w:val="00B97C6B"/>
    <w:rsid w:val="00BA0A06"/>
    <w:rsid w:val="00BA422B"/>
    <w:rsid w:val="00BA4278"/>
    <w:rsid w:val="00BB1FF2"/>
    <w:rsid w:val="00BB5FA2"/>
    <w:rsid w:val="00BC0208"/>
    <w:rsid w:val="00BC2228"/>
    <w:rsid w:val="00BC59CC"/>
    <w:rsid w:val="00BD1AB3"/>
    <w:rsid w:val="00BD7AB6"/>
    <w:rsid w:val="00BE4A8C"/>
    <w:rsid w:val="00BE6BF2"/>
    <w:rsid w:val="00BE796F"/>
    <w:rsid w:val="00BF0A3B"/>
    <w:rsid w:val="00BF4844"/>
    <w:rsid w:val="00BF6CF1"/>
    <w:rsid w:val="00C05BDE"/>
    <w:rsid w:val="00C05CE5"/>
    <w:rsid w:val="00C05F96"/>
    <w:rsid w:val="00C15E27"/>
    <w:rsid w:val="00C215FE"/>
    <w:rsid w:val="00C26C23"/>
    <w:rsid w:val="00C354B0"/>
    <w:rsid w:val="00C415A5"/>
    <w:rsid w:val="00C41CF1"/>
    <w:rsid w:val="00C43AE3"/>
    <w:rsid w:val="00C4535F"/>
    <w:rsid w:val="00C51F36"/>
    <w:rsid w:val="00C522E6"/>
    <w:rsid w:val="00C57E40"/>
    <w:rsid w:val="00C64761"/>
    <w:rsid w:val="00C65290"/>
    <w:rsid w:val="00C7300F"/>
    <w:rsid w:val="00C76507"/>
    <w:rsid w:val="00C80160"/>
    <w:rsid w:val="00C80F57"/>
    <w:rsid w:val="00C82948"/>
    <w:rsid w:val="00C83373"/>
    <w:rsid w:val="00C85ADA"/>
    <w:rsid w:val="00C87D2C"/>
    <w:rsid w:val="00C917DF"/>
    <w:rsid w:val="00C9776F"/>
    <w:rsid w:val="00CA60A6"/>
    <w:rsid w:val="00CB29FF"/>
    <w:rsid w:val="00CC5A2A"/>
    <w:rsid w:val="00CC664D"/>
    <w:rsid w:val="00CD2343"/>
    <w:rsid w:val="00CE54DF"/>
    <w:rsid w:val="00CF5912"/>
    <w:rsid w:val="00CF79E9"/>
    <w:rsid w:val="00CF7AE5"/>
    <w:rsid w:val="00CF7E52"/>
    <w:rsid w:val="00CF7F8B"/>
    <w:rsid w:val="00D163A1"/>
    <w:rsid w:val="00D170BE"/>
    <w:rsid w:val="00D25236"/>
    <w:rsid w:val="00D348CF"/>
    <w:rsid w:val="00D41C6A"/>
    <w:rsid w:val="00D46FAB"/>
    <w:rsid w:val="00D604F6"/>
    <w:rsid w:val="00D91568"/>
    <w:rsid w:val="00DA12ED"/>
    <w:rsid w:val="00DA254E"/>
    <w:rsid w:val="00DA494D"/>
    <w:rsid w:val="00DA6289"/>
    <w:rsid w:val="00DB2455"/>
    <w:rsid w:val="00DD2DD7"/>
    <w:rsid w:val="00DE4AFB"/>
    <w:rsid w:val="00DF062C"/>
    <w:rsid w:val="00E00960"/>
    <w:rsid w:val="00E03829"/>
    <w:rsid w:val="00E04B8A"/>
    <w:rsid w:val="00E175D6"/>
    <w:rsid w:val="00E22229"/>
    <w:rsid w:val="00E31482"/>
    <w:rsid w:val="00E33078"/>
    <w:rsid w:val="00E44E27"/>
    <w:rsid w:val="00E47BE8"/>
    <w:rsid w:val="00E51822"/>
    <w:rsid w:val="00E542AC"/>
    <w:rsid w:val="00E5774A"/>
    <w:rsid w:val="00E6630B"/>
    <w:rsid w:val="00E82920"/>
    <w:rsid w:val="00E85D01"/>
    <w:rsid w:val="00E8789A"/>
    <w:rsid w:val="00E94A50"/>
    <w:rsid w:val="00EA021C"/>
    <w:rsid w:val="00EA2D11"/>
    <w:rsid w:val="00EC1303"/>
    <w:rsid w:val="00EC3ABD"/>
    <w:rsid w:val="00EC436B"/>
    <w:rsid w:val="00EC5AA8"/>
    <w:rsid w:val="00ED2F16"/>
    <w:rsid w:val="00ED3C69"/>
    <w:rsid w:val="00EE23B8"/>
    <w:rsid w:val="00EF26F0"/>
    <w:rsid w:val="00EF398F"/>
    <w:rsid w:val="00F14D4D"/>
    <w:rsid w:val="00F30F8A"/>
    <w:rsid w:val="00F31BA2"/>
    <w:rsid w:val="00F3265E"/>
    <w:rsid w:val="00F35763"/>
    <w:rsid w:val="00F377F8"/>
    <w:rsid w:val="00F4127C"/>
    <w:rsid w:val="00F47921"/>
    <w:rsid w:val="00F54574"/>
    <w:rsid w:val="00F55B0C"/>
    <w:rsid w:val="00F56545"/>
    <w:rsid w:val="00F802CA"/>
    <w:rsid w:val="00F85472"/>
    <w:rsid w:val="00F86324"/>
    <w:rsid w:val="00F91158"/>
    <w:rsid w:val="00F956D1"/>
    <w:rsid w:val="00F96007"/>
    <w:rsid w:val="00F96E1B"/>
    <w:rsid w:val="00FC16F9"/>
    <w:rsid w:val="00FC1FFD"/>
    <w:rsid w:val="00FD1093"/>
    <w:rsid w:val="00FD7161"/>
    <w:rsid w:val="00FE7A0D"/>
    <w:rsid w:val="00FF3684"/>
    <w:rsid w:val="00FF5A86"/>
    <w:rsid w:val="00FF5E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7D8A8D"/>
  <w15:docId w15:val="{627BA330-9FE6-4922-A536-3174E456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BA2"/>
    <w:rPr>
      <w:rFonts w:ascii="Times New Roman" w:hAnsi="Times New Roman"/>
      <w:sz w:val="24"/>
    </w:rPr>
  </w:style>
  <w:style w:type="paragraph" w:styleId="Heading1">
    <w:name w:val="heading 1"/>
    <w:basedOn w:val="Normal"/>
    <w:next w:val="Normal"/>
    <w:link w:val="Heading1Char"/>
    <w:uiPriority w:val="9"/>
    <w:qFormat/>
    <w:rsid w:val="006C011E"/>
    <w:pPr>
      <w:keepNext/>
      <w:keepLines/>
      <w:spacing w:after="240" w:line="240" w:lineRule="auto"/>
      <w:ind w:left="720" w:hanging="720"/>
      <w:outlineLvl w:val="0"/>
    </w:pPr>
    <w:rPr>
      <w:rFonts w:ascii="Times New Roman Bold" w:hAnsi="Times New Roman Bold" w:eastAsiaTheme="majorEastAsia" w:cstheme="majorBidi"/>
      <w:b/>
      <w:caps/>
      <w:szCs w:val="32"/>
    </w:rPr>
  </w:style>
  <w:style w:type="paragraph" w:styleId="Heading2">
    <w:name w:val="heading 2"/>
    <w:basedOn w:val="Normal"/>
    <w:next w:val="Normal"/>
    <w:link w:val="Heading2Char"/>
    <w:uiPriority w:val="9"/>
    <w:unhideWhenUsed/>
    <w:qFormat/>
    <w:rsid w:val="00C64761"/>
    <w:pPr>
      <w:keepNext/>
      <w:keepLines/>
      <w:spacing w:after="240" w:line="240" w:lineRule="auto"/>
      <w:ind w:left="1440" w:hanging="720"/>
      <w:outlineLvl w:val="1"/>
    </w:pPr>
    <w:rPr>
      <w:rFonts w:ascii="Times New Roman Bold" w:hAnsi="Times New Roman Bold"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3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514"/>
    <w:rPr>
      <w:sz w:val="20"/>
      <w:szCs w:val="20"/>
    </w:rPr>
  </w:style>
  <w:style w:type="character" w:styleId="FootnoteReference">
    <w:name w:val="footnote reference"/>
    <w:basedOn w:val="DefaultParagraphFont"/>
    <w:uiPriority w:val="99"/>
    <w:semiHidden/>
    <w:unhideWhenUsed/>
    <w:rsid w:val="00293514"/>
    <w:rPr>
      <w:vertAlign w:val="superscript"/>
    </w:rPr>
  </w:style>
  <w:style w:type="character" w:styleId="CommentReference">
    <w:name w:val="annotation reference"/>
    <w:basedOn w:val="DefaultParagraphFont"/>
    <w:uiPriority w:val="99"/>
    <w:semiHidden/>
    <w:unhideWhenUsed/>
    <w:rsid w:val="00293514"/>
    <w:rPr>
      <w:sz w:val="16"/>
      <w:szCs w:val="16"/>
    </w:rPr>
  </w:style>
  <w:style w:type="paragraph" w:styleId="CommentText">
    <w:name w:val="annotation text"/>
    <w:basedOn w:val="Normal"/>
    <w:link w:val="CommentTextChar"/>
    <w:uiPriority w:val="99"/>
    <w:unhideWhenUsed/>
    <w:rsid w:val="00293514"/>
    <w:pPr>
      <w:spacing w:line="240" w:lineRule="auto"/>
    </w:pPr>
    <w:rPr>
      <w:sz w:val="20"/>
      <w:szCs w:val="20"/>
    </w:rPr>
  </w:style>
  <w:style w:type="character" w:customStyle="1" w:styleId="CommentTextChar">
    <w:name w:val="Comment Text Char"/>
    <w:basedOn w:val="DefaultParagraphFont"/>
    <w:link w:val="CommentText"/>
    <w:uiPriority w:val="99"/>
    <w:rsid w:val="00293514"/>
    <w:rPr>
      <w:sz w:val="20"/>
      <w:szCs w:val="20"/>
    </w:rPr>
  </w:style>
  <w:style w:type="character" w:styleId="Hyperlink">
    <w:name w:val="Hyperlink"/>
    <w:basedOn w:val="DefaultParagraphFont"/>
    <w:uiPriority w:val="99"/>
    <w:unhideWhenUsed/>
    <w:rsid w:val="00F31BA2"/>
    <w:rPr>
      <w:color w:val="0000FF"/>
      <w:u w:val="single"/>
    </w:rPr>
  </w:style>
  <w:style w:type="table" w:styleId="TableGrid">
    <w:name w:val="Table Grid"/>
    <w:basedOn w:val="TableNormal"/>
    <w:uiPriority w:val="39"/>
    <w:rsid w:val="0029351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137E3"/>
    <w:rPr>
      <w:b/>
      <w:bCs/>
    </w:rPr>
  </w:style>
  <w:style w:type="character" w:customStyle="1" w:styleId="CommentSubjectChar">
    <w:name w:val="Comment Subject Char"/>
    <w:basedOn w:val="CommentTextChar"/>
    <w:link w:val="CommentSubject"/>
    <w:uiPriority w:val="99"/>
    <w:semiHidden/>
    <w:rsid w:val="002137E3"/>
    <w:rPr>
      <w:b/>
      <w:bCs/>
      <w:sz w:val="20"/>
      <w:szCs w:val="20"/>
    </w:rPr>
  </w:style>
  <w:style w:type="paragraph" w:styleId="Revision">
    <w:name w:val="Revision"/>
    <w:hidden/>
    <w:uiPriority w:val="99"/>
    <w:semiHidden/>
    <w:rsid w:val="00C65290"/>
    <w:pPr>
      <w:spacing w:after="0" w:line="240" w:lineRule="auto"/>
    </w:pPr>
  </w:style>
  <w:style w:type="character" w:customStyle="1" w:styleId="UnresolvedMention1">
    <w:name w:val="Unresolved Mention1"/>
    <w:basedOn w:val="DefaultParagraphFont"/>
    <w:uiPriority w:val="99"/>
    <w:semiHidden/>
    <w:unhideWhenUsed/>
    <w:rsid w:val="004D7F1E"/>
    <w:rPr>
      <w:color w:val="605E5C"/>
      <w:shd w:val="clear" w:color="auto" w:fill="E1DFDD"/>
    </w:rPr>
  </w:style>
  <w:style w:type="character" w:customStyle="1" w:styleId="Heading1Char">
    <w:name w:val="Heading 1 Char"/>
    <w:basedOn w:val="DefaultParagraphFont"/>
    <w:link w:val="Heading1"/>
    <w:uiPriority w:val="9"/>
    <w:rsid w:val="006C011E"/>
    <w:rPr>
      <w:rFonts w:ascii="Times New Roman Bold" w:hAnsi="Times New Roman Bold" w:eastAsiaTheme="majorEastAsia" w:cstheme="majorBidi"/>
      <w:b/>
      <w:caps/>
      <w:sz w:val="24"/>
      <w:szCs w:val="32"/>
    </w:rPr>
  </w:style>
  <w:style w:type="character" w:customStyle="1" w:styleId="Heading2Char">
    <w:name w:val="Heading 2 Char"/>
    <w:basedOn w:val="DefaultParagraphFont"/>
    <w:link w:val="Heading2"/>
    <w:uiPriority w:val="9"/>
    <w:rsid w:val="00C64761"/>
    <w:rPr>
      <w:rFonts w:ascii="Times New Roman Bold" w:hAnsi="Times New Roman Bold" w:eastAsiaTheme="majorEastAsia" w:cstheme="majorBidi"/>
      <w:b/>
      <w:sz w:val="24"/>
      <w:szCs w:val="26"/>
    </w:rPr>
  </w:style>
  <w:style w:type="paragraph" w:styleId="HTMLPreformatted">
    <w:name w:val="HTML Preformatted"/>
    <w:aliases w:val=" Char"/>
    <w:basedOn w:val="Normal"/>
    <w:link w:val="HTMLPreformattedChar"/>
    <w:rsid w:val="002E7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 Char Char"/>
    <w:basedOn w:val="DefaultParagraphFont"/>
    <w:link w:val="HTMLPreformatted"/>
    <w:rsid w:val="002E7DB4"/>
    <w:rPr>
      <w:rFonts w:ascii="Courier New" w:eastAsia="Times New Roman" w:hAnsi="Courier New" w:cs="Courier New"/>
      <w:sz w:val="20"/>
      <w:szCs w:val="20"/>
    </w:rPr>
  </w:style>
  <w:style w:type="paragraph" w:styleId="TOC1">
    <w:name w:val="toc 1"/>
    <w:basedOn w:val="Normal"/>
    <w:next w:val="Normal"/>
    <w:autoRedefine/>
    <w:uiPriority w:val="39"/>
    <w:unhideWhenUsed/>
    <w:rsid w:val="00C05F96"/>
    <w:pPr>
      <w:tabs>
        <w:tab w:val="decimal" w:leader="dot" w:pos="9360"/>
      </w:tabs>
      <w:spacing w:after="240" w:line="240" w:lineRule="auto"/>
      <w:ind w:left="720" w:hanging="720"/>
    </w:pPr>
  </w:style>
  <w:style w:type="paragraph" w:styleId="TOC2">
    <w:name w:val="toc 2"/>
    <w:basedOn w:val="Normal"/>
    <w:next w:val="Normal"/>
    <w:autoRedefine/>
    <w:uiPriority w:val="39"/>
    <w:unhideWhenUsed/>
    <w:rsid w:val="00C05F96"/>
    <w:pPr>
      <w:tabs>
        <w:tab w:val="left" w:pos="1440"/>
        <w:tab w:val="decimal" w:leader="dot" w:pos="9360"/>
      </w:tabs>
      <w:spacing w:after="240" w:line="240" w:lineRule="auto"/>
      <w:ind w:left="1440" w:hanging="720"/>
    </w:pPr>
  </w:style>
  <w:style w:type="paragraph" w:styleId="TOC3">
    <w:name w:val="toc 3"/>
    <w:basedOn w:val="Normal"/>
    <w:next w:val="Normal"/>
    <w:autoRedefine/>
    <w:uiPriority w:val="39"/>
    <w:semiHidden/>
    <w:unhideWhenUsed/>
    <w:rsid w:val="00863D2F"/>
    <w:pPr>
      <w:spacing w:after="120" w:line="240" w:lineRule="auto"/>
      <w:ind w:left="2160" w:hanging="720"/>
    </w:pPr>
  </w:style>
  <w:style w:type="paragraph" w:styleId="Header">
    <w:name w:val="header"/>
    <w:basedOn w:val="Normal"/>
    <w:link w:val="HeaderChar"/>
    <w:uiPriority w:val="99"/>
    <w:unhideWhenUsed/>
    <w:rsid w:val="007A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083"/>
    <w:rPr>
      <w:rFonts w:ascii="Times New Roman" w:hAnsi="Times New Roman"/>
      <w:sz w:val="24"/>
    </w:rPr>
  </w:style>
  <w:style w:type="paragraph" w:styleId="Footer">
    <w:name w:val="footer"/>
    <w:basedOn w:val="Normal"/>
    <w:link w:val="FooterChar"/>
    <w:uiPriority w:val="99"/>
    <w:unhideWhenUsed/>
    <w:rsid w:val="007A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083"/>
    <w:rPr>
      <w:rFonts w:ascii="Times New Roman" w:hAnsi="Times New Roman"/>
      <w:sz w:val="24"/>
    </w:rPr>
  </w:style>
  <w:style w:type="paragraph" w:styleId="ListParagraph">
    <w:name w:val="List Paragraph"/>
    <w:basedOn w:val="Normal"/>
    <w:uiPriority w:val="34"/>
    <w:qFormat/>
    <w:rsid w:val="00E22229"/>
    <w:pPr>
      <w:ind w:left="720"/>
      <w:contextualSpacing/>
    </w:pPr>
    <w:rPr>
      <w:rFonts w:asciiTheme="minorHAnsi" w:hAnsiTheme="minorHAnsi"/>
      <w:sz w:val="22"/>
    </w:rPr>
  </w:style>
  <w:style w:type="character" w:customStyle="1" w:styleId="Hyperlink1">
    <w:name w:val="Hyperlink1"/>
    <w:basedOn w:val="DefaultParagraphFont"/>
    <w:uiPriority w:val="99"/>
    <w:unhideWhenUsed/>
    <w:rsid w:val="00E222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nicholas.walstra@puco.ohio.gov" TargetMode="External" /><Relationship Id="rId11" Type="http://schemas.openxmlformats.org/officeDocument/2006/relationships/hyperlink" Target="mailto:rocco.dascenzo@duke-energy.com" TargetMode="External" /><Relationship Id="rId12" Type="http://schemas.openxmlformats.org/officeDocument/2006/relationships/hyperlink" Target="mailto:jeanne.kingery@duke-energy.com" TargetMode="External" /><Relationship Id="rId13" Type="http://schemas.openxmlformats.org/officeDocument/2006/relationships/hyperlink" Target="mailto:larisa.vaysman@duke-energy.com" TargetMode="External" /><Relationship Id="rId14" Type="http://schemas.openxmlformats.org/officeDocument/2006/relationships/hyperlink" Target="mailto:elyse.akhbari@duke-energy.com"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thomas.zuehlke@occ.ohio.gov" TargetMode="External" /><Relationship Id="rId8" Type="http://schemas.openxmlformats.org/officeDocument/2006/relationships/hyperlink" Target="mailto:john.jones@ohioago.gov" TargetMode="External" /><Relationship Id="rId9" Type="http://schemas.openxmlformats.org/officeDocument/2006/relationships/hyperlink" Target="mailto:matthew.sandor@puco.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E3875-92C9-434E-A82C-3FF7AB16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2024-03-28T17:27:18Z</dcterms:created>
  <dcterms:modified xsi:type="dcterms:W3CDTF">2024-03-28T17:27:18Z</dcterms:modified>
</cp:coreProperties>
</file>