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CB" w:rsidRPr="007E46AA" w:rsidRDefault="00BB0DCB" w:rsidP="00BB0DCB">
      <w:pPr>
        <w:tabs>
          <w:tab w:val="right" w:pos="9360"/>
          <w:tab w:val="left" w:pos="9504"/>
          <w:tab w:val="left" w:pos="10656"/>
        </w:tabs>
        <w:jc w:val="center"/>
        <w:rPr>
          <w:rFonts w:cs="Arial"/>
          <w:b/>
          <w:sz w:val="40"/>
          <w:szCs w:val="24"/>
        </w:rPr>
      </w:pPr>
      <w:r w:rsidRPr="007E46AA">
        <w:rPr>
          <w:rFonts w:cs="Arial"/>
          <w:b/>
          <w:sz w:val="40"/>
          <w:szCs w:val="24"/>
        </w:rPr>
        <w:t>Exhibit A</w:t>
      </w:r>
    </w:p>
    <w:p w:rsidR="00C51BA9" w:rsidRPr="0060581D" w:rsidRDefault="00C51BA9" w:rsidP="00C51BA9">
      <w:pPr>
        <w:tabs>
          <w:tab w:val="right" w:pos="9360"/>
          <w:tab w:val="left" w:pos="9504"/>
          <w:tab w:val="left" w:pos="10656"/>
        </w:tabs>
        <w:jc w:val="both"/>
        <w:rPr>
          <w:rFonts w:cs="Arial"/>
        </w:rPr>
      </w:pPr>
      <w:r w:rsidRPr="0060581D">
        <w:rPr>
          <w:rFonts w:cs="Arial"/>
        </w:rPr>
        <w:t>CenturyTel of Ohio, Inc.</w:t>
      </w:r>
      <w:r w:rsidRPr="0060581D">
        <w:rPr>
          <w:rFonts w:cs="Arial"/>
        </w:rPr>
        <w:tab/>
        <w:t>Section 3</w:t>
      </w:r>
    </w:p>
    <w:p w:rsidR="00C51BA9" w:rsidRPr="0060581D" w:rsidRDefault="00C51BA9" w:rsidP="00C51BA9">
      <w:pPr>
        <w:tabs>
          <w:tab w:val="right" w:pos="9360"/>
          <w:tab w:val="left" w:pos="9504"/>
          <w:tab w:val="left" w:pos="10656"/>
        </w:tabs>
        <w:jc w:val="both"/>
        <w:rPr>
          <w:rFonts w:cs="Arial"/>
        </w:rPr>
      </w:pPr>
      <w:r w:rsidRPr="0060581D">
        <w:rPr>
          <w:rFonts w:cs="Arial"/>
        </w:rPr>
        <w:t>d/b/a CenturyLink</w:t>
      </w:r>
      <w:r w:rsidRPr="0060581D">
        <w:rPr>
          <w:rFonts w:cs="Arial"/>
        </w:rPr>
        <w:tab/>
        <w:t>3rd Revised Sheet 6</w:t>
      </w:r>
    </w:p>
    <w:p w:rsidR="00C51BA9" w:rsidRPr="0060581D" w:rsidRDefault="00C51BA9" w:rsidP="00C51BA9">
      <w:pPr>
        <w:tabs>
          <w:tab w:val="center" w:pos="4680"/>
          <w:tab w:val="right" w:pos="9360"/>
          <w:tab w:val="left" w:pos="9504"/>
          <w:tab w:val="left" w:pos="10656"/>
        </w:tabs>
        <w:rPr>
          <w:rFonts w:cs="Arial"/>
          <w:spacing w:val="-2"/>
        </w:rPr>
      </w:pPr>
      <w:r w:rsidRPr="0060581D">
        <w:rPr>
          <w:rFonts w:cs="Arial"/>
          <w:spacing w:val="-2"/>
        </w:rPr>
        <w:tab/>
        <w:t>P.U.C.O.  NO. 12</w:t>
      </w:r>
      <w:r w:rsidRPr="0060581D">
        <w:rPr>
          <w:rFonts w:cs="Arial"/>
          <w:spacing w:val="-2"/>
        </w:rPr>
        <w:tab/>
        <w:t>Cancels</w:t>
      </w:r>
      <w:r w:rsidRPr="0060581D">
        <w:rPr>
          <w:rFonts w:cs="Arial"/>
        </w:rPr>
        <w:t xml:space="preserve"> 2nd Revised</w:t>
      </w:r>
      <w:r w:rsidRPr="0060581D">
        <w:rPr>
          <w:rFonts w:cs="Arial"/>
          <w:spacing w:val="-2"/>
        </w:rPr>
        <w:t xml:space="preserve"> Sheet 6</w:t>
      </w:r>
    </w:p>
    <w:p w:rsidR="00C51BA9" w:rsidRPr="0060581D" w:rsidRDefault="00C51BA9" w:rsidP="00C51BA9">
      <w:pPr>
        <w:tabs>
          <w:tab w:val="center" w:pos="4680"/>
          <w:tab w:val="right" w:pos="9360"/>
          <w:tab w:val="left" w:pos="9504"/>
          <w:tab w:val="left" w:pos="10656"/>
        </w:tabs>
        <w:rPr>
          <w:rFonts w:cs="Arial"/>
          <w:spacing w:val="-2"/>
        </w:rPr>
      </w:pPr>
      <w:r w:rsidRPr="0060581D">
        <w:rPr>
          <w:rFonts w:cs="Arial"/>
          <w:spacing w:val="-2"/>
        </w:rPr>
        <w:tab/>
        <w:t>GENERAL EXCHANGE TARIFF</w:t>
      </w:r>
      <w:r w:rsidRPr="0060581D">
        <w:rPr>
          <w:rFonts w:cs="Arial"/>
          <w:spacing w:val="-2"/>
        </w:rPr>
        <w:tab/>
      </w:r>
    </w:p>
    <w:p w:rsidR="00C51BA9" w:rsidRPr="0060581D" w:rsidRDefault="00C51BA9" w:rsidP="00C51BA9">
      <w:pPr>
        <w:tabs>
          <w:tab w:val="right" w:pos="9360"/>
        </w:tabs>
        <w:suppressAutoHyphens/>
        <w:jc w:val="both"/>
        <w:rPr>
          <w:rFonts w:cs="Arial"/>
          <w:spacing w:val="-2"/>
        </w:rPr>
      </w:pPr>
    </w:p>
    <w:tbl>
      <w:tblPr>
        <w:tblW w:w="10728" w:type="dxa"/>
        <w:tblLook w:val="04A0" w:firstRow="1" w:lastRow="0" w:firstColumn="1" w:lastColumn="0" w:noHBand="0" w:noVBand="1"/>
      </w:tblPr>
      <w:tblGrid>
        <w:gridCol w:w="9468"/>
        <w:gridCol w:w="1260"/>
      </w:tblGrid>
      <w:tr w:rsidR="00C51BA9" w:rsidRPr="0060581D" w:rsidTr="00AD2A23">
        <w:trPr>
          <w:trHeight w:val="11259"/>
        </w:trPr>
        <w:tc>
          <w:tcPr>
            <w:tcW w:w="9468" w:type="dxa"/>
          </w:tcPr>
          <w:p w:rsidR="00C51BA9" w:rsidRPr="0060581D" w:rsidRDefault="00C51BA9" w:rsidP="00566D06">
            <w:pPr>
              <w:tabs>
                <w:tab w:val="left" w:pos="-720"/>
              </w:tabs>
              <w:suppressAutoHyphens/>
              <w:jc w:val="center"/>
              <w:rPr>
                <w:rFonts w:cs="Arial"/>
                <w:spacing w:val="-2"/>
              </w:rPr>
            </w:pPr>
            <w:r w:rsidRPr="0060581D">
              <w:rPr>
                <w:rFonts w:cs="Arial"/>
                <w:spacing w:val="-2"/>
              </w:rPr>
              <w:t>SERVICE CHARGES</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u w:val="single"/>
              </w:rPr>
            </w:pPr>
            <w:r w:rsidRPr="0060581D">
              <w:rPr>
                <w:rFonts w:cs="Arial"/>
                <w:spacing w:val="-2"/>
              </w:rPr>
              <w:t>3.6</w:t>
            </w:r>
            <w:r w:rsidRPr="0060581D">
              <w:rPr>
                <w:rFonts w:cs="Arial"/>
                <w:spacing w:val="-2"/>
              </w:rPr>
              <w:tab/>
              <w:t>Restoration Charges</w:t>
            </w:r>
          </w:p>
          <w:p w:rsidR="00C51BA9" w:rsidRPr="0060581D" w:rsidRDefault="00C51BA9" w:rsidP="00566D06">
            <w:pPr>
              <w:tabs>
                <w:tab w:val="left" w:pos="-720"/>
              </w:tabs>
              <w:suppressAutoHyphens/>
              <w:jc w:val="both"/>
              <w:rPr>
                <w:rFonts w:cs="Arial"/>
                <w:spacing w:val="-2"/>
                <w:u w:val="single"/>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 xml:space="preserve">When the service of a customer has been temporarily denied for non-payment in accordance with Section </w:t>
            </w:r>
            <w:proofErr w:type="gramStart"/>
            <w:r w:rsidRPr="0060581D">
              <w:rPr>
                <w:rFonts w:cs="Arial"/>
                <w:spacing w:val="-2"/>
              </w:rPr>
              <w:t>1.2.9</w:t>
            </w:r>
            <w:proofErr w:type="gramEnd"/>
            <w:r w:rsidRPr="0060581D">
              <w:rPr>
                <w:rFonts w:cs="Arial"/>
                <w:spacing w:val="-2"/>
              </w:rPr>
              <w:t xml:space="preserve">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u w:val="single"/>
              </w:rPr>
            </w:pPr>
            <w:r w:rsidRPr="0060581D">
              <w:rPr>
                <w:rFonts w:cs="Arial"/>
                <w:spacing w:val="-2"/>
              </w:rPr>
              <w:t>3.7</w:t>
            </w:r>
            <w:r w:rsidRPr="0060581D">
              <w:rPr>
                <w:rFonts w:cs="Arial"/>
                <w:spacing w:val="-2"/>
              </w:rPr>
              <w:tab/>
              <w:t>Late Payment Charge</w:t>
            </w:r>
          </w:p>
          <w:p w:rsidR="00C51BA9" w:rsidRPr="0060581D" w:rsidRDefault="00C51BA9" w:rsidP="00566D06">
            <w:pPr>
              <w:tabs>
                <w:tab w:val="left" w:pos="-720"/>
              </w:tabs>
              <w:suppressAutoHyphens/>
              <w:jc w:val="both"/>
              <w:rPr>
                <w:rFonts w:cs="Arial"/>
                <w:spacing w:val="-2"/>
                <w:u w:val="single"/>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A late payment charge of $7.00 or 4%, whichever is greater, applies to each residence customer and $11.00 or 4%, whichever is greater, applies to each business customer when the previous month's bill has not been paid in full, leaving an unpaid balance carried forward.  The charge is applied to the total unpaid amount carried forward and is included in the total amount due on the current bill.</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 xml:space="preserve">A customer shall not be liable for any Late Payment Charge applicable to a disputed portion of that customer's bill, so long as the customer pays the undisputed portion of the bill and </w:t>
            </w:r>
            <w:proofErr w:type="gramStart"/>
            <w:r w:rsidRPr="0060581D">
              <w:rPr>
                <w:rFonts w:cs="Arial"/>
                <w:spacing w:val="-2"/>
              </w:rPr>
              <w:t>enters into</w:t>
            </w:r>
            <w:proofErr w:type="gramEnd"/>
            <w:r w:rsidRPr="0060581D">
              <w:rPr>
                <w:rFonts w:cs="Arial"/>
                <w:spacing w:val="-2"/>
              </w:rPr>
              <w:t xml:space="preserve"> bona fide negotiations to resolve the dispute.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0"/>
              </w:tabs>
              <w:suppressAutoHyphens/>
              <w:ind w:left="720" w:hanging="720"/>
              <w:jc w:val="both"/>
              <w:rPr>
                <w:rFonts w:cs="Arial"/>
                <w:spacing w:val="-2"/>
              </w:rPr>
            </w:pPr>
            <w:r w:rsidRPr="0060581D">
              <w:rPr>
                <w:rFonts w:cs="Arial"/>
                <w:spacing w:val="-2"/>
              </w:rPr>
              <w:tab/>
              <w:t>Agencies of the Federal government are exempt from the Late Payment Charge.</w:t>
            </w: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s>
              <w:suppressAutoHyphens/>
              <w:jc w:val="both"/>
              <w:rPr>
                <w:rFonts w:cs="Arial"/>
                <w:spacing w:val="-2"/>
              </w:rPr>
            </w:pPr>
          </w:p>
          <w:p w:rsidR="00C51BA9" w:rsidRPr="0060581D" w:rsidRDefault="00C51BA9" w:rsidP="00566D06">
            <w:pPr>
              <w:tabs>
                <w:tab w:val="left" w:pos="-720"/>
                <w:tab w:val="left" w:pos="1170"/>
                <w:tab w:val="decimal" w:pos="7560"/>
                <w:tab w:val="left" w:pos="9630"/>
              </w:tabs>
              <w:suppressAutoHyphens/>
              <w:jc w:val="both"/>
              <w:rPr>
                <w:rFonts w:cs="Arial"/>
                <w:spacing w:val="-2"/>
              </w:rPr>
            </w:pPr>
            <w:bookmarkStart w:id="0" w:name="_GoBack"/>
            <w:bookmarkEnd w:id="0"/>
          </w:p>
        </w:tc>
        <w:tc>
          <w:tcPr>
            <w:tcW w:w="1260" w:type="dxa"/>
          </w:tcPr>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left" w:pos="-720"/>
              </w:tabs>
              <w:suppressAutoHyphens/>
              <w:jc w:val="center"/>
              <w:rPr>
                <w:rFonts w:cs="Arial"/>
                <w:spacing w:val="-2"/>
              </w:rPr>
            </w:pPr>
          </w:p>
          <w:p w:rsidR="00C51BA9" w:rsidRPr="0060581D" w:rsidRDefault="00C51BA9" w:rsidP="00566D06">
            <w:pPr>
              <w:tabs>
                <w:tab w:val="right" w:pos="1060"/>
              </w:tabs>
              <w:suppressAutoHyphens/>
              <w:jc w:val="center"/>
              <w:rPr>
                <w:rFonts w:cs="Arial"/>
                <w:color w:val="000000"/>
                <w:spacing w:val="-2"/>
              </w:rPr>
            </w:pPr>
            <w:r w:rsidRPr="0060581D">
              <w:rPr>
                <w:rFonts w:cs="Arial"/>
                <w:color w:val="000000"/>
                <w:spacing w:val="-2"/>
              </w:rPr>
              <w:t>(D)</w:t>
            </w:r>
          </w:p>
          <w:p w:rsidR="00C51BA9" w:rsidRPr="0060581D" w:rsidRDefault="00C51BA9" w:rsidP="00566D06">
            <w:pPr>
              <w:tabs>
                <w:tab w:val="left" w:pos="-720"/>
                <w:tab w:val="bar" w:pos="537"/>
              </w:tabs>
              <w:suppressAutoHyphens/>
              <w:jc w:val="center"/>
              <w:rPr>
                <w:rFonts w:cs="Arial"/>
                <w:color w:val="000000"/>
                <w:spacing w:val="-2"/>
              </w:rPr>
            </w:pPr>
          </w:p>
          <w:p w:rsidR="00C51BA9" w:rsidRPr="0060581D" w:rsidRDefault="00C51BA9" w:rsidP="00566D06">
            <w:pPr>
              <w:tabs>
                <w:tab w:val="left" w:pos="-720"/>
                <w:tab w:val="bar" w:pos="537"/>
              </w:tabs>
              <w:suppressAutoHyphens/>
              <w:jc w:val="center"/>
              <w:rPr>
                <w:rFonts w:cs="Arial"/>
                <w:color w:val="000000"/>
                <w:spacing w:val="-2"/>
              </w:rPr>
            </w:pPr>
          </w:p>
          <w:p w:rsidR="00C51BA9" w:rsidRPr="0060581D" w:rsidRDefault="00C51BA9" w:rsidP="00566D06">
            <w:pPr>
              <w:tabs>
                <w:tab w:val="left" w:pos="-720"/>
                <w:tab w:val="bar" w:pos="537"/>
              </w:tabs>
              <w:suppressAutoHyphens/>
              <w:jc w:val="center"/>
              <w:rPr>
                <w:rFonts w:cs="Arial"/>
                <w:color w:val="000000"/>
                <w:spacing w:val="-2"/>
              </w:rPr>
            </w:pPr>
          </w:p>
          <w:p w:rsidR="00C51BA9" w:rsidRPr="0060581D" w:rsidRDefault="00C51BA9" w:rsidP="00566D06">
            <w:pPr>
              <w:tabs>
                <w:tab w:val="left" w:pos="-720"/>
                <w:tab w:val="bar" w:pos="537"/>
              </w:tabs>
              <w:suppressAutoHyphens/>
              <w:jc w:val="center"/>
              <w:rPr>
                <w:rFonts w:cs="Arial"/>
                <w:color w:val="000000"/>
                <w:spacing w:val="-2"/>
              </w:rPr>
            </w:pPr>
          </w:p>
          <w:p w:rsidR="00C51BA9" w:rsidRPr="0060581D" w:rsidRDefault="00C51BA9" w:rsidP="00566D06">
            <w:pPr>
              <w:tabs>
                <w:tab w:val="left" w:pos="-720"/>
                <w:tab w:val="right" w:pos="1060"/>
              </w:tabs>
              <w:suppressAutoHyphens/>
              <w:jc w:val="center"/>
              <w:rPr>
                <w:rFonts w:cs="Arial"/>
                <w:color w:val="000000"/>
                <w:spacing w:val="-2"/>
              </w:rPr>
            </w:pPr>
            <w:r w:rsidRPr="0060581D">
              <w:rPr>
                <w:rFonts w:cs="Arial"/>
                <w:color w:val="000000"/>
                <w:spacing w:val="-2"/>
              </w:rPr>
              <w:t>(D)</w:t>
            </w:r>
          </w:p>
          <w:p w:rsidR="00C51BA9" w:rsidRPr="0060581D" w:rsidRDefault="00C51BA9" w:rsidP="00566D06">
            <w:pPr>
              <w:tabs>
                <w:tab w:val="left" w:pos="-720"/>
                <w:tab w:val="right" w:pos="1060"/>
              </w:tabs>
              <w:suppressAutoHyphens/>
              <w:jc w:val="center"/>
              <w:rPr>
                <w:rFonts w:cs="Arial"/>
                <w:color w:val="000000"/>
                <w:spacing w:val="-2"/>
              </w:rPr>
            </w:pPr>
          </w:p>
        </w:tc>
      </w:tr>
    </w:tbl>
    <w:p w:rsidR="00C51BA9" w:rsidRPr="0060581D" w:rsidRDefault="00C51BA9" w:rsidP="00C51BA9">
      <w:pPr>
        <w:tabs>
          <w:tab w:val="right" w:pos="9360"/>
        </w:tabs>
        <w:ind w:right="-270"/>
        <w:rPr>
          <w:rFonts w:cs="Arial"/>
        </w:rPr>
      </w:pPr>
      <w:r w:rsidRPr="0060581D">
        <w:rPr>
          <w:rFonts w:cs="Arial"/>
        </w:rPr>
        <w:t>Issued:  January 27, 2017</w:t>
      </w:r>
      <w:r w:rsidRPr="0060581D">
        <w:rPr>
          <w:rFonts w:cs="Arial"/>
        </w:rPr>
        <w:tab/>
        <w:t>Effective:  March 1, 2017</w:t>
      </w:r>
    </w:p>
    <w:p w:rsidR="00C51BA9" w:rsidRPr="0060581D" w:rsidRDefault="00C51BA9" w:rsidP="00C51BA9">
      <w:pPr>
        <w:tabs>
          <w:tab w:val="right" w:pos="9360"/>
        </w:tabs>
        <w:ind w:right="-270"/>
        <w:rPr>
          <w:rFonts w:cs="Arial"/>
        </w:rPr>
      </w:pPr>
    </w:p>
    <w:p w:rsidR="00C51BA9" w:rsidRPr="0060581D" w:rsidRDefault="00C51BA9" w:rsidP="00C51BA9">
      <w:pPr>
        <w:tabs>
          <w:tab w:val="right" w:pos="9360"/>
        </w:tabs>
        <w:ind w:right="-270"/>
        <w:rPr>
          <w:rFonts w:cs="Arial"/>
        </w:rPr>
      </w:pPr>
      <w:r w:rsidRPr="0060581D">
        <w:rPr>
          <w:rFonts w:cs="Arial"/>
        </w:rPr>
        <w:t>CenturyTel of Ohio, Inc. d/b/a CenturyLink</w:t>
      </w:r>
      <w:r w:rsidRPr="0060581D">
        <w:rPr>
          <w:rFonts w:cs="Arial"/>
        </w:rPr>
        <w:tab/>
      </w:r>
      <w:proofErr w:type="gramStart"/>
      <w:r w:rsidRPr="0060581D">
        <w:rPr>
          <w:rFonts w:cs="Arial"/>
        </w:rPr>
        <w:t>In</w:t>
      </w:r>
      <w:proofErr w:type="gramEnd"/>
      <w:r w:rsidRPr="0060581D">
        <w:rPr>
          <w:rFonts w:cs="Arial"/>
        </w:rPr>
        <w:t xml:space="preserve"> accordance with Case Nos.: 90-5010-TP-TRF</w:t>
      </w:r>
    </w:p>
    <w:p w:rsidR="00C51BA9" w:rsidRPr="0060581D" w:rsidRDefault="00C51BA9" w:rsidP="00C51BA9">
      <w:pPr>
        <w:tabs>
          <w:tab w:val="right" w:pos="9360"/>
        </w:tabs>
        <w:ind w:right="-270"/>
        <w:rPr>
          <w:rFonts w:cs="Arial"/>
        </w:rPr>
      </w:pPr>
      <w:r w:rsidRPr="0060581D">
        <w:t>By Bill Hanchey, Vice President</w:t>
      </w:r>
      <w:r w:rsidRPr="0060581D">
        <w:rPr>
          <w:rFonts w:cs="Arial"/>
        </w:rPr>
        <w:tab/>
        <w:t>and 17-0227-TP-ATA</w:t>
      </w:r>
    </w:p>
    <w:p w:rsidR="00C51BA9" w:rsidRPr="0060581D" w:rsidRDefault="00C51BA9" w:rsidP="00C51BA9">
      <w:pPr>
        <w:tabs>
          <w:tab w:val="right" w:pos="9360"/>
        </w:tabs>
        <w:ind w:right="-270"/>
        <w:rPr>
          <w:rFonts w:cs="Arial"/>
        </w:rPr>
      </w:pPr>
      <w:r w:rsidRPr="0060581D">
        <w:rPr>
          <w:rFonts w:cs="Arial"/>
        </w:rPr>
        <w:t>Wake Forest, North Carolina</w:t>
      </w:r>
      <w:r w:rsidRPr="0060581D">
        <w:rPr>
          <w:rFonts w:cs="Arial"/>
        </w:rPr>
        <w:tab/>
        <w:t>Issued by the Public Utilities Commission of Ohio</w:t>
      </w:r>
    </w:p>
    <w:p w:rsidR="00DA384C" w:rsidRDefault="00AD2A23"/>
    <w:sectPr w:rsidR="00DA384C" w:rsidSect="00C51B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1BA9"/>
    <w:rsid w:val="00096DD4"/>
    <w:rsid w:val="006332CD"/>
    <w:rsid w:val="007E46AA"/>
    <w:rsid w:val="00841736"/>
    <w:rsid w:val="009B3045"/>
    <w:rsid w:val="00A3568F"/>
    <w:rsid w:val="00AD2A23"/>
    <w:rsid w:val="00BB0DCB"/>
    <w:rsid w:val="00C5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BAEDC-3106-4028-8C36-1468958A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BA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Debra A</dc:creator>
  <cp:keywords/>
  <dc:description/>
  <cp:lastModifiedBy>Levy, Debra A</cp:lastModifiedBy>
  <cp:revision>5</cp:revision>
  <dcterms:created xsi:type="dcterms:W3CDTF">2018-12-10T15:55:00Z</dcterms:created>
  <dcterms:modified xsi:type="dcterms:W3CDTF">2018-12-10T21:50:00Z</dcterms:modified>
</cp:coreProperties>
</file>