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C4DB5" w:rsidRPr="00E061E2" w:rsidP="00AC4DB5" w14:paraId="165FC724" w14:textId="77777777">
      <w:pPr>
        <w:pStyle w:val="HTMLPreformatted"/>
        <w:jc w:val="center"/>
        <w:rPr>
          <w:rFonts w:ascii="Times New Roman" w:hAnsi="Times New Roman" w:cs="Times New Roman"/>
          <w:b/>
          <w:bCs/>
          <w:sz w:val="24"/>
          <w:szCs w:val="24"/>
        </w:rPr>
      </w:pPr>
      <w:bookmarkStart w:id="0" w:name="_Hlk141355455"/>
      <w:r w:rsidRPr="00E061E2">
        <w:rPr>
          <w:rFonts w:ascii="Times New Roman" w:hAnsi="Times New Roman" w:cs="Times New Roman"/>
          <w:b/>
          <w:bCs/>
          <w:sz w:val="24"/>
          <w:szCs w:val="24"/>
        </w:rPr>
        <w:t>BEFORE</w:t>
      </w:r>
    </w:p>
    <w:p w:rsidR="00AC4DB5" w:rsidRPr="00E061E2" w:rsidP="00AC4DB5" w14:paraId="73677CBA" w14:textId="77777777">
      <w:pPr>
        <w:pStyle w:val="HTMLPreformatted"/>
        <w:jc w:val="center"/>
        <w:rPr>
          <w:rFonts w:ascii="Times New Roman" w:hAnsi="Times New Roman" w:cs="Times New Roman"/>
          <w:sz w:val="24"/>
          <w:szCs w:val="24"/>
        </w:rPr>
      </w:pPr>
      <w:r w:rsidRPr="00E061E2">
        <w:rPr>
          <w:rFonts w:ascii="Times New Roman" w:hAnsi="Times New Roman" w:cs="Times New Roman"/>
          <w:b/>
          <w:bCs/>
          <w:sz w:val="24"/>
          <w:szCs w:val="24"/>
        </w:rPr>
        <w:t>THE PUBLIC UTILITIES COMMISSION OF OHIO</w:t>
      </w:r>
    </w:p>
    <w:p w:rsidR="00AC4DB5" w:rsidRPr="00E061E2" w:rsidP="00AC4DB5" w14:paraId="6428E4CD" w14:textId="77777777">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14:paraId="67067B9D" w14:textId="77777777" w:rsidTr="00C7505D">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C4DB5" w:rsidP="00C7505D" w14:paraId="0FDE88C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 xml:space="preserve">In the Matter of the Application of </w:t>
            </w:r>
          </w:p>
          <w:p w:rsidR="00AC4DB5" w:rsidP="00C7505D" w14:paraId="09323765" w14:textId="7EAB7F0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Aqua Ohio</w:t>
            </w:r>
            <w:r w:rsidR="0021336D">
              <w:rPr>
                <w:rFonts w:ascii="Times New Roman" w:eastAsia="Times New Roman" w:hAnsi="Times New Roman" w:cs="Times New Roman"/>
                <w:kern w:val="0"/>
                <w:sz w:val="24"/>
                <w:szCs w:val="24"/>
                <w:lang w:val="en-US" w:eastAsia="en-US" w:bidi="ar-SA"/>
                <w14:ligatures w14:val="none"/>
              </w:rPr>
              <w:t xml:space="preserve"> Wastewater</w:t>
            </w:r>
            <w:r>
              <w:rPr>
                <w:rFonts w:ascii="Times New Roman" w:eastAsia="Times New Roman" w:hAnsi="Times New Roman" w:cs="Times New Roman"/>
                <w:kern w:val="0"/>
                <w:sz w:val="24"/>
                <w:szCs w:val="24"/>
                <w:lang w:val="en-US" w:eastAsia="en-US" w:bidi="ar-SA"/>
                <w14:ligatures w14:val="none"/>
              </w:rPr>
              <w:t xml:space="preserve">, Inc., to Increase its Rates and Charges for its </w:t>
            </w:r>
            <w:r w:rsidR="0021336D">
              <w:rPr>
                <w:rFonts w:ascii="Times New Roman" w:eastAsia="Times New Roman" w:hAnsi="Times New Roman" w:cs="Times New Roman"/>
                <w:kern w:val="0"/>
                <w:sz w:val="24"/>
                <w:szCs w:val="24"/>
                <w:lang w:val="en-US" w:eastAsia="en-US" w:bidi="ar-SA"/>
                <w14:ligatures w14:val="none"/>
              </w:rPr>
              <w:t>Wastew</w:t>
            </w:r>
            <w:r>
              <w:rPr>
                <w:rFonts w:ascii="Times New Roman" w:eastAsia="Times New Roman" w:hAnsi="Times New Roman" w:cs="Times New Roman"/>
                <w:kern w:val="0"/>
                <w:sz w:val="24"/>
                <w:szCs w:val="24"/>
                <w:lang w:val="en-US" w:eastAsia="en-US" w:bidi="ar-SA"/>
                <w14:ligatures w14:val="none"/>
              </w:rPr>
              <w:t>ater Service.</w:t>
            </w:r>
          </w:p>
          <w:p w:rsidR="00AC4DB5" w:rsidRPr="00E061E2" w:rsidP="00C7505D" w14:paraId="6683D86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tc>
        <w:tc>
          <w:tcPr>
            <w:tcW w:w="360" w:type="dxa"/>
            <w:shd w:val="clear" w:color="auto" w:fill="auto"/>
          </w:tcPr>
          <w:p w:rsidR="00AC4DB5" w:rsidRPr="00E061E2" w:rsidP="00C7505D" w14:paraId="6B1303B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w:t>
            </w:r>
          </w:p>
          <w:p w:rsidR="00AC4DB5" w:rsidRPr="00E061E2" w:rsidP="00C7505D" w14:paraId="5383A60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w:t>
            </w:r>
          </w:p>
          <w:p w:rsidR="00AC4DB5" w:rsidP="00C7505D" w14:paraId="7C854D4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w:t>
            </w:r>
          </w:p>
          <w:p w:rsidR="0021336D" w:rsidP="00C7505D" w14:paraId="7D6F8FAF" w14:textId="3BE82D2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w:t>
            </w:r>
          </w:p>
          <w:p w:rsidR="00AC4DB5" w:rsidRPr="00E061E2" w:rsidP="00C7505D" w14:paraId="20F1BA5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tc>
        <w:tc>
          <w:tcPr>
            <w:tcW w:w="4400" w:type="dxa"/>
            <w:shd w:val="clear" w:color="auto" w:fill="auto"/>
          </w:tcPr>
          <w:p w:rsidR="00AC4DB5" w:rsidRPr="00E061E2" w:rsidP="00C7505D" w14:paraId="74865BA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p w:rsidR="00AC4DB5" w:rsidRPr="00E061E2" w:rsidP="00C7505D" w14:paraId="61779493" w14:textId="56347E3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Case No. 2</w:t>
            </w:r>
            <w:r>
              <w:rPr>
                <w:rFonts w:ascii="Times New Roman" w:eastAsia="Times New Roman" w:hAnsi="Times New Roman" w:cs="Times New Roman"/>
                <w:kern w:val="0"/>
                <w:sz w:val="24"/>
                <w:szCs w:val="24"/>
                <w:lang w:val="en-US" w:eastAsia="en-US" w:bidi="ar-SA"/>
                <w14:ligatures w14:val="none"/>
              </w:rPr>
              <w:t>2-109</w:t>
            </w:r>
            <w:r w:rsidR="0021336D">
              <w:rPr>
                <w:rFonts w:ascii="Times New Roman" w:eastAsia="Times New Roman" w:hAnsi="Times New Roman" w:cs="Times New Roman"/>
                <w:kern w:val="0"/>
                <w:sz w:val="24"/>
                <w:szCs w:val="24"/>
                <w:lang w:val="en-US" w:eastAsia="en-US" w:bidi="ar-SA"/>
                <w14:ligatures w14:val="none"/>
              </w:rPr>
              <w:t>6</w:t>
            </w:r>
            <w:r>
              <w:rPr>
                <w:rFonts w:ascii="Times New Roman" w:eastAsia="Times New Roman" w:hAnsi="Times New Roman" w:cs="Times New Roman"/>
                <w:kern w:val="0"/>
                <w:sz w:val="24"/>
                <w:szCs w:val="24"/>
                <w:lang w:val="en-US" w:eastAsia="en-US" w:bidi="ar-SA"/>
                <w14:ligatures w14:val="none"/>
              </w:rPr>
              <w:t>-</w:t>
            </w:r>
            <w:r w:rsidR="0021336D">
              <w:rPr>
                <w:rFonts w:ascii="Times New Roman" w:eastAsia="Times New Roman" w:hAnsi="Times New Roman" w:cs="Times New Roman"/>
                <w:kern w:val="0"/>
                <w:sz w:val="24"/>
                <w:szCs w:val="24"/>
                <w:lang w:val="en-US" w:eastAsia="en-US" w:bidi="ar-SA"/>
                <w14:ligatures w14:val="none"/>
              </w:rPr>
              <w:t>ST</w:t>
            </w:r>
            <w:r>
              <w:rPr>
                <w:rFonts w:ascii="Times New Roman" w:eastAsia="Times New Roman" w:hAnsi="Times New Roman" w:cs="Times New Roman"/>
                <w:kern w:val="0"/>
                <w:sz w:val="24"/>
                <w:szCs w:val="24"/>
                <w:lang w:val="en-US" w:eastAsia="en-US" w:bidi="ar-SA"/>
                <w14:ligatures w14:val="none"/>
              </w:rPr>
              <w:t>-AIR</w:t>
            </w:r>
          </w:p>
          <w:p w:rsidR="00AC4DB5" w:rsidP="00C7505D" w14:paraId="438BA32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p w:rsidR="00AC4DB5" w:rsidRPr="00E061E2" w:rsidP="00C7505D" w14:paraId="5EFE90D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tc>
      </w:tr>
    </w:tbl>
    <w:p w:rsidR="00AC4DB5" w:rsidRPr="00E061E2" w:rsidP="00AC4DB5" w14:paraId="7EC12021" w14:textId="77777777">
      <w:pPr>
        <w:pStyle w:val="HTMLPreformatted"/>
        <w:rPr>
          <w:rFonts w:ascii="Times New Roman" w:hAnsi="Times New Roman" w:cs="Times New Roman"/>
          <w:sz w:val="24"/>
          <w:szCs w:val="24"/>
        </w:rPr>
      </w:pPr>
    </w:p>
    <w:p w:rsidR="00AC4DB5" w:rsidP="00AC4DB5" w14:paraId="51FA99FB" w14:textId="77777777">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p>
    <w:p w:rsidR="00AC4DB5" w:rsidP="00AC4DB5" w14:paraId="15F2261A" w14:textId="77777777">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OBJECTIONS TO THE PUCO STAFF REPORT</w:t>
      </w:r>
    </w:p>
    <w:p w:rsidR="00AC4DB5" w:rsidP="00AC4DB5" w14:paraId="05AC66DA" w14:textId="77777777">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BY </w:t>
      </w:r>
    </w:p>
    <w:p w:rsidR="00AC4DB5" w:rsidRPr="00E061E2" w:rsidP="00AC4DB5" w14:paraId="41F25D89" w14:textId="77777777">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OFFICE OF THE OHIO CONSUMERS’ COUNSEL</w:t>
      </w:r>
    </w:p>
    <w:p w:rsidR="00AC4DB5" w:rsidRPr="00E061E2" w:rsidP="00AC4DB5" w14:paraId="09FB2E49" w14:textId="77777777">
      <w:pPr>
        <w:pBdr>
          <w:bottom w:val="single" w:sz="12" w:space="1" w:color="auto"/>
        </w:pBdr>
        <w:tabs>
          <w:tab w:val="left" w:pos="-720"/>
        </w:tabs>
        <w:suppressAutoHyphens/>
        <w:jc w:val="center"/>
        <w:rPr>
          <w:rFonts w:ascii="Times New Roman" w:hAnsi="Times New Roman" w:cs="Times New Roman"/>
          <w:b/>
          <w:bCs/>
          <w:spacing w:val="-3"/>
          <w:sz w:val="24"/>
          <w:szCs w:val="24"/>
        </w:rPr>
      </w:pPr>
    </w:p>
    <w:p w:rsidR="00C7245A" w:rsidP="00C7245A" w14:paraId="0C7D782B" w14:textId="77777777">
      <w:pPr>
        <w:pStyle w:val="Footer"/>
        <w:tabs>
          <w:tab w:val="left" w:pos="4320"/>
        </w:tabs>
        <w:ind w:left="4320"/>
        <w:rPr>
          <w:rFonts w:ascii="Times New Roman" w:hAnsi="Times New Roman" w:cs="Times New Roman"/>
          <w:sz w:val="24"/>
          <w:szCs w:val="24"/>
        </w:rPr>
      </w:pPr>
    </w:p>
    <w:p w:rsidR="00C7245A" w:rsidP="00C7245A" w14:paraId="408A1AA9" w14:textId="77777777">
      <w:pPr>
        <w:pStyle w:val="Footer"/>
        <w:tabs>
          <w:tab w:val="left" w:pos="4320"/>
        </w:tabs>
        <w:ind w:left="4320"/>
        <w:rPr>
          <w:rFonts w:ascii="Times New Roman" w:hAnsi="Times New Roman" w:cs="Times New Roman"/>
          <w:sz w:val="24"/>
          <w:szCs w:val="24"/>
        </w:rPr>
      </w:pPr>
    </w:p>
    <w:p w:rsidR="00C7245A" w:rsidP="00C7245A" w14:paraId="28C443AC" w14:textId="77777777">
      <w:pPr>
        <w:pStyle w:val="Footer"/>
        <w:tabs>
          <w:tab w:val="left" w:pos="4320"/>
        </w:tabs>
        <w:ind w:left="4320"/>
        <w:rPr>
          <w:rFonts w:ascii="Times New Roman" w:hAnsi="Times New Roman" w:cs="Times New Roman"/>
          <w:sz w:val="24"/>
          <w:szCs w:val="24"/>
        </w:rPr>
      </w:pPr>
    </w:p>
    <w:p w:rsidR="00C7245A" w:rsidP="00C7245A" w14:paraId="14468CCF" w14:textId="77777777">
      <w:pPr>
        <w:pStyle w:val="Footer"/>
        <w:tabs>
          <w:tab w:val="left" w:pos="4320"/>
        </w:tabs>
        <w:ind w:left="4320"/>
        <w:rPr>
          <w:rFonts w:ascii="Times New Roman" w:hAnsi="Times New Roman" w:cs="Times New Roman"/>
          <w:sz w:val="24"/>
          <w:szCs w:val="24"/>
        </w:rPr>
      </w:pPr>
    </w:p>
    <w:p w:rsidR="00C7245A" w:rsidRPr="004875DB" w:rsidP="00C7245A" w14:paraId="2802074E" w14:textId="0C64DB87">
      <w:pPr>
        <w:pStyle w:val="Footer"/>
        <w:tabs>
          <w:tab w:val="left" w:pos="4320"/>
        </w:tabs>
        <w:ind w:left="4320"/>
        <w:rPr>
          <w:rFonts w:ascii="Times New Roman" w:hAnsi="Times New Roman" w:cs="Times New Roman"/>
          <w:sz w:val="24"/>
          <w:szCs w:val="24"/>
        </w:rPr>
      </w:pPr>
      <w:r w:rsidRPr="004875DB">
        <w:rPr>
          <w:rFonts w:ascii="Times New Roman" w:hAnsi="Times New Roman" w:cs="Times New Roman"/>
          <w:sz w:val="24"/>
          <w:szCs w:val="24"/>
        </w:rPr>
        <w:t>Bruce Weston (0016973)</w:t>
      </w:r>
    </w:p>
    <w:p w:rsidR="00C7245A" w:rsidRPr="004875DB" w:rsidP="00C7245A" w14:paraId="70DEF507" w14:textId="77777777">
      <w:pPr>
        <w:pStyle w:val="ListParagraph"/>
        <w:tabs>
          <w:tab w:val="left" w:pos="4320"/>
        </w:tabs>
        <w:ind w:left="4320"/>
        <w:rPr>
          <w:rFonts w:ascii="Times New Roman" w:hAnsi="Times New Roman" w:cs="Times New Roman"/>
          <w:sz w:val="24"/>
          <w:szCs w:val="24"/>
        </w:rPr>
      </w:pPr>
      <w:r w:rsidRPr="004875DB">
        <w:rPr>
          <w:rFonts w:ascii="Times New Roman" w:hAnsi="Times New Roman" w:cs="Times New Roman"/>
          <w:sz w:val="24"/>
          <w:szCs w:val="24"/>
        </w:rPr>
        <w:t>Ohio Consumers’ Counsel</w:t>
      </w:r>
    </w:p>
    <w:p w:rsidR="00C7245A" w:rsidRPr="004875DB" w:rsidP="00C7245A" w14:paraId="346B0880" w14:textId="77777777">
      <w:pPr>
        <w:pStyle w:val="ListParagraph"/>
        <w:tabs>
          <w:tab w:val="left" w:pos="4320"/>
        </w:tabs>
        <w:ind w:left="4320"/>
        <w:rPr>
          <w:rFonts w:ascii="Times New Roman" w:hAnsi="Times New Roman" w:cs="Times New Roman"/>
          <w:sz w:val="24"/>
          <w:szCs w:val="24"/>
        </w:rPr>
      </w:pPr>
      <w:r w:rsidRPr="004875DB">
        <w:rPr>
          <w:rFonts w:ascii="Times New Roman" w:hAnsi="Times New Roman" w:cs="Times New Roman"/>
          <w:sz w:val="24"/>
          <w:szCs w:val="24"/>
        </w:rPr>
        <w:tab/>
      </w:r>
    </w:p>
    <w:p w:rsidR="00C7245A" w:rsidRPr="004875DB" w:rsidP="00C7245A" w14:paraId="5C4B465D"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Angela D. O’Brien (0097579)</w:t>
      </w:r>
    </w:p>
    <w:p w:rsidR="00C7245A" w:rsidRPr="004875DB" w:rsidP="00C7245A" w14:paraId="4ED73407"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Counsel of Record</w:t>
      </w:r>
    </w:p>
    <w:p w:rsidR="00C7245A" w:rsidRPr="004875DB" w:rsidP="00C7245A" w14:paraId="30F3CD01"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Deputy Consumers’ Counsel</w:t>
      </w:r>
    </w:p>
    <w:p w:rsidR="00C7245A" w:rsidRPr="004875DB" w:rsidP="00C7245A" w14:paraId="140C7EC0"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Connor Semple (0101102)</w:t>
      </w:r>
    </w:p>
    <w:p w:rsidR="00C7245A" w:rsidRPr="004875DB" w:rsidP="00C7245A" w14:paraId="3E6747FE" w14:textId="77777777">
      <w:pPr>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Donald J. Kral (0042091)</w:t>
      </w:r>
    </w:p>
    <w:p w:rsidR="00C7245A" w:rsidRPr="004875DB" w:rsidP="00C7245A" w14:paraId="1B41B69D"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Assistant Consumers Counsel</w:t>
      </w:r>
    </w:p>
    <w:p w:rsidR="00C7245A" w:rsidRPr="004875DB" w:rsidP="00C7245A" w14:paraId="4307689F" w14:textId="77777777">
      <w:pPr>
        <w:pStyle w:val="ListParagraph"/>
        <w:tabs>
          <w:tab w:val="left" w:pos="4320"/>
        </w:tabs>
        <w:ind w:left="4320"/>
        <w:rPr>
          <w:rFonts w:ascii="Times New Roman" w:hAnsi="Times New Roman" w:cs="Times New Roman"/>
          <w:sz w:val="24"/>
          <w:szCs w:val="24"/>
        </w:rPr>
      </w:pPr>
    </w:p>
    <w:p w:rsidR="00C7245A" w:rsidRPr="004875DB" w:rsidP="00C7245A" w14:paraId="0E456F76" w14:textId="77777777">
      <w:pPr>
        <w:pStyle w:val="ListParagraph"/>
        <w:tabs>
          <w:tab w:val="left" w:pos="4320"/>
        </w:tabs>
        <w:spacing w:after="0"/>
        <w:ind w:left="4320"/>
        <w:rPr>
          <w:rFonts w:ascii="Times New Roman" w:hAnsi="Times New Roman" w:cs="Times New Roman"/>
          <w:b/>
          <w:bCs/>
          <w:sz w:val="24"/>
          <w:szCs w:val="24"/>
        </w:rPr>
      </w:pPr>
      <w:r w:rsidRPr="004875DB">
        <w:rPr>
          <w:rFonts w:ascii="Times New Roman" w:hAnsi="Times New Roman" w:cs="Times New Roman"/>
          <w:b/>
          <w:bCs/>
          <w:sz w:val="24"/>
          <w:szCs w:val="24"/>
        </w:rPr>
        <w:t>Office of the Ohio Consumers’ Counsel</w:t>
      </w:r>
    </w:p>
    <w:p w:rsidR="00C7245A" w:rsidRPr="004875DB" w:rsidP="00C7245A" w14:paraId="18D1B139" w14:textId="77777777">
      <w:pPr>
        <w:spacing w:after="0"/>
        <w:ind w:left="4320"/>
        <w:rPr>
          <w:rFonts w:ascii="Times New Roman" w:hAnsi="Times New Roman" w:cs="Times New Roman"/>
          <w:sz w:val="24"/>
          <w:szCs w:val="24"/>
        </w:rPr>
      </w:pPr>
      <w:r w:rsidRPr="004875DB">
        <w:rPr>
          <w:rFonts w:ascii="Times New Roman" w:hAnsi="Times New Roman" w:cs="Times New Roman"/>
          <w:sz w:val="24"/>
          <w:szCs w:val="24"/>
        </w:rPr>
        <w:t>65 East State Street, Suite 700</w:t>
      </w:r>
    </w:p>
    <w:p w:rsidR="00C7245A" w:rsidRPr="004875DB" w:rsidP="00C7245A" w14:paraId="3F88A9C1" w14:textId="77777777">
      <w:pPr>
        <w:spacing w:after="0"/>
        <w:ind w:left="4320"/>
        <w:rPr>
          <w:rFonts w:ascii="Times New Roman" w:hAnsi="Times New Roman" w:cs="Times New Roman"/>
          <w:sz w:val="24"/>
          <w:szCs w:val="24"/>
        </w:rPr>
      </w:pPr>
      <w:r w:rsidRPr="004875DB">
        <w:rPr>
          <w:rFonts w:ascii="Times New Roman" w:hAnsi="Times New Roman" w:cs="Times New Roman"/>
          <w:sz w:val="24"/>
          <w:szCs w:val="24"/>
        </w:rPr>
        <w:t>Columbus, Ohio 43215</w:t>
      </w:r>
    </w:p>
    <w:p w:rsidR="00C7245A" w:rsidRPr="004875DB" w:rsidP="00C7245A" w14:paraId="78E526FA" w14:textId="77777777">
      <w:pPr>
        <w:autoSpaceDE w:val="0"/>
        <w:autoSpaceDN w:val="0"/>
        <w:adjustRightInd w:val="0"/>
        <w:spacing w:after="0"/>
        <w:ind w:left="3600" w:firstLine="720"/>
        <w:rPr>
          <w:rFonts w:ascii="Times New Roman" w:hAnsi="Times New Roman" w:cs="Times New Roman"/>
          <w:sz w:val="24"/>
          <w:szCs w:val="24"/>
        </w:rPr>
      </w:pPr>
      <w:r w:rsidRPr="004875DB">
        <w:rPr>
          <w:rFonts w:ascii="Times New Roman" w:hAnsi="Times New Roman" w:cs="Times New Roman"/>
          <w:sz w:val="24"/>
          <w:szCs w:val="24"/>
        </w:rPr>
        <w:t>Telephone [O’Brien] (614) 466-9531</w:t>
      </w:r>
    </w:p>
    <w:p w:rsidR="00C7245A" w:rsidRPr="004875DB" w:rsidP="00C7245A" w14:paraId="0A154B2C" w14:textId="77777777">
      <w:pPr>
        <w:autoSpaceDE w:val="0"/>
        <w:autoSpaceDN w:val="0"/>
        <w:adjustRightInd w:val="0"/>
        <w:spacing w:after="0"/>
        <w:ind w:left="3600" w:firstLine="720"/>
        <w:rPr>
          <w:rFonts w:ascii="Times New Roman" w:hAnsi="Times New Roman" w:cs="Times New Roman"/>
          <w:sz w:val="24"/>
          <w:szCs w:val="24"/>
        </w:rPr>
      </w:pPr>
      <w:r w:rsidRPr="004875DB">
        <w:rPr>
          <w:rFonts w:ascii="Times New Roman" w:hAnsi="Times New Roman" w:cs="Times New Roman"/>
          <w:sz w:val="24"/>
          <w:szCs w:val="24"/>
        </w:rPr>
        <w:t>Telephone [Semple] (614) 466-9565</w:t>
      </w:r>
    </w:p>
    <w:p w:rsidR="00C7245A" w:rsidRPr="004875DB" w:rsidP="00C7245A" w14:paraId="6DF17E52" w14:textId="77777777">
      <w:pPr>
        <w:autoSpaceDE w:val="0"/>
        <w:autoSpaceDN w:val="0"/>
        <w:adjustRightInd w:val="0"/>
        <w:spacing w:after="0"/>
        <w:ind w:left="3600" w:firstLine="720"/>
        <w:contextualSpacing/>
        <w:rPr>
          <w:rFonts w:ascii="Times New Roman" w:hAnsi="Times New Roman" w:cs="Times New Roman"/>
          <w:sz w:val="24"/>
          <w:szCs w:val="24"/>
          <w:lang w:bidi="en-US"/>
        </w:rPr>
      </w:pPr>
      <w:r w:rsidRPr="004875DB">
        <w:rPr>
          <w:rFonts w:ascii="Times New Roman" w:hAnsi="Times New Roman" w:cs="Times New Roman"/>
          <w:sz w:val="24"/>
          <w:szCs w:val="24"/>
          <w:lang w:bidi="en-US"/>
        </w:rPr>
        <w:t>Telephone [Kral]: (614) 466-9571</w:t>
      </w:r>
    </w:p>
    <w:p w:rsidR="00C7245A" w:rsidRPr="004875DB" w:rsidP="00C7245A" w14:paraId="6487F77D" w14:textId="77777777">
      <w:pPr>
        <w:autoSpaceDE w:val="0"/>
        <w:autoSpaceDN w:val="0"/>
        <w:adjustRightInd w:val="0"/>
        <w:spacing w:after="0"/>
        <w:ind w:left="3600" w:firstLine="720"/>
        <w:rPr>
          <w:rFonts w:ascii="Times New Roman" w:hAnsi="Times New Roman" w:cs="Times New Roman"/>
          <w:sz w:val="24"/>
          <w:szCs w:val="24"/>
        </w:rPr>
      </w:pPr>
      <w:hyperlink r:id="rId6" w:history="1">
        <w:r w:rsidRPr="004875DB">
          <w:rPr>
            <w:rStyle w:val="Hyperlink"/>
            <w:rFonts w:ascii="Times New Roman" w:hAnsi="Times New Roman" w:cs="Times New Roman"/>
            <w:sz w:val="24"/>
            <w:szCs w:val="24"/>
          </w:rPr>
          <w:t>angela.obrien@occ.ohio.gov</w:t>
        </w:r>
      </w:hyperlink>
    </w:p>
    <w:p w:rsidR="00C7245A" w:rsidRPr="004875DB" w:rsidP="00C7245A" w14:paraId="4F2E5F3C" w14:textId="77777777">
      <w:pPr>
        <w:autoSpaceDE w:val="0"/>
        <w:autoSpaceDN w:val="0"/>
        <w:adjustRightInd w:val="0"/>
        <w:spacing w:after="0"/>
        <w:ind w:left="3600" w:firstLine="720"/>
        <w:rPr>
          <w:rStyle w:val="Hyperlink"/>
          <w:rFonts w:ascii="Times New Roman" w:hAnsi="Times New Roman" w:cs="Times New Roman"/>
          <w:sz w:val="24"/>
          <w:szCs w:val="24"/>
        </w:rPr>
      </w:pPr>
      <w:hyperlink r:id="rId7" w:history="1">
        <w:r w:rsidRPr="004875DB">
          <w:rPr>
            <w:rStyle w:val="Hyperlink"/>
            <w:rFonts w:ascii="Times New Roman" w:hAnsi="Times New Roman" w:cs="Times New Roman"/>
            <w:sz w:val="24"/>
            <w:szCs w:val="24"/>
          </w:rPr>
          <w:t>connor.semple@occ.ohio.gov</w:t>
        </w:r>
      </w:hyperlink>
    </w:p>
    <w:p w:rsidR="00C7245A" w:rsidRPr="004875DB" w:rsidP="00C7245A" w14:paraId="41085F0F" w14:textId="77777777">
      <w:pPr>
        <w:spacing w:after="0"/>
        <w:ind w:left="4320"/>
        <w:rPr>
          <w:rFonts w:ascii="Times New Roman" w:hAnsi="Times New Roman" w:cs="Times New Roman"/>
          <w:sz w:val="24"/>
          <w:szCs w:val="24"/>
        </w:rPr>
      </w:pPr>
      <w:hyperlink r:id="rId8" w:history="1">
        <w:r w:rsidRPr="004875DB">
          <w:rPr>
            <w:rStyle w:val="Hyperlink"/>
            <w:rFonts w:ascii="Times New Roman" w:hAnsi="Times New Roman" w:cs="Times New Roman"/>
            <w:sz w:val="24"/>
            <w:szCs w:val="24"/>
            <w:lang w:bidi="en-US"/>
          </w:rPr>
          <w:t>donald.kral@occ.ohio.gov</w:t>
        </w:r>
      </w:hyperlink>
    </w:p>
    <w:p w:rsidR="00C7245A" w:rsidRPr="004875DB" w:rsidP="00C7245A" w14:paraId="79338941" w14:textId="77777777">
      <w:pPr>
        <w:autoSpaceDE w:val="0"/>
        <w:autoSpaceDN w:val="0"/>
        <w:adjustRightInd w:val="0"/>
        <w:spacing w:after="0"/>
        <w:ind w:left="3600" w:firstLine="720"/>
        <w:rPr>
          <w:rFonts w:ascii="Times New Roman" w:hAnsi="Times New Roman" w:cs="Times New Roman"/>
          <w:sz w:val="24"/>
          <w:szCs w:val="24"/>
        </w:rPr>
      </w:pPr>
      <w:r w:rsidRPr="004875DB">
        <w:rPr>
          <w:rFonts w:ascii="Times New Roman" w:hAnsi="Times New Roman" w:cs="Times New Roman"/>
          <w:sz w:val="24"/>
          <w:szCs w:val="24"/>
        </w:rPr>
        <w:t>(willing to accept service by e-mail)</w:t>
      </w:r>
    </w:p>
    <w:p w:rsidR="00AC4DB5" w:rsidP="006A70BC" w14:paraId="1DE6933E" w14:textId="77777777">
      <w:pPr>
        <w:pStyle w:val="Heading1"/>
        <w:numPr>
          <w:ilvl w:val="0"/>
          <w:numId w:val="0"/>
        </w:numPr>
        <w:ind w:left="720"/>
      </w:pPr>
    </w:p>
    <w:p w:rsidR="00AC4DB5" w:rsidP="00AC4DB5" w14:paraId="175A0228" w14:textId="77777777">
      <w:pPr>
        <w:rPr>
          <w:lang w:eastAsia="en-US"/>
        </w:rPr>
      </w:pPr>
    </w:p>
    <w:p w:rsidR="00AC4DB5" w:rsidRPr="00C7245A" w:rsidP="00AC4DB5" w14:paraId="6655D489" w14:textId="2B64B657">
      <w:pPr>
        <w:rPr>
          <w:rFonts w:ascii="Times New Roman" w:hAnsi="Times New Roman" w:cs="Times New Roman"/>
          <w:sz w:val="24"/>
          <w:szCs w:val="24"/>
          <w:lang w:eastAsia="en-US"/>
        </w:rPr>
        <w:sectPr w:rsidSect="0084279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r w:rsidRPr="00C7245A">
        <w:rPr>
          <w:rFonts w:ascii="Times New Roman" w:hAnsi="Times New Roman" w:cs="Times New Roman"/>
          <w:sz w:val="24"/>
          <w:szCs w:val="24"/>
          <w:lang w:eastAsia="en-US"/>
        </w:rPr>
        <w:t>August 14, 2023</w:t>
      </w:r>
    </w:p>
    <w:p w:rsidR="00AC4DB5" w:rsidP="00BC0D5D" w14:paraId="23B00444" w14:textId="77777777">
      <w:pPr>
        <w:pStyle w:val="HTMLPreformatted"/>
        <w:jc w:val="center"/>
        <w:rPr>
          <w:rFonts w:ascii="Times New Roman" w:hAnsi="Times New Roman" w:cs="Times New Roman"/>
          <w:b/>
          <w:bCs/>
          <w:sz w:val="24"/>
          <w:szCs w:val="24"/>
          <w:u w:val="single"/>
        </w:rPr>
      </w:pPr>
      <w:r w:rsidRPr="00AC4DB5">
        <w:rPr>
          <w:rFonts w:ascii="Times New Roman" w:hAnsi="Times New Roman" w:cs="Times New Roman"/>
          <w:b/>
          <w:bCs/>
          <w:sz w:val="24"/>
          <w:szCs w:val="24"/>
          <w:u w:val="single"/>
        </w:rPr>
        <w:t>TABLE OF CONTENTS</w:t>
      </w:r>
    </w:p>
    <w:p w:rsidR="00AC4DB5" w:rsidP="00BC0D5D" w14:paraId="50F8799E" w14:textId="77777777">
      <w:pPr>
        <w:pStyle w:val="HTMLPreformatted"/>
        <w:jc w:val="center"/>
        <w:rPr>
          <w:rFonts w:ascii="Times New Roman" w:hAnsi="Times New Roman" w:cs="Times New Roman"/>
          <w:b/>
          <w:bCs/>
          <w:sz w:val="24"/>
          <w:szCs w:val="24"/>
          <w:u w:val="single"/>
        </w:rPr>
      </w:pPr>
    </w:p>
    <w:p w:rsidR="00420D77" w:rsidRPr="00420D77" w:rsidP="00420D77" w14:paraId="3EB02B76" w14:textId="56088131">
      <w:pPr>
        <w:pStyle w:val="HTMLPreformatted"/>
        <w:jc w:val="right"/>
        <w:rPr>
          <w:rFonts w:ascii="Times New Roman" w:hAnsi="Times New Roman" w:cs="Times New Roman"/>
          <w:b/>
          <w:bCs/>
          <w:sz w:val="24"/>
          <w:szCs w:val="24"/>
        </w:rPr>
      </w:pPr>
      <w:r w:rsidRPr="00420D77">
        <w:rPr>
          <w:rFonts w:ascii="Times New Roman" w:hAnsi="Times New Roman" w:cs="Times New Roman"/>
          <w:b/>
          <w:bCs/>
          <w:sz w:val="24"/>
          <w:szCs w:val="24"/>
        </w:rPr>
        <w:t>PAGE</w:t>
      </w:r>
    </w:p>
    <w:p w:rsidR="00275002" w14:paraId="59958500" w14:textId="34B6EAFF">
      <w:pPr>
        <w:pStyle w:val="TOC1"/>
        <w:rPr>
          <w:rFonts w:asciiTheme="minorHAnsi" w:eastAsiaTheme="minorEastAsia" w:hAnsiTheme="minorHAnsi"/>
          <w:noProof/>
          <w:kern w:val="2"/>
          <w:sz w:val="22"/>
          <w14:ligatures w14:val="standardContextual"/>
        </w:rPr>
      </w:pPr>
      <w:r>
        <w:rPr>
          <w:rFonts w:cs="Times New Roman"/>
          <w:b/>
          <w:bCs/>
          <w:szCs w:val="24"/>
        </w:rPr>
        <w:fldChar w:fldCharType="begin"/>
      </w:r>
      <w:r>
        <w:rPr>
          <w:rFonts w:cs="Times New Roman"/>
          <w:b/>
          <w:bCs/>
          <w:szCs w:val="24"/>
        </w:rPr>
        <w:instrText xml:space="preserve"> TOC \o "1-3" \h \z \u </w:instrText>
      </w:r>
      <w:r>
        <w:rPr>
          <w:rFonts w:cs="Times New Roman"/>
          <w:b/>
          <w:bCs/>
          <w:szCs w:val="24"/>
        </w:rPr>
        <w:fldChar w:fldCharType="separate"/>
      </w:r>
      <w:hyperlink w:anchor="_Toc142923653" w:history="1">
        <w:r w:rsidRPr="00810377">
          <w:rPr>
            <w:rStyle w:val="Hyperlink"/>
            <w:noProof/>
          </w:rPr>
          <w:t>I.</w:t>
        </w:r>
        <w:r>
          <w:rPr>
            <w:rFonts w:asciiTheme="minorHAnsi" w:eastAsiaTheme="minorEastAsia" w:hAnsiTheme="minorHAnsi"/>
            <w:noProof/>
            <w:kern w:val="2"/>
            <w:sz w:val="22"/>
            <w14:ligatures w14:val="standardContextual"/>
          </w:rPr>
          <w:tab/>
        </w:r>
        <w:r w:rsidRPr="00810377">
          <w:rPr>
            <w:rStyle w:val="Hyperlink"/>
            <w:noProof/>
          </w:rPr>
          <w:t>INTRODUCTION</w:t>
        </w:r>
        <w:r>
          <w:rPr>
            <w:noProof/>
            <w:webHidden/>
          </w:rPr>
          <w:tab/>
        </w:r>
        <w:r>
          <w:rPr>
            <w:noProof/>
            <w:webHidden/>
          </w:rPr>
          <w:fldChar w:fldCharType="begin"/>
        </w:r>
        <w:r>
          <w:rPr>
            <w:noProof/>
            <w:webHidden/>
          </w:rPr>
          <w:instrText xml:space="preserve"> PAGEREF _Toc142923653 \h </w:instrText>
        </w:r>
        <w:r>
          <w:rPr>
            <w:noProof/>
            <w:webHidden/>
          </w:rPr>
          <w:fldChar w:fldCharType="separate"/>
        </w:r>
        <w:r>
          <w:rPr>
            <w:noProof/>
            <w:webHidden/>
          </w:rPr>
          <w:t>1</w:t>
        </w:r>
        <w:r>
          <w:rPr>
            <w:noProof/>
            <w:webHidden/>
          </w:rPr>
          <w:fldChar w:fldCharType="end"/>
        </w:r>
      </w:hyperlink>
    </w:p>
    <w:p w:rsidR="00275002" w14:paraId="581C3CBF" w14:textId="4A3BFDCF">
      <w:pPr>
        <w:pStyle w:val="TOC1"/>
        <w:rPr>
          <w:rFonts w:asciiTheme="minorHAnsi" w:eastAsiaTheme="minorEastAsia" w:hAnsiTheme="minorHAnsi"/>
          <w:noProof/>
          <w:kern w:val="2"/>
          <w:sz w:val="22"/>
          <w14:ligatures w14:val="standardContextual"/>
        </w:rPr>
      </w:pPr>
      <w:hyperlink w:anchor="_Toc142923654" w:history="1">
        <w:r w:rsidRPr="00810377">
          <w:rPr>
            <w:rStyle w:val="Hyperlink"/>
            <w:rFonts w:cs="Times New Roman"/>
            <w:noProof/>
          </w:rPr>
          <w:t>II.</w:t>
        </w:r>
        <w:r>
          <w:rPr>
            <w:rFonts w:asciiTheme="minorHAnsi" w:eastAsiaTheme="minorEastAsia" w:hAnsiTheme="minorHAnsi"/>
            <w:noProof/>
            <w:kern w:val="2"/>
            <w:sz w:val="22"/>
            <w14:ligatures w14:val="standardContextual"/>
          </w:rPr>
          <w:tab/>
        </w:r>
        <w:r w:rsidRPr="00810377">
          <w:rPr>
            <w:rStyle w:val="Hyperlink"/>
            <w:noProof/>
          </w:rPr>
          <w:t>SUMMARY OF FINDINGS AND RECOMMENDATIONS SUPPORTED BY OCC</w:t>
        </w:r>
        <w:r>
          <w:rPr>
            <w:noProof/>
            <w:webHidden/>
          </w:rPr>
          <w:tab/>
        </w:r>
        <w:r>
          <w:rPr>
            <w:noProof/>
            <w:webHidden/>
          </w:rPr>
          <w:fldChar w:fldCharType="begin"/>
        </w:r>
        <w:r>
          <w:rPr>
            <w:noProof/>
            <w:webHidden/>
          </w:rPr>
          <w:instrText xml:space="preserve"> PAGEREF _Toc142923654 \h </w:instrText>
        </w:r>
        <w:r>
          <w:rPr>
            <w:noProof/>
            <w:webHidden/>
          </w:rPr>
          <w:fldChar w:fldCharType="separate"/>
        </w:r>
        <w:r>
          <w:rPr>
            <w:noProof/>
            <w:webHidden/>
          </w:rPr>
          <w:t>2</w:t>
        </w:r>
        <w:r>
          <w:rPr>
            <w:noProof/>
            <w:webHidden/>
          </w:rPr>
          <w:fldChar w:fldCharType="end"/>
        </w:r>
      </w:hyperlink>
    </w:p>
    <w:p w:rsidR="00275002" w14:paraId="4E534CDE" w14:textId="02C48B8C">
      <w:pPr>
        <w:pStyle w:val="TOC1"/>
        <w:rPr>
          <w:rFonts w:asciiTheme="minorHAnsi" w:eastAsiaTheme="minorEastAsia" w:hAnsiTheme="minorHAnsi"/>
          <w:noProof/>
          <w:kern w:val="2"/>
          <w:sz w:val="22"/>
          <w14:ligatures w14:val="standardContextual"/>
        </w:rPr>
      </w:pPr>
      <w:hyperlink w:anchor="_Toc142923655" w:history="1">
        <w:r w:rsidRPr="00810377">
          <w:rPr>
            <w:rStyle w:val="Hyperlink"/>
            <w:noProof/>
          </w:rPr>
          <w:t>III.</w:t>
        </w:r>
        <w:r>
          <w:rPr>
            <w:rFonts w:asciiTheme="minorHAnsi" w:eastAsiaTheme="minorEastAsia" w:hAnsiTheme="minorHAnsi"/>
            <w:noProof/>
            <w:kern w:val="2"/>
            <w:sz w:val="22"/>
            <w14:ligatures w14:val="standardContextual"/>
          </w:rPr>
          <w:tab/>
        </w:r>
        <w:r w:rsidRPr="00810377">
          <w:rPr>
            <w:rStyle w:val="Hyperlink"/>
            <w:noProof/>
          </w:rPr>
          <w:t>OBJECTIONS TO THE STAFF REPORT</w:t>
        </w:r>
        <w:r>
          <w:rPr>
            <w:noProof/>
            <w:webHidden/>
          </w:rPr>
          <w:tab/>
        </w:r>
        <w:r>
          <w:rPr>
            <w:noProof/>
            <w:webHidden/>
          </w:rPr>
          <w:fldChar w:fldCharType="begin"/>
        </w:r>
        <w:r>
          <w:rPr>
            <w:noProof/>
            <w:webHidden/>
          </w:rPr>
          <w:instrText xml:space="preserve"> PAGEREF _Toc142923655 \h </w:instrText>
        </w:r>
        <w:r>
          <w:rPr>
            <w:noProof/>
            <w:webHidden/>
          </w:rPr>
          <w:fldChar w:fldCharType="separate"/>
        </w:r>
        <w:r>
          <w:rPr>
            <w:noProof/>
            <w:webHidden/>
          </w:rPr>
          <w:t>3</w:t>
        </w:r>
        <w:r>
          <w:rPr>
            <w:noProof/>
            <w:webHidden/>
          </w:rPr>
          <w:fldChar w:fldCharType="end"/>
        </w:r>
      </w:hyperlink>
    </w:p>
    <w:p w:rsidR="00275002" w14:paraId="6CB8C68C" w14:textId="258F44DC">
      <w:pPr>
        <w:pStyle w:val="TOC2"/>
        <w:rPr>
          <w:rFonts w:asciiTheme="minorHAnsi" w:eastAsiaTheme="minorEastAsia" w:hAnsiTheme="minorHAnsi" w:cstheme="minorBidi"/>
          <w:bCs w:val="0"/>
          <w:color w:val="auto"/>
          <w:kern w:val="2"/>
          <w:sz w:val="22"/>
          <w14:ligatures w14:val="standardContextual"/>
        </w:rPr>
      </w:pPr>
      <w:hyperlink w:anchor="_Toc142923656" w:history="1">
        <w:r w:rsidRPr="00810377">
          <w:rPr>
            <w:rStyle w:val="Hyperlink"/>
            <w:rFonts w:eastAsia="Times New Roman"/>
          </w:rPr>
          <w:t>A.</w:t>
        </w:r>
        <w:r>
          <w:rPr>
            <w:rFonts w:asciiTheme="minorHAnsi" w:eastAsiaTheme="minorEastAsia" w:hAnsiTheme="minorHAnsi" w:cstheme="minorBidi"/>
            <w:bCs w:val="0"/>
            <w:color w:val="auto"/>
            <w:kern w:val="2"/>
            <w:sz w:val="22"/>
            <w14:ligatures w14:val="standardContextual"/>
          </w:rPr>
          <w:tab/>
        </w:r>
        <w:r w:rsidRPr="00810377">
          <w:rPr>
            <w:rStyle w:val="Hyperlink"/>
            <w:rFonts w:eastAsia="Times New Roman"/>
          </w:rPr>
          <w:t>Revenue Requirement</w:t>
        </w:r>
        <w:r>
          <w:rPr>
            <w:webHidden/>
          </w:rPr>
          <w:tab/>
        </w:r>
        <w:r>
          <w:rPr>
            <w:webHidden/>
          </w:rPr>
          <w:fldChar w:fldCharType="begin"/>
        </w:r>
        <w:r>
          <w:rPr>
            <w:webHidden/>
          </w:rPr>
          <w:instrText xml:space="preserve"> PAGEREF _Toc142923656 \h </w:instrText>
        </w:r>
        <w:r>
          <w:rPr>
            <w:webHidden/>
          </w:rPr>
          <w:fldChar w:fldCharType="separate"/>
        </w:r>
        <w:r>
          <w:rPr>
            <w:webHidden/>
          </w:rPr>
          <w:t>3</w:t>
        </w:r>
        <w:r>
          <w:rPr>
            <w:webHidden/>
          </w:rPr>
          <w:fldChar w:fldCharType="end"/>
        </w:r>
      </w:hyperlink>
    </w:p>
    <w:p w:rsidR="00275002" w14:paraId="07A5EA44" w14:textId="46F85F32">
      <w:pPr>
        <w:pStyle w:val="TOC3"/>
        <w:rPr>
          <w:rFonts w:asciiTheme="minorHAnsi" w:eastAsiaTheme="minorEastAsia" w:hAnsiTheme="minorHAnsi" w:cstheme="minorBidi"/>
          <w:bCs w:val="0"/>
          <w:color w:val="auto"/>
          <w:kern w:val="2"/>
          <w:sz w:val="22"/>
          <w14:ligatures w14:val="standardContextual"/>
        </w:rPr>
      </w:pPr>
      <w:hyperlink w:anchor="_Toc142923657" w:history="1">
        <w:r w:rsidRPr="00810377">
          <w:rPr>
            <w:rStyle w:val="Hyperlink"/>
          </w:rPr>
          <w:t xml:space="preserve">OBJECTION 1: OCC objects because as a result of OCC’s other objections below (including OCC’s proposed changes to the rate of return), the Staff Report’s recommended rate increase of $272,962 is too high for consumers and would result in consumers paying unjust, unreasonable, and unlawful rates under R.C. 4905.22, </w:t>
        </w:r>
        <w:r w:rsidR="00E803A7">
          <w:rPr>
            <w:rStyle w:val="Hyperlink"/>
          </w:rPr>
          <w:br/>
        </w:r>
        <w:r w:rsidRPr="00810377">
          <w:rPr>
            <w:rStyle w:val="Hyperlink"/>
          </w:rPr>
          <w:t>4909.15, 4909.154, 4909.17 and 4909.18.</w:t>
        </w:r>
        <w:r>
          <w:rPr>
            <w:webHidden/>
          </w:rPr>
          <w:tab/>
        </w:r>
        <w:r>
          <w:rPr>
            <w:webHidden/>
          </w:rPr>
          <w:fldChar w:fldCharType="begin"/>
        </w:r>
        <w:r>
          <w:rPr>
            <w:webHidden/>
          </w:rPr>
          <w:instrText xml:space="preserve"> PAGEREF _Toc142923657 \h </w:instrText>
        </w:r>
        <w:r>
          <w:rPr>
            <w:webHidden/>
          </w:rPr>
          <w:fldChar w:fldCharType="separate"/>
        </w:r>
        <w:r>
          <w:rPr>
            <w:webHidden/>
          </w:rPr>
          <w:t>3</w:t>
        </w:r>
        <w:r>
          <w:rPr>
            <w:webHidden/>
          </w:rPr>
          <w:fldChar w:fldCharType="end"/>
        </w:r>
      </w:hyperlink>
    </w:p>
    <w:p w:rsidR="00275002" w14:paraId="0318DA7E" w14:textId="64D7D03D">
      <w:pPr>
        <w:pStyle w:val="TOC3"/>
        <w:rPr>
          <w:rFonts w:asciiTheme="minorHAnsi" w:eastAsiaTheme="minorEastAsia" w:hAnsiTheme="minorHAnsi" w:cstheme="minorBidi"/>
          <w:bCs w:val="0"/>
          <w:color w:val="auto"/>
          <w:kern w:val="2"/>
          <w:sz w:val="22"/>
          <w14:ligatures w14:val="standardContextual"/>
        </w:rPr>
      </w:pPr>
      <w:hyperlink w:anchor="_Toc142923658" w:history="1">
        <w:r w:rsidRPr="00810377">
          <w:rPr>
            <w:rStyle w:val="Hyperlink"/>
          </w:rPr>
          <w:t xml:space="preserve">OBJECTION 2: OCC objects because Staff’s recommended mid-point rate increase </w:t>
        </w:r>
        <w:r w:rsidR="00E803A7">
          <w:rPr>
            <w:rStyle w:val="Hyperlink"/>
          </w:rPr>
          <w:br/>
        </w:r>
        <w:r w:rsidRPr="00810377">
          <w:rPr>
            <w:rStyle w:val="Hyperlink"/>
          </w:rPr>
          <w:t xml:space="preserve">of $272,962 is not based entirely on updated actual June 30, 2023, financial data. </w:t>
        </w:r>
        <w:r w:rsidR="00E803A7">
          <w:rPr>
            <w:rStyle w:val="Hyperlink"/>
          </w:rPr>
          <w:br/>
        </w:r>
        <w:r w:rsidRPr="00810377">
          <w:rPr>
            <w:rStyle w:val="Hyperlink"/>
          </w:rPr>
          <w:t xml:space="preserve">Without knowing the revenue requirement baseline for both Aqua and Staff that </w:t>
        </w:r>
        <w:r w:rsidR="00E803A7">
          <w:rPr>
            <w:rStyle w:val="Hyperlink"/>
          </w:rPr>
          <w:br/>
        </w:r>
        <w:r w:rsidRPr="00810377">
          <w:rPr>
            <w:rStyle w:val="Hyperlink"/>
          </w:rPr>
          <w:t xml:space="preserve">would result from using actual June 30, 2023, financial data, Staff’s recommended rate increase of $272,962 is too high for consumers and would result in consumers paying unjust, unreasonable, and unlawful rates under R.C. 4905.22, 4909.15, 4909.154, </w:t>
        </w:r>
        <w:r w:rsidR="00E803A7">
          <w:rPr>
            <w:rStyle w:val="Hyperlink"/>
          </w:rPr>
          <w:br/>
        </w:r>
        <w:r w:rsidRPr="00810377">
          <w:rPr>
            <w:rStyle w:val="Hyperlink"/>
          </w:rPr>
          <w:t>4909.17 and 4909.18.</w:t>
        </w:r>
        <w:r>
          <w:rPr>
            <w:webHidden/>
          </w:rPr>
          <w:tab/>
        </w:r>
        <w:r>
          <w:rPr>
            <w:webHidden/>
          </w:rPr>
          <w:fldChar w:fldCharType="begin"/>
        </w:r>
        <w:r>
          <w:rPr>
            <w:webHidden/>
          </w:rPr>
          <w:instrText xml:space="preserve"> PAGEREF _Toc142923658 \h </w:instrText>
        </w:r>
        <w:r>
          <w:rPr>
            <w:webHidden/>
          </w:rPr>
          <w:fldChar w:fldCharType="separate"/>
        </w:r>
        <w:r>
          <w:rPr>
            <w:webHidden/>
          </w:rPr>
          <w:t>4</w:t>
        </w:r>
        <w:r>
          <w:rPr>
            <w:webHidden/>
          </w:rPr>
          <w:fldChar w:fldCharType="end"/>
        </w:r>
      </w:hyperlink>
    </w:p>
    <w:p w:rsidR="00275002" w14:paraId="6B82D88E" w14:textId="7B92A96B">
      <w:pPr>
        <w:pStyle w:val="TOC2"/>
        <w:rPr>
          <w:rFonts w:asciiTheme="minorHAnsi" w:eastAsiaTheme="minorEastAsia" w:hAnsiTheme="minorHAnsi" w:cstheme="minorBidi"/>
          <w:bCs w:val="0"/>
          <w:color w:val="auto"/>
          <w:kern w:val="2"/>
          <w:sz w:val="22"/>
          <w14:ligatures w14:val="standardContextual"/>
        </w:rPr>
      </w:pPr>
      <w:hyperlink w:anchor="_Toc142923659" w:history="1">
        <w:r w:rsidRPr="00810377">
          <w:rPr>
            <w:rStyle w:val="Hyperlink"/>
            <w:rFonts w:eastAsia="Times New Roman"/>
          </w:rPr>
          <w:t>B.</w:t>
        </w:r>
        <w:r>
          <w:rPr>
            <w:rFonts w:asciiTheme="minorHAnsi" w:eastAsiaTheme="minorEastAsia" w:hAnsiTheme="minorHAnsi" w:cstheme="minorBidi"/>
            <w:bCs w:val="0"/>
            <w:color w:val="auto"/>
            <w:kern w:val="2"/>
            <w:sz w:val="22"/>
            <w14:ligatures w14:val="standardContextual"/>
          </w:rPr>
          <w:tab/>
        </w:r>
        <w:r w:rsidRPr="00810377">
          <w:rPr>
            <w:rStyle w:val="Hyperlink"/>
            <w:rFonts w:eastAsia="Times New Roman" w:cs="Times New Roman"/>
          </w:rPr>
          <w:t>Rate of Return</w:t>
        </w:r>
        <w:r>
          <w:rPr>
            <w:webHidden/>
          </w:rPr>
          <w:tab/>
        </w:r>
        <w:r>
          <w:rPr>
            <w:webHidden/>
          </w:rPr>
          <w:fldChar w:fldCharType="begin"/>
        </w:r>
        <w:r>
          <w:rPr>
            <w:webHidden/>
          </w:rPr>
          <w:instrText xml:space="preserve"> PAGEREF _Toc142923659 \h </w:instrText>
        </w:r>
        <w:r>
          <w:rPr>
            <w:webHidden/>
          </w:rPr>
          <w:fldChar w:fldCharType="separate"/>
        </w:r>
        <w:r>
          <w:rPr>
            <w:webHidden/>
          </w:rPr>
          <w:t>5</w:t>
        </w:r>
        <w:r>
          <w:rPr>
            <w:webHidden/>
          </w:rPr>
          <w:fldChar w:fldCharType="end"/>
        </w:r>
      </w:hyperlink>
    </w:p>
    <w:p w:rsidR="00275002" w14:paraId="15BAB60E" w14:textId="46DBC4F4">
      <w:pPr>
        <w:pStyle w:val="TOC3"/>
        <w:rPr>
          <w:rFonts w:asciiTheme="minorHAnsi" w:eastAsiaTheme="minorEastAsia" w:hAnsiTheme="minorHAnsi" w:cstheme="minorBidi"/>
          <w:bCs w:val="0"/>
          <w:color w:val="auto"/>
          <w:kern w:val="2"/>
          <w:sz w:val="22"/>
          <w14:ligatures w14:val="standardContextual"/>
        </w:rPr>
      </w:pPr>
      <w:hyperlink w:anchor="_Toc142923660" w:history="1">
        <w:r w:rsidRPr="00810377">
          <w:rPr>
            <w:rStyle w:val="Hyperlink"/>
          </w:rPr>
          <w:t xml:space="preserve">OBJECTION 3: OCC objects because the Staff Report erred by using the historical </w:t>
        </w:r>
        <w:r w:rsidR="00E803A7">
          <w:rPr>
            <w:rStyle w:val="Hyperlink"/>
          </w:rPr>
          <w:br/>
        </w:r>
        <w:r w:rsidRPr="00810377">
          <w:rPr>
            <w:rStyle w:val="Hyperlink"/>
          </w:rPr>
          <w:t xml:space="preserve">Gross National Product (“GNP”) growth rate in modeling the long-term growth </w:t>
        </w:r>
        <w:r w:rsidR="00E803A7">
          <w:rPr>
            <w:rStyle w:val="Hyperlink"/>
          </w:rPr>
          <w:br/>
        </w:r>
        <w:r w:rsidRPr="00810377">
          <w:rPr>
            <w:rStyle w:val="Hyperlink"/>
          </w:rPr>
          <w:t xml:space="preserve">rate for the multistage discounted cash flow (“DCF”) model. The use of the historical GNP growth rate for the DCF analysis leads to a rate of return that is too high and </w:t>
        </w:r>
        <w:r w:rsidR="00E803A7">
          <w:rPr>
            <w:rStyle w:val="Hyperlink"/>
          </w:rPr>
          <w:br/>
        </w:r>
        <w:r w:rsidRPr="00810377">
          <w:rPr>
            <w:rStyle w:val="Hyperlink"/>
          </w:rPr>
          <w:t>results in unjust and unreasonable rates to consumers in violation of R.C. 4905.22, 4909.15, 4909.154, 4909.17 and 4909.18.</w:t>
        </w:r>
        <w:r>
          <w:rPr>
            <w:webHidden/>
          </w:rPr>
          <w:tab/>
        </w:r>
        <w:r>
          <w:rPr>
            <w:webHidden/>
          </w:rPr>
          <w:fldChar w:fldCharType="begin"/>
        </w:r>
        <w:r>
          <w:rPr>
            <w:webHidden/>
          </w:rPr>
          <w:instrText xml:space="preserve"> PAGEREF _Toc142923660 \h </w:instrText>
        </w:r>
        <w:r>
          <w:rPr>
            <w:webHidden/>
          </w:rPr>
          <w:fldChar w:fldCharType="separate"/>
        </w:r>
        <w:r>
          <w:rPr>
            <w:webHidden/>
          </w:rPr>
          <w:t>6</w:t>
        </w:r>
        <w:r>
          <w:rPr>
            <w:webHidden/>
          </w:rPr>
          <w:fldChar w:fldCharType="end"/>
        </w:r>
      </w:hyperlink>
    </w:p>
    <w:p w:rsidR="00275002" w14:paraId="36E6E1DF" w14:textId="781F96D5">
      <w:pPr>
        <w:pStyle w:val="TOC3"/>
        <w:rPr>
          <w:rFonts w:asciiTheme="minorHAnsi" w:eastAsiaTheme="minorEastAsia" w:hAnsiTheme="minorHAnsi" w:cstheme="minorBidi"/>
          <w:bCs w:val="0"/>
          <w:color w:val="auto"/>
          <w:kern w:val="2"/>
          <w:sz w:val="22"/>
          <w14:ligatures w14:val="standardContextual"/>
        </w:rPr>
      </w:pPr>
      <w:hyperlink w:anchor="_Toc142923661" w:history="1">
        <w:r w:rsidRPr="00810377">
          <w:rPr>
            <w:rStyle w:val="Hyperlink"/>
          </w:rPr>
          <w:t xml:space="preserve">OBJECTION 4: OCC objects because the Staff Report erred by using the yields of the 20-year U.S. Treasury Bonds as the risk-free rate used in the Capital Asset Pricing </w:t>
        </w:r>
        <w:r w:rsidR="00E803A7">
          <w:rPr>
            <w:rStyle w:val="Hyperlink"/>
          </w:rPr>
          <w:br/>
        </w:r>
        <w:r w:rsidRPr="00810377">
          <w:rPr>
            <w:rStyle w:val="Hyperlink"/>
          </w:rPr>
          <w:t>Model (“CAPM”). The inclusion of the yields of 20-year U.S. Treasury Bonds in calculating the risk-free rate overstates the estimated cost of equity of Aqua under the CAPM analysis causing a rate of return that is too high and results in unjust and unreasonable rates to consumers in violation of R.C. 4905.22, 4909.15, 4909.154, 4909.17 and 4909.18.</w:t>
        </w:r>
        <w:r>
          <w:rPr>
            <w:webHidden/>
          </w:rPr>
          <w:tab/>
        </w:r>
        <w:r>
          <w:rPr>
            <w:webHidden/>
          </w:rPr>
          <w:fldChar w:fldCharType="begin"/>
        </w:r>
        <w:r>
          <w:rPr>
            <w:webHidden/>
          </w:rPr>
          <w:instrText xml:space="preserve"> PAGEREF _Toc142923661 \h </w:instrText>
        </w:r>
        <w:r>
          <w:rPr>
            <w:webHidden/>
          </w:rPr>
          <w:fldChar w:fldCharType="separate"/>
        </w:r>
        <w:r>
          <w:rPr>
            <w:webHidden/>
          </w:rPr>
          <w:t>8</w:t>
        </w:r>
        <w:r>
          <w:rPr>
            <w:webHidden/>
          </w:rPr>
          <w:fldChar w:fldCharType="end"/>
        </w:r>
      </w:hyperlink>
    </w:p>
    <w:p w:rsidR="00275002" w14:paraId="5273F6FC" w14:textId="6EEA738B">
      <w:pPr>
        <w:pStyle w:val="TOC3"/>
        <w:rPr>
          <w:rFonts w:asciiTheme="minorHAnsi" w:eastAsiaTheme="minorEastAsia" w:hAnsiTheme="minorHAnsi" w:cstheme="minorBidi"/>
          <w:bCs w:val="0"/>
          <w:color w:val="auto"/>
          <w:kern w:val="2"/>
          <w:sz w:val="22"/>
          <w14:ligatures w14:val="standardContextual"/>
        </w:rPr>
      </w:pPr>
      <w:hyperlink w:anchor="_Toc142923662" w:history="1">
        <w:r w:rsidRPr="00810377">
          <w:rPr>
            <w:rStyle w:val="Hyperlink"/>
          </w:rPr>
          <w:t xml:space="preserve">OBJECTION 5: OCC objects because the Staff Report erred by using the historical </w:t>
        </w:r>
        <w:r w:rsidR="00E803A7">
          <w:rPr>
            <w:rStyle w:val="Hyperlink"/>
          </w:rPr>
          <w:br/>
        </w:r>
        <w:r w:rsidRPr="00810377">
          <w:rPr>
            <w:rStyle w:val="Hyperlink"/>
          </w:rPr>
          <w:t>return in the calculation of market risk premium in the Capital Asset Pricing Model (“CAPM”). The use of the historical return overstates the estimated cost of equity of Aqua under the CAPM analysis causing a rate of return that is too high and results in unjust and unreasonable rates to consumers in violation of R.C. 4905.22, 4909.15, 4909.154, 4909.17 and 4909.18.</w:t>
        </w:r>
        <w:r>
          <w:rPr>
            <w:webHidden/>
          </w:rPr>
          <w:tab/>
        </w:r>
        <w:r>
          <w:rPr>
            <w:webHidden/>
          </w:rPr>
          <w:fldChar w:fldCharType="begin"/>
        </w:r>
        <w:r>
          <w:rPr>
            <w:webHidden/>
          </w:rPr>
          <w:instrText xml:space="preserve"> PAGEREF _Toc142923662 \h </w:instrText>
        </w:r>
        <w:r>
          <w:rPr>
            <w:webHidden/>
          </w:rPr>
          <w:fldChar w:fldCharType="separate"/>
        </w:r>
        <w:r>
          <w:rPr>
            <w:webHidden/>
          </w:rPr>
          <w:t>9</w:t>
        </w:r>
        <w:r>
          <w:rPr>
            <w:webHidden/>
          </w:rPr>
          <w:fldChar w:fldCharType="end"/>
        </w:r>
      </w:hyperlink>
    </w:p>
    <w:p w:rsidR="00275002" w14:paraId="45D70C9F" w14:textId="25D03803">
      <w:pPr>
        <w:pStyle w:val="TOC3"/>
        <w:rPr>
          <w:rFonts w:asciiTheme="minorHAnsi" w:eastAsiaTheme="minorEastAsia" w:hAnsiTheme="minorHAnsi" w:cstheme="minorBidi"/>
          <w:bCs w:val="0"/>
          <w:color w:val="auto"/>
          <w:kern w:val="2"/>
          <w:sz w:val="22"/>
          <w14:ligatures w14:val="standardContextual"/>
        </w:rPr>
      </w:pPr>
      <w:hyperlink w:anchor="_Toc142923663" w:history="1">
        <w:r w:rsidRPr="00810377">
          <w:rPr>
            <w:rStyle w:val="Hyperlink"/>
          </w:rPr>
          <w:t>OBJECTION 6: OCC objects because the Staff Report erred by including the results of Comparable Earnings (“CE”) analysis, such as the estimated return on equity of 10.11% earned by companies other than water utilities with different business and financial risks from a water utility in calculating the cost of equity. Including the CE model overstates the cost of equity of Aqua causing a rate of return that is too high and results in unjust and unreasonable rates to consumers in violation of R.C. 4905.22, 4909.15, 4909.154, 4909.17 and 4909.18.</w:t>
        </w:r>
        <w:r>
          <w:rPr>
            <w:webHidden/>
          </w:rPr>
          <w:tab/>
        </w:r>
        <w:r>
          <w:rPr>
            <w:webHidden/>
          </w:rPr>
          <w:fldChar w:fldCharType="begin"/>
        </w:r>
        <w:r>
          <w:rPr>
            <w:webHidden/>
          </w:rPr>
          <w:instrText xml:space="preserve"> PAGEREF _Toc142923663 \h </w:instrText>
        </w:r>
        <w:r>
          <w:rPr>
            <w:webHidden/>
          </w:rPr>
          <w:fldChar w:fldCharType="separate"/>
        </w:r>
        <w:r>
          <w:rPr>
            <w:webHidden/>
          </w:rPr>
          <w:t>10</w:t>
        </w:r>
        <w:r>
          <w:rPr>
            <w:webHidden/>
          </w:rPr>
          <w:fldChar w:fldCharType="end"/>
        </w:r>
      </w:hyperlink>
    </w:p>
    <w:p w:rsidR="00275002" w14:paraId="660BF8E4" w14:textId="75947764">
      <w:pPr>
        <w:pStyle w:val="TOC3"/>
        <w:rPr>
          <w:rFonts w:asciiTheme="minorHAnsi" w:eastAsiaTheme="minorEastAsia" w:hAnsiTheme="minorHAnsi" w:cstheme="minorBidi"/>
          <w:bCs w:val="0"/>
          <w:color w:val="auto"/>
          <w:kern w:val="2"/>
          <w:sz w:val="22"/>
          <w14:ligatures w14:val="standardContextual"/>
        </w:rPr>
      </w:pPr>
      <w:hyperlink w:anchor="_Toc142923664" w:history="1">
        <w:r w:rsidRPr="00810377">
          <w:rPr>
            <w:rStyle w:val="Hyperlink"/>
          </w:rPr>
          <w:t xml:space="preserve">OBJECTION 7: OCC objects because the Staff Report inappropriately increased </w:t>
        </w:r>
        <w:r w:rsidR="00E803A7">
          <w:rPr>
            <w:rStyle w:val="Hyperlink"/>
          </w:rPr>
          <w:br/>
        </w:r>
        <w:r w:rsidRPr="00810377">
          <w:rPr>
            <w:rStyle w:val="Hyperlink"/>
          </w:rPr>
          <w:t xml:space="preserve">the cost of equity by allowing an adjustment for equity issuance and other costs, </w:t>
        </w:r>
        <w:r w:rsidR="00E803A7">
          <w:rPr>
            <w:rStyle w:val="Hyperlink"/>
          </w:rPr>
          <w:br/>
        </w:r>
        <w:r w:rsidRPr="00810377">
          <w:rPr>
            <w:rStyle w:val="Hyperlink"/>
          </w:rPr>
          <w:t>causing a recommended cost of equity that is too high and thus results in unjust and unreasonable rates for consumers in violation of R.C. 4905.22, 4909.15, 4909.154, 4909.17 and 4909.18.</w:t>
        </w:r>
        <w:r>
          <w:rPr>
            <w:webHidden/>
          </w:rPr>
          <w:tab/>
        </w:r>
        <w:r>
          <w:rPr>
            <w:webHidden/>
          </w:rPr>
          <w:fldChar w:fldCharType="begin"/>
        </w:r>
        <w:r>
          <w:rPr>
            <w:webHidden/>
          </w:rPr>
          <w:instrText xml:space="preserve"> PAGEREF _Toc142923664 \h </w:instrText>
        </w:r>
        <w:r>
          <w:rPr>
            <w:webHidden/>
          </w:rPr>
          <w:fldChar w:fldCharType="separate"/>
        </w:r>
        <w:r>
          <w:rPr>
            <w:webHidden/>
          </w:rPr>
          <w:t>12</w:t>
        </w:r>
        <w:r>
          <w:rPr>
            <w:webHidden/>
          </w:rPr>
          <w:fldChar w:fldCharType="end"/>
        </w:r>
      </w:hyperlink>
    </w:p>
    <w:p w:rsidR="00275002" w14:paraId="74582774" w14:textId="2052E562">
      <w:pPr>
        <w:pStyle w:val="TOC3"/>
        <w:rPr>
          <w:rFonts w:asciiTheme="minorHAnsi" w:eastAsiaTheme="minorEastAsia" w:hAnsiTheme="minorHAnsi" w:cstheme="minorBidi"/>
          <w:bCs w:val="0"/>
          <w:color w:val="auto"/>
          <w:kern w:val="2"/>
          <w:sz w:val="22"/>
          <w14:ligatures w14:val="standardContextual"/>
        </w:rPr>
      </w:pPr>
      <w:hyperlink w:anchor="_Toc142923665" w:history="1">
        <w:r w:rsidRPr="00810377">
          <w:rPr>
            <w:rStyle w:val="Hyperlink"/>
          </w:rPr>
          <w:t>OBJECTION 8: OCC objects because the Staff Report’s recommended rate of return range of 6.49% to 7.02% is too high based on current market conditions and Aqua’s business and financial risks, resulting in rates that are too high and are unjust and unreasonable for consumers in violation of R.C. 4905.22, 4909.15, 4909.154, 4909.17 and 4909.18. The Staff Report should have recommended a rate of return of 6.47% or lower.</w:t>
        </w:r>
        <w:r>
          <w:rPr>
            <w:webHidden/>
          </w:rPr>
          <w:tab/>
        </w:r>
        <w:r>
          <w:rPr>
            <w:webHidden/>
          </w:rPr>
          <w:fldChar w:fldCharType="begin"/>
        </w:r>
        <w:r>
          <w:rPr>
            <w:webHidden/>
          </w:rPr>
          <w:instrText xml:space="preserve"> PAGEREF _Toc142923665 \h </w:instrText>
        </w:r>
        <w:r>
          <w:rPr>
            <w:webHidden/>
          </w:rPr>
          <w:fldChar w:fldCharType="separate"/>
        </w:r>
        <w:r>
          <w:rPr>
            <w:webHidden/>
          </w:rPr>
          <w:t>13</w:t>
        </w:r>
        <w:r>
          <w:rPr>
            <w:webHidden/>
          </w:rPr>
          <w:fldChar w:fldCharType="end"/>
        </w:r>
      </w:hyperlink>
    </w:p>
    <w:p w:rsidR="00275002" w14:paraId="74EE8B2B" w14:textId="28614C6D">
      <w:pPr>
        <w:pStyle w:val="TOC1"/>
        <w:rPr>
          <w:rFonts w:asciiTheme="minorHAnsi" w:eastAsiaTheme="minorEastAsia" w:hAnsiTheme="minorHAnsi"/>
          <w:noProof/>
          <w:kern w:val="2"/>
          <w:sz w:val="22"/>
          <w14:ligatures w14:val="standardContextual"/>
        </w:rPr>
      </w:pPr>
      <w:hyperlink w:anchor="_Toc142923666" w:history="1">
        <w:r w:rsidRPr="00810377">
          <w:rPr>
            <w:rStyle w:val="Hyperlink"/>
            <w:noProof/>
          </w:rPr>
          <w:t>IV.</w:t>
        </w:r>
        <w:r>
          <w:rPr>
            <w:rFonts w:asciiTheme="minorHAnsi" w:eastAsiaTheme="minorEastAsia" w:hAnsiTheme="minorHAnsi"/>
            <w:noProof/>
            <w:kern w:val="2"/>
            <w:sz w:val="22"/>
            <w14:ligatures w14:val="standardContextual"/>
          </w:rPr>
          <w:tab/>
        </w:r>
        <w:r w:rsidRPr="00810377">
          <w:rPr>
            <w:rStyle w:val="Hyperlink"/>
            <w:noProof/>
          </w:rPr>
          <w:t>CONCLUSION</w:t>
        </w:r>
        <w:r>
          <w:rPr>
            <w:noProof/>
            <w:webHidden/>
          </w:rPr>
          <w:tab/>
        </w:r>
        <w:r>
          <w:rPr>
            <w:noProof/>
            <w:webHidden/>
          </w:rPr>
          <w:fldChar w:fldCharType="begin"/>
        </w:r>
        <w:r>
          <w:rPr>
            <w:noProof/>
            <w:webHidden/>
          </w:rPr>
          <w:instrText xml:space="preserve"> PAGEREF _Toc142923666 \h </w:instrText>
        </w:r>
        <w:r>
          <w:rPr>
            <w:noProof/>
            <w:webHidden/>
          </w:rPr>
          <w:fldChar w:fldCharType="separate"/>
        </w:r>
        <w:r>
          <w:rPr>
            <w:noProof/>
            <w:webHidden/>
          </w:rPr>
          <w:t>14</w:t>
        </w:r>
        <w:r>
          <w:rPr>
            <w:noProof/>
            <w:webHidden/>
          </w:rPr>
          <w:fldChar w:fldCharType="end"/>
        </w:r>
      </w:hyperlink>
    </w:p>
    <w:p w:rsidR="00AC4DB5" w:rsidRPr="00AC4DB5" w:rsidP="00AC4DB5" w14:paraId="7311816F" w14:textId="7E5DDE8A">
      <w:pPr>
        <w:pStyle w:val="HTMLPreformatted"/>
        <w:jc w:val="right"/>
        <w:rPr>
          <w:rFonts w:ascii="Times New Roman" w:hAnsi="Times New Roman" w:cs="Times New Roman"/>
          <w:b/>
          <w:bCs/>
          <w:sz w:val="24"/>
          <w:szCs w:val="24"/>
        </w:rPr>
        <w:sectPr w:rsidSect="0084279C">
          <w:footerReference w:type="default" r:id="rId15"/>
          <w:pgSz w:w="12240" w:h="15840"/>
          <w:pgMar w:top="1440" w:right="1800" w:bottom="1440" w:left="1800" w:header="720" w:footer="720" w:gutter="0"/>
          <w:pgNumType w:fmt="lowerRoman" w:start="1"/>
          <w:cols w:space="720"/>
          <w:docGrid w:linePitch="360"/>
        </w:sectPr>
      </w:pPr>
      <w:r>
        <w:rPr>
          <w:rFonts w:ascii="Times New Roman" w:hAnsi="Times New Roman" w:eastAsiaTheme="minorHAnsi" w:cs="Times New Roman"/>
          <w:b/>
          <w:bCs/>
          <w:sz w:val="24"/>
          <w:szCs w:val="24"/>
        </w:rPr>
        <w:fldChar w:fldCharType="end"/>
      </w:r>
    </w:p>
    <w:p w:rsidR="00BC0D5D" w:rsidRPr="00E061E2" w:rsidP="00BC0D5D" w14:paraId="40D1BEC8" w14:textId="77777777">
      <w:pPr>
        <w:pStyle w:val="HTMLPreformatted"/>
        <w:jc w:val="center"/>
        <w:rPr>
          <w:rFonts w:ascii="Times New Roman" w:hAnsi="Times New Roman" w:cs="Times New Roman"/>
          <w:b/>
          <w:bCs/>
          <w:sz w:val="24"/>
          <w:szCs w:val="24"/>
        </w:rPr>
      </w:pPr>
      <w:r w:rsidRPr="00E061E2">
        <w:rPr>
          <w:rFonts w:ascii="Times New Roman" w:hAnsi="Times New Roman" w:cs="Times New Roman"/>
          <w:b/>
          <w:bCs/>
          <w:sz w:val="24"/>
          <w:szCs w:val="24"/>
        </w:rPr>
        <w:t>BEFORE</w:t>
      </w:r>
    </w:p>
    <w:p w:rsidR="00BC0D5D" w:rsidRPr="00E061E2" w:rsidP="00BC0D5D" w14:paraId="4990D2F3" w14:textId="77777777">
      <w:pPr>
        <w:pStyle w:val="HTMLPreformatted"/>
        <w:jc w:val="center"/>
        <w:rPr>
          <w:rFonts w:ascii="Times New Roman" w:hAnsi="Times New Roman" w:cs="Times New Roman"/>
          <w:sz w:val="24"/>
          <w:szCs w:val="24"/>
        </w:rPr>
      </w:pPr>
      <w:r w:rsidRPr="00E061E2">
        <w:rPr>
          <w:rFonts w:ascii="Times New Roman" w:hAnsi="Times New Roman" w:cs="Times New Roman"/>
          <w:b/>
          <w:bCs/>
          <w:sz w:val="24"/>
          <w:szCs w:val="24"/>
        </w:rPr>
        <w:t>THE PUBLIC UTILITIES COMMISSION OF OHIO</w:t>
      </w:r>
    </w:p>
    <w:p w:rsidR="00BC0D5D" w:rsidRPr="00E061E2" w:rsidP="00BC0D5D" w14:paraId="53F99B61" w14:textId="77777777">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14:paraId="05E3DD3E" w14:textId="77777777" w:rsidTr="00BB0054">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BC0D5D" w:rsidP="00BB0054" w14:paraId="29CAAFA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 xml:space="preserve">In the Matter of the Application of </w:t>
            </w:r>
          </w:p>
          <w:p w:rsidR="00BC0D5D" w:rsidP="00BB0054" w14:paraId="4F344F80" w14:textId="65A2CF9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Aqua Ohio,</w:t>
            </w:r>
            <w:r w:rsidR="00A32735">
              <w:rPr>
                <w:rFonts w:ascii="Times New Roman" w:eastAsia="Times New Roman" w:hAnsi="Times New Roman" w:cs="Times New Roman"/>
                <w:kern w:val="0"/>
                <w:sz w:val="24"/>
                <w:szCs w:val="24"/>
                <w:lang w:val="en-US" w:eastAsia="en-US" w:bidi="ar-SA"/>
                <w14:ligatures w14:val="none"/>
              </w:rPr>
              <w:t xml:space="preserve"> Wastewater</w:t>
            </w:r>
            <w:r>
              <w:rPr>
                <w:rFonts w:ascii="Times New Roman" w:eastAsia="Times New Roman" w:hAnsi="Times New Roman" w:cs="Times New Roman"/>
                <w:kern w:val="0"/>
                <w:sz w:val="24"/>
                <w:szCs w:val="24"/>
                <w:lang w:val="en-US" w:eastAsia="en-US" w:bidi="ar-SA"/>
                <w14:ligatures w14:val="none"/>
              </w:rPr>
              <w:t xml:space="preserve"> Inc., to Increase its Rates and Charges for its Wa</w:t>
            </w:r>
            <w:r w:rsidR="00A32735">
              <w:rPr>
                <w:rFonts w:ascii="Times New Roman" w:eastAsia="Times New Roman" w:hAnsi="Times New Roman" w:cs="Times New Roman"/>
                <w:kern w:val="0"/>
                <w:sz w:val="24"/>
                <w:szCs w:val="24"/>
                <w:lang w:val="en-US" w:eastAsia="en-US" w:bidi="ar-SA"/>
                <w14:ligatures w14:val="none"/>
              </w:rPr>
              <w:t>stewater</w:t>
            </w:r>
            <w:r>
              <w:rPr>
                <w:rFonts w:ascii="Times New Roman" w:eastAsia="Times New Roman" w:hAnsi="Times New Roman" w:cs="Times New Roman"/>
                <w:kern w:val="0"/>
                <w:sz w:val="24"/>
                <w:szCs w:val="24"/>
                <w:lang w:val="en-US" w:eastAsia="en-US" w:bidi="ar-SA"/>
                <w14:ligatures w14:val="none"/>
              </w:rPr>
              <w:t xml:space="preserve"> Service.</w:t>
            </w:r>
          </w:p>
          <w:p w:rsidR="00BC0D5D" w:rsidRPr="00E061E2" w:rsidP="00BB0054" w14:paraId="308F5795" w14:textId="6C6FC57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tc>
        <w:tc>
          <w:tcPr>
            <w:tcW w:w="360" w:type="dxa"/>
            <w:shd w:val="clear" w:color="auto" w:fill="auto"/>
          </w:tcPr>
          <w:p w:rsidR="00BC0D5D" w:rsidRPr="00E061E2" w:rsidP="00BB0054" w14:paraId="061FC95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w:t>
            </w:r>
          </w:p>
          <w:p w:rsidR="00BC0D5D" w:rsidRPr="00E061E2" w:rsidP="00BB0054" w14:paraId="0C7C1A2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w:t>
            </w:r>
          </w:p>
          <w:p w:rsidR="00BC0D5D" w:rsidP="00BB0054" w14:paraId="1002F95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w:t>
            </w:r>
          </w:p>
          <w:p w:rsidR="00A32735" w:rsidP="00BB0054" w14:paraId="13A46DA6" w14:textId="260F32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w:t>
            </w:r>
          </w:p>
          <w:p w:rsidR="00BC0D5D" w:rsidRPr="00E061E2" w:rsidP="00E567E2" w14:paraId="7D6E44C6" w14:textId="004BF35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tc>
        <w:tc>
          <w:tcPr>
            <w:tcW w:w="4400" w:type="dxa"/>
            <w:shd w:val="clear" w:color="auto" w:fill="auto"/>
          </w:tcPr>
          <w:p w:rsidR="00BC0D5D" w:rsidRPr="00E061E2" w:rsidP="00BB0054" w14:paraId="0A51482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p w:rsidR="00BC0D5D" w:rsidRPr="00E061E2" w:rsidP="00BB0054" w14:paraId="6B49F37B" w14:textId="483E747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r w:rsidRPr="00E061E2">
              <w:rPr>
                <w:rFonts w:ascii="Times New Roman" w:eastAsia="Times New Roman" w:hAnsi="Times New Roman" w:cs="Times New Roman"/>
                <w:kern w:val="0"/>
                <w:sz w:val="24"/>
                <w:szCs w:val="24"/>
                <w:lang w:val="en-US" w:eastAsia="en-US" w:bidi="ar-SA"/>
                <w14:ligatures w14:val="none"/>
              </w:rPr>
              <w:t>Case No. 2</w:t>
            </w:r>
            <w:r>
              <w:rPr>
                <w:rFonts w:ascii="Times New Roman" w:eastAsia="Times New Roman" w:hAnsi="Times New Roman" w:cs="Times New Roman"/>
                <w:kern w:val="0"/>
                <w:sz w:val="24"/>
                <w:szCs w:val="24"/>
                <w:lang w:val="en-US" w:eastAsia="en-US" w:bidi="ar-SA"/>
                <w14:ligatures w14:val="none"/>
              </w:rPr>
              <w:t>2-109</w:t>
            </w:r>
            <w:r w:rsidR="00A32735">
              <w:rPr>
                <w:rFonts w:ascii="Times New Roman" w:eastAsia="Times New Roman" w:hAnsi="Times New Roman" w:cs="Times New Roman"/>
                <w:kern w:val="0"/>
                <w:sz w:val="24"/>
                <w:szCs w:val="24"/>
                <w:lang w:val="en-US" w:eastAsia="en-US" w:bidi="ar-SA"/>
                <w14:ligatures w14:val="none"/>
              </w:rPr>
              <w:t>6</w:t>
            </w:r>
            <w:r>
              <w:rPr>
                <w:rFonts w:ascii="Times New Roman" w:eastAsia="Times New Roman" w:hAnsi="Times New Roman" w:cs="Times New Roman"/>
                <w:kern w:val="0"/>
                <w:sz w:val="24"/>
                <w:szCs w:val="24"/>
                <w:lang w:val="en-US" w:eastAsia="en-US" w:bidi="ar-SA"/>
                <w14:ligatures w14:val="none"/>
              </w:rPr>
              <w:t>-</w:t>
            </w:r>
            <w:r w:rsidR="00A32735">
              <w:rPr>
                <w:rFonts w:ascii="Times New Roman" w:eastAsia="Times New Roman" w:hAnsi="Times New Roman" w:cs="Times New Roman"/>
                <w:kern w:val="0"/>
                <w:sz w:val="24"/>
                <w:szCs w:val="24"/>
                <w:lang w:val="en-US" w:eastAsia="en-US" w:bidi="ar-SA"/>
                <w14:ligatures w14:val="none"/>
              </w:rPr>
              <w:t>ST</w:t>
            </w:r>
            <w:r>
              <w:rPr>
                <w:rFonts w:ascii="Times New Roman" w:eastAsia="Times New Roman" w:hAnsi="Times New Roman" w:cs="Times New Roman"/>
                <w:kern w:val="0"/>
                <w:sz w:val="24"/>
                <w:szCs w:val="24"/>
                <w:lang w:val="en-US" w:eastAsia="en-US" w:bidi="ar-SA"/>
                <w14:ligatures w14:val="none"/>
              </w:rPr>
              <w:t>-AIR</w:t>
            </w:r>
          </w:p>
          <w:p w:rsidR="00BC0D5D" w:rsidP="00BB0054" w14:paraId="0F0EA46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p w:rsidR="00BC0D5D" w:rsidRPr="00E061E2" w:rsidP="00E567E2" w14:paraId="0705D5B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US" w:eastAsia="en-US" w:bidi="ar-SA"/>
                <w14:ligatures w14:val="none"/>
              </w:rPr>
            </w:pPr>
          </w:p>
        </w:tc>
      </w:tr>
    </w:tbl>
    <w:p w:rsidR="00BC0D5D" w:rsidRPr="00E061E2" w:rsidP="00BC0D5D" w14:paraId="11AB4342" w14:textId="7CC32E90">
      <w:pPr>
        <w:pStyle w:val="HTMLPreformatted"/>
        <w:rPr>
          <w:rFonts w:ascii="Times New Roman" w:hAnsi="Times New Roman" w:cs="Times New Roman"/>
          <w:sz w:val="24"/>
          <w:szCs w:val="24"/>
        </w:rPr>
      </w:pPr>
    </w:p>
    <w:p w:rsidR="00BC0D5D" w:rsidP="00BC0D5D" w14:paraId="723FE323" w14:textId="77777777">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p>
    <w:p w:rsidR="00AE1DE5" w:rsidP="00BC0D5D" w14:paraId="317C9E45" w14:textId="681FEFE4">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OBJECTIONS TO THE PUCO STAFF REPORT</w:t>
      </w:r>
    </w:p>
    <w:p w:rsidR="00BC0D5D" w:rsidP="00BC0D5D" w14:paraId="6B7BBFB9" w14:textId="0082B594">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BY </w:t>
      </w:r>
    </w:p>
    <w:p w:rsidR="00BC0D5D" w:rsidRPr="00E061E2" w:rsidP="00BC0D5D" w14:paraId="057711A0" w14:textId="77777777">
      <w:pPr>
        <w:pBdr>
          <w:top w:val="single" w:sz="12" w:space="1" w:color="auto"/>
        </w:pBdr>
        <w:tabs>
          <w:tab w:val="left" w:pos="-720"/>
        </w:tabs>
        <w:suppressAutoHyphens/>
        <w:spacing w:after="0"/>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OFFICE OF THE OHIO CONSUMERS’ COUNSEL</w:t>
      </w:r>
    </w:p>
    <w:bookmarkEnd w:id="0"/>
    <w:p w:rsidR="00BC0D5D" w:rsidRPr="00E061E2" w:rsidP="00BC0D5D" w14:paraId="43EBCC84" w14:textId="77777777">
      <w:pPr>
        <w:pBdr>
          <w:bottom w:val="single" w:sz="12" w:space="1" w:color="auto"/>
        </w:pBdr>
        <w:tabs>
          <w:tab w:val="left" w:pos="-720"/>
        </w:tabs>
        <w:suppressAutoHyphens/>
        <w:jc w:val="center"/>
        <w:rPr>
          <w:rFonts w:ascii="Times New Roman" w:hAnsi="Times New Roman" w:cs="Times New Roman"/>
          <w:b/>
          <w:bCs/>
          <w:spacing w:val="-3"/>
          <w:sz w:val="24"/>
          <w:szCs w:val="24"/>
        </w:rPr>
      </w:pPr>
    </w:p>
    <w:p w:rsidR="00D914BB" w:rsidP="006A70BC" w14:paraId="0C3775B8" w14:textId="66DE41F9">
      <w:pPr>
        <w:pStyle w:val="Heading1"/>
      </w:pPr>
      <w:bookmarkStart w:id="1" w:name="_Toc98165609"/>
      <w:bookmarkStart w:id="2" w:name="_Toc142639507"/>
      <w:bookmarkStart w:id="3" w:name="_Toc142923653"/>
      <w:r>
        <w:t>INTRODUCTION</w:t>
      </w:r>
      <w:bookmarkEnd w:id="1"/>
      <w:bookmarkEnd w:id="2"/>
      <w:bookmarkEnd w:id="3"/>
    </w:p>
    <w:p w:rsidR="00DB6637" w:rsidP="00567181" w14:paraId="685F1003" w14:textId="19A845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Ohio’s residential utility consumers are being squeezed in all directions by inflation, rising energy costs, and increases in electric and natural gas distribution rates. Now, </w:t>
      </w:r>
      <w:r w:rsidRPr="00D914BB" w:rsidR="00D914BB">
        <w:rPr>
          <w:rFonts w:ascii="Times New Roman" w:hAnsi="Times New Roman" w:cs="Times New Roman"/>
          <w:sz w:val="24"/>
          <w:szCs w:val="24"/>
        </w:rPr>
        <w:t>Aqua Ohio,</w:t>
      </w:r>
      <w:r w:rsidR="00A32735">
        <w:rPr>
          <w:rFonts w:ascii="Times New Roman" w:hAnsi="Times New Roman" w:cs="Times New Roman"/>
          <w:sz w:val="24"/>
          <w:szCs w:val="24"/>
        </w:rPr>
        <w:t xml:space="preserve"> Wastewater</w:t>
      </w:r>
      <w:r w:rsidRPr="00D914BB" w:rsidR="00D914BB">
        <w:rPr>
          <w:rFonts w:ascii="Times New Roman" w:hAnsi="Times New Roman" w:cs="Times New Roman"/>
          <w:sz w:val="24"/>
          <w:szCs w:val="24"/>
        </w:rPr>
        <w:t xml:space="preserve"> Inc. (“Aqua”) </w:t>
      </w:r>
      <w:r>
        <w:rPr>
          <w:rFonts w:ascii="Times New Roman" w:hAnsi="Times New Roman" w:cs="Times New Roman"/>
          <w:sz w:val="24"/>
          <w:szCs w:val="24"/>
        </w:rPr>
        <w:t xml:space="preserve">wants </w:t>
      </w:r>
      <w:r w:rsidRPr="00D914BB" w:rsidR="00D914BB">
        <w:rPr>
          <w:rFonts w:ascii="Times New Roman" w:hAnsi="Times New Roman" w:cs="Times New Roman"/>
          <w:sz w:val="24"/>
          <w:szCs w:val="24"/>
        </w:rPr>
        <w:t xml:space="preserve">to increase the annual amount that it charges consumers by an additional </w:t>
      </w:r>
      <w:r w:rsidR="008B554C">
        <w:rPr>
          <w:rFonts w:ascii="Times New Roman" w:hAnsi="Times New Roman" w:cs="Times New Roman"/>
          <w:sz w:val="24"/>
          <w:szCs w:val="24"/>
        </w:rPr>
        <w:t>$451,842</w:t>
      </w:r>
      <w:r w:rsidRPr="00D914BB" w:rsidR="00D914BB">
        <w:rPr>
          <w:rFonts w:ascii="Times New Roman" w:hAnsi="Times New Roman" w:cs="Times New Roman"/>
          <w:sz w:val="24"/>
          <w:szCs w:val="24"/>
        </w:rPr>
        <w:t xml:space="preserve"> for </w:t>
      </w:r>
      <w:r w:rsidR="008B554C">
        <w:rPr>
          <w:rFonts w:ascii="Times New Roman" w:hAnsi="Times New Roman" w:cs="Times New Roman"/>
          <w:sz w:val="24"/>
          <w:szCs w:val="24"/>
        </w:rPr>
        <w:t>wastewater</w:t>
      </w:r>
      <w:r w:rsidRPr="00D914BB" w:rsidR="00D914BB">
        <w:rPr>
          <w:rFonts w:ascii="Times New Roman" w:hAnsi="Times New Roman" w:cs="Times New Roman"/>
          <w:sz w:val="24"/>
          <w:szCs w:val="24"/>
        </w:rPr>
        <w:t xml:space="preserve"> service.</w:t>
      </w:r>
      <w:r>
        <w:rPr>
          <w:rStyle w:val="FootnoteReference"/>
          <w:rFonts w:ascii="Times New Roman" w:hAnsi="Times New Roman" w:cs="Times New Roman"/>
          <w:sz w:val="24"/>
          <w:szCs w:val="24"/>
        </w:rPr>
        <w:footnoteReference w:id="2"/>
      </w:r>
      <w:r w:rsidRPr="00D914BB" w:rsidR="00D914BB">
        <w:rPr>
          <w:rFonts w:ascii="Times New Roman" w:hAnsi="Times New Roman" w:cs="Times New Roman"/>
          <w:sz w:val="24"/>
          <w:szCs w:val="24"/>
        </w:rPr>
        <w:t xml:space="preserve"> </w:t>
      </w:r>
      <w:r w:rsidR="0020009A">
        <w:rPr>
          <w:rFonts w:ascii="Times New Roman" w:hAnsi="Times New Roman" w:cs="Times New Roman"/>
          <w:sz w:val="24"/>
          <w:szCs w:val="24"/>
        </w:rPr>
        <w:t>This</w:t>
      </w:r>
      <w:r w:rsidR="008B554C">
        <w:rPr>
          <w:rFonts w:ascii="Times New Roman" w:hAnsi="Times New Roman" w:cs="Times New Roman"/>
          <w:sz w:val="24"/>
          <w:szCs w:val="24"/>
        </w:rPr>
        <w:t xml:space="preserve"> approximate 12%</w:t>
      </w:r>
      <w:r w:rsidR="00D476A3">
        <w:rPr>
          <w:rFonts w:ascii="Times New Roman" w:hAnsi="Times New Roman" w:cs="Times New Roman"/>
          <w:sz w:val="24"/>
          <w:szCs w:val="24"/>
        </w:rPr>
        <w:t xml:space="preserve"> </w:t>
      </w:r>
      <w:r>
        <w:rPr>
          <w:rFonts w:ascii="Times New Roman" w:hAnsi="Times New Roman" w:cs="Times New Roman"/>
          <w:sz w:val="24"/>
          <w:szCs w:val="24"/>
        </w:rPr>
        <w:t>increase</w:t>
      </w:r>
      <w:r w:rsidR="0020009A">
        <w:rPr>
          <w:rFonts w:ascii="Times New Roman" w:hAnsi="Times New Roman" w:cs="Times New Roman"/>
          <w:sz w:val="24"/>
          <w:szCs w:val="24"/>
        </w:rPr>
        <w:t xml:space="preserve"> would be </w:t>
      </w:r>
      <w:r w:rsidR="0020009A">
        <w:rPr>
          <w:rFonts w:ascii="Times New Roman" w:hAnsi="Times New Roman" w:cs="Times New Roman"/>
          <w:i/>
          <w:iCs/>
          <w:sz w:val="24"/>
          <w:szCs w:val="24"/>
        </w:rPr>
        <w:t>in addition to</w:t>
      </w:r>
      <w:r w:rsidR="0020009A">
        <w:rPr>
          <w:rFonts w:ascii="Times New Roman" w:hAnsi="Times New Roman" w:cs="Times New Roman"/>
          <w:sz w:val="24"/>
          <w:szCs w:val="24"/>
        </w:rPr>
        <w:t xml:space="preserve"> the rate increase that the PUCO authorized Aqua Ohio to charge consumers </w:t>
      </w:r>
      <w:r w:rsidRPr="00B12001" w:rsidR="0020009A">
        <w:rPr>
          <w:rFonts w:ascii="Times New Roman" w:hAnsi="Times New Roman" w:cs="Times New Roman"/>
          <w:i/>
          <w:iCs/>
          <w:sz w:val="24"/>
          <w:szCs w:val="24"/>
        </w:rPr>
        <w:t>less than a year ago</w:t>
      </w:r>
      <w:r w:rsidR="0020009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AC4DB5">
        <w:rPr>
          <w:rFonts w:ascii="Times New Roman" w:hAnsi="Times New Roman" w:cs="Times New Roman"/>
          <w:sz w:val="24"/>
          <w:szCs w:val="24"/>
        </w:rPr>
        <w:t xml:space="preserve"> </w:t>
      </w:r>
    </w:p>
    <w:p w:rsidR="00D914BB" w:rsidRPr="00D914BB" w:rsidP="00567181" w14:paraId="46ABCBE4" w14:textId="3254AD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encouraging news for consumers, t</w:t>
      </w:r>
      <w:r w:rsidRPr="00D914BB">
        <w:rPr>
          <w:rFonts w:ascii="Times New Roman" w:hAnsi="Times New Roman" w:cs="Times New Roman"/>
          <w:sz w:val="24"/>
          <w:szCs w:val="24"/>
        </w:rPr>
        <w:t>he</w:t>
      </w:r>
      <w:r w:rsidR="00567181">
        <w:rPr>
          <w:rFonts w:ascii="Times New Roman" w:hAnsi="Times New Roman" w:cs="Times New Roman"/>
          <w:sz w:val="24"/>
          <w:szCs w:val="24"/>
        </w:rPr>
        <w:t xml:space="preserve"> </w:t>
      </w:r>
      <w:r w:rsidRPr="00D914BB" w:rsidR="00567181">
        <w:rPr>
          <w:rFonts w:ascii="Times New Roman" w:hAnsi="Times New Roman" w:cs="Times New Roman"/>
          <w:sz w:val="24"/>
          <w:szCs w:val="24"/>
        </w:rPr>
        <w:t>Staff</w:t>
      </w:r>
      <w:r w:rsidR="00567181">
        <w:rPr>
          <w:rFonts w:ascii="Times New Roman" w:hAnsi="Times New Roman" w:cs="Times New Roman"/>
          <w:sz w:val="24"/>
          <w:szCs w:val="24"/>
        </w:rPr>
        <w:t xml:space="preserve"> of the</w:t>
      </w:r>
      <w:r w:rsidRPr="00D914BB">
        <w:rPr>
          <w:rFonts w:ascii="Times New Roman" w:hAnsi="Times New Roman" w:cs="Times New Roman"/>
          <w:sz w:val="24"/>
          <w:szCs w:val="24"/>
        </w:rPr>
        <w:t xml:space="preserve"> Public Utilities Commission of Ohio</w:t>
      </w:r>
      <w:r w:rsidR="00567181">
        <w:rPr>
          <w:rFonts w:ascii="Times New Roman" w:hAnsi="Times New Roman" w:cs="Times New Roman"/>
          <w:sz w:val="24"/>
          <w:szCs w:val="24"/>
        </w:rPr>
        <w:t xml:space="preserve"> (“PUCO”)</w:t>
      </w:r>
      <w:r w:rsidRPr="00D914BB">
        <w:rPr>
          <w:rFonts w:ascii="Times New Roman" w:hAnsi="Times New Roman" w:cs="Times New Roman"/>
          <w:sz w:val="24"/>
          <w:szCs w:val="24"/>
        </w:rPr>
        <w:t xml:space="preserve"> and its auditor recommend</w:t>
      </w:r>
      <w:r w:rsidR="00A72F73">
        <w:rPr>
          <w:rFonts w:ascii="Times New Roman" w:hAnsi="Times New Roman" w:cs="Times New Roman"/>
          <w:sz w:val="24"/>
          <w:szCs w:val="24"/>
        </w:rPr>
        <w:t xml:space="preserve"> that</w:t>
      </w:r>
      <w:r w:rsidRPr="00D914BB">
        <w:rPr>
          <w:rFonts w:ascii="Times New Roman" w:hAnsi="Times New Roman" w:cs="Times New Roman"/>
          <w:sz w:val="24"/>
          <w:szCs w:val="24"/>
        </w:rPr>
        <w:t xml:space="preserve"> </w:t>
      </w:r>
      <w:r w:rsidR="00567181">
        <w:rPr>
          <w:rFonts w:ascii="Times New Roman" w:hAnsi="Times New Roman" w:cs="Times New Roman"/>
          <w:sz w:val="24"/>
          <w:szCs w:val="24"/>
        </w:rPr>
        <w:t>Aqua</w:t>
      </w:r>
      <w:r w:rsidR="00A72F73">
        <w:rPr>
          <w:rFonts w:ascii="Times New Roman" w:hAnsi="Times New Roman" w:cs="Times New Roman"/>
          <w:sz w:val="24"/>
          <w:szCs w:val="24"/>
        </w:rPr>
        <w:t xml:space="preserve"> be allowed to charge</w:t>
      </w:r>
      <w:r w:rsidR="00567181">
        <w:rPr>
          <w:rFonts w:ascii="Times New Roman" w:hAnsi="Times New Roman" w:cs="Times New Roman"/>
          <w:sz w:val="24"/>
          <w:szCs w:val="24"/>
        </w:rPr>
        <w:t xml:space="preserve"> </w:t>
      </w:r>
      <w:r w:rsidRPr="00D914BB">
        <w:rPr>
          <w:rFonts w:ascii="Times New Roman" w:hAnsi="Times New Roman" w:cs="Times New Roman"/>
          <w:sz w:val="24"/>
          <w:szCs w:val="24"/>
        </w:rPr>
        <w:t xml:space="preserve">consumers </w:t>
      </w:r>
      <w:r>
        <w:rPr>
          <w:rFonts w:ascii="Times New Roman" w:hAnsi="Times New Roman" w:cs="Times New Roman"/>
          <w:sz w:val="24"/>
          <w:szCs w:val="24"/>
        </w:rPr>
        <w:t xml:space="preserve">no more than </w:t>
      </w:r>
      <w:r w:rsidR="00A72F73">
        <w:rPr>
          <w:rFonts w:ascii="Times New Roman" w:hAnsi="Times New Roman" w:cs="Times New Roman"/>
          <w:sz w:val="24"/>
          <w:szCs w:val="24"/>
        </w:rPr>
        <w:t xml:space="preserve">an additional </w:t>
      </w:r>
      <w:r w:rsidR="00711C95">
        <w:rPr>
          <w:rFonts w:ascii="Times New Roman" w:hAnsi="Times New Roman" w:cs="Times New Roman"/>
          <w:sz w:val="24"/>
          <w:szCs w:val="24"/>
        </w:rPr>
        <w:t>$</w:t>
      </w:r>
      <w:r w:rsidR="00C75C85">
        <w:rPr>
          <w:rFonts w:ascii="Times New Roman" w:hAnsi="Times New Roman" w:cs="Times New Roman"/>
          <w:sz w:val="24"/>
          <w:szCs w:val="24"/>
        </w:rPr>
        <w:t>272,962</w:t>
      </w:r>
      <w:r w:rsidRPr="00D914BB">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D914BB">
        <w:rPr>
          <w:rFonts w:ascii="Times New Roman" w:hAnsi="Times New Roman" w:cs="Times New Roman"/>
          <w:sz w:val="24"/>
          <w:szCs w:val="24"/>
        </w:rPr>
        <w:t xml:space="preserve"> </w:t>
      </w:r>
      <w:r w:rsidR="00A72F73">
        <w:rPr>
          <w:rFonts w:ascii="Times New Roman" w:hAnsi="Times New Roman" w:cs="Times New Roman"/>
          <w:sz w:val="24"/>
          <w:szCs w:val="24"/>
        </w:rPr>
        <w:t>However, the</w:t>
      </w:r>
      <w:r w:rsidR="00711C95">
        <w:rPr>
          <w:rFonts w:ascii="Times New Roman" w:hAnsi="Times New Roman" w:cs="Times New Roman"/>
          <w:sz w:val="24"/>
          <w:szCs w:val="24"/>
        </w:rPr>
        <w:t xml:space="preserve"> PUCO Staff’s recommendation</w:t>
      </w:r>
      <w:r w:rsidR="00567181">
        <w:rPr>
          <w:rFonts w:ascii="Times New Roman" w:hAnsi="Times New Roman" w:cs="Times New Roman"/>
          <w:sz w:val="24"/>
          <w:szCs w:val="24"/>
        </w:rPr>
        <w:t>s</w:t>
      </w:r>
      <w:r w:rsidR="00711C95">
        <w:rPr>
          <w:rFonts w:ascii="Times New Roman" w:hAnsi="Times New Roman" w:cs="Times New Roman"/>
          <w:sz w:val="24"/>
          <w:szCs w:val="24"/>
        </w:rPr>
        <w:t xml:space="preserve"> would </w:t>
      </w:r>
      <w:r w:rsidR="00DB6637">
        <w:rPr>
          <w:rFonts w:ascii="Times New Roman" w:hAnsi="Times New Roman" w:cs="Times New Roman"/>
          <w:sz w:val="24"/>
          <w:szCs w:val="24"/>
        </w:rPr>
        <w:t xml:space="preserve">nonetheless </w:t>
      </w:r>
      <w:r w:rsidR="00711C95">
        <w:rPr>
          <w:rFonts w:ascii="Times New Roman" w:hAnsi="Times New Roman" w:cs="Times New Roman"/>
          <w:sz w:val="24"/>
          <w:szCs w:val="24"/>
        </w:rPr>
        <w:t xml:space="preserve">result in unjust and unreasonable rates for Aqua’s consumers in violation of Ohio law, including R.C. 4905.22, 4909.15, </w:t>
      </w:r>
      <w:r w:rsidR="00567181">
        <w:rPr>
          <w:rFonts w:ascii="Times New Roman" w:hAnsi="Times New Roman" w:cs="Times New Roman"/>
          <w:sz w:val="24"/>
          <w:szCs w:val="24"/>
        </w:rPr>
        <w:t>4909.154, 4909.17, and 4909.18.</w:t>
      </w:r>
      <w:r w:rsidR="00711C95">
        <w:rPr>
          <w:rFonts w:ascii="Times New Roman" w:hAnsi="Times New Roman" w:cs="Times New Roman"/>
          <w:sz w:val="24"/>
          <w:szCs w:val="24"/>
        </w:rPr>
        <w:t xml:space="preserve"> </w:t>
      </w:r>
    </w:p>
    <w:p w:rsidR="00D914BB" w:rsidRPr="00D914BB" w:rsidP="00D914BB" w14:paraId="47B9BE92" w14:textId="176A7352">
      <w:pPr>
        <w:spacing w:after="0" w:line="480" w:lineRule="auto"/>
        <w:ind w:firstLine="720"/>
        <w:rPr>
          <w:rFonts w:ascii="Times New Roman" w:hAnsi="Times New Roman" w:cs="Times New Roman"/>
          <w:sz w:val="24"/>
          <w:szCs w:val="24"/>
        </w:rPr>
      </w:pPr>
      <w:r w:rsidRPr="00D914BB">
        <w:rPr>
          <w:rFonts w:ascii="Times New Roman" w:hAnsi="Times New Roman" w:cs="Times New Roman"/>
          <w:sz w:val="24"/>
          <w:szCs w:val="24"/>
        </w:rPr>
        <w:t xml:space="preserve">Larkin &amp; Associates, PLLC (“Larkin”) </w:t>
      </w:r>
      <w:r w:rsidR="001455B8">
        <w:rPr>
          <w:rFonts w:ascii="Times New Roman" w:hAnsi="Times New Roman" w:cs="Times New Roman"/>
          <w:sz w:val="24"/>
          <w:szCs w:val="24"/>
        </w:rPr>
        <w:t xml:space="preserve">was selected by the PUCO to </w:t>
      </w:r>
      <w:r w:rsidRPr="00D914BB">
        <w:rPr>
          <w:rFonts w:ascii="Times New Roman" w:hAnsi="Times New Roman" w:cs="Times New Roman"/>
          <w:sz w:val="24"/>
          <w:szCs w:val="24"/>
        </w:rPr>
        <w:t>conduct the audit of the revenue requirement, rate base, and net operating income proposed by Aqua. Larkin subcontracted with Acadian Consulting Group (“ACG”) to address the cost of service, revenue distribution</w:t>
      </w:r>
      <w:r w:rsidR="001455B8">
        <w:rPr>
          <w:rFonts w:ascii="Times New Roman" w:hAnsi="Times New Roman" w:cs="Times New Roman"/>
          <w:sz w:val="24"/>
          <w:szCs w:val="24"/>
        </w:rPr>
        <w:t>,</w:t>
      </w:r>
      <w:r w:rsidRPr="00D914BB">
        <w:rPr>
          <w:rFonts w:ascii="Times New Roman" w:hAnsi="Times New Roman" w:cs="Times New Roman"/>
          <w:sz w:val="24"/>
          <w:szCs w:val="24"/>
        </w:rPr>
        <w:t xml:space="preserve"> and rate design issues. </w:t>
      </w:r>
      <w:r w:rsidR="005013CA">
        <w:rPr>
          <w:rFonts w:ascii="Times New Roman" w:hAnsi="Times New Roman" w:cs="Times New Roman"/>
          <w:sz w:val="24"/>
          <w:szCs w:val="24"/>
        </w:rPr>
        <w:t xml:space="preserve">The </w:t>
      </w:r>
      <w:r w:rsidRPr="00D914BB">
        <w:rPr>
          <w:rFonts w:ascii="Times New Roman" w:hAnsi="Times New Roman" w:cs="Times New Roman"/>
          <w:sz w:val="24"/>
          <w:szCs w:val="24"/>
        </w:rPr>
        <w:t xml:space="preserve">PUCO Staff performed a rate of return </w:t>
      </w:r>
      <w:r w:rsidR="00FC3BF8">
        <w:rPr>
          <w:rFonts w:ascii="Times New Roman" w:hAnsi="Times New Roman" w:cs="Times New Roman"/>
          <w:sz w:val="24"/>
          <w:szCs w:val="24"/>
        </w:rPr>
        <w:t xml:space="preserve">(profit) </w:t>
      </w:r>
      <w:r w:rsidRPr="00D914BB">
        <w:rPr>
          <w:rFonts w:ascii="Times New Roman" w:hAnsi="Times New Roman" w:cs="Times New Roman"/>
          <w:sz w:val="24"/>
          <w:szCs w:val="24"/>
        </w:rPr>
        <w:t xml:space="preserve">analysis and service monitoring and enforcement investigation. Larkin’s audit report was filed on </w:t>
      </w:r>
      <w:r w:rsidR="00B12001">
        <w:rPr>
          <w:rFonts w:ascii="Times New Roman" w:hAnsi="Times New Roman" w:cs="Times New Roman"/>
          <w:sz w:val="24"/>
          <w:szCs w:val="24"/>
        </w:rPr>
        <w:t>July 13</w:t>
      </w:r>
      <w:r w:rsidRPr="00D914BB">
        <w:rPr>
          <w:rFonts w:ascii="Times New Roman" w:hAnsi="Times New Roman" w:cs="Times New Roman"/>
          <w:sz w:val="24"/>
          <w:szCs w:val="24"/>
        </w:rPr>
        <w:t>, 202</w:t>
      </w:r>
      <w:r w:rsidR="00B12001">
        <w:rPr>
          <w:rFonts w:ascii="Times New Roman" w:hAnsi="Times New Roman" w:cs="Times New Roman"/>
          <w:sz w:val="24"/>
          <w:szCs w:val="24"/>
        </w:rPr>
        <w:t>3</w:t>
      </w:r>
      <w:r w:rsidRPr="00D914BB">
        <w:rPr>
          <w:rFonts w:ascii="Times New Roman" w:hAnsi="Times New Roman" w:cs="Times New Roman"/>
          <w:sz w:val="24"/>
          <w:szCs w:val="24"/>
        </w:rPr>
        <w:t xml:space="preserve">. The combined efforts of Larkin, ACG, and the PUCO Staff form the </w:t>
      </w:r>
      <w:r w:rsidR="00567181">
        <w:rPr>
          <w:rFonts w:ascii="Times New Roman" w:hAnsi="Times New Roman" w:cs="Times New Roman"/>
          <w:sz w:val="24"/>
          <w:szCs w:val="24"/>
        </w:rPr>
        <w:t xml:space="preserve">July 13, 2023 </w:t>
      </w:r>
      <w:r w:rsidRPr="00D914BB">
        <w:rPr>
          <w:rFonts w:ascii="Times New Roman" w:hAnsi="Times New Roman" w:cs="Times New Roman"/>
          <w:sz w:val="24"/>
          <w:szCs w:val="24"/>
        </w:rPr>
        <w:t xml:space="preserve">Staff Report. </w:t>
      </w:r>
    </w:p>
    <w:p w:rsidR="00D914BB" w:rsidRPr="00D914BB" w:rsidP="00D914BB" w14:paraId="3BD0D196" w14:textId="414E0979">
      <w:pPr>
        <w:spacing w:after="0" w:line="480" w:lineRule="auto"/>
        <w:ind w:firstLine="720"/>
        <w:rPr>
          <w:rFonts w:ascii="Times New Roman" w:hAnsi="Times New Roman" w:cs="Times New Roman"/>
          <w:sz w:val="24"/>
          <w:szCs w:val="24"/>
        </w:rPr>
      </w:pPr>
      <w:r w:rsidRPr="00D914BB">
        <w:rPr>
          <w:rFonts w:ascii="Times New Roman" w:hAnsi="Times New Roman" w:cs="Times New Roman"/>
          <w:sz w:val="24"/>
          <w:szCs w:val="24"/>
        </w:rPr>
        <w:t>The Office of the Ohio Consumers’ Counsel (“OCC”) appreciates the Audit Report analysis and the Staff Report</w:t>
      </w:r>
      <w:r w:rsidR="00567181">
        <w:rPr>
          <w:rFonts w:ascii="Times New Roman" w:hAnsi="Times New Roman" w:cs="Times New Roman"/>
          <w:sz w:val="24"/>
          <w:szCs w:val="24"/>
        </w:rPr>
        <w:t>’s</w:t>
      </w:r>
      <w:r w:rsidRPr="00D914BB">
        <w:rPr>
          <w:rFonts w:ascii="Times New Roman" w:hAnsi="Times New Roman" w:cs="Times New Roman"/>
          <w:sz w:val="24"/>
          <w:szCs w:val="24"/>
        </w:rPr>
        <w:t xml:space="preserve"> recommendations that </w:t>
      </w:r>
      <w:r w:rsidR="00FC3BF8">
        <w:rPr>
          <w:rFonts w:ascii="Times New Roman" w:hAnsi="Times New Roman" w:cs="Times New Roman"/>
          <w:sz w:val="24"/>
          <w:szCs w:val="24"/>
        </w:rPr>
        <w:t>would overcome for</w:t>
      </w:r>
      <w:r w:rsidRPr="00D914BB" w:rsidR="00FC3BF8">
        <w:rPr>
          <w:rFonts w:ascii="Times New Roman" w:hAnsi="Times New Roman" w:cs="Times New Roman"/>
          <w:sz w:val="24"/>
          <w:szCs w:val="24"/>
        </w:rPr>
        <w:t xml:space="preserve"> consumers</w:t>
      </w:r>
      <w:r w:rsidR="00FC3BF8">
        <w:rPr>
          <w:rFonts w:ascii="Times New Roman" w:hAnsi="Times New Roman" w:cs="Times New Roman"/>
          <w:sz w:val="24"/>
          <w:szCs w:val="24"/>
        </w:rPr>
        <w:t xml:space="preserve"> some significant unfairness in Aqua’s proposal</w:t>
      </w:r>
      <w:r w:rsidRPr="00D914BB">
        <w:rPr>
          <w:rFonts w:ascii="Times New Roman" w:hAnsi="Times New Roman" w:cs="Times New Roman"/>
          <w:sz w:val="24"/>
          <w:szCs w:val="24"/>
        </w:rPr>
        <w:t>. However, the Staff Report falls short of protecting residential consumers in several ways, as explained in the Objections</w:t>
      </w:r>
      <w:r w:rsidR="001455B8">
        <w:rPr>
          <w:rFonts w:ascii="Times New Roman" w:hAnsi="Times New Roman" w:cs="Times New Roman"/>
          <w:sz w:val="24"/>
          <w:szCs w:val="24"/>
        </w:rPr>
        <w:t xml:space="preserve"> below</w:t>
      </w:r>
      <w:r w:rsidRPr="00D914BB">
        <w:rPr>
          <w:rFonts w:ascii="Times New Roman" w:hAnsi="Times New Roman" w:cs="Times New Roman"/>
          <w:sz w:val="24"/>
          <w:szCs w:val="24"/>
        </w:rPr>
        <w:t xml:space="preserve">. The PUCO should adopt OCC’s consumer protection recommendations. </w:t>
      </w:r>
    </w:p>
    <w:p w:rsidR="00D914BB" w:rsidP="00D914BB" w14:paraId="55054C92" w14:textId="77777777">
      <w:pPr>
        <w:spacing w:after="0" w:line="240" w:lineRule="auto"/>
        <w:ind w:firstLine="720"/>
      </w:pPr>
    </w:p>
    <w:p w:rsidR="00D914BB" w:rsidP="006A70BC" w14:paraId="47575827" w14:textId="1732957F">
      <w:pPr>
        <w:pStyle w:val="Heading1"/>
        <w:rPr>
          <w:rFonts w:cs="Times New Roman"/>
          <w:szCs w:val="24"/>
        </w:rPr>
      </w:pPr>
      <w:bookmarkStart w:id="4" w:name="_Toc98165610"/>
      <w:bookmarkStart w:id="5" w:name="_Toc142639508"/>
      <w:bookmarkStart w:id="6" w:name="_Toc142923654"/>
      <w:r>
        <w:t>SUMMARY OF FINDINGS AND RECOMMENDATIONS SUPPORTED BY OCC</w:t>
      </w:r>
      <w:bookmarkEnd w:id="4"/>
      <w:bookmarkEnd w:id="5"/>
      <w:bookmarkEnd w:id="6"/>
    </w:p>
    <w:p w:rsidR="00077DA7" w:rsidP="00D914BB" w14:paraId="406CBF53" w14:textId="0E9B20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w:t>
      </w:r>
      <w:r w:rsidRPr="00D914BB" w:rsidR="00D914BB">
        <w:rPr>
          <w:rFonts w:ascii="Times New Roman" w:hAnsi="Times New Roman" w:cs="Times New Roman"/>
          <w:sz w:val="24"/>
          <w:szCs w:val="24"/>
        </w:rPr>
        <w:t xml:space="preserve"> supports the following findings, conclusions, and recommendations from the </w:t>
      </w:r>
      <w:r>
        <w:rPr>
          <w:rFonts w:ascii="Times New Roman" w:hAnsi="Times New Roman" w:cs="Times New Roman"/>
          <w:sz w:val="24"/>
          <w:szCs w:val="24"/>
        </w:rPr>
        <w:t>S</w:t>
      </w:r>
      <w:r w:rsidRPr="00D914BB" w:rsidR="00D914BB">
        <w:rPr>
          <w:rFonts w:ascii="Times New Roman" w:hAnsi="Times New Roman" w:cs="Times New Roman"/>
          <w:sz w:val="24"/>
          <w:szCs w:val="24"/>
        </w:rPr>
        <w:t>taff Report</w:t>
      </w:r>
      <w:r>
        <w:rPr>
          <w:rFonts w:ascii="Times New Roman" w:hAnsi="Times New Roman" w:cs="Times New Roman"/>
          <w:sz w:val="24"/>
          <w:szCs w:val="24"/>
        </w:rPr>
        <w:t xml:space="preserve"> and Audit Report</w:t>
      </w:r>
      <w:r w:rsidRPr="00D914BB" w:rsidR="00D914BB">
        <w:rPr>
          <w:rFonts w:ascii="Times New Roman" w:hAnsi="Times New Roman" w:cs="Times New Roman"/>
          <w:sz w:val="24"/>
          <w:szCs w:val="24"/>
        </w:rPr>
        <w:t>:</w:t>
      </w:r>
    </w:p>
    <w:p w:rsidR="00B12001" w:rsidP="000E7AC0" w14:paraId="729D30B0" w14:textId="671C8CD5">
      <w:pPr>
        <w:pStyle w:val="ListParagraph"/>
        <w:numPr>
          <w:ilvl w:val="0"/>
          <w:numId w:val="4"/>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rPr>
        <w:t>The PUCO Staff correctly used the capital structure approved in Aqua’s most recent rate case, which is 47.9% debt and 52.1% equity.</w:t>
      </w:r>
      <w:r>
        <w:rPr>
          <w:rStyle w:val="FootnoteReference"/>
          <w:rFonts w:ascii="Times New Roman" w:hAnsi="Times New Roman" w:cs="Times New Roman"/>
          <w:sz w:val="24"/>
          <w:szCs w:val="24"/>
        </w:rPr>
        <w:footnoteReference w:id="5"/>
      </w:r>
    </w:p>
    <w:p w:rsidR="005F7CD8" w:rsidP="005F7CD8" w14:paraId="24B1F60B" w14:textId="77777777">
      <w:pPr>
        <w:pStyle w:val="ListParagraph"/>
        <w:spacing w:after="240" w:line="240" w:lineRule="auto"/>
        <w:ind w:left="1440"/>
        <w:rPr>
          <w:rFonts w:ascii="Times New Roman" w:hAnsi="Times New Roman" w:cs="Times New Roman"/>
          <w:sz w:val="24"/>
          <w:szCs w:val="24"/>
        </w:rPr>
      </w:pPr>
    </w:p>
    <w:p w:rsidR="00FD0E10" w:rsidRPr="00AA1872" w:rsidP="00AA1872" w14:paraId="4FFC5AA1" w14:textId="028BC34E">
      <w:pPr>
        <w:pStyle w:val="ListParagraph"/>
        <w:numPr>
          <w:ilvl w:val="0"/>
          <w:numId w:val="4"/>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rPr>
        <w:t>The PUCO Staff</w:t>
      </w:r>
      <w:r w:rsidR="00E10886">
        <w:rPr>
          <w:rFonts w:ascii="Times New Roman" w:hAnsi="Times New Roman" w:cs="Times New Roman"/>
          <w:sz w:val="24"/>
          <w:szCs w:val="24"/>
        </w:rPr>
        <w:t xml:space="preserve"> correctly used the cost of long-term debt approved in Aqua’s most recent rate case, which is 3.82%.</w:t>
      </w:r>
      <w:r>
        <w:rPr>
          <w:rStyle w:val="FootnoteReference"/>
          <w:rFonts w:ascii="Times New Roman" w:hAnsi="Times New Roman" w:cs="Times New Roman"/>
          <w:sz w:val="24"/>
          <w:szCs w:val="24"/>
        </w:rPr>
        <w:footnoteReference w:id="6"/>
      </w:r>
    </w:p>
    <w:p w:rsidR="00FD0E10" w:rsidP="00FD0E10" w14:paraId="16FFB051" w14:textId="60411546">
      <w:pPr>
        <w:pStyle w:val="ListParagraph"/>
        <w:numPr>
          <w:ilvl w:val="0"/>
          <w:numId w:val="4"/>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rPr>
        <w:t>The Audit Report</w:t>
      </w:r>
      <w:r w:rsidRPr="00FD0E10">
        <w:rPr>
          <w:rFonts w:ascii="Times New Roman" w:hAnsi="Times New Roman" w:cs="Times New Roman"/>
          <w:sz w:val="24"/>
          <w:szCs w:val="24"/>
        </w:rPr>
        <w:t xml:space="preserve"> correctly recommends approval of </w:t>
      </w:r>
      <w:r>
        <w:rPr>
          <w:rFonts w:ascii="Times New Roman" w:hAnsi="Times New Roman" w:cs="Times New Roman"/>
          <w:sz w:val="24"/>
          <w:szCs w:val="24"/>
        </w:rPr>
        <w:t>Aqua’s</w:t>
      </w:r>
      <w:r w:rsidRPr="00FD0E10">
        <w:rPr>
          <w:rFonts w:ascii="Times New Roman" w:hAnsi="Times New Roman" w:cs="Times New Roman"/>
          <w:sz w:val="24"/>
          <w:szCs w:val="24"/>
        </w:rPr>
        <w:t xml:space="preserve"> declining rate block structure to set metered rates among the different customer classes.</w:t>
      </w:r>
      <w:r>
        <w:rPr>
          <w:rStyle w:val="FootnoteReference"/>
        </w:rPr>
        <w:footnoteReference w:id="7"/>
      </w:r>
    </w:p>
    <w:p w:rsidR="006A70BC" w:rsidRPr="006A70BC" w:rsidP="006A70BC" w14:paraId="53906889" w14:textId="77777777">
      <w:pPr>
        <w:pStyle w:val="ListParagraph"/>
        <w:rPr>
          <w:rFonts w:ascii="Times New Roman" w:hAnsi="Times New Roman" w:cs="Times New Roman"/>
          <w:sz w:val="24"/>
          <w:szCs w:val="24"/>
        </w:rPr>
      </w:pPr>
    </w:p>
    <w:p w:rsidR="006A70BC" w:rsidRPr="00742D02" w:rsidP="006A70BC" w14:paraId="17D911A7" w14:textId="77777777">
      <w:pPr>
        <w:pStyle w:val="ListParagraph"/>
        <w:numPr>
          <w:ilvl w:val="0"/>
          <w:numId w:val="4"/>
        </w:numPr>
        <w:spacing w:after="240" w:line="240" w:lineRule="auto"/>
        <w:ind w:hanging="720"/>
        <w:rPr>
          <w:vertAlign w:val="superscript"/>
        </w:rPr>
      </w:pPr>
      <w:r>
        <w:rPr>
          <w:rFonts w:ascii="Times New Roman" w:hAnsi="Times New Roman" w:cs="Times New Roman"/>
          <w:sz w:val="24"/>
          <w:szCs w:val="24"/>
        </w:rPr>
        <w:t>The Audit Report</w:t>
      </w:r>
      <w:r w:rsidRPr="00FD0E10">
        <w:rPr>
          <w:rFonts w:ascii="Times New Roman" w:hAnsi="Times New Roman" w:cs="Times New Roman"/>
          <w:sz w:val="24"/>
          <w:szCs w:val="24"/>
        </w:rPr>
        <w:t xml:space="preserve"> correctly recommends no changes to Miscellaneous Charge</w:t>
      </w:r>
      <w:r>
        <w:rPr>
          <w:rFonts w:ascii="Times New Roman" w:hAnsi="Times New Roman" w:cs="Times New Roman"/>
          <w:sz w:val="24"/>
          <w:szCs w:val="24"/>
        </w:rPr>
        <w:t>s.</w:t>
      </w:r>
      <w:r>
        <w:rPr>
          <w:rStyle w:val="FootnoteReference"/>
        </w:rPr>
        <w:footnoteReference w:id="8"/>
      </w:r>
    </w:p>
    <w:p w:rsidR="00805AF4" w:rsidRPr="00805AF4" w:rsidP="00805AF4" w14:paraId="226BE748" w14:textId="1395BC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the above recommendations made by the PUCO Staff and auditor,</w:t>
      </w:r>
      <w:r w:rsidRPr="00805AF4">
        <w:rPr>
          <w:rFonts w:ascii="Times New Roman" w:hAnsi="Times New Roman" w:cs="Times New Roman"/>
          <w:sz w:val="24"/>
          <w:szCs w:val="24"/>
        </w:rPr>
        <w:t xml:space="preserve"> the Staff Report should have gone further and proposed additional</w:t>
      </w:r>
      <w:r>
        <w:rPr>
          <w:rFonts w:ascii="Times New Roman" w:hAnsi="Times New Roman" w:cs="Times New Roman"/>
          <w:sz w:val="24"/>
          <w:szCs w:val="24"/>
        </w:rPr>
        <w:t xml:space="preserve"> measures to</w:t>
      </w:r>
      <w:r w:rsidRPr="00805AF4">
        <w:rPr>
          <w:rFonts w:ascii="Times New Roman" w:hAnsi="Times New Roman" w:cs="Times New Roman"/>
          <w:sz w:val="24"/>
          <w:szCs w:val="24"/>
        </w:rPr>
        <w:t xml:space="preserve"> benefit consumers</w:t>
      </w:r>
      <w:r>
        <w:rPr>
          <w:rFonts w:ascii="Times New Roman" w:hAnsi="Times New Roman" w:cs="Times New Roman"/>
          <w:sz w:val="24"/>
          <w:szCs w:val="24"/>
        </w:rPr>
        <w:t>. The Staff Report harms consumers by, among things</w:t>
      </w:r>
      <w:r w:rsidRPr="00805AF4">
        <w:rPr>
          <w:rFonts w:ascii="Times New Roman" w:hAnsi="Times New Roman" w:cs="Times New Roman"/>
          <w:sz w:val="24"/>
          <w:szCs w:val="24"/>
        </w:rPr>
        <w:t xml:space="preserve">: </w:t>
      </w:r>
    </w:p>
    <w:p w:rsidR="000E76B5" w:rsidP="000E76B5" w14:paraId="6AEDB449" w14:textId="26E2FCC0">
      <w:pPr>
        <w:pStyle w:val="ListParagraph"/>
        <w:numPr>
          <w:ilvl w:val="0"/>
          <w:numId w:val="4"/>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rPr>
        <w:t xml:space="preserve">Recommending a </w:t>
      </w:r>
      <w:r>
        <w:rPr>
          <w:rFonts w:ascii="Times New Roman" w:hAnsi="Times New Roman" w:cs="Times New Roman"/>
          <w:sz w:val="24"/>
          <w:szCs w:val="24"/>
        </w:rPr>
        <w:t xml:space="preserve">revenue requirement </w:t>
      </w:r>
      <w:r>
        <w:rPr>
          <w:rFonts w:ascii="Times New Roman" w:hAnsi="Times New Roman" w:cs="Times New Roman"/>
          <w:sz w:val="24"/>
          <w:szCs w:val="24"/>
        </w:rPr>
        <w:t xml:space="preserve">that </w:t>
      </w:r>
      <w:r>
        <w:rPr>
          <w:rFonts w:ascii="Times New Roman" w:hAnsi="Times New Roman" w:cs="Times New Roman"/>
          <w:sz w:val="24"/>
          <w:szCs w:val="24"/>
        </w:rPr>
        <w:t>reflects a rate of return that is too high based on a review of current market conditions and Aqua’s business and financial risk</w:t>
      </w:r>
      <w:r>
        <w:rPr>
          <w:rFonts w:ascii="Times New Roman" w:hAnsi="Times New Roman" w:cs="Times New Roman"/>
          <w:sz w:val="24"/>
          <w:szCs w:val="24"/>
        </w:rPr>
        <w:t>;</w:t>
      </w:r>
    </w:p>
    <w:p w:rsidR="00D713BD" w:rsidRPr="00D713BD" w:rsidP="00D713BD" w14:paraId="3979789C" w14:textId="77777777">
      <w:pPr>
        <w:pStyle w:val="ListParagraph"/>
        <w:rPr>
          <w:rFonts w:ascii="Times New Roman" w:hAnsi="Times New Roman" w:cs="Times New Roman"/>
          <w:sz w:val="24"/>
          <w:szCs w:val="24"/>
        </w:rPr>
      </w:pPr>
    </w:p>
    <w:p w:rsidR="00F44829" w:rsidP="00C7245A" w14:paraId="7FF1C97C" w14:textId="77777777">
      <w:pPr>
        <w:pStyle w:val="ListParagraph"/>
        <w:numPr>
          <w:ilvl w:val="0"/>
          <w:numId w:val="4"/>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Using a comparable earnings (“CE”) model in calculating the cost of equity, although the</w:t>
      </w:r>
      <w:r w:rsidR="00D713BD">
        <w:rPr>
          <w:rFonts w:ascii="Times New Roman" w:hAnsi="Times New Roman" w:cs="Times New Roman"/>
          <w:sz w:val="24"/>
          <w:szCs w:val="24"/>
        </w:rPr>
        <w:t xml:space="preserve"> PUCO Staff </w:t>
      </w:r>
      <w:r>
        <w:rPr>
          <w:rFonts w:ascii="Times New Roman" w:hAnsi="Times New Roman" w:cs="Times New Roman"/>
          <w:sz w:val="24"/>
          <w:szCs w:val="24"/>
        </w:rPr>
        <w:t xml:space="preserve">did </w:t>
      </w:r>
      <w:r w:rsidR="00D713BD">
        <w:rPr>
          <w:rFonts w:ascii="Times New Roman" w:hAnsi="Times New Roman" w:cs="Times New Roman"/>
          <w:sz w:val="24"/>
          <w:szCs w:val="24"/>
        </w:rPr>
        <w:t>reasonably use the capital asset pricing model (“CAPM”) and the discounted cash flow (“DCF”) model</w:t>
      </w:r>
      <w:r w:rsidR="00375E13">
        <w:rPr>
          <w:rFonts w:ascii="Times New Roman" w:hAnsi="Times New Roman" w:cs="Times New Roman"/>
          <w:sz w:val="24"/>
          <w:szCs w:val="24"/>
        </w:rPr>
        <w:t>.</w:t>
      </w:r>
    </w:p>
    <w:p w:rsidR="00F44829" w:rsidRPr="00F44829" w:rsidP="00F44829" w14:paraId="79CBA58F" w14:textId="77777777">
      <w:pPr>
        <w:pStyle w:val="ListParagraph"/>
        <w:rPr>
          <w:rFonts w:ascii="Times New Roman" w:hAnsi="Times New Roman" w:cs="Times New Roman"/>
          <w:sz w:val="24"/>
          <w:szCs w:val="24"/>
        </w:rPr>
      </w:pPr>
    </w:p>
    <w:p w:rsidR="00D03513" w:rsidP="00511FBF" w14:paraId="4102195A" w14:textId="0411234F">
      <w:pPr>
        <w:spacing w:after="0" w:line="480" w:lineRule="auto"/>
        <w:ind w:firstLine="720"/>
        <w:rPr>
          <w:rFonts w:ascii="Times New Roman" w:hAnsi="Times New Roman" w:cs="Times New Roman"/>
          <w:sz w:val="24"/>
          <w:szCs w:val="24"/>
        </w:rPr>
      </w:pPr>
      <w:r w:rsidRPr="00F44829">
        <w:rPr>
          <w:rFonts w:ascii="Times New Roman" w:hAnsi="Times New Roman" w:cs="Times New Roman"/>
          <w:sz w:val="24"/>
          <w:szCs w:val="24"/>
        </w:rPr>
        <w:t>OCC reserves the right to supplement its testimony in this case should any of the Staff Report's findings, conclusions or recommendations noted above that OCC supports are no longer supported by the PUCO Staff.</w:t>
      </w:r>
      <w:r w:rsidRPr="00F44829" w:rsidR="00375E13">
        <w:rPr>
          <w:rFonts w:ascii="Times New Roman" w:hAnsi="Times New Roman" w:cs="Times New Roman"/>
          <w:sz w:val="24"/>
          <w:szCs w:val="24"/>
        </w:rPr>
        <w:t xml:space="preserve"> </w:t>
      </w:r>
    </w:p>
    <w:p w:rsidR="00511FBF" w:rsidP="00511FBF" w14:paraId="0E4C326E" w14:textId="77777777">
      <w:pPr>
        <w:spacing w:after="0" w:line="240" w:lineRule="auto"/>
        <w:ind w:firstLine="720"/>
        <w:rPr>
          <w:rFonts w:ascii="Times New Roman" w:hAnsi="Times New Roman" w:cs="Times New Roman"/>
          <w:sz w:val="24"/>
          <w:szCs w:val="24"/>
        </w:rPr>
      </w:pPr>
    </w:p>
    <w:p w:rsidR="00F3266D" w:rsidRPr="00F27079" w:rsidP="006A70BC" w14:paraId="13CFBBC7" w14:textId="789E4247">
      <w:pPr>
        <w:pStyle w:val="Heading1"/>
        <w:numPr>
          <w:ilvl w:val="0"/>
          <w:numId w:val="0"/>
        </w:numPr>
        <w:ind w:left="720" w:hanging="720"/>
      </w:pPr>
      <w:bookmarkStart w:id="7" w:name="_Toc142639509"/>
      <w:bookmarkStart w:id="8" w:name="_Toc142923655"/>
      <w:r>
        <w:t>III.</w:t>
      </w:r>
      <w:r>
        <w:tab/>
        <w:t>OBJECTIONS TO THE STAFF REPORT</w:t>
      </w:r>
      <w:bookmarkEnd w:id="7"/>
      <w:bookmarkEnd w:id="8"/>
    </w:p>
    <w:p w:rsidR="00F27079" w:rsidP="00275002" w14:paraId="41B07C6B" w14:textId="77777777">
      <w:pPr>
        <w:pStyle w:val="Heading2"/>
        <w:numPr>
          <w:ilvl w:val="0"/>
          <w:numId w:val="3"/>
        </w:numPr>
        <w:ind w:left="1440" w:hanging="720"/>
        <w:rPr>
          <w:rFonts w:eastAsia="Times New Roman"/>
        </w:rPr>
      </w:pPr>
      <w:bookmarkStart w:id="9" w:name="_Toc142639510"/>
      <w:bookmarkStart w:id="10" w:name="_Toc142923656"/>
      <w:bookmarkStart w:id="11" w:name="_Toc80200614"/>
      <w:bookmarkStart w:id="12" w:name="_Toc98165616"/>
      <w:r>
        <w:rPr>
          <w:rFonts w:eastAsia="Times New Roman"/>
        </w:rPr>
        <w:t>Revenue Requirement</w:t>
      </w:r>
      <w:bookmarkEnd w:id="9"/>
      <w:bookmarkEnd w:id="10"/>
      <w:r>
        <w:rPr>
          <w:rFonts w:eastAsia="Times New Roman"/>
        </w:rPr>
        <w:t xml:space="preserve"> </w:t>
      </w:r>
    </w:p>
    <w:p w:rsidR="00F27079" w:rsidP="00F27079" w14:paraId="20FF116A" w14:textId="0885B26C">
      <w:pPr>
        <w:rPr>
          <w:rStyle w:val="Heading3Char"/>
        </w:rPr>
      </w:pPr>
      <w:bookmarkStart w:id="13" w:name="_Toc98165613"/>
      <w:bookmarkStart w:id="14" w:name="_Toc142639511"/>
      <w:bookmarkStart w:id="15" w:name="_Toc142923657"/>
      <w:r>
        <w:rPr>
          <w:rStyle w:val="Heading3Char"/>
        </w:rPr>
        <w:t xml:space="preserve">OBJECTION 1: </w:t>
      </w:r>
      <w:r w:rsidR="00652E01">
        <w:rPr>
          <w:rStyle w:val="Heading3Char"/>
        </w:rPr>
        <w:t>OCC objects because a</w:t>
      </w:r>
      <w:r>
        <w:rPr>
          <w:rStyle w:val="Heading3Char"/>
        </w:rPr>
        <w:t xml:space="preserve">s a result of OCC’s other objections below (including OCC’s proposed changes to </w:t>
      </w:r>
      <w:r w:rsidR="00713D12">
        <w:rPr>
          <w:rStyle w:val="Heading3Char"/>
        </w:rPr>
        <w:t>the</w:t>
      </w:r>
      <w:r>
        <w:rPr>
          <w:rStyle w:val="Heading3Char"/>
        </w:rPr>
        <w:t xml:space="preserve"> rate of return), the Staff Report’s recommended rate increase of </w:t>
      </w:r>
      <w:r w:rsidR="00224A6E">
        <w:rPr>
          <w:rStyle w:val="Heading3Char"/>
        </w:rPr>
        <w:t>$</w:t>
      </w:r>
      <w:r w:rsidR="00767C03">
        <w:rPr>
          <w:rStyle w:val="Heading3Char"/>
        </w:rPr>
        <w:t>272,962</w:t>
      </w:r>
      <w:r w:rsidR="00224A6E">
        <w:rPr>
          <w:rStyle w:val="Heading3Char"/>
        </w:rPr>
        <w:t xml:space="preserve"> </w:t>
      </w:r>
      <w:r>
        <w:rPr>
          <w:rStyle w:val="Heading3Char"/>
        </w:rPr>
        <w:t>is too high for consumers and would result in consumers paying unjust, unreasonable</w:t>
      </w:r>
      <w:r w:rsidR="005013CA">
        <w:rPr>
          <w:rStyle w:val="Heading3Char"/>
        </w:rPr>
        <w:t>,</w:t>
      </w:r>
      <w:r>
        <w:rPr>
          <w:rStyle w:val="Heading3Char"/>
        </w:rPr>
        <w:t xml:space="preserve"> and unlawful rates under R.C. 4905.22, 4909.15, 4909.154, 4909.17 and 4909.18.</w:t>
      </w:r>
      <w:bookmarkEnd w:id="13"/>
      <w:bookmarkEnd w:id="14"/>
      <w:bookmarkEnd w:id="15"/>
    </w:p>
    <w:p w:rsidR="00151C2E" w:rsidRPr="00151C2E" w:rsidP="00D3465B" w14:paraId="506AC266" w14:textId="09B6FD2A">
      <w:pPr>
        <w:autoSpaceDE w:val="0"/>
        <w:autoSpaceDN w:val="0"/>
        <w:spacing w:after="0" w:line="480" w:lineRule="auto"/>
        <w:ind w:firstLine="720"/>
        <w:rPr>
          <w:rFonts w:ascii="Times New Roman" w:hAnsi="Times New Roman" w:cs="Times New Roman"/>
          <w:sz w:val="24"/>
          <w:szCs w:val="24"/>
        </w:rPr>
      </w:pPr>
      <w:r w:rsidRPr="00151C2E">
        <w:rPr>
          <w:rFonts w:ascii="Times New Roman" w:hAnsi="Times New Roman" w:cs="Times New Roman"/>
          <w:sz w:val="24"/>
          <w:szCs w:val="24"/>
        </w:rPr>
        <w:t xml:space="preserve">The PUCO Staff’s recommended increase to consumers of </w:t>
      </w:r>
      <w:r w:rsidR="004E5117">
        <w:rPr>
          <w:rFonts w:ascii="Times New Roman" w:hAnsi="Times New Roman" w:cs="Times New Roman"/>
          <w:sz w:val="24"/>
          <w:szCs w:val="24"/>
        </w:rPr>
        <w:t>$</w:t>
      </w:r>
      <w:r w:rsidR="00767C03">
        <w:rPr>
          <w:rFonts w:ascii="Times New Roman" w:hAnsi="Times New Roman" w:cs="Times New Roman"/>
          <w:sz w:val="24"/>
          <w:szCs w:val="24"/>
        </w:rPr>
        <w:t>272,962</w:t>
      </w:r>
      <w:r w:rsidR="004E5117">
        <w:rPr>
          <w:rFonts w:ascii="Times New Roman" w:hAnsi="Times New Roman" w:cs="Times New Roman"/>
          <w:sz w:val="24"/>
          <w:szCs w:val="24"/>
        </w:rPr>
        <w:t xml:space="preserve"> </w:t>
      </w:r>
      <w:r w:rsidR="009479F7">
        <w:rPr>
          <w:rFonts w:ascii="Times New Roman" w:hAnsi="Times New Roman" w:cs="Times New Roman"/>
          <w:sz w:val="24"/>
          <w:szCs w:val="24"/>
        </w:rPr>
        <w:t xml:space="preserve">(mid-point) </w:t>
      </w:r>
      <w:r w:rsidRPr="00151C2E">
        <w:rPr>
          <w:rFonts w:ascii="Times New Roman" w:hAnsi="Times New Roman" w:cs="Times New Roman"/>
          <w:sz w:val="24"/>
          <w:szCs w:val="24"/>
        </w:rPr>
        <w:t>is too high and would result in unjust and unreasonable rates.</w:t>
      </w:r>
      <w:r>
        <w:rPr>
          <w:rStyle w:val="FootnoteReference"/>
          <w:rFonts w:ascii="Times New Roman" w:hAnsi="Times New Roman" w:cs="Times New Roman"/>
          <w:sz w:val="24"/>
          <w:szCs w:val="24"/>
        </w:rPr>
        <w:footnoteReference w:id="9"/>
      </w:r>
      <w:r w:rsidRPr="00151C2E">
        <w:rPr>
          <w:rFonts w:ascii="Times New Roman" w:hAnsi="Times New Roman" w:cs="Times New Roman"/>
          <w:sz w:val="24"/>
          <w:szCs w:val="24"/>
        </w:rPr>
        <w:t xml:space="preserve"> OCC objects to the PUCO Staff-recommended revenue requirement and resulting revenue and rate increase recommended for Aqua. The PUCO Staff’s recommended revenue requirement</w:t>
      </w:r>
      <w:r w:rsidR="009479F7">
        <w:rPr>
          <w:rFonts w:ascii="Times New Roman" w:hAnsi="Times New Roman" w:cs="Times New Roman"/>
          <w:sz w:val="24"/>
          <w:szCs w:val="24"/>
        </w:rPr>
        <w:t xml:space="preserve"> </w:t>
      </w:r>
      <w:r w:rsidR="00F44829">
        <w:rPr>
          <w:rFonts w:ascii="Times New Roman" w:hAnsi="Times New Roman" w:cs="Times New Roman"/>
          <w:sz w:val="24"/>
          <w:szCs w:val="24"/>
        </w:rPr>
        <w:t xml:space="preserve">of </w:t>
      </w:r>
      <w:r w:rsidR="009479F7">
        <w:rPr>
          <w:rFonts w:ascii="Times New Roman" w:hAnsi="Times New Roman" w:cs="Times New Roman"/>
          <w:sz w:val="24"/>
          <w:szCs w:val="24"/>
        </w:rPr>
        <w:t>$</w:t>
      </w:r>
      <w:r w:rsidR="003B4593">
        <w:rPr>
          <w:rFonts w:ascii="Times New Roman" w:hAnsi="Times New Roman" w:cs="Times New Roman"/>
          <w:sz w:val="24"/>
          <w:szCs w:val="24"/>
        </w:rPr>
        <w:t>4,002,801</w:t>
      </w:r>
      <w:r w:rsidR="009479F7">
        <w:rPr>
          <w:rFonts w:ascii="Times New Roman" w:hAnsi="Times New Roman" w:cs="Times New Roman"/>
          <w:sz w:val="24"/>
          <w:szCs w:val="24"/>
        </w:rPr>
        <w:t xml:space="preserve"> (mid-point) </w:t>
      </w:r>
      <w:r w:rsidRPr="00151C2E">
        <w:rPr>
          <w:rFonts w:ascii="Times New Roman" w:hAnsi="Times New Roman" w:cs="Times New Roman"/>
          <w:sz w:val="24"/>
          <w:szCs w:val="24"/>
        </w:rPr>
        <w:t>for Aqua is excessive</w:t>
      </w:r>
      <w:r w:rsidR="00D3465B">
        <w:rPr>
          <w:rFonts w:ascii="Times New Roman" w:hAnsi="Times New Roman" w:cs="Times New Roman"/>
          <w:sz w:val="24"/>
          <w:szCs w:val="24"/>
        </w:rPr>
        <w:t xml:space="preserve"> because it </w:t>
      </w:r>
      <w:r w:rsidRPr="00151C2E">
        <w:rPr>
          <w:rFonts w:ascii="Times New Roman" w:hAnsi="Times New Roman" w:cs="Times New Roman"/>
          <w:sz w:val="24"/>
          <w:szCs w:val="24"/>
        </w:rPr>
        <w:t>utilize</w:t>
      </w:r>
      <w:r w:rsidR="00D3465B">
        <w:rPr>
          <w:rFonts w:ascii="Times New Roman" w:hAnsi="Times New Roman" w:cs="Times New Roman"/>
          <w:sz w:val="24"/>
          <w:szCs w:val="24"/>
        </w:rPr>
        <w:t>s</w:t>
      </w:r>
      <w:r w:rsidRPr="00151C2E">
        <w:rPr>
          <w:rFonts w:ascii="Times New Roman" w:hAnsi="Times New Roman" w:cs="Times New Roman"/>
          <w:sz w:val="24"/>
          <w:szCs w:val="24"/>
        </w:rPr>
        <w:t xml:space="preserve"> a rate of return that is not just and reasonable. The specific objections from which these overall conclusions are drawn are detailed below in OCC’s objections to the PUCO Staff’s recommendations regarding these matters.</w:t>
      </w:r>
    </w:p>
    <w:p w:rsidR="00047332" w:rsidP="00D3465B" w14:paraId="742ABD4E" w14:textId="7F8BB752">
      <w:pPr>
        <w:autoSpaceDE w:val="0"/>
        <w:autoSpaceDN w:val="0"/>
        <w:spacing w:after="0" w:line="480" w:lineRule="auto"/>
        <w:ind w:firstLine="720"/>
        <w:rPr>
          <w:rFonts w:ascii="Times New Roman" w:hAnsi="Times New Roman" w:cs="Times New Roman"/>
          <w:sz w:val="24"/>
          <w:szCs w:val="24"/>
        </w:rPr>
      </w:pPr>
      <w:r w:rsidRPr="00151C2E">
        <w:rPr>
          <w:rFonts w:ascii="Times New Roman" w:hAnsi="Times New Roman" w:cs="Times New Roman"/>
          <w:sz w:val="24"/>
          <w:szCs w:val="24"/>
        </w:rPr>
        <w:t>Additionally, OCC objects to each component of the PUCO Staff Report’s recommended revenue requirement and rate increase recommended for Aqua to the extent that OCC objections have an impact on the calculation of the recommended revenue requirement.</w:t>
      </w:r>
    </w:p>
    <w:p w:rsidR="00742D02" w:rsidRPr="00742D02" w:rsidP="00275002" w14:paraId="35FBFA4A" w14:textId="2B02D001">
      <w:pPr>
        <w:rPr>
          <w:rStyle w:val="Heading3Char"/>
        </w:rPr>
      </w:pPr>
      <w:bookmarkStart w:id="16" w:name="_Toc142923658"/>
      <w:r w:rsidRPr="00511FBF">
        <w:rPr>
          <w:rStyle w:val="Heading3Char"/>
        </w:rPr>
        <w:t xml:space="preserve">OBJECTION 2: </w:t>
      </w:r>
      <w:r w:rsidR="00652E01">
        <w:rPr>
          <w:rStyle w:val="Heading3Char"/>
        </w:rPr>
        <w:t xml:space="preserve">OCC objects because </w:t>
      </w:r>
      <w:r w:rsidRPr="00511FBF">
        <w:rPr>
          <w:rStyle w:val="Heading3Char"/>
        </w:rPr>
        <w:t>Staff’s recommended mid-point rate increase of $272,962 is not based entirely on updated actual June 30, 2023, financial data.</w:t>
      </w:r>
      <w:r w:rsidR="00511FBF">
        <w:rPr>
          <w:rStyle w:val="Heading3Char"/>
        </w:rPr>
        <w:t xml:space="preserve"> </w:t>
      </w:r>
      <w:r w:rsidRPr="00511FBF">
        <w:rPr>
          <w:rStyle w:val="Heading3Char"/>
        </w:rPr>
        <w:t>Without knowing the revenue requirement baseline for</w:t>
      </w:r>
      <w:r w:rsidR="00511FBF">
        <w:rPr>
          <w:rStyle w:val="Heading3Char"/>
        </w:rPr>
        <w:t xml:space="preserve"> </w:t>
      </w:r>
      <w:r w:rsidRPr="00511FBF">
        <w:rPr>
          <w:rStyle w:val="Heading3Char"/>
        </w:rPr>
        <w:t>both Aqua and Staff that would result from using actual June 30, 2023, financial data, Staff’s recommended rate increase of $272,962 is too high for consumers and would result in consumers paying unjust, unreasonable, and unlawful rates under R.C. 4905.22, 4909.15, 4909.154, 4909.17 and 4909.18.</w:t>
      </w:r>
      <w:bookmarkEnd w:id="16"/>
    </w:p>
    <w:p w:rsidR="00742D02" w:rsidP="00511FBF" w14:paraId="1EBDBE61" w14:textId="035D5672">
      <w:pPr>
        <w:autoSpaceDE w:val="0"/>
        <w:autoSpaceDN w:val="0"/>
        <w:spacing w:after="0" w:line="480" w:lineRule="auto"/>
        <w:ind w:firstLine="720"/>
        <w:rPr>
          <w:rFonts w:ascii="Times New Roman" w:hAnsi="Times New Roman" w:cs="Times New Roman"/>
          <w:sz w:val="24"/>
          <w:szCs w:val="24"/>
        </w:rPr>
      </w:pPr>
      <w:r w:rsidRPr="00511FBF">
        <w:rPr>
          <w:rFonts w:ascii="Times New Roman" w:hAnsi="Times New Roman" w:cs="Times New Roman"/>
          <w:sz w:val="24"/>
          <w:szCs w:val="24"/>
        </w:rPr>
        <w:t>The Audit Report states that Aqua has requested a revenue increase of $451,842 based on a “test year updated through a date certain of June 30, 2023”,</w:t>
      </w:r>
      <w:r>
        <w:rPr>
          <w:rStyle w:val="FootnoteReference"/>
          <w:rFonts w:ascii="Times New Roman" w:hAnsi="Times New Roman" w:cs="Times New Roman"/>
          <w:sz w:val="24"/>
          <w:szCs w:val="24"/>
        </w:rPr>
        <w:footnoteReference w:id="10"/>
      </w:r>
      <w:r w:rsidRPr="00511FBF">
        <w:rPr>
          <w:rFonts w:ascii="Times New Roman" w:hAnsi="Times New Roman" w:cs="Times New Roman"/>
          <w:sz w:val="24"/>
          <w:szCs w:val="24"/>
        </w:rPr>
        <w:t xml:space="preserve"> but Aqua’s revenue deficiency calculation has not been updated (to actual amounts) and is clearly not “certain” as of June 30, 2023. Larkin also makes a similar claim that its revenue deficiency calculation is “based on examination of the accounts and records of the Applicant for the test year ending, and data certain of, June 30, 2023.”</w:t>
      </w:r>
      <w:r>
        <w:rPr>
          <w:rStyle w:val="FootnoteReference"/>
          <w:rFonts w:ascii="Times New Roman" w:hAnsi="Times New Roman" w:cs="Times New Roman"/>
          <w:sz w:val="24"/>
          <w:szCs w:val="24"/>
        </w:rPr>
        <w:footnoteReference w:id="11"/>
      </w:r>
      <w:r w:rsidR="00511FBF">
        <w:rPr>
          <w:rFonts w:ascii="Times New Roman" w:hAnsi="Times New Roman" w:cs="Times New Roman"/>
          <w:sz w:val="24"/>
          <w:szCs w:val="24"/>
        </w:rPr>
        <w:t xml:space="preserve"> </w:t>
      </w:r>
      <w:r w:rsidRPr="00511FBF">
        <w:rPr>
          <w:rFonts w:ascii="Times New Roman" w:hAnsi="Times New Roman" w:cs="Times New Roman"/>
          <w:sz w:val="24"/>
          <w:szCs w:val="24"/>
        </w:rPr>
        <w:t>However, the Staff-proposed revenue deficiency also does not begin or end with actual or certain financial data at June 30, 2023.</w:t>
      </w:r>
      <w:r w:rsidR="00511FBF">
        <w:rPr>
          <w:rFonts w:ascii="Times New Roman" w:hAnsi="Times New Roman" w:cs="Times New Roman"/>
          <w:sz w:val="24"/>
          <w:szCs w:val="24"/>
        </w:rPr>
        <w:t xml:space="preserve"> </w:t>
      </w:r>
      <w:r w:rsidRPr="00511FBF">
        <w:rPr>
          <w:rFonts w:ascii="Times New Roman" w:hAnsi="Times New Roman" w:cs="Times New Roman"/>
          <w:sz w:val="24"/>
          <w:szCs w:val="24"/>
        </w:rPr>
        <w:t>The OCC believes the only logical reason or incentive for Aqua not providing such actual updated information is that it would produce a reduced revenue deficiency.</w:t>
      </w:r>
      <w:r w:rsidR="00511FBF">
        <w:rPr>
          <w:rFonts w:ascii="Times New Roman" w:hAnsi="Times New Roman" w:cs="Times New Roman"/>
          <w:sz w:val="24"/>
          <w:szCs w:val="24"/>
        </w:rPr>
        <w:t xml:space="preserve"> </w:t>
      </w:r>
      <w:r w:rsidRPr="00511FBF">
        <w:rPr>
          <w:rFonts w:ascii="Times New Roman" w:hAnsi="Times New Roman" w:cs="Times New Roman"/>
          <w:sz w:val="24"/>
          <w:szCs w:val="24"/>
        </w:rPr>
        <w:t>Aqua bears the burden of proof in this proceeding, and without providing actual updated June 30, 2023, financial data as a baseline or a test of reasonableness for both the Aqua and Staff-proposed revenue deficiency, there is no meaningful independent, objective, and conclusive validation for even the low end of Staff’s proposed revenue deficiency – and Aqua has failed to meet a reasonable burden of proof in this regard.</w:t>
      </w:r>
    </w:p>
    <w:p w:rsidR="00F3266D" w:rsidRPr="002C464E" w:rsidP="00F27079" w14:paraId="01D389A8" w14:textId="3E4D9741">
      <w:pPr>
        <w:pStyle w:val="Heading2"/>
        <w:numPr>
          <w:ilvl w:val="0"/>
          <w:numId w:val="3"/>
        </w:numPr>
        <w:rPr>
          <w:rFonts w:ascii="Times New Roman" w:eastAsia="Times New Roman" w:hAnsi="Times New Roman" w:cs="Times New Roman"/>
          <w:szCs w:val="24"/>
        </w:rPr>
      </w:pPr>
      <w:bookmarkStart w:id="17" w:name="_Toc142639512"/>
      <w:bookmarkStart w:id="18" w:name="_Toc142923659"/>
      <w:r w:rsidRPr="002C464E">
        <w:rPr>
          <w:rFonts w:ascii="Times New Roman" w:eastAsia="Times New Roman" w:hAnsi="Times New Roman" w:cs="Times New Roman"/>
          <w:szCs w:val="24"/>
        </w:rPr>
        <w:t>Rate of Return</w:t>
      </w:r>
      <w:bookmarkEnd w:id="11"/>
      <w:bookmarkEnd w:id="12"/>
      <w:bookmarkEnd w:id="17"/>
      <w:bookmarkEnd w:id="18"/>
    </w:p>
    <w:p w:rsidR="00F3266D" w:rsidRPr="002C464E" w:rsidP="00F3266D" w14:paraId="2B549626" w14:textId="71B02BC8">
      <w:pPr>
        <w:spacing w:after="0" w:line="480" w:lineRule="auto"/>
        <w:rPr>
          <w:rFonts w:ascii="Times New Roman" w:hAnsi="Times New Roman" w:cs="Times New Roman"/>
          <w:sz w:val="24"/>
          <w:szCs w:val="24"/>
        </w:rPr>
      </w:pPr>
      <w:r w:rsidRPr="002C464E">
        <w:rPr>
          <w:rFonts w:ascii="Times New Roman" w:hAnsi="Times New Roman" w:cs="Times New Roman"/>
          <w:sz w:val="24"/>
          <w:szCs w:val="24"/>
        </w:rPr>
        <w:tab/>
        <w:t>As described in our Objections</w:t>
      </w:r>
      <w:r w:rsidR="00F44829">
        <w:rPr>
          <w:rFonts w:ascii="Times New Roman" w:hAnsi="Times New Roman" w:cs="Times New Roman"/>
          <w:sz w:val="24"/>
          <w:szCs w:val="24"/>
        </w:rPr>
        <w:t xml:space="preserve"> below</w:t>
      </w:r>
      <w:r w:rsidRPr="002C464E">
        <w:rPr>
          <w:rFonts w:ascii="Times New Roman" w:hAnsi="Times New Roman" w:cs="Times New Roman"/>
          <w:sz w:val="24"/>
          <w:szCs w:val="24"/>
        </w:rPr>
        <w:t>, the PUCO Staff Report’s recommended rate of return range of 6.49% -7.0</w:t>
      </w:r>
      <w:r w:rsidR="00B4409E">
        <w:rPr>
          <w:rFonts w:ascii="Times New Roman" w:hAnsi="Times New Roman" w:cs="Times New Roman"/>
          <w:sz w:val="24"/>
          <w:szCs w:val="24"/>
        </w:rPr>
        <w:t>2</w:t>
      </w:r>
      <w:r w:rsidRPr="002C464E">
        <w:rPr>
          <w:rFonts w:ascii="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2"/>
      </w:r>
      <w:r w:rsidRPr="002C464E">
        <w:rPr>
          <w:rFonts w:ascii="Times New Roman" w:hAnsi="Times New Roman" w:cs="Times New Roman"/>
          <w:sz w:val="24"/>
          <w:szCs w:val="24"/>
        </w:rPr>
        <w:t xml:space="preserve"> is too high based on current market conditions and Aqua’s business and financial risks. It is thus unjust and unreasonable for consumers to pay Aqua a water distribution charge based on this range of rate of return. A more reasonable rate of return would be </w:t>
      </w:r>
      <w:r w:rsidRPr="002C464E" w:rsidR="00B76ED6">
        <w:rPr>
          <w:rFonts w:ascii="Times New Roman" w:hAnsi="Times New Roman" w:cs="Times New Roman"/>
          <w:sz w:val="24"/>
          <w:szCs w:val="24"/>
        </w:rPr>
        <w:t>6.47%.</w:t>
      </w:r>
      <w:r>
        <w:rPr>
          <w:rStyle w:val="FootnoteReference"/>
          <w:rFonts w:ascii="Times New Roman" w:hAnsi="Times New Roman" w:cs="Times New Roman"/>
          <w:sz w:val="24"/>
          <w:szCs w:val="24"/>
        </w:rPr>
        <w:footnoteReference w:id="13"/>
      </w:r>
      <w:r w:rsidRPr="002C464E">
        <w:rPr>
          <w:rFonts w:ascii="Times New Roman" w:hAnsi="Times New Roman" w:cs="Times New Roman"/>
          <w:sz w:val="24"/>
          <w:szCs w:val="24"/>
        </w:rPr>
        <w:t xml:space="preserve"> The Staff Report’s recommended return on equity range of 8.9</w:t>
      </w:r>
      <w:r w:rsidRPr="002C464E" w:rsidR="00B76ED6">
        <w:rPr>
          <w:rFonts w:ascii="Times New Roman" w:hAnsi="Times New Roman" w:cs="Times New Roman"/>
          <w:sz w:val="24"/>
          <w:szCs w:val="24"/>
        </w:rPr>
        <w:t>4</w:t>
      </w:r>
      <w:r w:rsidRPr="002C464E">
        <w:rPr>
          <w:rFonts w:ascii="Times New Roman" w:hAnsi="Times New Roman" w:cs="Times New Roman"/>
          <w:sz w:val="24"/>
          <w:szCs w:val="24"/>
        </w:rPr>
        <w:t xml:space="preserve">% - </w:t>
      </w:r>
      <w:r w:rsidRPr="002C464E" w:rsidR="00B76ED6">
        <w:rPr>
          <w:rFonts w:ascii="Times New Roman" w:hAnsi="Times New Roman" w:cs="Times New Roman"/>
          <w:sz w:val="24"/>
          <w:szCs w:val="24"/>
        </w:rPr>
        <w:t>9.95</w:t>
      </w:r>
      <w:r w:rsidRPr="002C464E">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Pr="002C464E">
        <w:rPr>
          <w:rFonts w:ascii="Times New Roman" w:hAnsi="Times New Roman" w:cs="Times New Roman"/>
          <w:sz w:val="24"/>
          <w:szCs w:val="24"/>
        </w:rPr>
        <w:t xml:space="preserve"> is also too high and thus unjust and unreasonable for consumers to pay.</w:t>
      </w:r>
    </w:p>
    <w:p w:rsidR="00F3266D" w:rsidP="00F3266D" w14:paraId="6710F869" w14:textId="4B8E11C7">
      <w:pPr>
        <w:spacing w:after="0" w:line="480" w:lineRule="auto"/>
        <w:ind w:firstLine="720"/>
        <w:rPr>
          <w:rFonts w:ascii="Times New Roman" w:hAnsi="Times New Roman" w:cs="Times New Roman"/>
          <w:sz w:val="24"/>
          <w:szCs w:val="24"/>
        </w:rPr>
      </w:pPr>
      <w:r w:rsidRPr="002C464E">
        <w:rPr>
          <w:rFonts w:ascii="Times New Roman" w:hAnsi="Times New Roman" w:cs="Times New Roman"/>
          <w:sz w:val="24"/>
          <w:szCs w:val="24"/>
        </w:rPr>
        <w:t xml:space="preserve">Specifically, the cost of equity and the rate of return proposed in the PUCO Staff Report do not reflect current market conditions or the business and financial risks facing a regulated </w:t>
      </w:r>
      <w:r w:rsidR="000525B9">
        <w:rPr>
          <w:rFonts w:ascii="Times New Roman" w:hAnsi="Times New Roman" w:cs="Times New Roman"/>
          <w:sz w:val="24"/>
          <w:szCs w:val="24"/>
        </w:rPr>
        <w:t>waste</w:t>
      </w:r>
      <w:r w:rsidRPr="002C464E">
        <w:rPr>
          <w:rFonts w:ascii="Times New Roman" w:hAnsi="Times New Roman" w:cs="Times New Roman"/>
          <w:sz w:val="24"/>
          <w:szCs w:val="24"/>
        </w:rPr>
        <w:t xml:space="preserve">water utility such as Aqua. Furthermore, </w:t>
      </w:r>
      <w:r w:rsidR="00F44829">
        <w:rPr>
          <w:rFonts w:ascii="Times New Roman" w:hAnsi="Times New Roman" w:cs="Times New Roman"/>
          <w:sz w:val="24"/>
          <w:szCs w:val="24"/>
        </w:rPr>
        <w:t xml:space="preserve">the PUCO </w:t>
      </w:r>
      <w:r w:rsidRPr="002C464E">
        <w:rPr>
          <w:rFonts w:ascii="Times New Roman" w:hAnsi="Times New Roman" w:cs="Times New Roman"/>
          <w:sz w:val="24"/>
          <w:szCs w:val="24"/>
        </w:rPr>
        <w:t>Staff’s analysis is inconsistent with the analysis and approach used in the Staff Reports of prior rate cases.</w:t>
      </w:r>
      <w:r>
        <w:rPr>
          <w:rStyle w:val="FootnoteReference"/>
          <w:rFonts w:ascii="Times New Roman" w:eastAsia="Times New Roman" w:hAnsi="Times New Roman" w:cs="Times New Roman"/>
          <w:sz w:val="24"/>
          <w:szCs w:val="24"/>
        </w:rPr>
        <w:footnoteReference w:id="15"/>
      </w:r>
      <w:r w:rsidRPr="002C464E">
        <w:rPr>
          <w:rFonts w:ascii="Times New Roman" w:hAnsi="Times New Roman" w:cs="Times New Roman"/>
          <w:sz w:val="24"/>
          <w:szCs w:val="24"/>
        </w:rPr>
        <w:t xml:space="preserve"> The PUCO Staff has not provided any explanation for why it changed its approach. </w:t>
      </w:r>
    </w:p>
    <w:p w:rsidR="00B76ED6" w:rsidP="00F44829" w14:paraId="19DCC387" w14:textId="55BE042E">
      <w:pPr>
        <w:spacing w:after="0" w:line="240" w:lineRule="auto"/>
        <w:rPr>
          <w:rFonts w:ascii="Times New Roman" w:hAnsi="Times New Roman" w:cs="Times New Roman"/>
          <w:b/>
          <w:bCs/>
          <w:sz w:val="24"/>
          <w:szCs w:val="24"/>
        </w:rPr>
      </w:pPr>
      <w:bookmarkStart w:id="19" w:name="_Toc142639513"/>
      <w:bookmarkStart w:id="20" w:name="_Toc142923660"/>
      <w:r w:rsidRPr="006A70BC">
        <w:rPr>
          <w:rStyle w:val="Heading3Char"/>
        </w:rPr>
        <w:t xml:space="preserve">OBJECTION </w:t>
      </w:r>
      <w:r w:rsidR="00511FBF">
        <w:rPr>
          <w:rStyle w:val="Heading3Char"/>
        </w:rPr>
        <w:t>3</w:t>
      </w:r>
      <w:r w:rsidRPr="006A70BC">
        <w:rPr>
          <w:rStyle w:val="Heading3Char"/>
        </w:rPr>
        <w:t xml:space="preserve">: </w:t>
      </w:r>
      <w:r w:rsidR="00652E01">
        <w:rPr>
          <w:rStyle w:val="Heading3Char"/>
        </w:rPr>
        <w:t>OCC objects because t</w:t>
      </w:r>
      <w:r w:rsidRPr="006A70BC">
        <w:rPr>
          <w:rStyle w:val="Heading3Char"/>
        </w:rPr>
        <w:t xml:space="preserve">he Staff Report erred by using the historical </w:t>
      </w:r>
      <w:r w:rsidRPr="006A70BC" w:rsidR="00713D12">
        <w:rPr>
          <w:rStyle w:val="Heading3Char"/>
        </w:rPr>
        <w:t>Gross National Product (“</w:t>
      </w:r>
      <w:r w:rsidRPr="006A70BC">
        <w:rPr>
          <w:rStyle w:val="Heading3Char"/>
        </w:rPr>
        <w:t>GNP</w:t>
      </w:r>
      <w:r w:rsidRPr="006A70BC" w:rsidR="00713D12">
        <w:rPr>
          <w:rStyle w:val="Heading3Char"/>
        </w:rPr>
        <w:t>”)</w:t>
      </w:r>
      <w:r w:rsidRPr="006A70BC">
        <w:rPr>
          <w:rStyle w:val="Heading3Char"/>
        </w:rPr>
        <w:t xml:space="preserve"> growth rate in modeling the long-term growth rate </w:t>
      </w:r>
      <w:r w:rsidRPr="006A70BC" w:rsidR="000A6A64">
        <w:rPr>
          <w:rStyle w:val="Heading3Char"/>
        </w:rPr>
        <w:t>for the multistage</w:t>
      </w:r>
      <w:r w:rsidRPr="006A70BC">
        <w:rPr>
          <w:rStyle w:val="Heading3Char"/>
        </w:rPr>
        <w:t xml:space="preserve"> </w:t>
      </w:r>
      <w:r w:rsidRPr="006A70BC" w:rsidR="0052521E">
        <w:rPr>
          <w:rStyle w:val="Heading3Char"/>
        </w:rPr>
        <w:t>discounted cash flow (“</w:t>
      </w:r>
      <w:r w:rsidRPr="006A70BC">
        <w:rPr>
          <w:rStyle w:val="Heading3Char"/>
        </w:rPr>
        <w:t>DCF</w:t>
      </w:r>
      <w:r w:rsidRPr="006A70BC" w:rsidR="0052521E">
        <w:rPr>
          <w:rStyle w:val="Heading3Char"/>
        </w:rPr>
        <w:t>”)</w:t>
      </w:r>
      <w:r w:rsidRPr="006A70BC">
        <w:rPr>
          <w:rStyle w:val="Heading3Char"/>
        </w:rPr>
        <w:t xml:space="preserve"> model. The use of the </w:t>
      </w:r>
      <w:r w:rsidRPr="006A70BC" w:rsidR="000A6A64">
        <w:rPr>
          <w:rStyle w:val="Heading3Char"/>
        </w:rPr>
        <w:t>historical</w:t>
      </w:r>
      <w:r w:rsidRPr="006A70BC">
        <w:rPr>
          <w:rStyle w:val="Heading3Char"/>
        </w:rPr>
        <w:t xml:space="preserve"> GNP growth rate for the DCF analysis leads to a rate of return that is too high and results in unjust and unreasonable rates </w:t>
      </w:r>
      <w:r w:rsidRPr="006A70BC" w:rsidR="00F44829">
        <w:rPr>
          <w:rStyle w:val="Heading3Char"/>
        </w:rPr>
        <w:t xml:space="preserve">to consumers in violation of </w:t>
      </w:r>
      <w:r w:rsidRPr="006A70BC" w:rsidR="0052521E">
        <w:rPr>
          <w:rStyle w:val="Heading3Char"/>
        </w:rPr>
        <w:t>R.C. 4905.22, 4909.15, 4909.154, 4909.17 and 4909.18.</w:t>
      </w:r>
      <w:bookmarkEnd w:id="19"/>
      <w:bookmarkEnd w:id="20"/>
    </w:p>
    <w:p w:rsidR="00F44829" w:rsidRPr="00F44829" w:rsidP="00F44829" w14:paraId="2BD49B2A" w14:textId="77777777">
      <w:pPr>
        <w:spacing w:after="0" w:line="240" w:lineRule="auto"/>
        <w:rPr>
          <w:rFonts w:ascii="Times New Roman" w:hAnsi="Times New Roman" w:cs="Times New Roman"/>
          <w:b/>
          <w:bCs/>
          <w:sz w:val="24"/>
          <w:szCs w:val="24"/>
        </w:rPr>
      </w:pPr>
    </w:p>
    <w:p w:rsidR="000A6A64" w:rsidRPr="002C464E" w:rsidP="00C7245A" w14:paraId="0B9AB010" w14:textId="71B52121">
      <w:pPr>
        <w:spacing w:after="0" w:line="480" w:lineRule="auto"/>
        <w:rPr>
          <w:rStyle w:val="LineNumber"/>
          <w:rFonts w:ascii="Times New Roman" w:hAnsi="Times New Roman" w:cs="Times New Roman"/>
          <w:sz w:val="24"/>
          <w:szCs w:val="24"/>
        </w:rPr>
      </w:pPr>
      <w:r w:rsidRPr="002C464E">
        <w:rPr>
          <w:rFonts w:ascii="Times New Roman" w:hAnsi="Times New Roman" w:cs="Times New Roman"/>
          <w:sz w:val="24"/>
          <w:szCs w:val="24"/>
        </w:rPr>
        <w:tab/>
      </w:r>
      <w:r w:rsidR="00F44829">
        <w:rPr>
          <w:rFonts w:ascii="Times New Roman" w:hAnsi="Times New Roman" w:cs="Times New Roman"/>
          <w:sz w:val="24"/>
          <w:szCs w:val="24"/>
        </w:rPr>
        <w:t xml:space="preserve">The </w:t>
      </w:r>
      <w:r w:rsidRPr="002C464E">
        <w:rPr>
          <w:rFonts w:ascii="Times New Roman" w:hAnsi="Times New Roman" w:cs="Times New Roman"/>
          <w:sz w:val="24"/>
          <w:szCs w:val="24"/>
        </w:rPr>
        <w:t>PUCO Staff’s use of the historical G</w:t>
      </w:r>
      <w:r w:rsidRPr="002C464E" w:rsidR="009F3E18">
        <w:rPr>
          <w:rFonts w:ascii="Times New Roman" w:hAnsi="Times New Roman" w:cs="Times New Roman"/>
          <w:sz w:val="24"/>
          <w:szCs w:val="24"/>
        </w:rPr>
        <w:t>N</w:t>
      </w:r>
      <w:r w:rsidRPr="002C464E">
        <w:rPr>
          <w:rFonts w:ascii="Times New Roman" w:hAnsi="Times New Roman" w:cs="Times New Roman"/>
          <w:sz w:val="24"/>
          <w:szCs w:val="24"/>
        </w:rPr>
        <w:t>P growth rate in modeling the long-term growth rate for the multistage DCF model overstates the estimated cost of equity of Aqua under the DCF analysis.</w:t>
      </w:r>
      <w:r>
        <w:rPr>
          <w:rStyle w:val="FootnoteReference"/>
          <w:rFonts w:ascii="Times New Roman" w:eastAsia="Times New Roman" w:hAnsi="Times New Roman" w:cs="Times New Roman"/>
          <w:sz w:val="24"/>
          <w:szCs w:val="24"/>
        </w:rPr>
        <w:footnoteReference w:id="16"/>
      </w:r>
      <w:r w:rsidRPr="002C464E">
        <w:rPr>
          <w:rFonts w:ascii="Times New Roman" w:hAnsi="Times New Roman" w:cs="Times New Roman"/>
          <w:sz w:val="24"/>
          <w:szCs w:val="24"/>
        </w:rPr>
        <w:t xml:space="preserve"> In the DCF model analysis, a key element i</w:t>
      </w:r>
      <w:r w:rsidRPr="002C464E" w:rsidR="009F3E18">
        <w:rPr>
          <w:rFonts w:ascii="Times New Roman" w:hAnsi="Times New Roman" w:cs="Times New Roman"/>
          <w:sz w:val="24"/>
          <w:szCs w:val="24"/>
        </w:rPr>
        <w:t>s</w:t>
      </w:r>
      <w:r w:rsidRPr="002C464E">
        <w:rPr>
          <w:rFonts w:ascii="Times New Roman" w:hAnsi="Times New Roman" w:cs="Times New Roman"/>
          <w:sz w:val="24"/>
          <w:szCs w:val="24"/>
        </w:rPr>
        <w:t xml:space="preserve"> the earnings growth rate as the input into the model. The Staff used a multistage DCF model assuming</w:t>
      </w:r>
      <w:r w:rsidR="00F44829">
        <w:rPr>
          <w:rFonts w:ascii="Times New Roman" w:hAnsi="Times New Roman" w:cs="Times New Roman"/>
          <w:sz w:val="24"/>
          <w:szCs w:val="24"/>
        </w:rPr>
        <w:t xml:space="preserve"> that</w:t>
      </w:r>
      <w:r w:rsidRPr="002C464E">
        <w:rPr>
          <w:rFonts w:ascii="Times New Roman" w:hAnsi="Times New Roman" w:cs="Times New Roman"/>
          <w:sz w:val="24"/>
          <w:szCs w:val="24"/>
        </w:rPr>
        <w:t xml:space="preserve"> the long-term growth rate starting from </w:t>
      </w:r>
      <w:r w:rsidRPr="002C464E" w:rsidR="009F3E18">
        <w:rPr>
          <w:rFonts w:ascii="Times New Roman" w:hAnsi="Times New Roman" w:cs="Times New Roman"/>
          <w:sz w:val="24"/>
          <w:szCs w:val="24"/>
        </w:rPr>
        <w:t xml:space="preserve">the </w:t>
      </w:r>
      <w:r w:rsidRPr="002C464E">
        <w:rPr>
          <w:rFonts w:ascii="Times New Roman" w:hAnsi="Times New Roman" w:cs="Times New Roman"/>
          <w:sz w:val="24"/>
          <w:szCs w:val="24"/>
        </w:rPr>
        <w:t>25</w:t>
      </w:r>
      <w:r w:rsidRPr="002C464E">
        <w:rPr>
          <w:rFonts w:ascii="Times New Roman" w:hAnsi="Times New Roman" w:cs="Times New Roman"/>
          <w:sz w:val="24"/>
          <w:szCs w:val="24"/>
          <w:vertAlign w:val="superscript"/>
        </w:rPr>
        <w:t>th</w:t>
      </w:r>
      <w:r w:rsidRPr="002C464E">
        <w:rPr>
          <w:rFonts w:ascii="Times New Roman" w:hAnsi="Times New Roman" w:cs="Times New Roman"/>
          <w:sz w:val="24"/>
          <w:szCs w:val="24"/>
        </w:rPr>
        <w:t xml:space="preserve"> year is the average annual</w:t>
      </w:r>
      <w:r w:rsidRPr="002C464E" w:rsidR="009F3E18">
        <w:rPr>
          <w:rFonts w:ascii="Times New Roman" w:hAnsi="Times New Roman" w:cs="Times New Roman"/>
          <w:sz w:val="24"/>
          <w:szCs w:val="24"/>
        </w:rPr>
        <w:t xml:space="preserve"> percentage</w:t>
      </w:r>
      <w:r w:rsidRPr="002C464E">
        <w:rPr>
          <w:rFonts w:ascii="Times New Roman" w:hAnsi="Times New Roman" w:cs="Times New Roman"/>
          <w:sz w:val="24"/>
          <w:szCs w:val="24"/>
        </w:rPr>
        <w:t xml:space="preserve"> change in GNP from the U.S. Department of Commerce for 1929 through 2022.</w:t>
      </w:r>
      <w:r>
        <w:rPr>
          <w:rStyle w:val="FootnoteReference"/>
          <w:rFonts w:ascii="Times New Roman" w:hAnsi="Times New Roman" w:cs="Times New Roman"/>
          <w:sz w:val="24"/>
          <w:szCs w:val="24"/>
        </w:rPr>
        <w:footnoteReference w:id="17"/>
      </w:r>
      <w:r w:rsidRPr="002C464E">
        <w:rPr>
          <w:rFonts w:ascii="Times New Roman" w:hAnsi="Times New Roman" w:cs="Times New Roman"/>
          <w:sz w:val="24"/>
          <w:szCs w:val="24"/>
        </w:rPr>
        <w:t xml:space="preserve"> </w:t>
      </w:r>
      <w:r w:rsidRPr="002C464E">
        <w:rPr>
          <w:rStyle w:val="LineNumber"/>
          <w:rFonts w:ascii="Times New Roman" w:hAnsi="Times New Roman" w:cs="Times New Roman"/>
          <w:sz w:val="24"/>
          <w:szCs w:val="24"/>
        </w:rPr>
        <w:t xml:space="preserve">The </w:t>
      </w:r>
      <w:r w:rsidR="0065089F">
        <w:rPr>
          <w:rStyle w:val="LineNumber"/>
          <w:rFonts w:ascii="Times New Roman" w:hAnsi="Times New Roman" w:cs="Times New Roman"/>
          <w:sz w:val="24"/>
          <w:szCs w:val="24"/>
        </w:rPr>
        <w:t xml:space="preserve">PUCO </w:t>
      </w:r>
      <w:r w:rsidRPr="002C464E">
        <w:rPr>
          <w:rStyle w:val="LineNumber"/>
          <w:rFonts w:ascii="Times New Roman" w:hAnsi="Times New Roman" w:cs="Times New Roman"/>
          <w:sz w:val="24"/>
          <w:szCs w:val="24"/>
        </w:rPr>
        <w:t>Staff is correct in assuming the economic growth rate to be the expected long-term dividend growth rate. However, the cost of capital is the expected market required return on capital for the future investment of the utilities in this case</w:t>
      </w:r>
      <w:r w:rsidR="0065089F">
        <w:rPr>
          <w:rStyle w:val="LineNumber"/>
          <w:rFonts w:ascii="Times New Roman" w:hAnsi="Times New Roman" w:cs="Times New Roman"/>
          <w:sz w:val="24"/>
          <w:szCs w:val="24"/>
        </w:rPr>
        <w:t>. T</w:t>
      </w:r>
      <w:r w:rsidRPr="002C464E">
        <w:rPr>
          <w:rStyle w:val="LineNumber"/>
          <w:rFonts w:ascii="Times New Roman" w:hAnsi="Times New Roman" w:cs="Times New Roman"/>
          <w:sz w:val="24"/>
          <w:szCs w:val="24"/>
        </w:rPr>
        <w:t xml:space="preserve">herefore, it should be forward looking. Historical GNP or GDP growth rate only reflects what has happened in the past and the past does not necessarily reflect the current or future market and economic conditions. Therefore, it is inappropriate to use historical growth rate in this context. </w:t>
      </w:r>
      <w:r w:rsidRPr="002C464E">
        <w:rPr>
          <w:rStyle w:val="LineNumber"/>
          <w:rFonts w:ascii="Times New Roman" w:hAnsi="Times New Roman" w:cs="Times New Roman"/>
          <w:sz w:val="24"/>
          <w:szCs w:val="24"/>
        </w:rPr>
        <w:tab/>
      </w:r>
    </w:p>
    <w:p w:rsidR="000A6A64" w:rsidRPr="002C464E" w:rsidP="00C7245A" w14:paraId="4ED3605D" w14:textId="674EFB33">
      <w:pPr>
        <w:spacing w:after="0" w:line="480" w:lineRule="auto"/>
        <w:rPr>
          <w:rStyle w:val="LineNumber"/>
          <w:rFonts w:ascii="Times New Roman" w:hAnsi="Times New Roman" w:cs="Times New Roman"/>
          <w:sz w:val="24"/>
          <w:szCs w:val="24"/>
        </w:rPr>
      </w:pPr>
      <w:r w:rsidRPr="002C464E">
        <w:rPr>
          <w:rStyle w:val="LineNumber"/>
          <w:rFonts w:ascii="Times New Roman" w:hAnsi="Times New Roman" w:cs="Times New Roman"/>
          <w:sz w:val="24"/>
          <w:szCs w:val="24"/>
        </w:rPr>
        <w:tab/>
        <w:t xml:space="preserve">The historical GNP growth rate during the sample period of the </w:t>
      </w:r>
      <w:r w:rsidR="0065089F">
        <w:rPr>
          <w:rStyle w:val="LineNumber"/>
          <w:rFonts w:ascii="Times New Roman" w:hAnsi="Times New Roman" w:cs="Times New Roman"/>
          <w:sz w:val="24"/>
          <w:szCs w:val="24"/>
        </w:rPr>
        <w:t xml:space="preserve">PUCO </w:t>
      </w:r>
      <w:r w:rsidRPr="002C464E">
        <w:rPr>
          <w:rStyle w:val="LineNumber"/>
          <w:rFonts w:ascii="Times New Roman" w:hAnsi="Times New Roman" w:cs="Times New Roman"/>
          <w:sz w:val="24"/>
          <w:szCs w:val="24"/>
        </w:rPr>
        <w:t>Staff is 6.31%</w:t>
      </w:r>
      <w:r>
        <w:rPr>
          <w:rStyle w:val="FootnoteReference"/>
          <w:rFonts w:ascii="Times New Roman" w:hAnsi="Times New Roman" w:cs="Times New Roman"/>
          <w:sz w:val="24"/>
          <w:szCs w:val="24"/>
        </w:rPr>
        <w:footnoteReference w:id="18"/>
      </w:r>
      <w:r w:rsidRPr="002C464E" w:rsidR="009F3E18">
        <w:rPr>
          <w:rStyle w:val="LineNumber"/>
          <w:rFonts w:ascii="Times New Roman" w:hAnsi="Times New Roman" w:cs="Times New Roman"/>
          <w:sz w:val="24"/>
          <w:szCs w:val="24"/>
        </w:rPr>
        <w:t xml:space="preserve"> and it was used as the expected future GNP growth rate,</w:t>
      </w:r>
      <w:r w:rsidRPr="002C464E">
        <w:rPr>
          <w:rStyle w:val="LineNumber"/>
          <w:rFonts w:ascii="Times New Roman" w:hAnsi="Times New Roman" w:cs="Times New Roman"/>
          <w:sz w:val="24"/>
          <w:szCs w:val="24"/>
        </w:rPr>
        <w:t xml:space="preserve"> which is too high for the future given the expected economic condition in the U.S. In calculating the 6.</w:t>
      </w:r>
      <w:r w:rsidRPr="002C464E" w:rsidR="009F3E18">
        <w:rPr>
          <w:rStyle w:val="LineNumber"/>
          <w:rFonts w:ascii="Times New Roman" w:hAnsi="Times New Roman" w:cs="Times New Roman"/>
          <w:sz w:val="24"/>
          <w:szCs w:val="24"/>
        </w:rPr>
        <w:t>3</w:t>
      </w:r>
      <w:r w:rsidRPr="002C464E">
        <w:rPr>
          <w:rStyle w:val="LineNumber"/>
          <w:rFonts w:ascii="Times New Roman" w:hAnsi="Times New Roman" w:cs="Times New Roman"/>
          <w:sz w:val="24"/>
          <w:szCs w:val="24"/>
        </w:rPr>
        <w:t>1% annual growth rate, the</w:t>
      </w:r>
      <w:r w:rsidR="0065089F">
        <w:rPr>
          <w:rStyle w:val="LineNumber"/>
          <w:rFonts w:ascii="Times New Roman" w:hAnsi="Times New Roman" w:cs="Times New Roman"/>
          <w:sz w:val="24"/>
          <w:szCs w:val="24"/>
        </w:rPr>
        <w:t xml:space="preserve"> PUCO</w:t>
      </w:r>
      <w:r w:rsidRPr="002C464E">
        <w:rPr>
          <w:rStyle w:val="LineNumber"/>
          <w:rFonts w:ascii="Times New Roman" w:hAnsi="Times New Roman" w:cs="Times New Roman"/>
          <w:sz w:val="24"/>
          <w:szCs w:val="24"/>
        </w:rPr>
        <w:t xml:space="preserve"> Staff used the arithmetic growth formula – </w:t>
      </w:r>
      <w:r w:rsidRPr="0065089F">
        <w:rPr>
          <w:rStyle w:val="LineNumber"/>
          <w:rFonts w:ascii="Times New Roman" w:hAnsi="Times New Roman" w:cs="Times New Roman"/>
          <w:i/>
          <w:iCs/>
          <w:sz w:val="24"/>
          <w:szCs w:val="24"/>
        </w:rPr>
        <w:t>i.e.</w:t>
      </w:r>
      <w:r w:rsidRPr="002C464E">
        <w:rPr>
          <w:rStyle w:val="LineNumber"/>
          <w:rFonts w:ascii="Times New Roman" w:hAnsi="Times New Roman" w:cs="Times New Roman"/>
          <w:sz w:val="24"/>
          <w:szCs w:val="24"/>
        </w:rPr>
        <w:t>, calculat</w:t>
      </w:r>
      <w:r w:rsidR="0065089F">
        <w:rPr>
          <w:rStyle w:val="LineNumber"/>
          <w:rFonts w:ascii="Times New Roman" w:hAnsi="Times New Roman" w:cs="Times New Roman"/>
          <w:sz w:val="24"/>
          <w:szCs w:val="24"/>
        </w:rPr>
        <w:t>ing</w:t>
      </w:r>
      <w:r w:rsidRPr="002C464E">
        <w:rPr>
          <w:rStyle w:val="LineNumber"/>
          <w:rFonts w:ascii="Times New Roman" w:hAnsi="Times New Roman" w:cs="Times New Roman"/>
          <w:sz w:val="24"/>
          <w:szCs w:val="24"/>
        </w:rPr>
        <w:t xml:space="preserve"> the annual growth rate and then averag</w:t>
      </w:r>
      <w:r w:rsidR="0065089F">
        <w:rPr>
          <w:rStyle w:val="LineNumber"/>
          <w:rFonts w:ascii="Times New Roman" w:hAnsi="Times New Roman" w:cs="Times New Roman"/>
          <w:sz w:val="24"/>
          <w:szCs w:val="24"/>
        </w:rPr>
        <w:t>ing</w:t>
      </w:r>
      <w:r w:rsidRPr="002C464E">
        <w:rPr>
          <w:rStyle w:val="LineNumber"/>
          <w:rFonts w:ascii="Times New Roman" w:hAnsi="Times New Roman" w:cs="Times New Roman"/>
          <w:sz w:val="24"/>
          <w:szCs w:val="24"/>
        </w:rPr>
        <w:t xml:space="preserve"> the overall annual growth rate. However, this approach has a well-known problem of over-stating the growth rate when growth rate varies quite a bit during the sample period. The correct calculation is to obtain the geometric mean growth rate, which is 6.08% ((25640.1/105.3)^(1/93)-1). However, even 6.08% is still not representative of the future GNP/GDP growth rate.</w:t>
      </w:r>
    </w:p>
    <w:p w:rsidR="000A6A64" w:rsidRPr="002C464E" w:rsidP="000A6A64" w14:paraId="1F4E78B8" w14:textId="710A83C0">
      <w:pPr>
        <w:spacing w:after="0" w:line="480" w:lineRule="auto"/>
        <w:rPr>
          <w:rFonts w:ascii="Times New Roman" w:hAnsi="Times New Roman" w:cs="Times New Roman"/>
          <w:sz w:val="24"/>
          <w:szCs w:val="24"/>
        </w:rPr>
      </w:pPr>
      <w:r w:rsidRPr="002C464E">
        <w:rPr>
          <w:rStyle w:val="LineNumber"/>
          <w:rFonts w:ascii="Times New Roman" w:hAnsi="Times New Roman" w:cs="Times New Roman"/>
          <w:sz w:val="24"/>
          <w:szCs w:val="24"/>
        </w:rPr>
        <w:tab/>
        <w:t>It is well-know</w:t>
      </w:r>
      <w:r w:rsidR="00165615">
        <w:rPr>
          <w:rStyle w:val="LineNumber"/>
          <w:rFonts w:ascii="Times New Roman" w:hAnsi="Times New Roman" w:cs="Times New Roman"/>
          <w:sz w:val="24"/>
          <w:szCs w:val="24"/>
        </w:rPr>
        <w:t>n</w:t>
      </w:r>
      <w:r w:rsidRPr="002C464E">
        <w:rPr>
          <w:rStyle w:val="LineNumber"/>
          <w:rFonts w:ascii="Times New Roman" w:hAnsi="Times New Roman" w:cs="Times New Roman"/>
          <w:sz w:val="24"/>
          <w:szCs w:val="24"/>
        </w:rPr>
        <w:t xml:space="preserve"> that the U.S. economy experienced a slowdown in economic growth in the last several decades. The U.S. real GDP growth rate has been declining over the years. From 1970 to 2020, the U.S. real GDP grew at a rate of 2.67%, while that rate for the period of 1980-2020 and 1990 to 2020 has declined to 2.55% and 2.29% respectively. The growth rate for the period of 2000 to 2020 dipped to 1.73%.</w:t>
      </w:r>
      <w:r>
        <w:rPr>
          <w:rStyle w:val="FootnoteReference"/>
          <w:rFonts w:ascii="Times New Roman" w:hAnsi="Times New Roman" w:cs="Times New Roman"/>
          <w:sz w:val="24"/>
          <w:szCs w:val="24"/>
        </w:rPr>
        <w:footnoteReference w:id="19"/>
      </w:r>
      <w:r w:rsidRPr="002C464E">
        <w:rPr>
          <w:rStyle w:val="LineNumber"/>
          <w:rFonts w:ascii="Times New Roman" w:hAnsi="Times New Roman" w:cs="Times New Roman"/>
          <w:sz w:val="24"/>
          <w:szCs w:val="24"/>
        </w:rPr>
        <w:t xml:space="preserve"> The historical GDP growth rate of 6.41% does not appear to be consistent with the more recent trend in GDP growth. The most recent expected GDP growth rate for the U.S. is around 4.18%.</w:t>
      </w:r>
      <w:r w:rsidRPr="002C464E" w:rsidR="00AE4F81">
        <w:rPr>
          <w:rStyle w:val="LineNumber"/>
          <w:rFonts w:ascii="Times New Roman" w:hAnsi="Times New Roman" w:cs="Times New Roman"/>
          <w:sz w:val="24"/>
          <w:szCs w:val="24"/>
        </w:rPr>
        <w:t xml:space="preserve"> </w:t>
      </w:r>
    </w:p>
    <w:p w:rsidR="00AE4F81" w:rsidP="006A70BC" w14:paraId="74DC7C81" w14:textId="0D05F576">
      <w:pPr>
        <w:pStyle w:val="Heading3"/>
      </w:pPr>
      <w:hyperlink w:anchor="_Toc98165617" w:history="1">
        <w:bookmarkStart w:id="21" w:name="_Toc142639514"/>
        <w:bookmarkStart w:id="22" w:name="_Toc142923661"/>
        <w:r w:rsidRPr="00165615">
          <w:t xml:space="preserve">OBJECTION </w:t>
        </w:r>
        <w:r w:rsidR="00511FBF">
          <w:t>4</w:t>
        </w:r>
        <w:r w:rsidRPr="00165615">
          <w:t xml:space="preserve">: </w:t>
        </w:r>
        <w:r w:rsidR="00652E01">
          <w:t>OCC objects because t</w:t>
        </w:r>
        <w:r w:rsidRPr="00165615">
          <w:t>he Staff Report erred by using the yields of the 20-year U.S. Treasury Bonds as the risk-free rate used in the Capital Asset Pricing Model (“CAPM”). The inclusion of the yields of 20-year U.S. Treasury Bonds in calculating the risk-free rate overstates the estimated cost of equity of Aqua under the CAPM analysis causing a rate of return that is too high and results in unjust and unreasonable rates</w:t>
        </w:r>
        <w:r w:rsidR="0065089F">
          <w:t xml:space="preserve"> to consumers in violation of </w:t>
        </w:r>
        <w:r w:rsidR="00165615">
          <w:rPr>
            <w:rStyle w:val="Heading3Char"/>
          </w:rPr>
          <w:t>R.C. 4905.22, 4909.15, 4909.154, 4909.17 and 4909.18.</w:t>
        </w:r>
        <w:bookmarkEnd w:id="21"/>
        <w:bookmarkEnd w:id="22"/>
      </w:hyperlink>
      <w:r w:rsidR="00165615">
        <w:t xml:space="preserve"> </w:t>
      </w:r>
    </w:p>
    <w:p w:rsidR="00AE4F81" w:rsidRPr="002C464E" w:rsidP="006A70BC" w14:paraId="4057ECBD" w14:textId="2E5347DC">
      <w:pPr>
        <w:spacing w:after="0" w:line="480" w:lineRule="auto"/>
        <w:ind w:firstLine="720"/>
        <w:rPr>
          <w:rStyle w:val="LineNumber"/>
          <w:rFonts w:ascii="Times New Roman" w:hAnsi="Times New Roman" w:cs="Times New Roman"/>
          <w:sz w:val="24"/>
          <w:szCs w:val="24"/>
        </w:rPr>
      </w:pPr>
      <w:r>
        <w:rPr>
          <w:rFonts w:ascii="Times New Roman" w:eastAsia="Times New Roman" w:hAnsi="Times New Roman" w:cs="Times New Roman"/>
          <w:sz w:val="24"/>
          <w:szCs w:val="24"/>
        </w:rPr>
        <w:t xml:space="preserve">The </w:t>
      </w:r>
      <w:r w:rsidRPr="002C464E" w:rsidR="00F3266D">
        <w:rPr>
          <w:rFonts w:ascii="Times New Roman" w:eastAsia="Times New Roman" w:hAnsi="Times New Roman" w:cs="Times New Roman"/>
          <w:sz w:val="24"/>
          <w:szCs w:val="24"/>
        </w:rPr>
        <w:t>PUCO Staff’s use of the yields of 20-year U.S. Treasury Bonds as part of the calculation of the risk-free rate overstates the estimated cost of equity of Aqua under the CAPM analysis.</w:t>
      </w:r>
      <w:r>
        <w:rPr>
          <w:rStyle w:val="FootnoteReference"/>
          <w:rFonts w:ascii="Times New Roman" w:eastAsia="Times New Roman" w:hAnsi="Times New Roman" w:cs="Times New Roman"/>
          <w:sz w:val="24"/>
          <w:szCs w:val="24"/>
        </w:rPr>
        <w:footnoteReference w:id="20"/>
      </w:r>
      <w:r w:rsidRPr="002C464E" w:rsidR="00F3266D">
        <w:rPr>
          <w:rFonts w:ascii="Times New Roman" w:eastAsia="Times New Roman" w:hAnsi="Times New Roman" w:cs="Times New Roman"/>
          <w:sz w:val="24"/>
          <w:szCs w:val="24"/>
        </w:rPr>
        <w:t xml:space="preserve"> In the CAPM analysis, a risk-free rate is typically based on the current actual yields of long-term U</w:t>
      </w:r>
      <w:r>
        <w:rPr>
          <w:rFonts w:ascii="Times New Roman" w:eastAsia="Times New Roman" w:hAnsi="Times New Roman" w:cs="Times New Roman"/>
          <w:sz w:val="24"/>
          <w:szCs w:val="24"/>
        </w:rPr>
        <w:t>.</w:t>
      </w:r>
      <w:r w:rsidRPr="002C464E" w:rsidR="00F3266D">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2C464E" w:rsidR="00F3266D">
        <w:rPr>
          <w:rFonts w:ascii="Times New Roman" w:eastAsia="Times New Roman" w:hAnsi="Times New Roman" w:cs="Times New Roman"/>
          <w:sz w:val="24"/>
          <w:szCs w:val="24"/>
        </w:rPr>
        <w:t xml:space="preserve"> government bonds with ten years or longer maturity. A more reasonable risk-free rate would be the 30-year U.S. Treasury Bond</w:t>
      </w:r>
      <w:r w:rsidRPr="002C464E">
        <w:rPr>
          <w:rFonts w:ascii="Times New Roman" w:eastAsia="Times New Roman" w:hAnsi="Times New Roman" w:cs="Times New Roman"/>
          <w:sz w:val="24"/>
          <w:szCs w:val="24"/>
        </w:rPr>
        <w:t xml:space="preserve"> yield</w:t>
      </w:r>
      <w:r w:rsidRPr="002C464E" w:rsidR="00F3266D">
        <w:rPr>
          <w:rFonts w:ascii="Times New Roman" w:eastAsia="Times New Roman" w:hAnsi="Times New Roman" w:cs="Times New Roman"/>
          <w:sz w:val="24"/>
          <w:szCs w:val="24"/>
        </w:rPr>
        <w:t xml:space="preserve">. </w:t>
      </w:r>
      <w:r w:rsidRPr="002C464E">
        <w:rPr>
          <w:rStyle w:val="LineNumber"/>
          <w:rFonts w:ascii="Times New Roman" w:hAnsi="Times New Roman" w:cs="Times New Roman"/>
          <w:sz w:val="24"/>
          <w:szCs w:val="24"/>
        </w:rPr>
        <w:t>Utility investments are long-term, often more than 30 years, which makes the 20-year horizon too short. In addition, the current 20-year T-bond yield is higher than the 30-year T-bond yield. The inverted yield curve suggests that the market is expecting the interest rate to be lower at the longer horizon, which suggests that the 30-year bond yield is better at reflecting the cost of long-term debt than</w:t>
      </w:r>
      <w:r w:rsidR="0065089F">
        <w:rPr>
          <w:rStyle w:val="LineNumber"/>
          <w:rFonts w:ascii="Times New Roman" w:hAnsi="Times New Roman" w:cs="Times New Roman"/>
          <w:sz w:val="24"/>
          <w:szCs w:val="24"/>
        </w:rPr>
        <w:t xml:space="preserve"> the</w:t>
      </w:r>
      <w:r w:rsidRPr="002C464E">
        <w:rPr>
          <w:rStyle w:val="LineNumber"/>
          <w:rFonts w:ascii="Times New Roman" w:hAnsi="Times New Roman" w:cs="Times New Roman"/>
          <w:sz w:val="24"/>
          <w:szCs w:val="24"/>
        </w:rPr>
        <w:t xml:space="preserve"> 20-year bond yield. </w:t>
      </w:r>
      <w:r>
        <w:rPr>
          <w:rStyle w:val="FootnoteReference"/>
          <w:rFonts w:ascii="Times New Roman" w:hAnsi="Times New Roman" w:cs="Times New Roman"/>
          <w:sz w:val="24"/>
          <w:szCs w:val="24"/>
        </w:rPr>
        <w:footnoteReference w:id="21"/>
      </w:r>
    </w:p>
    <w:p w:rsidR="00AE4F81" w:rsidRPr="002C464E" w:rsidP="00C7245A" w14:paraId="0821EA3A" w14:textId="3B1998C2">
      <w:pPr>
        <w:spacing w:after="0" w:line="480" w:lineRule="auto"/>
        <w:rPr>
          <w:rStyle w:val="LineNumber"/>
          <w:rFonts w:ascii="Times New Roman" w:hAnsi="Times New Roman" w:cs="Times New Roman"/>
          <w:sz w:val="24"/>
          <w:szCs w:val="24"/>
        </w:rPr>
      </w:pPr>
      <w:r w:rsidRPr="002C464E">
        <w:rPr>
          <w:rStyle w:val="LineNumber"/>
          <w:rFonts w:ascii="Times New Roman" w:hAnsi="Times New Roman" w:cs="Times New Roman"/>
          <w:sz w:val="24"/>
          <w:szCs w:val="24"/>
        </w:rPr>
        <w:tab/>
        <w:t>The use of the 20-year T-bond yield by the Staff is inconsistent with the</w:t>
      </w:r>
      <w:r w:rsidR="0065089F">
        <w:rPr>
          <w:rStyle w:val="LineNumber"/>
          <w:rFonts w:ascii="Times New Roman" w:hAnsi="Times New Roman" w:cs="Times New Roman"/>
          <w:sz w:val="24"/>
          <w:szCs w:val="24"/>
        </w:rPr>
        <w:t xml:space="preserve"> PUCO</w:t>
      </w:r>
      <w:r w:rsidRPr="002C464E">
        <w:rPr>
          <w:rStyle w:val="LineNumber"/>
          <w:rFonts w:ascii="Times New Roman" w:hAnsi="Times New Roman" w:cs="Times New Roman"/>
          <w:sz w:val="24"/>
          <w:szCs w:val="24"/>
        </w:rPr>
        <w:t xml:space="preserve"> Staff’s methodology in past cases. For example, the </w:t>
      </w:r>
      <w:r w:rsidR="0065089F">
        <w:rPr>
          <w:rStyle w:val="LineNumber"/>
          <w:rFonts w:ascii="Times New Roman" w:hAnsi="Times New Roman" w:cs="Times New Roman"/>
          <w:sz w:val="24"/>
          <w:szCs w:val="24"/>
        </w:rPr>
        <w:t xml:space="preserve">PUCO </w:t>
      </w:r>
      <w:r w:rsidRPr="002C464E">
        <w:rPr>
          <w:rStyle w:val="LineNumber"/>
          <w:rFonts w:ascii="Times New Roman" w:hAnsi="Times New Roman" w:cs="Times New Roman"/>
          <w:sz w:val="24"/>
          <w:szCs w:val="24"/>
        </w:rPr>
        <w:t>Staff used the average of 10-year and 30-year T-bond yields as the interest rate for the input to the CAPM model.</w:t>
      </w:r>
      <w:r>
        <w:rPr>
          <w:rStyle w:val="FootnoteReference"/>
          <w:rFonts w:ascii="Times New Roman" w:hAnsi="Times New Roman" w:cs="Times New Roman"/>
          <w:sz w:val="24"/>
          <w:szCs w:val="24"/>
        </w:rPr>
        <w:footnoteReference w:id="22"/>
      </w:r>
    </w:p>
    <w:p w:rsidR="00F3266D" w:rsidRPr="002C464E" w:rsidP="00F3266D" w14:paraId="1FEB419F" w14:textId="2295972D">
      <w:pPr>
        <w:autoSpaceDE w:val="0"/>
        <w:autoSpaceDN w:val="0"/>
        <w:adjustRightInd w:val="0"/>
        <w:spacing w:after="0" w:line="480" w:lineRule="auto"/>
        <w:ind w:firstLine="720"/>
        <w:rPr>
          <w:rFonts w:ascii="Times New Roman" w:eastAsia="Times New Roman" w:hAnsi="Times New Roman" w:cs="Times New Roman"/>
          <w:sz w:val="24"/>
          <w:szCs w:val="24"/>
        </w:rPr>
      </w:pPr>
      <w:r w:rsidRPr="002C464E">
        <w:rPr>
          <w:rFonts w:ascii="Times New Roman" w:eastAsia="Times New Roman" w:hAnsi="Times New Roman" w:cs="Times New Roman"/>
          <w:sz w:val="24"/>
          <w:szCs w:val="24"/>
        </w:rPr>
        <w:t xml:space="preserve">As the yields of the 20-year bonds tend to be much higher than the yields of the </w:t>
      </w:r>
      <w:r w:rsidRPr="002C464E" w:rsidR="00FB24AF">
        <w:rPr>
          <w:rFonts w:ascii="Times New Roman" w:eastAsia="Times New Roman" w:hAnsi="Times New Roman" w:cs="Times New Roman"/>
          <w:sz w:val="24"/>
          <w:szCs w:val="24"/>
        </w:rPr>
        <w:t>30</w:t>
      </w:r>
      <w:r w:rsidRPr="002C464E">
        <w:rPr>
          <w:rFonts w:ascii="Times New Roman" w:eastAsia="Times New Roman" w:hAnsi="Times New Roman" w:cs="Times New Roman"/>
          <w:sz w:val="24"/>
          <w:szCs w:val="24"/>
        </w:rPr>
        <w:t>-year bonds</w:t>
      </w:r>
      <w:r w:rsidRPr="002C464E" w:rsidR="00FB24AF">
        <w:rPr>
          <w:rFonts w:ascii="Times New Roman" w:eastAsia="Times New Roman" w:hAnsi="Times New Roman" w:cs="Times New Roman"/>
          <w:sz w:val="24"/>
          <w:szCs w:val="24"/>
        </w:rPr>
        <w:t>,</w:t>
      </w:r>
      <w:r w:rsidRPr="002C464E">
        <w:rPr>
          <w:rFonts w:ascii="Times New Roman" w:eastAsia="Times New Roman" w:hAnsi="Times New Roman" w:cs="Times New Roman"/>
          <w:sz w:val="24"/>
          <w:szCs w:val="24"/>
        </w:rPr>
        <w:t xml:space="preserve"> using the yields of 20-year U.S. Treasury Bonds as the risk-free rate overstates the estimated cost of equity of Aqua under the CAPM analysis. </w:t>
      </w:r>
      <w:r w:rsidRPr="002C464E">
        <w:rPr>
          <w:rFonts w:ascii="Times New Roman" w:hAnsi="Times New Roman" w:cs="Times New Roman"/>
          <w:sz w:val="24"/>
          <w:szCs w:val="24"/>
        </w:rPr>
        <w:t xml:space="preserve">OCC objects to the </w:t>
      </w:r>
      <w:r w:rsidRPr="002C464E">
        <w:rPr>
          <w:rFonts w:ascii="Times New Roman" w:eastAsia="Times New Roman" w:hAnsi="Times New Roman" w:cs="Times New Roman"/>
          <w:sz w:val="24"/>
          <w:szCs w:val="24"/>
        </w:rPr>
        <w:t>use of 20-year U.S. Treasury Bonds as the risk-free rate for the CAPM analysis.</w:t>
      </w:r>
    </w:p>
    <w:p w:rsidR="00FB24AF" w:rsidRPr="002C464E" w:rsidP="00FB24AF" w14:paraId="6DF4005D" w14:textId="38A67028">
      <w:pPr>
        <w:autoSpaceDE w:val="0"/>
        <w:autoSpaceDN w:val="0"/>
        <w:adjustRightInd w:val="0"/>
        <w:spacing w:line="240" w:lineRule="auto"/>
        <w:rPr>
          <w:rFonts w:ascii="Times New Roman" w:eastAsia="Times New Roman" w:hAnsi="Times New Roman" w:cs="Times New Roman"/>
          <w:b/>
          <w:iCs/>
          <w:sz w:val="24"/>
          <w:szCs w:val="24"/>
        </w:rPr>
      </w:pPr>
      <w:bookmarkStart w:id="23" w:name="_Toc142639515"/>
      <w:bookmarkStart w:id="24" w:name="_Toc142923662"/>
      <w:r w:rsidRPr="006A70BC">
        <w:rPr>
          <w:rStyle w:val="Heading3Char"/>
        </w:rPr>
        <w:t xml:space="preserve">OBJECTION </w:t>
      </w:r>
      <w:r w:rsidR="00511FBF">
        <w:rPr>
          <w:rStyle w:val="Heading3Char"/>
        </w:rPr>
        <w:t>5</w:t>
      </w:r>
      <w:r w:rsidRPr="006A70BC">
        <w:rPr>
          <w:rStyle w:val="Heading3Char"/>
        </w:rPr>
        <w:t xml:space="preserve">: </w:t>
      </w:r>
      <w:r w:rsidR="00652E01">
        <w:rPr>
          <w:rStyle w:val="Heading3Char"/>
        </w:rPr>
        <w:t>OCC objects because t</w:t>
      </w:r>
      <w:r w:rsidRPr="006A70BC">
        <w:rPr>
          <w:rStyle w:val="Heading3Char"/>
        </w:rPr>
        <w:t>he Staff Report erred by using the historical return in the calculation of market risk premium in the Capital Asset Pricing Model (“CAPM”). The use of the historical return overstates the estimated cost of equity of Aqua under the CAPM analysis causing a rate of return that is too high and results in unjust and unreasonable rates</w:t>
      </w:r>
      <w:r w:rsidRPr="006A70BC" w:rsidR="0065089F">
        <w:rPr>
          <w:rStyle w:val="Heading3Char"/>
        </w:rPr>
        <w:t xml:space="preserve"> to consumers in violation of </w:t>
      </w:r>
      <w:r w:rsidRPr="006A70BC" w:rsidR="00165615">
        <w:rPr>
          <w:rStyle w:val="Heading3Char"/>
        </w:rPr>
        <w:t>R.C. 4905.22, 4909.15, 4909.154, 4909.17 and 4909.18.</w:t>
      </w:r>
      <w:bookmarkEnd w:id="23"/>
      <w:bookmarkEnd w:id="24"/>
    </w:p>
    <w:p w:rsidR="00FB24AF" w:rsidRPr="002C464E" w:rsidP="00C7245A" w14:paraId="3BEF1F08" w14:textId="013C9905">
      <w:pPr>
        <w:autoSpaceDE w:val="0"/>
        <w:autoSpaceDN w:val="0"/>
        <w:adjustRightInd w:val="0"/>
        <w:spacing w:after="0" w:line="480" w:lineRule="auto"/>
        <w:rPr>
          <w:rFonts w:ascii="Times New Roman" w:hAnsi="Times New Roman" w:cs="Times New Roman"/>
          <w:sz w:val="24"/>
          <w:szCs w:val="24"/>
        </w:rPr>
      </w:pPr>
      <w:r w:rsidRPr="002C464E">
        <w:rPr>
          <w:rFonts w:ascii="Times New Roman" w:eastAsia="Times New Roman" w:hAnsi="Times New Roman" w:cs="Times New Roman"/>
          <w:bCs/>
          <w:iCs/>
          <w:sz w:val="24"/>
          <w:szCs w:val="24"/>
        </w:rPr>
        <w:tab/>
        <w:t>To calculate the market equity risk premium for the CAPM model, the</w:t>
      </w:r>
      <w:r w:rsidR="0065089F">
        <w:rPr>
          <w:rFonts w:ascii="Times New Roman" w:eastAsia="Times New Roman" w:hAnsi="Times New Roman" w:cs="Times New Roman"/>
          <w:bCs/>
          <w:iCs/>
          <w:sz w:val="24"/>
          <w:szCs w:val="24"/>
        </w:rPr>
        <w:t xml:space="preserve"> PUCO</w:t>
      </w:r>
      <w:r w:rsidRPr="002C464E">
        <w:rPr>
          <w:rFonts w:ascii="Times New Roman" w:eastAsia="Times New Roman" w:hAnsi="Times New Roman" w:cs="Times New Roman"/>
          <w:bCs/>
          <w:iCs/>
          <w:sz w:val="24"/>
          <w:szCs w:val="24"/>
        </w:rPr>
        <w:t xml:space="preserve"> Staff used</w:t>
      </w:r>
      <w:r w:rsidRPr="002C464E">
        <w:rPr>
          <w:rFonts w:ascii="Times New Roman" w:hAnsi="Times New Roman" w:cs="Times New Roman"/>
          <w:sz w:val="24"/>
          <w:szCs w:val="24"/>
        </w:rPr>
        <w:t xml:space="preserve"> the arithmetic average of annual returns from 1926 through 2021 for large-cap stocks of 12.33 percent.</w:t>
      </w:r>
      <w:r>
        <w:rPr>
          <w:rStyle w:val="FootnoteReference"/>
          <w:rFonts w:ascii="Times New Roman" w:hAnsi="Times New Roman" w:cs="Times New Roman"/>
          <w:sz w:val="24"/>
          <w:szCs w:val="24"/>
        </w:rPr>
        <w:footnoteReference w:id="23"/>
      </w:r>
      <w:r w:rsidRPr="002C464E">
        <w:rPr>
          <w:rFonts w:ascii="Times New Roman" w:hAnsi="Times New Roman" w:cs="Times New Roman"/>
          <w:sz w:val="24"/>
          <w:szCs w:val="24"/>
        </w:rPr>
        <w:t xml:space="preserve"> The required return on equity is the market expected return for the future investment period, thus requiring the expected market risk premium analysis. The calculation of the market risk premium</w:t>
      </w:r>
      <w:r w:rsidRPr="002C464E" w:rsidR="001D742C">
        <w:rPr>
          <w:rFonts w:ascii="Times New Roman" w:hAnsi="Times New Roman" w:cs="Times New Roman"/>
          <w:sz w:val="24"/>
          <w:szCs w:val="24"/>
        </w:rPr>
        <w:t xml:space="preserve"> by the Staff</w:t>
      </w:r>
      <w:r w:rsidRPr="002C464E">
        <w:rPr>
          <w:rFonts w:ascii="Times New Roman" w:hAnsi="Times New Roman" w:cs="Times New Roman"/>
          <w:sz w:val="24"/>
          <w:szCs w:val="24"/>
        </w:rPr>
        <w:t xml:space="preserve"> is</w:t>
      </w:r>
      <w:r w:rsidRPr="002C464E" w:rsidR="001759BE">
        <w:rPr>
          <w:rFonts w:ascii="Times New Roman" w:hAnsi="Times New Roman" w:cs="Times New Roman"/>
          <w:sz w:val="24"/>
          <w:szCs w:val="24"/>
        </w:rPr>
        <w:t xml:space="preserve"> based on historical performance of the market, which may not reflect what the market expects for the future. As </w:t>
      </w:r>
      <w:r w:rsidR="00327BAF">
        <w:rPr>
          <w:rFonts w:ascii="Times New Roman" w:hAnsi="Times New Roman" w:cs="Times New Roman"/>
          <w:sz w:val="24"/>
          <w:szCs w:val="24"/>
        </w:rPr>
        <w:t>a</w:t>
      </w:r>
      <w:r w:rsidRPr="002C464E" w:rsidR="001759BE">
        <w:rPr>
          <w:rFonts w:ascii="Times New Roman" w:hAnsi="Times New Roman" w:cs="Times New Roman"/>
          <w:sz w:val="24"/>
          <w:szCs w:val="24"/>
        </w:rPr>
        <w:t xml:space="preserve"> result, the historical risk premium calculated by the </w:t>
      </w:r>
      <w:r w:rsidR="00327BAF">
        <w:rPr>
          <w:rFonts w:ascii="Times New Roman" w:hAnsi="Times New Roman" w:cs="Times New Roman"/>
          <w:sz w:val="24"/>
          <w:szCs w:val="24"/>
        </w:rPr>
        <w:t xml:space="preserve">PUCO </w:t>
      </w:r>
      <w:r w:rsidRPr="002C464E" w:rsidR="001759BE">
        <w:rPr>
          <w:rFonts w:ascii="Times New Roman" w:hAnsi="Times New Roman" w:cs="Times New Roman"/>
          <w:sz w:val="24"/>
          <w:szCs w:val="24"/>
        </w:rPr>
        <w:t xml:space="preserve">Staff is inappropriate. </w:t>
      </w:r>
    </w:p>
    <w:p w:rsidR="001759BE" w:rsidRPr="002C464E" w:rsidP="00C7245A" w14:paraId="336EAF73" w14:textId="762BD4BF">
      <w:pPr>
        <w:autoSpaceDE w:val="0"/>
        <w:autoSpaceDN w:val="0"/>
        <w:adjustRightInd w:val="0"/>
        <w:spacing w:after="0" w:line="480" w:lineRule="auto"/>
        <w:rPr>
          <w:rStyle w:val="LineNumber"/>
          <w:rFonts w:ascii="Times New Roman" w:hAnsi="Times New Roman" w:cs="Times New Roman"/>
          <w:color w:val="000000"/>
          <w:sz w:val="24"/>
          <w:szCs w:val="24"/>
        </w:rPr>
      </w:pPr>
      <w:r w:rsidRPr="002C464E">
        <w:rPr>
          <w:rFonts w:ascii="Times New Roman" w:hAnsi="Times New Roman" w:cs="Times New Roman"/>
          <w:sz w:val="24"/>
          <w:szCs w:val="24"/>
        </w:rPr>
        <w:tab/>
        <w:t xml:space="preserve">In addition, the </w:t>
      </w:r>
      <w:r w:rsidR="00327BAF">
        <w:rPr>
          <w:rFonts w:ascii="Times New Roman" w:hAnsi="Times New Roman" w:cs="Times New Roman"/>
          <w:sz w:val="24"/>
          <w:szCs w:val="24"/>
        </w:rPr>
        <w:t xml:space="preserve">PUCO </w:t>
      </w:r>
      <w:r w:rsidRPr="002C464E">
        <w:rPr>
          <w:rFonts w:ascii="Times New Roman" w:hAnsi="Times New Roman" w:cs="Times New Roman"/>
          <w:sz w:val="24"/>
          <w:szCs w:val="24"/>
        </w:rPr>
        <w:t>Staff used the arithmetic average of annual returns from 1926 through 2021 to calculate the annual returns. It is well known that the arithmetic average overstates the annual growth for a period especially when the annual returns vary significantly.</w:t>
      </w:r>
      <w:r w:rsidR="00AC4DB5">
        <w:rPr>
          <w:rFonts w:ascii="Times New Roman" w:hAnsi="Times New Roman" w:cs="Times New Roman"/>
          <w:sz w:val="24"/>
          <w:szCs w:val="24"/>
        </w:rPr>
        <w:t xml:space="preserve"> </w:t>
      </w:r>
      <w:r w:rsidRPr="002C464E">
        <w:rPr>
          <w:rFonts w:ascii="Times New Roman" w:hAnsi="Times New Roman" w:cs="Times New Roman"/>
          <w:sz w:val="24"/>
          <w:szCs w:val="24"/>
        </w:rPr>
        <w:t xml:space="preserve">The correct way is to use the geometric mean. </w:t>
      </w:r>
      <w:r w:rsidRPr="002C464E">
        <w:rPr>
          <w:rStyle w:val="LineNumber"/>
          <w:rFonts w:ascii="Times New Roman" w:hAnsi="Times New Roman" w:cs="Times New Roman"/>
          <w:color w:val="000000"/>
          <w:sz w:val="24"/>
          <w:szCs w:val="24"/>
        </w:rPr>
        <w:t>A simple example can be used to illustrate the difference between geometric mean and arithmetic mean. Suppose a stock price at the beginning of the year is $100 and then drops to $50 at the end of the first year before it recovers to $100 at the end of the second year. The geometric mean would be 0% for the stock in the two-year period, but the arithmetic mean would be the average of two annual returns: (-50% +100%)/2 = 25%). The calculation of arithmetic mean shows the variation of the returns each year, but it exaggerates the annual growth rate.</w:t>
      </w:r>
    </w:p>
    <w:p w:rsidR="00327BAF" w:rsidP="00C7245A" w14:paraId="24C463E0" w14:textId="77777777">
      <w:pPr>
        <w:autoSpaceDE w:val="0"/>
        <w:autoSpaceDN w:val="0"/>
        <w:adjustRightInd w:val="0"/>
        <w:spacing w:after="0" w:line="480" w:lineRule="auto"/>
        <w:rPr>
          <w:rStyle w:val="LineNumber"/>
          <w:rFonts w:ascii="Times New Roman" w:hAnsi="Times New Roman" w:cs="Times New Roman"/>
          <w:color w:val="000000"/>
          <w:sz w:val="24"/>
          <w:szCs w:val="24"/>
        </w:rPr>
      </w:pPr>
      <w:r w:rsidRPr="002C464E">
        <w:rPr>
          <w:rStyle w:val="LineNumber"/>
          <w:rFonts w:ascii="Times New Roman" w:hAnsi="Times New Roman" w:cs="Times New Roman"/>
          <w:color w:val="000000"/>
          <w:sz w:val="24"/>
          <w:szCs w:val="24"/>
        </w:rPr>
        <w:tab/>
      </w:r>
      <w:r w:rsidRPr="002C464E" w:rsidR="00CE6C33">
        <w:rPr>
          <w:rStyle w:val="LineNumber"/>
          <w:rFonts w:ascii="Times New Roman" w:hAnsi="Times New Roman" w:cs="Times New Roman"/>
          <w:color w:val="000000"/>
          <w:sz w:val="24"/>
          <w:szCs w:val="24"/>
        </w:rPr>
        <w:t xml:space="preserve">The </w:t>
      </w:r>
      <w:r>
        <w:rPr>
          <w:rStyle w:val="LineNumber"/>
          <w:rFonts w:ascii="Times New Roman" w:hAnsi="Times New Roman" w:cs="Times New Roman"/>
          <w:color w:val="000000"/>
          <w:sz w:val="24"/>
          <w:szCs w:val="24"/>
        </w:rPr>
        <w:t xml:space="preserve">PUCO </w:t>
      </w:r>
      <w:r w:rsidRPr="002C464E" w:rsidR="00CE6C33">
        <w:rPr>
          <w:rStyle w:val="LineNumber"/>
          <w:rFonts w:ascii="Times New Roman" w:hAnsi="Times New Roman" w:cs="Times New Roman"/>
          <w:color w:val="000000"/>
          <w:sz w:val="24"/>
          <w:szCs w:val="24"/>
        </w:rPr>
        <w:t>Staff’s calculated market risk premium of 7.46% by the historical method overstates the market risk premium. For example, Statista suggested that the average MRP in the U.S. for 2011-2022 is 5.6%.</w:t>
      </w:r>
      <w:r>
        <w:rPr>
          <w:rStyle w:val="FootnoteReference"/>
          <w:rFonts w:ascii="Times New Roman" w:hAnsi="Times New Roman" w:cs="Times New Roman"/>
          <w:sz w:val="24"/>
          <w:szCs w:val="24"/>
        </w:rPr>
        <w:footnoteReference w:id="24"/>
      </w:r>
      <w:r w:rsidRPr="002C464E" w:rsidR="00CE6C33">
        <w:rPr>
          <w:rStyle w:val="LineNumber"/>
          <w:rFonts w:ascii="Times New Roman" w:hAnsi="Times New Roman" w:cs="Times New Roman"/>
          <w:color w:val="000000"/>
          <w:sz w:val="24"/>
          <w:szCs w:val="24"/>
        </w:rPr>
        <w:t xml:space="preserve"> Professor Aswath Damodaran, a well-known expert in the study of Equity Risk Premium at Stern School of Business at New York University, estimated that the market expected return at the start of 2023 is 9.82%. With the use of the T-bond yield, the implied Equity Risk Premium is 5.94%.</w:t>
      </w:r>
      <w:r>
        <w:rPr>
          <w:rStyle w:val="FootnoteReference"/>
          <w:rFonts w:ascii="Times New Roman" w:hAnsi="Times New Roman" w:cs="Times New Roman"/>
          <w:sz w:val="24"/>
          <w:szCs w:val="24"/>
        </w:rPr>
        <w:footnoteReference w:id="25"/>
      </w:r>
      <w:r w:rsidRPr="002C464E" w:rsidR="00CE6C33">
        <w:rPr>
          <w:rStyle w:val="LineNumber"/>
          <w:rFonts w:ascii="Times New Roman" w:hAnsi="Times New Roman" w:cs="Times New Roman"/>
          <w:color w:val="000000"/>
          <w:sz w:val="24"/>
          <w:szCs w:val="24"/>
        </w:rPr>
        <w:t xml:space="preserve"> A survey of risk premiums used by professionals in 2023 by Professors Pablo Fernandez, Diego García, and Javier F. Acin puts the U.S. risk premium at 5.7%.</w:t>
      </w:r>
      <w:r>
        <w:rPr>
          <w:rStyle w:val="FootnoteReference"/>
          <w:rFonts w:ascii="Times New Roman" w:hAnsi="Times New Roman" w:cs="Times New Roman"/>
          <w:sz w:val="24"/>
          <w:szCs w:val="24"/>
        </w:rPr>
        <w:footnoteReference w:id="26"/>
      </w:r>
      <w:r w:rsidRPr="002C464E" w:rsidR="00CE6C33">
        <w:rPr>
          <w:rStyle w:val="LineNumber"/>
          <w:rFonts w:ascii="Times New Roman" w:hAnsi="Times New Roman" w:cs="Times New Roman"/>
          <w:color w:val="000000"/>
          <w:sz w:val="24"/>
          <w:szCs w:val="24"/>
        </w:rPr>
        <w:t xml:space="preserve"> Duff and Phelps (now Kroll), a source that valuation experts frequently rely upon, recommends U.S. market Equity Risk Premium or MRP to be 5.5%, effective June 2023.</w:t>
      </w:r>
      <w:r>
        <w:rPr>
          <w:rStyle w:val="FootnoteReference"/>
          <w:rFonts w:ascii="Times New Roman" w:hAnsi="Times New Roman" w:cs="Times New Roman"/>
          <w:sz w:val="24"/>
          <w:szCs w:val="24"/>
        </w:rPr>
        <w:footnoteReference w:id="27"/>
      </w:r>
      <w:r w:rsidRPr="002C464E" w:rsidR="00CE6C33">
        <w:rPr>
          <w:rStyle w:val="LineNumber"/>
          <w:rFonts w:ascii="Times New Roman" w:hAnsi="Times New Roman" w:cs="Times New Roman"/>
          <w:color w:val="000000"/>
          <w:sz w:val="24"/>
          <w:szCs w:val="24"/>
        </w:rPr>
        <w:t xml:space="preserve"> </w:t>
      </w:r>
    </w:p>
    <w:p w:rsidR="00511FBF" w:rsidP="00511FBF" w14:paraId="37FE5557" w14:textId="77777777">
      <w:pPr>
        <w:autoSpaceDE w:val="0"/>
        <w:autoSpaceDN w:val="0"/>
        <w:adjustRightInd w:val="0"/>
        <w:spacing w:after="0" w:line="480" w:lineRule="auto"/>
        <w:ind w:firstLine="720"/>
        <w:rPr>
          <w:rStyle w:val="LineNumber"/>
          <w:rFonts w:ascii="Times New Roman" w:hAnsi="Times New Roman" w:cs="Times New Roman"/>
          <w:color w:val="000000"/>
          <w:sz w:val="24"/>
          <w:szCs w:val="24"/>
        </w:rPr>
      </w:pPr>
      <w:r w:rsidRPr="002C464E">
        <w:rPr>
          <w:rStyle w:val="LineNumber"/>
          <w:rFonts w:ascii="Times New Roman" w:hAnsi="Times New Roman" w:cs="Times New Roman"/>
          <w:color w:val="000000"/>
          <w:sz w:val="24"/>
          <w:szCs w:val="24"/>
        </w:rPr>
        <w:t>In light of th</w:t>
      </w:r>
      <w:r w:rsidR="00327BAF">
        <w:rPr>
          <w:rStyle w:val="LineNumber"/>
          <w:rFonts w:ascii="Times New Roman" w:hAnsi="Times New Roman" w:cs="Times New Roman"/>
          <w:color w:val="000000"/>
          <w:sz w:val="24"/>
          <w:szCs w:val="24"/>
        </w:rPr>
        <w:t>is</w:t>
      </w:r>
      <w:r w:rsidRPr="002C464E">
        <w:rPr>
          <w:rStyle w:val="LineNumber"/>
          <w:rFonts w:ascii="Times New Roman" w:hAnsi="Times New Roman" w:cs="Times New Roman"/>
          <w:color w:val="000000"/>
          <w:sz w:val="24"/>
          <w:szCs w:val="24"/>
        </w:rPr>
        <w:t xml:space="preserve">, the </w:t>
      </w:r>
      <w:r w:rsidR="00327BAF">
        <w:rPr>
          <w:rStyle w:val="LineNumber"/>
          <w:rFonts w:ascii="Times New Roman" w:hAnsi="Times New Roman" w:cs="Times New Roman"/>
          <w:color w:val="000000"/>
          <w:sz w:val="24"/>
          <w:szCs w:val="24"/>
        </w:rPr>
        <w:t xml:space="preserve">PUCO </w:t>
      </w:r>
      <w:r w:rsidRPr="002C464E">
        <w:rPr>
          <w:rStyle w:val="LineNumber"/>
          <w:rFonts w:ascii="Times New Roman" w:hAnsi="Times New Roman" w:cs="Times New Roman"/>
          <w:color w:val="000000"/>
          <w:sz w:val="24"/>
          <w:szCs w:val="24"/>
        </w:rPr>
        <w:t xml:space="preserve">Staff’s market risk premium overestimates the required market risk premium for the current market condition and thus overstates the cost of equity for Aqua Ohio, leading to unjust and unreasonable rates for consumers to pay. </w:t>
      </w:r>
      <w:bookmarkStart w:id="25" w:name="_Toc142639516"/>
    </w:p>
    <w:p w:rsidR="00CE6C33" w:rsidP="00511FBF" w14:paraId="273BD194" w14:textId="091DCEF0">
      <w:pPr>
        <w:autoSpaceDE w:val="0"/>
        <w:autoSpaceDN w:val="0"/>
        <w:adjustRightInd w:val="0"/>
        <w:spacing w:after="0" w:line="240" w:lineRule="auto"/>
        <w:rPr>
          <w:rStyle w:val="Heading3Char"/>
        </w:rPr>
      </w:pPr>
      <w:bookmarkStart w:id="26" w:name="_Toc142923663"/>
      <w:r w:rsidRPr="006A70BC">
        <w:rPr>
          <w:rStyle w:val="Heading3Char"/>
        </w:rPr>
        <w:t xml:space="preserve">OBJECTION </w:t>
      </w:r>
      <w:r w:rsidR="00511FBF">
        <w:rPr>
          <w:rStyle w:val="Heading3Char"/>
        </w:rPr>
        <w:t>6</w:t>
      </w:r>
      <w:r w:rsidRPr="006A70BC">
        <w:rPr>
          <w:rStyle w:val="Heading3Char"/>
        </w:rPr>
        <w:t xml:space="preserve">: </w:t>
      </w:r>
      <w:r w:rsidR="00652E01">
        <w:rPr>
          <w:rStyle w:val="Heading3Char"/>
        </w:rPr>
        <w:t>OCC objects because t</w:t>
      </w:r>
      <w:r w:rsidRPr="006A70BC">
        <w:rPr>
          <w:rStyle w:val="Heading3Char"/>
        </w:rPr>
        <w:t xml:space="preserve">he Staff Report erred by including the results of Comparable Earnings (“CE”) analysis, such as the estimated return on equity of 10.11% earned by companies other than water utilities with different business and financial risks from a water utility in calculating the cost of equity. </w:t>
      </w:r>
      <w:r w:rsidRPr="006A70BC" w:rsidR="00327BAF">
        <w:rPr>
          <w:rStyle w:val="Heading3Char"/>
        </w:rPr>
        <w:t>Including the</w:t>
      </w:r>
      <w:r w:rsidRPr="006A70BC">
        <w:rPr>
          <w:rStyle w:val="Heading3Char"/>
        </w:rPr>
        <w:t xml:space="preserve"> CE model overstat</w:t>
      </w:r>
      <w:r w:rsidRPr="006A70BC" w:rsidR="00327BAF">
        <w:rPr>
          <w:rStyle w:val="Heading3Char"/>
        </w:rPr>
        <w:t>es</w:t>
      </w:r>
      <w:r w:rsidRPr="006A70BC">
        <w:rPr>
          <w:rStyle w:val="Heading3Char"/>
        </w:rPr>
        <w:t xml:space="preserve"> the cost of equity of Aqua causing a rate of return that is too high and results in unjust and unreasonable rates</w:t>
      </w:r>
      <w:r w:rsidRPr="006A70BC" w:rsidR="00327BAF">
        <w:rPr>
          <w:rStyle w:val="Heading3Char"/>
        </w:rPr>
        <w:t xml:space="preserve"> to consumers in violation of</w:t>
      </w:r>
      <w:r w:rsidRPr="006A70BC" w:rsidR="00593E09">
        <w:rPr>
          <w:rStyle w:val="Heading3Char"/>
        </w:rPr>
        <w:t xml:space="preserve"> R.C. 4905.22, 4909.15, 4909.154, 4909.17 and 4909.18.</w:t>
      </w:r>
      <w:bookmarkEnd w:id="25"/>
      <w:bookmarkEnd w:id="26"/>
    </w:p>
    <w:p w:rsidR="00511FBF" w:rsidRPr="002C464E" w:rsidP="00511FBF" w14:paraId="6894B8F3" w14:textId="77777777">
      <w:pPr>
        <w:autoSpaceDE w:val="0"/>
        <w:autoSpaceDN w:val="0"/>
        <w:adjustRightInd w:val="0"/>
        <w:spacing w:after="0" w:line="240" w:lineRule="auto"/>
        <w:ind w:firstLine="720"/>
      </w:pPr>
    </w:p>
    <w:p w:rsidR="00F3266D" w:rsidRPr="002C464E" w:rsidP="00F3266D" w14:paraId="5109A21C" w14:textId="719E62B8">
      <w:pPr>
        <w:autoSpaceDE w:val="0"/>
        <w:autoSpaceDN w:val="0"/>
        <w:adjustRightInd w:val="0"/>
        <w:spacing w:after="0" w:line="480" w:lineRule="auto"/>
        <w:ind w:firstLine="720"/>
        <w:rPr>
          <w:rFonts w:ascii="Times New Roman" w:hAnsi="Times New Roman" w:cs="Times New Roman"/>
          <w:sz w:val="24"/>
          <w:szCs w:val="24"/>
        </w:rPr>
      </w:pPr>
      <w:r w:rsidRPr="002C464E">
        <w:rPr>
          <w:rFonts w:ascii="Times New Roman" w:hAnsi="Times New Roman" w:cs="Times New Roman"/>
          <w:sz w:val="24"/>
          <w:szCs w:val="24"/>
        </w:rPr>
        <w:t>To protect Aqua’s consumers, OCC objects to</w:t>
      </w:r>
      <w:r w:rsidR="00327BAF">
        <w:rPr>
          <w:rFonts w:ascii="Times New Roman" w:hAnsi="Times New Roman" w:cs="Times New Roman"/>
          <w:sz w:val="24"/>
          <w:szCs w:val="24"/>
        </w:rPr>
        <w:t xml:space="preserve"> the PUCO</w:t>
      </w:r>
      <w:r w:rsidRPr="002C464E">
        <w:rPr>
          <w:rFonts w:ascii="Times New Roman" w:hAnsi="Times New Roman" w:cs="Times New Roman"/>
          <w:sz w:val="24"/>
          <w:szCs w:val="24"/>
        </w:rPr>
        <w:t xml:space="preserve"> Staff’s use of the results of the Comparable Earnings </w:t>
      </w:r>
      <w:r w:rsidRPr="002C464E" w:rsidR="00CE6C33">
        <w:rPr>
          <w:rFonts w:ascii="Times New Roman" w:hAnsi="Times New Roman" w:cs="Times New Roman"/>
          <w:sz w:val="24"/>
          <w:szCs w:val="24"/>
        </w:rPr>
        <w:t>method</w:t>
      </w:r>
      <w:r w:rsidRPr="002C464E">
        <w:rPr>
          <w:rFonts w:ascii="Times New Roman" w:hAnsi="Times New Roman" w:cs="Times New Roman"/>
          <w:sz w:val="24"/>
          <w:szCs w:val="24"/>
        </w:rPr>
        <w:t xml:space="preserve"> (</w:t>
      </w:r>
      <w:r w:rsidR="00327BAF">
        <w:rPr>
          <w:rFonts w:ascii="Times New Roman" w:hAnsi="Times New Roman" w:cs="Times New Roman"/>
          <w:sz w:val="24"/>
          <w:szCs w:val="24"/>
        </w:rPr>
        <w:t>“</w:t>
      </w:r>
      <w:r w:rsidRPr="002C464E">
        <w:rPr>
          <w:rFonts w:ascii="Times New Roman" w:hAnsi="Times New Roman" w:cs="Times New Roman"/>
          <w:sz w:val="24"/>
          <w:szCs w:val="24"/>
        </w:rPr>
        <w:t>CE</w:t>
      </w:r>
      <w:r w:rsidR="00327BAF">
        <w:rPr>
          <w:rFonts w:ascii="Times New Roman" w:hAnsi="Times New Roman" w:cs="Times New Roman"/>
          <w:sz w:val="24"/>
          <w:szCs w:val="24"/>
        </w:rPr>
        <w:t>”</w:t>
      </w:r>
      <w:r w:rsidRPr="002C464E">
        <w:rPr>
          <w:rFonts w:ascii="Times New Roman" w:hAnsi="Times New Roman" w:cs="Times New Roman"/>
          <w:sz w:val="24"/>
          <w:szCs w:val="24"/>
        </w:rPr>
        <w:t>), such as the estimated return on equity of 1</w:t>
      </w:r>
      <w:r w:rsidRPr="002C464E" w:rsidR="00CE6C33">
        <w:rPr>
          <w:rFonts w:ascii="Times New Roman" w:hAnsi="Times New Roman" w:cs="Times New Roman"/>
          <w:sz w:val="24"/>
          <w:szCs w:val="24"/>
        </w:rPr>
        <w:t>0.11</w:t>
      </w:r>
      <w:r w:rsidRPr="002C464E">
        <w:rPr>
          <w:rFonts w:ascii="Times New Roman" w:hAnsi="Times New Roman" w:cs="Times New Roman"/>
          <w:sz w:val="24"/>
          <w:szCs w:val="24"/>
        </w:rPr>
        <w:t xml:space="preserve">% earned by </w:t>
      </w:r>
      <w:r w:rsidRPr="002C464E" w:rsidR="001D742C">
        <w:rPr>
          <w:rFonts w:ascii="Times New Roman" w:hAnsi="Times New Roman" w:cs="Times New Roman"/>
          <w:sz w:val="24"/>
          <w:szCs w:val="24"/>
        </w:rPr>
        <w:t xml:space="preserve">including </w:t>
      </w:r>
      <w:r w:rsidRPr="002C464E">
        <w:rPr>
          <w:rFonts w:ascii="Times New Roman" w:hAnsi="Times New Roman" w:cs="Times New Roman"/>
          <w:sz w:val="24"/>
          <w:szCs w:val="24"/>
        </w:rPr>
        <w:t xml:space="preserve">companies from </w:t>
      </w:r>
      <w:r w:rsidRPr="002C464E" w:rsidR="001D742C">
        <w:rPr>
          <w:rFonts w:ascii="Times New Roman" w:hAnsi="Times New Roman" w:cs="Times New Roman"/>
          <w:sz w:val="24"/>
          <w:szCs w:val="24"/>
        </w:rPr>
        <w:t xml:space="preserve">other </w:t>
      </w:r>
      <w:r w:rsidRPr="002C464E" w:rsidR="00CE6C33">
        <w:rPr>
          <w:rFonts w:ascii="Times New Roman" w:hAnsi="Times New Roman" w:cs="Times New Roman"/>
          <w:sz w:val="24"/>
          <w:szCs w:val="24"/>
        </w:rPr>
        <w:t>utility industries</w:t>
      </w:r>
      <w:r w:rsidRPr="002C464E">
        <w:rPr>
          <w:rFonts w:ascii="Times New Roman" w:hAnsi="Times New Roman" w:cs="Times New Roman"/>
          <w:sz w:val="24"/>
          <w:szCs w:val="24"/>
        </w:rPr>
        <w:t xml:space="preserve"> in calculating the cost of equity.</w:t>
      </w:r>
      <w:r>
        <w:rPr>
          <w:rStyle w:val="FootnoteReference"/>
          <w:rFonts w:ascii="Times New Roman" w:hAnsi="Times New Roman" w:cs="Times New Roman"/>
          <w:sz w:val="24"/>
          <w:szCs w:val="24"/>
        </w:rPr>
        <w:footnoteReference w:id="28"/>
      </w:r>
      <w:r w:rsidRPr="002C464E">
        <w:rPr>
          <w:rFonts w:ascii="Times New Roman" w:hAnsi="Times New Roman" w:cs="Times New Roman"/>
          <w:sz w:val="24"/>
          <w:szCs w:val="24"/>
        </w:rPr>
        <w:t xml:space="preserve"> These companies are</w:t>
      </w:r>
      <w:r w:rsidRPr="002C464E" w:rsidR="00CE6C33">
        <w:rPr>
          <w:rFonts w:ascii="Times New Roman" w:hAnsi="Times New Roman" w:cs="Times New Roman"/>
          <w:sz w:val="24"/>
          <w:szCs w:val="24"/>
        </w:rPr>
        <w:t xml:space="preserve"> not water utilities but mostly gas and electric utilities, which have </w:t>
      </w:r>
      <w:r w:rsidRPr="002C464E">
        <w:rPr>
          <w:rFonts w:ascii="Times New Roman" w:hAnsi="Times New Roman" w:cs="Times New Roman"/>
          <w:sz w:val="24"/>
          <w:szCs w:val="24"/>
        </w:rPr>
        <w:t xml:space="preserve">different business and financial risks than those associated with </w:t>
      </w:r>
      <w:r w:rsidRPr="002C464E" w:rsidR="00CE6C33">
        <w:rPr>
          <w:rFonts w:ascii="Times New Roman" w:hAnsi="Times New Roman" w:cs="Times New Roman"/>
          <w:sz w:val="24"/>
          <w:szCs w:val="24"/>
        </w:rPr>
        <w:t>a</w:t>
      </w:r>
      <w:r w:rsidRPr="002C464E">
        <w:rPr>
          <w:rFonts w:ascii="Times New Roman" w:hAnsi="Times New Roman" w:cs="Times New Roman"/>
          <w:sz w:val="24"/>
          <w:szCs w:val="24"/>
        </w:rPr>
        <w:t xml:space="preserve"> water utility such as Aqua. </w:t>
      </w:r>
    </w:p>
    <w:p w:rsidR="001F6A5B" w:rsidRPr="002C464E" w:rsidP="00C0511A" w14:paraId="3CE93917" w14:textId="4A71EB7F">
      <w:pPr>
        <w:spacing w:after="0" w:line="480" w:lineRule="auto"/>
        <w:ind w:firstLine="720"/>
        <w:rPr>
          <w:rFonts w:ascii="Times New Roman" w:hAnsi="Times New Roman" w:cs="Times New Roman"/>
          <w:sz w:val="24"/>
          <w:szCs w:val="24"/>
        </w:rPr>
      </w:pPr>
      <w:r w:rsidRPr="002C464E">
        <w:rPr>
          <w:rStyle w:val="LineNumber"/>
          <w:rFonts w:ascii="Times New Roman" w:hAnsi="Times New Roman" w:cs="Times New Roman"/>
          <w:sz w:val="24"/>
          <w:szCs w:val="24"/>
        </w:rPr>
        <w:t xml:space="preserve">The </w:t>
      </w:r>
      <w:r w:rsidR="00327BAF">
        <w:rPr>
          <w:rStyle w:val="LineNumber"/>
          <w:rFonts w:ascii="Times New Roman" w:hAnsi="Times New Roman" w:cs="Times New Roman"/>
          <w:sz w:val="24"/>
          <w:szCs w:val="24"/>
        </w:rPr>
        <w:t xml:space="preserve">PUCO </w:t>
      </w:r>
      <w:r w:rsidRPr="002C464E">
        <w:rPr>
          <w:rStyle w:val="LineNumber"/>
          <w:rFonts w:ascii="Times New Roman" w:hAnsi="Times New Roman" w:cs="Times New Roman"/>
          <w:sz w:val="24"/>
          <w:szCs w:val="24"/>
        </w:rPr>
        <w:t xml:space="preserve">Staff’s use of the CE method is </w:t>
      </w:r>
      <w:r w:rsidR="00327BAF">
        <w:rPr>
          <w:rStyle w:val="LineNumber"/>
          <w:rFonts w:ascii="Times New Roman" w:hAnsi="Times New Roman" w:cs="Times New Roman"/>
          <w:sz w:val="24"/>
          <w:szCs w:val="24"/>
        </w:rPr>
        <w:t xml:space="preserve">also </w:t>
      </w:r>
      <w:r w:rsidRPr="002C464E">
        <w:rPr>
          <w:rStyle w:val="LineNumber"/>
          <w:rFonts w:ascii="Times New Roman" w:hAnsi="Times New Roman" w:cs="Times New Roman"/>
          <w:sz w:val="24"/>
          <w:szCs w:val="24"/>
        </w:rPr>
        <w:t xml:space="preserve">inconsistent with its past practice. </w:t>
      </w:r>
      <w:r w:rsidR="00593E09">
        <w:rPr>
          <w:rStyle w:val="LineNumber"/>
          <w:rFonts w:ascii="Times New Roman" w:hAnsi="Times New Roman" w:cs="Times New Roman"/>
          <w:sz w:val="24"/>
          <w:szCs w:val="24"/>
        </w:rPr>
        <w:t>I</w:t>
      </w:r>
      <w:r w:rsidRPr="002C464E">
        <w:rPr>
          <w:rStyle w:val="LineNumber"/>
          <w:rFonts w:ascii="Times New Roman" w:hAnsi="Times New Roman" w:cs="Times New Roman"/>
          <w:sz w:val="24"/>
          <w:szCs w:val="24"/>
        </w:rPr>
        <w:t>n the past rate cases, the Staff relied on both DCF and CAPM models to estimate the ROE most of the time with a few exceptions.</w:t>
      </w:r>
      <w:r>
        <w:rPr>
          <w:rStyle w:val="FootnoteReference"/>
          <w:rFonts w:ascii="Times New Roman" w:hAnsi="Times New Roman" w:cs="Times New Roman"/>
          <w:sz w:val="24"/>
          <w:szCs w:val="24"/>
        </w:rPr>
        <w:footnoteReference w:id="29"/>
      </w:r>
      <w:r w:rsidR="00073B43">
        <w:rPr>
          <w:rStyle w:val="LineNumber"/>
          <w:rFonts w:ascii="Times New Roman" w:hAnsi="Times New Roman" w:cs="Times New Roman"/>
          <w:sz w:val="24"/>
          <w:szCs w:val="24"/>
        </w:rPr>
        <w:t xml:space="preserve"> </w:t>
      </w:r>
      <w:r w:rsidRPr="002C464E">
        <w:rPr>
          <w:rFonts w:ascii="Times New Roman" w:hAnsi="Times New Roman" w:cs="Times New Roman"/>
          <w:sz w:val="24"/>
          <w:szCs w:val="24"/>
        </w:rPr>
        <w:t xml:space="preserve">The </w:t>
      </w:r>
      <w:r w:rsidR="00327BAF">
        <w:rPr>
          <w:rFonts w:ascii="Times New Roman" w:hAnsi="Times New Roman" w:cs="Times New Roman"/>
          <w:sz w:val="24"/>
          <w:szCs w:val="24"/>
        </w:rPr>
        <w:t xml:space="preserve">PUCO </w:t>
      </w:r>
      <w:r w:rsidRPr="002C464E">
        <w:rPr>
          <w:rFonts w:ascii="Times New Roman" w:hAnsi="Times New Roman" w:cs="Times New Roman"/>
          <w:sz w:val="24"/>
          <w:szCs w:val="24"/>
        </w:rPr>
        <w:t>Staff has</w:t>
      </w:r>
      <w:r w:rsidR="00073B43">
        <w:rPr>
          <w:rFonts w:ascii="Times New Roman" w:hAnsi="Times New Roman" w:cs="Times New Roman"/>
          <w:sz w:val="24"/>
          <w:szCs w:val="24"/>
        </w:rPr>
        <w:t xml:space="preserve"> not</w:t>
      </w:r>
      <w:r w:rsidRPr="002C464E">
        <w:rPr>
          <w:rFonts w:ascii="Times New Roman" w:hAnsi="Times New Roman" w:cs="Times New Roman"/>
          <w:sz w:val="24"/>
          <w:szCs w:val="24"/>
        </w:rPr>
        <w:t xml:space="preserve"> </w:t>
      </w:r>
      <w:r w:rsidR="00073B43">
        <w:rPr>
          <w:rFonts w:ascii="Times New Roman" w:hAnsi="Times New Roman" w:cs="Times New Roman"/>
          <w:sz w:val="24"/>
          <w:szCs w:val="24"/>
        </w:rPr>
        <w:t>explained</w:t>
      </w:r>
      <w:r w:rsidRPr="002C464E">
        <w:rPr>
          <w:rFonts w:ascii="Times New Roman" w:hAnsi="Times New Roman" w:cs="Times New Roman"/>
          <w:sz w:val="24"/>
          <w:szCs w:val="24"/>
        </w:rPr>
        <w:t xml:space="preserve"> why it</w:t>
      </w:r>
      <w:r w:rsidR="00073B43">
        <w:rPr>
          <w:rFonts w:ascii="Times New Roman" w:hAnsi="Times New Roman" w:cs="Times New Roman"/>
          <w:sz w:val="24"/>
          <w:szCs w:val="24"/>
        </w:rPr>
        <w:t xml:space="preserve"> has</w:t>
      </w:r>
      <w:r w:rsidRPr="002C464E">
        <w:rPr>
          <w:rFonts w:ascii="Times New Roman" w:hAnsi="Times New Roman" w:cs="Times New Roman"/>
          <w:sz w:val="24"/>
          <w:szCs w:val="24"/>
        </w:rPr>
        <w:t xml:space="preserve"> deviated from its convention on those cases. The </w:t>
      </w:r>
      <w:r w:rsidR="00073B43">
        <w:rPr>
          <w:rFonts w:ascii="Times New Roman" w:hAnsi="Times New Roman" w:cs="Times New Roman"/>
          <w:sz w:val="24"/>
          <w:szCs w:val="24"/>
        </w:rPr>
        <w:t xml:space="preserve">PUCO </w:t>
      </w:r>
      <w:r w:rsidRPr="002C464E">
        <w:rPr>
          <w:rFonts w:ascii="Times New Roman" w:hAnsi="Times New Roman" w:cs="Times New Roman"/>
          <w:sz w:val="24"/>
          <w:szCs w:val="24"/>
        </w:rPr>
        <w:t xml:space="preserve">Staff’s inconsistencies in its adaptation of the methodologies and its deviation from </w:t>
      </w:r>
      <w:r w:rsidR="00073B43">
        <w:rPr>
          <w:rFonts w:ascii="Times New Roman" w:hAnsi="Times New Roman" w:cs="Times New Roman"/>
          <w:sz w:val="24"/>
          <w:szCs w:val="24"/>
        </w:rPr>
        <w:t xml:space="preserve">past practice cast doubt on </w:t>
      </w:r>
      <w:r w:rsidRPr="002C464E">
        <w:rPr>
          <w:rFonts w:ascii="Times New Roman" w:hAnsi="Times New Roman" w:cs="Times New Roman"/>
          <w:sz w:val="24"/>
          <w:szCs w:val="24"/>
        </w:rPr>
        <w:t xml:space="preserve">the </w:t>
      </w:r>
      <w:r w:rsidR="00073B43">
        <w:rPr>
          <w:rFonts w:ascii="Times New Roman" w:hAnsi="Times New Roman" w:cs="Times New Roman"/>
          <w:sz w:val="24"/>
          <w:szCs w:val="24"/>
        </w:rPr>
        <w:t xml:space="preserve">PUCO Staff’s </w:t>
      </w:r>
      <w:r w:rsidRPr="002C464E">
        <w:rPr>
          <w:rFonts w:ascii="Times New Roman" w:hAnsi="Times New Roman" w:cs="Times New Roman"/>
          <w:sz w:val="24"/>
          <w:szCs w:val="24"/>
        </w:rPr>
        <w:t>adoption of the CE method in this case.</w:t>
      </w:r>
    </w:p>
    <w:p w:rsidR="00073B43" w:rsidP="00C0511A" w14:paraId="3833C189" w14:textId="77777777">
      <w:pPr>
        <w:tabs>
          <w:tab w:val="left" w:pos="-1440"/>
        </w:tabs>
        <w:spacing w:after="0" w:line="480" w:lineRule="auto"/>
        <w:rPr>
          <w:rStyle w:val="LineNumber"/>
          <w:rFonts w:ascii="Times New Roman" w:hAnsi="Times New Roman" w:cs="Times New Roman"/>
          <w:color w:val="000000"/>
          <w:sz w:val="24"/>
          <w:szCs w:val="24"/>
        </w:rPr>
      </w:pPr>
      <w:r w:rsidRPr="002C464E">
        <w:rPr>
          <w:rFonts w:ascii="Times New Roman" w:hAnsi="Times New Roman" w:cs="Times New Roman"/>
          <w:sz w:val="24"/>
          <w:szCs w:val="24"/>
        </w:rPr>
        <w:tab/>
        <w:t xml:space="preserve">In addition, the CE method is not a market-value-based approach. </w:t>
      </w:r>
      <w:r w:rsidRPr="002C464E">
        <w:rPr>
          <w:rStyle w:val="LineNumber"/>
          <w:rFonts w:ascii="Times New Roman" w:hAnsi="Times New Roman" w:cs="Times New Roman"/>
          <w:color w:val="000000"/>
          <w:sz w:val="24"/>
          <w:szCs w:val="24"/>
        </w:rPr>
        <w:t>The</w:t>
      </w:r>
      <w:r>
        <w:rPr>
          <w:rStyle w:val="LineNumber"/>
          <w:rFonts w:ascii="Times New Roman" w:hAnsi="Times New Roman" w:cs="Times New Roman"/>
          <w:color w:val="000000"/>
          <w:sz w:val="24"/>
          <w:szCs w:val="24"/>
        </w:rPr>
        <w:t xml:space="preserve"> return on equity</w:t>
      </w:r>
      <w:r w:rsidRPr="002C464E">
        <w:rPr>
          <w:rStyle w:val="LineNumber"/>
          <w:rFonts w:ascii="Times New Roman" w:hAnsi="Times New Roman" w:cs="Times New Roman"/>
          <w:color w:val="000000"/>
          <w:sz w:val="24"/>
          <w:szCs w:val="24"/>
        </w:rPr>
        <w:t xml:space="preserve"> is a minimum required market return on equity, and it is a market value concept. However, the rate of return as obtained by the </w:t>
      </w:r>
      <w:r>
        <w:rPr>
          <w:rStyle w:val="LineNumber"/>
          <w:rFonts w:ascii="Times New Roman" w:hAnsi="Times New Roman" w:cs="Times New Roman"/>
          <w:color w:val="000000"/>
          <w:sz w:val="24"/>
          <w:szCs w:val="24"/>
        </w:rPr>
        <w:t xml:space="preserve">PUCO </w:t>
      </w:r>
      <w:r w:rsidRPr="002C464E">
        <w:rPr>
          <w:rStyle w:val="LineNumber"/>
          <w:rFonts w:ascii="Times New Roman" w:hAnsi="Times New Roman" w:cs="Times New Roman"/>
          <w:color w:val="000000"/>
          <w:sz w:val="24"/>
          <w:szCs w:val="24"/>
        </w:rPr>
        <w:t xml:space="preserve">Staff in </w:t>
      </w:r>
      <w:r>
        <w:rPr>
          <w:rStyle w:val="LineNumber"/>
          <w:rFonts w:ascii="Times New Roman" w:hAnsi="Times New Roman" w:cs="Times New Roman"/>
          <w:color w:val="000000"/>
          <w:sz w:val="24"/>
          <w:szCs w:val="24"/>
        </w:rPr>
        <w:t xml:space="preserve">its </w:t>
      </w:r>
      <w:r w:rsidRPr="002C464E">
        <w:rPr>
          <w:rStyle w:val="LineNumber"/>
          <w:rFonts w:ascii="Times New Roman" w:hAnsi="Times New Roman" w:cs="Times New Roman"/>
          <w:color w:val="000000"/>
          <w:sz w:val="24"/>
          <w:szCs w:val="24"/>
        </w:rPr>
        <w:t xml:space="preserve">CE approach is the rate of return on book value, not market value, equity. This approach is problematic as investors require a fair return on market value of equity, not book value, because investors cannot buy stocks at book value. </w:t>
      </w:r>
    </w:p>
    <w:p w:rsidR="001F6A5B" w:rsidRPr="002C464E" w:rsidP="00C0511A" w14:paraId="43B4C6A0" w14:textId="4E5DB537">
      <w:pPr>
        <w:tabs>
          <w:tab w:val="left" w:pos="-1440"/>
        </w:tabs>
        <w:spacing w:after="0" w:line="480" w:lineRule="auto"/>
        <w:rPr>
          <w:rStyle w:val="LineNumber"/>
          <w:rFonts w:ascii="Times New Roman" w:hAnsi="Times New Roman" w:cs="Times New Roman"/>
          <w:color w:val="000000"/>
          <w:sz w:val="24"/>
          <w:szCs w:val="24"/>
        </w:rPr>
      </w:pPr>
      <w:r>
        <w:rPr>
          <w:rStyle w:val="LineNumber"/>
          <w:rFonts w:ascii="Times New Roman" w:hAnsi="Times New Roman" w:cs="Times New Roman"/>
          <w:color w:val="000000"/>
          <w:sz w:val="24"/>
          <w:szCs w:val="24"/>
        </w:rPr>
        <w:tab/>
        <w:t>F</w:t>
      </w:r>
      <w:r w:rsidRPr="002C464E">
        <w:rPr>
          <w:rStyle w:val="LineNumber"/>
          <w:rFonts w:ascii="Times New Roman" w:hAnsi="Times New Roman" w:cs="Times New Roman"/>
          <w:color w:val="000000"/>
          <w:sz w:val="24"/>
          <w:szCs w:val="24"/>
        </w:rPr>
        <w:t>or this reason, FERC has rejected CE or Expected Earnings models as a method to estimate the market required return on equity. FERC stated:</w:t>
      </w:r>
    </w:p>
    <w:p w:rsidR="001F6A5B" w:rsidRPr="002C464E" w:rsidP="001F6A5B" w14:paraId="0934B288" w14:textId="05F93C1C">
      <w:pPr>
        <w:tabs>
          <w:tab w:val="left" w:pos="-1440"/>
        </w:tabs>
        <w:ind w:left="1440" w:right="1260"/>
        <w:rPr>
          <w:rStyle w:val="LineNumber"/>
          <w:rFonts w:ascii="Times New Roman" w:hAnsi="Times New Roman" w:cs="Times New Roman"/>
          <w:color w:val="000000"/>
          <w:sz w:val="24"/>
          <w:szCs w:val="24"/>
        </w:rPr>
      </w:pPr>
      <w:r w:rsidRPr="002C464E">
        <w:rPr>
          <w:rStyle w:val="LineNumber"/>
          <w:rFonts w:ascii="Times New Roman" w:hAnsi="Times New Roman" w:cs="Times New Roman"/>
          <w:i/>
          <w:iCs/>
          <w:color w:val="000000"/>
          <w:sz w:val="24"/>
          <w:szCs w:val="24"/>
        </w:rPr>
        <w:t>The Commission explained that the return on book value is not indicative of what return an investor requires to invest in the utility’s equity or what return an investor receives on the equity investment, because those returns are determined with respect to the current market price that an investor must pay in order to invest in the equity. Specifically, the Commission found that the Expected Earnings model measures returns on book value, without consideration of what market price an investor would have to pay to invest in the relevant company, so it does not accurately measure the investor’s expected returns on its investment, and, therefore, has been “thoroughly discredited</w:t>
      </w:r>
      <w:r w:rsidRPr="002C464E">
        <w:rPr>
          <w:rStyle w:val="LineNumber"/>
          <w:rFonts w:ascii="Times New Roman" w:hAnsi="Times New Roman" w:cs="Times New Roman"/>
          <w:color w:val="000000"/>
          <w:sz w:val="24"/>
          <w:szCs w:val="24"/>
        </w:rPr>
        <w:t>”</w:t>
      </w:r>
      <w:r>
        <w:rPr>
          <w:rStyle w:val="FootnoteReference"/>
          <w:rFonts w:ascii="Times New Roman" w:hAnsi="Times New Roman" w:cs="Times New Roman"/>
          <w:sz w:val="24"/>
          <w:szCs w:val="24"/>
        </w:rPr>
        <w:footnoteReference w:id="30"/>
      </w:r>
      <w:r w:rsidRPr="002C464E">
        <w:rPr>
          <w:rStyle w:val="LineNumber"/>
          <w:rFonts w:ascii="Times New Roman" w:hAnsi="Times New Roman" w:cs="Times New Roman"/>
          <w:color w:val="000000"/>
          <w:sz w:val="24"/>
          <w:szCs w:val="24"/>
        </w:rPr>
        <w:t>.</w:t>
      </w:r>
    </w:p>
    <w:p w:rsidR="00F3266D" w:rsidRPr="002C464E" w:rsidP="00D03513" w14:paraId="1597F717" w14:textId="3E41C327">
      <w:pPr>
        <w:spacing w:after="0" w:line="480" w:lineRule="auto"/>
        <w:rPr>
          <w:rStyle w:val="LineNumber"/>
          <w:rFonts w:ascii="Times New Roman" w:hAnsi="Times New Roman" w:cs="Times New Roman"/>
          <w:sz w:val="24"/>
          <w:szCs w:val="24"/>
        </w:rPr>
      </w:pPr>
      <w:r w:rsidRPr="002C464E">
        <w:rPr>
          <w:rStyle w:val="LineNumber"/>
          <w:rFonts w:ascii="Times New Roman" w:hAnsi="Times New Roman" w:cs="Times New Roman"/>
          <w:b/>
          <w:bCs/>
          <w:sz w:val="24"/>
          <w:szCs w:val="24"/>
        </w:rPr>
        <w:tab/>
      </w:r>
      <w:r w:rsidRPr="002C464E">
        <w:rPr>
          <w:rStyle w:val="LineNumber"/>
          <w:rFonts w:ascii="Times New Roman" w:hAnsi="Times New Roman" w:cs="Times New Roman"/>
          <w:sz w:val="24"/>
          <w:szCs w:val="24"/>
        </w:rPr>
        <w:t xml:space="preserve">The </w:t>
      </w:r>
      <w:r w:rsidR="00073B43">
        <w:rPr>
          <w:rStyle w:val="LineNumber"/>
          <w:rFonts w:ascii="Times New Roman" w:hAnsi="Times New Roman" w:cs="Times New Roman"/>
          <w:sz w:val="24"/>
          <w:szCs w:val="24"/>
        </w:rPr>
        <w:t>PU</w:t>
      </w:r>
      <w:r w:rsidR="00CC07C8">
        <w:rPr>
          <w:rStyle w:val="LineNumber"/>
          <w:rFonts w:ascii="Times New Roman" w:hAnsi="Times New Roman" w:cs="Times New Roman"/>
          <w:sz w:val="24"/>
          <w:szCs w:val="24"/>
        </w:rPr>
        <w:t>C</w:t>
      </w:r>
      <w:r w:rsidR="00073B43">
        <w:rPr>
          <w:rStyle w:val="LineNumber"/>
          <w:rFonts w:ascii="Times New Roman" w:hAnsi="Times New Roman" w:cs="Times New Roman"/>
          <w:sz w:val="24"/>
          <w:szCs w:val="24"/>
        </w:rPr>
        <w:t xml:space="preserve">O </w:t>
      </w:r>
      <w:r w:rsidRPr="002C464E">
        <w:rPr>
          <w:rStyle w:val="LineNumber"/>
          <w:rFonts w:ascii="Times New Roman" w:hAnsi="Times New Roman" w:cs="Times New Roman"/>
          <w:sz w:val="24"/>
          <w:szCs w:val="24"/>
        </w:rPr>
        <w:t xml:space="preserve">Staff’s use of CE model for the Aqua is also inconsistent with the approach of </w:t>
      </w:r>
      <w:r w:rsidR="00073B43">
        <w:rPr>
          <w:rStyle w:val="LineNumber"/>
          <w:rFonts w:ascii="Times New Roman" w:hAnsi="Times New Roman" w:cs="Times New Roman"/>
          <w:sz w:val="24"/>
          <w:szCs w:val="24"/>
        </w:rPr>
        <w:t xml:space="preserve">the PUCO </w:t>
      </w:r>
      <w:r w:rsidRPr="002C464E">
        <w:rPr>
          <w:rStyle w:val="LineNumber"/>
          <w:rFonts w:ascii="Times New Roman" w:hAnsi="Times New Roman" w:cs="Times New Roman"/>
          <w:sz w:val="24"/>
          <w:szCs w:val="24"/>
        </w:rPr>
        <w:t>Staff in other cases</w:t>
      </w:r>
      <w:r w:rsidR="00073B43">
        <w:rPr>
          <w:rStyle w:val="LineNumber"/>
          <w:rFonts w:ascii="Times New Roman" w:hAnsi="Times New Roman" w:cs="Times New Roman"/>
          <w:sz w:val="24"/>
          <w:szCs w:val="24"/>
        </w:rPr>
        <w:t>,</w:t>
      </w:r>
      <w:r w:rsidRPr="002C464E">
        <w:rPr>
          <w:rStyle w:val="LineNumber"/>
          <w:rFonts w:ascii="Times New Roman" w:hAnsi="Times New Roman" w:cs="Times New Roman"/>
          <w:sz w:val="24"/>
          <w:szCs w:val="24"/>
        </w:rPr>
        <w:t xml:space="preserve"> such as the more recent Columbia Gas rate case</w:t>
      </w:r>
      <w:r w:rsidR="00073B43">
        <w:rPr>
          <w:rStyle w:val="LineNumbe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Pr="002C464E">
        <w:rPr>
          <w:rStyle w:val="LineNumber"/>
          <w:rFonts w:ascii="Times New Roman" w:hAnsi="Times New Roman" w:cs="Times New Roman"/>
          <w:sz w:val="24"/>
          <w:szCs w:val="24"/>
        </w:rPr>
        <w:t xml:space="preserve"> </w:t>
      </w:r>
      <w:r w:rsidR="00073B43">
        <w:rPr>
          <w:rStyle w:val="LineNumber"/>
          <w:rFonts w:ascii="Times New Roman" w:hAnsi="Times New Roman" w:cs="Times New Roman"/>
          <w:sz w:val="24"/>
          <w:szCs w:val="24"/>
        </w:rPr>
        <w:t>where the PUCO</w:t>
      </w:r>
      <w:r w:rsidRPr="002C464E">
        <w:rPr>
          <w:rStyle w:val="LineNumber"/>
          <w:rFonts w:ascii="Times New Roman" w:hAnsi="Times New Roman" w:cs="Times New Roman"/>
          <w:sz w:val="24"/>
          <w:szCs w:val="24"/>
        </w:rPr>
        <w:t xml:space="preserve"> Staff only employed the DCF and CAPM model. The cherry-picking of approaches only serves to raise the </w:t>
      </w:r>
      <w:r w:rsidR="00073B43">
        <w:rPr>
          <w:rStyle w:val="LineNumber"/>
          <w:rFonts w:ascii="Times New Roman" w:hAnsi="Times New Roman" w:cs="Times New Roman"/>
          <w:sz w:val="24"/>
          <w:szCs w:val="24"/>
        </w:rPr>
        <w:t>return on equity</w:t>
      </w:r>
      <w:r w:rsidRPr="002C464E">
        <w:rPr>
          <w:rStyle w:val="LineNumber"/>
          <w:rFonts w:ascii="Times New Roman" w:hAnsi="Times New Roman" w:cs="Times New Roman"/>
          <w:sz w:val="24"/>
          <w:szCs w:val="24"/>
        </w:rPr>
        <w:t xml:space="preserve"> estimates</w:t>
      </w:r>
      <w:r w:rsidRPr="002C464E" w:rsidR="001D742C">
        <w:rPr>
          <w:rStyle w:val="LineNumber"/>
          <w:rFonts w:ascii="Times New Roman" w:hAnsi="Times New Roman" w:cs="Times New Roman"/>
          <w:sz w:val="24"/>
          <w:szCs w:val="24"/>
        </w:rPr>
        <w:t>.</w:t>
      </w:r>
      <w:r w:rsidRPr="002C464E">
        <w:rPr>
          <w:rStyle w:val="LineNumber"/>
          <w:rFonts w:ascii="Times New Roman" w:hAnsi="Times New Roman" w:cs="Times New Roman"/>
          <w:sz w:val="24"/>
          <w:szCs w:val="24"/>
        </w:rPr>
        <w:t xml:space="preserve"> </w:t>
      </w:r>
    </w:p>
    <w:p w:rsidR="001F6A5B" w:rsidRPr="00C537CB" w:rsidP="00C537CB" w14:paraId="78279AE8" w14:textId="5C9F7653">
      <w:pPr>
        <w:pStyle w:val="Heading3"/>
      </w:pPr>
      <w:hyperlink w:anchor="_Toc98165619" w:history="1">
        <w:bookmarkStart w:id="27" w:name="_Toc142639517"/>
        <w:bookmarkStart w:id="28" w:name="_Toc142923664"/>
        <w:r w:rsidRPr="00C537CB">
          <w:rPr>
            <w:rStyle w:val="Hyperlink"/>
            <w:color w:val="auto"/>
            <w:u w:val="none"/>
          </w:rPr>
          <w:t>OBJECTION</w:t>
        </w:r>
        <w:r w:rsidRPr="00C537CB">
          <w:t xml:space="preserve"> </w:t>
        </w:r>
        <w:r w:rsidR="00511FBF">
          <w:t>7</w:t>
        </w:r>
        <w:r w:rsidRPr="00C537CB">
          <w:t xml:space="preserve">: </w:t>
        </w:r>
        <w:r w:rsidR="00652E01">
          <w:t>OCC objects because t</w:t>
        </w:r>
        <w:r w:rsidRPr="00C537CB">
          <w:t>he Staff Report inappropriately increased the cost of equity by allowing an adjustment for equity issuance and other costs, causing a recommended cost of equity that is too high and thus results in unjust and unreasonable rates for consumers</w:t>
        </w:r>
        <w:r w:rsidRPr="00C537CB" w:rsidR="00073B43">
          <w:t xml:space="preserve"> in violation of</w:t>
        </w:r>
        <w:r w:rsidRPr="00C537CB" w:rsidR="00593E09">
          <w:t xml:space="preserve"> R.C. 4905.22, 4909.15, 4909.154, 4909.17 and 4909.18.</w:t>
        </w:r>
        <w:bookmarkEnd w:id="27"/>
        <w:bookmarkEnd w:id="28"/>
      </w:hyperlink>
    </w:p>
    <w:p w:rsidR="00255560" w:rsidP="00857909" w14:paraId="6F130FAA" w14:textId="77777777">
      <w:pPr>
        <w:spacing w:after="0" w:line="480" w:lineRule="auto"/>
        <w:ind w:firstLine="720"/>
        <w:rPr>
          <w:rStyle w:val="LineNumber"/>
          <w:rFonts w:ascii="Times New Roman" w:hAnsi="Times New Roman" w:cs="Times New Roman"/>
          <w:sz w:val="24"/>
          <w:szCs w:val="24"/>
        </w:rPr>
      </w:pPr>
      <w:r w:rsidRPr="002C464E">
        <w:rPr>
          <w:rFonts w:ascii="Times New Roman" w:hAnsi="Times New Roman" w:cs="Times New Roman"/>
          <w:sz w:val="24"/>
          <w:szCs w:val="24"/>
        </w:rPr>
        <w:t>To protect Aqua’s consumers, OCC objects to the inclusion of an allowance for generic and hypothetical issuance and other costs proposed in the Staff Report.</w:t>
      </w:r>
      <w:r>
        <w:rPr>
          <w:rStyle w:val="FootnoteReference"/>
          <w:rFonts w:ascii="Times New Roman" w:hAnsi="Times New Roman" w:cs="Times New Roman"/>
          <w:b/>
          <w:sz w:val="24"/>
          <w:szCs w:val="24"/>
        </w:rPr>
        <w:footnoteReference w:id="32"/>
      </w:r>
      <w:r w:rsidRPr="002C464E">
        <w:rPr>
          <w:rFonts w:ascii="Times New Roman" w:hAnsi="Times New Roman" w:cs="Times New Roman"/>
          <w:sz w:val="24"/>
          <w:szCs w:val="24"/>
        </w:rPr>
        <w:t xml:space="preserve"> By including this additional allowance</w:t>
      </w:r>
      <w:r w:rsidRPr="002C464E" w:rsidR="00857909">
        <w:rPr>
          <w:rFonts w:ascii="Times New Roman" w:hAnsi="Times New Roman" w:cs="Times New Roman"/>
          <w:sz w:val="24"/>
          <w:szCs w:val="24"/>
        </w:rPr>
        <w:t xml:space="preserve"> </w:t>
      </w:r>
      <w:r w:rsidRPr="002C464E" w:rsidR="00857909">
        <w:rPr>
          <w:rStyle w:val="LineNumber"/>
          <w:rFonts w:ascii="Times New Roman" w:hAnsi="Times New Roman" w:cs="Times New Roman"/>
          <w:sz w:val="24"/>
          <w:szCs w:val="24"/>
        </w:rPr>
        <w:t>and applying a factor of 1.01052 to accommodate issuance cost and other costs</w:t>
      </w:r>
      <w:r w:rsidRPr="002C464E">
        <w:rPr>
          <w:rFonts w:ascii="Times New Roman" w:hAnsi="Times New Roman" w:cs="Times New Roman"/>
          <w:sz w:val="24"/>
          <w:szCs w:val="24"/>
        </w:rPr>
        <w:t>, the Staff Report increased the recommended cost of equity from a range of 8.8</w:t>
      </w:r>
      <w:r w:rsidRPr="002C464E" w:rsidR="001F6A5B">
        <w:rPr>
          <w:rFonts w:ascii="Times New Roman" w:hAnsi="Times New Roman" w:cs="Times New Roman"/>
          <w:sz w:val="24"/>
          <w:szCs w:val="24"/>
        </w:rPr>
        <w:t>5</w:t>
      </w:r>
      <w:r w:rsidRPr="002C464E">
        <w:rPr>
          <w:rFonts w:ascii="Times New Roman" w:hAnsi="Times New Roman" w:cs="Times New Roman"/>
          <w:sz w:val="24"/>
          <w:szCs w:val="24"/>
        </w:rPr>
        <w:t>% to 9.</w:t>
      </w:r>
      <w:r w:rsidRPr="002C464E" w:rsidR="00857909">
        <w:rPr>
          <w:rFonts w:ascii="Times New Roman" w:hAnsi="Times New Roman" w:cs="Times New Roman"/>
          <w:sz w:val="24"/>
          <w:szCs w:val="24"/>
        </w:rPr>
        <w:t>85</w:t>
      </w:r>
      <w:r w:rsidRPr="002C464E">
        <w:rPr>
          <w:rFonts w:ascii="Times New Roman" w:hAnsi="Times New Roman" w:cs="Times New Roman"/>
          <w:sz w:val="24"/>
          <w:szCs w:val="24"/>
        </w:rPr>
        <w:t>% to a range of 8.9</w:t>
      </w:r>
      <w:r w:rsidRPr="002C464E" w:rsidR="00857909">
        <w:rPr>
          <w:rFonts w:ascii="Times New Roman" w:hAnsi="Times New Roman" w:cs="Times New Roman"/>
          <w:sz w:val="24"/>
          <w:szCs w:val="24"/>
        </w:rPr>
        <w:t>4</w:t>
      </w:r>
      <w:r w:rsidRPr="002C464E">
        <w:rPr>
          <w:rFonts w:ascii="Times New Roman" w:hAnsi="Times New Roman" w:cs="Times New Roman"/>
          <w:sz w:val="24"/>
          <w:szCs w:val="24"/>
        </w:rPr>
        <w:t xml:space="preserve">% to </w:t>
      </w:r>
      <w:r w:rsidRPr="002C464E" w:rsidR="00857909">
        <w:rPr>
          <w:rFonts w:ascii="Times New Roman" w:hAnsi="Times New Roman" w:cs="Times New Roman"/>
          <w:sz w:val="24"/>
          <w:szCs w:val="24"/>
        </w:rPr>
        <w:t>9.95</w:t>
      </w:r>
      <w:r w:rsidRPr="002C464E">
        <w:rPr>
          <w:rFonts w:ascii="Times New Roman" w:hAnsi="Times New Roman" w:cs="Times New Roman"/>
          <w:sz w:val="24"/>
          <w:szCs w:val="24"/>
        </w:rPr>
        <w:t xml:space="preserve">%. </w:t>
      </w:r>
      <w:r w:rsidRPr="002C464E" w:rsidR="00857909">
        <w:rPr>
          <w:rStyle w:val="LineNumber"/>
          <w:rFonts w:ascii="Times New Roman" w:hAnsi="Times New Roman" w:cs="Times New Roman"/>
          <w:sz w:val="24"/>
          <w:szCs w:val="24"/>
        </w:rPr>
        <w:t xml:space="preserve">The </w:t>
      </w:r>
      <w:r>
        <w:rPr>
          <w:rStyle w:val="LineNumber"/>
          <w:rFonts w:ascii="Times New Roman" w:hAnsi="Times New Roman" w:cs="Times New Roman"/>
          <w:sz w:val="24"/>
          <w:szCs w:val="24"/>
        </w:rPr>
        <w:t xml:space="preserve">PUCO </w:t>
      </w:r>
      <w:r w:rsidRPr="002C464E" w:rsidR="00857909">
        <w:rPr>
          <w:rStyle w:val="LineNumber"/>
          <w:rFonts w:ascii="Times New Roman" w:hAnsi="Times New Roman" w:cs="Times New Roman"/>
          <w:sz w:val="24"/>
          <w:szCs w:val="24"/>
        </w:rPr>
        <w:t>Staff did not justify the inclusion of these costs. Even if an adjustment for equity issuance and other costs were allowed, the Staff inappropriately increased the cost of common equity by using a hypothetical and generic issuance cost factor of 3.5%.</w:t>
      </w:r>
      <w:r>
        <w:rPr>
          <w:rStyle w:val="FootnoteReference"/>
          <w:rFonts w:ascii="Times New Roman" w:hAnsi="Times New Roman" w:cs="Times New Roman"/>
          <w:sz w:val="24"/>
          <w:szCs w:val="24"/>
        </w:rPr>
        <w:footnoteReference w:id="33"/>
      </w:r>
      <w:r w:rsidRPr="002C464E" w:rsidR="00857909">
        <w:rPr>
          <w:rStyle w:val="LineNumber"/>
          <w:rFonts w:ascii="Times New Roman" w:hAnsi="Times New Roman" w:cs="Times New Roman"/>
          <w:sz w:val="24"/>
          <w:szCs w:val="24"/>
        </w:rPr>
        <w:t xml:space="preserve"> </w:t>
      </w:r>
    </w:p>
    <w:p w:rsidR="00511FBF" w:rsidP="00857909" w14:paraId="2EBB024E" w14:textId="19531F7E">
      <w:pPr>
        <w:spacing w:after="0" w:line="480" w:lineRule="auto"/>
        <w:ind w:firstLine="720"/>
        <w:rPr>
          <w:rStyle w:val="LineNumber"/>
          <w:rFonts w:ascii="Times New Roman" w:hAnsi="Times New Roman" w:cs="Times New Roman"/>
          <w:sz w:val="24"/>
          <w:szCs w:val="24"/>
        </w:rPr>
      </w:pPr>
      <w:r w:rsidRPr="002C464E">
        <w:rPr>
          <w:rStyle w:val="LineNumber"/>
          <w:rFonts w:ascii="Times New Roman" w:hAnsi="Times New Roman" w:cs="Times New Roman"/>
          <w:sz w:val="24"/>
          <w:szCs w:val="24"/>
        </w:rPr>
        <w:t>The Staff Report has not explained why this generic issuance cost factor is reasonable or why it should be applied in this proceeding. In addition, there is no demonstration in the Staff Report that Aqua Ohio is likely to incur these costs in the near future or the magnitude of these costs. The addition of arbitrary and unproven equity issuance and other costs will unnecessarily and unreasonably increase the cost of water services to Aqua Ohio’s customers.</w:t>
      </w:r>
      <w:r>
        <w:rPr>
          <w:rStyle w:val="FootnoteReference"/>
          <w:rFonts w:ascii="Times New Roman" w:hAnsi="Times New Roman" w:cs="Times New Roman"/>
          <w:sz w:val="24"/>
          <w:szCs w:val="24"/>
        </w:rPr>
        <w:footnoteReference w:id="34"/>
      </w:r>
    </w:p>
    <w:p w:rsidR="00F3266D" w:rsidRPr="002C464E" w:rsidP="00857909" w14:paraId="1E4B551E" w14:textId="6C8B2631">
      <w:pPr>
        <w:spacing w:after="0" w:line="240" w:lineRule="auto"/>
        <w:rPr>
          <w:rFonts w:ascii="Times New Roman" w:hAnsi="Times New Roman" w:cs="Times New Roman"/>
          <w:b/>
          <w:bCs/>
          <w:sz w:val="24"/>
          <w:szCs w:val="24"/>
        </w:rPr>
      </w:pPr>
      <w:bookmarkStart w:id="29" w:name="_Toc142639518"/>
      <w:bookmarkStart w:id="30" w:name="_Toc142923665"/>
      <w:r w:rsidRPr="006A70BC">
        <w:rPr>
          <w:rStyle w:val="Heading3Char"/>
        </w:rPr>
        <w:t xml:space="preserve">OBJECTION </w:t>
      </w:r>
      <w:r w:rsidR="00511FBF">
        <w:rPr>
          <w:rStyle w:val="Heading3Char"/>
        </w:rPr>
        <w:t>8</w:t>
      </w:r>
      <w:r w:rsidRPr="006A70BC">
        <w:rPr>
          <w:rStyle w:val="Heading3Char"/>
        </w:rPr>
        <w:t xml:space="preserve">: </w:t>
      </w:r>
      <w:r w:rsidR="00652E01">
        <w:rPr>
          <w:rStyle w:val="Heading3Char"/>
        </w:rPr>
        <w:t>OCC objects because t</w:t>
      </w:r>
      <w:r w:rsidRPr="006A70BC">
        <w:rPr>
          <w:rStyle w:val="Heading3Char"/>
        </w:rPr>
        <w:t>he Staff Report’s recommended rate of return range of 6.49% to 7.0</w:t>
      </w:r>
      <w:r w:rsidR="00E0319E">
        <w:rPr>
          <w:rStyle w:val="Heading3Char"/>
        </w:rPr>
        <w:t>2</w:t>
      </w:r>
      <w:r w:rsidRPr="006A70BC">
        <w:rPr>
          <w:rStyle w:val="Heading3Char"/>
        </w:rPr>
        <w:t>% is too high based on current market conditions and Aqua’s business and financial risks, resulting in rates that are too high and are unjust and unreasonable for consumers</w:t>
      </w:r>
      <w:r w:rsidRPr="006A70BC" w:rsidR="00593E09">
        <w:rPr>
          <w:rStyle w:val="Heading3Char"/>
        </w:rPr>
        <w:t xml:space="preserve"> </w:t>
      </w:r>
      <w:r w:rsidRPr="006A70BC" w:rsidR="00E01EE5">
        <w:rPr>
          <w:rStyle w:val="Heading3Char"/>
        </w:rPr>
        <w:t>in violation of</w:t>
      </w:r>
      <w:r w:rsidRPr="006A70BC" w:rsidR="00593E09">
        <w:rPr>
          <w:rStyle w:val="Heading3Char"/>
        </w:rPr>
        <w:t xml:space="preserve"> R.C. 4905.22, 4909.15, 4909.154, 4909.17 and 4909.18</w:t>
      </w:r>
      <w:r w:rsidRPr="006A70BC">
        <w:rPr>
          <w:rStyle w:val="Heading3Char"/>
        </w:rPr>
        <w:t>.</w:t>
      </w:r>
      <w:r w:rsidRPr="006A70BC" w:rsidR="00E01EE5">
        <w:rPr>
          <w:rStyle w:val="Heading3Char"/>
        </w:rPr>
        <w:t xml:space="preserve"> The Staff Report should have recommended a </w:t>
      </w:r>
      <w:r w:rsidRPr="006A70BC">
        <w:rPr>
          <w:rStyle w:val="Heading3Char"/>
        </w:rPr>
        <w:t xml:space="preserve">rate of return </w:t>
      </w:r>
      <w:r w:rsidRPr="006A70BC" w:rsidR="00E01EE5">
        <w:rPr>
          <w:rStyle w:val="Heading3Char"/>
        </w:rPr>
        <w:t>of</w:t>
      </w:r>
      <w:r w:rsidRPr="006A70BC">
        <w:rPr>
          <w:rStyle w:val="Heading3Char"/>
        </w:rPr>
        <w:t xml:space="preserve"> 6.47% or lower.</w:t>
      </w:r>
      <w:bookmarkEnd w:id="29"/>
      <w:bookmarkEnd w:id="30"/>
    </w:p>
    <w:p w:rsidR="00857909" w:rsidRPr="002C464E" w:rsidP="00857909" w14:paraId="78E87FF8" w14:textId="77777777">
      <w:pPr>
        <w:spacing w:after="0" w:line="240" w:lineRule="auto"/>
        <w:rPr>
          <w:rFonts w:ascii="Times New Roman" w:eastAsia="Times New Roman" w:hAnsi="Times New Roman" w:cs="Times New Roman"/>
          <w:b/>
          <w:bCs/>
          <w:sz w:val="24"/>
          <w:szCs w:val="24"/>
        </w:rPr>
      </w:pPr>
    </w:p>
    <w:p w:rsidR="00F3266D" w:rsidRPr="002C464E" w:rsidP="00F3266D" w14:paraId="4B0D1EC3" w14:textId="6F95C3BC">
      <w:pPr>
        <w:spacing w:after="0" w:line="480" w:lineRule="auto"/>
        <w:ind w:firstLine="720"/>
        <w:rPr>
          <w:rFonts w:ascii="Times New Roman" w:hAnsi="Times New Roman" w:cs="Times New Roman"/>
          <w:sz w:val="24"/>
          <w:szCs w:val="24"/>
        </w:rPr>
      </w:pPr>
      <w:r w:rsidRPr="002C464E">
        <w:rPr>
          <w:rFonts w:ascii="Times New Roman" w:hAnsi="Times New Roman" w:cs="Times New Roman"/>
          <w:sz w:val="24"/>
          <w:szCs w:val="24"/>
        </w:rPr>
        <w:t>To protect Aqua’s consumers, OCC objects to the recommended rate of return range of 6.</w:t>
      </w:r>
      <w:r w:rsidRPr="002C464E" w:rsidR="00857909">
        <w:rPr>
          <w:rFonts w:ascii="Times New Roman" w:hAnsi="Times New Roman" w:cs="Times New Roman"/>
          <w:sz w:val="24"/>
          <w:szCs w:val="24"/>
        </w:rPr>
        <w:t>49</w:t>
      </w:r>
      <w:r w:rsidRPr="002C464E">
        <w:rPr>
          <w:rFonts w:ascii="Times New Roman" w:hAnsi="Times New Roman" w:cs="Times New Roman"/>
          <w:sz w:val="24"/>
          <w:szCs w:val="24"/>
        </w:rPr>
        <w:t>% to 7.0</w:t>
      </w:r>
      <w:r w:rsidR="00E0319E">
        <w:rPr>
          <w:rFonts w:ascii="Times New Roman" w:hAnsi="Times New Roman" w:cs="Times New Roman"/>
          <w:sz w:val="24"/>
          <w:szCs w:val="24"/>
        </w:rPr>
        <w:t>2</w:t>
      </w:r>
      <w:r w:rsidRPr="002C464E">
        <w:rPr>
          <w:rFonts w:ascii="Times New Roman" w:hAnsi="Times New Roman" w:cs="Times New Roman"/>
          <w:sz w:val="24"/>
          <w:szCs w:val="24"/>
        </w:rPr>
        <w:t>% in the Staff Report. The Staff Report’s recommended rate of return range of 6.</w:t>
      </w:r>
      <w:r w:rsidRPr="002C464E" w:rsidR="00857909">
        <w:rPr>
          <w:rFonts w:ascii="Times New Roman" w:hAnsi="Times New Roman" w:cs="Times New Roman"/>
          <w:sz w:val="24"/>
          <w:szCs w:val="24"/>
        </w:rPr>
        <w:t>49</w:t>
      </w:r>
      <w:r w:rsidRPr="002C464E">
        <w:rPr>
          <w:rFonts w:ascii="Times New Roman" w:hAnsi="Times New Roman" w:cs="Times New Roman"/>
          <w:sz w:val="24"/>
          <w:szCs w:val="24"/>
        </w:rPr>
        <w:t>% to 7.0</w:t>
      </w:r>
      <w:r w:rsidR="00E0319E">
        <w:rPr>
          <w:rFonts w:ascii="Times New Roman" w:hAnsi="Times New Roman" w:cs="Times New Roman"/>
          <w:sz w:val="24"/>
          <w:szCs w:val="24"/>
        </w:rPr>
        <w:t>2</w:t>
      </w:r>
      <w:r w:rsidRPr="002C464E">
        <w:rPr>
          <w:rFonts w:ascii="Times New Roman" w:hAnsi="Times New Roman" w:cs="Times New Roman"/>
          <w:sz w:val="24"/>
          <w:szCs w:val="24"/>
        </w:rPr>
        <w:t>% is too high based on current market conditions and Aqua’s business and financial risks. It is therefore unjust and unreasonable for consumers to pay Aqua a water distribution charge based on this range of rate of return.</w:t>
      </w:r>
    </w:p>
    <w:p w:rsidR="00F3266D" w:rsidRPr="002C464E" w:rsidP="00F3266D" w14:paraId="516207E3" w14:textId="6E1E2034">
      <w:pPr>
        <w:spacing w:after="0" w:line="480" w:lineRule="auto"/>
        <w:ind w:firstLine="720"/>
        <w:rPr>
          <w:rFonts w:ascii="Times New Roman" w:hAnsi="Times New Roman" w:cs="Times New Roman"/>
          <w:sz w:val="24"/>
          <w:szCs w:val="24"/>
        </w:rPr>
      </w:pPr>
      <w:r w:rsidRPr="002C464E">
        <w:rPr>
          <w:rFonts w:ascii="Times New Roman" w:hAnsi="Times New Roman" w:cs="Times New Roman"/>
          <w:sz w:val="24"/>
          <w:szCs w:val="24"/>
        </w:rPr>
        <w:t xml:space="preserve">The costs of </w:t>
      </w:r>
      <w:r w:rsidR="00E0319E">
        <w:rPr>
          <w:rFonts w:ascii="Times New Roman" w:hAnsi="Times New Roman" w:cs="Times New Roman"/>
          <w:sz w:val="24"/>
          <w:szCs w:val="24"/>
        </w:rPr>
        <w:t>waste</w:t>
      </w:r>
      <w:r w:rsidRPr="002C464E">
        <w:rPr>
          <w:rFonts w:ascii="Times New Roman" w:hAnsi="Times New Roman" w:cs="Times New Roman"/>
          <w:sz w:val="24"/>
          <w:szCs w:val="24"/>
        </w:rPr>
        <w:t xml:space="preserve">water services to the Ohio consumers served by Aqua have steadily increased over the past </w:t>
      </w:r>
      <w:r w:rsidRPr="002C464E" w:rsidR="00857909">
        <w:rPr>
          <w:rFonts w:ascii="Times New Roman" w:hAnsi="Times New Roman" w:cs="Times New Roman"/>
          <w:sz w:val="24"/>
          <w:szCs w:val="24"/>
        </w:rPr>
        <w:t>six</w:t>
      </w:r>
      <w:r w:rsidRPr="002C464E">
        <w:rPr>
          <w:rFonts w:ascii="Times New Roman" w:hAnsi="Times New Roman" w:cs="Times New Roman"/>
          <w:sz w:val="24"/>
          <w:szCs w:val="24"/>
        </w:rPr>
        <w:t xml:space="preserve"> years. These consumers have faced frequent and significant rate increases. This rate increase by Aqua, if approved, would be the </w:t>
      </w:r>
      <w:r w:rsidR="00FA0ECB">
        <w:rPr>
          <w:rFonts w:ascii="Times New Roman" w:hAnsi="Times New Roman" w:cs="Times New Roman"/>
          <w:sz w:val="24"/>
          <w:szCs w:val="24"/>
        </w:rPr>
        <w:t>fifth</w:t>
      </w:r>
      <w:r w:rsidRPr="002C464E">
        <w:rPr>
          <w:rFonts w:ascii="Times New Roman" w:hAnsi="Times New Roman" w:cs="Times New Roman"/>
          <w:sz w:val="24"/>
          <w:szCs w:val="24"/>
        </w:rPr>
        <w:t xml:space="preserve"> increase in rates (including the three System Improvement Charges) granted by the PUCO since March 2017.</w:t>
      </w:r>
      <w:r>
        <w:rPr>
          <w:rStyle w:val="FootnoteReference"/>
          <w:rFonts w:ascii="Times New Roman" w:eastAsia="Times New Roman" w:hAnsi="Times New Roman" w:cs="Times New Roman"/>
          <w:bCs/>
          <w:iCs/>
          <w:sz w:val="24"/>
          <w:szCs w:val="24"/>
        </w:rPr>
        <w:footnoteReference w:id="35"/>
      </w:r>
      <w:r w:rsidRPr="002C464E">
        <w:rPr>
          <w:rFonts w:ascii="Times New Roman" w:hAnsi="Times New Roman" w:cs="Times New Roman"/>
          <w:sz w:val="24"/>
          <w:szCs w:val="24"/>
        </w:rPr>
        <w:t xml:space="preserve"> </w:t>
      </w:r>
    </w:p>
    <w:p w:rsidR="00F3266D" w:rsidRPr="002C464E" w:rsidP="00F3266D" w14:paraId="38D582A1" w14:textId="1894A5A9">
      <w:pPr>
        <w:autoSpaceDE w:val="0"/>
        <w:autoSpaceDN w:val="0"/>
        <w:adjustRightInd w:val="0"/>
        <w:spacing w:after="0" w:line="480" w:lineRule="auto"/>
        <w:ind w:firstLine="720"/>
        <w:rPr>
          <w:rFonts w:ascii="Times New Roman" w:eastAsia="Times New Roman" w:hAnsi="Times New Roman" w:cs="Times New Roman"/>
          <w:bCs/>
          <w:iCs/>
          <w:sz w:val="24"/>
          <w:szCs w:val="24"/>
        </w:rPr>
      </w:pPr>
      <w:r w:rsidRPr="002C464E">
        <w:rPr>
          <w:rFonts w:ascii="Times New Roman" w:eastAsia="Times New Roman" w:hAnsi="Times New Roman" w:cs="Times New Roman"/>
          <w:bCs/>
          <w:iCs/>
          <w:sz w:val="24"/>
          <w:szCs w:val="24"/>
        </w:rPr>
        <w:t xml:space="preserve">Aqua’s frequent and significant rate increases in recent years indicate the need to select a lower but reasonable rate of return to lessen the impact of any further rate increase to Aqua’s consumers. At the same time, the frequent use of the System Improvement Charge by Aqua has reduced considerably the so-called regulatory lag and the business and financial risks of Aqua. This in turn should lead to a lower authorized rate of return for Aqua. </w:t>
      </w:r>
    </w:p>
    <w:p w:rsidR="00A80816" w:rsidP="00FA0ECB" w14:paraId="29BDCF44" w14:textId="19E84AB5">
      <w:pPr>
        <w:autoSpaceDE w:val="0"/>
        <w:autoSpaceDN w:val="0"/>
        <w:spacing w:after="0" w:line="480" w:lineRule="auto"/>
        <w:ind w:firstLine="720"/>
        <w:rPr>
          <w:rFonts w:ascii="Times New Roman" w:hAnsi="Times New Roman" w:cs="Times New Roman"/>
          <w:sz w:val="24"/>
          <w:szCs w:val="24"/>
        </w:rPr>
      </w:pPr>
      <w:r w:rsidRPr="002C464E">
        <w:rPr>
          <w:rFonts w:ascii="Times New Roman" w:hAnsi="Times New Roman" w:cs="Times New Roman"/>
          <w:sz w:val="24"/>
          <w:szCs w:val="24"/>
        </w:rPr>
        <w:t xml:space="preserve">OCC’s recommended rate of return </w:t>
      </w:r>
      <w:r w:rsidR="00593E09">
        <w:rPr>
          <w:rFonts w:ascii="Times New Roman" w:hAnsi="Times New Roman" w:cs="Times New Roman"/>
          <w:sz w:val="24"/>
          <w:szCs w:val="24"/>
        </w:rPr>
        <w:t>of</w:t>
      </w:r>
      <w:r w:rsidRPr="002C464E" w:rsidR="00BB5866">
        <w:rPr>
          <w:rFonts w:ascii="Times New Roman" w:hAnsi="Times New Roman" w:cs="Times New Roman"/>
          <w:sz w:val="24"/>
          <w:szCs w:val="24"/>
        </w:rPr>
        <w:t xml:space="preserve"> 6.47% </w:t>
      </w:r>
      <w:r w:rsidRPr="002C464E">
        <w:rPr>
          <w:rFonts w:ascii="Times New Roman" w:hAnsi="Times New Roman" w:cs="Times New Roman"/>
          <w:sz w:val="24"/>
          <w:szCs w:val="24"/>
        </w:rPr>
        <w:t>reflects proper and reasonable modifications to the rate of return analysis included in the Staff Report.</w:t>
      </w:r>
      <w:r>
        <w:rPr>
          <w:rStyle w:val="FootnoteReference"/>
          <w:rFonts w:ascii="Times New Roman" w:hAnsi="Times New Roman" w:cs="Times New Roman"/>
          <w:sz w:val="24"/>
          <w:szCs w:val="24"/>
        </w:rPr>
        <w:footnoteReference w:id="36"/>
      </w:r>
      <w:r w:rsidRPr="002C464E">
        <w:rPr>
          <w:rFonts w:ascii="Times New Roman" w:hAnsi="Times New Roman" w:cs="Times New Roman"/>
          <w:sz w:val="24"/>
          <w:szCs w:val="24"/>
        </w:rPr>
        <w:t xml:space="preserve"> This rate of return is also consistent with the well-established regulatory principles that (1) a rate of return should not result in unjust and unreasonable rates; (2) a rate of return should be based on current market conditions and returns available from alternative investments; (3) a rate of return should be based on providing sufficient fund for a regulated utility to continue its normal course of business; and (4) a rate of return is not a guarantee for the regulated utility to receive excessive returns on its invested capital.</w:t>
      </w:r>
    </w:p>
    <w:p w:rsidR="00DE17D6" w:rsidP="00C0511A" w14:paraId="78919DAC" w14:textId="77777777">
      <w:pPr>
        <w:spacing w:after="0" w:line="240" w:lineRule="auto"/>
        <w:ind w:firstLine="720"/>
        <w:rPr>
          <w:rFonts w:ascii="Times New Roman" w:hAnsi="Times New Roman" w:cs="Times New Roman"/>
          <w:sz w:val="24"/>
          <w:szCs w:val="24"/>
        </w:rPr>
      </w:pPr>
    </w:p>
    <w:p w:rsidR="00DE17D6" w:rsidRPr="00DE17D6" w:rsidP="00AF69C6" w14:paraId="44BBC8B6" w14:textId="31EBBC6F">
      <w:pPr>
        <w:pStyle w:val="Heading1"/>
        <w:numPr>
          <w:ilvl w:val="0"/>
          <w:numId w:val="0"/>
        </w:numPr>
        <w:ind w:left="720" w:hanging="720"/>
      </w:pPr>
      <w:bookmarkStart w:id="31" w:name="_Toc98165623"/>
      <w:bookmarkStart w:id="32" w:name="_Toc142923666"/>
      <w:r>
        <w:t>IV.</w:t>
      </w:r>
      <w:r>
        <w:tab/>
      </w:r>
      <w:r w:rsidRPr="00DE17D6">
        <w:t>CONCLUSION</w:t>
      </w:r>
      <w:bookmarkEnd w:id="31"/>
      <w:bookmarkEnd w:id="32"/>
    </w:p>
    <w:p w:rsidR="00275002" w:rsidP="00DE17D6" w14:paraId="730FC75B" w14:textId="0A83CE56">
      <w:pPr>
        <w:tabs>
          <w:tab w:val="left" w:pos="720"/>
          <w:tab w:val="left" w:pos="1440"/>
          <w:tab w:val="left" w:leader="dot" w:pos="8640"/>
        </w:tabs>
        <w:spacing w:line="480" w:lineRule="auto"/>
        <w:ind w:firstLine="720"/>
        <w:rPr>
          <w:rFonts w:ascii="Times New Roman" w:hAnsi="Times New Roman" w:cs="Times New Roman"/>
          <w:sz w:val="24"/>
          <w:szCs w:val="24"/>
        </w:rPr>
      </w:pPr>
      <w:r w:rsidRPr="00DE17D6">
        <w:rPr>
          <w:rFonts w:ascii="Times New Roman" w:hAnsi="Times New Roman" w:cs="Times New Roman"/>
          <w:sz w:val="24"/>
          <w:szCs w:val="24"/>
        </w:rPr>
        <w:t xml:space="preserve">To protect consumers from </w:t>
      </w:r>
      <w:r w:rsidR="00652E01">
        <w:rPr>
          <w:rFonts w:ascii="Times New Roman" w:hAnsi="Times New Roman" w:cs="Times New Roman"/>
          <w:sz w:val="24"/>
          <w:szCs w:val="24"/>
        </w:rPr>
        <w:t xml:space="preserve">Aqua charging them </w:t>
      </w:r>
      <w:r w:rsidRPr="00DE17D6">
        <w:rPr>
          <w:rFonts w:ascii="Times New Roman" w:hAnsi="Times New Roman" w:cs="Times New Roman"/>
          <w:sz w:val="24"/>
          <w:szCs w:val="24"/>
        </w:rPr>
        <w:t>rates that are unjust, unreasonable and unlawful, the PUCO should adopt OCC’s recommendations set forth in these objections, which are further developed in OCC’s testimony.</w:t>
      </w:r>
    </w:p>
    <w:p w:rsidR="00275002" w14:paraId="7D8F7EB3" w14:textId="77777777">
      <w:pPr>
        <w:rPr>
          <w:rFonts w:ascii="Times New Roman" w:hAnsi="Times New Roman" w:cs="Times New Roman"/>
          <w:sz w:val="24"/>
          <w:szCs w:val="24"/>
        </w:rPr>
      </w:pPr>
      <w:r>
        <w:rPr>
          <w:rFonts w:ascii="Times New Roman" w:hAnsi="Times New Roman" w:cs="Times New Roman"/>
          <w:sz w:val="24"/>
          <w:szCs w:val="24"/>
        </w:rPr>
        <w:br w:type="page"/>
      </w:r>
    </w:p>
    <w:p w:rsidR="0084279C" w:rsidRPr="004875DB" w:rsidP="0084279C" w14:paraId="31EDE914" w14:textId="0B0F902B">
      <w:pPr>
        <w:spacing w:line="480" w:lineRule="auto"/>
        <w:ind w:left="3600" w:firstLine="720"/>
        <w:rPr>
          <w:rFonts w:ascii="Times New Roman" w:hAnsi="Times New Roman" w:cs="Times New Roman"/>
          <w:sz w:val="24"/>
          <w:szCs w:val="24"/>
        </w:rPr>
      </w:pPr>
      <w:r w:rsidRPr="004875DB">
        <w:rPr>
          <w:rFonts w:ascii="Times New Roman" w:hAnsi="Times New Roman" w:cs="Times New Roman"/>
          <w:sz w:val="24"/>
          <w:szCs w:val="24"/>
        </w:rPr>
        <w:t>Respectfully submitted,</w:t>
      </w:r>
    </w:p>
    <w:p w:rsidR="0084279C" w:rsidRPr="004875DB" w:rsidP="0084279C" w14:paraId="0F136BC0" w14:textId="77777777">
      <w:pPr>
        <w:pStyle w:val="Footer"/>
        <w:tabs>
          <w:tab w:val="left" w:pos="4320"/>
        </w:tabs>
        <w:ind w:left="4320"/>
        <w:rPr>
          <w:rFonts w:ascii="Times New Roman" w:hAnsi="Times New Roman" w:cs="Times New Roman"/>
          <w:sz w:val="24"/>
          <w:szCs w:val="24"/>
        </w:rPr>
      </w:pPr>
      <w:r w:rsidRPr="004875DB">
        <w:rPr>
          <w:rFonts w:ascii="Times New Roman" w:hAnsi="Times New Roman" w:cs="Times New Roman"/>
          <w:sz w:val="24"/>
          <w:szCs w:val="24"/>
        </w:rPr>
        <w:t>Bruce Weston (0016973)</w:t>
      </w:r>
    </w:p>
    <w:p w:rsidR="0084279C" w:rsidRPr="004875DB" w:rsidP="0084279C" w14:paraId="7719632A" w14:textId="77777777">
      <w:pPr>
        <w:pStyle w:val="ListParagraph"/>
        <w:tabs>
          <w:tab w:val="left" w:pos="4320"/>
        </w:tabs>
        <w:ind w:left="4320"/>
        <w:rPr>
          <w:rFonts w:ascii="Times New Roman" w:hAnsi="Times New Roman" w:cs="Times New Roman"/>
          <w:sz w:val="24"/>
          <w:szCs w:val="24"/>
        </w:rPr>
      </w:pPr>
      <w:r w:rsidRPr="004875DB">
        <w:rPr>
          <w:rFonts w:ascii="Times New Roman" w:hAnsi="Times New Roman" w:cs="Times New Roman"/>
          <w:sz w:val="24"/>
          <w:szCs w:val="24"/>
        </w:rPr>
        <w:t>Ohio Consumers’ Counsel</w:t>
      </w:r>
    </w:p>
    <w:p w:rsidR="0084279C" w:rsidRPr="004875DB" w:rsidP="0084279C" w14:paraId="23FE27DD" w14:textId="77777777">
      <w:pPr>
        <w:pStyle w:val="ListParagraph"/>
        <w:tabs>
          <w:tab w:val="left" w:pos="4320"/>
        </w:tabs>
        <w:ind w:left="4320"/>
        <w:rPr>
          <w:rFonts w:ascii="Times New Roman" w:hAnsi="Times New Roman" w:cs="Times New Roman"/>
          <w:sz w:val="24"/>
          <w:szCs w:val="24"/>
        </w:rPr>
      </w:pPr>
      <w:r w:rsidRPr="004875DB">
        <w:rPr>
          <w:rFonts w:ascii="Times New Roman" w:hAnsi="Times New Roman" w:cs="Times New Roman"/>
          <w:sz w:val="24"/>
          <w:szCs w:val="24"/>
        </w:rPr>
        <w:tab/>
      </w:r>
    </w:p>
    <w:p w:rsidR="0084279C" w:rsidRPr="004875DB" w:rsidP="00C0511A" w14:paraId="684C0873" w14:textId="77777777">
      <w:pPr>
        <w:pStyle w:val="ListParagraph"/>
        <w:tabs>
          <w:tab w:val="left" w:pos="4320"/>
        </w:tabs>
        <w:spacing w:after="0" w:line="240" w:lineRule="auto"/>
        <w:ind w:left="4320"/>
        <w:rPr>
          <w:rFonts w:ascii="Times New Roman" w:hAnsi="Times New Roman" w:cs="Times New Roman"/>
          <w:i/>
          <w:iCs/>
          <w:sz w:val="24"/>
          <w:szCs w:val="24"/>
          <w:u w:val="single"/>
        </w:rPr>
      </w:pPr>
      <w:r w:rsidRPr="004875DB">
        <w:rPr>
          <w:rFonts w:ascii="Times New Roman" w:hAnsi="Times New Roman" w:cs="Times New Roman"/>
          <w:i/>
          <w:iCs/>
          <w:sz w:val="24"/>
          <w:szCs w:val="24"/>
          <w:u w:val="single"/>
        </w:rPr>
        <w:t>/s/ Angela D. O’Brien</w:t>
      </w:r>
      <w:r w:rsidRPr="004875DB">
        <w:rPr>
          <w:rFonts w:ascii="Times New Roman" w:hAnsi="Times New Roman" w:cs="Times New Roman"/>
          <w:i/>
          <w:iCs/>
          <w:sz w:val="24"/>
          <w:szCs w:val="24"/>
          <w:u w:val="single"/>
        </w:rPr>
        <w:tab/>
      </w:r>
    </w:p>
    <w:p w:rsidR="0084279C" w:rsidRPr="004875DB" w:rsidP="00C0511A" w14:paraId="47ED0256"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Angela D. O’Brien (0097579)</w:t>
      </w:r>
    </w:p>
    <w:p w:rsidR="0084279C" w:rsidRPr="004875DB" w:rsidP="00C0511A" w14:paraId="6A7F7FEC"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Counsel of Record</w:t>
      </w:r>
    </w:p>
    <w:p w:rsidR="0084279C" w:rsidRPr="004875DB" w:rsidP="00C0511A" w14:paraId="385B630B"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Deputy Consumers’ Counsel</w:t>
      </w:r>
    </w:p>
    <w:p w:rsidR="0084279C" w:rsidRPr="004875DB" w:rsidP="00C0511A" w14:paraId="24F35C76"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Connor Semple (0101102)</w:t>
      </w:r>
    </w:p>
    <w:p w:rsidR="0084279C" w:rsidRPr="004875DB" w:rsidP="00C0511A" w14:paraId="272EEEF0" w14:textId="77777777">
      <w:pPr>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Donald J. Kral (0042091)</w:t>
      </w:r>
    </w:p>
    <w:p w:rsidR="0084279C" w:rsidP="00C0511A" w14:paraId="4E913F62" w14:textId="77777777">
      <w:pPr>
        <w:pStyle w:val="ListParagraph"/>
        <w:tabs>
          <w:tab w:val="left" w:pos="4320"/>
        </w:tabs>
        <w:spacing w:after="0" w:line="240" w:lineRule="auto"/>
        <w:ind w:left="4320"/>
        <w:rPr>
          <w:rFonts w:ascii="Times New Roman" w:hAnsi="Times New Roman" w:cs="Times New Roman"/>
          <w:sz w:val="24"/>
          <w:szCs w:val="24"/>
        </w:rPr>
      </w:pPr>
      <w:r w:rsidRPr="004875DB">
        <w:rPr>
          <w:rFonts w:ascii="Times New Roman" w:hAnsi="Times New Roman" w:cs="Times New Roman"/>
          <w:sz w:val="24"/>
          <w:szCs w:val="24"/>
        </w:rPr>
        <w:t>Assistant Consumers Counsel</w:t>
      </w:r>
    </w:p>
    <w:p w:rsidR="00CC07C8" w:rsidP="00C0511A" w14:paraId="4D1230D3" w14:textId="77777777">
      <w:pPr>
        <w:pStyle w:val="ListParagraph"/>
        <w:tabs>
          <w:tab w:val="left" w:pos="4320"/>
        </w:tabs>
        <w:spacing w:after="0" w:line="240" w:lineRule="auto"/>
        <w:ind w:left="4320"/>
        <w:rPr>
          <w:rFonts w:ascii="Times New Roman" w:hAnsi="Times New Roman" w:cs="Times New Roman"/>
          <w:sz w:val="24"/>
          <w:szCs w:val="24"/>
        </w:rPr>
      </w:pPr>
    </w:p>
    <w:p w:rsidR="0084279C" w:rsidRPr="004875DB" w:rsidP="00C0511A" w14:paraId="78804B85" w14:textId="77777777">
      <w:pPr>
        <w:pStyle w:val="ListParagraph"/>
        <w:tabs>
          <w:tab w:val="left" w:pos="4320"/>
        </w:tabs>
        <w:spacing w:after="0"/>
        <w:ind w:left="4320"/>
        <w:rPr>
          <w:rFonts w:ascii="Times New Roman" w:hAnsi="Times New Roman" w:cs="Times New Roman"/>
          <w:b/>
          <w:bCs/>
          <w:sz w:val="24"/>
          <w:szCs w:val="24"/>
        </w:rPr>
      </w:pPr>
      <w:r w:rsidRPr="004875DB">
        <w:rPr>
          <w:rFonts w:ascii="Times New Roman" w:hAnsi="Times New Roman" w:cs="Times New Roman"/>
          <w:b/>
          <w:bCs/>
          <w:sz w:val="24"/>
          <w:szCs w:val="24"/>
        </w:rPr>
        <w:t>Office of the Ohio Consumers’ Counsel</w:t>
      </w:r>
    </w:p>
    <w:p w:rsidR="0084279C" w:rsidRPr="004875DB" w:rsidP="00C0511A" w14:paraId="6CDE220D" w14:textId="77777777">
      <w:pPr>
        <w:spacing w:after="0"/>
        <w:ind w:left="4320"/>
        <w:rPr>
          <w:rFonts w:ascii="Times New Roman" w:hAnsi="Times New Roman" w:cs="Times New Roman"/>
          <w:sz w:val="24"/>
          <w:szCs w:val="24"/>
        </w:rPr>
      </w:pPr>
      <w:r w:rsidRPr="004875DB">
        <w:rPr>
          <w:rFonts w:ascii="Times New Roman" w:hAnsi="Times New Roman" w:cs="Times New Roman"/>
          <w:sz w:val="24"/>
          <w:szCs w:val="24"/>
        </w:rPr>
        <w:t>65 East State Street, Suite 700</w:t>
      </w:r>
    </w:p>
    <w:p w:rsidR="0084279C" w:rsidRPr="004875DB" w:rsidP="00C0511A" w14:paraId="20CD4CED" w14:textId="77777777">
      <w:pPr>
        <w:spacing w:after="0"/>
        <w:ind w:left="4320"/>
        <w:rPr>
          <w:rFonts w:ascii="Times New Roman" w:hAnsi="Times New Roman" w:cs="Times New Roman"/>
          <w:sz w:val="24"/>
          <w:szCs w:val="24"/>
        </w:rPr>
      </w:pPr>
      <w:r w:rsidRPr="004875DB">
        <w:rPr>
          <w:rFonts w:ascii="Times New Roman" w:hAnsi="Times New Roman" w:cs="Times New Roman"/>
          <w:sz w:val="24"/>
          <w:szCs w:val="24"/>
        </w:rPr>
        <w:t>Columbus, Ohio 43215</w:t>
      </w:r>
    </w:p>
    <w:p w:rsidR="0084279C" w:rsidRPr="004875DB" w:rsidP="00C0511A" w14:paraId="7F0CF1D7" w14:textId="77777777">
      <w:pPr>
        <w:autoSpaceDE w:val="0"/>
        <w:autoSpaceDN w:val="0"/>
        <w:adjustRightInd w:val="0"/>
        <w:spacing w:after="0"/>
        <w:ind w:left="3600" w:firstLine="720"/>
        <w:rPr>
          <w:rFonts w:ascii="Times New Roman" w:hAnsi="Times New Roman" w:cs="Times New Roman"/>
          <w:sz w:val="24"/>
          <w:szCs w:val="24"/>
        </w:rPr>
      </w:pPr>
      <w:r w:rsidRPr="004875DB">
        <w:rPr>
          <w:rFonts w:ascii="Times New Roman" w:hAnsi="Times New Roman" w:cs="Times New Roman"/>
          <w:sz w:val="24"/>
          <w:szCs w:val="24"/>
        </w:rPr>
        <w:t>Telephone [O’Brien] (614) 466-9531</w:t>
      </w:r>
    </w:p>
    <w:p w:rsidR="0084279C" w:rsidRPr="004875DB" w:rsidP="00C0511A" w14:paraId="2EA6CBD4" w14:textId="77777777">
      <w:pPr>
        <w:autoSpaceDE w:val="0"/>
        <w:autoSpaceDN w:val="0"/>
        <w:adjustRightInd w:val="0"/>
        <w:spacing w:after="0"/>
        <w:ind w:left="3600" w:firstLine="720"/>
        <w:rPr>
          <w:rFonts w:ascii="Times New Roman" w:hAnsi="Times New Roman" w:cs="Times New Roman"/>
          <w:sz w:val="24"/>
          <w:szCs w:val="24"/>
        </w:rPr>
      </w:pPr>
      <w:r w:rsidRPr="004875DB">
        <w:rPr>
          <w:rFonts w:ascii="Times New Roman" w:hAnsi="Times New Roman" w:cs="Times New Roman"/>
          <w:sz w:val="24"/>
          <w:szCs w:val="24"/>
        </w:rPr>
        <w:t>Telephone [Semple] (614) 466-9565</w:t>
      </w:r>
    </w:p>
    <w:p w:rsidR="0084279C" w:rsidRPr="004875DB" w:rsidP="00C0511A" w14:paraId="4FE64E45" w14:textId="77777777">
      <w:pPr>
        <w:autoSpaceDE w:val="0"/>
        <w:autoSpaceDN w:val="0"/>
        <w:adjustRightInd w:val="0"/>
        <w:spacing w:after="0"/>
        <w:ind w:left="3600" w:firstLine="720"/>
        <w:contextualSpacing/>
        <w:rPr>
          <w:rFonts w:ascii="Times New Roman" w:hAnsi="Times New Roman" w:cs="Times New Roman"/>
          <w:sz w:val="24"/>
          <w:szCs w:val="24"/>
          <w:lang w:bidi="en-US"/>
        </w:rPr>
      </w:pPr>
      <w:r w:rsidRPr="004875DB">
        <w:rPr>
          <w:rFonts w:ascii="Times New Roman" w:hAnsi="Times New Roman" w:cs="Times New Roman"/>
          <w:sz w:val="24"/>
          <w:szCs w:val="24"/>
          <w:lang w:bidi="en-US"/>
        </w:rPr>
        <w:t>Telephone [Kral]: (614) 466-9571</w:t>
      </w:r>
    </w:p>
    <w:p w:rsidR="0084279C" w:rsidRPr="004875DB" w:rsidP="00C0511A" w14:paraId="51558721" w14:textId="77777777">
      <w:pPr>
        <w:autoSpaceDE w:val="0"/>
        <w:autoSpaceDN w:val="0"/>
        <w:adjustRightInd w:val="0"/>
        <w:spacing w:after="0"/>
        <w:ind w:left="3600" w:firstLine="720"/>
        <w:rPr>
          <w:rFonts w:ascii="Times New Roman" w:hAnsi="Times New Roman" w:cs="Times New Roman"/>
          <w:sz w:val="24"/>
          <w:szCs w:val="24"/>
        </w:rPr>
      </w:pPr>
      <w:hyperlink r:id="rId6" w:history="1">
        <w:r w:rsidRPr="004875DB">
          <w:rPr>
            <w:rStyle w:val="Hyperlink"/>
            <w:rFonts w:ascii="Times New Roman" w:hAnsi="Times New Roman" w:cs="Times New Roman"/>
            <w:sz w:val="24"/>
            <w:szCs w:val="24"/>
          </w:rPr>
          <w:t>angela.obrien@occ.ohio.gov</w:t>
        </w:r>
      </w:hyperlink>
    </w:p>
    <w:p w:rsidR="0084279C" w:rsidRPr="004875DB" w:rsidP="00C0511A" w14:paraId="592DE390" w14:textId="77777777">
      <w:pPr>
        <w:autoSpaceDE w:val="0"/>
        <w:autoSpaceDN w:val="0"/>
        <w:adjustRightInd w:val="0"/>
        <w:spacing w:after="0"/>
        <w:ind w:left="3600" w:firstLine="720"/>
        <w:rPr>
          <w:rStyle w:val="Hyperlink"/>
          <w:rFonts w:ascii="Times New Roman" w:hAnsi="Times New Roman" w:cs="Times New Roman"/>
          <w:sz w:val="24"/>
          <w:szCs w:val="24"/>
        </w:rPr>
      </w:pPr>
      <w:hyperlink r:id="rId7" w:history="1">
        <w:r w:rsidRPr="004875DB">
          <w:rPr>
            <w:rStyle w:val="Hyperlink"/>
            <w:rFonts w:ascii="Times New Roman" w:hAnsi="Times New Roman" w:cs="Times New Roman"/>
            <w:sz w:val="24"/>
            <w:szCs w:val="24"/>
          </w:rPr>
          <w:t>connor.semple@occ.ohio.gov</w:t>
        </w:r>
      </w:hyperlink>
    </w:p>
    <w:p w:rsidR="0084279C" w:rsidRPr="004875DB" w:rsidP="00C0511A" w14:paraId="507FFEB4" w14:textId="77777777">
      <w:pPr>
        <w:spacing w:after="0"/>
        <w:ind w:left="4320"/>
        <w:rPr>
          <w:rFonts w:ascii="Times New Roman" w:hAnsi="Times New Roman" w:cs="Times New Roman"/>
          <w:sz w:val="24"/>
          <w:szCs w:val="24"/>
        </w:rPr>
      </w:pPr>
      <w:hyperlink r:id="rId8" w:history="1">
        <w:r w:rsidRPr="004875DB">
          <w:rPr>
            <w:rStyle w:val="Hyperlink"/>
            <w:rFonts w:ascii="Times New Roman" w:hAnsi="Times New Roman" w:cs="Times New Roman"/>
            <w:sz w:val="24"/>
            <w:szCs w:val="24"/>
            <w:lang w:bidi="en-US"/>
          </w:rPr>
          <w:t>donald.kral@occ.ohio.gov</w:t>
        </w:r>
      </w:hyperlink>
    </w:p>
    <w:p w:rsidR="0084279C" w:rsidRPr="004875DB" w:rsidP="00C0511A" w14:paraId="595B0EBD" w14:textId="77777777">
      <w:pPr>
        <w:autoSpaceDE w:val="0"/>
        <w:autoSpaceDN w:val="0"/>
        <w:adjustRightInd w:val="0"/>
        <w:spacing w:after="0"/>
        <w:ind w:left="3600" w:firstLine="720"/>
        <w:rPr>
          <w:rFonts w:ascii="Times New Roman" w:hAnsi="Times New Roman" w:cs="Times New Roman"/>
          <w:sz w:val="24"/>
          <w:szCs w:val="24"/>
        </w:rPr>
      </w:pPr>
      <w:r w:rsidRPr="004875DB">
        <w:rPr>
          <w:rFonts w:ascii="Times New Roman" w:hAnsi="Times New Roman" w:cs="Times New Roman"/>
          <w:sz w:val="24"/>
          <w:szCs w:val="24"/>
        </w:rPr>
        <w:t>(willing to accept service by e-mail)</w:t>
      </w:r>
    </w:p>
    <w:p w:rsidR="00C0511A" w14:paraId="4F3F9E0F" w14:textId="135F431F">
      <w:pPr>
        <w:rPr>
          <w:rFonts w:ascii="Times New Roman" w:hAnsi="Times New Roman" w:cs="Times New Roman"/>
          <w:b/>
          <w:bCs/>
          <w:sz w:val="24"/>
          <w:szCs w:val="24"/>
        </w:rPr>
      </w:pPr>
      <w:r>
        <w:rPr>
          <w:rFonts w:ascii="Times New Roman" w:hAnsi="Times New Roman" w:cs="Times New Roman"/>
          <w:b/>
          <w:bCs/>
          <w:sz w:val="24"/>
          <w:szCs w:val="24"/>
        </w:rPr>
        <w:br w:type="page"/>
      </w:r>
    </w:p>
    <w:p w:rsidR="0084279C" w:rsidRPr="00915273" w:rsidP="0084279C" w14:paraId="5F1BF4BE" w14:textId="77777777">
      <w:pPr>
        <w:jc w:val="center"/>
        <w:rPr>
          <w:rFonts w:ascii="Times New Roman" w:hAnsi="Times New Roman" w:cs="Times New Roman"/>
          <w:b/>
          <w:sz w:val="24"/>
          <w:szCs w:val="24"/>
          <w:u w:val="single"/>
        </w:rPr>
      </w:pPr>
      <w:r w:rsidRPr="00915273">
        <w:rPr>
          <w:rFonts w:ascii="Times New Roman" w:hAnsi="Times New Roman" w:cs="Times New Roman"/>
          <w:b/>
          <w:sz w:val="24"/>
          <w:szCs w:val="24"/>
          <w:u w:val="single"/>
        </w:rPr>
        <w:t>CERTIFICATE OF SERVICE</w:t>
      </w:r>
    </w:p>
    <w:p w:rsidR="0084279C" w:rsidRPr="00915273" w:rsidP="0084279C" w14:paraId="79141B34" w14:textId="2AD5A6C4">
      <w:pPr>
        <w:suppressAutoHyphens/>
        <w:spacing w:line="480" w:lineRule="auto"/>
        <w:ind w:firstLine="720"/>
        <w:rPr>
          <w:rFonts w:ascii="Times New Roman" w:hAnsi="Times New Roman" w:cs="Times New Roman"/>
          <w:spacing w:val="-3"/>
          <w:sz w:val="24"/>
          <w:szCs w:val="24"/>
        </w:rPr>
      </w:pPr>
      <w:r w:rsidRPr="00915273">
        <w:rPr>
          <w:rFonts w:ascii="Times New Roman" w:hAnsi="Times New Roman" w:cs="Times New Roman"/>
          <w:spacing w:val="-3"/>
          <w:sz w:val="24"/>
          <w:szCs w:val="24"/>
        </w:rPr>
        <w:t xml:space="preserve">It is hereby certified that a true copy of the foregoing </w:t>
      </w:r>
      <w:r w:rsidR="00D476A3">
        <w:rPr>
          <w:rFonts w:ascii="Times New Roman" w:hAnsi="Times New Roman" w:cs="Times New Roman"/>
          <w:spacing w:val="-3"/>
          <w:sz w:val="24"/>
          <w:szCs w:val="24"/>
        </w:rPr>
        <w:t>Objections</w:t>
      </w:r>
      <w:r>
        <w:rPr>
          <w:rFonts w:ascii="Times New Roman" w:hAnsi="Times New Roman" w:cs="Times New Roman"/>
          <w:spacing w:val="-3"/>
          <w:sz w:val="24"/>
          <w:szCs w:val="24"/>
        </w:rPr>
        <w:t xml:space="preserve"> to the PUCO Staff Report</w:t>
      </w:r>
      <w:r w:rsidRPr="00915273">
        <w:rPr>
          <w:rFonts w:ascii="Times New Roman" w:hAnsi="Times New Roman" w:cs="Times New Roman"/>
          <w:spacing w:val="-3"/>
          <w:sz w:val="24"/>
          <w:szCs w:val="24"/>
        </w:rPr>
        <w:t xml:space="preserve"> by Office of the Ohio Consumers' Counsel was served upon the persons listed below by electronic transmission this </w:t>
      </w:r>
      <w:r>
        <w:rPr>
          <w:rFonts w:ascii="Times New Roman" w:hAnsi="Times New Roman" w:cs="Times New Roman"/>
          <w:spacing w:val="-3"/>
          <w:sz w:val="24"/>
          <w:szCs w:val="24"/>
        </w:rPr>
        <w:t>14</w:t>
      </w:r>
      <w:r w:rsidRPr="00915273">
        <w:rPr>
          <w:rFonts w:ascii="Times New Roman" w:hAnsi="Times New Roman" w:cs="Times New Roman"/>
          <w:spacing w:val="-3"/>
          <w:sz w:val="24"/>
          <w:szCs w:val="24"/>
        </w:rPr>
        <w:t xml:space="preserve">th day of </w:t>
      </w:r>
      <w:r>
        <w:rPr>
          <w:rFonts w:ascii="Times New Roman" w:hAnsi="Times New Roman" w:cs="Times New Roman"/>
          <w:spacing w:val="-3"/>
          <w:sz w:val="24"/>
          <w:szCs w:val="24"/>
        </w:rPr>
        <w:t>August,</w:t>
      </w:r>
      <w:r w:rsidRPr="00915273">
        <w:rPr>
          <w:rFonts w:ascii="Times New Roman" w:hAnsi="Times New Roman" w:cs="Times New Roman"/>
          <w:spacing w:val="-3"/>
          <w:sz w:val="24"/>
          <w:szCs w:val="24"/>
        </w:rPr>
        <w:t xml:space="preserve"> 202</w:t>
      </w:r>
      <w:r>
        <w:rPr>
          <w:rFonts w:ascii="Times New Roman" w:hAnsi="Times New Roman" w:cs="Times New Roman"/>
          <w:spacing w:val="-3"/>
          <w:sz w:val="24"/>
          <w:szCs w:val="24"/>
        </w:rPr>
        <w:t>3</w:t>
      </w:r>
      <w:r w:rsidRPr="00915273">
        <w:rPr>
          <w:rFonts w:ascii="Times New Roman" w:hAnsi="Times New Roman" w:cs="Times New Roman"/>
          <w:spacing w:val="-3"/>
          <w:sz w:val="24"/>
          <w:szCs w:val="24"/>
        </w:rPr>
        <w:t>.</w:t>
      </w:r>
    </w:p>
    <w:p w:rsidR="0084279C" w:rsidP="0084279C" w14:paraId="1364838B" w14:textId="616B713C">
      <w:pPr>
        <w:pStyle w:val="EndnoteText"/>
        <w:rPr>
          <w:rFonts w:ascii="Times New Roman" w:hAnsi="Times New Roman"/>
          <w:i/>
          <w:iCs/>
          <w:snapToGrid/>
          <w:szCs w:val="24"/>
          <w:u w:val="single"/>
        </w:rPr>
      </w:pP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Pr>
          <w:rFonts w:ascii="Times New Roman" w:hAnsi="Times New Roman"/>
          <w:i/>
          <w:iCs/>
          <w:snapToGrid/>
          <w:szCs w:val="24"/>
          <w:u w:val="single"/>
        </w:rPr>
        <w:t>/s/ Angela D.</w:t>
      </w:r>
      <w:r w:rsidR="00D476A3">
        <w:rPr>
          <w:rFonts w:ascii="Times New Roman" w:hAnsi="Times New Roman"/>
          <w:i/>
          <w:iCs/>
          <w:snapToGrid/>
          <w:szCs w:val="24"/>
          <w:u w:val="single"/>
        </w:rPr>
        <w:t xml:space="preserve"> </w:t>
      </w:r>
      <w:r>
        <w:rPr>
          <w:rFonts w:ascii="Times New Roman" w:hAnsi="Times New Roman"/>
          <w:i/>
          <w:iCs/>
          <w:snapToGrid/>
          <w:szCs w:val="24"/>
          <w:u w:val="single"/>
        </w:rPr>
        <w:t>O’Brien</w:t>
      </w:r>
    </w:p>
    <w:p w:rsidR="0084279C" w:rsidP="0084279C" w14:paraId="12172378" w14:textId="77777777">
      <w:pPr>
        <w:pStyle w:val="EndnoteText"/>
        <w:rPr>
          <w:rFonts w:ascii="Times New Roman" w:hAnsi="Times New Roman"/>
          <w:snapToGrid/>
          <w:szCs w:val="24"/>
        </w:rPr>
      </w:pPr>
      <w:r w:rsidRPr="004875DB">
        <w:rPr>
          <w:rFonts w:ascii="Times New Roman" w:hAnsi="Times New Roman"/>
          <w:snapToGrid/>
          <w:szCs w:val="24"/>
        </w:rPr>
        <w:tab/>
      </w:r>
      <w:r w:rsidRPr="004875DB">
        <w:rPr>
          <w:rFonts w:ascii="Times New Roman" w:hAnsi="Times New Roman"/>
          <w:snapToGrid/>
          <w:szCs w:val="24"/>
        </w:rPr>
        <w:tab/>
      </w:r>
      <w:r w:rsidRPr="004875DB">
        <w:rPr>
          <w:rFonts w:ascii="Times New Roman" w:hAnsi="Times New Roman"/>
          <w:snapToGrid/>
          <w:szCs w:val="24"/>
        </w:rPr>
        <w:tab/>
      </w:r>
      <w:r w:rsidRPr="004875DB">
        <w:rPr>
          <w:rFonts w:ascii="Times New Roman" w:hAnsi="Times New Roman"/>
          <w:snapToGrid/>
          <w:szCs w:val="24"/>
        </w:rPr>
        <w:tab/>
      </w:r>
      <w:r w:rsidRPr="004875DB">
        <w:rPr>
          <w:rFonts w:ascii="Times New Roman" w:hAnsi="Times New Roman"/>
          <w:snapToGrid/>
          <w:szCs w:val="24"/>
        </w:rPr>
        <w:tab/>
      </w:r>
      <w:r w:rsidRPr="004875DB">
        <w:rPr>
          <w:rFonts w:ascii="Times New Roman" w:hAnsi="Times New Roman"/>
          <w:snapToGrid/>
          <w:szCs w:val="24"/>
        </w:rPr>
        <w:tab/>
      </w:r>
      <w:r w:rsidRPr="004875DB">
        <w:rPr>
          <w:rFonts w:ascii="Times New Roman" w:hAnsi="Times New Roman"/>
          <w:snapToGrid/>
          <w:szCs w:val="24"/>
        </w:rPr>
        <w:tab/>
      </w:r>
      <w:r>
        <w:rPr>
          <w:rFonts w:ascii="Times New Roman" w:hAnsi="Times New Roman"/>
          <w:snapToGrid/>
          <w:szCs w:val="24"/>
        </w:rPr>
        <w:t>Counsel of Record</w:t>
      </w:r>
    </w:p>
    <w:p w:rsidR="0084279C" w:rsidRPr="004875DB" w:rsidP="0084279C" w14:paraId="1CB8805F" w14:textId="77777777">
      <w:pPr>
        <w:pStyle w:val="EndnoteText"/>
        <w:ind w:left="4320" w:firstLine="720"/>
        <w:rPr>
          <w:rFonts w:ascii="Times New Roman" w:hAnsi="Times New Roman"/>
          <w:snapToGrid/>
          <w:szCs w:val="24"/>
        </w:rPr>
      </w:pPr>
      <w:r w:rsidRPr="004875DB">
        <w:rPr>
          <w:rFonts w:ascii="Times New Roman" w:hAnsi="Times New Roman"/>
          <w:szCs w:val="24"/>
        </w:rPr>
        <w:t>Deputy Consumers’ Counsel</w:t>
      </w:r>
    </w:p>
    <w:p w:rsidR="0084279C" w:rsidRPr="00915273" w:rsidP="0084279C" w14:paraId="6D2184D1" w14:textId="77777777">
      <w:pPr>
        <w:suppressLineNumbers/>
        <w:ind w:left="810"/>
        <w:rPr>
          <w:rFonts w:ascii="Times New Roman" w:hAnsi="Times New Roman" w:cs="Times New Roman"/>
          <w:sz w:val="24"/>
          <w:szCs w:val="24"/>
          <w:u w:val="single"/>
        </w:rPr>
      </w:pPr>
    </w:p>
    <w:p w:rsidR="0084279C" w:rsidRPr="00915273" w:rsidP="0084279C" w14:paraId="39F12AA1" w14:textId="77777777">
      <w:pPr>
        <w:suppressLineNumbers/>
        <w:rPr>
          <w:rFonts w:ascii="Times New Roman" w:hAnsi="Times New Roman" w:cs="Times New Roman"/>
          <w:sz w:val="24"/>
          <w:szCs w:val="24"/>
        </w:rPr>
      </w:pPr>
      <w:r w:rsidRPr="00915273">
        <w:rPr>
          <w:rFonts w:ascii="Times New Roman" w:hAnsi="Times New Roman" w:cs="Times New Roman"/>
          <w:sz w:val="24"/>
          <w:szCs w:val="24"/>
        </w:rPr>
        <w:t>The PUCO’s e-filing system will electronically serve notice of the filing of this document on the following parties:</w:t>
      </w:r>
    </w:p>
    <w:p w:rsidR="0084279C" w:rsidRPr="00915273" w:rsidP="0084279C" w14:paraId="55B82BE9" w14:textId="77777777">
      <w:pPr>
        <w:jc w:val="center"/>
        <w:rPr>
          <w:rFonts w:ascii="Times New Roman" w:hAnsi="Times New Roman" w:cs="Times New Roman"/>
          <w:b/>
          <w:bCs/>
          <w:sz w:val="24"/>
          <w:szCs w:val="24"/>
          <w:u w:val="single"/>
        </w:rPr>
      </w:pPr>
    </w:p>
    <w:p w:rsidR="0084279C" w:rsidRPr="00915273" w:rsidP="0084279C" w14:paraId="157967FB" w14:textId="77777777">
      <w:pPr>
        <w:pStyle w:val="CommentText"/>
        <w:jc w:val="center"/>
        <w:rPr>
          <w:rFonts w:cs="Times New Roman"/>
          <w:b/>
          <w:bCs/>
          <w:sz w:val="24"/>
          <w:szCs w:val="24"/>
          <w:u w:val="single"/>
        </w:rPr>
      </w:pPr>
      <w:r w:rsidRPr="00915273">
        <w:rPr>
          <w:rFonts w:cs="Times New Roman"/>
          <w:b/>
          <w:bCs/>
          <w:sz w:val="24"/>
          <w:szCs w:val="24"/>
          <w:u w:val="single"/>
        </w:rPr>
        <w:t>SERVICE LIST</w:t>
      </w:r>
    </w:p>
    <w:p w:rsidR="0084279C" w:rsidRPr="00915273" w:rsidP="0084279C" w14:paraId="6D96D5F5" w14:textId="77777777">
      <w:pPr>
        <w:pStyle w:val="CommentText"/>
        <w:jc w:val="center"/>
        <w:rPr>
          <w:rFonts w:cs="Times New Roman"/>
          <w:b/>
          <w:bCs/>
          <w:sz w:val="24"/>
          <w:szCs w:val="24"/>
          <w:u w:val="single"/>
        </w:rPr>
      </w:pPr>
    </w:p>
    <w:tbl>
      <w:tblPr>
        <w:tblW w:w="0" w:type="auto"/>
        <w:tblInd w:w="0" w:type="dxa"/>
        <w:tblCellMar>
          <w:top w:w="0" w:type="dxa"/>
          <w:left w:w="108" w:type="dxa"/>
          <w:bottom w:w="0" w:type="dxa"/>
          <w:right w:w="108" w:type="dxa"/>
        </w:tblCellMar>
        <w:tblLook w:val="04A0"/>
      </w:tblPr>
      <w:tblGrid>
        <w:gridCol w:w="4323"/>
        <w:gridCol w:w="4317"/>
      </w:tblGrid>
      <w:tr w14:paraId="6800C70D" w14:textId="77777777" w:rsidTr="00C7505D">
        <w:tblPrEx>
          <w:tblW w:w="0" w:type="auto"/>
          <w:tblInd w:w="0" w:type="dxa"/>
          <w:tblCellMar>
            <w:top w:w="0" w:type="dxa"/>
            <w:left w:w="108" w:type="dxa"/>
            <w:bottom w:w="0" w:type="dxa"/>
            <w:right w:w="108" w:type="dxa"/>
          </w:tblCellMar>
          <w:tblLook w:val="04A0"/>
        </w:tblPrEx>
        <w:tc>
          <w:tcPr>
            <w:tcW w:w="4428" w:type="dxa"/>
            <w:shd w:val="clear" w:color="auto" w:fill="auto"/>
          </w:tcPr>
          <w:p w:rsidR="0084279C" w:rsidRPr="007F5FC5" w:rsidP="00C7505D" w14:paraId="4E9B06AC"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16" w:history="1">
              <w:r w:rsidRPr="007F5FC5">
                <w:rPr>
                  <w:rStyle w:val="Hyperlink"/>
                  <w:rFonts w:ascii="Times New Roman" w:hAnsi="Times New Roman" w:eastAsiaTheme="minorHAnsi" w:cs="Times New Roman"/>
                  <w:bCs/>
                  <w:color w:val="0000FF"/>
                  <w:kern w:val="0"/>
                  <w:sz w:val="24"/>
                  <w:szCs w:val="24"/>
                  <w:u w:val="single"/>
                  <w:lang w:val="en-US" w:eastAsia="en-US" w:bidi="ar-SA"/>
                  <w14:ligatures w14:val="none"/>
                </w:rPr>
                <w:t>Robert.eubanks@ohioAGO.gov</w:t>
              </w:r>
            </w:hyperlink>
          </w:p>
          <w:p w:rsidR="0084279C" w:rsidRPr="007F5FC5" w:rsidP="00C7505D" w14:paraId="2C5BD944"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17" w:history="1">
              <w:r w:rsidRPr="007F5FC5">
                <w:rPr>
                  <w:rStyle w:val="Hyperlink"/>
                  <w:rFonts w:ascii="Times New Roman" w:hAnsi="Times New Roman" w:eastAsiaTheme="minorHAnsi" w:cs="Times New Roman"/>
                  <w:bCs/>
                  <w:color w:val="0000FF"/>
                  <w:kern w:val="0"/>
                  <w:sz w:val="24"/>
                  <w:szCs w:val="24"/>
                  <w:u w:val="single"/>
                  <w:lang w:val="en-US" w:eastAsia="en-US" w:bidi="ar-SA"/>
                  <w14:ligatures w14:val="none"/>
                </w:rPr>
                <w:t>Rhiannon.Howard@ohioAGO.gov</w:t>
              </w:r>
            </w:hyperlink>
          </w:p>
          <w:p w:rsidR="0084279C" w:rsidRPr="007F5FC5" w:rsidP="00C7505D" w14:paraId="5AAAC4F1"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p>
          <w:p w:rsidR="0084279C" w:rsidRPr="007F5FC5" w:rsidP="00C7505D" w14:paraId="64523714"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r w:rsidRPr="007F5FC5">
              <w:rPr>
                <w:rFonts w:ascii="Times New Roman" w:hAnsi="Times New Roman" w:eastAsiaTheme="minorHAnsi" w:cs="Times New Roman"/>
                <w:bCs/>
                <w:kern w:val="0"/>
                <w:sz w:val="24"/>
                <w:szCs w:val="24"/>
                <w:u w:val="single"/>
                <w:lang w:val="en-US" w:eastAsia="en-US" w:bidi="ar-SA"/>
                <w14:ligatures w14:val="none"/>
              </w:rPr>
              <w:t>Attorney Examiners:</w:t>
            </w:r>
          </w:p>
          <w:p w:rsidR="0084279C" w:rsidRPr="007F5FC5" w:rsidP="00C7505D" w14:paraId="4117D8D3"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18" w:history="1">
              <w:r w:rsidRPr="007F5FC5">
                <w:rPr>
                  <w:rStyle w:val="Hyperlink"/>
                  <w:rFonts w:ascii="Times New Roman" w:hAnsi="Times New Roman" w:eastAsiaTheme="minorHAnsi" w:cs="Times New Roman"/>
                  <w:bCs/>
                  <w:color w:val="0000FF"/>
                  <w:kern w:val="0"/>
                  <w:sz w:val="24"/>
                  <w:szCs w:val="24"/>
                  <w:u w:val="single"/>
                  <w:lang w:val="en-US" w:eastAsia="en-US" w:bidi="ar-SA"/>
                  <w14:ligatures w14:val="none"/>
                </w:rPr>
                <w:t>Jay.agranoff@puco.ohio.gov</w:t>
              </w:r>
            </w:hyperlink>
          </w:p>
          <w:p w:rsidR="0084279C" w:rsidRPr="007F5FC5" w:rsidP="00C7505D" w14:paraId="4AE5F955"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19" w:history="1">
              <w:r w:rsidRPr="007F5FC5">
                <w:rPr>
                  <w:rStyle w:val="Hyperlink"/>
                  <w:rFonts w:ascii="Times New Roman" w:hAnsi="Times New Roman" w:eastAsiaTheme="minorHAnsi" w:cs="Times New Roman"/>
                  <w:color w:val="0000FF"/>
                  <w:kern w:val="0"/>
                  <w:sz w:val="24"/>
                  <w:szCs w:val="24"/>
                  <w:u w:val="single"/>
                  <w:lang w:val="en-US" w:eastAsia="en-US" w:bidi="ar-SA"/>
                  <w14:ligatures w14:val="none"/>
                </w:rPr>
                <w:t>clint</w:t>
              </w:r>
              <w:r w:rsidRPr="007F5FC5">
                <w:rPr>
                  <w:rStyle w:val="Hyperlink"/>
                  <w:rFonts w:ascii="Times New Roman" w:hAnsi="Times New Roman" w:eastAsiaTheme="minorHAnsi" w:cs="Times New Roman"/>
                  <w:bCs/>
                  <w:color w:val="0000FF"/>
                  <w:kern w:val="0"/>
                  <w:sz w:val="24"/>
                  <w:szCs w:val="24"/>
                  <w:u w:val="single"/>
                  <w:lang w:val="en-US" w:eastAsia="en-US" w:bidi="ar-SA"/>
                  <w14:ligatures w14:val="none"/>
                </w:rPr>
                <w:t>.white@puco.ohio.gov</w:t>
              </w:r>
            </w:hyperlink>
          </w:p>
          <w:p w:rsidR="0084279C" w:rsidRPr="007F5FC5" w:rsidP="00C7505D" w14:paraId="739B142F"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p>
        </w:tc>
        <w:tc>
          <w:tcPr>
            <w:tcW w:w="4428" w:type="dxa"/>
            <w:shd w:val="clear" w:color="auto" w:fill="auto"/>
          </w:tcPr>
          <w:p w:rsidR="0084279C" w:rsidRPr="007F5FC5" w:rsidP="00C7505D" w14:paraId="1F6234E7"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20" w:history="1">
              <w:r w:rsidRPr="007F5FC5">
                <w:rPr>
                  <w:rStyle w:val="Hyperlink"/>
                  <w:rFonts w:ascii="Times New Roman" w:hAnsi="Times New Roman" w:eastAsiaTheme="minorHAnsi" w:cs="Times New Roman"/>
                  <w:bCs/>
                  <w:color w:val="0000FF"/>
                  <w:kern w:val="0"/>
                  <w:sz w:val="24"/>
                  <w:szCs w:val="24"/>
                  <w:u w:val="single"/>
                  <w:lang w:val="en-US" w:eastAsia="en-US" w:bidi="ar-SA"/>
                  <w14:ligatures w14:val="none"/>
                </w:rPr>
                <w:t>Christopher.miller@icemiller.com</w:t>
              </w:r>
            </w:hyperlink>
          </w:p>
          <w:p w:rsidR="0084279C" w:rsidRPr="007F5FC5" w:rsidP="00C7505D" w14:paraId="15945611"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21" w:history="1">
              <w:r w:rsidRPr="007F5FC5">
                <w:rPr>
                  <w:rStyle w:val="Hyperlink"/>
                  <w:rFonts w:ascii="Times New Roman" w:hAnsi="Times New Roman" w:eastAsiaTheme="minorHAnsi" w:cs="Times New Roman"/>
                  <w:bCs/>
                  <w:color w:val="0000FF"/>
                  <w:kern w:val="0"/>
                  <w:sz w:val="24"/>
                  <w:szCs w:val="24"/>
                  <w:u w:val="single"/>
                  <w:lang w:val="en-US" w:eastAsia="en-US" w:bidi="ar-SA"/>
                  <w14:ligatures w14:val="none"/>
                </w:rPr>
                <w:t>Nicole.woods@icemiller.com</w:t>
              </w:r>
            </w:hyperlink>
          </w:p>
          <w:p w:rsidR="0084279C" w:rsidP="00C7505D" w14:paraId="76B67CF9"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hyperlink r:id="rId22" w:history="1">
              <w:r w:rsidRPr="008A3430">
                <w:rPr>
                  <w:rStyle w:val="Hyperlink"/>
                  <w:rFonts w:ascii="Times New Roman" w:hAnsi="Times New Roman" w:eastAsiaTheme="minorHAnsi" w:cs="Times New Roman"/>
                  <w:bCs/>
                  <w:color w:val="0000FF"/>
                  <w:kern w:val="0"/>
                  <w:sz w:val="24"/>
                  <w:szCs w:val="24"/>
                  <w:u w:val="single"/>
                  <w:lang w:val="en-US" w:eastAsia="en-US" w:bidi="ar-SA"/>
                  <w14:ligatures w14:val="none"/>
                </w:rPr>
                <w:t>lawdirectormarion@gmail.com</w:t>
              </w:r>
            </w:hyperlink>
          </w:p>
          <w:p w:rsidR="0084279C" w:rsidRPr="007F5FC5" w:rsidP="00C7505D" w14:paraId="51E56281" w14:textId="77777777">
            <w:pPr>
              <w:pStyle w:val="CommentText"/>
              <w:tabs>
                <w:tab w:val="left" w:pos="720"/>
              </w:tabs>
              <w:spacing w:after="0" w:line="240" w:lineRule="auto"/>
              <w:ind w:left="720" w:hanging="720"/>
              <w:rPr>
                <w:rFonts w:ascii="Times New Roman" w:hAnsi="Times New Roman" w:eastAsiaTheme="minorHAnsi" w:cs="Times New Roman"/>
                <w:bCs/>
                <w:kern w:val="0"/>
                <w:sz w:val="24"/>
                <w:szCs w:val="24"/>
                <w:u w:val="single"/>
                <w:lang w:val="en-US" w:eastAsia="en-US" w:bidi="ar-SA"/>
                <w14:ligatures w14:val="none"/>
              </w:rPr>
            </w:pPr>
          </w:p>
        </w:tc>
      </w:tr>
    </w:tbl>
    <w:p w:rsidR="0084279C" w:rsidRPr="00915273" w:rsidP="0084279C" w14:paraId="00E135E9" w14:textId="77777777">
      <w:pPr>
        <w:pStyle w:val="CommentText"/>
        <w:rPr>
          <w:rFonts w:cs="Times New Roman"/>
          <w:b/>
          <w:sz w:val="24"/>
          <w:szCs w:val="24"/>
          <w:u w:val="single"/>
        </w:rPr>
      </w:pPr>
    </w:p>
    <w:p w:rsidR="00A80816" w:rsidRPr="00A80816" w:rsidP="00A80816" w14:paraId="1A523730" w14:textId="77777777">
      <w:pPr>
        <w:autoSpaceDE w:val="0"/>
        <w:autoSpaceDN w:val="0"/>
        <w:spacing w:after="0" w:line="480" w:lineRule="auto"/>
        <w:rPr>
          <w:rFonts w:ascii="Times New Roman" w:hAnsi="Times New Roman" w:cs="Times New Roman"/>
          <w:b/>
          <w:bCs/>
          <w:sz w:val="24"/>
          <w:szCs w:val="24"/>
        </w:rPr>
      </w:pPr>
    </w:p>
    <w:sectPr w:rsidSect="0084279C">
      <w:footerReference w:type="default" r:id="rId2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E13" w14:paraId="4F6820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E13" w14:paraId="15761FC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E13" w14:paraId="7203E8E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0379263"/>
      <w:docPartObj>
        <w:docPartGallery w:val="Page Numbers (Bottom of Page)"/>
        <w:docPartUnique/>
      </w:docPartObj>
    </w:sdtPr>
    <w:sdtEndPr>
      <w:rPr>
        <w:rFonts w:ascii="Times New Roman" w:hAnsi="Times New Roman" w:cs="Times New Roman"/>
        <w:noProof/>
        <w:sz w:val="24"/>
        <w:szCs w:val="24"/>
      </w:rPr>
    </w:sdtEndPr>
    <w:sdtContent>
      <w:p w:rsidR="00C7245A" w:rsidRPr="00C7245A" w14:paraId="4BCF7D4B" w14:textId="22914F59">
        <w:pPr>
          <w:pStyle w:val="Footer"/>
          <w:jc w:val="center"/>
          <w:rPr>
            <w:rFonts w:ascii="Times New Roman" w:hAnsi="Times New Roman" w:cs="Times New Roman"/>
            <w:sz w:val="24"/>
            <w:szCs w:val="24"/>
          </w:rPr>
        </w:pPr>
        <w:r w:rsidRPr="00C7245A">
          <w:rPr>
            <w:rFonts w:ascii="Times New Roman" w:hAnsi="Times New Roman" w:cs="Times New Roman"/>
            <w:sz w:val="24"/>
            <w:szCs w:val="24"/>
          </w:rPr>
          <w:fldChar w:fldCharType="begin"/>
        </w:r>
        <w:r w:rsidRPr="00C7245A">
          <w:rPr>
            <w:rFonts w:ascii="Times New Roman" w:hAnsi="Times New Roman" w:cs="Times New Roman"/>
            <w:sz w:val="24"/>
            <w:szCs w:val="24"/>
          </w:rPr>
          <w:instrText xml:space="preserve"> PAGE   \* MERGEFORMAT </w:instrText>
        </w:r>
        <w:r w:rsidRPr="00C7245A">
          <w:rPr>
            <w:rFonts w:ascii="Times New Roman" w:hAnsi="Times New Roman" w:cs="Times New Roman"/>
            <w:sz w:val="24"/>
            <w:szCs w:val="24"/>
          </w:rPr>
          <w:fldChar w:fldCharType="separate"/>
        </w:r>
        <w:r w:rsidRPr="00C7245A">
          <w:rPr>
            <w:rFonts w:ascii="Times New Roman" w:hAnsi="Times New Roman" w:cs="Times New Roman"/>
            <w:noProof/>
            <w:sz w:val="24"/>
            <w:szCs w:val="24"/>
          </w:rPr>
          <w:t>2</w:t>
        </w:r>
        <w:r w:rsidRPr="00C7245A">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595493"/>
      <w:docPartObj>
        <w:docPartGallery w:val="Page Numbers (Bottom of Page)"/>
        <w:docPartUnique/>
      </w:docPartObj>
    </w:sdtPr>
    <w:sdtEndPr>
      <w:rPr>
        <w:rFonts w:ascii="Times New Roman" w:hAnsi="Times New Roman" w:cs="Times New Roman"/>
        <w:noProof/>
        <w:sz w:val="24"/>
        <w:szCs w:val="24"/>
      </w:rPr>
    </w:sdtEndPr>
    <w:sdtContent>
      <w:p w:rsidR="0084279C" w:rsidRPr="0084279C" w14:paraId="34A08CE9" w14:textId="3074A535">
        <w:pPr>
          <w:pStyle w:val="Footer"/>
          <w:jc w:val="center"/>
          <w:rPr>
            <w:rFonts w:ascii="Times New Roman" w:hAnsi="Times New Roman" w:cs="Times New Roman"/>
            <w:sz w:val="24"/>
            <w:szCs w:val="24"/>
          </w:rPr>
        </w:pPr>
        <w:r w:rsidRPr="0084279C">
          <w:rPr>
            <w:rFonts w:ascii="Times New Roman" w:hAnsi="Times New Roman" w:cs="Times New Roman"/>
            <w:sz w:val="24"/>
            <w:szCs w:val="24"/>
          </w:rPr>
          <w:fldChar w:fldCharType="begin"/>
        </w:r>
        <w:r w:rsidRPr="0084279C">
          <w:rPr>
            <w:rFonts w:ascii="Times New Roman" w:hAnsi="Times New Roman" w:cs="Times New Roman"/>
            <w:sz w:val="24"/>
            <w:szCs w:val="24"/>
          </w:rPr>
          <w:instrText xml:space="preserve"> PAGE   \* MERGEFORMAT </w:instrText>
        </w:r>
        <w:r w:rsidRPr="0084279C">
          <w:rPr>
            <w:rFonts w:ascii="Times New Roman" w:hAnsi="Times New Roman" w:cs="Times New Roman"/>
            <w:sz w:val="24"/>
            <w:szCs w:val="24"/>
          </w:rPr>
          <w:fldChar w:fldCharType="separate"/>
        </w:r>
        <w:r w:rsidRPr="0084279C">
          <w:rPr>
            <w:rFonts w:ascii="Times New Roman" w:hAnsi="Times New Roman" w:cs="Times New Roman"/>
            <w:noProof/>
            <w:sz w:val="24"/>
            <w:szCs w:val="24"/>
          </w:rPr>
          <w:t>2</w:t>
        </w:r>
        <w:r w:rsidRPr="0084279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4DA8" w:rsidP="00F3266D" w14:paraId="7B35AFF8" w14:textId="77777777">
      <w:pPr>
        <w:spacing w:after="0" w:line="240" w:lineRule="auto"/>
      </w:pPr>
      <w:r>
        <w:separator/>
      </w:r>
    </w:p>
  </w:footnote>
  <w:footnote w:type="continuationSeparator" w:id="1">
    <w:p w:rsidR="006A4DA8" w:rsidP="00F3266D" w14:paraId="5EF81D94" w14:textId="77777777">
      <w:pPr>
        <w:spacing w:after="0" w:line="240" w:lineRule="auto"/>
      </w:pPr>
      <w:r>
        <w:continuationSeparator/>
      </w:r>
    </w:p>
  </w:footnote>
  <w:footnote w:id="2">
    <w:p w:rsidR="00D914BB" w:rsidRPr="00275002" w:rsidP="00275002" w14:paraId="5E17E8AC" w14:textId="29DCD432">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Pr>
          <w:rFonts w:ascii="Times New Roman" w:hAnsi="Times New Roman" w:cs="Times New Roman"/>
          <w:i/>
        </w:rPr>
        <w:t xml:space="preserve">See </w:t>
      </w:r>
      <w:r w:rsidRPr="00275002">
        <w:rPr>
          <w:rFonts w:ascii="Times New Roman" w:hAnsi="Times New Roman" w:cs="Times New Roman"/>
        </w:rPr>
        <w:t xml:space="preserve">Application of Aqua Ohio, Inc. to Increase its Rates and Charges for its </w:t>
      </w:r>
      <w:r w:rsidRPr="00275002" w:rsidR="00D476A3">
        <w:rPr>
          <w:rFonts w:ascii="Times New Roman" w:hAnsi="Times New Roman" w:cs="Times New Roman"/>
        </w:rPr>
        <w:t>Wastewater</w:t>
      </w:r>
      <w:r w:rsidRPr="00275002">
        <w:rPr>
          <w:rFonts w:ascii="Times New Roman" w:hAnsi="Times New Roman" w:cs="Times New Roman"/>
        </w:rPr>
        <w:t xml:space="preserve"> Service ("Application") Schedule A-1, Case No. 2</w:t>
      </w:r>
      <w:r w:rsidRPr="00275002" w:rsidR="005A12BB">
        <w:rPr>
          <w:rFonts w:ascii="Times New Roman" w:hAnsi="Times New Roman" w:cs="Times New Roman"/>
        </w:rPr>
        <w:t>2</w:t>
      </w:r>
      <w:r w:rsidRPr="00275002">
        <w:rPr>
          <w:rFonts w:ascii="Times New Roman" w:hAnsi="Times New Roman" w:cs="Times New Roman"/>
        </w:rPr>
        <w:t>-</w:t>
      </w:r>
      <w:r w:rsidRPr="00275002" w:rsidR="005A12BB">
        <w:rPr>
          <w:rFonts w:ascii="Times New Roman" w:hAnsi="Times New Roman" w:cs="Times New Roman"/>
        </w:rPr>
        <w:t>109</w:t>
      </w:r>
      <w:r w:rsidRPr="00275002" w:rsidR="008B554C">
        <w:rPr>
          <w:rFonts w:ascii="Times New Roman" w:hAnsi="Times New Roman" w:cs="Times New Roman"/>
        </w:rPr>
        <w:t>6</w:t>
      </w:r>
      <w:r w:rsidRPr="00275002">
        <w:rPr>
          <w:rFonts w:ascii="Times New Roman" w:hAnsi="Times New Roman" w:cs="Times New Roman"/>
        </w:rPr>
        <w:t>-</w:t>
      </w:r>
      <w:r w:rsidRPr="00275002" w:rsidR="008B554C">
        <w:rPr>
          <w:rFonts w:ascii="Times New Roman" w:hAnsi="Times New Roman" w:cs="Times New Roman"/>
        </w:rPr>
        <w:t>ST</w:t>
      </w:r>
      <w:r w:rsidRPr="00275002">
        <w:rPr>
          <w:rFonts w:ascii="Times New Roman" w:hAnsi="Times New Roman" w:cs="Times New Roman"/>
        </w:rPr>
        <w:t>-AIR (</w:t>
      </w:r>
      <w:r w:rsidRPr="00275002" w:rsidR="005A12BB">
        <w:rPr>
          <w:rFonts w:ascii="Times New Roman" w:hAnsi="Times New Roman" w:cs="Times New Roman"/>
        </w:rPr>
        <w:t>Dec</w:t>
      </w:r>
      <w:r w:rsidRPr="00275002" w:rsidR="00C7245A">
        <w:rPr>
          <w:rFonts w:ascii="Times New Roman" w:hAnsi="Times New Roman" w:cs="Times New Roman"/>
        </w:rPr>
        <w:t>ember</w:t>
      </w:r>
      <w:r w:rsidRPr="00275002" w:rsidR="005A12BB">
        <w:rPr>
          <w:rFonts w:ascii="Times New Roman" w:hAnsi="Times New Roman" w:cs="Times New Roman"/>
        </w:rPr>
        <w:t xml:space="preserve"> 20, 2022</w:t>
      </w:r>
      <w:r w:rsidRPr="00275002">
        <w:rPr>
          <w:rFonts w:ascii="Times New Roman" w:hAnsi="Times New Roman" w:cs="Times New Roman"/>
        </w:rPr>
        <w:t>).</w:t>
      </w:r>
    </w:p>
  </w:footnote>
  <w:footnote w:id="3">
    <w:p w:rsidR="0020009A" w:rsidRPr="00275002" w:rsidP="00275002" w14:paraId="51D551AA" w14:textId="0BE6FBB5">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Pr>
          <w:rFonts w:ascii="Times New Roman" w:hAnsi="Times New Roman" w:cs="Times New Roman"/>
          <w:i/>
          <w:iCs/>
        </w:rPr>
        <w:t xml:space="preserve">See </w:t>
      </w:r>
      <w:r w:rsidRPr="00275002" w:rsidR="00786026">
        <w:rPr>
          <w:rFonts w:ascii="Times New Roman" w:hAnsi="Times New Roman" w:cs="Times New Roman"/>
          <w:i/>
          <w:iCs/>
        </w:rPr>
        <w:t xml:space="preserve">In the Matter of the Application of Aqua Ohio, </w:t>
      </w:r>
      <w:r w:rsidRPr="00275002" w:rsidR="008B554C">
        <w:rPr>
          <w:rFonts w:ascii="Times New Roman" w:hAnsi="Times New Roman" w:cs="Times New Roman"/>
          <w:i/>
          <w:iCs/>
        </w:rPr>
        <w:t xml:space="preserve">Wastewater, </w:t>
      </w:r>
      <w:r w:rsidRPr="00275002" w:rsidR="00786026">
        <w:rPr>
          <w:rFonts w:ascii="Times New Roman" w:hAnsi="Times New Roman" w:cs="Times New Roman"/>
          <w:i/>
          <w:iCs/>
        </w:rPr>
        <w:t>Inc. to Increase its Rates and Charges for its Wa</w:t>
      </w:r>
      <w:r w:rsidRPr="00275002" w:rsidR="008B554C">
        <w:rPr>
          <w:rFonts w:ascii="Times New Roman" w:hAnsi="Times New Roman" w:cs="Times New Roman"/>
          <w:i/>
          <w:iCs/>
        </w:rPr>
        <w:t>stewater</w:t>
      </w:r>
      <w:r w:rsidRPr="00275002" w:rsidR="00786026">
        <w:rPr>
          <w:rFonts w:ascii="Times New Roman" w:hAnsi="Times New Roman" w:cs="Times New Roman"/>
          <w:i/>
          <w:iCs/>
        </w:rPr>
        <w:t xml:space="preserve"> Services</w:t>
      </w:r>
      <w:r w:rsidRPr="00275002" w:rsidR="00786026">
        <w:rPr>
          <w:rFonts w:ascii="Times New Roman" w:hAnsi="Times New Roman" w:cs="Times New Roman"/>
        </w:rPr>
        <w:t>, Case No. 21-</w:t>
      </w:r>
      <w:r w:rsidRPr="00275002" w:rsidR="009347DF">
        <w:rPr>
          <w:rFonts w:ascii="Times New Roman" w:hAnsi="Times New Roman" w:cs="Times New Roman"/>
        </w:rPr>
        <w:t>59</w:t>
      </w:r>
      <w:r w:rsidRPr="00275002" w:rsidR="008B554C">
        <w:rPr>
          <w:rFonts w:ascii="Times New Roman" w:hAnsi="Times New Roman" w:cs="Times New Roman"/>
        </w:rPr>
        <w:t>6</w:t>
      </w:r>
      <w:r w:rsidRPr="00275002" w:rsidR="009347DF">
        <w:rPr>
          <w:rFonts w:ascii="Times New Roman" w:hAnsi="Times New Roman" w:cs="Times New Roman"/>
        </w:rPr>
        <w:t>-</w:t>
      </w:r>
      <w:r w:rsidRPr="00275002" w:rsidR="008B554C">
        <w:rPr>
          <w:rFonts w:ascii="Times New Roman" w:hAnsi="Times New Roman" w:cs="Times New Roman"/>
        </w:rPr>
        <w:t>ST</w:t>
      </w:r>
      <w:r w:rsidRPr="00275002" w:rsidR="009347DF">
        <w:rPr>
          <w:rFonts w:ascii="Times New Roman" w:hAnsi="Times New Roman" w:cs="Times New Roman"/>
        </w:rPr>
        <w:t>-AIR, Opinion and Order (September 21, 2022).</w:t>
      </w:r>
    </w:p>
  </w:footnote>
  <w:footnote w:id="4">
    <w:p w:rsidR="00D914BB" w:rsidRPr="00275002" w:rsidP="00275002" w14:paraId="57EAD067" w14:textId="3BA5EEE6">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sidR="00567181">
        <w:rPr>
          <w:rFonts w:ascii="Times New Roman" w:hAnsi="Times New Roman" w:cs="Times New Roman"/>
        </w:rPr>
        <w:t>A Report by the Staff of the Public Utilities Commission of Ohio, Case No. 22-109</w:t>
      </w:r>
      <w:r w:rsidRPr="00275002" w:rsidR="008B554C">
        <w:rPr>
          <w:rFonts w:ascii="Times New Roman" w:hAnsi="Times New Roman" w:cs="Times New Roman"/>
        </w:rPr>
        <w:t>6</w:t>
      </w:r>
      <w:r w:rsidRPr="00275002" w:rsidR="00567181">
        <w:rPr>
          <w:rFonts w:ascii="Times New Roman" w:hAnsi="Times New Roman" w:cs="Times New Roman"/>
        </w:rPr>
        <w:t>-</w:t>
      </w:r>
      <w:r w:rsidRPr="00275002" w:rsidR="008B554C">
        <w:rPr>
          <w:rFonts w:ascii="Times New Roman" w:hAnsi="Times New Roman" w:cs="Times New Roman"/>
        </w:rPr>
        <w:t>ST</w:t>
      </w:r>
      <w:r w:rsidRPr="00275002" w:rsidR="00567181">
        <w:rPr>
          <w:rFonts w:ascii="Times New Roman" w:hAnsi="Times New Roman" w:cs="Times New Roman"/>
        </w:rPr>
        <w:t xml:space="preserve">-AIR (July 13, 2023) (“Staff Report”), and </w:t>
      </w:r>
      <w:r w:rsidRPr="00275002">
        <w:rPr>
          <w:rFonts w:ascii="Times New Roman" w:hAnsi="Times New Roman" w:cs="Times New Roman"/>
        </w:rPr>
        <w:t>Audit of the Application to Increase Rates of Aqua Ohio Wastewater, Inc. for the Period J</w:t>
      </w:r>
      <w:r w:rsidRPr="00275002" w:rsidR="00711C95">
        <w:rPr>
          <w:rFonts w:ascii="Times New Roman" w:hAnsi="Times New Roman" w:cs="Times New Roman"/>
        </w:rPr>
        <w:t>uly 1</w:t>
      </w:r>
      <w:r w:rsidRPr="00275002">
        <w:rPr>
          <w:rFonts w:ascii="Times New Roman" w:hAnsi="Times New Roman" w:cs="Times New Roman"/>
        </w:rPr>
        <w:t>, 202</w:t>
      </w:r>
      <w:r w:rsidRPr="00275002" w:rsidR="00711C95">
        <w:rPr>
          <w:rFonts w:ascii="Times New Roman" w:hAnsi="Times New Roman" w:cs="Times New Roman"/>
        </w:rPr>
        <w:t>2</w:t>
      </w:r>
      <w:r w:rsidRPr="00275002">
        <w:rPr>
          <w:rFonts w:ascii="Times New Roman" w:hAnsi="Times New Roman" w:cs="Times New Roman"/>
        </w:rPr>
        <w:t xml:space="preserve"> through </w:t>
      </w:r>
      <w:r w:rsidRPr="00275002" w:rsidR="00711C95">
        <w:rPr>
          <w:rFonts w:ascii="Times New Roman" w:hAnsi="Times New Roman" w:cs="Times New Roman"/>
        </w:rPr>
        <w:t>June 30</w:t>
      </w:r>
      <w:r w:rsidRPr="00275002">
        <w:rPr>
          <w:rFonts w:ascii="Times New Roman" w:hAnsi="Times New Roman" w:cs="Times New Roman"/>
        </w:rPr>
        <w:t>, 202</w:t>
      </w:r>
      <w:r w:rsidRPr="00275002" w:rsidR="00711C95">
        <w:rPr>
          <w:rFonts w:ascii="Times New Roman" w:hAnsi="Times New Roman" w:cs="Times New Roman"/>
        </w:rPr>
        <w:t>3</w:t>
      </w:r>
      <w:r w:rsidRPr="00275002">
        <w:rPr>
          <w:rFonts w:ascii="Times New Roman" w:hAnsi="Times New Roman" w:cs="Times New Roman"/>
        </w:rPr>
        <w:t xml:space="preserve"> (“Audit Report”), </w:t>
      </w:r>
      <w:r w:rsidRPr="00275002" w:rsidR="00711C95">
        <w:rPr>
          <w:rFonts w:ascii="Times New Roman" w:hAnsi="Times New Roman" w:cs="Times New Roman"/>
        </w:rPr>
        <w:t>Exhibit L</w:t>
      </w:r>
      <w:r w:rsidRPr="00275002">
        <w:rPr>
          <w:rFonts w:ascii="Times New Roman" w:hAnsi="Times New Roman" w:cs="Times New Roman"/>
        </w:rPr>
        <w:t>A</w:t>
      </w:r>
      <w:r w:rsidRPr="00275002" w:rsidR="00711C95">
        <w:rPr>
          <w:rFonts w:ascii="Times New Roman" w:hAnsi="Times New Roman" w:cs="Times New Roman"/>
        </w:rPr>
        <w:t>-</w:t>
      </w:r>
      <w:r w:rsidRPr="00275002" w:rsidR="00C75C85">
        <w:rPr>
          <w:rFonts w:ascii="Times New Roman" w:hAnsi="Times New Roman" w:cs="Times New Roman"/>
        </w:rPr>
        <w:t>2</w:t>
      </w:r>
      <w:r w:rsidRPr="00275002">
        <w:rPr>
          <w:rFonts w:ascii="Times New Roman" w:hAnsi="Times New Roman" w:cs="Times New Roman"/>
        </w:rPr>
        <w:t>, Case No. 2</w:t>
      </w:r>
      <w:r w:rsidRPr="00275002" w:rsidR="00711C95">
        <w:rPr>
          <w:rFonts w:ascii="Times New Roman" w:hAnsi="Times New Roman" w:cs="Times New Roman"/>
        </w:rPr>
        <w:t>2</w:t>
      </w:r>
      <w:r w:rsidRPr="00275002">
        <w:rPr>
          <w:rFonts w:ascii="Times New Roman" w:hAnsi="Times New Roman" w:cs="Times New Roman"/>
        </w:rPr>
        <w:t>-</w:t>
      </w:r>
      <w:r w:rsidRPr="00275002" w:rsidR="00711C95">
        <w:rPr>
          <w:rFonts w:ascii="Times New Roman" w:hAnsi="Times New Roman" w:cs="Times New Roman"/>
        </w:rPr>
        <w:t>109</w:t>
      </w:r>
      <w:r w:rsidRPr="00275002" w:rsidR="00C75C85">
        <w:rPr>
          <w:rFonts w:ascii="Times New Roman" w:hAnsi="Times New Roman" w:cs="Times New Roman"/>
        </w:rPr>
        <w:t>6</w:t>
      </w:r>
      <w:r w:rsidRPr="00275002">
        <w:rPr>
          <w:rFonts w:ascii="Times New Roman" w:hAnsi="Times New Roman" w:cs="Times New Roman"/>
        </w:rPr>
        <w:t>-</w:t>
      </w:r>
      <w:r w:rsidRPr="00275002" w:rsidR="00C75C85">
        <w:rPr>
          <w:rFonts w:ascii="Times New Roman" w:hAnsi="Times New Roman" w:cs="Times New Roman"/>
        </w:rPr>
        <w:t>ST</w:t>
      </w:r>
      <w:r w:rsidRPr="00275002">
        <w:rPr>
          <w:rFonts w:ascii="Times New Roman" w:hAnsi="Times New Roman" w:cs="Times New Roman"/>
        </w:rPr>
        <w:t>-AIR (</w:t>
      </w:r>
      <w:r w:rsidRPr="00275002" w:rsidR="00711C95">
        <w:rPr>
          <w:rFonts w:ascii="Times New Roman" w:hAnsi="Times New Roman" w:cs="Times New Roman"/>
        </w:rPr>
        <w:t>July 13</w:t>
      </w:r>
      <w:r w:rsidRPr="00275002">
        <w:rPr>
          <w:rFonts w:ascii="Times New Roman" w:hAnsi="Times New Roman" w:cs="Times New Roman"/>
        </w:rPr>
        <w:t>, 202</w:t>
      </w:r>
      <w:r w:rsidRPr="00275002" w:rsidR="00711C95">
        <w:rPr>
          <w:rFonts w:ascii="Times New Roman" w:hAnsi="Times New Roman" w:cs="Times New Roman"/>
        </w:rPr>
        <w:t>3</w:t>
      </w:r>
      <w:r w:rsidRPr="00275002">
        <w:rPr>
          <w:rFonts w:ascii="Times New Roman" w:hAnsi="Times New Roman" w:cs="Times New Roman"/>
        </w:rPr>
        <w:t>).</w:t>
      </w:r>
    </w:p>
  </w:footnote>
  <w:footnote w:id="5">
    <w:p w:rsidR="00503BD4" w:rsidRPr="00275002" w:rsidP="00275002" w14:paraId="4D53A989" w14:textId="5554A732">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PUCO Staff Report, at 8.</w:t>
      </w:r>
    </w:p>
  </w:footnote>
  <w:footnote w:id="6">
    <w:p w:rsidR="00E10886" w:rsidRPr="00275002" w:rsidP="00275002" w14:paraId="51285D6C" w14:textId="77777777">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PUCO Staff Report, at 8.</w:t>
      </w:r>
    </w:p>
  </w:footnote>
  <w:footnote w:id="7">
    <w:p w:rsidR="00FD0E10" w:rsidRPr="00275002" w:rsidP="00275002" w14:paraId="06F2FBF7" w14:textId="11D13A17">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Larkin Audit Report, Case No. 22-109</w:t>
      </w:r>
      <w:r w:rsidRPr="00275002" w:rsidR="00AA1872">
        <w:rPr>
          <w:rFonts w:ascii="Times New Roman" w:hAnsi="Times New Roman" w:cs="Times New Roman"/>
        </w:rPr>
        <w:t>6</w:t>
      </w:r>
      <w:r w:rsidRPr="00275002">
        <w:rPr>
          <w:rFonts w:ascii="Times New Roman" w:hAnsi="Times New Roman" w:cs="Times New Roman"/>
        </w:rPr>
        <w:t>-</w:t>
      </w:r>
      <w:r w:rsidRPr="00275002" w:rsidR="00AA1872">
        <w:rPr>
          <w:rFonts w:ascii="Times New Roman" w:hAnsi="Times New Roman" w:cs="Times New Roman"/>
        </w:rPr>
        <w:t>ST</w:t>
      </w:r>
      <w:r w:rsidRPr="00275002">
        <w:rPr>
          <w:rFonts w:ascii="Times New Roman" w:hAnsi="Times New Roman" w:cs="Times New Roman"/>
        </w:rPr>
        <w:t>-AIR, dated July 13, 2023, page 5-</w:t>
      </w:r>
      <w:r w:rsidRPr="00275002" w:rsidR="00AA1872">
        <w:rPr>
          <w:rFonts w:ascii="Times New Roman" w:hAnsi="Times New Roman" w:cs="Times New Roman"/>
        </w:rPr>
        <w:t>17</w:t>
      </w:r>
      <w:r w:rsidRPr="00275002">
        <w:rPr>
          <w:rFonts w:ascii="Times New Roman" w:hAnsi="Times New Roman" w:cs="Times New Roman"/>
        </w:rPr>
        <w:t>.</w:t>
      </w:r>
    </w:p>
  </w:footnote>
  <w:footnote w:id="8">
    <w:p w:rsidR="006A70BC" w:rsidRPr="00275002" w:rsidP="00275002" w14:paraId="7D870004" w14:textId="7E66E9B6">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Larkin Audit Report, Case No. 22-109</w:t>
      </w:r>
      <w:r w:rsidRPr="00275002" w:rsidR="001F208C">
        <w:rPr>
          <w:rFonts w:ascii="Times New Roman" w:hAnsi="Times New Roman" w:cs="Times New Roman"/>
        </w:rPr>
        <w:t>6</w:t>
      </w:r>
      <w:r w:rsidRPr="00275002">
        <w:rPr>
          <w:rFonts w:ascii="Times New Roman" w:hAnsi="Times New Roman" w:cs="Times New Roman"/>
        </w:rPr>
        <w:t>-</w:t>
      </w:r>
      <w:r w:rsidRPr="00275002" w:rsidR="001F208C">
        <w:rPr>
          <w:rFonts w:ascii="Times New Roman" w:hAnsi="Times New Roman" w:cs="Times New Roman"/>
        </w:rPr>
        <w:t>ST</w:t>
      </w:r>
      <w:r w:rsidRPr="00275002">
        <w:rPr>
          <w:rFonts w:ascii="Times New Roman" w:hAnsi="Times New Roman" w:cs="Times New Roman"/>
        </w:rPr>
        <w:t>-AIR, dated July 13, 2023, page 5-</w:t>
      </w:r>
      <w:r w:rsidRPr="00275002" w:rsidR="001F208C">
        <w:rPr>
          <w:rFonts w:ascii="Times New Roman" w:hAnsi="Times New Roman" w:cs="Times New Roman"/>
        </w:rPr>
        <w:t>17</w:t>
      </w:r>
      <w:r w:rsidRPr="00275002">
        <w:rPr>
          <w:rFonts w:ascii="Times New Roman" w:hAnsi="Times New Roman" w:cs="Times New Roman"/>
        </w:rPr>
        <w:t>.</w:t>
      </w:r>
    </w:p>
  </w:footnote>
  <w:footnote w:id="9">
    <w:p w:rsidR="00151C2E" w:rsidRPr="00275002" w:rsidP="00275002" w14:paraId="53045FEF" w14:textId="2ACCD24F">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w:t>
      </w:r>
      <w:r w:rsidRPr="00275002" w:rsidR="009479F7">
        <w:rPr>
          <w:rFonts w:ascii="Times New Roman" w:hAnsi="Times New Roman" w:cs="Times New Roman"/>
        </w:rPr>
        <w:t xml:space="preserve"> 6, referencing Larkin Audit Report, Exhibit LA-</w:t>
      </w:r>
      <w:r w:rsidRPr="00275002" w:rsidR="003B4593">
        <w:rPr>
          <w:rFonts w:ascii="Times New Roman" w:hAnsi="Times New Roman" w:cs="Times New Roman"/>
        </w:rPr>
        <w:t>2</w:t>
      </w:r>
      <w:r w:rsidRPr="00275002" w:rsidR="009479F7">
        <w:rPr>
          <w:rFonts w:ascii="Times New Roman" w:hAnsi="Times New Roman" w:cs="Times New Roman"/>
        </w:rPr>
        <w:t>, at 1.</w:t>
      </w:r>
    </w:p>
  </w:footnote>
  <w:footnote w:id="10">
    <w:p w:rsidR="00742D02" w:rsidRPr="00275002" w:rsidP="00275002" w14:paraId="1DCACB47" w14:textId="53102F80">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Larkin Audit Report at page 1-1.</w:t>
      </w:r>
    </w:p>
  </w:footnote>
  <w:footnote w:id="11">
    <w:p w:rsidR="00742D02" w:rsidRPr="00275002" w:rsidP="00275002" w14:paraId="7F8D8D71" w14:textId="2EFB2E26">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Larkin Audit Report at page 3-1.</w:t>
      </w:r>
    </w:p>
  </w:footnote>
  <w:footnote w:id="12">
    <w:p w:rsidR="00F3266D" w:rsidRPr="00275002" w:rsidP="00275002" w14:paraId="7AA91EBB" w14:textId="1F9B94BB">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w:t>
      </w:r>
      <w:r w:rsidRPr="00275002" w:rsidR="00B76ED6">
        <w:rPr>
          <w:rFonts w:ascii="Times New Roman" w:hAnsi="Times New Roman" w:cs="Times New Roman"/>
        </w:rPr>
        <w:t>8</w:t>
      </w:r>
      <w:r w:rsidRPr="00275002">
        <w:rPr>
          <w:rFonts w:ascii="Times New Roman" w:hAnsi="Times New Roman" w:cs="Times New Roman"/>
        </w:rPr>
        <w:t>.</w:t>
      </w:r>
    </w:p>
  </w:footnote>
  <w:footnote w:id="13">
    <w:p w:rsidR="00B76ED6" w:rsidRPr="00275002" w:rsidP="00275002" w14:paraId="11519EE8" w14:textId="7CED7F7E">
      <w:pPr>
        <w:spacing w:after="120" w:line="240" w:lineRule="auto"/>
        <w:rPr>
          <w:rFonts w:ascii="Times New Roman" w:hAnsi="Times New Roman" w:cs="Times New Roman"/>
          <w:sz w:val="20"/>
          <w:szCs w:val="20"/>
        </w:rPr>
      </w:pPr>
      <w:r w:rsidRPr="00275002">
        <w:rPr>
          <w:rStyle w:val="FootnoteReference"/>
          <w:rFonts w:ascii="Times New Roman" w:hAnsi="Times New Roman" w:cs="Times New Roman"/>
          <w:sz w:val="20"/>
          <w:szCs w:val="20"/>
        </w:rPr>
        <w:footnoteRef/>
      </w:r>
      <w:r w:rsidRPr="00275002">
        <w:rPr>
          <w:rFonts w:ascii="Times New Roman" w:hAnsi="Times New Roman" w:cs="Times New Roman"/>
          <w:sz w:val="20"/>
          <w:szCs w:val="20"/>
        </w:rPr>
        <w:t xml:space="preserve"> Direct </w:t>
      </w:r>
      <w:r w:rsidRPr="00275002" w:rsidR="001C5628">
        <w:rPr>
          <w:rFonts w:ascii="Times New Roman" w:hAnsi="Times New Roman" w:cs="Times New Roman"/>
          <w:sz w:val="20"/>
          <w:szCs w:val="20"/>
        </w:rPr>
        <w:t>T</w:t>
      </w:r>
      <w:r w:rsidRPr="00275002">
        <w:rPr>
          <w:rFonts w:ascii="Times New Roman" w:hAnsi="Times New Roman" w:cs="Times New Roman"/>
          <w:sz w:val="20"/>
          <w:szCs w:val="20"/>
        </w:rPr>
        <w:t xml:space="preserve">estimony of Zhen Zhu, Case No. </w:t>
      </w:r>
      <w:r w:rsidRPr="00275002">
        <w:rPr>
          <w:rFonts w:ascii="Times New Roman" w:hAnsi="Times New Roman" w:eastAsiaTheme="minorHAnsi" w:cs="Times New Roman"/>
          <w:kern w:val="0"/>
          <w:sz w:val="20"/>
          <w:szCs w:val="20"/>
          <w:lang w:eastAsia="en-US"/>
          <w14:ligatures w14:val="none"/>
        </w:rPr>
        <w:t xml:space="preserve">No 22-1094-WW-AIR, 22-1096-ST-AIR (August </w:t>
      </w:r>
      <w:r w:rsidRPr="00275002" w:rsidR="000525B9">
        <w:rPr>
          <w:rFonts w:ascii="Times New Roman" w:hAnsi="Times New Roman" w:eastAsiaTheme="minorHAnsi" w:cs="Times New Roman"/>
          <w:kern w:val="0"/>
          <w:sz w:val="20"/>
          <w:szCs w:val="20"/>
          <w:lang w:eastAsia="en-US"/>
          <w14:ligatures w14:val="none"/>
        </w:rPr>
        <w:t>16</w:t>
      </w:r>
      <w:r w:rsidRPr="00275002">
        <w:rPr>
          <w:rFonts w:ascii="Times New Roman" w:hAnsi="Times New Roman" w:eastAsiaTheme="minorHAnsi" w:cs="Times New Roman"/>
          <w:kern w:val="0"/>
          <w:sz w:val="20"/>
          <w:szCs w:val="20"/>
          <w:lang w:eastAsia="en-US"/>
          <w14:ligatures w14:val="none"/>
        </w:rPr>
        <w:t>, 2023).</w:t>
      </w:r>
      <w:r w:rsidRPr="00275002" w:rsidR="00AE4F81">
        <w:rPr>
          <w:rFonts w:ascii="Times New Roman" w:hAnsi="Times New Roman" w:eastAsiaTheme="minorHAnsi" w:cs="Times New Roman"/>
          <w:kern w:val="0"/>
          <w:sz w:val="20"/>
          <w:szCs w:val="20"/>
          <w:lang w:eastAsia="en-US"/>
          <w14:ligatures w14:val="none"/>
        </w:rPr>
        <w:t xml:space="preserve"> (Zhu </w:t>
      </w:r>
      <w:r w:rsidRPr="00275002" w:rsidR="001C5628">
        <w:rPr>
          <w:rFonts w:ascii="Times New Roman" w:hAnsi="Times New Roman" w:eastAsiaTheme="minorHAnsi" w:cs="Times New Roman"/>
          <w:kern w:val="0"/>
          <w:sz w:val="20"/>
          <w:szCs w:val="20"/>
          <w:lang w:eastAsia="en-US"/>
          <w14:ligatures w14:val="none"/>
        </w:rPr>
        <w:t xml:space="preserve">Direct </w:t>
      </w:r>
      <w:r w:rsidRPr="00275002" w:rsidR="00AE4F81">
        <w:rPr>
          <w:rFonts w:ascii="Times New Roman" w:hAnsi="Times New Roman" w:eastAsiaTheme="minorHAnsi" w:cs="Times New Roman"/>
          <w:kern w:val="0"/>
          <w:sz w:val="20"/>
          <w:szCs w:val="20"/>
          <w:lang w:eastAsia="en-US"/>
          <w14:ligatures w14:val="none"/>
        </w:rPr>
        <w:t>Testimony)</w:t>
      </w:r>
      <w:r w:rsidRPr="00275002" w:rsidR="00F44829">
        <w:rPr>
          <w:rFonts w:ascii="Times New Roman" w:hAnsi="Times New Roman" w:eastAsiaTheme="minorHAnsi" w:cs="Times New Roman"/>
          <w:kern w:val="0"/>
          <w:sz w:val="20"/>
          <w:szCs w:val="20"/>
          <w:lang w:eastAsia="en-US"/>
          <w14:ligatures w14:val="none"/>
        </w:rPr>
        <w:t>.</w:t>
      </w:r>
    </w:p>
  </w:footnote>
  <w:footnote w:id="14">
    <w:p w:rsidR="00F3266D" w:rsidRPr="00275002" w:rsidP="00275002" w14:paraId="450CE3F8" w14:textId="1781BE03">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w:t>
      </w:r>
      <w:r w:rsidRPr="00275002" w:rsidR="00B76ED6">
        <w:rPr>
          <w:rFonts w:ascii="Times New Roman" w:hAnsi="Times New Roman" w:cs="Times New Roman"/>
        </w:rPr>
        <w:t>11</w:t>
      </w:r>
      <w:r w:rsidRPr="00275002">
        <w:rPr>
          <w:rFonts w:ascii="Times New Roman" w:hAnsi="Times New Roman" w:cs="Times New Roman"/>
        </w:rPr>
        <w:t>.</w:t>
      </w:r>
    </w:p>
  </w:footnote>
  <w:footnote w:id="15">
    <w:p w:rsidR="00F3266D" w:rsidRPr="00275002" w:rsidP="00275002" w14:paraId="1A927AA3" w14:textId="023F0FA3">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Pr>
          <w:rFonts w:ascii="Times New Roman" w:hAnsi="Times New Roman" w:cs="Times New Roman"/>
          <w:i/>
          <w:iCs/>
        </w:rPr>
        <w:t>See</w:t>
      </w:r>
      <w:r w:rsidRPr="00275002">
        <w:rPr>
          <w:rFonts w:ascii="Times New Roman" w:hAnsi="Times New Roman" w:cs="Times New Roman"/>
        </w:rPr>
        <w:t xml:space="preserve">, </w:t>
      </w:r>
      <w:r w:rsidRPr="00275002" w:rsidR="00AE4F81">
        <w:rPr>
          <w:rFonts w:ascii="Times New Roman" w:hAnsi="Times New Roman" w:cs="Times New Roman"/>
        </w:rPr>
        <w:t>Zhu Testimon</w:t>
      </w:r>
      <w:r w:rsidRPr="00275002" w:rsidR="005F5374">
        <w:rPr>
          <w:rFonts w:ascii="Times New Roman" w:hAnsi="Times New Roman" w:cs="Times New Roman"/>
        </w:rPr>
        <w:t>y, a</w:t>
      </w:r>
      <w:r w:rsidRPr="00275002" w:rsidR="00B76ED6">
        <w:rPr>
          <w:rFonts w:ascii="Times New Roman" w:hAnsi="Times New Roman" w:cs="Times New Roman"/>
        </w:rPr>
        <w:t>nd Exhibit 10</w:t>
      </w:r>
      <w:r w:rsidRPr="00275002" w:rsidR="00AE4F81">
        <w:rPr>
          <w:rFonts w:ascii="Times New Roman" w:hAnsi="Times New Roman" w:cs="Times New Roman"/>
        </w:rPr>
        <w:t>.</w:t>
      </w:r>
    </w:p>
  </w:footnote>
  <w:footnote w:id="16">
    <w:p w:rsidR="000A6A64" w:rsidRPr="00275002" w:rsidP="00275002" w14:paraId="0F7DAF0D" w14:textId="05E203CB">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10</w:t>
      </w:r>
      <w:r w:rsidRPr="00275002" w:rsidR="000525B9">
        <w:rPr>
          <w:rFonts w:ascii="Times New Roman" w:hAnsi="Times New Roman" w:cs="Times New Roman"/>
        </w:rPr>
        <w:t>-11</w:t>
      </w:r>
      <w:r w:rsidRPr="00275002">
        <w:rPr>
          <w:rFonts w:ascii="Times New Roman" w:hAnsi="Times New Roman" w:cs="Times New Roman"/>
        </w:rPr>
        <w:t>.</w:t>
      </w:r>
    </w:p>
  </w:footnote>
  <w:footnote w:id="17">
    <w:p w:rsidR="000A6A64" w:rsidRPr="00275002" w:rsidP="00275002" w14:paraId="6D257059" w14:textId="6CEA5E8E">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10</w:t>
      </w:r>
      <w:r w:rsidRPr="00275002" w:rsidR="000525B9">
        <w:rPr>
          <w:rFonts w:ascii="Times New Roman" w:hAnsi="Times New Roman" w:cs="Times New Roman"/>
        </w:rPr>
        <w:t>-11</w:t>
      </w:r>
      <w:r w:rsidRPr="00275002">
        <w:rPr>
          <w:rFonts w:ascii="Times New Roman" w:hAnsi="Times New Roman" w:cs="Times New Roman"/>
        </w:rPr>
        <w:t xml:space="preserve">. </w:t>
      </w:r>
    </w:p>
  </w:footnote>
  <w:footnote w:id="18">
    <w:p w:rsidR="000A6A64" w:rsidRPr="00275002" w:rsidP="00275002" w14:paraId="7FBA2EB9" w14:textId="77777777">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Pr>
          <w:rFonts w:ascii="Times New Roman" w:hAnsi="Times New Roman" w:cs="Times New Roman"/>
          <w:i/>
          <w:iCs/>
        </w:rPr>
        <w:t>Ibid</w:t>
      </w:r>
      <w:r w:rsidRPr="00275002">
        <w:rPr>
          <w:rFonts w:ascii="Times New Roman" w:hAnsi="Times New Roman" w:cs="Times New Roman"/>
        </w:rPr>
        <w:t>, Staff Schedule D-1.11.</w:t>
      </w:r>
    </w:p>
  </w:footnote>
  <w:footnote w:id="19">
    <w:p w:rsidR="00AE4F81" w:rsidRPr="00275002" w:rsidP="00275002" w14:paraId="38A80594" w14:textId="549DE9DC">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Zhu Testimony, at </w:t>
      </w:r>
      <w:r w:rsidRPr="00275002" w:rsidR="009F3E18">
        <w:rPr>
          <w:rFonts w:ascii="Times New Roman" w:hAnsi="Times New Roman" w:cs="Times New Roman"/>
        </w:rPr>
        <w:t>50</w:t>
      </w:r>
      <w:r w:rsidRPr="00275002">
        <w:rPr>
          <w:rFonts w:ascii="Times New Roman" w:hAnsi="Times New Roman" w:cs="Times New Roman"/>
        </w:rPr>
        <w:t xml:space="preserve">. </w:t>
      </w:r>
    </w:p>
  </w:footnote>
  <w:footnote w:id="20">
    <w:p w:rsidR="00F3266D" w:rsidRPr="00275002" w:rsidP="00275002" w14:paraId="00777504" w14:textId="016E07BB">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w:t>
      </w:r>
      <w:r w:rsidRPr="00275002" w:rsidR="00AE4F81">
        <w:rPr>
          <w:rFonts w:ascii="Times New Roman" w:hAnsi="Times New Roman" w:cs="Times New Roman"/>
        </w:rPr>
        <w:t>10</w:t>
      </w:r>
      <w:r w:rsidRPr="00275002">
        <w:rPr>
          <w:rFonts w:ascii="Times New Roman" w:hAnsi="Times New Roman" w:cs="Times New Roman"/>
        </w:rPr>
        <w:t>.</w:t>
      </w:r>
    </w:p>
  </w:footnote>
  <w:footnote w:id="21">
    <w:p w:rsidR="00AE4F81" w:rsidRPr="00275002" w:rsidP="00275002" w14:paraId="55B1D2A1" w14:textId="4B0969FE">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Zhu Direct Testimony at </w:t>
      </w:r>
      <w:r w:rsidRPr="00275002" w:rsidR="009F3E18">
        <w:rPr>
          <w:rFonts w:ascii="Times New Roman" w:hAnsi="Times New Roman" w:cs="Times New Roman"/>
        </w:rPr>
        <w:t>51.</w:t>
      </w:r>
    </w:p>
  </w:footnote>
  <w:footnote w:id="22">
    <w:p w:rsidR="00AE4F81" w:rsidRPr="00275002" w:rsidP="00275002" w14:paraId="20EE1CDC" w14:textId="1B7CB923">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sidR="00165615">
        <w:rPr>
          <w:rFonts w:ascii="Times New Roman" w:hAnsi="Times New Roman" w:cs="Times New Roman"/>
          <w:i/>
          <w:iCs/>
        </w:rPr>
        <w:t xml:space="preserve">See </w:t>
      </w:r>
      <w:r w:rsidRPr="00275002" w:rsidR="00165615">
        <w:rPr>
          <w:rFonts w:ascii="Times New Roman" w:hAnsi="Times New Roman" w:cs="Times New Roman"/>
        </w:rPr>
        <w:t>Case Nos.</w:t>
      </w:r>
      <w:r w:rsidRPr="00275002">
        <w:rPr>
          <w:rFonts w:ascii="Times New Roman" w:hAnsi="Times New Roman" w:cs="Times New Roman"/>
        </w:rPr>
        <w:t xml:space="preserve"> 21-0637-GA-AIR, </w:t>
      </w:r>
      <w:r w:rsidRPr="00275002" w:rsidR="00165615">
        <w:rPr>
          <w:rFonts w:ascii="Times New Roman" w:hAnsi="Times New Roman" w:cs="Times New Roman"/>
          <w:i/>
          <w:iCs/>
        </w:rPr>
        <w:t>et al.</w:t>
      </w:r>
      <w:r w:rsidRPr="00275002" w:rsidR="00755C57">
        <w:rPr>
          <w:rFonts w:ascii="Times New Roman" w:hAnsi="Times New Roman" w:cs="Times New Roman"/>
        </w:rPr>
        <w:t>, Staff Report</w:t>
      </w:r>
      <w:r w:rsidRPr="00275002">
        <w:rPr>
          <w:rFonts w:ascii="Times New Roman" w:hAnsi="Times New Roman" w:cs="Times New Roman"/>
        </w:rPr>
        <w:t xml:space="preserve"> </w:t>
      </w:r>
      <w:r w:rsidRPr="00275002" w:rsidR="00593E09">
        <w:rPr>
          <w:rFonts w:ascii="Times New Roman" w:hAnsi="Times New Roman" w:cs="Times New Roman"/>
        </w:rPr>
        <w:t xml:space="preserve">(April 6, </w:t>
      </w:r>
      <w:r w:rsidRPr="00275002">
        <w:rPr>
          <w:rFonts w:ascii="Times New Roman" w:hAnsi="Times New Roman" w:cs="Times New Roman"/>
        </w:rPr>
        <w:t>2022</w:t>
      </w:r>
      <w:r w:rsidRPr="00275002" w:rsidR="00593E09">
        <w:rPr>
          <w:rFonts w:ascii="Times New Roman" w:hAnsi="Times New Roman" w:cs="Times New Roman"/>
        </w:rPr>
        <w:t>), at</w:t>
      </w:r>
      <w:r w:rsidRPr="00275002">
        <w:rPr>
          <w:rFonts w:ascii="Times New Roman" w:hAnsi="Times New Roman" w:cs="Times New Roman"/>
        </w:rPr>
        <w:t xml:space="preserve"> p</w:t>
      </w:r>
      <w:r w:rsidRPr="00275002" w:rsidR="00593E09">
        <w:rPr>
          <w:rFonts w:ascii="Times New Roman" w:hAnsi="Times New Roman" w:cs="Times New Roman"/>
        </w:rPr>
        <w:t>.</w:t>
      </w:r>
      <w:r w:rsidRPr="00275002">
        <w:rPr>
          <w:rFonts w:ascii="Times New Roman" w:hAnsi="Times New Roman" w:cs="Times New Roman"/>
        </w:rPr>
        <w:t xml:space="preserve"> 26.</w:t>
      </w:r>
    </w:p>
  </w:footnote>
  <w:footnote w:id="23">
    <w:p w:rsidR="00FB24AF" w:rsidRPr="00275002" w:rsidP="00275002" w14:paraId="2A28938A" w14:textId="4688B47A">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10.</w:t>
      </w:r>
    </w:p>
  </w:footnote>
  <w:footnote w:id="24">
    <w:p w:rsidR="00CE6C33" w:rsidRPr="00275002" w:rsidP="00275002" w14:paraId="1704BA02" w14:textId="3E906EF4">
      <w:pPr>
        <w:pStyle w:val="FootnoteText"/>
        <w:spacing w:after="120"/>
        <w:rPr>
          <w:rFonts w:ascii="Times New Roman" w:hAnsi="Times New Roman" w:cs="Times New Roman"/>
        </w:rPr>
      </w:pPr>
      <w:r w:rsidRPr="00275002">
        <w:rPr>
          <w:rStyle w:val="FootnoteReference"/>
          <w:rFonts w:ascii="Times New Roman" w:eastAsia="Segoe UI" w:hAnsi="Times New Roman" w:cs="Times New Roman"/>
        </w:rPr>
        <w:footnoteRef/>
      </w:r>
      <w:r w:rsidRPr="00275002">
        <w:rPr>
          <w:rFonts w:ascii="Times New Roman" w:hAnsi="Times New Roman" w:cs="Times New Roman"/>
        </w:rPr>
        <w:t xml:space="preserve"> https://www.statista.com/statistics/664840/average-market-risk-premium-usa/</w:t>
      </w:r>
      <w:r w:rsidRPr="00275002" w:rsidR="006A70BC">
        <w:rPr>
          <w:rFonts w:ascii="Times New Roman" w:hAnsi="Times New Roman" w:cs="Times New Roman"/>
        </w:rPr>
        <w:t>.</w:t>
      </w:r>
    </w:p>
  </w:footnote>
  <w:footnote w:id="25">
    <w:p w:rsidR="00CE6C33" w:rsidRPr="00275002" w:rsidP="00275002" w14:paraId="2B608F82" w14:textId="77777777">
      <w:pPr>
        <w:pStyle w:val="FootnoteText"/>
        <w:spacing w:after="120"/>
        <w:rPr>
          <w:rFonts w:ascii="Times New Roman" w:hAnsi="Times New Roman" w:cs="Times New Roman"/>
        </w:rPr>
      </w:pPr>
      <w:r w:rsidRPr="00275002">
        <w:rPr>
          <w:rStyle w:val="FootnoteReference"/>
          <w:rFonts w:ascii="Times New Roman" w:eastAsia="Segoe UI" w:hAnsi="Times New Roman" w:cs="Times New Roman"/>
        </w:rPr>
        <w:footnoteRef/>
      </w:r>
      <w:r w:rsidRPr="00275002">
        <w:rPr>
          <w:rFonts w:ascii="Times New Roman" w:hAnsi="Times New Roman" w:cs="Times New Roman"/>
        </w:rPr>
        <w:t xml:space="preserve"> https://seekingalpha.com/article/4571595-data-update-2-for-2023-rocky-year-equities.</w:t>
      </w:r>
    </w:p>
  </w:footnote>
  <w:footnote w:id="26">
    <w:p w:rsidR="00CE6C33" w:rsidRPr="00275002" w:rsidP="00275002" w14:paraId="326E2B38" w14:textId="45FD6A12">
      <w:pPr>
        <w:pStyle w:val="FootnoteText"/>
        <w:spacing w:after="120"/>
        <w:rPr>
          <w:rFonts w:ascii="Times New Roman" w:hAnsi="Times New Roman" w:cs="Times New Roman"/>
        </w:rPr>
      </w:pPr>
      <w:r w:rsidRPr="00275002">
        <w:rPr>
          <w:rStyle w:val="FootnoteReference"/>
          <w:rFonts w:ascii="Times New Roman" w:eastAsia="Segoe UI" w:hAnsi="Times New Roman" w:cs="Times New Roman"/>
        </w:rPr>
        <w:footnoteRef/>
      </w:r>
      <w:r w:rsidRPr="00275002">
        <w:rPr>
          <w:rFonts w:ascii="Times New Roman" w:hAnsi="Times New Roman" w:cs="Times New Roman"/>
        </w:rPr>
        <w:t xml:space="preserve"> https://papers.ssrn.com/sol3/papers.cfm?abstract_id=4407839</w:t>
      </w:r>
      <w:r w:rsidRPr="00275002" w:rsidR="006A70BC">
        <w:rPr>
          <w:rFonts w:ascii="Times New Roman" w:hAnsi="Times New Roman" w:cs="Times New Roman"/>
        </w:rPr>
        <w:t>.</w:t>
      </w:r>
    </w:p>
  </w:footnote>
  <w:footnote w:id="27">
    <w:p w:rsidR="00CE6C33" w:rsidRPr="00275002" w:rsidP="00275002" w14:paraId="1B696F52" w14:textId="5FFA0E74">
      <w:pPr>
        <w:pStyle w:val="FootnoteText"/>
        <w:spacing w:after="120"/>
        <w:rPr>
          <w:rFonts w:ascii="Times New Roman" w:hAnsi="Times New Roman" w:cs="Times New Roman"/>
        </w:rPr>
      </w:pPr>
      <w:r w:rsidRPr="00275002">
        <w:rPr>
          <w:rStyle w:val="FootnoteReference"/>
          <w:rFonts w:ascii="Times New Roman" w:eastAsia="Segoe UI" w:hAnsi="Times New Roman" w:cs="Times New Roman"/>
          <w:color w:val="000000" w:themeColor="text1"/>
        </w:rPr>
        <w:footnoteRef/>
      </w:r>
      <w:r w:rsidRPr="00275002">
        <w:rPr>
          <w:rFonts w:ascii="Times New Roman" w:hAnsi="Times New Roman" w:cs="Times New Roman"/>
          <w:color w:val="000000" w:themeColor="text1"/>
        </w:rPr>
        <w:t xml:space="preserve"> </w:t>
      </w:r>
      <w:r w:rsidRPr="00275002">
        <w:rPr>
          <w:rFonts w:ascii="Times New Roman" w:hAnsi="Times New Roman" w:cs="Times New Roman"/>
        </w:rPr>
        <w:t>https://www.kroll.com/en/insights/publications/cost-of-capital</w:t>
      </w:r>
      <w:r w:rsidRPr="00275002" w:rsidR="006A70BC">
        <w:rPr>
          <w:rFonts w:ascii="Times New Roman" w:hAnsi="Times New Roman" w:cs="Times New Roman"/>
        </w:rPr>
        <w:t>.</w:t>
      </w:r>
    </w:p>
  </w:footnote>
  <w:footnote w:id="28">
    <w:p w:rsidR="00F3266D" w:rsidRPr="00275002" w:rsidP="00275002" w14:paraId="4F1A4289" w14:textId="5693DC8E">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Pr>
          <w:rFonts w:ascii="Times New Roman" w:hAnsi="Times New Roman" w:cs="Times New Roman"/>
          <w:i/>
          <w:iCs/>
        </w:rPr>
        <w:t>See</w:t>
      </w:r>
      <w:r w:rsidRPr="00275002">
        <w:rPr>
          <w:rFonts w:ascii="Times New Roman" w:hAnsi="Times New Roman" w:cs="Times New Roman"/>
        </w:rPr>
        <w:t xml:space="preserve"> Staff Report at </w:t>
      </w:r>
      <w:r w:rsidRPr="00275002" w:rsidR="00CE6C33">
        <w:rPr>
          <w:rFonts w:ascii="Times New Roman" w:hAnsi="Times New Roman" w:cs="Times New Roman"/>
        </w:rPr>
        <w:t>11</w:t>
      </w:r>
      <w:r w:rsidRPr="00275002">
        <w:rPr>
          <w:rFonts w:ascii="Times New Roman" w:hAnsi="Times New Roman" w:cs="Times New Roman"/>
        </w:rPr>
        <w:t>.</w:t>
      </w:r>
    </w:p>
  </w:footnote>
  <w:footnote w:id="29">
    <w:p w:rsidR="001F6A5B" w:rsidRPr="00275002" w:rsidP="00275002" w14:paraId="7064CF20" w14:textId="37AC2960">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Zhu Direct Testimony, Exhibit 10.</w:t>
      </w:r>
    </w:p>
  </w:footnote>
  <w:footnote w:id="30">
    <w:p w:rsidR="001F6A5B" w:rsidRPr="00275002" w:rsidP="00275002" w14:paraId="6C3D13F2" w14:textId="77777777">
      <w:pPr>
        <w:pStyle w:val="FootnoteText"/>
        <w:spacing w:after="120"/>
        <w:rPr>
          <w:rFonts w:ascii="Times New Roman" w:hAnsi="Times New Roman" w:cs="Times New Roman"/>
        </w:rPr>
      </w:pPr>
      <w:r w:rsidRPr="00275002">
        <w:rPr>
          <w:rStyle w:val="FootnoteReference"/>
          <w:rFonts w:ascii="Times New Roman" w:eastAsia="Segoe UI" w:hAnsi="Times New Roman" w:cs="Times New Roman"/>
        </w:rPr>
        <w:footnoteRef/>
      </w:r>
      <w:r w:rsidRPr="00275002">
        <w:rPr>
          <w:rFonts w:ascii="Times New Roman" w:hAnsi="Times New Roman" w:cs="Times New Roman"/>
        </w:rPr>
        <w:t xml:space="preserve"> FERC Opinion No. 569-A, Order on Rehearing, (Issued May 21, 2020). Para 117, page 51.</w:t>
      </w:r>
    </w:p>
  </w:footnote>
  <w:footnote w:id="31">
    <w:p w:rsidR="001F6A5B" w:rsidRPr="00275002" w:rsidP="00275002" w14:paraId="7E33098C" w14:textId="064AF97C">
      <w:pPr>
        <w:pStyle w:val="FootnoteText"/>
        <w:spacing w:after="120"/>
        <w:rPr>
          <w:rFonts w:ascii="Times New Roman" w:hAnsi="Times New Roman" w:cs="Times New Roman"/>
          <w:i/>
          <w:iCs/>
        </w:rPr>
      </w:pPr>
      <w:r w:rsidRPr="00275002">
        <w:rPr>
          <w:rStyle w:val="FootnoteReference"/>
          <w:rFonts w:ascii="Times New Roman" w:hAnsi="Times New Roman" w:cs="Times New Roman"/>
        </w:rPr>
        <w:footnoteRef/>
      </w:r>
      <w:r w:rsidRPr="00275002">
        <w:rPr>
          <w:rFonts w:ascii="Times New Roman" w:hAnsi="Times New Roman" w:cs="Times New Roman"/>
        </w:rPr>
        <w:t xml:space="preserve"> </w:t>
      </w:r>
      <w:r w:rsidRPr="00275002" w:rsidR="00593E09">
        <w:rPr>
          <w:rFonts w:ascii="Times New Roman" w:hAnsi="Times New Roman" w:cs="Times New Roman"/>
        </w:rPr>
        <w:t>PUCO</w:t>
      </w:r>
      <w:r w:rsidRPr="00275002">
        <w:rPr>
          <w:rFonts w:ascii="Times New Roman" w:hAnsi="Times New Roman" w:cs="Times New Roman"/>
        </w:rPr>
        <w:t xml:space="preserve"> Case Nos. 21-0637-GA-AIR,</w:t>
      </w:r>
      <w:r w:rsidRPr="00275002" w:rsidR="00593E09">
        <w:rPr>
          <w:rFonts w:ascii="Times New Roman" w:hAnsi="Times New Roman" w:cs="Times New Roman"/>
        </w:rPr>
        <w:t xml:space="preserve"> </w:t>
      </w:r>
      <w:r w:rsidRPr="00275002" w:rsidR="00593E09">
        <w:rPr>
          <w:rFonts w:ascii="Times New Roman" w:hAnsi="Times New Roman" w:cs="Times New Roman"/>
          <w:i/>
          <w:iCs/>
        </w:rPr>
        <w:t>et al.</w:t>
      </w:r>
    </w:p>
  </w:footnote>
  <w:footnote w:id="32">
    <w:p w:rsidR="00F3266D" w:rsidRPr="00275002" w:rsidP="00275002" w14:paraId="36150C32" w14:textId="43D83AFA">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w:t>
      </w:r>
      <w:r w:rsidRPr="00275002" w:rsidR="001F6A5B">
        <w:rPr>
          <w:rFonts w:ascii="Times New Roman" w:hAnsi="Times New Roman" w:cs="Times New Roman"/>
        </w:rPr>
        <w:t>11</w:t>
      </w:r>
      <w:r w:rsidRPr="00275002">
        <w:rPr>
          <w:rFonts w:ascii="Times New Roman" w:hAnsi="Times New Roman" w:cs="Times New Roman"/>
        </w:rPr>
        <w:t>.</w:t>
      </w:r>
    </w:p>
  </w:footnote>
  <w:footnote w:id="33">
    <w:p w:rsidR="00857909" w:rsidRPr="00275002" w:rsidP="00275002" w14:paraId="575443CD" w14:textId="17094FF6">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The Staff Report, Staff Schedule D-1.2</w:t>
      </w:r>
      <w:r w:rsidRPr="00275002" w:rsidR="006A70BC">
        <w:rPr>
          <w:rFonts w:ascii="Times New Roman" w:hAnsi="Times New Roman" w:cs="Times New Roman"/>
        </w:rPr>
        <w:t>.</w:t>
      </w:r>
    </w:p>
  </w:footnote>
  <w:footnote w:id="34">
    <w:p w:rsidR="00857909" w:rsidRPr="00275002" w:rsidP="00275002" w14:paraId="603BBABB" w14:textId="2193F04A">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rPr>
        <w:t xml:space="preserve"> Zhu Direct Testimony, at </w:t>
      </w:r>
      <w:r w:rsidRPr="00275002" w:rsidR="001D742C">
        <w:rPr>
          <w:rFonts w:ascii="Times New Roman" w:hAnsi="Times New Roman" w:cs="Times New Roman"/>
        </w:rPr>
        <w:t>56.</w:t>
      </w:r>
    </w:p>
  </w:footnote>
  <w:footnote w:id="35">
    <w:p w:rsidR="00F3266D" w:rsidRPr="00275002" w:rsidP="00275002" w14:paraId="6773C39B" w14:textId="19BEA837">
      <w:pPr>
        <w:pStyle w:val="FootnoteText"/>
        <w:spacing w:after="120"/>
        <w:rPr>
          <w:rFonts w:ascii="Times New Roman" w:hAnsi="Times New Roman" w:cs="Times New Roman"/>
        </w:rPr>
      </w:pPr>
      <w:r w:rsidRPr="00275002">
        <w:rPr>
          <w:rStyle w:val="FootnoteReference"/>
          <w:rFonts w:ascii="Times New Roman" w:hAnsi="Times New Roman" w:cs="Times New Roman"/>
        </w:rPr>
        <w:footnoteRef/>
      </w:r>
      <w:r w:rsidRPr="00275002">
        <w:rPr>
          <w:rFonts w:ascii="Times New Roman" w:hAnsi="Times New Roman" w:cs="Times New Roman"/>
          <w:i/>
          <w:iCs/>
        </w:rPr>
        <w:t xml:space="preserve"> See</w:t>
      </w:r>
      <w:r w:rsidRPr="00275002">
        <w:rPr>
          <w:rFonts w:ascii="Times New Roman" w:hAnsi="Times New Roman" w:cs="Times New Roman"/>
        </w:rPr>
        <w:t xml:space="preserve">, </w:t>
      </w:r>
      <w:r w:rsidRPr="00275002">
        <w:rPr>
          <w:rFonts w:ascii="Times New Roman" w:hAnsi="Times New Roman" w:cs="Times New Roman"/>
          <w:i/>
          <w:iCs/>
        </w:rPr>
        <w:t>In re Application of Aqua Ohio, Inc. for Authority to Assess a System Improvement Charge</w:t>
      </w:r>
      <w:r w:rsidRPr="00275002">
        <w:rPr>
          <w:rFonts w:ascii="Times New Roman" w:hAnsi="Times New Roman" w:cs="Times New Roman"/>
        </w:rPr>
        <w:t xml:space="preserve">, Case No. 18-0337-WW-SIC, 3.66% increase approved (February 6, 2019); </w:t>
      </w:r>
      <w:r w:rsidRPr="00275002">
        <w:rPr>
          <w:rFonts w:ascii="Times New Roman" w:hAnsi="Times New Roman" w:cs="Times New Roman"/>
          <w:i/>
          <w:iCs/>
        </w:rPr>
        <w:t>In re Application of Aqua Ohio, Inc. for Authority to Assess a System Improvement Charge</w:t>
      </w:r>
      <w:r w:rsidRPr="00275002">
        <w:rPr>
          <w:rFonts w:ascii="Times New Roman" w:hAnsi="Times New Roman" w:cs="Times New Roman"/>
        </w:rPr>
        <w:t xml:space="preserve">, Case No. 19-0567-WW-SIC, 3.733% increase approved (October 23, 2019); </w:t>
      </w:r>
      <w:r w:rsidRPr="00275002">
        <w:rPr>
          <w:rFonts w:ascii="Times New Roman" w:hAnsi="Times New Roman" w:cs="Times New Roman"/>
          <w:i/>
          <w:iCs/>
        </w:rPr>
        <w:t>In re Application of Aqua Ohio, Inc. for Authority to Assess a System Improvement Charge</w:t>
      </w:r>
      <w:r w:rsidRPr="00275002">
        <w:rPr>
          <w:rFonts w:ascii="Times New Roman" w:hAnsi="Times New Roman" w:cs="Times New Roman"/>
        </w:rPr>
        <w:t xml:space="preserve">, Case No. 20-0532-WW-SIC, 3.498% increase approved (September 23, 2020); </w:t>
      </w:r>
      <w:r w:rsidRPr="00275002" w:rsidR="00857909">
        <w:rPr>
          <w:rFonts w:ascii="Times New Roman" w:hAnsi="Times New Roman" w:cs="Times New Roman"/>
          <w:i/>
          <w:iCs/>
        </w:rPr>
        <w:t xml:space="preserve">In </w:t>
      </w:r>
      <w:r w:rsidRPr="00275002" w:rsidR="006A70BC">
        <w:rPr>
          <w:rFonts w:ascii="Times New Roman" w:hAnsi="Times New Roman" w:cs="Times New Roman"/>
          <w:i/>
          <w:iCs/>
        </w:rPr>
        <w:t>r</w:t>
      </w:r>
      <w:r w:rsidRPr="00275002" w:rsidR="00857909">
        <w:rPr>
          <w:rFonts w:ascii="Times New Roman" w:hAnsi="Times New Roman" w:cs="Times New Roman"/>
          <w:i/>
          <w:iCs/>
        </w:rPr>
        <w:t>e the Matter of the Application of Aqua Ohio</w:t>
      </w:r>
      <w:r w:rsidRPr="00275002" w:rsidR="00FA0ECB">
        <w:rPr>
          <w:rFonts w:ascii="Times New Roman" w:hAnsi="Times New Roman" w:cs="Times New Roman"/>
          <w:i/>
          <w:iCs/>
        </w:rPr>
        <w:t xml:space="preserve"> Wastewater</w:t>
      </w:r>
      <w:r w:rsidRPr="00275002" w:rsidR="00857909">
        <w:rPr>
          <w:rFonts w:ascii="Times New Roman" w:hAnsi="Times New Roman" w:cs="Times New Roman"/>
          <w:i/>
          <w:iCs/>
        </w:rPr>
        <w:t>, Inc. to Increase its Rates and Charges for Its Was</w:t>
      </w:r>
      <w:r w:rsidRPr="00275002" w:rsidR="00FA0ECB">
        <w:rPr>
          <w:rFonts w:ascii="Times New Roman" w:hAnsi="Times New Roman" w:cs="Times New Roman"/>
          <w:i/>
          <w:iCs/>
        </w:rPr>
        <w:t>tewater</w:t>
      </w:r>
      <w:r w:rsidRPr="00275002" w:rsidR="00857909">
        <w:rPr>
          <w:rFonts w:ascii="Times New Roman" w:hAnsi="Times New Roman" w:cs="Times New Roman"/>
          <w:i/>
          <w:iCs/>
        </w:rPr>
        <w:t xml:space="preserve"> Service,</w:t>
      </w:r>
      <w:r w:rsidRPr="00275002" w:rsidR="00857909">
        <w:rPr>
          <w:rFonts w:ascii="Times New Roman" w:hAnsi="Times New Roman" w:cs="Times New Roman"/>
        </w:rPr>
        <w:t xml:space="preserve"> Case No. 21-59</w:t>
      </w:r>
      <w:r w:rsidRPr="00275002" w:rsidR="00FA0ECB">
        <w:rPr>
          <w:rFonts w:ascii="Times New Roman" w:hAnsi="Times New Roman" w:cs="Times New Roman"/>
        </w:rPr>
        <w:t>6</w:t>
      </w:r>
      <w:r w:rsidRPr="00275002" w:rsidR="00857909">
        <w:rPr>
          <w:rFonts w:ascii="Times New Roman" w:hAnsi="Times New Roman" w:cs="Times New Roman"/>
        </w:rPr>
        <w:t>-</w:t>
      </w:r>
      <w:r w:rsidRPr="00275002" w:rsidR="00FA0ECB">
        <w:rPr>
          <w:rFonts w:ascii="Times New Roman" w:hAnsi="Times New Roman" w:cs="Times New Roman"/>
        </w:rPr>
        <w:t>ST</w:t>
      </w:r>
      <w:r w:rsidRPr="00275002" w:rsidR="00857909">
        <w:rPr>
          <w:rFonts w:ascii="Times New Roman" w:hAnsi="Times New Roman" w:cs="Times New Roman"/>
        </w:rPr>
        <w:t>-AIR (June 28, 2021).</w:t>
      </w:r>
    </w:p>
  </w:footnote>
  <w:footnote w:id="36">
    <w:p w:rsidR="00E567E2" w:rsidRPr="00275002" w:rsidP="00275002" w14:paraId="63B8029A" w14:textId="541F11BD">
      <w:pPr>
        <w:pStyle w:val="FootnoteText"/>
        <w:spacing w:after="120"/>
        <w:rPr>
          <w:rFonts w:ascii="Times New Roman" w:hAnsi="Times New Roman" w:cs="Times New Roman"/>
          <w:b/>
          <w:bCs/>
        </w:rPr>
      </w:pPr>
      <w:r w:rsidRPr="00275002">
        <w:rPr>
          <w:rStyle w:val="FootnoteReference"/>
          <w:rFonts w:ascii="Times New Roman" w:hAnsi="Times New Roman" w:cs="Times New Roman"/>
        </w:rPr>
        <w:footnoteRef/>
      </w:r>
      <w:r w:rsidRPr="00275002">
        <w:rPr>
          <w:rFonts w:ascii="Times New Roman" w:hAnsi="Times New Roman" w:cs="Times New Roman"/>
        </w:rPr>
        <w:t xml:space="preserve"> Staff Report at </w:t>
      </w:r>
      <w:r w:rsidRPr="00275002" w:rsidR="00BB5866">
        <w:rPr>
          <w:rFonts w:ascii="Times New Roman" w:hAnsi="Times New Roman" w:cs="Times New Roman"/>
        </w:rPr>
        <w:t>11</w:t>
      </w:r>
      <w:r w:rsidRPr="0027500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E13" w14:paraId="0B32FC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E13" w14:paraId="591015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E13" w14:paraId="561331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852F47"/>
    <w:multiLevelType w:val="hybridMultilevel"/>
    <w:tmpl w:val="D86895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341C49C1"/>
    <w:multiLevelType w:val="hybridMultilevel"/>
    <w:tmpl w:val="EFAE9388"/>
    <w:lvl w:ilvl="0">
      <w:start w:val="1"/>
      <w:numFmt w:val="bullet"/>
      <w:lvlText w:val=""/>
      <w:lvlJc w:val="left"/>
      <w:pPr>
        <w:ind w:left="1440" w:hanging="360"/>
      </w:pPr>
      <w:rPr>
        <w:rFonts w:ascii="Symbol" w:hAnsi="Symbol" w:hint="default"/>
        <w:sz w:val="24"/>
        <w:szCs w:val="24"/>
        <w:vertAlign w:val="baseline"/>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597A713B"/>
    <w:multiLevelType w:val="hybridMultilevel"/>
    <w:tmpl w:val="864A6A0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810662"/>
    <w:multiLevelType w:val="hybridMultilevel"/>
    <w:tmpl w:val="6030795C"/>
    <w:lvl w:ilvl="0">
      <w:start w:val="1"/>
      <w:numFmt w:val="upperLetter"/>
      <w:lvlText w:val="%1."/>
      <w:lvlJc w:val="left"/>
      <w:pPr>
        <w:ind w:left="1080" w:hanging="360"/>
      </w:pPr>
      <w:rPr>
        <w:rFonts w:ascii="Times New Roman Bold" w:hAnsi="Times New Roman Bold"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A7"/>
    <w:rsid w:val="0000276F"/>
    <w:rsid w:val="00047332"/>
    <w:rsid w:val="000525B9"/>
    <w:rsid w:val="000673F7"/>
    <w:rsid w:val="000737DC"/>
    <w:rsid w:val="00073B43"/>
    <w:rsid w:val="00077DA7"/>
    <w:rsid w:val="000A6A64"/>
    <w:rsid w:val="000E76B5"/>
    <w:rsid w:val="000E7AC0"/>
    <w:rsid w:val="001455B8"/>
    <w:rsid w:val="00151C2E"/>
    <w:rsid w:val="001570BB"/>
    <w:rsid w:val="001621AB"/>
    <w:rsid w:val="00165615"/>
    <w:rsid w:val="001759BE"/>
    <w:rsid w:val="00183379"/>
    <w:rsid w:val="001C5628"/>
    <w:rsid w:val="001D742C"/>
    <w:rsid w:val="001F208C"/>
    <w:rsid w:val="001F6A5B"/>
    <w:rsid w:val="0020009A"/>
    <w:rsid w:val="0021336D"/>
    <w:rsid w:val="00224A6E"/>
    <w:rsid w:val="002540A3"/>
    <w:rsid w:val="00255560"/>
    <w:rsid w:val="00275002"/>
    <w:rsid w:val="00296A36"/>
    <w:rsid w:val="002C464E"/>
    <w:rsid w:val="002D7657"/>
    <w:rsid w:val="00303766"/>
    <w:rsid w:val="0031714A"/>
    <w:rsid w:val="00327BAF"/>
    <w:rsid w:val="00375E13"/>
    <w:rsid w:val="00375F0D"/>
    <w:rsid w:val="003B4593"/>
    <w:rsid w:val="003C0141"/>
    <w:rsid w:val="003E7750"/>
    <w:rsid w:val="004102C6"/>
    <w:rsid w:val="004132A0"/>
    <w:rsid w:val="00420D77"/>
    <w:rsid w:val="004856D9"/>
    <w:rsid w:val="004875DB"/>
    <w:rsid w:val="004E08EC"/>
    <w:rsid w:val="004E4B38"/>
    <w:rsid w:val="004E5117"/>
    <w:rsid w:val="005013CA"/>
    <w:rsid w:val="00503BD4"/>
    <w:rsid w:val="00511FBF"/>
    <w:rsid w:val="0052521E"/>
    <w:rsid w:val="00567181"/>
    <w:rsid w:val="00572A2A"/>
    <w:rsid w:val="0058274C"/>
    <w:rsid w:val="00593E09"/>
    <w:rsid w:val="005942DA"/>
    <w:rsid w:val="005A12BB"/>
    <w:rsid w:val="005F5374"/>
    <w:rsid w:val="005F7CD8"/>
    <w:rsid w:val="0065089F"/>
    <w:rsid w:val="00652E01"/>
    <w:rsid w:val="00656C88"/>
    <w:rsid w:val="00677B22"/>
    <w:rsid w:val="00680956"/>
    <w:rsid w:val="006811E3"/>
    <w:rsid w:val="006A4DA8"/>
    <w:rsid w:val="006A70BC"/>
    <w:rsid w:val="006D23AD"/>
    <w:rsid w:val="00711C95"/>
    <w:rsid w:val="00713D12"/>
    <w:rsid w:val="00735A82"/>
    <w:rsid w:val="00742D02"/>
    <w:rsid w:val="00755C57"/>
    <w:rsid w:val="00767C03"/>
    <w:rsid w:val="00786026"/>
    <w:rsid w:val="007B1A89"/>
    <w:rsid w:val="007C6C0A"/>
    <w:rsid w:val="007E7BB4"/>
    <w:rsid w:val="007F5FC5"/>
    <w:rsid w:val="008030ED"/>
    <w:rsid w:val="00805AF4"/>
    <w:rsid w:val="00810377"/>
    <w:rsid w:val="0084279C"/>
    <w:rsid w:val="00857909"/>
    <w:rsid w:val="008A3430"/>
    <w:rsid w:val="008B554C"/>
    <w:rsid w:val="00915273"/>
    <w:rsid w:val="00922021"/>
    <w:rsid w:val="009347DF"/>
    <w:rsid w:val="009479F7"/>
    <w:rsid w:val="009B0776"/>
    <w:rsid w:val="009C54C3"/>
    <w:rsid w:val="009E131F"/>
    <w:rsid w:val="009F3E18"/>
    <w:rsid w:val="00A075AF"/>
    <w:rsid w:val="00A32735"/>
    <w:rsid w:val="00A449DD"/>
    <w:rsid w:val="00A607C6"/>
    <w:rsid w:val="00A717FC"/>
    <w:rsid w:val="00A72F73"/>
    <w:rsid w:val="00A80351"/>
    <w:rsid w:val="00A80816"/>
    <w:rsid w:val="00A95C7D"/>
    <w:rsid w:val="00AA1872"/>
    <w:rsid w:val="00AC4DB5"/>
    <w:rsid w:val="00AE1DE5"/>
    <w:rsid w:val="00AE4F81"/>
    <w:rsid w:val="00AF69C6"/>
    <w:rsid w:val="00B01A77"/>
    <w:rsid w:val="00B12001"/>
    <w:rsid w:val="00B1244A"/>
    <w:rsid w:val="00B4409E"/>
    <w:rsid w:val="00B76ED6"/>
    <w:rsid w:val="00BB0054"/>
    <w:rsid w:val="00BB5866"/>
    <w:rsid w:val="00BC0D5D"/>
    <w:rsid w:val="00BF5719"/>
    <w:rsid w:val="00C0511A"/>
    <w:rsid w:val="00C537CB"/>
    <w:rsid w:val="00C7245A"/>
    <w:rsid w:val="00C7505D"/>
    <w:rsid w:val="00C75C85"/>
    <w:rsid w:val="00CC07C8"/>
    <w:rsid w:val="00CC2BA0"/>
    <w:rsid w:val="00CC5EBE"/>
    <w:rsid w:val="00CE6C33"/>
    <w:rsid w:val="00D03513"/>
    <w:rsid w:val="00D3465B"/>
    <w:rsid w:val="00D476A3"/>
    <w:rsid w:val="00D713BD"/>
    <w:rsid w:val="00D914BB"/>
    <w:rsid w:val="00DA0481"/>
    <w:rsid w:val="00DB6637"/>
    <w:rsid w:val="00DE17D6"/>
    <w:rsid w:val="00E01EE5"/>
    <w:rsid w:val="00E0319E"/>
    <w:rsid w:val="00E061E2"/>
    <w:rsid w:val="00E10886"/>
    <w:rsid w:val="00E567E2"/>
    <w:rsid w:val="00E64E42"/>
    <w:rsid w:val="00E756B6"/>
    <w:rsid w:val="00E771F9"/>
    <w:rsid w:val="00E803A7"/>
    <w:rsid w:val="00EB2E13"/>
    <w:rsid w:val="00F27079"/>
    <w:rsid w:val="00F3266D"/>
    <w:rsid w:val="00F44829"/>
    <w:rsid w:val="00FA0ECB"/>
    <w:rsid w:val="00FB24AF"/>
    <w:rsid w:val="00FC3BF8"/>
    <w:rsid w:val="00FD0E1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2A36235"/>
  <w15:chartTrackingRefBased/>
  <w15:docId w15:val="{5B511395-C22D-4973-8112-A7DC212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5A"/>
  </w:style>
  <w:style w:type="paragraph" w:styleId="Heading1">
    <w:name w:val="heading 1"/>
    <w:basedOn w:val="Normal"/>
    <w:next w:val="Normal"/>
    <w:link w:val="Heading1Char"/>
    <w:autoRedefine/>
    <w:uiPriority w:val="9"/>
    <w:qFormat/>
    <w:rsid w:val="006A70BC"/>
    <w:pPr>
      <w:keepNext/>
      <w:keepLines/>
      <w:numPr>
        <w:numId w:val="1"/>
      </w:numPr>
      <w:spacing w:after="240" w:line="240" w:lineRule="auto"/>
      <w:ind w:left="720"/>
      <w:outlineLvl w:val="0"/>
    </w:pPr>
    <w:rPr>
      <w:rFonts w:ascii="Times New Roman Bold" w:hAnsi="Times New Roman Bold" w:eastAsiaTheme="majorEastAsia" w:cstheme="majorBidi"/>
      <w:b/>
      <w:bCs/>
      <w:kern w:val="0"/>
      <w:sz w:val="24"/>
      <w:szCs w:val="28"/>
      <w:lang w:eastAsia="en-US"/>
      <w14:ligatures w14:val="none"/>
    </w:rPr>
  </w:style>
  <w:style w:type="paragraph" w:styleId="Heading2">
    <w:name w:val="heading 2"/>
    <w:basedOn w:val="Normal"/>
    <w:next w:val="Normal"/>
    <w:link w:val="Heading2Char"/>
    <w:uiPriority w:val="9"/>
    <w:unhideWhenUsed/>
    <w:qFormat/>
    <w:rsid w:val="00F3266D"/>
    <w:pPr>
      <w:keepNext/>
      <w:keepLines/>
      <w:spacing w:after="240" w:line="240" w:lineRule="auto"/>
      <w:ind w:left="1440" w:hanging="720"/>
      <w:outlineLvl w:val="1"/>
    </w:pPr>
    <w:rPr>
      <w:rFonts w:ascii="Times New Roman Bold" w:hAnsi="Times New Roman Bold" w:eastAsiaTheme="majorEastAsia" w:cstheme="majorBidi"/>
      <w:b/>
      <w:kern w:val="0"/>
      <w:sz w:val="24"/>
      <w:szCs w:val="26"/>
      <w:lang w:eastAsia="en-US"/>
      <w14:ligatures w14:val="none"/>
    </w:rPr>
  </w:style>
  <w:style w:type="paragraph" w:styleId="Heading3">
    <w:name w:val="heading 3"/>
    <w:basedOn w:val="Normal"/>
    <w:next w:val="Normal"/>
    <w:link w:val="Heading3Char"/>
    <w:uiPriority w:val="9"/>
    <w:unhideWhenUsed/>
    <w:qFormat/>
    <w:rsid w:val="00F3266D"/>
    <w:pPr>
      <w:keepNext/>
      <w:keepLines/>
      <w:spacing w:after="240" w:line="240" w:lineRule="auto"/>
      <w:outlineLvl w:val="2"/>
    </w:pPr>
    <w:rPr>
      <w:rFonts w:ascii="Times New Roman Bold" w:hAnsi="Times New Roman Bold" w:eastAsiaTheme="majorEastAsia" w:cstheme="majorBidi"/>
      <w:b/>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7"/>
    <w:rPr>
      <w:color w:val="0000FF"/>
      <w:u w:val="single"/>
    </w:rPr>
  </w:style>
  <w:style w:type="paragraph" w:styleId="TOC1">
    <w:name w:val="toc 1"/>
    <w:basedOn w:val="Normal"/>
    <w:next w:val="Normal"/>
    <w:autoRedefine/>
    <w:uiPriority w:val="39"/>
    <w:unhideWhenUsed/>
    <w:rsid w:val="00077DA7"/>
    <w:pPr>
      <w:tabs>
        <w:tab w:val="decimal" w:leader="dot" w:pos="9360"/>
      </w:tabs>
      <w:spacing w:after="240" w:line="240" w:lineRule="auto"/>
      <w:ind w:left="720" w:hanging="720"/>
    </w:pPr>
    <w:rPr>
      <w:rFonts w:ascii="Times New Roman" w:hAnsi="Times New Roman" w:eastAsiaTheme="minorHAnsi"/>
      <w:kern w:val="0"/>
      <w:sz w:val="24"/>
      <w:lang w:eastAsia="en-US"/>
      <w14:ligatures w14:val="none"/>
    </w:rPr>
  </w:style>
  <w:style w:type="paragraph" w:styleId="TOC2">
    <w:name w:val="toc 2"/>
    <w:basedOn w:val="Normal"/>
    <w:next w:val="Normal"/>
    <w:autoRedefine/>
    <w:uiPriority w:val="39"/>
    <w:unhideWhenUsed/>
    <w:rsid w:val="00420D77"/>
    <w:pPr>
      <w:tabs>
        <w:tab w:val="left" w:pos="1440"/>
        <w:tab w:val="decimal" w:leader="dot" w:pos="9360"/>
      </w:tabs>
      <w:spacing w:after="240" w:line="240" w:lineRule="auto"/>
      <w:ind w:left="720"/>
    </w:pPr>
    <w:rPr>
      <w:rFonts w:ascii="Times New Roman" w:hAnsi="Times New Roman" w:eastAsiaTheme="majorEastAsia" w:cstheme="majorBidi"/>
      <w:bCs/>
      <w:noProof/>
      <w:color w:val="000000" w:themeColor="text1"/>
      <w:kern w:val="0"/>
      <w:sz w:val="24"/>
      <w:lang w:eastAsia="en-US"/>
      <w14:ligatures w14:val="none"/>
    </w:rPr>
  </w:style>
  <w:style w:type="paragraph" w:styleId="TOC3">
    <w:name w:val="toc 3"/>
    <w:basedOn w:val="Normal"/>
    <w:next w:val="Normal"/>
    <w:autoRedefine/>
    <w:uiPriority w:val="39"/>
    <w:unhideWhenUsed/>
    <w:rsid w:val="00420D77"/>
    <w:pPr>
      <w:tabs>
        <w:tab w:val="left" w:pos="720"/>
        <w:tab w:val="decimal" w:leader="dot" w:pos="9360"/>
      </w:tabs>
      <w:spacing w:after="240" w:line="240" w:lineRule="auto"/>
    </w:pPr>
    <w:rPr>
      <w:rFonts w:ascii="Times New Roman" w:hAnsi="Times New Roman" w:eastAsiaTheme="majorEastAsia" w:cstheme="majorBidi"/>
      <w:bCs/>
      <w:noProof/>
      <w:color w:val="000000" w:themeColor="text1"/>
      <w:kern w:val="0"/>
      <w:sz w:val="24"/>
      <w:lang w:eastAsia="en-US"/>
      <w14:ligatures w14:val="none"/>
    </w:rPr>
  </w:style>
  <w:style w:type="paragraph" w:styleId="Revision">
    <w:name w:val="Revision"/>
    <w:hidden/>
    <w:uiPriority w:val="99"/>
    <w:semiHidden/>
    <w:rsid w:val="00077DA7"/>
    <w:pPr>
      <w:spacing w:after="0" w:line="240" w:lineRule="auto"/>
    </w:pPr>
  </w:style>
  <w:style w:type="character" w:styleId="FollowedHyperlink">
    <w:name w:val="FollowedHyperlink"/>
    <w:basedOn w:val="DefaultParagraphFont"/>
    <w:uiPriority w:val="99"/>
    <w:semiHidden/>
    <w:unhideWhenUsed/>
    <w:rsid w:val="004132A0"/>
    <w:rPr>
      <w:color w:val="954F72" w:themeColor="followedHyperlink"/>
      <w:u w:val="single"/>
    </w:rPr>
  </w:style>
  <w:style w:type="character" w:customStyle="1" w:styleId="Heading1Char">
    <w:name w:val="Heading 1 Char"/>
    <w:basedOn w:val="DefaultParagraphFont"/>
    <w:link w:val="Heading1"/>
    <w:uiPriority w:val="9"/>
    <w:rsid w:val="006A70BC"/>
    <w:rPr>
      <w:rFonts w:ascii="Times New Roman Bold" w:hAnsi="Times New Roman Bold" w:eastAsiaTheme="majorEastAsia" w:cstheme="majorBidi"/>
      <w:b/>
      <w:bCs/>
      <w:kern w:val="0"/>
      <w:sz w:val="24"/>
      <w:szCs w:val="28"/>
      <w:lang w:eastAsia="en-US"/>
      <w14:ligatures w14:val="none"/>
    </w:rPr>
  </w:style>
  <w:style w:type="character" w:customStyle="1" w:styleId="Heading2Char">
    <w:name w:val="Heading 2 Char"/>
    <w:basedOn w:val="DefaultParagraphFont"/>
    <w:link w:val="Heading2"/>
    <w:uiPriority w:val="9"/>
    <w:rsid w:val="00F3266D"/>
    <w:rPr>
      <w:rFonts w:ascii="Times New Roman Bold" w:hAnsi="Times New Roman Bold" w:eastAsiaTheme="majorEastAsia" w:cstheme="majorBidi"/>
      <w:b/>
      <w:kern w:val="0"/>
      <w:sz w:val="24"/>
      <w:szCs w:val="26"/>
      <w:lang w:eastAsia="en-US"/>
      <w14:ligatures w14:val="none"/>
    </w:rPr>
  </w:style>
  <w:style w:type="character" w:customStyle="1" w:styleId="Heading3Char">
    <w:name w:val="Heading 3 Char"/>
    <w:basedOn w:val="DefaultParagraphFont"/>
    <w:link w:val="Heading3"/>
    <w:uiPriority w:val="9"/>
    <w:rsid w:val="00F3266D"/>
    <w:rPr>
      <w:rFonts w:ascii="Times New Roman Bold" w:hAnsi="Times New Roman Bold" w:eastAsiaTheme="majorEastAsia" w:cstheme="majorBidi"/>
      <w:b/>
      <w:kern w:val="0"/>
      <w:sz w:val="24"/>
      <w:szCs w:val="24"/>
      <w:lang w:eastAsia="en-US"/>
      <w14:ligatures w14:val="none"/>
    </w:rPr>
  </w:style>
  <w:style w:type="paragraph" w:styleId="FootnoteText">
    <w:name w:val="footnote text"/>
    <w:aliases w:val="ALTS FOOTNOTE,Footnote Text Cha,Footnote Text Char Char,Footnote Text Char Char Char Char,Footnote Text Char1,Footnote Text Char1 Char Char1,Footnote Text Char1 Char Char1 Char Char Char,Footnote Text Char2 Char Char Char Char1,fn,fn C,ft"/>
    <w:basedOn w:val="Normal"/>
    <w:link w:val="FootnoteTextChar"/>
    <w:unhideWhenUsed/>
    <w:qFormat/>
    <w:rsid w:val="00F3266D"/>
    <w:pPr>
      <w:spacing w:after="0" w:line="240" w:lineRule="auto"/>
    </w:pPr>
    <w:rPr>
      <w:rFonts w:eastAsiaTheme="minorHAnsi"/>
      <w:kern w:val="0"/>
      <w:sz w:val="20"/>
      <w:szCs w:val="20"/>
      <w:lang w:eastAsia="en-US"/>
      <w14:ligatures w14:val="none"/>
    </w:rPr>
  </w:style>
  <w:style w:type="character" w:customStyle="1" w:styleId="FootnoteTextChar">
    <w:name w:val="Footnote Text Char"/>
    <w:aliases w:val="ALTS FOOTNOTE Char,Footnote Text Cha Char,Footnote Text Char Char Char,Footnote Text Char Char Char Char Char,Footnote Text Char1 Char,Footnote Text Char1 Char Char1 Char,Footnote Text Char1 Char Char1 Char Char Char Char,fn Char"/>
    <w:basedOn w:val="DefaultParagraphFont"/>
    <w:link w:val="FootnoteText"/>
    <w:rsid w:val="00F3266D"/>
    <w:rPr>
      <w:rFonts w:eastAsiaTheme="minorHAnsi"/>
      <w:kern w:val="0"/>
      <w:sz w:val="20"/>
      <w:szCs w:val="20"/>
      <w:lang w:eastAsia="en-US"/>
      <w14:ligatures w14:val="none"/>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F3266D"/>
    <w:rPr>
      <w:vertAlign w:val="superscript"/>
    </w:rPr>
  </w:style>
  <w:style w:type="character" w:styleId="LineNumber">
    <w:name w:val="line number"/>
    <w:basedOn w:val="DefaultParagraphFont"/>
    <w:uiPriority w:val="99"/>
    <w:unhideWhenUsed/>
    <w:rsid w:val="000A6A64"/>
  </w:style>
  <w:style w:type="character" w:styleId="CommentReference">
    <w:name w:val="annotation reference"/>
    <w:basedOn w:val="DefaultParagraphFont"/>
    <w:uiPriority w:val="99"/>
    <w:semiHidden/>
    <w:unhideWhenUsed/>
    <w:rsid w:val="001F6A5B"/>
    <w:rPr>
      <w:sz w:val="16"/>
      <w:szCs w:val="16"/>
    </w:rPr>
  </w:style>
  <w:style w:type="paragraph" w:styleId="CommentText">
    <w:name w:val="annotation text"/>
    <w:basedOn w:val="Normal"/>
    <w:link w:val="CommentTextChar"/>
    <w:uiPriority w:val="99"/>
    <w:unhideWhenUsed/>
    <w:rsid w:val="001F6A5B"/>
    <w:pPr>
      <w:tabs>
        <w:tab w:val="left" w:pos="720"/>
      </w:tabs>
      <w:spacing w:after="0" w:line="240" w:lineRule="auto"/>
      <w:ind w:left="720" w:hanging="720"/>
    </w:pPr>
    <w:rPr>
      <w:rFonts w:ascii="Times New Roman" w:hAnsi="Times New Roman"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1F6A5B"/>
    <w:rPr>
      <w:rFonts w:ascii="Times New Roman" w:hAnsi="Times New Roman"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756B6"/>
    <w:pPr>
      <w:tabs>
        <w:tab w:val="clear" w:pos="720"/>
      </w:tabs>
      <w:spacing w:after="160"/>
      <w:ind w:left="0" w:firstLine="0"/>
    </w:pPr>
    <w:rPr>
      <w:rFonts w:asciiTheme="minorHAnsi" w:eastAsiaTheme="minorEastAsia" w:hAnsiTheme="minorHAnsi"/>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E756B6"/>
    <w:rPr>
      <w:rFonts w:ascii="Times New Roman" w:hAnsi="Times New Roman" w:eastAsiaTheme="minorHAnsi"/>
      <w:b/>
      <w:bCs/>
      <w:kern w:val="0"/>
      <w:sz w:val="20"/>
      <w:szCs w:val="20"/>
      <w:lang w:eastAsia="en-US"/>
      <w14:ligatures w14:val="none"/>
    </w:rPr>
  </w:style>
  <w:style w:type="paragraph" w:styleId="HTMLPreformatted">
    <w:name w:val="HTML Preformatted"/>
    <w:basedOn w:val="Normal"/>
    <w:link w:val="HTMLPreformattedChar"/>
    <w:rsid w:val="00BC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US"/>
      <w14:ligatures w14:val="none"/>
    </w:rPr>
  </w:style>
  <w:style w:type="character" w:customStyle="1" w:styleId="HTMLPreformattedChar">
    <w:name w:val="HTML Preformatted Char"/>
    <w:basedOn w:val="DefaultParagraphFont"/>
    <w:link w:val="HTMLPreformatted"/>
    <w:rsid w:val="00BC0D5D"/>
    <w:rPr>
      <w:rFonts w:ascii="Courier New" w:eastAsia="Times New Roman" w:hAnsi="Courier New" w:cs="Courier New"/>
      <w:kern w:val="0"/>
      <w:sz w:val="20"/>
      <w:szCs w:val="20"/>
      <w:lang w:eastAsia="en-US"/>
      <w14:ligatures w14:val="none"/>
    </w:rPr>
  </w:style>
  <w:style w:type="paragraph" w:styleId="ListParagraph">
    <w:name w:val="List Paragraph"/>
    <w:basedOn w:val="Normal"/>
    <w:uiPriority w:val="34"/>
    <w:qFormat/>
    <w:rsid w:val="00E567E2"/>
    <w:pPr>
      <w:ind w:left="720"/>
      <w:contextualSpacing/>
    </w:pPr>
  </w:style>
  <w:style w:type="paragraph" w:styleId="Header">
    <w:name w:val="header"/>
    <w:basedOn w:val="Normal"/>
    <w:link w:val="HeaderChar"/>
    <w:uiPriority w:val="99"/>
    <w:unhideWhenUsed/>
    <w:rsid w:val="00AC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DB5"/>
  </w:style>
  <w:style w:type="paragraph" w:styleId="Footer">
    <w:name w:val="footer"/>
    <w:basedOn w:val="Normal"/>
    <w:link w:val="FooterChar"/>
    <w:uiPriority w:val="99"/>
    <w:unhideWhenUsed/>
    <w:rsid w:val="00AC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DB5"/>
  </w:style>
  <w:style w:type="paragraph" w:styleId="EndnoteText">
    <w:name w:val="endnote text"/>
    <w:basedOn w:val="Normal"/>
    <w:link w:val="EndnoteTextChar"/>
    <w:semiHidden/>
    <w:rsid w:val="0084279C"/>
    <w:pPr>
      <w:widowControl w:val="0"/>
      <w:spacing w:after="0" w:line="240" w:lineRule="auto"/>
    </w:pPr>
    <w:rPr>
      <w:rFonts w:ascii="Courier New" w:eastAsia="Times New Roman" w:hAnsi="Courier New" w:cs="Times New Roman"/>
      <w:snapToGrid w:val="0"/>
      <w:kern w:val="0"/>
      <w:sz w:val="24"/>
      <w:szCs w:val="20"/>
      <w:lang w:eastAsia="en-US"/>
      <w14:ligatures w14:val="none"/>
    </w:rPr>
  </w:style>
  <w:style w:type="character" w:customStyle="1" w:styleId="EndnoteTextChar">
    <w:name w:val="Endnote Text Char"/>
    <w:basedOn w:val="DefaultParagraphFont"/>
    <w:link w:val="EndnoteText"/>
    <w:semiHidden/>
    <w:rsid w:val="0084279C"/>
    <w:rPr>
      <w:rFonts w:ascii="Courier New" w:eastAsia="Times New Roman" w:hAnsi="Courier New" w:cs="Times New Roman"/>
      <w:snapToGrid w:val="0"/>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yperlink" Target="mailto:Robert.eubanks@ohioAGO.gov" TargetMode="External" /><Relationship Id="rId17" Type="http://schemas.openxmlformats.org/officeDocument/2006/relationships/hyperlink" Target="mailto:Rhiannon.Howard@ohioAGO.gov" TargetMode="External" /><Relationship Id="rId18" Type="http://schemas.openxmlformats.org/officeDocument/2006/relationships/hyperlink" Target="mailto:Jay.agranoff@puco.ohio.gov" TargetMode="External" /><Relationship Id="rId19" Type="http://schemas.openxmlformats.org/officeDocument/2006/relationships/hyperlink" Target="mailto:clint.white@puco.ohio.gov" TargetMode="External" /><Relationship Id="rId2" Type="http://schemas.openxmlformats.org/officeDocument/2006/relationships/settings" Target="settings.xml" /><Relationship Id="rId20" Type="http://schemas.openxmlformats.org/officeDocument/2006/relationships/hyperlink" Target="mailto:Christopher.miller@icemiller.com" TargetMode="External" /><Relationship Id="rId21" Type="http://schemas.openxmlformats.org/officeDocument/2006/relationships/hyperlink" Target="mailto:Nicole.woods@icemiller.com" TargetMode="External" /><Relationship Id="rId22" Type="http://schemas.openxmlformats.org/officeDocument/2006/relationships/hyperlink" Target="mailto:lawdirectormarion@gmail.com" TargetMode="External" /><Relationship Id="rId23" Type="http://schemas.openxmlformats.org/officeDocument/2006/relationships/footer" Target="footer5.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connor.semple@occ.ohio.gov" TargetMode="External" /><Relationship Id="rId8" Type="http://schemas.openxmlformats.org/officeDocument/2006/relationships/hyperlink" Target="mailto:donald.kral@occ.ohi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326D-273A-4B7E-8F1A-3EFFA364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2023-08-14T20:54:30Z</dcterms:created>
  <dcterms:modified xsi:type="dcterms:W3CDTF">2023-08-14T20:54:30Z</dcterms:modified>
</cp:coreProperties>
</file>