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t>UNITED STATES OF AMERICA</w:t>
      </w: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t>BEFORE THE</w:t>
      </w:r>
    </w:p>
    <w:p w:rsidR="000D2745" w:rsidRDefault="000D2745" w:rsidP="000D2745">
      <w:pPr>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t>FEDERAL ENERGY REGULATORY COMMISSION</w:t>
      </w:r>
    </w:p>
    <w:p w:rsidR="00C70B32" w:rsidRDefault="00C70B32"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tabs>
          <w:tab w:val="left" w:pos="720"/>
          <w:tab w:val="left" w:pos="1440"/>
          <w:tab w:val="left" w:pos="2880"/>
          <w:tab w:val="left" w:pos="4320"/>
          <w:tab w:val="left" w:pos="5040"/>
          <w:tab w:val="left" w:pos="5760"/>
          <w:tab w:val="left" w:pos="6480"/>
          <w:tab w:val="left" w:pos="7200"/>
        </w:tabs>
        <w:spacing w:after="0" w:line="240" w:lineRule="auto"/>
        <w:rPr>
          <w:rFonts w:ascii="Times New Roman" w:eastAsia="Times New Roman" w:hAnsi="Times New Roman" w:cs="Times New Roman"/>
          <w:sz w:val="26"/>
          <w:szCs w:val="26"/>
          <w:lang w:bidi="en-US"/>
        </w:rPr>
      </w:pPr>
    </w:p>
    <w:tbl>
      <w:tblPr>
        <w:tblW w:w="0" w:type="auto"/>
        <w:tblLook w:val="04A0" w:firstRow="1" w:lastRow="0" w:firstColumn="1" w:lastColumn="0" w:noHBand="0" w:noVBand="1"/>
      </w:tblPr>
      <w:tblGrid>
        <w:gridCol w:w="4868"/>
        <w:gridCol w:w="289"/>
        <w:gridCol w:w="4419"/>
      </w:tblGrid>
      <w:tr w:rsidR="000D2745" w:rsidRPr="000D2745" w:rsidTr="007F11F2">
        <w:tc>
          <w:tcPr>
            <w:tcW w:w="4868" w:type="dxa"/>
            <w:shd w:val="clear" w:color="auto" w:fill="auto"/>
          </w:tcPr>
          <w:p w:rsidR="000D2745" w:rsidRDefault="000D2745" w:rsidP="000D2745">
            <w:pPr>
              <w:spacing w:after="0" w:line="240" w:lineRule="auto"/>
              <w:rPr>
                <w:rFonts w:ascii="Times New Roman" w:eastAsia="Times New Roman" w:hAnsi="Times New Roman" w:cs="Times New Roman"/>
                <w:sz w:val="26"/>
                <w:szCs w:val="26"/>
                <w:lang w:bidi="en-US"/>
              </w:rPr>
            </w:pPr>
          </w:p>
          <w:p w:rsidR="000D2745" w:rsidRDefault="000D2745" w:rsidP="000D2745">
            <w:pPr>
              <w:tabs>
                <w:tab w:val="left" w:pos="1980"/>
              </w:tabs>
              <w:spacing w:after="0" w:line="240" w:lineRule="auto"/>
              <w:rPr>
                <w:rFonts w:ascii="Times New Roman" w:eastAsia="Times New Roman" w:hAnsi="Times New Roman" w:cs="Times New Roman"/>
                <w:sz w:val="26"/>
                <w:szCs w:val="26"/>
                <w:lang w:bidi="en-US"/>
              </w:rPr>
            </w:pPr>
            <w:bookmarkStart w:id="0" w:name="_GoBack"/>
            <w:bookmarkEnd w:id="0"/>
          </w:p>
          <w:p w:rsidR="000D2745" w:rsidRDefault="00C80A17" w:rsidP="00260A47">
            <w:pPr>
              <w:tabs>
                <w:tab w:val="left" w:pos="1980"/>
              </w:tabs>
              <w:spacing w:after="0" w:line="240"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PJM Interconnection, LLC</w:t>
            </w:r>
          </w:p>
          <w:p w:rsidR="00C80A17" w:rsidRDefault="00C80A17" w:rsidP="00260A47">
            <w:pPr>
              <w:tabs>
                <w:tab w:val="left" w:pos="1980"/>
              </w:tabs>
              <w:spacing w:after="0" w:line="240" w:lineRule="auto"/>
              <w:rPr>
                <w:rFonts w:ascii="Times New Roman" w:eastAsia="Times New Roman" w:hAnsi="Times New Roman" w:cs="Times New Roman"/>
                <w:sz w:val="26"/>
                <w:szCs w:val="26"/>
                <w:lang w:bidi="en-US"/>
              </w:rPr>
            </w:pPr>
          </w:p>
          <w:p w:rsidR="00C80A17" w:rsidRDefault="00C80A17" w:rsidP="00260A47">
            <w:pPr>
              <w:tabs>
                <w:tab w:val="left" w:pos="1980"/>
              </w:tabs>
              <w:spacing w:after="0" w:line="240"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Indicated PJM Transmission Owners</w:t>
            </w:r>
          </w:p>
          <w:p w:rsidR="00C80A17" w:rsidRDefault="00C80A17" w:rsidP="00260A47">
            <w:pPr>
              <w:tabs>
                <w:tab w:val="left" w:pos="1980"/>
              </w:tabs>
              <w:spacing w:after="0" w:line="240" w:lineRule="auto"/>
              <w:rPr>
                <w:rFonts w:ascii="Times New Roman" w:eastAsia="Times New Roman" w:hAnsi="Times New Roman" w:cs="Times New Roman"/>
                <w:sz w:val="26"/>
                <w:szCs w:val="26"/>
                <w:lang w:bidi="en-US"/>
              </w:rPr>
            </w:pPr>
          </w:p>
          <w:p w:rsidR="00C80A17" w:rsidRDefault="00C80A17" w:rsidP="00260A47">
            <w:pPr>
              <w:tabs>
                <w:tab w:val="left" w:pos="1980"/>
              </w:tabs>
              <w:spacing w:after="0" w:line="240"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PJM Interconnection, LLC</w:t>
            </w:r>
          </w:p>
          <w:p w:rsidR="00C80A17" w:rsidRPr="000D2745" w:rsidRDefault="00C80A17" w:rsidP="00260A47">
            <w:pPr>
              <w:tabs>
                <w:tab w:val="left" w:pos="1980"/>
              </w:tabs>
              <w:spacing w:after="0" w:line="240"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Public Service Electric and Gas Company</w:t>
            </w:r>
          </w:p>
        </w:tc>
        <w:tc>
          <w:tcPr>
            <w:tcW w:w="289" w:type="dxa"/>
            <w:shd w:val="clear" w:color="auto" w:fill="auto"/>
          </w:tcPr>
          <w:p w:rsidR="000D2745" w:rsidRDefault="000D2745" w:rsidP="000D2745">
            <w:pPr>
              <w:spacing w:after="0" w:line="240" w:lineRule="auto"/>
              <w:rPr>
                <w:rFonts w:ascii="Times New Roman" w:eastAsia="Times New Roman" w:hAnsi="Times New Roman" w:cs="Times New Roman"/>
                <w:sz w:val="26"/>
                <w:szCs w:val="26"/>
                <w:lang w:bidi="en-US"/>
              </w:rPr>
            </w:pPr>
          </w:p>
          <w:p w:rsidR="000D2745" w:rsidRDefault="000D2745" w:rsidP="000D2745">
            <w:pPr>
              <w:spacing w:after="0" w:line="240" w:lineRule="auto"/>
              <w:rPr>
                <w:rFonts w:ascii="Times New Roman" w:eastAsia="Times New Roman" w:hAnsi="Times New Roman" w:cs="Times New Roman"/>
                <w:sz w:val="26"/>
                <w:szCs w:val="26"/>
                <w:lang w:bidi="en-US"/>
              </w:rPr>
            </w:pPr>
          </w:p>
          <w:p w:rsidR="000D2745" w:rsidRPr="000D2745" w:rsidRDefault="000D2745" w:rsidP="000D2745">
            <w:pPr>
              <w:spacing w:after="0" w:line="240" w:lineRule="auto"/>
              <w:rPr>
                <w:rFonts w:ascii="Times New Roman" w:eastAsia="Times New Roman" w:hAnsi="Times New Roman" w:cs="Times New Roman"/>
                <w:sz w:val="26"/>
                <w:szCs w:val="26"/>
                <w:lang w:bidi="en-US"/>
              </w:rPr>
            </w:pPr>
            <w:r w:rsidRPr="000D2745">
              <w:rPr>
                <w:rFonts w:ascii="Times New Roman" w:eastAsia="Times New Roman" w:hAnsi="Times New Roman" w:cs="Times New Roman"/>
                <w:sz w:val="26"/>
                <w:szCs w:val="26"/>
                <w:lang w:bidi="en-US"/>
              </w:rPr>
              <w:t>:</w:t>
            </w:r>
          </w:p>
          <w:p w:rsidR="000D2745" w:rsidRPr="000D2745" w:rsidRDefault="000D2745" w:rsidP="000D2745">
            <w:pPr>
              <w:spacing w:after="0" w:line="240" w:lineRule="auto"/>
              <w:rPr>
                <w:rFonts w:ascii="Times New Roman" w:eastAsia="Times New Roman" w:hAnsi="Times New Roman" w:cs="Times New Roman"/>
                <w:sz w:val="26"/>
                <w:szCs w:val="26"/>
                <w:lang w:bidi="en-US"/>
              </w:rPr>
            </w:pPr>
          </w:p>
          <w:p w:rsidR="000D2745" w:rsidRDefault="000D2745" w:rsidP="000D2745">
            <w:pPr>
              <w:spacing w:after="0" w:line="240" w:lineRule="auto"/>
              <w:rPr>
                <w:rFonts w:ascii="Times New Roman" w:eastAsia="Times New Roman" w:hAnsi="Times New Roman" w:cs="Times New Roman"/>
                <w:sz w:val="26"/>
                <w:szCs w:val="26"/>
                <w:lang w:bidi="en-US"/>
              </w:rPr>
            </w:pPr>
            <w:r w:rsidRPr="000D2745">
              <w:rPr>
                <w:rFonts w:ascii="Times New Roman" w:eastAsia="Times New Roman" w:hAnsi="Times New Roman" w:cs="Times New Roman"/>
                <w:sz w:val="26"/>
                <w:szCs w:val="26"/>
                <w:lang w:bidi="en-US"/>
              </w:rPr>
              <w:t>:</w:t>
            </w:r>
          </w:p>
          <w:p w:rsidR="00C80A17" w:rsidRDefault="00C80A17" w:rsidP="000D2745">
            <w:pPr>
              <w:spacing w:after="0" w:line="240" w:lineRule="auto"/>
              <w:rPr>
                <w:rFonts w:ascii="Times New Roman" w:eastAsia="Times New Roman" w:hAnsi="Times New Roman" w:cs="Times New Roman"/>
                <w:sz w:val="26"/>
                <w:szCs w:val="26"/>
                <w:lang w:bidi="en-US"/>
              </w:rPr>
            </w:pPr>
          </w:p>
          <w:p w:rsidR="00C80A17" w:rsidRDefault="00C80A17" w:rsidP="000D2745">
            <w:pPr>
              <w:spacing w:after="0" w:line="240"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w:t>
            </w:r>
          </w:p>
          <w:p w:rsidR="00C80A17" w:rsidRDefault="00C80A17" w:rsidP="000D2745">
            <w:pPr>
              <w:spacing w:after="0" w:line="240"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w:t>
            </w:r>
          </w:p>
          <w:p w:rsidR="00C80A17" w:rsidRPr="000D2745" w:rsidRDefault="00C80A17" w:rsidP="000D2745">
            <w:pPr>
              <w:spacing w:after="0" w:line="240" w:lineRule="auto"/>
              <w:rPr>
                <w:rFonts w:ascii="Times New Roman" w:eastAsia="Times New Roman" w:hAnsi="Times New Roman" w:cs="Times New Roman"/>
                <w:sz w:val="26"/>
                <w:szCs w:val="26"/>
                <w:lang w:bidi="en-US"/>
              </w:rPr>
            </w:pPr>
          </w:p>
        </w:tc>
        <w:tc>
          <w:tcPr>
            <w:tcW w:w="4419" w:type="dxa"/>
            <w:shd w:val="clear" w:color="auto" w:fill="auto"/>
          </w:tcPr>
          <w:p w:rsidR="000D2745" w:rsidRPr="000D2745" w:rsidRDefault="000D2745" w:rsidP="000D2745">
            <w:pPr>
              <w:spacing w:after="0" w:line="240" w:lineRule="auto"/>
              <w:rPr>
                <w:rFonts w:ascii="Times New Roman" w:eastAsia="Times New Roman" w:hAnsi="Times New Roman" w:cs="Times New Roman"/>
                <w:sz w:val="26"/>
                <w:szCs w:val="26"/>
                <w:lang w:bidi="en-US"/>
              </w:rPr>
            </w:pPr>
          </w:p>
          <w:p w:rsidR="000D2745" w:rsidRPr="000D2745" w:rsidRDefault="000D2745" w:rsidP="000D2745">
            <w:pPr>
              <w:spacing w:after="0" w:line="240" w:lineRule="auto"/>
              <w:rPr>
                <w:rFonts w:ascii="Times New Roman" w:eastAsia="Times New Roman" w:hAnsi="Times New Roman" w:cs="Times New Roman"/>
                <w:sz w:val="26"/>
                <w:szCs w:val="26"/>
                <w:lang w:bidi="en-US"/>
              </w:rPr>
            </w:pPr>
          </w:p>
          <w:p w:rsidR="00C80A17" w:rsidRDefault="00C80A17" w:rsidP="00C80A17">
            <w:pPr>
              <w:tabs>
                <w:tab w:val="left" w:pos="1323"/>
              </w:tabs>
              <w:spacing w:after="0" w:line="240"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Docket No.</w:t>
            </w:r>
            <w:r>
              <w:rPr>
                <w:rFonts w:ascii="Times New Roman" w:eastAsia="Times New Roman" w:hAnsi="Times New Roman" w:cs="Times New Roman"/>
                <w:sz w:val="26"/>
                <w:szCs w:val="26"/>
                <w:lang w:bidi="en-US"/>
              </w:rPr>
              <w:tab/>
            </w:r>
            <w:r w:rsidR="00B77E71">
              <w:rPr>
                <w:rFonts w:ascii="Times New Roman" w:eastAsia="Times New Roman" w:hAnsi="Times New Roman" w:cs="Times New Roman"/>
                <w:sz w:val="26"/>
                <w:szCs w:val="26"/>
                <w:lang w:bidi="en-US"/>
              </w:rPr>
              <w:t>ER13-</w:t>
            </w:r>
            <w:r w:rsidR="00FA23F6">
              <w:rPr>
                <w:rFonts w:ascii="Times New Roman" w:eastAsia="Times New Roman" w:hAnsi="Times New Roman" w:cs="Times New Roman"/>
                <w:sz w:val="26"/>
                <w:szCs w:val="26"/>
                <w:lang w:bidi="en-US"/>
              </w:rPr>
              <w:t>198</w:t>
            </w:r>
            <w:r w:rsidR="00B77E71" w:rsidRPr="000D2745">
              <w:rPr>
                <w:rFonts w:ascii="Times New Roman" w:eastAsia="Times New Roman" w:hAnsi="Times New Roman" w:cs="Times New Roman"/>
                <w:sz w:val="26"/>
                <w:szCs w:val="26"/>
                <w:lang w:bidi="en-US"/>
              </w:rPr>
              <w:t>-000</w:t>
            </w:r>
          </w:p>
          <w:p w:rsidR="00C80A17" w:rsidRDefault="00C80A17" w:rsidP="00C80A17">
            <w:pPr>
              <w:tabs>
                <w:tab w:val="left" w:pos="1323"/>
              </w:tabs>
              <w:spacing w:after="0" w:line="240" w:lineRule="auto"/>
              <w:rPr>
                <w:rFonts w:ascii="Times New Roman" w:eastAsia="Times New Roman" w:hAnsi="Times New Roman" w:cs="Times New Roman"/>
                <w:sz w:val="26"/>
                <w:szCs w:val="26"/>
                <w:lang w:bidi="en-US"/>
              </w:rPr>
            </w:pPr>
          </w:p>
          <w:p w:rsidR="00C80A17" w:rsidRDefault="00C80A17" w:rsidP="00C80A17">
            <w:pPr>
              <w:tabs>
                <w:tab w:val="left" w:pos="1323"/>
              </w:tabs>
              <w:spacing w:after="0" w:line="240"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ab/>
              <w:t>ER13-195-000</w:t>
            </w:r>
          </w:p>
          <w:p w:rsidR="00C80A17" w:rsidRDefault="00C80A17" w:rsidP="00C80A17">
            <w:pPr>
              <w:tabs>
                <w:tab w:val="left" w:pos="1323"/>
              </w:tabs>
              <w:spacing w:after="0" w:line="240" w:lineRule="auto"/>
              <w:rPr>
                <w:rFonts w:ascii="Times New Roman" w:eastAsia="Times New Roman" w:hAnsi="Times New Roman" w:cs="Times New Roman"/>
                <w:sz w:val="26"/>
                <w:szCs w:val="26"/>
                <w:lang w:bidi="en-US"/>
              </w:rPr>
            </w:pPr>
          </w:p>
          <w:p w:rsidR="00C80A17" w:rsidRPr="000D2745" w:rsidRDefault="00C80A17" w:rsidP="00C80A17">
            <w:pPr>
              <w:tabs>
                <w:tab w:val="left" w:pos="1323"/>
              </w:tabs>
              <w:spacing w:after="0" w:line="240"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ab/>
              <w:t>ER13-90-000</w:t>
            </w:r>
          </w:p>
        </w:tc>
      </w:tr>
    </w:tbl>
    <w:p w:rsidR="000D2745" w:rsidRPr="000D2745" w:rsidRDefault="000D2745" w:rsidP="000D2745">
      <w:pPr>
        <w:spacing w:after="0" w:line="240" w:lineRule="auto"/>
        <w:rPr>
          <w:rFonts w:ascii="Times New Roman" w:eastAsia="Times New Roman" w:hAnsi="Times New Roman" w:cs="Times New Roman"/>
          <w:sz w:val="26"/>
          <w:szCs w:val="26"/>
          <w:lang w:bidi="en-US"/>
        </w:rPr>
      </w:pPr>
    </w:p>
    <w:p w:rsidR="000D2745" w:rsidRPr="000D2745" w:rsidRDefault="000D2745" w:rsidP="000D2745">
      <w:pPr>
        <w:spacing w:after="0" w:line="240" w:lineRule="auto"/>
        <w:rPr>
          <w:rFonts w:ascii="Times New Roman" w:eastAsia="Times New Roman" w:hAnsi="Times New Roman" w:cs="Times New Roman"/>
          <w:sz w:val="26"/>
          <w:szCs w:val="26"/>
          <w:lang w:bidi="en-US"/>
        </w:rPr>
      </w:pPr>
    </w:p>
    <w:p w:rsidR="000D2745" w:rsidRDefault="000D2745" w:rsidP="000D2745">
      <w:pPr>
        <w:spacing w:after="0" w:line="240" w:lineRule="auto"/>
        <w:rPr>
          <w:rFonts w:ascii="Times New Roman" w:eastAsia="Times New Roman" w:hAnsi="Times New Roman" w:cs="Times New Roman"/>
          <w:sz w:val="26"/>
          <w:szCs w:val="26"/>
          <w:lang w:bidi="en-US"/>
        </w:rPr>
      </w:pPr>
    </w:p>
    <w:p w:rsidR="00B65E27" w:rsidRDefault="00B65E27" w:rsidP="000D2745">
      <w:pPr>
        <w:spacing w:after="0" w:line="240" w:lineRule="auto"/>
        <w:rPr>
          <w:rFonts w:ascii="Times New Roman" w:eastAsia="Times New Roman" w:hAnsi="Times New Roman" w:cs="Times New Roman"/>
          <w:sz w:val="26"/>
          <w:szCs w:val="26"/>
          <w:lang w:bidi="en-US"/>
        </w:rPr>
      </w:pPr>
    </w:p>
    <w:p w:rsidR="00B65E27" w:rsidRPr="000D2745" w:rsidRDefault="00B65E27" w:rsidP="000D2745">
      <w:pPr>
        <w:spacing w:after="0" w:line="240" w:lineRule="auto"/>
        <w:rPr>
          <w:rFonts w:ascii="Times New Roman" w:eastAsia="Times New Roman" w:hAnsi="Times New Roman" w:cs="Times New Roman"/>
          <w:sz w:val="26"/>
          <w:szCs w:val="26"/>
          <w:lang w:bidi="en-US"/>
        </w:rPr>
      </w:pPr>
    </w:p>
    <w:p w:rsidR="000D2745" w:rsidRPr="000D2745" w:rsidRDefault="000D2745" w:rsidP="000D2745">
      <w:pPr>
        <w:spacing w:after="0" w:line="240" w:lineRule="auto"/>
        <w:rPr>
          <w:rFonts w:ascii="Times New Roman" w:eastAsia="Times New Roman" w:hAnsi="Times New Roman" w:cs="Times New Roman"/>
          <w:sz w:val="26"/>
          <w:szCs w:val="26"/>
          <w:lang w:bidi="en-US"/>
        </w:rPr>
      </w:pPr>
    </w:p>
    <w:p w:rsidR="000D2745" w:rsidRPr="000D2745" w:rsidRDefault="00856E3E" w:rsidP="000D2745">
      <w:pPr>
        <w:tabs>
          <w:tab w:val="left" w:pos="720"/>
          <w:tab w:val="left" w:pos="1440"/>
          <w:tab w:val="left" w:pos="2880"/>
          <w:tab w:val="left" w:pos="4320"/>
          <w:tab w:val="left" w:pos="5040"/>
          <w:tab w:val="left" w:pos="5760"/>
          <w:tab w:val="left" w:pos="6480"/>
          <w:tab w:val="left" w:pos="7200"/>
        </w:tabs>
        <w:spacing w:line="240" w:lineRule="auto"/>
        <w:jc w:val="cente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v:rect id="_x0000_i1025" style="width:468pt;height:1.5pt" o:hralign="center" o:hrstd="t" o:hrnoshade="t" o:hr="t" fillcolor="black" stroked="f"/>
        </w:pict>
      </w:r>
    </w:p>
    <w:p w:rsidR="000D2745" w:rsidRPr="000D2745" w:rsidRDefault="00C80A17" w:rsidP="000D2745">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36"/>
          <w:szCs w:val="36"/>
          <w:lang w:bidi="en-US"/>
        </w:rPr>
      </w:pPr>
      <w:r>
        <w:rPr>
          <w:rFonts w:ascii="Times New Roman" w:eastAsia="Times New Roman" w:hAnsi="Times New Roman" w:cs="Times New Roman"/>
          <w:b/>
          <w:sz w:val="36"/>
          <w:szCs w:val="36"/>
          <w:lang w:bidi="en-US"/>
        </w:rPr>
        <w:t>REQUEST FOR REHEARING</w:t>
      </w:r>
    </w:p>
    <w:p w:rsidR="000D2745" w:rsidRPr="000D2745" w:rsidRDefault="000D2745" w:rsidP="000D2745">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t xml:space="preserve">SUBMITTED ON BEHALF OF </w:t>
      </w:r>
    </w:p>
    <w:p w:rsidR="000D2745" w:rsidRPr="000D2745" w:rsidRDefault="000D2745" w:rsidP="000D2745">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sz w:val="26"/>
          <w:szCs w:val="26"/>
          <w:lang w:bidi="en-US"/>
        </w:rPr>
      </w:pPr>
      <w:r w:rsidRPr="000D2745">
        <w:rPr>
          <w:rFonts w:ascii="Times New Roman" w:eastAsia="Times New Roman" w:hAnsi="Times New Roman" w:cs="Times New Roman"/>
          <w:b/>
          <w:sz w:val="26"/>
          <w:szCs w:val="26"/>
          <w:lang w:bidi="en-US"/>
        </w:rPr>
        <w:t>THE PUBLIC UTILITIES COMMISSION OF OHIO</w:t>
      </w:r>
    </w:p>
    <w:p w:rsidR="000D2745" w:rsidRPr="000D2745" w:rsidRDefault="00856E3E" w:rsidP="000D2745">
      <w:pPr>
        <w:tabs>
          <w:tab w:val="left" w:pos="720"/>
          <w:tab w:val="left" w:pos="1440"/>
          <w:tab w:val="left" w:pos="2880"/>
          <w:tab w:val="left" w:pos="4320"/>
          <w:tab w:val="left" w:pos="5040"/>
          <w:tab w:val="left" w:pos="5760"/>
          <w:tab w:val="left" w:pos="6480"/>
          <w:tab w:val="left" w:pos="7200"/>
        </w:tabs>
        <w:spacing w:line="480" w:lineRule="auto"/>
        <w:jc w:val="cente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v:rect id="_x0000_i1026" style="width:468pt;height:1.5pt" o:hralign="center" o:hrstd="t" o:hrnoshade="t" o:hr="t" fillcolor="black" stroked="f"/>
        </w:pict>
      </w: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Default="000D2745" w:rsidP="000D2745">
      <w:pPr>
        <w:autoSpaceDE w:val="0"/>
        <w:autoSpaceDN w:val="0"/>
        <w:adjustRightInd w:val="0"/>
        <w:spacing w:after="0" w:line="240" w:lineRule="auto"/>
        <w:jc w:val="center"/>
        <w:rPr>
          <w:rFonts w:ascii="Times New Roman" w:eastAsia="Times New Roman" w:hAnsi="Times New Roman" w:cs="Times New Roman"/>
          <w:b/>
          <w:sz w:val="26"/>
          <w:szCs w:val="26"/>
          <w:lang w:bidi="en-US"/>
        </w:rPr>
      </w:pPr>
    </w:p>
    <w:p w:rsidR="000D2745" w:rsidRDefault="000D2745" w:rsidP="000D2745">
      <w:pPr>
        <w:autoSpaceDE w:val="0"/>
        <w:autoSpaceDN w:val="0"/>
        <w:adjustRightInd w:val="0"/>
        <w:spacing w:after="0" w:line="240" w:lineRule="auto"/>
        <w:jc w:val="center"/>
        <w:rPr>
          <w:rFonts w:ascii="Times New Roman" w:eastAsia="Times New Roman" w:hAnsi="Times New Roman" w:cs="Times New Roman"/>
          <w:b/>
          <w:sz w:val="26"/>
          <w:szCs w:val="26"/>
          <w:lang w:bidi="en-US"/>
        </w:rPr>
      </w:pPr>
    </w:p>
    <w:p w:rsidR="000D2745" w:rsidRDefault="000D2745" w:rsidP="000D2745">
      <w:pPr>
        <w:autoSpaceDE w:val="0"/>
        <w:autoSpaceDN w:val="0"/>
        <w:adjustRightInd w:val="0"/>
        <w:spacing w:after="0" w:line="240" w:lineRule="auto"/>
        <w:jc w:val="center"/>
        <w:rPr>
          <w:rFonts w:ascii="Times New Roman" w:eastAsia="Times New Roman" w:hAnsi="Times New Roman" w:cs="Times New Roman"/>
          <w:b/>
          <w:sz w:val="26"/>
          <w:szCs w:val="26"/>
          <w:lang w:bidi="en-US"/>
        </w:rPr>
      </w:pPr>
    </w:p>
    <w:p w:rsidR="007F11F2" w:rsidRDefault="007F11F2" w:rsidP="0071757E">
      <w:pPr>
        <w:autoSpaceDE w:val="0"/>
        <w:autoSpaceDN w:val="0"/>
        <w:adjustRightInd w:val="0"/>
        <w:spacing w:after="0" w:line="240" w:lineRule="auto"/>
        <w:rPr>
          <w:rFonts w:ascii="Times New Roman" w:hAnsi="Times New Roman" w:cs="Times New Roman"/>
          <w:color w:val="000000"/>
          <w:sz w:val="24"/>
          <w:szCs w:val="24"/>
        </w:rPr>
        <w:sectPr w:rsidR="007F11F2" w:rsidSect="007F11F2">
          <w:headerReference w:type="default" r:id="rId9"/>
          <w:footerReference w:type="default" r:id="rId10"/>
          <w:footerReference w:type="first" r:id="rId11"/>
          <w:pgSz w:w="12240" w:h="15840"/>
          <w:pgMar w:top="1440" w:right="1440" w:bottom="1440" w:left="1440" w:header="720" w:footer="720" w:gutter="0"/>
          <w:cols w:space="720"/>
          <w:titlePg/>
          <w:docGrid w:linePitch="360"/>
        </w:sectPr>
      </w:pPr>
    </w:p>
    <w:bookmarkStart w:id="1" w:name="_Toc320712740"/>
    <w:p w:rsidR="009D0C39" w:rsidRDefault="00F62453">
      <w:pPr>
        <w:pStyle w:val="TOC1"/>
        <w:rPr>
          <w:rFonts w:asciiTheme="minorHAnsi" w:eastAsiaTheme="minorEastAsia" w:hAnsiTheme="minorHAnsi"/>
          <w:noProof/>
          <w:sz w:val="22"/>
        </w:rPr>
      </w:pPr>
      <w:r>
        <w:rPr>
          <w:rFonts w:eastAsia="Times New Roman" w:cs="Times New Roman"/>
          <w:b/>
          <w:szCs w:val="26"/>
          <w:lang w:bidi="en-US"/>
        </w:rPr>
        <w:lastRenderedPageBreak/>
        <w:fldChar w:fldCharType="begin"/>
      </w:r>
      <w:r>
        <w:rPr>
          <w:rFonts w:eastAsia="Times New Roman" w:cs="Times New Roman"/>
          <w:b/>
          <w:szCs w:val="26"/>
          <w:lang w:bidi="en-US"/>
        </w:rPr>
        <w:instrText xml:space="preserve"> TOC \o "1-4" \u </w:instrText>
      </w:r>
      <w:r>
        <w:rPr>
          <w:rFonts w:eastAsia="Times New Roman" w:cs="Times New Roman"/>
          <w:b/>
          <w:szCs w:val="26"/>
          <w:lang w:bidi="en-US"/>
        </w:rPr>
        <w:fldChar w:fldCharType="separate"/>
      </w:r>
      <w:r w:rsidR="009D0C39">
        <w:rPr>
          <w:noProof/>
        </w:rPr>
        <w:t>INTRODUCTION AND BACKGROUND</w:t>
      </w:r>
      <w:r w:rsidR="009D0C39">
        <w:rPr>
          <w:noProof/>
        </w:rPr>
        <w:tab/>
      </w:r>
      <w:r w:rsidR="009D0C39">
        <w:rPr>
          <w:noProof/>
        </w:rPr>
        <w:fldChar w:fldCharType="begin"/>
      </w:r>
      <w:r w:rsidR="009D0C39">
        <w:rPr>
          <w:noProof/>
        </w:rPr>
        <w:instrText xml:space="preserve"> PAGEREF _Toc353951840 \h </w:instrText>
      </w:r>
      <w:r w:rsidR="009D0C39">
        <w:rPr>
          <w:noProof/>
        </w:rPr>
      </w:r>
      <w:r w:rsidR="009D0C39">
        <w:rPr>
          <w:noProof/>
        </w:rPr>
        <w:fldChar w:fldCharType="separate"/>
      </w:r>
      <w:r w:rsidR="00856E3E">
        <w:rPr>
          <w:noProof/>
        </w:rPr>
        <w:t>1</w:t>
      </w:r>
      <w:r w:rsidR="009D0C39">
        <w:rPr>
          <w:noProof/>
        </w:rPr>
        <w:fldChar w:fldCharType="end"/>
      </w:r>
    </w:p>
    <w:p w:rsidR="009D0C39" w:rsidRDefault="009D0C39">
      <w:pPr>
        <w:pStyle w:val="TOC1"/>
        <w:rPr>
          <w:rFonts w:asciiTheme="minorHAnsi" w:eastAsiaTheme="minorEastAsia" w:hAnsiTheme="minorHAnsi"/>
          <w:noProof/>
          <w:sz w:val="22"/>
        </w:rPr>
      </w:pPr>
      <w:r>
        <w:rPr>
          <w:noProof/>
        </w:rPr>
        <w:t>STATEMENT OF ISSUES</w:t>
      </w:r>
      <w:r>
        <w:rPr>
          <w:noProof/>
        </w:rPr>
        <w:tab/>
      </w:r>
      <w:r>
        <w:rPr>
          <w:noProof/>
        </w:rPr>
        <w:fldChar w:fldCharType="begin"/>
      </w:r>
      <w:r>
        <w:rPr>
          <w:noProof/>
        </w:rPr>
        <w:instrText xml:space="preserve"> PAGEREF _Toc353951841 \h </w:instrText>
      </w:r>
      <w:r>
        <w:rPr>
          <w:noProof/>
        </w:rPr>
      </w:r>
      <w:r>
        <w:rPr>
          <w:noProof/>
        </w:rPr>
        <w:fldChar w:fldCharType="separate"/>
      </w:r>
      <w:r w:rsidR="00856E3E">
        <w:rPr>
          <w:noProof/>
        </w:rPr>
        <w:t>3</w:t>
      </w:r>
      <w:r>
        <w:rPr>
          <w:noProof/>
        </w:rPr>
        <w:fldChar w:fldCharType="end"/>
      </w:r>
    </w:p>
    <w:p w:rsidR="009D0C39" w:rsidRDefault="009D0C39">
      <w:pPr>
        <w:pStyle w:val="TOC1"/>
        <w:rPr>
          <w:rFonts w:asciiTheme="minorHAnsi" w:eastAsiaTheme="minorEastAsia" w:hAnsiTheme="minorHAnsi"/>
          <w:noProof/>
          <w:sz w:val="22"/>
        </w:rPr>
      </w:pPr>
      <w:r>
        <w:rPr>
          <w:noProof/>
        </w:rPr>
        <w:t>DISCUSSION</w:t>
      </w:r>
      <w:r>
        <w:rPr>
          <w:noProof/>
        </w:rPr>
        <w:tab/>
      </w:r>
      <w:r>
        <w:rPr>
          <w:noProof/>
        </w:rPr>
        <w:fldChar w:fldCharType="begin"/>
      </w:r>
      <w:r>
        <w:rPr>
          <w:noProof/>
        </w:rPr>
        <w:instrText xml:space="preserve"> PAGEREF _Toc353951842 \h </w:instrText>
      </w:r>
      <w:r>
        <w:rPr>
          <w:noProof/>
        </w:rPr>
      </w:r>
      <w:r>
        <w:rPr>
          <w:noProof/>
        </w:rPr>
        <w:fldChar w:fldCharType="separate"/>
      </w:r>
      <w:r w:rsidR="00856E3E">
        <w:rPr>
          <w:noProof/>
        </w:rPr>
        <w:t>4</w:t>
      </w:r>
      <w:r>
        <w:rPr>
          <w:noProof/>
        </w:rPr>
        <w:fldChar w:fldCharType="end"/>
      </w:r>
    </w:p>
    <w:p w:rsidR="009D0C39" w:rsidRDefault="009D0C39">
      <w:pPr>
        <w:pStyle w:val="TOC2"/>
        <w:tabs>
          <w:tab w:val="left" w:pos="1440"/>
        </w:tabs>
        <w:rPr>
          <w:rFonts w:asciiTheme="minorHAnsi" w:eastAsiaTheme="minorEastAsia" w:hAnsiTheme="minorHAnsi"/>
          <w:noProof/>
          <w:sz w:val="22"/>
        </w:rPr>
      </w:pPr>
      <w:r>
        <w:rPr>
          <w:noProof/>
        </w:rPr>
        <w:t>I.</w:t>
      </w:r>
      <w:r>
        <w:rPr>
          <w:rFonts w:asciiTheme="minorHAnsi" w:eastAsiaTheme="minorEastAsia" w:hAnsiTheme="minorHAnsi"/>
          <w:noProof/>
          <w:sz w:val="22"/>
        </w:rPr>
        <w:tab/>
      </w:r>
      <w:r>
        <w:rPr>
          <w:noProof/>
        </w:rPr>
        <w:t>Adoption of the postage-stamp portion of the transmission cost allocation proposal is unjust and unreasonable.</w:t>
      </w:r>
      <w:r>
        <w:rPr>
          <w:noProof/>
        </w:rPr>
        <w:tab/>
      </w:r>
      <w:r>
        <w:rPr>
          <w:noProof/>
        </w:rPr>
        <w:fldChar w:fldCharType="begin"/>
      </w:r>
      <w:r>
        <w:rPr>
          <w:noProof/>
        </w:rPr>
        <w:instrText xml:space="preserve"> PAGEREF _Toc353951843 \h </w:instrText>
      </w:r>
      <w:r>
        <w:rPr>
          <w:noProof/>
        </w:rPr>
      </w:r>
      <w:r>
        <w:rPr>
          <w:noProof/>
        </w:rPr>
        <w:fldChar w:fldCharType="separate"/>
      </w:r>
      <w:r w:rsidR="00856E3E">
        <w:rPr>
          <w:noProof/>
        </w:rPr>
        <w:t>4</w:t>
      </w:r>
      <w:r>
        <w:rPr>
          <w:noProof/>
        </w:rPr>
        <w:fldChar w:fldCharType="end"/>
      </w:r>
    </w:p>
    <w:p w:rsidR="009D0C39" w:rsidRDefault="009D0C39">
      <w:pPr>
        <w:pStyle w:val="TOC2"/>
        <w:tabs>
          <w:tab w:val="left" w:pos="1440"/>
        </w:tabs>
        <w:rPr>
          <w:rFonts w:asciiTheme="minorHAnsi" w:eastAsiaTheme="minorEastAsia" w:hAnsiTheme="minorHAnsi"/>
          <w:noProof/>
          <w:sz w:val="22"/>
        </w:rPr>
      </w:pPr>
      <w:r>
        <w:rPr>
          <w:noProof/>
        </w:rPr>
        <w:t>II.</w:t>
      </w:r>
      <w:r>
        <w:rPr>
          <w:rFonts w:asciiTheme="minorHAnsi" w:eastAsiaTheme="minorEastAsia" w:hAnsiTheme="minorHAnsi"/>
          <w:noProof/>
          <w:sz w:val="22"/>
        </w:rPr>
        <w:tab/>
      </w:r>
      <w:r>
        <w:rPr>
          <w:noProof/>
        </w:rPr>
        <w:t>The Solutions-Based DFAX analysis is flawed.</w:t>
      </w:r>
      <w:r>
        <w:rPr>
          <w:noProof/>
        </w:rPr>
        <w:tab/>
      </w:r>
      <w:r>
        <w:rPr>
          <w:noProof/>
        </w:rPr>
        <w:fldChar w:fldCharType="begin"/>
      </w:r>
      <w:r>
        <w:rPr>
          <w:noProof/>
        </w:rPr>
        <w:instrText xml:space="preserve"> PAGEREF _Toc353951844 \h </w:instrText>
      </w:r>
      <w:r>
        <w:rPr>
          <w:noProof/>
        </w:rPr>
      </w:r>
      <w:r>
        <w:rPr>
          <w:noProof/>
        </w:rPr>
        <w:fldChar w:fldCharType="separate"/>
      </w:r>
      <w:r w:rsidR="00856E3E">
        <w:rPr>
          <w:noProof/>
        </w:rPr>
        <w:t>8</w:t>
      </w:r>
      <w:r>
        <w:rPr>
          <w:noProof/>
        </w:rPr>
        <w:fldChar w:fldCharType="end"/>
      </w:r>
    </w:p>
    <w:p w:rsidR="009D0C39" w:rsidRDefault="009D0C39">
      <w:pPr>
        <w:pStyle w:val="TOC1"/>
        <w:rPr>
          <w:rFonts w:asciiTheme="minorHAnsi" w:eastAsiaTheme="minorEastAsia" w:hAnsiTheme="minorHAnsi"/>
          <w:noProof/>
          <w:sz w:val="22"/>
        </w:rPr>
      </w:pPr>
      <w:r>
        <w:rPr>
          <w:noProof/>
        </w:rPr>
        <w:t>CONCLUSION</w:t>
      </w:r>
      <w:r>
        <w:rPr>
          <w:noProof/>
        </w:rPr>
        <w:tab/>
      </w:r>
      <w:r>
        <w:rPr>
          <w:noProof/>
        </w:rPr>
        <w:fldChar w:fldCharType="begin"/>
      </w:r>
      <w:r>
        <w:rPr>
          <w:noProof/>
        </w:rPr>
        <w:instrText xml:space="preserve"> PAGEREF _Toc353951845 \h </w:instrText>
      </w:r>
      <w:r>
        <w:rPr>
          <w:noProof/>
        </w:rPr>
      </w:r>
      <w:r>
        <w:rPr>
          <w:noProof/>
        </w:rPr>
        <w:fldChar w:fldCharType="separate"/>
      </w:r>
      <w:r w:rsidR="00856E3E">
        <w:rPr>
          <w:noProof/>
        </w:rPr>
        <w:t>9</w:t>
      </w:r>
      <w:r>
        <w:rPr>
          <w:noProof/>
        </w:rPr>
        <w:fldChar w:fldCharType="end"/>
      </w:r>
    </w:p>
    <w:p w:rsidR="009D0C39" w:rsidRDefault="009D0C39">
      <w:pPr>
        <w:pStyle w:val="TOC1"/>
        <w:rPr>
          <w:rFonts w:asciiTheme="minorHAnsi" w:eastAsiaTheme="minorEastAsia" w:hAnsiTheme="minorHAnsi"/>
          <w:noProof/>
          <w:sz w:val="22"/>
        </w:rPr>
      </w:pPr>
      <w:r>
        <w:rPr>
          <w:noProof/>
        </w:rPr>
        <w:t>CERTIFICATE OF SERVICE</w:t>
      </w:r>
      <w:r>
        <w:rPr>
          <w:noProof/>
        </w:rPr>
        <w:tab/>
      </w:r>
      <w:r>
        <w:rPr>
          <w:noProof/>
        </w:rPr>
        <w:fldChar w:fldCharType="begin"/>
      </w:r>
      <w:r>
        <w:rPr>
          <w:noProof/>
        </w:rPr>
        <w:instrText xml:space="preserve"> PAGEREF _Toc353951846 \h </w:instrText>
      </w:r>
      <w:r>
        <w:rPr>
          <w:noProof/>
        </w:rPr>
      </w:r>
      <w:r>
        <w:rPr>
          <w:noProof/>
        </w:rPr>
        <w:fldChar w:fldCharType="separate"/>
      </w:r>
      <w:r w:rsidR="00856E3E">
        <w:rPr>
          <w:noProof/>
        </w:rPr>
        <w:t>10</w:t>
      </w:r>
      <w:r>
        <w:rPr>
          <w:noProof/>
        </w:rPr>
        <w:fldChar w:fldCharType="end"/>
      </w:r>
    </w:p>
    <w:p w:rsidR="00F62453" w:rsidRDefault="00F62453" w:rsidP="00F62453">
      <w:pPr>
        <w:spacing w:after="0" w:line="240" w:lineRule="auto"/>
        <w:rPr>
          <w:rFonts w:ascii="Times New Roman" w:eastAsia="Times New Roman" w:hAnsi="Times New Roman" w:cs="Times New Roman"/>
          <w:b/>
          <w:sz w:val="26"/>
          <w:szCs w:val="26"/>
          <w:lang w:bidi="en-US"/>
        </w:rPr>
      </w:pPr>
      <w:r>
        <w:rPr>
          <w:rFonts w:ascii="Times New Roman" w:eastAsia="Times New Roman" w:hAnsi="Times New Roman" w:cs="Times New Roman"/>
          <w:b/>
          <w:sz w:val="26"/>
          <w:szCs w:val="26"/>
          <w:lang w:bidi="en-US"/>
        </w:rPr>
        <w:fldChar w:fldCharType="end"/>
      </w:r>
    </w:p>
    <w:p w:rsidR="00F62453" w:rsidRDefault="00F62453" w:rsidP="00B65E27">
      <w:pPr>
        <w:spacing w:after="0" w:line="240" w:lineRule="auto"/>
        <w:jc w:val="center"/>
        <w:rPr>
          <w:rFonts w:ascii="Times New Roman" w:eastAsia="Times New Roman" w:hAnsi="Times New Roman" w:cs="Times New Roman"/>
          <w:b/>
          <w:sz w:val="26"/>
          <w:szCs w:val="26"/>
          <w:lang w:bidi="en-US"/>
        </w:rPr>
      </w:pPr>
    </w:p>
    <w:p w:rsidR="00F62453" w:rsidRDefault="00F62453" w:rsidP="00B65E27">
      <w:pPr>
        <w:spacing w:after="0" w:line="240" w:lineRule="auto"/>
        <w:jc w:val="center"/>
        <w:rPr>
          <w:rFonts w:ascii="Times New Roman" w:eastAsia="Times New Roman" w:hAnsi="Times New Roman" w:cs="Times New Roman"/>
          <w:b/>
          <w:sz w:val="26"/>
          <w:szCs w:val="26"/>
          <w:lang w:bidi="en-US"/>
        </w:rPr>
        <w:sectPr w:rsidR="00F62453" w:rsidSect="00F62453">
          <w:headerReference w:type="default" r:id="rId12"/>
          <w:footerReference w:type="default" r:id="rId13"/>
          <w:headerReference w:type="first" r:id="rId14"/>
          <w:footerReference w:type="first" r:id="rId15"/>
          <w:pgSz w:w="12240" w:h="15840"/>
          <w:pgMar w:top="1440" w:right="1440" w:bottom="1440" w:left="1440" w:header="720" w:footer="720" w:gutter="0"/>
          <w:pgNumType w:fmt="lowerRoman" w:start="1"/>
          <w:cols w:space="720"/>
          <w:titlePg/>
          <w:docGrid w:linePitch="360"/>
        </w:sectPr>
      </w:pPr>
    </w:p>
    <w:p w:rsidR="00C80A17" w:rsidRPr="000D2745" w:rsidRDefault="00C80A17" w:rsidP="00C80A17">
      <w:pPr>
        <w:spacing w:after="0" w:line="240" w:lineRule="auto"/>
        <w:jc w:val="center"/>
        <w:rPr>
          <w:rFonts w:ascii="Times New Roman" w:eastAsia="Times New Roman" w:hAnsi="Times New Roman" w:cs="Times New Roman"/>
          <w:b/>
          <w:sz w:val="26"/>
          <w:szCs w:val="26"/>
          <w:lang w:bidi="en-US"/>
        </w:rPr>
      </w:pPr>
      <w:bookmarkStart w:id="2" w:name="_Toc339369242"/>
      <w:r w:rsidRPr="000D2745">
        <w:rPr>
          <w:rFonts w:ascii="Times New Roman" w:eastAsia="Times New Roman" w:hAnsi="Times New Roman" w:cs="Times New Roman"/>
          <w:b/>
          <w:sz w:val="26"/>
          <w:szCs w:val="26"/>
          <w:lang w:bidi="en-US"/>
        </w:rPr>
        <w:lastRenderedPageBreak/>
        <w:t>BEFORE THE</w:t>
      </w:r>
    </w:p>
    <w:p w:rsidR="00C80A17" w:rsidRDefault="00C80A17" w:rsidP="00C80A17">
      <w:pPr>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t>FEDERAL ENERGY REGULATORY COMMISSION</w:t>
      </w:r>
    </w:p>
    <w:p w:rsidR="00C80A17" w:rsidRDefault="00C80A17" w:rsidP="00C80A17">
      <w:pPr>
        <w:spacing w:after="0" w:line="240" w:lineRule="auto"/>
        <w:jc w:val="center"/>
        <w:rPr>
          <w:rFonts w:ascii="Times New Roman" w:eastAsia="Times New Roman" w:hAnsi="Times New Roman" w:cs="Times New Roman"/>
          <w:b/>
          <w:sz w:val="26"/>
          <w:szCs w:val="26"/>
          <w:lang w:bidi="en-US"/>
        </w:rPr>
      </w:pPr>
    </w:p>
    <w:p w:rsidR="00C80A17" w:rsidRPr="000D2745" w:rsidRDefault="00C80A17" w:rsidP="00C80A17">
      <w:pPr>
        <w:tabs>
          <w:tab w:val="left" w:pos="720"/>
          <w:tab w:val="left" w:pos="1440"/>
          <w:tab w:val="left" w:pos="2880"/>
          <w:tab w:val="left" w:pos="4320"/>
          <w:tab w:val="left" w:pos="5040"/>
          <w:tab w:val="left" w:pos="5760"/>
          <w:tab w:val="left" w:pos="6480"/>
          <w:tab w:val="left" w:pos="7200"/>
        </w:tabs>
        <w:spacing w:after="0" w:line="240" w:lineRule="auto"/>
        <w:rPr>
          <w:rFonts w:ascii="Times New Roman" w:eastAsia="Times New Roman" w:hAnsi="Times New Roman" w:cs="Times New Roman"/>
          <w:sz w:val="26"/>
          <w:szCs w:val="26"/>
          <w:lang w:bidi="en-US"/>
        </w:rPr>
      </w:pPr>
    </w:p>
    <w:tbl>
      <w:tblPr>
        <w:tblW w:w="0" w:type="auto"/>
        <w:tblLook w:val="04A0" w:firstRow="1" w:lastRow="0" w:firstColumn="1" w:lastColumn="0" w:noHBand="0" w:noVBand="1"/>
      </w:tblPr>
      <w:tblGrid>
        <w:gridCol w:w="4868"/>
        <w:gridCol w:w="289"/>
        <w:gridCol w:w="4419"/>
      </w:tblGrid>
      <w:tr w:rsidR="00C80A17" w:rsidRPr="000D2745" w:rsidTr="005B3547">
        <w:tc>
          <w:tcPr>
            <w:tcW w:w="4868" w:type="dxa"/>
            <w:shd w:val="clear" w:color="auto" w:fill="auto"/>
          </w:tcPr>
          <w:p w:rsidR="00C80A17" w:rsidRDefault="00C80A17" w:rsidP="005B3547">
            <w:pPr>
              <w:spacing w:after="0" w:line="240" w:lineRule="auto"/>
              <w:rPr>
                <w:rFonts w:ascii="Times New Roman" w:eastAsia="Times New Roman" w:hAnsi="Times New Roman" w:cs="Times New Roman"/>
                <w:sz w:val="26"/>
                <w:szCs w:val="26"/>
                <w:lang w:bidi="en-US"/>
              </w:rPr>
            </w:pPr>
          </w:p>
          <w:p w:rsidR="00C80A17" w:rsidRDefault="00C80A17" w:rsidP="005B3547">
            <w:pPr>
              <w:tabs>
                <w:tab w:val="left" w:pos="1980"/>
              </w:tabs>
              <w:spacing w:after="0" w:line="240" w:lineRule="auto"/>
              <w:rPr>
                <w:rFonts w:ascii="Times New Roman" w:eastAsia="Times New Roman" w:hAnsi="Times New Roman" w:cs="Times New Roman"/>
                <w:sz w:val="26"/>
                <w:szCs w:val="26"/>
                <w:lang w:bidi="en-US"/>
              </w:rPr>
            </w:pPr>
          </w:p>
          <w:p w:rsidR="00C80A17" w:rsidRDefault="00C80A17" w:rsidP="005B3547">
            <w:pPr>
              <w:tabs>
                <w:tab w:val="left" w:pos="1980"/>
              </w:tabs>
              <w:spacing w:after="0" w:line="240"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PJM Interconnection, LLC</w:t>
            </w:r>
          </w:p>
          <w:p w:rsidR="00C80A17" w:rsidRDefault="00C80A17" w:rsidP="005B3547">
            <w:pPr>
              <w:tabs>
                <w:tab w:val="left" w:pos="1980"/>
              </w:tabs>
              <w:spacing w:after="0" w:line="240" w:lineRule="auto"/>
              <w:rPr>
                <w:rFonts w:ascii="Times New Roman" w:eastAsia="Times New Roman" w:hAnsi="Times New Roman" w:cs="Times New Roman"/>
                <w:sz w:val="26"/>
                <w:szCs w:val="26"/>
                <w:lang w:bidi="en-US"/>
              </w:rPr>
            </w:pPr>
          </w:p>
          <w:p w:rsidR="00C80A17" w:rsidRDefault="00C80A17" w:rsidP="005B3547">
            <w:pPr>
              <w:tabs>
                <w:tab w:val="left" w:pos="1980"/>
              </w:tabs>
              <w:spacing w:after="0" w:line="240"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Indicated PJM Transmission Owners</w:t>
            </w:r>
          </w:p>
          <w:p w:rsidR="00C80A17" w:rsidRDefault="00C80A17" w:rsidP="005B3547">
            <w:pPr>
              <w:tabs>
                <w:tab w:val="left" w:pos="1980"/>
              </w:tabs>
              <w:spacing w:after="0" w:line="240" w:lineRule="auto"/>
              <w:rPr>
                <w:rFonts w:ascii="Times New Roman" w:eastAsia="Times New Roman" w:hAnsi="Times New Roman" w:cs="Times New Roman"/>
                <w:sz w:val="26"/>
                <w:szCs w:val="26"/>
                <w:lang w:bidi="en-US"/>
              </w:rPr>
            </w:pPr>
          </w:p>
          <w:p w:rsidR="00C80A17" w:rsidRDefault="00C80A17" w:rsidP="005B3547">
            <w:pPr>
              <w:tabs>
                <w:tab w:val="left" w:pos="1980"/>
              </w:tabs>
              <w:spacing w:after="0" w:line="240"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PJM Interconnection, LLC</w:t>
            </w:r>
          </w:p>
          <w:p w:rsidR="00C80A17" w:rsidRPr="000D2745" w:rsidRDefault="00C80A17" w:rsidP="005B3547">
            <w:pPr>
              <w:tabs>
                <w:tab w:val="left" w:pos="1980"/>
              </w:tabs>
              <w:spacing w:after="0" w:line="240"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Public Service Electric and Gas Company</w:t>
            </w:r>
          </w:p>
        </w:tc>
        <w:tc>
          <w:tcPr>
            <w:tcW w:w="289" w:type="dxa"/>
            <w:shd w:val="clear" w:color="auto" w:fill="auto"/>
          </w:tcPr>
          <w:p w:rsidR="00C80A17" w:rsidRDefault="00C80A17" w:rsidP="005B3547">
            <w:pPr>
              <w:spacing w:after="0" w:line="240" w:lineRule="auto"/>
              <w:rPr>
                <w:rFonts w:ascii="Times New Roman" w:eastAsia="Times New Roman" w:hAnsi="Times New Roman" w:cs="Times New Roman"/>
                <w:sz w:val="26"/>
                <w:szCs w:val="26"/>
                <w:lang w:bidi="en-US"/>
              </w:rPr>
            </w:pPr>
          </w:p>
          <w:p w:rsidR="00C80A17" w:rsidRDefault="00C80A17" w:rsidP="005B3547">
            <w:pPr>
              <w:spacing w:after="0" w:line="240" w:lineRule="auto"/>
              <w:rPr>
                <w:rFonts w:ascii="Times New Roman" w:eastAsia="Times New Roman" w:hAnsi="Times New Roman" w:cs="Times New Roman"/>
                <w:sz w:val="26"/>
                <w:szCs w:val="26"/>
                <w:lang w:bidi="en-US"/>
              </w:rPr>
            </w:pPr>
          </w:p>
          <w:p w:rsidR="00C80A17" w:rsidRPr="000D2745" w:rsidRDefault="00C80A17" w:rsidP="005B3547">
            <w:pPr>
              <w:spacing w:after="0" w:line="240" w:lineRule="auto"/>
              <w:rPr>
                <w:rFonts w:ascii="Times New Roman" w:eastAsia="Times New Roman" w:hAnsi="Times New Roman" w:cs="Times New Roman"/>
                <w:sz w:val="26"/>
                <w:szCs w:val="26"/>
                <w:lang w:bidi="en-US"/>
              </w:rPr>
            </w:pPr>
            <w:r w:rsidRPr="000D2745">
              <w:rPr>
                <w:rFonts w:ascii="Times New Roman" w:eastAsia="Times New Roman" w:hAnsi="Times New Roman" w:cs="Times New Roman"/>
                <w:sz w:val="26"/>
                <w:szCs w:val="26"/>
                <w:lang w:bidi="en-US"/>
              </w:rPr>
              <w:t>:</w:t>
            </w:r>
          </w:p>
          <w:p w:rsidR="00C80A17" w:rsidRPr="000D2745" w:rsidRDefault="00C80A17" w:rsidP="005B3547">
            <w:pPr>
              <w:spacing w:after="0" w:line="240" w:lineRule="auto"/>
              <w:rPr>
                <w:rFonts w:ascii="Times New Roman" w:eastAsia="Times New Roman" w:hAnsi="Times New Roman" w:cs="Times New Roman"/>
                <w:sz w:val="26"/>
                <w:szCs w:val="26"/>
                <w:lang w:bidi="en-US"/>
              </w:rPr>
            </w:pPr>
          </w:p>
          <w:p w:rsidR="00C80A17" w:rsidRDefault="00C80A17" w:rsidP="005B3547">
            <w:pPr>
              <w:spacing w:after="0" w:line="240" w:lineRule="auto"/>
              <w:rPr>
                <w:rFonts w:ascii="Times New Roman" w:eastAsia="Times New Roman" w:hAnsi="Times New Roman" w:cs="Times New Roman"/>
                <w:sz w:val="26"/>
                <w:szCs w:val="26"/>
                <w:lang w:bidi="en-US"/>
              </w:rPr>
            </w:pPr>
            <w:r w:rsidRPr="000D2745">
              <w:rPr>
                <w:rFonts w:ascii="Times New Roman" w:eastAsia="Times New Roman" w:hAnsi="Times New Roman" w:cs="Times New Roman"/>
                <w:sz w:val="26"/>
                <w:szCs w:val="26"/>
                <w:lang w:bidi="en-US"/>
              </w:rPr>
              <w:t>:</w:t>
            </w:r>
          </w:p>
          <w:p w:rsidR="00C80A17" w:rsidRDefault="00C80A17" w:rsidP="005B3547">
            <w:pPr>
              <w:spacing w:after="0" w:line="240" w:lineRule="auto"/>
              <w:rPr>
                <w:rFonts w:ascii="Times New Roman" w:eastAsia="Times New Roman" w:hAnsi="Times New Roman" w:cs="Times New Roman"/>
                <w:sz w:val="26"/>
                <w:szCs w:val="26"/>
                <w:lang w:bidi="en-US"/>
              </w:rPr>
            </w:pPr>
          </w:p>
          <w:p w:rsidR="00C80A17" w:rsidRDefault="00C80A17" w:rsidP="005B3547">
            <w:pPr>
              <w:spacing w:after="0" w:line="240"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w:t>
            </w:r>
          </w:p>
          <w:p w:rsidR="00C80A17" w:rsidRDefault="00C80A17" w:rsidP="005B3547">
            <w:pPr>
              <w:spacing w:after="0" w:line="240"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w:t>
            </w:r>
          </w:p>
          <w:p w:rsidR="00C80A17" w:rsidRPr="000D2745" w:rsidRDefault="00C80A17" w:rsidP="005B3547">
            <w:pPr>
              <w:spacing w:after="0" w:line="240" w:lineRule="auto"/>
              <w:rPr>
                <w:rFonts w:ascii="Times New Roman" w:eastAsia="Times New Roman" w:hAnsi="Times New Roman" w:cs="Times New Roman"/>
                <w:sz w:val="26"/>
                <w:szCs w:val="26"/>
                <w:lang w:bidi="en-US"/>
              </w:rPr>
            </w:pPr>
          </w:p>
        </w:tc>
        <w:tc>
          <w:tcPr>
            <w:tcW w:w="4419" w:type="dxa"/>
            <w:shd w:val="clear" w:color="auto" w:fill="auto"/>
          </w:tcPr>
          <w:p w:rsidR="00C80A17" w:rsidRPr="000D2745" w:rsidRDefault="00C80A17" w:rsidP="005B3547">
            <w:pPr>
              <w:spacing w:after="0" w:line="240" w:lineRule="auto"/>
              <w:rPr>
                <w:rFonts w:ascii="Times New Roman" w:eastAsia="Times New Roman" w:hAnsi="Times New Roman" w:cs="Times New Roman"/>
                <w:sz w:val="26"/>
                <w:szCs w:val="26"/>
                <w:lang w:bidi="en-US"/>
              </w:rPr>
            </w:pPr>
          </w:p>
          <w:p w:rsidR="00C80A17" w:rsidRPr="000D2745" w:rsidRDefault="00C80A17" w:rsidP="005B3547">
            <w:pPr>
              <w:spacing w:after="0" w:line="240" w:lineRule="auto"/>
              <w:rPr>
                <w:rFonts w:ascii="Times New Roman" w:eastAsia="Times New Roman" w:hAnsi="Times New Roman" w:cs="Times New Roman"/>
                <w:sz w:val="26"/>
                <w:szCs w:val="26"/>
                <w:lang w:bidi="en-US"/>
              </w:rPr>
            </w:pPr>
          </w:p>
          <w:p w:rsidR="00C80A17" w:rsidRDefault="00C80A17" w:rsidP="005B3547">
            <w:pPr>
              <w:tabs>
                <w:tab w:val="left" w:pos="1323"/>
              </w:tabs>
              <w:spacing w:after="0" w:line="240"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Docket No.</w:t>
            </w:r>
            <w:r>
              <w:rPr>
                <w:rFonts w:ascii="Times New Roman" w:eastAsia="Times New Roman" w:hAnsi="Times New Roman" w:cs="Times New Roman"/>
                <w:sz w:val="26"/>
                <w:szCs w:val="26"/>
                <w:lang w:bidi="en-US"/>
              </w:rPr>
              <w:tab/>
              <w:t>ER13-198</w:t>
            </w:r>
            <w:r w:rsidRPr="000D2745">
              <w:rPr>
                <w:rFonts w:ascii="Times New Roman" w:eastAsia="Times New Roman" w:hAnsi="Times New Roman" w:cs="Times New Roman"/>
                <w:sz w:val="26"/>
                <w:szCs w:val="26"/>
                <w:lang w:bidi="en-US"/>
              </w:rPr>
              <w:t>-000</w:t>
            </w:r>
          </w:p>
          <w:p w:rsidR="00C80A17" w:rsidRDefault="00C80A17" w:rsidP="005B3547">
            <w:pPr>
              <w:tabs>
                <w:tab w:val="left" w:pos="1323"/>
              </w:tabs>
              <w:spacing w:after="0" w:line="240" w:lineRule="auto"/>
              <w:rPr>
                <w:rFonts w:ascii="Times New Roman" w:eastAsia="Times New Roman" w:hAnsi="Times New Roman" w:cs="Times New Roman"/>
                <w:sz w:val="26"/>
                <w:szCs w:val="26"/>
                <w:lang w:bidi="en-US"/>
              </w:rPr>
            </w:pPr>
          </w:p>
          <w:p w:rsidR="00C80A17" w:rsidRDefault="00C80A17" w:rsidP="005B3547">
            <w:pPr>
              <w:tabs>
                <w:tab w:val="left" w:pos="1323"/>
              </w:tabs>
              <w:spacing w:after="0" w:line="240"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ab/>
              <w:t>ER13-195-000</w:t>
            </w:r>
          </w:p>
          <w:p w:rsidR="00C80A17" w:rsidRDefault="00C80A17" w:rsidP="005B3547">
            <w:pPr>
              <w:tabs>
                <w:tab w:val="left" w:pos="1323"/>
              </w:tabs>
              <w:spacing w:after="0" w:line="240" w:lineRule="auto"/>
              <w:rPr>
                <w:rFonts w:ascii="Times New Roman" w:eastAsia="Times New Roman" w:hAnsi="Times New Roman" w:cs="Times New Roman"/>
                <w:sz w:val="26"/>
                <w:szCs w:val="26"/>
                <w:lang w:bidi="en-US"/>
              </w:rPr>
            </w:pPr>
          </w:p>
          <w:p w:rsidR="00C80A17" w:rsidRPr="000D2745" w:rsidRDefault="00C80A17" w:rsidP="005B3547">
            <w:pPr>
              <w:tabs>
                <w:tab w:val="left" w:pos="1323"/>
              </w:tabs>
              <w:spacing w:after="0" w:line="240"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ab/>
              <w:t>ER13-90-000</w:t>
            </w:r>
          </w:p>
        </w:tc>
      </w:tr>
    </w:tbl>
    <w:p w:rsidR="00C80A17" w:rsidRPr="000D2745" w:rsidRDefault="00C80A17" w:rsidP="00C80A17">
      <w:pPr>
        <w:spacing w:after="0" w:line="240" w:lineRule="auto"/>
        <w:rPr>
          <w:rFonts w:ascii="Times New Roman" w:eastAsia="Times New Roman" w:hAnsi="Times New Roman" w:cs="Times New Roman"/>
          <w:sz w:val="26"/>
          <w:szCs w:val="26"/>
          <w:lang w:bidi="en-US"/>
        </w:rPr>
      </w:pPr>
    </w:p>
    <w:p w:rsidR="00C80A17" w:rsidRPr="000D2745" w:rsidRDefault="00856E3E" w:rsidP="00C80A17">
      <w:pPr>
        <w:tabs>
          <w:tab w:val="left" w:pos="720"/>
          <w:tab w:val="left" w:pos="1440"/>
          <w:tab w:val="left" w:pos="2880"/>
          <w:tab w:val="left" w:pos="4320"/>
          <w:tab w:val="left" w:pos="5040"/>
          <w:tab w:val="left" w:pos="5760"/>
          <w:tab w:val="left" w:pos="6480"/>
          <w:tab w:val="left" w:pos="7200"/>
        </w:tabs>
        <w:spacing w:line="240" w:lineRule="auto"/>
        <w:jc w:val="cente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v:rect id="_x0000_i1027" style="width:468pt;height:1.5pt" o:hralign="center" o:hrstd="t" o:hrnoshade="t" o:hr="t" fillcolor="black" stroked="f"/>
        </w:pict>
      </w:r>
    </w:p>
    <w:p w:rsidR="00C80A17" w:rsidRPr="000D2745" w:rsidRDefault="00C80A17" w:rsidP="00C80A17">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36"/>
          <w:szCs w:val="36"/>
          <w:lang w:bidi="en-US"/>
        </w:rPr>
      </w:pPr>
      <w:r>
        <w:rPr>
          <w:rFonts w:ascii="Times New Roman" w:eastAsia="Times New Roman" w:hAnsi="Times New Roman" w:cs="Times New Roman"/>
          <w:b/>
          <w:sz w:val="36"/>
          <w:szCs w:val="36"/>
          <w:lang w:bidi="en-US"/>
        </w:rPr>
        <w:t>REQUEST FOR REHEARING</w:t>
      </w:r>
    </w:p>
    <w:p w:rsidR="00C80A17" w:rsidRPr="000D2745" w:rsidRDefault="00C80A17" w:rsidP="00C80A17">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t xml:space="preserve">SUBMITTED ON BEHALF OF </w:t>
      </w:r>
    </w:p>
    <w:p w:rsidR="00C80A17" w:rsidRPr="000D2745" w:rsidRDefault="00C80A17" w:rsidP="00C80A17">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sz w:val="26"/>
          <w:szCs w:val="26"/>
          <w:lang w:bidi="en-US"/>
        </w:rPr>
      </w:pPr>
      <w:r w:rsidRPr="000D2745">
        <w:rPr>
          <w:rFonts w:ascii="Times New Roman" w:eastAsia="Times New Roman" w:hAnsi="Times New Roman" w:cs="Times New Roman"/>
          <w:b/>
          <w:sz w:val="26"/>
          <w:szCs w:val="26"/>
          <w:lang w:bidi="en-US"/>
        </w:rPr>
        <w:t>THE PUBLIC UTILITIES COMMISSION OF OHIO</w:t>
      </w:r>
    </w:p>
    <w:p w:rsidR="00C80A17" w:rsidRPr="000D2745" w:rsidRDefault="00856E3E" w:rsidP="00C80A17">
      <w:pPr>
        <w:tabs>
          <w:tab w:val="left" w:pos="720"/>
          <w:tab w:val="left" w:pos="1440"/>
          <w:tab w:val="left" w:pos="2880"/>
          <w:tab w:val="left" w:pos="4320"/>
          <w:tab w:val="left" w:pos="5040"/>
          <w:tab w:val="left" w:pos="5760"/>
          <w:tab w:val="left" w:pos="6480"/>
          <w:tab w:val="left" w:pos="7200"/>
        </w:tabs>
        <w:spacing w:line="480" w:lineRule="auto"/>
        <w:jc w:val="cente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v:rect id="_x0000_i1028" style="width:468pt;height:1.5pt" o:hralign="center" o:hrstd="t" o:hrnoshade="t" o:hr="t" fillcolor="black" stroked="f"/>
        </w:pict>
      </w:r>
    </w:p>
    <w:p w:rsidR="00C80A17" w:rsidRDefault="00C80A17" w:rsidP="00C80A17">
      <w:pPr>
        <w:pStyle w:val="Heading1"/>
      </w:pPr>
      <w:bookmarkStart w:id="3" w:name="_Toc353951840"/>
      <w:bookmarkStart w:id="4" w:name="_Toc339369252"/>
      <w:bookmarkEnd w:id="1"/>
      <w:bookmarkEnd w:id="2"/>
      <w:r>
        <w:t>INTRODUCTION AND BACKGROUND</w:t>
      </w:r>
      <w:bookmarkEnd w:id="3"/>
    </w:p>
    <w:p w:rsidR="00C80A17" w:rsidRPr="0073791A" w:rsidRDefault="00C80A17" w:rsidP="00B01DEB">
      <w:pPr>
        <w:pStyle w:val="Textstyle"/>
      </w:pPr>
      <w:r>
        <w:tab/>
      </w:r>
      <w:r w:rsidRPr="0073791A">
        <w:t>On October 25, 2012, PJM Interconnection, L.L.C. (PJM) submitted to the Federal Energy Regulatory Commission (FERC), in Docket No. ER13-198-000, revisions to Schedule 6 of its Operating Agreement (OA) (Schedule 6), as well as conforming revi</w:t>
      </w:r>
      <w:r w:rsidR="00254A41">
        <w:softHyphen/>
      </w:r>
      <w:r w:rsidRPr="0073791A">
        <w:t>sions to its OA and Open Access Transmission Tariff (OATT)  to comply with the local and regional transmission planning requirements of Order No. 1000.</w:t>
      </w:r>
      <w:r w:rsidRPr="0073791A">
        <w:rPr>
          <w:rStyle w:val="FootnoteReference"/>
          <w:sz w:val="24"/>
        </w:rPr>
        <w:footnoteReference w:id="1"/>
      </w:r>
      <w:r w:rsidRPr="0073791A">
        <w:t xml:space="preserve">  Prior to this, on October 11, 2012, the PJM Transmission Owners had submitted, in Docket No. ER13-90-</w:t>
      </w:r>
      <w:r w:rsidRPr="0073791A">
        <w:lastRenderedPageBreak/>
        <w:t>000 (PJM Transmission Owners October 11 Filing), revisions to Schedule 12 of the PJM OATT (Schedule 12) to comply with the cost allocation requirements of Order No. 1000.  Also</w:t>
      </w:r>
      <w:r w:rsidR="00404A30">
        <w:t>,</w:t>
      </w:r>
      <w:r w:rsidRPr="0073791A">
        <w:t xml:space="preserve"> on October 25, 2012, the Indicated PJM Transmission Owners</w:t>
      </w:r>
      <w:r w:rsidRPr="0073791A">
        <w:rPr>
          <w:rStyle w:val="FootnoteReference"/>
          <w:sz w:val="24"/>
        </w:rPr>
        <w:footnoteReference w:id="2"/>
      </w:r>
      <w:r w:rsidRPr="0073791A">
        <w:t xml:space="preserve"> submitted, in Docket No. ER13-195-000, a filing (Indicated PJM Transmission Owners October 25 Filing) in which they posited that Mobile-Sierra protections apply to existing rights of first refusal in PJM’s tariffs and agreements (PJM, PJM Transmission Owners, and Indi</w:t>
      </w:r>
      <w:r w:rsidR="00254A41">
        <w:softHyphen/>
      </w:r>
      <w:r w:rsidRPr="0073791A">
        <w:t>cated PJM Transmission Owners are collectively referred to as “PJM Parties”).</w:t>
      </w:r>
    </w:p>
    <w:p w:rsidR="00C80A17" w:rsidRPr="0073791A" w:rsidRDefault="00C80A17" w:rsidP="00B01DEB">
      <w:pPr>
        <w:pStyle w:val="Textstyle"/>
      </w:pPr>
      <w:r>
        <w:tab/>
      </w:r>
      <w:r w:rsidRPr="0073791A">
        <w:t>On December 10, 2012, the Public Utilities Commission of Ohio (the Ohio Commis</w:t>
      </w:r>
      <w:r w:rsidR="00254A41">
        <w:softHyphen/>
      </w:r>
      <w:r w:rsidRPr="0073791A">
        <w:t>sion) filed comments in Docket 13-198-000 that, among other things, opposed postage-stamp cost methodology and joined t</w:t>
      </w:r>
      <w:r w:rsidRPr="0073791A">
        <w:rPr>
          <w:spacing w:val="2"/>
        </w:rPr>
        <w:t>h</w:t>
      </w:r>
      <w:r w:rsidRPr="0073791A">
        <w:t>e</w:t>
      </w:r>
      <w:r w:rsidRPr="0073791A">
        <w:rPr>
          <w:spacing w:val="-3"/>
        </w:rPr>
        <w:t xml:space="preserve"> </w:t>
      </w:r>
      <w:r w:rsidRPr="0073791A">
        <w:t>Organizat</w:t>
      </w:r>
      <w:r w:rsidRPr="0073791A">
        <w:rPr>
          <w:spacing w:val="3"/>
        </w:rPr>
        <w:t>i</w:t>
      </w:r>
      <w:r w:rsidRPr="0073791A">
        <w:t>on</w:t>
      </w:r>
      <w:r w:rsidRPr="0073791A">
        <w:rPr>
          <w:spacing w:val="-14"/>
        </w:rPr>
        <w:t xml:space="preserve"> </w:t>
      </w:r>
      <w:r w:rsidRPr="0073791A">
        <w:t>of PJM</w:t>
      </w:r>
      <w:r w:rsidRPr="0073791A">
        <w:rPr>
          <w:spacing w:val="-3"/>
        </w:rPr>
        <w:t xml:space="preserve"> </w:t>
      </w:r>
      <w:r w:rsidRPr="0073791A">
        <w:t>States,</w:t>
      </w:r>
      <w:r w:rsidRPr="0073791A">
        <w:rPr>
          <w:spacing w:val="-7"/>
        </w:rPr>
        <w:t xml:space="preserve"> </w:t>
      </w:r>
      <w:r w:rsidRPr="0073791A">
        <w:t>Inc. (OPSI) in support of PJM’s State Agreement Approach.</w:t>
      </w:r>
    </w:p>
    <w:p w:rsidR="00C80A17" w:rsidRPr="0073791A" w:rsidRDefault="00C80A17" w:rsidP="00B01DEB">
      <w:pPr>
        <w:pStyle w:val="Textstyle"/>
      </w:pPr>
      <w:r>
        <w:tab/>
      </w:r>
      <w:r w:rsidRPr="0073791A">
        <w:t xml:space="preserve">On March 22, 2013, the FERC conditionally accepted the PJM October 25 Filing, subject to further compliance filings.  The FERC also conditionally accepted the PJM Transmission Owners October 11 Filing, effective February 1, 2013, subject to further compliance filings.  Regarding PJM’s proposed State Agreement Approach, the FERC agreed with PJM that it is supplemental to PJM’s proposal to consider transmission needs driven by public policy requirements, and not needed for compliance with Order No. 1000. </w:t>
      </w:r>
      <w:r>
        <w:t xml:space="preserve"> </w:t>
      </w:r>
      <w:r w:rsidRPr="0073791A">
        <w:t>Among other things, the FERC also ordered PJM to clarify its definition of “Pub</w:t>
      </w:r>
      <w:r w:rsidR="00254A41">
        <w:softHyphen/>
      </w:r>
      <w:r w:rsidRPr="0073791A">
        <w:lastRenderedPageBreak/>
        <w:t xml:space="preserve">lic Policy Requirements” to include duly enacted laws or regulations passed by a local governmental entity, such as a municipal or county government. </w:t>
      </w:r>
    </w:p>
    <w:p w:rsidR="00C80A17" w:rsidRDefault="00C80A17" w:rsidP="00B01DEB">
      <w:pPr>
        <w:pStyle w:val="Textstyle"/>
      </w:pPr>
      <w:r>
        <w:tab/>
      </w:r>
      <w:r w:rsidRPr="0073791A">
        <w:t>The Ohio Commission hereby submits its request for rehearing pursuant to Rule 713, CFR § 385.713, in response to the Order on Compliance Filings.</w:t>
      </w:r>
    </w:p>
    <w:p w:rsidR="00B01DEB" w:rsidRPr="00B01DEB" w:rsidRDefault="00B01DEB" w:rsidP="00E82070">
      <w:pPr>
        <w:pStyle w:val="Heading1"/>
      </w:pPr>
      <w:bookmarkStart w:id="5" w:name="_Toc353951841"/>
      <w:r w:rsidRPr="00B01DEB">
        <w:t>STATEMENT OF ISSUES</w:t>
      </w:r>
      <w:bookmarkEnd w:id="5"/>
    </w:p>
    <w:p w:rsidR="00B01DEB" w:rsidRDefault="00B01DEB" w:rsidP="00CD40F9">
      <w:pPr>
        <w:pStyle w:val="Textstyle"/>
        <w:numPr>
          <w:ilvl w:val="0"/>
          <w:numId w:val="6"/>
        </w:numPr>
        <w:spacing w:after="240" w:line="240" w:lineRule="auto"/>
      </w:pPr>
      <w:r w:rsidRPr="00B01DEB">
        <w:t xml:space="preserve">The FERC erred by not following the instructions of the Seventh Circuit in </w:t>
      </w:r>
      <w:r w:rsidRPr="00CD40F9">
        <w:rPr>
          <w:i/>
        </w:rPr>
        <w:t>Illinois Commerce Comm’n v. FERC</w:t>
      </w:r>
      <w:r w:rsidRPr="00B01DEB">
        <w:t>, 576 F.3d 470 (Seventh Cir. 2009).</w:t>
      </w:r>
    </w:p>
    <w:p w:rsidR="00B01DEB" w:rsidRDefault="00B01DEB" w:rsidP="00CD40F9">
      <w:pPr>
        <w:pStyle w:val="Textstyle"/>
        <w:numPr>
          <w:ilvl w:val="0"/>
          <w:numId w:val="6"/>
        </w:numPr>
        <w:spacing w:after="240" w:line="240" w:lineRule="auto"/>
      </w:pPr>
      <w:r w:rsidRPr="00B01DEB">
        <w:t>The FERC erred by abandoning rate design principles and adopting a postage</w:t>
      </w:r>
      <w:r w:rsidR="002B5DEA">
        <w:t>-</w:t>
      </w:r>
      <w:r w:rsidRPr="00B01DEB">
        <w:t xml:space="preserve">stamp analysis that is inconsistent with </w:t>
      </w:r>
      <w:r w:rsidRPr="00CD40F9">
        <w:rPr>
          <w:i/>
        </w:rPr>
        <w:t>Illinois Commerce Comm’n</w:t>
      </w:r>
      <w:r w:rsidRPr="00B01DEB">
        <w:t>;</w:t>
      </w:r>
    </w:p>
    <w:p w:rsidR="00B01DEB" w:rsidRDefault="00B01DEB" w:rsidP="00CD40F9">
      <w:pPr>
        <w:pStyle w:val="Textstyle"/>
        <w:numPr>
          <w:ilvl w:val="0"/>
          <w:numId w:val="6"/>
        </w:numPr>
        <w:spacing w:after="240" w:line="240" w:lineRule="auto"/>
      </w:pPr>
      <w:r w:rsidRPr="00B01DEB">
        <w:t>The FERC erred by not recognizing that cost s</w:t>
      </w:r>
      <w:r w:rsidR="002109AE">
        <w:t>hifts that result from appropri</w:t>
      </w:r>
      <w:r w:rsidR="00254A41">
        <w:softHyphen/>
      </w:r>
      <w:r w:rsidRPr="00B01DEB">
        <w:t>ately aligning transmission costs with the beneficiaries</w:t>
      </w:r>
      <w:r w:rsidR="002109AE">
        <w:t xml:space="preserve"> is not burdensome and is appro</w:t>
      </w:r>
      <w:r w:rsidRPr="00B01DEB">
        <w:t>priate and justified by record evidence.  However, unlike justified cost shifts which align costs with benefits, FERC’s decision to impose postage</w:t>
      </w:r>
      <w:r w:rsidR="002B5DEA">
        <w:t>-</w:t>
      </w:r>
      <w:r w:rsidRPr="00B01DEB">
        <w:t>stamp rates, in the context of previous transmission development in Western PJM, results in a significant unjustified cos</w:t>
      </w:r>
      <w:r w:rsidR="00CD40F9">
        <w:t>t shift and subsidy</w:t>
      </w:r>
      <w:r w:rsidR="002109AE">
        <w:t>;</w:t>
      </w:r>
      <w:r w:rsidR="00CD40F9">
        <w:rPr>
          <w:rStyle w:val="FootnoteReference"/>
        </w:rPr>
        <w:footnoteReference w:id="3"/>
      </w:r>
    </w:p>
    <w:p w:rsidR="00B01DEB" w:rsidRDefault="00B01DEB" w:rsidP="00CD40F9">
      <w:pPr>
        <w:pStyle w:val="Textstyle"/>
        <w:numPr>
          <w:ilvl w:val="0"/>
          <w:numId w:val="6"/>
        </w:numPr>
        <w:spacing w:after="240" w:line="240" w:lineRule="auto"/>
      </w:pPr>
      <w:r w:rsidRPr="00B01DEB">
        <w:t xml:space="preserve">The FERC erred in ruling that new </w:t>
      </w:r>
      <w:r>
        <w:t>high-</w:t>
      </w:r>
      <w:r w:rsidR="00D32786">
        <w:t>voltage</w:t>
      </w:r>
      <w:r>
        <w:t xml:space="preserve"> Regional Facilities</w:t>
      </w:r>
      <w:r w:rsidR="000645DB">
        <w:t xml:space="preserve"> (defined as a double-circuit 345kV and above transmission facilities) and </w:t>
      </w:r>
      <w:r>
        <w:t xml:space="preserve">Necessary Lower </w:t>
      </w:r>
      <w:r w:rsidR="000645DB">
        <w:t>Voltage Facilities</w:t>
      </w:r>
      <w:r w:rsidRPr="00B01DEB">
        <w:t xml:space="preserve"> should be socialized across the PJM footprint, with</w:t>
      </w:r>
      <w:r w:rsidR="00254A41">
        <w:softHyphen/>
      </w:r>
      <w:r w:rsidRPr="00B01DEB">
        <w:t xml:space="preserve">out regard to the actual beneficiaries, does not comply with </w:t>
      </w:r>
      <w:r w:rsidRPr="00CD40F9">
        <w:rPr>
          <w:i/>
        </w:rPr>
        <w:t>Illinois Commerce Comm’n</w:t>
      </w:r>
      <w:r w:rsidRPr="00B01DEB">
        <w:t xml:space="preserve"> and is n</w:t>
      </w:r>
      <w:r w:rsidR="00CD40F9">
        <w:t>ot supported by record evidence</w:t>
      </w:r>
      <w:r w:rsidRPr="00B01DEB">
        <w:t>;</w:t>
      </w:r>
      <w:r w:rsidR="00CD40F9">
        <w:rPr>
          <w:rStyle w:val="FootnoteReference"/>
        </w:rPr>
        <w:footnoteReference w:id="4"/>
      </w:r>
    </w:p>
    <w:p w:rsidR="00B01DEB" w:rsidRPr="00B01DEB" w:rsidRDefault="00B01DEB" w:rsidP="00CD40F9">
      <w:pPr>
        <w:pStyle w:val="Textstyle"/>
        <w:numPr>
          <w:ilvl w:val="0"/>
          <w:numId w:val="6"/>
        </w:numPr>
        <w:spacing w:after="240" w:line="240" w:lineRule="auto"/>
      </w:pPr>
      <w:r w:rsidRPr="00B01DEB">
        <w:t>The FERC erred by not taking into consideration all cost shifts and impacts, instead of just selective ones</w:t>
      </w:r>
      <w:r w:rsidR="006F5000">
        <w:t>,</w:t>
      </w:r>
      <w:r w:rsidR="00CD40F9">
        <w:t xml:space="preserve"> thereby creating subsidies</w:t>
      </w:r>
      <w:r w:rsidRPr="00B01DEB">
        <w:t>;</w:t>
      </w:r>
      <w:r w:rsidR="00CD40F9">
        <w:rPr>
          <w:rStyle w:val="FootnoteReference"/>
        </w:rPr>
        <w:footnoteReference w:id="5"/>
      </w:r>
    </w:p>
    <w:p w:rsidR="00B01DEB" w:rsidRDefault="00B01DEB" w:rsidP="00CD40F9">
      <w:pPr>
        <w:pStyle w:val="Textstyle"/>
        <w:numPr>
          <w:ilvl w:val="0"/>
          <w:numId w:val="6"/>
        </w:numPr>
        <w:spacing w:after="240" w:line="240" w:lineRule="auto"/>
      </w:pPr>
      <w:r w:rsidRPr="00B01DEB">
        <w:lastRenderedPageBreak/>
        <w:t xml:space="preserve">The FERC erred by limiting the application of the beneficiary pays approach to only facilities below </w:t>
      </w:r>
      <w:r w:rsidR="000645DB">
        <w:t>double-circuit 345kV</w:t>
      </w:r>
      <w:r w:rsidR="006F5000">
        <w:t>,</w:t>
      </w:r>
      <w:r w:rsidRPr="00B01DEB">
        <w:t xml:space="preserve"> creating subsidies and violatin</w:t>
      </w:r>
      <w:r w:rsidR="00CD40F9">
        <w:t>g the cost causation principle</w:t>
      </w:r>
      <w:r w:rsidRPr="00B01DEB">
        <w:t>;</w:t>
      </w:r>
      <w:r w:rsidR="00CD40F9">
        <w:rPr>
          <w:rStyle w:val="FootnoteReference"/>
        </w:rPr>
        <w:footnoteReference w:id="6"/>
      </w:r>
      <w:r w:rsidRPr="00B01DEB">
        <w:t xml:space="preserve"> </w:t>
      </w:r>
    </w:p>
    <w:p w:rsidR="00B01DEB" w:rsidRDefault="00B01DEB" w:rsidP="00CD40F9">
      <w:pPr>
        <w:pStyle w:val="Textstyle"/>
        <w:numPr>
          <w:ilvl w:val="0"/>
          <w:numId w:val="6"/>
        </w:numPr>
        <w:spacing w:after="240" w:line="240" w:lineRule="auto"/>
      </w:pPr>
      <w:r w:rsidRPr="00B01DEB">
        <w:t xml:space="preserve">The FERC erred by unjustly and unreasonably disallowing a beneficiary pays approach for allocating the cost of </w:t>
      </w:r>
      <w:r w:rsidR="000645DB">
        <w:t>Regional Facilities and Necessary Lower Voltage Facilities by</w:t>
      </w:r>
      <w:r w:rsidRPr="00B01DEB">
        <w:t xml:space="preserve"> failing to establish a relationship between the costs </w:t>
      </w:r>
      <w:r w:rsidR="00CD40F9">
        <w:t>paid and the benefits received</w:t>
      </w:r>
      <w:r w:rsidRPr="00B01DEB">
        <w:t>.</w:t>
      </w:r>
      <w:r w:rsidR="00CD40F9">
        <w:rPr>
          <w:rStyle w:val="FootnoteReference"/>
        </w:rPr>
        <w:footnoteReference w:id="7"/>
      </w:r>
    </w:p>
    <w:p w:rsidR="00C80A17" w:rsidRPr="00CA68E0" w:rsidRDefault="00C80A17" w:rsidP="00C80A17">
      <w:pPr>
        <w:pStyle w:val="Heading1"/>
      </w:pPr>
      <w:bookmarkStart w:id="6" w:name="_Toc353266807"/>
      <w:bookmarkStart w:id="7" w:name="_Toc353951842"/>
      <w:r w:rsidRPr="00CA68E0">
        <w:t>DISCUSSION</w:t>
      </w:r>
      <w:bookmarkEnd w:id="6"/>
      <w:bookmarkEnd w:id="7"/>
    </w:p>
    <w:p w:rsidR="00C80A17" w:rsidRDefault="00C80A17" w:rsidP="00C80A17">
      <w:pPr>
        <w:pStyle w:val="Heading2"/>
      </w:pPr>
      <w:bookmarkStart w:id="8" w:name="_Toc353266808"/>
      <w:bookmarkStart w:id="9" w:name="_Toc353951843"/>
      <w:r w:rsidRPr="00CA68E0">
        <w:t>Adoption of</w:t>
      </w:r>
      <w:r>
        <w:t xml:space="preserve"> the</w:t>
      </w:r>
      <w:r w:rsidRPr="00CA68E0">
        <w:t xml:space="preserve"> </w:t>
      </w:r>
      <w:r w:rsidR="00E82070">
        <w:t>postage</w:t>
      </w:r>
      <w:r>
        <w:t>-</w:t>
      </w:r>
      <w:r w:rsidR="00E82070">
        <w:t xml:space="preserve">stamp portion </w:t>
      </w:r>
      <w:r>
        <w:t xml:space="preserve">of the </w:t>
      </w:r>
      <w:r w:rsidR="00E82070">
        <w:t>transmission c</w:t>
      </w:r>
      <w:r w:rsidR="00E82070" w:rsidRPr="00CA68E0">
        <w:t xml:space="preserve">ost </w:t>
      </w:r>
      <w:r w:rsidR="00E82070">
        <w:t xml:space="preserve">allocation proposal </w:t>
      </w:r>
      <w:r>
        <w:t xml:space="preserve">is </w:t>
      </w:r>
      <w:r w:rsidR="00E82070">
        <w:t>u</w:t>
      </w:r>
      <w:r w:rsidR="00E82070" w:rsidRPr="00CA68E0">
        <w:t>nju</w:t>
      </w:r>
      <w:r w:rsidR="00E82070">
        <w:t xml:space="preserve">st </w:t>
      </w:r>
      <w:r>
        <w:t xml:space="preserve">and </w:t>
      </w:r>
      <w:r w:rsidR="00E82070">
        <w:t>u</w:t>
      </w:r>
      <w:r w:rsidR="00E82070" w:rsidRPr="00CA68E0">
        <w:t>nreasonable</w:t>
      </w:r>
      <w:r>
        <w:t>.</w:t>
      </w:r>
      <w:bookmarkEnd w:id="8"/>
      <w:bookmarkEnd w:id="9"/>
    </w:p>
    <w:p w:rsidR="00C80A17" w:rsidRPr="00A86EE0" w:rsidRDefault="00C80A17" w:rsidP="00B01DEB">
      <w:pPr>
        <w:pStyle w:val="Textstyle"/>
      </w:pPr>
      <w:r>
        <w:tab/>
        <w:t>The Ohio Commission recognizes that FERC is progressing from its previous posi</w:t>
      </w:r>
      <w:r w:rsidR="00254A41">
        <w:softHyphen/>
      </w:r>
      <w:r>
        <w:t xml:space="preserve">tion </w:t>
      </w:r>
      <w:r w:rsidR="006F5000">
        <w:t xml:space="preserve">that </w:t>
      </w:r>
      <w:r w:rsidR="00254A41">
        <w:t>required the</w:t>
      </w:r>
      <w:r>
        <w:t xml:space="preserve"> application of the postage-stamp cost allocation for 100 percent of a high-</w:t>
      </w:r>
      <w:r w:rsidR="00B361F4">
        <w:t>voltage</w:t>
      </w:r>
      <w:r>
        <w:t xml:space="preserve"> regional transmission facility by adopting the PJM Transmission Owners</w:t>
      </w:r>
      <w:r w:rsidR="006F5000">
        <w:t>’</w:t>
      </w:r>
      <w:r>
        <w:t xml:space="preserve"> h</w:t>
      </w:r>
      <w:r w:rsidR="00D14854">
        <w:t xml:space="preserve">ybrid cost allocation proposal.  This proposal allocates </w:t>
      </w:r>
      <w:r w:rsidR="00254A41">
        <w:t>costs for</w:t>
      </w:r>
      <w:r w:rsidR="002B222F">
        <w:t xml:space="preserve"> </w:t>
      </w:r>
      <w:r w:rsidR="00404A30" w:rsidRPr="00CD40F9">
        <w:t>new high-capacity “</w:t>
      </w:r>
      <w:r w:rsidR="002B222F" w:rsidRPr="00CD40F9">
        <w:t>Regional Facilities</w:t>
      </w:r>
      <w:r w:rsidR="00404A30" w:rsidRPr="00CD40F9">
        <w:t>”</w:t>
      </w:r>
      <w:r w:rsidR="002B222F" w:rsidRPr="00CD40F9">
        <w:t xml:space="preserve"> and </w:t>
      </w:r>
      <w:r w:rsidR="00404A30" w:rsidRPr="00CD40F9">
        <w:t>“</w:t>
      </w:r>
      <w:r w:rsidR="002B222F" w:rsidRPr="00CD40F9">
        <w:t>Necessary Lower Voltage Facilities</w:t>
      </w:r>
      <w:r w:rsidR="00404A30" w:rsidRPr="00CD40F9">
        <w:t>”</w:t>
      </w:r>
      <w:r w:rsidR="002B222F">
        <w:rPr>
          <w:rStyle w:val="FootnoteReference"/>
        </w:rPr>
        <w:footnoteReference w:id="8"/>
      </w:r>
      <w:r w:rsidR="002B222F">
        <w:t xml:space="preserve"> b</w:t>
      </w:r>
      <w:r>
        <w:t>ased 50% on the postage-stamp method and 50% based on the Solution-Based DFAX method</w:t>
      </w:r>
      <w:r w:rsidR="00D14854">
        <w:t xml:space="preserve"> for reli</w:t>
      </w:r>
      <w:r w:rsidR="00254A41">
        <w:softHyphen/>
      </w:r>
      <w:r w:rsidR="00D14854">
        <w:t>ability projects; and 50</w:t>
      </w:r>
      <w:r w:rsidR="00254A41">
        <w:t>% postage</w:t>
      </w:r>
      <w:r w:rsidR="00D14854">
        <w:t xml:space="preserve"> stamp and 50% changes in load energy payments for economic projects</w:t>
      </w:r>
      <w:r w:rsidR="00254A41">
        <w:t xml:space="preserve">.  </w:t>
      </w:r>
      <w:r>
        <w:t xml:space="preserve">FERC’s Order, however, is not in compliance with the Seventh </w:t>
      </w:r>
      <w:r>
        <w:lastRenderedPageBreak/>
        <w:t xml:space="preserve">Circuit’s decision in </w:t>
      </w:r>
      <w:r w:rsidRPr="007F11F2">
        <w:rPr>
          <w:i/>
        </w:rPr>
        <w:t>Illinois Commerce Comm’n v. FERC</w:t>
      </w:r>
      <w:r w:rsidDel="00013E02">
        <w:t xml:space="preserve"> </w:t>
      </w:r>
      <w:r>
        <w:rPr>
          <w:rStyle w:val="FootnoteReference"/>
          <w:sz w:val="24"/>
        </w:rPr>
        <w:footnoteReference w:id="9"/>
      </w:r>
      <w:r>
        <w:t xml:space="preserve"> because it allocates costs to customers, through the postage-stamp component, </w:t>
      </w:r>
      <w:r w:rsidR="002B222F">
        <w:t xml:space="preserve">to those customers </w:t>
      </w:r>
      <w:r>
        <w:t xml:space="preserve">who do not directly or meaningfully benefit from a </w:t>
      </w:r>
      <w:r w:rsidR="00883A5C">
        <w:t xml:space="preserve">new high-capacity </w:t>
      </w:r>
      <w:r>
        <w:t xml:space="preserve">transmission project.  For the reasons stated below, the Ohio Commission seeks rehearing of the Order to the extent that it does not adopt the Solutions-Based DFAX method for the entirety of the costs </w:t>
      </w:r>
      <w:r w:rsidR="00254A41">
        <w:t>of new</w:t>
      </w:r>
      <w:r w:rsidR="00B361F4">
        <w:t xml:space="preserve"> </w:t>
      </w:r>
      <w:r w:rsidR="00404A30" w:rsidRPr="00CD40F9">
        <w:t xml:space="preserve">high-capacity </w:t>
      </w:r>
      <w:r w:rsidR="00B60BF0" w:rsidRPr="00CD40F9">
        <w:t>Regional Facilities</w:t>
      </w:r>
      <w:r w:rsidR="00CD40F9">
        <w:t>.</w:t>
      </w:r>
      <w:r w:rsidR="00FC1FE1" w:rsidRPr="00CD40F9">
        <w:rPr>
          <w:rStyle w:val="FootnoteReference"/>
        </w:rPr>
        <w:footnoteReference w:id="10"/>
      </w:r>
    </w:p>
    <w:p w:rsidR="004566E7" w:rsidRDefault="00C80A17" w:rsidP="00B01DEB">
      <w:pPr>
        <w:pStyle w:val="Textstyle"/>
      </w:pPr>
      <w:r>
        <w:tab/>
        <w:t xml:space="preserve">As the Ohio Commission has previously stated to FERC, the Seventh Circuit was clear, to the extent benefits exist from a new transmission facility, </w:t>
      </w:r>
      <w:r w:rsidR="00930D20">
        <w:t xml:space="preserve">that </w:t>
      </w:r>
      <w:r>
        <w:t>FERC must quan</w:t>
      </w:r>
      <w:r w:rsidR="00254A41">
        <w:softHyphen/>
      </w:r>
      <w:r>
        <w:t>tify and demonstrate tangible value on a sub-region or state-by-state basis prior to shift</w:t>
      </w:r>
      <w:r w:rsidR="00254A41">
        <w:softHyphen/>
      </w:r>
      <w:r>
        <w:t>ing additional costs to those sub-regions or states.</w:t>
      </w:r>
      <w:r>
        <w:rPr>
          <w:rStyle w:val="FootnoteReference"/>
          <w:sz w:val="24"/>
        </w:rPr>
        <w:footnoteReference w:id="11"/>
      </w:r>
      <w:r>
        <w:t xml:space="preserve">  FERC’s Order, once again, fails to quantify the benefits of the postage-stamp methodology applied to a portion of </w:t>
      </w:r>
      <w:r w:rsidR="00B361F4">
        <w:t>Regional Facilities</w:t>
      </w:r>
      <w:r>
        <w:t>.  FERC begins the discussion of benefits in paragraph 414 by stating that “the Commission and reviewing courts have consistently held that there is a presumption that transmission system enhancements benefit all members of an integrated transmission system.”</w:t>
      </w:r>
      <w:r>
        <w:rPr>
          <w:rStyle w:val="FootnoteReference"/>
          <w:sz w:val="24"/>
        </w:rPr>
        <w:footnoteReference w:id="12"/>
      </w:r>
      <w:r>
        <w:t xml:space="preserve">  At the end of this sentence, FERC includes a footnote listing previous FERC </w:t>
      </w:r>
      <w:r>
        <w:lastRenderedPageBreak/>
        <w:t>cases that it believes support its position.  The cases cited by FERC are from 1999, 2001, 2003 and 2004</w:t>
      </w:r>
      <w:r w:rsidR="004566E7">
        <w:t xml:space="preserve"> and none examine the specifics of the PJM territory</w:t>
      </w:r>
      <w:r>
        <w:t>.</w:t>
      </w:r>
      <w:r w:rsidR="004566E7">
        <w:rPr>
          <w:rStyle w:val="FootnoteReference"/>
        </w:rPr>
        <w:footnoteReference w:id="13"/>
      </w:r>
      <w:r>
        <w:t xml:space="preserve">  </w:t>
      </w:r>
    </w:p>
    <w:p w:rsidR="00C80A17" w:rsidRPr="000519E4" w:rsidRDefault="004566E7" w:rsidP="00B01DEB">
      <w:pPr>
        <w:pStyle w:val="Textstyle"/>
      </w:pPr>
      <w:r>
        <w:tab/>
      </w:r>
      <w:r w:rsidR="00C80A17">
        <w:t>The Oh</w:t>
      </w:r>
      <w:r>
        <w:t>io Commission submits that the</w:t>
      </w:r>
      <w:r w:rsidR="00C80A17">
        <w:t xml:space="preserve"> cases</w:t>
      </w:r>
      <w:r>
        <w:t xml:space="preserve"> cited by FERC</w:t>
      </w:r>
      <w:r w:rsidR="00C80A17">
        <w:t xml:space="preserve"> not only predate the Seventh Circuit’s Court Decision but also predate much of the growth in the PJM terri</w:t>
      </w:r>
      <w:r w:rsidR="00254A41">
        <w:softHyphen/>
      </w:r>
      <w:r w:rsidR="00C80A17">
        <w:t>tory.  In fact, PJM did not become a fully functioning RTO until 2002.</w:t>
      </w:r>
      <w:r w:rsidR="00C80A17">
        <w:rPr>
          <w:rStyle w:val="FootnoteReference"/>
          <w:sz w:val="24"/>
        </w:rPr>
        <w:footnoteReference w:id="14"/>
      </w:r>
      <w:r w:rsidR="00C80A17">
        <w:t xml:space="preserve">  Currently, </w:t>
      </w:r>
      <w:r w:rsidR="00C80A17" w:rsidRPr="003E0B0A">
        <w:t xml:space="preserve">PJM Interconnection coordinates the movement of electricity through all or parts of Delaware, Illinois, Indiana, Kentucky, Maryland, Michigan, New Jersey, North Carolina, Ohio, Pennsylvania, Tennessee, Virginia, West Virginia and the District of Columbia. </w:t>
      </w:r>
      <w:r w:rsidR="00C80A17">
        <w:t xml:space="preserve"> </w:t>
      </w:r>
      <w:r w:rsidR="00C80A17" w:rsidRPr="003E0B0A">
        <w:t xml:space="preserve">The PJM region has an area of 214,000 square miles, a population of about 60 million and a </w:t>
      </w:r>
      <w:r w:rsidR="00C80A17" w:rsidRPr="003E0B0A">
        <w:rPr>
          <w:rStyle w:val="addspeech1"/>
          <w:sz w:val="24"/>
        </w:rPr>
        <w:t>peak demand</w:t>
      </w:r>
      <w:r w:rsidR="00C80A17" w:rsidRPr="003E0B0A">
        <w:t xml:space="preserve"> of 163,848 megawatts.</w:t>
      </w:r>
      <w:r w:rsidR="00C80A17">
        <w:rPr>
          <w:rStyle w:val="FootnoteReference"/>
          <w:sz w:val="24"/>
        </w:rPr>
        <w:footnoteReference w:id="15"/>
      </w:r>
      <w:r w:rsidR="00C80A17" w:rsidRPr="003E0B0A">
        <w:t xml:space="preserve"> </w:t>
      </w:r>
      <w:r w:rsidR="004A105C">
        <w:t xml:space="preserve"> What is more</w:t>
      </w:r>
      <w:r w:rsidR="00C80A17">
        <w:t xml:space="preserve">, PJM’s region is further subdivided into many sub-regions for the purpose of calculating capacity costs.  Thus, FERC’s rationale is flawed in that it doesn’t take into account the current size and diversity of PJM’s territory.  FERC provides no quantifiable analysis to demonstrate how a </w:t>
      </w:r>
      <w:r w:rsidR="00B361F4">
        <w:t>Regional Facility</w:t>
      </w:r>
      <w:r w:rsidR="00C80A17">
        <w:t xml:space="preserve"> built in eastern PJM, many miles away (</w:t>
      </w:r>
      <w:r w:rsidR="00C80A17" w:rsidRPr="00CD40F9">
        <w:rPr>
          <w:i/>
        </w:rPr>
        <w:t>e.g.</w:t>
      </w:r>
      <w:r w:rsidR="00C80A17">
        <w:t xml:space="preserve">, a </w:t>
      </w:r>
      <w:r w:rsidR="00254A41">
        <w:t>MapQuest</w:t>
      </w:r>
      <w:r w:rsidR="00C80A17">
        <w:t xml:space="preserve"> search indicates that there are approximately 7</w:t>
      </w:r>
      <w:r w:rsidR="004A105C">
        <w:t>81</w:t>
      </w:r>
      <w:r w:rsidR="00C80A17">
        <w:t xml:space="preserve"> miles between </w:t>
      </w:r>
      <w:r w:rsidR="004A105C">
        <w:t>Chicago, IL and Newark, NJ</w:t>
      </w:r>
      <w:r w:rsidR="00C80A17">
        <w:rPr>
          <w:rStyle w:val="FootnoteReference"/>
          <w:sz w:val="24"/>
        </w:rPr>
        <w:footnoteReference w:id="16"/>
      </w:r>
      <w:r w:rsidR="00C80A17">
        <w:t xml:space="preserve">), will have any benefit to those customers located in western PJM.  </w:t>
      </w:r>
    </w:p>
    <w:p w:rsidR="00C80A17" w:rsidRDefault="00C80A17" w:rsidP="00B01DEB">
      <w:pPr>
        <w:pStyle w:val="Textstyle"/>
      </w:pPr>
      <w:r>
        <w:rPr>
          <w:b/>
        </w:rPr>
        <w:tab/>
      </w:r>
      <w:r>
        <w:t xml:space="preserve">Instead of providing or demonstrating tangible benefits, as required by the Seventh Circuit, FERC states that an “advantage” of the postage-stamp method is that it captures </w:t>
      </w:r>
      <w:r>
        <w:lastRenderedPageBreak/>
        <w:t>“difficult to quantify regional benefits, such as improved reliability, reduced congestion, reduced power losses, greater carrying capacity, reduced operating reserve requirements and improved access to generation.”</w:t>
      </w:r>
      <w:r>
        <w:rPr>
          <w:rStyle w:val="FootnoteReference"/>
          <w:sz w:val="24"/>
        </w:rPr>
        <w:footnoteReference w:id="17"/>
      </w:r>
      <w:r>
        <w:t xml:space="preserve">  Far from providing quantifiable benefits, the exam</w:t>
      </w:r>
      <w:r w:rsidR="00254A41">
        <w:softHyphen/>
      </w:r>
      <w:r>
        <w:t>ples provided by FERC are general benefits of RTO membership, not specific bene</w:t>
      </w:r>
      <w:r w:rsidR="00254A41">
        <w:softHyphen/>
      </w:r>
      <w:r>
        <w:t xml:space="preserve">fits provided by a transmission expansion project.  Furthermore, the aforementioned statement appears to be FERC’s entire support for finding unquantifiable “numerous” and “broad” regional benefits to justify the postage-stamp methodology.   </w:t>
      </w:r>
    </w:p>
    <w:p w:rsidR="00C80A17" w:rsidRDefault="00C80A17" w:rsidP="00B01DEB">
      <w:pPr>
        <w:pStyle w:val="Textstyle"/>
      </w:pPr>
      <w:r>
        <w:tab/>
        <w:t>FERC correctly acknowledges an issue previously raised by the Ohio Commission concerning the convergence of locational marginal prices (LMP) due to new high-voltage transmission facilities.  As the Ohio Commission previously stated, such an occurrence will result in Ohio customers paying twice: once for the transmission facility that does not benefit them and then for the resulting higher LMPs.  FERC, however, summarily dismisses this important point by referring to its aforementioned unquantifiable</w:t>
      </w:r>
      <w:r w:rsidR="00930D20">
        <w:t>,</w:t>
      </w:r>
      <w:r>
        <w:t xml:space="preserve"> broad, regional benefits as justification for allocating costs to these customers via the postage</w:t>
      </w:r>
      <w:r w:rsidR="002B5DEA">
        <w:t>-</w:t>
      </w:r>
      <w:r>
        <w:t xml:space="preserve">stamp method.  </w:t>
      </w:r>
      <w:r w:rsidR="004566E7">
        <w:t xml:space="preserve">Nowhere does the decision quantify regional or </w:t>
      </w:r>
      <w:proofErr w:type="spellStart"/>
      <w:r w:rsidR="004566E7">
        <w:t>subregional</w:t>
      </w:r>
      <w:proofErr w:type="spellEnd"/>
      <w:r w:rsidR="004566E7">
        <w:t xml:space="preserve"> benefits associated with high-capacity transmission expansion</w:t>
      </w:r>
      <w:proofErr w:type="gramStart"/>
      <w:r w:rsidR="004566E7">
        <w:t xml:space="preserve">. </w:t>
      </w:r>
      <w:proofErr w:type="gramEnd"/>
      <w:r>
        <w:t>This decision results in an unjusti</w:t>
      </w:r>
      <w:r w:rsidR="00254A41">
        <w:softHyphen/>
      </w:r>
      <w:r>
        <w:t>fiable cost shift and subsidy which is not just and re</w:t>
      </w:r>
      <w:r w:rsidR="004566E7">
        <w:t xml:space="preserve">asonable.  Thus, </w:t>
      </w:r>
      <w:r>
        <w:t xml:space="preserve">FERC’s decision to apply the postage-stamp methodology to a portion of the transmission costs </w:t>
      </w:r>
      <w:r w:rsidR="00254A41">
        <w:t>of Regional</w:t>
      </w:r>
      <w:r>
        <w:t xml:space="preserve"> Facilities should be </w:t>
      </w:r>
      <w:r w:rsidR="004A105C">
        <w:t>reversed</w:t>
      </w:r>
      <w:r>
        <w:t>.</w:t>
      </w:r>
    </w:p>
    <w:p w:rsidR="00C80A17" w:rsidRPr="00EE4E61" w:rsidRDefault="00C80A17" w:rsidP="00C80A17">
      <w:pPr>
        <w:pStyle w:val="Heading2"/>
      </w:pPr>
      <w:bookmarkStart w:id="10" w:name="_Toc353266809"/>
      <w:bookmarkStart w:id="11" w:name="_Toc353951844"/>
      <w:r>
        <w:lastRenderedPageBreak/>
        <w:t xml:space="preserve">The </w:t>
      </w:r>
      <w:r w:rsidR="00254A41">
        <w:t>Solutions-Based</w:t>
      </w:r>
      <w:r>
        <w:t xml:space="preserve"> DFAX </w:t>
      </w:r>
      <w:r w:rsidR="00254A41">
        <w:t>analysis is f</w:t>
      </w:r>
      <w:r w:rsidR="00254A41" w:rsidRPr="00EE4E61">
        <w:t>lawed</w:t>
      </w:r>
      <w:r w:rsidR="00254A41">
        <w:t>.</w:t>
      </w:r>
      <w:bookmarkEnd w:id="10"/>
      <w:bookmarkEnd w:id="11"/>
    </w:p>
    <w:p w:rsidR="00C80A17" w:rsidRDefault="00C80A17" w:rsidP="00B01DEB">
      <w:pPr>
        <w:pStyle w:val="Textstyle"/>
      </w:pPr>
      <w:r>
        <w:tab/>
        <w:t>The Ohio Commission commends FERC for recognizing the utility and improve</w:t>
      </w:r>
      <w:r w:rsidR="00254A41">
        <w:softHyphen/>
      </w:r>
      <w:r>
        <w:t xml:space="preserve">ment of </w:t>
      </w:r>
      <w:r w:rsidR="00930D20">
        <w:t xml:space="preserve">the </w:t>
      </w:r>
      <w:r>
        <w:t xml:space="preserve">Solutions-Based DFAX method to identify specific beneficiaries of new transmission projects.  </w:t>
      </w:r>
      <w:r w:rsidR="00883A5C">
        <w:t>It is o</w:t>
      </w:r>
      <w:r>
        <w:t>ne of the main advantages of the Solutions-Based DFAX model, as FERC states in paragraph 413, that “more specific benefits of projects can be identified over time.”  In paragraph 427, FERC explains that “because the Solutions-Based DFAX method considers usage of the new transmission facility rather than impact on a constraint, it may reasonably be applied to a facility that resolves multiple violations.  Furthermore, it may be conducted iteratively to account for changes in system topology.”</w:t>
      </w:r>
    </w:p>
    <w:p w:rsidR="00C80A17" w:rsidRDefault="00C80A17" w:rsidP="00B01DEB">
      <w:pPr>
        <w:pStyle w:val="Textstyle"/>
      </w:pPr>
      <w:r>
        <w:tab/>
        <w:t xml:space="preserve">FERC stops short, however, of </w:t>
      </w:r>
      <w:r w:rsidR="004A105C">
        <w:t xml:space="preserve">fully </w:t>
      </w:r>
      <w:r>
        <w:t>adopting this model for all costs associated with Regional Facilities as previously recommended by the Ohio Commission.</w:t>
      </w:r>
      <w:r w:rsidR="00FB4A00">
        <w:t xml:space="preserve">  </w:t>
      </w:r>
      <w:r w:rsidR="00D14854">
        <w:t>N</w:t>
      </w:r>
      <w:r>
        <w:t>ot only does FERC once again point to its broad</w:t>
      </w:r>
      <w:r w:rsidR="000F4164">
        <w:t>,</w:t>
      </w:r>
      <w:r>
        <w:t xml:space="preserve"> regional</w:t>
      </w:r>
      <w:r w:rsidR="000F4164">
        <w:t>,</w:t>
      </w:r>
      <w:r>
        <w:t xml:space="preserve"> unquantifiable</w:t>
      </w:r>
      <w:r w:rsidR="000F4164">
        <w:t>,</w:t>
      </w:r>
      <w:r>
        <w:t xml:space="preserve"> benefits argument to discount the use of Solutions-Based DFAX to identify and allocate all costs of Regional Facilities, it also appears to contradict its aforementioned statements regarding the attrib</w:t>
      </w:r>
      <w:r w:rsidR="00254A41">
        <w:softHyphen/>
      </w:r>
      <w:r>
        <w:t>utes of Solutions-Based DFAX in order to adopt the postage-stamp method for a portion of the costs.  For example, in paragraph 414, FERC contends that the postage</w:t>
      </w:r>
      <w:r w:rsidR="000F4164">
        <w:t>-</w:t>
      </w:r>
      <w:r>
        <w:t>stamp method is superior to identify and allocate certain costs because it “accounts for changes in system use over the lifetime of a high-voltage facility</w:t>
      </w:r>
      <w:r w:rsidR="000F4164">
        <w:t>,</w:t>
      </w:r>
      <w:r>
        <w:t xml:space="preserve">” and, in paragraph 420, </w:t>
      </w:r>
      <w:r w:rsidR="00254A41">
        <w:t>“…</w:t>
      </w:r>
      <w:r>
        <w:t>and users who might benefit in the future as usage of the project changes over time – through the portion based on the postage-stamp methodology.”  As explained previously, FERC claims in paragraphs 413 and 427 that these are the same attributes of the Solutions-Based DFAX.  FERC cannot have it both ways.</w:t>
      </w:r>
    </w:p>
    <w:p w:rsidR="00C80A17" w:rsidRDefault="00C80A17" w:rsidP="00B01DEB">
      <w:pPr>
        <w:pStyle w:val="Textstyle"/>
      </w:pPr>
      <w:r>
        <w:lastRenderedPageBreak/>
        <w:tab/>
        <w:t>The Ohio Commission fails to understand how the postage-stamp methodology identifies specific tangible benefits over time (when, in fact, it identifies no specific bene</w:t>
      </w:r>
      <w:r w:rsidR="00254A41">
        <w:softHyphen/>
      </w:r>
      <w:r>
        <w:t xml:space="preserve">fits); whereas, the Solutions-Based DFAX model </w:t>
      </w:r>
      <w:r w:rsidR="000F4164">
        <w:t xml:space="preserve">would </w:t>
      </w:r>
      <w:r>
        <w:t>calculate the use of the new facility by load in each zone and be updated annually to account for changes in use due to modification of the grid.</w:t>
      </w:r>
      <w:r>
        <w:rPr>
          <w:rStyle w:val="FootnoteReference"/>
          <w:sz w:val="24"/>
        </w:rPr>
        <w:footnoteReference w:id="18"/>
      </w:r>
      <w:r>
        <w:t xml:space="preserve">  </w:t>
      </w:r>
      <w:r w:rsidR="00FB4A00">
        <w:t>For this reason</w:t>
      </w:r>
      <w:r w:rsidR="00254A41">
        <w:t>, Solutions</w:t>
      </w:r>
      <w:r w:rsidR="00FB4A00">
        <w:t>-Based DFAX should apply to all new transmission projects</w:t>
      </w:r>
      <w:r w:rsidR="00D14854">
        <w:t>, including Regional Facilities for reliability and/or economic projects,</w:t>
      </w:r>
      <w:r w:rsidR="00FB4A00">
        <w:t xml:space="preserve"> with no exceptions.  </w:t>
      </w:r>
      <w:r>
        <w:t xml:space="preserve">The Ohio Commission, therefore, requests rehearing of this issue and renews its recommendation that FERC adopt a Solutions-Based DFAX model to allocate 100 percent of the costs of </w:t>
      </w:r>
      <w:r w:rsidR="004A105C">
        <w:t xml:space="preserve">all </w:t>
      </w:r>
      <w:r>
        <w:t xml:space="preserve">high-capacity Regional Facilities </w:t>
      </w:r>
      <w:r w:rsidR="00B361F4">
        <w:t>to the benefi</w:t>
      </w:r>
      <w:r w:rsidR="00254A41">
        <w:softHyphen/>
      </w:r>
      <w:r w:rsidR="00B361F4">
        <w:t>ciaries</w:t>
      </w:r>
      <w:r w:rsidR="00FB4A00">
        <w:t xml:space="preserve"> </w:t>
      </w:r>
      <w:r w:rsidR="00254A41">
        <w:t>of new</w:t>
      </w:r>
      <w:r w:rsidR="00B361F4">
        <w:t xml:space="preserve"> Regional Facilities</w:t>
      </w:r>
      <w:r>
        <w:t>.</w:t>
      </w:r>
    </w:p>
    <w:p w:rsidR="004011FE" w:rsidRDefault="000B1B8C" w:rsidP="00A756F2">
      <w:pPr>
        <w:pStyle w:val="Heading1"/>
      </w:pPr>
      <w:bookmarkStart w:id="12" w:name="_Toc353266810"/>
      <w:bookmarkStart w:id="13" w:name="_Toc353951845"/>
      <w:r w:rsidRPr="0018316D">
        <w:t>CONCLUSION</w:t>
      </w:r>
      <w:bookmarkEnd w:id="4"/>
      <w:bookmarkEnd w:id="12"/>
      <w:bookmarkEnd w:id="13"/>
    </w:p>
    <w:p w:rsidR="00B60BF0" w:rsidRPr="00A86EE0" w:rsidRDefault="004A105C" w:rsidP="00B60BF0">
      <w:pPr>
        <w:pStyle w:val="Textstyle"/>
      </w:pPr>
      <w:r>
        <w:tab/>
      </w:r>
      <w:r w:rsidR="00B60BF0">
        <w:t xml:space="preserve">FERC’s </w:t>
      </w:r>
      <w:r w:rsidR="00254A41">
        <w:t>Order is</w:t>
      </w:r>
      <w:r w:rsidR="00B60BF0">
        <w:t xml:space="preserve"> not in compliance with the Seventh Circuit’s decision in </w:t>
      </w:r>
      <w:r w:rsidR="00B60BF0" w:rsidRPr="007F11F2">
        <w:rPr>
          <w:i/>
        </w:rPr>
        <w:t xml:space="preserve">Illinois Commerce Comm’n v. </w:t>
      </w:r>
      <w:r w:rsidR="00254A41" w:rsidRPr="007F11F2">
        <w:rPr>
          <w:i/>
        </w:rPr>
        <w:t>FERC</w:t>
      </w:r>
      <w:r w:rsidR="00254A41" w:rsidDel="00013E02">
        <w:t xml:space="preserve"> </w:t>
      </w:r>
      <w:r w:rsidR="00254A41">
        <w:t>because</w:t>
      </w:r>
      <w:r w:rsidR="00B60BF0">
        <w:t xml:space="preserve"> it allocates costs to customers, through the postage-stamp component, who do not directly or meaningfully benefit from a transmission pro</w:t>
      </w:r>
      <w:r w:rsidR="00254A41">
        <w:softHyphen/>
      </w:r>
      <w:r w:rsidR="00B60BF0">
        <w:t xml:space="preserve">ject.  The Ohio Commission respectfully seeks rehearing of the Order to the extent that it does not adopt the Solutions-Based DFAX method for the entirety of the costs of new Regional Facilities.    </w:t>
      </w:r>
    </w:p>
    <w:p w:rsidR="000D63FA" w:rsidRDefault="000D63FA" w:rsidP="00FA7B56">
      <w:pPr>
        <w:spacing w:after="0" w:line="240" w:lineRule="auto"/>
        <w:ind w:left="4320"/>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br w:type="page"/>
      </w:r>
    </w:p>
    <w:p w:rsidR="0018316D" w:rsidRDefault="0018316D" w:rsidP="00FA7B56">
      <w:pPr>
        <w:spacing w:after="0" w:line="240" w:lineRule="auto"/>
        <w:ind w:left="4320"/>
        <w:rPr>
          <w:rFonts w:ascii="Times New Roman" w:eastAsia="Times New Roman" w:hAnsi="Times New Roman" w:cs="Times New Roman"/>
          <w:sz w:val="26"/>
          <w:szCs w:val="26"/>
          <w:lang w:eastAsia="x-none"/>
        </w:rPr>
      </w:pPr>
      <w:r w:rsidRPr="00FA7B56">
        <w:rPr>
          <w:rFonts w:ascii="Times New Roman" w:eastAsia="Times New Roman" w:hAnsi="Times New Roman" w:cs="Times New Roman"/>
          <w:sz w:val="26"/>
          <w:szCs w:val="26"/>
          <w:lang w:val="x-none" w:eastAsia="x-none"/>
        </w:rPr>
        <w:lastRenderedPageBreak/>
        <w:t>Respectfully submitted,</w:t>
      </w:r>
    </w:p>
    <w:p w:rsidR="00FA7B56" w:rsidRDefault="00FA7B56" w:rsidP="00FA7B56">
      <w:pPr>
        <w:spacing w:after="0" w:line="240" w:lineRule="auto"/>
        <w:ind w:left="4320"/>
        <w:rPr>
          <w:rFonts w:ascii="Times New Roman" w:eastAsia="Times New Roman" w:hAnsi="Times New Roman" w:cs="Times New Roman"/>
          <w:sz w:val="26"/>
          <w:szCs w:val="26"/>
          <w:lang w:eastAsia="x-none"/>
        </w:rPr>
      </w:pPr>
    </w:p>
    <w:p w:rsidR="0018316D" w:rsidRPr="00E4211E" w:rsidRDefault="00CD40F9" w:rsidP="0018316D">
      <w:pPr>
        <w:tabs>
          <w:tab w:val="left" w:pos="9360"/>
        </w:tabs>
        <w:spacing w:after="0" w:line="240" w:lineRule="auto"/>
        <w:ind w:left="4320"/>
        <w:rPr>
          <w:rFonts w:ascii="Viner Hand ITC" w:eastAsia="Times New Roman" w:hAnsi="Viner Hand ITC" w:cs="Times New Roman"/>
          <w:i/>
          <w:sz w:val="28"/>
          <w:szCs w:val="28"/>
          <w:u w:val="single"/>
          <w:lang w:eastAsia="x-none"/>
        </w:rPr>
      </w:pPr>
      <w:r>
        <w:rPr>
          <w:rFonts w:ascii="Viner Hand ITC" w:eastAsia="Times New Roman" w:hAnsi="Viner Hand ITC" w:cs="Times New Roman"/>
          <w:i/>
          <w:sz w:val="28"/>
          <w:szCs w:val="28"/>
          <w:u w:val="single"/>
          <w:lang w:eastAsia="x-none"/>
        </w:rPr>
        <w:t>/s/ Thomas W. McNamee</w:t>
      </w:r>
      <w:r w:rsidR="00E4211E" w:rsidRPr="00E4211E">
        <w:rPr>
          <w:rFonts w:ascii="Viner Hand ITC" w:eastAsia="Times New Roman" w:hAnsi="Viner Hand ITC" w:cs="Times New Roman"/>
          <w:i/>
          <w:sz w:val="28"/>
          <w:szCs w:val="28"/>
          <w:u w:val="single"/>
          <w:lang w:eastAsia="x-none"/>
        </w:rPr>
        <w:tab/>
      </w:r>
    </w:p>
    <w:p w:rsidR="0018316D" w:rsidRPr="00FA7B56" w:rsidRDefault="0018316D" w:rsidP="0018316D">
      <w:pPr>
        <w:spacing w:after="0" w:line="240" w:lineRule="auto"/>
        <w:ind w:left="4320"/>
        <w:rPr>
          <w:rFonts w:ascii="Times New Roman" w:eastAsia="Calibri" w:hAnsi="Times New Roman" w:cs="Times New Roman"/>
          <w:b/>
          <w:sz w:val="26"/>
          <w:szCs w:val="26"/>
        </w:rPr>
      </w:pPr>
      <w:r w:rsidRPr="00FA7B56">
        <w:rPr>
          <w:rFonts w:ascii="Times New Roman" w:eastAsia="Calibri" w:hAnsi="Times New Roman" w:cs="Times New Roman"/>
          <w:b/>
          <w:sz w:val="26"/>
          <w:szCs w:val="26"/>
        </w:rPr>
        <w:t>Thomas W. McNamee</w:t>
      </w:r>
    </w:p>
    <w:p w:rsidR="0018316D" w:rsidRPr="00FA7B56" w:rsidRDefault="0018316D" w:rsidP="0018316D">
      <w:pPr>
        <w:spacing w:after="0" w:line="240" w:lineRule="auto"/>
        <w:ind w:left="4320"/>
        <w:rPr>
          <w:rFonts w:ascii="Times New Roman" w:eastAsia="Calibri" w:hAnsi="Times New Roman" w:cs="Times New Roman"/>
          <w:sz w:val="26"/>
          <w:szCs w:val="26"/>
        </w:rPr>
      </w:pPr>
      <w:r w:rsidRPr="00FA7B56">
        <w:rPr>
          <w:rFonts w:ascii="Times New Roman" w:eastAsia="Calibri" w:hAnsi="Times New Roman" w:cs="Times New Roman"/>
          <w:sz w:val="26"/>
          <w:szCs w:val="26"/>
        </w:rPr>
        <w:t>Public Utilities Section</w:t>
      </w:r>
    </w:p>
    <w:p w:rsidR="0018316D" w:rsidRPr="00FA7B56" w:rsidRDefault="0018316D" w:rsidP="0018316D">
      <w:pPr>
        <w:spacing w:after="0" w:line="240" w:lineRule="auto"/>
        <w:ind w:left="4320"/>
        <w:rPr>
          <w:rFonts w:ascii="Times New Roman" w:eastAsia="Calibri" w:hAnsi="Times New Roman" w:cs="Times New Roman"/>
          <w:sz w:val="26"/>
          <w:szCs w:val="26"/>
        </w:rPr>
      </w:pPr>
      <w:r w:rsidRPr="00FA7B56">
        <w:rPr>
          <w:rFonts w:ascii="Times New Roman" w:eastAsia="Calibri" w:hAnsi="Times New Roman" w:cs="Times New Roman"/>
          <w:sz w:val="26"/>
          <w:szCs w:val="26"/>
        </w:rPr>
        <w:t>180 East Broad Street</w:t>
      </w:r>
    </w:p>
    <w:p w:rsidR="0018316D" w:rsidRPr="00FA7B56" w:rsidRDefault="0018316D" w:rsidP="0018316D">
      <w:pPr>
        <w:spacing w:after="0" w:line="240" w:lineRule="auto"/>
        <w:ind w:left="4320"/>
        <w:rPr>
          <w:rFonts w:ascii="Times New Roman" w:eastAsia="Calibri" w:hAnsi="Times New Roman" w:cs="Times New Roman"/>
          <w:sz w:val="26"/>
          <w:szCs w:val="26"/>
        </w:rPr>
      </w:pPr>
      <w:r w:rsidRPr="00FA7B56">
        <w:rPr>
          <w:rFonts w:ascii="Times New Roman" w:eastAsia="Calibri" w:hAnsi="Times New Roman" w:cs="Times New Roman"/>
          <w:sz w:val="26"/>
          <w:szCs w:val="26"/>
        </w:rPr>
        <w:t>Columbus, OH 43215-3793</w:t>
      </w:r>
    </w:p>
    <w:p w:rsidR="0018316D" w:rsidRPr="00FA7B56" w:rsidRDefault="0018316D" w:rsidP="0018316D">
      <w:pPr>
        <w:spacing w:after="0" w:line="240" w:lineRule="auto"/>
        <w:ind w:left="4320"/>
        <w:rPr>
          <w:rFonts w:ascii="Times New Roman" w:eastAsia="Calibri" w:hAnsi="Times New Roman" w:cs="Times New Roman"/>
          <w:sz w:val="26"/>
          <w:szCs w:val="26"/>
        </w:rPr>
      </w:pPr>
      <w:r w:rsidRPr="00FA7B56">
        <w:rPr>
          <w:rFonts w:ascii="Times New Roman" w:eastAsia="Calibri" w:hAnsi="Times New Roman" w:cs="Times New Roman"/>
          <w:sz w:val="26"/>
          <w:szCs w:val="26"/>
        </w:rPr>
        <w:t>614.466.4396 (telephone)</w:t>
      </w:r>
    </w:p>
    <w:p w:rsidR="0018316D" w:rsidRPr="00FA7B56" w:rsidRDefault="0018316D" w:rsidP="0018316D">
      <w:pPr>
        <w:spacing w:after="0" w:line="240" w:lineRule="auto"/>
        <w:ind w:left="4320"/>
        <w:rPr>
          <w:rFonts w:ascii="Times New Roman" w:eastAsia="Calibri" w:hAnsi="Times New Roman" w:cs="Times New Roman"/>
          <w:sz w:val="26"/>
          <w:szCs w:val="26"/>
        </w:rPr>
      </w:pPr>
      <w:r w:rsidRPr="00FA7B56">
        <w:rPr>
          <w:rFonts w:ascii="Times New Roman" w:eastAsia="Calibri" w:hAnsi="Times New Roman" w:cs="Times New Roman"/>
          <w:sz w:val="26"/>
          <w:szCs w:val="26"/>
        </w:rPr>
        <w:t>614.644.8764 (fax)</w:t>
      </w:r>
    </w:p>
    <w:p w:rsidR="0018316D" w:rsidRPr="00FA7B56" w:rsidRDefault="00856E3E" w:rsidP="0018316D">
      <w:pPr>
        <w:spacing w:after="0" w:line="240" w:lineRule="auto"/>
        <w:ind w:left="4320"/>
        <w:rPr>
          <w:rFonts w:ascii="Times New Roman" w:eastAsia="Calibri" w:hAnsi="Times New Roman" w:cs="Times New Roman"/>
          <w:sz w:val="26"/>
          <w:szCs w:val="26"/>
        </w:rPr>
      </w:pPr>
      <w:hyperlink r:id="rId16" w:history="1">
        <w:r w:rsidR="0018316D" w:rsidRPr="00FA7B56">
          <w:rPr>
            <w:rFonts w:ascii="Times New Roman" w:eastAsia="Calibri" w:hAnsi="Times New Roman" w:cs="Times New Roman"/>
            <w:color w:val="0000FF"/>
            <w:sz w:val="26"/>
            <w:szCs w:val="26"/>
            <w:u w:val="single"/>
          </w:rPr>
          <w:t>thomas.mcnamee@puc.state.oh.us</w:t>
        </w:r>
      </w:hyperlink>
    </w:p>
    <w:p w:rsidR="0018316D" w:rsidRPr="00FA7B56" w:rsidRDefault="0018316D" w:rsidP="0018316D">
      <w:pPr>
        <w:spacing w:after="0" w:line="240" w:lineRule="auto"/>
        <w:ind w:left="4320"/>
        <w:rPr>
          <w:rFonts w:ascii="Times New Roman" w:eastAsia="Calibri" w:hAnsi="Times New Roman" w:cs="Times New Roman"/>
          <w:sz w:val="26"/>
          <w:szCs w:val="26"/>
        </w:rPr>
      </w:pPr>
    </w:p>
    <w:p w:rsidR="0018316D" w:rsidRPr="00FA7B56" w:rsidRDefault="0018316D" w:rsidP="0018316D">
      <w:pPr>
        <w:spacing w:after="0" w:line="240" w:lineRule="auto"/>
        <w:ind w:left="4320"/>
        <w:rPr>
          <w:rFonts w:ascii="Times New Roman" w:eastAsia="Calibri" w:hAnsi="Times New Roman" w:cs="Times New Roman"/>
          <w:b/>
          <w:sz w:val="26"/>
          <w:szCs w:val="26"/>
        </w:rPr>
      </w:pPr>
      <w:r w:rsidRPr="00FA7B56">
        <w:rPr>
          <w:rFonts w:ascii="Times New Roman" w:eastAsia="Calibri" w:hAnsi="Times New Roman" w:cs="Times New Roman"/>
          <w:b/>
          <w:sz w:val="26"/>
          <w:szCs w:val="26"/>
        </w:rPr>
        <w:t xml:space="preserve">On behalf of </w:t>
      </w:r>
    </w:p>
    <w:p w:rsidR="0018316D" w:rsidRPr="00FA7B56" w:rsidRDefault="0018316D" w:rsidP="0018316D">
      <w:pPr>
        <w:spacing w:after="0" w:line="240" w:lineRule="auto"/>
        <w:ind w:left="4320"/>
        <w:rPr>
          <w:rFonts w:ascii="Times New Roman" w:eastAsia="Calibri" w:hAnsi="Times New Roman" w:cs="Times New Roman"/>
          <w:b/>
          <w:sz w:val="26"/>
          <w:szCs w:val="26"/>
        </w:rPr>
      </w:pPr>
      <w:r w:rsidRPr="00FA7B56">
        <w:rPr>
          <w:rFonts w:ascii="Times New Roman" w:eastAsia="Calibri" w:hAnsi="Times New Roman" w:cs="Times New Roman"/>
          <w:b/>
          <w:sz w:val="26"/>
          <w:szCs w:val="26"/>
        </w:rPr>
        <w:t>The Public Utilities Commission of Ohio</w:t>
      </w:r>
    </w:p>
    <w:p w:rsidR="00C80A17" w:rsidRDefault="00C80A17" w:rsidP="0018316D">
      <w:pPr>
        <w:keepNext/>
        <w:spacing w:before="360" w:after="240" w:line="240" w:lineRule="auto"/>
        <w:jc w:val="center"/>
        <w:outlineLvl w:val="0"/>
        <w:rPr>
          <w:rFonts w:ascii="Times New Roman" w:eastAsia="Times New Roman" w:hAnsi="Times New Roman" w:cs="Times New Roman"/>
          <w:b/>
          <w:bCs/>
          <w:kern w:val="32"/>
          <w:sz w:val="26"/>
          <w:szCs w:val="26"/>
          <w:lang w:eastAsia="x-none"/>
        </w:rPr>
      </w:pPr>
    </w:p>
    <w:p w:rsidR="000D63FA" w:rsidRDefault="000D63FA" w:rsidP="0018316D">
      <w:pPr>
        <w:keepNext/>
        <w:spacing w:before="360" w:after="240" w:line="240" w:lineRule="auto"/>
        <w:jc w:val="center"/>
        <w:outlineLvl w:val="0"/>
        <w:rPr>
          <w:rFonts w:ascii="Times New Roman" w:eastAsia="Times New Roman" w:hAnsi="Times New Roman" w:cs="Times New Roman"/>
          <w:b/>
          <w:bCs/>
          <w:kern w:val="32"/>
          <w:sz w:val="26"/>
          <w:szCs w:val="26"/>
          <w:lang w:eastAsia="x-none"/>
        </w:rPr>
      </w:pPr>
    </w:p>
    <w:p w:rsidR="000D63FA" w:rsidRDefault="000D63FA" w:rsidP="0018316D">
      <w:pPr>
        <w:keepNext/>
        <w:spacing w:before="360" w:after="240" w:line="240" w:lineRule="auto"/>
        <w:jc w:val="center"/>
        <w:outlineLvl w:val="0"/>
        <w:rPr>
          <w:rFonts w:ascii="Times New Roman" w:eastAsia="Times New Roman" w:hAnsi="Times New Roman" w:cs="Times New Roman"/>
          <w:b/>
          <w:bCs/>
          <w:kern w:val="32"/>
          <w:sz w:val="26"/>
          <w:szCs w:val="26"/>
          <w:lang w:eastAsia="x-none"/>
        </w:rPr>
      </w:pPr>
    </w:p>
    <w:p w:rsidR="000D63FA" w:rsidRDefault="000D63FA" w:rsidP="0018316D">
      <w:pPr>
        <w:keepNext/>
        <w:spacing w:before="360" w:after="240" w:line="240" w:lineRule="auto"/>
        <w:jc w:val="center"/>
        <w:outlineLvl w:val="0"/>
        <w:rPr>
          <w:rFonts w:ascii="Times New Roman" w:eastAsia="Times New Roman" w:hAnsi="Times New Roman" w:cs="Times New Roman"/>
          <w:b/>
          <w:bCs/>
          <w:kern w:val="32"/>
          <w:sz w:val="26"/>
          <w:szCs w:val="26"/>
          <w:lang w:eastAsia="x-none"/>
        </w:rPr>
      </w:pPr>
    </w:p>
    <w:p w:rsidR="000D63FA" w:rsidRPr="00B65E27" w:rsidRDefault="000D63FA" w:rsidP="0018316D">
      <w:pPr>
        <w:keepNext/>
        <w:spacing w:before="360" w:after="240" w:line="240" w:lineRule="auto"/>
        <w:jc w:val="center"/>
        <w:outlineLvl w:val="0"/>
        <w:rPr>
          <w:rFonts w:ascii="Times New Roman" w:eastAsia="Times New Roman" w:hAnsi="Times New Roman" w:cs="Times New Roman"/>
          <w:b/>
          <w:bCs/>
          <w:kern w:val="32"/>
          <w:sz w:val="26"/>
          <w:szCs w:val="26"/>
          <w:lang w:eastAsia="x-none"/>
        </w:rPr>
      </w:pPr>
    </w:p>
    <w:p w:rsidR="0018316D" w:rsidRDefault="00157920" w:rsidP="00A756F2">
      <w:pPr>
        <w:pStyle w:val="Heading1"/>
      </w:pPr>
      <w:bookmarkStart w:id="14" w:name="_Toc339369253"/>
      <w:bookmarkStart w:id="15" w:name="_Toc353266811"/>
      <w:bookmarkStart w:id="16" w:name="_Toc353951846"/>
      <w:r>
        <w:t>CERTIFICATE OF SERVICE</w:t>
      </w:r>
      <w:bookmarkEnd w:id="14"/>
      <w:bookmarkEnd w:id="15"/>
      <w:bookmarkEnd w:id="16"/>
    </w:p>
    <w:p w:rsidR="00FA7B56" w:rsidRPr="00292490" w:rsidRDefault="00FA7B56" w:rsidP="00B01DEB">
      <w:pPr>
        <w:pStyle w:val="Textstyle"/>
      </w:pPr>
      <w:r w:rsidRPr="00292490">
        <w:tab/>
        <w:t>I hereby certify that the foregoing have been served in accordance with 18 C.F.R. Sec. 385.2010 upon each person designated on the official service list compiled by the Secretary in this proceeding.</w:t>
      </w:r>
    </w:p>
    <w:p w:rsidR="00F62453" w:rsidRDefault="00CD40F9" w:rsidP="00F62453">
      <w:pPr>
        <w:tabs>
          <w:tab w:val="left" w:pos="9360"/>
        </w:tabs>
        <w:spacing w:after="0" w:line="240" w:lineRule="auto"/>
        <w:ind w:left="4320"/>
        <w:rPr>
          <w:rFonts w:ascii="Viner Hand ITC" w:eastAsia="Times New Roman" w:hAnsi="Viner Hand ITC" w:cs="Times New Roman"/>
          <w:i/>
          <w:sz w:val="28"/>
          <w:szCs w:val="28"/>
          <w:u w:val="single"/>
          <w:lang w:eastAsia="x-none"/>
        </w:rPr>
      </w:pPr>
      <w:r>
        <w:rPr>
          <w:rFonts w:ascii="Viner Hand ITC" w:eastAsia="Times New Roman" w:hAnsi="Viner Hand ITC" w:cs="Times New Roman"/>
          <w:i/>
          <w:sz w:val="28"/>
          <w:szCs w:val="28"/>
          <w:u w:val="single"/>
          <w:lang w:eastAsia="x-none"/>
        </w:rPr>
        <w:t>/s/ Thomas W. McNamee</w:t>
      </w:r>
      <w:r w:rsidR="00F62453">
        <w:rPr>
          <w:rFonts w:ascii="Viner Hand ITC" w:eastAsia="Times New Roman" w:hAnsi="Viner Hand ITC" w:cs="Times New Roman"/>
          <w:i/>
          <w:sz w:val="28"/>
          <w:szCs w:val="28"/>
          <w:u w:val="single"/>
          <w:lang w:eastAsia="x-none"/>
        </w:rPr>
        <w:tab/>
      </w:r>
    </w:p>
    <w:p w:rsidR="00B65E27" w:rsidRDefault="00B65E27" w:rsidP="00B65E27">
      <w:pPr>
        <w:spacing w:after="0" w:line="240" w:lineRule="auto"/>
        <w:ind w:left="4320"/>
        <w:rPr>
          <w:rFonts w:ascii="Times New Roman" w:eastAsia="Calibri" w:hAnsi="Times New Roman" w:cs="Times New Roman"/>
          <w:b/>
          <w:sz w:val="26"/>
          <w:szCs w:val="26"/>
        </w:rPr>
      </w:pPr>
      <w:r w:rsidRPr="00FA7B56">
        <w:rPr>
          <w:rFonts w:ascii="Times New Roman" w:eastAsia="Calibri" w:hAnsi="Times New Roman" w:cs="Times New Roman"/>
          <w:b/>
          <w:sz w:val="26"/>
          <w:szCs w:val="26"/>
        </w:rPr>
        <w:t>Thomas W. McNamee</w:t>
      </w:r>
    </w:p>
    <w:p w:rsidR="00B65E27" w:rsidRDefault="00B65E27" w:rsidP="00B65E27">
      <w:pPr>
        <w:spacing w:after="0" w:line="240" w:lineRule="auto"/>
        <w:ind w:left="4320"/>
        <w:rPr>
          <w:rFonts w:ascii="Times New Roman" w:eastAsia="Calibri" w:hAnsi="Times New Roman" w:cs="Times New Roman"/>
          <w:b/>
          <w:sz w:val="26"/>
          <w:szCs w:val="26"/>
        </w:rPr>
      </w:pPr>
    </w:p>
    <w:p w:rsidR="00B65E27" w:rsidRPr="00FA7B56" w:rsidRDefault="00B65E27" w:rsidP="00B65E27">
      <w:pPr>
        <w:spacing w:after="0" w:line="240" w:lineRule="auto"/>
        <w:ind w:left="4320"/>
        <w:rPr>
          <w:rFonts w:ascii="Times New Roman" w:eastAsia="Calibri" w:hAnsi="Times New Roman" w:cs="Times New Roman"/>
          <w:b/>
          <w:sz w:val="26"/>
          <w:szCs w:val="26"/>
        </w:rPr>
      </w:pPr>
    </w:p>
    <w:p w:rsidR="00FA7B56" w:rsidRPr="00FA7B56" w:rsidRDefault="00FA7B56" w:rsidP="00FA7B56">
      <w:pPr>
        <w:rPr>
          <w:rFonts w:ascii="Times New Roman" w:hAnsi="Times New Roman" w:cs="Times New Roman"/>
          <w:sz w:val="26"/>
          <w:szCs w:val="26"/>
        </w:rPr>
      </w:pPr>
      <w:r w:rsidRPr="00FA7B56">
        <w:rPr>
          <w:rFonts w:ascii="Times New Roman" w:hAnsi="Times New Roman" w:cs="Times New Roman"/>
          <w:sz w:val="26"/>
          <w:szCs w:val="26"/>
        </w:rPr>
        <w:t xml:space="preserve">Dated at Columbus, Ohio this </w:t>
      </w:r>
      <w:r w:rsidR="00C80A17">
        <w:rPr>
          <w:rFonts w:ascii="Times New Roman" w:hAnsi="Times New Roman" w:cs="Times New Roman"/>
          <w:sz w:val="26"/>
          <w:szCs w:val="26"/>
        </w:rPr>
        <w:t xml:space="preserve">April </w:t>
      </w:r>
      <w:r w:rsidR="00CD40F9">
        <w:rPr>
          <w:rFonts w:ascii="Times New Roman" w:hAnsi="Times New Roman" w:cs="Times New Roman"/>
          <w:sz w:val="26"/>
          <w:szCs w:val="26"/>
        </w:rPr>
        <w:t>17</w:t>
      </w:r>
      <w:r w:rsidR="00C80A17">
        <w:rPr>
          <w:rFonts w:ascii="Times New Roman" w:hAnsi="Times New Roman" w:cs="Times New Roman"/>
          <w:sz w:val="26"/>
          <w:szCs w:val="26"/>
        </w:rPr>
        <w:t>, 2013</w:t>
      </w:r>
      <w:r w:rsidRPr="00FA7B56">
        <w:rPr>
          <w:rFonts w:ascii="Times New Roman" w:hAnsi="Times New Roman" w:cs="Times New Roman"/>
          <w:sz w:val="26"/>
          <w:szCs w:val="26"/>
        </w:rPr>
        <w:t>.</w:t>
      </w:r>
    </w:p>
    <w:sectPr w:rsidR="00FA7B56" w:rsidRPr="00FA7B56" w:rsidSect="007F11F2">
      <w:headerReference w:type="default" r:id="rId17"/>
      <w:footerReference w:type="default" r:id="rId18"/>
      <w:headerReference w:type="first" r:id="rId19"/>
      <w:footerReference w:type="first" r:id="rId2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C8C" w:rsidRDefault="00C13C8C" w:rsidP="009C7391">
      <w:pPr>
        <w:spacing w:after="0" w:line="240" w:lineRule="auto"/>
      </w:pPr>
      <w:r>
        <w:separator/>
      </w:r>
    </w:p>
  </w:endnote>
  <w:endnote w:type="continuationSeparator" w:id="0">
    <w:p w:rsidR="00C13C8C" w:rsidRDefault="00C13C8C" w:rsidP="009C7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96170"/>
      <w:docPartObj>
        <w:docPartGallery w:val="Page Numbers (Bottom of Page)"/>
        <w:docPartUnique/>
      </w:docPartObj>
    </w:sdtPr>
    <w:sdtEndPr>
      <w:rPr>
        <w:noProof/>
      </w:rPr>
    </w:sdtEndPr>
    <w:sdtContent>
      <w:p w:rsidR="00E4211E" w:rsidRDefault="00E4211E">
        <w:pPr>
          <w:pStyle w:val="Footer"/>
        </w:pPr>
        <w:r>
          <w:fldChar w:fldCharType="begin"/>
        </w:r>
        <w:r>
          <w:instrText xml:space="preserve"> PAGE   \* MERGEFORMAT </w:instrText>
        </w:r>
        <w:r>
          <w:fldChar w:fldCharType="separate"/>
        </w:r>
        <w:r w:rsidR="00C80A17">
          <w:rPr>
            <w:noProof/>
          </w:rPr>
          <w:t>2</w:t>
        </w:r>
        <w:r>
          <w:rPr>
            <w:noProof/>
          </w:rPr>
          <w:fldChar w:fldCharType="end"/>
        </w:r>
      </w:p>
    </w:sdtContent>
  </w:sdt>
  <w:p w:rsidR="00E4211E" w:rsidRDefault="00E421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1E" w:rsidRPr="007F11F2" w:rsidRDefault="00C80A17" w:rsidP="007F11F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b/>
        <w:sz w:val="26"/>
        <w:szCs w:val="26"/>
        <w:lang w:bidi="en-US"/>
      </w:rPr>
      <w:t xml:space="preserve">April </w:t>
    </w:r>
    <w:r w:rsidR="00254A41">
      <w:rPr>
        <w:rFonts w:ascii="Times New Roman" w:eastAsia="Times New Roman" w:hAnsi="Times New Roman" w:cs="Times New Roman"/>
        <w:b/>
        <w:sz w:val="26"/>
        <w:szCs w:val="26"/>
        <w:lang w:bidi="en-US"/>
      </w:rPr>
      <w:t>17,</w:t>
    </w:r>
    <w:r>
      <w:rPr>
        <w:rFonts w:ascii="Times New Roman" w:eastAsia="Times New Roman" w:hAnsi="Times New Roman" w:cs="Times New Roman"/>
        <w:b/>
        <w:sz w:val="26"/>
        <w:szCs w:val="26"/>
        <w:lang w:bidi="en-US"/>
      </w:rPr>
      <w:t xml:space="preserve">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65123672"/>
      <w:docPartObj>
        <w:docPartGallery w:val="Page Numbers (Bottom of Page)"/>
        <w:docPartUnique/>
      </w:docPartObj>
    </w:sdtPr>
    <w:sdtEndPr>
      <w:rPr>
        <w:noProof/>
      </w:rPr>
    </w:sdtEndPr>
    <w:sdtContent>
      <w:p w:rsidR="00E4211E" w:rsidRPr="007F11F2" w:rsidRDefault="00E4211E" w:rsidP="007F11F2">
        <w:pPr>
          <w:pStyle w:val="Footer"/>
          <w:jc w:val="center"/>
          <w:rPr>
            <w:rFonts w:ascii="Times New Roman" w:hAnsi="Times New Roman" w:cs="Times New Roman"/>
            <w:sz w:val="24"/>
            <w:szCs w:val="24"/>
          </w:rPr>
        </w:pPr>
        <w:r w:rsidRPr="007F11F2">
          <w:rPr>
            <w:rFonts w:ascii="Times New Roman" w:hAnsi="Times New Roman" w:cs="Times New Roman"/>
            <w:sz w:val="24"/>
            <w:szCs w:val="24"/>
          </w:rPr>
          <w:fldChar w:fldCharType="begin"/>
        </w:r>
        <w:r w:rsidRPr="007F11F2">
          <w:rPr>
            <w:rFonts w:ascii="Times New Roman" w:hAnsi="Times New Roman" w:cs="Times New Roman"/>
            <w:sz w:val="24"/>
            <w:szCs w:val="24"/>
          </w:rPr>
          <w:instrText xml:space="preserve"> PAGE   \* MERGEFORMAT </w:instrText>
        </w:r>
        <w:r w:rsidRPr="007F11F2">
          <w:rPr>
            <w:rFonts w:ascii="Times New Roman" w:hAnsi="Times New Roman" w:cs="Times New Roman"/>
            <w:sz w:val="24"/>
            <w:szCs w:val="24"/>
          </w:rPr>
          <w:fldChar w:fldCharType="separate"/>
        </w:r>
        <w:r w:rsidR="00F62453">
          <w:rPr>
            <w:rFonts w:ascii="Times New Roman" w:hAnsi="Times New Roman" w:cs="Times New Roman"/>
            <w:noProof/>
            <w:sz w:val="24"/>
            <w:szCs w:val="24"/>
          </w:rPr>
          <w:t>2</w:t>
        </w:r>
        <w:r w:rsidRPr="007F11F2">
          <w:rPr>
            <w:rFonts w:ascii="Times New Roman" w:hAnsi="Times New Roman" w:cs="Times New Roman"/>
            <w:noProof/>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00628306"/>
      <w:docPartObj>
        <w:docPartGallery w:val="Page Numbers (Bottom of Page)"/>
        <w:docPartUnique/>
      </w:docPartObj>
    </w:sdtPr>
    <w:sdtEndPr>
      <w:rPr>
        <w:noProof/>
      </w:rPr>
    </w:sdtEndPr>
    <w:sdtContent>
      <w:p w:rsidR="00E4211E" w:rsidRPr="00F62453" w:rsidRDefault="00F62453" w:rsidP="00F62453">
        <w:pPr>
          <w:pStyle w:val="Footer"/>
          <w:jc w:val="center"/>
          <w:rPr>
            <w:rFonts w:ascii="Times New Roman" w:hAnsi="Times New Roman" w:cs="Times New Roman"/>
            <w:sz w:val="24"/>
            <w:szCs w:val="24"/>
          </w:rPr>
        </w:pPr>
        <w:r w:rsidRPr="00F62453">
          <w:rPr>
            <w:rFonts w:ascii="Times New Roman" w:hAnsi="Times New Roman" w:cs="Times New Roman"/>
            <w:sz w:val="24"/>
            <w:szCs w:val="24"/>
          </w:rPr>
          <w:fldChar w:fldCharType="begin"/>
        </w:r>
        <w:r w:rsidRPr="00F62453">
          <w:rPr>
            <w:rFonts w:ascii="Times New Roman" w:hAnsi="Times New Roman" w:cs="Times New Roman"/>
            <w:sz w:val="24"/>
            <w:szCs w:val="24"/>
          </w:rPr>
          <w:instrText xml:space="preserve"> PAGE   \* MERGEFORMAT </w:instrText>
        </w:r>
        <w:r w:rsidRPr="00F62453">
          <w:rPr>
            <w:rFonts w:ascii="Times New Roman" w:hAnsi="Times New Roman" w:cs="Times New Roman"/>
            <w:sz w:val="24"/>
            <w:szCs w:val="24"/>
          </w:rPr>
          <w:fldChar w:fldCharType="separate"/>
        </w:r>
        <w:r w:rsidR="00856E3E">
          <w:rPr>
            <w:rFonts w:ascii="Times New Roman" w:hAnsi="Times New Roman" w:cs="Times New Roman"/>
            <w:noProof/>
            <w:sz w:val="24"/>
            <w:szCs w:val="24"/>
          </w:rPr>
          <w:t>i</w:t>
        </w:r>
        <w:r w:rsidRPr="00F62453">
          <w:rPr>
            <w:rFonts w:ascii="Times New Roman" w:hAnsi="Times New Roman" w:cs="Times New Roman"/>
            <w:noProof/>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054966494"/>
      <w:docPartObj>
        <w:docPartGallery w:val="Page Numbers (Bottom of Page)"/>
        <w:docPartUnique/>
      </w:docPartObj>
    </w:sdtPr>
    <w:sdtEndPr>
      <w:rPr>
        <w:noProof/>
      </w:rPr>
    </w:sdtEndPr>
    <w:sdtContent>
      <w:p w:rsidR="00F62453" w:rsidRPr="007F11F2" w:rsidRDefault="00F62453" w:rsidP="007F11F2">
        <w:pPr>
          <w:pStyle w:val="Footer"/>
          <w:jc w:val="center"/>
          <w:rPr>
            <w:rFonts w:ascii="Times New Roman" w:hAnsi="Times New Roman" w:cs="Times New Roman"/>
            <w:sz w:val="24"/>
            <w:szCs w:val="24"/>
          </w:rPr>
        </w:pPr>
        <w:r w:rsidRPr="007F11F2">
          <w:rPr>
            <w:rFonts w:ascii="Times New Roman" w:hAnsi="Times New Roman" w:cs="Times New Roman"/>
            <w:sz w:val="24"/>
            <w:szCs w:val="24"/>
          </w:rPr>
          <w:fldChar w:fldCharType="begin"/>
        </w:r>
        <w:r w:rsidRPr="007F11F2">
          <w:rPr>
            <w:rFonts w:ascii="Times New Roman" w:hAnsi="Times New Roman" w:cs="Times New Roman"/>
            <w:sz w:val="24"/>
            <w:szCs w:val="24"/>
          </w:rPr>
          <w:instrText xml:space="preserve"> PAGE   \* MERGEFORMAT </w:instrText>
        </w:r>
        <w:r w:rsidRPr="007F11F2">
          <w:rPr>
            <w:rFonts w:ascii="Times New Roman" w:hAnsi="Times New Roman" w:cs="Times New Roman"/>
            <w:sz w:val="24"/>
            <w:szCs w:val="24"/>
          </w:rPr>
          <w:fldChar w:fldCharType="separate"/>
        </w:r>
        <w:r w:rsidR="00856E3E">
          <w:rPr>
            <w:rFonts w:ascii="Times New Roman" w:hAnsi="Times New Roman" w:cs="Times New Roman"/>
            <w:noProof/>
            <w:sz w:val="24"/>
            <w:szCs w:val="24"/>
          </w:rPr>
          <w:t>10</w:t>
        </w:r>
        <w:r w:rsidRPr="007F11F2">
          <w:rPr>
            <w:rFonts w:ascii="Times New Roman" w:hAnsi="Times New Roman" w:cs="Times New Roman"/>
            <w:noProof/>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453" w:rsidRPr="00F62453" w:rsidRDefault="00F62453" w:rsidP="00F62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C8C" w:rsidRDefault="00C13C8C" w:rsidP="009C7391">
      <w:pPr>
        <w:spacing w:after="0" w:line="240" w:lineRule="auto"/>
      </w:pPr>
      <w:r>
        <w:separator/>
      </w:r>
    </w:p>
  </w:footnote>
  <w:footnote w:type="continuationSeparator" w:id="0">
    <w:p w:rsidR="00C13C8C" w:rsidRDefault="00C13C8C" w:rsidP="009C7391">
      <w:pPr>
        <w:spacing w:after="0" w:line="240" w:lineRule="auto"/>
      </w:pPr>
      <w:r>
        <w:continuationSeparator/>
      </w:r>
    </w:p>
  </w:footnote>
  <w:footnote w:id="1">
    <w:p w:rsidR="00C80A17" w:rsidRDefault="00C80A17" w:rsidP="00C80A17">
      <w:pPr>
        <w:pStyle w:val="FootnoteText"/>
        <w:rPr>
          <w:rFonts w:cs="Times New Roman"/>
        </w:rPr>
      </w:pPr>
      <w:r>
        <w:rPr>
          <w:rStyle w:val="FootnoteReference"/>
        </w:rPr>
        <w:footnoteRef/>
      </w:r>
      <w:r>
        <w:t xml:space="preserve"> </w:t>
      </w:r>
      <w:r>
        <w:tab/>
      </w:r>
      <w:r>
        <w:tab/>
      </w:r>
      <w:r>
        <w:rPr>
          <w:rFonts w:cs="Times New Roman"/>
          <w:i/>
        </w:rPr>
        <w:t>Transmission Planning and Cost Allocation by Transmission Owning and Operating Public Utilities</w:t>
      </w:r>
      <w:r>
        <w:rPr>
          <w:rFonts w:cs="Times New Roman"/>
        </w:rPr>
        <w:t xml:space="preserve">, Order No. 1000, FERC Stats. &amp; Regs. ¶ 31,323 (2011), </w:t>
      </w:r>
      <w:r>
        <w:rPr>
          <w:rFonts w:cs="Times New Roman"/>
          <w:i/>
        </w:rPr>
        <w:t>order on reh’g</w:t>
      </w:r>
      <w:r>
        <w:rPr>
          <w:rFonts w:cs="Times New Roman"/>
        </w:rPr>
        <w:t>,</w:t>
      </w:r>
      <w:r>
        <w:rPr>
          <w:rFonts w:cs="Times New Roman"/>
          <w:i/>
        </w:rPr>
        <w:t xml:space="preserve"> </w:t>
      </w:r>
      <w:r>
        <w:rPr>
          <w:rFonts w:cs="Times New Roman"/>
        </w:rPr>
        <w:t xml:space="preserve">Order No. 1000-A, 139 FERC ¶ 61,132, </w:t>
      </w:r>
      <w:r>
        <w:rPr>
          <w:rFonts w:cs="Times New Roman"/>
          <w:i/>
        </w:rPr>
        <w:t>order on reh’g</w:t>
      </w:r>
      <w:r>
        <w:rPr>
          <w:rFonts w:cs="Times New Roman"/>
        </w:rPr>
        <w:t>, Order No. 1000-B,   141 FERC ¶ 61,044 (2012).</w:t>
      </w:r>
    </w:p>
    <w:p w:rsidR="00C80A17" w:rsidRDefault="00C80A17" w:rsidP="00C80A17">
      <w:pPr>
        <w:pStyle w:val="FootnoteText"/>
        <w:rPr>
          <w:rFonts w:cs="Times New Roman"/>
        </w:rPr>
      </w:pPr>
    </w:p>
  </w:footnote>
  <w:footnote w:id="2">
    <w:p w:rsidR="00C80A17" w:rsidRDefault="00C80A17" w:rsidP="00C80A17">
      <w:pPr>
        <w:pStyle w:val="FootnoteText"/>
      </w:pPr>
      <w:r>
        <w:rPr>
          <w:rStyle w:val="FootnoteReference"/>
        </w:rPr>
        <w:footnoteRef/>
      </w:r>
      <w:r>
        <w:t xml:space="preserve">  </w:t>
      </w:r>
      <w:r>
        <w:tab/>
      </w:r>
      <w:r>
        <w:tab/>
      </w:r>
      <w:r>
        <w:rPr>
          <w:rFonts w:cs="Times New Roman"/>
        </w:rPr>
        <w:t>The Indicated PJM Transmission Owners consist of:  Exelon Corporation; Jersey Central Power &amp; Light Company, Metropolitan Edison Company, Pennsylvania Electric Company, Monongahela Power Company, The Potomac Edison Company, West Penn Power Company, and American Transmission Systems, Incorporated (collectively, the FirstEnergy Companies); Pepco Holdings, Inc. on behalf of its affiliates Potomac Electric Power Company, Delmarva Power &amp; Light Company and Atlantic City Electric Company (collectively, PHI Companies); PPL Electric Utilities Corporation; Public Service Electric and Gas Company; UGI Utilities, Inc. – Electric Division; and Virginia Electric and Power Company, doing business as Dominion Virginia Power.</w:t>
      </w:r>
    </w:p>
  </w:footnote>
  <w:footnote w:id="3">
    <w:p w:rsidR="00CD40F9" w:rsidRDefault="00CD40F9">
      <w:pPr>
        <w:pStyle w:val="FootnoteText"/>
      </w:pPr>
      <w:r>
        <w:rPr>
          <w:rStyle w:val="FootnoteReference"/>
        </w:rPr>
        <w:footnoteRef/>
      </w:r>
      <w:r>
        <w:t xml:space="preserve"> </w:t>
      </w:r>
      <w:r>
        <w:tab/>
      </w:r>
      <w:r>
        <w:tab/>
      </w:r>
      <w:r w:rsidRPr="00CD40F9">
        <w:rPr>
          <w:i/>
        </w:rPr>
        <w:t>Se</w:t>
      </w:r>
      <w:r>
        <w:rPr>
          <w:i/>
        </w:rPr>
        <w:t>a</w:t>
      </w:r>
      <w:r w:rsidRPr="00CD40F9">
        <w:rPr>
          <w:i/>
        </w:rPr>
        <w:t xml:space="preserve"> Robin Pipeline Co. v. FERC</w:t>
      </w:r>
      <w:r w:rsidRPr="00B01DEB">
        <w:t xml:space="preserve">, 795 F.2d 182, 188 (D.C. Cir. 1986); </w:t>
      </w:r>
      <w:r w:rsidRPr="00CD40F9">
        <w:rPr>
          <w:i/>
        </w:rPr>
        <w:t>Nat’l Ass’n of Sec. Dealers, Inc. v. SEC</w:t>
      </w:r>
      <w:r w:rsidRPr="00B01DEB">
        <w:t>, 801 F.2d 1415, 1420 (D.C. Cir. 1986)</w:t>
      </w:r>
      <w:r>
        <w:t>.</w:t>
      </w:r>
    </w:p>
  </w:footnote>
  <w:footnote w:id="4">
    <w:p w:rsidR="00CD40F9" w:rsidRDefault="00CD40F9">
      <w:pPr>
        <w:pStyle w:val="FootnoteText"/>
      </w:pPr>
      <w:r>
        <w:rPr>
          <w:rStyle w:val="FootnoteReference"/>
        </w:rPr>
        <w:footnoteRef/>
      </w:r>
      <w:r>
        <w:t xml:space="preserve"> </w:t>
      </w:r>
      <w:r>
        <w:tab/>
      </w:r>
      <w:r>
        <w:tab/>
      </w:r>
      <w:r w:rsidRPr="00B01DEB">
        <w:t xml:space="preserve"> </w:t>
      </w:r>
      <w:r w:rsidRPr="00CD40F9">
        <w:rPr>
          <w:i/>
        </w:rPr>
        <w:t>City of Kaukauna, Wis. v. FERC</w:t>
      </w:r>
      <w:r w:rsidRPr="00B01DEB">
        <w:t xml:space="preserve">, 214 F.3d 888, 894-95 (7th Cir. 2000) (citing </w:t>
      </w:r>
      <w:r w:rsidRPr="00CD40F9">
        <w:rPr>
          <w:i/>
        </w:rPr>
        <w:t>Cent. Ill. Pub. Serv. Co. v. FERC</w:t>
      </w:r>
      <w:r w:rsidRPr="00B01DEB">
        <w:t xml:space="preserve">, 941 F.2d 622, 627 (7th Cir. 1991), and </w:t>
      </w:r>
      <w:r w:rsidRPr="00CD40F9">
        <w:rPr>
          <w:i/>
        </w:rPr>
        <w:t>Peoples Gas Light and Coke Co. v. FERC</w:t>
      </w:r>
      <w:r w:rsidRPr="00B01DEB">
        <w:t>, 742 F.2d 1109, 1111-12 (7th Cir. 1984)).</w:t>
      </w:r>
    </w:p>
  </w:footnote>
  <w:footnote w:id="5">
    <w:p w:rsidR="00CD40F9" w:rsidRDefault="00CD40F9">
      <w:pPr>
        <w:pStyle w:val="FootnoteText"/>
      </w:pPr>
      <w:r>
        <w:rPr>
          <w:rStyle w:val="FootnoteReference"/>
        </w:rPr>
        <w:footnoteRef/>
      </w:r>
      <w:r>
        <w:t xml:space="preserve"> </w:t>
      </w:r>
      <w:r>
        <w:tab/>
      </w:r>
      <w:r>
        <w:tab/>
      </w:r>
      <w:r w:rsidRPr="00CD40F9">
        <w:rPr>
          <w:i/>
        </w:rPr>
        <w:t xml:space="preserve">Sea Robin </w:t>
      </w:r>
      <w:proofErr w:type="gramStart"/>
      <w:r w:rsidRPr="00CD40F9">
        <w:rPr>
          <w:i/>
        </w:rPr>
        <w:t xml:space="preserve">Pipeline </w:t>
      </w:r>
      <w:r w:rsidRPr="00B01DEB">
        <w:t>,</w:t>
      </w:r>
      <w:proofErr w:type="gramEnd"/>
      <w:r w:rsidRPr="00B01DEB">
        <w:t xml:space="preserve"> 795 F.2d </w:t>
      </w:r>
      <w:r w:rsidR="00E82070">
        <w:t>at</w:t>
      </w:r>
      <w:r w:rsidRPr="00B01DEB">
        <w:t xml:space="preserve"> 188; </w:t>
      </w:r>
      <w:r w:rsidRPr="00CD40F9">
        <w:rPr>
          <w:i/>
        </w:rPr>
        <w:t>Nat’l Ass’n of Sec. Dealers, Inc.</w:t>
      </w:r>
      <w:r w:rsidRPr="00B01DEB">
        <w:t xml:space="preserve">, 801 F.2d </w:t>
      </w:r>
      <w:r w:rsidR="00E82070">
        <w:t>at</w:t>
      </w:r>
      <w:r w:rsidRPr="00B01DEB">
        <w:t xml:space="preserve"> 1420.</w:t>
      </w:r>
    </w:p>
  </w:footnote>
  <w:footnote w:id="6">
    <w:p w:rsidR="00CD40F9" w:rsidRDefault="00CD40F9">
      <w:pPr>
        <w:pStyle w:val="FootnoteText"/>
      </w:pPr>
      <w:r>
        <w:rPr>
          <w:rStyle w:val="FootnoteReference"/>
        </w:rPr>
        <w:footnoteRef/>
      </w:r>
      <w:r>
        <w:t xml:space="preserve"> </w:t>
      </w:r>
      <w:r>
        <w:tab/>
      </w:r>
      <w:r>
        <w:tab/>
      </w:r>
      <w:r w:rsidRPr="00CD40F9">
        <w:rPr>
          <w:i/>
        </w:rPr>
        <w:t>K N Energy, Inc. v. FERC</w:t>
      </w:r>
      <w:r w:rsidRPr="00B01DEB">
        <w:t xml:space="preserve">, 968 F.2d 1295, 1300 (D.C. Cir. 1992),  </w:t>
      </w:r>
      <w:r w:rsidRPr="00CD40F9">
        <w:rPr>
          <w:i/>
        </w:rPr>
        <w:t>Sea Robin Pipeline Co. v. FERC</w:t>
      </w:r>
      <w:r w:rsidRPr="00B01DEB">
        <w:t xml:space="preserve">, 795 F.2d 182, 188 (D.C. Cir. 1986); </w:t>
      </w:r>
      <w:r w:rsidRPr="00CD40F9">
        <w:rPr>
          <w:i/>
        </w:rPr>
        <w:t>Nat’l Ass’n of Sec. Dealers, Inc. v. SEC</w:t>
      </w:r>
      <w:r w:rsidRPr="00B01DEB">
        <w:t>, 801 F.2d 1415, 1420 (D.C. Cir. 1986)</w:t>
      </w:r>
    </w:p>
  </w:footnote>
  <w:footnote w:id="7">
    <w:p w:rsidR="00CD40F9" w:rsidRDefault="00CD40F9">
      <w:pPr>
        <w:pStyle w:val="FootnoteText"/>
      </w:pPr>
      <w:r>
        <w:rPr>
          <w:rStyle w:val="FootnoteReference"/>
        </w:rPr>
        <w:footnoteRef/>
      </w:r>
      <w:r>
        <w:t xml:space="preserve"> </w:t>
      </w:r>
      <w:r>
        <w:tab/>
      </w:r>
      <w:r>
        <w:tab/>
      </w:r>
      <w:r w:rsidRPr="00CD40F9">
        <w:rPr>
          <w:i/>
        </w:rPr>
        <w:t>K N Energy, Inc.</w:t>
      </w:r>
      <w:r w:rsidR="00E82070">
        <w:t>,</w:t>
      </w:r>
      <w:r w:rsidRPr="00B01DEB">
        <w:t xml:space="preserve"> 968 F.2d </w:t>
      </w:r>
      <w:r w:rsidR="00E82070">
        <w:t>at</w:t>
      </w:r>
      <w:r w:rsidRPr="00B01DEB">
        <w:t xml:space="preserve"> 1300 (D.C. Cir. 1992); </w:t>
      </w:r>
      <w:r w:rsidRPr="00E82070">
        <w:rPr>
          <w:i/>
        </w:rPr>
        <w:t xml:space="preserve">see also </w:t>
      </w:r>
      <w:r w:rsidRPr="00CD40F9">
        <w:rPr>
          <w:i/>
        </w:rPr>
        <w:t>Village of Bethany v. FERC</w:t>
      </w:r>
      <w:r w:rsidRPr="00B01DEB">
        <w:t>, 276 F.3d 934, 937 (7th Cir. 2002)</w:t>
      </w:r>
    </w:p>
  </w:footnote>
  <w:footnote w:id="8">
    <w:p w:rsidR="002B222F" w:rsidRDefault="002B222F" w:rsidP="002B222F">
      <w:pPr>
        <w:pStyle w:val="FootnoteText"/>
      </w:pPr>
      <w:r>
        <w:rPr>
          <w:rStyle w:val="FootnoteReference"/>
        </w:rPr>
        <w:footnoteRef/>
      </w:r>
      <w:r>
        <w:t xml:space="preserve"> </w:t>
      </w:r>
      <w:r w:rsidR="00CD40F9">
        <w:tab/>
      </w:r>
      <w:r w:rsidR="00CD40F9">
        <w:tab/>
      </w:r>
      <w:r>
        <w:t>PJM Transmission Owners defi</w:t>
      </w:r>
      <w:r w:rsidRPr="00CD40F9">
        <w:t xml:space="preserve">ne </w:t>
      </w:r>
      <w:r w:rsidR="00FC1FE1" w:rsidRPr="00CD40F9">
        <w:t xml:space="preserve">high-capacity </w:t>
      </w:r>
      <w:r w:rsidRPr="00CD40F9">
        <w:t xml:space="preserve">Regional Facilities as double-circuit 345 kV facilities and above transmission </w:t>
      </w:r>
      <w:r w:rsidR="00404A30" w:rsidRPr="00CD40F9">
        <w:t>lines adopted by PJM for either economic or reliability projects</w:t>
      </w:r>
      <w:r w:rsidR="00254A41" w:rsidRPr="00CD40F9">
        <w:t xml:space="preserve">.  </w:t>
      </w:r>
      <w:r w:rsidRPr="00CD40F9">
        <w:t xml:space="preserve">Necessary Lower Voltage Facilities are defined as those lower voltage facilities that must be constructed or strengthened to support new Regional Facilities (hereafter collectively referred to as “Regional Facilities”). </w:t>
      </w:r>
      <w:r w:rsidR="00873CBA" w:rsidRPr="00CD40F9">
        <w:t xml:space="preserve"> While the PJM Transmission Owners’ definition of high-capacity Regional Facilities does not include sub-regional expansions, for the purposes of this pleading</w:t>
      </w:r>
      <w:r w:rsidR="006713A0" w:rsidRPr="00CD40F9">
        <w:t>,</w:t>
      </w:r>
      <w:r w:rsidR="00873CBA" w:rsidRPr="00CD40F9">
        <w:t xml:space="preserve"> the Ohio Commission</w:t>
      </w:r>
      <w:r w:rsidR="006713A0" w:rsidRPr="00CD40F9">
        <w:t>’s</w:t>
      </w:r>
      <w:r w:rsidR="00873CBA" w:rsidRPr="00CD40F9">
        <w:t xml:space="preserve">  use of the term  Regional Facilities includes both sub-regional and regional high-capacity facilities.</w:t>
      </w:r>
      <w:r w:rsidR="00873CBA">
        <w:t xml:space="preserve"> </w:t>
      </w:r>
    </w:p>
  </w:footnote>
  <w:footnote w:id="9">
    <w:p w:rsidR="00C80A17" w:rsidRDefault="00C80A17" w:rsidP="00C80A17">
      <w:pPr>
        <w:pStyle w:val="FootnoteText"/>
      </w:pPr>
      <w:r>
        <w:rPr>
          <w:rStyle w:val="FootnoteReference"/>
        </w:rPr>
        <w:footnoteRef/>
      </w:r>
      <w:r>
        <w:t xml:space="preserve"> </w:t>
      </w:r>
      <w:r>
        <w:tab/>
      </w:r>
      <w:r>
        <w:tab/>
      </w:r>
      <w:r w:rsidRPr="00013E02">
        <w:rPr>
          <w:rFonts w:cs="Times New Roman"/>
          <w:i/>
        </w:rPr>
        <w:t>Illinois Commerce Comm’n v. FERC</w:t>
      </w:r>
      <w:r w:rsidRPr="00013E02">
        <w:rPr>
          <w:rFonts w:cs="Times New Roman"/>
        </w:rPr>
        <w:t>, 576 F.3d 470 (7th Cir. 2009</w:t>
      </w:r>
      <w:r>
        <w:rPr>
          <w:rFonts w:cs="Times New Roman"/>
        </w:rPr>
        <w:t>)</w:t>
      </w:r>
      <w:r w:rsidRPr="0094539F">
        <w:rPr>
          <w:rFonts w:cs="Times New Roman"/>
        </w:rPr>
        <w:t xml:space="preserve">.  </w:t>
      </w:r>
    </w:p>
  </w:footnote>
  <w:footnote w:id="10">
    <w:p w:rsidR="00FC1FE1" w:rsidRDefault="00FC1FE1" w:rsidP="00FC1FE1">
      <w:pPr>
        <w:pStyle w:val="FootnoteText"/>
      </w:pPr>
      <w:r w:rsidRPr="00CD40F9">
        <w:rPr>
          <w:rStyle w:val="FootnoteReference"/>
        </w:rPr>
        <w:footnoteRef/>
      </w:r>
      <w:r w:rsidRPr="00CD40F9">
        <w:t xml:space="preserve"> </w:t>
      </w:r>
      <w:r w:rsidR="00CD40F9">
        <w:tab/>
      </w:r>
      <w:r w:rsidR="00CD40F9">
        <w:tab/>
      </w:r>
      <w:r w:rsidR="003B34F4" w:rsidRPr="00CD40F9">
        <w:t>As noted previously in footnote 3,</w:t>
      </w:r>
      <w:r w:rsidRPr="00CD40F9">
        <w:t xml:space="preserve"> the PJM Transmission Owners describe Regional Facilities without reference to sub-regional tra</w:t>
      </w:r>
      <w:r w:rsidR="003B34F4" w:rsidRPr="00CD40F9">
        <w:t>nsmission projects and upgrades.  T</w:t>
      </w:r>
      <w:r w:rsidRPr="00CD40F9">
        <w:t>he Ohio Commission also objects to the socialization of sub-regional projects.</w:t>
      </w:r>
    </w:p>
  </w:footnote>
  <w:footnote w:id="11">
    <w:p w:rsidR="00C80A17" w:rsidRDefault="00C80A17" w:rsidP="00C80A17">
      <w:pPr>
        <w:pStyle w:val="FootnoteText"/>
      </w:pPr>
      <w:r>
        <w:rPr>
          <w:rStyle w:val="FootnoteReference"/>
        </w:rPr>
        <w:footnoteRef/>
      </w:r>
      <w:r>
        <w:t xml:space="preserve"> </w:t>
      </w:r>
      <w:r>
        <w:tab/>
      </w:r>
      <w:r>
        <w:tab/>
      </w:r>
      <w:r w:rsidRPr="00013E02">
        <w:rPr>
          <w:rFonts w:cs="Times New Roman"/>
          <w:i/>
        </w:rPr>
        <w:t>Illinois Commerce Comm’n</w:t>
      </w:r>
      <w:r w:rsidRPr="00013E02">
        <w:rPr>
          <w:rFonts w:cs="Times New Roman"/>
        </w:rPr>
        <w:t xml:space="preserve">, </w:t>
      </w:r>
      <w:proofErr w:type="gramStart"/>
      <w:r w:rsidRPr="00013E02">
        <w:rPr>
          <w:rFonts w:cs="Times New Roman"/>
        </w:rPr>
        <w:t xml:space="preserve">576 F.3d </w:t>
      </w:r>
      <w:r w:rsidR="00E82070">
        <w:rPr>
          <w:rFonts w:cs="Times New Roman"/>
        </w:rPr>
        <w:t xml:space="preserve">at </w:t>
      </w:r>
      <w:r w:rsidRPr="00013E02">
        <w:rPr>
          <w:rFonts w:cs="Times New Roman"/>
        </w:rPr>
        <w:t>470</w:t>
      </w:r>
      <w:proofErr w:type="gramEnd"/>
      <w:r w:rsidRPr="0094539F">
        <w:rPr>
          <w:rFonts w:cs="Times New Roman"/>
        </w:rPr>
        <w:t>.</w:t>
      </w:r>
    </w:p>
  </w:footnote>
  <w:footnote w:id="12">
    <w:p w:rsidR="00C80A17" w:rsidRDefault="00C80A17" w:rsidP="00C80A17">
      <w:pPr>
        <w:pStyle w:val="FootnoteText"/>
      </w:pPr>
      <w:r>
        <w:rPr>
          <w:rStyle w:val="FootnoteReference"/>
        </w:rPr>
        <w:footnoteRef/>
      </w:r>
      <w:r>
        <w:t xml:space="preserve"> </w:t>
      </w:r>
      <w:r>
        <w:tab/>
      </w:r>
      <w:r>
        <w:tab/>
        <w:t>FERC Order on Compliance Filings, Docket No. ER13-198-000</w:t>
      </w:r>
      <w:r w:rsidR="00E82070">
        <w:t>,</w:t>
      </w:r>
      <w:r>
        <w:t xml:space="preserve"> </w:t>
      </w:r>
      <w:r>
        <w:rPr>
          <w:szCs w:val="26"/>
        </w:rPr>
        <w:t>¶ 414 (March 22, 2013).</w:t>
      </w:r>
    </w:p>
  </w:footnote>
  <w:footnote w:id="13">
    <w:p w:rsidR="004566E7" w:rsidRDefault="004566E7">
      <w:pPr>
        <w:pStyle w:val="FootnoteText"/>
      </w:pPr>
      <w:r>
        <w:rPr>
          <w:rStyle w:val="FootnoteReference"/>
        </w:rPr>
        <w:footnoteRef/>
      </w:r>
      <w:r>
        <w:t xml:space="preserve"> </w:t>
      </w:r>
      <w:r>
        <w:tab/>
      </w:r>
      <w:r>
        <w:tab/>
      </w:r>
      <w:r w:rsidR="00E82070">
        <w:t>FERC Order on Compliance Filings at n. 717, Docket No</w:t>
      </w:r>
      <w:proofErr w:type="gramStart"/>
      <w:r w:rsidR="00E82070">
        <w:t xml:space="preserve">. </w:t>
      </w:r>
      <w:proofErr w:type="gramEnd"/>
      <w:r w:rsidR="00E82070">
        <w:t>ER13-198-000</w:t>
      </w:r>
      <w:r w:rsidR="00E82070">
        <w:rPr>
          <w:szCs w:val="26"/>
        </w:rPr>
        <w:t xml:space="preserve"> (March 22, 2013).</w:t>
      </w:r>
    </w:p>
  </w:footnote>
  <w:footnote w:id="14">
    <w:p w:rsidR="00C80A17" w:rsidRDefault="00C80A17" w:rsidP="00C80A17">
      <w:pPr>
        <w:pStyle w:val="FootnoteText"/>
      </w:pPr>
      <w:r>
        <w:rPr>
          <w:rStyle w:val="FootnoteReference"/>
        </w:rPr>
        <w:footnoteRef/>
      </w:r>
      <w:r>
        <w:t xml:space="preserve"> </w:t>
      </w:r>
      <w:r>
        <w:tab/>
      </w:r>
      <w:r>
        <w:tab/>
        <w:t xml:space="preserve">See </w:t>
      </w:r>
      <w:hyperlink r:id="rId1" w:history="1">
        <w:r w:rsidRPr="00DE6383">
          <w:rPr>
            <w:rStyle w:val="Hyperlink"/>
          </w:rPr>
          <w:t>www.pjm.com</w:t>
        </w:r>
      </w:hyperlink>
      <w:r>
        <w:t>. Last visited on April 4, 2013.</w:t>
      </w:r>
    </w:p>
  </w:footnote>
  <w:footnote w:id="15">
    <w:p w:rsidR="00C80A17" w:rsidRDefault="00C80A17" w:rsidP="00C80A17">
      <w:pPr>
        <w:pStyle w:val="FootnoteText"/>
      </w:pPr>
      <w:r>
        <w:rPr>
          <w:rStyle w:val="FootnoteReference"/>
        </w:rPr>
        <w:footnoteRef/>
      </w:r>
      <w:r>
        <w:t xml:space="preserve"> </w:t>
      </w:r>
      <w:r>
        <w:tab/>
      </w:r>
      <w:r>
        <w:tab/>
      </w:r>
      <w:r>
        <w:rPr>
          <w:i/>
        </w:rPr>
        <w:t>Id</w:t>
      </w:r>
      <w:r>
        <w:t>.</w:t>
      </w:r>
    </w:p>
  </w:footnote>
  <w:footnote w:id="16">
    <w:p w:rsidR="00C80A17" w:rsidRDefault="00C80A17" w:rsidP="00C80A17">
      <w:pPr>
        <w:pStyle w:val="FootnoteText"/>
      </w:pPr>
      <w:r>
        <w:rPr>
          <w:rStyle w:val="FootnoteReference"/>
        </w:rPr>
        <w:footnoteRef/>
      </w:r>
      <w:r>
        <w:t xml:space="preserve"> </w:t>
      </w:r>
      <w:r>
        <w:tab/>
      </w:r>
      <w:r>
        <w:tab/>
        <w:t xml:space="preserve">See </w:t>
      </w:r>
      <w:hyperlink r:id="rId2" w:history="1">
        <w:r w:rsidRPr="00D0173C">
          <w:rPr>
            <w:rStyle w:val="Hyperlink"/>
          </w:rPr>
          <w:t>www.mapquest.com</w:t>
        </w:r>
      </w:hyperlink>
      <w:r>
        <w:t>.  Last visited on April 2, 2013.</w:t>
      </w:r>
    </w:p>
  </w:footnote>
  <w:footnote w:id="17">
    <w:p w:rsidR="00C80A17" w:rsidRDefault="00C80A17" w:rsidP="00C80A17">
      <w:pPr>
        <w:pStyle w:val="FootnoteText"/>
      </w:pPr>
      <w:r>
        <w:rPr>
          <w:rStyle w:val="FootnoteReference"/>
        </w:rPr>
        <w:footnoteRef/>
      </w:r>
      <w:r>
        <w:t xml:space="preserve"> </w:t>
      </w:r>
      <w:r>
        <w:tab/>
      </w:r>
      <w:r>
        <w:tab/>
        <w:t>FERC Order on Compliance Filings</w:t>
      </w:r>
      <w:r w:rsidR="00E82070">
        <w:t xml:space="preserve"> at ¶414</w:t>
      </w:r>
      <w:r>
        <w:t>, Docket No</w:t>
      </w:r>
      <w:proofErr w:type="gramStart"/>
      <w:r>
        <w:t xml:space="preserve">. </w:t>
      </w:r>
      <w:proofErr w:type="gramEnd"/>
      <w:r>
        <w:t>ER13-198-000</w:t>
      </w:r>
      <w:r>
        <w:rPr>
          <w:szCs w:val="26"/>
        </w:rPr>
        <w:t xml:space="preserve"> (March 22, 2013).</w:t>
      </w:r>
    </w:p>
  </w:footnote>
  <w:footnote w:id="18">
    <w:p w:rsidR="00C80A17" w:rsidRDefault="00C80A17" w:rsidP="00C80A17">
      <w:pPr>
        <w:pStyle w:val="FootnoteText"/>
      </w:pPr>
      <w:r>
        <w:rPr>
          <w:rStyle w:val="FootnoteReference"/>
        </w:rPr>
        <w:footnoteRef/>
      </w:r>
      <w:r>
        <w:t xml:space="preserve"> </w:t>
      </w:r>
      <w:r>
        <w:tab/>
      </w:r>
      <w:r>
        <w:tab/>
      </w:r>
      <w:r w:rsidR="00E82070">
        <w:t>FERC Order on Compliance Filings at ¶ 348, Docket No</w:t>
      </w:r>
      <w:proofErr w:type="gramStart"/>
      <w:r w:rsidR="00E82070">
        <w:t xml:space="preserve">. </w:t>
      </w:r>
      <w:proofErr w:type="gramEnd"/>
      <w:r w:rsidR="00E82070">
        <w:t>ER13-198-000 (March 22,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1E" w:rsidRPr="007F11F2" w:rsidRDefault="00E4211E" w:rsidP="007F11F2">
    <w:pPr>
      <w:pStyle w:val="Header"/>
      <w:jc w:val="center"/>
      <w:rPr>
        <w:rFonts w:ascii="Arial" w:hAnsi="Arial" w:cs="Arial"/>
        <w:b/>
        <w:color w:val="FF0000"/>
        <w:sz w:val="16"/>
        <w:szCs w:val="16"/>
      </w:rPr>
    </w:pPr>
    <w:r>
      <w:rPr>
        <w:rFonts w:ascii="Arial" w:hAnsi="Arial" w:cs="Arial"/>
        <w:b/>
        <w:color w:val="FF0000"/>
        <w:sz w:val="16"/>
        <w:szCs w:val="16"/>
      </w:rPr>
      <w:t xml:space="preserve">DRAFT - </w:t>
    </w:r>
    <w:r>
      <w:rPr>
        <w:rFonts w:ascii="Arial" w:hAnsi="Arial" w:cs="Arial"/>
        <w:b/>
        <w:color w:val="FF0000"/>
        <w:sz w:val="16"/>
        <w:szCs w:val="16"/>
      </w:rPr>
      <w:fldChar w:fldCharType="begin"/>
    </w:r>
    <w:r>
      <w:rPr>
        <w:rFonts w:ascii="Arial" w:hAnsi="Arial" w:cs="Arial"/>
        <w:b/>
        <w:color w:val="FF0000"/>
        <w:sz w:val="16"/>
        <w:szCs w:val="16"/>
      </w:rPr>
      <w:instrText xml:space="preserve"> DATE \@ "M/d/yyyy h:mm am/pm" </w:instrText>
    </w:r>
    <w:r>
      <w:rPr>
        <w:rFonts w:ascii="Arial" w:hAnsi="Arial" w:cs="Arial"/>
        <w:b/>
        <w:color w:val="FF0000"/>
        <w:sz w:val="16"/>
        <w:szCs w:val="16"/>
      </w:rPr>
      <w:fldChar w:fldCharType="separate"/>
    </w:r>
    <w:r w:rsidR="00856E3E">
      <w:rPr>
        <w:rFonts w:ascii="Arial" w:hAnsi="Arial" w:cs="Arial"/>
        <w:b/>
        <w:noProof/>
        <w:color w:val="FF0000"/>
        <w:sz w:val="16"/>
        <w:szCs w:val="16"/>
      </w:rPr>
      <w:t>4/17/2013 8:59 AM</w:t>
    </w:r>
    <w:r>
      <w:rPr>
        <w:rFonts w:ascii="Arial" w:hAnsi="Arial" w:cs="Arial"/>
        <w:b/>
        <w:color w:val="FF0000"/>
        <w:sz w:val="16"/>
        <w:szCs w:val="16"/>
      </w:rPr>
      <w:fldChar w:fldCharType="end"/>
    </w:r>
    <w:r>
      <w:rPr>
        <w:rFonts w:ascii="Arial" w:hAnsi="Arial" w:cs="Arial"/>
        <w:b/>
        <w:color w:val="FF0000"/>
        <w:sz w:val="16"/>
        <w:szCs w:val="16"/>
      </w:rPr>
      <w:br/>
    </w:r>
    <w:r w:rsidRPr="007F11F2">
      <w:rPr>
        <w:rFonts w:ascii="Arial" w:hAnsi="Arial" w:cs="Arial"/>
        <w:b/>
        <w:color w:val="FF0000"/>
        <w:sz w:val="16"/>
        <w:szCs w:val="16"/>
      </w:rPr>
      <w:fldChar w:fldCharType="begin"/>
    </w:r>
    <w:r w:rsidRPr="007F11F2">
      <w:rPr>
        <w:rFonts w:ascii="Arial" w:hAnsi="Arial" w:cs="Arial"/>
        <w:b/>
        <w:color w:val="FF0000"/>
        <w:sz w:val="16"/>
        <w:szCs w:val="16"/>
      </w:rPr>
      <w:instrText xml:space="preserve"> FILENAME  \* Lower \p  \* MERGEFORMAT </w:instrText>
    </w:r>
    <w:r w:rsidRPr="007F11F2">
      <w:rPr>
        <w:rFonts w:ascii="Arial" w:hAnsi="Arial" w:cs="Arial"/>
        <w:b/>
        <w:color w:val="FF0000"/>
        <w:sz w:val="16"/>
        <w:szCs w:val="16"/>
      </w:rPr>
      <w:fldChar w:fldCharType="separate"/>
    </w:r>
    <w:r w:rsidR="00856E3E">
      <w:rPr>
        <w:rFonts w:ascii="Arial" w:hAnsi="Arial" w:cs="Arial"/>
        <w:b/>
        <w:noProof/>
        <w:color w:val="FF0000"/>
        <w:sz w:val="16"/>
        <w:szCs w:val="16"/>
      </w:rPr>
      <w:t>\\puc\shares\departments\attorney general\attorneys\mcnamee\ferc\er13-198\request for rehearing 041713.docx</w:t>
    </w:r>
    <w:r w:rsidRPr="007F11F2">
      <w:rPr>
        <w:rFonts w:ascii="Arial" w:hAnsi="Arial" w:cs="Arial"/>
        <w:b/>
        <w:noProof/>
        <w:color w:val="FF0000"/>
        <w:sz w:val="16"/>
        <w:szCs w:val="16"/>
      </w:rPr>
      <w:fldChar w:fldCharType="end"/>
    </w:r>
    <w:r w:rsidRPr="007F11F2">
      <w:rPr>
        <w:rFonts w:ascii="Arial" w:hAnsi="Arial" w:cs="Arial"/>
        <w:b/>
        <w:color w:val="FF0000"/>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1E" w:rsidRPr="00494180" w:rsidRDefault="00E4211E" w:rsidP="004941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1E" w:rsidRDefault="00F62453" w:rsidP="00F62453">
    <w:pPr>
      <w:pStyle w:val="Header"/>
      <w:jc w:val="center"/>
      <w:rPr>
        <w:rFonts w:ascii="Times New Roman" w:hAnsi="Times New Roman" w:cs="Times New Roman"/>
        <w:b/>
        <w:sz w:val="28"/>
        <w:szCs w:val="28"/>
      </w:rPr>
    </w:pPr>
    <w:r>
      <w:rPr>
        <w:rFonts w:ascii="Times New Roman" w:hAnsi="Times New Roman" w:cs="Times New Roman"/>
        <w:b/>
        <w:sz w:val="28"/>
        <w:szCs w:val="28"/>
      </w:rPr>
      <w:t>TABLE OF CONTENTS</w:t>
    </w:r>
  </w:p>
  <w:p w:rsidR="00F62453" w:rsidRDefault="00F62453" w:rsidP="00F62453">
    <w:pPr>
      <w:pStyle w:val="Header"/>
      <w:jc w:val="right"/>
      <w:rPr>
        <w:rFonts w:ascii="Times New Roman" w:hAnsi="Times New Roman" w:cs="Times New Roman"/>
        <w:b/>
        <w:sz w:val="28"/>
        <w:szCs w:val="28"/>
      </w:rPr>
    </w:pPr>
    <w:r>
      <w:rPr>
        <w:rFonts w:ascii="Times New Roman" w:hAnsi="Times New Roman" w:cs="Times New Roman"/>
        <w:b/>
        <w:sz w:val="28"/>
        <w:szCs w:val="28"/>
      </w:rPr>
      <w:t>Page</w:t>
    </w:r>
  </w:p>
  <w:p w:rsidR="00F62453" w:rsidRPr="00F62453" w:rsidRDefault="00F62453" w:rsidP="00F62453">
    <w:pPr>
      <w:pStyle w:val="Header"/>
      <w:jc w:val="right"/>
      <w:rPr>
        <w:rFonts w:ascii="Times New Roman" w:hAnsi="Times New Roman" w:cs="Times New Roman"/>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453" w:rsidRPr="00254A41" w:rsidRDefault="00F62453" w:rsidP="00254A4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453" w:rsidRPr="00254A41" w:rsidRDefault="00F62453" w:rsidP="00254A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340BE"/>
    <w:multiLevelType w:val="hybridMultilevel"/>
    <w:tmpl w:val="E7FA2562"/>
    <w:lvl w:ilvl="0" w:tplc="70C6CFB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56060A"/>
    <w:multiLevelType w:val="hybridMultilevel"/>
    <w:tmpl w:val="CD5CE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E5140FC"/>
    <w:multiLevelType w:val="hybridMultilevel"/>
    <w:tmpl w:val="A7501576"/>
    <w:lvl w:ilvl="0" w:tplc="96663D4A">
      <w:start w:val="1"/>
      <w:numFmt w:val="upperRoman"/>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7E"/>
    <w:rsid w:val="0002276F"/>
    <w:rsid w:val="000457D0"/>
    <w:rsid w:val="00052D52"/>
    <w:rsid w:val="000645DB"/>
    <w:rsid w:val="00064A8C"/>
    <w:rsid w:val="000704C1"/>
    <w:rsid w:val="00070CE7"/>
    <w:rsid w:val="00082DC3"/>
    <w:rsid w:val="00091CDD"/>
    <w:rsid w:val="00096F2D"/>
    <w:rsid w:val="000975DB"/>
    <w:rsid w:val="000A488E"/>
    <w:rsid w:val="000B1B8C"/>
    <w:rsid w:val="000B2E19"/>
    <w:rsid w:val="000C06B6"/>
    <w:rsid w:val="000C4097"/>
    <w:rsid w:val="000C5C6D"/>
    <w:rsid w:val="000D2745"/>
    <w:rsid w:val="000D372C"/>
    <w:rsid w:val="000D4E18"/>
    <w:rsid w:val="000D509B"/>
    <w:rsid w:val="000D63FA"/>
    <w:rsid w:val="000F163D"/>
    <w:rsid w:val="000F4164"/>
    <w:rsid w:val="001210FA"/>
    <w:rsid w:val="00132D0A"/>
    <w:rsid w:val="001330A9"/>
    <w:rsid w:val="001434C0"/>
    <w:rsid w:val="00157920"/>
    <w:rsid w:val="001732DE"/>
    <w:rsid w:val="0018295B"/>
    <w:rsid w:val="0018316D"/>
    <w:rsid w:val="00185A12"/>
    <w:rsid w:val="001A24F0"/>
    <w:rsid w:val="001B2AC8"/>
    <w:rsid w:val="001B6F2A"/>
    <w:rsid w:val="001C545A"/>
    <w:rsid w:val="001C6FCA"/>
    <w:rsid w:val="001E1254"/>
    <w:rsid w:val="00205A70"/>
    <w:rsid w:val="002109AE"/>
    <w:rsid w:val="00217F5D"/>
    <w:rsid w:val="00221B2C"/>
    <w:rsid w:val="002231E6"/>
    <w:rsid w:val="00254A41"/>
    <w:rsid w:val="00255C32"/>
    <w:rsid w:val="00255CC9"/>
    <w:rsid w:val="00260A47"/>
    <w:rsid w:val="00281767"/>
    <w:rsid w:val="002A2D9D"/>
    <w:rsid w:val="002A77DD"/>
    <w:rsid w:val="002B21F6"/>
    <w:rsid w:val="002B222F"/>
    <w:rsid w:val="002B5DEA"/>
    <w:rsid w:val="002C0C90"/>
    <w:rsid w:val="002E0EFB"/>
    <w:rsid w:val="002E7EAA"/>
    <w:rsid w:val="00344BB9"/>
    <w:rsid w:val="0034694C"/>
    <w:rsid w:val="00364890"/>
    <w:rsid w:val="00370CD4"/>
    <w:rsid w:val="003734DC"/>
    <w:rsid w:val="00380001"/>
    <w:rsid w:val="00396365"/>
    <w:rsid w:val="003B34F4"/>
    <w:rsid w:val="003D1C65"/>
    <w:rsid w:val="003D725B"/>
    <w:rsid w:val="003E21E2"/>
    <w:rsid w:val="003F7467"/>
    <w:rsid w:val="004008A9"/>
    <w:rsid w:val="004011FE"/>
    <w:rsid w:val="00404A30"/>
    <w:rsid w:val="00411EC4"/>
    <w:rsid w:val="0041703C"/>
    <w:rsid w:val="0043068C"/>
    <w:rsid w:val="00437BCE"/>
    <w:rsid w:val="00437ECC"/>
    <w:rsid w:val="004412DF"/>
    <w:rsid w:val="0045300D"/>
    <w:rsid w:val="004566E7"/>
    <w:rsid w:val="00487DCD"/>
    <w:rsid w:val="00493878"/>
    <w:rsid w:val="00494180"/>
    <w:rsid w:val="004A105C"/>
    <w:rsid w:val="004A3A57"/>
    <w:rsid w:val="004B1D25"/>
    <w:rsid w:val="004B7BD4"/>
    <w:rsid w:val="004C31DA"/>
    <w:rsid w:val="005146A6"/>
    <w:rsid w:val="0053636F"/>
    <w:rsid w:val="00546AFF"/>
    <w:rsid w:val="00553E47"/>
    <w:rsid w:val="00583126"/>
    <w:rsid w:val="00594342"/>
    <w:rsid w:val="005A6BEF"/>
    <w:rsid w:val="005B6EC5"/>
    <w:rsid w:val="005E7B8E"/>
    <w:rsid w:val="006003F8"/>
    <w:rsid w:val="006170BC"/>
    <w:rsid w:val="00624BAE"/>
    <w:rsid w:val="00635D85"/>
    <w:rsid w:val="00640479"/>
    <w:rsid w:val="00655527"/>
    <w:rsid w:val="006713A0"/>
    <w:rsid w:val="00675315"/>
    <w:rsid w:val="00695BC7"/>
    <w:rsid w:val="006A70F7"/>
    <w:rsid w:val="006A7B79"/>
    <w:rsid w:val="006E611D"/>
    <w:rsid w:val="006F5000"/>
    <w:rsid w:val="00705028"/>
    <w:rsid w:val="0071757E"/>
    <w:rsid w:val="007258B0"/>
    <w:rsid w:val="00725F1A"/>
    <w:rsid w:val="00734843"/>
    <w:rsid w:val="00761354"/>
    <w:rsid w:val="00767CD4"/>
    <w:rsid w:val="00773CF3"/>
    <w:rsid w:val="00781CCB"/>
    <w:rsid w:val="007A434B"/>
    <w:rsid w:val="007C35FE"/>
    <w:rsid w:val="007D2CCE"/>
    <w:rsid w:val="007E0A5D"/>
    <w:rsid w:val="007F11F2"/>
    <w:rsid w:val="00800516"/>
    <w:rsid w:val="00801896"/>
    <w:rsid w:val="00821AC2"/>
    <w:rsid w:val="008461AA"/>
    <w:rsid w:val="00856E3E"/>
    <w:rsid w:val="00873CBA"/>
    <w:rsid w:val="00882BEA"/>
    <w:rsid w:val="00883A5C"/>
    <w:rsid w:val="00890094"/>
    <w:rsid w:val="008909B3"/>
    <w:rsid w:val="00895A9D"/>
    <w:rsid w:val="00895D28"/>
    <w:rsid w:val="008B0163"/>
    <w:rsid w:val="008B0453"/>
    <w:rsid w:val="008C2DC7"/>
    <w:rsid w:val="008D1024"/>
    <w:rsid w:val="008F7D1B"/>
    <w:rsid w:val="009053E3"/>
    <w:rsid w:val="00906063"/>
    <w:rsid w:val="00907CA0"/>
    <w:rsid w:val="009158F5"/>
    <w:rsid w:val="00930D20"/>
    <w:rsid w:val="0094539F"/>
    <w:rsid w:val="00945AAD"/>
    <w:rsid w:val="009528DE"/>
    <w:rsid w:val="00960DB7"/>
    <w:rsid w:val="009717F2"/>
    <w:rsid w:val="009A75B5"/>
    <w:rsid w:val="009B21B3"/>
    <w:rsid w:val="009C7391"/>
    <w:rsid w:val="009D05D5"/>
    <w:rsid w:val="009D0C39"/>
    <w:rsid w:val="009D1106"/>
    <w:rsid w:val="009E7AAD"/>
    <w:rsid w:val="00A04BAB"/>
    <w:rsid w:val="00A05B09"/>
    <w:rsid w:val="00A13461"/>
    <w:rsid w:val="00A22BC4"/>
    <w:rsid w:val="00A2396E"/>
    <w:rsid w:val="00A3053A"/>
    <w:rsid w:val="00A34C14"/>
    <w:rsid w:val="00A54B7C"/>
    <w:rsid w:val="00A572FB"/>
    <w:rsid w:val="00A61097"/>
    <w:rsid w:val="00A6304A"/>
    <w:rsid w:val="00A7170A"/>
    <w:rsid w:val="00A756F2"/>
    <w:rsid w:val="00AA64F9"/>
    <w:rsid w:val="00AD372A"/>
    <w:rsid w:val="00AE6834"/>
    <w:rsid w:val="00AF76A9"/>
    <w:rsid w:val="00B00803"/>
    <w:rsid w:val="00B01DEB"/>
    <w:rsid w:val="00B030C9"/>
    <w:rsid w:val="00B11738"/>
    <w:rsid w:val="00B12724"/>
    <w:rsid w:val="00B26C0D"/>
    <w:rsid w:val="00B351E6"/>
    <w:rsid w:val="00B361F4"/>
    <w:rsid w:val="00B520EC"/>
    <w:rsid w:val="00B60BF0"/>
    <w:rsid w:val="00B65E27"/>
    <w:rsid w:val="00B660F7"/>
    <w:rsid w:val="00B7264F"/>
    <w:rsid w:val="00B75F74"/>
    <w:rsid w:val="00B77E71"/>
    <w:rsid w:val="00B83AA0"/>
    <w:rsid w:val="00BD13D3"/>
    <w:rsid w:val="00BF53FE"/>
    <w:rsid w:val="00C11D53"/>
    <w:rsid w:val="00C13C8C"/>
    <w:rsid w:val="00C31303"/>
    <w:rsid w:val="00C41474"/>
    <w:rsid w:val="00C63338"/>
    <w:rsid w:val="00C70B32"/>
    <w:rsid w:val="00C80A17"/>
    <w:rsid w:val="00C837F6"/>
    <w:rsid w:val="00CA0246"/>
    <w:rsid w:val="00CA7AA1"/>
    <w:rsid w:val="00CD15CA"/>
    <w:rsid w:val="00CD40F9"/>
    <w:rsid w:val="00D01740"/>
    <w:rsid w:val="00D01B38"/>
    <w:rsid w:val="00D14854"/>
    <w:rsid w:val="00D162D7"/>
    <w:rsid w:val="00D325E3"/>
    <w:rsid w:val="00D32786"/>
    <w:rsid w:val="00D456F7"/>
    <w:rsid w:val="00D51B9A"/>
    <w:rsid w:val="00D67CB7"/>
    <w:rsid w:val="00D96244"/>
    <w:rsid w:val="00DA2FB8"/>
    <w:rsid w:val="00DD28B7"/>
    <w:rsid w:val="00DD49F0"/>
    <w:rsid w:val="00E02D64"/>
    <w:rsid w:val="00E03B10"/>
    <w:rsid w:val="00E05EC8"/>
    <w:rsid w:val="00E07F6A"/>
    <w:rsid w:val="00E15014"/>
    <w:rsid w:val="00E25CF0"/>
    <w:rsid w:val="00E4211E"/>
    <w:rsid w:val="00E532A0"/>
    <w:rsid w:val="00E55912"/>
    <w:rsid w:val="00E5652D"/>
    <w:rsid w:val="00E62C49"/>
    <w:rsid w:val="00E8114A"/>
    <w:rsid w:val="00E82070"/>
    <w:rsid w:val="00EA27A2"/>
    <w:rsid w:val="00ED5EF5"/>
    <w:rsid w:val="00ED6D47"/>
    <w:rsid w:val="00EE46E3"/>
    <w:rsid w:val="00EF1C33"/>
    <w:rsid w:val="00EF3B66"/>
    <w:rsid w:val="00F0151C"/>
    <w:rsid w:val="00F057B8"/>
    <w:rsid w:val="00F227B0"/>
    <w:rsid w:val="00F270FE"/>
    <w:rsid w:val="00F273D0"/>
    <w:rsid w:val="00F40BEC"/>
    <w:rsid w:val="00F42488"/>
    <w:rsid w:val="00F455AF"/>
    <w:rsid w:val="00F62453"/>
    <w:rsid w:val="00F94E29"/>
    <w:rsid w:val="00FA23F6"/>
    <w:rsid w:val="00FA6C1D"/>
    <w:rsid w:val="00FA7B56"/>
    <w:rsid w:val="00FB4A00"/>
    <w:rsid w:val="00FB6131"/>
    <w:rsid w:val="00FC1FE1"/>
    <w:rsid w:val="00FD4291"/>
    <w:rsid w:val="00FF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A756F2"/>
    <w:pPr>
      <w:keepNext/>
      <w:spacing w:before="360" w:after="240" w:line="240" w:lineRule="auto"/>
      <w:jc w:val="center"/>
      <w:outlineLvl w:val="0"/>
    </w:pPr>
    <w:rPr>
      <w:rFonts w:ascii="Times New Roman" w:eastAsia="Times New Roman" w:hAnsi="Times New Roman" w:cs="Times New Roman"/>
      <w:b/>
      <w:bCs/>
      <w:kern w:val="32"/>
      <w:sz w:val="28"/>
      <w:szCs w:val="32"/>
      <w:lang w:eastAsia="x-none"/>
    </w:rPr>
  </w:style>
  <w:style w:type="paragraph" w:styleId="Heading2">
    <w:name w:val="heading 2"/>
    <w:basedOn w:val="Normal"/>
    <w:next w:val="Normal"/>
    <w:link w:val="Heading2Char"/>
    <w:autoRedefine/>
    <w:uiPriority w:val="9"/>
    <w:unhideWhenUsed/>
    <w:qFormat/>
    <w:rsid w:val="00C80A17"/>
    <w:pPr>
      <w:keepNext/>
      <w:keepLines/>
      <w:numPr>
        <w:numId w:val="1"/>
      </w:numPr>
      <w:spacing w:before="360" w:after="240" w:line="240" w:lineRule="auto"/>
      <w:ind w:right="1440" w:hanging="720"/>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6F2"/>
    <w:rPr>
      <w:rFonts w:ascii="Times New Roman" w:eastAsia="Times New Roman" w:hAnsi="Times New Roman" w:cs="Times New Roman"/>
      <w:b/>
      <w:bCs/>
      <w:kern w:val="32"/>
      <w:sz w:val="28"/>
      <w:szCs w:val="32"/>
      <w:lang w:eastAsia="x-none"/>
    </w:rPr>
  </w:style>
  <w:style w:type="paragraph" w:styleId="FootnoteText">
    <w:name w:val="footnote text"/>
    <w:basedOn w:val="Normal"/>
    <w:link w:val="FootnoteTextChar"/>
    <w:autoRedefine/>
    <w:uiPriority w:val="99"/>
    <w:unhideWhenUsed/>
    <w:rsid w:val="007F11F2"/>
    <w:pPr>
      <w:spacing w:before="240" w:after="240" w:line="240" w:lineRule="auto"/>
      <w:ind w:left="720" w:hanging="720"/>
    </w:pPr>
    <w:rPr>
      <w:rFonts w:ascii="Times New Roman" w:hAnsi="Times New Roman"/>
      <w:sz w:val="20"/>
      <w:szCs w:val="20"/>
    </w:rPr>
  </w:style>
  <w:style w:type="character" w:customStyle="1" w:styleId="FootnoteTextChar">
    <w:name w:val="Footnote Text Char"/>
    <w:basedOn w:val="DefaultParagraphFont"/>
    <w:link w:val="FootnoteText"/>
    <w:uiPriority w:val="99"/>
    <w:rsid w:val="007F11F2"/>
    <w:rPr>
      <w:rFonts w:ascii="Times New Roman" w:hAnsi="Times New Roman"/>
      <w:sz w:val="20"/>
      <w:szCs w:val="20"/>
    </w:rPr>
  </w:style>
  <w:style w:type="character" w:styleId="FootnoteReference">
    <w:name w:val="footnote reference"/>
    <w:aliases w:val="Style 30"/>
    <w:basedOn w:val="DefaultParagraphFont"/>
    <w:uiPriority w:val="99"/>
    <w:unhideWhenUsed/>
    <w:rsid w:val="009C7391"/>
    <w:rPr>
      <w:vertAlign w:val="superscript"/>
    </w:rPr>
  </w:style>
  <w:style w:type="character" w:customStyle="1" w:styleId="Heading2Char">
    <w:name w:val="Heading 2 Char"/>
    <w:basedOn w:val="DefaultParagraphFont"/>
    <w:link w:val="Heading2"/>
    <w:uiPriority w:val="9"/>
    <w:rsid w:val="00C80A17"/>
    <w:rPr>
      <w:rFonts w:ascii="Times New Roman" w:eastAsiaTheme="majorEastAsia" w:hAnsi="Times New Roman" w:cstheme="majorBidi"/>
      <w:b/>
      <w:bCs/>
      <w:sz w:val="28"/>
      <w:szCs w:val="26"/>
    </w:rPr>
  </w:style>
  <w:style w:type="paragraph" w:styleId="BalloonText">
    <w:name w:val="Balloon Text"/>
    <w:basedOn w:val="Normal"/>
    <w:link w:val="BalloonTextChar"/>
    <w:uiPriority w:val="99"/>
    <w:semiHidden/>
    <w:unhideWhenUsed/>
    <w:rsid w:val="00082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DC3"/>
    <w:rPr>
      <w:rFonts w:ascii="Tahoma" w:hAnsi="Tahoma" w:cs="Tahoma"/>
      <w:sz w:val="16"/>
      <w:szCs w:val="16"/>
    </w:rPr>
  </w:style>
  <w:style w:type="character" w:styleId="Hyperlink">
    <w:name w:val="Hyperlink"/>
    <w:uiPriority w:val="99"/>
    <w:unhideWhenUsed/>
    <w:rsid w:val="000B1B8C"/>
    <w:rPr>
      <w:color w:val="0000FF"/>
      <w:u w:val="single"/>
    </w:rPr>
  </w:style>
  <w:style w:type="paragraph" w:styleId="Header">
    <w:name w:val="header"/>
    <w:basedOn w:val="Normal"/>
    <w:link w:val="HeaderChar"/>
    <w:uiPriority w:val="99"/>
    <w:unhideWhenUsed/>
    <w:rsid w:val="00205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A70"/>
  </w:style>
  <w:style w:type="paragraph" w:styleId="Footer">
    <w:name w:val="footer"/>
    <w:basedOn w:val="Normal"/>
    <w:link w:val="FooterChar"/>
    <w:uiPriority w:val="99"/>
    <w:unhideWhenUsed/>
    <w:rsid w:val="00205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A70"/>
  </w:style>
  <w:style w:type="character" w:styleId="CommentReference">
    <w:name w:val="annotation reference"/>
    <w:basedOn w:val="DefaultParagraphFont"/>
    <w:uiPriority w:val="99"/>
    <w:semiHidden/>
    <w:unhideWhenUsed/>
    <w:rsid w:val="00344BB9"/>
    <w:rPr>
      <w:sz w:val="16"/>
      <w:szCs w:val="16"/>
    </w:rPr>
  </w:style>
  <w:style w:type="paragraph" w:styleId="CommentText">
    <w:name w:val="annotation text"/>
    <w:basedOn w:val="Normal"/>
    <w:link w:val="CommentTextChar"/>
    <w:uiPriority w:val="99"/>
    <w:semiHidden/>
    <w:unhideWhenUsed/>
    <w:rsid w:val="00344BB9"/>
    <w:pPr>
      <w:spacing w:line="240" w:lineRule="auto"/>
    </w:pPr>
    <w:rPr>
      <w:sz w:val="20"/>
      <w:szCs w:val="20"/>
    </w:rPr>
  </w:style>
  <w:style w:type="character" w:customStyle="1" w:styleId="CommentTextChar">
    <w:name w:val="Comment Text Char"/>
    <w:basedOn w:val="DefaultParagraphFont"/>
    <w:link w:val="CommentText"/>
    <w:uiPriority w:val="99"/>
    <w:semiHidden/>
    <w:rsid w:val="00344BB9"/>
    <w:rPr>
      <w:sz w:val="20"/>
      <w:szCs w:val="20"/>
    </w:rPr>
  </w:style>
  <w:style w:type="paragraph" w:styleId="CommentSubject">
    <w:name w:val="annotation subject"/>
    <w:basedOn w:val="CommentText"/>
    <w:next w:val="CommentText"/>
    <w:link w:val="CommentSubjectChar"/>
    <w:uiPriority w:val="99"/>
    <w:semiHidden/>
    <w:unhideWhenUsed/>
    <w:rsid w:val="00344BB9"/>
    <w:rPr>
      <w:b/>
      <w:bCs/>
    </w:rPr>
  </w:style>
  <w:style w:type="character" w:customStyle="1" w:styleId="CommentSubjectChar">
    <w:name w:val="Comment Subject Char"/>
    <w:basedOn w:val="CommentTextChar"/>
    <w:link w:val="CommentSubject"/>
    <w:uiPriority w:val="99"/>
    <w:semiHidden/>
    <w:rsid w:val="00344BB9"/>
    <w:rPr>
      <w:b/>
      <w:bCs/>
      <w:sz w:val="20"/>
      <w:szCs w:val="20"/>
    </w:rPr>
  </w:style>
  <w:style w:type="paragraph" w:customStyle="1" w:styleId="Blockquote">
    <w:name w:val="Block quote"/>
    <w:basedOn w:val="Normal"/>
    <w:autoRedefine/>
    <w:rsid w:val="00157920"/>
    <w:pPr>
      <w:spacing w:after="240" w:line="240" w:lineRule="auto"/>
      <w:ind w:left="1440" w:right="1440"/>
    </w:pPr>
    <w:rPr>
      <w:rFonts w:ascii="Times New Roman" w:eastAsia="Calibri" w:hAnsi="Times New Roman" w:cs="Times New Roman"/>
      <w:sz w:val="26"/>
      <w:szCs w:val="24"/>
    </w:rPr>
  </w:style>
  <w:style w:type="paragraph" w:styleId="NoSpacing">
    <w:name w:val="No Spacing"/>
    <w:uiPriority w:val="1"/>
    <w:qFormat/>
    <w:rsid w:val="00157920"/>
    <w:pPr>
      <w:spacing w:after="0" w:line="240" w:lineRule="auto"/>
    </w:pPr>
  </w:style>
  <w:style w:type="paragraph" w:customStyle="1" w:styleId="Textstyle">
    <w:name w:val="Text style"/>
    <w:basedOn w:val="Normal"/>
    <w:link w:val="TextstyleChar"/>
    <w:autoRedefine/>
    <w:rsid w:val="00B01DEB"/>
    <w:pPr>
      <w:tabs>
        <w:tab w:val="left" w:pos="720"/>
      </w:tabs>
      <w:spacing w:after="0" w:line="480" w:lineRule="auto"/>
    </w:pPr>
    <w:rPr>
      <w:rFonts w:ascii="Times New Roman" w:eastAsia="Times New Roman" w:hAnsi="Times New Roman" w:cs="Times New Roman"/>
      <w:sz w:val="26"/>
      <w:szCs w:val="24"/>
    </w:rPr>
  </w:style>
  <w:style w:type="character" w:customStyle="1" w:styleId="TextstyleChar">
    <w:name w:val="Text style Char"/>
    <w:link w:val="Textstyle"/>
    <w:rsid w:val="00B01DEB"/>
    <w:rPr>
      <w:rFonts w:ascii="Times New Roman" w:eastAsia="Times New Roman" w:hAnsi="Times New Roman" w:cs="Times New Roman"/>
      <w:sz w:val="26"/>
      <w:szCs w:val="24"/>
    </w:rPr>
  </w:style>
  <w:style w:type="paragraph" w:styleId="TOC1">
    <w:name w:val="toc 1"/>
    <w:basedOn w:val="Normal"/>
    <w:next w:val="Normal"/>
    <w:autoRedefine/>
    <w:uiPriority w:val="39"/>
    <w:unhideWhenUsed/>
    <w:rsid w:val="008D1024"/>
    <w:pPr>
      <w:tabs>
        <w:tab w:val="right" w:leader="dot" w:pos="9346"/>
      </w:tabs>
      <w:spacing w:before="240" w:after="240" w:line="240" w:lineRule="auto"/>
    </w:pPr>
    <w:rPr>
      <w:rFonts w:ascii="Times New Roman" w:hAnsi="Times New Roman"/>
      <w:sz w:val="26"/>
    </w:rPr>
  </w:style>
  <w:style w:type="paragraph" w:styleId="TOC2">
    <w:name w:val="toc 2"/>
    <w:basedOn w:val="Normal"/>
    <w:next w:val="Normal"/>
    <w:autoRedefine/>
    <w:uiPriority w:val="39"/>
    <w:unhideWhenUsed/>
    <w:rsid w:val="008D1024"/>
    <w:pPr>
      <w:tabs>
        <w:tab w:val="right" w:leader="dot" w:pos="9350"/>
      </w:tabs>
      <w:spacing w:before="240" w:after="240" w:line="240" w:lineRule="auto"/>
      <w:ind w:left="1440" w:right="1440" w:hanging="720"/>
    </w:pPr>
    <w:rPr>
      <w:rFonts w:ascii="Times New Roman" w:hAnsi="Times New Roman"/>
      <w:sz w:val="26"/>
    </w:rPr>
  </w:style>
  <w:style w:type="paragraph" w:customStyle="1" w:styleId="Default">
    <w:name w:val="Default"/>
    <w:rsid w:val="003D1C6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80A17"/>
    <w:pPr>
      <w:ind w:left="720"/>
      <w:contextualSpacing/>
    </w:pPr>
  </w:style>
  <w:style w:type="character" w:customStyle="1" w:styleId="addspeech1">
    <w:name w:val="addspeech1"/>
    <w:basedOn w:val="DefaultParagraphFont"/>
    <w:rsid w:val="00C80A17"/>
  </w:style>
  <w:style w:type="paragraph" w:styleId="Revision">
    <w:name w:val="Revision"/>
    <w:hidden/>
    <w:uiPriority w:val="99"/>
    <w:semiHidden/>
    <w:rsid w:val="006F50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A756F2"/>
    <w:pPr>
      <w:keepNext/>
      <w:spacing w:before="360" w:after="240" w:line="240" w:lineRule="auto"/>
      <w:jc w:val="center"/>
      <w:outlineLvl w:val="0"/>
    </w:pPr>
    <w:rPr>
      <w:rFonts w:ascii="Times New Roman" w:eastAsia="Times New Roman" w:hAnsi="Times New Roman" w:cs="Times New Roman"/>
      <w:b/>
      <w:bCs/>
      <w:kern w:val="32"/>
      <w:sz w:val="28"/>
      <w:szCs w:val="32"/>
      <w:lang w:eastAsia="x-none"/>
    </w:rPr>
  </w:style>
  <w:style w:type="paragraph" w:styleId="Heading2">
    <w:name w:val="heading 2"/>
    <w:basedOn w:val="Normal"/>
    <w:next w:val="Normal"/>
    <w:link w:val="Heading2Char"/>
    <w:autoRedefine/>
    <w:uiPriority w:val="9"/>
    <w:unhideWhenUsed/>
    <w:qFormat/>
    <w:rsid w:val="00C80A17"/>
    <w:pPr>
      <w:keepNext/>
      <w:keepLines/>
      <w:numPr>
        <w:numId w:val="1"/>
      </w:numPr>
      <w:spacing w:before="360" w:after="240" w:line="240" w:lineRule="auto"/>
      <w:ind w:right="1440" w:hanging="720"/>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6F2"/>
    <w:rPr>
      <w:rFonts w:ascii="Times New Roman" w:eastAsia="Times New Roman" w:hAnsi="Times New Roman" w:cs="Times New Roman"/>
      <w:b/>
      <w:bCs/>
      <w:kern w:val="32"/>
      <w:sz w:val="28"/>
      <w:szCs w:val="32"/>
      <w:lang w:eastAsia="x-none"/>
    </w:rPr>
  </w:style>
  <w:style w:type="paragraph" w:styleId="FootnoteText">
    <w:name w:val="footnote text"/>
    <w:basedOn w:val="Normal"/>
    <w:link w:val="FootnoteTextChar"/>
    <w:autoRedefine/>
    <w:uiPriority w:val="99"/>
    <w:unhideWhenUsed/>
    <w:rsid w:val="007F11F2"/>
    <w:pPr>
      <w:spacing w:before="240" w:after="240" w:line="240" w:lineRule="auto"/>
      <w:ind w:left="720" w:hanging="720"/>
    </w:pPr>
    <w:rPr>
      <w:rFonts w:ascii="Times New Roman" w:hAnsi="Times New Roman"/>
      <w:sz w:val="20"/>
      <w:szCs w:val="20"/>
    </w:rPr>
  </w:style>
  <w:style w:type="character" w:customStyle="1" w:styleId="FootnoteTextChar">
    <w:name w:val="Footnote Text Char"/>
    <w:basedOn w:val="DefaultParagraphFont"/>
    <w:link w:val="FootnoteText"/>
    <w:uiPriority w:val="99"/>
    <w:rsid w:val="007F11F2"/>
    <w:rPr>
      <w:rFonts w:ascii="Times New Roman" w:hAnsi="Times New Roman"/>
      <w:sz w:val="20"/>
      <w:szCs w:val="20"/>
    </w:rPr>
  </w:style>
  <w:style w:type="character" w:styleId="FootnoteReference">
    <w:name w:val="footnote reference"/>
    <w:aliases w:val="Style 30"/>
    <w:basedOn w:val="DefaultParagraphFont"/>
    <w:uiPriority w:val="99"/>
    <w:unhideWhenUsed/>
    <w:rsid w:val="009C7391"/>
    <w:rPr>
      <w:vertAlign w:val="superscript"/>
    </w:rPr>
  </w:style>
  <w:style w:type="character" w:customStyle="1" w:styleId="Heading2Char">
    <w:name w:val="Heading 2 Char"/>
    <w:basedOn w:val="DefaultParagraphFont"/>
    <w:link w:val="Heading2"/>
    <w:uiPriority w:val="9"/>
    <w:rsid w:val="00C80A17"/>
    <w:rPr>
      <w:rFonts w:ascii="Times New Roman" w:eastAsiaTheme="majorEastAsia" w:hAnsi="Times New Roman" w:cstheme="majorBidi"/>
      <w:b/>
      <w:bCs/>
      <w:sz w:val="28"/>
      <w:szCs w:val="26"/>
    </w:rPr>
  </w:style>
  <w:style w:type="paragraph" w:styleId="BalloonText">
    <w:name w:val="Balloon Text"/>
    <w:basedOn w:val="Normal"/>
    <w:link w:val="BalloonTextChar"/>
    <w:uiPriority w:val="99"/>
    <w:semiHidden/>
    <w:unhideWhenUsed/>
    <w:rsid w:val="00082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DC3"/>
    <w:rPr>
      <w:rFonts w:ascii="Tahoma" w:hAnsi="Tahoma" w:cs="Tahoma"/>
      <w:sz w:val="16"/>
      <w:szCs w:val="16"/>
    </w:rPr>
  </w:style>
  <w:style w:type="character" w:styleId="Hyperlink">
    <w:name w:val="Hyperlink"/>
    <w:uiPriority w:val="99"/>
    <w:unhideWhenUsed/>
    <w:rsid w:val="000B1B8C"/>
    <w:rPr>
      <w:color w:val="0000FF"/>
      <w:u w:val="single"/>
    </w:rPr>
  </w:style>
  <w:style w:type="paragraph" w:styleId="Header">
    <w:name w:val="header"/>
    <w:basedOn w:val="Normal"/>
    <w:link w:val="HeaderChar"/>
    <w:uiPriority w:val="99"/>
    <w:unhideWhenUsed/>
    <w:rsid w:val="00205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A70"/>
  </w:style>
  <w:style w:type="paragraph" w:styleId="Footer">
    <w:name w:val="footer"/>
    <w:basedOn w:val="Normal"/>
    <w:link w:val="FooterChar"/>
    <w:uiPriority w:val="99"/>
    <w:unhideWhenUsed/>
    <w:rsid w:val="00205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A70"/>
  </w:style>
  <w:style w:type="character" w:styleId="CommentReference">
    <w:name w:val="annotation reference"/>
    <w:basedOn w:val="DefaultParagraphFont"/>
    <w:uiPriority w:val="99"/>
    <w:semiHidden/>
    <w:unhideWhenUsed/>
    <w:rsid w:val="00344BB9"/>
    <w:rPr>
      <w:sz w:val="16"/>
      <w:szCs w:val="16"/>
    </w:rPr>
  </w:style>
  <w:style w:type="paragraph" w:styleId="CommentText">
    <w:name w:val="annotation text"/>
    <w:basedOn w:val="Normal"/>
    <w:link w:val="CommentTextChar"/>
    <w:uiPriority w:val="99"/>
    <w:semiHidden/>
    <w:unhideWhenUsed/>
    <w:rsid w:val="00344BB9"/>
    <w:pPr>
      <w:spacing w:line="240" w:lineRule="auto"/>
    </w:pPr>
    <w:rPr>
      <w:sz w:val="20"/>
      <w:szCs w:val="20"/>
    </w:rPr>
  </w:style>
  <w:style w:type="character" w:customStyle="1" w:styleId="CommentTextChar">
    <w:name w:val="Comment Text Char"/>
    <w:basedOn w:val="DefaultParagraphFont"/>
    <w:link w:val="CommentText"/>
    <w:uiPriority w:val="99"/>
    <w:semiHidden/>
    <w:rsid w:val="00344BB9"/>
    <w:rPr>
      <w:sz w:val="20"/>
      <w:szCs w:val="20"/>
    </w:rPr>
  </w:style>
  <w:style w:type="paragraph" w:styleId="CommentSubject">
    <w:name w:val="annotation subject"/>
    <w:basedOn w:val="CommentText"/>
    <w:next w:val="CommentText"/>
    <w:link w:val="CommentSubjectChar"/>
    <w:uiPriority w:val="99"/>
    <w:semiHidden/>
    <w:unhideWhenUsed/>
    <w:rsid w:val="00344BB9"/>
    <w:rPr>
      <w:b/>
      <w:bCs/>
    </w:rPr>
  </w:style>
  <w:style w:type="character" w:customStyle="1" w:styleId="CommentSubjectChar">
    <w:name w:val="Comment Subject Char"/>
    <w:basedOn w:val="CommentTextChar"/>
    <w:link w:val="CommentSubject"/>
    <w:uiPriority w:val="99"/>
    <w:semiHidden/>
    <w:rsid w:val="00344BB9"/>
    <w:rPr>
      <w:b/>
      <w:bCs/>
      <w:sz w:val="20"/>
      <w:szCs w:val="20"/>
    </w:rPr>
  </w:style>
  <w:style w:type="paragraph" w:customStyle="1" w:styleId="Blockquote">
    <w:name w:val="Block quote"/>
    <w:basedOn w:val="Normal"/>
    <w:autoRedefine/>
    <w:rsid w:val="00157920"/>
    <w:pPr>
      <w:spacing w:after="240" w:line="240" w:lineRule="auto"/>
      <w:ind w:left="1440" w:right="1440"/>
    </w:pPr>
    <w:rPr>
      <w:rFonts w:ascii="Times New Roman" w:eastAsia="Calibri" w:hAnsi="Times New Roman" w:cs="Times New Roman"/>
      <w:sz w:val="26"/>
      <w:szCs w:val="24"/>
    </w:rPr>
  </w:style>
  <w:style w:type="paragraph" w:styleId="NoSpacing">
    <w:name w:val="No Spacing"/>
    <w:uiPriority w:val="1"/>
    <w:qFormat/>
    <w:rsid w:val="00157920"/>
    <w:pPr>
      <w:spacing w:after="0" w:line="240" w:lineRule="auto"/>
    </w:pPr>
  </w:style>
  <w:style w:type="paragraph" w:customStyle="1" w:styleId="Textstyle">
    <w:name w:val="Text style"/>
    <w:basedOn w:val="Normal"/>
    <w:link w:val="TextstyleChar"/>
    <w:autoRedefine/>
    <w:rsid w:val="00B01DEB"/>
    <w:pPr>
      <w:tabs>
        <w:tab w:val="left" w:pos="720"/>
      </w:tabs>
      <w:spacing w:after="0" w:line="480" w:lineRule="auto"/>
    </w:pPr>
    <w:rPr>
      <w:rFonts w:ascii="Times New Roman" w:eastAsia="Times New Roman" w:hAnsi="Times New Roman" w:cs="Times New Roman"/>
      <w:sz w:val="26"/>
      <w:szCs w:val="24"/>
    </w:rPr>
  </w:style>
  <w:style w:type="character" w:customStyle="1" w:styleId="TextstyleChar">
    <w:name w:val="Text style Char"/>
    <w:link w:val="Textstyle"/>
    <w:rsid w:val="00B01DEB"/>
    <w:rPr>
      <w:rFonts w:ascii="Times New Roman" w:eastAsia="Times New Roman" w:hAnsi="Times New Roman" w:cs="Times New Roman"/>
      <w:sz w:val="26"/>
      <w:szCs w:val="24"/>
    </w:rPr>
  </w:style>
  <w:style w:type="paragraph" w:styleId="TOC1">
    <w:name w:val="toc 1"/>
    <w:basedOn w:val="Normal"/>
    <w:next w:val="Normal"/>
    <w:autoRedefine/>
    <w:uiPriority w:val="39"/>
    <w:unhideWhenUsed/>
    <w:rsid w:val="008D1024"/>
    <w:pPr>
      <w:tabs>
        <w:tab w:val="right" w:leader="dot" w:pos="9346"/>
      </w:tabs>
      <w:spacing w:before="240" w:after="240" w:line="240" w:lineRule="auto"/>
    </w:pPr>
    <w:rPr>
      <w:rFonts w:ascii="Times New Roman" w:hAnsi="Times New Roman"/>
      <w:sz w:val="26"/>
    </w:rPr>
  </w:style>
  <w:style w:type="paragraph" w:styleId="TOC2">
    <w:name w:val="toc 2"/>
    <w:basedOn w:val="Normal"/>
    <w:next w:val="Normal"/>
    <w:autoRedefine/>
    <w:uiPriority w:val="39"/>
    <w:unhideWhenUsed/>
    <w:rsid w:val="008D1024"/>
    <w:pPr>
      <w:tabs>
        <w:tab w:val="right" w:leader="dot" w:pos="9350"/>
      </w:tabs>
      <w:spacing w:before="240" w:after="240" w:line="240" w:lineRule="auto"/>
      <w:ind w:left="1440" w:right="1440" w:hanging="720"/>
    </w:pPr>
    <w:rPr>
      <w:rFonts w:ascii="Times New Roman" w:hAnsi="Times New Roman"/>
      <w:sz w:val="26"/>
    </w:rPr>
  </w:style>
  <w:style w:type="paragraph" w:customStyle="1" w:styleId="Default">
    <w:name w:val="Default"/>
    <w:rsid w:val="003D1C6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80A17"/>
    <w:pPr>
      <w:ind w:left="720"/>
      <w:contextualSpacing/>
    </w:pPr>
  </w:style>
  <w:style w:type="character" w:customStyle="1" w:styleId="addspeech1">
    <w:name w:val="addspeech1"/>
    <w:basedOn w:val="DefaultParagraphFont"/>
    <w:rsid w:val="00C80A17"/>
  </w:style>
  <w:style w:type="paragraph" w:styleId="Revision">
    <w:name w:val="Revision"/>
    <w:hidden/>
    <w:uiPriority w:val="99"/>
    <w:semiHidden/>
    <w:rsid w:val="006F50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4991">
      <w:bodyDiv w:val="1"/>
      <w:marLeft w:val="0"/>
      <w:marRight w:val="0"/>
      <w:marTop w:val="0"/>
      <w:marBottom w:val="0"/>
      <w:divBdr>
        <w:top w:val="none" w:sz="0" w:space="0" w:color="auto"/>
        <w:left w:val="none" w:sz="0" w:space="0" w:color="auto"/>
        <w:bottom w:val="none" w:sz="0" w:space="0" w:color="auto"/>
        <w:right w:val="none" w:sz="0" w:space="0" w:color="auto"/>
      </w:divBdr>
    </w:div>
    <w:div w:id="742145084">
      <w:bodyDiv w:val="1"/>
      <w:marLeft w:val="0"/>
      <w:marRight w:val="0"/>
      <w:marTop w:val="0"/>
      <w:marBottom w:val="0"/>
      <w:divBdr>
        <w:top w:val="none" w:sz="0" w:space="0" w:color="auto"/>
        <w:left w:val="none" w:sz="0" w:space="0" w:color="auto"/>
        <w:bottom w:val="none" w:sz="0" w:space="0" w:color="auto"/>
        <w:right w:val="none" w:sz="0" w:space="0" w:color="auto"/>
      </w:divBdr>
    </w:div>
    <w:div w:id="201401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thomas.mcnamee@puc.state.oh.us"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mapquest.com" TargetMode="External"/><Relationship Id="rId1" Type="http://schemas.openxmlformats.org/officeDocument/2006/relationships/hyperlink" Target="http://www.pj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E2519-56F8-4BD9-9C23-F08F0B0E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14048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Shields, Daniel</dc:creator>
  <cp:lastModifiedBy>Keeton, Kim</cp:lastModifiedBy>
  <cp:revision>6</cp:revision>
  <cp:lastPrinted>2013-04-17T12:59:00Z</cp:lastPrinted>
  <dcterms:created xsi:type="dcterms:W3CDTF">2013-04-17T12:36:00Z</dcterms:created>
  <dcterms:modified xsi:type="dcterms:W3CDTF">2013-04-17T12:59:00Z</dcterms:modified>
</cp:coreProperties>
</file>