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E34D47" w:rsidRDefault="009D3C22" w:rsidP="00663D6A">
      <w:pPr>
        <w:jc w:val="center"/>
        <w:rPr>
          <w:b/>
          <w:sz w:val="28"/>
          <w:szCs w:val="28"/>
        </w:rPr>
      </w:pPr>
      <w:r w:rsidRPr="00E34D47">
        <w:rPr>
          <w:b/>
          <w:sz w:val="28"/>
          <w:szCs w:val="28"/>
        </w:rPr>
        <w:t>BEFORE</w:t>
      </w:r>
    </w:p>
    <w:p w:rsidR="00663D6A" w:rsidRPr="00E34D47" w:rsidRDefault="00663D6A" w:rsidP="00663D6A">
      <w:pPr>
        <w:jc w:val="center"/>
        <w:rPr>
          <w:b/>
          <w:sz w:val="28"/>
          <w:szCs w:val="28"/>
        </w:rPr>
      </w:pPr>
      <w:r w:rsidRPr="00E34D47">
        <w:rPr>
          <w:b/>
          <w:sz w:val="28"/>
          <w:szCs w:val="28"/>
        </w:rPr>
        <w:t>THE PUBLIC UTILITIES COMMISSION OF OHIO</w:t>
      </w:r>
    </w:p>
    <w:p w:rsidR="00663D6A" w:rsidRPr="0006795C" w:rsidRDefault="00663D6A" w:rsidP="00663D6A">
      <w:pPr>
        <w:pStyle w:val="Title"/>
        <w:tabs>
          <w:tab w:val="left" w:pos="5130"/>
          <w:tab w:val="left" w:pos="5670"/>
        </w:tabs>
        <w:rPr>
          <w:rFonts w:ascii="Times New Roman" w:hAnsi="Times New Roman"/>
          <w:sz w:val="26"/>
          <w:szCs w:val="26"/>
        </w:rPr>
      </w:pPr>
    </w:p>
    <w:p w:rsidR="003B12DD" w:rsidRPr="005A076C" w:rsidRDefault="003B12DD" w:rsidP="00663D6A">
      <w:pPr>
        <w:pStyle w:val="Title"/>
        <w:tabs>
          <w:tab w:val="left" w:pos="5130"/>
          <w:tab w:val="left" w:pos="5670"/>
        </w:tabs>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289"/>
        <w:gridCol w:w="4418"/>
      </w:tblGrid>
      <w:tr w:rsidR="005A076C" w:rsidRPr="00E34D47" w:rsidTr="005A076C">
        <w:tc>
          <w:tcPr>
            <w:tcW w:w="4878" w:type="dxa"/>
          </w:tcPr>
          <w:p w:rsidR="005A076C" w:rsidRPr="00E34D47" w:rsidRDefault="005A076C" w:rsidP="005A076C">
            <w:pPr>
              <w:autoSpaceDE w:val="0"/>
              <w:autoSpaceDN w:val="0"/>
              <w:adjustRightInd w:val="0"/>
              <w:rPr>
                <w:sz w:val="26"/>
                <w:szCs w:val="26"/>
              </w:rPr>
            </w:pPr>
            <w:r w:rsidRPr="00E34D47">
              <w:rPr>
                <w:sz w:val="26"/>
                <w:szCs w:val="26"/>
              </w:rPr>
              <w:t xml:space="preserve">In the Matter of the Application of </w:t>
            </w:r>
            <w:r w:rsidRPr="00E34D47">
              <w:rPr>
                <w:b/>
                <w:sz w:val="26"/>
                <w:szCs w:val="26"/>
              </w:rPr>
              <w:t>Ohio Power Company</w:t>
            </w:r>
            <w:r w:rsidRPr="00E34D47">
              <w:rPr>
                <w:sz w:val="26"/>
                <w:szCs w:val="26"/>
              </w:rPr>
              <w:t xml:space="preserve"> for Authority to Issue Phase-in-Recovery Bonds and Impose, Charge and Collect Phase-in-Recovery Charges for Tariff and Bill Format Changes.</w:t>
            </w:r>
          </w:p>
        </w:tc>
        <w:tc>
          <w:tcPr>
            <w:tcW w:w="270" w:type="dxa"/>
          </w:tcPr>
          <w:p w:rsidR="005A076C" w:rsidRPr="00E34D47" w:rsidRDefault="005A076C" w:rsidP="00663D6A">
            <w:pPr>
              <w:pStyle w:val="Title"/>
              <w:tabs>
                <w:tab w:val="left" w:pos="5130"/>
                <w:tab w:val="left" w:pos="5670"/>
              </w:tabs>
              <w:rPr>
                <w:rFonts w:ascii="Times New Roman" w:hAnsi="Times New Roman"/>
                <w:sz w:val="26"/>
                <w:szCs w:val="26"/>
              </w:rPr>
            </w:pPr>
            <w:r w:rsidRPr="00E34D47">
              <w:rPr>
                <w:rFonts w:ascii="Times New Roman" w:hAnsi="Times New Roman"/>
                <w:sz w:val="26"/>
                <w:szCs w:val="26"/>
              </w:rPr>
              <w:t>:</w:t>
            </w:r>
          </w:p>
          <w:p w:rsidR="005A076C" w:rsidRPr="00E34D47" w:rsidRDefault="005A076C" w:rsidP="00663D6A">
            <w:pPr>
              <w:pStyle w:val="Title"/>
              <w:tabs>
                <w:tab w:val="left" w:pos="5130"/>
                <w:tab w:val="left" w:pos="5670"/>
              </w:tabs>
              <w:rPr>
                <w:rFonts w:ascii="Times New Roman" w:hAnsi="Times New Roman"/>
                <w:sz w:val="26"/>
                <w:szCs w:val="26"/>
              </w:rPr>
            </w:pPr>
            <w:r w:rsidRPr="00E34D47">
              <w:rPr>
                <w:rFonts w:ascii="Times New Roman" w:hAnsi="Times New Roman"/>
                <w:sz w:val="26"/>
                <w:szCs w:val="26"/>
              </w:rPr>
              <w:t>:</w:t>
            </w:r>
            <w:r w:rsidRPr="00E34D47">
              <w:rPr>
                <w:rFonts w:ascii="Times New Roman" w:hAnsi="Times New Roman"/>
                <w:sz w:val="26"/>
                <w:szCs w:val="26"/>
              </w:rPr>
              <w:br/>
              <w:t>:</w:t>
            </w:r>
          </w:p>
          <w:p w:rsidR="005A076C" w:rsidRPr="00E34D47" w:rsidRDefault="005A076C" w:rsidP="00663D6A">
            <w:pPr>
              <w:pStyle w:val="Title"/>
              <w:tabs>
                <w:tab w:val="left" w:pos="5130"/>
                <w:tab w:val="left" w:pos="5670"/>
              </w:tabs>
              <w:rPr>
                <w:rFonts w:ascii="Times New Roman" w:hAnsi="Times New Roman"/>
                <w:sz w:val="26"/>
                <w:szCs w:val="26"/>
              </w:rPr>
            </w:pPr>
            <w:r w:rsidRPr="00E34D47">
              <w:rPr>
                <w:rFonts w:ascii="Times New Roman" w:hAnsi="Times New Roman"/>
                <w:sz w:val="26"/>
                <w:szCs w:val="26"/>
              </w:rPr>
              <w:t>:</w:t>
            </w:r>
          </w:p>
          <w:p w:rsidR="005A076C" w:rsidRPr="00E34D47" w:rsidRDefault="005A076C" w:rsidP="00663D6A">
            <w:pPr>
              <w:pStyle w:val="Title"/>
              <w:tabs>
                <w:tab w:val="left" w:pos="5130"/>
                <w:tab w:val="left" w:pos="5670"/>
              </w:tabs>
              <w:rPr>
                <w:rFonts w:ascii="Times New Roman" w:hAnsi="Times New Roman"/>
                <w:sz w:val="26"/>
                <w:szCs w:val="26"/>
              </w:rPr>
            </w:pPr>
            <w:r w:rsidRPr="00E34D47">
              <w:rPr>
                <w:rFonts w:ascii="Times New Roman" w:hAnsi="Times New Roman"/>
                <w:sz w:val="26"/>
                <w:szCs w:val="26"/>
              </w:rPr>
              <w:t>:</w:t>
            </w:r>
          </w:p>
        </w:tc>
        <w:tc>
          <w:tcPr>
            <w:tcW w:w="4428" w:type="dxa"/>
          </w:tcPr>
          <w:p w:rsidR="005A076C" w:rsidRPr="00E34D47" w:rsidRDefault="005A076C" w:rsidP="005A076C">
            <w:pPr>
              <w:pStyle w:val="Title"/>
              <w:tabs>
                <w:tab w:val="left" w:pos="5130"/>
                <w:tab w:val="left" w:pos="5670"/>
              </w:tabs>
              <w:jc w:val="left"/>
              <w:rPr>
                <w:rFonts w:ascii="Times New Roman" w:hAnsi="Times New Roman"/>
                <w:sz w:val="26"/>
                <w:szCs w:val="26"/>
              </w:rPr>
            </w:pPr>
          </w:p>
          <w:p w:rsidR="005A076C" w:rsidRPr="00E34D47" w:rsidRDefault="005A076C" w:rsidP="005A076C">
            <w:pPr>
              <w:pStyle w:val="Title"/>
              <w:tabs>
                <w:tab w:val="left" w:pos="5130"/>
                <w:tab w:val="left" w:pos="5670"/>
              </w:tabs>
              <w:jc w:val="left"/>
              <w:rPr>
                <w:rFonts w:ascii="Times New Roman" w:hAnsi="Times New Roman"/>
                <w:sz w:val="26"/>
                <w:szCs w:val="26"/>
              </w:rPr>
            </w:pPr>
            <w:r w:rsidRPr="00E34D47">
              <w:rPr>
                <w:rFonts w:ascii="Times New Roman" w:hAnsi="Times New Roman"/>
                <w:sz w:val="26"/>
                <w:szCs w:val="26"/>
              </w:rPr>
              <w:t xml:space="preserve">Case No. </w:t>
            </w:r>
            <w:r w:rsidRPr="00E34D47">
              <w:rPr>
                <w:rFonts w:ascii="Times New Roman" w:hAnsi="Times New Roman"/>
                <w:b/>
                <w:sz w:val="26"/>
                <w:szCs w:val="26"/>
              </w:rPr>
              <w:t>12-1969-EL-ATS</w:t>
            </w:r>
          </w:p>
        </w:tc>
      </w:tr>
    </w:tbl>
    <w:p w:rsidR="003B12DD" w:rsidRPr="008E4A67" w:rsidRDefault="003B12DD" w:rsidP="00663D6A">
      <w:pPr>
        <w:pStyle w:val="Title"/>
        <w:tabs>
          <w:tab w:val="left" w:pos="5130"/>
          <w:tab w:val="left" w:pos="5670"/>
        </w:tabs>
        <w:rPr>
          <w:rFonts w:ascii="Times New Roman" w:hAnsi="Times New Roman"/>
          <w:b/>
          <w:sz w:val="26"/>
          <w:szCs w:val="26"/>
        </w:rPr>
      </w:pPr>
    </w:p>
    <w:p w:rsidR="00663D6A" w:rsidRPr="005A076C" w:rsidRDefault="00663D6A" w:rsidP="00663D6A">
      <w:pPr>
        <w:pStyle w:val="Title"/>
        <w:tabs>
          <w:tab w:val="left" w:pos="5130"/>
          <w:tab w:val="left" w:pos="5670"/>
        </w:tabs>
        <w:jc w:val="left"/>
        <w:rPr>
          <w:rFonts w:ascii="Times New Roman" w:hAnsi="Times New Roman"/>
          <w:sz w:val="26"/>
          <w:szCs w:val="26"/>
        </w:rPr>
      </w:pPr>
    </w:p>
    <w:p w:rsidR="00EC4352" w:rsidRDefault="00EC4352" w:rsidP="00E10679">
      <w:pPr>
        <w:pStyle w:val="Title"/>
        <w:tabs>
          <w:tab w:val="left" w:pos="9360"/>
        </w:tabs>
        <w:spacing w:after="240"/>
        <w:jc w:val="left"/>
        <w:rPr>
          <w:rFonts w:ascii="Times New Roman" w:hAnsi="Times New Roman"/>
          <w:sz w:val="26"/>
          <w:szCs w:val="26"/>
          <w:u w:val="single"/>
        </w:rPr>
      </w:pPr>
    </w:p>
    <w:p w:rsidR="003B12DD" w:rsidRPr="005A076C" w:rsidRDefault="00E10679" w:rsidP="00E10679">
      <w:pPr>
        <w:pStyle w:val="Title"/>
        <w:tabs>
          <w:tab w:val="left" w:pos="9360"/>
        </w:tabs>
        <w:spacing w:after="240"/>
        <w:jc w:val="left"/>
        <w:rPr>
          <w:rFonts w:ascii="Times New Roman" w:hAnsi="Times New Roman"/>
          <w:sz w:val="26"/>
          <w:szCs w:val="26"/>
          <w:u w:val="single"/>
        </w:rPr>
      </w:pPr>
      <w:r w:rsidRPr="005A076C">
        <w:rPr>
          <w:rFonts w:ascii="Times New Roman" w:hAnsi="Times New Roman"/>
          <w:sz w:val="26"/>
          <w:szCs w:val="26"/>
          <w:u w:val="single"/>
        </w:rPr>
        <w:tab/>
      </w:r>
    </w:p>
    <w:p w:rsidR="00E34D47" w:rsidRDefault="00AD5700" w:rsidP="00E10679">
      <w:pPr>
        <w:pStyle w:val="Title"/>
        <w:tabs>
          <w:tab w:val="left" w:pos="9360"/>
        </w:tabs>
        <w:rPr>
          <w:rFonts w:ascii="Times New Roman" w:hAnsi="Times New Roman"/>
          <w:b/>
          <w:szCs w:val="28"/>
        </w:rPr>
      </w:pPr>
      <w:r w:rsidRPr="00E34D47">
        <w:rPr>
          <w:rFonts w:ascii="Times New Roman" w:hAnsi="Times New Roman"/>
          <w:b/>
          <w:szCs w:val="28"/>
        </w:rPr>
        <w:t>SUPPLEMENTAL</w:t>
      </w:r>
    </w:p>
    <w:p w:rsidR="00E10679" w:rsidRPr="00E34D47" w:rsidRDefault="0053074C" w:rsidP="00E10679">
      <w:pPr>
        <w:pStyle w:val="Title"/>
        <w:tabs>
          <w:tab w:val="left" w:pos="9360"/>
        </w:tabs>
        <w:rPr>
          <w:rFonts w:ascii="Times New Roman" w:hAnsi="Times New Roman"/>
          <w:b/>
          <w:szCs w:val="28"/>
        </w:rPr>
      </w:pPr>
      <w:r w:rsidRPr="00E34D47">
        <w:rPr>
          <w:rFonts w:ascii="Times New Roman" w:hAnsi="Times New Roman"/>
          <w:b/>
          <w:szCs w:val="28"/>
        </w:rPr>
        <w:t xml:space="preserve">INITIAL </w:t>
      </w:r>
      <w:r w:rsidR="00FF5711" w:rsidRPr="00E34D47">
        <w:rPr>
          <w:rFonts w:ascii="Times New Roman" w:hAnsi="Times New Roman"/>
          <w:b/>
          <w:szCs w:val="28"/>
        </w:rPr>
        <w:t>COMMENTS AND RECOMMENDATIONS</w:t>
      </w:r>
    </w:p>
    <w:p w:rsidR="00663D6A" w:rsidRPr="00E34D47" w:rsidRDefault="00663D6A" w:rsidP="00FF5711">
      <w:pPr>
        <w:jc w:val="center"/>
        <w:rPr>
          <w:sz w:val="26"/>
          <w:szCs w:val="26"/>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E34D47">
        <w:rPr>
          <w:sz w:val="26"/>
          <w:szCs w:val="26"/>
        </w:rPr>
        <w:t>SUBMITTED ON BEHALF OF THE STAFF OF</w:t>
      </w:r>
      <w:bookmarkEnd w:id="0"/>
      <w:bookmarkEnd w:id="1"/>
      <w:bookmarkEnd w:id="2"/>
      <w:bookmarkEnd w:id="3"/>
      <w:bookmarkEnd w:id="4"/>
      <w:bookmarkEnd w:id="5"/>
      <w:bookmarkEnd w:id="6"/>
    </w:p>
    <w:p w:rsidR="00663D6A" w:rsidRPr="00E34D47" w:rsidRDefault="00663D6A" w:rsidP="00FF5711">
      <w:pPr>
        <w:jc w:val="center"/>
        <w:rPr>
          <w:sz w:val="26"/>
          <w:szCs w:val="26"/>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E34D47">
        <w:rPr>
          <w:sz w:val="26"/>
          <w:szCs w:val="26"/>
        </w:rPr>
        <w:t>THE PUBLIC UTILITIES COMMISSION OF OHIO</w:t>
      </w:r>
      <w:bookmarkEnd w:id="7"/>
      <w:bookmarkEnd w:id="8"/>
      <w:bookmarkEnd w:id="9"/>
      <w:bookmarkEnd w:id="10"/>
      <w:bookmarkEnd w:id="11"/>
      <w:bookmarkEnd w:id="12"/>
      <w:bookmarkEnd w:id="13"/>
    </w:p>
    <w:p w:rsidR="00E10679" w:rsidRPr="005A076C" w:rsidRDefault="00E10679" w:rsidP="00E10679">
      <w:pPr>
        <w:pStyle w:val="Title"/>
        <w:tabs>
          <w:tab w:val="left" w:pos="9360"/>
        </w:tabs>
        <w:spacing w:after="240"/>
        <w:jc w:val="left"/>
        <w:rPr>
          <w:rFonts w:ascii="Times New Roman" w:hAnsi="Times New Roman"/>
          <w:sz w:val="26"/>
          <w:szCs w:val="26"/>
          <w:u w:val="single"/>
        </w:rPr>
      </w:pPr>
      <w:r w:rsidRPr="005A076C">
        <w:rPr>
          <w:rFonts w:ascii="Times New Roman" w:hAnsi="Times New Roman"/>
          <w:sz w:val="26"/>
          <w:szCs w:val="26"/>
          <w:u w:val="single"/>
        </w:rPr>
        <w:tab/>
      </w:r>
    </w:p>
    <w:p w:rsidR="00E10679" w:rsidRDefault="00E10679" w:rsidP="00663D6A">
      <w:pPr>
        <w:pStyle w:val="PlainText"/>
        <w:jc w:val="center"/>
        <w:outlineLvl w:val="0"/>
        <w:rPr>
          <w:rFonts w:ascii="Times New Roman" w:hAnsi="Times New Roman"/>
          <w:sz w:val="26"/>
          <w:szCs w:val="26"/>
        </w:rPr>
      </w:pPr>
    </w:p>
    <w:p w:rsidR="00EC4352" w:rsidRDefault="00EC4352" w:rsidP="00663D6A">
      <w:pPr>
        <w:pStyle w:val="PlainText"/>
        <w:jc w:val="center"/>
        <w:outlineLvl w:val="0"/>
        <w:rPr>
          <w:rFonts w:ascii="Times New Roman" w:hAnsi="Times New Roman"/>
          <w:sz w:val="26"/>
          <w:szCs w:val="26"/>
        </w:rPr>
      </w:pPr>
    </w:p>
    <w:p w:rsidR="00EC4352" w:rsidRPr="005A076C" w:rsidRDefault="00EC4352" w:rsidP="00663D6A">
      <w:pPr>
        <w:pStyle w:val="PlainText"/>
        <w:jc w:val="center"/>
        <w:outlineLvl w:val="0"/>
        <w:rPr>
          <w:rFonts w:ascii="Times New Roman" w:hAnsi="Times New Roman"/>
          <w:sz w:val="26"/>
          <w:szCs w:val="26"/>
        </w:rPr>
      </w:pPr>
    </w:p>
    <w:p w:rsidR="00663D6A" w:rsidRPr="00E34D47" w:rsidRDefault="00E10679" w:rsidP="00E10679">
      <w:pPr>
        <w:pStyle w:val="Title"/>
        <w:tabs>
          <w:tab w:val="left" w:pos="4320"/>
        </w:tabs>
        <w:jc w:val="left"/>
        <w:rPr>
          <w:rFonts w:ascii="Times New Roman" w:hAnsi="Times New Roman"/>
          <w:b/>
          <w:sz w:val="26"/>
          <w:szCs w:val="26"/>
        </w:rPr>
      </w:pPr>
      <w:r w:rsidRPr="00E34D47">
        <w:rPr>
          <w:rFonts w:ascii="Times New Roman" w:hAnsi="Times New Roman"/>
          <w:sz w:val="26"/>
          <w:szCs w:val="26"/>
        </w:rPr>
        <w:tab/>
      </w:r>
      <w:r w:rsidR="00FF5711" w:rsidRPr="00E34D47">
        <w:rPr>
          <w:rFonts w:ascii="Times New Roman" w:hAnsi="Times New Roman"/>
          <w:b/>
          <w:sz w:val="26"/>
          <w:szCs w:val="26"/>
        </w:rPr>
        <w:t>Michael DeWine</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t xml:space="preserve">Ohio </w:t>
      </w:r>
      <w:r w:rsidR="00721F2D" w:rsidRPr="00E34D47">
        <w:rPr>
          <w:rFonts w:ascii="Times New Roman" w:hAnsi="Times New Roman"/>
          <w:sz w:val="26"/>
          <w:szCs w:val="26"/>
        </w:rPr>
        <w:t>Attorney</w:t>
      </w:r>
      <w:r w:rsidRPr="00E34D47">
        <w:rPr>
          <w:rFonts w:ascii="Times New Roman" w:hAnsi="Times New Roman"/>
          <w:sz w:val="26"/>
          <w:szCs w:val="26"/>
        </w:rPr>
        <w:t xml:space="preserve"> General</w:t>
      </w:r>
    </w:p>
    <w:p w:rsidR="00E10679" w:rsidRPr="00E34D47" w:rsidRDefault="00E10679" w:rsidP="00E10679">
      <w:pPr>
        <w:pStyle w:val="Title"/>
        <w:tabs>
          <w:tab w:val="left" w:pos="4320"/>
        </w:tabs>
        <w:jc w:val="left"/>
        <w:rPr>
          <w:rFonts w:ascii="Times New Roman" w:hAnsi="Times New Roman"/>
          <w:sz w:val="26"/>
          <w:szCs w:val="26"/>
        </w:rPr>
      </w:pP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r>
      <w:r w:rsidR="00BC5B75" w:rsidRPr="00E34D47">
        <w:rPr>
          <w:rFonts w:ascii="Times New Roman" w:hAnsi="Times New Roman"/>
          <w:b/>
          <w:sz w:val="26"/>
          <w:szCs w:val="26"/>
        </w:rPr>
        <w:t>William L. Wright</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t>Section Chief</w:t>
      </w:r>
    </w:p>
    <w:p w:rsidR="00E10679" w:rsidRPr="00E34D47" w:rsidRDefault="00E10679" w:rsidP="00E10679">
      <w:pPr>
        <w:pStyle w:val="Title"/>
        <w:tabs>
          <w:tab w:val="left" w:pos="4320"/>
        </w:tabs>
        <w:jc w:val="left"/>
        <w:rPr>
          <w:rFonts w:ascii="Times New Roman" w:hAnsi="Times New Roman"/>
          <w:sz w:val="26"/>
          <w:szCs w:val="26"/>
        </w:rPr>
      </w:pPr>
    </w:p>
    <w:p w:rsidR="00E10679" w:rsidRPr="00E34D47" w:rsidRDefault="00E10679" w:rsidP="00FF5711">
      <w:pPr>
        <w:pStyle w:val="Title"/>
        <w:tabs>
          <w:tab w:val="left" w:pos="4320"/>
        </w:tabs>
        <w:jc w:val="left"/>
        <w:rPr>
          <w:rFonts w:ascii="Times New Roman" w:hAnsi="Times New Roman"/>
          <w:b/>
          <w:sz w:val="26"/>
          <w:szCs w:val="26"/>
        </w:rPr>
      </w:pPr>
      <w:r w:rsidRPr="00E34D47">
        <w:rPr>
          <w:rFonts w:ascii="Times New Roman" w:hAnsi="Times New Roman"/>
          <w:sz w:val="26"/>
          <w:szCs w:val="26"/>
        </w:rPr>
        <w:tab/>
      </w:r>
      <w:r w:rsidR="00FF5711" w:rsidRPr="00E34D47">
        <w:rPr>
          <w:rFonts w:ascii="Times New Roman" w:hAnsi="Times New Roman"/>
          <w:b/>
          <w:sz w:val="26"/>
          <w:szCs w:val="26"/>
        </w:rPr>
        <w:t>Thomas W. McNamee</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r>
      <w:r w:rsidR="00721F2D" w:rsidRPr="00E34D47">
        <w:rPr>
          <w:rFonts w:ascii="Times New Roman" w:hAnsi="Times New Roman"/>
          <w:sz w:val="26"/>
          <w:szCs w:val="26"/>
        </w:rPr>
        <w:t>Assistant</w:t>
      </w:r>
      <w:r w:rsidR="00FF5711" w:rsidRPr="00E34D47">
        <w:rPr>
          <w:rFonts w:ascii="Times New Roman" w:hAnsi="Times New Roman"/>
          <w:sz w:val="26"/>
          <w:szCs w:val="26"/>
        </w:rPr>
        <w:t xml:space="preserve"> Attorney</w:t>
      </w:r>
      <w:r w:rsidRPr="00E34D47">
        <w:rPr>
          <w:rFonts w:ascii="Times New Roman" w:hAnsi="Times New Roman"/>
          <w:sz w:val="26"/>
          <w:szCs w:val="26"/>
        </w:rPr>
        <w:t xml:space="preserve"> General</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t xml:space="preserve">Public </w:t>
      </w:r>
      <w:r w:rsidR="00721F2D" w:rsidRPr="00E34D47">
        <w:rPr>
          <w:rFonts w:ascii="Times New Roman" w:hAnsi="Times New Roman"/>
          <w:sz w:val="26"/>
          <w:szCs w:val="26"/>
        </w:rPr>
        <w:t>Utilities</w:t>
      </w:r>
      <w:r w:rsidRPr="00E34D47">
        <w:rPr>
          <w:rFonts w:ascii="Times New Roman" w:hAnsi="Times New Roman"/>
          <w:sz w:val="26"/>
          <w:szCs w:val="26"/>
        </w:rPr>
        <w:t xml:space="preserve"> Section</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t>180 East Broad Street, 6</w:t>
      </w:r>
      <w:r w:rsidRPr="00E34D47">
        <w:rPr>
          <w:rFonts w:ascii="Times New Roman" w:hAnsi="Times New Roman"/>
          <w:sz w:val="26"/>
          <w:szCs w:val="26"/>
          <w:vertAlign w:val="superscript"/>
        </w:rPr>
        <w:t>th</w:t>
      </w:r>
      <w:r w:rsidRPr="00E34D47">
        <w:rPr>
          <w:rFonts w:ascii="Times New Roman" w:hAnsi="Times New Roman"/>
          <w:sz w:val="26"/>
          <w:szCs w:val="26"/>
        </w:rPr>
        <w:t xml:space="preserve"> Floor</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t>Columbus, OH  43215-3793</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t>614.466.4397 (telephone)</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t>614.644.8764 (fax)</w:t>
      </w:r>
    </w:p>
    <w:p w:rsidR="00E10679" w:rsidRPr="00E34D47" w:rsidRDefault="00E10679" w:rsidP="00E10679">
      <w:pPr>
        <w:pStyle w:val="Title"/>
        <w:tabs>
          <w:tab w:val="left" w:pos="4320"/>
        </w:tabs>
        <w:jc w:val="left"/>
        <w:rPr>
          <w:rFonts w:ascii="Times New Roman" w:hAnsi="Times New Roman"/>
          <w:sz w:val="26"/>
          <w:szCs w:val="26"/>
        </w:rPr>
      </w:pPr>
      <w:r w:rsidRPr="00E34D47">
        <w:rPr>
          <w:rFonts w:ascii="Times New Roman" w:hAnsi="Times New Roman"/>
          <w:sz w:val="26"/>
          <w:szCs w:val="26"/>
        </w:rPr>
        <w:tab/>
      </w:r>
      <w:hyperlink r:id="rId9" w:history="1">
        <w:r w:rsidR="00FF5711" w:rsidRPr="00E34D47">
          <w:rPr>
            <w:rStyle w:val="Hyperlink"/>
            <w:rFonts w:ascii="Times New Roman" w:hAnsi="Times New Roman"/>
            <w:sz w:val="26"/>
            <w:szCs w:val="26"/>
          </w:rPr>
          <w:t>thomas.mcnamee@puc.state.oh.us</w:t>
        </w:r>
      </w:hyperlink>
    </w:p>
    <w:p w:rsidR="00E10679" w:rsidRPr="005A076C" w:rsidRDefault="00E10679" w:rsidP="00E10679">
      <w:pPr>
        <w:pStyle w:val="Title"/>
        <w:tabs>
          <w:tab w:val="left" w:pos="4320"/>
        </w:tabs>
        <w:jc w:val="left"/>
        <w:rPr>
          <w:rFonts w:ascii="Times New Roman" w:hAnsi="Times New Roman"/>
          <w:sz w:val="26"/>
          <w:szCs w:val="26"/>
        </w:rPr>
      </w:pPr>
    </w:p>
    <w:p w:rsidR="00663D6A" w:rsidRPr="005A076C" w:rsidRDefault="00663D6A" w:rsidP="00663D6A">
      <w:pPr>
        <w:pStyle w:val="Title"/>
        <w:tabs>
          <w:tab w:val="left" w:pos="5130"/>
          <w:tab w:val="left" w:pos="5670"/>
        </w:tabs>
        <w:jc w:val="left"/>
        <w:rPr>
          <w:rFonts w:ascii="Times New Roman" w:hAnsi="Times New Roman"/>
          <w:sz w:val="26"/>
          <w:szCs w:val="26"/>
        </w:rPr>
      </w:pPr>
    </w:p>
    <w:p w:rsidR="00663D6A" w:rsidRPr="005A076C" w:rsidRDefault="007A070A" w:rsidP="004B6358">
      <w:pPr>
        <w:pStyle w:val="PlainText"/>
        <w:rPr>
          <w:rFonts w:ascii="Times New Roman" w:hAnsi="Times New Roman"/>
          <w:sz w:val="26"/>
          <w:szCs w:val="26"/>
        </w:rPr>
      </w:pPr>
      <w:r>
        <w:rPr>
          <w:rFonts w:ascii="Times New Roman" w:hAnsi="Times New Roman"/>
          <w:sz w:val="26"/>
          <w:szCs w:val="26"/>
        </w:rPr>
        <w:t>January 4, 2013</w:t>
      </w:r>
      <w:r w:rsidR="00394E11">
        <w:rPr>
          <w:rFonts w:ascii="Times New Roman" w:hAnsi="Times New Roman"/>
          <w:sz w:val="26"/>
          <w:szCs w:val="26"/>
        </w:rPr>
        <w:t xml:space="preserve"> </w:t>
      </w:r>
    </w:p>
    <w:p w:rsidR="003B12DD" w:rsidRPr="005A076C" w:rsidRDefault="003B12DD" w:rsidP="00663D6A">
      <w:pPr>
        <w:jc w:val="center"/>
        <w:rPr>
          <w:b/>
          <w:sz w:val="26"/>
          <w:szCs w:val="26"/>
        </w:rPr>
        <w:sectPr w:rsidR="003B12DD" w:rsidRPr="005A076C" w:rsidSect="003B12DD">
          <w:headerReference w:type="default" r:id="rId10"/>
          <w:footerReference w:type="default" r:id="rId11"/>
          <w:footnotePr>
            <w:numRestart w:val="eachSect"/>
          </w:footnotePr>
          <w:pgSz w:w="12240" w:h="15840" w:code="1"/>
          <w:pgMar w:top="1440" w:right="1440" w:bottom="1440" w:left="1440" w:header="720" w:footer="720" w:gutter="0"/>
          <w:pgNumType w:fmt="lowerRoman" w:start="1"/>
          <w:cols w:space="720"/>
          <w:titlePg/>
          <w:docGrid w:linePitch="360"/>
        </w:sectPr>
      </w:pPr>
    </w:p>
    <w:p w:rsidR="00977772" w:rsidRDefault="00861BE6">
      <w:pPr>
        <w:pStyle w:val="TOC1"/>
        <w:rPr>
          <w:rFonts w:asciiTheme="minorHAnsi" w:eastAsiaTheme="minorEastAsia" w:hAnsiTheme="minorHAnsi" w:cstheme="minorBidi"/>
          <w:sz w:val="22"/>
          <w:szCs w:val="22"/>
        </w:rPr>
      </w:pPr>
      <w:r w:rsidRPr="0006795C">
        <w:rPr>
          <w:rFonts w:ascii="Arial" w:hAnsi="Arial" w:cs="Arial"/>
          <w:b/>
          <w:sz w:val="24"/>
          <w:szCs w:val="24"/>
        </w:rPr>
        <w:lastRenderedPageBreak/>
        <w:fldChar w:fldCharType="begin"/>
      </w:r>
      <w:r w:rsidRPr="0006795C">
        <w:rPr>
          <w:rFonts w:ascii="Arial" w:hAnsi="Arial" w:cs="Arial"/>
          <w:b/>
          <w:sz w:val="24"/>
          <w:szCs w:val="24"/>
        </w:rPr>
        <w:instrText xml:space="preserve"> TOC \o "1-5" \u </w:instrText>
      </w:r>
      <w:r w:rsidRPr="0006795C">
        <w:rPr>
          <w:rFonts w:ascii="Arial" w:hAnsi="Arial" w:cs="Arial"/>
          <w:b/>
          <w:sz w:val="24"/>
          <w:szCs w:val="24"/>
        </w:rPr>
        <w:fldChar w:fldCharType="separate"/>
      </w:r>
      <w:bookmarkStart w:id="14" w:name="_GoBack"/>
      <w:bookmarkEnd w:id="14"/>
      <w:r w:rsidR="00977772">
        <w:t xml:space="preserve">I. </w:t>
      </w:r>
      <w:r w:rsidR="00977772">
        <w:rPr>
          <w:rFonts w:asciiTheme="minorHAnsi" w:eastAsiaTheme="minorEastAsia" w:hAnsiTheme="minorHAnsi" w:cstheme="minorBidi"/>
          <w:sz w:val="22"/>
          <w:szCs w:val="22"/>
        </w:rPr>
        <w:tab/>
      </w:r>
      <w:r w:rsidR="00977772">
        <w:t>BACKGROUND</w:t>
      </w:r>
      <w:r w:rsidR="00977772">
        <w:tab/>
      </w:r>
      <w:r w:rsidR="00977772">
        <w:fldChar w:fldCharType="begin"/>
      </w:r>
      <w:r w:rsidR="00977772">
        <w:instrText xml:space="preserve"> PAGEREF _Toc344991221 \h </w:instrText>
      </w:r>
      <w:r w:rsidR="00977772">
        <w:fldChar w:fldCharType="separate"/>
      </w:r>
      <w:r w:rsidR="00977772">
        <w:t>1</w:t>
      </w:r>
      <w:r w:rsidR="00977772">
        <w:fldChar w:fldCharType="end"/>
      </w:r>
    </w:p>
    <w:p w:rsidR="00977772" w:rsidRDefault="00977772">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_Toc344991222 \h </w:instrText>
      </w:r>
      <w:r>
        <w:rPr>
          <w:noProof/>
        </w:rPr>
      </w:r>
      <w:r>
        <w:rPr>
          <w:noProof/>
        </w:rPr>
        <w:fldChar w:fldCharType="separate"/>
      </w:r>
      <w:r>
        <w:rPr>
          <w:noProof/>
        </w:rPr>
        <w:t>1</w:t>
      </w:r>
      <w:r>
        <w:rPr>
          <w:noProof/>
        </w:rPr>
        <w:fldChar w:fldCharType="end"/>
      </w:r>
    </w:p>
    <w:p w:rsidR="00977772" w:rsidRDefault="00977772">
      <w:pPr>
        <w:pStyle w:val="TOC2"/>
        <w:rPr>
          <w:rFonts w:asciiTheme="minorHAnsi" w:eastAsiaTheme="minorEastAsia" w:hAnsiTheme="minorHAnsi" w:cstheme="minorBidi"/>
          <w:noProof/>
          <w:sz w:val="22"/>
          <w:szCs w:val="22"/>
        </w:rPr>
      </w:pPr>
      <w:r>
        <w:rPr>
          <w:noProof/>
        </w:rPr>
        <w:t xml:space="preserve">B. </w:t>
      </w:r>
      <w:r>
        <w:rPr>
          <w:rFonts w:asciiTheme="minorHAnsi" w:eastAsiaTheme="minorEastAsia" w:hAnsiTheme="minorHAnsi" w:cstheme="minorBidi"/>
          <w:noProof/>
          <w:sz w:val="22"/>
          <w:szCs w:val="22"/>
        </w:rPr>
        <w:tab/>
      </w:r>
      <w:r>
        <w:rPr>
          <w:noProof/>
        </w:rPr>
        <w:t>Description of OPCo’s Revised Transaction and OPCo’s Concerns</w:t>
      </w:r>
      <w:r>
        <w:rPr>
          <w:noProof/>
        </w:rPr>
        <w:tab/>
      </w:r>
      <w:r>
        <w:rPr>
          <w:noProof/>
        </w:rPr>
        <w:fldChar w:fldCharType="begin"/>
      </w:r>
      <w:r>
        <w:rPr>
          <w:noProof/>
        </w:rPr>
        <w:instrText xml:space="preserve"> PAGEREF _Toc344991223 \h </w:instrText>
      </w:r>
      <w:r>
        <w:rPr>
          <w:noProof/>
        </w:rPr>
      </w:r>
      <w:r>
        <w:rPr>
          <w:noProof/>
        </w:rPr>
        <w:fldChar w:fldCharType="separate"/>
      </w:r>
      <w:r>
        <w:rPr>
          <w:noProof/>
        </w:rPr>
        <w:t>1</w:t>
      </w:r>
      <w:r>
        <w:rPr>
          <w:noProof/>
        </w:rPr>
        <w:fldChar w:fldCharType="end"/>
      </w:r>
    </w:p>
    <w:p w:rsidR="00977772" w:rsidRDefault="00977772">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STAFF’S ANALYSIS</w:t>
      </w:r>
      <w:r>
        <w:tab/>
      </w:r>
      <w:r>
        <w:fldChar w:fldCharType="begin"/>
      </w:r>
      <w:r>
        <w:instrText xml:space="preserve"> PAGEREF _Toc344991224 \h </w:instrText>
      </w:r>
      <w:r>
        <w:fldChar w:fldCharType="separate"/>
      </w:r>
      <w:r>
        <w:t>3</w:t>
      </w:r>
      <w:r>
        <w:fldChar w:fldCharType="end"/>
      </w:r>
    </w:p>
    <w:p w:rsidR="00977772" w:rsidRDefault="00977772">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Benefits of Securitization</w:t>
      </w:r>
      <w:r>
        <w:rPr>
          <w:noProof/>
        </w:rPr>
        <w:tab/>
      </w:r>
      <w:r>
        <w:rPr>
          <w:noProof/>
        </w:rPr>
        <w:fldChar w:fldCharType="begin"/>
      </w:r>
      <w:r>
        <w:rPr>
          <w:noProof/>
        </w:rPr>
        <w:instrText xml:space="preserve"> PAGEREF _Toc344991225 \h </w:instrText>
      </w:r>
      <w:r>
        <w:rPr>
          <w:noProof/>
        </w:rPr>
      </w:r>
      <w:r>
        <w:rPr>
          <w:noProof/>
        </w:rPr>
        <w:fldChar w:fldCharType="separate"/>
      </w:r>
      <w:r>
        <w:rPr>
          <w:noProof/>
        </w:rPr>
        <w:t>3</w:t>
      </w:r>
      <w:r>
        <w:rPr>
          <w:noProof/>
        </w:rPr>
        <w:fldChar w:fldCharType="end"/>
      </w:r>
    </w:p>
    <w:p w:rsidR="00977772" w:rsidRDefault="00977772">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Up-front and Ongoing Financing Costs</w:t>
      </w:r>
      <w:r>
        <w:rPr>
          <w:noProof/>
        </w:rPr>
        <w:tab/>
      </w:r>
      <w:r>
        <w:rPr>
          <w:noProof/>
        </w:rPr>
        <w:fldChar w:fldCharType="begin"/>
      </w:r>
      <w:r>
        <w:rPr>
          <w:noProof/>
        </w:rPr>
        <w:instrText xml:space="preserve"> PAGEREF _Toc344991226 \h </w:instrText>
      </w:r>
      <w:r>
        <w:rPr>
          <w:noProof/>
        </w:rPr>
      </w:r>
      <w:r>
        <w:rPr>
          <w:noProof/>
        </w:rPr>
        <w:fldChar w:fldCharType="separate"/>
      </w:r>
      <w:r>
        <w:rPr>
          <w:noProof/>
        </w:rPr>
        <w:t>4</w:t>
      </w:r>
      <w:r>
        <w:rPr>
          <w:noProof/>
        </w:rPr>
        <w:fldChar w:fldCharType="end"/>
      </w:r>
    </w:p>
    <w:p w:rsidR="00977772" w:rsidRDefault="00977772">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rsidRPr="00C34760">
        <w:t>SECURITIZATION TESTS AND REVIEWS</w:t>
      </w:r>
      <w:r>
        <w:tab/>
      </w:r>
      <w:r>
        <w:fldChar w:fldCharType="begin"/>
      </w:r>
      <w:r>
        <w:instrText xml:space="preserve"> PAGEREF _Toc344991227 \h </w:instrText>
      </w:r>
      <w:r>
        <w:fldChar w:fldCharType="separate"/>
      </w:r>
      <w:r>
        <w:t>5</w:t>
      </w:r>
      <w:r>
        <w:fldChar w:fldCharType="end"/>
      </w:r>
    </w:p>
    <w:p w:rsidR="00977772" w:rsidRDefault="00977772">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_Toc344991228 \h </w:instrText>
      </w:r>
      <w:r>
        <w:rPr>
          <w:noProof/>
        </w:rPr>
      </w:r>
      <w:r>
        <w:rPr>
          <w:noProof/>
        </w:rPr>
        <w:fldChar w:fldCharType="separate"/>
      </w:r>
      <w:r>
        <w:rPr>
          <w:noProof/>
        </w:rPr>
        <w:t>6</w:t>
      </w:r>
      <w:r>
        <w:rPr>
          <w:noProof/>
        </w:rPr>
        <w:fldChar w:fldCharType="end"/>
      </w:r>
    </w:p>
    <w:p w:rsidR="00977772" w:rsidRDefault="00977772">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Total Revenue Test</w:t>
      </w:r>
      <w:r>
        <w:rPr>
          <w:noProof/>
        </w:rPr>
        <w:tab/>
      </w:r>
      <w:r>
        <w:rPr>
          <w:noProof/>
        </w:rPr>
        <w:fldChar w:fldCharType="begin"/>
      </w:r>
      <w:r>
        <w:rPr>
          <w:noProof/>
        </w:rPr>
        <w:instrText xml:space="preserve"> PAGEREF _Toc344991229 \h </w:instrText>
      </w:r>
      <w:r>
        <w:rPr>
          <w:noProof/>
        </w:rPr>
      </w:r>
      <w:r>
        <w:rPr>
          <w:noProof/>
        </w:rPr>
        <w:fldChar w:fldCharType="separate"/>
      </w:r>
      <w:r>
        <w:rPr>
          <w:noProof/>
        </w:rPr>
        <w:t>7</w:t>
      </w:r>
      <w:r>
        <w:rPr>
          <w:noProof/>
        </w:rPr>
        <w:fldChar w:fldCharType="end"/>
      </w:r>
    </w:p>
    <w:p w:rsidR="00977772" w:rsidRDefault="00977772">
      <w:pPr>
        <w:pStyle w:val="TOC2"/>
        <w:rPr>
          <w:rFonts w:asciiTheme="minorHAnsi" w:eastAsiaTheme="minorEastAsia" w:hAnsiTheme="minorHAnsi" w:cstheme="minorBidi"/>
          <w:noProof/>
          <w:sz w:val="22"/>
          <w:szCs w:val="22"/>
        </w:rPr>
      </w:pPr>
      <w:r>
        <w:rPr>
          <w:noProof/>
        </w:rPr>
        <w:t xml:space="preserve">C. </w:t>
      </w:r>
      <w:r>
        <w:rPr>
          <w:rFonts w:asciiTheme="minorHAnsi" w:eastAsiaTheme="minorEastAsia" w:hAnsiTheme="minorHAnsi" w:cstheme="minorBidi"/>
          <w:noProof/>
          <w:sz w:val="22"/>
          <w:szCs w:val="22"/>
        </w:rPr>
        <w:tab/>
      </w:r>
      <w:r>
        <w:rPr>
          <w:noProof/>
        </w:rPr>
        <w:t>Present Value Test</w:t>
      </w:r>
      <w:r>
        <w:rPr>
          <w:noProof/>
        </w:rPr>
        <w:tab/>
      </w:r>
      <w:r>
        <w:rPr>
          <w:noProof/>
        </w:rPr>
        <w:fldChar w:fldCharType="begin"/>
      </w:r>
      <w:r>
        <w:rPr>
          <w:noProof/>
        </w:rPr>
        <w:instrText xml:space="preserve"> PAGEREF _Toc344991230 \h </w:instrText>
      </w:r>
      <w:r>
        <w:rPr>
          <w:noProof/>
        </w:rPr>
      </w:r>
      <w:r>
        <w:rPr>
          <w:noProof/>
        </w:rPr>
        <w:fldChar w:fldCharType="separate"/>
      </w:r>
      <w:r>
        <w:rPr>
          <w:noProof/>
        </w:rPr>
        <w:t>8</w:t>
      </w:r>
      <w:r>
        <w:rPr>
          <w:noProof/>
        </w:rPr>
        <w:fldChar w:fldCharType="end"/>
      </w:r>
    </w:p>
    <w:p w:rsidR="00977772" w:rsidRDefault="00977772">
      <w:pPr>
        <w:pStyle w:val="TOC2"/>
        <w:rPr>
          <w:rFonts w:asciiTheme="minorHAnsi" w:eastAsiaTheme="minorEastAsia" w:hAnsiTheme="minorHAnsi" w:cstheme="minorBidi"/>
          <w:noProof/>
          <w:sz w:val="22"/>
          <w:szCs w:val="22"/>
        </w:rPr>
      </w:pPr>
      <w:r>
        <w:rPr>
          <w:noProof/>
        </w:rPr>
        <w:t xml:space="preserve">D. </w:t>
      </w:r>
      <w:r>
        <w:rPr>
          <w:rFonts w:asciiTheme="minorHAnsi" w:eastAsiaTheme="minorEastAsia" w:hAnsiTheme="minorHAnsi" w:cstheme="minorBidi"/>
          <w:noProof/>
          <w:sz w:val="22"/>
          <w:szCs w:val="22"/>
        </w:rPr>
        <w:tab/>
      </w:r>
      <w:r>
        <w:rPr>
          <w:noProof/>
        </w:rPr>
        <w:t>Proceeds Test</w:t>
      </w:r>
      <w:r>
        <w:rPr>
          <w:noProof/>
        </w:rPr>
        <w:tab/>
      </w:r>
      <w:r>
        <w:rPr>
          <w:noProof/>
        </w:rPr>
        <w:fldChar w:fldCharType="begin"/>
      </w:r>
      <w:r>
        <w:rPr>
          <w:noProof/>
        </w:rPr>
        <w:instrText xml:space="preserve"> PAGEREF _Toc344991231 \h </w:instrText>
      </w:r>
      <w:r>
        <w:rPr>
          <w:noProof/>
        </w:rPr>
      </w:r>
      <w:r>
        <w:rPr>
          <w:noProof/>
        </w:rPr>
        <w:fldChar w:fldCharType="separate"/>
      </w:r>
      <w:r>
        <w:rPr>
          <w:noProof/>
        </w:rPr>
        <w:t>9</w:t>
      </w:r>
      <w:r>
        <w:rPr>
          <w:noProof/>
        </w:rPr>
        <w:fldChar w:fldCharType="end"/>
      </w:r>
    </w:p>
    <w:p w:rsidR="00977772" w:rsidRDefault="00977772">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Bond Structuring and Pricing Review</w:t>
      </w:r>
      <w:r>
        <w:rPr>
          <w:noProof/>
        </w:rPr>
        <w:tab/>
      </w:r>
      <w:r>
        <w:rPr>
          <w:noProof/>
        </w:rPr>
        <w:fldChar w:fldCharType="begin"/>
      </w:r>
      <w:r>
        <w:rPr>
          <w:noProof/>
        </w:rPr>
        <w:instrText xml:space="preserve"> PAGEREF _Toc344991232 \h </w:instrText>
      </w:r>
      <w:r>
        <w:rPr>
          <w:noProof/>
        </w:rPr>
      </w:r>
      <w:r>
        <w:rPr>
          <w:noProof/>
        </w:rPr>
        <w:fldChar w:fldCharType="separate"/>
      </w:r>
      <w:r>
        <w:rPr>
          <w:noProof/>
        </w:rPr>
        <w:t>10</w:t>
      </w:r>
      <w:r>
        <w:rPr>
          <w:noProof/>
        </w:rPr>
        <w:fldChar w:fldCharType="end"/>
      </w:r>
    </w:p>
    <w:p w:rsidR="00977772" w:rsidRDefault="00977772">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Summary</w:t>
      </w:r>
      <w:r>
        <w:rPr>
          <w:noProof/>
        </w:rPr>
        <w:tab/>
      </w:r>
      <w:r>
        <w:rPr>
          <w:noProof/>
        </w:rPr>
        <w:fldChar w:fldCharType="begin"/>
      </w:r>
      <w:r>
        <w:rPr>
          <w:noProof/>
        </w:rPr>
        <w:instrText xml:space="preserve"> PAGEREF _Toc344991233 \h </w:instrText>
      </w:r>
      <w:r>
        <w:rPr>
          <w:noProof/>
        </w:rPr>
      </w:r>
      <w:r>
        <w:rPr>
          <w:noProof/>
        </w:rPr>
        <w:fldChar w:fldCharType="separate"/>
      </w:r>
      <w:r>
        <w:rPr>
          <w:noProof/>
        </w:rPr>
        <w:t>11</w:t>
      </w:r>
      <w:r>
        <w:rPr>
          <w:noProof/>
        </w:rPr>
        <w:fldChar w:fldCharType="end"/>
      </w:r>
    </w:p>
    <w:p w:rsidR="00977772" w:rsidRDefault="00977772">
      <w:pPr>
        <w:pStyle w:val="TOC1"/>
        <w:rPr>
          <w:rFonts w:asciiTheme="minorHAnsi" w:eastAsiaTheme="minorEastAsia" w:hAnsiTheme="minorHAnsi" w:cstheme="minorBidi"/>
          <w:sz w:val="22"/>
          <w:szCs w:val="22"/>
        </w:rPr>
      </w:pPr>
      <w:r w:rsidRPr="00C34760">
        <w:t>IV.</w:t>
      </w:r>
      <w:r>
        <w:rPr>
          <w:rFonts w:asciiTheme="minorHAnsi" w:eastAsiaTheme="minorEastAsia" w:hAnsiTheme="minorHAnsi" w:cstheme="minorBidi"/>
          <w:sz w:val="22"/>
          <w:szCs w:val="22"/>
        </w:rPr>
        <w:tab/>
      </w:r>
      <w:r w:rsidRPr="00C34760">
        <w:t>SUMMARY OF OPCO’S CONCERNS AND STAFF RECOMMENDATIONS:</w:t>
      </w:r>
      <w:r>
        <w:tab/>
      </w:r>
      <w:r>
        <w:fldChar w:fldCharType="begin"/>
      </w:r>
      <w:r>
        <w:instrText xml:space="preserve"> PAGEREF _Toc344991234 \h </w:instrText>
      </w:r>
      <w:r>
        <w:fldChar w:fldCharType="separate"/>
      </w:r>
      <w:r>
        <w:t>11</w:t>
      </w:r>
      <w:r>
        <w:fldChar w:fldCharType="end"/>
      </w:r>
    </w:p>
    <w:p w:rsidR="00977772" w:rsidRDefault="00977772">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w:t>
      </w:r>
      <w:r>
        <w:tab/>
      </w:r>
      <w:r>
        <w:fldChar w:fldCharType="begin"/>
      </w:r>
      <w:r>
        <w:instrText xml:space="preserve"> PAGEREF _Toc344991235 \h </w:instrText>
      </w:r>
      <w:r>
        <w:fldChar w:fldCharType="separate"/>
      </w:r>
      <w:r>
        <w:t>12</w:t>
      </w:r>
      <w:r>
        <w:fldChar w:fldCharType="end"/>
      </w:r>
    </w:p>
    <w:p w:rsidR="00977772" w:rsidRDefault="00977772">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PROOF OF SERVICE</w:t>
      </w:r>
      <w:r>
        <w:tab/>
      </w:r>
      <w:r>
        <w:fldChar w:fldCharType="begin"/>
      </w:r>
      <w:r>
        <w:instrText xml:space="preserve"> PAGEREF _Toc344991236 \h </w:instrText>
      </w:r>
      <w:r>
        <w:fldChar w:fldCharType="separate"/>
      </w:r>
      <w:r>
        <w:t>14</w:t>
      </w:r>
      <w:r>
        <w:fldChar w:fldCharType="end"/>
      </w:r>
    </w:p>
    <w:p w:rsidR="009511D6" w:rsidRPr="0006795C" w:rsidRDefault="00861BE6" w:rsidP="00861BE6">
      <w:pPr>
        <w:pStyle w:val="TOC1"/>
        <w:rPr>
          <w:rFonts w:ascii="Arial" w:hAnsi="Arial" w:cs="Arial"/>
          <w:sz w:val="24"/>
          <w:szCs w:val="24"/>
        </w:rPr>
        <w:sectPr w:rsidR="009511D6" w:rsidRPr="0006795C" w:rsidSect="00B2573A">
          <w:headerReference w:type="default" r:id="rId12"/>
          <w:footerReference w:type="default" r:id="rId13"/>
          <w:headerReference w:type="first" r:id="rId14"/>
          <w:footerReference w:type="first" r:id="rId15"/>
          <w:footnotePr>
            <w:numRestart w:val="eachSect"/>
          </w:footnotePr>
          <w:pgSz w:w="12240" w:h="15840" w:code="1"/>
          <w:pgMar w:top="1440" w:right="1440" w:bottom="1080" w:left="1440" w:header="720" w:footer="720" w:gutter="0"/>
          <w:pgNumType w:fmt="lowerRoman" w:start="1"/>
          <w:cols w:space="720"/>
          <w:titlePg/>
          <w:docGrid w:linePitch="360"/>
        </w:sectPr>
      </w:pPr>
      <w:r w:rsidRPr="0006795C">
        <w:rPr>
          <w:rFonts w:ascii="Arial" w:hAnsi="Arial" w:cs="Arial"/>
          <w:sz w:val="24"/>
          <w:szCs w:val="24"/>
        </w:rPr>
        <w:fldChar w:fldCharType="end"/>
      </w:r>
    </w:p>
    <w:p w:rsidR="00E34D47" w:rsidRPr="00E34D47" w:rsidRDefault="00E34D47" w:rsidP="00E34D47">
      <w:pPr>
        <w:jc w:val="center"/>
        <w:rPr>
          <w:b/>
          <w:sz w:val="28"/>
          <w:szCs w:val="28"/>
        </w:rPr>
      </w:pPr>
      <w:bookmarkStart w:id="15" w:name="_Toc328131628"/>
      <w:bookmarkStart w:id="16" w:name="_Toc328136690"/>
      <w:bookmarkStart w:id="17" w:name="_Toc335401730"/>
      <w:r w:rsidRPr="00E34D47">
        <w:rPr>
          <w:b/>
          <w:sz w:val="28"/>
          <w:szCs w:val="28"/>
        </w:rPr>
        <w:lastRenderedPageBreak/>
        <w:t>BEFORE</w:t>
      </w:r>
    </w:p>
    <w:p w:rsidR="00E34D47" w:rsidRPr="00E34D47" w:rsidRDefault="00E34D47" w:rsidP="00E34D47">
      <w:pPr>
        <w:jc w:val="center"/>
        <w:rPr>
          <w:b/>
          <w:sz w:val="28"/>
          <w:szCs w:val="28"/>
        </w:rPr>
      </w:pPr>
      <w:r w:rsidRPr="00E34D47">
        <w:rPr>
          <w:b/>
          <w:sz w:val="28"/>
          <w:szCs w:val="28"/>
        </w:rPr>
        <w:t>THE PUBLIC UTILITIES COMMISSION OF OHIO</w:t>
      </w:r>
    </w:p>
    <w:p w:rsidR="00E34D47" w:rsidRPr="0006795C" w:rsidRDefault="00E34D47" w:rsidP="00E34D47">
      <w:pPr>
        <w:pStyle w:val="Title"/>
        <w:tabs>
          <w:tab w:val="left" w:pos="5130"/>
          <w:tab w:val="left" w:pos="5670"/>
        </w:tabs>
        <w:rPr>
          <w:rFonts w:ascii="Times New Roman" w:hAnsi="Times New Roman"/>
          <w:sz w:val="26"/>
          <w:szCs w:val="26"/>
        </w:rPr>
      </w:pPr>
    </w:p>
    <w:p w:rsidR="00E34D47" w:rsidRPr="005A076C" w:rsidRDefault="00E34D47" w:rsidP="00E34D47">
      <w:pPr>
        <w:pStyle w:val="Title"/>
        <w:tabs>
          <w:tab w:val="left" w:pos="5130"/>
          <w:tab w:val="left" w:pos="5670"/>
        </w:tabs>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289"/>
        <w:gridCol w:w="4418"/>
      </w:tblGrid>
      <w:tr w:rsidR="00E34D47" w:rsidRPr="00E34D47" w:rsidTr="0080387D">
        <w:tc>
          <w:tcPr>
            <w:tcW w:w="4878" w:type="dxa"/>
          </w:tcPr>
          <w:p w:rsidR="00E34D47" w:rsidRPr="00E34D47" w:rsidRDefault="00E34D47" w:rsidP="0080387D">
            <w:pPr>
              <w:autoSpaceDE w:val="0"/>
              <w:autoSpaceDN w:val="0"/>
              <w:adjustRightInd w:val="0"/>
              <w:rPr>
                <w:sz w:val="26"/>
                <w:szCs w:val="26"/>
              </w:rPr>
            </w:pPr>
            <w:r w:rsidRPr="00E34D47">
              <w:rPr>
                <w:sz w:val="26"/>
                <w:szCs w:val="26"/>
              </w:rPr>
              <w:t xml:space="preserve">In the Matter of the Application of </w:t>
            </w:r>
            <w:r w:rsidRPr="00E34D47">
              <w:rPr>
                <w:b/>
                <w:sz w:val="26"/>
                <w:szCs w:val="26"/>
              </w:rPr>
              <w:t>Ohio Power Company</w:t>
            </w:r>
            <w:r w:rsidRPr="00E34D47">
              <w:rPr>
                <w:sz w:val="26"/>
                <w:szCs w:val="26"/>
              </w:rPr>
              <w:t xml:space="preserve"> for Authority to Issue Phase-in-Recovery Bonds and Impose, Charge and Collect Phase-in-Recovery Charges for Tariff and Bill Format Changes.</w:t>
            </w:r>
          </w:p>
        </w:tc>
        <w:tc>
          <w:tcPr>
            <w:tcW w:w="270" w:type="dxa"/>
          </w:tcPr>
          <w:p w:rsidR="00E34D47" w:rsidRPr="00E34D47" w:rsidRDefault="00E34D47" w:rsidP="0080387D">
            <w:pPr>
              <w:pStyle w:val="Title"/>
              <w:tabs>
                <w:tab w:val="left" w:pos="5130"/>
                <w:tab w:val="left" w:pos="5670"/>
              </w:tabs>
              <w:rPr>
                <w:rFonts w:ascii="Times New Roman" w:hAnsi="Times New Roman"/>
                <w:sz w:val="26"/>
                <w:szCs w:val="26"/>
              </w:rPr>
            </w:pPr>
            <w:r w:rsidRPr="00E34D47">
              <w:rPr>
                <w:rFonts w:ascii="Times New Roman" w:hAnsi="Times New Roman"/>
                <w:sz w:val="26"/>
                <w:szCs w:val="26"/>
              </w:rPr>
              <w:t>:</w:t>
            </w:r>
          </w:p>
          <w:p w:rsidR="00E34D47" w:rsidRPr="00E34D47" w:rsidRDefault="00E34D47" w:rsidP="0080387D">
            <w:pPr>
              <w:pStyle w:val="Title"/>
              <w:tabs>
                <w:tab w:val="left" w:pos="5130"/>
                <w:tab w:val="left" w:pos="5670"/>
              </w:tabs>
              <w:rPr>
                <w:rFonts w:ascii="Times New Roman" w:hAnsi="Times New Roman"/>
                <w:sz w:val="26"/>
                <w:szCs w:val="26"/>
              </w:rPr>
            </w:pPr>
            <w:r w:rsidRPr="00E34D47">
              <w:rPr>
                <w:rFonts w:ascii="Times New Roman" w:hAnsi="Times New Roman"/>
                <w:sz w:val="26"/>
                <w:szCs w:val="26"/>
              </w:rPr>
              <w:t>:</w:t>
            </w:r>
            <w:r w:rsidRPr="00E34D47">
              <w:rPr>
                <w:rFonts w:ascii="Times New Roman" w:hAnsi="Times New Roman"/>
                <w:sz w:val="26"/>
                <w:szCs w:val="26"/>
              </w:rPr>
              <w:br/>
              <w:t>:</w:t>
            </w:r>
          </w:p>
          <w:p w:rsidR="00E34D47" w:rsidRPr="00E34D47" w:rsidRDefault="00E34D47" w:rsidP="0080387D">
            <w:pPr>
              <w:pStyle w:val="Title"/>
              <w:tabs>
                <w:tab w:val="left" w:pos="5130"/>
                <w:tab w:val="left" w:pos="5670"/>
              </w:tabs>
              <w:rPr>
                <w:rFonts w:ascii="Times New Roman" w:hAnsi="Times New Roman"/>
                <w:sz w:val="26"/>
                <w:szCs w:val="26"/>
              </w:rPr>
            </w:pPr>
            <w:r w:rsidRPr="00E34D47">
              <w:rPr>
                <w:rFonts w:ascii="Times New Roman" w:hAnsi="Times New Roman"/>
                <w:sz w:val="26"/>
                <w:szCs w:val="26"/>
              </w:rPr>
              <w:t>:</w:t>
            </w:r>
          </w:p>
          <w:p w:rsidR="00E34D47" w:rsidRPr="00E34D47" w:rsidRDefault="00E34D47" w:rsidP="0080387D">
            <w:pPr>
              <w:pStyle w:val="Title"/>
              <w:tabs>
                <w:tab w:val="left" w:pos="5130"/>
                <w:tab w:val="left" w:pos="5670"/>
              </w:tabs>
              <w:rPr>
                <w:rFonts w:ascii="Times New Roman" w:hAnsi="Times New Roman"/>
                <w:sz w:val="26"/>
                <w:szCs w:val="26"/>
              </w:rPr>
            </w:pPr>
            <w:r w:rsidRPr="00E34D47">
              <w:rPr>
                <w:rFonts w:ascii="Times New Roman" w:hAnsi="Times New Roman"/>
                <w:sz w:val="26"/>
                <w:szCs w:val="26"/>
              </w:rPr>
              <w:t>:</w:t>
            </w:r>
          </w:p>
        </w:tc>
        <w:tc>
          <w:tcPr>
            <w:tcW w:w="4428" w:type="dxa"/>
          </w:tcPr>
          <w:p w:rsidR="00E34D47" w:rsidRPr="00E34D47" w:rsidRDefault="00E34D47" w:rsidP="0080387D">
            <w:pPr>
              <w:pStyle w:val="Title"/>
              <w:tabs>
                <w:tab w:val="left" w:pos="5130"/>
                <w:tab w:val="left" w:pos="5670"/>
              </w:tabs>
              <w:jc w:val="left"/>
              <w:rPr>
                <w:rFonts w:ascii="Times New Roman" w:hAnsi="Times New Roman"/>
                <w:sz w:val="26"/>
                <w:szCs w:val="26"/>
              </w:rPr>
            </w:pPr>
          </w:p>
          <w:p w:rsidR="00E34D47" w:rsidRPr="00E34D47" w:rsidRDefault="00E34D47" w:rsidP="0080387D">
            <w:pPr>
              <w:pStyle w:val="Title"/>
              <w:tabs>
                <w:tab w:val="left" w:pos="5130"/>
                <w:tab w:val="left" w:pos="5670"/>
              </w:tabs>
              <w:jc w:val="left"/>
              <w:rPr>
                <w:rFonts w:ascii="Times New Roman" w:hAnsi="Times New Roman"/>
                <w:sz w:val="26"/>
                <w:szCs w:val="26"/>
              </w:rPr>
            </w:pPr>
            <w:r w:rsidRPr="00E34D47">
              <w:rPr>
                <w:rFonts w:ascii="Times New Roman" w:hAnsi="Times New Roman"/>
                <w:sz w:val="26"/>
                <w:szCs w:val="26"/>
              </w:rPr>
              <w:t xml:space="preserve">Case No. </w:t>
            </w:r>
            <w:r w:rsidRPr="00E34D47">
              <w:rPr>
                <w:rFonts w:ascii="Times New Roman" w:hAnsi="Times New Roman"/>
                <w:b/>
                <w:sz w:val="26"/>
                <w:szCs w:val="26"/>
              </w:rPr>
              <w:t>12-1969-EL-ATS</w:t>
            </w:r>
          </w:p>
        </w:tc>
      </w:tr>
    </w:tbl>
    <w:p w:rsidR="00E34D47" w:rsidRPr="008E4A67" w:rsidRDefault="00E34D47" w:rsidP="00E34D47">
      <w:pPr>
        <w:pStyle w:val="Title"/>
        <w:tabs>
          <w:tab w:val="left" w:pos="5130"/>
          <w:tab w:val="left" w:pos="5670"/>
        </w:tabs>
        <w:rPr>
          <w:rFonts w:ascii="Times New Roman" w:hAnsi="Times New Roman"/>
          <w:b/>
          <w:sz w:val="26"/>
          <w:szCs w:val="26"/>
        </w:rPr>
      </w:pPr>
    </w:p>
    <w:p w:rsidR="00E34D47" w:rsidRPr="005A076C" w:rsidRDefault="00E34D47" w:rsidP="00E34D47">
      <w:pPr>
        <w:pStyle w:val="Title"/>
        <w:tabs>
          <w:tab w:val="left" w:pos="5130"/>
          <w:tab w:val="left" w:pos="5670"/>
        </w:tabs>
        <w:jc w:val="left"/>
        <w:rPr>
          <w:rFonts w:ascii="Times New Roman" w:hAnsi="Times New Roman"/>
          <w:sz w:val="26"/>
          <w:szCs w:val="26"/>
        </w:rPr>
      </w:pPr>
    </w:p>
    <w:p w:rsidR="00E34D47" w:rsidRDefault="00E34D47" w:rsidP="00E34D47">
      <w:pPr>
        <w:pStyle w:val="Title"/>
        <w:tabs>
          <w:tab w:val="left" w:pos="9360"/>
        </w:tabs>
        <w:spacing w:after="240"/>
        <w:jc w:val="left"/>
        <w:rPr>
          <w:rFonts w:ascii="Times New Roman" w:hAnsi="Times New Roman"/>
          <w:sz w:val="26"/>
          <w:szCs w:val="26"/>
          <w:u w:val="single"/>
        </w:rPr>
      </w:pPr>
    </w:p>
    <w:p w:rsidR="00E34D47" w:rsidRPr="005A076C" w:rsidRDefault="00E34D47" w:rsidP="00E34D47">
      <w:pPr>
        <w:pStyle w:val="Title"/>
        <w:tabs>
          <w:tab w:val="left" w:pos="9360"/>
        </w:tabs>
        <w:spacing w:after="240"/>
        <w:jc w:val="left"/>
        <w:rPr>
          <w:rFonts w:ascii="Times New Roman" w:hAnsi="Times New Roman"/>
          <w:sz w:val="26"/>
          <w:szCs w:val="26"/>
          <w:u w:val="single"/>
        </w:rPr>
      </w:pPr>
      <w:r w:rsidRPr="005A076C">
        <w:rPr>
          <w:rFonts w:ascii="Times New Roman" w:hAnsi="Times New Roman"/>
          <w:sz w:val="26"/>
          <w:szCs w:val="26"/>
          <w:u w:val="single"/>
        </w:rPr>
        <w:tab/>
      </w:r>
    </w:p>
    <w:p w:rsidR="00E34D47" w:rsidRDefault="00E34D47" w:rsidP="00E34D47">
      <w:pPr>
        <w:pStyle w:val="Title"/>
        <w:tabs>
          <w:tab w:val="left" w:pos="9360"/>
        </w:tabs>
        <w:rPr>
          <w:rFonts w:ascii="Times New Roman" w:hAnsi="Times New Roman"/>
          <w:b/>
          <w:szCs w:val="28"/>
        </w:rPr>
      </w:pPr>
      <w:r w:rsidRPr="00E34D47">
        <w:rPr>
          <w:rFonts w:ascii="Times New Roman" w:hAnsi="Times New Roman"/>
          <w:b/>
          <w:szCs w:val="28"/>
        </w:rPr>
        <w:t>SUPPLEMENTAL</w:t>
      </w:r>
    </w:p>
    <w:p w:rsidR="00E34D47" w:rsidRPr="00E34D47" w:rsidRDefault="00E34D47" w:rsidP="00E34D47">
      <w:pPr>
        <w:pStyle w:val="Title"/>
        <w:tabs>
          <w:tab w:val="left" w:pos="9360"/>
        </w:tabs>
        <w:rPr>
          <w:rFonts w:ascii="Times New Roman" w:hAnsi="Times New Roman"/>
          <w:b/>
          <w:szCs w:val="28"/>
        </w:rPr>
      </w:pPr>
      <w:r w:rsidRPr="00E34D47">
        <w:rPr>
          <w:rFonts w:ascii="Times New Roman" w:hAnsi="Times New Roman"/>
          <w:b/>
          <w:szCs w:val="28"/>
        </w:rPr>
        <w:t>INITIAL COMMENTS AND RECOMMENDATIONS</w:t>
      </w:r>
    </w:p>
    <w:p w:rsidR="00E34D47" w:rsidRPr="00E34D47" w:rsidRDefault="00E34D47" w:rsidP="00E34D47">
      <w:pPr>
        <w:jc w:val="center"/>
        <w:rPr>
          <w:sz w:val="26"/>
          <w:szCs w:val="26"/>
        </w:rPr>
      </w:pPr>
      <w:r w:rsidRPr="00E34D47">
        <w:rPr>
          <w:sz w:val="26"/>
          <w:szCs w:val="26"/>
        </w:rPr>
        <w:t>SUBMITTED ON BEHALF OF THE STAFF OF</w:t>
      </w:r>
    </w:p>
    <w:p w:rsidR="00E34D47" w:rsidRPr="00E34D47" w:rsidRDefault="00E34D47" w:rsidP="00E34D47">
      <w:pPr>
        <w:jc w:val="center"/>
        <w:rPr>
          <w:sz w:val="26"/>
          <w:szCs w:val="26"/>
        </w:rPr>
      </w:pPr>
      <w:r w:rsidRPr="00E34D47">
        <w:rPr>
          <w:sz w:val="26"/>
          <w:szCs w:val="26"/>
        </w:rPr>
        <w:t>THE PUBLIC UTILITIES COMMISSION OF OHIO</w:t>
      </w:r>
    </w:p>
    <w:p w:rsidR="00E34D47" w:rsidRPr="005A076C" w:rsidRDefault="00E34D47" w:rsidP="00E34D47">
      <w:pPr>
        <w:pStyle w:val="Title"/>
        <w:tabs>
          <w:tab w:val="left" w:pos="9360"/>
        </w:tabs>
        <w:spacing w:after="240"/>
        <w:jc w:val="left"/>
        <w:rPr>
          <w:rFonts w:ascii="Times New Roman" w:hAnsi="Times New Roman"/>
          <w:sz w:val="26"/>
          <w:szCs w:val="26"/>
          <w:u w:val="single"/>
        </w:rPr>
      </w:pPr>
      <w:r w:rsidRPr="005A076C">
        <w:rPr>
          <w:rFonts w:ascii="Times New Roman" w:hAnsi="Times New Roman"/>
          <w:sz w:val="26"/>
          <w:szCs w:val="26"/>
          <w:u w:val="single"/>
        </w:rPr>
        <w:tab/>
      </w:r>
    </w:p>
    <w:p w:rsidR="00E34D47" w:rsidRDefault="00D94F75" w:rsidP="00E34D47">
      <w:pPr>
        <w:pStyle w:val="Heading1"/>
      </w:pPr>
      <w:bookmarkStart w:id="18" w:name="_Toc344991221"/>
      <w:r w:rsidRPr="00E34D47">
        <w:t xml:space="preserve">I. </w:t>
      </w:r>
      <w:r w:rsidR="00AC6153" w:rsidRPr="00E34D47">
        <w:tab/>
      </w:r>
      <w:bookmarkEnd w:id="15"/>
      <w:bookmarkEnd w:id="16"/>
      <w:bookmarkEnd w:id="17"/>
      <w:r w:rsidR="00E34D47">
        <w:t>BACKGROUND</w:t>
      </w:r>
      <w:bookmarkEnd w:id="18"/>
    </w:p>
    <w:p w:rsidR="00FF5711" w:rsidRPr="00E34D47" w:rsidRDefault="00FE7C68" w:rsidP="00E34D47">
      <w:pPr>
        <w:pStyle w:val="Heading2"/>
      </w:pPr>
      <w:bookmarkStart w:id="19" w:name="_Toc344991222"/>
      <w:r w:rsidRPr="00E34D47">
        <w:t>A.</w:t>
      </w:r>
      <w:r w:rsidRPr="00E34D47">
        <w:tab/>
        <w:t>Introduction</w:t>
      </w:r>
      <w:bookmarkEnd w:id="19"/>
    </w:p>
    <w:p w:rsidR="002432D3" w:rsidRPr="008E4A67" w:rsidRDefault="00E34D47" w:rsidP="00E34D47">
      <w:pPr>
        <w:pStyle w:val="Textstyle"/>
      </w:pPr>
      <w:r>
        <w:tab/>
      </w:r>
      <w:r w:rsidR="00FE7C68" w:rsidRPr="008E4A67">
        <w:t>The Staff provide</w:t>
      </w:r>
      <w:r w:rsidR="00260D3E">
        <w:t>s these</w:t>
      </w:r>
      <w:r w:rsidR="00FE7C68" w:rsidRPr="008E4A67">
        <w:t xml:space="preserve"> initial supplemental comments (Staf</w:t>
      </w:r>
      <w:r w:rsidR="00916BAD" w:rsidRPr="008E4A67">
        <w:t>f Supplemental Comments) to add</w:t>
      </w:r>
      <w:r w:rsidR="00FE7C68" w:rsidRPr="008E4A67">
        <w:t xml:space="preserve">ress </w:t>
      </w:r>
      <w:r w:rsidR="00916BAD" w:rsidRPr="008E4A67">
        <w:t>the issues raised in Ohio Power Company’s (OPCo) Supplemental Comments filed on November 9, 2012 (OPCo’s Supplemental Comments) address</w:t>
      </w:r>
      <w:r w:rsidR="00B16232" w:rsidRPr="008E4A67">
        <w:t xml:space="preserve">ing certain </w:t>
      </w:r>
      <w:r w:rsidR="00916BAD" w:rsidRPr="008E4A67">
        <w:t>concerns</w:t>
      </w:r>
      <w:r w:rsidR="002432D3" w:rsidRPr="008E4A67">
        <w:t>:</w:t>
      </w:r>
    </w:p>
    <w:p w:rsidR="00FF5711" w:rsidRPr="0006795C" w:rsidRDefault="00D94F75" w:rsidP="00E34D47">
      <w:pPr>
        <w:pStyle w:val="Heading2"/>
      </w:pPr>
      <w:bookmarkStart w:id="20" w:name="_Toc328131631"/>
      <w:bookmarkStart w:id="21" w:name="_Toc328136693"/>
      <w:bookmarkStart w:id="22" w:name="_Toc335401733"/>
      <w:bookmarkStart w:id="23" w:name="_Toc344991223"/>
      <w:r w:rsidRPr="0006795C">
        <w:t xml:space="preserve">B. </w:t>
      </w:r>
      <w:r w:rsidR="00AC6153" w:rsidRPr="0006795C">
        <w:tab/>
      </w:r>
      <w:r w:rsidR="00E34D47" w:rsidRPr="0006795C">
        <w:t xml:space="preserve">Description </w:t>
      </w:r>
      <w:r w:rsidR="00E34D47">
        <w:t>o</w:t>
      </w:r>
      <w:r w:rsidR="00E34D47" w:rsidRPr="0006795C">
        <w:t xml:space="preserve">f </w:t>
      </w:r>
      <w:r w:rsidR="00963629">
        <w:t>OPCo’s</w:t>
      </w:r>
      <w:r w:rsidR="00E34D47" w:rsidRPr="0006795C">
        <w:t xml:space="preserve"> Revised Transaction</w:t>
      </w:r>
      <w:bookmarkEnd w:id="20"/>
      <w:bookmarkEnd w:id="21"/>
      <w:bookmarkEnd w:id="22"/>
      <w:r w:rsidR="00E34D47" w:rsidRPr="0006795C">
        <w:t xml:space="preserve"> </w:t>
      </w:r>
      <w:r w:rsidR="00E34D47">
        <w:t>a</w:t>
      </w:r>
      <w:r w:rsidR="00E34D47" w:rsidRPr="0006795C">
        <w:t xml:space="preserve">nd </w:t>
      </w:r>
      <w:r w:rsidR="00963629">
        <w:t>OPCo’s</w:t>
      </w:r>
      <w:r w:rsidR="00E34D47" w:rsidRPr="0006795C">
        <w:t xml:space="preserve"> Concern</w:t>
      </w:r>
      <w:r w:rsidR="00E34D47">
        <w:t>s</w:t>
      </w:r>
      <w:bookmarkEnd w:id="23"/>
    </w:p>
    <w:p w:rsidR="00B16232" w:rsidRDefault="00E16C3F" w:rsidP="00E34D47">
      <w:pPr>
        <w:pStyle w:val="Textstyle"/>
      </w:pPr>
      <w:r>
        <w:tab/>
      </w:r>
      <w:r w:rsidR="00D70E20" w:rsidRPr="008E4A67">
        <w:t>In OPCo’s Supplemental Comments</w:t>
      </w:r>
      <w:r w:rsidR="00AA157D" w:rsidRPr="008E4A67">
        <w:t xml:space="preserve">, </w:t>
      </w:r>
      <w:r w:rsidR="00D70E20" w:rsidRPr="008E4A67">
        <w:t xml:space="preserve">OPCo addressed among other things the </w:t>
      </w:r>
      <w:r w:rsidR="00B16232" w:rsidRPr="008E4A67">
        <w:t>following concerns:</w:t>
      </w:r>
    </w:p>
    <w:p w:rsidR="00963629" w:rsidRDefault="00963629" w:rsidP="00E34D47">
      <w:pPr>
        <w:pStyle w:val="Textstyle"/>
      </w:pPr>
    </w:p>
    <w:p w:rsidR="00260D3E" w:rsidRPr="00E34D47" w:rsidRDefault="00260D3E" w:rsidP="00E34D47">
      <w:pPr>
        <w:pStyle w:val="ListParagraph"/>
        <w:numPr>
          <w:ilvl w:val="0"/>
          <w:numId w:val="22"/>
        </w:numPr>
        <w:spacing w:after="240" w:line="240" w:lineRule="auto"/>
        <w:ind w:left="2160" w:right="990"/>
        <w:contextualSpacing w:val="0"/>
        <w:jc w:val="both"/>
        <w:rPr>
          <w:rFonts w:ascii="Times New Roman" w:hAnsi="Times New Roman"/>
          <w:sz w:val="26"/>
          <w:szCs w:val="26"/>
        </w:rPr>
      </w:pPr>
      <w:r w:rsidRPr="00E34D47">
        <w:rPr>
          <w:rFonts w:ascii="Times New Roman" w:hAnsi="Times New Roman"/>
          <w:color w:val="000000" w:themeColor="text1"/>
          <w:sz w:val="26"/>
          <w:szCs w:val="26"/>
        </w:rPr>
        <w:lastRenderedPageBreak/>
        <w:t xml:space="preserve">Pursuant to its order on October 10, 2012, in Case No. 12-1126-EL-UNC, </w:t>
      </w:r>
      <w:r w:rsidRPr="00E34D47">
        <w:rPr>
          <w:rFonts w:ascii="Times New Roman" w:hAnsi="Times New Roman"/>
          <w:i/>
          <w:color w:val="000000" w:themeColor="text1"/>
          <w:sz w:val="26"/>
          <w:szCs w:val="26"/>
        </w:rPr>
        <w:t>In the Matter of the Application of Ohio Power Company for Approval of an Amendment to its Corporate Separation Plan</w:t>
      </w:r>
      <w:r w:rsidRPr="00E34D47">
        <w:rPr>
          <w:rFonts w:ascii="Times New Roman" w:hAnsi="Times New Roman"/>
          <w:color w:val="000000" w:themeColor="text1"/>
          <w:sz w:val="26"/>
          <w:szCs w:val="26"/>
        </w:rPr>
        <w:t>, the Commission ordered OPCo to remove the defeasance cost included in the esti</w:t>
      </w:r>
      <w:r w:rsidR="003A1699">
        <w:rPr>
          <w:rFonts w:ascii="Times New Roman" w:hAnsi="Times New Roman"/>
          <w:color w:val="000000" w:themeColor="text1"/>
          <w:sz w:val="26"/>
          <w:szCs w:val="26"/>
        </w:rPr>
        <w:softHyphen/>
      </w:r>
      <w:r w:rsidRPr="00E34D47">
        <w:rPr>
          <w:rFonts w:ascii="Times New Roman" w:hAnsi="Times New Roman"/>
          <w:color w:val="000000" w:themeColor="text1"/>
          <w:sz w:val="26"/>
          <w:szCs w:val="26"/>
        </w:rPr>
        <w:t xml:space="preserve">mated upfront financing costs included in its Application.  OPCo has provided with these comments Revised Exhibits A through G to show the impact of this requirement. </w:t>
      </w:r>
    </w:p>
    <w:p w:rsidR="00B16232" w:rsidRPr="00E34D47" w:rsidRDefault="00C21DD8" w:rsidP="00E34D47">
      <w:pPr>
        <w:pStyle w:val="ListParagraph"/>
        <w:numPr>
          <w:ilvl w:val="0"/>
          <w:numId w:val="22"/>
        </w:numPr>
        <w:tabs>
          <w:tab w:val="left" w:pos="8640"/>
        </w:tabs>
        <w:spacing w:after="240" w:line="240" w:lineRule="auto"/>
        <w:ind w:left="2160" w:right="990"/>
        <w:contextualSpacing w:val="0"/>
        <w:jc w:val="both"/>
        <w:rPr>
          <w:rFonts w:ascii="Times New Roman" w:hAnsi="Times New Roman"/>
          <w:color w:val="000000" w:themeColor="text1"/>
          <w:sz w:val="26"/>
          <w:szCs w:val="26"/>
        </w:rPr>
      </w:pPr>
      <w:r w:rsidRPr="00E34D47">
        <w:rPr>
          <w:rFonts w:ascii="Times New Roman" w:hAnsi="Times New Roman"/>
          <w:color w:val="000000" w:themeColor="text1"/>
          <w:sz w:val="26"/>
          <w:szCs w:val="26"/>
        </w:rPr>
        <w:t>The Commission must permit the true up and collection of phase-in-charges sufficient to pay all ongoing financing costs.</w:t>
      </w:r>
      <w:r w:rsidR="004020B9" w:rsidRPr="00E34D47">
        <w:rPr>
          <w:rFonts w:ascii="Times New Roman" w:hAnsi="Times New Roman"/>
          <w:color w:val="000000" w:themeColor="text1"/>
          <w:sz w:val="26"/>
          <w:szCs w:val="26"/>
        </w:rPr>
        <w:t xml:space="preserve">  In the FirstEnergy Financing Order (the “FE Order)) </w:t>
      </w:r>
      <w:r w:rsidR="00B16232" w:rsidRPr="00E34D47">
        <w:rPr>
          <w:rFonts w:ascii="Times New Roman" w:hAnsi="Times New Roman"/>
          <w:color w:val="000000" w:themeColor="text1"/>
          <w:sz w:val="26"/>
          <w:szCs w:val="26"/>
        </w:rPr>
        <w:t xml:space="preserve">Commission’s capping of </w:t>
      </w:r>
      <w:r w:rsidR="008B090A" w:rsidRPr="00E34D47">
        <w:rPr>
          <w:rFonts w:ascii="Times New Roman" w:hAnsi="Times New Roman"/>
          <w:color w:val="000000" w:themeColor="text1"/>
          <w:sz w:val="26"/>
          <w:szCs w:val="26"/>
        </w:rPr>
        <w:t xml:space="preserve">the </w:t>
      </w:r>
      <w:r w:rsidR="00B16232" w:rsidRPr="00E34D47">
        <w:rPr>
          <w:rFonts w:ascii="Times New Roman" w:hAnsi="Times New Roman"/>
          <w:color w:val="000000" w:themeColor="text1"/>
          <w:sz w:val="26"/>
          <w:szCs w:val="26"/>
        </w:rPr>
        <w:t>Special Purpose Entity’s (SPE) ability to recover upfront and incremental “ongoing</w:t>
      </w:r>
      <w:r w:rsidR="008B090A" w:rsidRPr="00E34D47">
        <w:rPr>
          <w:rFonts w:ascii="Times New Roman" w:hAnsi="Times New Roman"/>
          <w:color w:val="000000" w:themeColor="text1"/>
          <w:sz w:val="26"/>
          <w:szCs w:val="26"/>
        </w:rPr>
        <w:t>”</w:t>
      </w:r>
      <w:r w:rsidR="00B16232" w:rsidRPr="00E34D47">
        <w:rPr>
          <w:rFonts w:ascii="Times New Roman" w:hAnsi="Times New Roman"/>
          <w:color w:val="000000" w:themeColor="text1"/>
          <w:sz w:val="26"/>
          <w:szCs w:val="26"/>
        </w:rPr>
        <w:t xml:space="preserve"> financial cost through </w:t>
      </w:r>
      <w:r w:rsidR="00510526" w:rsidRPr="00E34D47">
        <w:rPr>
          <w:rFonts w:ascii="Times New Roman" w:hAnsi="Times New Roman"/>
          <w:sz w:val="26"/>
          <w:szCs w:val="26"/>
        </w:rPr>
        <w:t>PIR Charges</w:t>
      </w:r>
      <w:r w:rsidR="00510526" w:rsidRPr="00E34D47">
        <w:rPr>
          <w:rFonts w:ascii="Times New Roman" w:hAnsi="Times New Roman"/>
          <w:color w:val="000000" w:themeColor="text1"/>
          <w:sz w:val="26"/>
          <w:szCs w:val="26"/>
        </w:rPr>
        <w:t xml:space="preserve"> </w:t>
      </w:r>
      <w:r w:rsidR="00B16232" w:rsidRPr="00E34D47">
        <w:rPr>
          <w:rFonts w:ascii="Times New Roman" w:hAnsi="Times New Roman"/>
          <w:color w:val="000000" w:themeColor="text1"/>
          <w:sz w:val="26"/>
          <w:szCs w:val="26"/>
        </w:rPr>
        <w:t xml:space="preserve">would expose the SPE </w:t>
      </w:r>
      <w:r w:rsidR="002A5626" w:rsidRPr="00E34D47">
        <w:rPr>
          <w:rFonts w:ascii="Times New Roman" w:hAnsi="Times New Roman"/>
          <w:color w:val="000000" w:themeColor="text1"/>
          <w:sz w:val="26"/>
          <w:szCs w:val="26"/>
        </w:rPr>
        <w:t xml:space="preserve">to </w:t>
      </w:r>
      <w:r w:rsidR="00B16232" w:rsidRPr="00E34D47">
        <w:rPr>
          <w:rFonts w:ascii="Times New Roman" w:hAnsi="Times New Roman"/>
          <w:color w:val="000000" w:themeColor="text1"/>
          <w:sz w:val="26"/>
          <w:szCs w:val="26"/>
        </w:rPr>
        <w:t>risks of insolvency in a manner that OPCo believes is detrimental to</w:t>
      </w:r>
      <w:r w:rsidR="008B090A" w:rsidRPr="00E34D47">
        <w:rPr>
          <w:rFonts w:ascii="Times New Roman" w:hAnsi="Times New Roman"/>
          <w:color w:val="000000" w:themeColor="text1"/>
          <w:sz w:val="26"/>
          <w:szCs w:val="26"/>
        </w:rPr>
        <w:t xml:space="preserve"> the</w:t>
      </w:r>
      <w:r w:rsidR="00B16232" w:rsidRPr="00E34D47">
        <w:rPr>
          <w:rFonts w:ascii="Times New Roman" w:hAnsi="Times New Roman"/>
          <w:color w:val="000000" w:themeColor="text1"/>
          <w:sz w:val="26"/>
          <w:szCs w:val="26"/>
        </w:rPr>
        <w:t xml:space="preserve"> SPE’s ability to achieve “AAA” rating on the Phase-In-Recovery (PIR) </w:t>
      </w:r>
      <w:r w:rsidR="00510526" w:rsidRPr="00E34D47">
        <w:rPr>
          <w:rFonts w:ascii="Times New Roman" w:hAnsi="Times New Roman"/>
          <w:color w:val="000000" w:themeColor="text1"/>
          <w:sz w:val="26"/>
          <w:szCs w:val="26"/>
        </w:rPr>
        <w:t>b</w:t>
      </w:r>
      <w:r w:rsidR="00B16232" w:rsidRPr="00E34D47">
        <w:rPr>
          <w:rFonts w:ascii="Times New Roman" w:hAnsi="Times New Roman"/>
          <w:color w:val="000000" w:themeColor="text1"/>
          <w:sz w:val="26"/>
          <w:szCs w:val="26"/>
        </w:rPr>
        <w:t>onds so as to maximize the</w:t>
      </w:r>
      <w:r w:rsidR="00883002" w:rsidRPr="00E34D47">
        <w:rPr>
          <w:rFonts w:ascii="Times New Roman" w:hAnsi="Times New Roman"/>
          <w:color w:val="000000" w:themeColor="text1"/>
          <w:sz w:val="26"/>
          <w:szCs w:val="26"/>
        </w:rPr>
        <w:t xml:space="preserve"> savings to</w:t>
      </w:r>
      <w:r w:rsidR="00B16232" w:rsidRPr="00E34D47">
        <w:rPr>
          <w:rFonts w:ascii="Times New Roman" w:hAnsi="Times New Roman"/>
          <w:color w:val="000000" w:themeColor="text1"/>
          <w:sz w:val="26"/>
          <w:szCs w:val="26"/>
        </w:rPr>
        <w:t xml:space="preserve"> OPCo customers.</w:t>
      </w:r>
    </w:p>
    <w:p w:rsidR="00CE7B6C" w:rsidRPr="00E34D47" w:rsidRDefault="00CE7B6C" w:rsidP="00E34D47">
      <w:pPr>
        <w:pStyle w:val="ListParagraph"/>
        <w:numPr>
          <w:ilvl w:val="0"/>
          <w:numId w:val="22"/>
        </w:numPr>
        <w:tabs>
          <w:tab w:val="left" w:pos="8640"/>
        </w:tabs>
        <w:spacing w:after="240" w:line="240" w:lineRule="auto"/>
        <w:ind w:left="2160" w:right="990"/>
        <w:contextualSpacing w:val="0"/>
        <w:jc w:val="both"/>
        <w:rPr>
          <w:rFonts w:ascii="Times New Roman" w:hAnsi="Times New Roman"/>
          <w:color w:val="000000" w:themeColor="text1"/>
          <w:sz w:val="26"/>
          <w:szCs w:val="26"/>
        </w:rPr>
      </w:pPr>
      <w:r w:rsidRPr="00E34D47">
        <w:rPr>
          <w:rFonts w:ascii="Times New Roman" w:hAnsi="Times New Roman"/>
          <w:sz w:val="26"/>
          <w:szCs w:val="26"/>
        </w:rPr>
        <w:t xml:space="preserve">A Financing Order must contemplate the possibility of a replacement servicer, unaffiliated with the utility, and authorize the collection of a higher servicing fee for such </w:t>
      </w:r>
      <w:r w:rsidR="00C21DD8" w:rsidRPr="00E34D47">
        <w:rPr>
          <w:rFonts w:ascii="Times New Roman" w:hAnsi="Times New Roman"/>
          <w:sz w:val="26"/>
          <w:szCs w:val="26"/>
        </w:rPr>
        <w:t xml:space="preserve">an </w:t>
      </w:r>
      <w:r w:rsidRPr="00E34D47">
        <w:rPr>
          <w:rFonts w:ascii="Times New Roman" w:hAnsi="Times New Roman"/>
          <w:sz w:val="26"/>
          <w:szCs w:val="26"/>
        </w:rPr>
        <w:t>entity. </w:t>
      </w:r>
    </w:p>
    <w:p w:rsidR="00B16232" w:rsidRPr="00E34D47" w:rsidRDefault="00464D24" w:rsidP="00E34D47">
      <w:pPr>
        <w:pStyle w:val="ListParagraph"/>
        <w:numPr>
          <w:ilvl w:val="0"/>
          <w:numId w:val="22"/>
        </w:numPr>
        <w:spacing w:after="240" w:line="240" w:lineRule="auto"/>
        <w:ind w:left="2160" w:right="990"/>
        <w:contextualSpacing w:val="0"/>
        <w:jc w:val="both"/>
        <w:rPr>
          <w:rFonts w:ascii="Times New Roman" w:hAnsi="Times New Roman"/>
          <w:color w:val="000000" w:themeColor="text1"/>
          <w:sz w:val="26"/>
          <w:szCs w:val="26"/>
        </w:rPr>
      </w:pPr>
      <w:r w:rsidRPr="00E34D47">
        <w:rPr>
          <w:rFonts w:ascii="Times New Roman" w:hAnsi="Times New Roman"/>
          <w:color w:val="000000" w:themeColor="text1"/>
          <w:sz w:val="26"/>
          <w:szCs w:val="26"/>
        </w:rPr>
        <w:t>The Financing Order should provide at least minimal pro</w:t>
      </w:r>
      <w:r w:rsidR="003A1699">
        <w:rPr>
          <w:rFonts w:ascii="Times New Roman" w:hAnsi="Times New Roman"/>
          <w:color w:val="000000" w:themeColor="text1"/>
          <w:sz w:val="26"/>
          <w:szCs w:val="26"/>
        </w:rPr>
        <w:softHyphen/>
      </w:r>
      <w:r w:rsidRPr="00E34D47">
        <w:rPr>
          <w:rFonts w:ascii="Times New Roman" w:hAnsi="Times New Roman"/>
          <w:color w:val="000000" w:themeColor="text1"/>
          <w:sz w:val="26"/>
          <w:szCs w:val="26"/>
        </w:rPr>
        <w:t>tections for bondholders regarding the potential for third party billing</w:t>
      </w:r>
      <w:r w:rsidRPr="00E34D47">
        <w:rPr>
          <w:rFonts w:ascii="Times New Roman" w:hAnsi="Times New Roman"/>
          <w:sz w:val="26"/>
          <w:szCs w:val="26"/>
        </w:rPr>
        <w:t xml:space="preserve">.  In </w:t>
      </w:r>
      <w:r w:rsidR="004020B9" w:rsidRPr="00E34D47">
        <w:rPr>
          <w:rFonts w:ascii="Times New Roman" w:hAnsi="Times New Roman"/>
          <w:sz w:val="26"/>
          <w:szCs w:val="26"/>
        </w:rPr>
        <w:t xml:space="preserve">the </w:t>
      </w:r>
      <w:r w:rsidRPr="00E34D47">
        <w:rPr>
          <w:rFonts w:ascii="Times New Roman" w:hAnsi="Times New Roman"/>
          <w:sz w:val="26"/>
          <w:szCs w:val="26"/>
        </w:rPr>
        <w:t>FE Order</w:t>
      </w:r>
      <w:r w:rsidRPr="00E34D47">
        <w:rPr>
          <w:rFonts w:ascii="Times New Roman" w:hAnsi="Times New Roman"/>
          <w:color w:val="000000" w:themeColor="text1"/>
          <w:sz w:val="26"/>
          <w:szCs w:val="26"/>
        </w:rPr>
        <w:t xml:space="preserve">, the   </w:t>
      </w:r>
      <w:r w:rsidR="00B16232" w:rsidRPr="00E34D47">
        <w:rPr>
          <w:rFonts w:ascii="Times New Roman" w:hAnsi="Times New Roman"/>
          <w:sz w:val="26"/>
          <w:szCs w:val="26"/>
        </w:rPr>
        <w:t xml:space="preserve">Commission </w:t>
      </w:r>
      <w:r w:rsidR="00B16232" w:rsidRPr="00E34D47">
        <w:rPr>
          <w:rFonts w:ascii="Times New Roman" w:hAnsi="Times New Roman"/>
          <w:color w:val="000000" w:themeColor="text1"/>
          <w:sz w:val="26"/>
          <w:szCs w:val="26"/>
        </w:rPr>
        <w:t>has deferred to a later date of the establishment of the terms and conditions under which the third party electric provid</w:t>
      </w:r>
      <w:r w:rsidR="003A1699">
        <w:rPr>
          <w:rFonts w:ascii="Times New Roman" w:hAnsi="Times New Roman"/>
          <w:color w:val="000000" w:themeColor="text1"/>
          <w:sz w:val="26"/>
          <w:szCs w:val="26"/>
        </w:rPr>
        <w:softHyphen/>
      </w:r>
      <w:r w:rsidR="00B16232" w:rsidRPr="00E34D47">
        <w:rPr>
          <w:rFonts w:ascii="Times New Roman" w:hAnsi="Times New Roman"/>
          <w:color w:val="000000" w:themeColor="text1"/>
          <w:sz w:val="26"/>
          <w:szCs w:val="26"/>
        </w:rPr>
        <w:t>ers who are not EDU could collect PIR charges.  This would not provide minimal protection to the PIR bond</w:t>
      </w:r>
      <w:r w:rsidR="003A1699">
        <w:rPr>
          <w:rFonts w:ascii="Times New Roman" w:hAnsi="Times New Roman"/>
          <w:color w:val="000000" w:themeColor="text1"/>
          <w:sz w:val="26"/>
          <w:szCs w:val="26"/>
        </w:rPr>
        <w:softHyphen/>
      </w:r>
      <w:r w:rsidR="00B16232" w:rsidRPr="00E34D47">
        <w:rPr>
          <w:rFonts w:ascii="Times New Roman" w:hAnsi="Times New Roman"/>
          <w:color w:val="000000" w:themeColor="text1"/>
          <w:sz w:val="26"/>
          <w:szCs w:val="26"/>
        </w:rPr>
        <w:t xml:space="preserve">holders regarding the potential for third party </w:t>
      </w:r>
      <w:r w:rsidR="00B16232" w:rsidRPr="00E34D47">
        <w:rPr>
          <w:rFonts w:ascii="Times New Roman" w:hAnsi="Times New Roman"/>
          <w:sz w:val="26"/>
          <w:szCs w:val="26"/>
        </w:rPr>
        <w:t>billing.</w:t>
      </w:r>
    </w:p>
    <w:p w:rsidR="00B16232" w:rsidRPr="00E34D47" w:rsidRDefault="00464D24" w:rsidP="00E34D47">
      <w:pPr>
        <w:pStyle w:val="ListParagraph"/>
        <w:numPr>
          <w:ilvl w:val="0"/>
          <w:numId w:val="22"/>
        </w:numPr>
        <w:spacing w:after="240" w:line="240" w:lineRule="auto"/>
        <w:ind w:left="2160" w:right="990"/>
        <w:contextualSpacing w:val="0"/>
        <w:jc w:val="both"/>
        <w:rPr>
          <w:rFonts w:ascii="Times New Roman" w:hAnsi="Times New Roman"/>
          <w:color w:val="000000" w:themeColor="text1"/>
          <w:sz w:val="26"/>
          <w:szCs w:val="26"/>
        </w:rPr>
      </w:pPr>
      <w:r w:rsidRPr="00E34D47">
        <w:rPr>
          <w:rFonts w:ascii="Times New Roman" w:hAnsi="Times New Roman"/>
          <w:color w:val="000000" w:themeColor="text1"/>
          <w:sz w:val="26"/>
          <w:szCs w:val="26"/>
        </w:rPr>
        <w:t>The fee cap for Commission’s financial advisor is out of pro</w:t>
      </w:r>
      <w:r w:rsidR="003A1699">
        <w:rPr>
          <w:rFonts w:ascii="Times New Roman" w:hAnsi="Times New Roman"/>
          <w:color w:val="000000" w:themeColor="text1"/>
          <w:sz w:val="26"/>
          <w:szCs w:val="26"/>
        </w:rPr>
        <w:softHyphen/>
      </w:r>
      <w:r w:rsidRPr="00E34D47">
        <w:rPr>
          <w:rFonts w:ascii="Times New Roman" w:hAnsi="Times New Roman"/>
          <w:color w:val="000000" w:themeColor="text1"/>
          <w:sz w:val="26"/>
          <w:szCs w:val="26"/>
        </w:rPr>
        <w:t>portion to recent financings</w:t>
      </w:r>
      <w:r w:rsidRPr="00E34D47">
        <w:rPr>
          <w:rFonts w:ascii="Times New Roman" w:hAnsi="Times New Roman"/>
          <w:sz w:val="26"/>
          <w:szCs w:val="26"/>
        </w:rPr>
        <w:t xml:space="preserve">.  In </w:t>
      </w:r>
      <w:r w:rsidR="004020B9" w:rsidRPr="00E34D47">
        <w:rPr>
          <w:rFonts w:ascii="Times New Roman" w:hAnsi="Times New Roman"/>
          <w:sz w:val="26"/>
          <w:szCs w:val="26"/>
        </w:rPr>
        <w:t xml:space="preserve">the </w:t>
      </w:r>
      <w:r w:rsidRPr="00E34D47">
        <w:rPr>
          <w:rFonts w:ascii="Times New Roman" w:hAnsi="Times New Roman"/>
          <w:sz w:val="26"/>
          <w:szCs w:val="26"/>
        </w:rPr>
        <w:t>FE Order</w:t>
      </w:r>
      <w:r w:rsidRPr="00E34D47">
        <w:rPr>
          <w:rFonts w:ascii="Times New Roman" w:hAnsi="Times New Roman"/>
          <w:color w:val="000000" w:themeColor="text1"/>
          <w:sz w:val="26"/>
          <w:szCs w:val="26"/>
        </w:rPr>
        <w:t xml:space="preserve">, the   </w:t>
      </w:r>
      <w:r w:rsidR="00B16232" w:rsidRPr="00E34D47">
        <w:rPr>
          <w:rFonts w:ascii="Times New Roman" w:hAnsi="Times New Roman"/>
          <w:color w:val="000000" w:themeColor="text1"/>
          <w:sz w:val="26"/>
          <w:szCs w:val="26"/>
        </w:rPr>
        <w:t>Commission authorized fee cap for the Financial Advisor is out of proportion to recent financings and such fee will impact on consumer savings.</w:t>
      </w:r>
    </w:p>
    <w:p w:rsidR="00B16232" w:rsidRPr="00E34D47" w:rsidRDefault="00464D24" w:rsidP="00E34D47">
      <w:pPr>
        <w:pStyle w:val="ListParagraph"/>
        <w:numPr>
          <w:ilvl w:val="0"/>
          <w:numId w:val="22"/>
        </w:numPr>
        <w:spacing w:after="240" w:line="240" w:lineRule="auto"/>
        <w:ind w:left="2160" w:right="990"/>
        <w:contextualSpacing w:val="0"/>
        <w:jc w:val="both"/>
        <w:rPr>
          <w:rFonts w:ascii="Times New Roman" w:hAnsi="Times New Roman"/>
          <w:color w:val="000000" w:themeColor="text1"/>
          <w:sz w:val="26"/>
          <w:szCs w:val="26"/>
        </w:rPr>
      </w:pPr>
      <w:r w:rsidRPr="00E34D47">
        <w:rPr>
          <w:rFonts w:ascii="Times New Roman" w:hAnsi="Times New Roman"/>
          <w:color w:val="000000" w:themeColor="text1"/>
          <w:sz w:val="26"/>
          <w:szCs w:val="26"/>
        </w:rPr>
        <w:t xml:space="preserve">The </w:t>
      </w:r>
      <w:r w:rsidR="00B16232" w:rsidRPr="00E34D47">
        <w:rPr>
          <w:rFonts w:ascii="Times New Roman" w:hAnsi="Times New Roman"/>
          <w:color w:val="000000" w:themeColor="text1"/>
          <w:sz w:val="26"/>
          <w:szCs w:val="26"/>
        </w:rPr>
        <w:t>Commission’s review of the Issuance Advice Letter needs to be limited to confirming that the final terms of the PIR bonds satisfy the requirement of the Financing Order.</w:t>
      </w:r>
    </w:p>
    <w:p w:rsidR="004020B9" w:rsidRPr="00E34D47" w:rsidRDefault="00B16232" w:rsidP="00E34D47">
      <w:pPr>
        <w:pStyle w:val="Textstyle"/>
      </w:pPr>
      <w:r w:rsidRPr="00E34D47">
        <w:lastRenderedPageBreak/>
        <w:t>In th</w:t>
      </w:r>
      <w:r w:rsidR="008B090A" w:rsidRPr="00E34D47">
        <w:t>ese</w:t>
      </w:r>
      <w:r w:rsidRPr="00E34D47">
        <w:t xml:space="preserve"> Staff Supplemental Comments</w:t>
      </w:r>
      <w:r w:rsidR="006E6571" w:rsidRPr="00E34D47">
        <w:t xml:space="preserve"> </w:t>
      </w:r>
      <w:r w:rsidRPr="00E34D47">
        <w:t xml:space="preserve">the Staff </w:t>
      </w:r>
      <w:r w:rsidR="006E6571" w:rsidRPr="00E34D47">
        <w:t xml:space="preserve">addresses </w:t>
      </w:r>
      <w:r w:rsidRPr="00E34D47">
        <w:t>the results of the review of OPCo’s above mentioned concerns</w:t>
      </w:r>
      <w:r w:rsidR="006E6571" w:rsidRPr="00E34D47">
        <w:t xml:space="preserve"> and presents its recommendations</w:t>
      </w:r>
      <w:r w:rsidR="00963629" w:rsidRPr="00E34D47">
        <w:t xml:space="preserve">.  </w:t>
      </w:r>
      <w:r w:rsidRPr="00E34D47">
        <w:t>The Staff</w:t>
      </w:r>
      <w:r w:rsidR="002A5626" w:rsidRPr="00E34D47">
        <w:t>’s</w:t>
      </w:r>
      <w:r w:rsidRPr="00E34D47">
        <w:t xml:space="preserve"> intent is to provide the Commission and other interested parties information sufficient to permit an appropriate determination on this case.  However, the </w:t>
      </w:r>
      <w:r w:rsidR="006E6571" w:rsidRPr="00E34D47">
        <w:t>recommendations</w:t>
      </w:r>
      <w:r w:rsidRPr="00E34D47">
        <w:t xml:space="preserve"> of this report should not be misconstrued as binding upon or limiting the scope of the Commission consideration.</w:t>
      </w:r>
    </w:p>
    <w:p w:rsidR="0002012D" w:rsidRPr="00E16C3F" w:rsidRDefault="00D754A0" w:rsidP="00E34D47">
      <w:pPr>
        <w:pStyle w:val="Heading1"/>
      </w:pPr>
      <w:bookmarkStart w:id="24" w:name="_Toc344991224"/>
      <w:r w:rsidRPr="00E16C3F">
        <w:t>II.</w:t>
      </w:r>
      <w:r w:rsidR="00A65850" w:rsidRPr="00E16C3F">
        <w:tab/>
      </w:r>
      <w:r w:rsidR="00E34D47">
        <w:t>STAFF’S ANALYSIS</w:t>
      </w:r>
      <w:bookmarkEnd w:id="24"/>
    </w:p>
    <w:p w:rsidR="000D4C65" w:rsidRPr="00A65850" w:rsidRDefault="00A65850" w:rsidP="00E34D47">
      <w:pPr>
        <w:pStyle w:val="Textstyle"/>
      </w:pPr>
      <w:r w:rsidRPr="00A65850">
        <w:tab/>
      </w:r>
      <w:r w:rsidR="000D4C65" w:rsidRPr="00A65850">
        <w:t xml:space="preserve">The Staff reviewed </w:t>
      </w:r>
      <w:r w:rsidR="000D4C65" w:rsidRPr="00E34D47">
        <w:t xml:space="preserve">OPCo’s Supplemental Comments </w:t>
      </w:r>
      <w:r w:rsidR="000D4C65" w:rsidRPr="00A65850">
        <w:t>and presents the following analysis:</w:t>
      </w:r>
    </w:p>
    <w:p w:rsidR="006E6571" w:rsidRPr="00E16C3F" w:rsidRDefault="00E34D47" w:rsidP="00E34D47">
      <w:pPr>
        <w:pStyle w:val="Heading2"/>
      </w:pPr>
      <w:bookmarkStart w:id="25" w:name="_Toc344991225"/>
      <w:r>
        <w:t>A.</w:t>
      </w:r>
      <w:r>
        <w:tab/>
      </w:r>
      <w:r w:rsidR="00E16C3F" w:rsidRPr="00E16C3F">
        <w:t>T</w:t>
      </w:r>
      <w:r w:rsidR="006E6571" w:rsidRPr="00E16C3F">
        <w:t>he Benefits of Securitization</w:t>
      </w:r>
      <w:bookmarkEnd w:id="25"/>
    </w:p>
    <w:p w:rsidR="0002012D" w:rsidRPr="00A65850" w:rsidRDefault="0006795C" w:rsidP="00E34D47">
      <w:pPr>
        <w:pStyle w:val="Textstyle"/>
      </w:pPr>
      <w:r>
        <w:tab/>
      </w:r>
      <w:r w:rsidR="0002012D" w:rsidRPr="00A65850">
        <w:t>For purposes of estimating the benefits from securitization, OPCo now estimates a $291.5 million deferral balance of Phase-In Costs collectable through the DARR at the assumed date of the issuance (January 15, 2013) and estimate</w:t>
      </w:r>
      <w:r w:rsidR="008B090A">
        <w:t>s</w:t>
      </w:r>
      <w:r w:rsidR="0002012D" w:rsidRPr="00A65850">
        <w:t xml:space="preserve"> $6.53 million of upfront Financing Costs (Upfront Financing Costs), for an approximate issuance amount of $296.508 million.  Based upon the proposed recovery period of seven years, OPCo esti</w:t>
      </w:r>
      <w:r w:rsidR="0002012D" w:rsidRPr="00A65850">
        <w:softHyphen/>
        <w:t xml:space="preserve">mates that the costs savings to customers on a nominal basis and on </w:t>
      </w:r>
      <w:r w:rsidR="008D77A2">
        <w:t xml:space="preserve">a </w:t>
      </w:r>
      <w:r w:rsidR="0002012D" w:rsidRPr="00A65850">
        <w:t xml:space="preserve">net-present value basis would </w:t>
      </w:r>
      <w:r w:rsidR="00510526" w:rsidRPr="00A65850">
        <w:t>be about $2</w:t>
      </w:r>
      <w:r w:rsidR="003A5C02" w:rsidRPr="00A65850">
        <w:t>1</w:t>
      </w:r>
      <w:r w:rsidR="00510526" w:rsidRPr="00A65850">
        <w:t>.</w:t>
      </w:r>
      <w:r w:rsidR="003A5C02" w:rsidRPr="00A65850">
        <w:t>9</w:t>
      </w:r>
      <w:r w:rsidR="00510526" w:rsidRPr="00A65850">
        <w:t xml:space="preserve"> million and $2</w:t>
      </w:r>
      <w:r w:rsidR="003A5C02" w:rsidRPr="00A65850">
        <w:t>8</w:t>
      </w:r>
      <w:r w:rsidR="00510526" w:rsidRPr="00A65850">
        <w:t>.</w:t>
      </w:r>
      <w:r w:rsidR="003A5C02" w:rsidRPr="00A65850">
        <w:t>8</w:t>
      </w:r>
      <w:r w:rsidR="0002012D" w:rsidRPr="00A65850">
        <w:t xml:space="preserve"> million, respectively, based on current interest rates and market conditions. </w:t>
      </w:r>
    </w:p>
    <w:p w:rsidR="00A65850" w:rsidRDefault="0006795C" w:rsidP="00150C9D">
      <w:pPr>
        <w:pStyle w:val="Textstyle"/>
      </w:pPr>
      <w:r>
        <w:tab/>
      </w:r>
      <w:r w:rsidR="0002012D" w:rsidRPr="00A65850">
        <w:t>The proposed securitization is expected to mitigate rate impacts to OPCo’s custom</w:t>
      </w:r>
      <w:r w:rsidR="003A1699">
        <w:softHyphen/>
      </w:r>
      <w:r w:rsidR="0002012D" w:rsidRPr="00A65850">
        <w:t xml:space="preserve">ers by </w:t>
      </w:r>
      <w:proofErr w:type="gramStart"/>
      <w:r w:rsidR="0002012D" w:rsidRPr="00A65850">
        <w:t>flowing</w:t>
      </w:r>
      <w:proofErr w:type="gramEnd"/>
      <w:r w:rsidR="0002012D" w:rsidRPr="00A65850">
        <w:t xml:space="preserve"> the cost savings through to customers in a manner that yields lower associated rates compared to the cost recovery method previously approved by the Com</w:t>
      </w:r>
      <w:r w:rsidR="003A1699">
        <w:softHyphen/>
      </w:r>
      <w:r w:rsidR="0002012D" w:rsidRPr="00A65850">
        <w:lastRenderedPageBreak/>
        <w:t>mission, i.e., the DARR which provides for a carrying charge of 5.34%</w:t>
      </w:r>
      <w:r w:rsidR="008B090A">
        <w:t>.</w:t>
      </w:r>
      <w:r w:rsidR="0002012D" w:rsidRPr="00A65850">
        <w:t xml:space="preserve"> </w:t>
      </w:r>
      <w:r w:rsidR="008B090A">
        <w:t xml:space="preserve"> C</w:t>
      </w:r>
      <w:r w:rsidR="0002012D" w:rsidRPr="00A65850">
        <w:t>onsumers will benefit on a net present value basis so long as the expected weighted average interest rate of the PIR Bonds does not exceed 4.2%, and does not exceed 3.3%, on a nominal value basis</w:t>
      </w:r>
      <w:r w:rsidR="008B090A">
        <w:t>,</w:t>
      </w:r>
      <w:r w:rsidR="0002012D" w:rsidRPr="00A65850">
        <w:t xml:space="preserve"> as shown in the </w:t>
      </w:r>
      <w:r w:rsidR="0002012D" w:rsidRPr="00E34D47">
        <w:t>Revised Exhibit A to OPCo’s Supplemental Comments</w:t>
      </w:r>
      <w:r w:rsidR="0002012D" w:rsidRPr="00A65850">
        <w:t xml:space="preserve">. </w:t>
      </w:r>
    </w:p>
    <w:p w:rsidR="00ED2D8D" w:rsidRPr="008B4F84" w:rsidRDefault="0006795C" w:rsidP="00150C9D">
      <w:pPr>
        <w:pStyle w:val="Textstyle"/>
      </w:pPr>
      <w:r>
        <w:tab/>
      </w:r>
      <w:r w:rsidR="00F90A9D" w:rsidRPr="008B4F84">
        <w:t xml:space="preserve">Based upon current market conditions, typical structural features, and </w:t>
      </w:r>
      <w:r w:rsidR="00665BDC" w:rsidRPr="008B4F84">
        <w:t>other fea</w:t>
      </w:r>
      <w:r w:rsidR="003A1699">
        <w:softHyphen/>
      </w:r>
      <w:r w:rsidR="00665BDC" w:rsidRPr="008B4F84">
        <w:t>tures</w:t>
      </w:r>
      <w:r w:rsidR="00F17F05" w:rsidRPr="008B4F84">
        <w:t>, OPCo</w:t>
      </w:r>
      <w:r w:rsidR="00665BDC" w:rsidRPr="008B4F84">
        <w:t xml:space="preserve"> </w:t>
      </w:r>
      <w:r w:rsidR="00BE2A21" w:rsidRPr="008B4F84">
        <w:t xml:space="preserve">now </w:t>
      </w:r>
      <w:r w:rsidR="00665BDC" w:rsidRPr="008B4F84">
        <w:t>estimates</w:t>
      </w:r>
      <w:r w:rsidR="00151581" w:rsidRPr="008B4F84">
        <w:t xml:space="preserve"> </w:t>
      </w:r>
      <w:r w:rsidR="00665BDC" w:rsidRPr="008B4F84">
        <w:t xml:space="preserve">that the </w:t>
      </w:r>
      <w:r w:rsidR="00F90A9D" w:rsidRPr="008B4F84">
        <w:t>weighted average annual interest cost of the P</w:t>
      </w:r>
      <w:r w:rsidR="00665BDC" w:rsidRPr="008B4F84">
        <w:t>IR</w:t>
      </w:r>
      <w:r w:rsidR="00F90A9D" w:rsidRPr="008B4F84">
        <w:t xml:space="preserve"> Bonds to </w:t>
      </w:r>
      <w:r w:rsidR="00151581" w:rsidRPr="008B4F84">
        <w:t>b</w:t>
      </w:r>
      <w:r w:rsidR="00F90A9D" w:rsidRPr="008B4F84">
        <w:t>e</w:t>
      </w:r>
      <w:r w:rsidR="00151581" w:rsidRPr="008B4F84">
        <w:t xml:space="preserve"> </w:t>
      </w:r>
      <w:r w:rsidR="00F90A9D" w:rsidRPr="008B4F84">
        <w:t>less</w:t>
      </w:r>
      <w:r w:rsidR="00B11554" w:rsidRPr="008B4F84">
        <w:t xml:space="preserve"> </w:t>
      </w:r>
      <w:r w:rsidR="00F90A9D" w:rsidRPr="008B4F84">
        <w:t>than 1.</w:t>
      </w:r>
      <w:r w:rsidR="00523EE7" w:rsidRPr="008B4F84">
        <w:t>09</w:t>
      </w:r>
      <w:r w:rsidR="00F90A9D" w:rsidRPr="008B4F84">
        <w:t xml:space="preserve">%. </w:t>
      </w:r>
      <w:r w:rsidR="00ED2D8D" w:rsidRPr="008B4F84">
        <w:t xml:space="preserve"> According to</w:t>
      </w:r>
      <w:r w:rsidR="00151581" w:rsidRPr="008B4F84">
        <w:t xml:space="preserve"> </w:t>
      </w:r>
      <w:r w:rsidR="00ED2D8D" w:rsidRPr="008B4F84">
        <w:t>OPCo, this would result in</w:t>
      </w:r>
      <w:r w:rsidR="00F90A9D" w:rsidRPr="008B4F84">
        <w:t xml:space="preserve"> significant cost savings and</w:t>
      </w:r>
      <w:r w:rsidR="00151581" w:rsidRPr="008B4F84">
        <w:t xml:space="preserve"> </w:t>
      </w:r>
      <w:r w:rsidR="00F90A9D" w:rsidRPr="008B4F84">
        <w:t>mitigation of rate impacts through the</w:t>
      </w:r>
      <w:r w:rsidR="00B11554" w:rsidRPr="008B4F84">
        <w:t xml:space="preserve"> </w:t>
      </w:r>
      <w:r w:rsidR="00F90A9D" w:rsidRPr="008B4F84">
        <w:t>proposed P</w:t>
      </w:r>
      <w:r w:rsidR="00B11554" w:rsidRPr="008B4F84">
        <w:t>IR</w:t>
      </w:r>
      <w:r w:rsidR="00ED2D8D" w:rsidRPr="008B4F84">
        <w:t xml:space="preserve"> </w:t>
      </w:r>
      <w:r w:rsidR="00F90A9D" w:rsidRPr="008B4F84">
        <w:t xml:space="preserve">Bond issuance. </w:t>
      </w:r>
    </w:p>
    <w:p w:rsidR="007C25A4" w:rsidRDefault="0006795C" w:rsidP="00150C9D">
      <w:pPr>
        <w:pStyle w:val="Textstyle"/>
      </w:pPr>
      <w:r w:rsidRPr="008B4F84">
        <w:tab/>
      </w:r>
      <w:r w:rsidR="00151581" w:rsidRPr="008B4F84">
        <w:t>According to OPCo, b</w:t>
      </w:r>
      <w:r w:rsidR="00F90A9D" w:rsidRPr="008B4F84">
        <w:t>ased on the P</w:t>
      </w:r>
      <w:r w:rsidR="00151581" w:rsidRPr="008B4F84">
        <w:t>IR</w:t>
      </w:r>
      <w:r w:rsidR="00F90A9D" w:rsidRPr="008B4F84">
        <w:t xml:space="preserve"> </w:t>
      </w:r>
      <w:r w:rsidR="00151581" w:rsidRPr="008B4F84">
        <w:t xml:space="preserve">Bond </w:t>
      </w:r>
      <w:r w:rsidR="00F90A9D" w:rsidRPr="008B4F84">
        <w:t>expected principal repayment</w:t>
      </w:r>
      <w:r w:rsidR="004640F1" w:rsidRPr="008B4F84">
        <w:t xml:space="preserve"> </w:t>
      </w:r>
      <w:r w:rsidR="00F90A9D" w:rsidRPr="008B4F84">
        <w:t>sched</w:t>
      </w:r>
      <w:r w:rsidR="003A1699">
        <w:softHyphen/>
      </w:r>
      <w:r w:rsidR="00F90A9D" w:rsidRPr="008B4F84">
        <w:t xml:space="preserve">ule reflected in </w:t>
      </w:r>
      <w:r w:rsidR="000D4C65" w:rsidRPr="008B4F84">
        <w:t xml:space="preserve">Revised </w:t>
      </w:r>
      <w:r w:rsidR="00F90A9D" w:rsidRPr="008B4F84">
        <w:t xml:space="preserve">Exhibit </w:t>
      </w:r>
      <w:r w:rsidR="00752167" w:rsidRPr="008B4F84">
        <w:t>A</w:t>
      </w:r>
      <w:r w:rsidR="00151581" w:rsidRPr="008B4F84">
        <w:t xml:space="preserve"> of the </w:t>
      </w:r>
      <w:r w:rsidR="000D4C65" w:rsidRPr="008B4F84">
        <w:t xml:space="preserve">OPCo Supplemental Comments </w:t>
      </w:r>
      <w:r w:rsidR="00F90A9D" w:rsidRPr="008B4F84">
        <w:t>only a weighted</w:t>
      </w:r>
      <w:r w:rsidR="00ED2D8D" w:rsidRPr="008B4F84">
        <w:t xml:space="preserve"> </w:t>
      </w:r>
      <w:r w:rsidR="00F90A9D" w:rsidRPr="008B4F84">
        <w:t>average rate on the P</w:t>
      </w:r>
      <w:r w:rsidR="00151581" w:rsidRPr="008B4F84">
        <w:t xml:space="preserve">IR </w:t>
      </w:r>
      <w:r w:rsidR="00F90A9D" w:rsidRPr="008B4F84">
        <w:t>Bonds</w:t>
      </w:r>
      <w:r w:rsidR="00151581" w:rsidRPr="008B4F84">
        <w:t xml:space="preserve"> </w:t>
      </w:r>
      <w:r w:rsidR="00752167" w:rsidRPr="008B4F84">
        <w:t>at or above</w:t>
      </w:r>
      <w:r w:rsidR="00F90A9D" w:rsidRPr="008B4F84">
        <w:t xml:space="preserve"> </w:t>
      </w:r>
      <w:r w:rsidR="00523EE7" w:rsidRPr="008B4F84">
        <w:t>4.2</w:t>
      </w:r>
      <w:r w:rsidR="00F90A9D" w:rsidRPr="008B4F84">
        <w:t>% would</w:t>
      </w:r>
      <w:r w:rsidR="00BB653C" w:rsidRPr="008B4F84">
        <w:t xml:space="preserve"> </w:t>
      </w:r>
      <w:r w:rsidR="008B090A">
        <w:t>negate,</w:t>
      </w:r>
      <w:r w:rsidR="008B090A" w:rsidRPr="008B4F84">
        <w:t xml:space="preserve"> </w:t>
      </w:r>
      <w:r w:rsidR="00F90A9D" w:rsidRPr="008B4F84">
        <w:t>on a net pre</w:t>
      </w:r>
      <w:r w:rsidR="00DB6C5E" w:rsidRPr="008B4F84">
        <w:softHyphen/>
      </w:r>
      <w:r w:rsidR="00F90A9D" w:rsidRPr="008B4F84">
        <w:t>sent value</w:t>
      </w:r>
      <w:r w:rsidR="001740D4" w:rsidRPr="008B4F84">
        <w:t xml:space="preserve"> </w:t>
      </w:r>
      <w:r w:rsidR="00F90A9D" w:rsidRPr="008B4F84">
        <w:t>basis</w:t>
      </w:r>
      <w:r w:rsidR="008B090A">
        <w:t>,</w:t>
      </w:r>
      <w:r w:rsidR="00F90A9D" w:rsidRPr="008B4F84">
        <w:t xml:space="preserve"> the benefits associated with </w:t>
      </w:r>
      <w:r w:rsidR="00151581" w:rsidRPr="008B4F84">
        <w:t>the Company</w:t>
      </w:r>
      <w:r w:rsidR="00F90A9D" w:rsidRPr="008B4F84">
        <w:t>'s</w:t>
      </w:r>
      <w:r w:rsidR="004640F1" w:rsidRPr="008B4F84">
        <w:t xml:space="preserve"> </w:t>
      </w:r>
      <w:r w:rsidR="00F90A9D" w:rsidRPr="008B4F84">
        <w:t>proposal</w:t>
      </w:r>
      <w:r w:rsidR="008B090A">
        <w:t>.</w:t>
      </w:r>
      <w:bookmarkStart w:id="26" w:name="_Toc328131633"/>
      <w:bookmarkStart w:id="27" w:name="_Toc328136695"/>
      <w:bookmarkStart w:id="28" w:name="_Toc335401735"/>
    </w:p>
    <w:p w:rsidR="00FF5711" w:rsidRPr="00E16C3F" w:rsidRDefault="00150C9D" w:rsidP="00150C9D">
      <w:pPr>
        <w:pStyle w:val="Heading2"/>
      </w:pPr>
      <w:bookmarkStart w:id="29" w:name="_Toc344991226"/>
      <w:r>
        <w:t>B.</w:t>
      </w:r>
      <w:r>
        <w:tab/>
      </w:r>
      <w:r w:rsidR="00FF5711" w:rsidRPr="00E16C3F">
        <w:t>Up-front and Ongoing Financing Costs</w:t>
      </w:r>
      <w:bookmarkEnd w:id="26"/>
      <w:bookmarkEnd w:id="27"/>
      <w:bookmarkEnd w:id="28"/>
      <w:bookmarkEnd w:id="29"/>
    </w:p>
    <w:p w:rsidR="00EA39AC" w:rsidRDefault="005A076C" w:rsidP="00150C9D">
      <w:pPr>
        <w:pStyle w:val="Textstyle"/>
      </w:pPr>
      <w:r w:rsidRPr="008B4F84">
        <w:tab/>
      </w:r>
      <w:r w:rsidR="00AE653C" w:rsidRPr="008B4F84">
        <w:t>In its supplemental comments</w:t>
      </w:r>
      <w:r w:rsidR="00BE2A21" w:rsidRPr="008B4F84">
        <w:t>,</w:t>
      </w:r>
      <w:r w:rsidR="00AE653C" w:rsidRPr="008B4F84">
        <w:t xml:space="preserve"> OPCo revised its </w:t>
      </w:r>
      <w:r w:rsidR="00F2084C">
        <w:t>U</w:t>
      </w:r>
      <w:r w:rsidR="00AE653C" w:rsidRPr="008B4F84">
        <w:t xml:space="preserve">pfront </w:t>
      </w:r>
      <w:r w:rsidR="00F2084C">
        <w:t>F</w:t>
      </w:r>
      <w:r w:rsidR="00AE653C" w:rsidRPr="008B4F84">
        <w:t xml:space="preserve">inancing </w:t>
      </w:r>
      <w:r w:rsidR="00F2084C">
        <w:t>C</w:t>
      </w:r>
      <w:r w:rsidR="00AE653C" w:rsidRPr="008B4F84">
        <w:t>ost</w:t>
      </w:r>
      <w:r w:rsidR="00BE2A21" w:rsidRPr="008B4F84">
        <w:t>s</w:t>
      </w:r>
      <w:r w:rsidR="00AE653C" w:rsidRPr="008B4F84">
        <w:t xml:space="preserve"> to reflect, among other things, the removal of defeasance cost of the pollution control bonds, and </w:t>
      </w:r>
      <w:r w:rsidR="00BE2A21" w:rsidRPr="008B4F84">
        <w:t>the addition of</w:t>
      </w:r>
      <w:r w:rsidR="00AE653C" w:rsidRPr="008B4F84">
        <w:t xml:space="preserve"> the </w:t>
      </w:r>
      <w:r w:rsidR="00E01301">
        <w:t xml:space="preserve">maximum </w:t>
      </w:r>
      <w:r w:rsidR="00AE653C" w:rsidRPr="008B4F84">
        <w:t xml:space="preserve">financial advisor’s fees.  OPCo also revised </w:t>
      </w:r>
      <w:r w:rsidR="00F2084C">
        <w:t>its O</w:t>
      </w:r>
      <w:r w:rsidR="00B3453C" w:rsidRPr="008B4F84">
        <w:t xml:space="preserve">ngoing </w:t>
      </w:r>
      <w:r w:rsidR="00F2084C">
        <w:t>F</w:t>
      </w:r>
      <w:r w:rsidR="00B3453C" w:rsidRPr="008B4F84">
        <w:t xml:space="preserve">inancing </w:t>
      </w:r>
      <w:r w:rsidR="00F2084C">
        <w:t>C</w:t>
      </w:r>
      <w:r w:rsidR="00B3453C" w:rsidRPr="008B4F84">
        <w:t>ost</w:t>
      </w:r>
      <w:r w:rsidR="00BE2A21" w:rsidRPr="008B4F84">
        <w:t>s</w:t>
      </w:r>
      <w:r w:rsidR="00B3453C" w:rsidRPr="008B4F84">
        <w:t xml:space="preserve"> to reflect the changes in servicing fees for </w:t>
      </w:r>
      <w:r w:rsidR="00BE2A21" w:rsidRPr="008B4F84">
        <w:t>both</w:t>
      </w:r>
      <w:r w:rsidR="00B3453C" w:rsidRPr="008B4F84">
        <w:t xml:space="preserve"> OPCo </w:t>
      </w:r>
      <w:r w:rsidR="00EA39AC">
        <w:t>or a</w:t>
      </w:r>
      <w:r w:rsidR="00B3453C" w:rsidRPr="008B4F84">
        <w:t xml:space="preserve"> third party as the servicer</w:t>
      </w:r>
      <w:r w:rsidR="00963629" w:rsidRPr="008B4F84">
        <w:t xml:space="preserve">.  </w:t>
      </w:r>
      <w:r w:rsidR="00EB096D" w:rsidRPr="008B4F84">
        <w:t xml:space="preserve">OPCo will incur certain </w:t>
      </w:r>
      <w:r w:rsidR="00F2084C">
        <w:t>u</w:t>
      </w:r>
      <w:r w:rsidR="00902843" w:rsidRPr="008B4F84">
        <w:t xml:space="preserve">pfront </w:t>
      </w:r>
      <w:r w:rsidR="00F2084C">
        <w:t>f</w:t>
      </w:r>
      <w:r w:rsidR="00902843" w:rsidRPr="008B4F84">
        <w:t xml:space="preserve">inancing </w:t>
      </w:r>
      <w:r w:rsidR="00F2084C">
        <w:t>c</w:t>
      </w:r>
      <w:r w:rsidR="00902843" w:rsidRPr="008B4F84">
        <w:t>osts</w:t>
      </w:r>
      <w:r w:rsidR="00136B13" w:rsidRPr="008B4F84">
        <w:t xml:space="preserve"> </w:t>
      </w:r>
      <w:r w:rsidR="00EB096D" w:rsidRPr="008B4F84">
        <w:t>relat</w:t>
      </w:r>
      <w:r w:rsidR="00EA39AC">
        <w:t>ed</w:t>
      </w:r>
      <w:r w:rsidR="007167CC" w:rsidRPr="008B4F84">
        <w:t xml:space="preserve"> t</w:t>
      </w:r>
      <w:r w:rsidR="00EB096D" w:rsidRPr="008B4F84">
        <w:t>o</w:t>
      </w:r>
      <w:r w:rsidR="007167CC" w:rsidRPr="008B4F84">
        <w:t xml:space="preserve"> </w:t>
      </w:r>
      <w:r w:rsidR="00F30D13" w:rsidRPr="008B4F84">
        <w:t>retiring, refunding OPCo's existing long-term debt, counsel</w:t>
      </w:r>
      <w:r w:rsidR="00136B13" w:rsidRPr="008B4F84">
        <w:t xml:space="preserve"> </w:t>
      </w:r>
      <w:r w:rsidR="00F30D13" w:rsidRPr="008B4F84">
        <w:t>fees, structural</w:t>
      </w:r>
      <w:r w:rsidR="007167CC" w:rsidRPr="008B4F84">
        <w:t xml:space="preserve"> </w:t>
      </w:r>
      <w:r w:rsidR="00F30D13" w:rsidRPr="008B4F84">
        <w:t>advisory fees</w:t>
      </w:r>
      <w:r w:rsidR="00EA559C" w:rsidRPr="008B4F84">
        <w:t xml:space="preserve">, </w:t>
      </w:r>
      <w:r w:rsidR="00F30D13" w:rsidRPr="008B4F84">
        <w:t>under</w:t>
      </w:r>
      <w:r w:rsidR="000B4EAE" w:rsidRPr="008B4F84">
        <w:softHyphen/>
      </w:r>
      <w:r w:rsidR="00F30D13" w:rsidRPr="008B4F84">
        <w:t>writing fees, rating agency fees, independent auditor's</w:t>
      </w:r>
      <w:r w:rsidR="00136B13" w:rsidRPr="008B4F84">
        <w:t xml:space="preserve"> </w:t>
      </w:r>
      <w:r w:rsidR="00F30D13" w:rsidRPr="008B4F84">
        <w:t>fees,</w:t>
      </w:r>
      <w:r w:rsidR="007167CC" w:rsidRPr="008B4F84">
        <w:t xml:space="preserve"> </w:t>
      </w:r>
      <w:r w:rsidR="00F30D13" w:rsidRPr="008B4F84">
        <w:t>SEC</w:t>
      </w:r>
      <w:r w:rsidR="007167CC" w:rsidRPr="008B4F84">
        <w:t xml:space="preserve"> </w:t>
      </w:r>
      <w:r w:rsidR="00F30D13" w:rsidRPr="008B4F84">
        <w:t>registration fees, print</w:t>
      </w:r>
      <w:r w:rsidR="000B4EAE" w:rsidRPr="008B4F84">
        <w:softHyphen/>
      </w:r>
      <w:r w:rsidR="00F30D13" w:rsidRPr="008B4F84">
        <w:t>ing and mar</w:t>
      </w:r>
      <w:r w:rsidR="003A1699">
        <w:softHyphen/>
      </w:r>
      <w:r w:rsidR="00F30D13" w:rsidRPr="008B4F84">
        <w:t>keting expenses and other fees and expenses</w:t>
      </w:r>
      <w:r w:rsidR="008A44A7" w:rsidRPr="008B4F84">
        <w:t xml:space="preserve"> </w:t>
      </w:r>
      <w:r w:rsidR="00F30D13" w:rsidRPr="008B4F84">
        <w:t>approved</w:t>
      </w:r>
      <w:r w:rsidR="007167CC" w:rsidRPr="008B4F84">
        <w:t xml:space="preserve"> </w:t>
      </w:r>
      <w:r w:rsidR="00F30D13" w:rsidRPr="008B4F84">
        <w:t>in the Financing</w:t>
      </w:r>
      <w:r w:rsidR="00003FC3" w:rsidRPr="008B4F84">
        <w:t xml:space="preserve"> </w:t>
      </w:r>
      <w:r w:rsidR="00F30D13" w:rsidRPr="008B4F84">
        <w:t xml:space="preserve">Order. </w:t>
      </w:r>
      <w:r w:rsidR="00136B13" w:rsidRPr="008B4F84">
        <w:t xml:space="preserve"> </w:t>
      </w:r>
      <w:r w:rsidR="00FD583D" w:rsidRPr="008B4F84">
        <w:t xml:space="preserve">OPCo's </w:t>
      </w:r>
      <w:r w:rsidR="00FD583D" w:rsidRPr="008B4F84">
        <w:lastRenderedPageBreak/>
        <w:t xml:space="preserve">current estimate of such </w:t>
      </w:r>
      <w:r w:rsidR="00F2084C">
        <w:t>u</w:t>
      </w:r>
      <w:r w:rsidR="00FD583D" w:rsidRPr="008B4F84">
        <w:t xml:space="preserve">pfront </w:t>
      </w:r>
      <w:r w:rsidR="00F2084C">
        <w:t>f</w:t>
      </w:r>
      <w:r w:rsidR="00FD583D" w:rsidRPr="008B4F84">
        <w:t>inancing</w:t>
      </w:r>
      <w:r w:rsidR="007167CC" w:rsidRPr="008B4F84">
        <w:t xml:space="preserve"> </w:t>
      </w:r>
      <w:r w:rsidR="00F2084C">
        <w:t>c</w:t>
      </w:r>
      <w:r w:rsidR="00FD583D" w:rsidRPr="008B4F84">
        <w:t>osts is about</w:t>
      </w:r>
      <w:r w:rsidR="007167CC" w:rsidRPr="008B4F84">
        <w:t xml:space="preserve"> </w:t>
      </w:r>
      <w:r w:rsidR="00FD583D" w:rsidRPr="008B4F84">
        <w:t>$</w:t>
      </w:r>
      <w:r w:rsidR="00BB34C7" w:rsidRPr="008B4F84">
        <w:t>6.5</w:t>
      </w:r>
      <w:r w:rsidR="00FD583D" w:rsidRPr="008B4F84">
        <w:t xml:space="preserve"> million in</w:t>
      </w:r>
      <w:r w:rsidR="00003FC3" w:rsidRPr="008B4F84">
        <w:t xml:space="preserve"> </w:t>
      </w:r>
      <w:r w:rsidR="00FD583D" w:rsidRPr="008B4F84">
        <w:t xml:space="preserve">the aggregate, including </w:t>
      </w:r>
      <w:r w:rsidR="00BB34C7" w:rsidRPr="008B4F84">
        <w:t xml:space="preserve">the financial advisor’s fees of approximately $1.5 million and excluding the </w:t>
      </w:r>
      <w:r w:rsidR="00FD583D" w:rsidRPr="008B4F84">
        <w:t>debt retirement/defeasance costs</w:t>
      </w:r>
      <w:r w:rsidR="008A44A7" w:rsidRPr="008B4F84">
        <w:t xml:space="preserve"> of about </w:t>
      </w:r>
      <w:r w:rsidR="00FD583D" w:rsidRPr="008B4F84">
        <w:t>$11</w:t>
      </w:r>
      <w:r w:rsidR="007167CC" w:rsidRPr="008B4F84">
        <w:t xml:space="preserve"> </w:t>
      </w:r>
      <w:r w:rsidR="00FD583D" w:rsidRPr="008B4F84">
        <w:t xml:space="preserve">million, </w:t>
      </w:r>
      <w:r w:rsidR="00BB34C7" w:rsidRPr="008B4F84">
        <w:t xml:space="preserve">as </w:t>
      </w:r>
      <w:r w:rsidR="00FD583D" w:rsidRPr="008B4F84">
        <w:t xml:space="preserve">described </w:t>
      </w:r>
      <w:r w:rsidR="008A44A7" w:rsidRPr="008B4F84">
        <w:t>i</w:t>
      </w:r>
      <w:r w:rsidR="00FD583D" w:rsidRPr="008B4F84">
        <w:t>n</w:t>
      </w:r>
      <w:r w:rsidR="007167CC" w:rsidRPr="008B4F84">
        <w:t xml:space="preserve"> </w:t>
      </w:r>
      <w:r w:rsidR="00BB34C7" w:rsidRPr="008B4F84">
        <w:t xml:space="preserve">Revised </w:t>
      </w:r>
      <w:r w:rsidR="00FD583D" w:rsidRPr="008B4F84">
        <w:t>Exhibit B to</w:t>
      </w:r>
      <w:r w:rsidR="007167CC" w:rsidRPr="008B4F84">
        <w:t xml:space="preserve"> </w:t>
      </w:r>
      <w:r w:rsidR="005D4B89" w:rsidRPr="008B4F84">
        <w:t>OPCo’s Supplemental Comments</w:t>
      </w:r>
      <w:r w:rsidR="00BE2A21" w:rsidRPr="008B4F84">
        <w:t xml:space="preserve">. </w:t>
      </w:r>
    </w:p>
    <w:p w:rsidR="00D5708C" w:rsidRDefault="00C37AB9" w:rsidP="00150C9D">
      <w:pPr>
        <w:pStyle w:val="Textstyle"/>
      </w:pPr>
      <w:r w:rsidRPr="008B4F84">
        <w:t xml:space="preserve"> </w:t>
      </w:r>
      <w:r w:rsidR="00F30D13" w:rsidRPr="008B4F84">
        <w:t xml:space="preserve"> </w:t>
      </w:r>
      <w:r w:rsidR="005D4B89" w:rsidRPr="008B4F84">
        <w:tab/>
      </w:r>
      <w:r w:rsidR="009D1752" w:rsidRPr="008B4F84">
        <w:t xml:space="preserve">OPCo </w:t>
      </w:r>
      <w:r w:rsidR="002A5626" w:rsidRPr="008B4F84">
        <w:t>also</w:t>
      </w:r>
      <w:r w:rsidR="00B3453C" w:rsidRPr="008B4F84">
        <w:t xml:space="preserve"> </w:t>
      </w:r>
      <w:r w:rsidRPr="008B4F84">
        <w:t xml:space="preserve">estimates that it will incur </w:t>
      </w:r>
      <w:r w:rsidR="00F2084C">
        <w:t>o</w:t>
      </w:r>
      <w:r w:rsidRPr="008B4F84">
        <w:t xml:space="preserve">ngoing </w:t>
      </w:r>
      <w:r w:rsidR="00F2084C">
        <w:t>f</w:t>
      </w:r>
      <w:r w:rsidRPr="008B4F84">
        <w:t xml:space="preserve">inancing </w:t>
      </w:r>
      <w:r w:rsidR="00F2084C">
        <w:t>c</w:t>
      </w:r>
      <w:r w:rsidRPr="008B4F84">
        <w:t>osts of $6</w:t>
      </w:r>
      <w:r w:rsidR="00BB34C7" w:rsidRPr="008B4F84">
        <w:t>2</w:t>
      </w:r>
      <w:r w:rsidRPr="008B4F84">
        <w:t>1,</w:t>
      </w:r>
      <w:r w:rsidR="00B3453C" w:rsidRPr="008B4F84">
        <w:t>518</w:t>
      </w:r>
      <w:r w:rsidRPr="008B4F84">
        <w:t xml:space="preserve"> if </w:t>
      </w:r>
      <w:r w:rsidR="009D1752" w:rsidRPr="008B4F84">
        <w:t>the company</w:t>
      </w:r>
      <w:r w:rsidRPr="008B4F84">
        <w:t xml:space="preserve"> functions as th</w:t>
      </w:r>
      <w:r w:rsidR="00150C9D">
        <w:t xml:space="preserve">e servicer of the PIR Bonds. </w:t>
      </w:r>
      <w:r w:rsidR="000904CA" w:rsidRPr="008B4F84">
        <w:t xml:space="preserve"> </w:t>
      </w:r>
      <w:r w:rsidRPr="008B4F84">
        <w:t>The Company estimates</w:t>
      </w:r>
      <w:r w:rsidR="00003FC3" w:rsidRPr="008B4F84">
        <w:t xml:space="preserve"> </w:t>
      </w:r>
      <w:r w:rsidRPr="008B4F84">
        <w:t xml:space="preserve">that it will incur </w:t>
      </w:r>
      <w:r w:rsidR="00F2084C">
        <w:t>o</w:t>
      </w:r>
      <w:r w:rsidRPr="008B4F84">
        <w:t xml:space="preserve">ngoing </w:t>
      </w:r>
      <w:r w:rsidR="00F2084C">
        <w:t>f</w:t>
      </w:r>
      <w:r w:rsidRPr="008B4F84">
        <w:t xml:space="preserve">inancing </w:t>
      </w:r>
      <w:r w:rsidR="00F2084C">
        <w:t>c</w:t>
      </w:r>
      <w:r w:rsidRPr="008B4F84">
        <w:t>osts of about $2.6 million if a third party functions as the ser</w:t>
      </w:r>
      <w:r w:rsidR="00DB6C5E" w:rsidRPr="008B4F84">
        <w:softHyphen/>
      </w:r>
      <w:r w:rsidRPr="008B4F84">
        <w:t xml:space="preserve">vicer of the PIR Bonds.  </w:t>
      </w:r>
    </w:p>
    <w:p w:rsidR="00AD4943" w:rsidRDefault="005A076C" w:rsidP="00150C9D">
      <w:pPr>
        <w:pStyle w:val="Textstyle"/>
      </w:pPr>
      <w:r w:rsidRPr="0006795C">
        <w:tab/>
      </w:r>
      <w:r w:rsidR="00AD4943" w:rsidRPr="0006795C">
        <w:t>Finally, the initial P</w:t>
      </w:r>
      <w:r w:rsidR="00A95059" w:rsidRPr="0006795C">
        <w:t>IR</w:t>
      </w:r>
      <w:r w:rsidR="00AD4943" w:rsidRPr="0006795C">
        <w:t xml:space="preserve"> Charges will be determined by OPCo prior to the issuance</w:t>
      </w:r>
      <w:r w:rsidR="00003FC3" w:rsidRPr="0006795C">
        <w:t xml:space="preserve"> </w:t>
      </w:r>
      <w:r w:rsidR="00AD4943" w:rsidRPr="0006795C">
        <w:t>of the</w:t>
      </w:r>
      <w:r w:rsidR="00AD151F" w:rsidRPr="0006795C">
        <w:t xml:space="preserve"> </w:t>
      </w:r>
      <w:r w:rsidR="00AD4943" w:rsidRPr="0006795C">
        <w:t>P</w:t>
      </w:r>
      <w:r w:rsidR="008472EA" w:rsidRPr="0006795C">
        <w:t>IR</w:t>
      </w:r>
      <w:r w:rsidR="00AD4943" w:rsidRPr="0006795C">
        <w:t xml:space="preserve"> Bonds and filed with the Commission in the Final Tariff Sheet as an </w:t>
      </w:r>
      <w:r w:rsidR="00AD151F" w:rsidRPr="0006795C">
        <w:t>a</w:t>
      </w:r>
      <w:r w:rsidR="00AD4943" w:rsidRPr="0006795C">
        <w:t>ttach</w:t>
      </w:r>
      <w:r w:rsidR="003A1699">
        <w:softHyphen/>
      </w:r>
      <w:r w:rsidR="00AD4943" w:rsidRPr="0006795C">
        <w:t>ment to</w:t>
      </w:r>
      <w:r w:rsidR="00AD151F" w:rsidRPr="0006795C">
        <w:t xml:space="preserve"> </w:t>
      </w:r>
      <w:r w:rsidR="00AD4943" w:rsidRPr="0006795C">
        <w:t>the Issuance Advice Letter</w:t>
      </w:r>
      <w:r w:rsidR="000C0842" w:rsidRPr="0006795C">
        <w:t xml:space="preserve">.  </w:t>
      </w:r>
      <w:r w:rsidR="00AD4943" w:rsidRPr="0006795C">
        <w:t xml:space="preserve">These charges </w:t>
      </w:r>
      <w:r w:rsidR="00A95059" w:rsidRPr="0006795C">
        <w:t>will</w:t>
      </w:r>
      <w:r w:rsidR="00AD4943" w:rsidRPr="0006795C">
        <w:t xml:space="preserve"> be final and effective upon</w:t>
      </w:r>
      <w:r w:rsidR="00003FC3" w:rsidRPr="0006795C">
        <w:t xml:space="preserve"> </w:t>
      </w:r>
      <w:r w:rsidR="00AD4943" w:rsidRPr="0006795C">
        <w:t>the issu</w:t>
      </w:r>
      <w:r w:rsidR="00DB6C5E" w:rsidRPr="0006795C">
        <w:softHyphen/>
      </w:r>
      <w:r w:rsidR="00AD4943" w:rsidRPr="0006795C">
        <w:t>ance of</w:t>
      </w:r>
      <w:r w:rsidR="00AD151F" w:rsidRPr="0006795C">
        <w:t xml:space="preserve"> </w:t>
      </w:r>
      <w:r w:rsidR="00AD4943" w:rsidRPr="0006795C">
        <w:t>the P</w:t>
      </w:r>
      <w:r w:rsidR="00A95059" w:rsidRPr="0006795C">
        <w:t>IR</w:t>
      </w:r>
      <w:r w:rsidR="00AD4943" w:rsidRPr="0006795C">
        <w:t xml:space="preserve"> Bonds, without further Commission action. </w:t>
      </w:r>
    </w:p>
    <w:p w:rsidR="008472EA" w:rsidRPr="0006795C" w:rsidRDefault="005A076C" w:rsidP="00150C9D">
      <w:pPr>
        <w:pStyle w:val="Textstyle"/>
      </w:pPr>
      <w:r w:rsidRPr="0006795C">
        <w:tab/>
      </w:r>
      <w:r w:rsidR="008472EA" w:rsidRPr="0006795C">
        <w:t xml:space="preserve">A more detailed description of the adjustment mechanism is provided in </w:t>
      </w:r>
      <w:r w:rsidR="00B3453C" w:rsidRPr="0006795C">
        <w:t xml:space="preserve">Revised Exhibit E </w:t>
      </w:r>
      <w:r w:rsidR="00515426" w:rsidRPr="0006795C">
        <w:t>to</w:t>
      </w:r>
      <w:r w:rsidR="008472EA" w:rsidRPr="0006795C">
        <w:t xml:space="preserve"> </w:t>
      </w:r>
      <w:r w:rsidR="00B3453C" w:rsidRPr="0006795C">
        <w:t>OPCo’s Supplemental Comments</w:t>
      </w:r>
      <w:r w:rsidR="008472EA" w:rsidRPr="0006795C">
        <w:t>.</w:t>
      </w:r>
    </w:p>
    <w:p w:rsidR="00C61851" w:rsidRPr="0006795C" w:rsidRDefault="00C61851" w:rsidP="00150C9D">
      <w:pPr>
        <w:pStyle w:val="Heading1"/>
      </w:pPr>
      <w:bookmarkStart w:id="30" w:name="_Toc344991227"/>
      <w:r w:rsidRPr="0006795C">
        <w:t>III</w:t>
      </w:r>
      <w:r w:rsidRPr="0006795C">
        <w:tab/>
      </w:r>
      <w:r w:rsidR="00963629" w:rsidRPr="0006795C">
        <w:rPr>
          <w:caps w:val="0"/>
        </w:rPr>
        <w:t>SECURITIZATION TESTS AND REVIEW</w:t>
      </w:r>
      <w:r w:rsidR="00963629">
        <w:rPr>
          <w:caps w:val="0"/>
        </w:rPr>
        <w:t>S</w:t>
      </w:r>
      <w:bookmarkEnd w:id="30"/>
    </w:p>
    <w:p w:rsidR="00FF5711" w:rsidRPr="00E34D47" w:rsidRDefault="00F40DBB" w:rsidP="00150C9D">
      <w:pPr>
        <w:pStyle w:val="Textstyle"/>
      </w:pPr>
      <w:r w:rsidRPr="0006795C">
        <w:tab/>
      </w:r>
      <w:r w:rsidR="00B3453C" w:rsidRPr="0006795C">
        <w:t>OPCo now</w:t>
      </w:r>
      <w:r w:rsidR="00FF5711" w:rsidRPr="0006795C">
        <w:t xml:space="preserve"> state</w:t>
      </w:r>
      <w:r w:rsidR="00A17972" w:rsidRPr="0006795C">
        <w:t>s</w:t>
      </w:r>
      <w:r w:rsidR="00FF5711" w:rsidRPr="0006795C">
        <w:t xml:space="preserve"> that the securitization transaction is expected to significantly reduce the carrying charges over the recovery period for these Phase-In Costs through the issuance of the PIR Bonds resulting in estimated nominal costs savings to customers of approximately $</w:t>
      </w:r>
      <w:r w:rsidR="00720051" w:rsidRPr="0006795C">
        <w:t>21.9</w:t>
      </w:r>
      <w:r w:rsidR="00FF5711" w:rsidRPr="0006795C">
        <w:t xml:space="preserve"> million in the aggregate as shown on </w:t>
      </w:r>
      <w:r w:rsidR="00720051" w:rsidRPr="0006795C">
        <w:t xml:space="preserve">Revised </w:t>
      </w:r>
      <w:r w:rsidR="00FF5711" w:rsidRPr="0006795C">
        <w:t xml:space="preserve">Exhibit </w:t>
      </w:r>
      <w:r w:rsidR="00DA1CFF" w:rsidRPr="0006795C">
        <w:t>A</w:t>
      </w:r>
      <w:r w:rsidR="00FF5711" w:rsidRPr="0006795C">
        <w:t xml:space="preserve"> to the </w:t>
      </w:r>
      <w:r w:rsidR="0014274A" w:rsidRPr="00E34D47">
        <w:t>OPCo’s Supplemental Comments</w:t>
      </w:r>
      <w:r w:rsidR="00720051" w:rsidRPr="00E34D47">
        <w:t xml:space="preserve"> which includes $1.5 million of Financial Advisor’s Fees as described in the </w:t>
      </w:r>
      <w:r w:rsidR="00B3453C" w:rsidRPr="00E34D47">
        <w:t>OPCo’s Supplemental Comments</w:t>
      </w:r>
      <w:r w:rsidR="00FF5711" w:rsidRPr="00E34D47">
        <w:t>.</w:t>
      </w:r>
    </w:p>
    <w:p w:rsidR="00FF5711" w:rsidRDefault="00F40DBB" w:rsidP="00150C9D">
      <w:pPr>
        <w:pStyle w:val="Textstyle"/>
      </w:pPr>
      <w:r w:rsidRPr="0006795C">
        <w:lastRenderedPageBreak/>
        <w:tab/>
      </w:r>
      <w:r w:rsidR="00FF5711" w:rsidRPr="0006795C">
        <w:t xml:space="preserve">The Staff applied the following tests and reviews to verify whether the proposed securitization transaction </w:t>
      </w:r>
      <w:r w:rsidR="00B3453C" w:rsidRPr="0006795C">
        <w:t xml:space="preserve">presented in OPCo’s Supplemental Comments </w:t>
      </w:r>
      <w:r w:rsidR="00FF5711" w:rsidRPr="0006795C">
        <w:t>satisfied certain conditions:</w:t>
      </w:r>
    </w:p>
    <w:p w:rsidR="00EA559C" w:rsidRPr="00150C9D" w:rsidRDefault="00FF5711" w:rsidP="008B4F84">
      <w:pPr>
        <w:pStyle w:val="NoSpacing"/>
        <w:numPr>
          <w:ilvl w:val="0"/>
          <w:numId w:val="19"/>
        </w:numPr>
        <w:tabs>
          <w:tab w:val="left" w:pos="0"/>
        </w:tabs>
        <w:spacing w:line="276" w:lineRule="auto"/>
        <w:ind w:hanging="720"/>
        <w:jc w:val="both"/>
        <w:rPr>
          <w:rFonts w:ascii="Times New Roman" w:hAnsi="Times New Roman"/>
          <w:sz w:val="26"/>
          <w:szCs w:val="26"/>
        </w:rPr>
      </w:pPr>
      <w:r w:rsidRPr="00150C9D">
        <w:rPr>
          <w:rFonts w:ascii="Times New Roman" w:hAnsi="Times New Roman"/>
          <w:sz w:val="26"/>
          <w:szCs w:val="26"/>
        </w:rPr>
        <w:t>The total revenue test,</w:t>
      </w:r>
    </w:p>
    <w:p w:rsidR="00EA559C" w:rsidRPr="00150C9D" w:rsidRDefault="00EA559C" w:rsidP="008B4F84">
      <w:pPr>
        <w:pStyle w:val="NoSpacing"/>
        <w:tabs>
          <w:tab w:val="left" w:pos="360"/>
        </w:tabs>
        <w:spacing w:line="276" w:lineRule="auto"/>
        <w:ind w:left="720" w:hanging="720"/>
        <w:jc w:val="both"/>
        <w:rPr>
          <w:rFonts w:ascii="Times New Roman" w:hAnsi="Times New Roman"/>
          <w:sz w:val="26"/>
          <w:szCs w:val="26"/>
        </w:rPr>
      </w:pPr>
    </w:p>
    <w:p w:rsidR="00A97809" w:rsidRPr="00150C9D" w:rsidRDefault="00FF5711" w:rsidP="008B4F84">
      <w:pPr>
        <w:pStyle w:val="NoSpacing"/>
        <w:numPr>
          <w:ilvl w:val="0"/>
          <w:numId w:val="19"/>
        </w:numPr>
        <w:tabs>
          <w:tab w:val="left" w:pos="360"/>
        </w:tabs>
        <w:spacing w:line="276" w:lineRule="auto"/>
        <w:ind w:hanging="720"/>
        <w:jc w:val="both"/>
        <w:rPr>
          <w:rFonts w:ascii="Times New Roman" w:hAnsi="Times New Roman"/>
          <w:sz w:val="26"/>
          <w:szCs w:val="26"/>
        </w:rPr>
      </w:pPr>
      <w:r w:rsidRPr="00150C9D">
        <w:rPr>
          <w:rFonts w:ascii="Times New Roman" w:hAnsi="Times New Roman"/>
          <w:sz w:val="26"/>
          <w:szCs w:val="26"/>
        </w:rPr>
        <w:t>The present value test,</w:t>
      </w:r>
    </w:p>
    <w:p w:rsidR="00EA559C" w:rsidRPr="00150C9D" w:rsidRDefault="00EA559C" w:rsidP="008B4F84">
      <w:pPr>
        <w:pStyle w:val="NoSpacing"/>
        <w:tabs>
          <w:tab w:val="left" w:pos="360"/>
        </w:tabs>
        <w:spacing w:line="276" w:lineRule="auto"/>
        <w:ind w:left="720" w:hanging="720"/>
        <w:jc w:val="both"/>
        <w:rPr>
          <w:rFonts w:ascii="Times New Roman" w:hAnsi="Times New Roman"/>
          <w:sz w:val="26"/>
          <w:szCs w:val="26"/>
        </w:rPr>
      </w:pPr>
    </w:p>
    <w:p w:rsidR="00DB7D82" w:rsidRPr="00150C9D" w:rsidRDefault="00FF5711" w:rsidP="008B4F84">
      <w:pPr>
        <w:pStyle w:val="NoSpacing"/>
        <w:numPr>
          <w:ilvl w:val="0"/>
          <w:numId w:val="19"/>
        </w:numPr>
        <w:tabs>
          <w:tab w:val="left" w:pos="360"/>
        </w:tabs>
        <w:spacing w:line="276" w:lineRule="auto"/>
        <w:ind w:hanging="720"/>
        <w:jc w:val="both"/>
        <w:rPr>
          <w:rFonts w:ascii="Times New Roman" w:hAnsi="Times New Roman"/>
          <w:sz w:val="26"/>
          <w:szCs w:val="26"/>
        </w:rPr>
      </w:pPr>
      <w:r w:rsidRPr="00150C9D">
        <w:rPr>
          <w:rFonts w:ascii="Times New Roman" w:hAnsi="Times New Roman"/>
          <w:sz w:val="26"/>
          <w:szCs w:val="26"/>
        </w:rPr>
        <w:t>The proceeds test,</w:t>
      </w:r>
      <w:r w:rsidR="00BA6A67" w:rsidRPr="00150C9D">
        <w:rPr>
          <w:rFonts w:ascii="Times New Roman" w:hAnsi="Times New Roman"/>
          <w:sz w:val="26"/>
          <w:szCs w:val="26"/>
        </w:rPr>
        <w:t xml:space="preserve"> and</w:t>
      </w:r>
    </w:p>
    <w:p w:rsidR="00DB7D82" w:rsidRPr="00150C9D" w:rsidRDefault="00DB7D82" w:rsidP="008B4F84">
      <w:pPr>
        <w:pStyle w:val="NoSpacing"/>
        <w:tabs>
          <w:tab w:val="left" w:pos="360"/>
        </w:tabs>
        <w:spacing w:line="276" w:lineRule="auto"/>
        <w:ind w:left="720" w:hanging="720"/>
        <w:jc w:val="both"/>
        <w:rPr>
          <w:rFonts w:ascii="Times New Roman" w:hAnsi="Times New Roman"/>
          <w:sz w:val="26"/>
          <w:szCs w:val="26"/>
        </w:rPr>
      </w:pPr>
    </w:p>
    <w:p w:rsidR="00FF5711" w:rsidRPr="00150C9D" w:rsidRDefault="00FF5711" w:rsidP="008B4F84">
      <w:pPr>
        <w:pStyle w:val="NoSpacing"/>
        <w:numPr>
          <w:ilvl w:val="0"/>
          <w:numId w:val="19"/>
        </w:numPr>
        <w:tabs>
          <w:tab w:val="left" w:pos="360"/>
        </w:tabs>
        <w:spacing w:line="276" w:lineRule="auto"/>
        <w:ind w:hanging="720"/>
        <w:jc w:val="both"/>
        <w:rPr>
          <w:rFonts w:ascii="Times New Roman" w:hAnsi="Times New Roman"/>
          <w:sz w:val="26"/>
          <w:szCs w:val="26"/>
        </w:rPr>
      </w:pPr>
      <w:r w:rsidRPr="00150C9D">
        <w:rPr>
          <w:rFonts w:ascii="Times New Roman" w:hAnsi="Times New Roman"/>
          <w:sz w:val="26"/>
          <w:szCs w:val="26"/>
        </w:rPr>
        <w:t>Bond Structuring and Pricing review.</w:t>
      </w:r>
    </w:p>
    <w:p w:rsidR="00A97809" w:rsidRPr="0006795C" w:rsidRDefault="00A97809" w:rsidP="008B4F84">
      <w:pPr>
        <w:pStyle w:val="NoSpacing"/>
        <w:tabs>
          <w:tab w:val="left" w:pos="360"/>
        </w:tabs>
        <w:spacing w:line="276" w:lineRule="auto"/>
        <w:ind w:left="720" w:hanging="720"/>
        <w:jc w:val="both"/>
        <w:rPr>
          <w:rFonts w:ascii="Arial" w:hAnsi="Arial" w:cs="Arial"/>
          <w:sz w:val="24"/>
          <w:szCs w:val="24"/>
        </w:rPr>
      </w:pPr>
    </w:p>
    <w:p w:rsidR="008D77A2" w:rsidRDefault="00150C9D" w:rsidP="00150C9D">
      <w:pPr>
        <w:pStyle w:val="Heading2"/>
      </w:pPr>
      <w:bookmarkStart w:id="31" w:name="_Toc344991228"/>
      <w:r>
        <w:t>A.</w:t>
      </w:r>
      <w:r>
        <w:tab/>
      </w:r>
      <w:r w:rsidR="008D77A2">
        <w:t>Introduction</w:t>
      </w:r>
      <w:bookmarkEnd w:id="31"/>
    </w:p>
    <w:p w:rsidR="00FF5711" w:rsidRPr="00E34D47" w:rsidRDefault="00150C9D" w:rsidP="00150C9D">
      <w:pPr>
        <w:pStyle w:val="Textstyle"/>
      </w:pPr>
      <w:r>
        <w:tab/>
      </w:r>
      <w:r w:rsidR="00FF5711" w:rsidRPr="0006795C">
        <w:t>The cost/benefit analysis provided by the Compan</w:t>
      </w:r>
      <w:r w:rsidR="00DA1CFF" w:rsidRPr="0006795C">
        <w:t>y</w:t>
      </w:r>
      <w:r w:rsidR="00FF5711" w:rsidRPr="0006795C">
        <w:t xml:space="preserve"> demonstrates that the securitiza</w:t>
      </w:r>
      <w:r w:rsidR="003A1699">
        <w:softHyphen/>
      </w:r>
      <w:r w:rsidR="00FF5711" w:rsidRPr="0006795C">
        <w:t xml:space="preserve">tion meets </w:t>
      </w:r>
      <w:r w:rsidR="00A20D39">
        <w:t>all required test criteria</w:t>
      </w:r>
      <w:r w:rsidR="00F2084C">
        <w:t xml:space="preserve"> </w:t>
      </w:r>
      <w:r w:rsidR="00FF5711" w:rsidRPr="0006795C">
        <w:t xml:space="preserve">under </w:t>
      </w:r>
      <w:r w:rsidR="00DA1CFF" w:rsidRPr="0006795C">
        <w:t xml:space="preserve">the estimated </w:t>
      </w:r>
      <w:r w:rsidR="00FF5711" w:rsidRPr="0006795C">
        <w:t xml:space="preserve">case </w:t>
      </w:r>
      <w:r w:rsidR="00DA1CFF" w:rsidRPr="0006795C">
        <w:t>scenario</w:t>
      </w:r>
      <w:r w:rsidR="00FF5711" w:rsidRPr="0006795C">
        <w:t>.  The total revenues from the PIR Charges will be less than the total revenue requirements under conventional util</w:t>
      </w:r>
      <w:r w:rsidR="00596570" w:rsidRPr="0006795C">
        <w:softHyphen/>
      </w:r>
      <w:r w:rsidR="00FF5711" w:rsidRPr="0006795C">
        <w:t xml:space="preserve">ity financing methods in the expected case scenarios.  In the </w:t>
      </w:r>
      <w:r w:rsidR="00DA1CFF" w:rsidRPr="0006795C">
        <w:t>esti</w:t>
      </w:r>
      <w:r w:rsidR="00DB6C5E" w:rsidRPr="0006795C">
        <w:softHyphen/>
      </w:r>
      <w:r w:rsidR="00DA1CFF" w:rsidRPr="0006795C">
        <w:t>mated</w:t>
      </w:r>
      <w:r w:rsidR="00FF5711" w:rsidRPr="0006795C">
        <w:t xml:space="preserve"> case scenario, securitization will result in revenues of about $</w:t>
      </w:r>
      <w:r w:rsidR="00720051" w:rsidRPr="0006795C">
        <w:t>21.9</w:t>
      </w:r>
      <w:r w:rsidR="00DA1CFF" w:rsidRPr="0006795C">
        <w:t xml:space="preserve"> mill</w:t>
      </w:r>
      <w:r w:rsidR="00FF5711" w:rsidRPr="0006795C">
        <w:t>ion less than the revenues under the Commission’s previously approved recovery meth</w:t>
      </w:r>
      <w:r w:rsidR="00DB6C5E" w:rsidRPr="0006795C">
        <w:softHyphen/>
      </w:r>
      <w:r w:rsidR="00FF5711" w:rsidRPr="0006795C">
        <w:t>ods</w:t>
      </w:r>
      <w:r w:rsidR="00963629">
        <w:t>.</w:t>
      </w:r>
      <w:r w:rsidR="00FF5711" w:rsidRPr="0006795C">
        <w:t xml:space="preserve">  (Source: </w:t>
      </w:r>
      <w:r w:rsidR="00720051" w:rsidRPr="00E34D47">
        <w:t xml:space="preserve">Revised </w:t>
      </w:r>
      <w:r w:rsidR="00FF5711" w:rsidRPr="00E34D47">
        <w:t xml:space="preserve">Exhibit </w:t>
      </w:r>
      <w:r w:rsidR="00DA1CFF" w:rsidRPr="00E34D47">
        <w:t>A</w:t>
      </w:r>
      <w:r w:rsidR="00515426" w:rsidRPr="00E34D47">
        <w:t xml:space="preserve"> to </w:t>
      </w:r>
      <w:r w:rsidR="005D4B89" w:rsidRPr="00E34D47">
        <w:t>OPCo’s Supplemental Comments</w:t>
      </w:r>
      <w:r w:rsidR="00FF5711" w:rsidRPr="00E34D47">
        <w:t>)</w:t>
      </w:r>
    </w:p>
    <w:p w:rsidR="00FF5711" w:rsidRDefault="00F40DBB" w:rsidP="00150C9D">
      <w:pPr>
        <w:pStyle w:val="Textstyle"/>
      </w:pPr>
      <w:r w:rsidRPr="0006795C">
        <w:tab/>
      </w:r>
      <w:r w:rsidR="00FF5711" w:rsidRPr="0006795C">
        <w:t>In the expected case scenario, the securitization will result in tangible and quantifia</w:t>
      </w:r>
      <w:r w:rsidR="00596570" w:rsidRPr="0006795C">
        <w:softHyphen/>
      </w:r>
      <w:r w:rsidR="00FF5711" w:rsidRPr="0006795C">
        <w:t>ble benefits to consumers using the present value test</w:t>
      </w:r>
      <w:r w:rsidR="000C0842" w:rsidRPr="0006795C">
        <w:t xml:space="preserve">.  </w:t>
      </w:r>
      <w:r w:rsidR="00DA1CFF" w:rsidRPr="0006795C">
        <w:t>OPCo’s r</w:t>
      </w:r>
      <w:r w:rsidR="00FF5711" w:rsidRPr="0006795C">
        <w:t>etail consumers will pay $2</w:t>
      </w:r>
      <w:r w:rsidR="00720051" w:rsidRPr="0006795C">
        <w:t>8</w:t>
      </w:r>
      <w:r w:rsidR="00DA1CFF" w:rsidRPr="0006795C">
        <w:t>.</w:t>
      </w:r>
      <w:r w:rsidR="00720051" w:rsidRPr="0006795C">
        <w:t>8</w:t>
      </w:r>
      <w:r w:rsidR="00FF5711" w:rsidRPr="0006795C">
        <w:t xml:space="preserve"> million</w:t>
      </w:r>
      <w:r w:rsidR="00EA39AC">
        <w:t xml:space="preserve"> less</w:t>
      </w:r>
      <w:r w:rsidR="00FF5711" w:rsidRPr="0006795C">
        <w:t xml:space="preserve"> on a present value basis in the e</w:t>
      </w:r>
      <w:r w:rsidR="008352AB" w:rsidRPr="0006795C">
        <w:t xml:space="preserve">stimated </w:t>
      </w:r>
      <w:r w:rsidR="00FF5711" w:rsidRPr="0006795C">
        <w:t xml:space="preserve">scenario than they would pay if the same balance were recovered </w:t>
      </w:r>
      <w:r w:rsidR="00F17F05" w:rsidRPr="0006795C">
        <w:t xml:space="preserve">through </w:t>
      </w:r>
      <w:r w:rsidR="00A20D39">
        <w:t xml:space="preserve">the </w:t>
      </w:r>
      <w:r w:rsidR="00F17F05" w:rsidRPr="0006795C">
        <w:t>previously</w:t>
      </w:r>
      <w:r w:rsidR="0014274A" w:rsidRPr="0006795C">
        <w:t xml:space="preserve"> </w:t>
      </w:r>
      <w:r w:rsidR="00FF5711" w:rsidRPr="0006795C">
        <w:t>approved recovery meth</w:t>
      </w:r>
      <w:r w:rsidR="00596570" w:rsidRPr="0006795C">
        <w:softHyphen/>
      </w:r>
      <w:r w:rsidR="00FF5711" w:rsidRPr="0006795C">
        <w:t xml:space="preserve">ods.  </w:t>
      </w:r>
    </w:p>
    <w:p w:rsidR="00EA39AC" w:rsidRDefault="00F40DBB" w:rsidP="00150C9D">
      <w:pPr>
        <w:pStyle w:val="Textstyle"/>
      </w:pPr>
      <w:r w:rsidRPr="0006795C">
        <w:lastRenderedPageBreak/>
        <w:tab/>
      </w:r>
      <w:r w:rsidR="00FF5711" w:rsidRPr="0006795C">
        <w:t xml:space="preserve">The proceeds test will be satisfied when the Companies primarily use the proceeds they receive from the issuance of PIR Bonds, in exchange for the sale of the PIR Property to </w:t>
      </w:r>
      <w:r w:rsidR="008352AB" w:rsidRPr="0006795C">
        <w:t xml:space="preserve">redeem, retire, </w:t>
      </w:r>
      <w:r w:rsidR="00F17F05" w:rsidRPr="0006795C">
        <w:t>and repay</w:t>
      </w:r>
      <w:r w:rsidR="008352AB" w:rsidRPr="0006795C">
        <w:t xml:space="preserve"> a portion of its existing debt. </w:t>
      </w:r>
    </w:p>
    <w:p w:rsidR="00FF5711" w:rsidRPr="0006795C" w:rsidRDefault="00F40DBB" w:rsidP="00150C9D">
      <w:pPr>
        <w:pStyle w:val="Textstyle"/>
      </w:pPr>
      <w:r w:rsidRPr="0006795C">
        <w:tab/>
      </w:r>
      <w:r w:rsidR="00A20D39">
        <w:t>Lastly</w:t>
      </w:r>
      <w:r w:rsidR="00FF5711" w:rsidRPr="0006795C">
        <w:t>, the proposed securitization financing appears to have been designed and structured to ensure that the PIR Bonds receive the highest bond rating reasonably possi</w:t>
      </w:r>
      <w:r w:rsidR="00DB6C5E" w:rsidRPr="0006795C">
        <w:softHyphen/>
      </w:r>
      <w:r w:rsidR="00FF5711" w:rsidRPr="0006795C">
        <w:t>ble, consistent with the objective of obtaining the lowest overall cost of financing through securitized PIR Bonds.</w:t>
      </w:r>
    </w:p>
    <w:p w:rsidR="00FF5711" w:rsidRPr="0006795C" w:rsidRDefault="00150C9D" w:rsidP="008B4F84">
      <w:pPr>
        <w:pStyle w:val="Heading2"/>
      </w:pPr>
      <w:bookmarkStart w:id="32" w:name="_Toc328131636"/>
      <w:bookmarkStart w:id="33" w:name="_Toc328136698"/>
      <w:bookmarkStart w:id="34" w:name="_Toc335401738"/>
      <w:bookmarkStart w:id="35" w:name="_Toc344991229"/>
      <w:r>
        <w:t>B</w:t>
      </w:r>
      <w:r w:rsidR="00165566" w:rsidRPr="0006795C">
        <w:t>.</w:t>
      </w:r>
      <w:r w:rsidR="00AA29B6" w:rsidRPr="0006795C">
        <w:tab/>
      </w:r>
      <w:r w:rsidR="00FF5711" w:rsidRPr="008B4F84">
        <w:t>Total Revenue Test</w:t>
      </w:r>
      <w:bookmarkEnd w:id="32"/>
      <w:bookmarkEnd w:id="33"/>
      <w:bookmarkEnd w:id="34"/>
      <w:bookmarkEnd w:id="35"/>
    </w:p>
    <w:p w:rsidR="001A3BB3" w:rsidRDefault="00F40DBB" w:rsidP="00150C9D">
      <w:pPr>
        <w:pStyle w:val="Textstyle"/>
      </w:pPr>
      <w:r w:rsidRPr="0006795C">
        <w:tab/>
      </w:r>
      <w:r w:rsidR="00FF5711" w:rsidRPr="0006795C">
        <w:t xml:space="preserve">The total revenue test is intended to verify </w:t>
      </w:r>
      <w:r w:rsidR="00B739B6" w:rsidRPr="0006795C">
        <w:t>whether</w:t>
      </w:r>
      <w:r w:rsidR="00FF5711" w:rsidRPr="0006795C">
        <w:t xml:space="preserve"> the total amount</w:t>
      </w:r>
      <w:r w:rsidR="00B739B6" w:rsidRPr="0006795C">
        <w:t>s</w:t>
      </w:r>
      <w:r w:rsidR="00FF5711" w:rsidRPr="0006795C">
        <w:t xml:space="preserve"> of revenues to be collected under the Financing Order will be less than the revenue requirement that would be recovered using existing cost recovery/ratemaking methods. </w:t>
      </w:r>
    </w:p>
    <w:p w:rsidR="00B3453C" w:rsidRDefault="00F40DBB" w:rsidP="00150C9D">
      <w:pPr>
        <w:pStyle w:val="Textstyle"/>
      </w:pPr>
      <w:r w:rsidRPr="0006795C">
        <w:tab/>
      </w:r>
      <w:r w:rsidR="00B739B6" w:rsidRPr="0006795C">
        <w:t>To the extent</w:t>
      </w:r>
      <w:r w:rsidR="00FF5711" w:rsidRPr="0006795C">
        <w:t xml:space="preserve"> the total </w:t>
      </w:r>
      <w:r w:rsidR="00B739B6" w:rsidRPr="0006795C">
        <w:t>amounts billed</w:t>
      </w:r>
      <w:r w:rsidR="00FF5711" w:rsidRPr="0006795C">
        <w:t xml:space="preserve"> </w:t>
      </w:r>
      <w:r w:rsidR="00B739B6" w:rsidRPr="0006795C">
        <w:t>under securitization is</w:t>
      </w:r>
      <w:r w:rsidR="00FF5711" w:rsidRPr="0006795C">
        <w:t xml:space="preserve"> less than </w:t>
      </w:r>
      <w:r w:rsidR="00B739B6" w:rsidRPr="0006795C">
        <w:t>the total amounts billed under DARR (See Table-1 below), it</w:t>
      </w:r>
      <w:r w:rsidR="00FF5711" w:rsidRPr="0006795C">
        <w:t xml:space="preserve"> demonstrate</w:t>
      </w:r>
      <w:r w:rsidR="00D9687C" w:rsidRPr="0006795C">
        <w:t>s</w:t>
      </w:r>
      <w:r w:rsidR="00FF5711" w:rsidRPr="0006795C">
        <w:t xml:space="preserve"> that the securitization meets the total revenue test. </w:t>
      </w:r>
      <w:r w:rsidR="00322F45" w:rsidRPr="0006795C">
        <w:t xml:space="preserve">  </w:t>
      </w:r>
    </w:p>
    <w:p w:rsidR="008B4F84" w:rsidRPr="008B4F84" w:rsidRDefault="008B4F84" w:rsidP="00E34D47"/>
    <w:p w:rsidR="00FF5711" w:rsidRDefault="008B4F84" w:rsidP="00E34D47">
      <w:r w:rsidRPr="008B4F84">
        <w:t xml:space="preserve">                                                      </w:t>
      </w:r>
      <w:r w:rsidR="00963629">
        <w:t xml:space="preserve">                     </w:t>
      </w:r>
      <w:r w:rsidR="00FF5711" w:rsidRPr="008B4F84">
        <w:t>TABLE-1</w:t>
      </w:r>
    </w:p>
    <w:p w:rsidR="00963629" w:rsidRPr="008B4F84" w:rsidRDefault="00963629" w:rsidP="00E34D47"/>
    <w:tbl>
      <w:tblPr>
        <w:tblW w:w="6210"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250"/>
      </w:tblGrid>
      <w:tr w:rsidR="00FF5711" w:rsidRPr="00150C9D" w:rsidTr="00165566">
        <w:trPr>
          <w:trHeight w:val="576"/>
        </w:trPr>
        <w:tc>
          <w:tcPr>
            <w:tcW w:w="3960" w:type="dxa"/>
            <w:shd w:val="clear" w:color="auto" w:fill="auto"/>
            <w:vAlign w:val="center"/>
          </w:tcPr>
          <w:p w:rsidR="00FF5711" w:rsidRPr="00150C9D" w:rsidRDefault="00B739B6" w:rsidP="008E4A67">
            <w:pPr>
              <w:tabs>
                <w:tab w:val="left" w:pos="-18"/>
              </w:tabs>
              <w:autoSpaceDE w:val="0"/>
              <w:autoSpaceDN w:val="0"/>
              <w:adjustRightInd w:val="0"/>
              <w:spacing w:line="276" w:lineRule="auto"/>
              <w:ind w:left="-108"/>
              <w:rPr>
                <w:sz w:val="26"/>
                <w:szCs w:val="26"/>
              </w:rPr>
            </w:pPr>
            <w:r w:rsidRPr="00150C9D">
              <w:rPr>
                <w:sz w:val="26"/>
                <w:szCs w:val="26"/>
              </w:rPr>
              <w:t>Total Amounts Billed under DARR</w:t>
            </w:r>
          </w:p>
        </w:tc>
        <w:tc>
          <w:tcPr>
            <w:tcW w:w="2250" w:type="dxa"/>
            <w:shd w:val="clear" w:color="auto" w:fill="auto"/>
            <w:vAlign w:val="center"/>
          </w:tcPr>
          <w:p w:rsidR="00FF5711" w:rsidRPr="00150C9D" w:rsidRDefault="00FF5711" w:rsidP="008E4A67">
            <w:pPr>
              <w:tabs>
                <w:tab w:val="left" w:pos="900"/>
              </w:tabs>
              <w:autoSpaceDE w:val="0"/>
              <w:autoSpaceDN w:val="0"/>
              <w:adjustRightInd w:val="0"/>
              <w:spacing w:line="276" w:lineRule="auto"/>
              <w:ind w:left="72"/>
              <w:rPr>
                <w:sz w:val="26"/>
                <w:szCs w:val="26"/>
              </w:rPr>
            </w:pPr>
            <w:r w:rsidRPr="00150C9D">
              <w:rPr>
                <w:sz w:val="26"/>
                <w:szCs w:val="26"/>
              </w:rPr>
              <w:t xml:space="preserve">$ </w:t>
            </w:r>
            <w:r w:rsidR="008352AB" w:rsidRPr="00150C9D">
              <w:rPr>
                <w:bCs/>
                <w:sz w:val="26"/>
                <w:szCs w:val="26"/>
              </w:rPr>
              <w:t>3</w:t>
            </w:r>
            <w:r w:rsidR="00D74C0E" w:rsidRPr="00150C9D">
              <w:rPr>
                <w:bCs/>
                <w:sz w:val="26"/>
                <w:szCs w:val="26"/>
              </w:rPr>
              <w:t>41</w:t>
            </w:r>
            <w:r w:rsidR="008352AB" w:rsidRPr="00150C9D">
              <w:rPr>
                <w:bCs/>
                <w:sz w:val="26"/>
                <w:szCs w:val="26"/>
              </w:rPr>
              <w:t>,</w:t>
            </w:r>
            <w:r w:rsidR="00D74C0E" w:rsidRPr="00150C9D">
              <w:rPr>
                <w:bCs/>
                <w:sz w:val="26"/>
                <w:szCs w:val="26"/>
              </w:rPr>
              <w:t>289</w:t>
            </w:r>
            <w:r w:rsidR="008352AB" w:rsidRPr="00150C9D">
              <w:rPr>
                <w:bCs/>
                <w:sz w:val="26"/>
                <w:szCs w:val="26"/>
              </w:rPr>
              <w:t>,</w:t>
            </w:r>
            <w:r w:rsidR="00D74C0E" w:rsidRPr="00150C9D">
              <w:rPr>
                <w:bCs/>
                <w:sz w:val="26"/>
                <w:szCs w:val="26"/>
              </w:rPr>
              <w:t>933</w:t>
            </w:r>
          </w:p>
        </w:tc>
      </w:tr>
      <w:tr w:rsidR="00FF5711" w:rsidRPr="00150C9D" w:rsidTr="00165566">
        <w:trPr>
          <w:trHeight w:val="576"/>
        </w:trPr>
        <w:tc>
          <w:tcPr>
            <w:tcW w:w="3960" w:type="dxa"/>
            <w:shd w:val="clear" w:color="auto" w:fill="auto"/>
            <w:vAlign w:val="center"/>
          </w:tcPr>
          <w:p w:rsidR="00FF5711" w:rsidRPr="00150C9D" w:rsidRDefault="00B739B6" w:rsidP="008E4A67">
            <w:pPr>
              <w:tabs>
                <w:tab w:val="left" w:pos="-18"/>
              </w:tabs>
              <w:autoSpaceDE w:val="0"/>
              <w:autoSpaceDN w:val="0"/>
              <w:adjustRightInd w:val="0"/>
              <w:spacing w:line="276" w:lineRule="auto"/>
              <w:ind w:left="-108"/>
              <w:rPr>
                <w:sz w:val="26"/>
                <w:szCs w:val="26"/>
              </w:rPr>
            </w:pPr>
            <w:r w:rsidRPr="00150C9D">
              <w:rPr>
                <w:sz w:val="26"/>
                <w:szCs w:val="26"/>
              </w:rPr>
              <w:t>Total</w:t>
            </w:r>
            <w:r w:rsidR="00FF5711" w:rsidRPr="00150C9D">
              <w:rPr>
                <w:sz w:val="26"/>
                <w:szCs w:val="26"/>
              </w:rPr>
              <w:t xml:space="preserve"> </w:t>
            </w:r>
            <w:r w:rsidRPr="00150C9D">
              <w:rPr>
                <w:sz w:val="26"/>
                <w:szCs w:val="26"/>
              </w:rPr>
              <w:t>Amounts</w:t>
            </w:r>
            <w:r w:rsidR="00FF5711" w:rsidRPr="00150C9D">
              <w:rPr>
                <w:sz w:val="26"/>
                <w:szCs w:val="26"/>
              </w:rPr>
              <w:t xml:space="preserve"> </w:t>
            </w:r>
            <w:r w:rsidRPr="00150C9D">
              <w:rPr>
                <w:sz w:val="26"/>
                <w:szCs w:val="26"/>
              </w:rPr>
              <w:t>Billed under Securitization</w:t>
            </w:r>
          </w:p>
        </w:tc>
        <w:tc>
          <w:tcPr>
            <w:tcW w:w="2250" w:type="dxa"/>
            <w:shd w:val="clear" w:color="auto" w:fill="auto"/>
            <w:vAlign w:val="center"/>
          </w:tcPr>
          <w:p w:rsidR="00FF5711" w:rsidRPr="00150C9D" w:rsidRDefault="00FF5711" w:rsidP="008E4A67">
            <w:pPr>
              <w:tabs>
                <w:tab w:val="left" w:pos="900"/>
              </w:tabs>
              <w:autoSpaceDE w:val="0"/>
              <w:autoSpaceDN w:val="0"/>
              <w:adjustRightInd w:val="0"/>
              <w:spacing w:line="276" w:lineRule="auto"/>
              <w:ind w:left="72"/>
              <w:rPr>
                <w:sz w:val="26"/>
                <w:szCs w:val="26"/>
              </w:rPr>
            </w:pPr>
            <w:r w:rsidRPr="00150C9D">
              <w:rPr>
                <w:sz w:val="26"/>
                <w:szCs w:val="26"/>
              </w:rPr>
              <w:t xml:space="preserve">$ </w:t>
            </w:r>
            <w:r w:rsidR="00720051" w:rsidRPr="00150C9D">
              <w:rPr>
                <w:sz w:val="26"/>
                <w:szCs w:val="26"/>
              </w:rPr>
              <w:t>319,</w:t>
            </w:r>
            <w:r w:rsidR="0015421F" w:rsidRPr="00150C9D">
              <w:rPr>
                <w:sz w:val="26"/>
                <w:szCs w:val="26"/>
              </w:rPr>
              <w:t>380,734</w:t>
            </w:r>
          </w:p>
        </w:tc>
      </w:tr>
      <w:tr w:rsidR="00FF5711" w:rsidRPr="00150C9D" w:rsidTr="00165566">
        <w:trPr>
          <w:trHeight w:val="576"/>
        </w:trPr>
        <w:tc>
          <w:tcPr>
            <w:tcW w:w="3960" w:type="dxa"/>
            <w:shd w:val="clear" w:color="auto" w:fill="auto"/>
            <w:vAlign w:val="center"/>
          </w:tcPr>
          <w:p w:rsidR="00FF5711" w:rsidRPr="00150C9D" w:rsidRDefault="00FF5711" w:rsidP="008E4A67">
            <w:pPr>
              <w:tabs>
                <w:tab w:val="left" w:pos="-18"/>
              </w:tabs>
              <w:autoSpaceDE w:val="0"/>
              <w:autoSpaceDN w:val="0"/>
              <w:adjustRightInd w:val="0"/>
              <w:spacing w:line="276" w:lineRule="auto"/>
              <w:ind w:left="-108"/>
              <w:rPr>
                <w:sz w:val="26"/>
                <w:szCs w:val="26"/>
              </w:rPr>
            </w:pPr>
            <w:r w:rsidRPr="00150C9D">
              <w:rPr>
                <w:sz w:val="26"/>
                <w:szCs w:val="26"/>
              </w:rPr>
              <w:t>Savings From Securitization</w:t>
            </w:r>
          </w:p>
        </w:tc>
        <w:tc>
          <w:tcPr>
            <w:tcW w:w="2250" w:type="dxa"/>
            <w:shd w:val="clear" w:color="auto" w:fill="auto"/>
            <w:vAlign w:val="center"/>
          </w:tcPr>
          <w:p w:rsidR="0015421F" w:rsidRPr="00150C9D" w:rsidRDefault="00FF5711" w:rsidP="008E4A67">
            <w:pPr>
              <w:tabs>
                <w:tab w:val="left" w:pos="900"/>
              </w:tabs>
              <w:autoSpaceDE w:val="0"/>
              <w:autoSpaceDN w:val="0"/>
              <w:adjustRightInd w:val="0"/>
              <w:spacing w:line="276" w:lineRule="auto"/>
              <w:ind w:left="72"/>
              <w:rPr>
                <w:color w:val="000000"/>
                <w:sz w:val="26"/>
                <w:szCs w:val="26"/>
              </w:rPr>
            </w:pPr>
            <w:r w:rsidRPr="00150C9D">
              <w:rPr>
                <w:sz w:val="26"/>
                <w:szCs w:val="26"/>
              </w:rPr>
              <w:t xml:space="preserve">$ </w:t>
            </w:r>
            <w:r w:rsidR="008352AB" w:rsidRPr="00150C9D">
              <w:rPr>
                <w:sz w:val="26"/>
                <w:szCs w:val="26"/>
              </w:rPr>
              <w:t xml:space="preserve"> </w:t>
            </w:r>
            <w:r w:rsidR="0015421F" w:rsidRPr="00150C9D">
              <w:rPr>
                <w:sz w:val="26"/>
                <w:szCs w:val="26"/>
              </w:rPr>
              <w:t xml:space="preserve"> </w:t>
            </w:r>
            <w:r w:rsidR="0015421F" w:rsidRPr="00150C9D">
              <w:rPr>
                <w:color w:val="000000"/>
                <w:sz w:val="26"/>
                <w:szCs w:val="26"/>
              </w:rPr>
              <w:t>21,909,199</w:t>
            </w:r>
          </w:p>
          <w:p w:rsidR="00FF5711" w:rsidRPr="00150C9D" w:rsidRDefault="00FF5711" w:rsidP="008E4A67">
            <w:pPr>
              <w:tabs>
                <w:tab w:val="left" w:pos="900"/>
              </w:tabs>
              <w:autoSpaceDE w:val="0"/>
              <w:autoSpaceDN w:val="0"/>
              <w:adjustRightInd w:val="0"/>
              <w:spacing w:line="276" w:lineRule="auto"/>
              <w:ind w:left="72"/>
              <w:rPr>
                <w:sz w:val="26"/>
                <w:szCs w:val="26"/>
              </w:rPr>
            </w:pPr>
          </w:p>
        </w:tc>
      </w:tr>
    </w:tbl>
    <w:p w:rsidR="00EC4352" w:rsidRDefault="00DB7D82" w:rsidP="00E34D47">
      <w:pPr>
        <w:rPr>
          <w:sz w:val="26"/>
          <w:szCs w:val="26"/>
        </w:rPr>
      </w:pPr>
      <w:r w:rsidRPr="00150C9D">
        <w:rPr>
          <w:sz w:val="26"/>
          <w:szCs w:val="26"/>
        </w:rPr>
        <w:tab/>
      </w:r>
      <w:r w:rsidR="009D2C46" w:rsidRPr="00150C9D">
        <w:rPr>
          <w:sz w:val="26"/>
          <w:szCs w:val="26"/>
        </w:rPr>
        <w:tab/>
      </w:r>
      <w:r w:rsidR="00FF5711" w:rsidRPr="00150C9D">
        <w:rPr>
          <w:sz w:val="26"/>
          <w:szCs w:val="26"/>
        </w:rPr>
        <w:t xml:space="preserve"> Source: </w:t>
      </w:r>
      <w:r w:rsidR="00882E6F" w:rsidRPr="00150C9D">
        <w:rPr>
          <w:sz w:val="26"/>
          <w:szCs w:val="26"/>
        </w:rPr>
        <w:t xml:space="preserve">Revised </w:t>
      </w:r>
      <w:r w:rsidR="00FF5711" w:rsidRPr="00150C9D">
        <w:rPr>
          <w:sz w:val="26"/>
          <w:szCs w:val="26"/>
        </w:rPr>
        <w:t xml:space="preserve">Exhibit </w:t>
      </w:r>
      <w:r w:rsidR="008352AB" w:rsidRPr="00150C9D">
        <w:rPr>
          <w:sz w:val="26"/>
          <w:szCs w:val="26"/>
        </w:rPr>
        <w:t>A</w:t>
      </w:r>
      <w:r w:rsidR="00FF5711" w:rsidRPr="00150C9D">
        <w:rPr>
          <w:sz w:val="26"/>
          <w:szCs w:val="26"/>
        </w:rPr>
        <w:t xml:space="preserve"> to </w:t>
      </w:r>
      <w:r w:rsidR="00882E6F" w:rsidRPr="00150C9D">
        <w:rPr>
          <w:sz w:val="26"/>
          <w:szCs w:val="26"/>
        </w:rPr>
        <w:t>OPCo’s Supplemental Comments</w:t>
      </w:r>
    </w:p>
    <w:p w:rsidR="00150C9D" w:rsidRPr="00150C9D" w:rsidRDefault="00150C9D" w:rsidP="00E34D47">
      <w:pPr>
        <w:rPr>
          <w:sz w:val="26"/>
          <w:szCs w:val="26"/>
        </w:rPr>
      </w:pPr>
    </w:p>
    <w:p w:rsidR="00244854" w:rsidRDefault="00244854" w:rsidP="00150C9D">
      <w:pPr>
        <w:pStyle w:val="Textstyle"/>
      </w:pPr>
      <w:r>
        <w:br w:type="page"/>
      </w:r>
    </w:p>
    <w:p w:rsidR="00FF5711" w:rsidRDefault="008B4F84" w:rsidP="00150C9D">
      <w:pPr>
        <w:pStyle w:val="Textstyle"/>
      </w:pPr>
      <w:r>
        <w:lastRenderedPageBreak/>
        <w:tab/>
      </w:r>
      <w:r w:rsidR="00FF5711" w:rsidRPr="008B4F84">
        <w:t xml:space="preserve">The total </w:t>
      </w:r>
      <w:r w:rsidR="00DB4D32" w:rsidRPr="008B4F84">
        <w:t>amounts billed</w:t>
      </w:r>
      <w:r w:rsidR="00FF5711" w:rsidRPr="008B4F84">
        <w:t xml:space="preserve"> </w:t>
      </w:r>
      <w:r w:rsidR="00DB4D32" w:rsidRPr="008B4F84">
        <w:t>under securitization</w:t>
      </w:r>
      <w:r w:rsidR="00FF5711" w:rsidRPr="008B4F84">
        <w:t xml:space="preserve"> include the principal and </w:t>
      </w:r>
      <w:r w:rsidR="001A3BB3" w:rsidRPr="008B4F84">
        <w:t>i</w:t>
      </w:r>
      <w:r w:rsidR="00FF5711" w:rsidRPr="008B4F84">
        <w:t>nterest pay</w:t>
      </w:r>
      <w:r w:rsidR="003A1699">
        <w:softHyphen/>
      </w:r>
      <w:r w:rsidR="00FF5711" w:rsidRPr="008B4F84">
        <w:t xml:space="preserve">ments to be made over the expected life of the PIR Bonds as shown in </w:t>
      </w:r>
      <w:r w:rsidR="00882E6F" w:rsidRPr="00E34D47">
        <w:t>Revised Exhibit A to OPCo’s Supplemental Comments</w:t>
      </w:r>
      <w:r w:rsidR="00FF5711" w:rsidRPr="008B4F84">
        <w:t xml:space="preserve">.  The PIR Charge also </w:t>
      </w:r>
      <w:r w:rsidR="00F17F05" w:rsidRPr="008B4F84">
        <w:t>includes</w:t>
      </w:r>
      <w:r w:rsidR="00FF5711" w:rsidRPr="008B4F84">
        <w:t xml:space="preserve"> the esti</w:t>
      </w:r>
      <w:r w:rsidR="003A1699">
        <w:softHyphen/>
      </w:r>
      <w:r w:rsidR="00FF5711" w:rsidRPr="008B4F84">
        <w:t xml:space="preserve">mated annual, ongoing Financing Costs as shown in </w:t>
      </w:r>
      <w:r w:rsidR="00882E6F" w:rsidRPr="00E34D47">
        <w:t>Revised Exhibit A to OPCo’s Sup</w:t>
      </w:r>
      <w:r w:rsidR="003A1699">
        <w:softHyphen/>
      </w:r>
      <w:r w:rsidR="00882E6F" w:rsidRPr="00E34D47">
        <w:t>plemental Comments,</w:t>
      </w:r>
      <w:r w:rsidR="00FF5711" w:rsidRPr="00E34D47">
        <w:t xml:space="preserve"> </w:t>
      </w:r>
      <w:r w:rsidR="00FF5711" w:rsidRPr="008B4F84">
        <w:t xml:space="preserve">which are not included in the existing </w:t>
      </w:r>
      <w:r w:rsidR="00DB4D32" w:rsidRPr="008B4F84">
        <w:t>DARR</w:t>
      </w:r>
      <w:r w:rsidR="00FF5711" w:rsidRPr="008B4F84">
        <w:t xml:space="preserve">. </w:t>
      </w:r>
    </w:p>
    <w:p w:rsidR="0005197D" w:rsidRPr="00E34D47" w:rsidRDefault="00F40DBB" w:rsidP="00150C9D">
      <w:pPr>
        <w:pStyle w:val="Textstyle"/>
      </w:pPr>
      <w:r w:rsidRPr="008B4F84">
        <w:tab/>
      </w:r>
      <w:r w:rsidR="00FF5711" w:rsidRPr="008B4F84">
        <w:t xml:space="preserve">The </w:t>
      </w:r>
      <w:r w:rsidR="00DB4D32" w:rsidRPr="008B4F84">
        <w:t xml:space="preserve">total amounts billed </w:t>
      </w:r>
      <w:r w:rsidR="00FF5711" w:rsidRPr="008B4F84">
        <w:t xml:space="preserve">under </w:t>
      </w:r>
      <w:r w:rsidR="00DB4D32" w:rsidRPr="008B4F84">
        <w:t>DARR</w:t>
      </w:r>
      <w:r w:rsidR="00FF5711" w:rsidRPr="008B4F84">
        <w:t xml:space="preserve"> w</w:t>
      </w:r>
      <w:r w:rsidR="00D9687C" w:rsidRPr="008B4F84">
        <w:t>ere</w:t>
      </w:r>
      <w:r w:rsidR="00FF5711" w:rsidRPr="008B4F84">
        <w:t xml:space="preserve"> determined using the same amount of recov</w:t>
      </w:r>
      <w:r w:rsidR="00DB6C5E" w:rsidRPr="008B4F84">
        <w:softHyphen/>
      </w:r>
      <w:r w:rsidR="00FF5711" w:rsidRPr="008B4F84">
        <w:t>erable balance as was used to compute the present value benefit from securitization, but recognizing certain differences between the two recovery meth</w:t>
      </w:r>
      <w:r w:rsidR="00596570" w:rsidRPr="008B4F84">
        <w:softHyphen/>
      </w:r>
      <w:r w:rsidR="00FF5711" w:rsidRPr="008B4F84">
        <w:t xml:space="preserve">ods.  Specifically, the costs that relate solely to a securitization transaction, </w:t>
      </w:r>
      <w:r w:rsidR="00FF5711" w:rsidRPr="008B4F84">
        <w:rPr>
          <w:i/>
        </w:rPr>
        <w:t xml:space="preserve">e.g., </w:t>
      </w:r>
      <w:r w:rsidR="00FF5711" w:rsidRPr="008B4F84">
        <w:t xml:space="preserve">the up-front Financing Costs of issuance and </w:t>
      </w:r>
      <w:r w:rsidR="00F2084C">
        <w:t>O</w:t>
      </w:r>
      <w:r w:rsidR="00FF5711" w:rsidRPr="008B4F84">
        <w:t>ngoing Financing Costs of supporting and ser</w:t>
      </w:r>
      <w:r w:rsidR="00596570" w:rsidRPr="008B4F84">
        <w:softHyphen/>
      </w:r>
      <w:r w:rsidR="00FF5711" w:rsidRPr="008B4F84">
        <w:t xml:space="preserve">vicing the PIR Bonds, are not included in the computation of costs under </w:t>
      </w:r>
      <w:r w:rsidR="00DB4D32" w:rsidRPr="008B4F84">
        <w:t>DARR</w:t>
      </w:r>
      <w:r w:rsidR="00FF5711" w:rsidRPr="008B4F84">
        <w:t xml:space="preserve">.  Costs recovered under </w:t>
      </w:r>
      <w:r w:rsidR="00DB4D32" w:rsidRPr="008B4F84">
        <w:t>DARR</w:t>
      </w:r>
      <w:r w:rsidR="00FF5711" w:rsidRPr="008B4F84">
        <w:t xml:space="preserve"> assume recovery through </w:t>
      </w:r>
      <w:r w:rsidR="008352AB" w:rsidRPr="008B4F84">
        <w:t>201</w:t>
      </w:r>
      <w:r w:rsidR="00DB4D32" w:rsidRPr="008B4F84">
        <w:t>8</w:t>
      </w:r>
      <w:r w:rsidR="00FF5711" w:rsidRPr="008B4F84">
        <w:t xml:space="preserve">, using the return on assets of </w:t>
      </w:r>
      <w:r w:rsidR="008352AB" w:rsidRPr="008B4F84">
        <w:t>5.34</w:t>
      </w:r>
      <w:r w:rsidR="00FF5711" w:rsidRPr="008B4F84">
        <w:t xml:space="preserve">%, as shown in </w:t>
      </w:r>
      <w:r w:rsidR="00882E6F" w:rsidRPr="00E34D47">
        <w:t>Revised Exhibit A to OPCo’s Supplemental Comments</w:t>
      </w:r>
      <w:r w:rsidR="00FF5711" w:rsidRPr="00E34D47">
        <w:t>.</w:t>
      </w:r>
      <w:bookmarkStart w:id="36" w:name="_Toc328131637"/>
      <w:bookmarkStart w:id="37" w:name="_Toc328136699"/>
    </w:p>
    <w:p w:rsidR="00FF5711" w:rsidRPr="008E4A67" w:rsidRDefault="00150C9D" w:rsidP="008B4F84">
      <w:pPr>
        <w:pStyle w:val="Heading2"/>
      </w:pPr>
      <w:bookmarkStart w:id="38" w:name="_Toc335401739"/>
      <w:bookmarkStart w:id="39" w:name="_Toc344991230"/>
      <w:r>
        <w:t>C</w:t>
      </w:r>
      <w:r w:rsidR="00165566" w:rsidRPr="008E4A67">
        <w:t xml:space="preserve">. </w:t>
      </w:r>
      <w:r w:rsidR="00F40DBB" w:rsidRPr="008E4A67">
        <w:tab/>
      </w:r>
      <w:r w:rsidR="00FF5711" w:rsidRPr="008B4F84">
        <w:t>Present Value Test</w:t>
      </w:r>
      <w:bookmarkEnd w:id="36"/>
      <w:bookmarkEnd w:id="37"/>
      <w:bookmarkEnd w:id="38"/>
      <w:bookmarkEnd w:id="39"/>
    </w:p>
    <w:p w:rsidR="00FF5711" w:rsidRDefault="00F40DBB" w:rsidP="00150C9D">
      <w:pPr>
        <w:pStyle w:val="Textstyle"/>
      </w:pPr>
      <w:r w:rsidRPr="008E4A67">
        <w:tab/>
      </w:r>
      <w:r w:rsidR="00FF5711" w:rsidRPr="008B4F84">
        <w:t xml:space="preserve">The present value test is intended to ensure that the </w:t>
      </w:r>
      <w:r w:rsidR="005F2564" w:rsidRPr="008B4F84">
        <w:t>net present value</w:t>
      </w:r>
      <w:r w:rsidR="0006619D" w:rsidRPr="008B4F84">
        <w:t xml:space="preserve"> </w:t>
      </w:r>
      <w:r w:rsidR="005F2564" w:rsidRPr="008B4F84">
        <w:t xml:space="preserve">of the </w:t>
      </w:r>
      <w:r w:rsidR="00FF5711" w:rsidRPr="008B4F84">
        <w:t xml:space="preserve">amount </w:t>
      </w:r>
      <w:r w:rsidR="005F2564" w:rsidRPr="008B4F84">
        <w:t>billed under securitization does not exceed</w:t>
      </w:r>
      <w:r w:rsidR="00FF5711" w:rsidRPr="008B4F84">
        <w:t xml:space="preserve"> the present value of </w:t>
      </w:r>
      <w:r w:rsidR="005F2564" w:rsidRPr="008B4F84">
        <w:t xml:space="preserve">total amount billed under DARR </w:t>
      </w:r>
      <w:r w:rsidR="00FF5711" w:rsidRPr="008B4F84">
        <w:t xml:space="preserve">over the PIR Bond life discounted using the proposed interest rate on the PIR Bonds.  </w:t>
      </w:r>
    </w:p>
    <w:p w:rsidR="00FF5711" w:rsidRPr="008B4F84" w:rsidRDefault="00F40DBB" w:rsidP="00150C9D">
      <w:pPr>
        <w:pStyle w:val="Textstyle"/>
      </w:pPr>
      <w:r w:rsidRPr="008B4F84">
        <w:tab/>
      </w:r>
      <w:r w:rsidR="005F2564" w:rsidRPr="008B4F84">
        <w:t>To the extent t</w:t>
      </w:r>
      <w:r w:rsidR="00FF5711" w:rsidRPr="008B4F84">
        <w:t xml:space="preserve">he </w:t>
      </w:r>
      <w:r w:rsidR="005F2564" w:rsidRPr="008B4F84">
        <w:t xml:space="preserve">estimated </w:t>
      </w:r>
      <w:r w:rsidR="00FF5711" w:rsidRPr="008B4F84">
        <w:t xml:space="preserve">present value of the </w:t>
      </w:r>
      <w:r w:rsidR="005F2564" w:rsidRPr="008B4F84">
        <w:t>total amounts billed under</w:t>
      </w:r>
      <w:r w:rsidR="00FF5711" w:rsidRPr="008B4F84">
        <w:t xml:space="preserve"> securitiza</w:t>
      </w:r>
      <w:r w:rsidR="00DB6C5E" w:rsidRPr="008B4F84">
        <w:softHyphen/>
      </w:r>
      <w:r w:rsidR="00FF5711" w:rsidRPr="008B4F84">
        <w:t xml:space="preserve">tion does not exceed the </w:t>
      </w:r>
      <w:r w:rsidR="005F2564" w:rsidRPr="008B4F84">
        <w:t xml:space="preserve">estimated net present value of total amounts billed </w:t>
      </w:r>
      <w:r w:rsidR="005F2564" w:rsidRPr="008B4F84">
        <w:lastRenderedPageBreak/>
        <w:t>under DARR</w:t>
      </w:r>
      <w:r w:rsidR="005F2564" w:rsidRPr="008B4F84">
        <w:rPr>
          <w:bCs/>
        </w:rPr>
        <w:t>,</w:t>
      </w:r>
      <w:r w:rsidR="005F2564" w:rsidRPr="008B4F84">
        <w:t xml:space="preserve"> it demonstrate</w:t>
      </w:r>
      <w:r w:rsidR="00180898" w:rsidRPr="008B4F84">
        <w:t>s</w:t>
      </w:r>
      <w:r w:rsidR="005F2564" w:rsidRPr="008B4F84">
        <w:t xml:space="preserve"> that the securitization meets the net present value test, </w:t>
      </w:r>
      <w:r w:rsidR="00FF5711" w:rsidRPr="008B4F84">
        <w:t>as illustrated in Table-2 below.</w:t>
      </w:r>
    </w:p>
    <w:p w:rsidR="00EA39AC" w:rsidRPr="008E4A67" w:rsidRDefault="00EA39AC" w:rsidP="00E34D47"/>
    <w:tbl>
      <w:tblPr>
        <w:tblpPr w:leftFromText="180" w:rightFromText="180" w:vertAnchor="text" w:horzAnchor="page" w:tblpX="3627" w:tblpY="515"/>
        <w:tblW w:w="6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070"/>
      </w:tblGrid>
      <w:tr w:rsidR="00274224" w:rsidRPr="008E4A67" w:rsidTr="00274224">
        <w:trPr>
          <w:trHeight w:val="576"/>
        </w:trPr>
        <w:tc>
          <w:tcPr>
            <w:tcW w:w="4140" w:type="dxa"/>
            <w:shd w:val="clear" w:color="auto" w:fill="auto"/>
            <w:vAlign w:val="center"/>
          </w:tcPr>
          <w:p w:rsidR="00274224" w:rsidRPr="00150C9D" w:rsidRDefault="00274224" w:rsidP="00150C9D">
            <w:pPr>
              <w:tabs>
                <w:tab w:val="left" w:pos="900"/>
              </w:tabs>
              <w:autoSpaceDE w:val="0"/>
              <w:autoSpaceDN w:val="0"/>
              <w:adjustRightInd w:val="0"/>
              <w:jc w:val="both"/>
              <w:rPr>
                <w:sz w:val="26"/>
                <w:szCs w:val="26"/>
              </w:rPr>
            </w:pPr>
            <w:r w:rsidRPr="00150C9D">
              <w:rPr>
                <w:sz w:val="26"/>
                <w:szCs w:val="26"/>
              </w:rPr>
              <w:t>Present Value</w:t>
            </w:r>
          </w:p>
        </w:tc>
        <w:tc>
          <w:tcPr>
            <w:tcW w:w="2070" w:type="dxa"/>
            <w:shd w:val="clear" w:color="auto" w:fill="auto"/>
            <w:vAlign w:val="center"/>
          </w:tcPr>
          <w:p w:rsidR="00274224" w:rsidRPr="00150C9D" w:rsidRDefault="00274224" w:rsidP="00150C9D">
            <w:pPr>
              <w:tabs>
                <w:tab w:val="left" w:pos="900"/>
              </w:tabs>
              <w:autoSpaceDE w:val="0"/>
              <w:autoSpaceDN w:val="0"/>
              <w:adjustRightInd w:val="0"/>
              <w:jc w:val="both"/>
              <w:rPr>
                <w:sz w:val="26"/>
                <w:szCs w:val="26"/>
              </w:rPr>
            </w:pPr>
            <w:r w:rsidRPr="00150C9D">
              <w:rPr>
                <w:sz w:val="26"/>
                <w:szCs w:val="26"/>
              </w:rPr>
              <w:t>Estimated Comparison*</w:t>
            </w:r>
          </w:p>
          <w:p w:rsidR="00274224" w:rsidRPr="00150C9D" w:rsidRDefault="00274224" w:rsidP="00150C9D">
            <w:pPr>
              <w:tabs>
                <w:tab w:val="left" w:pos="900"/>
              </w:tabs>
              <w:autoSpaceDE w:val="0"/>
              <w:autoSpaceDN w:val="0"/>
              <w:adjustRightInd w:val="0"/>
              <w:jc w:val="both"/>
              <w:rPr>
                <w:sz w:val="26"/>
                <w:szCs w:val="26"/>
              </w:rPr>
            </w:pPr>
            <w:r w:rsidRPr="00150C9D">
              <w:rPr>
                <w:sz w:val="26"/>
                <w:szCs w:val="26"/>
              </w:rPr>
              <w:t>(in millions)</w:t>
            </w:r>
          </w:p>
        </w:tc>
      </w:tr>
      <w:tr w:rsidR="00274224" w:rsidRPr="008E4A67" w:rsidTr="00274224">
        <w:trPr>
          <w:trHeight w:val="576"/>
        </w:trPr>
        <w:tc>
          <w:tcPr>
            <w:tcW w:w="4140" w:type="dxa"/>
            <w:shd w:val="clear" w:color="auto" w:fill="auto"/>
            <w:vAlign w:val="center"/>
          </w:tcPr>
          <w:p w:rsidR="00274224" w:rsidRPr="00150C9D" w:rsidRDefault="00274224" w:rsidP="00150C9D">
            <w:pPr>
              <w:tabs>
                <w:tab w:val="left" w:pos="900"/>
              </w:tabs>
              <w:autoSpaceDE w:val="0"/>
              <w:autoSpaceDN w:val="0"/>
              <w:adjustRightInd w:val="0"/>
              <w:jc w:val="both"/>
              <w:rPr>
                <w:sz w:val="26"/>
                <w:szCs w:val="26"/>
              </w:rPr>
            </w:pPr>
            <w:r w:rsidRPr="00150C9D">
              <w:rPr>
                <w:sz w:val="26"/>
                <w:szCs w:val="26"/>
              </w:rPr>
              <w:t>Phase-In Recovery Charges</w:t>
            </w:r>
          </w:p>
        </w:tc>
        <w:tc>
          <w:tcPr>
            <w:tcW w:w="2070" w:type="dxa"/>
            <w:shd w:val="clear" w:color="auto" w:fill="auto"/>
            <w:vAlign w:val="center"/>
          </w:tcPr>
          <w:p w:rsidR="00274224" w:rsidRPr="00150C9D" w:rsidRDefault="00274224" w:rsidP="00150C9D">
            <w:pPr>
              <w:tabs>
                <w:tab w:val="left" w:pos="900"/>
              </w:tabs>
              <w:autoSpaceDE w:val="0"/>
              <w:autoSpaceDN w:val="0"/>
              <w:adjustRightInd w:val="0"/>
              <w:jc w:val="both"/>
              <w:rPr>
                <w:sz w:val="26"/>
                <w:szCs w:val="26"/>
              </w:rPr>
            </w:pPr>
            <w:r w:rsidRPr="00150C9D">
              <w:rPr>
                <w:sz w:val="26"/>
                <w:szCs w:val="26"/>
              </w:rPr>
              <w:t>$ 294</w:t>
            </w:r>
            <w:r w:rsidRPr="00150C9D">
              <w:rPr>
                <w:bCs/>
                <w:sz w:val="26"/>
                <w:szCs w:val="26"/>
              </w:rPr>
              <w:t>,060,850</w:t>
            </w:r>
          </w:p>
        </w:tc>
      </w:tr>
      <w:tr w:rsidR="00274224" w:rsidRPr="008E4A67" w:rsidTr="00274224">
        <w:trPr>
          <w:trHeight w:val="576"/>
        </w:trPr>
        <w:tc>
          <w:tcPr>
            <w:tcW w:w="4140" w:type="dxa"/>
            <w:shd w:val="clear" w:color="auto" w:fill="auto"/>
            <w:vAlign w:val="center"/>
          </w:tcPr>
          <w:p w:rsidR="00274224" w:rsidRPr="00150C9D" w:rsidRDefault="00274224" w:rsidP="00150C9D">
            <w:pPr>
              <w:tabs>
                <w:tab w:val="left" w:pos="900"/>
              </w:tabs>
              <w:autoSpaceDE w:val="0"/>
              <w:autoSpaceDN w:val="0"/>
              <w:adjustRightInd w:val="0"/>
              <w:jc w:val="both"/>
              <w:rPr>
                <w:sz w:val="26"/>
                <w:szCs w:val="26"/>
              </w:rPr>
            </w:pPr>
            <w:r w:rsidRPr="00150C9D">
              <w:rPr>
                <w:sz w:val="26"/>
                <w:szCs w:val="26"/>
              </w:rPr>
              <w:t>Existing Cost Recovery/Ratemaking</w:t>
            </w:r>
          </w:p>
        </w:tc>
        <w:tc>
          <w:tcPr>
            <w:tcW w:w="2070" w:type="dxa"/>
            <w:shd w:val="clear" w:color="auto" w:fill="auto"/>
            <w:vAlign w:val="center"/>
          </w:tcPr>
          <w:p w:rsidR="00274224" w:rsidRPr="00150C9D" w:rsidRDefault="00274224" w:rsidP="00150C9D">
            <w:pPr>
              <w:tabs>
                <w:tab w:val="left" w:pos="900"/>
              </w:tabs>
              <w:autoSpaceDE w:val="0"/>
              <w:autoSpaceDN w:val="0"/>
              <w:adjustRightInd w:val="0"/>
              <w:jc w:val="both"/>
              <w:rPr>
                <w:sz w:val="26"/>
                <w:szCs w:val="26"/>
              </w:rPr>
            </w:pPr>
            <w:r w:rsidRPr="00150C9D">
              <w:rPr>
                <w:sz w:val="26"/>
                <w:szCs w:val="26"/>
              </w:rPr>
              <w:t xml:space="preserve">$ </w:t>
            </w:r>
            <w:r w:rsidR="0015421F" w:rsidRPr="00150C9D">
              <w:rPr>
                <w:sz w:val="26"/>
                <w:szCs w:val="26"/>
              </w:rPr>
              <w:t>265,306,484</w:t>
            </w:r>
          </w:p>
        </w:tc>
      </w:tr>
      <w:tr w:rsidR="00274224" w:rsidRPr="008E4A67" w:rsidTr="00274224">
        <w:trPr>
          <w:trHeight w:val="576"/>
        </w:trPr>
        <w:tc>
          <w:tcPr>
            <w:tcW w:w="4140" w:type="dxa"/>
            <w:shd w:val="clear" w:color="auto" w:fill="auto"/>
            <w:vAlign w:val="center"/>
          </w:tcPr>
          <w:p w:rsidR="00274224" w:rsidRPr="00150C9D" w:rsidRDefault="00274224" w:rsidP="00150C9D">
            <w:pPr>
              <w:tabs>
                <w:tab w:val="left" w:pos="900"/>
              </w:tabs>
              <w:autoSpaceDE w:val="0"/>
              <w:autoSpaceDN w:val="0"/>
              <w:adjustRightInd w:val="0"/>
              <w:jc w:val="both"/>
              <w:rPr>
                <w:sz w:val="26"/>
                <w:szCs w:val="26"/>
              </w:rPr>
            </w:pPr>
            <w:r w:rsidRPr="00150C9D">
              <w:rPr>
                <w:sz w:val="26"/>
                <w:szCs w:val="26"/>
              </w:rPr>
              <w:t>Savings From Securitization</w:t>
            </w:r>
          </w:p>
        </w:tc>
        <w:tc>
          <w:tcPr>
            <w:tcW w:w="2070" w:type="dxa"/>
            <w:shd w:val="clear" w:color="auto" w:fill="auto"/>
            <w:vAlign w:val="center"/>
          </w:tcPr>
          <w:p w:rsidR="00274224" w:rsidRPr="00150C9D" w:rsidRDefault="00274224" w:rsidP="00150C9D">
            <w:pPr>
              <w:tabs>
                <w:tab w:val="left" w:pos="900"/>
              </w:tabs>
              <w:autoSpaceDE w:val="0"/>
              <w:autoSpaceDN w:val="0"/>
              <w:adjustRightInd w:val="0"/>
              <w:jc w:val="both"/>
              <w:rPr>
                <w:color w:val="000000"/>
                <w:sz w:val="26"/>
                <w:szCs w:val="26"/>
              </w:rPr>
            </w:pPr>
            <w:r w:rsidRPr="00150C9D">
              <w:rPr>
                <w:sz w:val="26"/>
                <w:szCs w:val="26"/>
              </w:rPr>
              <w:t xml:space="preserve">$  </w:t>
            </w:r>
            <w:r w:rsidR="0015421F" w:rsidRPr="00150C9D">
              <w:rPr>
                <w:color w:val="000000"/>
                <w:sz w:val="26"/>
                <w:szCs w:val="26"/>
              </w:rPr>
              <w:t>28,754,366</w:t>
            </w:r>
          </w:p>
        </w:tc>
      </w:tr>
    </w:tbl>
    <w:p w:rsidR="00C21F2E" w:rsidRPr="008E4A67" w:rsidRDefault="00150C9D" w:rsidP="00150C9D">
      <w:pPr>
        <w:ind w:left="2074"/>
        <w:jc w:val="both"/>
        <w:rPr>
          <w:rFonts w:ascii="Arial" w:hAnsi="Arial" w:cs="Arial"/>
          <w:sz w:val="24"/>
          <w:szCs w:val="24"/>
        </w:rPr>
      </w:pPr>
      <w:r>
        <w:rPr>
          <w:rFonts w:ascii="Arial" w:hAnsi="Arial" w:cs="Arial"/>
          <w:sz w:val="24"/>
          <w:szCs w:val="24"/>
        </w:rPr>
        <w:t xml:space="preserve">                     </w:t>
      </w:r>
      <w:r w:rsidR="00963629">
        <w:rPr>
          <w:rFonts w:ascii="Arial" w:hAnsi="Arial" w:cs="Arial"/>
          <w:sz w:val="24"/>
          <w:szCs w:val="24"/>
        </w:rPr>
        <w:t xml:space="preserve">            </w:t>
      </w:r>
      <w:r w:rsidRPr="008E4A67">
        <w:t>TABLE-2</w:t>
      </w:r>
    </w:p>
    <w:p w:rsidR="00150C9D" w:rsidRDefault="00150C9D" w:rsidP="008E4A67">
      <w:pPr>
        <w:spacing w:line="276" w:lineRule="auto"/>
        <w:ind w:left="1440" w:firstLine="720"/>
        <w:jc w:val="both"/>
        <w:rPr>
          <w:rFonts w:ascii="Arial" w:hAnsi="Arial" w:cs="Arial"/>
          <w:sz w:val="24"/>
          <w:szCs w:val="24"/>
        </w:rPr>
      </w:pPr>
    </w:p>
    <w:p w:rsidR="00FF5711" w:rsidRDefault="00C21F2E" w:rsidP="008E4A67">
      <w:pPr>
        <w:spacing w:line="276" w:lineRule="auto"/>
        <w:ind w:left="1440" w:firstLine="720"/>
        <w:jc w:val="both"/>
        <w:rPr>
          <w:color w:val="000000" w:themeColor="text1"/>
          <w:sz w:val="26"/>
          <w:szCs w:val="26"/>
        </w:rPr>
      </w:pPr>
      <w:r w:rsidRPr="00150C9D">
        <w:rPr>
          <w:sz w:val="26"/>
          <w:szCs w:val="26"/>
        </w:rPr>
        <w:t xml:space="preserve">Source: </w:t>
      </w:r>
      <w:r w:rsidR="00882E6F" w:rsidRPr="00150C9D">
        <w:rPr>
          <w:color w:val="000000" w:themeColor="text1"/>
          <w:sz w:val="26"/>
          <w:szCs w:val="26"/>
        </w:rPr>
        <w:t>Revised Exhibit A to OPCo’s Supplemental Comments</w:t>
      </w:r>
    </w:p>
    <w:p w:rsidR="0071271C" w:rsidRDefault="0071271C" w:rsidP="008E4A67">
      <w:pPr>
        <w:spacing w:line="276" w:lineRule="auto"/>
        <w:ind w:left="1440" w:firstLine="720"/>
        <w:jc w:val="both"/>
        <w:rPr>
          <w:color w:val="000000" w:themeColor="text1"/>
          <w:sz w:val="26"/>
          <w:szCs w:val="26"/>
        </w:rPr>
      </w:pPr>
    </w:p>
    <w:p w:rsidR="00150C9D" w:rsidRPr="00150C9D" w:rsidRDefault="00150C9D" w:rsidP="008E4A67">
      <w:pPr>
        <w:spacing w:line="276" w:lineRule="auto"/>
        <w:ind w:left="1440" w:firstLine="720"/>
        <w:jc w:val="both"/>
        <w:rPr>
          <w:color w:val="000000" w:themeColor="text1"/>
          <w:sz w:val="26"/>
          <w:szCs w:val="26"/>
        </w:rPr>
      </w:pPr>
    </w:p>
    <w:p w:rsidR="00F91A7F" w:rsidRPr="008B4F84" w:rsidRDefault="008B4F84" w:rsidP="00150C9D">
      <w:pPr>
        <w:pStyle w:val="Textstyle"/>
      </w:pPr>
      <w:bookmarkStart w:id="40" w:name="_Toc328131638"/>
      <w:bookmarkStart w:id="41" w:name="_Toc328136700"/>
      <w:r>
        <w:tab/>
      </w:r>
      <w:r w:rsidR="00F91A7F" w:rsidRPr="008B4F84">
        <w:t>If the PIR Bonds are issued with a weighted average annual interest rate on the PIR Bonds of 1.</w:t>
      </w:r>
      <w:r w:rsidR="0015421F" w:rsidRPr="008B4F84">
        <w:t>09</w:t>
      </w:r>
      <w:r w:rsidR="00F91A7F" w:rsidRPr="008B4F84">
        <w:t>%, OPCo has estimated that it will result in nominal savings to its customers of about $</w:t>
      </w:r>
      <w:r w:rsidR="0015421F" w:rsidRPr="008B4F84">
        <w:t>21.9</w:t>
      </w:r>
      <w:r w:rsidR="00F91A7F" w:rsidRPr="008B4F84">
        <w:t xml:space="preserve"> million and a net present value savings of about $2</w:t>
      </w:r>
      <w:r w:rsidR="003A0C43" w:rsidRPr="008B4F84">
        <w:t>8</w:t>
      </w:r>
      <w:r w:rsidR="00F91A7F" w:rsidRPr="008B4F84">
        <w:t>.</w:t>
      </w:r>
      <w:r w:rsidR="003A5C02" w:rsidRPr="008B4F84">
        <w:t>8</w:t>
      </w:r>
      <w:r w:rsidR="00F91A7F" w:rsidRPr="008B4F84">
        <w:t xml:space="preserve"> million when compared to the cost recovery mechanism previously approved by the Commission through the DARR.  If the weighted average annual interest </w:t>
      </w:r>
      <w:r w:rsidR="00C61851" w:rsidRPr="008B4F84">
        <w:t>rate of the PIR Bonds reaches</w:t>
      </w:r>
      <w:r w:rsidR="00F91A7F" w:rsidRPr="008B4F84">
        <w:t xml:space="preserve"> at or above </w:t>
      </w:r>
      <w:r w:rsidR="003A0C43" w:rsidRPr="008B4F84">
        <w:t>4.25</w:t>
      </w:r>
      <w:r w:rsidR="00F91A7F" w:rsidRPr="008B4F84">
        <w:t xml:space="preserve">%, on a net present value basis, and at or above </w:t>
      </w:r>
      <w:r w:rsidR="003A0C43" w:rsidRPr="008B4F84">
        <w:t>3</w:t>
      </w:r>
      <w:r w:rsidR="00F91A7F" w:rsidRPr="008B4F84">
        <w:t>.32%, on a nominal value basis, OPCo’s customers will not realize any savings from the securitiza</w:t>
      </w:r>
      <w:r w:rsidR="00DB6C5E" w:rsidRPr="008B4F84">
        <w:softHyphen/>
      </w:r>
      <w:r w:rsidR="00F91A7F" w:rsidRPr="008B4F84">
        <w:t>tion.  (</w:t>
      </w:r>
      <w:r w:rsidR="00882E6F" w:rsidRPr="00E34D47">
        <w:t>Revised Exhibit A to OPCo’s Supplemental Comments</w:t>
      </w:r>
      <w:r w:rsidR="00F91A7F" w:rsidRPr="008B4F84">
        <w:t>)</w:t>
      </w:r>
    </w:p>
    <w:p w:rsidR="00FF5711" w:rsidRPr="008B4F84" w:rsidRDefault="00150C9D" w:rsidP="008B4F84">
      <w:pPr>
        <w:pStyle w:val="Heading2"/>
      </w:pPr>
      <w:bookmarkStart w:id="42" w:name="_Toc335401740"/>
      <w:bookmarkStart w:id="43" w:name="_Toc344991231"/>
      <w:r>
        <w:t>D.</w:t>
      </w:r>
      <w:r w:rsidR="00165566" w:rsidRPr="008B4F84">
        <w:t xml:space="preserve"> </w:t>
      </w:r>
      <w:r w:rsidR="00F40DBB" w:rsidRPr="008B4F84">
        <w:tab/>
      </w:r>
      <w:r w:rsidR="00FF5711" w:rsidRPr="008B4F84">
        <w:t>Proceeds Test</w:t>
      </w:r>
      <w:bookmarkEnd w:id="40"/>
      <w:bookmarkEnd w:id="41"/>
      <w:bookmarkEnd w:id="42"/>
      <w:bookmarkEnd w:id="43"/>
    </w:p>
    <w:p w:rsidR="00FF5711" w:rsidRDefault="00F40DBB" w:rsidP="00150C9D">
      <w:pPr>
        <w:pStyle w:val="Textstyle"/>
      </w:pPr>
      <w:r w:rsidRPr="008E4A67">
        <w:tab/>
      </w:r>
      <w:r w:rsidR="00FF5711" w:rsidRPr="008B4F84">
        <w:t>The proceeds test is intended to ensure that the proceeds from the PIR Bonds are pri</w:t>
      </w:r>
      <w:r w:rsidR="00DB6C5E" w:rsidRPr="008B4F84">
        <w:softHyphen/>
      </w:r>
      <w:r w:rsidR="00FF5711" w:rsidRPr="008B4F84">
        <w:t>marily used for the purposes of the repayment of the existing long-term debt of the Com</w:t>
      </w:r>
      <w:r w:rsidR="00DB6C5E" w:rsidRPr="008B4F84">
        <w:softHyphen/>
      </w:r>
      <w:r w:rsidR="00FF5711" w:rsidRPr="008B4F84">
        <w:t>pan</w:t>
      </w:r>
      <w:r w:rsidR="005469D1" w:rsidRPr="008B4F84">
        <w:t>y</w:t>
      </w:r>
      <w:r w:rsidR="00FF5711" w:rsidRPr="008B4F84">
        <w:t>.</w:t>
      </w:r>
    </w:p>
    <w:p w:rsidR="001A3BB3" w:rsidRPr="008B4F84" w:rsidRDefault="00F40DBB" w:rsidP="00150C9D">
      <w:pPr>
        <w:pStyle w:val="Textstyle"/>
      </w:pPr>
      <w:r w:rsidRPr="008B4F84">
        <w:lastRenderedPageBreak/>
        <w:tab/>
      </w:r>
      <w:r w:rsidR="00FF5711" w:rsidRPr="008B4F84">
        <w:t xml:space="preserve">As mentioned previously, </w:t>
      </w:r>
      <w:r w:rsidR="005469D1" w:rsidRPr="008B4F84">
        <w:t>OPCo</w:t>
      </w:r>
      <w:r w:rsidR="00FF5711" w:rsidRPr="008B4F84">
        <w:t xml:space="preserve"> </w:t>
      </w:r>
      <w:r w:rsidR="00D754A0" w:rsidRPr="008B4F84">
        <w:t xml:space="preserve">now </w:t>
      </w:r>
      <w:r w:rsidR="00FF5711" w:rsidRPr="008B4F84">
        <w:t>propose</w:t>
      </w:r>
      <w:r w:rsidR="005469D1" w:rsidRPr="008B4F84">
        <w:t>s</w:t>
      </w:r>
      <w:r w:rsidR="00FF5711" w:rsidRPr="008B4F84">
        <w:t xml:space="preserve"> to use the proceeds </w:t>
      </w:r>
      <w:r w:rsidR="005469D1" w:rsidRPr="008B4F84">
        <w:t>from the issu</w:t>
      </w:r>
      <w:r w:rsidR="003A1699">
        <w:softHyphen/>
      </w:r>
      <w:r w:rsidR="005469D1" w:rsidRPr="008B4F84">
        <w:t xml:space="preserve">ance of the PIR Bonds, net of </w:t>
      </w:r>
      <w:r w:rsidR="00F2084C">
        <w:t xml:space="preserve">its </w:t>
      </w:r>
      <w:r w:rsidR="0052129F" w:rsidRPr="008B4F84">
        <w:t>U</w:t>
      </w:r>
      <w:r w:rsidR="005469D1" w:rsidRPr="008B4F84">
        <w:t xml:space="preserve">pfront Financing Costs, to redeem, retire, </w:t>
      </w:r>
      <w:proofErr w:type="gramStart"/>
      <w:r w:rsidR="005469D1" w:rsidRPr="008B4F84">
        <w:t>repay</w:t>
      </w:r>
      <w:proofErr w:type="gramEnd"/>
      <w:r w:rsidR="005469D1" w:rsidRPr="008B4F84">
        <w:t xml:space="preserve"> a por</w:t>
      </w:r>
      <w:r w:rsidR="00DB6C5E" w:rsidRPr="008B4F84">
        <w:softHyphen/>
      </w:r>
      <w:r w:rsidR="005469D1" w:rsidRPr="008B4F84">
        <w:t>tion of its existing debt.</w:t>
      </w:r>
      <w:r w:rsidR="00FF5711" w:rsidRPr="008B4F84">
        <w:tab/>
      </w:r>
    </w:p>
    <w:p w:rsidR="00FF5711" w:rsidRPr="00E16C3F" w:rsidRDefault="008956F3" w:rsidP="00150C9D">
      <w:pPr>
        <w:pStyle w:val="Heading2"/>
      </w:pPr>
      <w:bookmarkStart w:id="44" w:name="_Toc328136702"/>
      <w:bookmarkStart w:id="45" w:name="_Toc335401741"/>
      <w:bookmarkStart w:id="46" w:name="_Toc344991232"/>
      <w:r w:rsidRPr="00E16C3F">
        <w:t>D.</w:t>
      </w:r>
      <w:r w:rsidR="00150C9D">
        <w:tab/>
      </w:r>
      <w:r w:rsidR="00C21F2E" w:rsidRPr="00E16C3F">
        <w:t>Bond Structuring and Pricing Review</w:t>
      </w:r>
      <w:bookmarkEnd w:id="44"/>
      <w:bookmarkEnd w:id="45"/>
      <w:bookmarkEnd w:id="46"/>
    </w:p>
    <w:p w:rsidR="008B4F84" w:rsidRDefault="00F40DBB" w:rsidP="00150C9D">
      <w:pPr>
        <w:pStyle w:val="Textstyle"/>
      </w:pPr>
      <w:r w:rsidRPr="008E4A67">
        <w:tab/>
      </w:r>
      <w:r w:rsidR="00FF5711" w:rsidRPr="008E4A67">
        <w:t xml:space="preserve">The structuring and pricing </w:t>
      </w:r>
      <w:r w:rsidR="009175D6" w:rsidRPr="008E4A67">
        <w:t>review</w:t>
      </w:r>
      <w:r w:rsidR="00FF5711" w:rsidRPr="008E4A67">
        <w:t xml:space="preserve"> is intended to ensure that the structuring and pricing of the PIR Bonds result in the lowest PIR charges consistent with market condi</w:t>
      </w:r>
      <w:r w:rsidR="003A1699">
        <w:softHyphen/>
      </w:r>
      <w:r w:rsidR="00FF5711" w:rsidRPr="008E4A67">
        <w:t>tions and the terms of the Financing Order.</w:t>
      </w:r>
    </w:p>
    <w:p w:rsidR="00FF5711" w:rsidRPr="00E34D47" w:rsidRDefault="00F40DBB" w:rsidP="00150C9D">
      <w:pPr>
        <w:pStyle w:val="Textstyle"/>
      </w:pPr>
      <w:r w:rsidRPr="008E4A67">
        <w:tab/>
      </w:r>
      <w:r w:rsidR="00D754A0" w:rsidRPr="008E4A67">
        <w:t>The Company shall</w:t>
      </w:r>
      <w:r w:rsidR="00FF5711" w:rsidRPr="008E4A67">
        <w:t xml:space="preserve"> confirm that the actual terms of the PIR Bonds result</w:t>
      </w:r>
      <w:r w:rsidR="00D754A0" w:rsidRPr="008E4A67">
        <w:t>s</w:t>
      </w:r>
      <w:r w:rsidR="00FF5711" w:rsidRPr="008E4A67">
        <w:t xml:space="preserve"> in compli</w:t>
      </w:r>
      <w:r w:rsidR="003A1699">
        <w:softHyphen/>
      </w:r>
      <w:r w:rsidR="00FF5711" w:rsidRPr="008E4A67">
        <w:t xml:space="preserve">ance with the issuance standards in the following </w:t>
      </w:r>
      <w:r w:rsidR="00FF5711" w:rsidRPr="00E34D47">
        <w:t>manner:</w:t>
      </w:r>
    </w:p>
    <w:p w:rsidR="00567FCB" w:rsidRDefault="005C6643" w:rsidP="00150C9D">
      <w:pPr>
        <w:pStyle w:val="Textstyle"/>
      </w:pPr>
      <w:bookmarkStart w:id="47" w:name="_Toc328131644"/>
      <w:bookmarkStart w:id="48" w:name="_Toc328136706"/>
      <w:r w:rsidRPr="008E4A67">
        <w:tab/>
        <w:t>O</w:t>
      </w:r>
      <w:r w:rsidR="0058526F" w:rsidRPr="008E4A67">
        <w:t>PCo</w:t>
      </w:r>
      <w:r w:rsidR="00EF1FA3" w:rsidRPr="008E4A67">
        <w:t xml:space="preserve"> has presented evidence through </w:t>
      </w:r>
      <w:r w:rsidR="004715BE" w:rsidRPr="00E34D47">
        <w:t>Revised</w:t>
      </w:r>
      <w:r w:rsidR="004715BE" w:rsidRPr="008E4A67">
        <w:t xml:space="preserve"> Exhibit A to the </w:t>
      </w:r>
      <w:r w:rsidR="004715BE" w:rsidRPr="00E34D47">
        <w:t>OPCo’s Supple</w:t>
      </w:r>
      <w:r w:rsidR="003A1699">
        <w:softHyphen/>
      </w:r>
      <w:r w:rsidR="004715BE" w:rsidRPr="00E34D47">
        <w:t xml:space="preserve">mental Comments </w:t>
      </w:r>
      <w:r w:rsidR="00EF1FA3" w:rsidRPr="00E34D47">
        <w:t>t</w:t>
      </w:r>
      <w:r w:rsidR="00EF1FA3" w:rsidRPr="008E4A67">
        <w:t xml:space="preserve">hat the </w:t>
      </w:r>
      <w:r w:rsidR="008F1CD4" w:rsidRPr="008E4A67">
        <w:t xml:space="preserve">issuance of PIR Bonds will, assuming a weighted average annual interest rate on the PIR Bonds of </w:t>
      </w:r>
      <w:r w:rsidR="003D13C5" w:rsidRPr="008E4A67">
        <w:t>1.09</w:t>
      </w:r>
      <w:r w:rsidR="008F1CD4" w:rsidRPr="008E4A67">
        <w:t>%, result in nominal value savings to OPCo’s customers of approximately $</w:t>
      </w:r>
      <w:r w:rsidR="003D13C5" w:rsidRPr="008E4A67">
        <w:t>21.9</w:t>
      </w:r>
      <w:r w:rsidR="008F1CD4" w:rsidRPr="008E4A67">
        <w:t xml:space="preserve"> million when compared to the cost recovery mechanism previously approved by the Commission through the DARR.  The issuance will also result in a net present value savings of approximately $2</w:t>
      </w:r>
      <w:r w:rsidR="003D13C5" w:rsidRPr="008E4A67">
        <w:t>8</w:t>
      </w:r>
      <w:r w:rsidR="008F1CD4" w:rsidRPr="008E4A67">
        <w:t>.</w:t>
      </w:r>
      <w:r w:rsidR="003A5C02" w:rsidRPr="008E4A67">
        <w:t>8</w:t>
      </w:r>
      <w:r w:rsidR="008F1CD4" w:rsidRPr="008E4A67">
        <w:t xml:space="preserve"> million when com</w:t>
      </w:r>
      <w:r w:rsidR="003A1699">
        <w:softHyphen/>
      </w:r>
      <w:r w:rsidR="008F1CD4" w:rsidRPr="008E4A67">
        <w:t xml:space="preserve">pared to the DARR.  </w:t>
      </w:r>
      <w:r w:rsidR="0058526F" w:rsidRPr="008E4A67">
        <w:t>OPCo</w:t>
      </w:r>
      <w:r w:rsidR="008F1CD4" w:rsidRPr="008E4A67">
        <w:t xml:space="preserve"> has further presented evidence through </w:t>
      </w:r>
      <w:r w:rsidR="003D13C5" w:rsidRPr="008E4A67">
        <w:t xml:space="preserve">Revised </w:t>
      </w:r>
      <w:r w:rsidR="008F1CD4" w:rsidRPr="008E4A67">
        <w:t>Exhibit A of the Application that customers will continue to r</w:t>
      </w:r>
      <w:r w:rsidR="00F40DBB" w:rsidRPr="008E4A67">
        <w:t xml:space="preserve">ealize savings on a net present </w:t>
      </w:r>
      <w:r w:rsidR="00567FCB" w:rsidRPr="008E4A67">
        <w:t>value basis so long as the weighted average annual inter</w:t>
      </w:r>
      <w:r w:rsidR="00DB6C5E" w:rsidRPr="008E4A67">
        <w:softHyphen/>
      </w:r>
      <w:r w:rsidR="00567FCB" w:rsidRPr="008E4A67">
        <w:t xml:space="preserve">est rate on the </w:t>
      </w:r>
      <w:r w:rsidR="00742ECA" w:rsidRPr="008E4A67">
        <w:t xml:space="preserve">PIR </w:t>
      </w:r>
      <w:r w:rsidR="00A02632" w:rsidRPr="008E4A67">
        <w:t xml:space="preserve">Bonds does not exceed </w:t>
      </w:r>
      <w:r w:rsidR="003D13C5" w:rsidRPr="008E4A67">
        <w:t>4.2</w:t>
      </w:r>
      <w:r w:rsidR="00A02632" w:rsidRPr="008E4A67">
        <w:t xml:space="preserve">% and savings on a nominal basis so long as the weighted average annual interest rate does not exceed </w:t>
      </w:r>
      <w:r w:rsidR="003D13C5" w:rsidRPr="008E4A67">
        <w:t>3</w:t>
      </w:r>
      <w:r w:rsidR="00A02632" w:rsidRPr="008E4A67">
        <w:t>.32%</w:t>
      </w:r>
      <w:r w:rsidR="0058526F" w:rsidRPr="008E4A67">
        <w:t>.</w:t>
      </w:r>
    </w:p>
    <w:p w:rsidR="00792156" w:rsidRDefault="00150C9D" w:rsidP="00150C9D">
      <w:pPr>
        <w:pStyle w:val="Heading2"/>
      </w:pPr>
      <w:bookmarkStart w:id="49" w:name="_Toc344991233"/>
      <w:r>
        <w:lastRenderedPageBreak/>
        <w:t>E.</w:t>
      </w:r>
      <w:r>
        <w:tab/>
      </w:r>
      <w:r w:rsidR="008D77A2">
        <w:t>Summary</w:t>
      </w:r>
      <w:bookmarkEnd w:id="49"/>
    </w:p>
    <w:p w:rsidR="008B4F84" w:rsidRDefault="00F40DBB" w:rsidP="00150C9D">
      <w:pPr>
        <w:pStyle w:val="Textstyle"/>
      </w:pPr>
      <w:r w:rsidRPr="008E4A67">
        <w:tab/>
      </w:r>
      <w:r w:rsidR="00567FCB" w:rsidRPr="008E4A67">
        <w:t xml:space="preserve">The Staff has reviewed </w:t>
      </w:r>
      <w:r w:rsidR="004715BE" w:rsidRPr="00E34D47">
        <w:t xml:space="preserve">Revised </w:t>
      </w:r>
      <w:r w:rsidR="004715BE" w:rsidRPr="008E4A67">
        <w:t xml:space="preserve">Exhibit A to </w:t>
      </w:r>
      <w:r w:rsidR="004715BE" w:rsidRPr="00E34D47">
        <w:t>OPCo’s Supplemental Comments</w:t>
      </w:r>
      <w:r w:rsidR="00567FCB" w:rsidRPr="008E4A67">
        <w:t>, which compares the existing rate making structure with the securitization structure, and believes the rate development methodology is reasonable as long as the financing struc</w:t>
      </w:r>
      <w:r w:rsidR="003A1699">
        <w:softHyphen/>
      </w:r>
      <w:r w:rsidR="00567FCB" w:rsidRPr="008E4A67">
        <w:t>ture results in a reduction of amount payable by customers on both a nominal and a net present value basis as com</w:t>
      </w:r>
      <w:r w:rsidR="00DB6C5E" w:rsidRPr="008E4A67">
        <w:softHyphen/>
      </w:r>
      <w:r w:rsidR="00567FCB" w:rsidRPr="008E4A67">
        <w:t xml:space="preserve">pared with existing recovery mechanisms.  </w:t>
      </w:r>
    </w:p>
    <w:p w:rsidR="005C6643" w:rsidRPr="008B4F84" w:rsidRDefault="00963629" w:rsidP="00150C9D">
      <w:pPr>
        <w:pStyle w:val="Heading1"/>
      </w:pPr>
      <w:bookmarkStart w:id="50" w:name="_Toc344991234"/>
      <w:r>
        <w:rPr>
          <w:caps w:val="0"/>
        </w:rPr>
        <w:t>IV.</w:t>
      </w:r>
      <w:r>
        <w:rPr>
          <w:caps w:val="0"/>
        </w:rPr>
        <w:tab/>
      </w:r>
      <w:r w:rsidRPr="00E16C3F">
        <w:rPr>
          <w:caps w:val="0"/>
        </w:rPr>
        <w:t>SUMMARY OF OPCO’S CONCERNS AND STAFF RECOMMENDATIONS:</w:t>
      </w:r>
      <w:bookmarkEnd w:id="50"/>
    </w:p>
    <w:p w:rsidR="003E7490" w:rsidRDefault="00260D3E" w:rsidP="00150C9D">
      <w:pPr>
        <w:pStyle w:val="Textstyle"/>
      </w:pPr>
      <w:r>
        <w:tab/>
        <w:t>As stated previously, i</w:t>
      </w:r>
      <w:r w:rsidR="003E7490">
        <w:t xml:space="preserve">n its Supplemented Comments OPCO responded to several of the Commission’s rulings in the FE Securitization Financing Order. </w:t>
      </w:r>
      <w:r w:rsidR="00150C9D">
        <w:t xml:space="preserve"> </w:t>
      </w:r>
      <w:r w:rsidR="003E7490">
        <w:t>Specifically, OPCO raised the following</w:t>
      </w:r>
      <w:r w:rsidR="002324DD">
        <w:t xml:space="preserve"> </w:t>
      </w:r>
      <w:r w:rsidR="003E7490">
        <w:t xml:space="preserve"> concerns:</w:t>
      </w:r>
    </w:p>
    <w:p w:rsidR="002324DD" w:rsidRPr="00150C9D" w:rsidRDefault="002324DD" w:rsidP="00150C9D">
      <w:pPr>
        <w:spacing w:line="480" w:lineRule="auto"/>
        <w:ind w:left="1440" w:right="720" w:hanging="720"/>
        <w:rPr>
          <w:sz w:val="26"/>
          <w:szCs w:val="26"/>
        </w:rPr>
      </w:pPr>
      <w:r w:rsidRPr="00150C9D">
        <w:rPr>
          <w:sz w:val="26"/>
          <w:szCs w:val="26"/>
        </w:rPr>
        <w:t xml:space="preserve">- </w:t>
      </w:r>
      <w:r w:rsidR="00150C9D">
        <w:rPr>
          <w:sz w:val="26"/>
          <w:szCs w:val="26"/>
        </w:rPr>
        <w:tab/>
      </w:r>
      <w:r w:rsidRPr="00150C9D">
        <w:rPr>
          <w:sz w:val="26"/>
          <w:szCs w:val="26"/>
        </w:rPr>
        <w:t xml:space="preserve">The Commission must permit the true up and </w:t>
      </w:r>
      <w:r w:rsidR="00963629" w:rsidRPr="00150C9D">
        <w:rPr>
          <w:sz w:val="26"/>
          <w:szCs w:val="26"/>
        </w:rPr>
        <w:t>collection</w:t>
      </w:r>
      <w:r w:rsidRPr="00150C9D">
        <w:rPr>
          <w:sz w:val="26"/>
          <w:szCs w:val="26"/>
        </w:rPr>
        <w:t xml:space="preserve"> of phase-in-charges sufficient to pay all “ongoing” financing costs.</w:t>
      </w:r>
    </w:p>
    <w:p w:rsidR="002324DD" w:rsidRPr="00150C9D" w:rsidRDefault="002324DD" w:rsidP="00150C9D">
      <w:pPr>
        <w:spacing w:line="480" w:lineRule="auto"/>
        <w:ind w:left="1440" w:right="720" w:hanging="720"/>
        <w:rPr>
          <w:sz w:val="26"/>
          <w:szCs w:val="26"/>
        </w:rPr>
      </w:pPr>
      <w:r w:rsidRPr="00150C9D">
        <w:rPr>
          <w:sz w:val="26"/>
          <w:szCs w:val="26"/>
        </w:rPr>
        <w:t xml:space="preserve">- </w:t>
      </w:r>
      <w:r w:rsidR="00150C9D">
        <w:rPr>
          <w:sz w:val="26"/>
          <w:szCs w:val="26"/>
        </w:rPr>
        <w:tab/>
      </w:r>
      <w:r w:rsidRPr="00150C9D">
        <w:rPr>
          <w:sz w:val="26"/>
          <w:szCs w:val="26"/>
        </w:rPr>
        <w:t xml:space="preserve">A Financing Order must contemplate the possibility of a replacement servicers, unaffiliated with </w:t>
      </w:r>
      <w:r w:rsidR="00963629" w:rsidRPr="00150C9D">
        <w:rPr>
          <w:sz w:val="26"/>
          <w:szCs w:val="26"/>
        </w:rPr>
        <w:t>the</w:t>
      </w:r>
      <w:r w:rsidRPr="00150C9D">
        <w:rPr>
          <w:sz w:val="26"/>
          <w:szCs w:val="26"/>
        </w:rPr>
        <w:t xml:space="preserve"> utility, and authorize the collection of a higher servicing fee for such an entity.</w:t>
      </w:r>
    </w:p>
    <w:p w:rsidR="002324DD" w:rsidRPr="00150C9D" w:rsidRDefault="002324DD" w:rsidP="00150C9D">
      <w:pPr>
        <w:spacing w:line="480" w:lineRule="auto"/>
        <w:ind w:left="1440" w:right="720" w:hanging="720"/>
        <w:rPr>
          <w:sz w:val="26"/>
          <w:szCs w:val="26"/>
        </w:rPr>
      </w:pPr>
      <w:r w:rsidRPr="00150C9D">
        <w:rPr>
          <w:sz w:val="26"/>
          <w:szCs w:val="26"/>
        </w:rPr>
        <w:t xml:space="preserve">- </w:t>
      </w:r>
      <w:r w:rsidR="00150C9D">
        <w:rPr>
          <w:sz w:val="26"/>
          <w:szCs w:val="26"/>
        </w:rPr>
        <w:tab/>
      </w:r>
      <w:r w:rsidRPr="00150C9D">
        <w:rPr>
          <w:sz w:val="26"/>
          <w:szCs w:val="26"/>
        </w:rPr>
        <w:t>The Financing Order should provide at least minimal protections for bondholders regarding the potential for third party billing.</w:t>
      </w:r>
    </w:p>
    <w:p w:rsidR="002324DD" w:rsidRPr="00150C9D" w:rsidRDefault="002324DD" w:rsidP="00150C9D">
      <w:pPr>
        <w:spacing w:line="480" w:lineRule="auto"/>
        <w:ind w:left="1440" w:right="720" w:hanging="720"/>
        <w:rPr>
          <w:sz w:val="26"/>
          <w:szCs w:val="26"/>
        </w:rPr>
      </w:pPr>
      <w:r w:rsidRPr="00150C9D">
        <w:rPr>
          <w:sz w:val="26"/>
          <w:szCs w:val="26"/>
        </w:rPr>
        <w:t xml:space="preserve">- </w:t>
      </w:r>
      <w:r w:rsidR="00150C9D">
        <w:rPr>
          <w:sz w:val="26"/>
          <w:szCs w:val="26"/>
        </w:rPr>
        <w:tab/>
      </w:r>
      <w:r w:rsidRPr="00150C9D">
        <w:rPr>
          <w:sz w:val="26"/>
          <w:szCs w:val="26"/>
        </w:rPr>
        <w:t>The fee cap for the Commission’s financial advisor is out of propor</w:t>
      </w:r>
      <w:r w:rsidR="003A1699">
        <w:rPr>
          <w:sz w:val="26"/>
          <w:szCs w:val="26"/>
        </w:rPr>
        <w:softHyphen/>
      </w:r>
      <w:r w:rsidRPr="00150C9D">
        <w:rPr>
          <w:sz w:val="26"/>
          <w:szCs w:val="26"/>
        </w:rPr>
        <w:t>tion to recent financings.</w:t>
      </w:r>
    </w:p>
    <w:p w:rsidR="002324DD" w:rsidRPr="00150C9D" w:rsidRDefault="002324DD" w:rsidP="00150C9D">
      <w:pPr>
        <w:spacing w:line="480" w:lineRule="auto"/>
        <w:ind w:left="1440" w:right="720" w:hanging="720"/>
        <w:rPr>
          <w:sz w:val="26"/>
          <w:szCs w:val="26"/>
        </w:rPr>
      </w:pPr>
      <w:r w:rsidRPr="00150C9D">
        <w:rPr>
          <w:sz w:val="26"/>
          <w:szCs w:val="26"/>
        </w:rPr>
        <w:lastRenderedPageBreak/>
        <w:t xml:space="preserve">- </w:t>
      </w:r>
      <w:r w:rsidR="00150C9D">
        <w:rPr>
          <w:sz w:val="26"/>
          <w:szCs w:val="26"/>
        </w:rPr>
        <w:tab/>
      </w:r>
      <w:r w:rsidRPr="00150C9D">
        <w:rPr>
          <w:sz w:val="26"/>
          <w:szCs w:val="26"/>
        </w:rPr>
        <w:t xml:space="preserve">The Commission’s review </w:t>
      </w:r>
      <w:r w:rsidR="00150C9D">
        <w:rPr>
          <w:sz w:val="26"/>
          <w:szCs w:val="26"/>
        </w:rPr>
        <w:t>of</w:t>
      </w:r>
      <w:r w:rsidRPr="00150C9D">
        <w:rPr>
          <w:sz w:val="26"/>
          <w:szCs w:val="26"/>
        </w:rPr>
        <w:t xml:space="preserve"> the Issuance Advice Letter needs to be limited to confirming that the final terms of the bonds satisfy the requirements of the Financing Order.</w:t>
      </w:r>
    </w:p>
    <w:p w:rsidR="002324DD" w:rsidRDefault="00260D3E" w:rsidP="00150C9D">
      <w:pPr>
        <w:pStyle w:val="Textstyle"/>
      </w:pPr>
      <w:r>
        <w:tab/>
      </w:r>
      <w:r w:rsidR="002324DD">
        <w:t>Rather than address each of these concern</w:t>
      </w:r>
      <w:r w:rsidR="00D07553">
        <w:t xml:space="preserve">s individually, the Staff notes that AEP has not raised any new information or circumstances that were not present in the FE Securitization Case and that the Commission has addressed each of these concerns in the Entry on Rehearing in the FE Securitization Case. </w:t>
      </w:r>
    </w:p>
    <w:p w:rsidR="001A5C2F" w:rsidRPr="008E4A67" w:rsidRDefault="00A1236D" w:rsidP="00E34D47">
      <w:pPr>
        <w:pStyle w:val="Heading1"/>
      </w:pPr>
      <w:bookmarkStart w:id="51" w:name="_Toc328131650"/>
      <w:bookmarkStart w:id="52" w:name="_Toc328136712"/>
      <w:bookmarkStart w:id="53" w:name="_Toc344991235"/>
      <w:bookmarkEnd w:id="47"/>
      <w:bookmarkEnd w:id="48"/>
      <w:r w:rsidRPr="008E4A67">
        <w:t>V</w:t>
      </w:r>
      <w:r w:rsidR="00F30925" w:rsidRPr="008E4A67">
        <w:t>.</w:t>
      </w:r>
      <w:r w:rsidR="00EB0100" w:rsidRPr="008E4A67">
        <w:tab/>
      </w:r>
      <w:r w:rsidR="001A5C2F" w:rsidRPr="008E4A67">
        <w:t>CONCLUSION</w:t>
      </w:r>
      <w:bookmarkEnd w:id="51"/>
      <w:bookmarkEnd w:id="52"/>
      <w:bookmarkEnd w:id="53"/>
    </w:p>
    <w:p w:rsidR="00E10679" w:rsidRDefault="00F40DBB" w:rsidP="00963629">
      <w:pPr>
        <w:pStyle w:val="Textstyle"/>
      </w:pPr>
      <w:r w:rsidRPr="008E4A67">
        <w:tab/>
      </w:r>
      <w:r w:rsidR="00672917" w:rsidRPr="008E4A67">
        <w:t>The Staff respectfully requests that the Commission make the above-referred changes/adjustments in its Financing Order in this case.</w:t>
      </w:r>
    </w:p>
    <w:p w:rsidR="00315465" w:rsidRPr="008E4A67" w:rsidRDefault="00315465" w:rsidP="00E34D47"/>
    <w:p w:rsidR="00200A0A" w:rsidRDefault="00200A0A" w:rsidP="00963629">
      <w:pPr>
        <w:tabs>
          <w:tab w:val="left" w:pos="9348"/>
        </w:tabs>
        <w:ind w:left="4320"/>
        <w:jc w:val="both"/>
        <w:rPr>
          <w:sz w:val="26"/>
          <w:szCs w:val="26"/>
        </w:rPr>
      </w:pPr>
      <w:r w:rsidRPr="00963629">
        <w:rPr>
          <w:sz w:val="26"/>
          <w:szCs w:val="26"/>
        </w:rPr>
        <w:t>Respectfully submitted,</w:t>
      </w:r>
    </w:p>
    <w:p w:rsidR="00963629" w:rsidRPr="00963629" w:rsidRDefault="00963629" w:rsidP="00963629">
      <w:pPr>
        <w:tabs>
          <w:tab w:val="left" w:pos="9348"/>
        </w:tabs>
        <w:ind w:left="4320"/>
        <w:jc w:val="both"/>
        <w:rPr>
          <w:sz w:val="26"/>
          <w:szCs w:val="26"/>
        </w:rPr>
      </w:pPr>
    </w:p>
    <w:p w:rsidR="00F40DBB" w:rsidRPr="00963629" w:rsidRDefault="00F40DBB" w:rsidP="00963629">
      <w:pPr>
        <w:pStyle w:val="Title"/>
        <w:tabs>
          <w:tab w:val="left" w:pos="4320"/>
        </w:tabs>
        <w:ind w:left="4320"/>
        <w:jc w:val="left"/>
        <w:rPr>
          <w:rFonts w:ascii="Times New Roman" w:hAnsi="Times New Roman"/>
          <w:b/>
          <w:sz w:val="26"/>
          <w:szCs w:val="26"/>
        </w:rPr>
      </w:pPr>
      <w:bookmarkStart w:id="54" w:name="_Toc328136713"/>
      <w:r w:rsidRPr="00963629">
        <w:rPr>
          <w:rFonts w:ascii="Times New Roman" w:hAnsi="Times New Roman"/>
          <w:b/>
          <w:sz w:val="26"/>
          <w:szCs w:val="26"/>
        </w:rPr>
        <w:t>Michael DeWine</w:t>
      </w: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sz w:val="26"/>
          <w:szCs w:val="26"/>
        </w:rPr>
        <w:t>Ohio Attorney General</w:t>
      </w:r>
    </w:p>
    <w:p w:rsidR="00F40DBB" w:rsidRPr="00963629" w:rsidRDefault="00F40DBB" w:rsidP="00963629">
      <w:pPr>
        <w:pStyle w:val="Title"/>
        <w:tabs>
          <w:tab w:val="left" w:pos="4320"/>
        </w:tabs>
        <w:ind w:left="4320"/>
        <w:jc w:val="left"/>
        <w:rPr>
          <w:rFonts w:ascii="Times New Roman" w:hAnsi="Times New Roman"/>
          <w:sz w:val="26"/>
          <w:szCs w:val="26"/>
        </w:rPr>
      </w:pP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b/>
          <w:sz w:val="26"/>
          <w:szCs w:val="26"/>
        </w:rPr>
        <w:t>William L. Wright</w:t>
      </w: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sz w:val="26"/>
          <w:szCs w:val="26"/>
        </w:rPr>
        <w:t>Section Chief</w:t>
      </w:r>
    </w:p>
    <w:p w:rsidR="00F40DBB" w:rsidRPr="00963629" w:rsidRDefault="00F40DBB" w:rsidP="00963629">
      <w:pPr>
        <w:pStyle w:val="Title"/>
        <w:tabs>
          <w:tab w:val="left" w:pos="4320"/>
        </w:tabs>
        <w:ind w:left="4320"/>
        <w:jc w:val="left"/>
        <w:rPr>
          <w:rFonts w:ascii="Times New Roman" w:hAnsi="Times New Roman"/>
          <w:sz w:val="26"/>
          <w:szCs w:val="26"/>
        </w:rPr>
      </w:pPr>
    </w:p>
    <w:p w:rsidR="00F40DBB" w:rsidRPr="00963629" w:rsidRDefault="00F40DBB" w:rsidP="00963629">
      <w:pPr>
        <w:pStyle w:val="Title"/>
        <w:tabs>
          <w:tab w:val="left" w:pos="4320"/>
        </w:tabs>
        <w:ind w:left="4320"/>
        <w:jc w:val="left"/>
        <w:rPr>
          <w:rFonts w:ascii="Times New Roman" w:hAnsi="Times New Roman"/>
          <w:i/>
          <w:sz w:val="26"/>
          <w:szCs w:val="26"/>
        </w:rPr>
      </w:pPr>
    </w:p>
    <w:p w:rsidR="00F40DBB" w:rsidRPr="0071271C" w:rsidRDefault="00F40DBB" w:rsidP="00963629">
      <w:pPr>
        <w:pStyle w:val="Title"/>
        <w:tabs>
          <w:tab w:val="left" w:pos="4320"/>
          <w:tab w:val="left" w:pos="9360"/>
        </w:tabs>
        <w:ind w:left="4320"/>
        <w:jc w:val="left"/>
        <w:rPr>
          <w:rFonts w:ascii="Viner Hand ITC" w:hAnsi="Viner Hand ITC"/>
          <w:sz w:val="32"/>
          <w:szCs w:val="32"/>
          <w:u w:val="single"/>
        </w:rPr>
      </w:pPr>
      <w:r w:rsidRPr="0071271C">
        <w:rPr>
          <w:rFonts w:ascii="Viner Hand ITC" w:hAnsi="Viner Hand ITC"/>
          <w:i/>
          <w:sz w:val="32"/>
          <w:szCs w:val="32"/>
          <w:u w:val="single"/>
        </w:rPr>
        <w:t>/s/ Thomas W. McNamee</w:t>
      </w:r>
      <w:r w:rsidRPr="0071271C">
        <w:rPr>
          <w:rFonts w:ascii="Viner Hand ITC" w:hAnsi="Viner Hand ITC"/>
          <w:sz w:val="32"/>
          <w:szCs w:val="32"/>
          <w:u w:val="single"/>
        </w:rPr>
        <w:tab/>
      </w:r>
    </w:p>
    <w:p w:rsidR="00F40DBB" w:rsidRPr="00963629" w:rsidRDefault="00F40DBB" w:rsidP="00963629">
      <w:pPr>
        <w:pStyle w:val="Title"/>
        <w:tabs>
          <w:tab w:val="left" w:pos="4320"/>
        </w:tabs>
        <w:ind w:left="4320"/>
        <w:jc w:val="left"/>
        <w:rPr>
          <w:rFonts w:ascii="Times New Roman" w:hAnsi="Times New Roman"/>
          <w:b/>
          <w:sz w:val="26"/>
          <w:szCs w:val="26"/>
        </w:rPr>
      </w:pPr>
      <w:r w:rsidRPr="00963629">
        <w:rPr>
          <w:rFonts w:ascii="Times New Roman" w:hAnsi="Times New Roman"/>
          <w:b/>
          <w:sz w:val="26"/>
          <w:szCs w:val="26"/>
        </w:rPr>
        <w:t>Thomas W. McNamee</w:t>
      </w: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sz w:val="26"/>
          <w:szCs w:val="26"/>
        </w:rPr>
        <w:t>Assistant Attorney General</w:t>
      </w: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sz w:val="26"/>
          <w:szCs w:val="26"/>
        </w:rPr>
        <w:t>Public Utilities Section</w:t>
      </w: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sz w:val="26"/>
          <w:szCs w:val="26"/>
        </w:rPr>
        <w:t>180 East Broad Street, 6</w:t>
      </w:r>
      <w:r w:rsidRPr="00963629">
        <w:rPr>
          <w:rFonts w:ascii="Times New Roman" w:hAnsi="Times New Roman"/>
          <w:sz w:val="26"/>
          <w:szCs w:val="26"/>
          <w:vertAlign w:val="superscript"/>
        </w:rPr>
        <w:t>th</w:t>
      </w:r>
      <w:r w:rsidRPr="00963629">
        <w:rPr>
          <w:rFonts w:ascii="Times New Roman" w:hAnsi="Times New Roman"/>
          <w:sz w:val="26"/>
          <w:szCs w:val="26"/>
        </w:rPr>
        <w:t xml:space="preserve"> Floor</w:t>
      </w: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sz w:val="26"/>
          <w:szCs w:val="26"/>
        </w:rPr>
        <w:t>Columbus, OH  43215-3793</w:t>
      </w: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sz w:val="26"/>
          <w:szCs w:val="26"/>
        </w:rPr>
        <w:t>614.466.4397 (telephone)</w:t>
      </w:r>
    </w:p>
    <w:p w:rsidR="00F40DBB" w:rsidRPr="00963629" w:rsidRDefault="00F40DBB" w:rsidP="00963629">
      <w:pPr>
        <w:pStyle w:val="Title"/>
        <w:tabs>
          <w:tab w:val="left" w:pos="4320"/>
        </w:tabs>
        <w:ind w:left="4320"/>
        <w:jc w:val="left"/>
        <w:rPr>
          <w:rFonts w:ascii="Times New Roman" w:hAnsi="Times New Roman"/>
          <w:sz w:val="26"/>
          <w:szCs w:val="26"/>
        </w:rPr>
      </w:pPr>
      <w:r w:rsidRPr="00963629">
        <w:rPr>
          <w:rFonts w:ascii="Times New Roman" w:hAnsi="Times New Roman"/>
          <w:sz w:val="26"/>
          <w:szCs w:val="26"/>
        </w:rPr>
        <w:t>614.644.8764 (fax)</w:t>
      </w:r>
    </w:p>
    <w:p w:rsidR="00F40DBB" w:rsidRPr="00963629" w:rsidRDefault="00977772" w:rsidP="00963629">
      <w:pPr>
        <w:pStyle w:val="Title"/>
        <w:tabs>
          <w:tab w:val="left" w:pos="4320"/>
        </w:tabs>
        <w:ind w:left="4320"/>
        <w:jc w:val="left"/>
        <w:rPr>
          <w:rFonts w:ascii="Times New Roman" w:hAnsi="Times New Roman"/>
          <w:sz w:val="26"/>
          <w:szCs w:val="26"/>
        </w:rPr>
      </w:pPr>
      <w:hyperlink r:id="rId16" w:history="1">
        <w:r w:rsidR="00F40DBB" w:rsidRPr="00963629">
          <w:rPr>
            <w:rStyle w:val="Hyperlink"/>
            <w:rFonts w:ascii="Times New Roman" w:hAnsi="Times New Roman"/>
            <w:sz w:val="26"/>
            <w:szCs w:val="26"/>
          </w:rPr>
          <w:t>thomas.mcnamee@puc.state.oh.us</w:t>
        </w:r>
      </w:hyperlink>
    </w:p>
    <w:p w:rsidR="00D631B5" w:rsidRPr="008E4A67" w:rsidRDefault="00D631B5" w:rsidP="008E4A67">
      <w:pPr>
        <w:pStyle w:val="ListParagraph"/>
        <w:spacing w:after="240"/>
        <w:ind w:left="1260" w:right="720"/>
        <w:jc w:val="both"/>
        <w:rPr>
          <w:rFonts w:ascii="Arial" w:eastAsia="Times New Roman" w:hAnsi="Arial" w:cs="Arial"/>
          <w:b/>
          <w:sz w:val="24"/>
          <w:szCs w:val="24"/>
        </w:rPr>
      </w:pPr>
    </w:p>
    <w:p w:rsidR="00D631B5" w:rsidRPr="008E4A67" w:rsidRDefault="00D631B5" w:rsidP="008E4A67">
      <w:pPr>
        <w:spacing w:line="276" w:lineRule="auto"/>
        <w:rPr>
          <w:rFonts w:ascii="Arial" w:hAnsi="Arial" w:cs="Arial"/>
          <w:b/>
          <w:sz w:val="24"/>
          <w:szCs w:val="24"/>
        </w:rPr>
      </w:pPr>
      <w:r w:rsidRPr="008E4A67">
        <w:rPr>
          <w:rFonts w:ascii="Arial" w:hAnsi="Arial" w:cs="Arial"/>
          <w:b/>
          <w:sz w:val="24"/>
          <w:szCs w:val="24"/>
        </w:rPr>
        <w:lastRenderedPageBreak/>
        <w:br w:type="page"/>
      </w:r>
    </w:p>
    <w:p w:rsidR="00200A0A" w:rsidRPr="008E4A67" w:rsidRDefault="009E1272" w:rsidP="00E34D47">
      <w:pPr>
        <w:pStyle w:val="Heading1"/>
      </w:pPr>
      <w:bookmarkStart w:id="55" w:name="_Toc344991236"/>
      <w:r w:rsidRPr="008E4A67">
        <w:lastRenderedPageBreak/>
        <w:t>VI</w:t>
      </w:r>
      <w:r w:rsidR="00F30925" w:rsidRPr="008E4A67">
        <w:t>.</w:t>
      </w:r>
      <w:r w:rsidR="00F30925" w:rsidRPr="008E4A67">
        <w:tab/>
      </w:r>
      <w:r w:rsidR="00322F45" w:rsidRPr="008E4A67">
        <w:t>PROOF OF SERVICE</w:t>
      </w:r>
      <w:bookmarkEnd w:id="54"/>
      <w:bookmarkEnd w:id="55"/>
    </w:p>
    <w:p w:rsidR="00200A0A" w:rsidRPr="008E4A67" w:rsidRDefault="00F40DBB" w:rsidP="00963629">
      <w:pPr>
        <w:pStyle w:val="Textstyle"/>
      </w:pPr>
      <w:r w:rsidRPr="008E4A67">
        <w:tab/>
      </w:r>
      <w:r w:rsidR="00200A0A" w:rsidRPr="008E4A67">
        <w:t xml:space="preserve">I hereby certify that a true copy of the foregoing </w:t>
      </w:r>
      <w:r w:rsidRPr="008E4A67">
        <w:rPr>
          <w:b/>
        </w:rPr>
        <w:t>Comments and Recommenda</w:t>
      </w:r>
      <w:r w:rsidR="003A1699">
        <w:rPr>
          <w:b/>
        </w:rPr>
        <w:softHyphen/>
      </w:r>
      <w:r w:rsidRPr="008E4A67">
        <w:rPr>
          <w:b/>
        </w:rPr>
        <w:t>tions</w:t>
      </w:r>
      <w:r w:rsidR="0064436A" w:rsidRPr="008E4A67">
        <w:rPr>
          <w:b/>
        </w:rPr>
        <w:t xml:space="preserve"> </w:t>
      </w:r>
      <w:r w:rsidR="00200A0A" w:rsidRPr="008E4A67">
        <w:t>submitted on behalf of the Staff of the Public Utilities Commis</w:t>
      </w:r>
      <w:r w:rsidR="00200A0A" w:rsidRPr="008E4A67">
        <w:softHyphen/>
        <w:t xml:space="preserve">sion of </w:t>
      </w:r>
      <w:proofErr w:type="gramStart"/>
      <w:r w:rsidR="00200A0A" w:rsidRPr="008E4A67">
        <w:t>Ohio,</w:t>
      </w:r>
      <w:proofErr w:type="gramEnd"/>
      <w:r w:rsidR="00200A0A" w:rsidRPr="008E4A67">
        <w:rPr>
          <w:b/>
        </w:rPr>
        <w:t xml:space="preserve"> </w:t>
      </w:r>
      <w:r w:rsidR="00200A0A" w:rsidRPr="008E4A67">
        <w:t>was served by regular U.S. mail, postage pre</w:t>
      </w:r>
      <w:r w:rsidR="00200A0A" w:rsidRPr="008E4A67">
        <w:softHyphen/>
        <w:t xml:space="preserve">paid, or hand-delivered, upon </w:t>
      </w:r>
      <w:r w:rsidR="00977F01" w:rsidRPr="008E4A67">
        <w:t>the following Parties of Record</w:t>
      </w:r>
      <w:r w:rsidR="00721F2D" w:rsidRPr="008E4A67">
        <w:t xml:space="preserve">, </w:t>
      </w:r>
      <w:r w:rsidR="00200A0A" w:rsidRPr="008E4A67">
        <w:t xml:space="preserve">this </w:t>
      </w:r>
      <w:r w:rsidRPr="008E4A67">
        <w:t>4</w:t>
      </w:r>
      <w:r w:rsidR="001A5C2F" w:rsidRPr="008E4A67">
        <w:rPr>
          <w:vertAlign w:val="superscript"/>
        </w:rPr>
        <w:t>th</w:t>
      </w:r>
      <w:r w:rsidR="001A5C2F" w:rsidRPr="008E4A67">
        <w:t xml:space="preserve"> </w:t>
      </w:r>
      <w:r w:rsidR="004B6358" w:rsidRPr="008E4A67">
        <w:t>d</w:t>
      </w:r>
      <w:r w:rsidR="00200A0A" w:rsidRPr="008E4A67">
        <w:t xml:space="preserve">ay of </w:t>
      </w:r>
      <w:r w:rsidR="00963629">
        <w:t>January, 2013</w:t>
      </w:r>
      <w:r w:rsidR="00200A0A" w:rsidRPr="008E4A67">
        <w:t>.</w:t>
      </w:r>
    </w:p>
    <w:p w:rsidR="00200A0A" w:rsidRPr="008E4A67" w:rsidRDefault="00200A0A" w:rsidP="008E4A67">
      <w:pPr>
        <w:spacing w:line="276" w:lineRule="auto"/>
        <w:jc w:val="both"/>
        <w:rPr>
          <w:rFonts w:ascii="Arial" w:hAnsi="Arial" w:cs="Arial"/>
          <w:sz w:val="24"/>
          <w:szCs w:val="24"/>
        </w:rPr>
      </w:pPr>
    </w:p>
    <w:p w:rsidR="00177F90" w:rsidRPr="00963629" w:rsidRDefault="0071271C" w:rsidP="00963629">
      <w:pPr>
        <w:pStyle w:val="Title"/>
        <w:tabs>
          <w:tab w:val="left" w:pos="4320"/>
          <w:tab w:val="left" w:pos="9360"/>
        </w:tabs>
        <w:ind w:left="4320"/>
        <w:jc w:val="left"/>
        <w:rPr>
          <w:rFonts w:ascii="Times New Roman" w:hAnsi="Times New Roman"/>
          <w:sz w:val="26"/>
          <w:szCs w:val="26"/>
          <w:u w:val="single"/>
        </w:rPr>
      </w:pPr>
      <w:r w:rsidRPr="0071271C">
        <w:rPr>
          <w:rFonts w:ascii="Viner Hand ITC" w:hAnsi="Viner Hand ITC"/>
          <w:i/>
          <w:sz w:val="32"/>
          <w:szCs w:val="32"/>
          <w:u w:val="single"/>
        </w:rPr>
        <w:t>/s/ Thomas W. McNamee</w:t>
      </w:r>
      <w:r w:rsidR="00177F90" w:rsidRPr="00963629">
        <w:rPr>
          <w:rFonts w:ascii="Times New Roman" w:hAnsi="Times New Roman"/>
          <w:sz w:val="26"/>
          <w:szCs w:val="26"/>
          <w:u w:val="single"/>
        </w:rPr>
        <w:tab/>
      </w:r>
    </w:p>
    <w:p w:rsidR="00200A0A" w:rsidRPr="00963629" w:rsidRDefault="00F40DBB" w:rsidP="00963629">
      <w:pPr>
        <w:ind w:left="4332"/>
        <w:jc w:val="both"/>
        <w:rPr>
          <w:b/>
          <w:sz w:val="26"/>
          <w:szCs w:val="26"/>
        </w:rPr>
      </w:pPr>
      <w:r w:rsidRPr="00963629">
        <w:rPr>
          <w:b/>
          <w:sz w:val="26"/>
          <w:szCs w:val="26"/>
        </w:rPr>
        <w:t>Thomas W. McNamee</w:t>
      </w:r>
    </w:p>
    <w:p w:rsidR="00200A0A" w:rsidRPr="00963629" w:rsidRDefault="00200A0A" w:rsidP="00963629">
      <w:pPr>
        <w:ind w:left="4332"/>
        <w:jc w:val="both"/>
        <w:rPr>
          <w:sz w:val="26"/>
          <w:szCs w:val="26"/>
        </w:rPr>
      </w:pPr>
      <w:r w:rsidRPr="00963629">
        <w:rPr>
          <w:sz w:val="26"/>
          <w:szCs w:val="26"/>
        </w:rPr>
        <w:t>Assistant Attorney General</w:t>
      </w:r>
    </w:p>
    <w:p w:rsidR="00977F01" w:rsidRPr="008E4A67" w:rsidRDefault="00977F01" w:rsidP="008E4A67">
      <w:pPr>
        <w:spacing w:line="276" w:lineRule="auto"/>
        <w:ind w:left="4332"/>
        <w:jc w:val="both"/>
        <w:rPr>
          <w:rFonts w:ascii="Arial" w:hAnsi="Arial" w:cs="Arial"/>
          <w:sz w:val="24"/>
          <w:szCs w:val="24"/>
        </w:rPr>
      </w:pPr>
    </w:p>
    <w:p w:rsidR="00977F01" w:rsidRPr="00963629" w:rsidRDefault="00977F01" w:rsidP="00963629">
      <w:pPr>
        <w:jc w:val="both"/>
        <w:rPr>
          <w:b/>
          <w:sz w:val="26"/>
          <w:szCs w:val="26"/>
        </w:rPr>
      </w:pPr>
      <w:r w:rsidRPr="00963629">
        <w:rPr>
          <w:b/>
          <w:sz w:val="26"/>
          <w:szCs w:val="26"/>
        </w:rPr>
        <w:t>Parties of Record:</w:t>
      </w:r>
    </w:p>
    <w:p w:rsidR="00977F01" w:rsidRPr="00963629" w:rsidRDefault="00977F01" w:rsidP="00963629">
      <w:pPr>
        <w:jc w:val="both"/>
        <w:rPr>
          <w:b/>
          <w:sz w:val="26"/>
          <w:szCs w:val="26"/>
        </w:rPr>
      </w:pPr>
    </w:p>
    <w:tbl>
      <w:tblPr>
        <w:tblW w:w="0" w:type="auto"/>
        <w:tblLook w:val="01E0" w:firstRow="1" w:lastRow="1" w:firstColumn="1" w:lastColumn="1" w:noHBand="0" w:noVBand="0"/>
      </w:tblPr>
      <w:tblGrid>
        <w:gridCol w:w="4788"/>
        <w:gridCol w:w="4788"/>
      </w:tblGrid>
      <w:tr w:rsidR="00977F01" w:rsidRPr="00963629" w:rsidTr="00FF5711">
        <w:tc>
          <w:tcPr>
            <w:tcW w:w="4788" w:type="dxa"/>
          </w:tcPr>
          <w:p w:rsidR="00977F01" w:rsidRPr="00963629" w:rsidRDefault="00977F01" w:rsidP="00963629">
            <w:pPr>
              <w:jc w:val="both"/>
              <w:rPr>
                <w:sz w:val="26"/>
                <w:szCs w:val="26"/>
              </w:rPr>
            </w:pPr>
            <w:r w:rsidRPr="00963629">
              <w:rPr>
                <w:sz w:val="26"/>
                <w:szCs w:val="26"/>
              </w:rPr>
              <w:t>Steve T. Nourse</w:t>
            </w:r>
          </w:p>
          <w:p w:rsidR="00787741" w:rsidRPr="00963629" w:rsidRDefault="00787741" w:rsidP="00963629">
            <w:pPr>
              <w:jc w:val="both"/>
              <w:rPr>
                <w:sz w:val="26"/>
                <w:szCs w:val="26"/>
              </w:rPr>
            </w:pPr>
            <w:r w:rsidRPr="00963629">
              <w:rPr>
                <w:sz w:val="26"/>
                <w:szCs w:val="26"/>
              </w:rPr>
              <w:t>David C. House</w:t>
            </w:r>
          </w:p>
          <w:p w:rsidR="00977F01" w:rsidRPr="00963629" w:rsidRDefault="00977F01" w:rsidP="00963629">
            <w:pPr>
              <w:jc w:val="both"/>
              <w:rPr>
                <w:sz w:val="26"/>
                <w:szCs w:val="26"/>
              </w:rPr>
            </w:pPr>
            <w:r w:rsidRPr="00963629">
              <w:rPr>
                <w:sz w:val="26"/>
                <w:szCs w:val="26"/>
              </w:rPr>
              <w:t>American Electric Power Service Corp.</w:t>
            </w:r>
          </w:p>
          <w:p w:rsidR="00977F01" w:rsidRPr="00963629" w:rsidRDefault="00977F01" w:rsidP="00963629">
            <w:pPr>
              <w:jc w:val="both"/>
              <w:rPr>
                <w:sz w:val="26"/>
                <w:szCs w:val="26"/>
              </w:rPr>
            </w:pPr>
            <w:r w:rsidRPr="00963629">
              <w:rPr>
                <w:sz w:val="26"/>
                <w:szCs w:val="26"/>
              </w:rPr>
              <w:t>1 Riverside Plaza, 29</w:t>
            </w:r>
            <w:r w:rsidRPr="00963629">
              <w:rPr>
                <w:sz w:val="26"/>
                <w:szCs w:val="26"/>
                <w:vertAlign w:val="superscript"/>
              </w:rPr>
              <w:t>th</w:t>
            </w:r>
            <w:r w:rsidRPr="00963629">
              <w:rPr>
                <w:sz w:val="26"/>
                <w:szCs w:val="26"/>
              </w:rPr>
              <w:t xml:space="preserve"> Floor</w:t>
            </w:r>
          </w:p>
          <w:p w:rsidR="00977F01" w:rsidRPr="00963629" w:rsidRDefault="00977F01" w:rsidP="00963629">
            <w:pPr>
              <w:jc w:val="both"/>
              <w:rPr>
                <w:sz w:val="26"/>
                <w:szCs w:val="26"/>
              </w:rPr>
            </w:pPr>
            <w:r w:rsidRPr="00963629">
              <w:rPr>
                <w:sz w:val="26"/>
                <w:szCs w:val="26"/>
              </w:rPr>
              <w:t>Columbus, OH  43215</w:t>
            </w:r>
          </w:p>
          <w:p w:rsidR="00977F01" w:rsidRPr="00963629" w:rsidRDefault="00977F01" w:rsidP="00963629">
            <w:pPr>
              <w:jc w:val="both"/>
              <w:rPr>
                <w:sz w:val="26"/>
                <w:szCs w:val="26"/>
              </w:rPr>
            </w:pPr>
            <w:r w:rsidRPr="00963629">
              <w:rPr>
                <w:sz w:val="26"/>
                <w:szCs w:val="26"/>
              </w:rPr>
              <w:t>614.716.1606 (telephone)</w:t>
            </w:r>
          </w:p>
          <w:p w:rsidR="00977F01" w:rsidRPr="00963629" w:rsidRDefault="00977F01" w:rsidP="00963629">
            <w:pPr>
              <w:jc w:val="both"/>
              <w:rPr>
                <w:sz w:val="26"/>
                <w:szCs w:val="26"/>
              </w:rPr>
            </w:pPr>
            <w:r w:rsidRPr="00963629">
              <w:rPr>
                <w:sz w:val="26"/>
                <w:szCs w:val="26"/>
              </w:rPr>
              <w:t>614.716.2950 (fax)</w:t>
            </w:r>
          </w:p>
          <w:p w:rsidR="00977F01" w:rsidRPr="00963629" w:rsidRDefault="00977772" w:rsidP="00963629">
            <w:pPr>
              <w:jc w:val="both"/>
              <w:rPr>
                <w:rStyle w:val="Hyperlink"/>
                <w:sz w:val="26"/>
                <w:szCs w:val="26"/>
              </w:rPr>
            </w:pPr>
            <w:hyperlink r:id="rId17" w:history="1">
              <w:r w:rsidR="00977F01" w:rsidRPr="00963629">
                <w:rPr>
                  <w:rStyle w:val="Hyperlink"/>
                  <w:sz w:val="26"/>
                  <w:szCs w:val="26"/>
                </w:rPr>
                <w:t>stnourse@aep.com</w:t>
              </w:r>
            </w:hyperlink>
          </w:p>
          <w:p w:rsidR="00787741" w:rsidRPr="00963629" w:rsidRDefault="00787741" w:rsidP="00963629">
            <w:pPr>
              <w:jc w:val="both"/>
              <w:rPr>
                <w:sz w:val="26"/>
                <w:szCs w:val="26"/>
              </w:rPr>
            </w:pPr>
            <w:r w:rsidRPr="00963629">
              <w:rPr>
                <w:rStyle w:val="Hyperlink"/>
                <w:sz w:val="26"/>
                <w:szCs w:val="26"/>
              </w:rPr>
              <w:t>dchouse@aep.com</w:t>
            </w:r>
          </w:p>
          <w:p w:rsidR="00977F01" w:rsidRPr="00963629" w:rsidRDefault="00977F01" w:rsidP="00963629">
            <w:pPr>
              <w:jc w:val="both"/>
              <w:rPr>
                <w:sz w:val="26"/>
                <w:szCs w:val="26"/>
              </w:rPr>
            </w:pPr>
          </w:p>
          <w:p w:rsidR="00977F01" w:rsidRPr="00963629" w:rsidRDefault="00A413E1" w:rsidP="00963629">
            <w:pPr>
              <w:jc w:val="both"/>
              <w:rPr>
                <w:sz w:val="26"/>
                <w:szCs w:val="26"/>
              </w:rPr>
            </w:pPr>
            <w:r w:rsidRPr="00963629">
              <w:rPr>
                <w:sz w:val="26"/>
                <w:szCs w:val="26"/>
              </w:rPr>
              <w:t>Kyle I. Kern</w:t>
            </w:r>
          </w:p>
          <w:p w:rsidR="00977F01" w:rsidRPr="00963629" w:rsidRDefault="00977F01" w:rsidP="00963629">
            <w:pPr>
              <w:jc w:val="both"/>
              <w:rPr>
                <w:sz w:val="26"/>
                <w:szCs w:val="26"/>
              </w:rPr>
            </w:pPr>
            <w:r w:rsidRPr="00963629">
              <w:rPr>
                <w:sz w:val="26"/>
                <w:szCs w:val="26"/>
              </w:rPr>
              <w:t>Assistant Consumers’ Counsel</w:t>
            </w:r>
          </w:p>
          <w:p w:rsidR="00977F01" w:rsidRPr="00963629" w:rsidRDefault="00977F01" w:rsidP="00963629">
            <w:pPr>
              <w:jc w:val="both"/>
              <w:rPr>
                <w:sz w:val="26"/>
                <w:szCs w:val="26"/>
              </w:rPr>
            </w:pPr>
            <w:r w:rsidRPr="00963629">
              <w:rPr>
                <w:sz w:val="26"/>
                <w:szCs w:val="26"/>
              </w:rPr>
              <w:t>Office of the Ohio Consumers’ Counsel</w:t>
            </w:r>
          </w:p>
          <w:p w:rsidR="00977F01" w:rsidRPr="00963629" w:rsidRDefault="00977F01" w:rsidP="00963629">
            <w:pPr>
              <w:jc w:val="both"/>
              <w:rPr>
                <w:sz w:val="26"/>
                <w:szCs w:val="26"/>
              </w:rPr>
            </w:pPr>
            <w:r w:rsidRPr="00963629">
              <w:rPr>
                <w:sz w:val="26"/>
                <w:szCs w:val="26"/>
              </w:rPr>
              <w:t>10 West Broad Street</w:t>
            </w:r>
          </w:p>
          <w:p w:rsidR="00977F01" w:rsidRPr="00963629" w:rsidRDefault="00977F01" w:rsidP="00963629">
            <w:pPr>
              <w:jc w:val="both"/>
              <w:rPr>
                <w:sz w:val="26"/>
                <w:szCs w:val="26"/>
              </w:rPr>
            </w:pPr>
            <w:r w:rsidRPr="00963629">
              <w:rPr>
                <w:sz w:val="26"/>
                <w:szCs w:val="26"/>
              </w:rPr>
              <w:t>Suite 1800</w:t>
            </w:r>
          </w:p>
          <w:p w:rsidR="00977F01" w:rsidRPr="00963629" w:rsidRDefault="00977F01" w:rsidP="00963629">
            <w:pPr>
              <w:jc w:val="both"/>
              <w:rPr>
                <w:sz w:val="26"/>
                <w:szCs w:val="26"/>
              </w:rPr>
            </w:pPr>
            <w:r w:rsidRPr="00963629">
              <w:rPr>
                <w:sz w:val="26"/>
                <w:szCs w:val="26"/>
              </w:rPr>
              <w:t>Columbus, OH  43215</w:t>
            </w:r>
          </w:p>
          <w:p w:rsidR="00977F01" w:rsidRPr="00963629" w:rsidRDefault="00977F01" w:rsidP="00963629">
            <w:pPr>
              <w:jc w:val="both"/>
              <w:rPr>
                <w:sz w:val="26"/>
                <w:szCs w:val="26"/>
              </w:rPr>
            </w:pPr>
            <w:r w:rsidRPr="00963629">
              <w:rPr>
                <w:sz w:val="26"/>
                <w:szCs w:val="26"/>
              </w:rPr>
              <w:t>614.466.8574 (telephone)</w:t>
            </w:r>
          </w:p>
          <w:p w:rsidR="00977F01" w:rsidRPr="00963629" w:rsidRDefault="00977F01" w:rsidP="00963629">
            <w:pPr>
              <w:jc w:val="both"/>
              <w:rPr>
                <w:sz w:val="26"/>
                <w:szCs w:val="26"/>
              </w:rPr>
            </w:pPr>
            <w:r w:rsidRPr="00963629">
              <w:rPr>
                <w:sz w:val="26"/>
                <w:szCs w:val="26"/>
              </w:rPr>
              <w:t>614.466.9475 (fax)</w:t>
            </w:r>
          </w:p>
          <w:p w:rsidR="00977F01" w:rsidRPr="00963629" w:rsidRDefault="00977772" w:rsidP="00963629">
            <w:pPr>
              <w:jc w:val="both"/>
              <w:rPr>
                <w:sz w:val="26"/>
                <w:szCs w:val="26"/>
              </w:rPr>
            </w:pPr>
            <w:hyperlink r:id="rId18" w:history="1">
              <w:r w:rsidR="00A413E1" w:rsidRPr="00963629">
                <w:rPr>
                  <w:rStyle w:val="Hyperlink"/>
                  <w:sz w:val="26"/>
                  <w:szCs w:val="26"/>
                </w:rPr>
                <w:t>kern@occ.state.oh.us</w:t>
              </w:r>
            </w:hyperlink>
          </w:p>
          <w:p w:rsidR="00977F01" w:rsidRPr="00963629" w:rsidRDefault="00977F01" w:rsidP="00963629">
            <w:pPr>
              <w:jc w:val="both"/>
              <w:rPr>
                <w:sz w:val="26"/>
                <w:szCs w:val="26"/>
              </w:rPr>
            </w:pPr>
          </w:p>
        </w:tc>
        <w:tc>
          <w:tcPr>
            <w:tcW w:w="4788" w:type="dxa"/>
          </w:tcPr>
          <w:p w:rsidR="00A413E1" w:rsidRPr="00963629" w:rsidRDefault="00A413E1" w:rsidP="00963629">
            <w:pPr>
              <w:jc w:val="both"/>
              <w:rPr>
                <w:sz w:val="26"/>
                <w:szCs w:val="26"/>
              </w:rPr>
            </w:pPr>
            <w:r w:rsidRPr="00963629">
              <w:rPr>
                <w:sz w:val="26"/>
                <w:szCs w:val="26"/>
              </w:rPr>
              <w:t>Daniel R. Conway</w:t>
            </w:r>
          </w:p>
          <w:p w:rsidR="00977F01" w:rsidRPr="00963629" w:rsidRDefault="00A413E1" w:rsidP="00963629">
            <w:pPr>
              <w:jc w:val="both"/>
              <w:rPr>
                <w:sz w:val="26"/>
                <w:szCs w:val="26"/>
              </w:rPr>
            </w:pPr>
            <w:r w:rsidRPr="00963629">
              <w:rPr>
                <w:sz w:val="26"/>
                <w:szCs w:val="26"/>
              </w:rPr>
              <w:t>Kathleen M. Trafford</w:t>
            </w:r>
          </w:p>
          <w:p w:rsidR="00A413E1" w:rsidRPr="00963629" w:rsidRDefault="00EC4352" w:rsidP="00963629">
            <w:pPr>
              <w:jc w:val="both"/>
              <w:rPr>
                <w:sz w:val="26"/>
                <w:szCs w:val="26"/>
              </w:rPr>
            </w:pPr>
            <w:r w:rsidRPr="00963629">
              <w:rPr>
                <w:sz w:val="26"/>
                <w:szCs w:val="26"/>
              </w:rPr>
              <w:t xml:space="preserve">Porter Wright Morris &amp; Arthur </w:t>
            </w:r>
          </w:p>
          <w:p w:rsidR="00A413E1" w:rsidRPr="00963629" w:rsidRDefault="00A413E1" w:rsidP="00963629">
            <w:pPr>
              <w:jc w:val="both"/>
              <w:rPr>
                <w:sz w:val="26"/>
                <w:szCs w:val="26"/>
              </w:rPr>
            </w:pPr>
            <w:r w:rsidRPr="00963629">
              <w:rPr>
                <w:sz w:val="26"/>
                <w:szCs w:val="26"/>
              </w:rPr>
              <w:t>Huntington Center</w:t>
            </w:r>
          </w:p>
          <w:p w:rsidR="00A413E1" w:rsidRPr="00963629" w:rsidRDefault="00A413E1" w:rsidP="00963629">
            <w:pPr>
              <w:jc w:val="both"/>
              <w:rPr>
                <w:sz w:val="26"/>
                <w:szCs w:val="26"/>
              </w:rPr>
            </w:pPr>
            <w:r w:rsidRPr="00963629">
              <w:rPr>
                <w:sz w:val="26"/>
                <w:szCs w:val="26"/>
              </w:rPr>
              <w:t>41, S. High Street</w:t>
            </w:r>
          </w:p>
          <w:p w:rsidR="00A413E1" w:rsidRPr="00963629" w:rsidRDefault="00A413E1" w:rsidP="00963629">
            <w:pPr>
              <w:jc w:val="both"/>
              <w:rPr>
                <w:sz w:val="26"/>
                <w:szCs w:val="26"/>
              </w:rPr>
            </w:pPr>
            <w:r w:rsidRPr="00963629">
              <w:rPr>
                <w:sz w:val="26"/>
                <w:szCs w:val="26"/>
              </w:rPr>
              <w:t>Columbus, Ohio 43215</w:t>
            </w:r>
          </w:p>
          <w:p w:rsidR="00A413E1" w:rsidRPr="00963629" w:rsidRDefault="00A413E1" w:rsidP="00963629">
            <w:pPr>
              <w:jc w:val="both"/>
              <w:rPr>
                <w:sz w:val="26"/>
                <w:szCs w:val="26"/>
              </w:rPr>
            </w:pPr>
            <w:r w:rsidRPr="00963629">
              <w:rPr>
                <w:sz w:val="26"/>
                <w:szCs w:val="26"/>
              </w:rPr>
              <w:t>Telephone: (614) 227-2770</w:t>
            </w:r>
          </w:p>
          <w:p w:rsidR="00A413E1" w:rsidRPr="00963629" w:rsidRDefault="00A413E1" w:rsidP="00963629">
            <w:pPr>
              <w:jc w:val="both"/>
              <w:rPr>
                <w:sz w:val="26"/>
                <w:szCs w:val="26"/>
              </w:rPr>
            </w:pPr>
            <w:r w:rsidRPr="00963629">
              <w:rPr>
                <w:sz w:val="26"/>
                <w:szCs w:val="26"/>
              </w:rPr>
              <w:t>Fax: (614) 227-2100</w:t>
            </w:r>
          </w:p>
          <w:p w:rsidR="00A413E1" w:rsidRPr="00963629" w:rsidRDefault="00977772" w:rsidP="00963629">
            <w:pPr>
              <w:jc w:val="both"/>
              <w:rPr>
                <w:sz w:val="26"/>
                <w:szCs w:val="26"/>
              </w:rPr>
            </w:pPr>
            <w:hyperlink r:id="rId19" w:history="1">
              <w:r w:rsidR="00A413E1" w:rsidRPr="00963629">
                <w:rPr>
                  <w:rStyle w:val="Hyperlink"/>
                  <w:sz w:val="26"/>
                  <w:szCs w:val="26"/>
                </w:rPr>
                <w:t>dconway@porterwright.com</w:t>
              </w:r>
            </w:hyperlink>
          </w:p>
          <w:p w:rsidR="00A413E1" w:rsidRPr="00963629" w:rsidRDefault="00977772" w:rsidP="00963629">
            <w:pPr>
              <w:jc w:val="both"/>
              <w:rPr>
                <w:sz w:val="26"/>
                <w:szCs w:val="26"/>
              </w:rPr>
            </w:pPr>
            <w:hyperlink r:id="rId20" w:history="1">
              <w:r w:rsidR="00A413E1" w:rsidRPr="00963629">
                <w:rPr>
                  <w:rStyle w:val="Hyperlink"/>
                  <w:sz w:val="26"/>
                  <w:szCs w:val="26"/>
                </w:rPr>
                <w:t>ktrafford@porterwright.com</w:t>
              </w:r>
            </w:hyperlink>
          </w:p>
          <w:p w:rsidR="00977F01" w:rsidRPr="00963629" w:rsidRDefault="00A413E1" w:rsidP="00963629">
            <w:pPr>
              <w:jc w:val="both"/>
              <w:rPr>
                <w:sz w:val="26"/>
                <w:szCs w:val="26"/>
              </w:rPr>
            </w:pPr>
            <w:r w:rsidRPr="00963629">
              <w:rPr>
                <w:sz w:val="26"/>
                <w:szCs w:val="26"/>
              </w:rPr>
              <w:t xml:space="preserve"> </w:t>
            </w:r>
          </w:p>
          <w:p w:rsidR="00977F01" w:rsidRPr="00963629" w:rsidRDefault="00977F01" w:rsidP="00963629">
            <w:pPr>
              <w:ind w:left="720" w:hanging="720"/>
              <w:jc w:val="both"/>
              <w:rPr>
                <w:sz w:val="26"/>
                <w:szCs w:val="26"/>
              </w:rPr>
            </w:pPr>
          </w:p>
        </w:tc>
      </w:tr>
    </w:tbl>
    <w:p w:rsidR="009B60E6" w:rsidRPr="008E4A67" w:rsidRDefault="009B60E6" w:rsidP="008E4A67">
      <w:pPr>
        <w:spacing w:line="276" w:lineRule="auto"/>
        <w:rPr>
          <w:rFonts w:ascii="Arial" w:hAnsi="Arial" w:cs="Arial"/>
          <w:sz w:val="24"/>
          <w:szCs w:val="24"/>
        </w:rPr>
      </w:pPr>
    </w:p>
    <w:sectPr w:rsidR="009B60E6" w:rsidRPr="008E4A67" w:rsidSect="00963629">
      <w:headerReference w:type="default" r:id="rId21"/>
      <w:footerReference w:type="default" r:id="rId22"/>
      <w:headerReference w:type="first" r:id="rId23"/>
      <w:footerReference w:type="first" r:id="rId24"/>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1B" w:rsidRDefault="00D8571B" w:rsidP="008866FC">
      <w:pPr>
        <w:pStyle w:val="Title"/>
      </w:pPr>
      <w:r>
        <w:separator/>
      </w:r>
    </w:p>
  </w:endnote>
  <w:endnote w:type="continuationSeparator" w:id="0">
    <w:p w:rsidR="00D8571B" w:rsidRDefault="00D8571B"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Default="003E7490"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Pr="007F5520" w:rsidRDefault="003E7490"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ii</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Pr="00C95499" w:rsidRDefault="003E7490"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977772">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42923186"/>
      <w:docPartObj>
        <w:docPartGallery w:val="Page Numbers (Bottom of Page)"/>
        <w:docPartUnique/>
      </w:docPartObj>
    </w:sdtPr>
    <w:sdtEndPr>
      <w:rPr>
        <w:noProof/>
      </w:rPr>
    </w:sdtEndPr>
    <w:sdtContent>
      <w:p w:rsidR="003E7490" w:rsidRPr="00963629" w:rsidRDefault="00963629" w:rsidP="00963629">
        <w:pPr>
          <w:pStyle w:val="Footer"/>
          <w:jc w:val="center"/>
          <w:rPr>
            <w:sz w:val="24"/>
            <w:szCs w:val="24"/>
          </w:rPr>
        </w:pPr>
        <w:r w:rsidRPr="00963629">
          <w:rPr>
            <w:sz w:val="24"/>
            <w:szCs w:val="24"/>
          </w:rPr>
          <w:fldChar w:fldCharType="begin"/>
        </w:r>
        <w:r w:rsidRPr="00963629">
          <w:rPr>
            <w:sz w:val="24"/>
            <w:szCs w:val="24"/>
          </w:rPr>
          <w:instrText xml:space="preserve"> PAGE   \* MERGEFORMAT </w:instrText>
        </w:r>
        <w:r w:rsidRPr="00963629">
          <w:rPr>
            <w:sz w:val="24"/>
            <w:szCs w:val="24"/>
          </w:rPr>
          <w:fldChar w:fldCharType="separate"/>
        </w:r>
        <w:r w:rsidR="00977772">
          <w:rPr>
            <w:noProof/>
            <w:sz w:val="24"/>
            <w:szCs w:val="24"/>
          </w:rPr>
          <w:t>14</w:t>
        </w:r>
        <w:r w:rsidRPr="00963629">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Pr="00963629" w:rsidRDefault="003E7490" w:rsidP="00963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1B" w:rsidRDefault="00D8571B" w:rsidP="00663D6A">
      <w:pPr>
        <w:pStyle w:val="Title"/>
        <w:jc w:val="left"/>
      </w:pPr>
      <w:r>
        <w:separator/>
      </w:r>
    </w:p>
  </w:footnote>
  <w:footnote w:type="continuationSeparator" w:id="0">
    <w:p w:rsidR="00D8571B" w:rsidRDefault="00D8571B" w:rsidP="008866F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Default="003E7490"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977772">
      <w:rPr>
        <w:b/>
        <w:noProof/>
        <w:color w:val="FF0000"/>
      </w:rPr>
      <w:t>1/3/2013</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977772">
      <w:rPr>
        <w:b/>
        <w:noProof/>
        <w:color w:val="FF0000"/>
      </w:rPr>
      <w:t>3:44:58 PM</w:t>
    </w:r>
    <w:r>
      <w:rPr>
        <w:b/>
        <w:color w:val="FF0000"/>
      </w:rPr>
      <w:fldChar w:fldCharType="end"/>
    </w:r>
  </w:p>
  <w:p w:rsidR="003E7490" w:rsidRPr="003B12DD" w:rsidRDefault="003E7490"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977772">
      <w:rPr>
        <w:b/>
        <w:noProof/>
        <w:color w:val="FF0000"/>
      </w:rPr>
      <w:t>\\puc\shares\Departments\Attorney General\Attorneys\McNamee\Comm. Cases\electric cases\12-1969-EL-ATS Ohio Power\Comments 010413.docx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Default="003E7490" w:rsidP="00861BE6">
    <w:pPr>
      <w:jc w:val="center"/>
      <w:rPr>
        <w:b/>
        <w:sz w:val="28"/>
        <w:szCs w:val="24"/>
      </w:rPr>
    </w:pPr>
    <w:r w:rsidRPr="005A076C">
      <w:rPr>
        <w:b/>
        <w:sz w:val="28"/>
        <w:szCs w:val="24"/>
      </w:rPr>
      <w:t>TABLE OF CONTENTS</w:t>
    </w:r>
    <w:r>
      <w:rPr>
        <w:b/>
        <w:sz w:val="28"/>
        <w:szCs w:val="24"/>
      </w:rPr>
      <w:t xml:space="preserve"> (cont’d)</w:t>
    </w:r>
  </w:p>
  <w:p w:rsidR="003E7490" w:rsidRPr="005A076C" w:rsidRDefault="003E7490" w:rsidP="00861BE6">
    <w:pPr>
      <w:tabs>
        <w:tab w:val="right" w:pos="9360"/>
      </w:tabs>
      <w:jc w:val="right"/>
      <w:rPr>
        <w:b/>
        <w:sz w:val="28"/>
        <w:szCs w:val="24"/>
      </w:rPr>
    </w:pPr>
    <w:r>
      <w:rPr>
        <w:b/>
        <w:sz w:val="28"/>
        <w:szCs w:val="24"/>
      </w:rPr>
      <w:t>PAGE</w:t>
    </w:r>
  </w:p>
  <w:p w:rsidR="003E7490" w:rsidRPr="005A076C" w:rsidRDefault="003E7490" w:rsidP="00861BE6">
    <w:pPr>
      <w:jc w:val="center"/>
      <w:rPr>
        <w:b/>
        <w:sz w:val="24"/>
        <w:szCs w:val="24"/>
      </w:rPr>
    </w:pPr>
  </w:p>
  <w:p w:rsidR="003E7490" w:rsidRPr="00861BE6" w:rsidRDefault="003E7490" w:rsidP="00861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Pr="00861BE6" w:rsidRDefault="003E7490" w:rsidP="005A076C">
    <w:pPr>
      <w:jc w:val="center"/>
      <w:rPr>
        <w:b/>
        <w:sz w:val="28"/>
        <w:szCs w:val="28"/>
      </w:rPr>
    </w:pPr>
    <w:r w:rsidRPr="00861BE6">
      <w:rPr>
        <w:b/>
        <w:sz w:val="28"/>
        <w:szCs w:val="28"/>
      </w:rPr>
      <w:t>TABLE OF CONTENTS</w:t>
    </w:r>
  </w:p>
  <w:p w:rsidR="003E7490" w:rsidRPr="00861BE6" w:rsidRDefault="003E7490" w:rsidP="00861BE6">
    <w:pPr>
      <w:jc w:val="right"/>
      <w:rPr>
        <w:b/>
        <w:sz w:val="28"/>
        <w:szCs w:val="28"/>
      </w:rPr>
    </w:pPr>
    <w:r w:rsidRPr="00861BE6">
      <w:rPr>
        <w:b/>
        <w:sz w:val="28"/>
        <w:szCs w:val="28"/>
      </w:rPr>
      <w:t>PAGE</w:t>
    </w:r>
  </w:p>
  <w:p w:rsidR="003E7490" w:rsidRPr="005A076C" w:rsidRDefault="003E7490" w:rsidP="005A07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Pr="007C4D6B" w:rsidRDefault="003E7490" w:rsidP="00A23C3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90" w:rsidRPr="00244854" w:rsidRDefault="003E7490" w:rsidP="00244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655"/>
    <w:multiLevelType w:val="hybridMultilevel"/>
    <w:tmpl w:val="197891DA"/>
    <w:lvl w:ilvl="0" w:tplc="C61468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0F32406"/>
    <w:multiLevelType w:val="hybridMultilevel"/>
    <w:tmpl w:val="77D6BC10"/>
    <w:lvl w:ilvl="0" w:tplc="6A886EA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5B84"/>
    <w:multiLevelType w:val="hybridMultilevel"/>
    <w:tmpl w:val="95A690DC"/>
    <w:lvl w:ilvl="0" w:tplc="B1C09006">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4BCF"/>
    <w:multiLevelType w:val="hybridMultilevel"/>
    <w:tmpl w:val="A704E41C"/>
    <w:lvl w:ilvl="0" w:tplc="96142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6D4EE4"/>
    <w:multiLevelType w:val="multilevel"/>
    <w:tmpl w:val="D66CA4D2"/>
    <w:lvl w:ilvl="0">
      <w:start w:val="1"/>
      <w:numFmt w:val="decimal"/>
      <w:lvlText w:val="%1)"/>
      <w:lvlJc w:val="left"/>
      <w:pPr>
        <w:ind w:left="3690" w:hanging="360"/>
      </w:pPr>
      <w:rPr>
        <w:rFonts w:hint="default"/>
        <w:color w:val="auto"/>
      </w:r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5">
    <w:nsid w:val="0DA11E9A"/>
    <w:multiLevelType w:val="hybridMultilevel"/>
    <w:tmpl w:val="A4A4B36E"/>
    <w:lvl w:ilvl="0" w:tplc="11646732">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5562F"/>
    <w:multiLevelType w:val="hybridMultilevel"/>
    <w:tmpl w:val="CC902762"/>
    <w:lvl w:ilvl="0" w:tplc="82BE33DE">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B7B86"/>
    <w:multiLevelType w:val="hybridMultilevel"/>
    <w:tmpl w:val="FB56DF9C"/>
    <w:lvl w:ilvl="0" w:tplc="934E9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05993"/>
    <w:multiLevelType w:val="hybridMultilevel"/>
    <w:tmpl w:val="8FE489D4"/>
    <w:lvl w:ilvl="0" w:tplc="0B344592">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97E5AE1"/>
    <w:multiLevelType w:val="hybridMultilevel"/>
    <w:tmpl w:val="3C169F0A"/>
    <w:lvl w:ilvl="0" w:tplc="B65C6590">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81711F"/>
    <w:multiLevelType w:val="hybridMultilevel"/>
    <w:tmpl w:val="A6C8E54A"/>
    <w:lvl w:ilvl="0" w:tplc="0374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41C68"/>
    <w:multiLevelType w:val="hybridMultilevel"/>
    <w:tmpl w:val="F45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175A3"/>
    <w:multiLevelType w:val="hybridMultilevel"/>
    <w:tmpl w:val="9640C224"/>
    <w:lvl w:ilvl="0" w:tplc="71124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236C5"/>
    <w:multiLevelType w:val="hybridMultilevel"/>
    <w:tmpl w:val="C25272E4"/>
    <w:lvl w:ilvl="0" w:tplc="0512CD9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21459F"/>
    <w:multiLevelType w:val="hybridMultilevel"/>
    <w:tmpl w:val="F3E8C384"/>
    <w:lvl w:ilvl="0" w:tplc="20FEF5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D81522"/>
    <w:multiLevelType w:val="hybridMultilevel"/>
    <w:tmpl w:val="4C5CF03E"/>
    <w:lvl w:ilvl="0" w:tplc="1478C1DA">
      <w:start w:val="1"/>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80445"/>
    <w:multiLevelType w:val="hybridMultilevel"/>
    <w:tmpl w:val="C68C654C"/>
    <w:lvl w:ilvl="0" w:tplc="8ABE23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CD2A40"/>
    <w:multiLevelType w:val="hybridMultilevel"/>
    <w:tmpl w:val="D9D2F074"/>
    <w:lvl w:ilvl="0" w:tplc="E9702FE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381DED"/>
    <w:multiLevelType w:val="hybridMultilevel"/>
    <w:tmpl w:val="3416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4752D"/>
    <w:multiLevelType w:val="hybridMultilevel"/>
    <w:tmpl w:val="E5F0D6DA"/>
    <w:lvl w:ilvl="0" w:tplc="29F4F8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3F67E17"/>
    <w:multiLevelType w:val="hybridMultilevel"/>
    <w:tmpl w:val="28A6C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A3E37"/>
    <w:multiLevelType w:val="hybridMultilevel"/>
    <w:tmpl w:val="0C7AFF16"/>
    <w:lvl w:ilvl="0" w:tplc="C8DAF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76B0F"/>
    <w:multiLevelType w:val="hybridMultilevel"/>
    <w:tmpl w:val="4A564F5A"/>
    <w:lvl w:ilvl="0" w:tplc="91C471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18"/>
  </w:num>
  <w:num w:numId="4">
    <w:abstractNumId w:val="14"/>
  </w:num>
  <w:num w:numId="5">
    <w:abstractNumId w:val="11"/>
  </w:num>
  <w:num w:numId="6">
    <w:abstractNumId w:val="22"/>
  </w:num>
  <w:num w:numId="7">
    <w:abstractNumId w:val="4"/>
  </w:num>
  <w:num w:numId="8">
    <w:abstractNumId w:val="21"/>
  </w:num>
  <w:num w:numId="9">
    <w:abstractNumId w:val="2"/>
  </w:num>
  <w:num w:numId="10">
    <w:abstractNumId w:val="2"/>
    <w:lvlOverride w:ilvl="0">
      <w:startOverride w:val="6"/>
    </w:lvlOverride>
  </w:num>
  <w:num w:numId="11">
    <w:abstractNumId w:val="19"/>
  </w:num>
  <w:num w:numId="12">
    <w:abstractNumId w:val="13"/>
  </w:num>
  <w:num w:numId="13">
    <w:abstractNumId w:val="5"/>
  </w:num>
  <w:num w:numId="14">
    <w:abstractNumId w:val="1"/>
  </w:num>
  <w:num w:numId="15">
    <w:abstractNumId w:val="15"/>
  </w:num>
  <w:num w:numId="16">
    <w:abstractNumId w:val="6"/>
  </w:num>
  <w:num w:numId="17">
    <w:abstractNumId w:val="20"/>
  </w:num>
  <w:num w:numId="18">
    <w:abstractNumId w:val="7"/>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8"/>
  </w:num>
  <w:num w:numId="24">
    <w:abstractNumId w:val="0"/>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11"/>
    <w:rsid w:val="0000004B"/>
    <w:rsid w:val="0000052E"/>
    <w:rsid w:val="000007BF"/>
    <w:rsid w:val="00000D4C"/>
    <w:rsid w:val="0000112F"/>
    <w:rsid w:val="000017E8"/>
    <w:rsid w:val="000018A2"/>
    <w:rsid w:val="00001B69"/>
    <w:rsid w:val="00001FF4"/>
    <w:rsid w:val="00002508"/>
    <w:rsid w:val="0000257D"/>
    <w:rsid w:val="00002779"/>
    <w:rsid w:val="000028B6"/>
    <w:rsid w:val="0000334F"/>
    <w:rsid w:val="0000378A"/>
    <w:rsid w:val="00003816"/>
    <w:rsid w:val="00003DDE"/>
    <w:rsid w:val="00003DF7"/>
    <w:rsid w:val="00003FC3"/>
    <w:rsid w:val="0000471E"/>
    <w:rsid w:val="00005932"/>
    <w:rsid w:val="00005983"/>
    <w:rsid w:val="0000598A"/>
    <w:rsid w:val="000063A0"/>
    <w:rsid w:val="00006929"/>
    <w:rsid w:val="00006CA5"/>
    <w:rsid w:val="00007242"/>
    <w:rsid w:val="000072B6"/>
    <w:rsid w:val="00007967"/>
    <w:rsid w:val="000100CC"/>
    <w:rsid w:val="000102E1"/>
    <w:rsid w:val="0001053B"/>
    <w:rsid w:val="00011169"/>
    <w:rsid w:val="000119C2"/>
    <w:rsid w:val="0001268A"/>
    <w:rsid w:val="0001278C"/>
    <w:rsid w:val="0001282B"/>
    <w:rsid w:val="00012ABB"/>
    <w:rsid w:val="00012FA7"/>
    <w:rsid w:val="00013BA9"/>
    <w:rsid w:val="00014470"/>
    <w:rsid w:val="0001485D"/>
    <w:rsid w:val="00014AA5"/>
    <w:rsid w:val="00014AB7"/>
    <w:rsid w:val="00014E4F"/>
    <w:rsid w:val="0001509B"/>
    <w:rsid w:val="00015561"/>
    <w:rsid w:val="000158AD"/>
    <w:rsid w:val="00015AA3"/>
    <w:rsid w:val="00015C74"/>
    <w:rsid w:val="00015FD3"/>
    <w:rsid w:val="00016760"/>
    <w:rsid w:val="000168EC"/>
    <w:rsid w:val="00016A7F"/>
    <w:rsid w:val="00016F0B"/>
    <w:rsid w:val="00016F51"/>
    <w:rsid w:val="0001726D"/>
    <w:rsid w:val="00017C7D"/>
    <w:rsid w:val="00017E69"/>
    <w:rsid w:val="0002012D"/>
    <w:rsid w:val="00020911"/>
    <w:rsid w:val="000210FA"/>
    <w:rsid w:val="0002116E"/>
    <w:rsid w:val="0002165B"/>
    <w:rsid w:val="00021B66"/>
    <w:rsid w:val="00022EC2"/>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5FE2"/>
    <w:rsid w:val="00026B8B"/>
    <w:rsid w:val="00026F29"/>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0E59"/>
    <w:rsid w:val="00041996"/>
    <w:rsid w:val="00041E34"/>
    <w:rsid w:val="00041F64"/>
    <w:rsid w:val="0004228B"/>
    <w:rsid w:val="00042783"/>
    <w:rsid w:val="000428E0"/>
    <w:rsid w:val="00042E9F"/>
    <w:rsid w:val="00043027"/>
    <w:rsid w:val="000432DE"/>
    <w:rsid w:val="00043531"/>
    <w:rsid w:val="000435A1"/>
    <w:rsid w:val="00043C56"/>
    <w:rsid w:val="000441CE"/>
    <w:rsid w:val="0004481E"/>
    <w:rsid w:val="000449BB"/>
    <w:rsid w:val="00044C55"/>
    <w:rsid w:val="00045658"/>
    <w:rsid w:val="00045C5F"/>
    <w:rsid w:val="00046A61"/>
    <w:rsid w:val="00046D07"/>
    <w:rsid w:val="000475D8"/>
    <w:rsid w:val="0004772F"/>
    <w:rsid w:val="000479EC"/>
    <w:rsid w:val="00047A5F"/>
    <w:rsid w:val="00047A73"/>
    <w:rsid w:val="0005054E"/>
    <w:rsid w:val="0005119D"/>
    <w:rsid w:val="000512B2"/>
    <w:rsid w:val="0005178A"/>
    <w:rsid w:val="0005197D"/>
    <w:rsid w:val="00052455"/>
    <w:rsid w:val="00052532"/>
    <w:rsid w:val="00052D81"/>
    <w:rsid w:val="0005338E"/>
    <w:rsid w:val="000534B5"/>
    <w:rsid w:val="00053737"/>
    <w:rsid w:val="00053B61"/>
    <w:rsid w:val="00053FDD"/>
    <w:rsid w:val="000547B3"/>
    <w:rsid w:val="00054903"/>
    <w:rsid w:val="00054A1E"/>
    <w:rsid w:val="00054E4B"/>
    <w:rsid w:val="00055316"/>
    <w:rsid w:val="0005532E"/>
    <w:rsid w:val="00055A53"/>
    <w:rsid w:val="00055C96"/>
    <w:rsid w:val="00055D80"/>
    <w:rsid w:val="00056561"/>
    <w:rsid w:val="00056D76"/>
    <w:rsid w:val="000572BC"/>
    <w:rsid w:val="000572FB"/>
    <w:rsid w:val="000577B8"/>
    <w:rsid w:val="000578E2"/>
    <w:rsid w:val="00057EE6"/>
    <w:rsid w:val="000600C1"/>
    <w:rsid w:val="000600C4"/>
    <w:rsid w:val="000600E5"/>
    <w:rsid w:val="000600EA"/>
    <w:rsid w:val="000609A3"/>
    <w:rsid w:val="00060A34"/>
    <w:rsid w:val="00060B26"/>
    <w:rsid w:val="00060B97"/>
    <w:rsid w:val="00061116"/>
    <w:rsid w:val="00061403"/>
    <w:rsid w:val="000616D4"/>
    <w:rsid w:val="00061985"/>
    <w:rsid w:val="00061B4D"/>
    <w:rsid w:val="0006230F"/>
    <w:rsid w:val="0006236E"/>
    <w:rsid w:val="000626DA"/>
    <w:rsid w:val="00062838"/>
    <w:rsid w:val="00062922"/>
    <w:rsid w:val="00062B35"/>
    <w:rsid w:val="00062F19"/>
    <w:rsid w:val="0006348B"/>
    <w:rsid w:val="00063B9C"/>
    <w:rsid w:val="00063D48"/>
    <w:rsid w:val="00063E72"/>
    <w:rsid w:val="00064B28"/>
    <w:rsid w:val="000650ED"/>
    <w:rsid w:val="0006523F"/>
    <w:rsid w:val="0006587B"/>
    <w:rsid w:val="000660B3"/>
    <w:rsid w:val="0006619D"/>
    <w:rsid w:val="00066B9B"/>
    <w:rsid w:val="0006742E"/>
    <w:rsid w:val="00067454"/>
    <w:rsid w:val="0006748E"/>
    <w:rsid w:val="00067670"/>
    <w:rsid w:val="0006795C"/>
    <w:rsid w:val="00067A71"/>
    <w:rsid w:val="0007021F"/>
    <w:rsid w:val="0007065E"/>
    <w:rsid w:val="0007085C"/>
    <w:rsid w:val="00070CE5"/>
    <w:rsid w:val="00070EBD"/>
    <w:rsid w:val="000712D5"/>
    <w:rsid w:val="000714A7"/>
    <w:rsid w:val="00072FC5"/>
    <w:rsid w:val="0007354B"/>
    <w:rsid w:val="00073843"/>
    <w:rsid w:val="00073AD1"/>
    <w:rsid w:val="00073ADB"/>
    <w:rsid w:val="00073EB5"/>
    <w:rsid w:val="00074F17"/>
    <w:rsid w:val="000751ED"/>
    <w:rsid w:val="000753F8"/>
    <w:rsid w:val="00075649"/>
    <w:rsid w:val="000757CC"/>
    <w:rsid w:val="000759D8"/>
    <w:rsid w:val="000763C7"/>
    <w:rsid w:val="00076A08"/>
    <w:rsid w:val="00076ED9"/>
    <w:rsid w:val="0007739A"/>
    <w:rsid w:val="000777F1"/>
    <w:rsid w:val="00080488"/>
    <w:rsid w:val="0008110F"/>
    <w:rsid w:val="0008127E"/>
    <w:rsid w:val="00081594"/>
    <w:rsid w:val="000817E2"/>
    <w:rsid w:val="00082210"/>
    <w:rsid w:val="000823F4"/>
    <w:rsid w:val="00082A10"/>
    <w:rsid w:val="00082A26"/>
    <w:rsid w:val="0008354D"/>
    <w:rsid w:val="0008363A"/>
    <w:rsid w:val="0008393D"/>
    <w:rsid w:val="00083FB0"/>
    <w:rsid w:val="00083FD5"/>
    <w:rsid w:val="000840D0"/>
    <w:rsid w:val="00084664"/>
    <w:rsid w:val="00084B88"/>
    <w:rsid w:val="00084D3A"/>
    <w:rsid w:val="00084D72"/>
    <w:rsid w:val="00084FF9"/>
    <w:rsid w:val="000852C4"/>
    <w:rsid w:val="00085F56"/>
    <w:rsid w:val="000867AB"/>
    <w:rsid w:val="00087012"/>
    <w:rsid w:val="00087138"/>
    <w:rsid w:val="000874A8"/>
    <w:rsid w:val="00087AC3"/>
    <w:rsid w:val="0009037A"/>
    <w:rsid w:val="000904BB"/>
    <w:rsid w:val="000904CA"/>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59CA"/>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D08"/>
    <w:rsid w:val="000A1FE4"/>
    <w:rsid w:val="000A2BD1"/>
    <w:rsid w:val="000A3294"/>
    <w:rsid w:val="000A33FF"/>
    <w:rsid w:val="000A34BB"/>
    <w:rsid w:val="000A39EC"/>
    <w:rsid w:val="000A3F36"/>
    <w:rsid w:val="000A3FF2"/>
    <w:rsid w:val="000A42C7"/>
    <w:rsid w:val="000A48FA"/>
    <w:rsid w:val="000A4B5F"/>
    <w:rsid w:val="000A4F56"/>
    <w:rsid w:val="000A5AFB"/>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4EAE"/>
    <w:rsid w:val="000B51D4"/>
    <w:rsid w:val="000B5351"/>
    <w:rsid w:val="000B539F"/>
    <w:rsid w:val="000B54A0"/>
    <w:rsid w:val="000B5509"/>
    <w:rsid w:val="000B55E4"/>
    <w:rsid w:val="000B56C8"/>
    <w:rsid w:val="000B5A11"/>
    <w:rsid w:val="000B622C"/>
    <w:rsid w:val="000B64F2"/>
    <w:rsid w:val="000B77F8"/>
    <w:rsid w:val="000B799D"/>
    <w:rsid w:val="000B7ACA"/>
    <w:rsid w:val="000C041D"/>
    <w:rsid w:val="000C07C7"/>
    <w:rsid w:val="000C0842"/>
    <w:rsid w:val="000C1044"/>
    <w:rsid w:val="000C1A63"/>
    <w:rsid w:val="000C21C7"/>
    <w:rsid w:val="000C2400"/>
    <w:rsid w:val="000C2ADB"/>
    <w:rsid w:val="000C3AB5"/>
    <w:rsid w:val="000C3AC6"/>
    <w:rsid w:val="000C3C65"/>
    <w:rsid w:val="000C3D9D"/>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4C65"/>
    <w:rsid w:val="000D5461"/>
    <w:rsid w:val="000D6339"/>
    <w:rsid w:val="000D651A"/>
    <w:rsid w:val="000D664F"/>
    <w:rsid w:val="000D67E5"/>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763"/>
    <w:rsid w:val="000E1B82"/>
    <w:rsid w:val="000E1E4D"/>
    <w:rsid w:val="000E27A3"/>
    <w:rsid w:val="000E2F0A"/>
    <w:rsid w:val="000E384D"/>
    <w:rsid w:val="000E44B6"/>
    <w:rsid w:val="000E4692"/>
    <w:rsid w:val="000E5086"/>
    <w:rsid w:val="000E54C9"/>
    <w:rsid w:val="000E5543"/>
    <w:rsid w:val="000E5569"/>
    <w:rsid w:val="000E5B4B"/>
    <w:rsid w:val="000E5F0A"/>
    <w:rsid w:val="000E5F7B"/>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72D"/>
    <w:rsid w:val="000F48C3"/>
    <w:rsid w:val="000F4A3A"/>
    <w:rsid w:val="000F4B8F"/>
    <w:rsid w:val="000F4E6C"/>
    <w:rsid w:val="000F5448"/>
    <w:rsid w:val="000F64EB"/>
    <w:rsid w:val="000F6752"/>
    <w:rsid w:val="000F6DC9"/>
    <w:rsid w:val="000F7031"/>
    <w:rsid w:val="000F78F0"/>
    <w:rsid w:val="000F7A86"/>
    <w:rsid w:val="00100BF5"/>
    <w:rsid w:val="00100C27"/>
    <w:rsid w:val="00100C2B"/>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CF6"/>
    <w:rsid w:val="00104DC9"/>
    <w:rsid w:val="00104F04"/>
    <w:rsid w:val="00104F51"/>
    <w:rsid w:val="0010503B"/>
    <w:rsid w:val="00105334"/>
    <w:rsid w:val="00105459"/>
    <w:rsid w:val="00106026"/>
    <w:rsid w:val="00106190"/>
    <w:rsid w:val="0010642A"/>
    <w:rsid w:val="001065D4"/>
    <w:rsid w:val="00106DF9"/>
    <w:rsid w:val="0010727E"/>
    <w:rsid w:val="00107D0B"/>
    <w:rsid w:val="00110EC1"/>
    <w:rsid w:val="0011138C"/>
    <w:rsid w:val="00111505"/>
    <w:rsid w:val="00111788"/>
    <w:rsid w:val="00111A82"/>
    <w:rsid w:val="00111DB7"/>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279"/>
    <w:rsid w:val="0011732F"/>
    <w:rsid w:val="00117C1F"/>
    <w:rsid w:val="001204A3"/>
    <w:rsid w:val="001209A3"/>
    <w:rsid w:val="00120DE2"/>
    <w:rsid w:val="00120E12"/>
    <w:rsid w:val="00120F03"/>
    <w:rsid w:val="001216E1"/>
    <w:rsid w:val="00121B21"/>
    <w:rsid w:val="001222D8"/>
    <w:rsid w:val="00122AFC"/>
    <w:rsid w:val="00122C33"/>
    <w:rsid w:val="00122ECA"/>
    <w:rsid w:val="00123562"/>
    <w:rsid w:val="00123647"/>
    <w:rsid w:val="001236A1"/>
    <w:rsid w:val="001239B8"/>
    <w:rsid w:val="00123AE0"/>
    <w:rsid w:val="00123C69"/>
    <w:rsid w:val="00124193"/>
    <w:rsid w:val="001241FC"/>
    <w:rsid w:val="001242C9"/>
    <w:rsid w:val="001244AA"/>
    <w:rsid w:val="00124B43"/>
    <w:rsid w:val="00124F62"/>
    <w:rsid w:val="00124F7F"/>
    <w:rsid w:val="00125271"/>
    <w:rsid w:val="00125360"/>
    <w:rsid w:val="0012577F"/>
    <w:rsid w:val="00125BEC"/>
    <w:rsid w:val="0012658C"/>
    <w:rsid w:val="001275FB"/>
    <w:rsid w:val="00127D0E"/>
    <w:rsid w:val="001302B4"/>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B13"/>
    <w:rsid w:val="00136C13"/>
    <w:rsid w:val="00136E07"/>
    <w:rsid w:val="00137391"/>
    <w:rsid w:val="00137860"/>
    <w:rsid w:val="001378A9"/>
    <w:rsid w:val="00140AC2"/>
    <w:rsid w:val="00141332"/>
    <w:rsid w:val="0014180B"/>
    <w:rsid w:val="00141FA8"/>
    <w:rsid w:val="001424BB"/>
    <w:rsid w:val="001426C6"/>
    <w:rsid w:val="0014274A"/>
    <w:rsid w:val="00142A47"/>
    <w:rsid w:val="00142AF5"/>
    <w:rsid w:val="00142B4C"/>
    <w:rsid w:val="00142D8F"/>
    <w:rsid w:val="00143048"/>
    <w:rsid w:val="001430CB"/>
    <w:rsid w:val="00143119"/>
    <w:rsid w:val="0014332E"/>
    <w:rsid w:val="001434B6"/>
    <w:rsid w:val="001438E0"/>
    <w:rsid w:val="0014394C"/>
    <w:rsid w:val="00143AF8"/>
    <w:rsid w:val="00143B3B"/>
    <w:rsid w:val="00143B6D"/>
    <w:rsid w:val="00143DD8"/>
    <w:rsid w:val="00144412"/>
    <w:rsid w:val="00144513"/>
    <w:rsid w:val="00144561"/>
    <w:rsid w:val="00144768"/>
    <w:rsid w:val="001447FC"/>
    <w:rsid w:val="00144DE7"/>
    <w:rsid w:val="00144E48"/>
    <w:rsid w:val="00144E61"/>
    <w:rsid w:val="0014528C"/>
    <w:rsid w:val="001454CE"/>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0C9D"/>
    <w:rsid w:val="0015109E"/>
    <w:rsid w:val="00151581"/>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21F"/>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87E"/>
    <w:rsid w:val="00160A72"/>
    <w:rsid w:val="00160FA7"/>
    <w:rsid w:val="00160FDE"/>
    <w:rsid w:val="00161205"/>
    <w:rsid w:val="0016171B"/>
    <w:rsid w:val="00161995"/>
    <w:rsid w:val="001628C0"/>
    <w:rsid w:val="001630A5"/>
    <w:rsid w:val="0016335D"/>
    <w:rsid w:val="001633F0"/>
    <w:rsid w:val="001636E0"/>
    <w:rsid w:val="00163CA4"/>
    <w:rsid w:val="001642AE"/>
    <w:rsid w:val="00164304"/>
    <w:rsid w:val="001645DD"/>
    <w:rsid w:val="0016490B"/>
    <w:rsid w:val="00164E53"/>
    <w:rsid w:val="00165049"/>
    <w:rsid w:val="0016550F"/>
    <w:rsid w:val="00165566"/>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0F2"/>
    <w:rsid w:val="00171E9F"/>
    <w:rsid w:val="00171EE8"/>
    <w:rsid w:val="001720EF"/>
    <w:rsid w:val="001721FC"/>
    <w:rsid w:val="001723B6"/>
    <w:rsid w:val="00173DF6"/>
    <w:rsid w:val="00173E89"/>
    <w:rsid w:val="00173F29"/>
    <w:rsid w:val="001740D4"/>
    <w:rsid w:val="0017432D"/>
    <w:rsid w:val="00174B04"/>
    <w:rsid w:val="00174F97"/>
    <w:rsid w:val="00175526"/>
    <w:rsid w:val="00175557"/>
    <w:rsid w:val="00176015"/>
    <w:rsid w:val="00176062"/>
    <w:rsid w:val="00176181"/>
    <w:rsid w:val="00176270"/>
    <w:rsid w:val="0017645D"/>
    <w:rsid w:val="00176F1A"/>
    <w:rsid w:val="00177C54"/>
    <w:rsid w:val="00177CF5"/>
    <w:rsid w:val="00177F90"/>
    <w:rsid w:val="00180891"/>
    <w:rsid w:val="00180898"/>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3A9"/>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59A0"/>
    <w:rsid w:val="00196064"/>
    <w:rsid w:val="001960A2"/>
    <w:rsid w:val="00196131"/>
    <w:rsid w:val="0019616A"/>
    <w:rsid w:val="00196262"/>
    <w:rsid w:val="00196C19"/>
    <w:rsid w:val="001A0252"/>
    <w:rsid w:val="001A0674"/>
    <w:rsid w:val="001A0696"/>
    <w:rsid w:val="001A093A"/>
    <w:rsid w:val="001A0C5D"/>
    <w:rsid w:val="001A0D9B"/>
    <w:rsid w:val="001A107F"/>
    <w:rsid w:val="001A122E"/>
    <w:rsid w:val="001A1733"/>
    <w:rsid w:val="001A18F2"/>
    <w:rsid w:val="001A1F54"/>
    <w:rsid w:val="001A217A"/>
    <w:rsid w:val="001A249F"/>
    <w:rsid w:val="001A2649"/>
    <w:rsid w:val="001A2F87"/>
    <w:rsid w:val="001A315A"/>
    <w:rsid w:val="001A3711"/>
    <w:rsid w:val="001A3915"/>
    <w:rsid w:val="001A3BB3"/>
    <w:rsid w:val="001A4EA7"/>
    <w:rsid w:val="001A565C"/>
    <w:rsid w:val="001A5C2F"/>
    <w:rsid w:val="001A6220"/>
    <w:rsid w:val="001A63DD"/>
    <w:rsid w:val="001A672D"/>
    <w:rsid w:val="001A6930"/>
    <w:rsid w:val="001A71E0"/>
    <w:rsid w:val="001A76BD"/>
    <w:rsid w:val="001A79B3"/>
    <w:rsid w:val="001A7B3D"/>
    <w:rsid w:val="001B09D4"/>
    <w:rsid w:val="001B0DCA"/>
    <w:rsid w:val="001B1435"/>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50E"/>
    <w:rsid w:val="001E380B"/>
    <w:rsid w:val="001E42D2"/>
    <w:rsid w:val="001E4600"/>
    <w:rsid w:val="001E4611"/>
    <w:rsid w:val="001E4C3A"/>
    <w:rsid w:val="001E4C73"/>
    <w:rsid w:val="001E4C79"/>
    <w:rsid w:val="001E4FE7"/>
    <w:rsid w:val="001E504D"/>
    <w:rsid w:val="001E511C"/>
    <w:rsid w:val="001E5DBD"/>
    <w:rsid w:val="001E5FD5"/>
    <w:rsid w:val="001E6C8C"/>
    <w:rsid w:val="001E6D22"/>
    <w:rsid w:val="001E6D6D"/>
    <w:rsid w:val="001E7236"/>
    <w:rsid w:val="001E7500"/>
    <w:rsid w:val="001E7552"/>
    <w:rsid w:val="001E7637"/>
    <w:rsid w:val="001E7812"/>
    <w:rsid w:val="001E7E41"/>
    <w:rsid w:val="001F0206"/>
    <w:rsid w:val="001F0208"/>
    <w:rsid w:val="001F0257"/>
    <w:rsid w:val="001F0977"/>
    <w:rsid w:val="001F0ADF"/>
    <w:rsid w:val="001F0C65"/>
    <w:rsid w:val="001F0FE5"/>
    <w:rsid w:val="001F1407"/>
    <w:rsid w:val="001F1518"/>
    <w:rsid w:val="001F1B4B"/>
    <w:rsid w:val="001F1C8E"/>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18"/>
    <w:rsid w:val="00201796"/>
    <w:rsid w:val="00201973"/>
    <w:rsid w:val="00201CC9"/>
    <w:rsid w:val="00202280"/>
    <w:rsid w:val="00202653"/>
    <w:rsid w:val="002033AC"/>
    <w:rsid w:val="00203A48"/>
    <w:rsid w:val="002042F2"/>
    <w:rsid w:val="00204C00"/>
    <w:rsid w:val="00205B52"/>
    <w:rsid w:val="00205CB4"/>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470"/>
    <w:rsid w:val="0021175B"/>
    <w:rsid w:val="00211883"/>
    <w:rsid w:val="002126AA"/>
    <w:rsid w:val="002128DA"/>
    <w:rsid w:val="00212C3E"/>
    <w:rsid w:val="002132E9"/>
    <w:rsid w:val="002135DB"/>
    <w:rsid w:val="0021370C"/>
    <w:rsid w:val="00213828"/>
    <w:rsid w:val="002139CE"/>
    <w:rsid w:val="00213E5A"/>
    <w:rsid w:val="00214249"/>
    <w:rsid w:val="002144E6"/>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9B"/>
    <w:rsid w:val="00220AC6"/>
    <w:rsid w:val="00220AFF"/>
    <w:rsid w:val="002211C9"/>
    <w:rsid w:val="002211D4"/>
    <w:rsid w:val="002211EF"/>
    <w:rsid w:val="0022131D"/>
    <w:rsid w:val="00221496"/>
    <w:rsid w:val="00221704"/>
    <w:rsid w:val="00221E8C"/>
    <w:rsid w:val="00222015"/>
    <w:rsid w:val="0022238F"/>
    <w:rsid w:val="00222396"/>
    <w:rsid w:val="00222CD6"/>
    <w:rsid w:val="00222FFA"/>
    <w:rsid w:val="002230E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4DD"/>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162"/>
    <w:rsid w:val="0024263C"/>
    <w:rsid w:val="00242657"/>
    <w:rsid w:val="00242A8D"/>
    <w:rsid w:val="002432D3"/>
    <w:rsid w:val="002439E3"/>
    <w:rsid w:val="00244228"/>
    <w:rsid w:val="00244567"/>
    <w:rsid w:val="00244854"/>
    <w:rsid w:val="00244863"/>
    <w:rsid w:val="00244A55"/>
    <w:rsid w:val="00244CA7"/>
    <w:rsid w:val="00245210"/>
    <w:rsid w:val="002453B6"/>
    <w:rsid w:val="00245700"/>
    <w:rsid w:val="002458EB"/>
    <w:rsid w:val="00245992"/>
    <w:rsid w:val="00245A03"/>
    <w:rsid w:val="00245C52"/>
    <w:rsid w:val="002463DF"/>
    <w:rsid w:val="00246AB1"/>
    <w:rsid w:val="00246E3C"/>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148"/>
    <w:rsid w:val="00253538"/>
    <w:rsid w:val="002545A6"/>
    <w:rsid w:val="0025556F"/>
    <w:rsid w:val="002555FE"/>
    <w:rsid w:val="00255950"/>
    <w:rsid w:val="00255CF2"/>
    <w:rsid w:val="00255D5D"/>
    <w:rsid w:val="00256388"/>
    <w:rsid w:val="00257469"/>
    <w:rsid w:val="00257543"/>
    <w:rsid w:val="00257555"/>
    <w:rsid w:val="0025786B"/>
    <w:rsid w:val="00257895"/>
    <w:rsid w:val="00257EDF"/>
    <w:rsid w:val="002605C1"/>
    <w:rsid w:val="00260D3E"/>
    <w:rsid w:val="00260FCD"/>
    <w:rsid w:val="00261049"/>
    <w:rsid w:val="00261A03"/>
    <w:rsid w:val="00261AE2"/>
    <w:rsid w:val="00261B96"/>
    <w:rsid w:val="00262526"/>
    <w:rsid w:val="00262CB7"/>
    <w:rsid w:val="00262E5C"/>
    <w:rsid w:val="002631D4"/>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CA4"/>
    <w:rsid w:val="00273D3C"/>
    <w:rsid w:val="00274224"/>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560"/>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4EF"/>
    <w:rsid w:val="00293ECA"/>
    <w:rsid w:val="00294355"/>
    <w:rsid w:val="0029465A"/>
    <w:rsid w:val="00294899"/>
    <w:rsid w:val="002948C1"/>
    <w:rsid w:val="00294948"/>
    <w:rsid w:val="00296161"/>
    <w:rsid w:val="002962E5"/>
    <w:rsid w:val="00296336"/>
    <w:rsid w:val="0029638D"/>
    <w:rsid w:val="002965E1"/>
    <w:rsid w:val="00296884"/>
    <w:rsid w:val="00296F47"/>
    <w:rsid w:val="00297277"/>
    <w:rsid w:val="0029743D"/>
    <w:rsid w:val="002977DB"/>
    <w:rsid w:val="00297B2B"/>
    <w:rsid w:val="002A01CB"/>
    <w:rsid w:val="002A07F7"/>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5626"/>
    <w:rsid w:val="002A5D01"/>
    <w:rsid w:val="002A6B67"/>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5C8A"/>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C3"/>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419"/>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928"/>
    <w:rsid w:val="002D7E3B"/>
    <w:rsid w:val="002D7EDD"/>
    <w:rsid w:val="002E045A"/>
    <w:rsid w:val="002E0A9B"/>
    <w:rsid w:val="002E0F8A"/>
    <w:rsid w:val="002E287B"/>
    <w:rsid w:val="002E3CF1"/>
    <w:rsid w:val="002E3F45"/>
    <w:rsid w:val="002E474F"/>
    <w:rsid w:val="002E48DD"/>
    <w:rsid w:val="002E49B5"/>
    <w:rsid w:val="002E4CBF"/>
    <w:rsid w:val="002E5347"/>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2B6"/>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5E7"/>
    <w:rsid w:val="002F391F"/>
    <w:rsid w:val="002F3EF7"/>
    <w:rsid w:val="002F40BB"/>
    <w:rsid w:val="002F4369"/>
    <w:rsid w:val="002F4474"/>
    <w:rsid w:val="002F44E5"/>
    <w:rsid w:val="002F52B0"/>
    <w:rsid w:val="002F55BC"/>
    <w:rsid w:val="002F56AA"/>
    <w:rsid w:val="002F6000"/>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3A09"/>
    <w:rsid w:val="0030468C"/>
    <w:rsid w:val="0030470D"/>
    <w:rsid w:val="0030477A"/>
    <w:rsid w:val="00304BFC"/>
    <w:rsid w:val="00304C3F"/>
    <w:rsid w:val="003050F8"/>
    <w:rsid w:val="00305AB0"/>
    <w:rsid w:val="00305E85"/>
    <w:rsid w:val="00305FB5"/>
    <w:rsid w:val="00306797"/>
    <w:rsid w:val="0030697E"/>
    <w:rsid w:val="00307768"/>
    <w:rsid w:val="00307F26"/>
    <w:rsid w:val="003100CC"/>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5465"/>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2F45"/>
    <w:rsid w:val="0032339D"/>
    <w:rsid w:val="003236DA"/>
    <w:rsid w:val="00323792"/>
    <w:rsid w:val="00323CBA"/>
    <w:rsid w:val="00323F89"/>
    <w:rsid w:val="003244B8"/>
    <w:rsid w:val="00325167"/>
    <w:rsid w:val="00325D90"/>
    <w:rsid w:val="00325E4E"/>
    <w:rsid w:val="00326145"/>
    <w:rsid w:val="0032645A"/>
    <w:rsid w:val="003267EE"/>
    <w:rsid w:val="00326D8D"/>
    <w:rsid w:val="00327AAF"/>
    <w:rsid w:val="00330121"/>
    <w:rsid w:val="00330740"/>
    <w:rsid w:val="00330A41"/>
    <w:rsid w:val="00330F58"/>
    <w:rsid w:val="003314E3"/>
    <w:rsid w:val="00331B5A"/>
    <w:rsid w:val="00331C5B"/>
    <w:rsid w:val="00331E18"/>
    <w:rsid w:val="00332967"/>
    <w:rsid w:val="003336F3"/>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0E6D"/>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771"/>
    <w:rsid w:val="00345CBF"/>
    <w:rsid w:val="00346071"/>
    <w:rsid w:val="00346927"/>
    <w:rsid w:val="00346FC0"/>
    <w:rsid w:val="00347190"/>
    <w:rsid w:val="003478E8"/>
    <w:rsid w:val="003479FE"/>
    <w:rsid w:val="00347ADA"/>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89"/>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C2A"/>
    <w:rsid w:val="00370DFD"/>
    <w:rsid w:val="00370E04"/>
    <w:rsid w:val="00370F4B"/>
    <w:rsid w:val="0037115B"/>
    <w:rsid w:val="00371D2A"/>
    <w:rsid w:val="00372423"/>
    <w:rsid w:val="003724A1"/>
    <w:rsid w:val="00372F03"/>
    <w:rsid w:val="0037309E"/>
    <w:rsid w:val="00373676"/>
    <w:rsid w:val="00373ACC"/>
    <w:rsid w:val="00373DD4"/>
    <w:rsid w:val="0037435D"/>
    <w:rsid w:val="00374586"/>
    <w:rsid w:val="00374B35"/>
    <w:rsid w:val="0037500F"/>
    <w:rsid w:val="00375252"/>
    <w:rsid w:val="0037580E"/>
    <w:rsid w:val="003758B9"/>
    <w:rsid w:val="0037593E"/>
    <w:rsid w:val="00375C19"/>
    <w:rsid w:val="00375C6F"/>
    <w:rsid w:val="00376326"/>
    <w:rsid w:val="003769A3"/>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2BD"/>
    <w:rsid w:val="00384560"/>
    <w:rsid w:val="00384998"/>
    <w:rsid w:val="003853EB"/>
    <w:rsid w:val="0038598A"/>
    <w:rsid w:val="00385C57"/>
    <w:rsid w:val="00385D44"/>
    <w:rsid w:val="00385EF6"/>
    <w:rsid w:val="0038692E"/>
    <w:rsid w:val="00386AC6"/>
    <w:rsid w:val="00387519"/>
    <w:rsid w:val="003877E7"/>
    <w:rsid w:val="00387DD3"/>
    <w:rsid w:val="00387F57"/>
    <w:rsid w:val="00390992"/>
    <w:rsid w:val="00390AA6"/>
    <w:rsid w:val="00390AB3"/>
    <w:rsid w:val="00390B55"/>
    <w:rsid w:val="003910B8"/>
    <w:rsid w:val="0039123B"/>
    <w:rsid w:val="00391382"/>
    <w:rsid w:val="003913B5"/>
    <w:rsid w:val="00391723"/>
    <w:rsid w:val="00391933"/>
    <w:rsid w:val="00391AE6"/>
    <w:rsid w:val="00392405"/>
    <w:rsid w:val="00393371"/>
    <w:rsid w:val="003934E5"/>
    <w:rsid w:val="003934F4"/>
    <w:rsid w:val="003937AE"/>
    <w:rsid w:val="00393E1A"/>
    <w:rsid w:val="00394204"/>
    <w:rsid w:val="00394E11"/>
    <w:rsid w:val="003951E0"/>
    <w:rsid w:val="00395386"/>
    <w:rsid w:val="003959D6"/>
    <w:rsid w:val="00395C9A"/>
    <w:rsid w:val="00395E88"/>
    <w:rsid w:val="00395FCF"/>
    <w:rsid w:val="00396E3E"/>
    <w:rsid w:val="00397BE9"/>
    <w:rsid w:val="003A06C9"/>
    <w:rsid w:val="003A0C43"/>
    <w:rsid w:val="003A12B0"/>
    <w:rsid w:val="003A1462"/>
    <w:rsid w:val="003A1699"/>
    <w:rsid w:val="003A1BDD"/>
    <w:rsid w:val="003A21BD"/>
    <w:rsid w:val="003A2212"/>
    <w:rsid w:val="003A2231"/>
    <w:rsid w:val="003A3143"/>
    <w:rsid w:val="003A33BE"/>
    <w:rsid w:val="003A34FE"/>
    <w:rsid w:val="003A3FCB"/>
    <w:rsid w:val="003A4153"/>
    <w:rsid w:val="003A4E60"/>
    <w:rsid w:val="003A4F8B"/>
    <w:rsid w:val="003A572B"/>
    <w:rsid w:val="003A5C02"/>
    <w:rsid w:val="003A6170"/>
    <w:rsid w:val="003A61A6"/>
    <w:rsid w:val="003A6315"/>
    <w:rsid w:val="003A65A1"/>
    <w:rsid w:val="003A6629"/>
    <w:rsid w:val="003A66A3"/>
    <w:rsid w:val="003A6785"/>
    <w:rsid w:val="003A6C57"/>
    <w:rsid w:val="003A6FAA"/>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62D"/>
    <w:rsid w:val="003B77AF"/>
    <w:rsid w:val="003B77D4"/>
    <w:rsid w:val="003B789C"/>
    <w:rsid w:val="003B7B4E"/>
    <w:rsid w:val="003B7DA0"/>
    <w:rsid w:val="003B7FD7"/>
    <w:rsid w:val="003C04F0"/>
    <w:rsid w:val="003C09E3"/>
    <w:rsid w:val="003C0B1F"/>
    <w:rsid w:val="003C0F77"/>
    <w:rsid w:val="003C14C4"/>
    <w:rsid w:val="003C185B"/>
    <w:rsid w:val="003C1B83"/>
    <w:rsid w:val="003C2632"/>
    <w:rsid w:val="003C342A"/>
    <w:rsid w:val="003C342D"/>
    <w:rsid w:val="003C35C9"/>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3C5"/>
    <w:rsid w:val="003D1758"/>
    <w:rsid w:val="003D20C6"/>
    <w:rsid w:val="003D211C"/>
    <w:rsid w:val="003D2146"/>
    <w:rsid w:val="003D2492"/>
    <w:rsid w:val="003D2676"/>
    <w:rsid w:val="003D28B8"/>
    <w:rsid w:val="003D3B82"/>
    <w:rsid w:val="003D3DE4"/>
    <w:rsid w:val="003D42ED"/>
    <w:rsid w:val="003D437A"/>
    <w:rsid w:val="003D47EC"/>
    <w:rsid w:val="003D4C9E"/>
    <w:rsid w:val="003D4E5B"/>
    <w:rsid w:val="003D4E6A"/>
    <w:rsid w:val="003D55E5"/>
    <w:rsid w:val="003D74E0"/>
    <w:rsid w:val="003D7ADC"/>
    <w:rsid w:val="003E01D7"/>
    <w:rsid w:val="003E07E5"/>
    <w:rsid w:val="003E0D95"/>
    <w:rsid w:val="003E19DA"/>
    <w:rsid w:val="003E1E49"/>
    <w:rsid w:val="003E252B"/>
    <w:rsid w:val="003E2E6C"/>
    <w:rsid w:val="003E314E"/>
    <w:rsid w:val="003E345F"/>
    <w:rsid w:val="003E3487"/>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490"/>
    <w:rsid w:val="003E79B8"/>
    <w:rsid w:val="003E7C3C"/>
    <w:rsid w:val="003E7CBA"/>
    <w:rsid w:val="003E7E59"/>
    <w:rsid w:val="003F0127"/>
    <w:rsid w:val="003F08B4"/>
    <w:rsid w:val="003F0B5E"/>
    <w:rsid w:val="003F0BFA"/>
    <w:rsid w:val="003F15E0"/>
    <w:rsid w:val="003F1C9F"/>
    <w:rsid w:val="003F1D6A"/>
    <w:rsid w:val="003F20AA"/>
    <w:rsid w:val="003F220B"/>
    <w:rsid w:val="003F23D6"/>
    <w:rsid w:val="003F2814"/>
    <w:rsid w:val="003F28FD"/>
    <w:rsid w:val="003F2D8C"/>
    <w:rsid w:val="003F2FB1"/>
    <w:rsid w:val="003F403E"/>
    <w:rsid w:val="003F449D"/>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0B9"/>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B01"/>
    <w:rsid w:val="00405C9C"/>
    <w:rsid w:val="00405F92"/>
    <w:rsid w:val="00406088"/>
    <w:rsid w:val="00406D62"/>
    <w:rsid w:val="0040709C"/>
    <w:rsid w:val="00407F6F"/>
    <w:rsid w:val="004100F7"/>
    <w:rsid w:val="00410B2F"/>
    <w:rsid w:val="00410C5C"/>
    <w:rsid w:val="00410E7E"/>
    <w:rsid w:val="00410EB9"/>
    <w:rsid w:val="004118F9"/>
    <w:rsid w:val="00411B7C"/>
    <w:rsid w:val="004123D6"/>
    <w:rsid w:val="004123D7"/>
    <w:rsid w:val="004124A6"/>
    <w:rsid w:val="004127AF"/>
    <w:rsid w:val="004135CB"/>
    <w:rsid w:val="00413C67"/>
    <w:rsid w:val="00413C8F"/>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58E"/>
    <w:rsid w:val="00424C2A"/>
    <w:rsid w:val="00424D2E"/>
    <w:rsid w:val="00424F51"/>
    <w:rsid w:val="004251AC"/>
    <w:rsid w:val="0042554A"/>
    <w:rsid w:val="00425F5C"/>
    <w:rsid w:val="00426D7F"/>
    <w:rsid w:val="00426DDA"/>
    <w:rsid w:val="00427296"/>
    <w:rsid w:val="0042745F"/>
    <w:rsid w:val="00427BC4"/>
    <w:rsid w:val="00427BC8"/>
    <w:rsid w:val="00430204"/>
    <w:rsid w:val="004302C1"/>
    <w:rsid w:val="00430537"/>
    <w:rsid w:val="00430A3C"/>
    <w:rsid w:val="00430D47"/>
    <w:rsid w:val="0043140B"/>
    <w:rsid w:val="0043202A"/>
    <w:rsid w:val="00432C9D"/>
    <w:rsid w:val="00433034"/>
    <w:rsid w:val="004331A1"/>
    <w:rsid w:val="004338C2"/>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317"/>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122"/>
    <w:rsid w:val="00447289"/>
    <w:rsid w:val="00447406"/>
    <w:rsid w:val="00447B2A"/>
    <w:rsid w:val="0045014F"/>
    <w:rsid w:val="0045029F"/>
    <w:rsid w:val="004506D1"/>
    <w:rsid w:val="00450D70"/>
    <w:rsid w:val="00451533"/>
    <w:rsid w:val="00451B69"/>
    <w:rsid w:val="00452171"/>
    <w:rsid w:val="004521AE"/>
    <w:rsid w:val="004522FA"/>
    <w:rsid w:val="004529C6"/>
    <w:rsid w:val="00452BBE"/>
    <w:rsid w:val="00452ECD"/>
    <w:rsid w:val="00453134"/>
    <w:rsid w:val="004538B1"/>
    <w:rsid w:val="00453932"/>
    <w:rsid w:val="00453C45"/>
    <w:rsid w:val="00453E54"/>
    <w:rsid w:val="004545DA"/>
    <w:rsid w:val="00454B2C"/>
    <w:rsid w:val="00454B47"/>
    <w:rsid w:val="00454E0F"/>
    <w:rsid w:val="00455025"/>
    <w:rsid w:val="0045526C"/>
    <w:rsid w:val="004552C7"/>
    <w:rsid w:val="0045546B"/>
    <w:rsid w:val="00455635"/>
    <w:rsid w:val="0045564C"/>
    <w:rsid w:val="00455881"/>
    <w:rsid w:val="00455ADB"/>
    <w:rsid w:val="00455F4E"/>
    <w:rsid w:val="00456269"/>
    <w:rsid w:val="004563E8"/>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8D2"/>
    <w:rsid w:val="00463B89"/>
    <w:rsid w:val="00464059"/>
    <w:rsid w:val="0046409F"/>
    <w:rsid w:val="004640F1"/>
    <w:rsid w:val="004647BC"/>
    <w:rsid w:val="00464A5B"/>
    <w:rsid w:val="00464D24"/>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5BE"/>
    <w:rsid w:val="004716DB"/>
    <w:rsid w:val="00471FF4"/>
    <w:rsid w:val="004726F6"/>
    <w:rsid w:val="00472E06"/>
    <w:rsid w:val="00472E6E"/>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DFD"/>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B0"/>
    <w:rsid w:val="004926C2"/>
    <w:rsid w:val="00493431"/>
    <w:rsid w:val="004934BA"/>
    <w:rsid w:val="004939F6"/>
    <w:rsid w:val="00493B82"/>
    <w:rsid w:val="0049489A"/>
    <w:rsid w:val="00494DD9"/>
    <w:rsid w:val="00495961"/>
    <w:rsid w:val="00495B9B"/>
    <w:rsid w:val="00495F3F"/>
    <w:rsid w:val="004960D1"/>
    <w:rsid w:val="00496423"/>
    <w:rsid w:val="00496C1C"/>
    <w:rsid w:val="00496F98"/>
    <w:rsid w:val="0049728E"/>
    <w:rsid w:val="00497CCE"/>
    <w:rsid w:val="004A0129"/>
    <w:rsid w:val="004A0DB1"/>
    <w:rsid w:val="004A0ED3"/>
    <w:rsid w:val="004A127B"/>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0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A23"/>
    <w:rsid w:val="004C3E18"/>
    <w:rsid w:val="004C3F5C"/>
    <w:rsid w:val="004C431A"/>
    <w:rsid w:val="004C441B"/>
    <w:rsid w:val="004C44E1"/>
    <w:rsid w:val="004C4578"/>
    <w:rsid w:val="004C4827"/>
    <w:rsid w:val="004C4868"/>
    <w:rsid w:val="004C4A57"/>
    <w:rsid w:val="004C4D18"/>
    <w:rsid w:val="004C5741"/>
    <w:rsid w:val="004C578A"/>
    <w:rsid w:val="004C59E8"/>
    <w:rsid w:val="004C616C"/>
    <w:rsid w:val="004C6398"/>
    <w:rsid w:val="004C63AD"/>
    <w:rsid w:val="004C6932"/>
    <w:rsid w:val="004C6E58"/>
    <w:rsid w:val="004C7074"/>
    <w:rsid w:val="004C78B2"/>
    <w:rsid w:val="004C7AB2"/>
    <w:rsid w:val="004C7D7B"/>
    <w:rsid w:val="004C7EAD"/>
    <w:rsid w:val="004C7EF4"/>
    <w:rsid w:val="004C7FF7"/>
    <w:rsid w:val="004D0ED5"/>
    <w:rsid w:val="004D10B8"/>
    <w:rsid w:val="004D1821"/>
    <w:rsid w:val="004D1F0E"/>
    <w:rsid w:val="004D278F"/>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2A4C"/>
    <w:rsid w:val="004E3972"/>
    <w:rsid w:val="004E4041"/>
    <w:rsid w:val="004E44AF"/>
    <w:rsid w:val="004E4A5F"/>
    <w:rsid w:val="004E52E0"/>
    <w:rsid w:val="004E570A"/>
    <w:rsid w:val="004E5762"/>
    <w:rsid w:val="004E5D6B"/>
    <w:rsid w:val="004E5DE4"/>
    <w:rsid w:val="004E63E9"/>
    <w:rsid w:val="004E6875"/>
    <w:rsid w:val="004E6CCE"/>
    <w:rsid w:val="004E6E40"/>
    <w:rsid w:val="004E71F7"/>
    <w:rsid w:val="004E79C4"/>
    <w:rsid w:val="004E7E4B"/>
    <w:rsid w:val="004E7F41"/>
    <w:rsid w:val="004F0A8A"/>
    <w:rsid w:val="004F0D12"/>
    <w:rsid w:val="004F0E49"/>
    <w:rsid w:val="004F10EF"/>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3AF"/>
    <w:rsid w:val="00506D16"/>
    <w:rsid w:val="00506E25"/>
    <w:rsid w:val="00507895"/>
    <w:rsid w:val="00507FDD"/>
    <w:rsid w:val="0051025D"/>
    <w:rsid w:val="00510311"/>
    <w:rsid w:val="00510526"/>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26"/>
    <w:rsid w:val="005154D6"/>
    <w:rsid w:val="005159FD"/>
    <w:rsid w:val="00515AAB"/>
    <w:rsid w:val="0051639C"/>
    <w:rsid w:val="00516448"/>
    <w:rsid w:val="00516470"/>
    <w:rsid w:val="00516726"/>
    <w:rsid w:val="00516B59"/>
    <w:rsid w:val="00516D8B"/>
    <w:rsid w:val="00516D98"/>
    <w:rsid w:val="0051726D"/>
    <w:rsid w:val="005172AA"/>
    <w:rsid w:val="005173D5"/>
    <w:rsid w:val="00517EB6"/>
    <w:rsid w:val="0052001E"/>
    <w:rsid w:val="0052129F"/>
    <w:rsid w:val="005214AA"/>
    <w:rsid w:val="00521575"/>
    <w:rsid w:val="00521CB9"/>
    <w:rsid w:val="00521D6C"/>
    <w:rsid w:val="0052279E"/>
    <w:rsid w:val="00523280"/>
    <w:rsid w:val="005234B0"/>
    <w:rsid w:val="00523747"/>
    <w:rsid w:val="0052392D"/>
    <w:rsid w:val="00523D48"/>
    <w:rsid w:val="00523EE7"/>
    <w:rsid w:val="0052414A"/>
    <w:rsid w:val="00524301"/>
    <w:rsid w:val="005243C1"/>
    <w:rsid w:val="005248D0"/>
    <w:rsid w:val="00524A14"/>
    <w:rsid w:val="00524B96"/>
    <w:rsid w:val="00524D84"/>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74C"/>
    <w:rsid w:val="00530B0D"/>
    <w:rsid w:val="00530E2F"/>
    <w:rsid w:val="005310DF"/>
    <w:rsid w:val="005312AB"/>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C13"/>
    <w:rsid w:val="00536E7C"/>
    <w:rsid w:val="005371B1"/>
    <w:rsid w:val="00537710"/>
    <w:rsid w:val="00537E7A"/>
    <w:rsid w:val="00540113"/>
    <w:rsid w:val="00540858"/>
    <w:rsid w:val="00540AA6"/>
    <w:rsid w:val="00540FE2"/>
    <w:rsid w:val="005417E0"/>
    <w:rsid w:val="00541FFF"/>
    <w:rsid w:val="005423A9"/>
    <w:rsid w:val="00542402"/>
    <w:rsid w:val="005425D8"/>
    <w:rsid w:val="00542639"/>
    <w:rsid w:val="005429D5"/>
    <w:rsid w:val="00543819"/>
    <w:rsid w:val="00543D88"/>
    <w:rsid w:val="00544135"/>
    <w:rsid w:val="005441AC"/>
    <w:rsid w:val="0054425C"/>
    <w:rsid w:val="00544FCE"/>
    <w:rsid w:val="0054535E"/>
    <w:rsid w:val="00545CB6"/>
    <w:rsid w:val="00545DEE"/>
    <w:rsid w:val="00545E5A"/>
    <w:rsid w:val="00545F54"/>
    <w:rsid w:val="00546847"/>
    <w:rsid w:val="005469D1"/>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57DFD"/>
    <w:rsid w:val="00557E0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67FCB"/>
    <w:rsid w:val="00570E64"/>
    <w:rsid w:val="00570F8A"/>
    <w:rsid w:val="005710ED"/>
    <w:rsid w:val="00571ACF"/>
    <w:rsid w:val="00571F02"/>
    <w:rsid w:val="00572170"/>
    <w:rsid w:val="005723FE"/>
    <w:rsid w:val="005724AA"/>
    <w:rsid w:val="005726E3"/>
    <w:rsid w:val="005728A3"/>
    <w:rsid w:val="00572D54"/>
    <w:rsid w:val="00572F7E"/>
    <w:rsid w:val="00573345"/>
    <w:rsid w:val="0057377A"/>
    <w:rsid w:val="00573817"/>
    <w:rsid w:val="005739B5"/>
    <w:rsid w:val="00573F00"/>
    <w:rsid w:val="00574144"/>
    <w:rsid w:val="0057464F"/>
    <w:rsid w:val="00574911"/>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7D4"/>
    <w:rsid w:val="00581C69"/>
    <w:rsid w:val="005822E7"/>
    <w:rsid w:val="00582547"/>
    <w:rsid w:val="00582570"/>
    <w:rsid w:val="00583461"/>
    <w:rsid w:val="005834FE"/>
    <w:rsid w:val="00583990"/>
    <w:rsid w:val="005846F3"/>
    <w:rsid w:val="00584C4A"/>
    <w:rsid w:val="00584D60"/>
    <w:rsid w:val="0058526F"/>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093"/>
    <w:rsid w:val="00591209"/>
    <w:rsid w:val="0059189D"/>
    <w:rsid w:val="00591EC4"/>
    <w:rsid w:val="00592082"/>
    <w:rsid w:val="005921F7"/>
    <w:rsid w:val="005924E6"/>
    <w:rsid w:val="0059275A"/>
    <w:rsid w:val="0059387E"/>
    <w:rsid w:val="00593CDA"/>
    <w:rsid w:val="00593EB5"/>
    <w:rsid w:val="00594289"/>
    <w:rsid w:val="00594A83"/>
    <w:rsid w:val="00595007"/>
    <w:rsid w:val="00595792"/>
    <w:rsid w:val="00595B62"/>
    <w:rsid w:val="00595FDE"/>
    <w:rsid w:val="00596057"/>
    <w:rsid w:val="00596570"/>
    <w:rsid w:val="005965E8"/>
    <w:rsid w:val="00596725"/>
    <w:rsid w:val="00596FCE"/>
    <w:rsid w:val="00597090"/>
    <w:rsid w:val="00597A59"/>
    <w:rsid w:val="00597AAE"/>
    <w:rsid w:val="00597CED"/>
    <w:rsid w:val="00597D89"/>
    <w:rsid w:val="00597E10"/>
    <w:rsid w:val="00597F0D"/>
    <w:rsid w:val="005A0356"/>
    <w:rsid w:val="005A076C"/>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142"/>
    <w:rsid w:val="005A623C"/>
    <w:rsid w:val="005A6413"/>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B7895"/>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483"/>
    <w:rsid w:val="005C37B2"/>
    <w:rsid w:val="005C3BB6"/>
    <w:rsid w:val="005C3C7A"/>
    <w:rsid w:val="005C4244"/>
    <w:rsid w:val="005C442D"/>
    <w:rsid w:val="005C460F"/>
    <w:rsid w:val="005C4B3A"/>
    <w:rsid w:val="005C4DBC"/>
    <w:rsid w:val="005C5398"/>
    <w:rsid w:val="005C5FB4"/>
    <w:rsid w:val="005C6643"/>
    <w:rsid w:val="005C6C72"/>
    <w:rsid w:val="005C6D4F"/>
    <w:rsid w:val="005C740D"/>
    <w:rsid w:val="005C76C2"/>
    <w:rsid w:val="005C7DAD"/>
    <w:rsid w:val="005D0D96"/>
    <w:rsid w:val="005D13F0"/>
    <w:rsid w:val="005D14D7"/>
    <w:rsid w:val="005D1540"/>
    <w:rsid w:val="005D1986"/>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4B89"/>
    <w:rsid w:val="005D5920"/>
    <w:rsid w:val="005D5AD6"/>
    <w:rsid w:val="005D5C93"/>
    <w:rsid w:val="005D687B"/>
    <w:rsid w:val="005D69AC"/>
    <w:rsid w:val="005D6ABE"/>
    <w:rsid w:val="005D6E6D"/>
    <w:rsid w:val="005D708B"/>
    <w:rsid w:val="005D73C4"/>
    <w:rsid w:val="005D76D0"/>
    <w:rsid w:val="005D7A7D"/>
    <w:rsid w:val="005D7D33"/>
    <w:rsid w:val="005D7EEA"/>
    <w:rsid w:val="005E0493"/>
    <w:rsid w:val="005E08B4"/>
    <w:rsid w:val="005E09C6"/>
    <w:rsid w:val="005E0E64"/>
    <w:rsid w:val="005E13FD"/>
    <w:rsid w:val="005E198E"/>
    <w:rsid w:val="005E1B84"/>
    <w:rsid w:val="005E1E40"/>
    <w:rsid w:val="005E2474"/>
    <w:rsid w:val="005E3E6F"/>
    <w:rsid w:val="005E4009"/>
    <w:rsid w:val="005E42F5"/>
    <w:rsid w:val="005E48E9"/>
    <w:rsid w:val="005E4FCD"/>
    <w:rsid w:val="005E5EE7"/>
    <w:rsid w:val="005E5FFB"/>
    <w:rsid w:val="005E6763"/>
    <w:rsid w:val="005E6F12"/>
    <w:rsid w:val="005E6F6B"/>
    <w:rsid w:val="005E72BB"/>
    <w:rsid w:val="005E79D8"/>
    <w:rsid w:val="005E7D9A"/>
    <w:rsid w:val="005F00FB"/>
    <w:rsid w:val="005F0D94"/>
    <w:rsid w:val="005F0E94"/>
    <w:rsid w:val="005F1518"/>
    <w:rsid w:val="005F1585"/>
    <w:rsid w:val="005F15EF"/>
    <w:rsid w:val="005F1959"/>
    <w:rsid w:val="005F24F1"/>
    <w:rsid w:val="005F2564"/>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0F9"/>
    <w:rsid w:val="006051B9"/>
    <w:rsid w:val="006066D7"/>
    <w:rsid w:val="006073C9"/>
    <w:rsid w:val="006075FD"/>
    <w:rsid w:val="00607928"/>
    <w:rsid w:val="00607979"/>
    <w:rsid w:val="00607AFA"/>
    <w:rsid w:val="00607D9E"/>
    <w:rsid w:val="00607F6B"/>
    <w:rsid w:val="00610A73"/>
    <w:rsid w:val="00610EF3"/>
    <w:rsid w:val="0061103F"/>
    <w:rsid w:val="006119D9"/>
    <w:rsid w:val="00611DEE"/>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5EF"/>
    <w:rsid w:val="006236B3"/>
    <w:rsid w:val="0062375E"/>
    <w:rsid w:val="00623AA8"/>
    <w:rsid w:val="00623E5C"/>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061"/>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358"/>
    <w:rsid w:val="00640B32"/>
    <w:rsid w:val="0064134C"/>
    <w:rsid w:val="00641410"/>
    <w:rsid w:val="006417D3"/>
    <w:rsid w:val="00641882"/>
    <w:rsid w:val="00641AB0"/>
    <w:rsid w:val="00641F4F"/>
    <w:rsid w:val="006422D2"/>
    <w:rsid w:val="006425D6"/>
    <w:rsid w:val="006426D7"/>
    <w:rsid w:val="00642C50"/>
    <w:rsid w:val="00643E17"/>
    <w:rsid w:val="00643E67"/>
    <w:rsid w:val="00644012"/>
    <w:rsid w:val="0064436A"/>
    <w:rsid w:val="00644494"/>
    <w:rsid w:val="00644639"/>
    <w:rsid w:val="006448A7"/>
    <w:rsid w:val="0064495D"/>
    <w:rsid w:val="00644AE7"/>
    <w:rsid w:val="00644CBA"/>
    <w:rsid w:val="00645CC6"/>
    <w:rsid w:val="00645E4C"/>
    <w:rsid w:val="00646137"/>
    <w:rsid w:val="0064630D"/>
    <w:rsid w:val="00646F8A"/>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66A"/>
    <w:rsid w:val="00657A00"/>
    <w:rsid w:val="00660256"/>
    <w:rsid w:val="006603BF"/>
    <w:rsid w:val="00660AF9"/>
    <w:rsid w:val="00660BFF"/>
    <w:rsid w:val="006616F5"/>
    <w:rsid w:val="00661CFE"/>
    <w:rsid w:val="006622A0"/>
    <w:rsid w:val="0066279A"/>
    <w:rsid w:val="00662883"/>
    <w:rsid w:val="006629B0"/>
    <w:rsid w:val="00662DB6"/>
    <w:rsid w:val="006633DF"/>
    <w:rsid w:val="0066366B"/>
    <w:rsid w:val="00663D47"/>
    <w:rsid w:val="00663D6A"/>
    <w:rsid w:val="00664253"/>
    <w:rsid w:val="00664374"/>
    <w:rsid w:val="00664409"/>
    <w:rsid w:val="0066454E"/>
    <w:rsid w:val="00664FDB"/>
    <w:rsid w:val="00665791"/>
    <w:rsid w:val="00665BDC"/>
    <w:rsid w:val="00665CEE"/>
    <w:rsid w:val="00666A18"/>
    <w:rsid w:val="00666E8D"/>
    <w:rsid w:val="006702D3"/>
    <w:rsid w:val="0067059F"/>
    <w:rsid w:val="006707A0"/>
    <w:rsid w:val="00670C48"/>
    <w:rsid w:val="00670FB5"/>
    <w:rsid w:val="00671113"/>
    <w:rsid w:val="006719C1"/>
    <w:rsid w:val="00671A50"/>
    <w:rsid w:val="006722FA"/>
    <w:rsid w:val="00672774"/>
    <w:rsid w:val="00672917"/>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552"/>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5785"/>
    <w:rsid w:val="006A640C"/>
    <w:rsid w:val="006A6562"/>
    <w:rsid w:val="006A6744"/>
    <w:rsid w:val="006A68FD"/>
    <w:rsid w:val="006A6D49"/>
    <w:rsid w:val="006A71A1"/>
    <w:rsid w:val="006A7F73"/>
    <w:rsid w:val="006B07A0"/>
    <w:rsid w:val="006B0C8E"/>
    <w:rsid w:val="006B137E"/>
    <w:rsid w:val="006B1700"/>
    <w:rsid w:val="006B1AAD"/>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6C0"/>
    <w:rsid w:val="006B6954"/>
    <w:rsid w:val="006B6E41"/>
    <w:rsid w:val="006B6F42"/>
    <w:rsid w:val="006B758F"/>
    <w:rsid w:val="006C083D"/>
    <w:rsid w:val="006C09A3"/>
    <w:rsid w:val="006C0C80"/>
    <w:rsid w:val="006C1393"/>
    <w:rsid w:val="006C1714"/>
    <w:rsid w:val="006C1CB1"/>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349"/>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103"/>
    <w:rsid w:val="006E524E"/>
    <w:rsid w:val="006E56BF"/>
    <w:rsid w:val="006E5822"/>
    <w:rsid w:val="006E5A91"/>
    <w:rsid w:val="006E6571"/>
    <w:rsid w:val="006E6643"/>
    <w:rsid w:val="006E6D8E"/>
    <w:rsid w:val="006E6E47"/>
    <w:rsid w:val="006E7B71"/>
    <w:rsid w:val="006F023B"/>
    <w:rsid w:val="006F0C0F"/>
    <w:rsid w:val="006F1806"/>
    <w:rsid w:val="006F1AE9"/>
    <w:rsid w:val="006F1F0D"/>
    <w:rsid w:val="006F2150"/>
    <w:rsid w:val="006F2185"/>
    <w:rsid w:val="006F2478"/>
    <w:rsid w:val="006F27FD"/>
    <w:rsid w:val="006F2ACB"/>
    <w:rsid w:val="006F3104"/>
    <w:rsid w:val="006F3171"/>
    <w:rsid w:val="006F3373"/>
    <w:rsid w:val="006F3BF1"/>
    <w:rsid w:val="006F419A"/>
    <w:rsid w:val="006F5BC4"/>
    <w:rsid w:val="006F5F3B"/>
    <w:rsid w:val="006F64AD"/>
    <w:rsid w:val="006F6C3A"/>
    <w:rsid w:val="006F6C82"/>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3A2"/>
    <w:rsid w:val="00702C26"/>
    <w:rsid w:val="00702F77"/>
    <w:rsid w:val="00702FDE"/>
    <w:rsid w:val="007030D0"/>
    <w:rsid w:val="007032BB"/>
    <w:rsid w:val="00703BEA"/>
    <w:rsid w:val="00703D7D"/>
    <w:rsid w:val="00703DB1"/>
    <w:rsid w:val="00703F2A"/>
    <w:rsid w:val="00704479"/>
    <w:rsid w:val="00704E49"/>
    <w:rsid w:val="007051FB"/>
    <w:rsid w:val="00705216"/>
    <w:rsid w:val="00705458"/>
    <w:rsid w:val="00705517"/>
    <w:rsid w:val="007056B0"/>
    <w:rsid w:val="0070573C"/>
    <w:rsid w:val="00705F6B"/>
    <w:rsid w:val="00706540"/>
    <w:rsid w:val="007069E2"/>
    <w:rsid w:val="00706A5E"/>
    <w:rsid w:val="00706E74"/>
    <w:rsid w:val="00707019"/>
    <w:rsid w:val="007076EC"/>
    <w:rsid w:val="0070771B"/>
    <w:rsid w:val="0070796D"/>
    <w:rsid w:val="007108D3"/>
    <w:rsid w:val="0071098A"/>
    <w:rsid w:val="007109FB"/>
    <w:rsid w:val="00710B97"/>
    <w:rsid w:val="007112A1"/>
    <w:rsid w:val="0071256C"/>
    <w:rsid w:val="007126F0"/>
    <w:rsid w:val="0071271C"/>
    <w:rsid w:val="007129D5"/>
    <w:rsid w:val="00712B7D"/>
    <w:rsid w:val="007130B8"/>
    <w:rsid w:val="00713D54"/>
    <w:rsid w:val="007145A9"/>
    <w:rsid w:val="00714CD4"/>
    <w:rsid w:val="00714F4F"/>
    <w:rsid w:val="0071570F"/>
    <w:rsid w:val="00715D38"/>
    <w:rsid w:val="007167CC"/>
    <w:rsid w:val="00716DA7"/>
    <w:rsid w:val="00716DE1"/>
    <w:rsid w:val="0071706D"/>
    <w:rsid w:val="0071737C"/>
    <w:rsid w:val="0071743F"/>
    <w:rsid w:val="007178F8"/>
    <w:rsid w:val="00717B02"/>
    <w:rsid w:val="00720051"/>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4A1"/>
    <w:rsid w:val="00724651"/>
    <w:rsid w:val="00725017"/>
    <w:rsid w:val="00725835"/>
    <w:rsid w:val="00725868"/>
    <w:rsid w:val="00725974"/>
    <w:rsid w:val="00725A26"/>
    <w:rsid w:val="007261AB"/>
    <w:rsid w:val="007261C8"/>
    <w:rsid w:val="007263CC"/>
    <w:rsid w:val="00726580"/>
    <w:rsid w:val="007265E6"/>
    <w:rsid w:val="00726C91"/>
    <w:rsid w:val="00726D1E"/>
    <w:rsid w:val="00726EC0"/>
    <w:rsid w:val="0072737C"/>
    <w:rsid w:val="00727B17"/>
    <w:rsid w:val="00727B97"/>
    <w:rsid w:val="00727D1A"/>
    <w:rsid w:val="00727E86"/>
    <w:rsid w:val="00730597"/>
    <w:rsid w:val="0073080A"/>
    <w:rsid w:val="007308AF"/>
    <w:rsid w:val="00730BC8"/>
    <w:rsid w:val="00730C1B"/>
    <w:rsid w:val="00730C8E"/>
    <w:rsid w:val="00732182"/>
    <w:rsid w:val="007321C1"/>
    <w:rsid w:val="007328EA"/>
    <w:rsid w:val="007330AD"/>
    <w:rsid w:val="007337CE"/>
    <w:rsid w:val="00733AA2"/>
    <w:rsid w:val="007343EC"/>
    <w:rsid w:val="00734917"/>
    <w:rsid w:val="00734ACF"/>
    <w:rsid w:val="00734D97"/>
    <w:rsid w:val="00734ED0"/>
    <w:rsid w:val="007351E6"/>
    <w:rsid w:val="007352F7"/>
    <w:rsid w:val="00735719"/>
    <w:rsid w:val="00735935"/>
    <w:rsid w:val="00735B7C"/>
    <w:rsid w:val="00735E5C"/>
    <w:rsid w:val="007361E3"/>
    <w:rsid w:val="007368F7"/>
    <w:rsid w:val="0073691E"/>
    <w:rsid w:val="00737104"/>
    <w:rsid w:val="0073781B"/>
    <w:rsid w:val="00737F4E"/>
    <w:rsid w:val="0074073D"/>
    <w:rsid w:val="00740B1C"/>
    <w:rsid w:val="00740C2F"/>
    <w:rsid w:val="007410FD"/>
    <w:rsid w:val="007412E6"/>
    <w:rsid w:val="0074134B"/>
    <w:rsid w:val="0074138D"/>
    <w:rsid w:val="007416EF"/>
    <w:rsid w:val="007417B6"/>
    <w:rsid w:val="00741888"/>
    <w:rsid w:val="00741E77"/>
    <w:rsid w:val="00741E99"/>
    <w:rsid w:val="00742136"/>
    <w:rsid w:val="00742DED"/>
    <w:rsid w:val="00742EC7"/>
    <w:rsid w:val="00742ECA"/>
    <w:rsid w:val="00743456"/>
    <w:rsid w:val="007434BF"/>
    <w:rsid w:val="007436B8"/>
    <w:rsid w:val="007441E6"/>
    <w:rsid w:val="007442AA"/>
    <w:rsid w:val="00744BF7"/>
    <w:rsid w:val="00744F78"/>
    <w:rsid w:val="0074509E"/>
    <w:rsid w:val="00745354"/>
    <w:rsid w:val="007457AA"/>
    <w:rsid w:val="00745F58"/>
    <w:rsid w:val="007462DD"/>
    <w:rsid w:val="0074673B"/>
    <w:rsid w:val="00746926"/>
    <w:rsid w:val="00746D3C"/>
    <w:rsid w:val="007477AA"/>
    <w:rsid w:val="00747884"/>
    <w:rsid w:val="00747BEB"/>
    <w:rsid w:val="00750AB6"/>
    <w:rsid w:val="007511EB"/>
    <w:rsid w:val="00752167"/>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B"/>
    <w:rsid w:val="007555DC"/>
    <w:rsid w:val="00755617"/>
    <w:rsid w:val="007561DC"/>
    <w:rsid w:val="0075658C"/>
    <w:rsid w:val="007567E7"/>
    <w:rsid w:val="007568C0"/>
    <w:rsid w:val="00757111"/>
    <w:rsid w:val="007571B3"/>
    <w:rsid w:val="007574ED"/>
    <w:rsid w:val="00757BA5"/>
    <w:rsid w:val="00757FBC"/>
    <w:rsid w:val="007608DC"/>
    <w:rsid w:val="00760B29"/>
    <w:rsid w:val="00760D47"/>
    <w:rsid w:val="00760E12"/>
    <w:rsid w:val="0076198D"/>
    <w:rsid w:val="00761AB1"/>
    <w:rsid w:val="00761F82"/>
    <w:rsid w:val="0076261E"/>
    <w:rsid w:val="00762748"/>
    <w:rsid w:val="007628FC"/>
    <w:rsid w:val="0076372A"/>
    <w:rsid w:val="00763D90"/>
    <w:rsid w:val="00764057"/>
    <w:rsid w:val="00764251"/>
    <w:rsid w:val="007649CA"/>
    <w:rsid w:val="00764C25"/>
    <w:rsid w:val="00764E70"/>
    <w:rsid w:val="0076505D"/>
    <w:rsid w:val="0076515B"/>
    <w:rsid w:val="00765439"/>
    <w:rsid w:val="00765646"/>
    <w:rsid w:val="00766441"/>
    <w:rsid w:val="00766CDF"/>
    <w:rsid w:val="00767051"/>
    <w:rsid w:val="00767C60"/>
    <w:rsid w:val="00767CEF"/>
    <w:rsid w:val="0077008B"/>
    <w:rsid w:val="007700BE"/>
    <w:rsid w:val="00770715"/>
    <w:rsid w:val="00770A1D"/>
    <w:rsid w:val="00771084"/>
    <w:rsid w:val="0077123A"/>
    <w:rsid w:val="00771666"/>
    <w:rsid w:val="00771847"/>
    <w:rsid w:val="0077195E"/>
    <w:rsid w:val="00771D2F"/>
    <w:rsid w:val="00772174"/>
    <w:rsid w:val="00772992"/>
    <w:rsid w:val="00772EE4"/>
    <w:rsid w:val="007733C3"/>
    <w:rsid w:val="0077353D"/>
    <w:rsid w:val="007735BF"/>
    <w:rsid w:val="00773C89"/>
    <w:rsid w:val="00773D29"/>
    <w:rsid w:val="007740FE"/>
    <w:rsid w:val="00774261"/>
    <w:rsid w:val="0077435D"/>
    <w:rsid w:val="007757F5"/>
    <w:rsid w:val="00775ACA"/>
    <w:rsid w:val="00775BBE"/>
    <w:rsid w:val="00775DCA"/>
    <w:rsid w:val="00776780"/>
    <w:rsid w:val="00776A19"/>
    <w:rsid w:val="00776EA9"/>
    <w:rsid w:val="007775C9"/>
    <w:rsid w:val="0078058F"/>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87741"/>
    <w:rsid w:val="00790221"/>
    <w:rsid w:val="00790358"/>
    <w:rsid w:val="00790BBA"/>
    <w:rsid w:val="00791210"/>
    <w:rsid w:val="007917E0"/>
    <w:rsid w:val="007918D7"/>
    <w:rsid w:val="007918F2"/>
    <w:rsid w:val="00791928"/>
    <w:rsid w:val="00791B6F"/>
    <w:rsid w:val="00791E95"/>
    <w:rsid w:val="007920F3"/>
    <w:rsid w:val="0079210A"/>
    <w:rsid w:val="00792156"/>
    <w:rsid w:val="00792249"/>
    <w:rsid w:val="0079236E"/>
    <w:rsid w:val="00792719"/>
    <w:rsid w:val="0079296A"/>
    <w:rsid w:val="007945F8"/>
    <w:rsid w:val="007945FC"/>
    <w:rsid w:val="0079460B"/>
    <w:rsid w:val="00794A2A"/>
    <w:rsid w:val="00794C4E"/>
    <w:rsid w:val="007957F5"/>
    <w:rsid w:val="00795D4B"/>
    <w:rsid w:val="00795EB8"/>
    <w:rsid w:val="00796576"/>
    <w:rsid w:val="00796A13"/>
    <w:rsid w:val="00796B28"/>
    <w:rsid w:val="00796EE3"/>
    <w:rsid w:val="00797330"/>
    <w:rsid w:val="00797714"/>
    <w:rsid w:val="00797946"/>
    <w:rsid w:val="007A070A"/>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535"/>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0D67"/>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89C"/>
    <w:rsid w:val="007B5A8C"/>
    <w:rsid w:val="007B5C21"/>
    <w:rsid w:val="007B65DC"/>
    <w:rsid w:val="007B7C22"/>
    <w:rsid w:val="007B7FC3"/>
    <w:rsid w:val="007C0375"/>
    <w:rsid w:val="007C0C01"/>
    <w:rsid w:val="007C0DB7"/>
    <w:rsid w:val="007C1053"/>
    <w:rsid w:val="007C195D"/>
    <w:rsid w:val="007C1AA9"/>
    <w:rsid w:val="007C1FD4"/>
    <w:rsid w:val="007C2047"/>
    <w:rsid w:val="007C25A4"/>
    <w:rsid w:val="007C2A5F"/>
    <w:rsid w:val="007C4917"/>
    <w:rsid w:val="007C4D6B"/>
    <w:rsid w:val="007C4EBE"/>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1FB4"/>
    <w:rsid w:val="007D26AE"/>
    <w:rsid w:val="007D2CD7"/>
    <w:rsid w:val="007D30FB"/>
    <w:rsid w:val="007D3105"/>
    <w:rsid w:val="007D31A6"/>
    <w:rsid w:val="007D375C"/>
    <w:rsid w:val="007D3C9A"/>
    <w:rsid w:val="007D4399"/>
    <w:rsid w:val="007D4656"/>
    <w:rsid w:val="007D4740"/>
    <w:rsid w:val="007D4B23"/>
    <w:rsid w:val="007D4BF1"/>
    <w:rsid w:val="007D4F4B"/>
    <w:rsid w:val="007D5181"/>
    <w:rsid w:val="007D5904"/>
    <w:rsid w:val="007D66D7"/>
    <w:rsid w:val="007D6BEA"/>
    <w:rsid w:val="007D6EAD"/>
    <w:rsid w:val="007D6F96"/>
    <w:rsid w:val="007D7190"/>
    <w:rsid w:val="007D77E3"/>
    <w:rsid w:val="007D7CC9"/>
    <w:rsid w:val="007D7D20"/>
    <w:rsid w:val="007D7EBC"/>
    <w:rsid w:val="007D7F1F"/>
    <w:rsid w:val="007E0198"/>
    <w:rsid w:val="007E0D3B"/>
    <w:rsid w:val="007E12F0"/>
    <w:rsid w:val="007E1DA1"/>
    <w:rsid w:val="007E2231"/>
    <w:rsid w:val="007E2916"/>
    <w:rsid w:val="007E32F1"/>
    <w:rsid w:val="007E3A80"/>
    <w:rsid w:val="007E4BD9"/>
    <w:rsid w:val="007E4DEB"/>
    <w:rsid w:val="007E559B"/>
    <w:rsid w:val="007E58D1"/>
    <w:rsid w:val="007E61A1"/>
    <w:rsid w:val="007E65E2"/>
    <w:rsid w:val="007E6601"/>
    <w:rsid w:val="007E6616"/>
    <w:rsid w:val="007E6E0E"/>
    <w:rsid w:val="007E75E9"/>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47B9"/>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2F04"/>
    <w:rsid w:val="00813079"/>
    <w:rsid w:val="00814128"/>
    <w:rsid w:val="008150D9"/>
    <w:rsid w:val="008152B5"/>
    <w:rsid w:val="00815BC0"/>
    <w:rsid w:val="00815D1C"/>
    <w:rsid w:val="00815F08"/>
    <w:rsid w:val="00815F0C"/>
    <w:rsid w:val="00815F7D"/>
    <w:rsid w:val="008163B6"/>
    <w:rsid w:val="00816414"/>
    <w:rsid w:val="008167F1"/>
    <w:rsid w:val="00817683"/>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6D97"/>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42"/>
    <w:rsid w:val="00834299"/>
    <w:rsid w:val="008346E8"/>
    <w:rsid w:val="00834943"/>
    <w:rsid w:val="00834C3A"/>
    <w:rsid w:val="00834CAB"/>
    <w:rsid w:val="0083500B"/>
    <w:rsid w:val="008352A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2EA"/>
    <w:rsid w:val="008474F3"/>
    <w:rsid w:val="00847556"/>
    <w:rsid w:val="00847B72"/>
    <w:rsid w:val="00847E96"/>
    <w:rsid w:val="0085040A"/>
    <w:rsid w:val="0085041F"/>
    <w:rsid w:val="00850CCE"/>
    <w:rsid w:val="00851215"/>
    <w:rsid w:val="0085121B"/>
    <w:rsid w:val="00851345"/>
    <w:rsid w:val="00851654"/>
    <w:rsid w:val="00851A50"/>
    <w:rsid w:val="0085238E"/>
    <w:rsid w:val="008525C2"/>
    <w:rsid w:val="00852B14"/>
    <w:rsid w:val="00852D05"/>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BE6"/>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2E4"/>
    <w:rsid w:val="008654BC"/>
    <w:rsid w:val="008657D2"/>
    <w:rsid w:val="00865CA2"/>
    <w:rsid w:val="00865CBD"/>
    <w:rsid w:val="0086693B"/>
    <w:rsid w:val="00866BC0"/>
    <w:rsid w:val="0086722F"/>
    <w:rsid w:val="00867D49"/>
    <w:rsid w:val="00867F5F"/>
    <w:rsid w:val="008701AF"/>
    <w:rsid w:val="008706FC"/>
    <w:rsid w:val="008708D8"/>
    <w:rsid w:val="008709CB"/>
    <w:rsid w:val="00870E6E"/>
    <w:rsid w:val="00871492"/>
    <w:rsid w:val="00871508"/>
    <w:rsid w:val="00871533"/>
    <w:rsid w:val="008719C9"/>
    <w:rsid w:val="00872094"/>
    <w:rsid w:val="00872471"/>
    <w:rsid w:val="008725A0"/>
    <w:rsid w:val="00872623"/>
    <w:rsid w:val="00872649"/>
    <w:rsid w:val="00872D5C"/>
    <w:rsid w:val="00872DB6"/>
    <w:rsid w:val="00873132"/>
    <w:rsid w:val="0087365B"/>
    <w:rsid w:val="008737DD"/>
    <w:rsid w:val="00873907"/>
    <w:rsid w:val="00873C76"/>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2E6F"/>
    <w:rsid w:val="00883002"/>
    <w:rsid w:val="0088302C"/>
    <w:rsid w:val="00883CB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6F3"/>
    <w:rsid w:val="00895946"/>
    <w:rsid w:val="00895AF8"/>
    <w:rsid w:val="00895D43"/>
    <w:rsid w:val="0089621B"/>
    <w:rsid w:val="00896A7E"/>
    <w:rsid w:val="00896CF4"/>
    <w:rsid w:val="0089700D"/>
    <w:rsid w:val="00897F8D"/>
    <w:rsid w:val="008A0D37"/>
    <w:rsid w:val="008A0DF0"/>
    <w:rsid w:val="008A0F29"/>
    <w:rsid w:val="008A15C2"/>
    <w:rsid w:val="008A16C9"/>
    <w:rsid w:val="008A1B6B"/>
    <w:rsid w:val="008A2783"/>
    <w:rsid w:val="008A2864"/>
    <w:rsid w:val="008A2B11"/>
    <w:rsid w:val="008A34F6"/>
    <w:rsid w:val="008A37A4"/>
    <w:rsid w:val="008A3EA6"/>
    <w:rsid w:val="008A433C"/>
    <w:rsid w:val="008A4432"/>
    <w:rsid w:val="008A44A7"/>
    <w:rsid w:val="008A45A0"/>
    <w:rsid w:val="008A471B"/>
    <w:rsid w:val="008A4DEE"/>
    <w:rsid w:val="008A53AD"/>
    <w:rsid w:val="008A5692"/>
    <w:rsid w:val="008A5AFA"/>
    <w:rsid w:val="008A5D4A"/>
    <w:rsid w:val="008A5E0A"/>
    <w:rsid w:val="008A64B3"/>
    <w:rsid w:val="008A6B24"/>
    <w:rsid w:val="008A75F5"/>
    <w:rsid w:val="008A7632"/>
    <w:rsid w:val="008A7A11"/>
    <w:rsid w:val="008A7AC6"/>
    <w:rsid w:val="008B0473"/>
    <w:rsid w:val="008B04D0"/>
    <w:rsid w:val="008B058D"/>
    <w:rsid w:val="008B0698"/>
    <w:rsid w:val="008B06B3"/>
    <w:rsid w:val="008B090A"/>
    <w:rsid w:val="008B0A9E"/>
    <w:rsid w:val="008B0C08"/>
    <w:rsid w:val="008B1223"/>
    <w:rsid w:val="008B1F3F"/>
    <w:rsid w:val="008B1FAE"/>
    <w:rsid w:val="008B2100"/>
    <w:rsid w:val="008B21FC"/>
    <w:rsid w:val="008B2962"/>
    <w:rsid w:val="008B2A72"/>
    <w:rsid w:val="008B2A96"/>
    <w:rsid w:val="008B2BB8"/>
    <w:rsid w:val="008B2BEF"/>
    <w:rsid w:val="008B2D89"/>
    <w:rsid w:val="008B346A"/>
    <w:rsid w:val="008B38EB"/>
    <w:rsid w:val="008B3B97"/>
    <w:rsid w:val="008B3F37"/>
    <w:rsid w:val="008B40FE"/>
    <w:rsid w:val="008B4121"/>
    <w:rsid w:val="008B462B"/>
    <w:rsid w:val="008B480D"/>
    <w:rsid w:val="008B4B17"/>
    <w:rsid w:val="008B4CF6"/>
    <w:rsid w:val="008B4EFA"/>
    <w:rsid w:val="008B4F41"/>
    <w:rsid w:val="008B4F84"/>
    <w:rsid w:val="008B54DD"/>
    <w:rsid w:val="008B56DC"/>
    <w:rsid w:val="008B5D02"/>
    <w:rsid w:val="008B5DBF"/>
    <w:rsid w:val="008B60BF"/>
    <w:rsid w:val="008B61A3"/>
    <w:rsid w:val="008B6793"/>
    <w:rsid w:val="008B69B8"/>
    <w:rsid w:val="008B74EB"/>
    <w:rsid w:val="008B7A17"/>
    <w:rsid w:val="008B7D8D"/>
    <w:rsid w:val="008C04DB"/>
    <w:rsid w:val="008C054A"/>
    <w:rsid w:val="008C05CE"/>
    <w:rsid w:val="008C0F1A"/>
    <w:rsid w:val="008C1204"/>
    <w:rsid w:val="008C14F1"/>
    <w:rsid w:val="008C2371"/>
    <w:rsid w:val="008C2546"/>
    <w:rsid w:val="008C2815"/>
    <w:rsid w:val="008C2895"/>
    <w:rsid w:val="008C2A10"/>
    <w:rsid w:val="008C2D7F"/>
    <w:rsid w:val="008C3379"/>
    <w:rsid w:val="008C3F08"/>
    <w:rsid w:val="008C494C"/>
    <w:rsid w:val="008C4D44"/>
    <w:rsid w:val="008C5681"/>
    <w:rsid w:val="008C5D3B"/>
    <w:rsid w:val="008C65D1"/>
    <w:rsid w:val="008C6B43"/>
    <w:rsid w:val="008C6DB4"/>
    <w:rsid w:val="008C7AD5"/>
    <w:rsid w:val="008D084E"/>
    <w:rsid w:val="008D08C3"/>
    <w:rsid w:val="008D0CD8"/>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7A2"/>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4A67"/>
    <w:rsid w:val="008E5417"/>
    <w:rsid w:val="008E5973"/>
    <w:rsid w:val="008E5B7E"/>
    <w:rsid w:val="008E5BC2"/>
    <w:rsid w:val="008E66B8"/>
    <w:rsid w:val="008E677D"/>
    <w:rsid w:val="008E6799"/>
    <w:rsid w:val="008E6A48"/>
    <w:rsid w:val="008E6A84"/>
    <w:rsid w:val="008E6B7F"/>
    <w:rsid w:val="008E6D28"/>
    <w:rsid w:val="008E763D"/>
    <w:rsid w:val="008E795E"/>
    <w:rsid w:val="008E7979"/>
    <w:rsid w:val="008E7A3F"/>
    <w:rsid w:val="008F141E"/>
    <w:rsid w:val="008F14A2"/>
    <w:rsid w:val="008F14B6"/>
    <w:rsid w:val="008F1615"/>
    <w:rsid w:val="008F1B13"/>
    <w:rsid w:val="008F1CD4"/>
    <w:rsid w:val="008F1D5F"/>
    <w:rsid w:val="008F22A3"/>
    <w:rsid w:val="008F2576"/>
    <w:rsid w:val="008F41B2"/>
    <w:rsid w:val="008F4A87"/>
    <w:rsid w:val="008F4C02"/>
    <w:rsid w:val="008F52CE"/>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843"/>
    <w:rsid w:val="00902AA1"/>
    <w:rsid w:val="009030CE"/>
    <w:rsid w:val="009032CF"/>
    <w:rsid w:val="009032EA"/>
    <w:rsid w:val="009034D3"/>
    <w:rsid w:val="0090366B"/>
    <w:rsid w:val="009038D6"/>
    <w:rsid w:val="00903FDB"/>
    <w:rsid w:val="009049C5"/>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BAD"/>
    <w:rsid w:val="00916CDE"/>
    <w:rsid w:val="00916D94"/>
    <w:rsid w:val="00917242"/>
    <w:rsid w:val="009175D6"/>
    <w:rsid w:val="00917CBA"/>
    <w:rsid w:val="00917DD9"/>
    <w:rsid w:val="0092012C"/>
    <w:rsid w:val="00920223"/>
    <w:rsid w:val="00920679"/>
    <w:rsid w:val="009207C8"/>
    <w:rsid w:val="0092094D"/>
    <w:rsid w:val="00920B01"/>
    <w:rsid w:val="009210C5"/>
    <w:rsid w:val="009216ED"/>
    <w:rsid w:val="00921CAE"/>
    <w:rsid w:val="00922426"/>
    <w:rsid w:val="00922D96"/>
    <w:rsid w:val="00922DEF"/>
    <w:rsid w:val="00923101"/>
    <w:rsid w:val="0092327D"/>
    <w:rsid w:val="00923294"/>
    <w:rsid w:val="009240B8"/>
    <w:rsid w:val="009244B4"/>
    <w:rsid w:val="009246F2"/>
    <w:rsid w:val="009247B6"/>
    <w:rsid w:val="00924C0B"/>
    <w:rsid w:val="00924C6A"/>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4EA"/>
    <w:rsid w:val="009358A2"/>
    <w:rsid w:val="00935B9E"/>
    <w:rsid w:val="00935C59"/>
    <w:rsid w:val="00936351"/>
    <w:rsid w:val="0093681C"/>
    <w:rsid w:val="00936984"/>
    <w:rsid w:val="0093715B"/>
    <w:rsid w:val="009371B9"/>
    <w:rsid w:val="0093782B"/>
    <w:rsid w:val="00937CE1"/>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3AA"/>
    <w:rsid w:val="009458F5"/>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1D6"/>
    <w:rsid w:val="00951323"/>
    <w:rsid w:val="00951D33"/>
    <w:rsid w:val="00952B58"/>
    <w:rsid w:val="00952C27"/>
    <w:rsid w:val="00954423"/>
    <w:rsid w:val="009545DF"/>
    <w:rsid w:val="00954B9C"/>
    <w:rsid w:val="009552D6"/>
    <w:rsid w:val="009553F3"/>
    <w:rsid w:val="009553FB"/>
    <w:rsid w:val="00955956"/>
    <w:rsid w:val="0095598A"/>
    <w:rsid w:val="00955B3C"/>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629"/>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1CE"/>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772"/>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92E"/>
    <w:rsid w:val="00995C07"/>
    <w:rsid w:val="009962AC"/>
    <w:rsid w:val="0099671B"/>
    <w:rsid w:val="00996D8E"/>
    <w:rsid w:val="00996ED8"/>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A7DF7"/>
    <w:rsid w:val="009B0848"/>
    <w:rsid w:val="009B0BEB"/>
    <w:rsid w:val="009B10AC"/>
    <w:rsid w:val="009B111A"/>
    <w:rsid w:val="009B1401"/>
    <w:rsid w:val="009B159C"/>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0E6"/>
    <w:rsid w:val="009B61CC"/>
    <w:rsid w:val="009B624D"/>
    <w:rsid w:val="009B65ED"/>
    <w:rsid w:val="009B678B"/>
    <w:rsid w:val="009B6B63"/>
    <w:rsid w:val="009B6C53"/>
    <w:rsid w:val="009B75D7"/>
    <w:rsid w:val="009B789C"/>
    <w:rsid w:val="009B7A9F"/>
    <w:rsid w:val="009B7AB0"/>
    <w:rsid w:val="009B7CF7"/>
    <w:rsid w:val="009C0025"/>
    <w:rsid w:val="009C02A2"/>
    <w:rsid w:val="009C03FC"/>
    <w:rsid w:val="009C057E"/>
    <w:rsid w:val="009C07D8"/>
    <w:rsid w:val="009C0DE2"/>
    <w:rsid w:val="009C14BD"/>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752"/>
    <w:rsid w:val="009D1897"/>
    <w:rsid w:val="009D19CD"/>
    <w:rsid w:val="009D29BC"/>
    <w:rsid w:val="009D2C46"/>
    <w:rsid w:val="009D35B9"/>
    <w:rsid w:val="009D371A"/>
    <w:rsid w:val="009D3875"/>
    <w:rsid w:val="009D3876"/>
    <w:rsid w:val="009D3B4D"/>
    <w:rsid w:val="009D3BA0"/>
    <w:rsid w:val="009D3C22"/>
    <w:rsid w:val="009D4218"/>
    <w:rsid w:val="009D424E"/>
    <w:rsid w:val="009D4915"/>
    <w:rsid w:val="009D4BFF"/>
    <w:rsid w:val="009D4C3B"/>
    <w:rsid w:val="009D4E82"/>
    <w:rsid w:val="009D5488"/>
    <w:rsid w:val="009D60EE"/>
    <w:rsid w:val="009D6362"/>
    <w:rsid w:val="009D6382"/>
    <w:rsid w:val="009D639E"/>
    <w:rsid w:val="009D676D"/>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126"/>
    <w:rsid w:val="009E127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848"/>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619"/>
    <w:rsid w:val="009F4A83"/>
    <w:rsid w:val="009F4A95"/>
    <w:rsid w:val="009F4AAF"/>
    <w:rsid w:val="009F4C0D"/>
    <w:rsid w:val="009F4E61"/>
    <w:rsid w:val="009F6390"/>
    <w:rsid w:val="009F6669"/>
    <w:rsid w:val="009F6776"/>
    <w:rsid w:val="009F69D9"/>
    <w:rsid w:val="009F6E45"/>
    <w:rsid w:val="00A001BD"/>
    <w:rsid w:val="00A00640"/>
    <w:rsid w:val="00A0068A"/>
    <w:rsid w:val="00A00BCD"/>
    <w:rsid w:val="00A00CD6"/>
    <w:rsid w:val="00A00E15"/>
    <w:rsid w:val="00A01919"/>
    <w:rsid w:val="00A01CD6"/>
    <w:rsid w:val="00A024B9"/>
    <w:rsid w:val="00A02632"/>
    <w:rsid w:val="00A02858"/>
    <w:rsid w:val="00A02B5A"/>
    <w:rsid w:val="00A02B6D"/>
    <w:rsid w:val="00A02F50"/>
    <w:rsid w:val="00A03494"/>
    <w:rsid w:val="00A03630"/>
    <w:rsid w:val="00A03947"/>
    <w:rsid w:val="00A03BE5"/>
    <w:rsid w:val="00A03C27"/>
    <w:rsid w:val="00A04868"/>
    <w:rsid w:val="00A04A6A"/>
    <w:rsid w:val="00A04C6F"/>
    <w:rsid w:val="00A04F0B"/>
    <w:rsid w:val="00A068C4"/>
    <w:rsid w:val="00A0691A"/>
    <w:rsid w:val="00A06DB9"/>
    <w:rsid w:val="00A06F4B"/>
    <w:rsid w:val="00A071A0"/>
    <w:rsid w:val="00A072EF"/>
    <w:rsid w:val="00A073B5"/>
    <w:rsid w:val="00A075CA"/>
    <w:rsid w:val="00A076DB"/>
    <w:rsid w:val="00A10450"/>
    <w:rsid w:val="00A10581"/>
    <w:rsid w:val="00A106C3"/>
    <w:rsid w:val="00A10C14"/>
    <w:rsid w:val="00A11369"/>
    <w:rsid w:val="00A1149A"/>
    <w:rsid w:val="00A1175F"/>
    <w:rsid w:val="00A11976"/>
    <w:rsid w:val="00A11F33"/>
    <w:rsid w:val="00A120C0"/>
    <w:rsid w:val="00A1236D"/>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972"/>
    <w:rsid w:val="00A17A47"/>
    <w:rsid w:val="00A17C6B"/>
    <w:rsid w:val="00A20029"/>
    <w:rsid w:val="00A20153"/>
    <w:rsid w:val="00A20D39"/>
    <w:rsid w:val="00A21111"/>
    <w:rsid w:val="00A21789"/>
    <w:rsid w:val="00A21930"/>
    <w:rsid w:val="00A219B0"/>
    <w:rsid w:val="00A21ABB"/>
    <w:rsid w:val="00A223BC"/>
    <w:rsid w:val="00A22687"/>
    <w:rsid w:val="00A22995"/>
    <w:rsid w:val="00A22A3B"/>
    <w:rsid w:val="00A22A86"/>
    <w:rsid w:val="00A22F46"/>
    <w:rsid w:val="00A23ABE"/>
    <w:rsid w:val="00A23C34"/>
    <w:rsid w:val="00A251A0"/>
    <w:rsid w:val="00A251BF"/>
    <w:rsid w:val="00A251D1"/>
    <w:rsid w:val="00A25226"/>
    <w:rsid w:val="00A254E3"/>
    <w:rsid w:val="00A2629D"/>
    <w:rsid w:val="00A26377"/>
    <w:rsid w:val="00A26E59"/>
    <w:rsid w:val="00A276DF"/>
    <w:rsid w:val="00A27BDE"/>
    <w:rsid w:val="00A30186"/>
    <w:rsid w:val="00A310A4"/>
    <w:rsid w:val="00A3150C"/>
    <w:rsid w:val="00A316D4"/>
    <w:rsid w:val="00A31C02"/>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0C9A"/>
    <w:rsid w:val="00A412C3"/>
    <w:rsid w:val="00A413D9"/>
    <w:rsid w:val="00A413E1"/>
    <w:rsid w:val="00A41774"/>
    <w:rsid w:val="00A41C2E"/>
    <w:rsid w:val="00A41CC6"/>
    <w:rsid w:val="00A424C2"/>
    <w:rsid w:val="00A428BD"/>
    <w:rsid w:val="00A42BD0"/>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133"/>
    <w:rsid w:val="00A52571"/>
    <w:rsid w:val="00A530AE"/>
    <w:rsid w:val="00A536E2"/>
    <w:rsid w:val="00A53A19"/>
    <w:rsid w:val="00A53E2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5D5"/>
    <w:rsid w:val="00A63CD9"/>
    <w:rsid w:val="00A63D2B"/>
    <w:rsid w:val="00A63E97"/>
    <w:rsid w:val="00A64BD8"/>
    <w:rsid w:val="00A64C03"/>
    <w:rsid w:val="00A65210"/>
    <w:rsid w:val="00A653E5"/>
    <w:rsid w:val="00A65850"/>
    <w:rsid w:val="00A66A8B"/>
    <w:rsid w:val="00A66A8F"/>
    <w:rsid w:val="00A67C73"/>
    <w:rsid w:val="00A67CC1"/>
    <w:rsid w:val="00A67E18"/>
    <w:rsid w:val="00A7000C"/>
    <w:rsid w:val="00A700F6"/>
    <w:rsid w:val="00A70814"/>
    <w:rsid w:val="00A70D3D"/>
    <w:rsid w:val="00A70E0E"/>
    <w:rsid w:val="00A710AE"/>
    <w:rsid w:val="00A711DD"/>
    <w:rsid w:val="00A71692"/>
    <w:rsid w:val="00A71BBF"/>
    <w:rsid w:val="00A71ED4"/>
    <w:rsid w:val="00A72174"/>
    <w:rsid w:val="00A727E9"/>
    <w:rsid w:val="00A729C0"/>
    <w:rsid w:val="00A73257"/>
    <w:rsid w:val="00A7346B"/>
    <w:rsid w:val="00A73578"/>
    <w:rsid w:val="00A739E6"/>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B10"/>
    <w:rsid w:val="00A85EF6"/>
    <w:rsid w:val="00A86681"/>
    <w:rsid w:val="00A86B72"/>
    <w:rsid w:val="00A871EB"/>
    <w:rsid w:val="00A873A6"/>
    <w:rsid w:val="00A875E6"/>
    <w:rsid w:val="00A87762"/>
    <w:rsid w:val="00A87763"/>
    <w:rsid w:val="00A87832"/>
    <w:rsid w:val="00A9018A"/>
    <w:rsid w:val="00A903DA"/>
    <w:rsid w:val="00A90608"/>
    <w:rsid w:val="00A906FC"/>
    <w:rsid w:val="00A906FE"/>
    <w:rsid w:val="00A909DE"/>
    <w:rsid w:val="00A90A27"/>
    <w:rsid w:val="00A91272"/>
    <w:rsid w:val="00A92B41"/>
    <w:rsid w:val="00A92ED4"/>
    <w:rsid w:val="00A9355C"/>
    <w:rsid w:val="00A94536"/>
    <w:rsid w:val="00A94579"/>
    <w:rsid w:val="00A945EF"/>
    <w:rsid w:val="00A946E6"/>
    <w:rsid w:val="00A95059"/>
    <w:rsid w:val="00A9514C"/>
    <w:rsid w:val="00A953D8"/>
    <w:rsid w:val="00A95C19"/>
    <w:rsid w:val="00A96BFF"/>
    <w:rsid w:val="00A97632"/>
    <w:rsid w:val="00A9779F"/>
    <w:rsid w:val="00A97809"/>
    <w:rsid w:val="00AA01E3"/>
    <w:rsid w:val="00AA09F5"/>
    <w:rsid w:val="00AA1052"/>
    <w:rsid w:val="00AA157D"/>
    <w:rsid w:val="00AA172C"/>
    <w:rsid w:val="00AA1DED"/>
    <w:rsid w:val="00AA2089"/>
    <w:rsid w:val="00AA2627"/>
    <w:rsid w:val="00AA2926"/>
    <w:rsid w:val="00AA29B6"/>
    <w:rsid w:val="00AA2A19"/>
    <w:rsid w:val="00AA2A47"/>
    <w:rsid w:val="00AA2AAC"/>
    <w:rsid w:val="00AA2E90"/>
    <w:rsid w:val="00AA306C"/>
    <w:rsid w:val="00AA30FE"/>
    <w:rsid w:val="00AA345C"/>
    <w:rsid w:val="00AA3871"/>
    <w:rsid w:val="00AA46CA"/>
    <w:rsid w:val="00AA474B"/>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714"/>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6E2C"/>
    <w:rsid w:val="00AB761B"/>
    <w:rsid w:val="00AB7C97"/>
    <w:rsid w:val="00AB7CD2"/>
    <w:rsid w:val="00AC106A"/>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89D"/>
    <w:rsid w:val="00AC49B0"/>
    <w:rsid w:val="00AC5276"/>
    <w:rsid w:val="00AC5861"/>
    <w:rsid w:val="00AC5C0F"/>
    <w:rsid w:val="00AC601B"/>
    <w:rsid w:val="00AC6153"/>
    <w:rsid w:val="00AC6284"/>
    <w:rsid w:val="00AC6545"/>
    <w:rsid w:val="00AC69D2"/>
    <w:rsid w:val="00AC6E87"/>
    <w:rsid w:val="00AC713A"/>
    <w:rsid w:val="00AC738F"/>
    <w:rsid w:val="00AC7498"/>
    <w:rsid w:val="00AC7EE8"/>
    <w:rsid w:val="00AD09DF"/>
    <w:rsid w:val="00AD151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943"/>
    <w:rsid w:val="00AD4A80"/>
    <w:rsid w:val="00AD4F16"/>
    <w:rsid w:val="00AD5191"/>
    <w:rsid w:val="00AD5320"/>
    <w:rsid w:val="00AD5600"/>
    <w:rsid w:val="00AD57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53C"/>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8C4"/>
    <w:rsid w:val="00B05C43"/>
    <w:rsid w:val="00B05F5B"/>
    <w:rsid w:val="00B062F5"/>
    <w:rsid w:val="00B06520"/>
    <w:rsid w:val="00B065C8"/>
    <w:rsid w:val="00B06DEC"/>
    <w:rsid w:val="00B06E19"/>
    <w:rsid w:val="00B06F6B"/>
    <w:rsid w:val="00B0751D"/>
    <w:rsid w:val="00B07563"/>
    <w:rsid w:val="00B07A66"/>
    <w:rsid w:val="00B07CD9"/>
    <w:rsid w:val="00B102EB"/>
    <w:rsid w:val="00B10631"/>
    <w:rsid w:val="00B1076F"/>
    <w:rsid w:val="00B107AD"/>
    <w:rsid w:val="00B11554"/>
    <w:rsid w:val="00B11DEA"/>
    <w:rsid w:val="00B11EE8"/>
    <w:rsid w:val="00B12044"/>
    <w:rsid w:val="00B1249A"/>
    <w:rsid w:val="00B128FA"/>
    <w:rsid w:val="00B12A8D"/>
    <w:rsid w:val="00B130E8"/>
    <w:rsid w:val="00B14095"/>
    <w:rsid w:val="00B142F8"/>
    <w:rsid w:val="00B14622"/>
    <w:rsid w:val="00B14E90"/>
    <w:rsid w:val="00B15068"/>
    <w:rsid w:val="00B15278"/>
    <w:rsid w:val="00B15472"/>
    <w:rsid w:val="00B1556D"/>
    <w:rsid w:val="00B15B3B"/>
    <w:rsid w:val="00B16232"/>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63"/>
    <w:rsid w:val="00B23A79"/>
    <w:rsid w:val="00B23B62"/>
    <w:rsid w:val="00B23B67"/>
    <w:rsid w:val="00B24148"/>
    <w:rsid w:val="00B24208"/>
    <w:rsid w:val="00B24841"/>
    <w:rsid w:val="00B24A8F"/>
    <w:rsid w:val="00B24FF4"/>
    <w:rsid w:val="00B2573A"/>
    <w:rsid w:val="00B2614C"/>
    <w:rsid w:val="00B265C1"/>
    <w:rsid w:val="00B26B4A"/>
    <w:rsid w:val="00B26C27"/>
    <w:rsid w:val="00B27B22"/>
    <w:rsid w:val="00B300B6"/>
    <w:rsid w:val="00B303D8"/>
    <w:rsid w:val="00B30816"/>
    <w:rsid w:val="00B31693"/>
    <w:rsid w:val="00B31F02"/>
    <w:rsid w:val="00B32300"/>
    <w:rsid w:val="00B326DF"/>
    <w:rsid w:val="00B32ACE"/>
    <w:rsid w:val="00B335F8"/>
    <w:rsid w:val="00B33683"/>
    <w:rsid w:val="00B340B4"/>
    <w:rsid w:val="00B3440A"/>
    <w:rsid w:val="00B3453C"/>
    <w:rsid w:val="00B345DA"/>
    <w:rsid w:val="00B34607"/>
    <w:rsid w:val="00B34700"/>
    <w:rsid w:val="00B3517A"/>
    <w:rsid w:val="00B35B4F"/>
    <w:rsid w:val="00B35BAD"/>
    <w:rsid w:val="00B36142"/>
    <w:rsid w:val="00B36DB0"/>
    <w:rsid w:val="00B36F30"/>
    <w:rsid w:val="00B37450"/>
    <w:rsid w:val="00B37929"/>
    <w:rsid w:val="00B37C70"/>
    <w:rsid w:val="00B37C95"/>
    <w:rsid w:val="00B403BD"/>
    <w:rsid w:val="00B40916"/>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174"/>
    <w:rsid w:val="00B457E4"/>
    <w:rsid w:val="00B46C73"/>
    <w:rsid w:val="00B47101"/>
    <w:rsid w:val="00B475D5"/>
    <w:rsid w:val="00B478A1"/>
    <w:rsid w:val="00B501B5"/>
    <w:rsid w:val="00B5055A"/>
    <w:rsid w:val="00B507AA"/>
    <w:rsid w:val="00B509F3"/>
    <w:rsid w:val="00B50D01"/>
    <w:rsid w:val="00B50D53"/>
    <w:rsid w:val="00B50F98"/>
    <w:rsid w:val="00B51349"/>
    <w:rsid w:val="00B51412"/>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337"/>
    <w:rsid w:val="00B54C9D"/>
    <w:rsid w:val="00B54D9F"/>
    <w:rsid w:val="00B55C70"/>
    <w:rsid w:val="00B56369"/>
    <w:rsid w:val="00B567A4"/>
    <w:rsid w:val="00B56D1F"/>
    <w:rsid w:val="00B56DD5"/>
    <w:rsid w:val="00B57245"/>
    <w:rsid w:val="00B572E4"/>
    <w:rsid w:val="00B5778A"/>
    <w:rsid w:val="00B57D41"/>
    <w:rsid w:val="00B57F24"/>
    <w:rsid w:val="00B6022C"/>
    <w:rsid w:val="00B60A80"/>
    <w:rsid w:val="00B60EA6"/>
    <w:rsid w:val="00B61122"/>
    <w:rsid w:val="00B611F3"/>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530"/>
    <w:rsid w:val="00B73812"/>
    <w:rsid w:val="00B739B6"/>
    <w:rsid w:val="00B73DF8"/>
    <w:rsid w:val="00B74179"/>
    <w:rsid w:val="00B74552"/>
    <w:rsid w:val="00B74859"/>
    <w:rsid w:val="00B74F45"/>
    <w:rsid w:val="00B7507A"/>
    <w:rsid w:val="00B75786"/>
    <w:rsid w:val="00B760F2"/>
    <w:rsid w:val="00B765C8"/>
    <w:rsid w:val="00B7696A"/>
    <w:rsid w:val="00B76BDB"/>
    <w:rsid w:val="00B76DE6"/>
    <w:rsid w:val="00B76E60"/>
    <w:rsid w:val="00B800CB"/>
    <w:rsid w:val="00B80143"/>
    <w:rsid w:val="00B80D14"/>
    <w:rsid w:val="00B80DC0"/>
    <w:rsid w:val="00B80E94"/>
    <w:rsid w:val="00B81781"/>
    <w:rsid w:val="00B81817"/>
    <w:rsid w:val="00B819A2"/>
    <w:rsid w:val="00B824CA"/>
    <w:rsid w:val="00B82589"/>
    <w:rsid w:val="00B825EE"/>
    <w:rsid w:val="00B82B1B"/>
    <w:rsid w:val="00B837DD"/>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C52"/>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1F6"/>
    <w:rsid w:val="00B965A1"/>
    <w:rsid w:val="00B96CDF"/>
    <w:rsid w:val="00B96DDE"/>
    <w:rsid w:val="00B96F33"/>
    <w:rsid w:val="00B971FE"/>
    <w:rsid w:val="00B9730E"/>
    <w:rsid w:val="00B97421"/>
    <w:rsid w:val="00B97665"/>
    <w:rsid w:val="00B97FA4"/>
    <w:rsid w:val="00BA0275"/>
    <w:rsid w:val="00BA02E4"/>
    <w:rsid w:val="00BA0313"/>
    <w:rsid w:val="00BA09D9"/>
    <w:rsid w:val="00BA0B52"/>
    <w:rsid w:val="00BA0CE1"/>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6A67"/>
    <w:rsid w:val="00BA7691"/>
    <w:rsid w:val="00BA76D7"/>
    <w:rsid w:val="00BB02FA"/>
    <w:rsid w:val="00BB082B"/>
    <w:rsid w:val="00BB0C20"/>
    <w:rsid w:val="00BB0F2C"/>
    <w:rsid w:val="00BB1212"/>
    <w:rsid w:val="00BB21EE"/>
    <w:rsid w:val="00BB2C11"/>
    <w:rsid w:val="00BB31A2"/>
    <w:rsid w:val="00BB31AC"/>
    <w:rsid w:val="00BB34C7"/>
    <w:rsid w:val="00BB3EA7"/>
    <w:rsid w:val="00BB40BF"/>
    <w:rsid w:val="00BB4288"/>
    <w:rsid w:val="00BB4F1C"/>
    <w:rsid w:val="00BB50FA"/>
    <w:rsid w:val="00BB653C"/>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456"/>
    <w:rsid w:val="00BE08C9"/>
    <w:rsid w:val="00BE1B54"/>
    <w:rsid w:val="00BE1BD7"/>
    <w:rsid w:val="00BE29A6"/>
    <w:rsid w:val="00BE2A21"/>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E7F"/>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BF7FB9"/>
    <w:rsid w:val="00C0035A"/>
    <w:rsid w:val="00C00558"/>
    <w:rsid w:val="00C0190E"/>
    <w:rsid w:val="00C01BFA"/>
    <w:rsid w:val="00C01DCF"/>
    <w:rsid w:val="00C0216C"/>
    <w:rsid w:val="00C02714"/>
    <w:rsid w:val="00C0298F"/>
    <w:rsid w:val="00C02C02"/>
    <w:rsid w:val="00C03148"/>
    <w:rsid w:val="00C034A2"/>
    <w:rsid w:val="00C03CF5"/>
    <w:rsid w:val="00C03F36"/>
    <w:rsid w:val="00C03FCD"/>
    <w:rsid w:val="00C044B4"/>
    <w:rsid w:val="00C0468B"/>
    <w:rsid w:val="00C0484E"/>
    <w:rsid w:val="00C052A2"/>
    <w:rsid w:val="00C059E8"/>
    <w:rsid w:val="00C05B6C"/>
    <w:rsid w:val="00C05F7C"/>
    <w:rsid w:val="00C06954"/>
    <w:rsid w:val="00C0705A"/>
    <w:rsid w:val="00C073B7"/>
    <w:rsid w:val="00C07D8C"/>
    <w:rsid w:val="00C10F38"/>
    <w:rsid w:val="00C1243D"/>
    <w:rsid w:val="00C125BC"/>
    <w:rsid w:val="00C126B3"/>
    <w:rsid w:val="00C1270D"/>
    <w:rsid w:val="00C127BA"/>
    <w:rsid w:val="00C12B3C"/>
    <w:rsid w:val="00C12B79"/>
    <w:rsid w:val="00C132E2"/>
    <w:rsid w:val="00C133E0"/>
    <w:rsid w:val="00C13472"/>
    <w:rsid w:val="00C1402C"/>
    <w:rsid w:val="00C14292"/>
    <w:rsid w:val="00C14CCB"/>
    <w:rsid w:val="00C14FDF"/>
    <w:rsid w:val="00C1503A"/>
    <w:rsid w:val="00C15424"/>
    <w:rsid w:val="00C15536"/>
    <w:rsid w:val="00C157E9"/>
    <w:rsid w:val="00C15D56"/>
    <w:rsid w:val="00C15F07"/>
    <w:rsid w:val="00C1614A"/>
    <w:rsid w:val="00C16352"/>
    <w:rsid w:val="00C1653B"/>
    <w:rsid w:val="00C165B4"/>
    <w:rsid w:val="00C16979"/>
    <w:rsid w:val="00C16981"/>
    <w:rsid w:val="00C178F8"/>
    <w:rsid w:val="00C17BCF"/>
    <w:rsid w:val="00C20B00"/>
    <w:rsid w:val="00C20C42"/>
    <w:rsid w:val="00C21DD8"/>
    <w:rsid w:val="00C21EE5"/>
    <w:rsid w:val="00C21F2E"/>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37AB9"/>
    <w:rsid w:val="00C40D1C"/>
    <w:rsid w:val="00C40F60"/>
    <w:rsid w:val="00C41181"/>
    <w:rsid w:val="00C411B8"/>
    <w:rsid w:val="00C413AC"/>
    <w:rsid w:val="00C41752"/>
    <w:rsid w:val="00C42458"/>
    <w:rsid w:val="00C42837"/>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6E0"/>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851"/>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58DF"/>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452"/>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532"/>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4C94"/>
    <w:rsid w:val="00CA514C"/>
    <w:rsid w:val="00CA51B2"/>
    <w:rsid w:val="00CA51E3"/>
    <w:rsid w:val="00CA5339"/>
    <w:rsid w:val="00CA55E2"/>
    <w:rsid w:val="00CA55FC"/>
    <w:rsid w:val="00CA5867"/>
    <w:rsid w:val="00CA5A31"/>
    <w:rsid w:val="00CA5F41"/>
    <w:rsid w:val="00CA7588"/>
    <w:rsid w:val="00CA7870"/>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B72B8"/>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C9D"/>
    <w:rsid w:val="00CC5D4E"/>
    <w:rsid w:val="00CC5D9A"/>
    <w:rsid w:val="00CC5FC6"/>
    <w:rsid w:val="00CC6272"/>
    <w:rsid w:val="00CC64A6"/>
    <w:rsid w:val="00CC694F"/>
    <w:rsid w:val="00CC6BBF"/>
    <w:rsid w:val="00CC6C83"/>
    <w:rsid w:val="00CC6EA8"/>
    <w:rsid w:val="00CC7521"/>
    <w:rsid w:val="00CC7A45"/>
    <w:rsid w:val="00CC7D08"/>
    <w:rsid w:val="00CC7E24"/>
    <w:rsid w:val="00CD0058"/>
    <w:rsid w:val="00CD0221"/>
    <w:rsid w:val="00CD023A"/>
    <w:rsid w:val="00CD03E2"/>
    <w:rsid w:val="00CD080A"/>
    <w:rsid w:val="00CD0926"/>
    <w:rsid w:val="00CD1374"/>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3D9"/>
    <w:rsid w:val="00CD55A7"/>
    <w:rsid w:val="00CD5C8F"/>
    <w:rsid w:val="00CD5D67"/>
    <w:rsid w:val="00CD6725"/>
    <w:rsid w:val="00CD68D5"/>
    <w:rsid w:val="00CD68F2"/>
    <w:rsid w:val="00CD6A5A"/>
    <w:rsid w:val="00CD6E88"/>
    <w:rsid w:val="00CD7155"/>
    <w:rsid w:val="00CD7367"/>
    <w:rsid w:val="00CD73DE"/>
    <w:rsid w:val="00CD745D"/>
    <w:rsid w:val="00CD7690"/>
    <w:rsid w:val="00CD7762"/>
    <w:rsid w:val="00CE015E"/>
    <w:rsid w:val="00CE0621"/>
    <w:rsid w:val="00CE1383"/>
    <w:rsid w:val="00CE1482"/>
    <w:rsid w:val="00CE159D"/>
    <w:rsid w:val="00CE170E"/>
    <w:rsid w:val="00CE1A57"/>
    <w:rsid w:val="00CE2AE1"/>
    <w:rsid w:val="00CE3343"/>
    <w:rsid w:val="00CE3B8C"/>
    <w:rsid w:val="00CE3BB1"/>
    <w:rsid w:val="00CE3C01"/>
    <w:rsid w:val="00CE4C0A"/>
    <w:rsid w:val="00CE5AE6"/>
    <w:rsid w:val="00CE5BBB"/>
    <w:rsid w:val="00CE5F76"/>
    <w:rsid w:val="00CE7062"/>
    <w:rsid w:val="00CE758D"/>
    <w:rsid w:val="00CE75B3"/>
    <w:rsid w:val="00CE7A20"/>
    <w:rsid w:val="00CE7A71"/>
    <w:rsid w:val="00CE7B6C"/>
    <w:rsid w:val="00CF0108"/>
    <w:rsid w:val="00CF012A"/>
    <w:rsid w:val="00CF0E94"/>
    <w:rsid w:val="00CF102D"/>
    <w:rsid w:val="00CF12E7"/>
    <w:rsid w:val="00CF1D12"/>
    <w:rsid w:val="00CF1F0A"/>
    <w:rsid w:val="00CF25FD"/>
    <w:rsid w:val="00CF2697"/>
    <w:rsid w:val="00CF28BB"/>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6BAD"/>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553"/>
    <w:rsid w:val="00D07779"/>
    <w:rsid w:val="00D0782F"/>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5E9E"/>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393"/>
    <w:rsid w:val="00D3266B"/>
    <w:rsid w:val="00D32814"/>
    <w:rsid w:val="00D329B0"/>
    <w:rsid w:val="00D329F6"/>
    <w:rsid w:val="00D32FBB"/>
    <w:rsid w:val="00D333B8"/>
    <w:rsid w:val="00D33854"/>
    <w:rsid w:val="00D339B1"/>
    <w:rsid w:val="00D340F0"/>
    <w:rsid w:val="00D34217"/>
    <w:rsid w:val="00D34488"/>
    <w:rsid w:val="00D34A65"/>
    <w:rsid w:val="00D34B20"/>
    <w:rsid w:val="00D35962"/>
    <w:rsid w:val="00D35ACD"/>
    <w:rsid w:val="00D35BC9"/>
    <w:rsid w:val="00D3617C"/>
    <w:rsid w:val="00D369D9"/>
    <w:rsid w:val="00D36BD5"/>
    <w:rsid w:val="00D36ED1"/>
    <w:rsid w:val="00D37CA6"/>
    <w:rsid w:val="00D4004A"/>
    <w:rsid w:val="00D4076A"/>
    <w:rsid w:val="00D40D20"/>
    <w:rsid w:val="00D40DFC"/>
    <w:rsid w:val="00D41308"/>
    <w:rsid w:val="00D415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D72"/>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08C"/>
    <w:rsid w:val="00D5720C"/>
    <w:rsid w:val="00D5762A"/>
    <w:rsid w:val="00D57999"/>
    <w:rsid w:val="00D57DE5"/>
    <w:rsid w:val="00D57F43"/>
    <w:rsid w:val="00D6000E"/>
    <w:rsid w:val="00D6050C"/>
    <w:rsid w:val="00D60C04"/>
    <w:rsid w:val="00D613C8"/>
    <w:rsid w:val="00D624E9"/>
    <w:rsid w:val="00D62631"/>
    <w:rsid w:val="00D627DF"/>
    <w:rsid w:val="00D62E9F"/>
    <w:rsid w:val="00D631B5"/>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6D6"/>
    <w:rsid w:val="00D70929"/>
    <w:rsid w:val="00D70BF7"/>
    <w:rsid w:val="00D70E20"/>
    <w:rsid w:val="00D70EE1"/>
    <w:rsid w:val="00D7105A"/>
    <w:rsid w:val="00D71166"/>
    <w:rsid w:val="00D71490"/>
    <w:rsid w:val="00D719F2"/>
    <w:rsid w:val="00D719FE"/>
    <w:rsid w:val="00D71BDE"/>
    <w:rsid w:val="00D71DD8"/>
    <w:rsid w:val="00D72021"/>
    <w:rsid w:val="00D73FAB"/>
    <w:rsid w:val="00D74591"/>
    <w:rsid w:val="00D74C0E"/>
    <w:rsid w:val="00D74FB0"/>
    <w:rsid w:val="00D75484"/>
    <w:rsid w:val="00D754A0"/>
    <w:rsid w:val="00D76100"/>
    <w:rsid w:val="00D76AE4"/>
    <w:rsid w:val="00D76C89"/>
    <w:rsid w:val="00D772FC"/>
    <w:rsid w:val="00D80F00"/>
    <w:rsid w:val="00D81067"/>
    <w:rsid w:val="00D810F6"/>
    <w:rsid w:val="00D811B0"/>
    <w:rsid w:val="00D816C5"/>
    <w:rsid w:val="00D81973"/>
    <w:rsid w:val="00D81A3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061"/>
    <w:rsid w:val="00D848A6"/>
    <w:rsid w:val="00D84C9E"/>
    <w:rsid w:val="00D84DA5"/>
    <w:rsid w:val="00D8571B"/>
    <w:rsid w:val="00D85915"/>
    <w:rsid w:val="00D85B0B"/>
    <w:rsid w:val="00D86E5F"/>
    <w:rsid w:val="00D86E9C"/>
    <w:rsid w:val="00D870A6"/>
    <w:rsid w:val="00D87197"/>
    <w:rsid w:val="00D8794C"/>
    <w:rsid w:val="00D87FB2"/>
    <w:rsid w:val="00D90633"/>
    <w:rsid w:val="00D90AC2"/>
    <w:rsid w:val="00D90FF3"/>
    <w:rsid w:val="00D9196F"/>
    <w:rsid w:val="00D921F6"/>
    <w:rsid w:val="00D9276F"/>
    <w:rsid w:val="00D92B5C"/>
    <w:rsid w:val="00D93A3D"/>
    <w:rsid w:val="00D94352"/>
    <w:rsid w:val="00D943EF"/>
    <w:rsid w:val="00D9441A"/>
    <w:rsid w:val="00D9454A"/>
    <w:rsid w:val="00D94A1B"/>
    <w:rsid w:val="00D94F75"/>
    <w:rsid w:val="00D952DD"/>
    <w:rsid w:val="00D95BE5"/>
    <w:rsid w:val="00D95EB5"/>
    <w:rsid w:val="00D95EBC"/>
    <w:rsid w:val="00D96265"/>
    <w:rsid w:val="00D96782"/>
    <w:rsid w:val="00D9687C"/>
    <w:rsid w:val="00D96974"/>
    <w:rsid w:val="00D972C1"/>
    <w:rsid w:val="00D97413"/>
    <w:rsid w:val="00D97C8B"/>
    <w:rsid w:val="00DA00A7"/>
    <w:rsid w:val="00DA074C"/>
    <w:rsid w:val="00DA083D"/>
    <w:rsid w:val="00DA0BE2"/>
    <w:rsid w:val="00DA1105"/>
    <w:rsid w:val="00DA1284"/>
    <w:rsid w:val="00DA1738"/>
    <w:rsid w:val="00DA19FA"/>
    <w:rsid w:val="00DA1CFF"/>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0FC7"/>
    <w:rsid w:val="00DB15DB"/>
    <w:rsid w:val="00DB192E"/>
    <w:rsid w:val="00DB24B1"/>
    <w:rsid w:val="00DB33A4"/>
    <w:rsid w:val="00DB345B"/>
    <w:rsid w:val="00DB4D32"/>
    <w:rsid w:val="00DB4E21"/>
    <w:rsid w:val="00DB5228"/>
    <w:rsid w:val="00DB583D"/>
    <w:rsid w:val="00DB5C61"/>
    <w:rsid w:val="00DB6570"/>
    <w:rsid w:val="00DB65CA"/>
    <w:rsid w:val="00DB6C5E"/>
    <w:rsid w:val="00DB719D"/>
    <w:rsid w:val="00DB7458"/>
    <w:rsid w:val="00DB78A1"/>
    <w:rsid w:val="00DB7D82"/>
    <w:rsid w:val="00DB7EE7"/>
    <w:rsid w:val="00DC053C"/>
    <w:rsid w:val="00DC0645"/>
    <w:rsid w:val="00DC107F"/>
    <w:rsid w:val="00DC1B60"/>
    <w:rsid w:val="00DC1DE2"/>
    <w:rsid w:val="00DC22DF"/>
    <w:rsid w:val="00DC238D"/>
    <w:rsid w:val="00DC294A"/>
    <w:rsid w:val="00DC3B74"/>
    <w:rsid w:val="00DC5132"/>
    <w:rsid w:val="00DC526C"/>
    <w:rsid w:val="00DC54AE"/>
    <w:rsid w:val="00DC54D8"/>
    <w:rsid w:val="00DC5576"/>
    <w:rsid w:val="00DC5B41"/>
    <w:rsid w:val="00DC5FC9"/>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885"/>
    <w:rsid w:val="00DE1C30"/>
    <w:rsid w:val="00DE1F0F"/>
    <w:rsid w:val="00DE2B1F"/>
    <w:rsid w:val="00DE2DD4"/>
    <w:rsid w:val="00DE314C"/>
    <w:rsid w:val="00DE3284"/>
    <w:rsid w:val="00DE3B97"/>
    <w:rsid w:val="00DE3E32"/>
    <w:rsid w:val="00DE5405"/>
    <w:rsid w:val="00DE5C01"/>
    <w:rsid w:val="00DE5FFF"/>
    <w:rsid w:val="00DE64BA"/>
    <w:rsid w:val="00DE6810"/>
    <w:rsid w:val="00DE6812"/>
    <w:rsid w:val="00DE685C"/>
    <w:rsid w:val="00DE6AC7"/>
    <w:rsid w:val="00DE6E3D"/>
    <w:rsid w:val="00DE6F5A"/>
    <w:rsid w:val="00DE7278"/>
    <w:rsid w:val="00DE794E"/>
    <w:rsid w:val="00DE7D5B"/>
    <w:rsid w:val="00DE7F46"/>
    <w:rsid w:val="00DE7F86"/>
    <w:rsid w:val="00DF1C4C"/>
    <w:rsid w:val="00DF259D"/>
    <w:rsid w:val="00DF28A3"/>
    <w:rsid w:val="00DF2AAA"/>
    <w:rsid w:val="00DF36CA"/>
    <w:rsid w:val="00DF38B8"/>
    <w:rsid w:val="00DF393B"/>
    <w:rsid w:val="00DF3CFD"/>
    <w:rsid w:val="00DF3E2F"/>
    <w:rsid w:val="00DF3FD6"/>
    <w:rsid w:val="00DF42A2"/>
    <w:rsid w:val="00DF4533"/>
    <w:rsid w:val="00DF4571"/>
    <w:rsid w:val="00DF471E"/>
    <w:rsid w:val="00DF4759"/>
    <w:rsid w:val="00DF4F62"/>
    <w:rsid w:val="00DF5485"/>
    <w:rsid w:val="00DF592E"/>
    <w:rsid w:val="00DF5BA4"/>
    <w:rsid w:val="00DF5E1E"/>
    <w:rsid w:val="00DF6AAC"/>
    <w:rsid w:val="00DF6BAA"/>
    <w:rsid w:val="00DF76B9"/>
    <w:rsid w:val="00DF7DE3"/>
    <w:rsid w:val="00DF7EEC"/>
    <w:rsid w:val="00E0054C"/>
    <w:rsid w:val="00E00630"/>
    <w:rsid w:val="00E00DAA"/>
    <w:rsid w:val="00E00F98"/>
    <w:rsid w:val="00E01301"/>
    <w:rsid w:val="00E01377"/>
    <w:rsid w:val="00E013A8"/>
    <w:rsid w:val="00E01CCC"/>
    <w:rsid w:val="00E01E85"/>
    <w:rsid w:val="00E01F76"/>
    <w:rsid w:val="00E02403"/>
    <w:rsid w:val="00E02411"/>
    <w:rsid w:val="00E02B0B"/>
    <w:rsid w:val="00E0300B"/>
    <w:rsid w:val="00E03CFF"/>
    <w:rsid w:val="00E03D07"/>
    <w:rsid w:val="00E0437D"/>
    <w:rsid w:val="00E04CE7"/>
    <w:rsid w:val="00E04D87"/>
    <w:rsid w:val="00E0513A"/>
    <w:rsid w:val="00E05442"/>
    <w:rsid w:val="00E05832"/>
    <w:rsid w:val="00E05DC8"/>
    <w:rsid w:val="00E05F74"/>
    <w:rsid w:val="00E067DB"/>
    <w:rsid w:val="00E06899"/>
    <w:rsid w:val="00E06C08"/>
    <w:rsid w:val="00E070A4"/>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6C3F"/>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0AA"/>
    <w:rsid w:val="00E2424E"/>
    <w:rsid w:val="00E24CE1"/>
    <w:rsid w:val="00E2519E"/>
    <w:rsid w:val="00E2527A"/>
    <w:rsid w:val="00E2535B"/>
    <w:rsid w:val="00E256B9"/>
    <w:rsid w:val="00E25961"/>
    <w:rsid w:val="00E25AFA"/>
    <w:rsid w:val="00E25D94"/>
    <w:rsid w:val="00E25EDA"/>
    <w:rsid w:val="00E261E1"/>
    <w:rsid w:val="00E26313"/>
    <w:rsid w:val="00E26394"/>
    <w:rsid w:val="00E2655A"/>
    <w:rsid w:val="00E267CF"/>
    <w:rsid w:val="00E26897"/>
    <w:rsid w:val="00E27B02"/>
    <w:rsid w:val="00E30208"/>
    <w:rsid w:val="00E30AA6"/>
    <w:rsid w:val="00E322E5"/>
    <w:rsid w:val="00E32391"/>
    <w:rsid w:val="00E32882"/>
    <w:rsid w:val="00E32980"/>
    <w:rsid w:val="00E33658"/>
    <w:rsid w:val="00E33DCC"/>
    <w:rsid w:val="00E34634"/>
    <w:rsid w:val="00E34908"/>
    <w:rsid w:val="00E34B92"/>
    <w:rsid w:val="00E34D47"/>
    <w:rsid w:val="00E3536C"/>
    <w:rsid w:val="00E35CAD"/>
    <w:rsid w:val="00E35F8B"/>
    <w:rsid w:val="00E35FDF"/>
    <w:rsid w:val="00E3649E"/>
    <w:rsid w:val="00E36A4F"/>
    <w:rsid w:val="00E36D6D"/>
    <w:rsid w:val="00E36EAD"/>
    <w:rsid w:val="00E37D7B"/>
    <w:rsid w:val="00E40632"/>
    <w:rsid w:val="00E40EBF"/>
    <w:rsid w:val="00E4111A"/>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4FAA"/>
    <w:rsid w:val="00E45863"/>
    <w:rsid w:val="00E45A7D"/>
    <w:rsid w:val="00E45D4C"/>
    <w:rsid w:val="00E46117"/>
    <w:rsid w:val="00E4633D"/>
    <w:rsid w:val="00E46786"/>
    <w:rsid w:val="00E47B19"/>
    <w:rsid w:val="00E47D19"/>
    <w:rsid w:val="00E47EF4"/>
    <w:rsid w:val="00E47F0A"/>
    <w:rsid w:val="00E50D4C"/>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502"/>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056"/>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ADF"/>
    <w:rsid w:val="00E94CBC"/>
    <w:rsid w:val="00E94FF8"/>
    <w:rsid w:val="00E95049"/>
    <w:rsid w:val="00E955EF"/>
    <w:rsid w:val="00E9578D"/>
    <w:rsid w:val="00E95893"/>
    <w:rsid w:val="00E96435"/>
    <w:rsid w:val="00E96AE3"/>
    <w:rsid w:val="00E96DA3"/>
    <w:rsid w:val="00E96F60"/>
    <w:rsid w:val="00E974E6"/>
    <w:rsid w:val="00E97859"/>
    <w:rsid w:val="00E97CD6"/>
    <w:rsid w:val="00E97ED0"/>
    <w:rsid w:val="00EA0AFC"/>
    <w:rsid w:val="00EA0BC1"/>
    <w:rsid w:val="00EA0BDB"/>
    <w:rsid w:val="00EA0E17"/>
    <w:rsid w:val="00EA1207"/>
    <w:rsid w:val="00EA12D6"/>
    <w:rsid w:val="00EA14DD"/>
    <w:rsid w:val="00EA14DE"/>
    <w:rsid w:val="00EA206B"/>
    <w:rsid w:val="00EA2455"/>
    <w:rsid w:val="00EA2C77"/>
    <w:rsid w:val="00EA2C82"/>
    <w:rsid w:val="00EA33F9"/>
    <w:rsid w:val="00EA3437"/>
    <w:rsid w:val="00EA39AC"/>
    <w:rsid w:val="00EA3BF7"/>
    <w:rsid w:val="00EA3F53"/>
    <w:rsid w:val="00EA470F"/>
    <w:rsid w:val="00EA4D80"/>
    <w:rsid w:val="00EA4FFE"/>
    <w:rsid w:val="00EA502B"/>
    <w:rsid w:val="00EA559C"/>
    <w:rsid w:val="00EA5690"/>
    <w:rsid w:val="00EA58B4"/>
    <w:rsid w:val="00EA6247"/>
    <w:rsid w:val="00EA637C"/>
    <w:rsid w:val="00EA657C"/>
    <w:rsid w:val="00EA744A"/>
    <w:rsid w:val="00EA74E9"/>
    <w:rsid w:val="00EA7713"/>
    <w:rsid w:val="00EB001E"/>
    <w:rsid w:val="00EB0100"/>
    <w:rsid w:val="00EB0327"/>
    <w:rsid w:val="00EB05D8"/>
    <w:rsid w:val="00EB0644"/>
    <w:rsid w:val="00EB096D"/>
    <w:rsid w:val="00EB0B76"/>
    <w:rsid w:val="00EB0D0F"/>
    <w:rsid w:val="00EB120C"/>
    <w:rsid w:val="00EB187A"/>
    <w:rsid w:val="00EB2551"/>
    <w:rsid w:val="00EB2574"/>
    <w:rsid w:val="00EB2A0C"/>
    <w:rsid w:val="00EB2BCC"/>
    <w:rsid w:val="00EB2E69"/>
    <w:rsid w:val="00EB2E72"/>
    <w:rsid w:val="00EB2FBA"/>
    <w:rsid w:val="00EB361B"/>
    <w:rsid w:val="00EB3632"/>
    <w:rsid w:val="00EB3A14"/>
    <w:rsid w:val="00EB3B7F"/>
    <w:rsid w:val="00EB3E69"/>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EC9"/>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352"/>
    <w:rsid w:val="00EC493D"/>
    <w:rsid w:val="00EC4A4D"/>
    <w:rsid w:val="00EC4C63"/>
    <w:rsid w:val="00EC5488"/>
    <w:rsid w:val="00EC54A4"/>
    <w:rsid w:val="00EC5E37"/>
    <w:rsid w:val="00EC5E87"/>
    <w:rsid w:val="00EC6092"/>
    <w:rsid w:val="00EC6166"/>
    <w:rsid w:val="00EC621A"/>
    <w:rsid w:val="00EC62D9"/>
    <w:rsid w:val="00EC6320"/>
    <w:rsid w:val="00EC65C6"/>
    <w:rsid w:val="00EC66A7"/>
    <w:rsid w:val="00EC6AA8"/>
    <w:rsid w:val="00EC6B1F"/>
    <w:rsid w:val="00EC70DA"/>
    <w:rsid w:val="00EC7276"/>
    <w:rsid w:val="00EC7667"/>
    <w:rsid w:val="00EC7852"/>
    <w:rsid w:val="00EC7D46"/>
    <w:rsid w:val="00EC7F1A"/>
    <w:rsid w:val="00ED01B9"/>
    <w:rsid w:val="00ED0DC7"/>
    <w:rsid w:val="00ED108D"/>
    <w:rsid w:val="00ED1773"/>
    <w:rsid w:val="00ED1863"/>
    <w:rsid w:val="00ED1999"/>
    <w:rsid w:val="00ED211A"/>
    <w:rsid w:val="00ED2991"/>
    <w:rsid w:val="00ED2C3C"/>
    <w:rsid w:val="00ED2D8D"/>
    <w:rsid w:val="00ED2F00"/>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6C4E"/>
    <w:rsid w:val="00EE7560"/>
    <w:rsid w:val="00EE756C"/>
    <w:rsid w:val="00EE7922"/>
    <w:rsid w:val="00EE7D1F"/>
    <w:rsid w:val="00EE7D86"/>
    <w:rsid w:val="00EF06A2"/>
    <w:rsid w:val="00EF0BF3"/>
    <w:rsid w:val="00EF124D"/>
    <w:rsid w:val="00EF135D"/>
    <w:rsid w:val="00EF1399"/>
    <w:rsid w:val="00EF1554"/>
    <w:rsid w:val="00EF19E6"/>
    <w:rsid w:val="00EF1FA3"/>
    <w:rsid w:val="00EF21CF"/>
    <w:rsid w:val="00EF36BC"/>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7DC"/>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17F05"/>
    <w:rsid w:val="00F2045A"/>
    <w:rsid w:val="00F20838"/>
    <w:rsid w:val="00F2084C"/>
    <w:rsid w:val="00F20D77"/>
    <w:rsid w:val="00F211AD"/>
    <w:rsid w:val="00F21B31"/>
    <w:rsid w:val="00F21CDE"/>
    <w:rsid w:val="00F21F2D"/>
    <w:rsid w:val="00F222E1"/>
    <w:rsid w:val="00F224F2"/>
    <w:rsid w:val="00F22840"/>
    <w:rsid w:val="00F236A1"/>
    <w:rsid w:val="00F23DD8"/>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BD6"/>
    <w:rsid w:val="00F26DB5"/>
    <w:rsid w:val="00F2793C"/>
    <w:rsid w:val="00F30414"/>
    <w:rsid w:val="00F306EE"/>
    <w:rsid w:val="00F308B0"/>
    <w:rsid w:val="00F30925"/>
    <w:rsid w:val="00F30A10"/>
    <w:rsid w:val="00F30D13"/>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0EA"/>
    <w:rsid w:val="00F343FB"/>
    <w:rsid w:val="00F34499"/>
    <w:rsid w:val="00F346C2"/>
    <w:rsid w:val="00F349BE"/>
    <w:rsid w:val="00F35093"/>
    <w:rsid w:val="00F35735"/>
    <w:rsid w:val="00F35971"/>
    <w:rsid w:val="00F359A5"/>
    <w:rsid w:val="00F363BB"/>
    <w:rsid w:val="00F36424"/>
    <w:rsid w:val="00F3671E"/>
    <w:rsid w:val="00F36C1B"/>
    <w:rsid w:val="00F36C7B"/>
    <w:rsid w:val="00F36F48"/>
    <w:rsid w:val="00F37469"/>
    <w:rsid w:val="00F37676"/>
    <w:rsid w:val="00F37724"/>
    <w:rsid w:val="00F377C3"/>
    <w:rsid w:val="00F377C5"/>
    <w:rsid w:val="00F37CDA"/>
    <w:rsid w:val="00F40124"/>
    <w:rsid w:val="00F40611"/>
    <w:rsid w:val="00F409F5"/>
    <w:rsid w:val="00F40DBB"/>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571"/>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6C01"/>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32A0"/>
    <w:rsid w:val="00F64332"/>
    <w:rsid w:val="00F6459B"/>
    <w:rsid w:val="00F64A65"/>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37AB"/>
    <w:rsid w:val="00F740BE"/>
    <w:rsid w:val="00F74779"/>
    <w:rsid w:val="00F74788"/>
    <w:rsid w:val="00F747D4"/>
    <w:rsid w:val="00F75839"/>
    <w:rsid w:val="00F75BDE"/>
    <w:rsid w:val="00F75FA4"/>
    <w:rsid w:val="00F76412"/>
    <w:rsid w:val="00F7679F"/>
    <w:rsid w:val="00F76F5C"/>
    <w:rsid w:val="00F805ED"/>
    <w:rsid w:val="00F80749"/>
    <w:rsid w:val="00F8077B"/>
    <w:rsid w:val="00F80C5D"/>
    <w:rsid w:val="00F81B54"/>
    <w:rsid w:val="00F81E09"/>
    <w:rsid w:val="00F8224C"/>
    <w:rsid w:val="00F823D1"/>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87E0F"/>
    <w:rsid w:val="00F905D4"/>
    <w:rsid w:val="00F907FC"/>
    <w:rsid w:val="00F90A9D"/>
    <w:rsid w:val="00F91245"/>
    <w:rsid w:val="00F91469"/>
    <w:rsid w:val="00F915AD"/>
    <w:rsid w:val="00F91A7F"/>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91B"/>
    <w:rsid w:val="00FA1ADE"/>
    <w:rsid w:val="00FA1C26"/>
    <w:rsid w:val="00FA2F00"/>
    <w:rsid w:val="00FA2FFA"/>
    <w:rsid w:val="00FA3583"/>
    <w:rsid w:val="00FA35A9"/>
    <w:rsid w:val="00FA37A5"/>
    <w:rsid w:val="00FA3DD3"/>
    <w:rsid w:val="00FA3E86"/>
    <w:rsid w:val="00FA4420"/>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DA"/>
    <w:rsid w:val="00FB56E2"/>
    <w:rsid w:val="00FB5788"/>
    <w:rsid w:val="00FB5955"/>
    <w:rsid w:val="00FB59D0"/>
    <w:rsid w:val="00FB5F54"/>
    <w:rsid w:val="00FB67E3"/>
    <w:rsid w:val="00FB67F6"/>
    <w:rsid w:val="00FB6DC3"/>
    <w:rsid w:val="00FB7587"/>
    <w:rsid w:val="00FC132C"/>
    <w:rsid w:val="00FC152D"/>
    <w:rsid w:val="00FC17AD"/>
    <w:rsid w:val="00FC18C4"/>
    <w:rsid w:val="00FC1BFF"/>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0DAC"/>
    <w:rsid w:val="00FD17DC"/>
    <w:rsid w:val="00FD194B"/>
    <w:rsid w:val="00FD1A98"/>
    <w:rsid w:val="00FD1C21"/>
    <w:rsid w:val="00FD1E40"/>
    <w:rsid w:val="00FD277D"/>
    <w:rsid w:val="00FD3258"/>
    <w:rsid w:val="00FD34DD"/>
    <w:rsid w:val="00FD3DD4"/>
    <w:rsid w:val="00FD480E"/>
    <w:rsid w:val="00FD4EC1"/>
    <w:rsid w:val="00FD53E8"/>
    <w:rsid w:val="00FD55A9"/>
    <w:rsid w:val="00FD583D"/>
    <w:rsid w:val="00FD58BB"/>
    <w:rsid w:val="00FD5ED7"/>
    <w:rsid w:val="00FD5F31"/>
    <w:rsid w:val="00FD60D1"/>
    <w:rsid w:val="00FD6522"/>
    <w:rsid w:val="00FD6725"/>
    <w:rsid w:val="00FD6B9B"/>
    <w:rsid w:val="00FD6EEC"/>
    <w:rsid w:val="00FD6F8A"/>
    <w:rsid w:val="00FD6FA5"/>
    <w:rsid w:val="00FD7106"/>
    <w:rsid w:val="00FD714F"/>
    <w:rsid w:val="00FD7478"/>
    <w:rsid w:val="00FD7B24"/>
    <w:rsid w:val="00FD7E37"/>
    <w:rsid w:val="00FE03D5"/>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266"/>
    <w:rsid w:val="00FE4890"/>
    <w:rsid w:val="00FE48EE"/>
    <w:rsid w:val="00FE4D7A"/>
    <w:rsid w:val="00FE4E61"/>
    <w:rsid w:val="00FE5021"/>
    <w:rsid w:val="00FE5186"/>
    <w:rsid w:val="00FE5405"/>
    <w:rsid w:val="00FE5977"/>
    <w:rsid w:val="00FE5C41"/>
    <w:rsid w:val="00FE5D33"/>
    <w:rsid w:val="00FE6091"/>
    <w:rsid w:val="00FE67D5"/>
    <w:rsid w:val="00FE6DDE"/>
    <w:rsid w:val="00FE7679"/>
    <w:rsid w:val="00FE7A11"/>
    <w:rsid w:val="00FE7C68"/>
    <w:rsid w:val="00FF07D9"/>
    <w:rsid w:val="00FF09F2"/>
    <w:rsid w:val="00FF09FC"/>
    <w:rsid w:val="00FF11B9"/>
    <w:rsid w:val="00FF1293"/>
    <w:rsid w:val="00FF1468"/>
    <w:rsid w:val="00FF19E6"/>
    <w:rsid w:val="00FF1A2B"/>
    <w:rsid w:val="00FF1EFB"/>
    <w:rsid w:val="00FF2448"/>
    <w:rsid w:val="00FF3069"/>
    <w:rsid w:val="00FF321B"/>
    <w:rsid w:val="00FF3304"/>
    <w:rsid w:val="00FF37E3"/>
    <w:rsid w:val="00FF389D"/>
    <w:rsid w:val="00FF4974"/>
    <w:rsid w:val="00FF4BBE"/>
    <w:rsid w:val="00FF5205"/>
    <w:rsid w:val="00FF5338"/>
    <w:rsid w:val="00FF537C"/>
    <w:rsid w:val="00FF53D0"/>
    <w:rsid w:val="00FF54BF"/>
    <w:rsid w:val="00FF5711"/>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6C"/>
  </w:style>
  <w:style w:type="paragraph" w:styleId="Heading1">
    <w:name w:val="heading 1"/>
    <w:basedOn w:val="Normal"/>
    <w:next w:val="Normal"/>
    <w:autoRedefine/>
    <w:qFormat/>
    <w:rsid w:val="00150C9D"/>
    <w:pPr>
      <w:keepNext/>
      <w:tabs>
        <w:tab w:val="left" w:pos="0"/>
        <w:tab w:val="left" w:pos="720"/>
      </w:tabs>
      <w:spacing w:before="360" w:after="240"/>
      <w:ind w:left="720" w:right="720" w:hanging="720"/>
      <w:outlineLvl w:val="0"/>
    </w:pPr>
    <w:rPr>
      <w:rFonts w:cs="Arial"/>
      <w:b/>
      <w:bCs/>
      <w:caps/>
      <w:kern w:val="32"/>
      <w:sz w:val="28"/>
      <w:szCs w:val="24"/>
    </w:rPr>
  </w:style>
  <w:style w:type="paragraph" w:styleId="Heading2">
    <w:name w:val="heading 2"/>
    <w:basedOn w:val="Normal"/>
    <w:next w:val="Normal"/>
    <w:link w:val="Heading2Char"/>
    <w:autoRedefine/>
    <w:unhideWhenUsed/>
    <w:qFormat/>
    <w:rsid w:val="00E34D47"/>
    <w:pPr>
      <w:keepNext/>
      <w:tabs>
        <w:tab w:val="left" w:pos="-180"/>
        <w:tab w:val="left" w:pos="9000"/>
        <w:tab w:val="left" w:pos="9360"/>
      </w:tabs>
      <w:spacing w:before="360" w:after="240"/>
      <w:ind w:left="1440" w:right="720" w:hanging="720"/>
      <w:outlineLvl w:val="1"/>
    </w:pPr>
    <w:rPr>
      <w:rFonts w:cs="Arial"/>
      <w:b/>
      <w:bCs/>
      <w:iCs/>
      <w:sz w:val="28"/>
      <w:szCs w:val="24"/>
    </w:rPr>
  </w:style>
  <w:style w:type="paragraph" w:styleId="Heading3">
    <w:name w:val="heading 3"/>
    <w:basedOn w:val="Normal"/>
    <w:next w:val="Normal"/>
    <w:link w:val="Heading3Char"/>
    <w:autoRedefine/>
    <w:unhideWhenUsed/>
    <w:qFormat/>
    <w:rsid w:val="003B762D"/>
    <w:pPr>
      <w:keepNext/>
      <w:tabs>
        <w:tab w:val="left" w:pos="1440"/>
      </w:tabs>
      <w:spacing w:before="360" w:after="240" w:line="276" w:lineRule="auto"/>
      <w:ind w:left="1440" w:right="1440" w:hanging="360"/>
      <w:jc w:val="both"/>
      <w:outlineLvl w:val="2"/>
    </w:pPr>
    <w:rPr>
      <w:rFonts w:ascii="Arial" w:hAnsi="Arial" w:cs="Arial"/>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link w:val="HeaderChar"/>
    <w:uiPriority w:val="99"/>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uiPriority w:val="59"/>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E34D47"/>
    <w:pPr>
      <w:spacing w:line="480" w:lineRule="auto"/>
      <w:jc w:val="left"/>
    </w:pPr>
    <w:rPr>
      <w:rFonts w:ascii="Times New Roman" w:hAnsi="Times New Roman"/>
      <w:sz w:val="26"/>
      <w:szCs w:val="24"/>
    </w:rPr>
  </w:style>
  <w:style w:type="paragraph" w:styleId="FootnoteText">
    <w:name w:val="footnote text"/>
    <w:basedOn w:val="Normal"/>
    <w:link w:val="FootnoteTextChar"/>
    <w:autoRedefine/>
    <w:uiPriority w:val="99"/>
    <w:rsid w:val="00F40DBB"/>
    <w:pPr>
      <w:spacing w:before="240" w:after="240"/>
      <w:ind w:left="720" w:hanging="720"/>
    </w:pPr>
    <w:rPr>
      <w:color w:val="000000"/>
      <w:sz w:val="24"/>
      <w:szCs w:val="24"/>
    </w:rPr>
  </w:style>
  <w:style w:type="character" w:customStyle="1" w:styleId="FootnoteTextChar">
    <w:name w:val="Footnote Text Char"/>
    <w:link w:val="FootnoteText"/>
    <w:uiPriority w:val="99"/>
    <w:locked/>
    <w:rsid w:val="00F40DBB"/>
    <w:rPr>
      <w:color w:val="000000"/>
      <w:sz w:val="24"/>
      <w:szCs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uiPriority w:val="99"/>
    <w:rsid w:val="00200A0A"/>
    <w:rPr>
      <w:color w:val="0000FF"/>
      <w:u w:val="single"/>
    </w:rPr>
  </w:style>
  <w:style w:type="paragraph" w:styleId="BalloonText">
    <w:name w:val="Balloon Text"/>
    <w:basedOn w:val="Normal"/>
    <w:link w:val="BalloonTextChar"/>
    <w:uiPriority w:val="99"/>
    <w:rsid w:val="00DA5C19"/>
    <w:rPr>
      <w:rFonts w:ascii="Tahoma" w:hAnsi="Tahoma" w:cs="Tahoma"/>
      <w:sz w:val="16"/>
      <w:szCs w:val="16"/>
    </w:rPr>
  </w:style>
  <w:style w:type="character" w:customStyle="1" w:styleId="BalloonTextChar">
    <w:name w:val="Balloon Text Char"/>
    <w:link w:val="BalloonText"/>
    <w:uiPriority w:val="99"/>
    <w:rsid w:val="00DA5C19"/>
    <w:rPr>
      <w:rFonts w:ascii="Tahoma" w:hAnsi="Tahoma" w:cs="Tahoma"/>
      <w:sz w:val="16"/>
      <w:szCs w:val="16"/>
    </w:rPr>
  </w:style>
  <w:style w:type="paragraph" w:styleId="TOC1">
    <w:name w:val="toc 1"/>
    <w:basedOn w:val="Normal"/>
    <w:next w:val="Normal"/>
    <w:autoRedefine/>
    <w:uiPriority w:val="39"/>
    <w:rsid w:val="00861BE6"/>
    <w:pPr>
      <w:tabs>
        <w:tab w:val="right" w:leader="dot" w:pos="9346"/>
      </w:tabs>
      <w:spacing w:before="240" w:after="240"/>
      <w:ind w:left="720" w:right="1440" w:hanging="720"/>
    </w:pPr>
    <w:rPr>
      <w:noProof/>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E34D47"/>
    <w:rPr>
      <w:rFonts w:cs="Arial"/>
      <w:b/>
      <w:bCs/>
      <w:iCs/>
      <w:sz w:val="28"/>
      <w:szCs w:val="24"/>
    </w:rPr>
  </w:style>
  <w:style w:type="paragraph" w:customStyle="1" w:styleId="Blockquote">
    <w:name w:val="Block quote"/>
    <w:basedOn w:val="Normal"/>
    <w:autoRedefine/>
    <w:rsid w:val="00E34D47"/>
    <w:pPr>
      <w:tabs>
        <w:tab w:val="left" w:pos="-540"/>
        <w:tab w:val="left" w:pos="-450"/>
        <w:tab w:val="left" w:pos="-270"/>
        <w:tab w:val="left" w:pos="-180"/>
        <w:tab w:val="left" w:pos="1980"/>
        <w:tab w:val="left" w:pos="9630"/>
      </w:tabs>
      <w:spacing w:after="240"/>
      <w:ind w:right="1440"/>
    </w:pPr>
    <w:rPr>
      <w:rFonts w:cs="Arial"/>
      <w:sz w:val="26"/>
      <w:szCs w:val="24"/>
    </w:r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3A33BE"/>
    <w:pPr>
      <w:tabs>
        <w:tab w:val="left" w:pos="1440"/>
        <w:tab w:val="right" w:leader="dot" w:pos="9346"/>
      </w:tabs>
      <w:spacing w:before="240" w:after="240"/>
      <w:ind w:left="1440" w:right="270" w:hanging="720"/>
    </w:pPr>
    <w:rPr>
      <w:sz w:val="26"/>
    </w:rPr>
  </w:style>
  <w:style w:type="paragraph" w:styleId="ListParagraph">
    <w:name w:val="List Paragraph"/>
    <w:basedOn w:val="Normal"/>
    <w:uiPriority w:val="34"/>
    <w:qFormat/>
    <w:rsid w:val="00FF571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F5711"/>
    <w:rPr>
      <w:rFonts w:ascii="Calibri" w:eastAsia="Calibri" w:hAnsi="Calibri"/>
      <w:sz w:val="22"/>
      <w:szCs w:val="22"/>
    </w:rPr>
  </w:style>
  <w:style w:type="character" w:customStyle="1" w:styleId="TitleChar">
    <w:name w:val="Title Char"/>
    <w:link w:val="Title"/>
    <w:rsid w:val="00FF5711"/>
    <w:rPr>
      <w:rFonts w:ascii="Palatino Linotype" w:hAnsi="Palatino Linotype"/>
      <w:sz w:val="28"/>
    </w:rPr>
  </w:style>
  <w:style w:type="character" w:styleId="LineNumber">
    <w:name w:val="line number"/>
    <w:uiPriority w:val="99"/>
    <w:unhideWhenUsed/>
    <w:rsid w:val="00FF5711"/>
  </w:style>
  <w:style w:type="character" w:customStyle="1" w:styleId="HeaderChar">
    <w:name w:val="Header Char"/>
    <w:link w:val="Header"/>
    <w:uiPriority w:val="99"/>
    <w:rsid w:val="00FF5711"/>
  </w:style>
  <w:style w:type="character" w:customStyle="1" w:styleId="findingsChar">
    <w:name w:val="findings Char"/>
    <w:link w:val="findings"/>
    <w:locked/>
    <w:rsid w:val="00FF5711"/>
    <w:rPr>
      <w:rFonts w:ascii="Palatino" w:hAnsi="Palatino"/>
      <w:sz w:val="24"/>
    </w:rPr>
  </w:style>
  <w:style w:type="paragraph" w:customStyle="1" w:styleId="findings">
    <w:name w:val="findings"/>
    <w:basedOn w:val="Normal"/>
    <w:link w:val="findingsChar"/>
    <w:rsid w:val="00FF5711"/>
    <w:pPr>
      <w:ind w:left="1080" w:right="1362" w:hanging="540"/>
      <w:jc w:val="both"/>
    </w:pPr>
    <w:rPr>
      <w:rFonts w:ascii="Palatino" w:hAnsi="Palatino"/>
      <w:sz w:val="24"/>
    </w:rPr>
  </w:style>
  <w:style w:type="character" w:customStyle="1" w:styleId="Heading3Char">
    <w:name w:val="Heading 3 Char"/>
    <w:link w:val="Heading3"/>
    <w:rsid w:val="003B762D"/>
    <w:rPr>
      <w:rFonts w:ascii="Arial" w:hAnsi="Arial" w:cs="Arial"/>
      <w:bCs/>
      <w:sz w:val="24"/>
      <w:szCs w:val="26"/>
    </w:rPr>
  </w:style>
  <w:style w:type="paragraph" w:styleId="TOC3">
    <w:name w:val="toc 3"/>
    <w:basedOn w:val="Normal"/>
    <w:next w:val="Normal"/>
    <w:autoRedefine/>
    <w:uiPriority w:val="39"/>
    <w:rsid w:val="00AA29B6"/>
    <w:pPr>
      <w:tabs>
        <w:tab w:val="right" w:leader="dot" w:pos="9350"/>
      </w:tabs>
      <w:spacing w:before="240" w:after="240"/>
      <w:ind w:left="2160" w:right="1440" w:hanging="720"/>
    </w:pPr>
    <w:rPr>
      <w:sz w:val="26"/>
    </w:rPr>
  </w:style>
  <w:style w:type="character" w:styleId="BookTitle">
    <w:name w:val="Book Title"/>
    <w:basedOn w:val="DefaultParagraphFont"/>
    <w:uiPriority w:val="33"/>
    <w:qFormat/>
    <w:rsid w:val="00E96F6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6C"/>
  </w:style>
  <w:style w:type="paragraph" w:styleId="Heading1">
    <w:name w:val="heading 1"/>
    <w:basedOn w:val="Normal"/>
    <w:next w:val="Normal"/>
    <w:autoRedefine/>
    <w:qFormat/>
    <w:rsid w:val="00150C9D"/>
    <w:pPr>
      <w:keepNext/>
      <w:tabs>
        <w:tab w:val="left" w:pos="0"/>
        <w:tab w:val="left" w:pos="720"/>
      </w:tabs>
      <w:spacing w:before="360" w:after="240"/>
      <w:ind w:left="720" w:right="720" w:hanging="720"/>
      <w:outlineLvl w:val="0"/>
    </w:pPr>
    <w:rPr>
      <w:rFonts w:cs="Arial"/>
      <w:b/>
      <w:bCs/>
      <w:caps/>
      <w:kern w:val="32"/>
      <w:sz w:val="28"/>
      <w:szCs w:val="24"/>
    </w:rPr>
  </w:style>
  <w:style w:type="paragraph" w:styleId="Heading2">
    <w:name w:val="heading 2"/>
    <w:basedOn w:val="Normal"/>
    <w:next w:val="Normal"/>
    <w:link w:val="Heading2Char"/>
    <w:autoRedefine/>
    <w:unhideWhenUsed/>
    <w:qFormat/>
    <w:rsid w:val="00E34D47"/>
    <w:pPr>
      <w:keepNext/>
      <w:tabs>
        <w:tab w:val="left" w:pos="-180"/>
        <w:tab w:val="left" w:pos="9000"/>
        <w:tab w:val="left" w:pos="9360"/>
      </w:tabs>
      <w:spacing w:before="360" w:after="240"/>
      <w:ind w:left="1440" w:right="720" w:hanging="720"/>
      <w:outlineLvl w:val="1"/>
    </w:pPr>
    <w:rPr>
      <w:rFonts w:cs="Arial"/>
      <w:b/>
      <w:bCs/>
      <w:iCs/>
      <w:sz w:val="28"/>
      <w:szCs w:val="24"/>
    </w:rPr>
  </w:style>
  <w:style w:type="paragraph" w:styleId="Heading3">
    <w:name w:val="heading 3"/>
    <w:basedOn w:val="Normal"/>
    <w:next w:val="Normal"/>
    <w:link w:val="Heading3Char"/>
    <w:autoRedefine/>
    <w:unhideWhenUsed/>
    <w:qFormat/>
    <w:rsid w:val="003B762D"/>
    <w:pPr>
      <w:keepNext/>
      <w:tabs>
        <w:tab w:val="left" w:pos="1440"/>
      </w:tabs>
      <w:spacing w:before="360" w:after="240" w:line="276" w:lineRule="auto"/>
      <w:ind w:left="1440" w:right="1440" w:hanging="360"/>
      <w:jc w:val="both"/>
      <w:outlineLvl w:val="2"/>
    </w:pPr>
    <w:rPr>
      <w:rFonts w:ascii="Arial" w:hAnsi="Arial" w:cs="Arial"/>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link w:val="HeaderChar"/>
    <w:uiPriority w:val="99"/>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uiPriority w:val="59"/>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E34D47"/>
    <w:pPr>
      <w:spacing w:line="480" w:lineRule="auto"/>
      <w:jc w:val="left"/>
    </w:pPr>
    <w:rPr>
      <w:rFonts w:ascii="Times New Roman" w:hAnsi="Times New Roman"/>
      <w:sz w:val="26"/>
      <w:szCs w:val="24"/>
    </w:rPr>
  </w:style>
  <w:style w:type="paragraph" w:styleId="FootnoteText">
    <w:name w:val="footnote text"/>
    <w:basedOn w:val="Normal"/>
    <w:link w:val="FootnoteTextChar"/>
    <w:autoRedefine/>
    <w:uiPriority w:val="99"/>
    <w:rsid w:val="00F40DBB"/>
    <w:pPr>
      <w:spacing w:before="240" w:after="240"/>
      <w:ind w:left="720" w:hanging="720"/>
    </w:pPr>
    <w:rPr>
      <w:color w:val="000000"/>
      <w:sz w:val="24"/>
      <w:szCs w:val="24"/>
    </w:rPr>
  </w:style>
  <w:style w:type="character" w:customStyle="1" w:styleId="FootnoteTextChar">
    <w:name w:val="Footnote Text Char"/>
    <w:link w:val="FootnoteText"/>
    <w:uiPriority w:val="99"/>
    <w:locked/>
    <w:rsid w:val="00F40DBB"/>
    <w:rPr>
      <w:color w:val="000000"/>
      <w:sz w:val="24"/>
      <w:szCs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uiPriority w:val="99"/>
    <w:rsid w:val="00200A0A"/>
    <w:rPr>
      <w:color w:val="0000FF"/>
      <w:u w:val="single"/>
    </w:rPr>
  </w:style>
  <w:style w:type="paragraph" w:styleId="BalloonText">
    <w:name w:val="Balloon Text"/>
    <w:basedOn w:val="Normal"/>
    <w:link w:val="BalloonTextChar"/>
    <w:uiPriority w:val="99"/>
    <w:rsid w:val="00DA5C19"/>
    <w:rPr>
      <w:rFonts w:ascii="Tahoma" w:hAnsi="Tahoma" w:cs="Tahoma"/>
      <w:sz w:val="16"/>
      <w:szCs w:val="16"/>
    </w:rPr>
  </w:style>
  <w:style w:type="character" w:customStyle="1" w:styleId="BalloonTextChar">
    <w:name w:val="Balloon Text Char"/>
    <w:link w:val="BalloonText"/>
    <w:uiPriority w:val="99"/>
    <w:rsid w:val="00DA5C19"/>
    <w:rPr>
      <w:rFonts w:ascii="Tahoma" w:hAnsi="Tahoma" w:cs="Tahoma"/>
      <w:sz w:val="16"/>
      <w:szCs w:val="16"/>
    </w:rPr>
  </w:style>
  <w:style w:type="paragraph" w:styleId="TOC1">
    <w:name w:val="toc 1"/>
    <w:basedOn w:val="Normal"/>
    <w:next w:val="Normal"/>
    <w:autoRedefine/>
    <w:uiPriority w:val="39"/>
    <w:rsid w:val="00861BE6"/>
    <w:pPr>
      <w:tabs>
        <w:tab w:val="right" w:leader="dot" w:pos="9346"/>
      </w:tabs>
      <w:spacing w:before="240" w:after="240"/>
      <w:ind w:left="720" w:right="1440" w:hanging="720"/>
    </w:pPr>
    <w:rPr>
      <w:noProof/>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E34D47"/>
    <w:rPr>
      <w:rFonts w:cs="Arial"/>
      <w:b/>
      <w:bCs/>
      <w:iCs/>
      <w:sz w:val="28"/>
      <w:szCs w:val="24"/>
    </w:rPr>
  </w:style>
  <w:style w:type="paragraph" w:customStyle="1" w:styleId="Blockquote">
    <w:name w:val="Block quote"/>
    <w:basedOn w:val="Normal"/>
    <w:autoRedefine/>
    <w:rsid w:val="00E34D47"/>
    <w:pPr>
      <w:tabs>
        <w:tab w:val="left" w:pos="-540"/>
        <w:tab w:val="left" w:pos="-450"/>
        <w:tab w:val="left" w:pos="-270"/>
        <w:tab w:val="left" w:pos="-180"/>
        <w:tab w:val="left" w:pos="1980"/>
        <w:tab w:val="left" w:pos="9630"/>
      </w:tabs>
      <w:spacing w:after="240"/>
      <w:ind w:right="1440"/>
    </w:pPr>
    <w:rPr>
      <w:rFonts w:cs="Arial"/>
      <w:sz w:val="26"/>
      <w:szCs w:val="24"/>
    </w:r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3A33BE"/>
    <w:pPr>
      <w:tabs>
        <w:tab w:val="left" w:pos="1440"/>
        <w:tab w:val="right" w:leader="dot" w:pos="9346"/>
      </w:tabs>
      <w:spacing w:before="240" w:after="240"/>
      <w:ind w:left="1440" w:right="270" w:hanging="720"/>
    </w:pPr>
    <w:rPr>
      <w:sz w:val="26"/>
    </w:rPr>
  </w:style>
  <w:style w:type="paragraph" w:styleId="ListParagraph">
    <w:name w:val="List Paragraph"/>
    <w:basedOn w:val="Normal"/>
    <w:uiPriority w:val="34"/>
    <w:qFormat/>
    <w:rsid w:val="00FF571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F5711"/>
    <w:rPr>
      <w:rFonts w:ascii="Calibri" w:eastAsia="Calibri" w:hAnsi="Calibri"/>
      <w:sz w:val="22"/>
      <w:szCs w:val="22"/>
    </w:rPr>
  </w:style>
  <w:style w:type="character" w:customStyle="1" w:styleId="TitleChar">
    <w:name w:val="Title Char"/>
    <w:link w:val="Title"/>
    <w:rsid w:val="00FF5711"/>
    <w:rPr>
      <w:rFonts w:ascii="Palatino Linotype" w:hAnsi="Palatino Linotype"/>
      <w:sz w:val="28"/>
    </w:rPr>
  </w:style>
  <w:style w:type="character" w:styleId="LineNumber">
    <w:name w:val="line number"/>
    <w:uiPriority w:val="99"/>
    <w:unhideWhenUsed/>
    <w:rsid w:val="00FF5711"/>
  </w:style>
  <w:style w:type="character" w:customStyle="1" w:styleId="HeaderChar">
    <w:name w:val="Header Char"/>
    <w:link w:val="Header"/>
    <w:uiPriority w:val="99"/>
    <w:rsid w:val="00FF5711"/>
  </w:style>
  <w:style w:type="character" w:customStyle="1" w:styleId="findingsChar">
    <w:name w:val="findings Char"/>
    <w:link w:val="findings"/>
    <w:locked/>
    <w:rsid w:val="00FF5711"/>
    <w:rPr>
      <w:rFonts w:ascii="Palatino" w:hAnsi="Palatino"/>
      <w:sz w:val="24"/>
    </w:rPr>
  </w:style>
  <w:style w:type="paragraph" w:customStyle="1" w:styleId="findings">
    <w:name w:val="findings"/>
    <w:basedOn w:val="Normal"/>
    <w:link w:val="findingsChar"/>
    <w:rsid w:val="00FF5711"/>
    <w:pPr>
      <w:ind w:left="1080" w:right="1362" w:hanging="540"/>
      <w:jc w:val="both"/>
    </w:pPr>
    <w:rPr>
      <w:rFonts w:ascii="Palatino" w:hAnsi="Palatino"/>
      <w:sz w:val="24"/>
    </w:rPr>
  </w:style>
  <w:style w:type="character" w:customStyle="1" w:styleId="Heading3Char">
    <w:name w:val="Heading 3 Char"/>
    <w:link w:val="Heading3"/>
    <w:rsid w:val="003B762D"/>
    <w:rPr>
      <w:rFonts w:ascii="Arial" w:hAnsi="Arial" w:cs="Arial"/>
      <w:bCs/>
      <w:sz w:val="24"/>
      <w:szCs w:val="26"/>
    </w:rPr>
  </w:style>
  <w:style w:type="paragraph" w:styleId="TOC3">
    <w:name w:val="toc 3"/>
    <w:basedOn w:val="Normal"/>
    <w:next w:val="Normal"/>
    <w:autoRedefine/>
    <w:uiPriority w:val="39"/>
    <w:rsid w:val="00AA29B6"/>
    <w:pPr>
      <w:tabs>
        <w:tab w:val="right" w:leader="dot" w:pos="9350"/>
      </w:tabs>
      <w:spacing w:before="240" w:after="240"/>
      <w:ind w:left="2160" w:right="1440" w:hanging="720"/>
    </w:pPr>
    <w:rPr>
      <w:sz w:val="26"/>
    </w:rPr>
  </w:style>
  <w:style w:type="character" w:styleId="BookTitle">
    <w:name w:val="Book Title"/>
    <w:basedOn w:val="DefaultParagraphFont"/>
    <w:uiPriority w:val="33"/>
    <w:qFormat/>
    <w:rsid w:val="00E96F6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456">
      <w:bodyDiv w:val="1"/>
      <w:marLeft w:val="0"/>
      <w:marRight w:val="0"/>
      <w:marTop w:val="0"/>
      <w:marBottom w:val="0"/>
      <w:divBdr>
        <w:top w:val="none" w:sz="0" w:space="0" w:color="auto"/>
        <w:left w:val="none" w:sz="0" w:space="0" w:color="auto"/>
        <w:bottom w:val="none" w:sz="0" w:space="0" w:color="auto"/>
        <w:right w:val="none" w:sz="0" w:space="0" w:color="auto"/>
      </w:divBdr>
    </w:div>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1115">
      <w:bodyDiv w:val="1"/>
      <w:marLeft w:val="0"/>
      <w:marRight w:val="0"/>
      <w:marTop w:val="0"/>
      <w:marBottom w:val="0"/>
      <w:divBdr>
        <w:top w:val="none" w:sz="0" w:space="0" w:color="auto"/>
        <w:left w:val="none" w:sz="0" w:space="0" w:color="auto"/>
        <w:bottom w:val="none" w:sz="0" w:space="0" w:color="auto"/>
        <w:right w:val="none" w:sz="0" w:space="0" w:color="auto"/>
      </w:divBdr>
    </w:div>
    <w:div w:id="427626707">
      <w:bodyDiv w:val="1"/>
      <w:marLeft w:val="0"/>
      <w:marRight w:val="0"/>
      <w:marTop w:val="0"/>
      <w:marBottom w:val="0"/>
      <w:divBdr>
        <w:top w:val="none" w:sz="0" w:space="0" w:color="auto"/>
        <w:left w:val="none" w:sz="0" w:space="0" w:color="auto"/>
        <w:bottom w:val="none" w:sz="0" w:space="0" w:color="auto"/>
        <w:right w:val="none" w:sz="0" w:space="0" w:color="auto"/>
      </w:divBdr>
    </w:div>
    <w:div w:id="673460095">
      <w:bodyDiv w:val="1"/>
      <w:marLeft w:val="0"/>
      <w:marRight w:val="0"/>
      <w:marTop w:val="0"/>
      <w:marBottom w:val="0"/>
      <w:divBdr>
        <w:top w:val="none" w:sz="0" w:space="0" w:color="auto"/>
        <w:left w:val="none" w:sz="0" w:space="0" w:color="auto"/>
        <w:bottom w:val="none" w:sz="0" w:space="0" w:color="auto"/>
        <w:right w:val="none" w:sz="0" w:space="0" w:color="auto"/>
      </w:divBdr>
    </w:div>
    <w:div w:id="1086878118">
      <w:bodyDiv w:val="1"/>
      <w:marLeft w:val="0"/>
      <w:marRight w:val="0"/>
      <w:marTop w:val="0"/>
      <w:marBottom w:val="0"/>
      <w:divBdr>
        <w:top w:val="none" w:sz="0" w:space="0" w:color="auto"/>
        <w:left w:val="none" w:sz="0" w:space="0" w:color="auto"/>
        <w:bottom w:val="none" w:sz="0" w:space="0" w:color="auto"/>
        <w:right w:val="none" w:sz="0" w:space="0" w:color="auto"/>
      </w:divBdr>
    </w:div>
    <w:div w:id="1909336721">
      <w:bodyDiv w:val="1"/>
      <w:marLeft w:val="105"/>
      <w:marRight w:val="105"/>
      <w:marTop w:val="15"/>
      <w:marBottom w:val="15"/>
      <w:divBdr>
        <w:top w:val="none" w:sz="0" w:space="0" w:color="auto"/>
        <w:left w:val="none" w:sz="0" w:space="0" w:color="auto"/>
        <w:bottom w:val="none" w:sz="0" w:space="0" w:color="auto"/>
        <w:right w:val="none" w:sz="0" w:space="0" w:color="auto"/>
      </w:divBdr>
      <w:divsChild>
        <w:div w:id="868763103">
          <w:marLeft w:val="0"/>
          <w:marRight w:val="0"/>
          <w:marTop w:val="120"/>
          <w:marBottom w:val="0"/>
          <w:divBdr>
            <w:top w:val="none" w:sz="0" w:space="0" w:color="auto"/>
            <w:left w:val="none" w:sz="0" w:space="0" w:color="auto"/>
            <w:bottom w:val="none" w:sz="0" w:space="0" w:color="auto"/>
            <w:right w:val="none" w:sz="0" w:space="0" w:color="auto"/>
          </w:divBdr>
          <w:divsChild>
            <w:div w:id="271518728">
              <w:marLeft w:val="0"/>
              <w:marRight w:val="0"/>
              <w:marTop w:val="0"/>
              <w:marBottom w:val="0"/>
              <w:divBdr>
                <w:top w:val="none" w:sz="0" w:space="0" w:color="auto"/>
                <w:left w:val="none" w:sz="0" w:space="0" w:color="auto"/>
                <w:bottom w:val="none" w:sz="0" w:space="0" w:color="auto"/>
                <w:right w:val="none" w:sz="0" w:space="0" w:color="auto"/>
              </w:divBdr>
              <w:divsChild>
                <w:div w:id="43332671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kern@occ.state.oh.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tnourse@aep.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hyperlink" Target="mailto:ktrafford@porterwrigh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dconway@porterwright.com" TargetMode="External"/><Relationship Id="rId4" Type="http://schemas.microsoft.com/office/2007/relationships/stylesWithEffects" Target="stylesWithEffects.xml"/><Relationship Id="rId9" Type="http://schemas.openxmlformats.org/officeDocument/2006/relationships/hyperlink" Target="mailto:thomas.mcnamee@puc.state.oh.us" TargetMode="External"/><Relationship Id="rId14" Type="http://schemas.openxmlformats.org/officeDocument/2006/relationships/header" Target="head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9826-1628-4F31-B178-15F70D60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8</TotalTime>
  <Pages>16</Pages>
  <Words>2848</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19555</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5</cp:revision>
  <cp:lastPrinted>2013-01-03T20:44:00Z</cp:lastPrinted>
  <dcterms:created xsi:type="dcterms:W3CDTF">2013-01-03T20:39:00Z</dcterms:created>
  <dcterms:modified xsi:type="dcterms:W3CDTF">2013-01-03T20:47:00Z</dcterms:modified>
</cp:coreProperties>
</file>