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6A" w:rsidRPr="003A1A01" w:rsidRDefault="00346E6A" w:rsidP="00346E6A">
      <w:pPr>
        <w:spacing w:after="0"/>
        <w:jc w:val="center"/>
        <w:rPr>
          <w:rFonts w:ascii="Arial" w:hAnsi="Arial" w:cs="Arial"/>
          <w:b/>
        </w:rPr>
      </w:pPr>
      <w:r w:rsidRPr="003A1A01">
        <w:rPr>
          <w:rFonts w:ascii="Arial" w:hAnsi="Arial" w:cs="Arial"/>
          <w:b/>
        </w:rPr>
        <w:t>BEFORE THE</w:t>
      </w:r>
    </w:p>
    <w:p w:rsidR="00346E6A" w:rsidRPr="003A1A01" w:rsidRDefault="00346E6A" w:rsidP="00346E6A">
      <w:pPr>
        <w:jc w:val="center"/>
        <w:rPr>
          <w:rFonts w:ascii="Arial" w:hAnsi="Arial" w:cs="Arial"/>
          <w:b/>
        </w:rPr>
      </w:pPr>
      <w:r w:rsidRPr="003A1A01">
        <w:rPr>
          <w:rFonts w:ascii="Arial" w:hAnsi="Arial" w:cs="Arial"/>
          <w:b/>
        </w:rPr>
        <w:t>PUBLIC UTILITIES COMMISSION OF OHIO</w:t>
      </w:r>
    </w:p>
    <w:p w:rsidR="00346E6A" w:rsidRPr="003A1A01" w:rsidRDefault="00346E6A" w:rsidP="00346E6A">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720"/>
        <w:gridCol w:w="4140"/>
      </w:tblGrid>
      <w:tr w:rsidR="00475617" w:rsidRPr="003A1A01" w:rsidTr="003A7633">
        <w:tc>
          <w:tcPr>
            <w:tcW w:w="4428" w:type="dxa"/>
          </w:tcPr>
          <w:p w:rsidR="00475617" w:rsidRPr="00475617" w:rsidRDefault="00475617" w:rsidP="00475617">
            <w:pPr>
              <w:rPr>
                <w:rFonts w:ascii="Arial" w:hAnsi="Arial" w:cs="Arial"/>
              </w:rPr>
            </w:pPr>
            <w:r w:rsidRPr="00475617">
              <w:rPr>
                <w:rStyle w:val="CaptionText"/>
                <w:rFonts w:ascii="Arial" w:hAnsi="Arial" w:cs="Arial"/>
              </w:rPr>
              <w:t xml:space="preserve">In the Matter of the Application of </w:t>
            </w:r>
            <w:r w:rsidRPr="00475617">
              <w:rPr>
                <w:rStyle w:val="CaptionText"/>
                <w:rFonts w:ascii="Arial" w:hAnsi="Arial" w:cs="Arial"/>
              </w:rPr>
              <w:br/>
              <w:t>The Dayton Power and Light Company to Increase Its Rates for Electric Distribution</w:t>
            </w:r>
          </w:p>
        </w:tc>
        <w:tc>
          <w:tcPr>
            <w:tcW w:w="720" w:type="dxa"/>
          </w:tcPr>
          <w:p w:rsidR="00475617" w:rsidRPr="003A1A01" w:rsidRDefault="00475617" w:rsidP="00475617">
            <w:pPr>
              <w:rPr>
                <w:rFonts w:ascii="Arial" w:hAnsi="Arial" w:cs="Arial"/>
              </w:rPr>
            </w:pPr>
            <w:r w:rsidRPr="003A1A01">
              <w:rPr>
                <w:rFonts w:ascii="Arial" w:hAnsi="Arial" w:cs="Arial"/>
              </w:rPr>
              <w:t>)</w:t>
            </w:r>
          </w:p>
          <w:p w:rsidR="00475617" w:rsidRPr="003A1A01" w:rsidRDefault="00475617" w:rsidP="00475617">
            <w:pPr>
              <w:rPr>
                <w:rFonts w:ascii="Arial" w:hAnsi="Arial" w:cs="Arial"/>
              </w:rPr>
            </w:pPr>
            <w:r w:rsidRPr="003A1A01">
              <w:rPr>
                <w:rFonts w:ascii="Arial" w:hAnsi="Arial" w:cs="Arial"/>
              </w:rPr>
              <w:t>)</w:t>
            </w:r>
          </w:p>
          <w:p w:rsidR="00475617" w:rsidRPr="003A1A01" w:rsidRDefault="00475617" w:rsidP="00475617">
            <w:pPr>
              <w:rPr>
                <w:rFonts w:ascii="Arial" w:hAnsi="Arial" w:cs="Arial"/>
              </w:rPr>
            </w:pPr>
            <w:r w:rsidRPr="003A1A01">
              <w:rPr>
                <w:rFonts w:ascii="Arial" w:hAnsi="Arial" w:cs="Arial"/>
              </w:rPr>
              <w:t>)</w:t>
            </w:r>
          </w:p>
        </w:tc>
        <w:tc>
          <w:tcPr>
            <w:tcW w:w="4140" w:type="dxa"/>
          </w:tcPr>
          <w:p w:rsidR="00475617" w:rsidRPr="003A1A01" w:rsidRDefault="00475617" w:rsidP="00475617">
            <w:pPr>
              <w:rPr>
                <w:rFonts w:ascii="Arial" w:hAnsi="Arial" w:cs="Arial"/>
              </w:rPr>
            </w:pPr>
          </w:p>
          <w:p w:rsidR="00475617" w:rsidRPr="003A1A01" w:rsidRDefault="00475617" w:rsidP="00475617">
            <w:pPr>
              <w:rPr>
                <w:rFonts w:ascii="Arial" w:hAnsi="Arial" w:cs="Arial"/>
              </w:rPr>
            </w:pPr>
            <w:r w:rsidRPr="003A1A01">
              <w:rPr>
                <w:rFonts w:ascii="Arial" w:hAnsi="Arial" w:cs="Arial"/>
              </w:rPr>
              <w:t xml:space="preserve">Case No. </w:t>
            </w:r>
            <w:r w:rsidR="00507DA9">
              <w:rPr>
                <w:rFonts w:ascii="Arial" w:hAnsi="Arial" w:cs="Arial"/>
              </w:rPr>
              <w:t>15-1830</w:t>
            </w:r>
            <w:r>
              <w:rPr>
                <w:rFonts w:ascii="Arial" w:hAnsi="Arial" w:cs="Arial"/>
              </w:rPr>
              <w:t>-EL-AIR</w:t>
            </w:r>
          </w:p>
        </w:tc>
      </w:tr>
      <w:tr w:rsidR="00475617" w:rsidRPr="003A1A01" w:rsidTr="003A7633">
        <w:tc>
          <w:tcPr>
            <w:tcW w:w="4428" w:type="dxa"/>
          </w:tcPr>
          <w:p w:rsidR="00475617" w:rsidRPr="00475617" w:rsidRDefault="00475617" w:rsidP="00475617">
            <w:pPr>
              <w:rPr>
                <w:rFonts w:ascii="Arial" w:hAnsi="Arial" w:cs="Arial"/>
              </w:rPr>
            </w:pPr>
          </w:p>
        </w:tc>
        <w:tc>
          <w:tcPr>
            <w:tcW w:w="720" w:type="dxa"/>
          </w:tcPr>
          <w:p w:rsidR="00475617" w:rsidRPr="003A1A01" w:rsidRDefault="00475617" w:rsidP="00475617">
            <w:pPr>
              <w:rPr>
                <w:rFonts w:ascii="Arial" w:hAnsi="Arial" w:cs="Arial"/>
              </w:rPr>
            </w:pPr>
          </w:p>
        </w:tc>
        <w:tc>
          <w:tcPr>
            <w:tcW w:w="4140" w:type="dxa"/>
          </w:tcPr>
          <w:p w:rsidR="00475617" w:rsidRPr="003A1A01" w:rsidRDefault="00475617" w:rsidP="00475617">
            <w:pPr>
              <w:rPr>
                <w:rFonts w:ascii="Arial" w:hAnsi="Arial" w:cs="Arial"/>
              </w:rPr>
            </w:pPr>
          </w:p>
        </w:tc>
      </w:tr>
      <w:tr w:rsidR="00475617" w:rsidRPr="003A1A01" w:rsidTr="003A7633">
        <w:tc>
          <w:tcPr>
            <w:tcW w:w="4428" w:type="dxa"/>
          </w:tcPr>
          <w:p w:rsidR="00475617" w:rsidRPr="00475617" w:rsidRDefault="00475617" w:rsidP="00475617">
            <w:pPr>
              <w:rPr>
                <w:rFonts w:ascii="Arial" w:hAnsi="Arial" w:cs="Arial"/>
              </w:rPr>
            </w:pPr>
            <w:r w:rsidRPr="00475617">
              <w:rPr>
                <w:rStyle w:val="CaptionText"/>
                <w:rFonts w:ascii="Arial" w:hAnsi="Arial" w:cs="Arial"/>
              </w:rPr>
              <w:t xml:space="preserve">In the Matter of the Application of </w:t>
            </w:r>
            <w:r w:rsidRPr="00475617">
              <w:rPr>
                <w:rStyle w:val="CaptionText"/>
                <w:rFonts w:ascii="Arial" w:hAnsi="Arial" w:cs="Arial"/>
              </w:rPr>
              <w:br/>
              <w:t>The Dayton Power and Light Company for Accounting Authority</w:t>
            </w:r>
          </w:p>
        </w:tc>
        <w:tc>
          <w:tcPr>
            <w:tcW w:w="720" w:type="dxa"/>
          </w:tcPr>
          <w:p w:rsidR="00475617" w:rsidRPr="003A1A01" w:rsidRDefault="00475617" w:rsidP="00475617">
            <w:pPr>
              <w:rPr>
                <w:rFonts w:ascii="Arial" w:hAnsi="Arial" w:cs="Arial"/>
              </w:rPr>
            </w:pPr>
            <w:r w:rsidRPr="003A1A01">
              <w:rPr>
                <w:rFonts w:ascii="Arial" w:hAnsi="Arial" w:cs="Arial"/>
              </w:rPr>
              <w:t>)</w:t>
            </w:r>
          </w:p>
          <w:p w:rsidR="00475617" w:rsidRPr="003A1A01" w:rsidRDefault="00475617" w:rsidP="00475617">
            <w:pPr>
              <w:rPr>
                <w:rFonts w:ascii="Arial" w:hAnsi="Arial" w:cs="Arial"/>
              </w:rPr>
            </w:pPr>
            <w:r w:rsidRPr="003A1A01">
              <w:rPr>
                <w:rFonts w:ascii="Arial" w:hAnsi="Arial" w:cs="Arial"/>
              </w:rPr>
              <w:t>)</w:t>
            </w:r>
          </w:p>
          <w:p w:rsidR="00475617" w:rsidRPr="003A1A01" w:rsidRDefault="00475617" w:rsidP="00475617">
            <w:pPr>
              <w:rPr>
                <w:rFonts w:ascii="Arial" w:hAnsi="Arial" w:cs="Arial"/>
              </w:rPr>
            </w:pPr>
            <w:r w:rsidRPr="003A1A01">
              <w:rPr>
                <w:rFonts w:ascii="Arial" w:hAnsi="Arial" w:cs="Arial"/>
              </w:rPr>
              <w:t>)</w:t>
            </w:r>
          </w:p>
        </w:tc>
        <w:tc>
          <w:tcPr>
            <w:tcW w:w="4140" w:type="dxa"/>
          </w:tcPr>
          <w:p w:rsidR="00475617" w:rsidRPr="003A1A01" w:rsidRDefault="00475617" w:rsidP="00475617">
            <w:pPr>
              <w:rPr>
                <w:rFonts w:ascii="Arial" w:hAnsi="Arial" w:cs="Arial"/>
              </w:rPr>
            </w:pPr>
          </w:p>
          <w:p w:rsidR="00475617" w:rsidRPr="003A1A01" w:rsidRDefault="00475617" w:rsidP="00475617">
            <w:pPr>
              <w:rPr>
                <w:rFonts w:ascii="Arial" w:hAnsi="Arial" w:cs="Arial"/>
              </w:rPr>
            </w:pPr>
            <w:r>
              <w:rPr>
                <w:rFonts w:ascii="Arial" w:hAnsi="Arial" w:cs="Arial"/>
              </w:rPr>
              <w:t xml:space="preserve">Case No. </w:t>
            </w:r>
            <w:r w:rsidR="00507DA9">
              <w:rPr>
                <w:rFonts w:ascii="Arial" w:hAnsi="Arial" w:cs="Arial"/>
              </w:rPr>
              <w:t>15-1831</w:t>
            </w:r>
            <w:r>
              <w:rPr>
                <w:rFonts w:ascii="Arial" w:hAnsi="Arial" w:cs="Arial"/>
              </w:rPr>
              <w:t>-EL-A</w:t>
            </w:r>
            <w:r w:rsidR="00507DA9">
              <w:rPr>
                <w:rFonts w:ascii="Arial" w:hAnsi="Arial" w:cs="Arial"/>
              </w:rPr>
              <w:t>AM</w:t>
            </w:r>
          </w:p>
        </w:tc>
      </w:tr>
      <w:tr w:rsidR="00475617" w:rsidRPr="003A1A01" w:rsidTr="003A7633">
        <w:tc>
          <w:tcPr>
            <w:tcW w:w="4428" w:type="dxa"/>
          </w:tcPr>
          <w:p w:rsidR="00475617" w:rsidRPr="00475617" w:rsidRDefault="00475617" w:rsidP="00475617">
            <w:pPr>
              <w:rPr>
                <w:rFonts w:ascii="Arial" w:hAnsi="Arial" w:cs="Arial"/>
              </w:rPr>
            </w:pPr>
          </w:p>
        </w:tc>
        <w:tc>
          <w:tcPr>
            <w:tcW w:w="720" w:type="dxa"/>
          </w:tcPr>
          <w:p w:rsidR="00475617" w:rsidRPr="003A1A01" w:rsidRDefault="00475617" w:rsidP="00475617">
            <w:pPr>
              <w:rPr>
                <w:rFonts w:ascii="Arial" w:hAnsi="Arial" w:cs="Arial"/>
              </w:rPr>
            </w:pPr>
          </w:p>
        </w:tc>
        <w:tc>
          <w:tcPr>
            <w:tcW w:w="4140" w:type="dxa"/>
          </w:tcPr>
          <w:p w:rsidR="00475617" w:rsidRPr="003A1A01" w:rsidRDefault="00475617" w:rsidP="00475617">
            <w:pPr>
              <w:rPr>
                <w:rFonts w:ascii="Arial" w:hAnsi="Arial" w:cs="Arial"/>
              </w:rPr>
            </w:pPr>
          </w:p>
        </w:tc>
      </w:tr>
      <w:tr w:rsidR="00475617" w:rsidRPr="003A1A01" w:rsidTr="003A7633">
        <w:tc>
          <w:tcPr>
            <w:tcW w:w="4428" w:type="dxa"/>
          </w:tcPr>
          <w:p w:rsidR="00475617" w:rsidRPr="00475617" w:rsidRDefault="00475617" w:rsidP="00475617">
            <w:pPr>
              <w:rPr>
                <w:rFonts w:ascii="Arial" w:hAnsi="Arial" w:cs="Arial"/>
              </w:rPr>
            </w:pPr>
            <w:r w:rsidRPr="00475617">
              <w:rPr>
                <w:rStyle w:val="CaptionText"/>
                <w:rFonts w:ascii="Arial" w:hAnsi="Arial" w:cs="Arial"/>
              </w:rPr>
              <w:t xml:space="preserve">In the Matter of the Application of </w:t>
            </w:r>
            <w:r w:rsidRPr="00475617">
              <w:rPr>
                <w:rStyle w:val="CaptionText"/>
                <w:rFonts w:ascii="Arial" w:hAnsi="Arial" w:cs="Arial"/>
              </w:rPr>
              <w:br/>
              <w:t xml:space="preserve">Dayton Power and Light Company for Approval of Revised Tariffs </w:t>
            </w:r>
          </w:p>
        </w:tc>
        <w:tc>
          <w:tcPr>
            <w:tcW w:w="720" w:type="dxa"/>
          </w:tcPr>
          <w:p w:rsidR="00475617" w:rsidRPr="003A1A01" w:rsidRDefault="00475617" w:rsidP="00475617">
            <w:pPr>
              <w:rPr>
                <w:rFonts w:ascii="Arial" w:hAnsi="Arial" w:cs="Arial"/>
              </w:rPr>
            </w:pPr>
            <w:r w:rsidRPr="003A1A01">
              <w:rPr>
                <w:rFonts w:ascii="Arial" w:hAnsi="Arial" w:cs="Arial"/>
              </w:rPr>
              <w:t>)</w:t>
            </w:r>
          </w:p>
          <w:p w:rsidR="00475617" w:rsidRPr="003A1A01" w:rsidRDefault="00475617" w:rsidP="00475617">
            <w:pPr>
              <w:rPr>
                <w:rFonts w:ascii="Arial" w:hAnsi="Arial" w:cs="Arial"/>
              </w:rPr>
            </w:pPr>
            <w:r w:rsidRPr="003A1A01">
              <w:rPr>
                <w:rFonts w:ascii="Arial" w:hAnsi="Arial" w:cs="Arial"/>
              </w:rPr>
              <w:t>)</w:t>
            </w:r>
          </w:p>
          <w:p w:rsidR="00475617" w:rsidRPr="003A1A01" w:rsidRDefault="00475617" w:rsidP="00475617">
            <w:pPr>
              <w:rPr>
                <w:rFonts w:ascii="Arial" w:hAnsi="Arial" w:cs="Arial"/>
              </w:rPr>
            </w:pPr>
            <w:r w:rsidRPr="003A1A01">
              <w:rPr>
                <w:rFonts w:ascii="Arial" w:hAnsi="Arial" w:cs="Arial"/>
              </w:rPr>
              <w:t>)</w:t>
            </w:r>
          </w:p>
        </w:tc>
        <w:tc>
          <w:tcPr>
            <w:tcW w:w="4140" w:type="dxa"/>
          </w:tcPr>
          <w:p w:rsidR="00475617" w:rsidRPr="003A1A01" w:rsidRDefault="00475617" w:rsidP="00475617">
            <w:pPr>
              <w:rPr>
                <w:rFonts w:ascii="Arial" w:hAnsi="Arial" w:cs="Arial"/>
              </w:rPr>
            </w:pPr>
          </w:p>
          <w:p w:rsidR="00475617" w:rsidRPr="003A1A01" w:rsidRDefault="00475617" w:rsidP="00475617">
            <w:pPr>
              <w:rPr>
                <w:rFonts w:ascii="Arial" w:hAnsi="Arial" w:cs="Arial"/>
              </w:rPr>
            </w:pPr>
            <w:r>
              <w:rPr>
                <w:rFonts w:ascii="Arial" w:hAnsi="Arial" w:cs="Arial"/>
              </w:rPr>
              <w:t>Case No. 1</w:t>
            </w:r>
            <w:r w:rsidR="00507DA9">
              <w:rPr>
                <w:rFonts w:ascii="Arial" w:hAnsi="Arial" w:cs="Arial"/>
              </w:rPr>
              <w:t>5-183</w:t>
            </w:r>
            <w:r w:rsidR="001F71B0">
              <w:rPr>
                <w:rFonts w:ascii="Arial" w:hAnsi="Arial" w:cs="Arial"/>
              </w:rPr>
              <w:t>2</w:t>
            </w:r>
            <w:r>
              <w:rPr>
                <w:rFonts w:ascii="Arial" w:hAnsi="Arial" w:cs="Arial"/>
              </w:rPr>
              <w:t>-EL-A</w:t>
            </w:r>
            <w:r w:rsidR="00507DA9">
              <w:rPr>
                <w:rFonts w:ascii="Arial" w:hAnsi="Arial" w:cs="Arial"/>
              </w:rPr>
              <w:t>TA</w:t>
            </w:r>
          </w:p>
          <w:p w:rsidR="00475617" w:rsidRPr="003A1A01" w:rsidRDefault="00475617" w:rsidP="00475617">
            <w:pPr>
              <w:rPr>
                <w:rFonts w:ascii="Arial" w:hAnsi="Arial" w:cs="Arial"/>
              </w:rPr>
            </w:pPr>
          </w:p>
        </w:tc>
      </w:tr>
    </w:tbl>
    <w:p w:rsidR="00346E6A" w:rsidRPr="003A1A01" w:rsidRDefault="00346E6A" w:rsidP="00346E6A">
      <w:pPr>
        <w:spacing w:after="0"/>
        <w:rPr>
          <w:rFonts w:ascii="Arial" w:hAnsi="Arial" w:cs="Arial"/>
        </w:rPr>
      </w:pPr>
    </w:p>
    <w:p w:rsidR="00346E6A" w:rsidRPr="003A1A01" w:rsidRDefault="00346E6A" w:rsidP="00346E6A">
      <w:pPr>
        <w:spacing w:after="0"/>
        <w:rPr>
          <w:rFonts w:ascii="Arial" w:hAnsi="Arial" w:cs="Arial"/>
        </w:rPr>
      </w:pP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46E6A" w:rsidRPr="003A1A01" w:rsidTr="003A7633">
        <w:tc>
          <w:tcPr>
            <w:tcW w:w="9288" w:type="dxa"/>
          </w:tcPr>
          <w:p w:rsidR="00346E6A" w:rsidRPr="003A1A01" w:rsidRDefault="00346E6A" w:rsidP="003A7633">
            <w:pPr>
              <w:jc w:val="center"/>
              <w:rPr>
                <w:rFonts w:ascii="Arial" w:hAnsi="Arial" w:cs="Arial"/>
                <w:b/>
              </w:rPr>
            </w:pPr>
          </w:p>
          <w:p w:rsidR="00346E6A" w:rsidRPr="003A1A01" w:rsidRDefault="00346E6A" w:rsidP="003A7633">
            <w:pPr>
              <w:jc w:val="center"/>
              <w:rPr>
                <w:rFonts w:ascii="Arial" w:hAnsi="Arial" w:cs="Arial"/>
                <w:b/>
              </w:rPr>
            </w:pPr>
            <w:r w:rsidRPr="003A1A01">
              <w:rPr>
                <w:rFonts w:ascii="Arial" w:hAnsi="Arial" w:cs="Arial"/>
                <w:b/>
              </w:rPr>
              <w:t>D</w:t>
            </w:r>
            <w:r w:rsidR="00F80A3D">
              <w:rPr>
                <w:rFonts w:ascii="Arial" w:hAnsi="Arial" w:cs="Arial"/>
                <w:b/>
              </w:rPr>
              <w:t xml:space="preserve">IRECT TESTIMONY OF </w:t>
            </w:r>
            <w:r w:rsidR="00124F50">
              <w:rPr>
                <w:rFonts w:ascii="Arial" w:hAnsi="Arial" w:cs="Arial"/>
                <w:b/>
              </w:rPr>
              <w:t>DEVIN CRIST</w:t>
            </w:r>
            <w:r w:rsidR="0079078E">
              <w:rPr>
                <w:rFonts w:ascii="Arial" w:hAnsi="Arial" w:cs="Arial"/>
                <w:b/>
              </w:rPr>
              <w:t xml:space="preserve"> IN OPPOSITION TO STIPULATION AND RECOMMENDATION</w:t>
            </w:r>
          </w:p>
          <w:p w:rsidR="00346E6A" w:rsidRPr="003A1A01" w:rsidRDefault="00346E6A" w:rsidP="003A7633">
            <w:pPr>
              <w:jc w:val="center"/>
              <w:rPr>
                <w:rFonts w:ascii="Arial" w:hAnsi="Arial" w:cs="Arial"/>
                <w:b/>
              </w:rPr>
            </w:pPr>
            <w:r w:rsidRPr="003A1A01">
              <w:rPr>
                <w:rFonts w:ascii="Arial" w:hAnsi="Arial" w:cs="Arial"/>
                <w:b/>
              </w:rPr>
              <w:t>ON BEHALF OF</w:t>
            </w:r>
          </w:p>
          <w:p w:rsidR="00346E6A" w:rsidRDefault="001F71B0" w:rsidP="002E7077">
            <w:pPr>
              <w:jc w:val="center"/>
              <w:rPr>
                <w:rFonts w:ascii="Arial" w:hAnsi="Arial" w:cs="Arial"/>
                <w:b/>
                <w:bCs/>
              </w:rPr>
            </w:pPr>
            <w:r>
              <w:rPr>
                <w:rFonts w:ascii="Arial" w:hAnsi="Arial" w:cs="Arial"/>
                <w:b/>
                <w:bCs/>
              </w:rPr>
              <w:t>INTERSTATE GAS SUPPLY, INC.</w:t>
            </w:r>
          </w:p>
          <w:p w:rsidR="00090D7B" w:rsidRPr="003A1A01" w:rsidRDefault="00090D7B" w:rsidP="002E7077">
            <w:pPr>
              <w:jc w:val="center"/>
              <w:rPr>
                <w:rFonts w:ascii="Arial" w:hAnsi="Arial" w:cs="Arial"/>
                <w:b/>
              </w:rPr>
            </w:pPr>
          </w:p>
        </w:tc>
      </w:tr>
    </w:tbl>
    <w:p w:rsidR="00346E6A" w:rsidRPr="003A1A01" w:rsidRDefault="00346E6A" w:rsidP="00346E6A">
      <w:pPr>
        <w:spacing w:after="0"/>
        <w:jc w:val="center"/>
        <w:rPr>
          <w:rFonts w:ascii="Arial" w:hAnsi="Arial" w:cs="Arial"/>
          <w:b/>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090D7B" w:rsidRDefault="00090D7B" w:rsidP="00090D7B">
      <w:pPr>
        <w:rPr>
          <w:rFonts w:ascii="Arial" w:hAnsi="Arial" w:cs="Arial"/>
        </w:rPr>
      </w:pPr>
    </w:p>
    <w:p w:rsidR="00090D7B" w:rsidRDefault="00090D7B" w:rsidP="00090D7B">
      <w:pPr>
        <w:rPr>
          <w:rFonts w:ascii="Arial" w:hAnsi="Arial" w:cs="Arial"/>
        </w:rPr>
      </w:pPr>
    </w:p>
    <w:p w:rsidR="00090D7B" w:rsidRDefault="00090D7B" w:rsidP="00090D7B">
      <w:pPr>
        <w:rPr>
          <w:rFonts w:ascii="Arial" w:hAnsi="Arial" w:cs="Arial"/>
        </w:rPr>
      </w:pPr>
    </w:p>
    <w:p w:rsidR="00090D7B" w:rsidRDefault="00090D7B" w:rsidP="00090D7B">
      <w:pPr>
        <w:rPr>
          <w:rFonts w:ascii="Arial" w:hAnsi="Arial" w:cs="Arial"/>
        </w:rPr>
      </w:pPr>
    </w:p>
    <w:p w:rsidR="00346E6A" w:rsidRPr="0073460D" w:rsidRDefault="00090D7B" w:rsidP="00090D7B">
      <w:pPr>
        <w:rPr>
          <w:rFonts w:ascii="Arial" w:hAnsi="Arial" w:cs="Arial"/>
        </w:rPr>
      </w:pPr>
      <w:r>
        <w:rPr>
          <w:rFonts w:ascii="Arial" w:hAnsi="Arial" w:cs="Arial"/>
        </w:rPr>
        <w:t>July 16</w:t>
      </w:r>
      <w:r w:rsidR="00346E6A" w:rsidRPr="0073460D">
        <w:rPr>
          <w:rFonts w:ascii="Arial" w:hAnsi="Arial" w:cs="Arial"/>
        </w:rPr>
        <w:t>,</w:t>
      </w:r>
      <w:r w:rsidR="00F80A3D" w:rsidRPr="0073460D">
        <w:rPr>
          <w:rFonts w:ascii="Arial" w:hAnsi="Arial" w:cs="Arial"/>
        </w:rPr>
        <w:t xml:space="preserve"> 201</w:t>
      </w:r>
      <w:r w:rsidR="007048F4" w:rsidRPr="0073460D">
        <w:rPr>
          <w:rFonts w:ascii="Arial" w:hAnsi="Arial" w:cs="Arial"/>
        </w:rPr>
        <w:t>8</w:t>
      </w:r>
    </w:p>
    <w:p w:rsidR="00346E6A" w:rsidRPr="003A1A01" w:rsidRDefault="00346E6A" w:rsidP="00346E6A">
      <w:pPr>
        <w:rPr>
          <w:rFonts w:ascii="Arial" w:hAnsi="Arial" w:cs="Arial"/>
          <w:b/>
        </w:rPr>
        <w:sectPr w:rsidR="00346E6A" w:rsidRPr="003A1A01" w:rsidSect="00346E6A">
          <w:headerReference w:type="even" r:id="rId8"/>
          <w:headerReference w:type="default" r:id="rId9"/>
          <w:footerReference w:type="even" r:id="rId10"/>
          <w:footerReference w:type="default" r:id="rId11"/>
          <w:headerReference w:type="first" r:id="rId12"/>
          <w:footerReference w:type="first" r:id="rId13"/>
          <w:pgSz w:w="12245" w:h="15703"/>
          <w:pgMar w:top="1440" w:right="1440" w:bottom="1440" w:left="1440" w:header="720" w:footer="720" w:gutter="0"/>
          <w:cols w:space="720"/>
          <w:noEndnote/>
          <w:docGrid w:linePitch="326"/>
        </w:sectPr>
      </w:pPr>
    </w:p>
    <w:p w:rsidR="00164273" w:rsidRDefault="00346E6A" w:rsidP="00164273">
      <w:pPr>
        <w:pStyle w:val="BodyText"/>
        <w:spacing w:line="480" w:lineRule="auto"/>
        <w:jc w:val="both"/>
        <w:rPr>
          <w:rFonts w:ascii="Arial" w:hAnsi="Arial" w:cs="Arial"/>
          <w:b/>
          <w:sz w:val="24"/>
          <w:szCs w:val="24"/>
        </w:rPr>
      </w:pPr>
      <w:r w:rsidRPr="002E7077">
        <w:rPr>
          <w:rFonts w:ascii="Arial" w:hAnsi="Arial" w:cs="Arial"/>
          <w:b/>
          <w:sz w:val="24"/>
          <w:szCs w:val="24"/>
        </w:rPr>
        <w:lastRenderedPageBreak/>
        <w:t>Q.</w:t>
      </w:r>
      <w:r w:rsidRPr="002E7077">
        <w:rPr>
          <w:rFonts w:ascii="Arial" w:hAnsi="Arial" w:cs="Arial"/>
          <w:b/>
          <w:sz w:val="24"/>
          <w:szCs w:val="24"/>
        </w:rPr>
        <w:tab/>
        <w:t>Please state your name and title.</w:t>
      </w:r>
    </w:p>
    <w:p w:rsidR="00346E6A" w:rsidRPr="00164273" w:rsidRDefault="00164273" w:rsidP="00164273">
      <w:pPr>
        <w:pStyle w:val="BodyText"/>
        <w:spacing w:line="480" w:lineRule="auto"/>
        <w:jc w:val="both"/>
        <w:rPr>
          <w:rFonts w:ascii="Arial" w:hAnsi="Arial" w:cs="Arial"/>
          <w:b/>
          <w:sz w:val="24"/>
          <w:szCs w:val="24"/>
        </w:rPr>
      </w:pPr>
      <w:r>
        <w:rPr>
          <w:rFonts w:ascii="Arial" w:hAnsi="Arial" w:cs="Arial"/>
          <w:szCs w:val="24"/>
        </w:rPr>
        <w:t>A.</w:t>
      </w:r>
      <w:r>
        <w:rPr>
          <w:rFonts w:ascii="Arial" w:hAnsi="Arial" w:cs="Arial"/>
          <w:szCs w:val="24"/>
        </w:rPr>
        <w:tab/>
      </w:r>
      <w:r w:rsidR="00F80A3D" w:rsidRPr="00507DA9">
        <w:rPr>
          <w:rFonts w:ascii="Arial" w:hAnsi="Arial" w:cs="Arial"/>
          <w:sz w:val="24"/>
          <w:szCs w:val="24"/>
        </w:rPr>
        <w:t xml:space="preserve">My name is </w:t>
      </w:r>
      <w:r w:rsidR="00124F50">
        <w:rPr>
          <w:rFonts w:ascii="Arial" w:hAnsi="Arial" w:cs="Arial"/>
          <w:sz w:val="24"/>
          <w:szCs w:val="24"/>
        </w:rPr>
        <w:t>Devin Crist. I am the Manager, Treasury and Risk for IGS Energy</w:t>
      </w:r>
      <w:r w:rsidR="002E7077">
        <w:rPr>
          <w:rFonts w:ascii="Arial" w:hAnsi="Arial" w:cs="Arial"/>
          <w:szCs w:val="24"/>
        </w:rPr>
        <w:t>.</w:t>
      </w:r>
    </w:p>
    <w:p w:rsidR="00346E6A" w:rsidRPr="003A1A01" w:rsidRDefault="00346E6A" w:rsidP="00346E6A">
      <w:pPr>
        <w:pStyle w:val="BodyText"/>
        <w:spacing w:line="480" w:lineRule="auto"/>
        <w:jc w:val="both"/>
        <w:rPr>
          <w:rFonts w:ascii="Arial" w:hAnsi="Arial" w:cs="Arial"/>
          <w:b/>
          <w:sz w:val="24"/>
          <w:szCs w:val="24"/>
        </w:rPr>
      </w:pPr>
      <w:r w:rsidRPr="003A1A01">
        <w:rPr>
          <w:rFonts w:ascii="Arial" w:hAnsi="Arial" w:cs="Arial"/>
          <w:b/>
          <w:sz w:val="24"/>
          <w:szCs w:val="24"/>
        </w:rPr>
        <w:t>Q.</w:t>
      </w:r>
      <w:r w:rsidRPr="003A1A01">
        <w:rPr>
          <w:rFonts w:ascii="Arial" w:hAnsi="Arial" w:cs="Arial"/>
          <w:b/>
          <w:sz w:val="24"/>
          <w:szCs w:val="24"/>
        </w:rPr>
        <w:tab/>
        <w:t>On whose behalf are you testifying?</w:t>
      </w:r>
    </w:p>
    <w:p w:rsidR="00346E6A" w:rsidRPr="003A1A01" w:rsidRDefault="00346E6A" w:rsidP="00346E6A">
      <w:pPr>
        <w:pStyle w:val="BodyText"/>
        <w:spacing w:line="480" w:lineRule="auto"/>
        <w:ind w:left="720" w:hanging="720"/>
        <w:jc w:val="both"/>
        <w:rPr>
          <w:rFonts w:ascii="Arial" w:hAnsi="Arial" w:cs="Arial"/>
          <w:sz w:val="24"/>
          <w:szCs w:val="24"/>
        </w:rPr>
      </w:pPr>
      <w:r w:rsidRPr="003A1A01">
        <w:rPr>
          <w:rFonts w:ascii="Arial" w:hAnsi="Arial" w:cs="Arial"/>
          <w:sz w:val="24"/>
          <w:szCs w:val="24"/>
        </w:rPr>
        <w:t>A.</w:t>
      </w:r>
      <w:r w:rsidRPr="003A1A01">
        <w:rPr>
          <w:rFonts w:ascii="Arial" w:hAnsi="Arial" w:cs="Arial"/>
          <w:sz w:val="24"/>
          <w:szCs w:val="24"/>
        </w:rPr>
        <w:tab/>
        <w:t xml:space="preserve">I am testifying on behalf of </w:t>
      </w:r>
      <w:r w:rsidR="00807DD4">
        <w:rPr>
          <w:rFonts w:ascii="Arial" w:hAnsi="Arial" w:cs="Arial"/>
          <w:sz w:val="24"/>
          <w:szCs w:val="24"/>
        </w:rPr>
        <w:t>Interstate Gas Supply, Inc. (“IGS”).</w:t>
      </w:r>
    </w:p>
    <w:p w:rsidR="006B50B1" w:rsidRDefault="00346E6A" w:rsidP="000D1FD2">
      <w:pPr>
        <w:pStyle w:val="BodyText"/>
        <w:spacing w:line="480" w:lineRule="auto"/>
        <w:ind w:left="720" w:hanging="810"/>
        <w:jc w:val="both"/>
        <w:rPr>
          <w:rFonts w:ascii="Arial" w:hAnsi="Arial" w:cs="Arial"/>
          <w:b/>
          <w:sz w:val="24"/>
          <w:szCs w:val="24"/>
        </w:rPr>
      </w:pPr>
      <w:r w:rsidRPr="003A1A01">
        <w:rPr>
          <w:rFonts w:ascii="Arial" w:hAnsi="Arial" w:cs="Arial"/>
          <w:b/>
          <w:sz w:val="24"/>
          <w:szCs w:val="24"/>
        </w:rPr>
        <w:t>Q.</w:t>
      </w:r>
      <w:r w:rsidRPr="003A1A01">
        <w:rPr>
          <w:rFonts w:ascii="Arial" w:hAnsi="Arial" w:cs="Arial"/>
          <w:b/>
          <w:sz w:val="24"/>
          <w:szCs w:val="24"/>
        </w:rPr>
        <w:tab/>
        <w:t>Please describe your educational background and work history.</w:t>
      </w:r>
    </w:p>
    <w:p w:rsidR="009B186A" w:rsidRDefault="009B186A" w:rsidP="009B186A">
      <w:pPr>
        <w:spacing w:line="480" w:lineRule="auto"/>
        <w:ind w:left="720" w:hanging="720"/>
        <w:jc w:val="both"/>
        <w:rPr>
          <w:rFonts w:ascii="Arial" w:hAnsi="Arial" w:cs="Arial"/>
        </w:rPr>
      </w:pPr>
      <w:r w:rsidRPr="00C22723">
        <w:rPr>
          <w:rFonts w:ascii="Arial" w:hAnsi="Arial" w:cs="Arial"/>
          <w:bCs/>
        </w:rPr>
        <w:t>A.</w:t>
      </w:r>
      <w:r w:rsidRPr="00C22723">
        <w:rPr>
          <w:rFonts w:ascii="Arial" w:hAnsi="Arial" w:cs="Arial"/>
          <w:bCs/>
        </w:rPr>
        <w:tab/>
      </w:r>
      <w:r w:rsidRPr="00C22723">
        <w:rPr>
          <w:rFonts w:ascii="Arial" w:hAnsi="Arial" w:cs="Arial"/>
        </w:rPr>
        <w:t xml:space="preserve">I have a Masters in Business Administration </w:t>
      </w:r>
      <w:r>
        <w:rPr>
          <w:rFonts w:ascii="Arial" w:hAnsi="Arial" w:cs="Arial"/>
        </w:rPr>
        <w:t>(M.B.A.) from Capital University and a Bachelor of Business Administration (B.B.A.)</w:t>
      </w:r>
      <w:r w:rsidRPr="00C22723">
        <w:rPr>
          <w:rFonts w:ascii="Arial" w:hAnsi="Arial" w:cs="Arial"/>
        </w:rPr>
        <w:t xml:space="preserve"> from</w:t>
      </w:r>
      <w:r>
        <w:rPr>
          <w:rFonts w:ascii="Arial" w:hAnsi="Arial" w:cs="Arial"/>
        </w:rPr>
        <w:t xml:space="preserve"> Ohio University. I am also a Certified Treasury Professional (CTP). I started my</w:t>
      </w:r>
      <w:r w:rsidRPr="00C22723">
        <w:rPr>
          <w:rFonts w:ascii="Arial" w:hAnsi="Arial" w:cs="Arial"/>
        </w:rPr>
        <w:t xml:space="preserve"> career working at </w:t>
      </w:r>
      <w:r>
        <w:rPr>
          <w:rFonts w:ascii="Arial" w:hAnsi="Arial" w:cs="Arial"/>
        </w:rPr>
        <w:t>American Municipal Power, Ohio (AMP)</w:t>
      </w:r>
      <w:r w:rsidRPr="00C22723">
        <w:rPr>
          <w:rFonts w:ascii="Arial" w:hAnsi="Arial" w:cs="Arial"/>
        </w:rPr>
        <w:t xml:space="preserve"> as an energy and </w:t>
      </w:r>
      <w:r>
        <w:rPr>
          <w:rFonts w:ascii="Arial" w:hAnsi="Arial" w:cs="Arial"/>
        </w:rPr>
        <w:t xml:space="preserve">billing analyst.  I was promoted to the role of Director of Energy Accounting and Settlements where I was responsible for the energy settlements and billing between AMP and wholesale counterparties and the utilities. In 2004, I was hired in the role of Director of Energy Accounting and Controls with Accent Energy. At Accent Energy, I managed the margin accounting and settlements as well as serving as the company’s risk manager. In 2013, I assumed the role of Manager of Treasury and Risk at IGS Energy. In this position I manage the company’s credit and collateral position with utilities, RTO’s, and counterparties, oversee all treasury activity throughout the organization, facilitate the corporate insurance program and direct the middle office’s monitoring and valuing of IGS Energy’s energy trading program. </w:t>
      </w:r>
    </w:p>
    <w:p w:rsidR="000D1FD2" w:rsidRDefault="00BD280F" w:rsidP="0065030B">
      <w:pPr>
        <w:pStyle w:val="BodyText"/>
        <w:spacing w:line="480" w:lineRule="auto"/>
        <w:ind w:left="720" w:hanging="810"/>
        <w:jc w:val="both"/>
        <w:rPr>
          <w:rFonts w:ascii="Arial" w:hAnsi="Arial" w:cs="Arial"/>
          <w:b/>
          <w:sz w:val="24"/>
          <w:szCs w:val="24"/>
        </w:rPr>
      </w:pPr>
      <w:r>
        <w:rPr>
          <w:rFonts w:ascii="Arial" w:hAnsi="Arial" w:cs="Arial"/>
          <w:b/>
          <w:sz w:val="24"/>
          <w:szCs w:val="24"/>
        </w:rPr>
        <w:t>Q.</w:t>
      </w:r>
      <w:r>
        <w:rPr>
          <w:rFonts w:ascii="Arial" w:hAnsi="Arial" w:cs="Arial"/>
          <w:b/>
          <w:sz w:val="24"/>
          <w:szCs w:val="24"/>
        </w:rPr>
        <w:tab/>
      </w:r>
      <w:r w:rsidR="00346E6A" w:rsidRPr="003A1A01">
        <w:rPr>
          <w:rFonts w:ascii="Arial" w:hAnsi="Arial" w:cs="Arial"/>
          <w:b/>
          <w:sz w:val="24"/>
          <w:szCs w:val="24"/>
        </w:rPr>
        <w:t>What is the purpose of your testimony?</w:t>
      </w:r>
    </w:p>
    <w:p w:rsidR="00B67AE9" w:rsidRDefault="00346E6A" w:rsidP="00500340">
      <w:pPr>
        <w:pStyle w:val="BodyText"/>
        <w:spacing w:line="480" w:lineRule="auto"/>
        <w:ind w:left="720" w:hanging="720"/>
        <w:jc w:val="both"/>
        <w:rPr>
          <w:rFonts w:ascii="Arial" w:hAnsi="Arial" w:cs="Arial"/>
          <w:sz w:val="24"/>
          <w:szCs w:val="24"/>
        </w:rPr>
      </w:pPr>
      <w:r w:rsidRPr="003A1A01">
        <w:rPr>
          <w:rFonts w:ascii="Arial" w:hAnsi="Arial" w:cs="Arial"/>
          <w:sz w:val="24"/>
          <w:szCs w:val="24"/>
        </w:rPr>
        <w:t xml:space="preserve">A. </w:t>
      </w:r>
      <w:r w:rsidRPr="003A1A01">
        <w:rPr>
          <w:rFonts w:ascii="Arial" w:hAnsi="Arial" w:cs="Arial"/>
          <w:sz w:val="24"/>
          <w:szCs w:val="24"/>
        </w:rPr>
        <w:tab/>
        <w:t>The pu</w:t>
      </w:r>
      <w:r w:rsidR="006B50B1">
        <w:rPr>
          <w:rFonts w:ascii="Arial" w:hAnsi="Arial" w:cs="Arial"/>
          <w:sz w:val="24"/>
          <w:szCs w:val="24"/>
        </w:rPr>
        <w:t>rpose of my t</w:t>
      </w:r>
      <w:r w:rsidR="00807DD4">
        <w:rPr>
          <w:rFonts w:ascii="Arial" w:hAnsi="Arial" w:cs="Arial"/>
          <w:sz w:val="24"/>
          <w:szCs w:val="24"/>
        </w:rPr>
        <w:t>estimony is</w:t>
      </w:r>
      <w:r w:rsidR="00090D7B">
        <w:rPr>
          <w:rFonts w:ascii="Arial" w:hAnsi="Arial" w:cs="Arial"/>
          <w:sz w:val="24"/>
          <w:szCs w:val="24"/>
        </w:rPr>
        <w:t xml:space="preserve"> to</w:t>
      </w:r>
      <w:r w:rsidR="00807DD4">
        <w:rPr>
          <w:rFonts w:ascii="Arial" w:hAnsi="Arial" w:cs="Arial"/>
          <w:sz w:val="24"/>
          <w:szCs w:val="24"/>
        </w:rPr>
        <w:t xml:space="preserve"> </w:t>
      </w:r>
      <w:r w:rsidR="00807DD4">
        <w:rPr>
          <w:rFonts w:ascii="Arial" w:hAnsi="Arial" w:cs="Arial"/>
          <w:sz w:val="24"/>
          <w:szCs w:val="24"/>
        </w:rPr>
        <w:t>respond to the Stipulation and Recommendation (“Stipulation”) and to</w:t>
      </w:r>
      <w:r w:rsidRPr="003A1A01">
        <w:rPr>
          <w:rFonts w:ascii="Arial" w:hAnsi="Arial" w:cs="Arial"/>
          <w:sz w:val="24"/>
          <w:szCs w:val="24"/>
        </w:rPr>
        <w:t xml:space="preserve"> </w:t>
      </w:r>
      <w:r w:rsidR="006B50B1">
        <w:rPr>
          <w:rFonts w:ascii="Arial" w:hAnsi="Arial" w:cs="Arial"/>
          <w:sz w:val="24"/>
          <w:szCs w:val="24"/>
        </w:rPr>
        <w:t xml:space="preserve">support </w:t>
      </w:r>
      <w:r w:rsidR="008E0008">
        <w:rPr>
          <w:rFonts w:ascii="Arial" w:hAnsi="Arial" w:cs="Arial"/>
          <w:sz w:val="24"/>
          <w:szCs w:val="24"/>
        </w:rPr>
        <w:t>O</w:t>
      </w:r>
      <w:r w:rsidR="006B50B1">
        <w:rPr>
          <w:rFonts w:ascii="Arial" w:hAnsi="Arial" w:cs="Arial"/>
          <w:sz w:val="24"/>
          <w:szCs w:val="24"/>
        </w:rPr>
        <w:t>bjections to the Staff Report of Invest</w:t>
      </w:r>
      <w:r w:rsidR="002B697B">
        <w:rPr>
          <w:rFonts w:ascii="Arial" w:hAnsi="Arial" w:cs="Arial"/>
          <w:sz w:val="24"/>
          <w:szCs w:val="24"/>
        </w:rPr>
        <w:t>igation filed</w:t>
      </w:r>
      <w:r w:rsidR="008E0008">
        <w:rPr>
          <w:rFonts w:ascii="Arial" w:hAnsi="Arial" w:cs="Arial"/>
          <w:sz w:val="24"/>
          <w:szCs w:val="24"/>
        </w:rPr>
        <w:t xml:space="preserve"> </w:t>
      </w:r>
      <w:r w:rsidR="008E0008">
        <w:rPr>
          <w:rFonts w:ascii="Arial" w:hAnsi="Arial" w:cs="Arial"/>
          <w:sz w:val="24"/>
          <w:szCs w:val="24"/>
        </w:rPr>
        <w:lastRenderedPageBreak/>
        <w:t xml:space="preserve">on </w:t>
      </w:r>
      <w:r w:rsidR="00BF00A6">
        <w:rPr>
          <w:rFonts w:ascii="Arial" w:hAnsi="Arial" w:cs="Arial"/>
          <w:sz w:val="24"/>
          <w:szCs w:val="24"/>
        </w:rPr>
        <w:t>April 11</w:t>
      </w:r>
      <w:r w:rsidR="00500340">
        <w:rPr>
          <w:rFonts w:ascii="Arial" w:hAnsi="Arial" w:cs="Arial"/>
          <w:sz w:val="24"/>
          <w:szCs w:val="24"/>
        </w:rPr>
        <w:t>, 201</w:t>
      </w:r>
      <w:r w:rsidR="00BF00A6">
        <w:rPr>
          <w:rFonts w:ascii="Arial" w:hAnsi="Arial" w:cs="Arial"/>
          <w:sz w:val="24"/>
          <w:szCs w:val="24"/>
        </w:rPr>
        <w:t>8</w:t>
      </w:r>
      <w:r w:rsidR="00500340">
        <w:rPr>
          <w:rFonts w:ascii="Arial" w:hAnsi="Arial" w:cs="Arial"/>
          <w:sz w:val="24"/>
          <w:szCs w:val="24"/>
        </w:rPr>
        <w:t xml:space="preserve">.  Specifically, I am recommending that </w:t>
      </w:r>
      <w:r w:rsidR="00152803">
        <w:rPr>
          <w:rFonts w:ascii="Arial" w:hAnsi="Arial" w:cs="Arial"/>
          <w:sz w:val="24"/>
          <w:szCs w:val="24"/>
        </w:rPr>
        <w:t>Dayton Power and Light Company</w:t>
      </w:r>
      <w:r w:rsidR="00500340">
        <w:rPr>
          <w:rFonts w:ascii="Arial" w:hAnsi="Arial" w:cs="Arial"/>
          <w:sz w:val="24"/>
          <w:szCs w:val="24"/>
        </w:rPr>
        <w:t xml:space="preserve"> (</w:t>
      </w:r>
      <w:r w:rsidR="00C7249F">
        <w:rPr>
          <w:rFonts w:ascii="Arial" w:hAnsi="Arial" w:cs="Arial"/>
          <w:sz w:val="24"/>
          <w:szCs w:val="24"/>
        </w:rPr>
        <w:t>Dayton</w:t>
      </w:r>
      <w:r w:rsidR="00500340">
        <w:rPr>
          <w:rFonts w:ascii="Arial" w:hAnsi="Arial" w:cs="Arial"/>
          <w:sz w:val="24"/>
          <w:szCs w:val="24"/>
        </w:rPr>
        <w:t xml:space="preserve">) </w:t>
      </w:r>
      <w:r w:rsidR="000C7CA8">
        <w:rPr>
          <w:rFonts w:ascii="Arial" w:hAnsi="Arial" w:cs="Arial"/>
          <w:sz w:val="24"/>
          <w:szCs w:val="24"/>
        </w:rPr>
        <w:t xml:space="preserve">revise </w:t>
      </w:r>
      <w:r w:rsidR="00C10E42">
        <w:rPr>
          <w:rFonts w:ascii="Arial" w:hAnsi="Arial" w:cs="Arial"/>
          <w:sz w:val="24"/>
          <w:szCs w:val="24"/>
        </w:rPr>
        <w:t xml:space="preserve">its credit requirements and </w:t>
      </w:r>
      <w:r w:rsidR="000C7CA8">
        <w:rPr>
          <w:rFonts w:ascii="Arial" w:hAnsi="Arial" w:cs="Arial"/>
          <w:sz w:val="24"/>
          <w:szCs w:val="24"/>
        </w:rPr>
        <w:t xml:space="preserve">calculation of </w:t>
      </w:r>
      <w:r w:rsidR="00C06F75">
        <w:rPr>
          <w:rFonts w:ascii="Arial" w:hAnsi="Arial" w:cs="Arial"/>
          <w:sz w:val="24"/>
          <w:szCs w:val="24"/>
        </w:rPr>
        <w:t>collateral to</w:t>
      </w:r>
      <w:r w:rsidR="00C10E42">
        <w:rPr>
          <w:rFonts w:ascii="Arial" w:hAnsi="Arial" w:cs="Arial"/>
          <w:sz w:val="24"/>
          <w:szCs w:val="24"/>
        </w:rPr>
        <w:t xml:space="preserve"> ensure that these requirements do not disproportionately impact</w:t>
      </w:r>
      <w:r w:rsidR="000C7CA8">
        <w:rPr>
          <w:rFonts w:ascii="Arial" w:hAnsi="Arial" w:cs="Arial"/>
          <w:sz w:val="24"/>
          <w:szCs w:val="24"/>
        </w:rPr>
        <w:t xml:space="preserve"> </w:t>
      </w:r>
      <w:r w:rsidR="008E37F8">
        <w:rPr>
          <w:rFonts w:ascii="Arial" w:hAnsi="Arial" w:cs="Arial"/>
          <w:sz w:val="24"/>
          <w:szCs w:val="24"/>
        </w:rPr>
        <w:t>private</w:t>
      </w:r>
      <w:r w:rsidR="00C10E42">
        <w:rPr>
          <w:rFonts w:ascii="Arial" w:hAnsi="Arial" w:cs="Arial"/>
          <w:sz w:val="24"/>
          <w:szCs w:val="24"/>
        </w:rPr>
        <w:t>ly held</w:t>
      </w:r>
      <w:r w:rsidR="00090D7B">
        <w:rPr>
          <w:rFonts w:ascii="Arial" w:hAnsi="Arial" w:cs="Arial"/>
          <w:sz w:val="24"/>
          <w:szCs w:val="24"/>
        </w:rPr>
        <w:t>, unrated</w:t>
      </w:r>
      <w:r w:rsidR="008E37F8">
        <w:rPr>
          <w:rFonts w:ascii="Arial" w:hAnsi="Arial" w:cs="Arial"/>
          <w:sz w:val="24"/>
          <w:szCs w:val="24"/>
        </w:rPr>
        <w:t xml:space="preserve"> companies</w:t>
      </w:r>
      <w:r w:rsidR="00C10E42">
        <w:rPr>
          <w:rFonts w:ascii="Arial" w:hAnsi="Arial" w:cs="Arial"/>
          <w:sz w:val="24"/>
          <w:szCs w:val="24"/>
        </w:rPr>
        <w:t xml:space="preserve"> relative to the risk they impose to Dayton</w:t>
      </w:r>
      <w:r w:rsidR="004D563D">
        <w:rPr>
          <w:rFonts w:ascii="Arial" w:hAnsi="Arial" w:cs="Arial"/>
          <w:sz w:val="24"/>
          <w:szCs w:val="24"/>
        </w:rPr>
        <w:t>.</w:t>
      </w:r>
    </w:p>
    <w:p w:rsidR="00BD7FCB" w:rsidRDefault="00BD7FCB" w:rsidP="00BD7FCB">
      <w:pPr>
        <w:spacing w:line="480" w:lineRule="auto"/>
        <w:ind w:left="720" w:hanging="720"/>
        <w:jc w:val="both"/>
        <w:rPr>
          <w:rFonts w:ascii="Arial" w:hAnsi="Arial" w:cs="Arial"/>
          <w:b/>
        </w:rPr>
      </w:pPr>
      <w:r>
        <w:rPr>
          <w:rFonts w:ascii="Arial" w:hAnsi="Arial" w:cs="Arial"/>
          <w:b/>
        </w:rPr>
        <w:t>Q.</w:t>
      </w:r>
      <w:r>
        <w:rPr>
          <w:rFonts w:ascii="Arial" w:hAnsi="Arial" w:cs="Arial"/>
          <w:b/>
        </w:rPr>
        <w:tab/>
      </w:r>
      <w:r w:rsidR="00807DD4">
        <w:rPr>
          <w:rFonts w:ascii="Arial" w:hAnsi="Arial" w:cs="Arial"/>
          <w:b/>
        </w:rPr>
        <w:t>Where are DP&amp;L’s collateral and credit requirements addressed</w:t>
      </w:r>
      <w:r>
        <w:rPr>
          <w:rFonts w:ascii="Arial" w:hAnsi="Arial" w:cs="Arial"/>
          <w:b/>
        </w:rPr>
        <w:t>?</w:t>
      </w:r>
    </w:p>
    <w:p w:rsidR="00807DD4" w:rsidRDefault="00BD7FCB" w:rsidP="00BD7FCB">
      <w:pPr>
        <w:spacing w:line="480" w:lineRule="auto"/>
        <w:ind w:left="720" w:hanging="720"/>
        <w:jc w:val="both"/>
        <w:rPr>
          <w:rFonts w:ascii="Arial" w:hAnsi="Arial" w:cs="Arial"/>
        </w:rPr>
      </w:pPr>
      <w:r w:rsidRPr="00E0630D">
        <w:rPr>
          <w:rFonts w:ascii="Arial" w:hAnsi="Arial" w:cs="Arial"/>
        </w:rPr>
        <w:t>A.</w:t>
      </w:r>
      <w:r w:rsidRPr="00E0630D">
        <w:rPr>
          <w:rFonts w:ascii="Arial" w:hAnsi="Arial" w:cs="Arial"/>
        </w:rPr>
        <w:tab/>
      </w:r>
      <w:r w:rsidR="00C10E42">
        <w:rPr>
          <w:rFonts w:ascii="Arial" w:hAnsi="Arial" w:cs="Arial"/>
        </w:rPr>
        <w:t>Dayton’s credit and collateral requirements are addressed in the</w:t>
      </w:r>
      <w:r w:rsidR="00090D7B" w:rsidRPr="00090D7B">
        <w:t xml:space="preserve"> </w:t>
      </w:r>
      <w:r w:rsidR="00090D7B" w:rsidRPr="00090D7B">
        <w:rPr>
          <w:rFonts w:ascii="Arial" w:hAnsi="Arial" w:cs="Arial"/>
        </w:rPr>
        <w:t>Alternative Generation Suppler Coordination Tariff (“Supplier Tariff”)</w:t>
      </w:r>
      <w:r w:rsidR="00090D7B">
        <w:rPr>
          <w:rFonts w:ascii="Arial" w:hAnsi="Arial" w:cs="Arial"/>
        </w:rPr>
        <w:t xml:space="preserve">. </w:t>
      </w:r>
    </w:p>
    <w:p w:rsidR="00807DD4" w:rsidRDefault="00807DD4" w:rsidP="00090D7B">
      <w:pPr>
        <w:rPr>
          <w:rFonts w:ascii="Arial" w:hAnsi="Arial" w:cs="Arial"/>
          <w:b/>
        </w:rPr>
      </w:pPr>
      <w:r>
        <w:rPr>
          <w:rFonts w:ascii="Arial" w:hAnsi="Arial" w:cs="Arial"/>
          <w:b/>
        </w:rPr>
        <w:t xml:space="preserve">Q. </w:t>
      </w:r>
      <w:r>
        <w:rPr>
          <w:rFonts w:ascii="Arial" w:hAnsi="Arial" w:cs="Arial"/>
          <w:b/>
        </w:rPr>
        <w:tab/>
        <w:t>Does the Staff Report or Stipulation address these requirements?</w:t>
      </w:r>
    </w:p>
    <w:p w:rsidR="00BD7FCB" w:rsidRPr="00090D7B" w:rsidRDefault="00807DD4">
      <w:pPr>
        <w:spacing w:line="480" w:lineRule="auto"/>
        <w:ind w:left="720" w:hanging="720"/>
        <w:jc w:val="both"/>
        <w:rPr>
          <w:rFonts w:ascii="Arial" w:hAnsi="Arial" w:cs="Arial"/>
          <w:b/>
        </w:rPr>
      </w:pPr>
      <w:r>
        <w:rPr>
          <w:rFonts w:ascii="Arial" w:hAnsi="Arial" w:cs="Arial"/>
        </w:rPr>
        <w:t xml:space="preserve">A. </w:t>
      </w:r>
      <w:r>
        <w:rPr>
          <w:rFonts w:ascii="Arial" w:hAnsi="Arial" w:cs="Arial"/>
        </w:rPr>
        <w:tab/>
        <w:t xml:space="preserve">No, </w:t>
      </w:r>
      <w:r w:rsidRPr="00090D7B">
        <w:rPr>
          <w:rFonts w:ascii="Arial" w:hAnsi="Arial" w:cs="Arial"/>
        </w:rPr>
        <w:t>neither the Stipulation nor the Staff Report directly ad</w:t>
      </w:r>
      <w:r w:rsidRPr="00807DD4">
        <w:rPr>
          <w:rFonts w:ascii="Arial" w:hAnsi="Arial" w:cs="Arial"/>
        </w:rPr>
        <w:t xml:space="preserve">dresses these requirements.  Due to the failure of the Stipulation to address this matter, </w:t>
      </w:r>
      <w:r w:rsidR="00BD7FCB">
        <w:rPr>
          <w:rFonts w:ascii="Arial" w:hAnsi="Arial" w:cs="Arial"/>
        </w:rPr>
        <w:t xml:space="preserve">IGS </w:t>
      </w:r>
      <w:r w:rsidR="00C10E42">
        <w:rPr>
          <w:rFonts w:ascii="Arial" w:hAnsi="Arial" w:cs="Arial"/>
        </w:rPr>
        <w:t>recommends</w:t>
      </w:r>
      <w:r>
        <w:rPr>
          <w:rFonts w:ascii="Arial" w:hAnsi="Arial" w:cs="Arial"/>
        </w:rPr>
        <w:t xml:space="preserve"> that if the Commission adopts the Stipulation it should order</w:t>
      </w:r>
      <w:r w:rsidR="00C10E42">
        <w:rPr>
          <w:rFonts w:ascii="Arial" w:hAnsi="Arial" w:cs="Arial"/>
        </w:rPr>
        <w:t xml:space="preserve"> </w:t>
      </w:r>
      <w:r w:rsidR="00BD7FCB">
        <w:rPr>
          <w:rFonts w:ascii="Arial" w:hAnsi="Arial" w:cs="Arial"/>
        </w:rPr>
        <w:t>additional refinements to Dayton’s credit requirements</w:t>
      </w:r>
      <w:r w:rsidR="00C10E42">
        <w:rPr>
          <w:rFonts w:ascii="Arial" w:hAnsi="Arial" w:cs="Arial"/>
        </w:rPr>
        <w:t xml:space="preserve"> and collateral calculation</w:t>
      </w:r>
      <w:r w:rsidR="00BD7FCB">
        <w:rPr>
          <w:rFonts w:ascii="Arial" w:hAnsi="Arial" w:cs="Arial"/>
        </w:rPr>
        <w:t>.</w:t>
      </w:r>
    </w:p>
    <w:p w:rsidR="00B67AE9" w:rsidRPr="00B67AE9" w:rsidRDefault="00B67AE9" w:rsidP="00500340">
      <w:pPr>
        <w:pStyle w:val="BodyText"/>
        <w:spacing w:line="480" w:lineRule="auto"/>
        <w:ind w:left="720" w:hanging="720"/>
        <w:jc w:val="both"/>
        <w:rPr>
          <w:rFonts w:ascii="Arial" w:hAnsi="Arial" w:cs="Arial"/>
          <w:b/>
          <w:sz w:val="24"/>
          <w:szCs w:val="24"/>
        </w:rPr>
      </w:pPr>
      <w:r w:rsidRPr="00B67AE9">
        <w:rPr>
          <w:rFonts w:ascii="Arial" w:hAnsi="Arial" w:cs="Arial"/>
          <w:b/>
          <w:sz w:val="24"/>
          <w:szCs w:val="24"/>
        </w:rPr>
        <w:t>Q.</w:t>
      </w:r>
      <w:r w:rsidRPr="00B67AE9">
        <w:rPr>
          <w:rFonts w:ascii="Arial" w:hAnsi="Arial" w:cs="Arial"/>
          <w:b/>
          <w:sz w:val="24"/>
          <w:szCs w:val="24"/>
        </w:rPr>
        <w:tab/>
        <w:t>What are you recommending?</w:t>
      </w:r>
    </w:p>
    <w:p w:rsidR="00B67AE9" w:rsidRDefault="00B67AE9" w:rsidP="00500340">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46E6A" w:rsidRPr="003A1A01">
        <w:rPr>
          <w:rFonts w:ascii="Arial" w:hAnsi="Arial" w:cs="Arial"/>
          <w:sz w:val="24"/>
          <w:szCs w:val="24"/>
        </w:rPr>
        <w:t xml:space="preserve">I recommend that the </w:t>
      </w:r>
      <w:r w:rsidR="005C6175" w:rsidRPr="003A1A01">
        <w:rPr>
          <w:rFonts w:ascii="Arial" w:hAnsi="Arial" w:cs="Arial"/>
          <w:sz w:val="24"/>
          <w:szCs w:val="24"/>
        </w:rPr>
        <w:t>Public Utilities Commission of Ohio (</w:t>
      </w:r>
      <w:r w:rsidR="00B53F84" w:rsidRPr="003A1A01">
        <w:rPr>
          <w:rFonts w:ascii="Arial" w:hAnsi="Arial" w:cs="Arial"/>
          <w:sz w:val="24"/>
          <w:szCs w:val="24"/>
        </w:rPr>
        <w:t xml:space="preserve">“PUCO” or </w:t>
      </w:r>
      <w:r w:rsidR="005C6175" w:rsidRPr="003A1A01">
        <w:rPr>
          <w:rFonts w:ascii="Arial" w:hAnsi="Arial" w:cs="Arial"/>
          <w:sz w:val="24"/>
          <w:szCs w:val="24"/>
        </w:rPr>
        <w:t>“</w:t>
      </w:r>
      <w:r w:rsidR="00346E6A" w:rsidRPr="003A1A01">
        <w:rPr>
          <w:rFonts w:ascii="Arial" w:hAnsi="Arial" w:cs="Arial"/>
          <w:sz w:val="24"/>
          <w:szCs w:val="24"/>
        </w:rPr>
        <w:t>Commission</w:t>
      </w:r>
      <w:r w:rsidR="005C6175" w:rsidRPr="003A1A01">
        <w:rPr>
          <w:rFonts w:ascii="Arial" w:hAnsi="Arial" w:cs="Arial"/>
          <w:sz w:val="24"/>
          <w:szCs w:val="24"/>
        </w:rPr>
        <w:t>”)</w:t>
      </w:r>
      <w:r w:rsidR="00346E6A" w:rsidRPr="003A1A01">
        <w:rPr>
          <w:rFonts w:ascii="Arial" w:hAnsi="Arial" w:cs="Arial"/>
          <w:sz w:val="24"/>
          <w:szCs w:val="24"/>
        </w:rPr>
        <w:t xml:space="preserve"> </w:t>
      </w:r>
      <w:r w:rsidR="008E37F8">
        <w:rPr>
          <w:rFonts w:ascii="Arial" w:hAnsi="Arial" w:cs="Arial"/>
          <w:sz w:val="24"/>
          <w:szCs w:val="24"/>
        </w:rPr>
        <w:t xml:space="preserve">direct Dayton to modify its </w:t>
      </w:r>
      <w:r w:rsidR="00090D7B">
        <w:rPr>
          <w:rFonts w:ascii="Arial" w:hAnsi="Arial" w:cs="Arial"/>
          <w:sz w:val="24"/>
          <w:szCs w:val="24"/>
        </w:rPr>
        <w:t>Supplier Tariff</w:t>
      </w:r>
      <w:r w:rsidR="004A2C64">
        <w:rPr>
          <w:rFonts w:ascii="Arial" w:hAnsi="Arial" w:cs="Arial"/>
          <w:sz w:val="24"/>
          <w:szCs w:val="24"/>
        </w:rPr>
        <w:t xml:space="preserve"> </w:t>
      </w:r>
      <w:r w:rsidR="008E37F8">
        <w:rPr>
          <w:rFonts w:ascii="Arial" w:hAnsi="Arial" w:cs="Arial"/>
          <w:sz w:val="24"/>
          <w:szCs w:val="24"/>
        </w:rPr>
        <w:t>credit requirements</w:t>
      </w:r>
      <w:r w:rsidR="00C10E42" w:rsidRPr="00C10E42">
        <w:rPr>
          <w:rFonts w:ascii="Arial" w:hAnsi="Arial" w:cs="Arial"/>
          <w:sz w:val="24"/>
          <w:szCs w:val="24"/>
        </w:rPr>
        <w:t xml:space="preserve"> to be more in line with the other electric utilities in the state.</w:t>
      </w:r>
    </w:p>
    <w:p w:rsidR="00B67AE9" w:rsidRPr="00B67AE9" w:rsidRDefault="00B67AE9" w:rsidP="00500340">
      <w:pPr>
        <w:pStyle w:val="BodyText"/>
        <w:spacing w:line="480" w:lineRule="auto"/>
        <w:ind w:left="720" w:hanging="720"/>
        <w:jc w:val="both"/>
        <w:rPr>
          <w:rFonts w:ascii="Arial" w:hAnsi="Arial" w:cs="Arial"/>
          <w:b/>
          <w:sz w:val="24"/>
          <w:szCs w:val="24"/>
        </w:rPr>
      </w:pPr>
      <w:r w:rsidRPr="00B67AE9">
        <w:rPr>
          <w:rFonts w:ascii="Arial" w:hAnsi="Arial" w:cs="Arial"/>
          <w:b/>
          <w:sz w:val="24"/>
          <w:szCs w:val="24"/>
        </w:rPr>
        <w:t>Q.</w:t>
      </w:r>
      <w:r w:rsidRPr="00B67AE9">
        <w:rPr>
          <w:rFonts w:ascii="Arial" w:hAnsi="Arial" w:cs="Arial"/>
          <w:b/>
          <w:sz w:val="24"/>
          <w:szCs w:val="24"/>
        </w:rPr>
        <w:tab/>
        <w:t>What is the impact of your recommendation?</w:t>
      </w:r>
    </w:p>
    <w:p w:rsidR="00AC276D" w:rsidRPr="00203F6B" w:rsidRDefault="00B67AE9" w:rsidP="00500340">
      <w:pPr>
        <w:pStyle w:val="BodyText"/>
        <w:spacing w:line="480" w:lineRule="auto"/>
        <w:ind w:left="720" w:hanging="720"/>
        <w:jc w:val="both"/>
        <w:rPr>
          <w:rFonts w:ascii="Arial" w:hAnsi="Arial" w:cs="Arial"/>
          <w:color w:val="FF0000"/>
          <w:sz w:val="24"/>
          <w:szCs w:val="24"/>
        </w:rPr>
      </w:pPr>
      <w:r>
        <w:rPr>
          <w:rFonts w:ascii="Arial" w:hAnsi="Arial" w:cs="Arial"/>
          <w:sz w:val="24"/>
          <w:szCs w:val="24"/>
        </w:rPr>
        <w:t>A.</w:t>
      </w:r>
      <w:r>
        <w:rPr>
          <w:rFonts w:ascii="Arial" w:hAnsi="Arial" w:cs="Arial"/>
          <w:sz w:val="24"/>
          <w:szCs w:val="24"/>
        </w:rPr>
        <w:tab/>
      </w:r>
      <w:r w:rsidR="00C06F75">
        <w:rPr>
          <w:rFonts w:ascii="Arial" w:hAnsi="Arial" w:cs="Arial"/>
          <w:sz w:val="24"/>
          <w:szCs w:val="24"/>
        </w:rPr>
        <w:t>My</w:t>
      </w:r>
      <w:r w:rsidR="00346E6A" w:rsidRPr="003A1A01">
        <w:rPr>
          <w:rFonts w:ascii="Arial" w:hAnsi="Arial" w:cs="Arial"/>
          <w:sz w:val="24"/>
          <w:szCs w:val="24"/>
        </w:rPr>
        <w:t xml:space="preserve"> proposal would result </w:t>
      </w:r>
      <w:r w:rsidR="008E37F8">
        <w:rPr>
          <w:rFonts w:ascii="Arial" w:hAnsi="Arial" w:cs="Arial"/>
          <w:sz w:val="24"/>
          <w:szCs w:val="24"/>
        </w:rPr>
        <w:t>in a lower credit requirement for private</w:t>
      </w:r>
      <w:r w:rsidR="004A2C64">
        <w:rPr>
          <w:rFonts w:ascii="Arial" w:hAnsi="Arial" w:cs="Arial"/>
          <w:sz w:val="24"/>
          <w:szCs w:val="24"/>
        </w:rPr>
        <w:t>ly held</w:t>
      </w:r>
      <w:r w:rsidR="008E37F8">
        <w:rPr>
          <w:rFonts w:ascii="Arial" w:hAnsi="Arial" w:cs="Arial"/>
          <w:sz w:val="24"/>
          <w:szCs w:val="24"/>
        </w:rPr>
        <w:t xml:space="preserve"> companies</w:t>
      </w:r>
      <w:r w:rsidR="004A2C64">
        <w:rPr>
          <w:rFonts w:ascii="Arial" w:hAnsi="Arial" w:cs="Arial"/>
          <w:sz w:val="24"/>
          <w:szCs w:val="24"/>
        </w:rPr>
        <w:t xml:space="preserve"> that are more consistent with publicly traded companies</w:t>
      </w:r>
      <w:r w:rsidR="002B697B">
        <w:rPr>
          <w:rFonts w:ascii="Arial" w:hAnsi="Arial" w:cs="Arial"/>
          <w:sz w:val="24"/>
          <w:szCs w:val="24"/>
        </w:rPr>
        <w:t xml:space="preserve">.  </w:t>
      </w:r>
      <w:r w:rsidR="008E37F8">
        <w:rPr>
          <w:rFonts w:ascii="Arial" w:hAnsi="Arial" w:cs="Arial"/>
          <w:sz w:val="24"/>
          <w:szCs w:val="24"/>
        </w:rPr>
        <w:t xml:space="preserve">The companies would still post collateral and </w:t>
      </w:r>
      <w:r w:rsidR="0084526E">
        <w:rPr>
          <w:rFonts w:ascii="Arial" w:hAnsi="Arial" w:cs="Arial"/>
          <w:sz w:val="24"/>
          <w:szCs w:val="24"/>
        </w:rPr>
        <w:t>t</w:t>
      </w:r>
      <w:r w:rsidR="006D0643">
        <w:rPr>
          <w:rFonts w:ascii="Arial" w:hAnsi="Arial" w:cs="Arial"/>
          <w:sz w:val="24"/>
          <w:szCs w:val="24"/>
        </w:rPr>
        <w:t>he new calculation would be more in line with industry standards.</w:t>
      </w:r>
      <w:r w:rsidR="008F237F">
        <w:rPr>
          <w:rFonts w:ascii="Arial" w:hAnsi="Arial" w:cs="Arial"/>
          <w:sz w:val="24"/>
          <w:szCs w:val="24"/>
        </w:rPr>
        <w:t xml:space="preserve">  </w:t>
      </w:r>
    </w:p>
    <w:p w:rsidR="00476460" w:rsidRDefault="00AC276D" w:rsidP="00500340">
      <w:pPr>
        <w:pStyle w:val="BodyText"/>
        <w:spacing w:line="480" w:lineRule="auto"/>
        <w:ind w:left="720" w:hanging="720"/>
        <w:jc w:val="both"/>
        <w:rPr>
          <w:rFonts w:ascii="Arial" w:hAnsi="Arial" w:cs="Arial"/>
          <w:b/>
          <w:sz w:val="24"/>
          <w:szCs w:val="24"/>
        </w:rPr>
      </w:pPr>
      <w:r w:rsidRPr="00BD280F">
        <w:rPr>
          <w:rFonts w:ascii="Arial" w:hAnsi="Arial" w:cs="Arial"/>
          <w:b/>
          <w:sz w:val="24"/>
          <w:szCs w:val="24"/>
        </w:rPr>
        <w:lastRenderedPageBreak/>
        <w:t>Q.</w:t>
      </w:r>
      <w:r w:rsidRPr="00BD280F">
        <w:rPr>
          <w:rFonts w:ascii="Arial" w:hAnsi="Arial" w:cs="Arial"/>
          <w:b/>
          <w:sz w:val="24"/>
          <w:szCs w:val="24"/>
        </w:rPr>
        <w:tab/>
      </w:r>
      <w:r w:rsidR="00476460">
        <w:rPr>
          <w:rFonts w:ascii="Arial" w:hAnsi="Arial" w:cs="Arial"/>
          <w:b/>
          <w:sz w:val="24"/>
          <w:szCs w:val="24"/>
        </w:rPr>
        <w:t>Wh</w:t>
      </w:r>
      <w:r w:rsidR="003F534D">
        <w:rPr>
          <w:rFonts w:ascii="Arial" w:hAnsi="Arial" w:cs="Arial"/>
          <w:b/>
          <w:sz w:val="24"/>
          <w:szCs w:val="24"/>
        </w:rPr>
        <w:t>y</w:t>
      </w:r>
      <w:r w:rsidR="00476460">
        <w:rPr>
          <w:rFonts w:ascii="Arial" w:hAnsi="Arial" w:cs="Arial"/>
          <w:b/>
          <w:sz w:val="24"/>
          <w:szCs w:val="24"/>
        </w:rPr>
        <w:t xml:space="preserve"> </w:t>
      </w:r>
      <w:r w:rsidR="002D21BB">
        <w:rPr>
          <w:rFonts w:ascii="Arial" w:hAnsi="Arial" w:cs="Arial"/>
          <w:b/>
          <w:sz w:val="24"/>
          <w:szCs w:val="24"/>
        </w:rPr>
        <w:t>is there a credit requirement for electric suppliers</w:t>
      </w:r>
      <w:r w:rsidR="00476460">
        <w:rPr>
          <w:rFonts w:ascii="Arial" w:hAnsi="Arial" w:cs="Arial"/>
          <w:b/>
          <w:sz w:val="24"/>
          <w:szCs w:val="24"/>
        </w:rPr>
        <w:t>?</w:t>
      </w:r>
    </w:p>
    <w:p w:rsidR="005E4A77" w:rsidRPr="00597810" w:rsidRDefault="005E4A77" w:rsidP="00500340">
      <w:pPr>
        <w:pStyle w:val="BodyText"/>
        <w:spacing w:line="480" w:lineRule="auto"/>
        <w:ind w:left="720" w:hanging="720"/>
        <w:jc w:val="both"/>
        <w:rPr>
          <w:rFonts w:ascii="Arial" w:hAnsi="Arial" w:cs="Arial"/>
          <w:sz w:val="24"/>
          <w:szCs w:val="24"/>
        </w:rPr>
      </w:pPr>
      <w:r w:rsidRPr="00597810">
        <w:rPr>
          <w:rFonts w:ascii="Arial" w:hAnsi="Arial" w:cs="Arial"/>
          <w:sz w:val="24"/>
          <w:szCs w:val="24"/>
        </w:rPr>
        <w:t>A.</w:t>
      </w:r>
      <w:r w:rsidRPr="00597810">
        <w:rPr>
          <w:rFonts w:ascii="Arial" w:hAnsi="Arial" w:cs="Arial"/>
          <w:sz w:val="24"/>
          <w:szCs w:val="24"/>
        </w:rPr>
        <w:tab/>
      </w:r>
      <w:r w:rsidR="00DA4696" w:rsidRPr="00597810">
        <w:rPr>
          <w:rFonts w:ascii="Arial" w:hAnsi="Arial" w:cs="Arial"/>
          <w:sz w:val="24"/>
          <w:szCs w:val="24"/>
        </w:rPr>
        <w:t>The</w:t>
      </w:r>
      <w:r w:rsidR="00DC7BC1">
        <w:rPr>
          <w:rFonts w:ascii="Arial" w:hAnsi="Arial" w:cs="Arial"/>
          <w:sz w:val="24"/>
          <w:szCs w:val="24"/>
        </w:rPr>
        <w:t>re is a credit requirement on electric suppliers in case of default.  The u</w:t>
      </w:r>
      <w:r w:rsidR="00DA4696" w:rsidRPr="00597810">
        <w:rPr>
          <w:rFonts w:ascii="Arial" w:hAnsi="Arial" w:cs="Arial"/>
          <w:sz w:val="24"/>
          <w:szCs w:val="24"/>
        </w:rPr>
        <w:t xml:space="preserve">tility must provide </w:t>
      </w:r>
      <w:r w:rsidR="00597810" w:rsidRPr="00597810">
        <w:rPr>
          <w:rFonts w:ascii="Arial" w:hAnsi="Arial" w:cs="Arial"/>
          <w:sz w:val="24"/>
          <w:szCs w:val="24"/>
        </w:rPr>
        <w:t xml:space="preserve">its customers </w:t>
      </w:r>
      <w:r w:rsidR="009914E8">
        <w:rPr>
          <w:rFonts w:ascii="Arial" w:hAnsi="Arial" w:cs="Arial"/>
          <w:sz w:val="24"/>
          <w:szCs w:val="24"/>
        </w:rPr>
        <w:t xml:space="preserve">a </w:t>
      </w:r>
      <w:r w:rsidR="009914E8" w:rsidRPr="00597810">
        <w:rPr>
          <w:rFonts w:ascii="Arial" w:hAnsi="Arial" w:cs="Arial"/>
          <w:sz w:val="24"/>
          <w:szCs w:val="24"/>
        </w:rPr>
        <w:t xml:space="preserve">firm supply of electric generation service </w:t>
      </w:r>
      <w:r w:rsidR="00B67AE9">
        <w:rPr>
          <w:rFonts w:ascii="Arial" w:hAnsi="Arial" w:cs="Arial"/>
          <w:sz w:val="24"/>
          <w:szCs w:val="24"/>
        </w:rPr>
        <w:t xml:space="preserve">when </w:t>
      </w:r>
      <w:r w:rsidR="00B67AE9" w:rsidRPr="00597810">
        <w:rPr>
          <w:rFonts w:ascii="Arial" w:hAnsi="Arial" w:cs="Arial"/>
          <w:sz w:val="24"/>
          <w:szCs w:val="24"/>
        </w:rPr>
        <w:t>there is a failure of a supplier to provide retail electric generation service</w:t>
      </w:r>
      <w:r w:rsidR="00BE229F">
        <w:rPr>
          <w:rFonts w:ascii="Arial" w:hAnsi="Arial" w:cs="Arial"/>
          <w:sz w:val="24"/>
          <w:szCs w:val="24"/>
        </w:rPr>
        <w:t xml:space="preserve">.  </w:t>
      </w:r>
      <w:r w:rsidR="00DC7BC1">
        <w:rPr>
          <w:rFonts w:ascii="Arial" w:hAnsi="Arial" w:cs="Arial"/>
          <w:sz w:val="24"/>
          <w:szCs w:val="24"/>
        </w:rPr>
        <w:t>The credit requirement covers any costs the utility would incur taking on the responsibility of serving those customers</w:t>
      </w:r>
      <w:r w:rsidR="00597810" w:rsidRPr="00597810">
        <w:rPr>
          <w:rFonts w:ascii="Arial" w:hAnsi="Arial" w:cs="Arial"/>
          <w:sz w:val="24"/>
          <w:szCs w:val="24"/>
        </w:rPr>
        <w:t>.</w:t>
      </w:r>
    </w:p>
    <w:p w:rsidR="004E6025" w:rsidRPr="00BD280F" w:rsidRDefault="000201D9" w:rsidP="004E6025">
      <w:pPr>
        <w:pStyle w:val="BodyText"/>
        <w:spacing w:line="480" w:lineRule="auto"/>
        <w:ind w:left="720" w:hanging="720"/>
        <w:jc w:val="both"/>
        <w:rPr>
          <w:rFonts w:ascii="Arial" w:hAnsi="Arial" w:cs="Arial"/>
          <w:b/>
          <w:sz w:val="24"/>
          <w:szCs w:val="24"/>
        </w:rPr>
      </w:pPr>
      <w:r>
        <w:rPr>
          <w:rFonts w:ascii="Arial" w:hAnsi="Arial" w:cs="Arial"/>
          <w:b/>
          <w:sz w:val="24"/>
          <w:szCs w:val="24"/>
        </w:rPr>
        <w:t>Q</w:t>
      </w:r>
      <w:r w:rsidR="00DC7BC1">
        <w:rPr>
          <w:rFonts w:ascii="Arial" w:hAnsi="Arial" w:cs="Arial"/>
          <w:b/>
          <w:sz w:val="24"/>
          <w:szCs w:val="24"/>
        </w:rPr>
        <w:t>.</w:t>
      </w:r>
      <w:r w:rsidR="00DC7BC1">
        <w:rPr>
          <w:rFonts w:ascii="Arial" w:hAnsi="Arial" w:cs="Arial"/>
          <w:b/>
          <w:sz w:val="24"/>
          <w:szCs w:val="24"/>
        </w:rPr>
        <w:tab/>
        <w:t>Are all suppliers required to post collateral</w:t>
      </w:r>
      <w:r w:rsidR="004E6025" w:rsidRPr="00BD280F">
        <w:rPr>
          <w:rFonts w:ascii="Arial" w:hAnsi="Arial" w:cs="Arial"/>
          <w:b/>
          <w:sz w:val="24"/>
          <w:szCs w:val="24"/>
        </w:rPr>
        <w:t>?</w:t>
      </w:r>
    </w:p>
    <w:p w:rsidR="004E6025" w:rsidRPr="00EC1E80" w:rsidRDefault="004E6025" w:rsidP="004E6025">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No.  </w:t>
      </w:r>
      <w:r w:rsidR="003830F6">
        <w:rPr>
          <w:rFonts w:ascii="Arial" w:hAnsi="Arial" w:cs="Arial"/>
          <w:sz w:val="24"/>
          <w:szCs w:val="24"/>
        </w:rPr>
        <w:t>Suppliers owned by p</w:t>
      </w:r>
      <w:r w:rsidR="00DC7BC1">
        <w:rPr>
          <w:rFonts w:ascii="Arial" w:hAnsi="Arial" w:cs="Arial"/>
          <w:sz w:val="24"/>
          <w:szCs w:val="24"/>
        </w:rPr>
        <w:t>ublic companies with investment grade long-term bond ratings are deemed to satisfy their creditworthiness and receive an unsecured credit limit</w:t>
      </w:r>
      <w:r w:rsidR="00B67AE9" w:rsidRPr="00EC1E80">
        <w:rPr>
          <w:rFonts w:ascii="Arial" w:hAnsi="Arial" w:cs="Arial"/>
          <w:sz w:val="24"/>
          <w:szCs w:val="24"/>
        </w:rPr>
        <w:t>.</w:t>
      </w:r>
    </w:p>
    <w:p w:rsidR="003C14A2" w:rsidRPr="000201D9" w:rsidRDefault="003C14A2" w:rsidP="004E6025">
      <w:pPr>
        <w:pStyle w:val="BodyText"/>
        <w:spacing w:line="480" w:lineRule="auto"/>
        <w:ind w:left="720" w:hanging="720"/>
        <w:jc w:val="both"/>
        <w:rPr>
          <w:rFonts w:ascii="Arial" w:hAnsi="Arial" w:cs="Arial"/>
          <w:b/>
          <w:sz w:val="24"/>
          <w:szCs w:val="24"/>
        </w:rPr>
      </w:pPr>
      <w:r w:rsidRPr="000201D9">
        <w:rPr>
          <w:rFonts w:ascii="Arial" w:hAnsi="Arial" w:cs="Arial"/>
          <w:b/>
          <w:sz w:val="24"/>
          <w:szCs w:val="24"/>
        </w:rPr>
        <w:t>Q.</w:t>
      </w:r>
      <w:r w:rsidRPr="000201D9">
        <w:rPr>
          <w:rFonts w:ascii="Arial" w:hAnsi="Arial" w:cs="Arial"/>
          <w:b/>
          <w:sz w:val="24"/>
          <w:szCs w:val="24"/>
        </w:rPr>
        <w:tab/>
      </w:r>
      <w:r w:rsidR="001E5B02">
        <w:rPr>
          <w:rFonts w:ascii="Arial" w:hAnsi="Arial" w:cs="Arial"/>
          <w:b/>
          <w:sz w:val="24"/>
          <w:szCs w:val="24"/>
        </w:rPr>
        <w:t>Are privately owned companies required to post collateral</w:t>
      </w:r>
      <w:r w:rsidRPr="000201D9">
        <w:rPr>
          <w:rFonts w:ascii="Arial" w:hAnsi="Arial" w:cs="Arial"/>
          <w:b/>
          <w:sz w:val="24"/>
          <w:szCs w:val="24"/>
        </w:rPr>
        <w:t>?</w:t>
      </w:r>
    </w:p>
    <w:p w:rsidR="003C14A2" w:rsidRPr="00EC1E80" w:rsidRDefault="005C6D7D" w:rsidP="004E6025">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Yes. Privately owned companies which do not have bond ratings must make alternative credit arrangements with Dayton.</w:t>
      </w:r>
    </w:p>
    <w:p w:rsidR="00C757EB" w:rsidRPr="009B7083" w:rsidRDefault="00C757EB" w:rsidP="00C757EB">
      <w:pPr>
        <w:pStyle w:val="BodyText"/>
        <w:spacing w:line="480" w:lineRule="auto"/>
        <w:ind w:left="720" w:hanging="720"/>
        <w:jc w:val="both"/>
        <w:rPr>
          <w:rFonts w:ascii="Arial" w:hAnsi="Arial" w:cs="Arial"/>
          <w:b/>
          <w:sz w:val="24"/>
          <w:szCs w:val="24"/>
        </w:rPr>
      </w:pPr>
      <w:r w:rsidRPr="009B7083">
        <w:rPr>
          <w:rFonts w:ascii="Arial" w:hAnsi="Arial" w:cs="Arial"/>
          <w:b/>
          <w:sz w:val="24"/>
          <w:szCs w:val="24"/>
        </w:rPr>
        <w:t>Q.</w:t>
      </w:r>
      <w:r w:rsidRPr="009B7083">
        <w:rPr>
          <w:rFonts w:ascii="Arial" w:hAnsi="Arial" w:cs="Arial"/>
          <w:b/>
          <w:sz w:val="24"/>
          <w:szCs w:val="24"/>
        </w:rPr>
        <w:tab/>
      </w:r>
      <w:r w:rsidR="005C6D7D">
        <w:rPr>
          <w:rFonts w:ascii="Arial" w:hAnsi="Arial" w:cs="Arial"/>
          <w:b/>
          <w:sz w:val="24"/>
          <w:szCs w:val="24"/>
        </w:rPr>
        <w:t>What are alternative credit arrangements?</w:t>
      </w:r>
      <w:r w:rsidR="0019479A" w:rsidRPr="0019479A">
        <w:rPr>
          <w:rStyle w:val="FootnoteReference"/>
          <w:rFonts w:ascii="Arial" w:hAnsi="Arial" w:cs="Arial"/>
          <w:sz w:val="24"/>
          <w:szCs w:val="24"/>
        </w:rPr>
        <w:t xml:space="preserve"> </w:t>
      </w:r>
    </w:p>
    <w:p w:rsidR="00C757EB" w:rsidRDefault="00C757EB" w:rsidP="00C757EB">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B67B52">
        <w:rPr>
          <w:rFonts w:ascii="Arial" w:hAnsi="Arial" w:cs="Arial"/>
          <w:sz w:val="24"/>
          <w:szCs w:val="24"/>
        </w:rPr>
        <w:t>A guaranty of payment, an irrevocable Letter of Credit, a Prepayment Account with Dayton, a Surety Bond, or other mutually agreeable security or arrangement.</w:t>
      </w:r>
    </w:p>
    <w:p w:rsidR="00034CA3" w:rsidRPr="00653482" w:rsidRDefault="00034CA3" w:rsidP="00C757EB">
      <w:pPr>
        <w:pStyle w:val="BodyText"/>
        <w:spacing w:line="480" w:lineRule="auto"/>
        <w:ind w:left="720" w:hanging="720"/>
        <w:jc w:val="both"/>
        <w:rPr>
          <w:rFonts w:ascii="Arial" w:hAnsi="Arial" w:cs="Arial"/>
          <w:b/>
          <w:sz w:val="24"/>
          <w:szCs w:val="24"/>
        </w:rPr>
      </w:pPr>
      <w:r w:rsidRPr="00653482">
        <w:rPr>
          <w:rFonts w:ascii="Arial" w:hAnsi="Arial" w:cs="Arial"/>
          <w:b/>
          <w:sz w:val="24"/>
          <w:szCs w:val="24"/>
        </w:rPr>
        <w:t>Q.</w:t>
      </w:r>
      <w:r w:rsidRPr="00653482">
        <w:rPr>
          <w:rFonts w:ascii="Arial" w:hAnsi="Arial" w:cs="Arial"/>
          <w:b/>
          <w:sz w:val="24"/>
          <w:szCs w:val="24"/>
        </w:rPr>
        <w:tab/>
      </w:r>
      <w:r w:rsidR="00547DF2">
        <w:rPr>
          <w:rFonts w:ascii="Arial" w:hAnsi="Arial" w:cs="Arial"/>
          <w:b/>
          <w:sz w:val="24"/>
          <w:szCs w:val="24"/>
        </w:rPr>
        <w:t xml:space="preserve">Why are you requesting a </w:t>
      </w:r>
      <w:r w:rsidR="00143FED">
        <w:rPr>
          <w:rFonts w:ascii="Arial" w:hAnsi="Arial" w:cs="Arial"/>
          <w:b/>
          <w:sz w:val="24"/>
          <w:szCs w:val="24"/>
        </w:rPr>
        <w:t xml:space="preserve">change in the calculation of </w:t>
      </w:r>
      <w:r w:rsidR="00547DF2">
        <w:rPr>
          <w:rFonts w:ascii="Arial" w:hAnsi="Arial" w:cs="Arial"/>
          <w:b/>
          <w:sz w:val="24"/>
          <w:szCs w:val="24"/>
        </w:rPr>
        <w:t>the alternative credit arrangement</w:t>
      </w:r>
      <w:r w:rsidRPr="00653482">
        <w:rPr>
          <w:rFonts w:ascii="Arial" w:hAnsi="Arial" w:cs="Arial"/>
          <w:b/>
          <w:sz w:val="24"/>
          <w:szCs w:val="24"/>
        </w:rPr>
        <w:t>?</w:t>
      </w:r>
    </w:p>
    <w:p w:rsidR="00653482" w:rsidRDefault="00653482" w:rsidP="00C757EB">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547DF2">
        <w:rPr>
          <w:rFonts w:ascii="Arial" w:hAnsi="Arial" w:cs="Arial"/>
          <w:sz w:val="24"/>
          <w:szCs w:val="24"/>
        </w:rPr>
        <w:t>After the Finding and Order in Case No. 16-0395-EL-SSO, Dayton changed how it calculated the required credit amount</w:t>
      </w:r>
      <w:r w:rsidR="001813A7">
        <w:rPr>
          <w:rFonts w:ascii="Arial" w:hAnsi="Arial" w:cs="Arial"/>
          <w:sz w:val="24"/>
          <w:szCs w:val="24"/>
        </w:rPr>
        <w:t xml:space="preserve">, applying its credit requirements </w:t>
      </w:r>
      <w:r w:rsidR="00C06F75">
        <w:rPr>
          <w:rFonts w:ascii="Arial" w:hAnsi="Arial" w:cs="Arial"/>
          <w:sz w:val="24"/>
          <w:szCs w:val="24"/>
        </w:rPr>
        <w:t xml:space="preserve">in a manner </w:t>
      </w:r>
      <w:r w:rsidR="001813A7">
        <w:rPr>
          <w:rFonts w:ascii="Arial" w:hAnsi="Arial" w:cs="Arial"/>
          <w:sz w:val="24"/>
          <w:szCs w:val="24"/>
        </w:rPr>
        <w:t xml:space="preserve">inconsistent </w:t>
      </w:r>
      <w:r w:rsidR="00C06F75">
        <w:rPr>
          <w:rFonts w:ascii="Arial" w:hAnsi="Arial" w:cs="Arial"/>
          <w:sz w:val="24"/>
          <w:szCs w:val="24"/>
        </w:rPr>
        <w:t>with</w:t>
      </w:r>
      <w:r w:rsidR="001813A7">
        <w:rPr>
          <w:rFonts w:ascii="Arial" w:hAnsi="Arial" w:cs="Arial"/>
          <w:sz w:val="24"/>
          <w:szCs w:val="24"/>
        </w:rPr>
        <w:t xml:space="preserve"> historical practice</w:t>
      </w:r>
      <w:r w:rsidR="00547DF2">
        <w:rPr>
          <w:rFonts w:ascii="Arial" w:hAnsi="Arial" w:cs="Arial"/>
          <w:sz w:val="24"/>
          <w:szCs w:val="24"/>
        </w:rPr>
        <w:t>.</w:t>
      </w:r>
      <w:r w:rsidR="00AC46CE">
        <w:rPr>
          <w:rFonts w:ascii="Arial" w:hAnsi="Arial" w:cs="Arial"/>
          <w:sz w:val="24"/>
          <w:szCs w:val="24"/>
        </w:rPr>
        <w:t xml:space="preserve">  This new calculation significantly increases the amount of collateral a supplier is required to post.</w:t>
      </w:r>
      <w:r w:rsidR="00547DF2">
        <w:rPr>
          <w:rFonts w:ascii="Arial" w:hAnsi="Arial" w:cs="Arial"/>
          <w:sz w:val="24"/>
          <w:szCs w:val="24"/>
        </w:rPr>
        <w:t xml:space="preserve">  </w:t>
      </w:r>
      <w:r w:rsidR="00615406">
        <w:rPr>
          <w:rFonts w:ascii="Arial" w:hAnsi="Arial" w:cs="Arial"/>
          <w:sz w:val="24"/>
          <w:szCs w:val="24"/>
        </w:rPr>
        <w:t xml:space="preserve">  </w:t>
      </w:r>
    </w:p>
    <w:p w:rsidR="00547DF2" w:rsidRPr="00653482" w:rsidRDefault="0041363E" w:rsidP="00547DF2">
      <w:pPr>
        <w:pStyle w:val="BodyText"/>
        <w:spacing w:line="480" w:lineRule="auto"/>
        <w:ind w:left="720" w:hanging="720"/>
        <w:jc w:val="both"/>
        <w:rPr>
          <w:rFonts w:ascii="Arial" w:hAnsi="Arial" w:cs="Arial"/>
          <w:b/>
          <w:sz w:val="24"/>
          <w:szCs w:val="24"/>
        </w:rPr>
      </w:pPr>
      <w:r w:rsidRPr="000A5D8E">
        <w:rPr>
          <w:rFonts w:ascii="Arial" w:hAnsi="Arial" w:cs="Arial"/>
          <w:b/>
          <w:sz w:val="24"/>
          <w:szCs w:val="24"/>
        </w:rPr>
        <w:lastRenderedPageBreak/>
        <w:t>Q.</w:t>
      </w:r>
      <w:r w:rsidRPr="000A5D8E">
        <w:rPr>
          <w:rFonts w:ascii="Arial" w:hAnsi="Arial" w:cs="Arial"/>
          <w:b/>
          <w:sz w:val="24"/>
          <w:szCs w:val="24"/>
        </w:rPr>
        <w:tab/>
      </w:r>
      <w:r w:rsidR="00547DF2" w:rsidRPr="00653482">
        <w:rPr>
          <w:rFonts w:ascii="Arial" w:hAnsi="Arial" w:cs="Arial"/>
          <w:b/>
          <w:sz w:val="24"/>
          <w:szCs w:val="24"/>
        </w:rPr>
        <w:t>Does the Staff address the issue in its Staff Report?</w:t>
      </w:r>
    </w:p>
    <w:p w:rsidR="0041363E" w:rsidRDefault="00547DF2" w:rsidP="00547DF2">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No.  </w:t>
      </w:r>
    </w:p>
    <w:p w:rsidR="00E81B5E" w:rsidRPr="000201D9" w:rsidRDefault="00E81B5E" w:rsidP="00C757EB">
      <w:pPr>
        <w:pStyle w:val="BodyText"/>
        <w:spacing w:line="480" w:lineRule="auto"/>
        <w:ind w:left="720" w:hanging="720"/>
        <w:jc w:val="both"/>
        <w:rPr>
          <w:rFonts w:ascii="Arial" w:hAnsi="Arial" w:cs="Arial"/>
          <w:b/>
          <w:sz w:val="24"/>
          <w:szCs w:val="24"/>
        </w:rPr>
      </w:pPr>
      <w:r w:rsidRPr="000201D9">
        <w:rPr>
          <w:rFonts w:ascii="Arial" w:hAnsi="Arial" w:cs="Arial"/>
          <w:b/>
          <w:sz w:val="24"/>
          <w:szCs w:val="24"/>
        </w:rPr>
        <w:t>Q.</w:t>
      </w:r>
      <w:r w:rsidRPr="000201D9">
        <w:rPr>
          <w:rFonts w:ascii="Arial" w:hAnsi="Arial" w:cs="Arial"/>
          <w:b/>
          <w:sz w:val="24"/>
          <w:szCs w:val="24"/>
        </w:rPr>
        <w:tab/>
      </w:r>
      <w:r w:rsidR="007B41A3">
        <w:rPr>
          <w:rFonts w:ascii="Arial" w:hAnsi="Arial" w:cs="Arial"/>
          <w:b/>
          <w:sz w:val="24"/>
          <w:szCs w:val="24"/>
        </w:rPr>
        <w:t xml:space="preserve">What is </w:t>
      </w:r>
      <w:r w:rsidR="00C06F75">
        <w:rPr>
          <w:rFonts w:ascii="Arial" w:hAnsi="Arial" w:cs="Arial"/>
          <w:b/>
          <w:sz w:val="24"/>
          <w:szCs w:val="24"/>
        </w:rPr>
        <w:t>Dayton’s</w:t>
      </w:r>
      <w:r w:rsidR="007B41A3">
        <w:rPr>
          <w:rFonts w:ascii="Arial" w:hAnsi="Arial" w:cs="Arial"/>
          <w:b/>
          <w:sz w:val="24"/>
          <w:szCs w:val="24"/>
        </w:rPr>
        <w:t xml:space="preserve"> new calculation for credit requirements</w:t>
      </w:r>
      <w:r w:rsidR="005553F9" w:rsidRPr="000201D9">
        <w:rPr>
          <w:rFonts w:ascii="Arial" w:hAnsi="Arial" w:cs="Arial"/>
          <w:b/>
          <w:sz w:val="24"/>
          <w:szCs w:val="24"/>
        </w:rPr>
        <w:t>?</w:t>
      </w:r>
    </w:p>
    <w:p w:rsidR="005553F9" w:rsidRDefault="005553F9" w:rsidP="00C757EB">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7B41A3">
        <w:rPr>
          <w:rFonts w:ascii="Arial" w:hAnsi="Arial" w:cs="Arial"/>
          <w:sz w:val="24"/>
          <w:szCs w:val="24"/>
        </w:rPr>
        <w:t>Dayton multiplies 30 days of the supplier’s estimated summer usage by the highest monthly average megawatt-hour price from the prior summer’s PJM Day Ahead market and multipl</w:t>
      </w:r>
      <w:r w:rsidR="00143FED">
        <w:rPr>
          <w:rFonts w:ascii="Arial" w:hAnsi="Arial" w:cs="Arial"/>
          <w:sz w:val="24"/>
          <w:szCs w:val="24"/>
        </w:rPr>
        <w:t>ies</w:t>
      </w:r>
      <w:r w:rsidR="007B41A3">
        <w:rPr>
          <w:rFonts w:ascii="Arial" w:hAnsi="Arial" w:cs="Arial"/>
          <w:sz w:val="24"/>
          <w:szCs w:val="24"/>
        </w:rPr>
        <w:t xml:space="preserve"> </w:t>
      </w:r>
      <w:r w:rsidR="00A2280E">
        <w:rPr>
          <w:rFonts w:ascii="Arial" w:hAnsi="Arial" w:cs="Arial"/>
          <w:sz w:val="24"/>
          <w:szCs w:val="24"/>
        </w:rPr>
        <w:t xml:space="preserve">by </w:t>
      </w:r>
      <w:r w:rsidR="007B41A3">
        <w:rPr>
          <w:rFonts w:ascii="Arial" w:hAnsi="Arial" w:cs="Arial"/>
          <w:sz w:val="24"/>
          <w:szCs w:val="24"/>
        </w:rPr>
        <w:t>30 day</w:t>
      </w:r>
      <w:r w:rsidR="00A2280E">
        <w:rPr>
          <w:rFonts w:ascii="Arial" w:hAnsi="Arial" w:cs="Arial"/>
          <w:sz w:val="24"/>
          <w:szCs w:val="24"/>
        </w:rPr>
        <w:t>s</w:t>
      </w:r>
      <w:r w:rsidR="007B41A3">
        <w:rPr>
          <w:rFonts w:ascii="Arial" w:hAnsi="Arial" w:cs="Arial"/>
          <w:sz w:val="24"/>
          <w:szCs w:val="24"/>
        </w:rPr>
        <w:t xml:space="preserve"> of the supplier’s capacity obligation by the final Dayton zonal capacity megawatt-day price for the upcoming delivery year</w:t>
      </w:r>
      <w:r>
        <w:rPr>
          <w:rFonts w:ascii="Arial" w:hAnsi="Arial" w:cs="Arial"/>
          <w:sz w:val="24"/>
          <w:szCs w:val="24"/>
        </w:rPr>
        <w:t>.</w:t>
      </w:r>
      <w:r w:rsidR="00C06F75">
        <w:rPr>
          <w:rStyle w:val="FootnoteReference"/>
          <w:rFonts w:ascii="Arial" w:hAnsi="Arial" w:cs="Arial"/>
        </w:rPr>
        <w:t xml:space="preserve"> </w:t>
      </w:r>
      <w:r w:rsidR="007B41A3">
        <w:rPr>
          <w:rStyle w:val="FootnoteReference"/>
          <w:rFonts w:ascii="Arial" w:hAnsi="Arial" w:cs="Arial"/>
        </w:rPr>
        <w:footnoteReference w:id="1"/>
      </w:r>
    </w:p>
    <w:p w:rsidR="005553F9" w:rsidRPr="000201D9" w:rsidRDefault="005553F9" w:rsidP="00C757EB">
      <w:pPr>
        <w:pStyle w:val="BodyText"/>
        <w:spacing w:line="480" w:lineRule="auto"/>
        <w:ind w:left="720" w:hanging="720"/>
        <w:jc w:val="both"/>
        <w:rPr>
          <w:rFonts w:ascii="Arial" w:hAnsi="Arial" w:cs="Arial"/>
          <w:b/>
          <w:sz w:val="24"/>
          <w:szCs w:val="24"/>
        </w:rPr>
      </w:pPr>
      <w:r w:rsidRPr="000201D9">
        <w:rPr>
          <w:rFonts w:ascii="Arial" w:hAnsi="Arial" w:cs="Arial"/>
          <w:b/>
          <w:sz w:val="24"/>
          <w:szCs w:val="24"/>
        </w:rPr>
        <w:t>Q.</w:t>
      </w:r>
      <w:r w:rsidRPr="000201D9">
        <w:rPr>
          <w:rFonts w:ascii="Arial" w:hAnsi="Arial" w:cs="Arial"/>
          <w:b/>
          <w:sz w:val="24"/>
          <w:szCs w:val="24"/>
        </w:rPr>
        <w:tab/>
      </w:r>
      <w:r w:rsidR="001E2037">
        <w:rPr>
          <w:rFonts w:ascii="Arial" w:hAnsi="Arial" w:cs="Arial"/>
          <w:b/>
          <w:sz w:val="24"/>
          <w:szCs w:val="24"/>
        </w:rPr>
        <w:t>Why is this new calculation burdensome to private</w:t>
      </w:r>
      <w:r w:rsidR="00863E2A">
        <w:rPr>
          <w:rFonts w:ascii="Arial" w:hAnsi="Arial" w:cs="Arial"/>
          <w:b/>
          <w:sz w:val="24"/>
          <w:szCs w:val="24"/>
        </w:rPr>
        <w:t>ly held</w:t>
      </w:r>
      <w:r w:rsidR="001E2037">
        <w:rPr>
          <w:rFonts w:ascii="Arial" w:hAnsi="Arial" w:cs="Arial"/>
          <w:b/>
          <w:sz w:val="24"/>
          <w:szCs w:val="24"/>
        </w:rPr>
        <w:t xml:space="preserve"> companies</w:t>
      </w:r>
      <w:r w:rsidRPr="000201D9">
        <w:rPr>
          <w:rFonts w:ascii="Arial" w:hAnsi="Arial" w:cs="Arial"/>
          <w:b/>
          <w:sz w:val="24"/>
          <w:szCs w:val="24"/>
        </w:rPr>
        <w:t>?</w:t>
      </w:r>
    </w:p>
    <w:p w:rsidR="005553F9" w:rsidRDefault="005553F9" w:rsidP="00C757EB">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1A57A8">
        <w:rPr>
          <w:rFonts w:ascii="Arial" w:hAnsi="Arial" w:cs="Arial"/>
          <w:sz w:val="24"/>
          <w:szCs w:val="24"/>
        </w:rPr>
        <w:t xml:space="preserve">Calculating 30 days of exposure </w:t>
      </w:r>
      <w:r w:rsidR="001A57A8" w:rsidRPr="00C06F75">
        <w:rPr>
          <w:rFonts w:ascii="Arial" w:hAnsi="Arial" w:cs="Arial"/>
          <w:i/>
          <w:sz w:val="24"/>
          <w:szCs w:val="24"/>
        </w:rPr>
        <w:t>and</w:t>
      </w:r>
      <w:r w:rsidR="001A57A8">
        <w:rPr>
          <w:rFonts w:ascii="Arial" w:hAnsi="Arial" w:cs="Arial"/>
          <w:sz w:val="24"/>
          <w:szCs w:val="24"/>
        </w:rPr>
        <w:t xml:space="preserve"> including </w:t>
      </w:r>
      <w:r w:rsidR="001E2037">
        <w:rPr>
          <w:rFonts w:ascii="Arial" w:hAnsi="Arial" w:cs="Arial"/>
          <w:sz w:val="24"/>
          <w:szCs w:val="24"/>
        </w:rPr>
        <w:t>the capacity obligation significantly increases the amount that a supplier is required to post</w:t>
      </w:r>
      <w:r w:rsidR="00B009DC">
        <w:rPr>
          <w:rFonts w:ascii="Arial" w:hAnsi="Arial" w:cs="Arial"/>
          <w:sz w:val="24"/>
          <w:szCs w:val="24"/>
        </w:rPr>
        <w:t>.</w:t>
      </w:r>
    </w:p>
    <w:p w:rsidR="00437F46" w:rsidRPr="003C14A2" w:rsidRDefault="00437F46" w:rsidP="00C757EB">
      <w:pPr>
        <w:pStyle w:val="BodyText"/>
        <w:spacing w:line="480" w:lineRule="auto"/>
        <w:ind w:left="720" w:hanging="720"/>
        <w:jc w:val="both"/>
        <w:rPr>
          <w:rFonts w:ascii="Arial" w:hAnsi="Arial" w:cs="Arial"/>
          <w:b/>
          <w:sz w:val="24"/>
          <w:szCs w:val="24"/>
        </w:rPr>
      </w:pPr>
      <w:r w:rsidRPr="003C14A2">
        <w:rPr>
          <w:rFonts w:ascii="Arial" w:hAnsi="Arial" w:cs="Arial"/>
          <w:b/>
          <w:sz w:val="24"/>
          <w:szCs w:val="24"/>
        </w:rPr>
        <w:t>Q.</w:t>
      </w:r>
      <w:r w:rsidRPr="003C14A2">
        <w:rPr>
          <w:rFonts w:ascii="Arial" w:hAnsi="Arial" w:cs="Arial"/>
          <w:b/>
          <w:sz w:val="24"/>
          <w:szCs w:val="24"/>
        </w:rPr>
        <w:tab/>
      </w:r>
      <w:r w:rsidR="00CA2959">
        <w:rPr>
          <w:rFonts w:ascii="Arial" w:hAnsi="Arial" w:cs="Arial"/>
          <w:b/>
          <w:sz w:val="24"/>
          <w:szCs w:val="24"/>
        </w:rPr>
        <w:t>Do</w:t>
      </w:r>
      <w:r w:rsidR="00A03E75">
        <w:rPr>
          <w:rFonts w:ascii="Arial" w:hAnsi="Arial" w:cs="Arial"/>
          <w:b/>
          <w:sz w:val="24"/>
          <w:szCs w:val="24"/>
        </w:rPr>
        <w:t>es the Supplier Tariff state that the credit amount should be applied mechanically the same to all suppliers</w:t>
      </w:r>
      <w:r w:rsidR="001621C6" w:rsidRPr="003C14A2">
        <w:rPr>
          <w:rFonts w:ascii="Arial" w:hAnsi="Arial" w:cs="Arial"/>
          <w:b/>
          <w:sz w:val="24"/>
          <w:szCs w:val="24"/>
        </w:rPr>
        <w:t>?</w:t>
      </w:r>
    </w:p>
    <w:p w:rsidR="00F225EA" w:rsidRDefault="001621C6" w:rsidP="00A03E75">
      <w:pPr>
        <w:pStyle w:val="BodyText"/>
        <w:spacing w:line="480" w:lineRule="auto"/>
        <w:ind w:left="720" w:hanging="720"/>
        <w:jc w:val="both"/>
        <w:rPr>
          <w:rFonts w:ascii="Arial" w:hAnsi="Arial" w:cs="Arial"/>
          <w:sz w:val="24"/>
          <w:szCs w:val="24"/>
        </w:rPr>
      </w:pPr>
      <w:r w:rsidRPr="003C14A2">
        <w:rPr>
          <w:rFonts w:ascii="Arial" w:hAnsi="Arial" w:cs="Arial"/>
          <w:sz w:val="24"/>
          <w:szCs w:val="24"/>
        </w:rPr>
        <w:t>A.</w:t>
      </w:r>
      <w:r w:rsidRPr="003C14A2">
        <w:rPr>
          <w:rFonts w:ascii="Arial" w:hAnsi="Arial" w:cs="Arial"/>
          <w:sz w:val="24"/>
          <w:szCs w:val="24"/>
        </w:rPr>
        <w:tab/>
      </w:r>
      <w:r w:rsidR="00CA2959">
        <w:rPr>
          <w:rFonts w:ascii="Arial" w:hAnsi="Arial" w:cs="Arial"/>
          <w:sz w:val="24"/>
          <w:szCs w:val="24"/>
        </w:rPr>
        <w:t>No</w:t>
      </w:r>
      <w:r w:rsidR="000A5D8E">
        <w:rPr>
          <w:rFonts w:ascii="Arial" w:hAnsi="Arial" w:cs="Arial"/>
          <w:sz w:val="24"/>
          <w:szCs w:val="24"/>
        </w:rPr>
        <w:t>.</w:t>
      </w:r>
      <w:r w:rsidR="00A03E75">
        <w:rPr>
          <w:rFonts w:ascii="Arial" w:hAnsi="Arial" w:cs="Arial"/>
          <w:sz w:val="24"/>
          <w:szCs w:val="24"/>
        </w:rPr>
        <w:t xml:space="preserve">  The Supplier Tariff states that Dayton is supposed to account for actual risk and consider performance.  </w:t>
      </w:r>
      <w:r w:rsidR="00F225EA">
        <w:rPr>
          <w:rFonts w:ascii="Arial" w:hAnsi="Arial" w:cs="Arial"/>
          <w:sz w:val="24"/>
          <w:szCs w:val="24"/>
        </w:rPr>
        <w:t xml:space="preserve">The Supplier Tariff states that “[t]he amount of the security </w:t>
      </w:r>
      <w:r w:rsidR="00F225EA" w:rsidRPr="0044625A">
        <w:rPr>
          <w:rFonts w:ascii="Arial" w:hAnsi="Arial" w:cs="Arial"/>
          <w:sz w:val="24"/>
          <w:szCs w:val="24"/>
        </w:rPr>
        <w:t>required must be and remain commensurate with the financial risks placed on the Company by that</w:t>
      </w:r>
      <w:r w:rsidR="00F225EA">
        <w:rPr>
          <w:rFonts w:ascii="Arial" w:hAnsi="Arial" w:cs="Arial"/>
          <w:sz w:val="24"/>
          <w:szCs w:val="24"/>
        </w:rPr>
        <w:t xml:space="preserve"> </w:t>
      </w:r>
      <w:r w:rsidR="00F225EA" w:rsidRPr="0044625A">
        <w:rPr>
          <w:rFonts w:ascii="Arial" w:hAnsi="Arial" w:cs="Arial"/>
          <w:sz w:val="24"/>
          <w:szCs w:val="24"/>
        </w:rPr>
        <w:t xml:space="preserve">supplier, </w:t>
      </w:r>
      <w:r w:rsidR="00F225EA" w:rsidRPr="0044625A">
        <w:rPr>
          <w:rFonts w:ascii="Arial" w:hAnsi="Arial" w:cs="Arial"/>
          <w:i/>
          <w:sz w:val="24"/>
          <w:szCs w:val="24"/>
        </w:rPr>
        <w:t>including recognition of that supplier’s performance</w:t>
      </w:r>
      <w:r w:rsidR="00F225EA">
        <w:rPr>
          <w:rFonts w:ascii="Arial" w:hAnsi="Arial" w:cs="Arial"/>
          <w:sz w:val="24"/>
          <w:szCs w:val="24"/>
        </w:rPr>
        <w:t>.”</w:t>
      </w:r>
      <w:r w:rsidR="0077022C">
        <w:rPr>
          <w:rStyle w:val="FootnoteReference"/>
          <w:rFonts w:ascii="Arial" w:hAnsi="Arial" w:cs="Arial"/>
        </w:rPr>
        <w:footnoteReference w:id="2"/>
      </w:r>
      <w:r w:rsidR="00F225EA">
        <w:rPr>
          <w:rFonts w:ascii="Arial" w:hAnsi="Arial" w:cs="Arial"/>
          <w:sz w:val="24"/>
          <w:szCs w:val="24"/>
        </w:rPr>
        <w:t xml:space="preserve">  </w:t>
      </w:r>
    </w:p>
    <w:p w:rsidR="00C10E42" w:rsidRDefault="00C10E42" w:rsidP="00A03E75">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Does Dayton give any weight to the language in its tariff to consider actual risk and performance?</w:t>
      </w:r>
    </w:p>
    <w:p w:rsidR="00C10E42" w:rsidRPr="00C10E42" w:rsidRDefault="00C10E42" w:rsidP="00A03E75">
      <w:pPr>
        <w:pStyle w:val="BodyText"/>
        <w:spacing w:line="480" w:lineRule="auto"/>
        <w:ind w:left="720" w:hanging="720"/>
        <w:jc w:val="both"/>
        <w:rPr>
          <w:rFonts w:ascii="Arial" w:hAnsi="Arial" w:cs="Arial"/>
          <w:sz w:val="24"/>
          <w:szCs w:val="24"/>
        </w:rPr>
      </w:pPr>
      <w:r>
        <w:rPr>
          <w:rFonts w:ascii="Arial" w:hAnsi="Arial" w:cs="Arial"/>
          <w:sz w:val="24"/>
          <w:szCs w:val="24"/>
        </w:rPr>
        <w:lastRenderedPageBreak/>
        <w:t xml:space="preserve">A. </w:t>
      </w:r>
      <w:r>
        <w:rPr>
          <w:rFonts w:ascii="Arial" w:hAnsi="Arial" w:cs="Arial"/>
          <w:sz w:val="24"/>
          <w:szCs w:val="24"/>
        </w:rPr>
        <w:tab/>
        <w:t>No. IGS has over 25 years of experience serving retail customers in the state of Ohio and serves in total one million customers without defaulting on its obligations.  Moreover, the IGS family of companies are involved in a diverse range of businesses.  This diversity provides additional resiliency and strength to IGS’ balance sheet.  These factors are not considered in any fashion when Dayton determines if or what level of collateral IGS must provide.</w:t>
      </w:r>
    </w:p>
    <w:p w:rsidR="00A03E75" w:rsidRPr="003C14A2" w:rsidRDefault="00A03E75" w:rsidP="00A03E75">
      <w:pPr>
        <w:pStyle w:val="BodyText"/>
        <w:spacing w:line="480" w:lineRule="auto"/>
        <w:ind w:left="720" w:hanging="720"/>
        <w:jc w:val="both"/>
        <w:rPr>
          <w:rFonts w:ascii="Arial" w:hAnsi="Arial" w:cs="Arial"/>
          <w:b/>
          <w:sz w:val="24"/>
          <w:szCs w:val="24"/>
        </w:rPr>
      </w:pPr>
      <w:r w:rsidRPr="003C14A2">
        <w:rPr>
          <w:rFonts w:ascii="Arial" w:hAnsi="Arial" w:cs="Arial"/>
          <w:b/>
          <w:sz w:val="24"/>
          <w:szCs w:val="24"/>
        </w:rPr>
        <w:t>Q.</w:t>
      </w:r>
      <w:r w:rsidRPr="003C14A2">
        <w:rPr>
          <w:rFonts w:ascii="Arial" w:hAnsi="Arial" w:cs="Arial"/>
          <w:b/>
          <w:sz w:val="24"/>
          <w:szCs w:val="24"/>
        </w:rPr>
        <w:tab/>
      </w:r>
      <w:r w:rsidR="00C10E42">
        <w:rPr>
          <w:rFonts w:ascii="Arial" w:hAnsi="Arial" w:cs="Arial"/>
          <w:b/>
          <w:sz w:val="24"/>
          <w:szCs w:val="24"/>
        </w:rPr>
        <w:t>Regarding the calculation itself, d</w:t>
      </w:r>
      <w:r>
        <w:rPr>
          <w:rFonts w:ascii="Arial" w:hAnsi="Arial" w:cs="Arial"/>
          <w:b/>
          <w:sz w:val="24"/>
          <w:szCs w:val="24"/>
        </w:rPr>
        <w:t>o other electric utilities in the state of Ohio include capacity costs in their collateral requirements</w:t>
      </w:r>
      <w:r w:rsidRPr="003C14A2">
        <w:rPr>
          <w:rFonts w:ascii="Arial" w:hAnsi="Arial" w:cs="Arial"/>
          <w:b/>
          <w:sz w:val="24"/>
          <w:szCs w:val="24"/>
        </w:rPr>
        <w:t>?</w:t>
      </w:r>
    </w:p>
    <w:p w:rsidR="00A03E75" w:rsidRPr="003C14A2" w:rsidRDefault="00A03E75" w:rsidP="00A03E75">
      <w:pPr>
        <w:pStyle w:val="BodyText"/>
        <w:spacing w:line="480" w:lineRule="auto"/>
        <w:ind w:left="720" w:hanging="720"/>
        <w:jc w:val="both"/>
        <w:rPr>
          <w:rFonts w:ascii="Arial" w:hAnsi="Arial" w:cs="Arial"/>
          <w:b/>
          <w:sz w:val="24"/>
          <w:szCs w:val="24"/>
        </w:rPr>
      </w:pPr>
      <w:r w:rsidRPr="003C14A2">
        <w:rPr>
          <w:rFonts w:ascii="Arial" w:hAnsi="Arial" w:cs="Arial"/>
          <w:sz w:val="24"/>
          <w:szCs w:val="24"/>
        </w:rPr>
        <w:t>A.</w:t>
      </w:r>
      <w:r w:rsidRPr="003C14A2">
        <w:rPr>
          <w:rFonts w:ascii="Arial" w:hAnsi="Arial" w:cs="Arial"/>
          <w:sz w:val="24"/>
          <w:szCs w:val="24"/>
        </w:rPr>
        <w:tab/>
      </w:r>
      <w:r>
        <w:rPr>
          <w:rFonts w:ascii="Arial" w:hAnsi="Arial" w:cs="Arial"/>
          <w:sz w:val="24"/>
          <w:szCs w:val="24"/>
        </w:rPr>
        <w:t>No.</w:t>
      </w:r>
    </w:p>
    <w:p w:rsidR="00727B24" w:rsidRPr="00FE3371" w:rsidRDefault="00727B24" w:rsidP="00727B24">
      <w:pPr>
        <w:pStyle w:val="BodyText"/>
        <w:spacing w:line="480" w:lineRule="auto"/>
        <w:ind w:left="720" w:hanging="720"/>
        <w:jc w:val="both"/>
        <w:rPr>
          <w:rFonts w:ascii="Arial" w:hAnsi="Arial" w:cs="Arial"/>
          <w:b/>
          <w:sz w:val="24"/>
          <w:szCs w:val="24"/>
        </w:rPr>
      </w:pPr>
      <w:r w:rsidRPr="00FE3371">
        <w:rPr>
          <w:rFonts w:ascii="Arial" w:hAnsi="Arial" w:cs="Arial"/>
          <w:b/>
          <w:sz w:val="24"/>
          <w:szCs w:val="24"/>
        </w:rPr>
        <w:t>Q.</w:t>
      </w:r>
      <w:r w:rsidRPr="00FE3371">
        <w:rPr>
          <w:rFonts w:ascii="Arial" w:hAnsi="Arial" w:cs="Arial"/>
          <w:b/>
          <w:sz w:val="24"/>
          <w:szCs w:val="24"/>
        </w:rPr>
        <w:tab/>
      </w:r>
      <w:r w:rsidR="00C10E42">
        <w:rPr>
          <w:rFonts w:ascii="Arial" w:hAnsi="Arial" w:cs="Arial"/>
          <w:b/>
          <w:sz w:val="24"/>
          <w:szCs w:val="24"/>
        </w:rPr>
        <w:t>Can you explain how</w:t>
      </w:r>
      <w:r w:rsidR="00A21731">
        <w:rPr>
          <w:rFonts w:ascii="Arial" w:hAnsi="Arial" w:cs="Arial"/>
          <w:b/>
          <w:sz w:val="24"/>
          <w:szCs w:val="24"/>
        </w:rPr>
        <w:t xml:space="preserve"> </w:t>
      </w:r>
      <w:r>
        <w:rPr>
          <w:rFonts w:ascii="Arial" w:hAnsi="Arial" w:cs="Arial"/>
          <w:b/>
          <w:sz w:val="24"/>
          <w:szCs w:val="24"/>
        </w:rPr>
        <w:t xml:space="preserve">other electric utilities </w:t>
      </w:r>
      <w:r w:rsidR="00C10E42">
        <w:rPr>
          <w:rFonts w:ascii="Arial" w:hAnsi="Arial" w:cs="Arial"/>
          <w:b/>
          <w:sz w:val="24"/>
          <w:szCs w:val="24"/>
        </w:rPr>
        <w:t>in Ohio</w:t>
      </w:r>
      <w:r w:rsidR="009B186A">
        <w:rPr>
          <w:rFonts w:ascii="Arial" w:hAnsi="Arial" w:cs="Arial"/>
          <w:b/>
          <w:sz w:val="24"/>
          <w:szCs w:val="24"/>
        </w:rPr>
        <w:t xml:space="preserve"> </w:t>
      </w:r>
      <w:r w:rsidR="00C10E42">
        <w:rPr>
          <w:rFonts w:ascii="Arial" w:hAnsi="Arial" w:cs="Arial"/>
          <w:b/>
          <w:sz w:val="24"/>
          <w:szCs w:val="24"/>
        </w:rPr>
        <w:t xml:space="preserve">calculate </w:t>
      </w:r>
      <w:r>
        <w:rPr>
          <w:rFonts w:ascii="Arial" w:hAnsi="Arial" w:cs="Arial"/>
          <w:b/>
          <w:sz w:val="24"/>
          <w:szCs w:val="24"/>
        </w:rPr>
        <w:t>collateral</w:t>
      </w:r>
      <w:r w:rsidRPr="00FE3371">
        <w:rPr>
          <w:rFonts w:ascii="Arial" w:hAnsi="Arial" w:cs="Arial"/>
          <w:b/>
          <w:sz w:val="24"/>
          <w:szCs w:val="24"/>
        </w:rPr>
        <w:t>?</w:t>
      </w:r>
    </w:p>
    <w:p w:rsidR="00727B24" w:rsidRPr="00FE3371" w:rsidRDefault="00727B24" w:rsidP="00727B24">
      <w:pPr>
        <w:pStyle w:val="BodyText"/>
        <w:spacing w:line="480" w:lineRule="auto"/>
        <w:ind w:left="720" w:hanging="720"/>
        <w:jc w:val="both"/>
        <w:rPr>
          <w:rFonts w:ascii="Arial" w:hAnsi="Arial" w:cs="Arial"/>
          <w:sz w:val="24"/>
          <w:szCs w:val="24"/>
        </w:rPr>
      </w:pPr>
      <w:r w:rsidRPr="00FE3371">
        <w:rPr>
          <w:rFonts w:ascii="Arial" w:hAnsi="Arial" w:cs="Arial"/>
          <w:sz w:val="24"/>
          <w:szCs w:val="24"/>
        </w:rPr>
        <w:t>A.</w:t>
      </w:r>
      <w:r w:rsidRPr="00FE3371">
        <w:rPr>
          <w:rFonts w:ascii="Arial" w:hAnsi="Arial" w:cs="Arial"/>
          <w:sz w:val="24"/>
          <w:szCs w:val="24"/>
        </w:rPr>
        <w:tab/>
      </w:r>
      <w:r w:rsidR="00C10E42">
        <w:rPr>
          <w:rFonts w:ascii="Arial" w:hAnsi="Arial" w:cs="Arial"/>
          <w:sz w:val="24"/>
          <w:szCs w:val="24"/>
        </w:rPr>
        <w:t>Yes</w:t>
      </w:r>
      <w:r w:rsidRPr="00FE3371">
        <w:rPr>
          <w:rFonts w:ascii="Arial" w:hAnsi="Arial" w:cs="Arial"/>
          <w:sz w:val="24"/>
          <w:szCs w:val="24"/>
        </w:rPr>
        <w:t>.</w:t>
      </w:r>
      <w:r>
        <w:rPr>
          <w:rFonts w:ascii="Arial" w:hAnsi="Arial" w:cs="Arial"/>
          <w:sz w:val="24"/>
          <w:szCs w:val="24"/>
        </w:rPr>
        <w:t xml:space="preserve">  FirstEnergy requires a standard collateral payment in the amount of $250,000</w:t>
      </w:r>
      <w:r w:rsidRPr="00FE3371">
        <w:rPr>
          <w:rFonts w:ascii="Arial" w:hAnsi="Arial" w:cs="Arial"/>
          <w:sz w:val="24"/>
          <w:szCs w:val="24"/>
        </w:rPr>
        <w:t>.</w:t>
      </w:r>
      <w:r w:rsidR="008B664E">
        <w:rPr>
          <w:rFonts w:ascii="Arial" w:hAnsi="Arial" w:cs="Arial"/>
          <w:sz w:val="24"/>
          <w:szCs w:val="24"/>
        </w:rPr>
        <w:t xml:space="preserve">  Above that amount FirstEnergy </w:t>
      </w:r>
      <w:r w:rsidR="00610C4D">
        <w:rPr>
          <w:rFonts w:ascii="Arial" w:hAnsi="Arial" w:cs="Arial"/>
          <w:sz w:val="24"/>
          <w:szCs w:val="24"/>
        </w:rPr>
        <w:t>uses a credit exposure formula.</w:t>
      </w:r>
      <w:r w:rsidR="008B664E">
        <w:rPr>
          <w:rFonts w:ascii="Arial" w:hAnsi="Arial" w:cs="Arial"/>
          <w:sz w:val="24"/>
          <w:szCs w:val="24"/>
        </w:rPr>
        <w:t xml:space="preserve"> </w:t>
      </w:r>
      <w:r>
        <w:rPr>
          <w:rFonts w:ascii="Arial" w:hAnsi="Arial" w:cs="Arial"/>
          <w:sz w:val="24"/>
          <w:szCs w:val="24"/>
        </w:rPr>
        <w:t xml:space="preserve">  AEP</w:t>
      </w:r>
      <w:r w:rsidR="00666C21">
        <w:rPr>
          <w:rFonts w:ascii="Arial" w:hAnsi="Arial" w:cs="Arial"/>
          <w:sz w:val="24"/>
          <w:szCs w:val="24"/>
        </w:rPr>
        <w:t xml:space="preserve"> and Duke </w:t>
      </w:r>
      <w:r>
        <w:rPr>
          <w:rFonts w:ascii="Arial" w:hAnsi="Arial" w:cs="Arial"/>
          <w:sz w:val="24"/>
          <w:szCs w:val="24"/>
        </w:rPr>
        <w:t>calculate collateral based on estimate</w:t>
      </w:r>
      <w:r w:rsidR="001A57A8">
        <w:rPr>
          <w:rFonts w:ascii="Arial" w:hAnsi="Arial" w:cs="Arial"/>
          <w:sz w:val="24"/>
          <w:szCs w:val="24"/>
        </w:rPr>
        <w:t>d</w:t>
      </w:r>
      <w:r>
        <w:rPr>
          <w:rFonts w:ascii="Arial" w:hAnsi="Arial" w:cs="Arial"/>
          <w:sz w:val="24"/>
          <w:szCs w:val="24"/>
        </w:rPr>
        <w:t xml:space="preserve"> energy usage.</w:t>
      </w:r>
      <w:r w:rsidR="00666C21">
        <w:rPr>
          <w:rFonts w:ascii="Arial" w:hAnsi="Arial" w:cs="Arial"/>
          <w:sz w:val="24"/>
          <w:szCs w:val="24"/>
        </w:rPr>
        <w:t xml:space="preserve"> </w:t>
      </w:r>
      <w:r>
        <w:rPr>
          <w:rFonts w:ascii="Arial" w:hAnsi="Arial" w:cs="Arial"/>
          <w:sz w:val="24"/>
          <w:szCs w:val="24"/>
        </w:rPr>
        <w:t xml:space="preserve">  </w:t>
      </w:r>
    </w:p>
    <w:p w:rsidR="00666C21" w:rsidRDefault="00727B24" w:rsidP="00727B24">
      <w:pPr>
        <w:pStyle w:val="BodyText"/>
        <w:spacing w:line="480" w:lineRule="auto"/>
        <w:ind w:left="720" w:hanging="720"/>
        <w:jc w:val="both"/>
        <w:rPr>
          <w:rFonts w:ascii="Arial" w:hAnsi="Arial" w:cs="Arial"/>
          <w:b/>
          <w:sz w:val="24"/>
          <w:szCs w:val="24"/>
        </w:rPr>
      </w:pPr>
      <w:r w:rsidRPr="000D4B96">
        <w:rPr>
          <w:rFonts w:ascii="Arial" w:hAnsi="Arial" w:cs="Arial"/>
          <w:b/>
          <w:sz w:val="24"/>
          <w:szCs w:val="24"/>
        </w:rPr>
        <w:t>Q.</w:t>
      </w:r>
      <w:r w:rsidRPr="000D4B96">
        <w:rPr>
          <w:rFonts w:ascii="Arial" w:hAnsi="Arial" w:cs="Arial"/>
          <w:b/>
          <w:sz w:val="24"/>
          <w:szCs w:val="24"/>
        </w:rPr>
        <w:tab/>
      </w:r>
      <w:r w:rsidR="00666C21">
        <w:rPr>
          <w:rFonts w:ascii="Arial" w:hAnsi="Arial" w:cs="Arial"/>
          <w:b/>
          <w:sz w:val="24"/>
          <w:szCs w:val="24"/>
        </w:rPr>
        <w:t>What is the FirstEnergy</w:t>
      </w:r>
      <w:r w:rsidR="00C10E42">
        <w:rPr>
          <w:rFonts w:ascii="Arial" w:hAnsi="Arial" w:cs="Arial"/>
          <w:b/>
          <w:sz w:val="24"/>
          <w:szCs w:val="24"/>
        </w:rPr>
        <w:t xml:space="preserve"> credit exposure</w:t>
      </w:r>
      <w:r w:rsidR="00666C21">
        <w:rPr>
          <w:rFonts w:ascii="Arial" w:hAnsi="Arial" w:cs="Arial"/>
          <w:b/>
          <w:sz w:val="24"/>
          <w:szCs w:val="24"/>
        </w:rPr>
        <w:t xml:space="preserve"> methodology?</w:t>
      </w:r>
    </w:p>
    <w:p w:rsidR="00666C21" w:rsidRDefault="00666C21" w:rsidP="00727B24">
      <w:pPr>
        <w:pStyle w:val="BodyText"/>
        <w:spacing w:line="480" w:lineRule="auto"/>
        <w:ind w:left="720" w:hanging="720"/>
        <w:jc w:val="both"/>
        <w:rPr>
          <w:rFonts w:ascii="Arial" w:hAnsi="Arial" w:cs="Arial"/>
          <w:b/>
          <w:sz w:val="24"/>
          <w:szCs w:val="24"/>
        </w:rPr>
      </w:pPr>
      <w:r w:rsidRPr="000D4B96">
        <w:rPr>
          <w:rFonts w:ascii="Arial" w:hAnsi="Arial" w:cs="Arial"/>
          <w:sz w:val="24"/>
          <w:szCs w:val="24"/>
        </w:rPr>
        <w:t>A.</w:t>
      </w:r>
      <w:r w:rsidRPr="000D4B96">
        <w:rPr>
          <w:rFonts w:ascii="Arial" w:hAnsi="Arial" w:cs="Arial"/>
          <w:sz w:val="24"/>
          <w:szCs w:val="24"/>
        </w:rPr>
        <w:tab/>
      </w:r>
      <w:r>
        <w:rPr>
          <w:rFonts w:ascii="Arial" w:hAnsi="Arial" w:cs="Arial"/>
          <w:sz w:val="24"/>
          <w:szCs w:val="24"/>
        </w:rPr>
        <w:t xml:space="preserve">FirstEnergy requires suppliers to post $250,000 in collateral.  After that amount, they calculate </w:t>
      </w:r>
      <w:r w:rsidR="00233339">
        <w:rPr>
          <w:rFonts w:ascii="Arial" w:hAnsi="Arial" w:cs="Arial"/>
          <w:sz w:val="24"/>
          <w:szCs w:val="24"/>
        </w:rPr>
        <w:t xml:space="preserve">any additional requirement based on peak summer energy usage for 5 days times peak pricing.   </w:t>
      </w:r>
      <w:r>
        <w:rPr>
          <w:rFonts w:ascii="Arial" w:hAnsi="Arial" w:cs="Arial"/>
          <w:sz w:val="24"/>
          <w:szCs w:val="24"/>
        </w:rPr>
        <w:t xml:space="preserve"> </w:t>
      </w:r>
    </w:p>
    <w:p w:rsidR="00233339" w:rsidRDefault="00233339" w:rsidP="00727B24">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What is Duke’s methodology?</w:t>
      </w:r>
    </w:p>
    <w:p w:rsidR="00233339" w:rsidRDefault="00233339" w:rsidP="00727B24">
      <w:pPr>
        <w:pStyle w:val="BodyText"/>
        <w:spacing w:line="480" w:lineRule="auto"/>
        <w:ind w:left="720" w:hanging="720"/>
        <w:jc w:val="both"/>
        <w:rPr>
          <w:rFonts w:ascii="Arial" w:hAnsi="Arial" w:cs="Arial"/>
          <w:b/>
          <w:sz w:val="24"/>
          <w:szCs w:val="24"/>
        </w:rPr>
      </w:pPr>
      <w:r w:rsidRPr="000D4B96">
        <w:rPr>
          <w:rFonts w:ascii="Arial" w:hAnsi="Arial" w:cs="Arial"/>
          <w:sz w:val="24"/>
          <w:szCs w:val="24"/>
        </w:rPr>
        <w:t>A.</w:t>
      </w:r>
      <w:r w:rsidRPr="000D4B96">
        <w:rPr>
          <w:rFonts w:ascii="Arial" w:hAnsi="Arial" w:cs="Arial"/>
          <w:sz w:val="24"/>
          <w:szCs w:val="24"/>
        </w:rPr>
        <w:tab/>
      </w:r>
      <w:r>
        <w:rPr>
          <w:rFonts w:ascii="Arial" w:hAnsi="Arial" w:cs="Arial"/>
          <w:sz w:val="24"/>
          <w:szCs w:val="24"/>
        </w:rPr>
        <w:t>Duke’s credit requirement for collateral is based on estimated summer usage for 30 days multiplied by July peak prices.</w:t>
      </w:r>
      <w:r w:rsidR="00A2280E">
        <w:rPr>
          <w:rFonts w:ascii="Arial" w:hAnsi="Arial" w:cs="Arial"/>
          <w:sz w:val="24"/>
          <w:szCs w:val="24"/>
        </w:rPr>
        <w:t xml:space="preserve">  Duke also provides a credit if the supplier is participating in the Purchase of Receivables program.</w:t>
      </w:r>
    </w:p>
    <w:p w:rsidR="00727B24" w:rsidRPr="000D4B96" w:rsidRDefault="00233339" w:rsidP="00727B24">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r>
      <w:r w:rsidR="00727B24">
        <w:rPr>
          <w:rFonts w:ascii="Arial" w:hAnsi="Arial" w:cs="Arial"/>
          <w:b/>
          <w:sz w:val="24"/>
          <w:szCs w:val="24"/>
        </w:rPr>
        <w:t>Is AEP’s calculation similar to D</w:t>
      </w:r>
      <w:r>
        <w:rPr>
          <w:rFonts w:ascii="Arial" w:hAnsi="Arial" w:cs="Arial"/>
          <w:b/>
          <w:sz w:val="24"/>
          <w:szCs w:val="24"/>
        </w:rPr>
        <w:t xml:space="preserve">uke and </w:t>
      </w:r>
      <w:r w:rsidR="00A2280E">
        <w:rPr>
          <w:rFonts w:ascii="Arial" w:hAnsi="Arial" w:cs="Arial"/>
          <w:b/>
          <w:sz w:val="24"/>
          <w:szCs w:val="24"/>
        </w:rPr>
        <w:t>FirstEnergy</w:t>
      </w:r>
      <w:r w:rsidR="00727B24">
        <w:rPr>
          <w:rFonts w:ascii="Arial" w:hAnsi="Arial" w:cs="Arial"/>
          <w:b/>
          <w:sz w:val="24"/>
          <w:szCs w:val="24"/>
        </w:rPr>
        <w:t xml:space="preserve">’s?  </w:t>
      </w:r>
    </w:p>
    <w:p w:rsidR="00727B24" w:rsidRPr="000D4B96" w:rsidRDefault="00727B24" w:rsidP="00727B24">
      <w:pPr>
        <w:pStyle w:val="BodyText"/>
        <w:spacing w:line="480" w:lineRule="auto"/>
        <w:ind w:left="720" w:hanging="720"/>
        <w:jc w:val="both"/>
        <w:rPr>
          <w:rFonts w:ascii="Arial" w:hAnsi="Arial" w:cs="Arial"/>
          <w:sz w:val="24"/>
          <w:szCs w:val="24"/>
        </w:rPr>
      </w:pPr>
      <w:r w:rsidRPr="000D4B96">
        <w:rPr>
          <w:rFonts w:ascii="Arial" w:hAnsi="Arial" w:cs="Arial"/>
          <w:sz w:val="24"/>
          <w:szCs w:val="24"/>
        </w:rPr>
        <w:lastRenderedPageBreak/>
        <w:t>A.</w:t>
      </w:r>
      <w:r w:rsidRPr="000D4B96">
        <w:rPr>
          <w:rFonts w:ascii="Arial" w:hAnsi="Arial" w:cs="Arial"/>
          <w:sz w:val="24"/>
          <w:szCs w:val="24"/>
        </w:rPr>
        <w:tab/>
      </w:r>
      <w:r>
        <w:rPr>
          <w:rFonts w:ascii="Arial" w:hAnsi="Arial" w:cs="Arial"/>
          <w:sz w:val="24"/>
          <w:szCs w:val="24"/>
        </w:rPr>
        <w:t>Yes, it is similar in that it uses an estimate to calculate the collateral payment.  AEP</w:t>
      </w:r>
      <w:r w:rsidR="00C10E42">
        <w:rPr>
          <w:rFonts w:ascii="Arial" w:hAnsi="Arial" w:cs="Arial"/>
          <w:sz w:val="24"/>
          <w:szCs w:val="24"/>
        </w:rPr>
        <w:t>, however,</w:t>
      </w:r>
      <w:r>
        <w:rPr>
          <w:rFonts w:ascii="Arial" w:hAnsi="Arial" w:cs="Arial"/>
          <w:sz w:val="24"/>
          <w:szCs w:val="24"/>
        </w:rPr>
        <w:t xml:space="preserve"> estimates peak summer energy usage for 15 days and multiplies that times July peak prices.   </w:t>
      </w:r>
      <w:r w:rsidRPr="000D4B96">
        <w:rPr>
          <w:rFonts w:ascii="Arial" w:hAnsi="Arial" w:cs="Arial"/>
          <w:sz w:val="24"/>
          <w:szCs w:val="24"/>
        </w:rPr>
        <w:t xml:space="preserve"> </w:t>
      </w:r>
    </w:p>
    <w:p w:rsidR="00727B24" w:rsidRPr="00FE3371" w:rsidRDefault="00727B24" w:rsidP="00727B24">
      <w:pPr>
        <w:pStyle w:val="BodyText"/>
        <w:spacing w:line="480" w:lineRule="auto"/>
        <w:ind w:left="720" w:hanging="720"/>
        <w:jc w:val="both"/>
        <w:rPr>
          <w:rFonts w:ascii="Arial" w:hAnsi="Arial" w:cs="Arial"/>
          <w:b/>
          <w:sz w:val="24"/>
          <w:szCs w:val="24"/>
        </w:rPr>
      </w:pPr>
      <w:r w:rsidRPr="00FE3371">
        <w:rPr>
          <w:rFonts w:ascii="Arial" w:hAnsi="Arial" w:cs="Arial"/>
          <w:b/>
          <w:sz w:val="24"/>
          <w:szCs w:val="24"/>
        </w:rPr>
        <w:t>Q.</w:t>
      </w:r>
      <w:r w:rsidRPr="00FE3371">
        <w:rPr>
          <w:rFonts w:ascii="Arial" w:hAnsi="Arial" w:cs="Arial"/>
          <w:b/>
          <w:sz w:val="24"/>
          <w:szCs w:val="24"/>
        </w:rPr>
        <w:tab/>
      </w:r>
      <w:r>
        <w:rPr>
          <w:rFonts w:ascii="Arial" w:hAnsi="Arial" w:cs="Arial"/>
          <w:b/>
          <w:sz w:val="24"/>
          <w:szCs w:val="24"/>
        </w:rPr>
        <w:t xml:space="preserve">Does </w:t>
      </w:r>
      <w:r w:rsidR="00233339">
        <w:rPr>
          <w:rFonts w:ascii="Arial" w:hAnsi="Arial" w:cs="Arial"/>
          <w:b/>
          <w:sz w:val="24"/>
          <w:szCs w:val="24"/>
        </w:rPr>
        <w:t xml:space="preserve">FirstEnergy, Duke or </w:t>
      </w:r>
      <w:r>
        <w:rPr>
          <w:rFonts w:ascii="Arial" w:hAnsi="Arial" w:cs="Arial"/>
          <w:b/>
          <w:sz w:val="24"/>
          <w:szCs w:val="24"/>
        </w:rPr>
        <w:t>AEP include capacity obligation in their collateral calculation</w:t>
      </w:r>
      <w:r w:rsidRPr="00FE3371">
        <w:rPr>
          <w:rFonts w:ascii="Arial" w:hAnsi="Arial" w:cs="Arial"/>
          <w:b/>
          <w:sz w:val="24"/>
          <w:szCs w:val="24"/>
        </w:rPr>
        <w:t>?</w:t>
      </w:r>
    </w:p>
    <w:p w:rsidR="00727B24" w:rsidRPr="006207DD" w:rsidRDefault="00727B24" w:rsidP="00727B24">
      <w:pPr>
        <w:pStyle w:val="BodyText"/>
        <w:spacing w:line="480" w:lineRule="auto"/>
        <w:ind w:left="720" w:hanging="720"/>
        <w:jc w:val="both"/>
        <w:rPr>
          <w:rFonts w:ascii="Arial" w:hAnsi="Arial" w:cs="Arial"/>
          <w:sz w:val="24"/>
          <w:szCs w:val="24"/>
        </w:rPr>
      </w:pPr>
      <w:r w:rsidRPr="006207DD">
        <w:rPr>
          <w:rFonts w:ascii="Arial" w:hAnsi="Arial" w:cs="Arial"/>
          <w:sz w:val="24"/>
          <w:szCs w:val="24"/>
        </w:rPr>
        <w:t>A.</w:t>
      </w:r>
      <w:r w:rsidRPr="006207DD">
        <w:rPr>
          <w:rFonts w:ascii="Arial" w:hAnsi="Arial" w:cs="Arial"/>
          <w:sz w:val="24"/>
          <w:szCs w:val="24"/>
        </w:rPr>
        <w:tab/>
      </w:r>
      <w:r>
        <w:rPr>
          <w:rFonts w:ascii="Arial" w:hAnsi="Arial" w:cs="Arial"/>
          <w:sz w:val="24"/>
          <w:szCs w:val="24"/>
        </w:rPr>
        <w:t>No</w:t>
      </w:r>
      <w:r w:rsidRPr="006207DD">
        <w:rPr>
          <w:rFonts w:ascii="Arial" w:hAnsi="Arial" w:cs="Arial"/>
          <w:sz w:val="24"/>
          <w:szCs w:val="24"/>
        </w:rPr>
        <w:t>.</w:t>
      </w:r>
    </w:p>
    <w:p w:rsidR="00233339" w:rsidRPr="00FE3371" w:rsidRDefault="00233339" w:rsidP="00233339">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Does FirstEnergy, Duke or AEP use the same number of days of exposure in their collateral calculation</w:t>
      </w:r>
      <w:r w:rsidRPr="00FE3371">
        <w:rPr>
          <w:rFonts w:ascii="Arial" w:hAnsi="Arial" w:cs="Arial"/>
          <w:b/>
          <w:sz w:val="24"/>
          <w:szCs w:val="24"/>
        </w:rPr>
        <w:t>?</w:t>
      </w:r>
    </w:p>
    <w:p w:rsidR="00233339" w:rsidRPr="006207DD" w:rsidRDefault="00233339" w:rsidP="00233339">
      <w:pPr>
        <w:pStyle w:val="BodyText"/>
        <w:spacing w:line="480" w:lineRule="auto"/>
        <w:ind w:left="720" w:hanging="720"/>
        <w:jc w:val="both"/>
        <w:rPr>
          <w:rFonts w:ascii="Arial" w:hAnsi="Arial" w:cs="Arial"/>
          <w:sz w:val="24"/>
          <w:szCs w:val="24"/>
        </w:rPr>
      </w:pPr>
      <w:r w:rsidRPr="006207DD">
        <w:rPr>
          <w:rFonts w:ascii="Arial" w:hAnsi="Arial" w:cs="Arial"/>
          <w:sz w:val="24"/>
          <w:szCs w:val="24"/>
        </w:rPr>
        <w:t>A.</w:t>
      </w:r>
      <w:r w:rsidRPr="006207DD">
        <w:rPr>
          <w:rFonts w:ascii="Arial" w:hAnsi="Arial" w:cs="Arial"/>
          <w:sz w:val="24"/>
          <w:szCs w:val="24"/>
        </w:rPr>
        <w:tab/>
      </w:r>
      <w:r>
        <w:rPr>
          <w:rFonts w:ascii="Arial" w:hAnsi="Arial" w:cs="Arial"/>
          <w:sz w:val="24"/>
          <w:szCs w:val="24"/>
        </w:rPr>
        <w:t>No</w:t>
      </w:r>
      <w:r w:rsidRPr="006207DD">
        <w:rPr>
          <w:rFonts w:ascii="Arial" w:hAnsi="Arial" w:cs="Arial"/>
          <w:sz w:val="24"/>
          <w:szCs w:val="24"/>
        </w:rPr>
        <w:t>.</w:t>
      </w:r>
      <w:r>
        <w:rPr>
          <w:rFonts w:ascii="Arial" w:hAnsi="Arial" w:cs="Arial"/>
          <w:sz w:val="24"/>
          <w:szCs w:val="24"/>
        </w:rPr>
        <w:t xml:space="preserve"> FirstEnergy uses 5 days, Duke uses 30</w:t>
      </w:r>
      <w:r w:rsidR="00830759">
        <w:rPr>
          <w:rFonts w:ascii="Arial" w:hAnsi="Arial" w:cs="Arial"/>
          <w:sz w:val="24"/>
          <w:szCs w:val="24"/>
        </w:rPr>
        <w:t xml:space="preserve"> days</w:t>
      </w:r>
      <w:r>
        <w:rPr>
          <w:rFonts w:ascii="Arial" w:hAnsi="Arial" w:cs="Arial"/>
          <w:sz w:val="24"/>
          <w:szCs w:val="24"/>
        </w:rPr>
        <w:t>, and AEP uses 15 days.</w:t>
      </w:r>
    </w:p>
    <w:p w:rsidR="00727B24" w:rsidRDefault="00727B24" w:rsidP="00727B24">
      <w:pPr>
        <w:pStyle w:val="BodyText"/>
        <w:spacing w:line="480" w:lineRule="auto"/>
        <w:ind w:left="720" w:hanging="720"/>
        <w:jc w:val="both"/>
        <w:rPr>
          <w:rFonts w:ascii="Arial" w:hAnsi="Arial" w:cs="Arial"/>
          <w:b/>
          <w:sz w:val="24"/>
          <w:szCs w:val="24"/>
        </w:rPr>
      </w:pPr>
      <w:r w:rsidRPr="006207DD">
        <w:rPr>
          <w:rFonts w:ascii="Arial" w:hAnsi="Arial" w:cs="Arial"/>
          <w:b/>
          <w:sz w:val="24"/>
          <w:szCs w:val="24"/>
        </w:rPr>
        <w:t>Q.</w:t>
      </w:r>
      <w:r w:rsidRPr="006207DD">
        <w:rPr>
          <w:rFonts w:ascii="Arial" w:hAnsi="Arial" w:cs="Arial"/>
          <w:b/>
          <w:sz w:val="24"/>
          <w:szCs w:val="24"/>
        </w:rPr>
        <w:tab/>
      </w:r>
      <w:r>
        <w:rPr>
          <w:rFonts w:ascii="Arial" w:hAnsi="Arial" w:cs="Arial"/>
          <w:b/>
          <w:sz w:val="24"/>
          <w:szCs w:val="24"/>
        </w:rPr>
        <w:t>Do you support AEP’s methodology over Dayton’s methodology for collateral calculation</w:t>
      </w:r>
      <w:r w:rsidRPr="006207DD">
        <w:rPr>
          <w:rFonts w:ascii="Arial" w:hAnsi="Arial" w:cs="Arial"/>
          <w:b/>
          <w:sz w:val="24"/>
          <w:szCs w:val="24"/>
        </w:rPr>
        <w:t>?</w:t>
      </w:r>
    </w:p>
    <w:p w:rsidR="00727B24" w:rsidRPr="00337D7C" w:rsidRDefault="00727B24" w:rsidP="00727B24">
      <w:pPr>
        <w:pStyle w:val="BodyText"/>
        <w:spacing w:line="480" w:lineRule="auto"/>
        <w:ind w:left="720" w:hanging="720"/>
        <w:jc w:val="both"/>
        <w:rPr>
          <w:rFonts w:ascii="Arial" w:hAnsi="Arial" w:cs="Arial"/>
          <w:sz w:val="24"/>
          <w:szCs w:val="24"/>
        </w:rPr>
      </w:pPr>
      <w:r w:rsidRPr="00337D7C">
        <w:rPr>
          <w:rFonts w:ascii="Arial" w:hAnsi="Arial" w:cs="Arial"/>
          <w:sz w:val="24"/>
          <w:szCs w:val="24"/>
        </w:rPr>
        <w:t>A.</w:t>
      </w:r>
      <w:r w:rsidRPr="00337D7C">
        <w:rPr>
          <w:rFonts w:ascii="Arial" w:hAnsi="Arial" w:cs="Arial"/>
          <w:sz w:val="24"/>
          <w:szCs w:val="24"/>
        </w:rPr>
        <w:tab/>
        <w:t xml:space="preserve">Yes. </w:t>
      </w:r>
      <w:r>
        <w:rPr>
          <w:rFonts w:ascii="Arial" w:hAnsi="Arial" w:cs="Arial"/>
          <w:sz w:val="24"/>
          <w:szCs w:val="24"/>
        </w:rPr>
        <w:t>I believe using an energy only estimate for the collateral would provide the utility with a reasonable amount in case of default</w:t>
      </w:r>
      <w:r w:rsidRPr="00337D7C">
        <w:rPr>
          <w:rFonts w:ascii="Arial" w:hAnsi="Arial" w:cs="Arial"/>
          <w:sz w:val="24"/>
          <w:szCs w:val="24"/>
        </w:rPr>
        <w:t>.</w:t>
      </w:r>
      <w:r w:rsidR="00233339">
        <w:rPr>
          <w:rFonts w:ascii="Arial" w:hAnsi="Arial" w:cs="Arial"/>
          <w:sz w:val="24"/>
          <w:szCs w:val="24"/>
        </w:rPr>
        <w:t xml:space="preserve">  I also believe 15 days’ exposure is more reasonable than 30 days.  </w:t>
      </w:r>
      <w:r>
        <w:rPr>
          <w:rFonts w:ascii="Arial" w:hAnsi="Arial" w:cs="Arial"/>
          <w:sz w:val="24"/>
          <w:szCs w:val="24"/>
        </w:rPr>
        <w:t xml:space="preserve">  </w:t>
      </w:r>
    </w:p>
    <w:p w:rsidR="00727B24" w:rsidRDefault="00727B24" w:rsidP="00727B24">
      <w:pPr>
        <w:pStyle w:val="BodyText"/>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 xml:space="preserve">What is the impact of including capacity obligation </w:t>
      </w:r>
      <w:r w:rsidR="00233339">
        <w:rPr>
          <w:rFonts w:ascii="Arial" w:hAnsi="Arial" w:cs="Arial"/>
          <w:b/>
          <w:sz w:val="24"/>
          <w:szCs w:val="24"/>
        </w:rPr>
        <w:t xml:space="preserve">and 30 days of exposure </w:t>
      </w:r>
      <w:r>
        <w:rPr>
          <w:rFonts w:ascii="Arial" w:hAnsi="Arial" w:cs="Arial"/>
          <w:b/>
          <w:sz w:val="24"/>
          <w:szCs w:val="24"/>
        </w:rPr>
        <w:t>in the collateral calculation?</w:t>
      </w:r>
    </w:p>
    <w:p w:rsidR="00727B24" w:rsidRPr="000C7A49" w:rsidRDefault="00727B24" w:rsidP="00727B24">
      <w:pPr>
        <w:pStyle w:val="BodyText"/>
        <w:spacing w:line="480" w:lineRule="auto"/>
        <w:ind w:left="720" w:hanging="720"/>
        <w:jc w:val="both"/>
        <w:rPr>
          <w:rFonts w:ascii="Arial" w:hAnsi="Arial" w:cs="Arial"/>
          <w:sz w:val="24"/>
          <w:szCs w:val="24"/>
        </w:rPr>
      </w:pPr>
      <w:r w:rsidRPr="00DB3392">
        <w:rPr>
          <w:rFonts w:ascii="Arial" w:hAnsi="Arial" w:cs="Arial"/>
          <w:sz w:val="24"/>
          <w:szCs w:val="24"/>
        </w:rPr>
        <w:t>A.</w:t>
      </w:r>
      <w:r>
        <w:rPr>
          <w:rFonts w:ascii="Arial" w:hAnsi="Arial" w:cs="Arial"/>
          <w:b/>
          <w:sz w:val="24"/>
          <w:szCs w:val="24"/>
        </w:rPr>
        <w:tab/>
      </w:r>
      <w:r>
        <w:rPr>
          <w:rFonts w:ascii="Arial" w:hAnsi="Arial" w:cs="Arial"/>
          <w:sz w:val="24"/>
          <w:szCs w:val="24"/>
        </w:rPr>
        <w:t xml:space="preserve">Including capacity obligation at peak forward pricing </w:t>
      </w:r>
      <w:r w:rsidR="00233339">
        <w:rPr>
          <w:rFonts w:ascii="Arial" w:hAnsi="Arial" w:cs="Arial"/>
          <w:sz w:val="24"/>
          <w:szCs w:val="24"/>
        </w:rPr>
        <w:t xml:space="preserve">and calculating energy and capacity exposure based on 30 days </w:t>
      </w:r>
      <w:r w:rsidR="00610C4D">
        <w:rPr>
          <w:rFonts w:ascii="Arial" w:hAnsi="Arial" w:cs="Arial"/>
          <w:sz w:val="24"/>
          <w:szCs w:val="24"/>
        </w:rPr>
        <w:t xml:space="preserve">can potentially add millions to </w:t>
      </w:r>
      <w:r>
        <w:rPr>
          <w:rFonts w:ascii="Arial" w:hAnsi="Arial" w:cs="Arial"/>
          <w:sz w:val="24"/>
          <w:szCs w:val="24"/>
        </w:rPr>
        <w:t xml:space="preserve">the collateral requirement. </w:t>
      </w:r>
    </w:p>
    <w:p w:rsidR="00727B24" w:rsidRPr="003A1A01" w:rsidRDefault="00727B24" w:rsidP="00727B24">
      <w:pPr>
        <w:spacing w:line="480" w:lineRule="auto"/>
        <w:ind w:left="720" w:hanging="720"/>
        <w:jc w:val="both"/>
        <w:rPr>
          <w:rFonts w:ascii="Arial" w:hAnsi="Arial" w:cs="Arial"/>
          <w:b/>
        </w:rPr>
      </w:pPr>
      <w:r w:rsidRPr="003A1A01">
        <w:rPr>
          <w:rFonts w:ascii="Arial" w:hAnsi="Arial" w:cs="Arial"/>
          <w:b/>
        </w:rPr>
        <w:t xml:space="preserve">Q. </w:t>
      </w:r>
      <w:r w:rsidRPr="003A1A01">
        <w:rPr>
          <w:rFonts w:ascii="Arial" w:hAnsi="Arial" w:cs="Arial"/>
          <w:b/>
        </w:rPr>
        <w:tab/>
      </w:r>
      <w:r>
        <w:rPr>
          <w:rFonts w:ascii="Arial" w:hAnsi="Arial" w:cs="Arial"/>
          <w:b/>
        </w:rPr>
        <w:t>Why is this an issue for suppliers owned by privately held companies</w:t>
      </w:r>
      <w:r w:rsidRPr="003A1A01">
        <w:rPr>
          <w:rFonts w:ascii="Arial" w:hAnsi="Arial" w:cs="Arial"/>
          <w:b/>
        </w:rPr>
        <w:t>?</w:t>
      </w:r>
    </w:p>
    <w:p w:rsidR="00727B24" w:rsidRDefault="00727B24">
      <w:pPr>
        <w:spacing w:line="480" w:lineRule="auto"/>
        <w:ind w:left="720" w:hanging="720"/>
        <w:jc w:val="both"/>
        <w:rPr>
          <w:rFonts w:ascii="Arial" w:hAnsi="Arial" w:cs="Arial"/>
        </w:rPr>
      </w:pPr>
      <w:r w:rsidRPr="003A1A01">
        <w:rPr>
          <w:rFonts w:ascii="Arial" w:hAnsi="Arial" w:cs="Arial"/>
        </w:rPr>
        <w:lastRenderedPageBreak/>
        <w:t>A.</w:t>
      </w:r>
      <w:r w:rsidRPr="003A1A01">
        <w:rPr>
          <w:rFonts w:ascii="Arial" w:hAnsi="Arial" w:cs="Arial"/>
        </w:rPr>
        <w:tab/>
      </w:r>
      <w:r>
        <w:rPr>
          <w:rFonts w:ascii="Arial" w:hAnsi="Arial" w:cs="Arial"/>
        </w:rPr>
        <w:t>Having to post millions of dollars in collateral is unduly burdensome to privately held companies with strong balance sheets.  Similar public companies</w:t>
      </w:r>
      <w:r w:rsidR="00807DD4">
        <w:rPr>
          <w:rFonts w:ascii="Arial" w:hAnsi="Arial" w:cs="Arial"/>
        </w:rPr>
        <w:t xml:space="preserve"> with credit ratings</w:t>
      </w:r>
      <w:r>
        <w:rPr>
          <w:rFonts w:ascii="Arial" w:hAnsi="Arial" w:cs="Arial"/>
        </w:rPr>
        <w:t xml:space="preserve"> are not required to post any collateral and yet, financially strong private companies are required to post collateral.</w:t>
      </w:r>
      <w:r w:rsidR="00807DD4">
        <w:rPr>
          <w:rFonts w:ascii="Arial" w:hAnsi="Arial" w:cs="Arial"/>
        </w:rPr>
        <w:t xml:space="preserve">  Typically speaking, privately held</w:t>
      </w:r>
      <w:r w:rsidR="00090D7B">
        <w:rPr>
          <w:rFonts w:ascii="Arial" w:hAnsi="Arial" w:cs="Arial"/>
        </w:rPr>
        <w:t>,</w:t>
      </w:r>
      <w:r w:rsidR="00D6474A">
        <w:rPr>
          <w:rFonts w:ascii="Arial" w:hAnsi="Arial" w:cs="Arial"/>
        </w:rPr>
        <w:t xml:space="preserve"> unrated</w:t>
      </w:r>
      <w:r w:rsidR="00807DD4">
        <w:rPr>
          <w:rFonts w:ascii="Arial" w:hAnsi="Arial" w:cs="Arial"/>
        </w:rPr>
        <w:t xml:space="preserve"> companies such as IGS may have little or no business reason to get a credit rating; therefore, DP&amp;L’s tariff is structured to the disadvantage of companies like IGS.</w:t>
      </w:r>
      <w:r>
        <w:rPr>
          <w:rFonts w:ascii="Arial" w:hAnsi="Arial" w:cs="Arial"/>
        </w:rPr>
        <w:t xml:space="preserve">  </w:t>
      </w:r>
    </w:p>
    <w:p w:rsidR="00FD7A0C" w:rsidRDefault="00727B24" w:rsidP="00CA2576">
      <w:pPr>
        <w:pStyle w:val="BodyText"/>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r>
      <w:bookmarkStart w:id="0" w:name="_Hlk511204465"/>
      <w:bookmarkStart w:id="1" w:name="_Hlk511118422"/>
      <w:r w:rsidR="00CA2959">
        <w:rPr>
          <w:rFonts w:ascii="Arial" w:hAnsi="Arial" w:cs="Arial"/>
          <w:b/>
          <w:sz w:val="24"/>
          <w:szCs w:val="24"/>
        </w:rPr>
        <w:t xml:space="preserve">Has Dayton </w:t>
      </w:r>
      <w:r w:rsidR="003B6CC0">
        <w:rPr>
          <w:rFonts w:ascii="Arial" w:hAnsi="Arial" w:cs="Arial"/>
          <w:b/>
          <w:sz w:val="24"/>
          <w:szCs w:val="24"/>
        </w:rPr>
        <w:t>consistently calculated and applied its collateral requirements?</w:t>
      </w:r>
    </w:p>
    <w:bookmarkEnd w:id="0"/>
    <w:p w:rsidR="00086655" w:rsidRDefault="00086655" w:rsidP="00CA2576">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B6CC0">
        <w:rPr>
          <w:rFonts w:ascii="Arial" w:hAnsi="Arial" w:cs="Arial"/>
          <w:sz w:val="24"/>
          <w:szCs w:val="24"/>
        </w:rPr>
        <w:t>No, at one point, Dayton did require a de minimus amount of collateral, but then changed it to zero.  It remained at zero until earlier this year, although it had a tariff-based method for calculating collateral requirements. </w:t>
      </w:r>
    </w:p>
    <w:bookmarkEnd w:id="1"/>
    <w:p w:rsidR="0035613B" w:rsidRPr="0035613B" w:rsidRDefault="0035613B" w:rsidP="00CA2576">
      <w:pPr>
        <w:pStyle w:val="BodyText"/>
        <w:spacing w:line="480" w:lineRule="auto"/>
        <w:ind w:left="720" w:hanging="720"/>
        <w:jc w:val="both"/>
        <w:rPr>
          <w:rFonts w:ascii="Arial" w:hAnsi="Arial" w:cs="Arial"/>
          <w:b/>
          <w:sz w:val="24"/>
          <w:szCs w:val="24"/>
        </w:rPr>
      </w:pPr>
      <w:r w:rsidRPr="0035613B">
        <w:rPr>
          <w:rFonts w:ascii="Arial" w:hAnsi="Arial" w:cs="Arial"/>
          <w:b/>
          <w:sz w:val="24"/>
          <w:szCs w:val="24"/>
        </w:rPr>
        <w:t>Q.</w:t>
      </w:r>
      <w:r w:rsidRPr="0035613B">
        <w:rPr>
          <w:rFonts w:ascii="Arial" w:hAnsi="Arial" w:cs="Arial"/>
          <w:b/>
          <w:sz w:val="24"/>
          <w:szCs w:val="24"/>
        </w:rPr>
        <w:tab/>
      </w:r>
      <w:r w:rsidR="00E0405B">
        <w:rPr>
          <w:rFonts w:ascii="Arial" w:hAnsi="Arial" w:cs="Arial"/>
          <w:b/>
          <w:sz w:val="24"/>
          <w:szCs w:val="24"/>
        </w:rPr>
        <w:t>Was the change in collateral amount the only issue with having to post collateral</w:t>
      </w:r>
      <w:r w:rsidRPr="0035613B">
        <w:rPr>
          <w:rFonts w:ascii="Arial" w:hAnsi="Arial" w:cs="Arial"/>
          <w:b/>
          <w:sz w:val="24"/>
          <w:szCs w:val="24"/>
        </w:rPr>
        <w:t>?</w:t>
      </w:r>
    </w:p>
    <w:p w:rsidR="0035613B" w:rsidRDefault="0035613B" w:rsidP="00CA2576">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No.  </w:t>
      </w:r>
      <w:r w:rsidR="00E0405B">
        <w:rPr>
          <w:rFonts w:ascii="Arial" w:hAnsi="Arial" w:cs="Arial"/>
          <w:sz w:val="24"/>
          <w:szCs w:val="24"/>
        </w:rPr>
        <w:t xml:space="preserve">Dayton </w:t>
      </w:r>
      <w:r w:rsidR="0077022C">
        <w:rPr>
          <w:rFonts w:ascii="Arial" w:hAnsi="Arial" w:cs="Arial"/>
          <w:sz w:val="24"/>
          <w:szCs w:val="24"/>
        </w:rPr>
        <w:t>also unilaterally modified the time period upon which it may demand collateral must be paid following default.</w:t>
      </w:r>
      <w:r w:rsidR="003B6CC0">
        <w:rPr>
          <w:rFonts w:ascii="Arial" w:hAnsi="Arial" w:cs="Arial"/>
          <w:sz w:val="24"/>
          <w:szCs w:val="24"/>
        </w:rPr>
        <w:t xml:space="preserve">  This is known as remedy timing.</w:t>
      </w:r>
    </w:p>
    <w:p w:rsidR="005A4E86" w:rsidRDefault="00DC0DC3" w:rsidP="00500340">
      <w:pPr>
        <w:pStyle w:val="BodyText"/>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r>
      <w:r w:rsidR="00A66B75">
        <w:rPr>
          <w:rFonts w:ascii="Arial" w:hAnsi="Arial" w:cs="Arial"/>
          <w:b/>
          <w:sz w:val="24"/>
          <w:szCs w:val="24"/>
        </w:rPr>
        <w:t>What is remedy timing</w:t>
      </w:r>
      <w:r>
        <w:rPr>
          <w:rFonts w:ascii="Arial" w:hAnsi="Arial" w:cs="Arial"/>
          <w:b/>
          <w:sz w:val="24"/>
          <w:szCs w:val="24"/>
        </w:rPr>
        <w:t>?</w:t>
      </w:r>
    </w:p>
    <w:p w:rsidR="00DC0DC3" w:rsidRDefault="00DC0DC3" w:rsidP="002E05AB">
      <w:pPr>
        <w:pStyle w:val="BodyText"/>
        <w:spacing w:line="480" w:lineRule="auto"/>
        <w:ind w:left="720" w:hanging="720"/>
        <w:rPr>
          <w:rFonts w:ascii="Arial" w:hAnsi="Arial" w:cs="Arial"/>
          <w:sz w:val="24"/>
          <w:szCs w:val="24"/>
        </w:rPr>
      </w:pPr>
      <w:r w:rsidRPr="00DC0DC3">
        <w:rPr>
          <w:rFonts w:ascii="Arial" w:hAnsi="Arial" w:cs="Arial"/>
          <w:sz w:val="24"/>
          <w:szCs w:val="24"/>
        </w:rPr>
        <w:t>A.</w:t>
      </w:r>
      <w:r>
        <w:rPr>
          <w:rFonts w:ascii="Arial" w:hAnsi="Arial" w:cs="Arial"/>
          <w:sz w:val="24"/>
          <w:szCs w:val="24"/>
        </w:rPr>
        <w:tab/>
      </w:r>
      <w:r w:rsidR="00017F1D">
        <w:rPr>
          <w:rFonts w:ascii="Arial" w:hAnsi="Arial" w:cs="Arial"/>
          <w:sz w:val="24"/>
          <w:szCs w:val="24"/>
        </w:rPr>
        <w:t xml:space="preserve">It is the amount of time </w:t>
      </w:r>
      <w:r w:rsidR="005B499D">
        <w:rPr>
          <w:rFonts w:ascii="Arial" w:hAnsi="Arial" w:cs="Arial"/>
          <w:sz w:val="24"/>
          <w:szCs w:val="24"/>
        </w:rPr>
        <w:t>the surety has to pay the oblige</w:t>
      </w:r>
      <w:r w:rsidR="00090D7B">
        <w:rPr>
          <w:rFonts w:ascii="Arial" w:hAnsi="Arial" w:cs="Arial"/>
          <w:sz w:val="24"/>
          <w:szCs w:val="24"/>
        </w:rPr>
        <w:t>e</w:t>
      </w:r>
      <w:r w:rsidR="005B499D">
        <w:rPr>
          <w:rFonts w:ascii="Arial" w:hAnsi="Arial" w:cs="Arial"/>
          <w:sz w:val="24"/>
          <w:szCs w:val="24"/>
        </w:rPr>
        <w:t xml:space="preserve"> any indebtedness the principal has incurred up to the promised amount stated on the bond</w:t>
      </w:r>
      <w:r w:rsidR="002E05AB" w:rsidRPr="008F4514">
        <w:rPr>
          <w:rFonts w:ascii="Arial" w:hAnsi="Arial" w:cs="Arial"/>
          <w:sz w:val="24"/>
          <w:szCs w:val="24"/>
        </w:rPr>
        <w:t>.</w:t>
      </w:r>
    </w:p>
    <w:p w:rsidR="006E2644" w:rsidRPr="00526EB6" w:rsidRDefault="006E2644" w:rsidP="006E2644">
      <w:pPr>
        <w:spacing w:line="480" w:lineRule="auto"/>
        <w:ind w:left="720" w:hanging="720"/>
        <w:jc w:val="both"/>
        <w:rPr>
          <w:rFonts w:ascii="Arial" w:hAnsi="Arial" w:cs="Arial"/>
          <w:b/>
        </w:rPr>
      </w:pPr>
      <w:r w:rsidRPr="00526EB6">
        <w:rPr>
          <w:rFonts w:ascii="Arial" w:hAnsi="Arial" w:cs="Arial"/>
          <w:b/>
        </w:rPr>
        <w:t>Q.</w:t>
      </w:r>
      <w:r w:rsidRPr="00526EB6">
        <w:rPr>
          <w:rFonts w:ascii="Arial" w:hAnsi="Arial" w:cs="Arial"/>
          <w:b/>
        </w:rPr>
        <w:tab/>
      </w:r>
      <w:r w:rsidR="00017F1D">
        <w:rPr>
          <w:rFonts w:ascii="Arial" w:hAnsi="Arial" w:cs="Arial"/>
          <w:b/>
        </w:rPr>
        <w:t>What was the change Dayton required</w:t>
      </w:r>
      <w:r w:rsidRPr="00526EB6">
        <w:rPr>
          <w:rFonts w:ascii="Arial" w:hAnsi="Arial" w:cs="Arial"/>
          <w:b/>
        </w:rPr>
        <w:t>?</w:t>
      </w:r>
    </w:p>
    <w:p w:rsidR="006E2644" w:rsidRPr="00090D7B" w:rsidRDefault="006E2644" w:rsidP="006E2644">
      <w:pPr>
        <w:spacing w:line="480" w:lineRule="auto"/>
        <w:ind w:left="720" w:hanging="720"/>
        <w:jc w:val="both"/>
        <w:rPr>
          <w:rFonts w:ascii="Arial" w:hAnsi="Arial" w:cs="Arial"/>
        </w:rPr>
      </w:pPr>
      <w:r w:rsidRPr="00526EB6">
        <w:rPr>
          <w:rFonts w:ascii="Arial" w:hAnsi="Arial" w:cs="Arial"/>
        </w:rPr>
        <w:t>A.</w:t>
      </w:r>
      <w:r w:rsidRPr="00526EB6">
        <w:rPr>
          <w:rFonts w:ascii="Arial" w:hAnsi="Arial" w:cs="Arial"/>
        </w:rPr>
        <w:tab/>
      </w:r>
      <w:r w:rsidR="00017F1D">
        <w:rPr>
          <w:rFonts w:ascii="Arial" w:hAnsi="Arial" w:cs="Arial"/>
        </w:rPr>
        <w:t xml:space="preserve">The bond form Dayton had posted on its website stated a </w:t>
      </w:r>
      <w:r w:rsidR="00BE1041">
        <w:rPr>
          <w:rFonts w:ascii="Arial" w:hAnsi="Arial" w:cs="Arial"/>
        </w:rPr>
        <w:t>30-day</w:t>
      </w:r>
      <w:r w:rsidR="00017F1D">
        <w:rPr>
          <w:rFonts w:ascii="Arial" w:hAnsi="Arial" w:cs="Arial"/>
        </w:rPr>
        <w:t xml:space="preserve"> remedy period.  </w:t>
      </w:r>
      <w:r w:rsidR="00017F1D" w:rsidRPr="00090D7B">
        <w:rPr>
          <w:rFonts w:ascii="Arial" w:hAnsi="Arial" w:cs="Arial"/>
        </w:rPr>
        <w:t xml:space="preserve">When IGS submitted its collateral payment, Dayton informed us that the required </w:t>
      </w:r>
      <w:r w:rsidR="00017F1D" w:rsidRPr="00090D7B">
        <w:rPr>
          <w:rFonts w:ascii="Arial" w:hAnsi="Arial" w:cs="Arial"/>
        </w:rPr>
        <w:lastRenderedPageBreak/>
        <w:t xml:space="preserve">remedy period was now </w:t>
      </w:r>
      <w:r w:rsidR="00BE1041" w:rsidRPr="00090D7B">
        <w:rPr>
          <w:rFonts w:ascii="Arial" w:hAnsi="Arial" w:cs="Arial"/>
        </w:rPr>
        <w:t>five</w:t>
      </w:r>
      <w:r w:rsidR="00017F1D" w:rsidRPr="00090D7B">
        <w:rPr>
          <w:rFonts w:ascii="Arial" w:hAnsi="Arial" w:cs="Arial"/>
        </w:rPr>
        <w:t xml:space="preserve"> days</w:t>
      </w:r>
      <w:r w:rsidR="000A5D8E" w:rsidRPr="00090D7B">
        <w:rPr>
          <w:rFonts w:ascii="Arial" w:hAnsi="Arial" w:cs="Arial"/>
        </w:rPr>
        <w:t>.</w:t>
      </w:r>
      <w:r w:rsidR="00C30AF3" w:rsidRPr="00090D7B">
        <w:rPr>
          <w:rFonts w:ascii="Arial" w:hAnsi="Arial" w:cs="Arial"/>
        </w:rPr>
        <w:t xml:space="preserve"> T</w:t>
      </w:r>
      <w:r w:rsidR="000C7CA8" w:rsidRPr="00090D7B">
        <w:rPr>
          <w:rFonts w:ascii="Arial" w:hAnsi="Arial" w:cs="Arial"/>
        </w:rPr>
        <w:t xml:space="preserve">hat shortened time period </w:t>
      </w:r>
      <w:r w:rsidR="00C30AF3" w:rsidRPr="00090D7B">
        <w:rPr>
          <w:rFonts w:ascii="Arial" w:hAnsi="Arial" w:cs="Arial"/>
        </w:rPr>
        <w:t>puts a lot of pressure on the bond company to commit to that obligation.</w:t>
      </w:r>
      <w:r w:rsidR="00773198" w:rsidRPr="00090D7B">
        <w:rPr>
          <w:rFonts w:ascii="Arial" w:hAnsi="Arial" w:cs="Arial"/>
        </w:rPr>
        <w:t xml:space="preserve">  It is</w:t>
      </w:r>
      <w:r w:rsidR="00BE1041" w:rsidRPr="00090D7B">
        <w:rPr>
          <w:rFonts w:ascii="Arial" w:hAnsi="Arial" w:cs="Arial"/>
        </w:rPr>
        <w:t xml:space="preserve"> also</w:t>
      </w:r>
      <w:r w:rsidR="00773198" w:rsidRPr="00090D7B">
        <w:rPr>
          <w:rFonts w:ascii="Arial" w:hAnsi="Arial" w:cs="Arial"/>
        </w:rPr>
        <w:t xml:space="preserve"> my understanding Dayton did not obtain Commission au</w:t>
      </w:r>
      <w:r w:rsidR="00BE1041" w:rsidRPr="00090D7B">
        <w:rPr>
          <w:rFonts w:ascii="Arial" w:hAnsi="Arial" w:cs="Arial"/>
        </w:rPr>
        <w:t>thorization to make this change.</w:t>
      </w:r>
    </w:p>
    <w:p w:rsidR="003876D7" w:rsidRPr="00090D7B" w:rsidRDefault="003876D7" w:rsidP="006E2644">
      <w:pPr>
        <w:spacing w:line="480" w:lineRule="auto"/>
        <w:ind w:left="720" w:hanging="720"/>
        <w:jc w:val="both"/>
        <w:rPr>
          <w:rFonts w:ascii="Arial" w:hAnsi="Arial" w:cs="Arial"/>
          <w:b/>
        </w:rPr>
      </w:pPr>
      <w:r w:rsidRPr="00090D7B">
        <w:rPr>
          <w:rFonts w:ascii="Arial" w:hAnsi="Arial" w:cs="Arial"/>
          <w:b/>
        </w:rPr>
        <w:t>Q.</w:t>
      </w:r>
      <w:r w:rsidR="00D31D7A" w:rsidRPr="00090D7B">
        <w:rPr>
          <w:rFonts w:ascii="Arial" w:hAnsi="Arial" w:cs="Arial"/>
          <w:b/>
        </w:rPr>
        <w:tab/>
      </w:r>
      <w:r w:rsidR="00C30AF3" w:rsidRPr="00090D7B">
        <w:rPr>
          <w:rFonts w:ascii="Arial" w:hAnsi="Arial" w:cs="Arial"/>
          <w:b/>
        </w:rPr>
        <w:t>What is a typical remedy period</w:t>
      </w:r>
      <w:r w:rsidR="00D31D7A" w:rsidRPr="00090D7B">
        <w:rPr>
          <w:rFonts w:ascii="Arial" w:hAnsi="Arial" w:cs="Arial"/>
          <w:b/>
        </w:rPr>
        <w:t>?</w:t>
      </w:r>
    </w:p>
    <w:p w:rsidR="00D31D7A" w:rsidRPr="00090D7B" w:rsidRDefault="00D31D7A" w:rsidP="006E2644">
      <w:pPr>
        <w:spacing w:line="480" w:lineRule="auto"/>
        <w:ind w:left="720" w:hanging="720"/>
        <w:jc w:val="both"/>
        <w:rPr>
          <w:rFonts w:ascii="Arial" w:hAnsi="Arial" w:cs="Arial"/>
        </w:rPr>
      </w:pPr>
      <w:r w:rsidRPr="00090D7B">
        <w:rPr>
          <w:rFonts w:ascii="Arial" w:hAnsi="Arial" w:cs="Arial"/>
        </w:rPr>
        <w:t>A.</w:t>
      </w:r>
      <w:r w:rsidRPr="00090D7B">
        <w:rPr>
          <w:rFonts w:ascii="Arial" w:hAnsi="Arial" w:cs="Arial"/>
        </w:rPr>
        <w:tab/>
      </w:r>
      <w:r w:rsidR="003B6770" w:rsidRPr="00090D7B">
        <w:rPr>
          <w:rFonts w:ascii="Arial" w:hAnsi="Arial" w:cs="Arial"/>
        </w:rPr>
        <w:t xml:space="preserve">I would say the standard is 30 days.  </w:t>
      </w:r>
      <w:r w:rsidR="00822927" w:rsidRPr="00090D7B">
        <w:rPr>
          <w:rFonts w:ascii="Arial" w:hAnsi="Arial" w:cs="Arial"/>
        </w:rPr>
        <w:t xml:space="preserve">An acceptable shortened time period would be </w:t>
      </w:r>
      <w:r w:rsidR="000C7CA8" w:rsidRPr="00090D7B">
        <w:rPr>
          <w:rFonts w:ascii="Arial" w:hAnsi="Arial" w:cs="Arial"/>
        </w:rPr>
        <w:t>1</w:t>
      </w:r>
      <w:r w:rsidR="003B6770" w:rsidRPr="00090D7B">
        <w:rPr>
          <w:rFonts w:ascii="Arial" w:hAnsi="Arial" w:cs="Arial"/>
        </w:rPr>
        <w:t>0 days.</w:t>
      </w:r>
      <w:r w:rsidR="003B6CC0" w:rsidRPr="00090D7B">
        <w:rPr>
          <w:rFonts w:ascii="Arial" w:hAnsi="Arial" w:cs="Arial"/>
        </w:rPr>
        <w:t xml:space="preserve"> </w:t>
      </w:r>
      <w:bookmarkStart w:id="2" w:name="_GoBack"/>
      <w:bookmarkEnd w:id="2"/>
    </w:p>
    <w:p w:rsidR="00BB7966" w:rsidRPr="00090D7B" w:rsidRDefault="00BB7966" w:rsidP="00500340">
      <w:pPr>
        <w:pStyle w:val="BodyText"/>
        <w:spacing w:line="480" w:lineRule="auto"/>
        <w:ind w:left="720" w:hanging="720"/>
        <w:jc w:val="both"/>
        <w:rPr>
          <w:rFonts w:ascii="Arial" w:hAnsi="Arial" w:cs="Arial"/>
          <w:b/>
          <w:sz w:val="24"/>
          <w:szCs w:val="24"/>
        </w:rPr>
      </w:pPr>
      <w:r w:rsidRPr="00090D7B">
        <w:rPr>
          <w:rFonts w:ascii="Arial" w:hAnsi="Arial" w:cs="Arial"/>
          <w:b/>
          <w:sz w:val="24"/>
          <w:szCs w:val="24"/>
        </w:rPr>
        <w:t>Q.</w:t>
      </w:r>
      <w:r w:rsidRPr="00090D7B">
        <w:rPr>
          <w:rFonts w:ascii="Arial" w:hAnsi="Arial" w:cs="Arial"/>
          <w:b/>
          <w:sz w:val="24"/>
          <w:szCs w:val="24"/>
        </w:rPr>
        <w:tab/>
      </w:r>
      <w:r w:rsidR="00546686" w:rsidRPr="00090D7B">
        <w:rPr>
          <w:rFonts w:ascii="Arial" w:hAnsi="Arial" w:cs="Arial"/>
          <w:b/>
          <w:sz w:val="24"/>
          <w:szCs w:val="24"/>
        </w:rPr>
        <w:t>Does the bond form on the Dayton website now reflect the change to 5 days</w:t>
      </w:r>
      <w:r w:rsidR="00B3013C" w:rsidRPr="00090D7B">
        <w:rPr>
          <w:rFonts w:ascii="Arial" w:hAnsi="Arial" w:cs="Arial"/>
          <w:b/>
          <w:sz w:val="24"/>
          <w:szCs w:val="24"/>
        </w:rPr>
        <w:t>?</w:t>
      </w:r>
    </w:p>
    <w:p w:rsidR="00BB7966" w:rsidRPr="00090D7B" w:rsidRDefault="00FB3C2F" w:rsidP="00500340">
      <w:pPr>
        <w:pStyle w:val="BodyText"/>
        <w:spacing w:line="480" w:lineRule="auto"/>
        <w:ind w:left="720" w:hanging="720"/>
        <w:jc w:val="both"/>
        <w:rPr>
          <w:rFonts w:ascii="Arial" w:hAnsi="Arial" w:cs="Arial"/>
          <w:sz w:val="24"/>
          <w:szCs w:val="24"/>
        </w:rPr>
      </w:pPr>
      <w:r w:rsidRPr="00090D7B">
        <w:rPr>
          <w:rFonts w:ascii="Arial" w:hAnsi="Arial" w:cs="Arial"/>
          <w:sz w:val="24"/>
          <w:szCs w:val="24"/>
        </w:rPr>
        <w:t>A.</w:t>
      </w:r>
      <w:r w:rsidRPr="00090D7B">
        <w:rPr>
          <w:rFonts w:ascii="Arial" w:hAnsi="Arial" w:cs="Arial"/>
          <w:sz w:val="24"/>
          <w:szCs w:val="24"/>
        </w:rPr>
        <w:tab/>
      </w:r>
      <w:r w:rsidR="00546686" w:rsidRPr="00090D7B">
        <w:rPr>
          <w:rFonts w:ascii="Arial" w:hAnsi="Arial" w:cs="Arial"/>
          <w:sz w:val="24"/>
          <w:szCs w:val="24"/>
        </w:rPr>
        <w:t xml:space="preserve">No.  The bond form on the Dayton website now states a </w:t>
      </w:r>
      <w:r w:rsidR="00BE1041" w:rsidRPr="00090D7B">
        <w:rPr>
          <w:rFonts w:ascii="Arial" w:hAnsi="Arial" w:cs="Arial"/>
          <w:sz w:val="24"/>
          <w:szCs w:val="24"/>
        </w:rPr>
        <w:t>2-day</w:t>
      </w:r>
      <w:r w:rsidR="00546686" w:rsidRPr="00090D7B">
        <w:rPr>
          <w:rFonts w:ascii="Arial" w:hAnsi="Arial" w:cs="Arial"/>
          <w:sz w:val="24"/>
          <w:szCs w:val="24"/>
        </w:rPr>
        <w:t xml:space="preserve"> remedy period which is very aggressive</w:t>
      </w:r>
      <w:r w:rsidR="00B3013C" w:rsidRPr="00090D7B">
        <w:rPr>
          <w:rFonts w:ascii="Arial" w:hAnsi="Arial" w:cs="Arial"/>
          <w:sz w:val="24"/>
          <w:szCs w:val="24"/>
        </w:rPr>
        <w:t>.</w:t>
      </w:r>
    </w:p>
    <w:p w:rsidR="00BB7966" w:rsidRPr="00090D7B" w:rsidRDefault="00BB7966" w:rsidP="00500340">
      <w:pPr>
        <w:pStyle w:val="BodyText"/>
        <w:spacing w:line="480" w:lineRule="auto"/>
        <w:ind w:left="720" w:hanging="720"/>
        <w:jc w:val="both"/>
        <w:rPr>
          <w:rFonts w:ascii="Arial" w:hAnsi="Arial" w:cs="Arial"/>
          <w:b/>
          <w:sz w:val="24"/>
          <w:szCs w:val="24"/>
        </w:rPr>
      </w:pPr>
      <w:r w:rsidRPr="00090D7B">
        <w:rPr>
          <w:rFonts w:ascii="Arial" w:hAnsi="Arial" w:cs="Arial"/>
          <w:b/>
          <w:sz w:val="24"/>
          <w:szCs w:val="24"/>
        </w:rPr>
        <w:t>Q.</w:t>
      </w:r>
      <w:r w:rsidRPr="00090D7B">
        <w:rPr>
          <w:rFonts w:ascii="Arial" w:hAnsi="Arial" w:cs="Arial"/>
          <w:b/>
          <w:sz w:val="24"/>
          <w:szCs w:val="24"/>
        </w:rPr>
        <w:tab/>
      </w:r>
      <w:r w:rsidR="00040422" w:rsidRPr="00090D7B">
        <w:rPr>
          <w:rFonts w:ascii="Arial" w:hAnsi="Arial" w:cs="Arial"/>
          <w:b/>
          <w:sz w:val="24"/>
          <w:szCs w:val="24"/>
        </w:rPr>
        <w:t>Is the bond form, including timing and process</w:t>
      </w:r>
      <w:r w:rsidR="00727B24" w:rsidRPr="00090D7B">
        <w:rPr>
          <w:rFonts w:ascii="Arial" w:hAnsi="Arial" w:cs="Arial"/>
          <w:b/>
          <w:sz w:val="24"/>
          <w:szCs w:val="24"/>
        </w:rPr>
        <w:t>,</w:t>
      </w:r>
      <w:r w:rsidR="00040422" w:rsidRPr="00090D7B">
        <w:rPr>
          <w:rFonts w:ascii="Arial" w:hAnsi="Arial" w:cs="Arial"/>
          <w:b/>
          <w:sz w:val="24"/>
          <w:szCs w:val="24"/>
        </w:rPr>
        <w:t xml:space="preserve"> approved by the PUCO</w:t>
      </w:r>
      <w:r w:rsidRPr="00090D7B">
        <w:rPr>
          <w:rFonts w:ascii="Arial" w:hAnsi="Arial" w:cs="Arial"/>
          <w:b/>
          <w:sz w:val="24"/>
          <w:szCs w:val="24"/>
        </w:rPr>
        <w:t>?</w:t>
      </w:r>
    </w:p>
    <w:p w:rsidR="00BB7966" w:rsidRPr="00090D7B" w:rsidRDefault="002462E8" w:rsidP="00500340">
      <w:pPr>
        <w:pStyle w:val="BodyText"/>
        <w:spacing w:line="480" w:lineRule="auto"/>
        <w:ind w:left="720" w:hanging="720"/>
        <w:jc w:val="both"/>
        <w:rPr>
          <w:rFonts w:ascii="Arial" w:hAnsi="Arial" w:cs="Arial"/>
          <w:sz w:val="24"/>
          <w:szCs w:val="24"/>
        </w:rPr>
      </w:pPr>
      <w:r w:rsidRPr="00090D7B">
        <w:rPr>
          <w:rFonts w:ascii="Arial" w:hAnsi="Arial" w:cs="Arial"/>
          <w:sz w:val="24"/>
          <w:szCs w:val="24"/>
        </w:rPr>
        <w:t>A.</w:t>
      </w:r>
      <w:r w:rsidRPr="00090D7B">
        <w:rPr>
          <w:rFonts w:ascii="Arial" w:hAnsi="Arial" w:cs="Arial"/>
          <w:sz w:val="24"/>
          <w:szCs w:val="24"/>
        </w:rPr>
        <w:tab/>
      </w:r>
      <w:r w:rsidR="003759B2" w:rsidRPr="00090D7B">
        <w:rPr>
          <w:rFonts w:ascii="Arial" w:hAnsi="Arial" w:cs="Arial"/>
          <w:sz w:val="24"/>
          <w:szCs w:val="24"/>
        </w:rPr>
        <w:t>No</w:t>
      </w:r>
      <w:r w:rsidR="00040422" w:rsidRPr="00090D7B">
        <w:rPr>
          <w:rFonts w:ascii="Arial" w:hAnsi="Arial" w:cs="Arial"/>
          <w:sz w:val="24"/>
          <w:szCs w:val="24"/>
        </w:rPr>
        <w:t>, I do not believe the PUCO approved the bond form.  It is not included in the PUCO approved tariff that defined the collateral requirement.</w:t>
      </w:r>
    </w:p>
    <w:p w:rsidR="003360B7" w:rsidRPr="00090D7B" w:rsidRDefault="00BB7966" w:rsidP="00727B24">
      <w:pPr>
        <w:pStyle w:val="BodyText"/>
        <w:spacing w:line="480" w:lineRule="auto"/>
        <w:ind w:left="720" w:hanging="720"/>
        <w:jc w:val="both"/>
        <w:rPr>
          <w:rFonts w:ascii="Arial" w:hAnsi="Arial" w:cs="Arial"/>
          <w:b/>
          <w:sz w:val="24"/>
          <w:szCs w:val="24"/>
        </w:rPr>
      </w:pPr>
      <w:r w:rsidRPr="00090D7B">
        <w:rPr>
          <w:rFonts w:ascii="Arial" w:hAnsi="Arial" w:cs="Arial"/>
          <w:b/>
          <w:sz w:val="24"/>
          <w:szCs w:val="24"/>
        </w:rPr>
        <w:t>Q.</w:t>
      </w:r>
      <w:r w:rsidRPr="00090D7B">
        <w:rPr>
          <w:rFonts w:ascii="Arial" w:hAnsi="Arial" w:cs="Arial"/>
          <w:b/>
          <w:sz w:val="24"/>
          <w:szCs w:val="24"/>
        </w:rPr>
        <w:tab/>
      </w:r>
      <w:r w:rsidR="00E241AF" w:rsidRPr="00090D7B">
        <w:rPr>
          <w:rFonts w:ascii="Arial" w:hAnsi="Arial" w:cs="Arial"/>
          <w:b/>
          <w:sz w:val="24"/>
          <w:szCs w:val="24"/>
        </w:rPr>
        <w:t>What are your recommendations</w:t>
      </w:r>
      <w:r w:rsidR="003360B7" w:rsidRPr="00090D7B">
        <w:rPr>
          <w:rFonts w:ascii="Arial" w:hAnsi="Arial" w:cs="Arial"/>
          <w:b/>
          <w:sz w:val="24"/>
          <w:szCs w:val="24"/>
        </w:rPr>
        <w:t>?</w:t>
      </w:r>
    </w:p>
    <w:p w:rsidR="003360B7" w:rsidRPr="00090D7B" w:rsidRDefault="006234AB" w:rsidP="00E241AF">
      <w:pPr>
        <w:spacing w:line="480" w:lineRule="auto"/>
        <w:ind w:left="720" w:hanging="720"/>
        <w:jc w:val="both"/>
        <w:rPr>
          <w:rFonts w:ascii="Arial" w:hAnsi="Arial" w:cs="Arial"/>
        </w:rPr>
      </w:pPr>
      <w:r w:rsidRPr="00090D7B">
        <w:rPr>
          <w:rFonts w:ascii="Arial" w:hAnsi="Arial" w:cs="Arial"/>
        </w:rPr>
        <w:t>A.</w:t>
      </w:r>
      <w:r w:rsidRPr="00090D7B">
        <w:rPr>
          <w:rFonts w:ascii="Arial" w:hAnsi="Arial" w:cs="Arial"/>
        </w:rPr>
        <w:tab/>
      </w:r>
      <w:r w:rsidR="00090D7B" w:rsidRPr="00090D7B">
        <w:rPr>
          <w:rFonts w:ascii="Arial" w:hAnsi="Arial" w:cs="Arial"/>
        </w:rPr>
        <w:t xml:space="preserve">I recommend that Dayton give full effect to the requirement in its tariff that the amount of the security required be and remain commensurate with the financial risks placed on the Company by that supplier, including recognition of that supplier’s performance. </w:t>
      </w:r>
      <w:r w:rsidR="00E241AF" w:rsidRPr="00090D7B">
        <w:rPr>
          <w:rFonts w:ascii="Arial" w:hAnsi="Arial" w:cs="Arial"/>
        </w:rPr>
        <w:t xml:space="preserve">I </w:t>
      </w:r>
      <w:r w:rsidR="00090D7B" w:rsidRPr="00090D7B">
        <w:rPr>
          <w:rFonts w:ascii="Arial" w:hAnsi="Arial" w:cs="Arial"/>
        </w:rPr>
        <w:t xml:space="preserve">further </w:t>
      </w:r>
      <w:r w:rsidR="00E241AF" w:rsidRPr="00090D7B">
        <w:rPr>
          <w:rFonts w:ascii="Arial" w:hAnsi="Arial" w:cs="Arial"/>
        </w:rPr>
        <w:t xml:space="preserve">recommend that Dayton revise the collateral requirements to be more in line with </w:t>
      </w:r>
      <w:r w:rsidR="001A57A8" w:rsidRPr="00090D7B">
        <w:rPr>
          <w:rFonts w:ascii="Arial" w:hAnsi="Arial" w:cs="Arial"/>
        </w:rPr>
        <w:t>the other electric utilities in the state</w:t>
      </w:r>
      <w:r w:rsidR="00090D7B" w:rsidRPr="00090D7B">
        <w:rPr>
          <w:rFonts w:ascii="Arial" w:hAnsi="Arial" w:cs="Arial"/>
        </w:rPr>
        <w:t xml:space="preserve">.  </w:t>
      </w:r>
      <w:r w:rsidR="00E241AF" w:rsidRPr="00090D7B">
        <w:rPr>
          <w:rFonts w:ascii="Arial" w:hAnsi="Arial" w:cs="Arial"/>
        </w:rPr>
        <w:t>Either a standard collateral amount or a calculation based on energy only</w:t>
      </w:r>
      <w:r w:rsidR="003B6CB9" w:rsidRPr="00090D7B">
        <w:rPr>
          <w:rFonts w:ascii="Arial" w:hAnsi="Arial" w:cs="Arial"/>
        </w:rPr>
        <w:t xml:space="preserve"> based upon 15 days’ exposure</w:t>
      </w:r>
      <w:r w:rsidR="00090D7B" w:rsidRPr="00090D7B">
        <w:rPr>
          <w:rFonts w:ascii="Arial" w:hAnsi="Arial" w:cs="Arial"/>
        </w:rPr>
        <w:t xml:space="preserve">.  I </w:t>
      </w:r>
      <w:r w:rsidR="00E241AF" w:rsidRPr="00090D7B">
        <w:rPr>
          <w:rFonts w:ascii="Arial" w:hAnsi="Arial" w:cs="Arial"/>
        </w:rPr>
        <w:t xml:space="preserve">recommend more advance notice to changes on any large collateral requirements.  </w:t>
      </w:r>
      <w:r w:rsidR="00051892" w:rsidRPr="00090D7B">
        <w:rPr>
          <w:rFonts w:ascii="Arial" w:hAnsi="Arial" w:cs="Arial"/>
        </w:rPr>
        <w:t>I</w:t>
      </w:r>
      <w:r w:rsidR="00E241AF" w:rsidRPr="00090D7B">
        <w:rPr>
          <w:rFonts w:ascii="Arial" w:hAnsi="Arial" w:cs="Arial"/>
        </w:rPr>
        <w:t xml:space="preserve"> recommend that the remedy time on the bond form be </w:t>
      </w:r>
      <w:r w:rsidR="00E241AF" w:rsidRPr="00090D7B">
        <w:rPr>
          <w:rFonts w:ascii="Arial" w:hAnsi="Arial" w:cs="Arial"/>
        </w:rPr>
        <w:lastRenderedPageBreak/>
        <w:t xml:space="preserve">set at </w:t>
      </w:r>
      <w:r w:rsidR="00637D3B" w:rsidRPr="00090D7B">
        <w:rPr>
          <w:rFonts w:ascii="Arial" w:hAnsi="Arial" w:cs="Arial"/>
        </w:rPr>
        <w:t xml:space="preserve">no less than </w:t>
      </w:r>
      <w:r w:rsidR="00E241AF" w:rsidRPr="00090D7B">
        <w:rPr>
          <w:rFonts w:ascii="Arial" w:hAnsi="Arial" w:cs="Arial"/>
        </w:rPr>
        <w:t>10 days.</w:t>
      </w:r>
      <w:r w:rsidR="00051892" w:rsidRPr="00090D7B">
        <w:rPr>
          <w:rFonts w:ascii="Arial" w:hAnsi="Arial" w:cs="Arial"/>
        </w:rPr>
        <w:t xml:space="preserve">  And finally, I recommend Dayton obtain Commission approval before making collateral changes.</w:t>
      </w:r>
      <w:r w:rsidR="00E241AF" w:rsidRPr="00090D7B">
        <w:rPr>
          <w:rFonts w:ascii="Arial" w:hAnsi="Arial" w:cs="Arial"/>
        </w:rPr>
        <w:t xml:space="preserve">   </w:t>
      </w:r>
    </w:p>
    <w:p w:rsidR="00346E6A" w:rsidRPr="00090D7B" w:rsidRDefault="003360B7" w:rsidP="00281AA5">
      <w:pPr>
        <w:spacing w:line="480" w:lineRule="auto"/>
        <w:ind w:left="720" w:hanging="720"/>
        <w:jc w:val="both"/>
        <w:rPr>
          <w:rFonts w:ascii="Arial" w:hAnsi="Arial" w:cs="Arial"/>
          <w:b/>
        </w:rPr>
      </w:pPr>
      <w:r w:rsidRPr="00090D7B">
        <w:rPr>
          <w:rFonts w:ascii="Arial" w:hAnsi="Arial" w:cs="Arial"/>
          <w:b/>
        </w:rPr>
        <w:t>Q.</w:t>
      </w:r>
      <w:r w:rsidRPr="00090D7B">
        <w:rPr>
          <w:rFonts w:ascii="Arial" w:hAnsi="Arial" w:cs="Arial"/>
          <w:b/>
        </w:rPr>
        <w:tab/>
      </w:r>
      <w:r w:rsidR="00346E6A" w:rsidRPr="00090D7B">
        <w:rPr>
          <w:rFonts w:ascii="Arial" w:hAnsi="Arial" w:cs="Arial"/>
          <w:b/>
        </w:rPr>
        <w:t>Does this conclude your testimony?</w:t>
      </w:r>
    </w:p>
    <w:p w:rsidR="000B5120" w:rsidRPr="00090D7B" w:rsidRDefault="00346E6A" w:rsidP="00BE1041">
      <w:pPr>
        <w:spacing w:line="480" w:lineRule="auto"/>
        <w:rPr>
          <w:rFonts w:ascii="Arial" w:hAnsi="Arial" w:cs="Arial"/>
        </w:rPr>
      </w:pPr>
      <w:r w:rsidRPr="00090D7B">
        <w:rPr>
          <w:rFonts w:ascii="Arial" w:hAnsi="Arial" w:cs="Arial"/>
        </w:rPr>
        <w:t xml:space="preserve">A. </w:t>
      </w:r>
      <w:r w:rsidRPr="00090D7B">
        <w:rPr>
          <w:rFonts w:ascii="Arial" w:hAnsi="Arial" w:cs="Arial"/>
        </w:rPr>
        <w:tab/>
      </w:r>
      <w:r w:rsidR="00492A3D" w:rsidRPr="00090D7B">
        <w:rPr>
          <w:rFonts w:ascii="Arial" w:hAnsi="Arial" w:cs="Arial"/>
        </w:rPr>
        <w:t>Yes,</w:t>
      </w:r>
      <w:r w:rsidRPr="00090D7B">
        <w:rPr>
          <w:rFonts w:ascii="Arial" w:hAnsi="Arial" w:cs="Arial"/>
        </w:rPr>
        <w:t xml:space="preserve"> it does.</w:t>
      </w:r>
      <w:r w:rsidR="00C47588" w:rsidRPr="00090D7B">
        <w:rPr>
          <w:rFonts w:ascii="Arial" w:hAnsi="Arial" w:cs="Arial"/>
        </w:rPr>
        <w:t xml:space="preserve">  However, I reserve the right to </w:t>
      </w:r>
      <w:r w:rsidR="001318EF" w:rsidRPr="00090D7B">
        <w:rPr>
          <w:rFonts w:ascii="Arial" w:hAnsi="Arial" w:cs="Arial"/>
        </w:rPr>
        <w:t>further supplement my testimony</w:t>
      </w:r>
      <w:r w:rsidR="000B53AC" w:rsidRPr="00090D7B">
        <w:rPr>
          <w:rFonts w:ascii="Arial" w:hAnsi="Arial" w:cs="Arial"/>
        </w:rPr>
        <w:t>.</w:t>
      </w:r>
      <w:r w:rsidR="000B5120" w:rsidRPr="00090D7B">
        <w:rPr>
          <w:rFonts w:ascii="Arial" w:hAnsi="Arial" w:cs="Arial"/>
        </w:rPr>
        <w:br w:type="page"/>
      </w:r>
    </w:p>
    <w:p w:rsidR="006238E7" w:rsidRPr="00090D7B" w:rsidRDefault="006238E7" w:rsidP="002C3983">
      <w:pPr>
        <w:spacing w:after="0"/>
        <w:ind w:left="2160" w:firstLine="720"/>
        <w:rPr>
          <w:rFonts w:ascii="Arial" w:eastAsia="Arial" w:hAnsi="Arial" w:cs="Arial"/>
          <w:b/>
          <w:u w:val="single"/>
        </w:rPr>
        <w:sectPr w:rsidR="006238E7" w:rsidRPr="00090D7B" w:rsidSect="0073460D">
          <w:footerReference w:type="default" r:id="rId14"/>
          <w:pgSz w:w="12240" w:h="15840"/>
          <w:pgMar w:top="1440" w:right="1440" w:bottom="1440" w:left="1440" w:header="720" w:footer="720" w:gutter="0"/>
          <w:lnNumType w:countBy="1"/>
          <w:cols w:space="720"/>
          <w:docGrid w:linePitch="360"/>
        </w:sectPr>
      </w:pPr>
    </w:p>
    <w:p w:rsidR="002C3983" w:rsidRPr="00090D7B" w:rsidRDefault="002C3983" w:rsidP="002C3983">
      <w:pPr>
        <w:spacing w:after="0"/>
        <w:ind w:left="2160" w:firstLine="720"/>
        <w:rPr>
          <w:rFonts w:ascii="Arial" w:eastAsia="Arial" w:hAnsi="Arial" w:cs="Arial"/>
          <w:b/>
          <w:u w:val="single"/>
        </w:rPr>
      </w:pPr>
      <w:r w:rsidRPr="00090D7B">
        <w:rPr>
          <w:rFonts w:ascii="Arial" w:eastAsia="Arial" w:hAnsi="Arial" w:cs="Arial"/>
          <w:b/>
          <w:u w:val="single"/>
        </w:rPr>
        <w:lastRenderedPageBreak/>
        <w:t>CERTIFICATE OF SERVICE</w:t>
      </w:r>
    </w:p>
    <w:p w:rsidR="002C3983" w:rsidRPr="00090D7B" w:rsidRDefault="002C3983" w:rsidP="002C3983">
      <w:pPr>
        <w:spacing w:after="0"/>
        <w:jc w:val="center"/>
        <w:rPr>
          <w:rFonts w:ascii="Arial" w:eastAsia="Arial" w:hAnsi="Arial" w:cs="Arial"/>
          <w:b/>
          <w:u w:val="single"/>
        </w:rPr>
      </w:pPr>
    </w:p>
    <w:p w:rsidR="002C3983" w:rsidRPr="00090D7B" w:rsidRDefault="002C3983" w:rsidP="002C3983">
      <w:pPr>
        <w:spacing w:after="0"/>
        <w:jc w:val="both"/>
        <w:rPr>
          <w:rFonts w:ascii="Arial" w:eastAsia="Calibri" w:hAnsi="Arial" w:cs="Arial"/>
        </w:rPr>
      </w:pPr>
      <w:r w:rsidRPr="00090D7B">
        <w:rPr>
          <w:rFonts w:ascii="Arial" w:eastAsia="Arial" w:hAnsi="Arial" w:cs="Arial"/>
        </w:rPr>
        <w:tab/>
      </w:r>
      <w:r w:rsidRPr="00090D7B">
        <w:rPr>
          <w:rFonts w:ascii="Arial" w:eastAsia="Calibri" w:hAnsi="Arial" w:cs="Arial"/>
        </w:rPr>
        <w:t xml:space="preserve">The undersigned hereby certifies that a copy of the foregoing </w:t>
      </w:r>
      <w:r w:rsidR="006F77F9" w:rsidRPr="00090D7B">
        <w:rPr>
          <w:rFonts w:ascii="Arial" w:eastAsia="Calibri" w:hAnsi="Arial" w:cs="Arial"/>
          <w:i/>
        </w:rPr>
        <w:t xml:space="preserve">Direct Testimony </w:t>
      </w:r>
      <w:r w:rsidRPr="00090D7B">
        <w:rPr>
          <w:rFonts w:ascii="Arial" w:eastAsia="Calibri" w:hAnsi="Arial" w:cs="Arial"/>
          <w:i/>
        </w:rPr>
        <w:t>of D</w:t>
      </w:r>
      <w:r w:rsidR="006F77F9" w:rsidRPr="00090D7B">
        <w:rPr>
          <w:rFonts w:ascii="Arial" w:eastAsia="Calibri" w:hAnsi="Arial" w:cs="Arial"/>
          <w:i/>
        </w:rPr>
        <w:t>evin Crist</w:t>
      </w:r>
      <w:r w:rsidRPr="00090D7B">
        <w:rPr>
          <w:rFonts w:ascii="Arial" w:eastAsia="Calibri" w:hAnsi="Arial" w:cs="Arial"/>
          <w:i/>
        </w:rPr>
        <w:t xml:space="preserve"> </w:t>
      </w:r>
      <w:r w:rsidR="0079078E" w:rsidRPr="00090D7B">
        <w:rPr>
          <w:rFonts w:ascii="Arial" w:eastAsia="Calibri" w:hAnsi="Arial" w:cs="Arial"/>
          <w:i/>
        </w:rPr>
        <w:t xml:space="preserve">in Opposition to Stipulation and Recommendation on Behalf of Interstate Gas Supply, Inc. </w:t>
      </w:r>
      <w:r w:rsidRPr="00090D7B">
        <w:rPr>
          <w:rFonts w:ascii="Arial" w:eastAsia="Calibri" w:hAnsi="Arial" w:cs="Arial"/>
        </w:rPr>
        <w:t xml:space="preserve">was served this </w:t>
      </w:r>
      <w:r w:rsidR="0079078E" w:rsidRPr="00090D7B">
        <w:rPr>
          <w:rFonts w:ascii="Arial" w:eastAsia="Calibri" w:hAnsi="Arial" w:cs="Arial"/>
        </w:rPr>
        <w:t>16</w:t>
      </w:r>
      <w:r w:rsidR="00E55367" w:rsidRPr="00090D7B">
        <w:rPr>
          <w:rFonts w:ascii="Arial" w:eastAsia="Calibri" w:hAnsi="Arial" w:cs="Arial"/>
          <w:vertAlign w:val="superscript"/>
        </w:rPr>
        <w:t>th</w:t>
      </w:r>
      <w:r w:rsidR="00E55367" w:rsidRPr="00090D7B">
        <w:rPr>
          <w:rFonts w:ascii="Arial" w:eastAsia="Calibri" w:hAnsi="Arial" w:cs="Arial"/>
        </w:rPr>
        <w:t xml:space="preserve"> </w:t>
      </w:r>
      <w:r w:rsidRPr="00090D7B">
        <w:rPr>
          <w:rFonts w:ascii="Arial" w:eastAsia="Calibri" w:hAnsi="Arial" w:cs="Arial"/>
        </w:rPr>
        <w:t xml:space="preserve">day of </w:t>
      </w:r>
      <w:r w:rsidR="0079078E" w:rsidRPr="00090D7B">
        <w:rPr>
          <w:rFonts w:ascii="Arial" w:eastAsia="Calibri" w:hAnsi="Arial" w:cs="Arial"/>
        </w:rPr>
        <w:t>July</w:t>
      </w:r>
      <w:r w:rsidRPr="00090D7B">
        <w:rPr>
          <w:rFonts w:ascii="Arial" w:eastAsia="Calibri" w:hAnsi="Arial" w:cs="Arial"/>
        </w:rPr>
        <w:t xml:space="preserve"> 201</w:t>
      </w:r>
      <w:r w:rsidR="006F77F9" w:rsidRPr="00090D7B">
        <w:rPr>
          <w:rFonts w:ascii="Arial" w:eastAsia="Calibri" w:hAnsi="Arial" w:cs="Arial"/>
        </w:rPr>
        <w:t>8</w:t>
      </w:r>
      <w:r w:rsidRPr="00090D7B">
        <w:rPr>
          <w:rFonts w:ascii="Arial" w:eastAsia="Calibri" w:hAnsi="Arial" w:cs="Arial"/>
        </w:rPr>
        <w:t xml:space="preserve"> via electronic mail upon the following:</w:t>
      </w:r>
    </w:p>
    <w:p w:rsidR="002C3983" w:rsidRPr="00090D7B" w:rsidRDefault="002C3983" w:rsidP="002C3983">
      <w:pPr>
        <w:spacing w:after="0"/>
        <w:jc w:val="both"/>
        <w:rPr>
          <w:rFonts w:ascii="Arial" w:eastAsia="Calibri" w:hAnsi="Arial" w:cs="Arial"/>
        </w:rPr>
      </w:pPr>
    </w:p>
    <w:p w:rsidR="002C3983" w:rsidRPr="00090D7B" w:rsidRDefault="002C3983" w:rsidP="002C3983">
      <w:pPr>
        <w:spacing w:after="0"/>
        <w:jc w:val="both"/>
        <w:rPr>
          <w:rFonts w:ascii="Arial" w:eastAsia="Arial" w:hAnsi="Arial" w:cs="Arial"/>
        </w:rPr>
      </w:pPr>
    </w:p>
    <w:p w:rsidR="002C3983" w:rsidRPr="00090D7B" w:rsidRDefault="002C3983" w:rsidP="002C3983">
      <w:pPr>
        <w:spacing w:after="0"/>
        <w:jc w:val="both"/>
        <w:rPr>
          <w:rFonts w:ascii="Arial" w:eastAsia="Arial" w:hAnsi="Arial" w:cs="Arial"/>
        </w:rPr>
      </w:pPr>
    </w:p>
    <w:p w:rsidR="002C3983" w:rsidRPr="00090D7B" w:rsidRDefault="002C3983" w:rsidP="002C3983">
      <w:pPr>
        <w:spacing w:after="0"/>
        <w:ind w:left="5040" w:firstLine="720"/>
        <w:rPr>
          <w:rFonts w:ascii="Arial" w:eastAsia="Calibri" w:hAnsi="Arial" w:cs="Arial"/>
          <w:u w:val="single"/>
        </w:rPr>
      </w:pPr>
      <w:r w:rsidRPr="00090D7B">
        <w:rPr>
          <w:rFonts w:ascii="Arial" w:eastAsia="Arial" w:hAnsi="Arial" w:cs="Arial"/>
          <w:i/>
          <w:u w:val="single"/>
        </w:rPr>
        <w:t>/s/ Joseph Oliker_______</w:t>
      </w:r>
    </w:p>
    <w:p w:rsidR="002C3983" w:rsidRPr="00090D7B" w:rsidRDefault="002C3983" w:rsidP="002C3983">
      <w:pPr>
        <w:spacing w:after="0"/>
        <w:ind w:left="5040" w:firstLine="720"/>
        <w:rPr>
          <w:rFonts w:ascii="Arial" w:eastAsia="Times New Roman" w:hAnsi="Arial" w:cs="Arial"/>
        </w:rPr>
      </w:pPr>
      <w:r w:rsidRPr="00090D7B">
        <w:rPr>
          <w:rFonts w:ascii="Arial" w:eastAsia="Times New Roman" w:hAnsi="Arial" w:cs="Arial"/>
        </w:rPr>
        <w:t>Joseph Oliker</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michael.schuler@aes.com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jsharkey@ficlaw.com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djireland@ficlaw.com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chollon@ficlaw.com</w:t>
      </w:r>
    </w:p>
    <w:p w:rsidR="00920948" w:rsidRPr="00090D7B" w:rsidRDefault="00920948" w:rsidP="00920948">
      <w:pPr>
        <w:autoSpaceDE w:val="0"/>
        <w:autoSpaceDN w:val="0"/>
        <w:adjustRightInd w:val="0"/>
        <w:spacing w:after="0"/>
        <w:rPr>
          <w:rFonts w:ascii="Arial" w:hAnsi="Arial" w:cs="Arial"/>
          <w:color w:val="0000FF"/>
        </w:rPr>
      </w:pPr>
      <w:bookmarkStart w:id="3" w:name="_Hlk511210790"/>
      <w:r w:rsidRPr="00090D7B">
        <w:rPr>
          <w:rFonts w:ascii="Arial" w:hAnsi="Arial" w:cs="Arial"/>
          <w:color w:val="0000FF"/>
        </w:rPr>
        <w:t>thomas.mcnamee@ohioattomeygeneral.gov</w:t>
      </w:r>
    </w:p>
    <w:bookmarkEnd w:id="3"/>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christopher.healey@occ.ohio.gov</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terry.etter@occ.ohio.gov</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fdarr@mwncmh.com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mpritchard@mwncmh.com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sechler@carpenterlipps.com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paul@carpenterlipps.com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dboehm@BKLlawfirm.com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mkurtz@BKLlawfirm.com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kboehm@BKLIawfirm.com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jkylercohn@BKLlawfirm.com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bojko@carpenterlipps.com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dressel@carpenterlipps.com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mfleisher@elpc.org</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kfield@elpc.org</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thawrot@spilmanlaw.com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rkelter@elpc.org</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jvickers@elpc.org</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slesser@calfee.com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jlang@calfee.com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talexander@calfee.com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stephanie.chmiel@thompsonhine.com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dwilliamson@spilmanlaw.com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charris@spilmanlaw.com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stephen.chriss@walmart.com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greg.tillman@walmart.com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John.Degnan@us.afmil</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Thomas.Jernigan@us.af.mil</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Ebony.Payton.ctr@us.af.mil</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ejacobs@ablelaw.org</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jdoll@djflawfirm.com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mcrawford@djflawfirm.com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lastRenderedPageBreak/>
        <w:t>mjsettineri@vorys.com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glpetrucci@vorys.com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witt@whitt-sturtevanat.com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campbell@whitt-sturtevanat.com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glover@whitt-sturtevanat.com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tdougherty@theoec.org</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mleppla@theoec.org</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jfinnigan@edf.com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rdove@attorneydove.com</w:t>
      </w:r>
    </w:p>
    <w:p w:rsidR="00920948" w:rsidRPr="00090D7B" w:rsidRDefault="00920948" w:rsidP="00920948">
      <w:pPr>
        <w:autoSpaceDE w:val="0"/>
        <w:autoSpaceDN w:val="0"/>
        <w:adjustRightInd w:val="0"/>
        <w:spacing w:after="0"/>
        <w:rPr>
          <w:rFonts w:ascii="Arial" w:hAnsi="Arial" w:cs="Arial"/>
          <w:color w:val="0000FF"/>
        </w:rPr>
      </w:pPr>
      <w:r w:rsidRPr="00090D7B">
        <w:rPr>
          <w:rFonts w:ascii="Arial" w:hAnsi="Arial" w:cs="Arial"/>
          <w:color w:val="0000FF"/>
        </w:rPr>
        <w:t>swilliams@nrdc.org</w:t>
      </w:r>
    </w:p>
    <w:p w:rsidR="006904E2" w:rsidRPr="00090D7B" w:rsidRDefault="00FB0B52" w:rsidP="0073460D">
      <w:pPr>
        <w:autoSpaceDE w:val="0"/>
        <w:autoSpaceDN w:val="0"/>
        <w:adjustRightInd w:val="0"/>
        <w:spacing w:after="0"/>
        <w:rPr>
          <w:rFonts w:ascii="Arial" w:hAnsi="Arial" w:cs="Arial"/>
          <w:color w:val="0000FF"/>
        </w:rPr>
      </w:pPr>
      <w:hyperlink r:id="rId15" w:history="1">
        <w:r w:rsidR="00920948" w:rsidRPr="00090D7B">
          <w:rPr>
            <w:rFonts w:ascii="Arial" w:hAnsi="Arial" w:cs="Arial"/>
            <w:color w:val="0000FF"/>
          </w:rPr>
          <w:t>cmooney@ohiopartners.org</w:t>
        </w:r>
      </w:hyperlink>
    </w:p>
    <w:p w:rsidR="00920948" w:rsidRPr="00090D7B" w:rsidRDefault="00FB0B52" w:rsidP="0073460D">
      <w:pPr>
        <w:autoSpaceDE w:val="0"/>
        <w:autoSpaceDN w:val="0"/>
        <w:adjustRightInd w:val="0"/>
        <w:spacing w:after="0"/>
        <w:rPr>
          <w:rFonts w:ascii="Arial" w:hAnsi="Arial" w:cs="Arial"/>
          <w:color w:val="0000FF"/>
        </w:rPr>
      </w:pPr>
      <w:hyperlink r:id="rId16" w:history="1">
        <w:r w:rsidR="00920948" w:rsidRPr="00090D7B">
          <w:rPr>
            <w:rFonts w:ascii="Arial" w:hAnsi="Arial" w:cs="Arial"/>
            <w:color w:val="0000FF"/>
          </w:rPr>
          <w:t>Patricia.Schabo@puco.ohio.gov</w:t>
        </w:r>
      </w:hyperlink>
    </w:p>
    <w:p w:rsidR="00920948" w:rsidRPr="00090D7B" w:rsidRDefault="00FB0B52" w:rsidP="0073460D">
      <w:pPr>
        <w:autoSpaceDE w:val="0"/>
        <w:autoSpaceDN w:val="0"/>
        <w:adjustRightInd w:val="0"/>
        <w:spacing w:after="0"/>
        <w:rPr>
          <w:rFonts w:ascii="Arial" w:hAnsi="Arial" w:cs="Arial"/>
        </w:rPr>
      </w:pPr>
      <w:hyperlink r:id="rId17" w:history="1">
        <w:r w:rsidR="00920948" w:rsidRPr="00090D7B">
          <w:rPr>
            <w:rFonts w:ascii="Arial" w:hAnsi="Arial" w:cs="Arial"/>
            <w:color w:val="0000FF"/>
          </w:rPr>
          <w:t>Greg.Price@puco.ohio.gov</w:t>
        </w:r>
      </w:hyperlink>
    </w:p>
    <w:p w:rsidR="00920948" w:rsidRDefault="00920948" w:rsidP="00920948">
      <w:pPr>
        <w:spacing w:line="480" w:lineRule="auto"/>
      </w:pPr>
    </w:p>
    <w:sectPr w:rsidR="00920948" w:rsidSect="007346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78" w:rsidRDefault="00231778" w:rsidP="00346E6A">
      <w:pPr>
        <w:spacing w:after="0"/>
      </w:pPr>
      <w:r>
        <w:separator/>
      </w:r>
    </w:p>
  </w:endnote>
  <w:endnote w:type="continuationSeparator" w:id="0">
    <w:p w:rsidR="00231778" w:rsidRDefault="00231778" w:rsidP="00346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C0" w:rsidRDefault="00A93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505642"/>
      <w:docPartObj>
        <w:docPartGallery w:val="Page Numbers (Bottom of Page)"/>
        <w:docPartUnique/>
      </w:docPartObj>
    </w:sdtPr>
    <w:sdtEndPr>
      <w:rPr>
        <w:noProof/>
      </w:rPr>
    </w:sdtEndPr>
    <w:sdtContent>
      <w:p w:rsidR="00A03E75" w:rsidRDefault="00A03E75">
        <w:pPr>
          <w:pStyle w:val="Footer"/>
          <w:jc w:val="center"/>
        </w:pPr>
        <w:r>
          <w:fldChar w:fldCharType="begin"/>
        </w:r>
        <w:r>
          <w:instrText xml:space="preserve"> PAGE   \* MERGEFORMAT </w:instrText>
        </w:r>
        <w:r>
          <w:fldChar w:fldCharType="separate"/>
        </w:r>
        <w:r w:rsidR="003A7629">
          <w:rPr>
            <w:noProof/>
          </w:rPr>
          <w:t>1</w:t>
        </w:r>
        <w:r>
          <w:rPr>
            <w:noProof/>
          </w:rPr>
          <w:fldChar w:fldCharType="end"/>
        </w:r>
      </w:p>
    </w:sdtContent>
  </w:sdt>
  <w:p w:rsidR="00A03E75" w:rsidRDefault="00A03E75">
    <w:pPr>
      <w:pStyle w:val="Footer"/>
      <w:jc w:val="center"/>
      <w:rP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C0" w:rsidRDefault="00A938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08139"/>
      <w:docPartObj>
        <w:docPartGallery w:val="Page Numbers (Bottom of Page)"/>
        <w:docPartUnique/>
      </w:docPartObj>
    </w:sdtPr>
    <w:sdtEndPr>
      <w:rPr>
        <w:noProof/>
      </w:rPr>
    </w:sdtEndPr>
    <w:sdtContent>
      <w:p w:rsidR="00A03E75" w:rsidRDefault="00A03E75">
        <w:pPr>
          <w:pStyle w:val="Footer"/>
          <w:jc w:val="center"/>
        </w:pPr>
        <w:r>
          <w:fldChar w:fldCharType="begin"/>
        </w:r>
        <w:r>
          <w:instrText xml:space="preserve"> PAGE   \* MERGEFORMAT </w:instrText>
        </w:r>
        <w:r>
          <w:fldChar w:fldCharType="separate"/>
        </w:r>
        <w:r w:rsidR="00FB0B52">
          <w:rPr>
            <w:noProof/>
          </w:rPr>
          <w:t>11</w:t>
        </w:r>
        <w:r>
          <w:rPr>
            <w:noProof/>
          </w:rPr>
          <w:fldChar w:fldCharType="end"/>
        </w:r>
      </w:p>
    </w:sdtContent>
  </w:sdt>
  <w:p w:rsidR="00A03E75" w:rsidRDefault="00A03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78" w:rsidRDefault="00231778" w:rsidP="00346E6A">
      <w:pPr>
        <w:spacing w:after="0"/>
      </w:pPr>
      <w:r>
        <w:separator/>
      </w:r>
    </w:p>
  </w:footnote>
  <w:footnote w:type="continuationSeparator" w:id="0">
    <w:p w:rsidR="00231778" w:rsidRDefault="00231778" w:rsidP="00346E6A">
      <w:pPr>
        <w:spacing w:after="0"/>
      </w:pPr>
      <w:r>
        <w:continuationSeparator/>
      </w:r>
    </w:p>
  </w:footnote>
  <w:footnote w:id="1">
    <w:p w:rsidR="00A03E75" w:rsidRDefault="00A03E75" w:rsidP="007B41A3">
      <w:pPr>
        <w:pStyle w:val="FootnoteText"/>
      </w:pPr>
      <w:r>
        <w:rPr>
          <w:rStyle w:val="FootnoteReference"/>
        </w:rPr>
        <w:footnoteRef/>
      </w:r>
      <w:r>
        <w:t xml:space="preserve"> DP&amp;L Alternative Generation Supplier Coordination Tariff, sheet G8, page 24 of 30</w:t>
      </w:r>
    </w:p>
  </w:footnote>
  <w:footnote w:id="2">
    <w:p w:rsidR="0077022C" w:rsidRDefault="0077022C" w:rsidP="0077022C">
      <w:pPr>
        <w:pStyle w:val="FootnoteText"/>
      </w:pPr>
      <w:r>
        <w:rPr>
          <w:rStyle w:val="FootnoteReference"/>
        </w:rPr>
        <w:footnoteRef/>
      </w:r>
      <w:r>
        <w:t xml:space="preserve"> DP&amp;L Alternative Generation Supplier Coordination Tariff, sheet G8, page 24 of 30</w:t>
      </w:r>
      <w:r w:rsidR="00C10E42">
        <w:t xml:space="preserve">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C0" w:rsidRDefault="00A93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75" w:rsidRPr="00346E6A" w:rsidRDefault="00A03E75" w:rsidP="00346E6A">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75" w:rsidRDefault="00A03E75" w:rsidP="00346E6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2B"/>
    <w:multiLevelType w:val="hybridMultilevel"/>
    <w:tmpl w:val="67BCF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C62E7"/>
    <w:multiLevelType w:val="hybridMultilevel"/>
    <w:tmpl w:val="FB24402E"/>
    <w:lvl w:ilvl="0" w:tplc="02364310">
      <w:start w:val="1"/>
      <w:numFmt w:val="decimal"/>
      <w:lvlText w:val="(%1)"/>
      <w:lvlJc w:val="left"/>
      <w:pPr>
        <w:ind w:left="117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787F19"/>
    <w:multiLevelType w:val="hybridMultilevel"/>
    <w:tmpl w:val="6C24FA60"/>
    <w:lvl w:ilvl="0" w:tplc="C64E13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D7928"/>
    <w:multiLevelType w:val="hybridMultilevel"/>
    <w:tmpl w:val="80466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F9557F"/>
    <w:multiLevelType w:val="hybridMultilevel"/>
    <w:tmpl w:val="54629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06256"/>
    <w:multiLevelType w:val="hybridMultilevel"/>
    <w:tmpl w:val="95B85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697FEA"/>
    <w:multiLevelType w:val="multilevel"/>
    <w:tmpl w:val="9E5CB584"/>
    <w:name w:val="(Unnamed Numbering Scheme)"/>
    <w:lvl w:ilvl="0">
      <w:start w:val="1"/>
      <w:numFmt w:val="none"/>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3"/>
      <w:numFmt w:val="none"/>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pStyle w:val="Heading3"/>
      <w:lvlText w:val="%3."/>
      <w:lvlJc w:val="right"/>
      <w:pPr>
        <w:tabs>
          <w:tab w:val="num" w:pos="720"/>
        </w:tabs>
        <w:ind w:left="720" w:hanging="720"/>
      </w:pPr>
      <w:rPr>
        <w:rFonts w:ascii="Arial" w:hAnsi="Arial" w:cs="Arial" w:hint="default"/>
        <w:b/>
        <w:i w:val="0"/>
        <w:caps w:val="0"/>
        <w:color w:val="000000"/>
        <w:sz w:val="24"/>
        <w:u w:val="none"/>
      </w:rPr>
    </w:lvl>
    <w:lvl w:ilvl="3">
      <w:start w:val="1"/>
      <w:numFmt w:val="none"/>
      <w:lvlText w:val=""/>
      <w:lvlJc w:val="left"/>
      <w:pPr>
        <w:tabs>
          <w:tab w:val="num" w:pos="1440"/>
        </w:tabs>
        <w:ind w:left="0" w:firstLine="0"/>
      </w:pPr>
      <w:rPr>
        <w:rFonts w:cs="Times New Roman" w:hint="default"/>
        <w:b w:val="0"/>
        <w:i w:val="0"/>
        <w:caps w:val="0"/>
        <w:color w:val="000000"/>
        <w:u w:val="none"/>
      </w:rPr>
    </w:lvl>
    <w:lvl w:ilvl="4">
      <w:start w:val="1"/>
      <w:numFmt w:val="none"/>
      <w:lvlText w:val=""/>
      <w:lvlJc w:val="left"/>
      <w:pPr>
        <w:tabs>
          <w:tab w:val="num" w:pos="1800"/>
        </w:tabs>
        <w:ind w:left="0" w:firstLine="0"/>
      </w:pPr>
      <w:rPr>
        <w:rFonts w:cs="Times New Roman" w:hint="default"/>
        <w:b w:val="0"/>
        <w:i w:val="0"/>
        <w:caps w:val="0"/>
        <w:color w:val="000000"/>
        <w:u w:val="none"/>
      </w:rPr>
    </w:lvl>
    <w:lvl w:ilvl="5">
      <w:start w:val="1"/>
      <w:numFmt w:val="none"/>
      <w:lvlText w:val=""/>
      <w:lvlJc w:val="left"/>
      <w:pPr>
        <w:tabs>
          <w:tab w:val="num" w:pos="2160"/>
        </w:tabs>
        <w:ind w:left="0" w:firstLine="0"/>
      </w:pPr>
      <w:rPr>
        <w:rFonts w:cs="Times New Roman" w:hint="default"/>
        <w:b w:val="0"/>
        <w:i w:val="0"/>
        <w:caps w:val="0"/>
        <w:color w:val="000000"/>
        <w:u w:val="none"/>
      </w:rPr>
    </w:lvl>
    <w:lvl w:ilvl="6">
      <w:start w:val="1"/>
      <w:numFmt w:val="none"/>
      <w:lvlText w:val=""/>
      <w:lvlJc w:val="left"/>
      <w:pPr>
        <w:tabs>
          <w:tab w:val="num" w:pos="2520"/>
        </w:tabs>
        <w:ind w:left="0" w:firstLine="0"/>
      </w:pPr>
      <w:rPr>
        <w:rFonts w:cs="Times New Roman" w:hint="default"/>
        <w:b w:val="0"/>
        <w:i w:val="0"/>
        <w:caps w:val="0"/>
        <w:color w:val="000000"/>
        <w:u w:val="none"/>
      </w:rPr>
    </w:lvl>
    <w:lvl w:ilvl="7">
      <w:start w:val="1"/>
      <w:numFmt w:val="none"/>
      <w:lvlText w:val=""/>
      <w:lvlJc w:val="left"/>
      <w:pPr>
        <w:tabs>
          <w:tab w:val="num" w:pos="2880"/>
        </w:tabs>
        <w:ind w:left="0" w:firstLine="0"/>
      </w:pPr>
      <w:rPr>
        <w:rFonts w:cs="Times New Roman" w:hint="default"/>
        <w:b w:val="0"/>
        <w:i w:val="0"/>
        <w:caps w:val="0"/>
        <w:color w:val="000000"/>
        <w:u w:val="none"/>
      </w:rPr>
    </w:lvl>
    <w:lvl w:ilvl="8">
      <w:start w:val="1"/>
      <w:numFmt w:val="none"/>
      <w:lvlText w:val=""/>
      <w:lvlJc w:val="left"/>
      <w:pPr>
        <w:tabs>
          <w:tab w:val="num" w:pos="3240"/>
        </w:tabs>
        <w:ind w:left="0" w:firstLine="0"/>
      </w:pPr>
      <w:rPr>
        <w:rFonts w:cs="Times New Roman" w:hint="default"/>
        <w:b w:val="0"/>
        <w:i w:val="0"/>
        <w:caps w:val="0"/>
        <w:color w:val="000000"/>
        <w:u w:val="none"/>
      </w:rPr>
    </w:lvl>
  </w:abstractNum>
  <w:abstractNum w:abstractNumId="7" w15:restartNumberingAfterBreak="0">
    <w:nsid w:val="4AC81FEC"/>
    <w:multiLevelType w:val="multilevel"/>
    <w:tmpl w:val="C25A84E2"/>
    <w:name w:val="Testimony"/>
    <w:lvl w:ilvl="0">
      <w:start w:val="1"/>
      <w:numFmt w:val="none"/>
      <w:pStyle w:val="Heading1"/>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1"/>
      <w:numFmt w:val="none"/>
      <w:pStyle w:val="Heading2"/>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lvlRestart w:val="0"/>
      <w:lvlText w:val="%3."/>
      <w:lvlJc w:val="left"/>
      <w:pPr>
        <w:tabs>
          <w:tab w:val="num" w:pos="720"/>
        </w:tabs>
        <w:ind w:left="720" w:hanging="720"/>
      </w:pPr>
      <w:rPr>
        <w:rFonts w:ascii="Arial" w:hAnsi="Arial" w:cs="Arial" w:hint="default"/>
        <w:b/>
        <w:i w:val="0"/>
        <w:caps w:val="0"/>
        <w:color w:val="000000"/>
        <w:u w:val="none"/>
      </w:rPr>
    </w:lvl>
    <w:lvl w:ilvl="3">
      <w:start w:val="1"/>
      <w:numFmt w:val="upperLetter"/>
      <w:lvlRestart w:val="0"/>
      <w:pStyle w:val="Heading4"/>
      <w:lvlText w:val="(%4)"/>
      <w:lvlJc w:val="left"/>
      <w:pPr>
        <w:tabs>
          <w:tab w:val="num" w:pos="1440"/>
        </w:tabs>
        <w:ind w:left="720" w:firstLine="0"/>
      </w:pPr>
      <w:rPr>
        <w:rFonts w:hint="default"/>
        <w:b/>
        <w:i/>
        <w:caps w:val="0"/>
        <w:color w:val="000000"/>
        <w:u w:val="none"/>
      </w:rPr>
    </w:lvl>
    <w:lvl w:ilvl="4">
      <w:start w:val="1"/>
      <w:numFmt w:val="none"/>
      <w:lvlText w:val=""/>
      <w:lvlJc w:val="left"/>
      <w:pPr>
        <w:tabs>
          <w:tab w:val="num" w:pos="1800"/>
        </w:tabs>
        <w:ind w:left="0" w:firstLine="0"/>
      </w:pPr>
      <w:rPr>
        <w:rFonts w:ascii="Courier New" w:hAnsi="Courier New" w:cs="Courier New" w:hint="default"/>
        <w:b w:val="0"/>
        <w:i w:val="0"/>
        <w:caps w:val="0"/>
        <w:color w:val="000000"/>
        <w:u w:val="none"/>
      </w:rPr>
    </w:lvl>
    <w:lvl w:ilvl="5">
      <w:start w:val="1"/>
      <w:numFmt w:val="none"/>
      <w:pStyle w:val="Heading6"/>
      <w:lvlText w:val=""/>
      <w:lvlJc w:val="left"/>
      <w:pPr>
        <w:tabs>
          <w:tab w:val="num" w:pos="2160"/>
        </w:tabs>
        <w:ind w:left="0" w:firstLine="0"/>
      </w:pPr>
      <w:rPr>
        <w:rFonts w:ascii="Times New Roman" w:hAnsi="Times New Roman" w:cs="Times New Roman" w:hint="default"/>
        <w:b w:val="0"/>
        <w:i w:val="0"/>
        <w:caps w:val="0"/>
        <w:color w:val="000000"/>
        <w:u w:val="none"/>
      </w:rPr>
    </w:lvl>
    <w:lvl w:ilvl="6">
      <w:start w:val="1"/>
      <w:numFmt w:val="none"/>
      <w:pStyle w:val="Heading7"/>
      <w:lvlText w:val=""/>
      <w:lvlJc w:val="left"/>
      <w:pPr>
        <w:tabs>
          <w:tab w:val="num" w:pos="2520"/>
        </w:tabs>
        <w:ind w:left="0" w:firstLine="0"/>
      </w:pPr>
      <w:rPr>
        <w:rFonts w:ascii="Times New Roman" w:hAnsi="Times New Roman" w:cs="Times New Roman" w:hint="default"/>
        <w:b w:val="0"/>
        <w:i w:val="0"/>
        <w:caps w:val="0"/>
        <w:color w:val="000000"/>
        <w:u w:val="none"/>
      </w:rPr>
    </w:lvl>
    <w:lvl w:ilvl="7">
      <w:start w:val="1"/>
      <w:numFmt w:val="none"/>
      <w:pStyle w:val="Heading8"/>
      <w:lvlText w:val=""/>
      <w:lvlJc w:val="left"/>
      <w:pPr>
        <w:tabs>
          <w:tab w:val="num" w:pos="2880"/>
        </w:tabs>
        <w:ind w:left="0" w:firstLine="0"/>
      </w:pPr>
      <w:rPr>
        <w:rFonts w:ascii="Courier New" w:hAnsi="Courier New" w:cs="Courier New" w:hint="default"/>
        <w:b w:val="0"/>
        <w:i w:val="0"/>
        <w:caps w:val="0"/>
        <w:color w:val="000000"/>
        <w:u w:val="none"/>
      </w:rPr>
    </w:lvl>
    <w:lvl w:ilvl="8">
      <w:start w:val="1"/>
      <w:numFmt w:val="none"/>
      <w:pStyle w:val="Heading9"/>
      <w:lvlText w:val=""/>
      <w:lvlJc w:val="left"/>
      <w:pPr>
        <w:tabs>
          <w:tab w:val="num" w:pos="3240"/>
        </w:tabs>
        <w:ind w:left="0" w:firstLine="0"/>
      </w:pPr>
      <w:rPr>
        <w:rFonts w:ascii="Times New Roman" w:hAnsi="Times New Roman" w:cs="Times New Roman" w:hint="default"/>
        <w:b w:val="0"/>
        <w:i w:val="0"/>
        <w:caps w:val="0"/>
        <w:color w:val="000000"/>
        <w:u w:val="none"/>
      </w:rPr>
    </w:lvl>
  </w:abstractNum>
  <w:abstractNum w:abstractNumId="8" w15:restartNumberingAfterBreak="0">
    <w:nsid w:val="50BE5903"/>
    <w:multiLevelType w:val="hybridMultilevel"/>
    <w:tmpl w:val="40B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82B08"/>
    <w:multiLevelType w:val="hybridMultilevel"/>
    <w:tmpl w:val="24EE3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8"/>
  </w:num>
  <w:num w:numId="6">
    <w:abstractNumId w:val="9"/>
  </w:num>
  <w:num w:numId="7">
    <w:abstractNumId w:val="3"/>
  </w:num>
  <w:num w:numId="8">
    <w:abstractNumId w:val="7"/>
    <w:lvlOverride w:ilvl="0">
      <w:startOverride w:val="1"/>
    </w:lvlOverride>
    <w:lvlOverride w:ilvl="1">
      <w:startOverride w:val="1"/>
    </w:lvlOverride>
    <w:lvlOverride w:ilvl="2">
      <w:startOverride w:val="4"/>
    </w:lvlOverride>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removePersonalInformation/>
  <w:removeDateAndTime/>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6A"/>
    <w:rsid w:val="00005A13"/>
    <w:rsid w:val="00013808"/>
    <w:rsid w:val="00017F1D"/>
    <w:rsid w:val="000201D9"/>
    <w:rsid w:val="000240D1"/>
    <w:rsid w:val="0002432C"/>
    <w:rsid w:val="00032B0E"/>
    <w:rsid w:val="00034CA3"/>
    <w:rsid w:val="00040422"/>
    <w:rsid w:val="000460E9"/>
    <w:rsid w:val="00051892"/>
    <w:rsid w:val="000639D4"/>
    <w:rsid w:val="00064C5B"/>
    <w:rsid w:val="00074060"/>
    <w:rsid w:val="00082E32"/>
    <w:rsid w:val="00082FAF"/>
    <w:rsid w:val="00083A54"/>
    <w:rsid w:val="00086655"/>
    <w:rsid w:val="00090D7B"/>
    <w:rsid w:val="00093C7C"/>
    <w:rsid w:val="000949C5"/>
    <w:rsid w:val="00094C75"/>
    <w:rsid w:val="00095104"/>
    <w:rsid w:val="000A02F8"/>
    <w:rsid w:val="000A237F"/>
    <w:rsid w:val="000A5D8E"/>
    <w:rsid w:val="000A7D15"/>
    <w:rsid w:val="000B14E8"/>
    <w:rsid w:val="000B3413"/>
    <w:rsid w:val="000B3887"/>
    <w:rsid w:val="000B4E5F"/>
    <w:rsid w:val="000B4FE4"/>
    <w:rsid w:val="000B5120"/>
    <w:rsid w:val="000B53AC"/>
    <w:rsid w:val="000C2494"/>
    <w:rsid w:val="000C262D"/>
    <w:rsid w:val="000C4199"/>
    <w:rsid w:val="000C7A49"/>
    <w:rsid w:val="000C7CA8"/>
    <w:rsid w:val="000D1FD2"/>
    <w:rsid w:val="000D4B96"/>
    <w:rsid w:val="000F0864"/>
    <w:rsid w:val="00102CE3"/>
    <w:rsid w:val="001071EB"/>
    <w:rsid w:val="00110A6C"/>
    <w:rsid w:val="001111EF"/>
    <w:rsid w:val="0011222D"/>
    <w:rsid w:val="00112A49"/>
    <w:rsid w:val="00117C83"/>
    <w:rsid w:val="00124F50"/>
    <w:rsid w:val="00126111"/>
    <w:rsid w:val="001318EF"/>
    <w:rsid w:val="00134194"/>
    <w:rsid w:val="0013649E"/>
    <w:rsid w:val="00142AB1"/>
    <w:rsid w:val="00143FED"/>
    <w:rsid w:val="0014682B"/>
    <w:rsid w:val="00147661"/>
    <w:rsid w:val="001513E5"/>
    <w:rsid w:val="00152803"/>
    <w:rsid w:val="00161FAF"/>
    <w:rsid w:val="001621C6"/>
    <w:rsid w:val="00164273"/>
    <w:rsid w:val="00171D8A"/>
    <w:rsid w:val="001777C2"/>
    <w:rsid w:val="001813A7"/>
    <w:rsid w:val="00185FC5"/>
    <w:rsid w:val="001916DA"/>
    <w:rsid w:val="0019479A"/>
    <w:rsid w:val="001A3B5F"/>
    <w:rsid w:val="001A57A8"/>
    <w:rsid w:val="001B59AD"/>
    <w:rsid w:val="001C0CA6"/>
    <w:rsid w:val="001C390B"/>
    <w:rsid w:val="001C5683"/>
    <w:rsid w:val="001C5A75"/>
    <w:rsid w:val="001C5AE2"/>
    <w:rsid w:val="001C7571"/>
    <w:rsid w:val="001D32EB"/>
    <w:rsid w:val="001D3695"/>
    <w:rsid w:val="001E2037"/>
    <w:rsid w:val="001E5B02"/>
    <w:rsid w:val="001F17B4"/>
    <w:rsid w:val="001F563F"/>
    <w:rsid w:val="001F71B0"/>
    <w:rsid w:val="00200BFC"/>
    <w:rsid w:val="00203F6B"/>
    <w:rsid w:val="0021373E"/>
    <w:rsid w:val="0022114A"/>
    <w:rsid w:val="00231778"/>
    <w:rsid w:val="002319CE"/>
    <w:rsid w:val="00233339"/>
    <w:rsid w:val="00236F37"/>
    <w:rsid w:val="00237E87"/>
    <w:rsid w:val="00240BE3"/>
    <w:rsid w:val="00241A1C"/>
    <w:rsid w:val="002462E8"/>
    <w:rsid w:val="002552C2"/>
    <w:rsid w:val="00281AA5"/>
    <w:rsid w:val="00292AEF"/>
    <w:rsid w:val="002979E1"/>
    <w:rsid w:val="002A7D02"/>
    <w:rsid w:val="002B00E1"/>
    <w:rsid w:val="002B2DE9"/>
    <w:rsid w:val="002B3CDC"/>
    <w:rsid w:val="002B697B"/>
    <w:rsid w:val="002B786B"/>
    <w:rsid w:val="002C3049"/>
    <w:rsid w:val="002C3983"/>
    <w:rsid w:val="002C3DBB"/>
    <w:rsid w:val="002C701B"/>
    <w:rsid w:val="002D21BB"/>
    <w:rsid w:val="002D2873"/>
    <w:rsid w:val="002E05AB"/>
    <w:rsid w:val="002E442C"/>
    <w:rsid w:val="002E55E1"/>
    <w:rsid w:val="002E590A"/>
    <w:rsid w:val="002E5934"/>
    <w:rsid w:val="002E5AFF"/>
    <w:rsid w:val="002E7077"/>
    <w:rsid w:val="002F4A81"/>
    <w:rsid w:val="002F62F9"/>
    <w:rsid w:val="002F7533"/>
    <w:rsid w:val="003054DD"/>
    <w:rsid w:val="00331732"/>
    <w:rsid w:val="003329EE"/>
    <w:rsid w:val="003360B7"/>
    <w:rsid w:val="00337D7C"/>
    <w:rsid w:val="00344308"/>
    <w:rsid w:val="003462ED"/>
    <w:rsid w:val="00346E6A"/>
    <w:rsid w:val="00350FD8"/>
    <w:rsid w:val="00355DE4"/>
    <w:rsid w:val="0035613B"/>
    <w:rsid w:val="0035664C"/>
    <w:rsid w:val="003607A9"/>
    <w:rsid w:val="003610AB"/>
    <w:rsid w:val="0036162F"/>
    <w:rsid w:val="00362845"/>
    <w:rsid w:val="003759B2"/>
    <w:rsid w:val="003830F6"/>
    <w:rsid w:val="00385259"/>
    <w:rsid w:val="003876D7"/>
    <w:rsid w:val="003A028A"/>
    <w:rsid w:val="003A1A01"/>
    <w:rsid w:val="003A419D"/>
    <w:rsid w:val="003A7244"/>
    <w:rsid w:val="003A7629"/>
    <w:rsid w:val="003A7633"/>
    <w:rsid w:val="003B2DD0"/>
    <w:rsid w:val="003B6770"/>
    <w:rsid w:val="003B6CB9"/>
    <w:rsid w:val="003B6CC0"/>
    <w:rsid w:val="003C00F3"/>
    <w:rsid w:val="003C14A2"/>
    <w:rsid w:val="003D0DC0"/>
    <w:rsid w:val="003D28F5"/>
    <w:rsid w:val="003D3C1D"/>
    <w:rsid w:val="003D56F9"/>
    <w:rsid w:val="003E0F5E"/>
    <w:rsid w:val="003E16A6"/>
    <w:rsid w:val="003E17E5"/>
    <w:rsid w:val="003E3C61"/>
    <w:rsid w:val="003E6972"/>
    <w:rsid w:val="003E6D41"/>
    <w:rsid w:val="003E6F69"/>
    <w:rsid w:val="003F259E"/>
    <w:rsid w:val="003F534D"/>
    <w:rsid w:val="00404B96"/>
    <w:rsid w:val="00405C01"/>
    <w:rsid w:val="00412B52"/>
    <w:rsid w:val="0041363E"/>
    <w:rsid w:val="00415224"/>
    <w:rsid w:val="00415291"/>
    <w:rsid w:val="004155CC"/>
    <w:rsid w:val="00420D2E"/>
    <w:rsid w:val="00437F46"/>
    <w:rsid w:val="00447CFA"/>
    <w:rsid w:val="00450E65"/>
    <w:rsid w:val="004645C6"/>
    <w:rsid w:val="004716CE"/>
    <w:rsid w:val="00474F8F"/>
    <w:rsid w:val="00475617"/>
    <w:rsid w:val="00476460"/>
    <w:rsid w:val="004802B8"/>
    <w:rsid w:val="00481575"/>
    <w:rsid w:val="00483097"/>
    <w:rsid w:val="00486316"/>
    <w:rsid w:val="0049029B"/>
    <w:rsid w:val="00492A3D"/>
    <w:rsid w:val="00496BDD"/>
    <w:rsid w:val="00496CE9"/>
    <w:rsid w:val="004A1C6A"/>
    <w:rsid w:val="004A2C64"/>
    <w:rsid w:val="004A550C"/>
    <w:rsid w:val="004B05DE"/>
    <w:rsid w:val="004B1CB0"/>
    <w:rsid w:val="004B3D9E"/>
    <w:rsid w:val="004B5FE9"/>
    <w:rsid w:val="004B68A0"/>
    <w:rsid w:val="004C43A0"/>
    <w:rsid w:val="004D2B5E"/>
    <w:rsid w:val="004D46F2"/>
    <w:rsid w:val="004D563D"/>
    <w:rsid w:val="004E307D"/>
    <w:rsid w:val="004E4ADF"/>
    <w:rsid w:val="004E6025"/>
    <w:rsid w:val="004E6DFA"/>
    <w:rsid w:val="004E7533"/>
    <w:rsid w:val="004E7ECE"/>
    <w:rsid w:val="004F50D9"/>
    <w:rsid w:val="004F59C1"/>
    <w:rsid w:val="0050020C"/>
    <w:rsid w:val="00500340"/>
    <w:rsid w:val="005075AC"/>
    <w:rsid w:val="00507DA9"/>
    <w:rsid w:val="00513A76"/>
    <w:rsid w:val="00515FC7"/>
    <w:rsid w:val="00526C9A"/>
    <w:rsid w:val="00526EB6"/>
    <w:rsid w:val="00531BC6"/>
    <w:rsid w:val="00532C68"/>
    <w:rsid w:val="005341F6"/>
    <w:rsid w:val="005448C7"/>
    <w:rsid w:val="00544D12"/>
    <w:rsid w:val="00546686"/>
    <w:rsid w:val="00547DF2"/>
    <w:rsid w:val="005553F9"/>
    <w:rsid w:val="005564A4"/>
    <w:rsid w:val="00573171"/>
    <w:rsid w:val="0057436F"/>
    <w:rsid w:val="00576878"/>
    <w:rsid w:val="00597810"/>
    <w:rsid w:val="005A1403"/>
    <w:rsid w:val="005A36AB"/>
    <w:rsid w:val="005A36F3"/>
    <w:rsid w:val="005A4E86"/>
    <w:rsid w:val="005B24F9"/>
    <w:rsid w:val="005B499D"/>
    <w:rsid w:val="005C0CF6"/>
    <w:rsid w:val="005C6175"/>
    <w:rsid w:val="005C6A6D"/>
    <w:rsid w:val="005C6D7D"/>
    <w:rsid w:val="005E0BB8"/>
    <w:rsid w:val="005E1ED2"/>
    <w:rsid w:val="005E4A77"/>
    <w:rsid w:val="005F22CF"/>
    <w:rsid w:val="005F2C86"/>
    <w:rsid w:val="00606589"/>
    <w:rsid w:val="00606AE3"/>
    <w:rsid w:val="00610C4D"/>
    <w:rsid w:val="00612176"/>
    <w:rsid w:val="00615406"/>
    <w:rsid w:val="006207DD"/>
    <w:rsid w:val="00622581"/>
    <w:rsid w:val="006234AB"/>
    <w:rsid w:val="006238E7"/>
    <w:rsid w:val="00637D3B"/>
    <w:rsid w:val="00642150"/>
    <w:rsid w:val="0065030B"/>
    <w:rsid w:val="00652CC1"/>
    <w:rsid w:val="00653482"/>
    <w:rsid w:val="00657A35"/>
    <w:rsid w:val="00661327"/>
    <w:rsid w:val="00666855"/>
    <w:rsid w:val="00666C21"/>
    <w:rsid w:val="00667822"/>
    <w:rsid w:val="00683FAB"/>
    <w:rsid w:val="00684A7F"/>
    <w:rsid w:val="00685CBA"/>
    <w:rsid w:val="00687FEB"/>
    <w:rsid w:val="006904E2"/>
    <w:rsid w:val="006A158E"/>
    <w:rsid w:val="006A2316"/>
    <w:rsid w:val="006A2A18"/>
    <w:rsid w:val="006B176E"/>
    <w:rsid w:val="006B50B1"/>
    <w:rsid w:val="006C360D"/>
    <w:rsid w:val="006C4628"/>
    <w:rsid w:val="006C4833"/>
    <w:rsid w:val="006C516F"/>
    <w:rsid w:val="006C59D4"/>
    <w:rsid w:val="006D0643"/>
    <w:rsid w:val="006D19D3"/>
    <w:rsid w:val="006D3343"/>
    <w:rsid w:val="006E00E6"/>
    <w:rsid w:val="006E1169"/>
    <w:rsid w:val="006E2644"/>
    <w:rsid w:val="006F4D23"/>
    <w:rsid w:val="006F77F9"/>
    <w:rsid w:val="007048F4"/>
    <w:rsid w:val="007120C2"/>
    <w:rsid w:val="00724DCB"/>
    <w:rsid w:val="0072565F"/>
    <w:rsid w:val="00727B24"/>
    <w:rsid w:val="00730BD4"/>
    <w:rsid w:val="0073460D"/>
    <w:rsid w:val="00737AD2"/>
    <w:rsid w:val="00760588"/>
    <w:rsid w:val="007637FC"/>
    <w:rsid w:val="00764D3C"/>
    <w:rsid w:val="0077022C"/>
    <w:rsid w:val="00773198"/>
    <w:rsid w:val="007761E5"/>
    <w:rsid w:val="00776F6B"/>
    <w:rsid w:val="007878E8"/>
    <w:rsid w:val="0079078E"/>
    <w:rsid w:val="007A691E"/>
    <w:rsid w:val="007B4051"/>
    <w:rsid w:val="007B41A3"/>
    <w:rsid w:val="007C018B"/>
    <w:rsid w:val="007C5485"/>
    <w:rsid w:val="007C730F"/>
    <w:rsid w:val="007E4A66"/>
    <w:rsid w:val="007F6781"/>
    <w:rsid w:val="00800B0F"/>
    <w:rsid w:val="008048E5"/>
    <w:rsid w:val="00807DD4"/>
    <w:rsid w:val="00813AFC"/>
    <w:rsid w:val="0081466F"/>
    <w:rsid w:val="00815D7A"/>
    <w:rsid w:val="00822927"/>
    <w:rsid w:val="00830759"/>
    <w:rsid w:val="00831B07"/>
    <w:rsid w:val="00841F3A"/>
    <w:rsid w:val="0084526E"/>
    <w:rsid w:val="0084663D"/>
    <w:rsid w:val="0084739D"/>
    <w:rsid w:val="00852D36"/>
    <w:rsid w:val="00856C33"/>
    <w:rsid w:val="00860EC2"/>
    <w:rsid w:val="00860EE1"/>
    <w:rsid w:val="008611FB"/>
    <w:rsid w:val="00863E2A"/>
    <w:rsid w:val="008707CD"/>
    <w:rsid w:val="0087697E"/>
    <w:rsid w:val="00883391"/>
    <w:rsid w:val="008A02EC"/>
    <w:rsid w:val="008A2270"/>
    <w:rsid w:val="008A506E"/>
    <w:rsid w:val="008A6FEA"/>
    <w:rsid w:val="008A792C"/>
    <w:rsid w:val="008B31BE"/>
    <w:rsid w:val="008B664E"/>
    <w:rsid w:val="008D7075"/>
    <w:rsid w:val="008E0008"/>
    <w:rsid w:val="008E066D"/>
    <w:rsid w:val="008E2C4E"/>
    <w:rsid w:val="008E33DA"/>
    <w:rsid w:val="008E37F8"/>
    <w:rsid w:val="008E4EE2"/>
    <w:rsid w:val="008F1E14"/>
    <w:rsid w:val="008F237F"/>
    <w:rsid w:val="008F3793"/>
    <w:rsid w:val="008F4514"/>
    <w:rsid w:val="00900987"/>
    <w:rsid w:val="009047E2"/>
    <w:rsid w:val="00910DBA"/>
    <w:rsid w:val="00920948"/>
    <w:rsid w:val="00920A44"/>
    <w:rsid w:val="00921628"/>
    <w:rsid w:val="009252B7"/>
    <w:rsid w:val="00937998"/>
    <w:rsid w:val="009420A1"/>
    <w:rsid w:val="009457EA"/>
    <w:rsid w:val="00955FAE"/>
    <w:rsid w:val="00967A99"/>
    <w:rsid w:val="00983008"/>
    <w:rsid w:val="0098398D"/>
    <w:rsid w:val="009901F9"/>
    <w:rsid w:val="009914E8"/>
    <w:rsid w:val="009A5D6B"/>
    <w:rsid w:val="009B0746"/>
    <w:rsid w:val="009B186A"/>
    <w:rsid w:val="009B3179"/>
    <w:rsid w:val="009B7083"/>
    <w:rsid w:val="009D00A1"/>
    <w:rsid w:val="009D0EC4"/>
    <w:rsid w:val="009D1269"/>
    <w:rsid w:val="009E18ED"/>
    <w:rsid w:val="009F2FCE"/>
    <w:rsid w:val="009F419D"/>
    <w:rsid w:val="009F761B"/>
    <w:rsid w:val="009F7B15"/>
    <w:rsid w:val="00A00827"/>
    <w:rsid w:val="00A00AC1"/>
    <w:rsid w:val="00A0121D"/>
    <w:rsid w:val="00A029DD"/>
    <w:rsid w:val="00A03E75"/>
    <w:rsid w:val="00A11FBC"/>
    <w:rsid w:val="00A12AE5"/>
    <w:rsid w:val="00A21731"/>
    <w:rsid w:val="00A2280E"/>
    <w:rsid w:val="00A266AF"/>
    <w:rsid w:val="00A27800"/>
    <w:rsid w:val="00A30F16"/>
    <w:rsid w:val="00A34500"/>
    <w:rsid w:val="00A423CF"/>
    <w:rsid w:val="00A441EC"/>
    <w:rsid w:val="00A46156"/>
    <w:rsid w:val="00A517C4"/>
    <w:rsid w:val="00A52D4E"/>
    <w:rsid w:val="00A60E92"/>
    <w:rsid w:val="00A66B75"/>
    <w:rsid w:val="00A74900"/>
    <w:rsid w:val="00A8022C"/>
    <w:rsid w:val="00A8268E"/>
    <w:rsid w:val="00A82E19"/>
    <w:rsid w:val="00A938C0"/>
    <w:rsid w:val="00A95825"/>
    <w:rsid w:val="00AA50E4"/>
    <w:rsid w:val="00AC0D2F"/>
    <w:rsid w:val="00AC276D"/>
    <w:rsid w:val="00AC46CE"/>
    <w:rsid w:val="00AD282F"/>
    <w:rsid w:val="00AD33C6"/>
    <w:rsid w:val="00AD7AF3"/>
    <w:rsid w:val="00AE0FD2"/>
    <w:rsid w:val="00AF1983"/>
    <w:rsid w:val="00AF19FA"/>
    <w:rsid w:val="00B009DC"/>
    <w:rsid w:val="00B076CF"/>
    <w:rsid w:val="00B11088"/>
    <w:rsid w:val="00B11827"/>
    <w:rsid w:val="00B240FC"/>
    <w:rsid w:val="00B3013C"/>
    <w:rsid w:val="00B35341"/>
    <w:rsid w:val="00B50BDD"/>
    <w:rsid w:val="00B52D7C"/>
    <w:rsid w:val="00B53F84"/>
    <w:rsid w:val="00B56213"/>
    <w:rsid w:val="00B613E0"/>
    <w:rsid w:val="00B6479D"/>
    <w:rsid w:val="00B6593D"/>
    <w:rsid w:val="00B67AE9"/>
    <w:rsid w:val="00B67B52"/>
    <w:rsid w:val="00B772A5"/>
    <w:rsid w:val="00B8285A"/>
    <w:rsid w:val="00B82880"/>
    <w:rsid w:val="00B841D3"/>
    <w:rsid w:val="00B87993"/>
    <w:rsid w:val="00B908AD"/>
    <w:rsid w:val="00B96C13"/>
    <w:rsid w:val="00B97749"/>
    <w:rsid w:val="00BA0331"/>
    <w:rsid w:val="00BB4341"/>
    <w:rsid w:val="00BB7966"/>
    <w:rsid w:val="00BD280F"/>
    <w:rsid w:val="00BD3E50"/>
    <w:rsid w:val="00BD778F"/>
    <w:rsid w:val="00BD7FCB"/>
    <w:rsid w:val="00BE0366"/>
    <w:rsid w:val="00BE045C"/>
    <w:rsid w:val="00BE1041"/>
    <w:rsid w:val="00BE229F"/>
    <w:rsid w:val="00BE3B7F"/>
    <w:rsid w:val="00BE61CE"/>
    <w:rsid w:val="00BF00A6"/>
    <w:rsid w:val="00BF030A"/>
    <w:rsid w:val="00BF13C6"/>
    <w:rsid w:val="00BF2E2F"/>
    <w:rsid w:val="00BF6DDA"/>
    <w:rsid w:val="00C01552"/>
    <w:rsid w:val="00C01A2B"/>
    <w:rsid w:val="00C03B05"/>
    <w:rsid w:val="00C06F75"/>
    <w:rsid w:val="00C07FF7"/>
    <w:rsid w:val="00C10E42"/>
    <w:rsid w:val="00C30AF3"/>
    <w:rsid w:val="00C34662"/>
    <w:rsid w:val="00C45359"/>
    <w:rsid w:val="00C462E1"/>
    <w:rsid w:val="00C47588"/>
    <w:rsid w:val="00C53475"/>
    <w:rsid w:val="00C644BE"/>
    <w:rsid w:val="00C721C1"/>
    <w:rsid w:val="00C7249F"/>
    <w:rsid w:val="00C757EB"/>
    <w:rsid w:val="00C838E7"/>
    <w:rsid w:val="00C86A46"/>
    <w:rsid w:val="00C86E68"/>
    <w:rsid w:val="00C92B10"/>
    <w:rsid w:val="00CA2576"/>
    <w:rsid w:val="00CA2959"/>
    <w:rsid w:val="00CA77E6"/>
    <w:rsid w:val="00CB0390"/>
    <w:rsid w:val="00CB408C"/>
    <w:rsid w:val="00CB46E9"/>
    <w:rsid w:val="00CB51B0"/>
    <w:rsid w:val="00CD2B55"/>
    <w:rsid w:val="00CE68AD"/>
    <w:rsid w:val="00CF05A3"/>
    <w:rsid w:val="00CF3FE7"/>
    <w:rsid w:val="00D256CB"/>
    <w:rsid w:val="00D3104D"/>
    <w:rsid w:val="00D31D7A"/>
    <w:rsid w:val="00D42664"/>
    <w:rsid w:val="00D4300E"/>
    <w:rsid w:val="00D43F3A"/>
    <w:rsid w:val="00D46A3A"/>
    <w:rsid w:val="00D55880"/>
    <w:rsid w:val="00D57697"/>
    <w:rsid w:val="00D609AE"/>
    <w:rsid w:val="00D611E8"/>
    <w:rsid w:val="00D61692"/>
    <w:rsid w:val="00D6474A"/>
    <w:rsid w:val="00D674D6"/>
    <w:rsid w:val="00D74692"/>
    <w:rsid w:val="00D76C6E"/>
    <w:rsid w:val="00D80B6F"/>
    <w:rsid w:val="00D8136B"/>
    <w:rsid w:val="00D849A9"/>
    <w:rsid w:val="00D97951"/>
    <w:rsid w:val="00DA4696"/>
    <w:rsid w:val="00DB3392"/>
    <w:rsid w:val="00DC0DC3"/>
    <w:rsid w:val="00DC4EF9"/>
    <w:rsid w:val="00DC7BC1"/>
    <w:rsid w:val="00DD2137"/>
    <w:rsid w:val="00DD463E"/>
    <w:rsid w:val="00DD709C"/>
    <w:rsid w:val="00DE19B4"/>
    <w:rsid w:val="00DE4E24"/>
    <w:rsid w:val="00E00436"/>
    <w:rsid w:val="00E0405B"/>
    <w:rsid w:val="00E0630D"/>
    <w:rsid w:val="00E15A1D"/>
    <w:rsid w:val="00E16E3B"/>
    <w:rsid w:val="00E2071D"/>
    <w:rsid w:val="00E214F1"/>
    <w:rsid w:val="00E241AF"/>
    <w:rsid w:val="00E26F75"/>
    <w:rsid w:val="00E27CAC"/>
    <w:rsid w:val="00E35BD2"/>
    <w:rsid w:val="00E41AEA"/>
    <w:rsid w:val="00E44645"/>
    <w:rsid w:val="00E477AB"/>
    <w:rsid w:val="00E55367"/>
    <w:rsid w:val="00E645DD"/>
    <w:rsid w:val="00E71319"/>
    <w:rsid w:val="00E81B5E"/>
    <w:rsid w:val="00E90868"/>
    <w:rsid w:val="00E924A9"/>
    <w:rsid w:val="00E96B7F"/>
    <w:rsid w:val="00EB5AF4"/>
    <w:rsid w:val="00EB6BC7"/>
    <w:rsid w:val="00EC15FC"/>
    <w:rsid w:val="00EC1E80"/>
    <w:rsid w:val="00EC29CC"/>
    <w:rsid w:val="00EC61DA"/>
    <w:rsid w:val="00ED08A0"/>
    <w:rsid w:val="00EE3E75"/>
    <w:rsid w:val="00EE5921"/>
    <w:rsid w:val="00EE7852"/>
    <w:rsid w:val="00EF07A7"/>
    <w:rsid w:val="00EF2305"/>
    <w:rsid w:val="00EF2949"/>
    <w:rsid w:val="00EF4D6A"/>
    <w:rsid w:val="00EF787F"/>
    <w:rsid w:val="00F03028"/>
    <w:rsid w:val="00F11DF8"/>
    <w:rsid w:val="00F206BB"/>
    <w:rsid w:val="00F225EA"/>
    <w:rsid w:val="00F244E9"/>
    <w:rsid w:val="00F32F76"/>
    <w:rsid w:val="00F348C7"/>
    <w:rsid w:val="00F400C3"/>
    <w:rsid w:val="00F4659A"/>
    <w:rsid w:val="00F5237C"/>
    <w:rsid w:val="00F665DA"/>
    <w:rsid w:val="00F670E2"/>
    <w:rsid w:val="00F80A3D"/>
    <w:rsid w:val="00F80B1B"/>
    <w:rsid w:val="00F927E1"/>
    <w:rsid w:val="00F9317A"/>
    <w:rsid w:val="00FA63A7"/>
    <w:rsid w:val="00FB0B52"/>
    <w:rsid w:val="00FB3C2F"/>
    <w:rsid w:val="00FC0BD5"/>
    <w:rsid w:val="00FC56C3"/>
    <w:rsid w:val="00FC6949"/>
    <w:rsid w:val="00FD5E61"/>
    <w:rsid w:val="00FD5F5A"/>
    <w:rsid w:val="00FD7A0C"/>
    <w:rsid w:val="00FE3371"/>
    <w:rsid w:val="00FE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E6A"/>
  </w:style>
  <w:style w:type="paragraph" w:styleId="Heading1">
    <w:name w:val="heading 1"/>
    <w:basedOn w:val="Normal"/>
    <w:next w:val="BodyText"/>
    <w:link w:val="Heading1Char"/>
    <w:qFormat/>
    <w:rsid w:val="00346E6A"/>
    <w:pPr>
      <w:keepNext/>
      <w:numPr>
        <w:numId w:val="2"/>
      </w:numPr>
      <w:outlineLvl w:val="0"/>
    </w:pPr>
    <w:rPr>
      <w:rFonts w:eastAsiaTheme="majorEastAsia"/>
      <w:b/>
      <w:caps/>
      <w:szCs w:val="28"/>
    </w:rPr>
  </w:style>
  <w:style w:type="paragraph" w:styleId="Heading2">
    <w:name w:val="heading 2"/>
    <w:basedOn w:val="Normal"/>
    <w:next w:val="BodyText"/>
    <w:link w:val="Heading2Char"/>
    <w:unhideWhenUsed/>
    <w:qFormat/>
    <w:rsid w:val="00346E6A"/>
    <w:pPr>
      <w:numPr>
        <w:ilvl w:val="1"/>
        <w:numId w:val="2"/>
      </w:numPr>
      <w:spacing w:after="0" w:line="480" w:lineRule="auto"/>
      <w:outlineLvl w:val="1"/>
    </w:pPr>
    <w:rPr>
      <w:rFonts w:eastAsiaTheme="majorEastAsia"/>
      <w:bCs/>
      <w:szCs w:val="26"/>
    </w:rPr>
  </w:style>
  <w:style w:type="paragraph" w:styleId="Heading3">
    <w:name w:val="heading 3"/>
    <w:basedOn w:val="Normal"/>
    <w:next w:val="BodyText"/>
    <w:link w:val="Heading3Char"/>
    <w:unhideWhenUsed/>
    <w:qFormat/>
    <w:rsid w:val="00346E6A"/>
    <w:pPr>
      <w:keepNext/>
      <w:numPr>
        <w:ilvl w:val="2"/>
        <w:numId w:val="3"/>
      </w:numPr>
      <w:outlineLvl w:val="2"/>
    </w:pPr>
    <w:rPr>
      <w:rFonts w:eastAsiaTheme="majorEastAsia"/>
      <w:b/>
      <w:bCs/>
      <w:caps/>
      <w:u w:val="single"/>
    </w:rPr>
  </w:style>
  <w:style w:type="paragraph" w:styleId="Heading4">
    <w:name w:val="heading 4"/>
    <w:basedOn w:val="Normal"/>
    <w:next w:val="BodyText"/>
    <w:link w:val="Heading4Char"/>
    <w:unhideWhenUsed/>
    <w:qFormat/>
    <w:rsid w:val="00346E6A"/>
    <w:pPr>
      <w:keepNext/>
      <w:numPr>
        <w:ilvl w:val="3"/>
        <w:numId w:val="2"/>
      </w:numPr>
      <w:outlineLvl w:val="3"/>
    </w:pPr>
    <w:rPr>
      <w:rFonts w:eastAsiaTheme="majorEastAsia"/>
      <w:b/>
      <w:bCs/>
      <w:i/>
      <w:iCs/>
      <w:u w:val="single"/>
    </w:rPr>
  </w:style>
  <w:style w:type="paragraph" w:styleId="Heading6">
    <w:name w:val="heading 6"/>
    <w:basedOn w:val="Normal"/>
    <w:next w:val="BodyText"/>
    <w:link w:val="Heading6Char"/>
    <w:unhideWhenUsed/>
    <w:qFormat/>
    <w:rsid w:val="00346E6A"/>
    <w:pPr>
      <w:numPr>
        <w:ilvl w:val="5"/>
        <w:numId w:val="2"/>
      </w:numPr>
      <w:outlineLvl w:val="5"/>
    </w:pPr>
    <w:rPr>
      <w:rFonts w:eastAsiaTheme="majorEastAsia"/>
      <w:iCs/>
    </w:rPr>
  </w:style>
  <w:style w:type="paragraph" w:styleId="Heading7">
    <w:name w:val="heading 7"/>
    <w:basedOn w:val="Normal"/>
    <w:next w:val="BodyText"/>
    <w:link w:val="Heading7Char"/>
    <w:unhideWhenUsed/>
    <w:qFormat/>
    <w:rsid w:val="00346E6A"/>
    <w:pPr>
      <w:numPr>
        <w:ilvl w:val="6"/>
        <w:numId w:val="2"/>
      </w:numPr>
      <w:outlineLvl w:val="6"/>
    </w:pPr>
    <w:rPr>
      <w:rFonts w:eastAsiaTheme="majorEastAsia"/>
      <w:iCs/>
    </w:rPr>
  </w:style>
  <w:style w:type="paragraph" w:styleId="Heading8">
    <w:name w:val="heading 8"/>
    <w:basedOn w:val="Normal"/>
    <w:next w:val="BodyText"/>
    <w:link w:val="Heading8Char"/>
    <w:unhideWhenUsed/>
    <w:qFormat/>
    <w:rsid w:val="00346E6A"/>
    <w:pPr>
      <w:numPr>
        <w:ilvl w:val="7"/>
        <w:numId w:val="2"/>
      </w:numPr>
      <w:outlineLvl w:val="7"/>
    </w:pPr>
    <w:rPr>
      <w:rFonts w:eastAsiaTheme="majorEastAsia"/>
      <w:szCs w:val="20"/>
    </w:rPr>
  </w:style>
  <w:style w:type="paragraph" w:styleId="Heading9">
    <w:name w:val="heading 9"/>
    <w:basedOn w:val="Normal"/>
    <w:next w:val="BodyText"/>
    <w:link w:val="Heading9Char"/>
    <w:unhideWhenUsed/>
    <w:qFormat/>
    <w:rsid w:val="00346E6A"/>
    <w:pPr>
      <w:numPr>
        <w:ilvl w:val="8"/>
        <w:numId w:val="2"/>
      </w:numPr>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E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6E6A"/>
    <w:pPr>
      <w:spacing w:after="0"/>
    </w:pPr>
    <w:rPr>
      <w:rFonts w:ascii="Calisto MT" w:eastAsia="Times New Roman" w:hAnsi="Calisto MT"/>
      <w:sz w:val="26"/>
      <w:szCs w:val="26"/>
    </w:rPr>
  </w:style>
  <w:style w:type="character" w:customStyle="1" w:styleId="FooterChar">
    <w:name w:val="Footer Char"/>
    <w:basedOn w:val="DefaultParagraphFont"/>
    <w:link w:val="Footer"/>
    <w:uiPriority w:val="99"/>
    <w:rsid w:val="00346E6A"/>
    <w:rPr>
      <w:rFonts w:ascii="Calisto MT" w:eastAsia="Times New Roman" w:hAnsi="Calisto MT"/>
      <w:sz w:val="26"/>
      <w:szCs w:val="26"/>
    </w:rPr>
  </w:style>
  <w:style w:type="character" w:styleId="PageNumber">
    <w:name w:val="page number"/>
    <w:basedOn w:val="DefaultParagraphFont"/>
    <w:rsid w:val="00346E6A"/>
  </w:style>
  <w:style w:type="character" w:customStyle="1" w:styleId="Heading1Char">
    <w:name w:val="Heading 1 Char"/>
    <w:basedOn w:val="DefaultParagraphFont"/>
    <w:link w:val="Heading1"/>
    <w:rsid w:val="00346E6A"/>
    <w:rPr>
      <w:rFonts w:eastAsiaTheme="majorEastAsia"/>
      <w:b/>
      <w:caps/>
      <w:szCs w:val="28"/>
    </w:rPr>
  </w:style>
  <w:style w:type="character" w:customStyle="1" w:styleId="Heading2Char">
    <w:name w:val="Heading 2 Char"/>
    <w:basedOn w:val="DefaultParagraphFont"/>
    <w:link w:val="Heading2"/>
    <w:rsid w:val="00346E6A"/>
    <w:rPr>
      <w:rFonts w:eastAsiaTheme="majorEastAsia"/>
      <w:bCs/>
      <w:szCs w:val="26"/>
    </w:rPr>
  </w:style>
  <w:style w:type="character" w:customStyle="1" w:styleId="Heading3Char">
    <w:name w:val="Heading 3 Char"/>
    <w:basedOn w:val="DefaultParagraphFont"/>
    <w:link w:val="Heading3"/>
    <w:rsid w:val="00346E6A"/>
    <w:rPr>
      <w:rFonts w:eastAsiaTheme="majorEastAsia"/>
      <w:b/>
      <w:bCs/>
      <w:caps/>
      <w:u w:val="single"/>
    </w:rPr>
  </w:style>
  <w:style w:type="character" w:customStyle="1" w:styleId="Heading4Char">
    <w:name w:val="Heading 4 Char"/>
    <w:basedOn w:val="DefaultParagraphFont"/>
    <w:link w:val="Heading4"/>
    <w:rsid w:val="00346E6A"/>
    <w:rPr>
      <w:rFonts w:eastAsiaTheme="majorEastAsia"/>
      <w:b/>
      <w:bCs/>
      <w:i/>
      <w:iCs/>
      <w:u w:val="single"/>
    </w:rPr>
  </w:style>
  <w:style w:type="character" w:customStyle="1" w:styleId="Heading6Char">
    <w:name w:val="Heading 6 Char"/>
    <w:basedOn w:val="DefaultParagraphFont"/>
    <w:link w:val="Heading6"/>
    <w:rsid w:val="00346E6A"/>
    <w:rPr>
      <w:rFonts w:eastAsiaTheme="majorEastAsia"/>
      <w:iCs/>
    </w:rPr>
  </w:style>
  <w:style w:type="character" w:customStyle="1" w:styleId="Heading7Char">
    <w:name w:val="Heading 7 Char"/>
    <w:basedOn w:val="DefaultParagraphFont"/>
    <w:link w:val="Heading7"/>
    <w:rsid w:val="00346E6A"/>
    <w:rPr>
      <w:rFonts w:eastAsiaTheme="majorEastAsia"/>
      <w:iCs/>
    </w:rPr>
  </w:style>
  <w:style w:type="character" w:customStyle="1" w:styleId="Heading8Char">
    <w:name w:val="Heading 8 Char"/>
    <w:basedOn w:val="DefaultParagraphFont"/>
    <w:link w:val="Heading8"/>
    <w:rsid w:val="00346E6A"/>
    <w:rPr>
      <w:rFonts w:eastAsiaTheme="majorEastAsia"/>
      <w:szCs w:val="20"/>
    </w:rPr>
  </w:style>
  <w:style w:type="character" w:customStyle="1" w:styleId="Heading9Char">
    <w:name w:val="Heading 9 Char"/>
    <w:basedOn w:val="DefaultParagraphFont"/>
    <w:link w:val="Heading9"/>
    <w:rsid w:val="00346E6A"/>
    <w:rPr>
      <w:rFonts w:eastAsiaTheme="majorEastAsia"/>
      <w:iCs/>
      <w:szCs w:val="20"/>
    </w:rPr>
  </w:style>
  <w:style w:type="paragraph" w:styleId="FootnoteText">
    <w:name w:val="footnote text"/>
    <w:basedOn w:val="Normal"/>
    <w:link w:val="FootnoteTextChar"/>
    <w:uiPriority w:val="99"/>
    <w:unhideWhenUsed/>
    <w:rsid w:val="00346E6A"/>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346E6A"/>
    <w:rPr>
      <w:rFonts w:asciiTheme="minorHAnsi" w:hAnsiTheme="minorHAnsi" w:cstheme="minorBidi"/>
      <w:sz w:val="20"/>
      <w:szCs w:val="20"/>
    </w:rPr>
  </w:style>
  <w:style w:type="character" w:styleId="FootnoteReference">
    <w:name w:val="footnote reference"/>
    <w:basedOn w:val="DefaultParagraphFont"/>
    <w:uiPriority w:val="99"/>
    <w:unhideWhenUsed/>
    <w:rsid w:val="00346E6A"/>
    <w:rPr>
      <w:vertAlign w:val="superscript"/>
    </w:rPr>
  </w:style>
  <w:style w:type="paragraph" w:styleId="ListParagraph">
    <w:name w:val="List Paragraph"/>
    <w:basedOn w:val="Normal"/>
    <w:uiPriority w:val="34"/>
    <w:qFormat/>
    <w:rsid w:val="00346E6A"/>
    <w:pPr>
      <w:spacing w:after="200" w:line="276" w:lineRule="auto"/>
      <w:ind w:left="720"/>
      <w:contextualSpacing/>
    </w:pPr>
    <w:rPr>
      <w:rFonts w:asciiTheme="minorHAnsi" w:hAnsiTheme="minorHAnsi" w:cstheme="minorBidi"/>
      <w:sz w:val="22"/>
      <w:szCs w:val="22"/>
    </w:rPr>
  </w:style>
  <w:style w:type="paragraph" w:styleId="BodyText">
    <w:name w:val="Body Text"/>
    <w:basedOn w:val="Normal"/>
    <w:link w:val="BodyTextChar"/>
    <w:uiPriority w:val="99"/>
    <w:unhideWhenUsed/>
    <w:rsid w:val="00346E6A"/>
    <w:pPr>
      <w:spacing w:after="120" w:line="259" w:lineRule="auto"/>
    </w:pPr>
    <w:rPr>
      <w:rFonts w:asciiTheme="minorHAnsi" w:hAnsiTheme="minorHAnsi" w:cstheme="minorBidi"/>
      <w:sz w:val="22"/>
      <w:szCs w:val="22"/>
    </w:rPr>
  </w:style>
  <w:style w:type="character" w:customStyle="1" w:styleId="BodyTextChar">
    <w:name w:val="Body Text Char"/>
    <w:basedOn w:val="DefaultParagraphFont"/>
    <w:link w:val="BodyText"/>
    <w:uiPriority w:val="99"/>
    <w:rsid w:val="00346E6A"/>
    <w:rPr>
      <w:rFonts w:asciiTheme="minorHAnsi" w:hAnsiTheme="minorHAnsi" w:cstheme="minorBidi"/>
      <w:sz w:val="22"/>
      <w:szCs w:val="22"/>
    </w:rPr>
  </w:style>
  <w:style w:type="character" w:styleId="LineNumber">
    <w:name w:val="line number"/>
    <w:basedOn w:val="DefaultParagraphFont"/>
    <w:uiPriority w:val="99"/>
    <w:semiHidden/>
    <w:unhideWhenUsed/>
    <w:rsid w:val="00346E6A"/>
  </w:style>
  <w:style w:type="paragraph" w:styleId="BalloonText">
    <w:name w:val="Balloon Text"/>
    <w:basedOn w:val="Normal"/>
    <w:link w:val="BalloonTextChar"/>
    <w:uiPriority w:val="99"/>
    <w:semiHidden/>
    <w:unhideWhenUsed/>
    <w:rsid w:val="00346E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E6A"/>
    <w:rPr>
      <w:rFonts w:ascii="Tahoma" w:hAnsi="Tahoma" w:cs="Tahoma"/>
      <w:sz w:val="16"/>
      <w:szCs w:val="16"/>
    </w:rPr>
  </w:style>
  <w:style w:type="character" w:styleId="Hyperlink">
    <w:name w:val="Hyperlink"/>
    <w:basedOn w:val="DefaultParagraphFont"/>
    <w:uiPriority w:val="99"/>
    <w:unhideWhenUsed/>
    <w:rsid w:val="00346E6A"/>
    <w:rPr>
      <w:color w:val="0000FF" w:themeColor="hyperlink"/>
      <w:u w:val="single"/>
    </w:rPr>
  </w:style>
  <w:style w:type="paragraph" w:styleId="Header">
    <w:name w:val="header"/>
    <w:basedOn w:val="Normal"/>
    <w:link w:val="HeaderChar"/>
    <w:uiPriority w:val="99"/>
    <w:unhideWhenUsed/>
    <w:rsid w:val="00346E6A"/>
    <w:pPr>
      <w:tabs>
        <w:tab w:val="center" w:pos="4680"/>
        <w:tab w:val="right" w:pos="9360"/>
      </w:tabs>
      <w:spacing w:after="0"/>
    </w:pPr>
  </w:style>
  <w:style w:type="character" w:customStyle="1" w:styleId="HeaderChar">
    <w:name w:val="Header Char"/>
    <w:basedOn w:val="DefaultParagraphFont"/>
    <w:link w:val="Header"/>
    <w:uiPriority w:val="99"/>
    <w:rsid w:val="00346E6A"/>
  </w:style>
  <w:style w:type="character" w:styleId="CommentReference">
    <w:name w:val="annotation reference"/>
    <w:basedOn w:val="DefaultParagraphFont"/>
    <w:uiPriority w:val="99"/>
    <w:semiHidden/>
    <w:unhideWhenUsed/>
    <w:rsid w:val="005C6175"/>
    <w:rPr>
      <w:sz w:val="16"/>
      <w:szCs w:val="16"/>
    </w:rPr>
  </w:style>
  <w:style w:type="paragraph" w:styleId="CommentText">
    <w:name w:val="annotation text"/>
    <w:basedOn w:val="Normal"/>
    <w:link w:val="CommentTextChar"/>
    <w:uiPriority w:val="99"/>
    <w:semiHidden/>
    <w:unhideWhenUsed/>
    <w:rsid w:val="005C6175"/>
    <w:rPr>
      <w:sz w:val="20"/>
      <w:szCs w:val="20"/>
    </w:rPr>
  </w:style>
  <w:style w:type="character" w:customStyle="1" w:styleId="CommentTextChar">
    <w:name w:val="Comment Text Char"/>
    <w:basedOn w:val="DefaultParagraphFont"/>
    <w:link w:val="CommentText"/>
    <w:uiPriority w:val="99"/>
    <w:semiHidden/>
    <w:rsid w:val="005C6175"/>
    <w:rPr>
      <w:sz w:val="20"/>
      <w:szCs w:val="20"/>
    </w:rPr>
  </w:style>
  <w:style w:type="paragraph" w:styleId="CommentSubject">
    <w:name w:val="annotation subject"/>
    <w:basedOn w:val="CommentText"/>
    <w:next w:val="CommentText"/>
    <w:link w:val="CommentSubjectChar"/>
    <w:uiPriority w:val="99"/>
    <w:semiHidden/>
    <w:unhideWhenUsed/>
    <w:rsid w:val="005C6175"/>
    <w:rPr>
      <w:b/>
      <w:bCs/>
    </w:rPr>
  </w:style>
  <w:style w:type="character" w:customStyle="1" w:styleId="CommentSubjectChar">
    <w:name w:val="Comment Subject Char"/>
    <w:basedOn w:val="CommentTextChar"/>
    <w:link w:val="CommentSubject"/>
    <w:uiPriority w:val="99"/>
    <w:semiHidden/>
    <w:rsid w:val="005C6175"/>
    <w:rPr>
      <w:b/>
      <w:bCs/>
      <w:sz w:val="20"/>
      <w:szCs w:val="20"/>
    </w:rPr>
  </w:style>
  <w:style w:type="paragraph" w:styleId="NormalWeb">
    <w:name w:val="Normal (Web)"/>
    <w:basedOn w:val="Normal"/>
    <w:uiPriority w:val="99"/>
    <w:semiHidden/>
    <w:unhideWhenUsed/>
    <w:rsid w:val="00412B52"/>
  </w:style>
  <w:style w:type="character" w:customStyle="1" w:styleId="CaptionText">
    <w:name w:val="Caption Text"/>
    <w:basedOn w:val="DefaultParagraphFont"/>
    <w:rsid w:val="00475617"/>
  </w:style>
  <w:style w:type="paragraph" w:styleId="EndnoteText">
    <w:name w:val="endnote text"/>
    <w:basedOn w:val="Normal"/>
    <w:link w:val="EndnoteTextChar"/>
    <w:uiPriority w:val="99"/>
    <w:unhideWhenUsed/>
    <w:rsid w:val="00EC1E80"/>
    <w:pPr>
      <w:spacing w:after="0"/>
    </w:pPr>
    <w:rPr>
      <w:sz w:val="20"/>
      <w:szCs w:val="20"/>
    </w:rPr>
  </w:style>
  <w:style w:type="character" w:customStyle="1" w:styleId="EndnoteTextChar">
    <w:name w:val="Endnote Text Char"/>
    <w:basedOn w:val="DefaultParagraphFont"/>
    <w:link w:val="EndnoteText"/>
    <w:uiPriority w:val="99"/>
    <w:rsid w:val="00EC1E80"/>
    <w:rPr>
      <w:sz w:val="20"/>
      <w:szCs w:val="20"/>
    </w:rPr>
  </w:style>
  <w:style w:type="character" w:styleId="EndnoteReference">
    <w:name w:val="endnote reference"/>
    <w:basedOn w:val="DefaultParagraphFont"/>
    <w:uiPriority w:val="99"/>
    <w:semiHidden/>
    <w:unhideWhenUsed/>
    <w:rsid w:val="00EC1E80"/>
    <w:rPr>
      <w:vertAlign w:val="superscript"/>
    </w:rPr>
  </w:style>
  <w:style w:type="character" w:customStyle="1" w:styleId="UnresolvedMention">
    <w:name w:val="Unresolved Mention"/>
    <w:basedOn w:val="DefaultParagraphFont"/>
    <w:uiPriority w:val="99"/>
    <w:semiHidden/>
    <w:unhideWhenUsed/>
    <w:rsid w:val="009209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041772">
      <w:bodyDiv w:val="1"/>
      <w:marLeft w:val="0"/>
      <w:marRight w:val="0"/>
      <w:marTop w:val="0"/>
      <w:marBottom w:val="0"/>
      <w:divBdr>
        <w:top w:val="none" w:sz="0" w:space="0" w:color="auto"/>
        <w:left w:val="none" w:sz="0" w:space="0" w:color="auto"/>
        <w:bottom w:val="none" w:sz="0" w:space="0" w:color="auto"/>
        <w:right w:val="none" w:sz="0" w:space="0" w:color="auto"/>
      </w:divBdr>
    </w:div>
    <w:div w:id="19997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reg.Price@puco.ohio.gov" TargetMode="External"/><Relationship Id="rId2" Type="http://schemas.openxmlformats.org/officeDocument/2006/relationships/numbering" Target="numbering.xml"/><Relationship Id="rId16" Type="http://schemas.openxmlformats.org/officeDocument/2006/relationships/hyperlink" Target="mailto:Patricia.Schabo@puco.ohi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mooney@ohiopartners.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1F7C-8F88-486A-BB8F-664E1816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2018-07-16T19:08:00Z</dcterms:created>
  <dcterms:modified xsi:type="dcterms:W3CDTF">2018-07-16T19:39:00Z</dcterms:modified>
</cp:coreProperties>
</file>