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83641" w:rsidP="00A83641" w14:paraId="6928BA17" w14:textId="77777777">
      <w:pPr>
        <w:pStyle w:val="HTMLPreformatted"/>
        <w:jc w:val="center"/>
        <w:rPr>
          <w:rFonts w:ascii="Times New Roman" w:hAnsi="Times New Roman"/>
          <w:b/>
          <w:bCs/>
          <w:sz w:val="24"/>
        </w:rPr>
      </w:pPr>
      <w:r>
        <w:rPr>
          <w:rFonts w:ascii="Times New Roman" w:hAnsi="Times New Roman"/>
          <w:b/>
          <w:bCs/>
          <w:sz w:val="24"/>
        </w:rPr>
        <w:t>BEFORE</w:t>
      </w:r>
    </w:p>
    <w:p w:rsidR="00A83641" w:rsidP="00A83641" w14:paraId="5A78029C"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83641" w:rsidP="00A83641" w14:paraId="4908F6FC" w14:textId="77777777">
      <w:pPr>
        <w:pStyle w:val="HTMLPreformatted"/>
        <w:rPr>
          <w:rFonts w:ascii="Times New Roman" w:hAnsi="Times New Roman"/>
          <w:sz w:val="24"/>
        </w:rPr>
      </w:pPr>
    </w:p>
    <w:tbl>
      <w:tblPr>
        <w:tblW w:w="9468" w:type="dxa"/>
        <w:tblLook w:val="01E0"/>
      </w:tblPr>
      <w:tblGrid>
        <w:gridCol w:w="4590"/>
        <w:gridCol w:w="378"/>
        <w:gridCol w:w="4500"/>
      </w:tblGrid>
      <w:tr w14:paraId="15719F8C" w14:textId="77777777" w:rsidTr="00CB7AD1">
        <w:tblPrEx>
          <w:tblW w:w="9468" w:type="dxa"/>
          <w:tblLook w:val="01E0"/>
        </w:tblPrEx>
        <w:trPr>
          <w:trHeight w:val="807"/>
        </w:trPr>
        <w:tc>
          <w:tcPr>
            <w:tcW w:w="4590" w:type="dxa"/>
            <w:shd w:val="clear" w:color="auto" w:fill="auto"/>
          </w:tcPr>
          <w:p w:rsidR="00A83641" w:rsidRPr="00A044B5" w:rsidP="00CB7AD1" w14:paraId="77F7F2FE" w14:textId="77777777">
            <w:pPr>
              <w:pStyle w:val="HTMLPreformatted"/>
              <w:rPr>
                <w:rFonts w:ascii="Times New Roman" w:hAnsi="Times New Roman"/>
                <w:sz w:val="24"/>
                <w:szCs w:val="24"/>
              </w:rPr>
            </w:pPr>
            <w:r w:rsidRPr="00E21DA7">
              <w:rPr>
                <w:rFonts w:ascii="Times New Roman" w:hAnsi="Times New Roman" w:cs="Times New Roman"/>
                <w:sz w:val="24"/>
                <w:szCs w:val="24"/>
              </w:rPr>
              <w:t>In the Matter of The Application of The East Ohio Gas Company d/b/a Dominion East Ohio for Approval of an Alternative Form of Regulation.</w:t>
            </w:r>
          </w:p>
        </w:tc>
        <w:tc>
          <w:tcPr>
            <w:tcW w:w="378" w:type="dxa"/>
            <w:shd w:val="clear" w:color="auto" w:fill="auto"/>
          </w:tcPr>
          <w:p w:rsidR="00A83641" w:rsidRPr="00A044B5" w:rsidP="00CB7AD1" w14:paraId="7E31E51E" w14:textId="77777777">
            <w:pPr>
              <w:pStyle w:val="HTMLPreformatted"/>
              <w:rPr>
                <w:rFonts w:ascii="Times New Roman" w:hAnsi="Times New Roman"/>
                <w:sz w:val="24"/>
              </w:rPr>
            </w:pPr>
            <w:r w:rsidRPr="00A044B5">
              <w:rPr>
                <w:rFonts w:ascii="Times New Roman" w:hAnsi="Times New Roman"/>
                <w:sz w:val="24"/>
              </w:rPr>
              <w:t>)</w:t>
            </w:r>
          </w:p>
          <w:p w:rsidR="00A83641" w:rsidRPr="00A044B5" w:rsidP="00CB7AD1" w14:paraId="5B2FB100" w14:textId="77777777">
            <w:pPr>
              <w:pStyle w:val="HTMLPreformatted"/>
              <w:rPr>
                <w:rFonts w:ascii="Times New Roman" w:hAnsi="Times New Roman"/>
                <w:sz w:val="24"/>
              </w:rPr>
            </w:pPr>
            <w:r w:rsidRPr="00A044B5">
              <w:rPr>
                <w:rFonts w:ascii="Times New Roman" w:hAnsi="Times New Roman"/>
                <w:sz w:val="24"/>
              </w:rPr>
              <w:t>)</w:t>
            </w:r>
          </w:p>
          <w:p w:rsidR="00A83641" w:rsidP="00CB7AD1" w14:paraId="4FA625A4" w14:textId="77777777">
            <w:pPr>
              <w:pStyle w:val="HTMLPreformatted"/>
              <w:rPr>
                <w:rFonts w:ascii="Times New Roman" w:hAnsi="Times New Roman"/>
                <w:sz w:val="24"/>
              </w:rPr>
            </w:pPr>
            <w:r w:rsidRPr="00A044B5">
              <w:rPr>
                <w:rFonts w:ascii="Times New Roman" w:hAnsi="Times New Roman"/>
                <w:sz w:val="24"/>
              </w:rPr>
              <w:t>)</w:t>
            </w:r>
          </w:p>
          <w:p w:rsidR="00A83641" w:rsidRPr="00A044B5" w:rsidP="00CB7AD1" w14:paraId="33FED9D9" w14:textId="77777777">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A83641" w:rsidRPr="00A044B5" w:rsidP="00CB7AD1" w14:paraId="52F8286E" w14:textId="77777777">
            <w:pPr>
              <w:pStyle w:val="HTMLPreformatted"/>
              <w:rPr>
                <w:rFonts w:ascii="Times New Roman" w:hAnsi="Times New Roman"/>
                <w:sz w:val="24"/>
              </w:rPr>
            </w:pPr>
          </w:p>
          <w:p w:rsidR="00A83641" w:rsidRPr="00CB76F9" w:rsidP="00CB7AD1" w14:paraId="1533F2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CB76F9">
              <w:rPr>
                <w:rFonts w:eastAsia="Courier New"/>
                <w:szCs w:val="24"/>
              </w:rPr>
              <w:t>Case No. 20-1634-GA-ALT</w:t>
            </w:r>
          </w:p>
          <w:p w:rsidR="00A83641" w:rsidRPr="00A044B5" w:rsidP="00CB7AD1" w14:paraId="04ED0F53" w14:textId="77777777">
            <w:pPr>
              <w:pStyle w:val="HTMLPreformatted"/>
              <w:rPr>
                <w:rFonts w:ascii="Times New Roman" w:hAnsi="Times New Roman"/>
                <w:sz w:val="24"/>
              </w:rPr>
            </w:pPr>
          </w:p>
        </w:tc>
      </w:tr>
    </w:tbl>
    <w:p w:rsidR="00A83641" w:rsidP="00A83641" w14:paraId="430280C5" w14:textId="77777777">
      <w:pPr>
        <w:pStyle w:val="HTMLPreformatted"/>
        <w:rPr>
          <w:rFonts w:ascii="Times New Roman" w:hAnsi="Times New Roman"/>
          <w:sz w:val="24"/>
        </w:rPr>
      </w:pPr>
    </w:p>
    <w:p w:rsidR="00A83641" w:rsidP="00A83641" w14:paraId="5212E746" w14:textId="77777777">
      <w:pPr>
        <w:pStyle w:val="HTMLPreformatted"/>
        <w:pBdr>
          <w:top w:val="single" w:sz="12" w:space="1" w:color="auto"/>
        </w:pBdr>
        <w:rPr>
          <w:rFonts w:ascii="Times New Roman" w:hAnsi="Times New Roman"/>
          <w:sz w:val="24"/>
        </w:rPr>
      </w:pPr>
    </w:p>
    <w:p w:rsidR="00A83641" w:rsidP="00A83641" w14:paraId="3A3F3CE0" w14:textId="363314D8">
      <w:pPr>
        <w:jc w:val="center"/>
        <w:rPr>
          <w:b/>
          <w:bCs/>
        </w:rPr>
      </w:pPr>
      <w:r>
        <w:rPr>
          <w:b/>
          <w:bCs/>
        </w:rPr>
        <w:t xml:space="preserve">CONSUMER PROTECTION </w:t>
      </w:r>
      <w:r>
        <w:rPr>
          <w:b/>
          <w:bCs/>
        </w:rPr>
        <w:t>OBJECTIONS TO PUCO STAFF REPORT</w:t>
      </w:r>
    </w:p>
    <w:p w:rsidR="00A83641" w:rsidP="00A83641" w14:paraId="270F2C0D" w14:textId="77777777">
      <w:pPr>
        <w:jc w:val="center"/>
        <w:rPr>
          <w:b/>
          <w:bCs/>
        </w:rPr>
      </w:pPr>
      <w:r>
        <w:rPr>
          <w:b/>
          <w:bCs/>
        </w:rPr>
        <w:t>BY</w:t>
      </w:r>
    </w:p>
    <w:p w:rsidR="00A83641" w:rsidP="00A83641" w14:paraId="0C19BDED" w14:textId="77777777">
      <w:pPr>
        <w:jc w:val="center"/>
        <w:rPr>
          <w:b/>
          <w:bCs/>
        </w:rPr>
      </w:pPr>
      <w:r>
        <w:rPr>
          <w:b/>
          <w:bCs/>
        </w:rPr>
        <w:t>OFFICE OF THE OHIO CONSUMERS’ COUNSEL</w:t>
      </w:r>
    </w:p>
    <w:p w:rsidR="00A83641" w:rsidP="00A83641" w14:paraId="5297E059" w14:textId="77777777">
      <w:pPr>
        <w:pBdr>
          <w:bottom w:val="single" w:sz="12" w:space="1" w:color="auto"/>
        </w:pBdr>
        <w:tabs>
          <w:tab w:val="left" w:pos="4320"/>
        </w:tabs>
      </w:pPr>
    </w:p>
    <w:p w:rsidR="00A83641" w:rsidP="00A83641" w14:paraId="27869977" w14:textId="77777777">
      <w:pPr>
        <w:tabs>
          <w:tab w:val="left" w:pos="4320"/>
        </w:tabs>
      </w:pPr>
    </w:p>
    <w:p w:rsidR="00A83641" w:rsidP="00A83641" w14:paraId="533971C7" w14:textId="77777777">
      <w:pPr>
        <w:pStyle w:val="BodyTextIndent3"/>
        <w:widowControl w:val="0"/>
        <w:spacing w:line="480" w:lineRule="auto"/>
        <w:ind w:left="3600" w:right="-672"/>
        <w:rPr>
          <w:szCs w:val="24"/>
        </w:rPr>
      </w:pPr>
    </w:p>
    <w:p w:rsidR="00A83641" w:rsidP="00A83641" w14:paraId="5F4D9743" w14:textId="77777777">
      <w:pPr>
        <w:pStyle w:val="BodyTextIndent3"/>
        <w:widowControl w:val="0"/>
        <w:spacing w:line="480" w:lineRule="auto"/>
        <w:ind w:left="3600" w:right="-672"/>
        <w:rPr>
          <w:szCs w:val="24"/>
        </w:rPr>
      </w:pPr>
    </w:p>
    <w:p w:rsidR="00A83641" w:rsidP="00A83641" w14:paraId="39B898E5" w14:textId="77777777">
      <w:pPr>
        <w:pStyle w:val="BodyTextIndent3"/>
        <w:widowControl w:val="0"/>
        <w:spacing w:line="240" w:lineRule="auto"/>
        <w:ind w:left="3600" w:right="-672"/>
        <w:rPr>
          <w:szCs w:val="24"/>
        </w:rPr>
      </w:pPr>
      <w:r>
        <w:rPr>
          <w:szCs w:val="24"/>
        </w:rPr>
        <w:t>Bruce Weston (0016973)</w:t>
      </w:r>
    </w:p>
    <w:p w:rsidR="00A83641" w:rsidP="00A83641" w14:paraId="79CE5C5C" w14:textId="77777777">
      <w:pPr>
        <w:tabs>
          <w:tab w:val="left" w:pos="4320"/>
        </w:tabs>
        <w:rPr>
          <w:szCs w:val="24"/>
        </w:rPr>
      </w:pPr>
      <w:r>
        <w:rPr>
          <w:szCs w:val="24"/>
        </w:rPr>
        <w:tab/>
        <w:t>Ohio Consumers’ Counsel</w:t>
      </w:r>
    </w:p>
    <w:p w:rsidR="00A83641" w:rsidP="00A83641" w14:paraId="7CBA2716" w14:textId="77777777">
      <w:pPr>
        <w:tabs>
          <w:tab w:val="left" w:pos="4320"/>
        </w:tabs>
        <w:rPr>
          <w:szCs w:val="24"/>
        </w:rPr>
      </w:pPr>
      <w:r>
        <w:rPr>
          <w:szCs w:val="24"/>
        </w:rPr>
        <w:tab/>
      </w:r>
    </w:p>
    <w:p w:rsidR="00A83641" w:rsidP="00A83641" w14:paraId="4EA668A8" w14:textId="13C6F37C">
      <w:pPr>
        <w:tabs>
          <w:tab w:val="left" w:pos="4320"/>
        </w:tabs>
        <w:rPr>
          <w:szCs w:val="24"/>
        </w:rPr>
      </w:pPr>
      <w:r>
        <w:rPr>
          <w:szCs w:val="24"/>
        </w:rPr>
        <w:tab/>
        <w:t>Amy Botschner O’Brien (0074423)</w:t>
      </w:r>
    </w:p>
    <w:p w:rsidR="00A83641" w:rsidP="00A83641" w14:paraId="6109CA26" w14:textId="77777777">
      <w:pPr>
        <w:tabs>
          <w:tab w:val="left" w:pos="4320"/>
        </w:tabs>
        <w:ind w:firstLine="4320"/>
        <w:rPr>
          <w:szCs w:val="24"/>
        </w:rPr>
      </w:pPr>
      <w:r>
        <w:rPr>
          <w:szCs w:val="24"/>
        </w:rPr>
        <w:t>Counsel of Record</w:t>
      </w:r>
    </w:p>
    <w:p w:rsidR="00A83641" w:rsidRPr="004C3EBD" w:rsidP="00A83641" w14:paraId="4F9CFAD5" w14:textId="77777777">
      <w:pPr>
        <w:tabs>
          <w:tab w:val="left" w:pos="4320"/>
        </w:tabs>
        <w:ind w:left="4320"/>
        <w:jc w:val="both"/>
      </w:pPr>
      <w:r w:rsidRPr="004C3EBD">
        <w:t>Ambrosia E. Wilson (0096598)</w:t>
      </w:r>
    </w:p>
    <w:p w:rsidR="00A83641" w:rsidP="00A83641" w14:paraId="544F8DDA" w14:textId="3EB0D402">
      <w:pPr>
        <w:tabs>
          <w:tab w:val="left" w:pos="4320"/>
        </w:tabs>
        <w:rPr>
          <w:szCs w:val="24"/>
        </w:rPr>
      </w:pPr>
      <w:r>
        <w:rPr>
          <w:szCs w:val="24"/>
        </w:rPr>
        <w:tab/>
        <w:t>Assistant Consumers’ Counsel</w:t>
      </w:r>
    </w:p>
    <w:p w:rsidR="00A83641" w:rsidP="00A83641" w14:paraId="20C2356F" w14:textId="77777777">
      <w:pPr>
        <w:tabs>
          <w:tab w:val="left" w:pos="4320"/>
        </w:tabs>
        <w:rPr>
          <w:szCs w:val="24"/>
        </w:rPr>
      </w:pPr>
    </w:p>
    <w:p w:rsidR="00A83641" w:rsidRPr="00267856" w:rsidP="00A83641" w14:paraId="0B01C12F" w14:textId="77777777">
      <w:pPr>
        <w:rPr>
          <w:b/>
          <w:bCs/>
        </w:rPr>
      </w:pPr>
      <w:r>
        <w:tab/>
      </w:r>
      <w:r>
        <w:tab/>
      </w:r>
      <w:r>
        <w:tab/>
      </w:r>
      <w:r>
        <w:tab/>
      </w:r>
      <w:r>
        <w:tab/>
      </w:r>
      <w:r>
        <w:tab/>
      </w:r>
      <w:r w:rsidRPr="00267856">
        <w:rPr>
          <w:b/>
          <w:bCs/>
        </w:rPr>
        <w:t>Office of the Ohio Consumers’ Counsel</w:t>
      </w:r>
    </w:p>
    <w:p w:rsidR="00A83641" w:rsidP="00A83641" w14:paraId="5D5CEB82" w14:textId="77777777">
      <w:pPr>
        <w:ind w:left="4320"/>
        <w:rPr>
          <w:b/>
        </w:rPr>
      </w:pPr>
      <w:r>
        <w:t>65 East State Street, 7th Floor</w:t>
      </w:r>
    </w:p>
    <w:p w:rsidR="00A83641" w:rsidP="00A83641" w14:paraId="50C3C659" w14:textId="77777777">
      <w:pPr>
        <w:ind w:left="4320"/>
        <w:rPr>
          <w:b/>
        </w:rPr>
      </w:pPr>
      <w:r>
        <w:t>Columbus, Ohio 43215-4213</w:t>
      </w:r>
    </w:p>
    <w:p w:rsidR="00A83641" w:rsidP="00A83641" w14:paraId="019D224C" w14:textId="77777777">
      <w:pPr>
        <w:autoSpaceDE w:val="0"/>
        <w:autoSpaceDN w:val="0"/>
        <w:adjustRightInd w:val="0"/>
        <w:ind w:left="3600" w:firstLine="720"/>
        <w:rPr>
          <w:szCs w:val="24"/>
        </w:rPr>
      </w:pPr>
      <w:r>
        <w:rPr>
          <w:szCs w:val="24"/>
        </w:rPr>
        <w:t>Telephone [Botschner]: (614) 466-9575</w:t>
      </w:r>
    </w:p>
    <w:p w:rsidR="00A83641" w:rsidP="00A83641" w14:paraId="0439688C" w14:textId="77777777">
      <w:pPr>
        <w:autoSpaceDE w:val="0"/>
        <w:autoSpaceDN w:val="0"/>
        <w:adjustRightInd w:val="0"/>
        <w:ind w:left="3600" w:firstLine="720"/>
        <w:rPr>
          <w:szCs w:val="24"/>
        </w:rPr>
      </w:pPr>
      <w:r>
        <w:rPr>
          <w:szCs w:val="24"/>
        </w:rPr>
        <w:t>Telephone [Wilson]: (614) 466-1292</w:t>
      </w:r>
    </w:p>
    <w:p w:rsidR="00A83641" w:rsidP="00A83641" w14:paraId="296C7969"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Pr>
            <w:rStyle w:val="Hyperlink"/>
            <w:rFonts w:eastAsiaTheme="majorEastAsia"/>
            <w:szCs w:val="24"/>
          </w:rPr>
          <w:t>amy.botschner.obrien@occ.ohio.gov</w:t>
        </w:r>
      </w:hyperlink>
    </w:p>
    <w:p w:rsidR="00A83641" w:rsidP="00A83641" w14:paraId="417A791C" w14:textId="77777777">
      <w:pPr>
        <w:ind w:left="4320"/>
        <w:jc w:val="both"/>
        <w:rPr>
          <w:color w:val="0000FF"/>
        </w:rPr>
      </w:pPr>
      <w:hyperlink r:id="rId7" w:history="1">
        <w:r w:rsidRPr="004C3EBD">
          <w:rPr>
            <w:rStyle w:val="Hyperlink"/>
            <w:rFonts w:eastAsiaTheme="majorEastAsia"/>
          </w:rPr>
          <w:t>ambrosia.wilson@occ.ohio.gov</w:t>
        </w:r>
      </w:hyperlink>
      <w:r w:rsidRPr="004C3EBD">
        <w:rPr>
          <w:color w:val="0000FF"/>
        </w:rPr>
        <w:t xml:space="preserve"> </w:t>
      </w:r>
    </w:p>
    <w:p w:rsidR="00A83641" w:rsidP="00A83641" w14:paraId="1284F80F" w14:textId="7AE7F0F8">
      <w:pPr>
        <w:jc w:val="both"/>
      </w:pPr>
      <w:r>
        <w:rPr>
          <w:szCs w:val="24"/>
        </w:rPr>
        <w:t>May 5, 2021</w:t>
      </w:r>
      <w:r>
        <w:rPr>
          <w:szCs w:val="24"/>
        </w:rPr>
        <w:tab/>
      </w:r>
      <w:r>
        <w:rPr>
          <w:szCs w:val="24"/>
        </w:rPr>
        <w:tab/>
      </w:r>
      <w:r>
        <w:rPr>
          <w:szCs w:val="24"/>
        </w:rPr>
        <w:tab/>
      </w:r>
      <w:r>
        <w:rPr>
          <w:szCs w:val="24"/>
        </w:rPr>
        <w:tab/>
      </w:r>
      <w:r>
        <w:rPr>
          <w:szCs w:val="24"/>
        </w:rPr>
        <w:tab/>
        <w:t>(</w:t>
      </w:r>
      <w:r w:rsidRPr="004C3EBD">
        <w:t>willing to accept service by e-mail)</w:t>
      </w:r>
    </w:p>
    <w:p w:rsidR="00A83641" w:rsidP="00D4185C" w14:paraId="7A9CE83E" w14:textId="77777777">
      <w:pPr>
        <w:pStyle w:val="HTMLPreformatted"/>
        <w:jc w:val="center"/>
        <w:rPr>
          <w:rFonts w:ascii="Times New Roman" w:hAnsi="Times New Roman"/>
          <w:b/>
          <w:bCs/>
          <w:sz w:val="24"/>
        </w:rPr>
      </w:pPr>
    </w:p>
    <w:p w:rsidR="00A83641" w:rsidP="00D4185C" w14:paraId="75503FF8" w14:textId="77777777">
      <w:pPr>
        <w:pStyle w:val="HTMLPreformatted"/>
        <w:jc w:val="center"/>
        <w:rPr>
          <w:rFonts w:ascii="Times New Roman" w:hAnsi="Times New Roman"/>
          <w:b/>
          <w:bCs/>
          <w:sz w:val="24"/>
        </w:rPr>
      </w:pPr>
    </w:p>
    <w:p w:rsidR="00A83641" w:rsidP="00D4185C" w14:paraId="3212E5BB" w14:textId="70869007">
      <w:pPr>
        <w:pStyle w:val="HTMLPreformatted"/>
        <w:jc w:val="center"/>
        <w:rPr>
          <w:rFonts w:ascii="Times New Roman" w:hAnsi="Times New Roman"/>
          <w:b/>
          <w:bCs/>
          <w:sz w:val="24"/>
        </w:rPr>
        <w:sectPr w:rsidSect="001B0AFA">
          <w:footerReference w:type="default" r:id="rId8"/>
          <w:footerReference w:type="first" r:id="rId9"/>
          <w:pgSz w:w="12240" w:h="15840"/>
          <w:pgMar w:top="1440" w:right="1440" w:bottom="1440" w:left="1440" w:header="720" w:footer="720" w:gutter="0"/>
          <w:pgNumType w:start="1"/>
          <w:cols w:space="720"/>
          <w:titlePg/>
          <w:docGrid w:linePitch="326"/>
        </w:sectPr>
      </w:pPr>
    </w:p>
    <w:p w:rsidR="00A83641" w:rsidP="00D4185C" w14:paraId="6BA03F34" w14:textId="202C96E3">
      <w:pPr>
        <w:pStyle w:val="HTMLPreformatted"/>
        <w:jc w:val="center"/>
        <w:rPr>
          <w:rFonts w:ascii="Times New Roman" w:hAnsi="Times New Roman"/>
          <w:b/>
          <w:bCs/>
          <w:sz w:val="24"/>
          <w:u w:val="single"/>
        </w:rPr>
      </w:pPr>
      <w:r>
        <w:rPr>
          <w:rFonts w:ascii="Times New Roman" w:hAnsi="Times New Roman"/>
          <w:b/>
          <w:bCs/>
          <w:sz w:val="24"/>
          <w:u w:val="single"/>
        </w:rPr>
        <w:t>TABLE OF CONTENTS</w:t>
      </w:r>
    </w:p>
    <w:p w:rsidR="00A83641" w:rsidP="00A83641" w14:paraId="69A53FE7" w14:textId="77ECA401">
      <w:pPr>
        <w:pStyle w:val="HTMLPreformatted"/>
        <w:jc w:val="right"/>
        <w:rPr>
          <w:rFonts w:ascii="Times New Roman" w:hAnsi="Times New Roman"/>
          <w:b/>
          <w:bCs/>
          <w:sz w:val="24"/>
        </w:rPr>
      </w:pPr>
      <w:r>
        <w:rPr>
          <w:rFonts w:ascii="Times New Roman" w:hAnsi="Times New Roman"/>
          <w:b/>
          <w:bCs/>
          <w:sz w:val="24"/>
        </w:rPr>
        <w:t>PAGE</w:t>
      </w:r>
    </w:p>
    <w:p w:rsidR="00A83641" w:rsidRPr="00A83641" w:rsidP="00A83641" w14:paraId="4C5CA775" w14:textId="77777777">
      <w:pPr>
        <w:pStyle w:val="HTMLPreformatted"/>
        <w:jc w:val="right"/>
        <w:rPr>
          <w:rFonts w:ascii="Times New Roman" w:hAnsi="Times New Roman"/>
          <w:b/>
          <w:bCs/>
          <w:sz w:val="24"/>
        </w:rPr>
      </w:pPr>
    </w:p>
    <w:p w:rsidR="00767C6D" w14:paraId="726D0031" w14:textId="6BFD2B0F">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71126529" w:history="1">
        <w:r w:rsidRPr="00DE70D2">
          <w:rPr>
            <w:rStyle w:val="Hyperlink"/>
            <w:noProof/>
          </w:rPr>
          <w:t>I.</w:t>
        </w:r>
        <w:r>
          <w:rPr>
            <w:rFonts w:asciiTheme="minorHAnsi" w:eastAsiaTheme="minorEastAsia" w:hAnsiTheme="minorHAnsi" w:cstheme="minorBidi"/>
            <w:noProof/>
            <w:sz w:val="22"/>
            <w:szCs w:val="22"/>
          </w:rPr>
          <w:tab/>
        </w:r>
        <w:r w:rsidRPr="00DE70D2">
          <w:rPr>
            <w:rStyle w:val="Hyperlink"/>
            <w:noProof/>
          </w:rPr>
          <w:t>BACKGROUND</w:t>
        </w:r>
        <w:r>
          <w:rPr>
            <w:noProof/>
            <w:webHidden/>
          </w:rPr>
          <w:tab/>
        </w:r>
        <w:r>
          <w:rPr>
            <w:noProof/>
            <w:webHidden/>
          </w:rPr>
          <w:fldChar w:fldCharType="begin"/>
        </w:r>
        <w:r>
          <w:rPr>
            <w:noProof/>
            <w:webHidden/>
          </w:rPr>
          <w:instrText xml:space="preserve"> PAGEREF _Toc71126529 \h </w:instrText>
        </w:r>
        <w:r>
          <w:rPr>
            <w:noProof/>
            <w:webHidden/>
          </w:rPr>
          <w:fldChar w:fldCharType="separate"/>
        </w:r>
        <w:r>
          <w:rPr>
            <w:noProof/>
            <w:webHidden/>
          </w:rPr>
          <w:t>2</w:t>
        </w:r>
        <w:r>
          <w:rPr>
            <w:noProof/>
            <w:webHidden/>
          </w:rPr>
          <w:fldChar w:fldCharType="end"/>
        </w:r>
      </w:hyperlink>
    </w:p>
    <w:p w:rsidR="00767C6D" w14:paraId="5AAD432C" w14:textId="1BBD0FF3">
      <w:pPr>
        <w:pStyle w:val="TOC1"/>
        <w:rPr>
          <w:rFonts w:asciiTheme="minorHAnsi" w:eastAsiaTheme="minorEastAsia" w:hAnsiTheme="minorHAnsi" w:cstheme="minorBidi"/>
          <w:noProof/>
          <w:sz w:val="22"/>
          <w:szCs w:val="22"/>
        </w:rPr>
      </w:pPr>
      <w:hyperlink w:anchor="_Toc71126530" w:history="1">
        <w:r w:rsidRPr="00DE70D2">
          <w:rPr>
            <w:rStyle w:val="Hyperlink"/>
            <w:noProof/>
          </w:rPr>
          <w:t>II.</w:t>
        </w:r>
        <w:r>
          <w:rPr>
            <w:rFonts w:asciiTheme="minorHAnsi" w:eastAsiaTheme="minorEastAsia" w:hAnsiTheme="minorHAnsi" w:cstheme="minorBidi"/>
            <w:noProof/>
            <w:sz w:val="22"/>
            <w:szCs w:val="22"/>
          </w:rPr>
          <w:tab/>
        </w:r>
        <w:r w:rsidRPr="00DE70D2">
          <w:rPr>
            <w:rStyle w:val="Hyperlink"/>
            <w:noProof/>
          </w:rPr>
          <w:t>OBJECTIONS</w:t>
        </w:r>
        <w:r>
          <w:rPr>
            <w:noProof/>
            <w:webHidden/>
          </w:rPr>
          <w:tab/>
        </w:r>
        <w:r>
          <w:rPr>
            <w:noProof/>
            <w:webHidden/>
          </w:rPr>
          <w:fldChar w:fldCharType="begin"/>
        </w:r>
        <w:r>
          <w:rPr>
            <w:noProof/>
            <w:webHidden/>
          </w:rPr>
          <w:instrText xml:space="preserve"> PAGEREF _Toc71126530 \h </w:instrText>
        </w:r>
        <w:r>
          <w:rPr>
            <w:noProof/>
            <w:webHidden/>
          </w:rPr>
          <w:fldChar w:fldCharType="separate"/>
        </w:r>
        <w:r>
          <w:rPr>
            <w:noProof/>
            <w:webHidden/>
          </w:rPr>
          <w:t>6</w:t>
        </w:r>
        <w:r>
          <w:rPr>
            <w:noProof/>
            <w:webHidden/>
          </w:rPr>
          <w:fldChar w:fldCharType="end"/>
        </w:r>
      </w:hyperlink>
    </w:p>
    <w:p w:rsidR="00767C6D" w:rsidP="00767C6D" w14:paraId="43F6D410" w14:textId="1E77B654">
      <w:pPr>
        <w:pStyle w:val="TOC2"/>
        <w:tabs>
          <w:tab w:val="left" w:pos="2126"/>
        </w:tabs>
        <w:ind w:left="2126" w:hanging="1406"/>
        <w:rPr>
          <w:rFonts w:asciiTheme="minorHAnsi" w:eastAsiaTheme="minorEastAsia" w:hAnsiTheme="minorHAnsi" w:cstheme="minorBidi"/>
          <w:noProof/>
          <w:sz w:val="22"/>
          <w:szCs w:val="22"/>
        </w:rPr>
      </w:pPr>
      <w:hyperlink w:anchor="_Toc71126531" w:history="1">
        <w:r w:rsidRPr="00DE70D2">
          <w:rPr>
            <w:rStyle w:val="Hyperlink"/>
            <w:noProof/>
          </w:rPr>
          <w:t>Objection 1.</w:t>
        </w:r>
        <w:r>
          <w:rPr>
            <w:rFonts w:asciiTheme="minorHAnsi" w:eastAsiaTheme="minorEastAsia" w:hAnsiTheme="minorHAnsi" w:cstheme="minorBidi"/>
            <w:noProof/>
            <w:sz w:val="22"/>
            <w:szCs w:val="22"/>
          </w:rPr>
          <w:tab/>
        </w:r>
        <w:r w:rsidRPr="00DE70D2">
          <w:rPr>
            <w:rStyle w:val="Hyperlink"/>
            <w:noProof/>
          </w:rPr>
          <w:t>OCC objects to the PUCO Staff’s recommendation to approve Dominion’s Application to renew the PIR Program for a five-year period without a comprehensive review. Such a review is necessary to determine that the Program is meeting its stated objectives and Dominion’s consumers are receiving the benefits that were claimed when the Program was initially being considered.</w:t>
        </w:r>
        <w:r>
          <w:rPr>
            <w:noProof/>
            <w:webHidden/>
          </w:rPr>
          <w:tab/>
        </w:r>
        <w:r>
          <w:rPr>
            <w:noProof/>
            <w:webHidden/>
          </w:rPr>
          <w:fldChar w:fldCharType="begin"/>
        </w:r>
        <w:r>
          <w:rPr>
            <w:noProof/>
            <w:webHidden/>
          </w:rPr>
          <w:instrText xml:space="preserve"> PAGEREF _Toc71126531 \h </w:instrText>
        </w:r>
        <w:r>
          <w:rPr>
            <w:noProof/>
            <w:webHidden/>
          </w:rPr>
          <w:fldChar w:fldCharType="separate"/>
        </w:r>
        <w:r>
          <w:rPr>
            <w:noProof/>
            <w:webHidden/>
          </w:rPr>
          <w:t>6</w:t>
        </w:r>
        <w:r>
          <w:rPr>
            <w:noProof/>
            <w:webHidden/>
          </w:rPr>
          <w:fldChar w:fldCharType="end"/>
        </w:r>
      </w:hyperlink>
    </w:p>
    <w:p w:rsidR="00767C6D" w:rsidP="00767C6D" w14:paraId="6F3244EC" w14:textId="3038986A">
      <w:pPr>
        <w:pStyle w:val="TOC2"/>
        <w:tabs>
          <w:tab w:val="left" w:pos="2126"/>
        </w:tabs>
        <w:ind w:left="2126" w:hanging="1406"/>
        <w:rPr>
          <w:rFonts w:asciiTheme="minorHAnsi" w:eastAsiaTheme="minorEastAsia" w:hAnsiTheme="minorHAnsi" w:cstheme="minorBidi"/>
          <w:noProof/>
          <w:sz w:val="22"/>
          <w:szCs w:val="22"/>
        </w:rPr>
      </w:pPr>
      <w:hyperlink w:anchor="_Toc71126532" w:history="1">
        <w:r w:rsidRPr="00DE70D2">
          <w:rPr>
            <w:rStyle w:val="Hyperlink"/>
            <w:noProof/>
          </w:rPr>
          <w:t>Objection 2.</w:t>
        </w:r>
        <w:r>
          <w:rPr>
            <w:rFonts w:asciiTheme="minorHAnsi" w:eastAsiaTheme="minorEastAsia" w:hAnsiTheme="minorHAnsi" w:cstheme="minorBidi"/>
            <w:noProof/>
            <w:sz w:val="22"/>
            <w:szCs w:val="22"/>
          </w:rPr>
          <w:tab/>
        </w:r>
        <w:r w:rsidRPr="00DE70D2">
          <w:rPr>
            <w:rStyle w:val="Hyperlink"/>
            <w:noProof/>
          </w:rPr>
          <w:t>OCC objects to Staff’s recommendation to approve renewal of the PIR Program without acknowledging that the rate of return used in setting the PIR Rider rates is outdated and inflated. Dominion’s rate of return should be updated if the PIR Program is renewed.</w:t>
        </w:r>
        <w:r>
          <w:rPr>
            <w:noProof/>
            <w:webHidden/>
          </w:rPr>
          <w:tab/>
        </w:r>
        <w:r>
          <w:rPr>
            <w:noProof/>
            <w:webHidden/>
          </w:rPr>
          <w:fldChar w:fldCharType="begin"/>
        </w:r>
        <w:r>
          <w:rPr>
            <w:noProof/>
            <w:webHidden/>
          </w:rPr>
          <w:instrText xml:space="preserve"> PAGEREF _Toc71126532 \h </w:instrText>
        </w:r>
        <w:r>
          <w:rPr>
            <w:noProof/>
            <w:webHidden/>
          </w:rPr>
          <w:fldChar w:fldCharType="separate"/>
        </w:r>
        <w:r>
          <w:rPr>
            <w:noProof/>
            <w:webHidden/>
          </w:rPr>
          <w:t>8</w:t>
        </w:r>
        <w:r>
          <w:rPr>
            <w:noProof/>
            <w:webHidden/>
          </w:rPr>
          <w:fldChar w:fldCharType="end"/>
        </w:r>
      </w:hyperlink>
    </w:p>
    <w:p w:rsidR="00767C6D" w:rsidP="00767C6D" w14:paraId="768B0D23" w14:textId="5B75BB16">
      <w:pPr>
        <w:pStyle w:val="TOC2"/>
        <w:tabs>
          <w:tab w:val="left" w:pos="2126"/>
        </w:tabs>
        <w:ind w:left="2126" w:hanging="1406"/>
        <w:rPr>
          <w:rFonts w:asciiTheme="minorHAnsi" w:eastAsiaTheme="minorEastAsia" w:hAnsiTheme="minorHAnsi" w:cstheme="minorBidi"/>
          <w:noProof/>
          <w:sz w:val="22"/>
          <w:szCs w:val="22"/>
        </w:rPr>
      </w:pPr>
      <w:hyperlink w:anchor="_Toc71126533" w:history="1">
        <w:r w:rsidRPr="00DE70D2">
          <w:rPr>
            <w:rStyle w:val="Hyperlink"/>
            <w:noProof/>
          </w:rPr>
          <w:t>Objection 3.</w:t>
        </w:r>
        <w:r>
          <w:rPr>
            <w:rFonts w:asciiTheme="minorHAnsi" w:eastAsiaTheme="minorEastAsia" w:hAnsiTheme="minorHAnsi" w:cstheme="minorBidi"/>
            <w:noProof/>
            <w:sz w:val="22"/>
            <w:szCs w:val="22"/>
          </w:rPr>
          <w:tab/>
        </w:r>
        <w:r w:rsidRPr="00DE70D2">
          <w:rPr>
            <w:rStyle w:val="Hyperlink"/>
            <w:noProof/>
          </w:rPr>
          <w:t>If the PIR Program is going to be renewed, the PUCO Staff should have recommended that all financial performance incentives included in the PIR Rider be removed.</w:t>
        </w:r>
        <w:r>
          <w:rPr>
            <w:noProof/>
            <w:webHidden/>
          </w:rPr>
          <w:tab/>
        </w:r>
        <w:r>
          <w:rPr>
            <w:noProof/>
            <w:webHidden/>
          </w:rPr>
          <w:fldChar w:fldCharType="begin"/>
        </w:r>
        <w:r>
          <w:rPr>
            <w:noProof/>
            <w:webHidden/>
          </w:rPr>
          <w:instrText xml:space="preserve"> PAGEREF _Toc71126533 \h </w:instrText>
        </w:r>
        <w:r>
          <w:rPr>
            <w:noProof/>
            <w:webHidden/>
          </w:rPr>
          <w:fldChar w:fldCharType="separate"/>
        </w:r>
        <w:r>
          <w:rPr>
            <w:noProof/>
            <w:webHidden/>
          </w:rPr>
          <w:t>9</w:t>
        </w:r>
        <w:r>
          <w:rPr>
            <w:noProof/>
            <w:webHidden/>
          </w:rPr>
          <w:fldChar w:fldCharType="end"/>
        </w:r>
      </w:hyperlink>
    </w:p>
    <w:p w:rsidR="00767C6D" w:rsidP="00767C6D" w14:paraId="4F83FE36" w14:textId="5D374CA1">
      <w:pPr>
        <w:pStyle w:val="TOC2"/>
        <w:tabs>
          <w:tab w:val="left" w:pos="2126"/>
        </w:tabs>
        <w:ind w:left="2126" w:hanging="1406"/>
        <w:rPr>
          <w:rFonts w:asciiTheme="minorHAnsi" w:eastAsiaTheme="minorEastAsia" w:hAnsiTheme="minorHAnsi" w:cstheme="minorBidi"/>
          <w:noProof/>
          <w:sz w:val="22"/>
          <w:szCs w:val="22"/>
        </w:rPr>
      </w:pPr>
      <w:hyperlink w:anchor="_Toc71126534" w:history="1">
        <w:r w:rsidRPr="00DE70D2">
          <w:rPr>
            <w:rStyle w:val="Hyperlink"/>
            <w:noProof/>
          </w:rPr>
          <w:t>Objection 4.</w:t>
        </w:r>
        <w:r>
          <w:rPr>
            <w:rFonts w:asciiTheme="minorHAnsi" w:eastAsiaTheme="minorEastAsia" w:hAnsiTheme="minorHAnsi" w:cstheme="minorBidi"/>
            <w:noProof/>
            <w:sz w:val="22"/>
            <w:szCs w:val="22"/>
          </w:rPr>
          <w:tab/>
        </w:r>
        <w:r w:rsidRPr="00DE70D2">
          <w:rPr>
            <w:rStyle w:val="Hyperlink"/>
            <w:noProof/>
          </w:rPr>
          <w:t>OCC objects to the PUCO Staff’s recommended approval of Dominion’s proposed three percent annual increases to PIR investment levels when Dominion offered no evidence that such annual increases are needed.</w:t>
        </w:r>
        <w:r>
          <w:rPr>
            <w:noProof/>
            <w:webHidden/>
          </w:rPr>
          <w:tab/>
        </w:r>
        <w:r>
          <w:rPr>
            <w:noProof/>
            <w:webHidden/>
          </w:rPr>
          <w:fldChar w:fldCharType="begin"/>
        </w:r>
        <w:r>
          <w:rPr>
            <w:noProof/>
            <w:webHidden/>
          </w:rPr>
          <w:instrText xml:space="preserve"> PAGEREF _Toc71126534 \h </w:instrText>
        </w:r>
        <w:r>
          <w:rPr>
            <w:noProof/>
            <w:webHidden/>
          </w:rPr>
          <w:fldChar w:fldCharType="separate"/>
        </w:r>
        <w:r>
          <w:rPr>
            <w:noProof/>
            <w:webHidden/>
          </w:rPr>
          <w:t>10</w:t>
        </w:r>
        <w:r>
          <w:rPr>
            <w:noProof/>
            <w:webHidden/>
          </w:rPr>
          <w:fldChar w:fldCharType="end"/>
        </w:r>
      </w:hyperlink>
    </w:p>
    <w:p w:rsidR="00767C6D" w:rsidP="00767C6D" w14:paraId="15BC3942" w14:textId="6BFA67D7">
      <w:pPr>
        <w:pStyle w:val="TOC2"/>
        <w:tabs>
          <w:tab w:val="left" w:pos="2126"/>
        </w:tabs>
        <w:ind w:left="2126" w:hanging="1406"/>
        <w:rPr>
          <w:rFonts w:asciiTheme="minorHAnsi" w:eastAsiaTheme="minorEastAsia" w:hAnsiTheme="minorHAnsi" w:cstheme="minorBidi"/>
          <w:noProof/>
          <w:sz w:val="22"/>
          <w:szCs w:val="22"/>
        </w:rPr>
      </w:pPr>
      <w:hyperlink w:anchor="_Toc71126535" w:history="1">
        <w:r w:rsidRPr="00DE70D2">
          <w:rPr>
            <w:rStyle w:val="Hyperlink"/>
            <w:noProof/>
          </w:rPr>
          <w:t>Objection 5.</w:t>
        </w:r>
        <w:r>
          <w:rPr>
            <w:rFonts w:asciiTheme="minorHAnsi" w:eastAsiaTheme="minorEastAsia" w:hAnsiTheme="minorHAnsi" w:cstheme="minorBidi"/>
            <w:noProof/>
            <w:sz w:val="22"/>
            <w:szCs w:val="22"/>
          </w:rPr>
          <w:tab/>
        </w:r>
        <w:r w:rsidRPr="00DE70D2">
          <w:rPr>
            <w:rStyle w:val="Hyperlink"/>
            <w:noProof/>
          </w:rPr>
          <w:t>The PUCO Staff should not have recommended modifying the review schedule for annual PIR Rider applications without first knowing the cost of such a schedule change and the impact on consumers.</w:t>
        </w:r>
        <w:r>
          <w:rPr>
            <w:noProof/>
            <w:webHidden/>
          </w:rPr>
          <w:tab/>
        </w:r>
        <w:r>
          <w:rPr>
            <w:noProof/>
            <w:webHidden/>
          </w:rPr>
          <w:fldChar w:fldCharType="begin"/>
        </w:r>
        <w:r>
          <w:rPr>
            <w:noProof/>
            <w:webHidden/>
          </w:rPr>
          <w:instrText xml:space="preserve"> PAGEREF _Toc71126535 \h </w:instrText>
        </w:r>
        <w:r>
          <w:rPr>
            <w:noProof/>
            <w:webHidden/>
          </w:rPr>
          <w:fldChar w:fldCharType="separate"/>
        </w:r>
        <w:r>
          <w:rPr>
            <w:noProof/>
            <w:webHidden/>
          </w:rPr>
          <w:t>11</w:t>
        </w:r>
        <w:r>
          <w:rPr>
            <w:noProof/>
            <w:webHidden/>
          </w:rPr>
          <w:fldChar w:fldCharType="end"/>
        </w:r>
      </w:hyperlink>
    </w:p>
    <w:p w:rsidR="00767C6D" w:rsidP="00767C6D" w14:paraId="70ED5212" w14:textId="0F5FFA97">
      <w:pPr>
        <w:pStyle w:val="TOC2"/>
        <w:tabs>
          <w:tab w:val="left" w:pos="2126"/>
        </w:tabs>
        <w:ind w:left="2126" w:hanging="1406"/>
        <w:rPr>
          <w:rFonts w:asciiTheme="minorHAnsi" w:eastAsiaTheme="minorEastAsia" w:hAnsiTheme="minorHAnsi" w:cstheme="minorBidi"/>
          <w:noProof/>
          <w:sz w:val="22"/>
          <w:szCs w:val="22"/>
        </w:rPr>
      </w:pPr>
      <w:hyperlink w:anchor="_Toc71126536" w:history="1">
        <w:r w:rsidRPr="00DE70D2">
          <w:rPr>
            <w:rStyle w:val="Hyperlink"/>
            <w:noProof/>
          </w:rPr>
          <w:t>Objection 6.</w:t>
        </w:r>
        <w:r>
          <w:rPr>
            <w:rFonts w:asciiTheme="minorHAnsi" w:eastAsiaTheme="minorEastAsia" w:hAnsiTheme="minorHAnsi" w:cstheme="minorBidi"/>
            <w:noProof/>
            <w:sz w:val="22"/>
            <w:szCs w:val="22"/>
          </w:rPr>
          <w:tab/>
        </w:r>
        <w:r w:rsidRPr="00DE70D2">
          <w:rPr>
            <w:rStyle w:val="Hyperlink"/>
            <w:noProof/>
          </w:rPr>
          <w:t>OCC supports PUCO Staff’s view that the PIR Program should be completed in 2033 as originally proposed. However, if completion of the Program in 2033 means large increases in annual PIR capital investments and corresponding large increases in annual PIR Rider rates, then OCC does not support the recommendation.</w:t>
        </w:r>
        <w:r>
          <w:rPr>
            <w:noProof/>
            <w:webHidden/>
          </w:rPr>
          <w:tab/>
        </w:r>
        <w:r>
          <w:rPr>
            <w:noProof/>
            <w:webHidden/>
          </w:rPr>
          <w:fldChar w:fldCharType="begin"/>
        </w:r>
        <w:r>
          <w:rPr>
            <w:noProof/>
            <w:webHidden/>
          </w:rPr>
          <w:instrText xml:space="preserve"> PAGEREF _Toc71126536 \h </w:instrText>
        </w:r>
        <w:r>
          <w:rPr>
            <w:noProof/>
            <w:webHidden/>
          </w:rPr>
          <w:fldChar w:fldCharType="separate"/>
        </w:r>
        <w:r>
          <w:rPr>
            <w:noProof/>
            <w:webHidden/>
          </w:rPr>
          <w:t>12</w:t>
        </w:r>
        <w:r>
          <w:rPr>
            <w:noProof/>
            <w:webHidden/>
          </w:rPr>
          <w:fldChar w:fldCharType="end"/>
        </w:r>
      </w:hyperlink>
    </w:p>
    <w:p w:rsidR="00767C6D" w14:paraId="5B72661D" w14:textId="22B237BA">
      <w:pPr>
        <w:pStyle w:val="TOC1"/>
        <w:rPr>
          <w:rFonts w:asciiTheme="minorHAnsi" w:eastAsiaTheme="minorEastAsia" w:hAnsiTheme="minorHAnsi" w:cstheme="minorBidi"/>
          <w:noProof/>
          <w:sz w:val="22"/>
          <w:szCs w:val="22"/>
        </w:rPr>
      </w:pPr>
      <w:hyperlink w:anchor="_Toc71126537" w:history="1">
        <w:r w:rsidRPr="00DE70D2">
          <w:rPr>
            <w:rStyle w:val="Hyperlink"/>
            <w:noProof/>
          </w:rPr>
          <w:t>III.</w:t>
        </w:r>
        <w:r>
          <w:rPr>
            <w:rFonts w:asciiTheme="minorHAnsi" w:eastAsiaTheme="minorEastAsia" w:hAnsiTheme="minorHAnsi" w:cstheme="minorBidi"/>
            <w:noProof/>
            <w:sz w:val="22"/>
            <w:szCs w:val="22"/>
          </w:rPr>
          <w:tab/>
        </w:r>
        <w:r w:rsidRPr="00DE70D2">
          <w:rPr>
            <w:rStyle w:val="Hyperlink"/>
            <w:noProof/>
          </w:rPr>
          <w:t>CONCLUSION</w:t>
        </w:r>
        <w:r>
          <w:rPr>
            <w:noProof/>
            <w:webHidden/>
          </w:rPr>
          <w:tab/>
        </w:r>
        <w:r>
          <w:rPr>
            <w:noProof/>
            <w:webHidden/>
          </w:rPr>
          <w:fldChar w:fldCharType="begin"/>
        </w:r>
        <w:r>
          <w:rPr>
            <w:noProof/>
            <w:webHidden/>
          </w:rPr>
          <w:instrText xml:space="preserve"> PAGEREF _Toc71126537 \h </w:instrText>
        </w:r>
        <w:r>
          <w:rPr>
            <w:noProof/>
            <w:webHidden/>
          </w:rPr>
          <w:fldChar w:fldCharType="separate"/>
        </w:r>
        <w:r>
          <w:rPr>
            <w:noProof/>
            <w:webHidden/>
          </w:rPr>
          <w:t>13</w:t>
        </w:r>
        <w:r>
          <w:rPr>
            <w:noProof/>
            <w:webHidden/>
          </w:rPr>
          <w:fldChar w:fldCharType="end"/>
        </w:r>
      </w:hyperlink>
    </w:p>
    <w:p w:rsidR="00A83641" w:rsidP="00D4185C" w14:paraId="55853DF3" w14:textId="4EC43DD3">
      <w:pPr>
        <w:pStyle w:val="HTMLPreformatted"/>
        <w:jc w:val="center"/>
        <w:rPr>
          <w:rFonts w:ascii="Times New Roman" w:hAnsi="Times New Roman"/>
          <w:b/>
          <w:bCs/>
          <w:sz w:val="24"/>
        </w:rPr>
      </w:pPr>
      <w:r>
        <w:rPr>
          <w:rFonts w:ascii="Times New Roman" w:hAnsi="Times New Roman"/>
          <w:b/>
          <w:bCs/>
          <w:sz w:val="24"/>
        </w:rPr>
        <w:fldChar w:fldCharType="end"/>
      </w:r>
    </w:p>
    <w:p w:rsidR="00A83641" w:rsidP="00D4185C" w14:paraId="3888C200" w14:textId="7DA59D01">
      <w:pPr>
        <w:pStyle w:val="HTMLPreformatted"/>
        <w:jc w:val="center"/>
        <w:rPr>
          <w:rFonts w:ascii="Times New Roman" w:hAnsi="Times New Roman"/>
          <w:b/>
          <w:bCs/>
          <w:sz w:val="24"/>
        </w:rPr>
        <w:sectPr w:rsidSect="00A83641">
          <w:footerReference w:type="first" r:id="rId10"/>
          <w:pgSz w:w="12240" w:h="15840"/>
          <w:pgMar w:top="1440" w:right="1440" w:bottom="1440" w:left="1440" w:header="720" w:footer="720" w:gutter="0"/>
          <w:pgNumType w:fmt="lowerRoman" w:start="1"/>
          <w:cols w:space="720"/>
          <w:titlePg/>
          <w:docGrid w:linePitch="326"/>
        </w:sectPr>
      </w:pPr>
    </w:p>
    <w:p w:rsidR="00836BDA" w:rsidP="00D4185C" w14:paraId="1BF1314C" w14:textId="2F144ADD">
      <w:pPr>
        <w:pStyle w:val="HTMLPreformatted"/>
        <w:jc w:val="center"/>
        <w:rPr>
          <w:rFonts w:ascii="Times New Roman" w:hAnsi="Times New Roman"/>
          <w:b/>
          <w:bCs/>
          <w:sz w:val="24"/>
        </w:rPr>
      </w:pPr>
      <w:r>
        <w:rPr>
          <w:rFonts w:ascii="Times New Roman" w:hAnsi="Times New Roman"/>
          <w:b/>
          <w:bCs/>
          <w:sz w:val="24"/>
        </w:rPr>
        <w:t>BEFORE</w:t>
      </w:r>
    </w:p>
    <w:p w:rsidR="00836BDA" w:rsidP="00D4185C" w14:paraId="0EFCDFE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36BDA" w:rsidP="00D4185C" w14:paraId="1625F8E9" w14:textId="77777777">
      <w:pPr>
        <w:pStyle w:val="HTMLPreformatted"/>
        <w:rPr>
          <w:rFonts w:ascii="Times New Roman" w:hAnsi="Times New Roman"/>
          <w:sz w:val="24"/>
        </w:rPr>
      </w:pPr>
    </w:p>
    <w:tbl>
      <w:tblPr>
        <w:tblW w:w="9468" w:type="dxa"/>
        <w:tblLook w:val="01E0"/>
      </w:tblPr>
      <w:tblGrid>
        <w:gridCol w:w="4590"/>
        <w:gridCol w:w="378"/>
        <w:gridCol w:w="4500"/>
      </w:tblGrid>
      <w:tr w14:paraId="0AFFF7D2" w14:textId="77777777" w:rsidTr="00CB2155">
        <w:tblPrEx>
          <w:tblW w:w="9468" w:type="dxa"/>
          <w:tblLook w:val="01E0"/>
        </w:tblPrEx>
        <w:trPr>
          <w:trHeight w:val="807"/>
        </w:trPr>
        <w:tc>
          <w:tcPr>
            <w:tcW w:w="4590" w:type="dxa"/>
            <w:shd w:val="clear" w:color="auto" w:fill="auto"/>
          </w:tcPr>
          <w:p w:rsidR="00E21DA7" w:rsidRPr="00A044B5" w:rsidP="00E21DA7" w14:paraId="49CAB645" w14:textId="7B555EA4">
            <w:pPr>
              <w:pStyle w:val="HTMLPreformatted"/>
              <w:rPr>
                <w:rFonts w:ascii="Times New Roman" w:hAnsi="Times New Roman"/>
                <w:sz w:val="24"/>
                <w:szCs w:val="24"/>
              </w:rPr>
            </w:pPr>
            <w:r w:rsidRPr="00E21DA7">
              <w:rPr>
                <w:rFonts w:ascii="Times New Roman" w:hAnsi="Times New Roman" w:cs="Times New Roman"/>
                <w:sz w:val="24"/>
                <w:szCs w:val="24"/>
              </w:rPr>
              <w:t>In the Matter of The Application of The East Ohio Gas Company d/b/a Dominion East Ohio for Approval of an Alternative Form of Regulation.</w:t>
            </w:r>
          </w:p>
        </w:tc>
        <w:tc>
          <w:tcPr>
            <w:tcW w:w="378" w:type="dxa"/>
            <w:shd w:val="clear" w:color="auto" w:fill="auto"/>
          </w:tcPr>
          <w:p w:rsidR="00E21DA7" w:rsidRPr="00A044B5" w:rsidP="00E21DA7" w14:paraId="0A383D99" w14:textId="77777777">
            <w:pPr>
              <w:pStyle w:val="HTMLPreformatted"/>
              <w:rPr>
                <w:rFonts w:ascii="Times New Roman" w:hAnsi="Times New Roman"/>
                <w:sz w:val="24"/>
              </w:rPr>
            </w:pPr>
            <w:r w:rsidRPr="00A044B5">
              <w:rPr>
                <w:rFonts w:ascii="Times New Roman" w:hAnsi="Times New Roman"/>
                <w:sz w:val="24"/>
              </w:rPr>
              <w:t>)</w:t>
            </w:r>
          </w:p>
          <w:p w:rsidR="00E21DA7" w:rsidRPr="00A044B5" w:rsidP="00E21DA7" w14:paraId="2A9FBD3F" w14:textId="77777777">
            <w:pPr>
              <w:pStyle w:val="HTMLPreformatted"/>
              <w:rPr>
                <w:rFonts w:ascii="Times New Roman" w:hAnsi="Times New Roman"/>
                <w:sz w:val="24"/>
              </w:rPr>
            </w:pPr>
            <w:r w:rsidRPr="00A044B5">
              <w:rPr>
                <w:rFonts w:ascii="Times New Roman" w:hAnsi="Times New Roman"/>
                <w:sz w:val="24"/>
              </w:rPr>
              <w:t>)</w:t>
            </w:r>
          </w:p>
          <w:p w:rsidR="00E21DA7" w:rsidP="00E21DA7" w14:paraId="4D2BE93C" w14:textId="77777777">
            <w:pPr>
              <w:pStyle w:val="HTMLPreformatted"/>
              <w:rPr>
                <w:rFonts w:ascii="Times New Roman" w:hAnsi="Times New Roman"/>
                <w:sz w:val="24"/>
              </w:rPr>
            </w:pPr>
            <w:r w:rsidRPr="00A044B5">
              <w:rPr>
                <w:rFonts w:ascii="Times New Roman" w:hAnsi="Times New Roman"/>
                <w:sz w:val="24"/>
              </w:rPr>
              <w:t>)</w:t>
            </w:r>
          </w:p>
          <w:p w:rsidR="00E21DA7" w:rsidRPr="00A044B5" w:rsidP="00CB2155" w14:paraId="3B90A29D" w14:textId="0F087407">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E21DA7" w:rsidRPr="00A044B5" w:rsidP="00E21DA7" w14:paraId="0B8B5339" w14:textId="77777777">
            <w:pPr>
              <w:pStyle w:val="HTMLPreformatted"/>
              <w:rPr>
                <w:rFonts w:ascii="Times New Roman" w:hAnsi="Times New Roman"/>
                <w:sz w:val="24"/>
              </w:rPr>
            </w:pPr>
          </w:p>
          <w:p w:rsidR="00E21DA7" w:rsidRPr="00CB76F9" w:rsidP="00E21DA7" w14:paraId="7B0471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CB76F9">
              <w:rPr>
                <w:rFonts w:eastAsia="Courier New"/>
                <w:szCs w:val="24"/>
              </w:rPr>
              <w:t>Case No. 20-1634-GA-ALT</w:t>
            </w:r>
          </w:p>
          <w:p w:rsidR="00E21DA7" w:rsidRPr="00A044B5" w:rsidP="00E21DA7" w14:paraId="44F1CADA" w14:textId="77777777">
            <w:pPr>
              <w:pStyle w:val="HTMLPreformatted"/>
              <w:rPr>
                <w:rFonts w:ascii="Times New Roman" w:hAnsi="Times New Roman"/>
                <w:sz w:val="24"/>
              </w:rPr>
            </w:pPr>
          </w:p>
        </w:tc>
      </w:tr>
    </w:tbl>
    <w:p w:rsidR="00836BDA" w:rsidP="00D4185C" w14:paraId="18D2F8FA" w14:textId="77777777">
      <w:pPr>
        <w:pStyle w:val="HTMLPreformatted"/>
        <w:rPr>
          <w:rFonts w:ascii="Times New Roman" w:hAnsi="Times New Roman"/>
          <w:sz w:val="24"/>
        </w:rPr>
      </w:pPr>
    </w:p>
    <w:p w:rsidR="00836BDA" w:rsidP="00D4185C" w14:paraId="70A63F72" w14:textId="77777777">
      <w:pPr>
        <w:pStyle w:val="HTMLPreformatted"/>
        <w:pBdr>
          <w:top w:val="single" w:sz="12" w:space="1" w:color="auto"/>
        </w:pBdr>
        <w:rPr>
          <w:rFonts w:ascii="Times New Roman" w:hAnsi="Times New Roman"/>
          <w:sz w:val="24"/>
        </w:rPr>
      </w:pPr>
    </w:p>
    <w:p w:rsidR="00836BDA" w:rsidP="00D4185C" w14:paraId="34DCF432" w14:textId="569BE101">
      <w:pPr>
        <w:jc w:val="center"/>
        <w:rPr>
          <w:b/>
          <w:bCs/>
        </w:rPr>
      </w:pPr>
      <w:r>
        <w:rPr>
          <w:b/>
          <w:bCs/>
        </w:rPr>
        <w:t xml:space="preserve">CONSUMER PROTECTION </w:t>
      </w:r>
      <w:r w:rsidR="00173A56">
        <w:rPr>
          <w:b/>
          <w:bCs/>
        </w:rPr>
        <w:t>OBJECTIONS</w:t>
      </w:r>
      <w:r w:rsidR="0079022E">
        <w:rPr>
          <w:b/>
          <w:bCs/>
        </w:rPr>
        <w:t xml:space="preserve"> TO PUCO STAFF REPORT</w:t>
      </w:r>
    </w:p>
    <w:p w:rsidR="00836BDA" w:rsidP="00D4185C" w14:paraId="1B90FEB4" w14:textId="77777777">
      <w:pPr>
        <w:jc w:val="center"/>
        <w:rPr>
          <w:b/>
          <w:bCs/>
        </w:rPr>
      </w:pPr>
      <w:r>
        <w:rPr>
          <w:b/>
          <w:bCs/>
        </w:rPr>
        <w:t>BY</w:t>
      </w:r>
    </w:p>
    <w:p w:rsidR="00836BDA" w:rsidP="00D4185C" w14:paraId="2487FF62" w14:textId="5257EA03">
      <w:pPr>
        <w:jc w:val="center"/>
        <w:rPr>
          <w:b/>
          <w:bCs/>
        </w:rPr>
      </w:pPr>
      <w:r>
        <w:rPr>
          <w:b/>
          <w:bCs/>
        </w:rPr>
        <w:t>OFFICE OF THE OHIO CONSUMERS’ COUNSEL</w:t>
      </w:r>
    </w:p>
    <w:p w:rsidR="00836BDA" w:rsidP="00D4185C" w14:paraId="105D0ABA" w14:textId="77777777">
      <w:pPr>
        <w:pBdr>
          <w:bottom w:val="single" w:sz="12" w:space="1" w:color="auto"/>
        </w:pBdr>
        <w:tabs>
          <w:tab w:val="left" w:pos="4320"/>
        </w:tabs>
      </w:pPr>
    </w:p>
    <w:p w:rsidR="00836BDA" w:rsidP="00D4185C" w14:paraId="5C7136EB" w14:textId="77777777">
      <w:pPr>
        <w:tabs>
          <w:tab w:val="left" w:pos="4320"/>
        </w:tabs>
      </w:pPr>
    </w:p>
    <w:p w:rsidR="00AC69A6" w:rsidP="00D4185C" w14:paraId="6C6DE3C9" w14:textId="25CE9BBB">
      <w:pPr>
        <w:pStyle w:val="BodyTextIndent3"/>
        <w:spacing w:line="480" w:lineRule="auto"/>
      </w:pPr>
      <w:r>
        <w:t xml:space="preserve">Dominion Energy Ohio </w:t>
      </w:r>
      <w:r w:rsidR="005E34F1">
        <w:t xml:space="preserve">(“Dominion”) </w:t>
      </w:r>
      <w:r>
        <w:t xml:space="preserve">wants to </w:t>
      </w:r>
      <w:r w:rsidR="005E34F1">
        <w:t>renew it</w:t>
      </w:r>
      <w:r>
        <w:t>s</w:t>
      </w:r>
      <w:r w:rsidR="005E34F1">
        <w:t xml:space="preserve"> Pipeline Infrastructure Replacement (“PIR”) program for a new five-year period (2022 through 2026) and add </w:t>
      </w:r>
      <w:r w:rsidR="0049260C">
        <w:t>nearly $10</w:t>
      </w:r>
      <w:r w:rsidR="00D90AE5">
        <w:t>6</w:t>
      </w:r>
      <w:r w:rsidR="0049260C">
        <w:t xml:space="preserve"> more </w:t>
      </w:r>
      <w:r w:rsidR="00E4646A">
        <w:t xml:space="preserve">per year to customers’ bills for </w:t>
      </w:r>
      <w:r w:rsidR="0049260C">
        <w:t>PIR Cost Recovery Charges (“PIR Rider”).</w:t>
      </w:r>
      <w:r w:rsidR="00CB2155">
        <w:t xml:space="preserve"> </w:t>
      </w:r>
      <w:r w:rsidR="0049260C">
        <w:t xml:space="preserve">This is on top of the nearly $180 per year that residential customers are </w:t>
      </w:r>
      <w:r w:rsidR="006E3FA7">
        <w:t>currently</w:t>
      </w:r>
      <w:r w:rsidR="0049260C">
        <w:t xml:space="preserve"> paying under the PIR Rider.</w:t>
      </w:r>
      <w:r w:rsidR="00CB2155">
        <w:t xml:space="preserve"> </w:t>
      </w:r>
      <w:r w:rsidR="002F6E9F">
        <w:t>And</w:t>
      </w:r>
      <w:r w:rsidR="007644B2">
        <w:t xml:space="preserve"> Dominion is </w:t>
      </w:r>
      <w:r w:rsidR="002F6E9F">
        <w:t>making its request through a</w:t>
      </w:r>
      <w:r w:rsidR="00DD53E7">
        <w:t xml:space="preserve"> single-issue</w:t>
      </w:r>
      <w:r w:rsidR="002F6E9F">
        <w:t xml:space="preserve"> alternative rate proceeding that doesn’t give customer</w:t>
      </w:r>
      <w:r>
        <w:t>s</w:t>
      </w:r>
      <w:r w:rsidR="002F6E9F">
        <w:t xml:space="preserve"> the benefit of a rate case where the rates that Dominion charges </w:t>
      </w:r>
      <w:r w:rsidR="00DD53E7">
        <w:t>customers could be reviewed simultaneously</w:t>
      </w:r>
      <w:r w:rsidR="00E4646A">
        <w:t>, including</w:t>
      </w:r>
      <w:r w:rsidR="00CB2155">
        <w:t xml:space="preserve"> </w:t>
      </w:r>
      <w:r w:rsidR="00DD53E7">
        <w:t xml:space="preserve">Dominion’s inflated return on equity and excessive cost of debt. </w:t>
      </w:r>
    </w:p>
    <w:p w:rsidR="0074083A" w:rsidP="00D4185C" w14:paraId="59436D80" w14:textId="0EB57BCA">
      <w:pPr>
        <w:pStyle w:val="BodyTextIndent3"/>
        <w:spacing w:line="480" w:lineRule="auto"/>
      </w:pPr>
      <w:r>
        <w:t xml:space="preserve">In fact, it is anticipated that Dominion will not file a base rate case until October </w:t>
      </w:r>
      <w:r w:rsidR="00D90AE5">
        <w:t>2024.</w:t>
      </w:r>
      <w:r>
        <w:rPr>
          <w:rStyle w:val="FootnoteReference"/>
        </w:rPr>
        <w:footnoteReference w:id="2"/>
      </w:r>
      <w:r w:rsidR="00CB2155">
        <w:t xml:space="preserve"> </w:t>
      </w:r>
      <w:r w:rsidR="00D90AE5">
        <w:t xml:space="preserve">If that is the case, then the PIR Rider rates proposed in Dominion’s Application </w:t>
      </w:r>
      <w:r w:rsidR="00AC69A6">
        <w:t xml:space="preserve">when </w:t>
      </w:r>
      <w:r w:rsidR="00D90AE5">
        <w:t>added to the current PIR Rider rates will cost residential customers more than $240 per year</w:t>
      </w:r>
      <w:r>
        <w:t xml:space="preserve"> in 2024</w:t>
      </w:r>
      <w:r w:rsidR="00D90AE5">
        <w:t xml:space="preserve">. </w:t>
      </w:r>
    </w:p>
    <w:p w:rsidR="00CB2155" w:rsidP="00513A30" w14:paraId="73EB5F81" w14:textId="0BF987A4">
      <w:pPr>
        <w:pStyle w:val="BodyTextIndent3"/>
        <w:spacing w:line="480" w:lineRule="auto"/>
        <w:sectPr w:rsidSect="001B0AFA">
          <w:footerReference w:type="first" r:id="rId11"/>
          <w:pgSz w:w="12240" w:h="15840"/>
          <w:pgMar w:top="1440" w:right="1440" w:bottom="1440" w:left="1440" w:header="720" w:footer="720" w:gutter="0"/>
          <w:pgNumType w:start="1"/>
          <w:cols w:space="720"/>
          <w:titlePg/>
          <w:docGrid w:linePitch="326"/>
        </w:sectPr>
      </w:pPr>
      <w:r>
        <w:t>If the PUCO does allow any part of Dominion’s rate increas</w:t>
      </w:r>
      <w:r w:rsidR="00AC69A6">
        <w:t>e (which it should not)</w:t>
      </w:r>
      <w:r>
        <w:t xml:space="preserve">, then the PUCO should also order </w:t>
      </w:r>
      <w:r w:rsidR="003162B4">
        <w:t xml:space="preserve">the </w:t>
      </w:r>
      <w:r w:rsidR="00F87C07">
        <w:t>consumer</w:t>
      </w:r>
      <w:r w:rsidR="0083461E">
        <w:t xml:space="preserve"> </w:t>
      </w:r>
      <w:r w:rsidR="00F87C07">
        <w:t>protection</w:t>
      </w:r>
      <w:r w:rsidR="008539FB">
        <w:t>s</w:t>
      </w:r>
      <w:r w:rsidR="00D875C7">
        <w:t xml:space="preserve"> that are </w:t>
      </w:r>
      <w:r w:rsidR="003162B4">
        <w:t>identified in</w:t>
      </w:r>
      <w:r w:rsidR="00D875C7">
        <w:t xml:space="preserve"> OCC’s objections</w:t>
      </w:r>
      <w:r w:rsidR="003162B4">
        <w:t>.</w:t>
      </w:r>
      <w:r w:rsidR="00C00FB6">
        <w:t xml:space="preserve"> </w:t>
      </w:r>
    </w:p>
    <w:p w:rsidR="00C0060E" w:rsidP="00CB2155" w14:paraId="503463A2" w14:textId="3759324C">
      <w:pPr>
        <w:pStyle w:val="BodyTextIndent3"/>
        <w:spacing w:line="480" w:lineRule="auto"/>
        <w:ind w:firstLine="0"/>
      </w:pPr>
      <w:r>
        <w:t>OCC</w:t>
      </w:r>
      <w:r w:rsidR="00173A56">
        <w:t xml:space="preserve"> respectfully requests that the PUCO adopt the following recommendations to protect Dominion’s residential customers from paying unjust and unreasonable rates.</w:t>
      </w:r>
    </w:p>
    <w:p w:rsidR="003162B4" w:rsidP="008D05A0" w14:paraId="0FAF4982" w14:textId="77777777">
      <w:pPr>
        <w:pStyle w:val="BodyTextIndent3"/>
        <w:spacing w:line="240" w:lineRule="auto"/>
      </w:pPr>
    </w:p>
    <w:p w:rsidR="004515C4" w:rsidRPr="004515C4" w:rsidP="00513A30" w14:paraId="1DD03D8F" w14:textId="77777777">
      <w:pPr>
        <w:pStyle w:val="Heading1"/>
        <w:ind w:left="0" w:firstLine="0"/>
      </w:pPr>
      <w:bookmarkStart w:id="0" w:name="_Toc42694216"/>
      <w:bookmarkStart w:id="1" w:name="_Toc71126529"/>
      <w:r>
        <w:t>I.</w:t>
      </w:r>
      <w:r>
        <w:tab/>
        <w:t>BACKGROUND</w:t>
      </w:r>
      <w:bookmarkEnd w:id="0"/>
      <w:bookmarkEnd w:id="1"/>
    </w:p>
    <w:p w:rsidR="009F15FD" w:rsidRPr="00CB76F9" w:rsidP="009F15FD" w14:paraId="390190BA" w14:textId="07E14464">
      <w:pPr>
        <w:spacing w:line="480" w:lineRule="auto"/>
        <w:ind w:firstLine="720"/>
        <w:rPr>
          <w:szCs w:val="24"/>
        </w:rPr>
      </w:pPr>
      <w:r w:rsidRPr="00CB76F9">
        <w:rPr>
          <w:szCs w:val="24"/>
        </w:rPr>
        <w:t xml:space="preserve">Dominion’s PIR </w:t>
      </w:r>
      <w:r w:rsidR="005F1155">
        <w:rPr>
          <w:szCs w:val="24"/>
        </w:rPr>
        <w:t>P</w:t>
      </w:r>
      <w:r w:rsidRPr="00CB76F9">
        <w:rPr>
          <w:szCs w:val="24"/>
        </w:rPr>
        <w:t>rogram was first approved by the PUCO in October of 2008.</w:t>
      </w:r>
      <w:r>
        <w:rPr>
          <w:szCs w:val="24"/>
        </w:rPr>
        <w:t xml:space="preserve"> </w:t>
      </w:r>
      <w:r w:rsidRPr="00CB76F9">
        <w:rPr>
          <w:szCs w:val="24"/>
        </w:rPr>
        <w:t>Dominion initially sought to replace 4,122 miles of bare steel, cast iron and other pipeline types over a 25-year period.</w:t>
      </w:r>
      <w:r>
        <w:rPr>
          <w:rStyle w:val="FootnoteReference"/>
          <w:szCs w:val="24"/>
        </w:rPr>
        <w:footnoteReference w:id="3"/>
      </w:r>
      <w:r>
        <w:rPr>
          <w:szCs w:val="24"/>
        </w:rPr>
        <w:t xml:space="preserve"> </w:t>
      </w:r>
      <w:r w:rsidRPr="00CB76F9">
        <w:rPr>
          <w:szCs w:val="24"/>
        </w:rPr>
        <w:t>Its program allowed for the accelerated replacement of aging pipe to prevent corrosion and reduce leak rates.</w:t>
      </w:r>
      <w:r>
        <w:rPr>
          <w:rStyle w:val="FootnoteReference"/>
          <w:szCs w:val="24"/>
        </w:rPr>
        <w:footnoteReference w:id="4"/>
      </w:r>
      <w:r w:rsidRPr="00CB76F9">
        <w:rPr>
          <w:szCs w:val="24"/>
        </w:rPr>
        <w:t xml:space="preserve"> The PUCO allowed Dominion to implement the PIR </w:t>
      </w:r>
      <w:r w:rsidR="005F1155">
        <w:rPr>
          <w:szCs w:val="24"/>
        </w:rPr>
        <w:t>P</w:t>
      </w:r>
      <w:r w:rsidRPr="00CB76F9">
        <w:rPr>
          <w:szCs w:val="24"/>
        </w:rPr>
        <w:t>rogram “for an initial five-year period or until the effective date of new base rates resulting from the filing of an application to increase base rates, whichever comes first. At that time DEO may request continuation of the PIR program beyond the initial term.”</w:t>
      </w:r>
      <w:r>
        <w:rPr>
          <w:rStyle w:val="FootnoteReference"/>
          <w:szCs w:val="24"/>
        </w:rPr>
        <w:footnoteReference w:id="5"/>
      </w:r>
      <w:r w:rsidRPr="00CB76F9">
        <w:rPr>
          <w:szCs w:val="24"/>
        </w:rPr>
        <w:t xml:space="preserve"> </w:t>
      </w:r>
    </w:p>
    <w:p w:rsidR="009F15FD" w:rsidRPr="00CB76F9" w:rsidP="009F15FD" w14:paraId="0C19FB8D" w14:textId="4DA24C59">
      <w:pPr>
        <w:spacing w:line="480" w:lineRule="auto"/>
        <w:ind w:firstLine="720"/>
        <w:rPr>
          <w:szCs w:val="24"/>
        </w:rPr>
      </w:pPr>
      <w:r w:rsidRPr="00CB76F9">
        <w:rPr>
          <w:szCs w:val="24"/>
        </w:rPr>
        <w:t xml:space="preserve">But Dominion did not file a base rate case. Nor did it wait until the end of the initial five-year program to ask for more </w:t>
      </w:r>
      <w:r w:rsidR="002D1206">
        <w:rPr>
          <w:szCs w:val="24"/>
        </w:rPr>
        <w:t xml:space="preserve">customer </w:t>
      </w:r>
      <w:r w:rsidRPr="00CB76F9">
        <w:rPr>
          <w:szCs w:val="24"/>
        </w:rPr>
        <w:t xml:space="preserve">money. </w:t>
      </w:r>
      <w:r>
        <w:rPr>
          <w:szCs w:val="24"/>
        </w:rPr>
        <w:t>Three years later, o</w:t>
      </w:r>
      <w:r w:rsidRPr="00CB76F9">
        <w:rPr>
          <w:szCs w:val="24"/>
        </w:rPr>
        <w:t xml:space="preserve">n March 31, 2011, Dominion filed to </w:t>
      </w:r>
      <w:r>
        <w:rPr>
          <w:szCs w:val="24"/>
        </w:rPr>
        <w:t>m</w:t>
      </w:r>
      <w:r w:rsidRPr="00CB76F9">
        <w:rPr>
          <w:szCs w:val="24"/>
        </w:rPr>
        <w:t xml:space="preserve">odify the PUCO’s </w:t>
      </w:r>
      <w:r>
        <w:rPr>
          <w:szCs w:val="24"/>
        </w:rPr>
        <w:t>O</w:t>
      </w:r>
      <w:r w:rsidRPr="00CB76F9">
        <w:rPr>
          <w:szCs w:val="24"/>
        </w:rPr>
        <w:t xml:space="preserve">rder approving the PIR </w:t>
      </w:r>
      <w:r w:rsidR="005F1155">
        <w:rPr>
          <w:szCs w:val="24"/>
        </w:rPr>
        <w:t>P</w:t>
      </w:r>
      <w:r w:rsidRPr="00CB76F9">
        <w:rPr>
          <w:szCs w:val="24"/>
        </w:rPr>
        <w:t>rogram, under R.C. 4929.08.</w:t>
      </w:r>
      <w:r>
        <w:rPr>
          <w:rStyle w:val="FootnoteReference"/>
          <w:szCs w:val="24"/>
        </w:rPr>
        <w:footnoteReference w:id="6"/>
      </w:r>
      <w:r w:rsidRPr="00CB76F9">
        <w:rPr>
          <w:szCs w:val="24"/>
        </w:rPr>
        <w:t xml:space="preserve"> In its 2011 Application, Dominion explained it found additional 1,450 miles of ineffectively</w:t>
      </w:r>
      <w:r w:rsidR="00A41F87">
        <w:rPr>
          <w:szCs w:val="24"/>
        </w:rPr>
        <w:t xml:space="preserve"> </w:t>
      </w:r>
      <w:r w:rsidRPr="00CB76F9">
        <w:rPr>
          <w:szCs w:val="24"/>
        </w:rPr>
        <w:t xml:space="preserve">coated </w:t>
      </w:r>
      <w:r>
        <w:rPr>
          <w:szCs w:val="24"/>
        </w:rPr>
        <w:t xml:space="preserve">steel </w:t>
      </w:r>
      <w:r w:rsidRPr="00CB76F9">
        <w:rPr>
          <w:szCs w:val="24"/>
        </w:rPr>
        <w:t xml:space="preserve">pipe </w:t>
      </w:r>
      <w:r>
        <w:rPr>
          <w:szCs w:val="24"/>
        </w:rPr>
        <w:t xml:space="preserve">with essentially the same corrosion characteristics and leak rates as bare steel pipe that </w:t>
      </w:r>
      <w:r w:rsidRPr="00CB76F9">
        <w:rPr>
          <w:szCs w:val="24"/>
        </w:rPr>
        <w:t>also need</w:t>
      </w:r>
      <w:r>
        <w:rPr>
          <w:szCs w:val="24"/>
        </w:rPr>
        <w:t>ed</w:t>
      </w:r>
      <w:r w:rsidRPr="00CB76F9">
        <w:rPr>
          <w:szCs w:val="24"/>
        </w:rPr>
        <w:t xml:space="preserve"> to be replaced on an accelerated basis.</w:t>
      </w:r>
      <w:r>
        <w:rPr>
          <w:szCs w:val="24"/>
        </w:rPr>
        <w:t xml:space="preserve"> </w:t>
      </w:r>
      <w:r w:rsidRPr="00CB76F9">
        <w:rPr>
          <w:szCs w:val="24"/>
        </w:rPr>
        <w:t xml:space="preserve">Because of this, Dominion asked the PUCO to increase the annual </w:t>
      </w:r>
      <w:r>
        <w:rPr>
          <w:szCs w:val="24"/>
        </w:rPr>
        <w:t xml:space="preserve">charges to </w:t>
      </w:r>
      <w:r w:rsidRPr="00CB76F9">
        <w:rPr>
          <w:szCs w:val="24"/>
        </w:rPr>
        <w:t>customers.</w:t>
      </w:r>
      <w:r>
        <w:rPr>
          <w:rStyle w:val="FootnoteReference"/>
          <w:szCs w:val="24"/>
        </w:rPr>
        <w:footnoteReference w:id="7"/>
      </w:r>
      <w:r w:rsidRPr="00CB76F9">
        <w:rPr>
          <w:szCs w:val="24"/>
        </w:rPr>
        <w:t xml:space="preserve"> The PUCO relented and allowed annual adjustments to the PIR charge. But the PUCO ruled that the annual increases in charges were not to exceed the most recently authorized level by more than $1.40 per year.</w:t>
      </w:r>
      <w:r>
        <w:rPr>
          <w:rStyle w:val="FootnoteReference"/>
          <w:szCs w:val="24"/>
        </w:rPr>
        <w:footnoteReference w:id="8"/>
      </w:r>
      <w:r w:rsidRPr="00CB76F9">
        <w:rPr>
          <w:szCs w:val="24"/>
        </w:rPr>
        <w:t xml:space="preserve"> </w:t>
      </w:r>
    </w:p>
    <w:p w:rsidR="009F15FD" w:rsidRPr="00CB76F9" w:rsidP="009F15FD" w14:paraId="5BD40ABE" w14:textId="1B3F8512">
      <w:pPr>
        <w:spacing w:line="480" w:lineRule="auto"/>
        <w:ind w:firstLine="720"/>
        <w:rPr>
          <w:szCs w:val="24"/>
        </w:rPr>
      </w:pPr>
      <w:r>
        <w:rPr>
          <w:szCs w:val="24"/>
        </w:rPr>
        <w:t xml:space="preserve">Beginning with Dominion’s 2011 </w:t>
      </w:r>
      <w:r w:rsidR="005F1155">
        <w:rPr>
          <w:szCs w:val="24"/>
        </w:rPr>
        <w:t>r</w:t>
      </w:r>
      <w:r>
        <w:rPr>
          <w:szCs w:val="24"/>
        </w:rPr>
        <w:t>enewal, the</w:t>
      </w:r>
      <w:r w:rsidRPr="00CB76F9">
        <w:rPr>
          <w:szCs w:val="24"/>
        </w:rPr>
        <w:t xml:space="preserve"> PUCO </w:t>
      </w:r>
      <w:r>
        <w:rPr>
          <w:szCs w:val="24"/>
        </w:rPr>
        <w:t>has allowed Dominion to expand the scope of the program</w:t>
      </w:r>
      <w:r w:rsidRPr="00CB76F9">
        <w:rPr>
          <w:szCs w:val="24"/>
        </w:rPr>
        <w:t xml:space="preserve"> to include ineffectively coated steel and some plastic pipe</w:t>
      </w:r>
      <w:r>
        <w:rPr>
          <w:szCs w:val="24"/>
        </w:rPr>
        <w:t xml:space="preserve">. </w:t>
      </w:r>
      <w:r w:rsidRPr="00CB76F9">
        <w:rPr>
          <w:szCs w:val="24"/>
        </w:rPr>
        <w:t xml:space="preserve">Dominion’s </w:t>
      </w:r>
      <w:r>
        <w:rPr>
          <w:szCs w:val="24"/>
        </w:rPr>
        <w:t xml:space="preserve">2016 </w:t>
      </w:r>
      <w:r w:rsidRPr="00CB76F9">
        <w:rPr>
          <w:szCs w:val="24"/>
        </w:rPr>
        <w:t xml:space="preserve">PIR renewal sought approval to continue the PIR </w:t>
      </w:r>
      <w:r w:rsidR="005F1155">
        <w:rPr>
          <w:szCs w:val="24"/>
        </w:rPr>
        <w:t>P</w:t>
      </w:r>
      <w:r w:rsidRPr="00CB76F9">
        <w:rPr>
          <w:szCs w:val="24"/>
        </w:rPr>
        <w:t>rogram for another five-year period for the investment years 2017 through 2021.</w:t>
      </w:r>
      <w:r>
        <w:rPr>
          <w:rStyle w:val="FootnoteReference"/>
          <w:szCs w:val="24"/>
        </w:rPr>
        <w:footnoteReference w:id="9"/>
      </w:r>
      <w:r w:rsidRPr="00CB76F9">
        <w:rPr>
          <w:szCs w:val="24"/>
        </w:rPr>
        <w:t xml:space="preserve"> Dominion proposed significantly increasing program investment by $20 million in both 2017 and 2018, followed by smaller increases of three percent per year for 2019, 2020, and 2021. The Settlement adopted by the PUCO (opposed by OCC) approved Dominion’s investment levels, with a concurring tripling of rates charged to its residential customers for the </w:t>
      </w:r>
      <w:r>
        <w:rPr>
          <w:szCs w:val="24"/>
        </w:rPr>
        <w:t>U</w:t>
      </w:r>
      <w:r w:rsidRPr="00CB76F9">
        <w:rPr>
          <w:szCs w:val="24"/>
        </w:rPr>
        <w:t>tility’s pipeline infrastructure replacement program.</w:t>
      </w:r>
      <w:r>
        <w:rPr>
          <w:rStyle w:val="FootnoteReference"/>
          <w:szCs w:val="24"/>
        </w:rPr>
        <w:footnoteReference w:id="10"/>
      </w:r>
      <w:r w:rsidRPr="00CB76F9">
        <w:rPr>
          <w:szCs w:val="24"/>
        </w:rPr>
        <w:t xml:space="preserve"> </w:t>
      </w:r>
    </w:p>
    <w:p w:rsidR="00BE6A24" w:rsidP="00E2213C" w14:paraId="59058B94" w14:textId="76CA92B7">
      <w:pPr>
        <w:spacing w:line="480" w:lineRule="auto"/>
        <w:ind w:firstLine="720"/>
      </w:pPr>
      <w:r>
        <w:rPr>
          <w:szCs w:val="24"/>
        </w:rPr>
        <w:t xml:space="preserve">In this third application to renew the PIR </w:t>
      </w:r>
      <w:r w:rsidR="00783664">
        <w:rPr>
          <w:szCs w:val="24"/>
        </w:rPr>
        <w:t>P</w:t>
      </w:r>
      <w:r>
        <w:rPr>
          <w:szCs w:val="24"/>
        </w:rPr>
        <w:t xml:space="preserve">rogram, covering </w:t>
      </w:r>
      <w:r w:rsidRPr="00CB76F9">
        <w:rPr>
          <w:szCs w:val="24"/>
        </w:rPr>
        <w:t xml:space="preserve">years 2022-2026, </w:t>
      </w:r>
      <w:r>
        <w:t>Dominion</w:t>
      </w:r>
      <w:r w:rsidRPr="00C40656">
        <w:t xml:space="preserve"> proposes to continue the three percent annual increase in PIR investment </w:t>
      </w:r>
      <w:r>
        <w:t>that w</w:t>
      </w:r>
      <w:r w:rsidR="00A41F87">
        <w:t>as</w:t>
      </w:r>
      <w:r>
        <w:t xml:space="preserve"> initially approved in the previous renewal case. </w:t>
      </w:r>
      <w:r w:rsidR="00E2213C">
        <w:t>Th</w:t>
      </w:r>
      <w:r w:rsidR="00A41F87">
        <w:t>e</w:t>
      </w:r>
      <w:r w:rsidR="00E2213C">
        <w:t xml:space="preserve"> time </w:t>
      </w:r>
      <w:r w:rsidR="00CA2D79">
        <w:t>frame</w:t>
      </w:r>
      <w:r w:rsidR="00E2213C">
        <w:t xml:space="preserve"> </w:t>
      </w:r>
      <w:r w:rsidR="00CA2D79">
        <w:t>may be modified in the base rate case that is scheduled to be filed no later than October 2024 in accordance with a PUCO-approved settlement in another case.</w:t>
      </w:r>
      <w:r>
        <w:rPr>
          <w:rStyle w:val="FootnoteReference"/>
        </w:rPr>
        <w:footnoteReference w:id="11"/>
      </w:r>
      <w:r w:rsidR="00CB2155">
        <w:t xml:space="preserve"> </w:t>
      </w:r>
      <w:r>
        <w:rPr>
          <w:szCs w:val="24"/>
        </w:rPr>
        <w:t>Under Dominion’s plan customers will receive</w:t>
      </w:r>
      <w:r w:rsidRPr="00CB76F9">
        <w:rPr>
          <w:szCs w:val="24"/>
        </w:rPr>
        <w:t xml:space="preserve"> a rate increase of between $1.73 per month and $1.82 per month for the next five years. This charge is </w:t>
      </w:r>
      <w:r w:rsidRPr="00A41F87">
        <w:rPr>
          <w:i/>
          <w:iCs/>
          <w:szCs w:val="24"/>
        </w:rPr>
        <w:t>in addition</w:t>
      </w:r>
      <w:r w:rsidRPr="00CB76F9">
        <w:rPr>
          <w:szCs w:val="24"/>
        </w:rPr>
        <w:t xml:space="preserve"> to the $</w:t>
      </w:r>
      <w:r w:rsidR="00F10C88">
        <w:rPr>
          <w:szCs w:val="24"/>
        </w:rPr>
        <w:t>14.98</w:t>
      </w:r>
      <w:r w:rsidRPr="00CB76F9">
        <w:rPr>
          <w:szCs w:val="24"/>
        </w:rPr>
        <w:t xml:space="preserve"> per month residential rider rate customers already pay </w:t>
      </w:r>
      <w:r>
        <w:rPr>
          <w:szCs w:val="24"/>
        </w:rPr>
        <w:t xml:space="preserve">plus the monthly increases for pipeline infrastructure replacement investments </w:t>
      </w:r>
      <w:r w:rsidR="00F10C88">
        <w:rPr>
          <w:szCs w:val="24"/>
        </w:rPr>
        <w:t>made through</w:t>
      </w:r>
      <w:r>
        <w:rPr>
          <w:szCs w:val="24"/>
        </w:rPr>
        <w:t xml:space="preserve"> 2020.</w:t>
      </w:r>
      <w:r w:rsidR="00E2213C">
        <w:rPr>
          <w:szCs w:val="24"/>
        </w:rPr>
        <w:t xml:space="preserve"> Dominion requests that the PUCO</w:t>
      </w:r>
      <w:r w:rsidRPr="00C40656" w:rsidR="00C40656">
        <w:t xml:space="preserve"> approve the following annual PIR investment levels and associated caps on residential rate increases:</w:t>
      </w:r>
      <w:r>
        <w:rPr>
          <w:rStyle w:val="FootnoteReference"/>
        </w:rPr>
        <w:footnoteReference w:id="12"/>
      </w:r>
    </w:p>
    <w:tbl>
      <w:tblPr>
        <w:tblStyle w:val="TableGrid"/>
        <w:tblW w:w="0" w:type="auto"/>
        <w:tblLook w:val="04A0"/>
      </w:tblPr>
      <w:tblGrid>
        <w:gridCol w:w="2515"/>
        <w:gridCol w:w="3600"/>
        <w:gridCol w:w="3235"/>
      </w:tblGrid>
      <w:tr w14:paraId="404FD18B" w14:textId="77777777" w:rsidTr="00173A56">
        <w:tblPrEx>
          <w:tblW w:w="0" w:type="auto"/>
          <w:tblLook w:val="04A0"/>
        </w:tblPrEx>
        <w:tc>
          <w:tcPr>
            <w:tcW w:w="2515" w:type="dxa"/>
            <w:shd w:val="clear" w:color="auto" w:fill="D9D9D9" w:themeFill="background1" w:themeFillShade="D9"/>
          </w:tcPr>
          <w:p w:rsidR="00C40656" w:rsidRPr="00D13A56" w:rsidP="00173A56" w14:paraId="6D82C938" w14:textId="77777777">
            <w:pPr>
              <w:autoSpaceDE w:val="0"/>
              <w:autoSpaceDN w:val="0"/>
              <w:adjustRightInd w:val="0"/>
              <w:jc w:val="center"/>
              <w:rPr>
                <w:b/>
                <w:bCs/>
                <w:szCs w:val="24"/>
              </w:rPr>
            </w:pPr>
            <w:r w:rsidRPr="00D13A56">
              <w:rPr>
                <w:b/>
                <w:bCs/>
                <w:szCs w:val="24"/>
              </w:rPr>
              <w:t>PIR Investment Year</w:t>
            </w:r>
          </w:p>
        </w:tc>
        <w:tc>
          <w:tcPr>
            <w:tcW w:w="3600" w:type="dxa"/>
            <w:shd w:val="clear" w:color="auto" w:fill="D9D9D9" w:themeFill="background1" w:themeFillShade="D9"/>
          </w:tcPr>
          <w:p w:rsidR="00C40656" w:rsidP="00173A56" w14:paraId="032C6464" w14:textId="77777777">
            <w:pPr>
              <w:autoSpaceDE w:val="0"/>
              <w:autoSpaceDN w:val="0"/>
              <w:adjustRightInd w:val="0"/>
              <w:jc w:val="center"/>
              <w:rPr>
                <w:b/>
                <w:bCs/>
                <w:szCs w:val="24"/>
              </w:rPr>
            </w:pPr>
            <w:r>
              <w:rPr>
                <w:b/>
                <w:bCs/>
                <w:szCs w:val="24"/>
              </w:rPr>
              <w:t>Proposed PIR Capital</w:t>
            </w:r>
          </w:p>
          <w:p w:rsidR="00783664" w:rsidRPr="00D13A56" w:rsidP="00173A56" w14:paraId="4D6E6DBE" w14:textId="001AAC9D">
            <w:pPr>
              <w:autoSpaceDE w:val="0"/>
              <w:autoSpaceDN w:val="0"/>
              <w:adjustRightInd w:val="0"/>
              <w:jc w:val="center"/>
              <w:rPr>
                <w:b/>
                <w:bCs/>
                <w:szCs w:val="24"/>
              </w:rPr>
            </w:pPr>
            <w:r>
              <w:rPr>
                <w:b/>
                <w:bCs/>
                <w:szCs w:val="24"/>
              </w:rPr>
              <w:t>Investment</w:t>
            </w:r>
          </w:p>
        </w:tc>
        <w:tc>
          <w:tcPr>
            <w:tcW w:w="3235" w:type="dxa"/>
            <w:shd w:val="clear" w:color="auto" w:fill="D9D9D9" w:themeFill="background1" w:themeFillShade="D9"/>
          </w:tcPr>
          <w:p w:rsidR="00783664" w:rsidP="00173A56" w14:paraId="3BE8A0A5" w14:textId="77777777">
            <w:pPr>
              <w:autoSpaceDE w:val="0"/>
              <w:autoSpaceDN w:val="0"/>
              <w:adjustRightInd w:val="0"/>
              <w:jc w:val="center"/>
              <w:rPr>
                <w:b/>
                <w:bCs/>
                <w:szCs w:val="24"/>
              </w:rPr>
            </w:pPr>
            <w:r w:rsidRPr="0021695F">
              <w:rPr>
                <w:b/>
                <w:bCs/>
                <w:szCs w:val="24"/>
              </w:rPr>
              <w:t xml:space="preserve">Proposed </w:t>
            </w:r>
            <w:r>
              <w:rPr>
                <w:b/>
                <w:bCs/>
                <w:szCs w:val="24"/>
              </w:rPr>
              <w:t xml:space="preserve">Residential </w:t>
            </w:r>
          </w:p>
          <w:p w:rsidR="00C40656" w:rsidRPr="00D13A56" w:rsidP="00173A56" w14:paraId="2074EA5E" w14:textId="25061E71">
            <w:pPr>
              <w:autoSpaceDE w:val="0"/>
              <w:autoSpaceDN w:val="0"/>
              <w:adjustRightInd w:val="0"/>
              <w:jc w:val="center"/>
              <w:rPr>
                <w:b/>
                <w:bCs/>
                <w:szCs w:val="24"/>
              </w:rPr>
            </w:pPr>
            <w:r>
              <w:rPr>
                <w:b/>
                <w:bCs/>
                <w:szCs w:val="24"/>
              </w:rPr>
              <w:t>Rate Cap Increase</w:t>
            </w:r>
          </w:p>
        </w:tc>
      </w:tr>
      <w:tr w14:paraId="0C09627A" w14:textId="77777777" w:rsidTr="00173A56">
        <w:tblPrEx>
          <w:tblW w:w="0" w:type="auto"/>
          <w:tblLook w:val="04A0"/>
        </w:tblPrEx>
        <w:tc>
          <w:tcPr>
            <w:tcW w:w="2515" w:type="dxa"/>
          </w:tcPr>
          <w:p w:rsidR="00C40656" w:rsidRPr="00D13A56" w:rsidP="00173A56" w14:paraId="5126A094" w14:textId="77777777">
            <w:pPr>
              <w:autoSpaceDE w:val="0"/>
              <w:autoSpaceDN w:val="0"/>
              <w:adjustRightInd w:val="0"/>
              <w:jc w:val="center"/>
              <w:rPr>
                <w:szCs w:val="24"/>
              </w:rPr>
            </w:pPr>
            <w:r w:rsidRPr="00D13A56">
              <w:rPr>
                <w:szCs w:val="24"/>
              </w:rPr>
              <w:t>2022</w:t>
            </w:r>
          </w:p>
        </w:tc>
        <w:tc>
          <w:tcPr>
            <w:tcW w:w="3600" w:type="dxa"/>
          </w:tcPr>
          <w:p w:rsidR="00C40656" w:rsidRPr="00D13A56" w:rsidP="00173A56" w14:paraId="51EB3ADC" w14:textId="77777777">
            <w:pPr>
              <w:autoSpaceDE w:val="0"/>
              <w:autoSpaceDN w:val="0"/>
              <w:adjustRightInd w:val="0"/>
              <w:jc w:val="center"/>
              <w:rPr>
                <w:szCs w:val="24"/>
              </w:rPr>
            </w:pPr>
            <w:r w:rsidRPr="0021695F">
              <w:rPr>
                <w:szCs w:val="24"/>
              </w:rPr>
              <w:t>$226 million</w:t>
            </w:r>
          </w:p>
        </w:tc>
        <w:tc>
          <w:tcPr>
            <w:tcW w:w="3235" w:type="dxa"/>
          </w:tcPr>
          <w:p w:rsidR="00C40656" w:rsidRPr="00D13A56" w:rsidP="00173A56" w14:paraId="483DF5BE" w14:textId="77777777">
            <w:pPr>
              <w:autoSpaceDE w:val="0"/>
              <w:autoSpaceDN w:val="0"/>
              <w:adjustRightInd w:val="0"/>
              <w:jc w:val="center"/>
              <w:rPr>
                <w:szCs w:val="24"/>
              </w:rPr>
            </w:pPr>
            <w:r w:rsidRPr="0021695F">
              <w:rPr>
                <w:szCs w:val="24"/>
              </w:rPr>
              <w:t>$1.73/month</w:t>
            </w:r>
          </w:p>
        </w:tc>
      </w:tr>
      <w:tr w14:paraId="6353BE13" w14:textId="77777777" w:rsidTr="00173A56">
        <w:tblPrEx>
          <w:tblW w:w="0" w:type="auto"/>
          <w:tblLook w:val="04A0"/>
        </w:tblPrEx>
        <w:tc>
          <w:tcPr>
            <w:tcW w:w="2515" w:type="dxa"/>
          </w:tcPr>
          <w:p w:rsidR="00C40656" w:rsidRPr="00D13A56" w:rsidP="00173A56" w14:paraId="5F139DBD" w14:textId="77777777">
            <w:pPr>
              <w:autoSpaceDE w:val="0"/>
              <w:autoSpaceDN w:val="0"/>
              <w:adjustRightInd w:val="0"/>
              <w:jc w:val="center"/>
              <w:rPr>
                <w:szCs w:val="24"/>
              </w:rPr>
            </w:pPr>
            <w:r w:rsidRPr="00D13A56">
              <w:rPr>
                <w:szCs w:val="24"/>
              </w:rPr>
              <w:t>2023</w:t>
            </w:r>
          </w:p>
        </w:tc>
        <w:tc>
          <w:tcPr>
            <w:tcW w:w="3600" w:type="dxa"/>
          </w:tcPr>
          <w:p w:rsidR="00C40656" w:rsidRPr="00D13A56" w:rsidP="00173A56" w14:paraId="0E973713" w14:textId="77777777">
            <w:pPr>
              <w:autoSpaceDE w:val="0"/>
              <w:autoSpaceDN w:val="0"/>
              <w:adjustRightInd w:val="0"/>
              <w:jc w:val="center"/>
              <w:rPr>
                <w:szCs w:val="24"/>
              </w:rPr>
            </w:pPr>
            <w:r w:rsidRPr="0021695F">
              <w:rPr>
                <w:szCs w:val="24"/>
              </w:rPr>
              <w:t>$233 million</w:t>
            </w:r>
          </w:p>
        </w:tc>
        <w:tc>
          <w:tcPr>
            <w:tcW w:w="3235" w:type="dxa"/>
          </w:tcPr>
          <w:p w:rsidR="00C40656" w:rsidRPr="00D13A56" w:rsidP="00173A56" w14:paraId="5A289E74" w14:textId="77777777">
            <w:pPr>
              <w:autoSpaceDE w:val="0"/>
              <w:autoSpaceDN w:val="0"/>
              <w:adjustRightInd w:val="0"/>
              <w:jc w:val="center"/>
              <w:rPr>
                <w:szCs w:val="24"/>
              </w:rPr>
            </w:pPr>
            <w:r w:rsidRPr="0021695F">
              <w:rPr>
                <w:szCs w:val="24"/>
              </w:rPr>
              <w:t>$1.74/month</w:t>
            </w:r>
          </w:p>
        </w:tc>
      </w:tr>
      <w:tr w14:paraId="584304FD" w14:textId="77777777" w:rsidTr="00173A56">
        <w:tblPrEx>
          <w:tblW w:w="0" w:type="auto"/>
          <w:tblLook w:val="04A0"/>
        </w:tblPrEx>
        <w:tc>
          <w:tcPr>
            <w:tcW w:w="2515" w:type="dxa"/>
          </w:tcPr>
          <w:p w:rsidR="00C40656" w:rsidRPr="00D13A56" w:rsidP="00173A56" w14:paraId="1EAFDB5C" w14:textId="77777777">
            <w:pPr>
              <w:autoSpaceDE w:val="0"/>
              <w:autoSpaceDN w:val="0"/>
              <w:adjustRightInd w:val="0"/>
              <w:jc w:val="center"/>
              <w:rPr>
                <w:szCs w:val="24"/>
              </w:rPr>
            </w:pPr>
            <w:r w:rsidRPr="00D13A56">
              <w:rPr>
                <w:szCs w:val="24"/>
              </w:rPr>
              <w:t>2024</w:t>
            </w:r>
          </w:p>
        </w:tc>
        <w:tc>
          <w:tcPr>
            <w:tcW w:w="3600" w:type="dxa"/>
          </w:tcPr>
          <w:p w:rsidR="00C40656" w:rsidRPr="00D13A56" w:rsidP="00173A56" w14:paraId="5B7F26F2" w14:textId="77777777">
            <w:pPr>
              <w:autoSpaceDE w:val="0"/>
              <w:autoSpaceDN w:val="0"/>
              <w:adjustRightInd w:val="0"/>
              <w:jc w:val="center"/>
              <w:rPr>
                <w:szCs w:val="24"/>
              </w:rPr>
            </w:pPr>
            <w:r w:rsidRPr="0021695F">
              <w:rPr>
                <w:szCs w:val="24"/>
              </w:rPr>
              <w:t>$240 million</w:t>
            </w:r>
          </w:p>
        </w:tc>
        <w:tc>
          <w:tcPr>
            <w:tcW w:w="3235" w:type="dxa"/>
          </w:tcPr>
          <w:p w:rsidR="00C40656" w:rsidRPr="00D13A56" w:rsidP="00173A56" w14:paraId="3805F98A" w14:textId="77777777">
            <w:pPr>
              <w:autoSpaceDE w:val="0"/>
              <w:autoSpaceDN w:val="0"/>
              <w:adjustRightInd w:val="0"/>
              <w:jc w:val="center"/>
              <w:rPr>
                <w:szCs w:val="24"/>
              </w:rPr>
            </w:pPr>
            <w:r w:rsidRPr="0021695F">
              <w:rPr>
                <w:szCs w:val="24"/>
              </w:rPr>
              <w:t>$1.82/month</w:t>
            </w:r>
          </w:p>
        </w:tc>
      </w:tr>
      <w:tr w14:paraId="5BA70977" w14:textId="77777777" w:rsidTr="00173A56">
        <w:tblPrEx>
          <w:tblW w:w="0" w:type="auto"/>
          <w:tblLook w:val="04A0"/>
        </w:tblPrEx>
        <w:tc>
          <w:tcPr>
            <w:tcW w:w="2515" w:type="dxa"/>
          </w:tcPr>
          <w:p w:rsidR="00C40656" w:rsidRPr="00D13A56" w:rsidP="00173A56" w14:paraId="1E23404B" w14:textId="77777777">
            <w:pPr>
              <w:autoSpaceDE w:val="0"/>
              <w:autoSpaceDN w:val="0"/>
              <w:adjustRightInd w:val="0"/>
              <w:jc w:val="center"/>
              <w:rPr>
                <w:szCs w:val="24"/>
              </w:rPr>
            </w:pPr>
            <w:r w:rsidRPr="00D13A56">
              <w:rPr>
                <w:szCs w:val="24"/>
              </w:rPr>
              <w:t>2025</w:t>
            </w:r>
          </w:p>
        </w:tc>
        <w:tc>
          <w:tcPr>
            <w:tcW w:w="3600" w:type="dxa"/>
          </w:tcPr>
          <w:p w:rsidR="00C40656" w:rsidRPr="00D13A56" w:rsidP="00173A56" w14:paraId="496643AE" w14:textId="77777777">
            <w:pPr>
              <w:autoSpaceDE w:val="0"/>
              <w:autoSpaceDN w:val="0"/>
              <w:adjustRightInd w:val="0"/>
              <w:jc w:val="center"/>
              <w:rPr>
                <w:szCs w:val="24"/>
              </w:rPr>
            </w:pPr>
            <w:r w:rsidRPr="0021695F">
              <w:rPr>
                <w:szCs w:val="24"/>
              </w:rPr>
              <w:t>$247 million</w:t>
            </w:r>
          </w:p>
        </w:tc>
        <w:tc>
          <w:tcPr>
            <w:tcW w:w="3235" w:type="dxa"/>
          </w:tcPr>
          <w:p w:rsidR="00C40656" w:rsidRPr="00D13A56" w:rsidP="00173A56" w14:paraId="733F3A28" w14:textId="77777777">
            <w:pPr>
              <w:autoSpaceDE w:val="0"/>
              <w:autoSpaceDN w:val="0"/>
              <w:adjustRightInd w:val="0"/>
              <w:jc w:val="center"/>
              <w:rPr>
                <w:szCs w:val="24"/>
              </w:rPr>
            </w:pPr>
            <w:r w:rsidRPr="0021695F">
              <w:rPr>
                <w:szCs w:val="24"/>
              </w:rPr>
              <w:t>$1.76/month</w:t>
            </w:r>
          </w:p>
        </w:tc>
      </w:tr>
      <w:tr w14:paraId="449BA1CC" w14:textId="77777777" w:rsidTr="00173A56">
        <w:tblPrEx>
          <w:tblW w:w="0" w:type="auto"/>
          <w:tblLook w:val="04A0"/>
        </w:tblPrEx>
        <w:tc>
          <w:tcPr>
            <w:tcW w:w="2515" w:type="dxa"/>
          </w:tcPr>
          <w:p w:rsidR="00C40656" w:rsidRPr="00D13A56" w:rsidP="00173A56" w14:paraId="3222FAAA" w14:textId="77777777">
            <w:pPr>
              <w:autoSpaceDE w:val="0"/>
              <w:autoSpaceDN w:val="0"/>
              <w:adjustRightInd w:val="0"/>
              <w:jc w:val="center"/>
              <w:rPr>
                <w:szCs w:val="24"/>
              </w:rPr>
            </w:pPr>
            <w:r w:rsidRPr="00D13A56">
              <w:rPr>
                <w:szCs w:val="24"/>
              </w:rPr>
              <w:t>2026</w:t>
            </w:r>
          </w:p>
        </w:tc>
        <w:tc>
          <w:tcPr>
            <w:tcW w:w="3600" w:type="dxa"/>
          </w:tcPr>
          <w:p w:rsidR="00C40656" w:rsidRPr="00D13A56" w:rsidP="00173A56" w14:paraId="02F71CD6" w14:textId="77777777">
            <w:pPr>
              <w:autoSpaceDE w:val="0"/>
              <w:autoSpaceDN w:val="0"/>
              <w:adjustRightInd w:val="0"/>
              <w:jc w:val="center"/>
              <w:rPr>
                <w:szCs w:val="24"/>
              </w:rPr>
            </w:pPr>
            <w:r w:rsidRPr="0021695F">
              <w:rPr>
                <w:szCs w:val="24"/>
              </w:rPr>
              <w:t>$254 million</w:t>
            </w:r>
          </w:p>
        </w:tc>
        <w:tc>
          <w:tcPr>
            <w:tcW w:w="3235" w:type="dxa"/>
          </w:tcPr>
          <w:p w:rsidR="00C40656" w:rsidRPr="00D13A56" w:rsidP="00173A56" w14:paraId="5D19DF62" w14:textId="77777777">
            <w:pPr>
              <w:autoSpaceDE w:val="0"/>
              <w:autoSpaceDN w:val="0"/>
              <w:adjustRightInd w:val="0"/>
              <w:jc w:val="center"/>
              <w:rPr>
                <w:szCs w:val="24"/>
              </w:rPr>
            </w:pPr>
            <w:r w:rsidRPr="0021695F">
              <w:rPr>
                <w:szCs w:val="24"/>
              </w:rPr>
              <w:t>$1.77/month</w:t>
            </w:r>
          </w:p>
        </w:tc>
      </w:tr>
    </w:tbl>
    <w:p w:rsidR="00C40656" w:rsidP="007E4D83" w14:paraId="5D85B08F" w14:textId="2709A0E2">
      <w:pPr>
        <w:pStyle w:val="BodyTextIndent3"/>
        <w:spacing w:line="240" w:lineRule="auto"/>
      </w:pPr>
    </w:p>
    <w:p w:rsidR="007E4D83" w:rsidP="007E4D83" w14:paraId="376DCC07" w14:textId="695F8A84">
      <w:pPr>
        <w:pStyle w:val="BodyTextIndent3"/>
        <w:spacing w:line="480" w:lineRule="auto"/>
      </w:pPr>
      <w:r>
        <w:t xml:space="preserve">The PUCO filed its Staff Report in this case on </w:t>
      </w:r>
      <w:r w:rsidR="005A6137">
        <w:t xml:space="preserve">April 5, 2021. </w:t>
      </w:r>
      <w:r w:rsidR="00E2213C">
        <w:t xml:space="preserve">The </w:t>
      </w:r>
      <w:r w:rsidR="005A6137">
        <w:t>PUCO Staff recommends that the PUCO approve Dominion’s Application with the following modifications:</w:t>
      </w:r>
    </w:p>
    <w:p w:rsidR="005A6137" w:rsidP="008D05A0" w14:paraId="6AE62CAD" w14:textId="6504044F">
      <w:pPr>
        <w:pStyle w:val="BodyTextIndent3"/>
        <w:numPr>
          <w:ilvl w:val="0"/>
          <w:numId w:val="8"/>
        </w:numPr>
        <w:spacing w:line="240" w:lineRule="auto"/>
        <w:ind w:hanging="720"/>
      </w:pPr>
      <w:r>
        <w:t xml:space="preserve">PUCO </w:t>
      </w:r>
      <w:r w:rsidRPr="005A6137">
        <w:t xml:space="preserve">Staff recommends </w:t>
      </w:r>
      <w:r w:rsidR="0003188F">
        <w:t xml:space="preserve">modifying Dominion’s application date and the associated procedural schedule of the utility’s annual </w:t>
      </w:r>
      <w:r>
        <w:t>update filings for review of the prior year’s PIR investments</w:t>
      </w:r>
      <w:r w:rsidR="0003188F">
        <w:t>. Staff recommends that the P</w:t>
      </w:r>
      <w:r>
        <w:t xml:space="preserve">IR Rider should be modified </w:t>
      </w:r>
      <w:r w:rsidR="000F176C">
        <w:t>to be consistent with the schedule used review Vectren Energy</w:t>
      </w:r>
      <w:r w:rsidR="0003188F">
        <w:t xml:space="preserve">’s </w:t>
      </w:r>
      <w:r w:rsidR="000F176C">
        <w:t xml:space="preserve">annual </w:t>
      </w:r>
      <w:r w:rsidRPr="005A6137">
        <w:t xml:space="preserve">Distribution Replacement Rider </w:t>
      </w:r>
      <w:r w:rsidR="000F176C">
        <w:t>(</w:t>
      </w:r>
      <w:r w:rsidR="008C5DD3">
        <w:t xml:space="preserve">“DRR,” </w:t>
      </w:r>
      <w:r w:rsidR="000F176C">
        <w:t xml:space="preserve">which is similar to Dominion’s PIR) </w:t>
      </w:r>
      <w:r w:rsidRPr="005A6137">
        <w:t>application</w:t>
      </w:r>
      <w:r w:rsidR="000F176C">
        <w:t>s.</w:t>
      </w:r>
      <w:r>
        <w:rPr>
          <w:rStyle w:val="FootnoteReference"/>
        </w:rPr>
        <w:footnoteReference w:id="13"/>
      </w:r>
      <w:r w:rsidR="00CB2155">
        <w:t xml:space="preserve"> </w:t>
      </w:r>
      <w:r w:rsidR="000F176C">
        <w:t xml:space="preserve">Dominion’s current annual PIR review process that has been in place since </w:t>
      </w:r>
      <w:r w:rsidR="00B103E3">
        <w:t>2012</w:t>
      </w:r>
      <w:r w:rsidR="000F176C">
        <w:t xml:space="preserve"> calls for Dominion to file a pre-application notice of its intent to file an application to modify the PIR Rider </w:t>
      </w:r>
      <w:r w:rsidR="00076819">
        <w:t>by November 30</w:t>
      </w:r>
      <w:r w:rsidR="000F176C">
        <w:t xml:space="preserve"> each year (“Pre-Application Notice”).</w:t>
      </w:r>
      <w:r w:rsidR="00CB2155">
        <w:t xml:space="preserve"> </w:t>
      </w:r>
      <w:r w:rsidR="000F176C">
        <w:t xml:space="preserve">The Pre-Application Notice contains schedules with nine months of actual data </w:t>
      </w:r>
      <w:r w:rsidR="008C5DD3">
        <w:t xml:space="preserve">and three months of estimated data </w:t>
      </w:r>
      <w:r w:rsidR="000F176C">
        <w:t xml:space="preserve">supporting an estimated revenue requirement </w:t>
      </w:r>
      <w:r w:rsidR="008C5DD3">
        <w:t>for PIR investments made through December 31 of the Pre-Filing Notice year.</w:t>
      </w:r>
      <w:r w:rsidR="00CB2155">
        <w:t xml:space="preserve"> </w:t>
      </w:r>
      <w:r w:rsidR="008C5DD3">
        <w:t xml:space="preserve">By </w:t>
      </w:r>
      <w:r w:rsidR="00076819">
        <w:t>February 28</w:t>
      </w:r>
      <w:r w:rsidR="008C5DD3">
        <w:t xml:space="preserve"> of the following year, Dominion files a formal application with updated schedules containing 12 months of actual data in support of an actual revenue requirement calculation and proposed annual increase to the PIR Rider rates.</w:t>
      </w:r>
      <w:r>
        <w:rPr>
          <w:rStyle w:val="FootnoteReference"/>
        </w:rPr>
        <w:footnoteReference w:id="14"/>
      </w:r>
      <w:r w:rsidR="00CB2155">
        <w:t xml:space="preserve"> </w:t>
      </w:r>
      <w:r w:rsidR="00173A56">
        <w:t xml:space="preserve">Annual PIR rates under the current review process go into effect </w:t>
      </w:r>
      <w:r w:rsidR="00076819">
        <w:t>in the first billing cycle in M</w:t>
      </w:r>
      <w:r w:rsidR="00173A56">
        <w:t>ay</w:t>
      </w:r>
      <w:r w:rsidR="00076819">
        <w:t xml:space="preserve"> </w:t>
      </w:r>
      <w:r w:rsidR="00173A56">
        <w:t>each year.</w:t>
      </w:r>
      <w:r>
        <w:rPr>
          <w:rStyle w:val="FootnoteReference"/>
        </w:rPr>
        <w:footnoteReference w:id="15"/>
      </w:r>
      <w:r w:rsidR="00173A56">
        <w:t xml:space="preserve"> </w:t>
      </w:r>
      <w:r w:rsidR="008C5DD3">
        <w:t xml:space="preserve">The review process for </w:t>
      </w:r>
      <w:r w:rsidR="00E32375">
        <w:t>Vectren’s</w:t>
      </w:r>
      <w:r w:rsidR="008C5DD3">
        <w:t xml:space="preserve"> annual DRR calls for </w:t>
      </w:r>
      <w:r w:rsidR="00E32375">
        <w:t xml:space="preserve">the utility </w:t>
      </w:r>
      <w:r w:rsidR="008C5DD3">
        <w:t xml:space="preserve">to file a final application with 12 months of actual data </w:t>
      </w:r>
      <w:r w:rsidR="00173A56">
        <w:t xml:space="preserve">and proposed rates </w:t>
      </w:r>
      <w:r w:rsidR="008C5DD3">
        <w:t>by May 1 each year</w:t>
      </w:r>
      <w:r w:rsidR="00173A56">
        <w:t>.</w:t>
      </w:r>
      <w:r>
        <w:rPr>
          <w:rStyle w:val="FootnoteReference"/>
        </w:rPr>
        <w:footnoteReference w:id="16"/>
      </w:r>
      <w:r w:rsidR="00CB2155">
        <w:t xml:space="preserve"> </w:t>
      </w:r>
      <w:r w:rsidR="00173A56">
        <w:t xml:space="preserve">PUCO Staff conducts an annual investigation and new rates take effect on September 1 each year. PUCO Staff avers that adopting the Vectren DRR schedule for review </w:t>
      </w:r>
      <w:r w:rsidR="00E32375">
        <w:t xml:space="preserve">of </w:t>
      </w:r>
      <w:r w:rsidR="00173A56">
        <w:t xml:space="preserve">Dominion’s annual PIR applications will </w:t>
      </w:r>
      <w:r w:rsidRPr="00173A56" w:rsidR="00173A56">
        <w:t xml:space="preserve">allow </w:t>
      </w:r>
      <w:r w:rsidR="00173A56">
        <w:t>it</w:t>
      </w:r>
      <w:r w:rsidRPr="00173A56" w:rsidR="00173A56">
        <w:t xml:space="preserve"> to complete an audit of a full calendar year of actual data versus nine months of actual data and 3 months of forecasted data</w:t>
      </w:r>
      <w:r w:rsidR="00173A56">
        <w:t xml:space="preserve"> as is currently done</w:t>
      </w:r>
      <w:r w:rsidRPr="00173A56" w:rsidR="00173A56">
        <w:t>.</w:t>
      </w:r>
      <w:r>
        <w:rPr>
          <w:rStyle w:val="FootnoteReference"/>
        </w:rPr>
        <w:footnoteReference w:id="17"/>
      </w:r>
      <w:r w:rsidRPr="00173A56" w:rsidR="00173A56">
        <w:t xml:space="preserve"> </w:t>
      </w:r>
      <w:r w:rsidR="00173A56">
        <w:t>Staff further claims that the</w:t>
      </w:r>
      <w:r w:rsidRPr="00173A56" w:rsidR="00173A56">
        <w:t xml:space="preserve"> modification would eliminate the need for Staff to complete a bifurcated audit that overlaps two distinct audit periods.</w:t>
      </w:r>
      <w:r>
        <w:rPr>
          <w:rStyle w:val="FootnoteReference"/>
        </w:rPr>
        <w:footnoteReference w:id="18"/>
      </w:r>
    </w:p>
    <w:p w:rsidR="00900545" w:rsidP="00513A30" w14:paraId="1783522F" w14:textId="77777777">
      <w:pPr>
        <w:pStyle w:val="BodyTextIndent3"/>
        <w:spacing w:line="240" w:lineRule="auto"/>
      </w:pPr>
    </w:p>
    <w:p w:rsidR="00173A56" w:rsidP="00B40CED" w14:paraId="1E925896" w14:textId="55B2EE8D">
      <w:pPr>
        <w:pStyle w:val="BodyTextIndent3"/>
        <w:numPr>
          <w:ilvl w:val="0"/>
          <w:numId w:val="8"/>
        </w:numPr>
        <w:spacing w:line="240" w:lineRule="auto"/>
        <w:ind w:hanging="720"/>
      </w:pPr>
      <w:r>
        <w:t>PUCO Staff continues to hold the position that Dominion should adhere to the original 25-year time period established for the PIR Program and should complete the PIR Program by 2033. Therefore, Staff recommends the Commission approve the Company’s proposal to increase PIR investment by three percent annually, with corresponding increases to the PIR Rider rate caps.</w:t>
      </w:r>
      <w:r>
        <w:rPr>
          <w:rStyle w:val="FootnoteReference"/>
        </w:rPr>
        <w:footnoteReference w:id="19"/>
      </w:r>
    </w:p>
    <w:p w:rsidR="00900545" w:rsidP="00513A30" w14:paraId="782CEF1F" w14:textId="77777777">
      <w:pPr>
        <w:pStyle w:val="BodyTextIndent3"/>
        <w:spacing w:line="240" w:lineRule="auto"/>
      </w:pPr>
    </w:p>
    <w:p w:rsidR="00FD06F9" w:rsidP="00B40CED" w14:paraId="46DC6FE6" w14:textId="50E8B772">
      <w:pPr>
        <w:pStyle w:val="BodyTextIndent3"/>
        <w:numPr>
          <w:ilvl w:val="0"/>
          <w:numId w:val="8"/>
        </w:numPr>
        <w:spacing w:line="240" w:lineRule="auto"/>
        <w:ind w:hanging="720"/>
      </w:pPr>
      <w:r>
        <w:t xml:space="preserve">PUCO Staff </w:t>
      </w:r>
      <w:r w:rsidR="00E32375">
        <w:t>notes</w:t>
      </w:r>
      <w:r>
        <w:t xml:space="preserve"> that Dominion’s PIR Program appears to be behind </w:t>
      </w:r>
      <w:r w:rsidR="00E07939">
        <w:t>schedule,</w:t>
      </w:r>
      <w:r>
        <w:t xml:space="preserve"> and </w:t>
      </w:r>
      <w:r w:rsidR="00E07939">
        <w:t xml:space="preserve">it expresses a “significant </w:t>
      </w:r>
      <w:r>
        <w:t>concer</w:t>
      </w:r>
      <w:r w:rsidR="00E07939">
        <w:t>n”</w:t>
      </w:r>
      <w:r>
        <w:t xml:space="preserve"> that Dominion will not be able to complete the Program by the end of 2033 as originally planned. </w:t>
      </w:r>
      <w:r w:rsidR="00E07939">
        <w:t xml:space="preserve">The PUCO Staff </w:t>
      </w:r>
      <w:r w:rsidRPr="00E07939" w:rsidR="00E07939">
        <w:t xml:space="preserve">recommends that the </w:t>
      </w:r>
      <w:r w:rsidR="00E07939">
        <w:t xml:space="preserve">PUCO </w:t>
      </w:r>
      <w:r w:rsidRPr="00E07939" w:rsidR="00E07939">
        <w:t xml:space="preserve">keep the 25-year time period it originally adopted for completing the PIR </w:t>
      </w:r>
      <w:r w:rsidR="00E07939">
        <w:t xml:space="preserve">replacements </w:t>
      </w:r>
      <w:r w:rsidRPr="00E07939" w:rsidR="00E07939">
        <w:t xml:space="preserve">and direct </w:t>
      </w:r>
      <w:r w:rsidR="00E07939">
        <w:t>Dominion</w:t>
      </w:r>
      <w:r w:rsidRPr="00E07939" w:rsidR="00E07939">
        <w:t xml:space="preserve"> to continue to use its best efforts to replace all pipe </w:t>
      </w:r>
      <w:r w:rsidR="00900545">
        <w:t xml:space="preserve">planned to be replaced </w:t>
      </w:r>
      <w:r w:rsidRPr="00E07939" w:rsidR="00E07939">
        <w:t>under the Program by the end of 2033.</w:t>
      </w:r>
      <w:r>
        <w:rPr>
          <w:rStyle w:val="FootnoteReference"/>
        </w:rPr>
        <w:footnoteReference w:id="20"/>
      </w:r>
    </w:p>
    <w:p w:rsidR="00900545" w:rsidP="00513A30" w14:paraId="68F990CE" w14:textId="77777777">
      <w:pPr>
        <w:pStyle w:val="BodyTextIndent3"/>
        <w:spacing w:line="240" w:lineRule="auto"/>
      </w:pPr>
    </w:p>
    <w:p w:rsidR="00C40656" w:rsidP="00B40CED" w14:paraId="6D07605D" w14:textId="61731CFE">
      <w:pPr>
        <w:pStyle w:val="BodyTextIndent3"/>
        <w:numPr>
          <w:ilvl w:val="0"/>
          <w:numId w:val="8"/>
        </w:numPr>
        <w:spacing w:line="240" w:lineRule="auto"/>
        <w:ind w:hanging="720"/>
      </w:pPr>
      <w:r>
        <w:t>PUCO Staff notes that it is intended that Dominion will file a base distribution rate case no later than October 2024, which will be during the extension period of the PIR Program proposed in Dominion’s Application.</w:t>
      </w:r>
      <w:r w:rsidR="00CB2155">
        <w:t xml:space="preserve"> </w:t>
      </w:r>
      <w:r>
        <w:t xml:space="preserve">Therefore, PUCO Staff recommends that </w:t>
      </w:r>
      <w:bookmarkStart w:id="2" w:name="_Hlk70438512"/>
      <w:r>
        <w:t>Dominion should embed the PIR assets into the Company’s rate base and the PIR associated EDIT be included in the Company’s Tax Savings Credit Rider in the future rate case.</w:t>
      </w:r>
      <w:bookmarkEnd w:id="2"/>
      <w:r>
        <w:rPr>
          <w:rStyle w:val="FootnoteReference"/>
        </w:rPr>
        <w:footnoteReference w:id="21"/>
      </w:r>
    </w:p>
    <w:p w:rsidR="009E06A5" w:rsidP="009E06A5" w14:paraId="128015F3" w14:textId="77777777">
      <w:pPr>
        <w:pStyle w:val="BodyTextIndent3"/>
        <w:keepLines/>
        <w:spacing w:line="240" w:lineRule="auto"/>
        <w:ind w:left="720" w:firstLine="0"/>
      </w:pPr>
    </w:p>
    <w:p w:rsidR="00D81268" w:rsidP="00EA6726" w14:paraId="515F9FB7" w14:textId="77AA7298">
      <w:pPr>
        <w:spacing w:line="480" w:lineRule="auto"/>
      </w:pPr>
      <w:r>
        <w:tab/>
        <w:t xml:space="preserve">OCC supports </w:t>
      </w:r>
      <w:r w:rsidR="00E2213C">
        <w:t xml:space="preserve">the </w:t>
      </w:r>
      <w:r>
        <w:t xml:space="preserve">PUCO’s Staff’s recommendation that </w:t>
      </w:r>
      <w:r w:rsidRPr="00D81268">
        <w:t xml:space="preserve">Dominion should embed the PIR assets into the </w:t>
      </w:r>
      <w:r w:rsidR="00E2213C">
        <w:t>utility’s</w:t>
      </w:r>
      <w:r w:rsidRPr="00D81268">
        <w:t xml:space="preserve"> rate base and the PIR associated EDIT be included in the </w:t>
      </w:r>
      <w:r>
        <w:t>Utility’s</w:t>
      </w:r>
      <w:r w:rsidRPr="00D81268">
        <w:t xml:space="preserve"> Tax Savings Credit Rider in </w:t>
      </w:r>
      <w:r>
        <w:t xml:space="preserve">its next base </w:t>
      </w:r>
      <w:r w:rsidRPr="00D81268">
        <w:t>rate case.</w:t>
      </w:r>
      <w:r w:rsidR="00CB2155">
        <w:t xml:space="preserve"> </w:t>
      </w:r>
      <w:r w:rsidR="00CA2D79">
        <w:t>I</w:t>
      </w:r>
      <w:r>
        <w:t>n order to protect Dominion’s residential consumers, capital investments made under the PIR Program should be included in the rate base that is ultimately approved in Dominion’s future rate case.</w:t>
      </w:r>
      <w:r w:rsidR="00CB2155">
        <w:t xml:space="preserve"> </w:t>
      </w:r>
      <w:r>
        <w:t>In fact, customers would be better protected if Dominion filed a base rate case and added PIR capital investments to rate base now as opposed to October 2024.</w:t>
      </w:r>
      <w:r>
        <w:rPr>
          <w:rStyle w:val="FootnoteReference"/>
        </w:rPr>
        <w:footnoteReference w:id="22"/>
      </w:r>
      <w:r w:rsidR="00CB2155">
        <w:t xml:space="preserve"> </w:t>
      </w:r>
      <w:r>
        <w:t xml:space="preserve">And OCC agrees with PUCO Staff </w:t>
      </w:r>
      <w:r w:rsidR="00554224">
        <w:t xml:space="preserve">that EDIT associated with the PIR capital assets should </w:t>
      </w:r>
      <w:r w:rsidRPr="00D81268" w:rsidR="00554224">
        <w:t xml:space="preserve">be included in </w:t>
      </w:r>
      <w:r w:rsidR="00554224">
        <w:t>Dominion’s</w:t>
      </w:r>
      <w:r w:rsidRPr="00D81268" w:rsidR="00554224">
        <w:t xml:space="preserve"> Tax Savings Credit Rider in </w:t>
      </w:r>
      <w:r w:rsidR="00554224">
        <w:t xml:space="preserve">its next base </w:t>
      </w:r>
      <w:r w:rsidRPr="00D81268" w:rsidR="00554224">
        <w:t>rate case</w:t>
      </w:r>
      <w:r w:rsidR="00554224">
        <w:t>.</w:t>
      </w:r>
      <w:r w:rsidR="00CB2155">
        <w:t xml:space="preserve"> </w:t>
      </w:r>
      <w:r w:rsidR="00CA2D79">
        <w:t>C</w:t>
      </w:r>
      <w:r w:rsidR="00554224">
        <w:t>ustomers should continue to have a mechanism to receive EDIT associated with the PIR assets resulting from the Tax Cuts Jobs Act of 2017 as directed by the PUCO</w:t>
      </w:r>
      <w:r w:rsidR="00CA2D79">
        <w:t>.</w:t>
      </w:r>
      <w:r>
        <w:rPr>
          <w:rStyle w:val="FootnoteReference"/>
        </w:rPr>
        <w:footnoteReference w:id="23"/>
      </w:r>
      <w:r w:rsidR="00554224">
        <w:t xml:space="preserve"> </w:t>
      </w:r>
    </w:p>
    <w:p w:rsidR="00554224" w:rsidP="00513A30" w14:paraId="517383CB" w14:textId="362B6DBA">
      <w:pPr>
        <w:spacing w:line="480" w:lineRule="auto"/>
      </w:pPr>
      <w:r>
        <w:tab/>
      </w:r>
      <w:bookmarkStart w:id="3" w:name="_Hlk70500379"/>
      <w:r>
        <w:t xml:space="preserve">OCC </w:t>
      </w:r>
      <w:r w:rsidR="00E4646A">
        <w:t>agrees</w:t>
      </w:r>
      <w:r>
        <w:t xml:space="preserve"> that Dominion should complete the PIR Program in 2033 as originally scheduled.</w:t>
      </w:r>
      <w:r>
        <w:rPr>
          <w:rStyle w:val="FootnoteReference"/>
        </w:rPr>
        <w:footnoteReference w:id="24"/>
      </w:r>
      <w:r w:rsidR="00CB2155">
        <w:t xml:space="preserve"> </w:t>
      </w:r>
      <w:r>
        <w:t xml:space="preserve">Customers should be protected from any </w:t>
      </w:r>
      <w:r w:rsidR="00E4646A">
        <w:t>p</w:t>
      </w:r>
      <w:r>
        <w:t>rogram extensions that lead to never-ending PIR Rider increases.</w:t>
      </w:r>
      <w:r w:rsidR="00CB2155">
        <w:t xml:space="preserve"> </w:t>
      </w:r>
      <w:r>
        <w:t xml:space="preserve">OCC generally supports </w:t>
      </w:r>
      <w:r w:rsidR="00C75369">
        <w:t>measures that help PUCO Staff conduct in-depth and thorough investigation</w:t>
      </w:r>
      <w:r w:rsidR="00E32375">
        <w:t>s and</w:t>
      </w:r>
      <w:r w:rsidR="00C75369">
        <w:t xml:space="preserve"> supports Staff’s proposal that review of Dominion’s annual PIR Rider applications should follow the schedule used for the annual review </w:t>
      </w:r>
      <w:r w:rsidR="00126831">
        <w:t>of</w:t>
      </w:r>
      <w:r w:rsidR="00C75369">
        <w:t xml:space="preserve"> </w:t>
      </w:r>
      <w:r w:rsidR="00E32375">
        <w:t>Vectren’s</w:t>
      </w:r>
      <w:r w:rsidR="00C75369">
        <w:t xml:space="preserve"> DRR.</w:t>
      </w:r>
      <w:r>
        <w:rPr>
          <w:rStyle w:val="FootnoteReference"/>
        </w:rPr>
        <w:footnoteReference w:id="25"/>
      </w:r>
      <w:r w:rsidR="00CB2155">
        <w:t xml:space="preserve"> </w:t>
      </w:r>
      <w:r w:rsidR="00C75369">
        <w:t xml:space="preserve">However, </w:t>
      </w:r>
      <w:r w:rsidR="005C61B3">
        <w:t xml:space="preserve">because </w:t>
      </w:r>
      <w:r w:rsidR="00C75369">
        <w:t>it is unknown at this point what impact th</w:t>
      </w:r>
      <w:r w:rsidR="00C5124F">
        <w:t>is</w:t>
      </w:r>
      <w:r w:rsidR="00C75369">
        <w:t xml:space="preserve"> Staff recommendation might have on PIR Rider rates that consumers might pay</w:t>
      </w:r>
      <w:r w:rsidR="00C5124F">
        <w:t>, OCC cannot fully support this recommendation</w:t>
      </w:r>
      <w:r w:rsidR="00C75369">
        <w:t>.</w:t>
      </w:r>
      <w:r w:rsidR="00CB2155">
        <w:t xml:space="preserve"> </w:t>
      </w:r>
      <w:r w:rsidR="00C5124F">
        <w:t xml:space="preserve">While OCC agrees with </w:t>
      </w:r>
      <w:r w:rsidR="00D80D07">
        <w:t xml:space="preserve">some of </w:t>
      </w:r>
      <w:r w:rsidR="00C75369">
        <w:t xml:space="preserve">Staff’s </w:t>
      </w:r>
      <w:r w:rsidR="00C5124F">
        <w:t>r</w:t>
      </w:r>
      <w:r w:rsidR="00C75369">
        <w:t>ecommendation</w:t>
      </w:r>
      <w:r w:rsidR="00E32375">
        <w:t>s</w:t>
      </w:r>
      <w:r w:rsidR="00C5124F">
        <w:t>, OCC’s objections</w:t>
      </w:r>
      <w:r w:rsidR="00E32375">
        <w:t xml:space="preserve"> for consumer protection are </w:t>
      </w:r>
      <w:r w:rsidR="00EA6726">
        <w:t xml:space="preserve">discussed </w:t>
      </w:r>
      <w:r w:rsidR="00E32375">
        <w:t>below.</w:t>
      </w:r>
      <w:r w:rsidR="00C75369">
        <w:t xml:space="preserve"> </w:t>
      </w:r>
    </w:p>
    <w:p w:rsidR="00126831" w:rsidP="00B40CED" w14:paraId="1041B63E" w14:textId="6E3CC967"/>
    <w:p w:rsidR="00D81268" w:rsidRPr="00D81268" w:rsidP="00B40CED" w14:paraId="66D4C4C5" w14:textId="65B3D88A">
      <w:pPr>
        <w:pStyle w:val="Heading1"/>
      </w:pPr>
      <w:bookmarkStart w:id="4" w:name="_Toc71126530"/>
      <w:r>
        <w:t>II.</w:t>
      </w:r>
      <w:r>
        <w:tab/>
        <w:t>OBJECTIONS</w:t>
      </w:r>
      <w:bookmarkEnd w:id="3"/>
      <w:bookmarkEnd w:id="4"/>
    </w:p>
    <w:p w:rsidR="00DC61DF" w:rsidRPr="009E06A5" w:rsidP="009E06A5" w14:paraId="07BCBFA7" w14:textId="6AB50CDB">
      <w:pPr>
        <w:pStyle w:val="Heading2"/>
        <w:ind w:left="2160" w:hanging="1440"/>
      </w:pPr>
      <w:bookmarkStart w:id="5" w:name="_Toc42694218"/>
      <w:bookmarkStart w:id="6" w:name="_Toc71126531"/>
      <w:r w:rsidRPr="009E06A5">
        <w:t>Objection 1.</w:t>
      </w:r>
      <w:r w:rsidR="009E06A5">
        <w:tab/>
      </w:r>
      <w:bookmarkEnd w:id="5"/>
      <w:r w:rsidR="00D80D07">
        <w:t xml:space="preserve">OCC objects to the </w:t>
      </w:r>
      <w:r w:rsidR="00414187">
        <w:t>PUCO Staff</w:t>
      </w:r>
      <w:r w:rsidR="00D80D07">
        <w:t>’s recommendation to approve</w:t>
      </w:r>
      <w:r w:rsidR="00414187">
        <w:t xml:space="preserve"> Dominion’s Application to renew the PIR Program for a five-year period without a comprehensive review</w:t>
      </w:r>
      <w:r w:rsidR="005C61B3">
        <w:t>.</w:t>
      </w:r>
      <w:r w:rsidR="00C00FB6">
        <w:t xml:space="preserve"> </w:t>
      </w:r>
      <w:r w:rsidR="00F562C1">
        <w:t>Such a</w:t>
      </w:r>
      <w:r w:rsidR="005C61B3">
        <w:t xml:space="preserve"> </w:t>
      </w:r>
      <w:r w:rsidR="00F562C1">
        <w:t xml:space="preserve">review </w:t>
      </w:r>
      <w:r w:rsidR="00F50EDD">
        <w:t>is necessary</w:t>
      </w:r>
      <w:r w:rsidR="00414187">
        <w:t xml:space="preserve"> to determine that the </w:t>
      </w:r>
      <w:r w:rsidR="000841AF">
        <w:t xml:space="preserve">Program is meeting its stated objectives and Dominion’s consumers are receiving the benefits that were claimed </w:t>
      </w:r>
      <w:r w:rsidR="00F50EDD">
        <w:t>when</w:t>
      </w:r>
      <w:r w:rsidR="000841AF">
        <w:t xml:space="preserve"> the Program was initially being considered.</w:t>
      </w:r>
      <w:bookmarkEnd w:id="6"/>
    </w:p>
    <w:p w:rsidR="00A82114" w:rsidRPr="00CB76F9" w:rsidP="00A82114" w14:paraId="7A9D084E" w14:textId="05E52EF9">
      <w:pPr>
        <w:autoSpaceDE w:val="0"/>
        <w:autoSpaceDN w:val="0"/>
        <w:adjustRightInd w:val="0"/>
        <w:spacing w:line="480" w:lineRule="auto"/>
        <w:ind w:firstLine="720"/>
        <w:rPr>
          <w:szCs w:val="24"/>
        </w:rPr>
      </w:pPr>
      <w:r>
        <w:t xml:space="preserve">Dominion’s </w:t>
      </w:r>
      <w:r w:rsidR="000841AF">
        <w:t>PIR Program is at its midpoint.</w:t>
      </w:r>
      <w:r w:rsidR="00CB2155">
        <w:t xml:space="preserve"> </w:t>
      </w:r>
      <w:r w:rsidR="000841AF">
        <w:t xml:space="preserve">The replacement </w:t>
      </w:r>
      <w:r w:rsidR="00E4646A">
        <w:t>p</w:t>
      </w:r>
      <w:r w:rsidR="000841AF">
        <w:t>rogram commenced in 2008 and it is scheduled to end in 2033.</w:t>
      </w:r>
      <w:r w:rsidR="00D80D07">
        <w:t xml:space="preserve"> This is the </w:t>
      </w:r>
      <w:r w:rsidR="000841AF">
        <w:t xml:space="preserve">perfect time for a comprehensive review of </w:t>
      </w:r>
      <w:r w:rsidR="00A16C84">
        <w:t xml:space="preserve">the PIR Program </w:t>
      </w:r>
      <w:r w:rsidR="00E564F6">
        <w:t xml:space="preserve">to determine if it is meeting the safety goals touted at the onset of the </w:t>
      </w:r>
      <w:r w:rsidR="00E4646A">
        <w:t>p</w:t>
      </w:r>
      <w:r w:rsidR="00E564F6">
        <w:t xml:space="preserve">rogram and if the </w:t>
      </w:r>
      <w:r w:rsidR="00E4646A">
        <w:t>p</w:t>
      </w:r>
      <w:r w:rsidR="00E564F6">
        <w:t>rogram is cost</w:t>
      </w:r>
      <w:r w:rsidR="00D80D07">
        <w:t>-</w:t>
      </w:r>
      <w:r w:rsidR="00E564F6">
        <w:t>effective.</w:t>
      </w:r>
      <w:r w:rsidR="00CB2155">
        <w:t xml:space="preserve"> </w:t>
      </w:r>
      <w:r>
        <w:t xml:space="preserve">Minimally, the PUCO Staff should have conducted or recommended a review to </w:t>
      </w:r>
      <w:r w:rsidRPr="00CB76F9">
        <w:rPr>
          <w:szCs w:val="24"/>
        </w:rPr>
        <w:t>assess and mak</w:t>
      </w:r>
      <w:r>
        <w:rPr>
          <w:szCs w:val="24"/>
        </w:rPr>
        <w:t xml:space="preserve">e </w:t>
      </w:r>
      <w:r w:rsidRPr="00CB76F9">
        <w:rPr>
          <w:szCs w:val="24"/>
        </w:rPr>
        <w:t>determination</w:t>
      </w:r>
      <w:r>
        <w:rPr>
          <w:szCs w:val="24"/>
        </w:rPr>
        <w:t>s and recommendations</w:t>
      </w:r>
      <w:r w:rsidRPr="00CB76F9">
        <w:rPr>
          <w:szCs w:val="24"/>
        </w:rPr>
        <w:t xml:space="preserve"> on the following issues:</w:t>
      </w:r>
    </w:p>
    <w:p w:rsidR="00A82114" w:rsidRPr="00CB76F9" w:rsidP="00A82114" w14:paraId="7554A4AC" w14:textId="67376099">
      <w:pPr>
        <w:pStyle w:val="ListParagraph"/>
        <w:numPr>
          <w:ilvl w:val="0"/>
          <w:numId w:val="9"/>
        </w:numPr>
        <w:autoSpaceDE w:val="0"/>
        <w:autoSpaceDN w:val="0"/>
        <w:adjustRightInd w:val="0"/>
        <w:ind w:left="1440" w:hanging="720"/>
        <w:rPr>
          <w:szCs w:val="24"/>
        </w:rPr>
      </w:pPr>
      <w:r w:rsidRPr="00CB76F9">
        <w:rPr>
          <w:szCs w:val="24"/>
        </w:rPr>
        <w:t xml:space="preserve">Whether the PIR program is effective in meeting the stated goals of the program, including </w:t>
      </w:r>
      <w:r w:rsidR="00E4646A">
        <w:rPr>
          <w:szCs w:val="24"/>
        </w:rPr>
        <w:t xml:space="preserve">improvement to </w:t>
      </w:r>
      <w:r w:rsidRPr="00CB76F9">
        <w:rPr>
          <w:szCs w:val="24"/>
        </w:rPr>
        <w:t>safety</w:t>
      </w:r>
      <w:r w:rsidR="00E4646A">
        <w:rPr>
          <w:szCs w:val="24"/>
        </w:rPr>
        <w:t>,</w:t>
      </w:r>
      <w:r w:rsidRPr="00CB76F9">
        <w:rPr>
          <w:szCs w:val="24"/>
        </w:rPr>
        <w:t xml:space="preserve"> reliability</w:t>
      </w:r>
      <w:r w:rsidR="00E4646A">
        <w:rPr>
          <w:szCs w:val="24"/>
        </w:rPr>
        <w:t>,</w:t>
      </w:r>
      <w:r w:rsidRPr="00CB76F9">
        <w:rPr>
          <w:szCs w:val="24"/>
        </w:rPr>
        <w:t xml:space="preserve"> leak-rate </w:t>
      </w:r>
      <w:r w:rsidR="00E4646A">
        <w:rPr>
          <w:szCs w:val="24"/>
        </w:rPr>
        <w:t xml:space="preserve">and </w:t>
      </w:r>
      <w:r w:rsidR="00F562C1">
        <w:rPr>
          <w:szCs w:val="24"/>
        </w:rPr>
        <w:t xml:space="preserve">meeting </w:t>
      </w:r>
      <w:r w:rsidRPr="00CB76F9">
        <w:rPr>
          <w:szCs w:val="24"/>
        </w:rPr>
        <w:t>miles replaced targets, among other issues.</w:t>
      </w:r>
    </w:p>
    <w:p w:rsidR="00A82114" w:rsidRPr="00CB76F9" w:rsidP="00A82114" w14:paraId="4B3E62EE" w14:textId="77777777">
      <w:pPr>
        <w:autoSpaceDE w:val="0"/>
        <w:autoSpaceDN w:val="0"/>
        <w:adjustRightInd w:val="0"/>
        <w:ind w:left="1440" w:hanging="720"/>
        <w:rPr>
          <w:szCs w:val="24"/>
        </w:rPr>
      </w:pPr>
    </w:p>
    <w:p w:rsidR="00A82114" w:rsidRPr="00CB76F9" w:rsidP="00A82114" w14:paraId="33661576" w14:textId="77777777">
      <w:pPr>
        <w:pStyle w:val="ListParagraph"/>
        <w:numPr>
          <w:ilvl w:val="0"/>
          <w:numId w:val="9"/>
        </w:numPr>
        <w:autoSpaceDE w:val="0"/>
        <w:autoSpaceDN w:val="0"/>
        <w:adjustRightInd w:val="0"/>
        <w:ind w:left="1440" w:hanging="720"/>
        <w:rPr>
          <w:szCs w:val="24"/>
        </w:rPr>
      </w:pPr>
      <w:r w:rsidRPr="00CB76F9">
        <w:rPr>
          <w:szCs w:val="24"/>
        </w:rPr>
        <w:t>Whether the PIR program costs are excessive, including in comparison to other natural gas accelerated infrastructure replacement programs around the country.</w:t>
      </w:r>
    </w:p>
    <w:p w:rsidR="00A82114" w:rsidRPr="00CB76F9" w:rsidP="00A82114" w14:paraId="6E5210E7" w14:textId="77777777">
      <w:pPr>
        <w:autoSpaceDE w:val="0"/>
        <w:autoSpaceDN w:val="0"/>
        <w:adjustRightInd w:val="0"/>
        <w:ind w:left="1440" w:hanging="720"/>
        <w:rPr>
          <w:szCs w:val="24"/>
        </w:rPr>
      </w:pPr>
    </w:p>
    <w:p w:rsidR="00A82114" w:rsidRPr="00CB76F9" w:rsidP="00A82114" w14:paraId="5D5F613B" w14:textId="77777777">
      <w:pPr>
        <w:pStyle w:val="ListParagraph"/>
        <w:numPr>
          <w:ilvl w:val="0"/>
          <w:numId w:val="9"/>
        </w:numPr>
        <w:autoSpaceDE w:val="0"/>
        <w:autoSpaceDN w:val="0"/>
        <w:adjustRightInd w:val="0"/>
        <w:ind w:left="1440" w:hanging="720"/>
        <w:rPr>
          <w:szCs w:val="24"/>
        </w:rPr>
      </w:pPr>
      <w:r w:rsidRPr="00CB76F9">
        <w:rPr>
          <w:szCs w:val="24"/>
        </w:rPr>
        <w:t>Whether the PIR program is cost-effective in terms of cost per goals achieved, including in comparison with other natural gas accelerated infrastructure replacement programs around the country.</w:t>
      </w:r>
    </w:p>
    <w:p w:rsidR="00A82114" w:rsidRPr="00CB76F9" w:rsidP="00A82114" w14:paraId="2F220341" w14:textId="77777777">
      <w:pPr>
        <w:autoSpaceDE w:val="0"/>
        <w:autoSpaceDN w:val="0"/>
        <w:adjustRightInd w:val="0"/>
        <w:ind w:left="1440" w:hanging="720"/>
        <w:rPr>
          <w:szCs w:val="24"/>
        </w:rPr>
      </w:pPr>
    </w:p>
    <w:p w:rsidR="00A82114" w:rsidRPr="00CB76F9" w:rsidP="00A82114" w14:paraId="46E3A0E4" w14:textId="77777777">
      <w:pPr>
        <w:pStyle w:val="ListParagraph"/>
        <w:numPr>
          <w:ilvl w:val="0"/>
          <w:numId w:val="9"/>
        </w:numPr>
        <w:autoSpaceDE w:val="0"/>
        <w:autoSpaceDN w:val="0"/>
        <w:adjustRightInd w:val="0"/>
        <w:ind w:left="1440" w:hanging="720"/>
        <w:rPr>
          <w:szCs w:val="24"/>
        </w:rPr>
      </w:pPr>
      <w:r w:rsidRPr="00CB76F9">
        <w:rPr>
          <w:szCs w:val="24"/>
        </w:rPr>
        <w:t>Whether Dominion’s decisions related to the PIR program and the management of the PIR program were prudent; including but not limited to, proper pipeline replacement prioritization, effective management oversight and controls, and effective cost containment strategies and practices.</w:t>
      </w:r>
    </w:p>
    <w:p w:rsidR="00A82114" w:rsidRPr="00CB76F9" w:rsidP="00A82114" w14:paraId="25A02139" w14:textId="77777777">
      <w:pPr>
        <w:autoSpaceDE w:val="0"/>
        <w:autoSpaceDN w:val="0"/>
        <w:adjustRightInd w:val="0"/>
        <w:ind w:left="1440" w:hanging="720"/>
        <w:rPr>
          <w:szCs w:val="24"/>
        </w:rPr>
      </w:pPr>
    </w:p>
    <w:p w:rsidR="00A82114" w:rsidRPr="00A538CA" w:rsidP="00A82114" w14:paraId="542E219D" w14:textId="77777777">
      <w:pPr>
        <w:pStyle w:val="ListParagraph"/>
        <w:numPr>
          <w:ilvl w:val="0"/>
          <w:numId w:val="9"/>
        </w:numPr>
        <w:autoSpaceDE w:val="0"/>
        <w:autoSpaceDN w:val="0"/>
        <w:adjustRightInd w:val="0"/>
        <w:ind w:left="1440" w:hanging="720"/>
        <w:rPr>
          <w:szCs w:val="24"/>
        </w:rPr>
      </w:pPr>
      <w:r w:rsidRPr="00A538CA">
        <w:rPr>
          <w:szCs w:val="24"/>
        </w:rPr>
        <w:t>Whether Dominion’s custom</w:t>
      </w:r>
      <w:r>
        <w:rPr>
          <w:szCs w:val="24"/>
        </w:rPr>
        <w:t>e</w:t>
      </w:r>
      <w:r w:rsidRPr="00A538CA">
        <w:rPr>
          <w:szCs w:val="24"/>
        </w:rPr>
        <w:t xml:space="preserve">rs are receiving </w:t>
      </w:r>
      <w:r w:rsidRPr="00EF43CB">
        <w:rPr>
          <w:szCs w:val="24"/>
        </w:rPr>
        <w:t xml:space="preserve">the full savings for operation and maintenance (“O&amp;M”) savings </w:t>
      </w:r>
      <w:r>
        <w:rPr>
          <w:szCs w:val="24"/>
        </w:rPr>
        <w:t xml:space="preserve">associated with the program </w:t>
      </w:r>
    </w:p>
    <w:p w:rsidR="00A82114" w:rsidP="00A82114" w14:paraId="08CC587C" w14:textId="77777777">
      <w:pPr>
        <w:ind w:firstLine="720"/>
        <w:rPr>
          <w:szCs w:val="24"/>
        </w:rPr>
      </w:pPr>
    </w:p>
    <w:p w:rsidR="00E4646A" w:rsidP="00A82114" w14:paraId="6ED3BD35" w14:textId="39BAD5BF">
      <w:pPr>
        <w:spacing w:line="480" w:lineRule="auto"/>
        <w:ind w:firstLine="720"/>
        <w:rPr>
          <w:szCs w:val="24"/>
        </w:rPr>
      </w:pPr>
      <w:r>
        <w:rPr>
          <w:szCs w:val="24"/>
        </w:rPr>
        <w:t xml:space="preserve">PUCO Staff failed to </w:t>
      </w:r>
      <w:r w:rsidR="00F562C1">
        <w:rPr>
          <w:szCs w:val="24"/>
        </w:rPr>
        <w:t xml:space="preserve">require </w:t>
      </w:r>
      <w:r>
        <w:rPr>
          <w:szCs w:val="24"/>
        </w:rPr>
        <w:t>such a comprehensive investigation</w:t>
      </w:r>
      <w:r w:rsidR="00F562C1">
        <w:rPr>
          <w:szCs w:val="24"/>
        </w:rPr>
        <w:t xml:space="preserve"> to be conducted</w:t>
      </w:r>
      <w:r w:rsidR="005C61B3">
        <w:rPr>
          <w:szCs w:val="24"/>
        </w:rPr>
        <w:t>,</w:t>
      </w:r>
      <w:r>
        <w:rPr>
          <w:szCs w:val="24"/>
        </w:rPr>
        <w:t xml:space="preserve"> which significantly diminishes the purpose </w:t>
      </w:r>
      <w:r>
        <w:rPr>
          <w:szCs w:val="24"/>
        </w:rPr>
        <w:t xml:space="preserve">and effectiveness </w:t>
      </w:r>
      <w:r>
        <w:rPr>
          <w:szCs w:val="24"/>
        </w:rPr>
        <w:t>of a five</w:t>
      </w:r>
      <w:r w:rsidR="00A9624C">
        <w:rPr>
          <w:szCs w:val="24"/>
        </w:rPr>
        <w:t>-</w:t>
      </w:r>
      <w:r>
        <w:rPr>
          <w:szCs w:val="24"/>
        </w:rPr>
        <w:t>year review cycle for the PIR.</w:t>
      </w:r>
      <w:r w:rsidR="00CB2155">
        <w:rPr>
          <w:szCs w:val="24"/>
        </w:rPr>
        <w:t xml:space="preserve"> </w:t>
      </w:r>
      <w:r>
        <w:rPr>
          <w:szCs w:val="24"/>
        </w:rPr>
        <w:t xml:space="preserve">There is very little value to a </w:t>
      </w:r>
      <w:r w:rsidR="00A9624C">
        <w:rPr>
          <w:szCs w:val="24"/>
        </w:rPr>
        <w:t>five</w:t>
      </w:r>
      <w:r w:rsidR="00D80D07">
        <w:rPr>
          <w:szCs w:val="24"/>
        </w:rPr>
        <w:t>-year</w:t>
      </w:r>
      <w:r w:rsidR="00A9624C">
        <w:rPr>
          <w:szCs w:val="24"/>
        </w:rPr>
        <w:t xml:space="preserve"> </w:t>
      </w:r>
      <w:r>
        <w:rPr>
          <w:szCs w:val="24"/>
        </w:rPr>
        <w:t xml:space="preserve">review </w:t>
      </w:r>
      <w:r w:rsidR="00A9624C">
        <w:rPr>
          <w:szCs w:val="24"/>
        </w:rPr>
        <w:t xml:space="preserve">of the PIR Program if the </w:t>
      </w:r>
      <w:r w:rsidR="00B21F46">
        <w:rPr>
          <w:szCs w:val="24"/>
        </w:rPr>
        <w:t>p</w:t>
      </w:r>
      <w:r w:rsidR="00A9624C">
        <w:rPr>
          <w:szCs w:val="24"/>
        </w:rPr>
        <w:t>rogram is not reviewed in depth.</w:t>
      </w:r>
      <w:r w:rsidR="00CB2155">
        <w:rPr>
          <w:szCs w:val="24"/>
        </w:rPr>
        <w:t xml:space="preserve"> </w:t>
      </w:r>
      <w:r w:rsidR="00A9624C">
        <w:rPr>
          <w:szCs w:val="24"/>
        </w:rPr>
        <w:t>A detailed review as recommended by OCC could help protect consumers from paying too much or getting too little value from the PIR Program.</w:t>
      </w:r>
      <w:r w:rsidR="00CB2155">
        <w:rPr>
          <w:szCs w:val="24"/>
        </w:rPr>
        <w:t xml:space="preserve"> </w:t>
      </w:r>
    </w:p>
    <w:p w:rsidR="00D80D07" w:rsidP="00A82114" w14:paraId="2385F2BB" w14:textId="546A86F9">
      <w:pPr>
        <w:spacing w:line="480" w:lineRule="auto"/>
        <w:ind w:firstLine="720"/>
        <w:rPr>
          <w:szCs w:val="24"/>
        </w:rPr>
      </w:pPr>
      <w:r>
        <w:rPr>
          <w:szCs w:val="24"/>
        </w:rPr>
        <w:t xml:space="preserve">Depending </w:t>
      </w:r>
      <w:r w:rsidRPr="00CB76F9">
        <w:rPr>
          <w:szCs w:val="24"/>
        </w:rPr>
        <w:t xml:space="preserve">on </w:t>
      </w:r>
      <w:r>
        <w:rPr>
          <w:szCs w:val="24"/>
        </w:rPr>
        <w:t xml:space="preserve">the results of </w:t>
      </w:r>
      <w:r w:rsidR="00A9624C">
        <w:rPr>
          <w:szCs w:val="24"/>
        </w:rPr>
        <w:t>a comprehensive</w:t>
      </w:r>
      <w:r w:rsidRPr="00CB76F9">
        <w:rPr>
          <w:szCs w:val="24"/>
        </w:rPr>
        <w:t xml:space="preserve"> </w:t>
      </w:r>
      <w:r w:rsidR="00F562C1">
        <w:rPr>
          <w:szCs w:val="24"/>
        </w:rPr>
        <w:t>review</w:t>
      </w:r>
      <w:r w:rsidRPr="00CB76F9">
        <w:rPr>
          <w:szCs w:val="24"/>
        </w:rPr>
        <w:t xml:space="preserve">, the PUCO </w:t>
      </w:r>
      <w:r>
        <w:rPr>
          <w:szCs w:val="24"/>
        </w:rPr>
        <w:t xml:space="preserve">could </w:t>
      </w:r>
      <w:r w:rsidRPr="00CB76F9">
        <w:rPr>
          <w:szCs w:val="24"/>
        </w:rPr>
        <w:t xml:space="preserve">consider freezing the current PIR Rider cap for the next five-year period. A freeze on the amount of money collected from customers is just and reasonable </w:t>
      </w:r>
      <w:r>
        <w:rPr>
          <w:szCs w:val="24"/>
        </w:rPr>
        <w:t xml:space="preserve">if the </w:t>
      </w:r>
      <w:r w:rsidR="00B21F46">
        <w:rPr>
          <w:szCs w:val="24"/>
        </w:rPr>
        <w:t>p</w:t>
      </w:r>
      <w:r>
        <w:rPr>
          <w:szCs w:val="24"/>
        </w:rPr>
        <w:t xml:space="preserve">rogram is not achieving its stated goals, if the </w:t>
      </w:r>
      <w:r w:rsidR="00B21F46">
        <w:rPr>
          <w:szCs w:val="24"/>
        </w:rPr>
        <w:t>p</w:t>
      </w:r>
      <w:r>
        <w:rPr>
          <w:szCs w:val="24"/>
        </w:rPr>
        <w:t xml:space="preserve">rogram’s costs are excessive, or if the original </w:t>
      </w:r>
      <w:r w:rsidRPr="00CB76F9">
        <w:rPr>
          <w:szCs w:val="24"/>
        </w:rPr>
        <w:t xml:space="preserve">target to complete the program in 25 years is </w:t>
      </w:r>
      <w:r>
        <w:rPr>
          <w:szCs w:val="24"/>
        </w:rPr>
        <w:t>no longer necessary</w:t>
      </w:r>
      <w:r w:rsidRPr="00CB76F9">
        <w:rPr>
          <w:szCs w:val="24"/>
        </w:rPr>
        <w:t xml:space="preserve">. </w:t>
      </w:r>
    </w:p>
    <w:p w:rsidR="00A82114" w:rsidRPr="00CB76F9" w:rsidP="00A82114" w14:paraId="226B355C" w14:textId="4BCF102F">
      <w:pPr>
        <w:spacing w:line="480" w:lineRule="auto"/>
        <w:ind w:firstLine="720"/>
        <w:rPr>
          <w:szCs w:val="24"/>
        </w:rPr>
      </w:pPr>
      <w:r w:rsidRPr="00CB76F9">
        <w:rPr>
          <w:szCs w:val="24"/>
        </w:rPr>
        <w:t xml:space="preserve">If </w:t>
      </w:r>
      <w:r w:rsidR="00B21F46">
        <w:rPr>
          <w:szCs w:val="24"/>
        </w:rPr>
        <w:t xml:space="preserve">a </w:t>
      </w:r>
      <w:r w:rsidR="007F0B28">
        <w:rPr>
          <w:szCs w:val="24"/>
        </w:rPr>
        <w:t xml:space="preserve">review finds that </w:t>
      </w:r>
      <w:r w:rsidRPr="00CB76F9">
        <w:rPr>
          <w:szCs w:val="24"/>
        </w:rPr>
        <w:t xml:space="preserve">leak rates are </w:t>
      </w:r>
      <w:r>
        <w:rPr>
          <w:szCs w:val="24"/>
        </w:rPr>
        <w:t xml:space="preserve">sufficiently </w:t>
      </w:r>
      <w:r w:rsidRPr="00CB76F9">
        <w:rPr>
          <w:szCs w:val="24"/>
        </w:rPr>
        <w:t>down, the</w:t>
      </w:r>
      <w:r>
        <w:rPr>
          <w:szCs w:val="24"/>
        </w:rPr>
        <w:t>n perhaps the</w:t>
      </w:r>
      <w:r w:rsidRPr="00CB76F9">
        <w:rPr>
          <w:szCs w:val="24"/>
        </w:rPr>
        <w:t xml:space="preserve"> </w:t>
      </w:r>
      <w:r w:rsidR="00B21F46">
        <w:rPr>
          <w:szCs w:val="24"/>
        </w:rPr>
        <w:t>p</w:t>
      </w:r>
      <w:r w:rsidRPr="00CB76F9">
        <w:rPr>
          <w:szCs w:val="24"/>
        </w:rPr>
        <w:t xml:space="preserve">rogram has been effective </w:t>
      </w:r>
      <w:r>
        <w:rPr>
          <w:szCs w:val="24"/>
        </w:rPr>
        <w:t>enough that</w:t>
      </w:r>
      <w:r w:rsidRPr="00CB76F9">
        <w:rPr>
          <w:szCs w:val="24"/>
        </w:rPr>
        <w:t xml:space="preserve"> there is no need to continue </w:t>
      </w:r>
      <w:r>
        <w:rPr>
          <w:szCs w:val="24"/>
        </w:rPr>
        <w:t>an</w:t>
      </w:r>
      <w:r w:rsidRPr="00CB76F9">
        <w:rPr>
          <w:szCs w:val="24"/>
        </w:rPr>
        <w:t xml:space="preserve"> accelerated replacement</w:t>
      </w:r>
      <w:r w:rsidR="00B21F46">
        <w:rPr>
          <w:szCs w:val="24"/>
        </w:rPr>
        <w:t>. D</w:t>
      </w:r>
      <w:r>
        <w:rPr>
          <w:szCs w:val="24"/>
        </w:rPr>
        <w:t xml:space="preserve">ominion </w:t>
      </w:r>
      <w:r w:rsidR="00B21F46">
        <w:rPr>
          <w:szCs w:val="24"/>
        </w:rPr>
        <w:t>could then</w:t>
      </w:r>
      <w:r>
        <w:rPr>
          <w:szCs w:val="24"/>
        </w:rPr>
        <w:t xml:space="preserve"> continue replacement under its ordinary capital replacement program with cost recovery in periodic rate cases</w:t>
      </w:r>
      <w:r w:rsidRPr="00CB76F9">
        <w:rPr>
          <w:szCs w:val="24"/>
        </w:rPr>
        <w:t xml:space="preserve">. In addition, if there are fewer leak repairs due to pipeline replacement, customers should receive the full value of </w:t>
      </w:r>
      <w:r>
        <w:rPr>
          <w:szCs w:val="24"/>
        </w:rPr>
        <w:t xml:space="preserve">operation and </w:t>
      </w:r>
      <w:r w:rsidRPr="00CB76F9">
        <w:rPr>
          <w:szCs w:val="24"/>
        </w:rPr>
        <w:t xml:space="preserve">maintenance savings. This means that </w:t>
      </w:r>
      <w:r>
        <w:rPr>
          <w:szCs w:val="24"/>
        </w:rPr>
        <w:t xml:space="preserve">the PUCO should confirm that </w:t>
      </w:r>
      <w:r w:rsidRPr="00CB76F9">
        <w:rPr>
          <w:szCs w:val="24"/>
        </w:rPr>
        <w:t xml:space="preserve">all </w:t>
      </w:r>
      <w:r>
        <w:rPr>
          <w:szCs w:val="24"/>
        </w:rPr>
        <w:t xml:space="preserve">O&amp;M </w:t>
      </w:r>
      <w:r w:rsidRPr="00CB76F9">
        <w:rPr>
          <w:szCs w:val="24"/>
        </w:rPr>
        <w:t xml:space="preserve">savings </w:t>
      </w:r>
      <w:r>
        <w:rPr>
          <w:szCs w:val="24"/>
        </w:rPr>
        <w:t xml:space="preserve">are </w:t>
      </w:r>
      <w:r w:rsidRPr="00CB76F9">
        <w:rPr>
          <w:szCs w:val="24"/>
        </w:rPr>
        <w:t>used to offset the cost of the program.</w:t>
      </w:r>
      <w:bookmarkStart w:id="7" w:name="_Toc444787521"/>
      <w:r w:rsidRPr="00CB76F9">
        <w:rPr>
          <w:szCs w:val="24"/>
        </w:rPr>
        <w:t xml:space="preserve"> Finally, the PUCO should commit to a review of Dominion's rates (including profits) prior to charging customers for any more pipeline investment.</w:t>
      </w:r>
      <w:r>
        <w:rPr>
          <w:szCs w:val="24"/>
        </w:rPr>
        <w:t xml:space="preserve"> </w:t>
      </w:r>
    </w:p>
    <w:p w:rsidR="006C2EF7" w:rsidP="003B4855" w14:paraId="11209D13" w14:textId="55CC2C3D">
      <w:pPr>
        <w:pStyle w:val="Heading2"/>
        <w:ind w:left="2160" w:hanging="1440"/>
      </w:pPr>
      <w:bookmarkStart w:id="8" w:name="_Toc42694219"/>
      <w:bookmarkStart w:id="9" w:name="_Toc71126532"/>
      <w:bookmarkEnd w:id="7"/>
      <w:r>
        <w:t>Objection 2.</w:t>
      </w:r>
      <w:r w:rsidRPr="003B4855" w:rsidR="003B4855">
        <w:tab/>
      </w:r>
      <w:r w:rsidR="007F0B28">
        <w:t>OCC objects to Staff’s recommendation to approve</w:t>
      </w:r>
      <w:r w:rsidR="00C017A7">
        <w:t xml:space="preserve"> renewal of the PIR Program without acknowledging that the rate of return used in setting the PIR Rider rates is outdated and inflated</w:t>
      </w:r>
      <w:r w:rsidR="007F0B28">
        <w:t xml:space="preserve">. </w:t>
      </w:r>
      <w:r w:rsidR="00C017A7">
        <w:t>Dominion’s rate of return should be updated if the PIR Program is renewed</w:t>
      </w:r>
      <w:r w:rsidRPr="003B4855">
        <w:t>.</w:t>
      </w:r>
      <w:bookmarkEnd w:id="8"/>
      <w:bookmarkEnd w:id="9"/>
    </w:p>
    <w:p w:rsidR="00BA5A3D" w:rsidRPr="00CB76F9" w:rsidP="00BA5A3D" w14:paraId="3ED71834" w14:textId="3250DC64">
      <w:pPr>
        <w:spacing w:line="480" w:lineRule="auto"/>
        <w:ind w:firstLine="720"/>
        <w:rPr>
          <w:szCs w:val="24"/>
        </w:rPr>
      </w:pPr>
      <w:r w:rsidRPr="00CB76F9">
        <w:rPr>
          <w:szCs w:val="24"/>
        </w:rPr>
        <w:t xml:space="preserve">Dominion proposes to continue use the rate of return that </w:t>
      </w:r>
      <w:r>
        <w:rPr>
          <w:szCs w:val="24"/>
        </w:rPr>
        <w:t xml:space="preserve">was </w:t>
      </w:r>
      <w:r w:rsidRPr="00CB76F9">
        <w:rPr>
          <w:szCs w:val="24"/>
        </w:rPr>
        <w:t xml:space="preserve">set more than 12 years ago in Case No. 07-829-GA-AIR in </w:t>
      </w:r>
      <w:r>
        <w:rPr>
          <w:szCs w:val="24"/>
        </w:rPr>
        <w:t>charging customers a profit on the pipeline investment.</w:t>
      </w:r>
      <w:r>
        <w:rPr>
          <w:rStyle w:val="FootnoteReference"/>
          <w:szCs w:val="24"/>
        </w:rPr>
        <w:footnoteReference w:id="26"/>
      </w:r>
      <w:r w:rsidRPr="00CB76F9">
        <w:rPr>
          <w:szCs w:val="24"/>
        </w:rPr>
        <w:t xml:space="preserve"> Dominion filed its Application in this case under Revised Code 4929.05 governing approval of natural gas company alternative rate plans. Revised Code 4929.05(A)(3) expressly provides that alternative rate plans must be just and reasonable.</w:t>
      </w:r>
      <w:r>
        <w:rPr>
          <w:szCs w:val="24"/>
        </w:rPr>
        <w:t xml:space="preserve"> </w:t>
      </w:r>
      <w:r w:rsidRPr="00CB76F9">
        <w:rPr>
          <w:szCs w:val="24"/>
        </w:rPr>
        <w:t xml:space="preserve">And Revised Code 4929.05(B) provides that the utility has the burden of proof. </w:t>
      </w:r>
    </w:p>
    <w:p w:rsidR="00BA5A3D" w:rsidP="00BA5A3D" w14:paraId="5CC84DAB" w14:textId="77777777">
      <w:pPr>
        <w:spacing w:line="480" w:lineRule="auto"/>
        <w:ind w:firstLine="720"/>
        <w:rPr>
          <w:szCs w:val="24"/>
        </w:rPr>
      </w:pPr>
      <w:r w:rsidRPr="00CB76F9">
        <w:rPr>
          <w:szCs w:val="24"/>
        </w:rPr>
        <w:t>In a recent case, in unchallenged and uncontroverted testimony</w:t>
      </w:r>
      <w:r>
        <w:rPr>
          <w:szCs w:val="24"/>
        </w:rPr>
        <w:t>,</w:t>
      </w:r>
      <w:r>
        <w:rPr>
          <w:rStyle w:val="FootnoteReference"/>
          <w:szCs w:val="24"/>
        </w:rPr>
        <w:footnoteReference w:id="27"/>
      </w:r>
      <w:r w:rsidRPr="00CB76F9">
        <w:rPr>
          <w:szCs w:val="24"/>
        </w:rPr>
        <w:t xml:space="preserve"> an OCC expert witness conclusively demonstrated that the 9.91% pre-tax rate of return set in </w:t>
      </w:r>
      <w:r>
        <w:rPr>
          <w:szCs w:val="24"/>
        </w:rPr>
        <w:t>Dominion’s last rate case</w:t>
      </w:r>
      <w:r>
        <w:rPr>
          <w:rStyle w:val="FootnoteReference"/>
          <w:szCs w:val="24"/>
        </w:rPr>
        <w:footnoteReference w:id="28"/>
      </w:r>
      <w:r w:rsidRPr="00CB76F9">
        <w:rPr>
          <w:szCs w:val="24"/>
        </w:rPr>
        <w:t xml:space="preserve"> is inflated and outdated</w:t>
      </w:r>
      <w:r>
        <w:rPr>
          <w:szCs w:val="24"/>
        </w:rPr>
        <w:t>. The high rate of return</w:t>
      </w:r>
      <w:r w:rsidRPr="00CB76F9">
        <w:rPr>
          <w:szCs w:val="24"/>
        </w:rPr>
        <w:t xml:space="preserve"> results </w:t>
      </w:r>
      <w:r>
        <w:rPr>
          <w:szCs w:val="24"/>
        </w:rPr>
        <w:t xml:space="preserve">in </w:t>
      </w:r>
      <w:r w:rsidRPr="00CB76F9">
        <w:rPr>
          <w:szCs w:val="24"/>
        </w:rPr>
        <w:t>customers paying far more than they should be paying for Dominion’s facilities and services.</w:t>
      </w:r>
      <w:r>
        <w:rPr>
          <w:rStyle w:val="FootnoteReference"/>
          <w:szCs w:val="24"/>
        </w:rPr>
        <w:footnoteReference w:id="29"/>
      </w:r>
      <w:r w:rsidRPr="00CB76F9">
        <w:rPr>
          <w:szCs w:val="24"/>
        </w:rPr>
        <w:t xml:space="preserve"> The OCC witness demonstrated that the return on equity component of Dominion’s rate of return no longer reflects </w:t>
      </w:r>
      <w:r>
        <w:rPr>
          <w:szCs w:val="24"/>
        </w:rPr>
        <w:t xml:space="preserve">Dominion’s </w:t>
      </w:r>
      <w:r w:rsidRPr="00CB76F9">
        <w:rPr>
          <w:szCs w:val="24"/>
        </w:rPr>
        <w:t>current financial risks and is far higher than recent returns on equity for comparable utilities.</w:t>
      </w:r>
      <w:r>
        <w:rPr>
          <w:rStyle w:val="FootnoteReference"/>
          <w:szCs w:val="24"/>
        </w:rPr>
        <w:footnoteReference w:id="30"/>
      </w:r>
      <w:r w:rsidRPr="00CB76F9">
        <w:rPr>
          <w:szCs w:val="24"/>
        </w:rPr>
        <w:t xml:space="preserve"> </w:t>
      </w:r>
    </w:p>
    <w:p w:rsidR="00BA5A3D" w:rsidRPr="00CB76F9" w:rsidP="00BA5A3D" w14:paraId="0B587D9A" w14:textId="3ACE508E">
      <w:pPr>
        <w:spacing w:line="480" w:lineRule="auto"/>
        <w:ind w:firstLine="720"/>
        <w:rPr>
          <w:szCs w:val="24"/>
        </w:rPr>
      </w:pPr>
      <w:r>
        <w:rPr>
          <w:szCs w:val="24"/>
        </w:rPr>
        <w:t xml:space="preserve">OCC’s </w:t>
      </w:r>
      <w:r w:rsidR="007F0B28">
        <w:rPr>
          <w:szCs w:val="24"/>
        </w:rPr>
        <w:t xml:space="preserve">expert </w:t>
      </w:r>
      <w:r w:rsidRPr="00CB76F9">
        <w:rPr>
          <w:szCs w:val="24"/>
        </w:rPr>
        <w:t>witness</w:t>
      </w:r>
      <w:r>
        <w:rPr>
          <w:szCs w:val="24"/>
        </w:rPr>
        <w:t>, Dr. Daniel J. Duann,</w:t>
      </w:r>
      <w:r w:rsidRPr="00CB76F9">
        <w:rPr>
          <w:szCs w:val="24"/>
        </w:rPr>
        <w:t xml:space="preserve"> testified that Dominion’s return on equity should be no higher than 9.36% </w:t>
      </w:r>
      <w:r>
        <w:rPr>
          <w:szCs w:val="24"/>
        </w:rPr>
        <w:t xml:space="preserve">instead of </w:t>
      </w:r>
      <w:r w:rsidRPr="00CB76F9">
        <w:rPr>
          <w:szCs w:val="24"/>
        </w:rPr>
        <w:t>the 10.38% embedded in Dominion’s proposed rate of return.</w:t>
      </w:r>
      <w:r>
        <w:rPr>
          <w:szCs w:val="24"/>
        </w:rPr>
        <w:t xml:space="preserve"> </w:t>
      </w:r>
      <w:r w:rsidRPr="00CB76F9">
        <w:rPr>
          <w:szCs w:val="24"/>
        </w:rPr>
        <w:t xml:space="preserve">Similarly, </w:t>
      </w:r>
      <w:r w:rsidR="00B21F46">
        <w:rPr>
          <w:szCs w:val="24"/>
        </w:rPr>
        <w:t>Dr. Duann</w:t>
      </w:r>
      <w:r w:rsidRPr="00CB76F9">
        <w:rPr>
          <w:szCs w:val="24"/>
        </w:rPr>
        <w:t xml:space="preserve"> showed that Dominion’s outdated rate of return includes an embedded cost of debt component of 6.50%, </w:t>
      </w:r>
      <w:r>
        <w:rPr>
          <w:szCs w:val="24"/>
        </w:rPr>
        <w:t>since i</w:t>
      </w:r>
      <w:r w:rsidRPr="00CB76F9">
        <w:rPr>
          <w:szCs w:val="24"/>
        </w:rPr>
        <w:t>ts actual cost of debt is only 2.29%</w:t>
      </w:r>
      <w:r>
        <w:rPr>
          <w:szCs w:val="24"/>
        </w:rPr>
        <w:t>, as shown in Dominion’s own filing with the PUCO.</w:t>
      </w:r>
      <w:r w:rsidRPr="00CB76F9">
        <w:rPr>
          <w:szCs w:val="24"/>
        </w:rPr>
        <w:t xml:space="preserve"> Taken together (updated return on equity and current cost of debt), OCC</w:t>
      </w:r>
      <w:r w:rsidR="007F0B28">
        <w:rPr>
          <w:szCs w:val="24"/>
        </w:rPr>
        <w:t>’s</w:t>
      </w:r>
      <w:r w:rsidRPr="00CB76F9">
        <w:rPr>
          <w:szCs w:val="24"/>
        </w:rPr>
        <w:t xml:space="preserve"> expert showed conclusively that Dominion’s updated pre-tax rate of return should be no more than 7.20%.</w:t>
      </w:r>
      <w:r>
        <w:rPr>
          <w:rStyle w:val="FootnoteReference"/>
          <w:szCs w:val="24"/>
        </w:rPr>
        <w:footnoteReference w:id="31"/>
      </w:r>
      <w:r>
        <w:rPr>
          <w:szCs w:val="24"/>
        </w:rPr>
        <w:t xml:space="preserve"> </w:t>
      </w:r>
    </w:p>
    <w:p w:rsidR="00BA5A3D" w:rsidP="00BA5A3D" w14:paraId="5CD746AC" w14:textId="17F523F1">
      <w:pPr>
        <w:pStyle w:val="BodyTextIndent3"/>
        <w:spacing w:line="480" w:lineRule="auto"/>
        <w:rPr>
          <w:szCs w:val="24"/>
        </w:rPr>
      </w:pPr>
      <w:r w:rsidRPr="00CB76F9">
        <w:rPr>
          <w:szCs w:val="24"/>
        </w:rPr>
        <w:t xml:space="preserve">The PUCO </w:t>
      </w:r>
      <w:r>
        <w:rPr>
          <w:szCs w:val="24"/>
        </w:rPr>
        <w:t xml:space="preserve">Staff </w:t>
      </w:r>
      <w:r w:rsidRPr="00CB76F9">
        <w:rPr>
          <w:szCs w:val="24"/>
        </w:rPr>
        <w:t xml:space="preserve">should </w:t>
      </w:r>
      <w:r>
        <w:rPr>
          <w:szCs w:val="24"/>
        </w:rPr>
        <w:t>have found</w:t>
      </w:r>
      <w:r w:rsidRPr="00CB76F9">
        <w:rPr>
          <w:szCs w:val="24"/>
        </w:rPr>
        <w:t xml:space="preserve"> that Dominion’s use </w:t>
      </w:r>
      <w:r>
        <w:rPr>
          <w:szCs w:val="24"/>
        </w:rPr>
        <w:t xml:space="preserve">of an </w:t>
      </w:r>
      <w:r w:rsidRPr="00CB76F9">
        <w:rPr>
          <w:szCs w:val="24"/>
        </w:rPr>
        <w:t xml:space="preserve">outdated and inflated rate of return set more than 12 years ago </w:t>
      </w:r>
      <w:r>
        <w:rPr>
          <w:szCs w:val="24"/>
        </w:rPr>
        <w:t>i</w:t>
      </w:r>
      <w:r w:rsidRPr="00CB76F9">
        <w:rPr>
          <w:szCs w:val="24"/>
        </w:rPr>
        <w:t>s ne</w:t>
      </w:r>
      <w:r>
        <w:rPr>
          <w:szCs w:val="24"/>
        </w:rPr>
        <w:t>i</w:t>
      </w:r>
      <w:r w:rsidRPr="00CB76F9">
        <w:rPr>
          <w:szCs w:val="24"/>
        </w:rPr>
        <w:t xml:space="preserve">ther just nor reasonable. </w:t>
      </w:r>
      <w:r>
        <w:rPr>
          <w:szCs w:val="24"/>
        </w:rPr>
        <w:t>To protect consumers, the PUCO Staff should have recommended that an updated rate of return be used to set future PIR Rider rates.</w:t>
      </w:r>
      <w:r w:rsidR="00CB2155">
        <w:rPr>
          <w:szCs w:val="24"/>
        </w:rPr>
        <w:t xml:space="preserve"> </w:t>
      </w:r>
      <w:r>
        <w:rPr>
          <w:szCs w:val="24"/>
        </w:rPr>
        <w:t>The PUCO Staff should have made this recommendation even if the PUCO does not</w:t>
      </w:r>
      <w:r w:rsidRPr="00CB76F9">
        <w:rPr>
          <w:szCs w:val="24"/>
        </w:rPr>
        <w:t xml:space="preserve"> take the opportunity </w:t>
      </w:r>
      <w:r>
        <w:rPr>
          <w:szCs w:val="24"/>
        </w:rPr>
        <w:t>to conduct a</w:t>
      </w:r>
      <w:r w:rsidRPr="00CB76F9">
        <w:rPr>
          <w:szCs w:val="24"/>
        </w:rPr>
        <w:t xml:space="preserve"> mid-program </w:t>
      </w:r>
      <w:r>
        <w:rPr>
          <w:szCs w:val="24"/>
        </w:rPr>
        <w:t xml:space="preserve">point to </w:t>
      </w:r>
      <w:r w:rsidRPr="00CB76F9">
        <w:rPr>
          <w:szCs w:val="24"/>
        </w:rPr>
        <w:t xml:space="preserve">review the </w:t>
      </w:r>
      <w:r>
        <w:rPr>
          <w:szCs w:val="24"/>
        </w:rPr>
        <w:t>PIR P</w:t>
      </w:r>
      <w:r w:rsidRPr="00CB76F9">
        <w:rPr>
          <w:szCs w:val="24"/>
        </w:rPr>
        <w:t>rogram</w:t>
      </w:r>
      <w:r w:rsidR="007F0B28">
        <w:rPr>
          <w:szCs w:val="24"/>
        </w:rPr>
        <w:t xml:space="preserve"> as OCC recommended in Comments</w:t>
      </w:r>
      <w:r w:rsidRPr="00CB76F9">
        <w:rPr>
          <w:szCs w:val="24"/>
        </w:rPr>
        <w:t>.</w:t>
      </w:r>
      <w:r>
        <w:rPr>
          <w:rStyle w:val="FootnoteReference"/>
          <w:szCs w:val="24"/>
        </w:rPr>
        <w:footnoteReference w:id="32"/>
      </w:r>
      <w:r w:rsidRPr="00CB76F9">
        <w:rPr>
          <w:szCs w:val="24"/>
        </w:rPr>
        <w:t xml:space="preserve"> </w:t>
      </w:r>
    </w:p>
    <w:p w:rsidR="00652332" w:rsidRPr="00110AAF" w:rsidP="002C25A2" w14:paraId="2FBC726D" w14:textId="1E0AF88E">
      <w:pPr>
        <w:pStyle w:val="Heading2"/>
        <w:ind w:left="2160" w:hanging="1440"/>
      </w:pPr>
      <w:bookmarkStart w:id="10" w:name="_Toc42694220"/>
      <w:bookmarkStart w:id="11" w:name="_Toc71126533"/>
      <w:r>
        <w:t>Objection 3.</w:t>
      </w:r>
      <w:r w:rsidR="002C25A2">
        <w:tab/>
      </w:r>
      <w:bookmarkEnd w:id="10"/>
      <w:r w:rsidR="00727FE7">
        <w:t>If the PIR Program is going to be renewed, the PUCO Staff should have recommended that all financial performance incentives included in the PIR Rider be removed.</w:t>
      </w:r>
      <w:bookmarkEnd w:id="11"/>
    </w:p>
    <w:p w:rsidR="001C315F" w:rsidP="00D4185C" w14:paraId="77C1E4DD" w14:textId="489B1952">
      <w:pPr>
        <w:pStyle w:val="BodyTextIndent3"/>
        <w:spacing w:line="480" w:lineRule="auto"/>
      </w:pPr>
      <w:r>
        <w:t>In a discovery response to OCC, Dominion admitted that the capitalized labor component of the PIR Rider includes compensation to Dominion employees for attainment of goals tied to Dominion’s financial performance.</w:t>
      </w:r>
      <w:r>
        <w:rPr>
          <w:rStyle w:val="FootnoteReference"/>
        </w:rPr>
        <w:footnoteReference w:id="33"/>
      </w:r>
      <w:r w:rsidR="00CB2155">
        <w:t xml:space="preserve"> </w:t>
      </w:r>
      <w:r w:rsidR="00173AD8">
        <w:t>Such financial performance incentives benefit only Dominion’s shareholders and employees and provide no benefit its customers.</w:t>
      </w:r>
      <w:r w:rsidR="00CB2155">
        <w:t xml:space="preserve"> </w:t>
      </w:r>
      <w:r w:rsidR="00173AD8">
        <w:t>Therefore, the financial incentives should be removed from the calculation of annual PIR Rider rates.</w:t>
      </w:r>
      <w:r w:rsidR="00CB2155">
        <w:t xml:space="preserve"> </w:t>
      </w:r>
      <w:r w:rsidR="00173AD8">
        <w:t xml:space="preserve">To protect </w:t>
      </w:r>
      <w:r w:rsidR="00C063C9">
        <w:t>Dominion’s consumers from paying for incentives that they receive no benefit from, the PUCO</w:t>
      </w:r>
      <w:r w:rsidR="00173AD8">
        <w:t xml:space="preserve"> Staff should have recommended that financial performance incentives be removed from future PIR Rider rates.</w:t>
      </w:r>
      <w:r w:rsidR="00C00FB6">
        <w:t xml:space="preserve"> </w:t>
      </w:r>
    </w:p>
    <w:p w:rsidR="00317302" w:rsidRPr="003D6749" w:rsidP="00317302" w14:paraId="5D1C6D6E" w14:textId="2BB7000B">
      <w:pPr>
        <w:pStyle w:val="Heading2"/>
        <w:ind w:left="2160" w:hanging="1440"/>
      </w:pPr>
      <w:bookmarkStart w:id="12" w:name="_Toc71126534"/>
      <w:r>
        <w:t>Objection 4.</w:t>
      </w:r>
      <w:r>
        <w:tab/>
      </w:r>
      <w:r w:rsidR="00C063C9">
        <w:t>OCC objects to the</w:t>
      </w:r>
      <w:r>
        <w:t xml:space="preserve"> PUCO Staff</w:t>
      </w:r>
      <w:r w:rsidR="00C063C9">
        <w:t>’s</w:t>
      </w:r>
      <w:r>
        <w:t xml:space="preserve"> recommended approval of Dominion’s proposed three percent annual increases to PIR investment levels </w:t>
      </w:r>
      <w:r w:rsidR="00F50EDD">
        <w:t>when</w:t>
      </w:r>
      <w:r>
        <w:t xml:space="preserve"> Dominion offered no evidence that such annual increases are needed.</w:t>
      </w:r>
      <w:bookmarkEnd w:id="12"/>
    </w:p>
    <w:p w:rsidR="007F2D23" w:rsidP="00D4185C" w14:paraId="3D8A3862" w14:textId="03B229A7">
      <w:pPr>
        <w:pStyle w:val="BodyTextIndent3"/>
        <w:spacing w:line="480" w:lineRule="auto"/>
      </w:pPr>
      <w:r>
        <w:t>Dominion</w:t>
      </w:r>
      <w:r w:rsidRPr="00317302" w:rsidR="00317302">
        <w:t xml:space="preserve"> </w:t>
      </w:r>
      <w:r w:rsidR="00C063C9">
        <w:t>asks that the</w:t>
      </w:r>
      <w:r w:rsidRPr="00317302" w:rsidR="00317302">
        <w:t xml:space="preserve"> </w:t>
      </w:r>
      <w:r w:rsidR="005D1D76">
        <w:t>PUCO</w:t>
      </w:r>
      <w:r w:rsidRPr="00317302" w:rsidR="005D1D76">
        <w:t xml:space="preserve"> </w:t>
      </w:r>
      <w:r w:rsidRPr="00317302" w:rsidR="00317302">
        <w:t xml:space="preserve">reauthorize the PIR Program for another five-year period under the same processes, terms, and conditions that were adopted for the </w:t>
      </w:r>
      <w:r w:rsidR="00B21F46">
        <w:t>p</w:t>
      </w:r>
      <w:r w:rsidRPr="00317302" w:rsidR="00317302">
        <w:t xml:space="preserve">rogram in Case No. 15-362-GA-ALT </w:t>
      </w:r>
      <w:r>
        <w:t>(Dominion’s most recent PIR renewal case).</w:t>
      </w:r>
      <w:r>
        <w:rPr>
          <w:rStyle w:val="FootnoteReference"/>
        </w:rPr>
        <w:footnoteReference w:id="34"/>
      </w:r>
      <w:r>
        <w:t xml:space="preserve"> </w:t>
      </w:r>
      <w:r w:rsidR="00C063C9">
        <w:t xml:space="preserve">Dominion asks for </w:t>
      </w:r>
      <w:r>
        <w:t>a continuation of the</w:t>
      </w:r>
      <w:r w:rsidRPr="00317302" w:rsidR="00317302">
        <w:t xml:space="preserve"> three percent per year growth in the annual PIR investment and a corresponding increase to the PIR rate increase caps</w:t>
      </w:r>
      <w:r>
        <w:t xml:space="preserve"> that was approved in the </w:t>
      </w:r>
      <w:r w:rsidR="00C063C9">
        <w:t>utility’s previous case</w:t>
      </w:r>
      <w:r>
        <w:t>.</w:t>
      </w:r>
      <w:r>
        <w:rPr>
          <w:rStyle w:val="FootnoteReference"/>
        </w:rPr>
        <w:footnoteReference w:id="35"/>
      </w:r>
      <w:r>
        <w:t xml:space="preserve"> </w:t>
      </w:r>
      <w:r w:rsidR="00C063C9">
        <w:t>Staff</w:t>
      </w:r>
      <w:r>
        <w:t xml:space="preserve"> </w:t>
      </w:r>
      <w:r>
        <w:t>recommends approving these utility requests.</w:t>
      </w:r>
      <w:r>
        <w:rPr>
          <w:rStyle w:val="FootnoteReference"/>
        </w:rPr>
        <w:footnoteReference w:id="36"/>
      </w:r>
      <w:r>
        <w:t xml:space="preserve"> </w:t>
      </w:r>
    </w:p>
    <w:p w:rsidR="001C315F" w:rsidP="00D4185C" w14:paraId="1943D56C" w14:textId="390FBE2F">
      <w:pPr>
        <w:pStyle w:val="BodyTextIndent3"/>
        <w:spacing w:line="480" w:lineRule="auto"/>
      </w:pPr>
      <w:r>
        <w:t xml:space="preserve">However, Staff fails to note that Dominion provided </w:t>
      </w:r>
      <w:r w:rsidR="00B21F46">
        <w:t xml:space="preserve">no </w:t>
      </w:r>
      <w:r>
        <w:t xml:space="preserve">specific reasons and associate rationales for the increased PIR Rider investments and related PIR Rider increases that were ultimately approved in the </w:t>
      </w:r>
      <w:r w:rsidR="007F2D23">
        <w:t>utility’s previous case</w:t>
      </w:r>
      <w:r>
        <w:t>.</w:t>
      </w:r>
      <w:r>
        <w:rPr>
          <w:rStyle w:val="FootnoteReference"/>
        </w:rPr>
        <w:footnoteReference w:id="37"/>
      </w:r>
      <w:r w:rsidR="00CB2155">
        <w:t xml:space="preserve"> </w:t>
      </w:r>
      <w:r>
        <w:t xml:space="preserve">In that case, </w:t>
      </w:r>
      <w:r w:rsidR="001D5688">
        <w:t xml:space="preserve">the PUCO noted that </w:t>
      </w:r>
      <w:r>
        <w:t xml:space="preserve">Dominion </w:t>
      </w:r>
      <w:r w:rsidR="001D5688">
        <w:t>identified: (1) a switch from most pipeline replacements in rural areas to most pipeline replacements in urban areas</w:t>
      </w:r>
      <w:r w:rsidR="005D1D76">
        <w:t>,</w:t>
      </w:r>
      <w:r w:rsidR="001D5688">
        <w:t xml:space="preserve"> (2) certain municipalities not permitting replacement of dual mainlines with single mainlines</w:t>
      </w:r>
      <w:r w:rsidR="005D1D76">
        <w:t>,</w:t>
      </w:r>
      <w:r w:rsidR="001D5688">
        <w:t xml:space="preserve"> (3) increasing environmental protection and permitting requirements</w:t>
      </w:r>
      <w:r w:rsidR="005D1D76">
        <w:t>,</w:t>
      </w:r>
      <w:r w:rsidR="001D5688">
        <w:t xml:space="preserve"> and (4) </w:t>
      </w:r>
      <w:r w:rsidR="00C64C85">
        <w:t>increased demand for contractor resources.</w:t>
      </w:r>
      <w:r>
        <w:rPr>
          <w:rStyle w:val="FootnoteReference"/>
        </w:rPr>
        <w:footnoteReference w:id="38"/>
      </w:r>
      <w:r w:rsidR="00CB2155">
        <w:t xml:space="preserve"> </w:t>
      </w:r>
      <w:r w:rsidR="00C64C85">
        <w:t xml:space="preserve">Staff fails to recognize that Dominion did not include any similar rationale in support of its proposed three percent annual PIR investment increases in this case. </w:t>
      </w:r>
    </w:p>
    <w:p w:rsidR="00C64C85" w:rsidP="00D4185C" w14:paraId="05C70EEB" w14:textId="38BB3D11">
      <w:pPr>
        <w:pStyle w:val="BodyTextIndent3"/>
        <w:spacing w:line="480" w:lineRule="auto"/>
      </w:pPr>
      <w:r>
        <w:t xml:space="preserve">The PUCO approved the substantial increases in PIR investments and resulting increases in the PIR Rider caps that Dominion requested in Case No. 15-362-GA-RDR. And the increased capital investments approved in that case are still being collected in the PIR Rider rates that customers are paying and will continue to pay. </w:t>
      </w:r>
      <w:r w:rsidR="00CB2155">
        <w:t>So,</w:t>
      </w:r>
      <w:r>
        <w:t xml:space="preserve"> in effect, the drivers behind </w:t>
      </w:r>
      <w:r w:rsidR="009F3C8A">
        <w:t xml:space="preserve">the PIR investment and Rider </w:t>
      </w:r>
      <w:r w:rsidR="00F93774">
        <w:t xml:space="preserve">cost </w:t>
      </w:r>
      <w:r w:rsidR="009F3C8A">
        <w:t>increase</w:t>
      </w:r>
      <w:r w:rsidR="00F93774">
        <w:t>s</w:t>
      </w:r>
      <w:r w:rsidR="009F3C8A">
        <w:t xml:space="preserve"> from the 15-362 case are already “baked into” the PIR Rider and are already being collected. Dominion offers no support for the PIR investment and related PIR Rider rate cap increases requested in this case. </w:t>
      </w:r>
      <w:r w:rsidR="00AE7A26">
        <w:t>T</w:t>
      </w:r>
      <w:r w:rsidR="009F3C8A">
        <w:t xml:space="preserve">he PUCO Staff didn’t require any </w:t>
      </w:r>
      <w:r w:rsidR="00AE7A26">
        <w:t xml:space="preserve">specific rationale </w:t>
      </w:r>
      <w:r w:rsidR="009F3C8A">
        <w:t>prior to recommending approval of the increases, but it should have.</w:t>
      </w:r>
    </w:p>
    <w:p w:rsidR="00B652E1" w:rsidP="00B40CED" w14:paraId="433402B4" w14:textId="34F57E43">
      <w:pPr>
        <w:pStyle w:val="Heading2"/>
        <w:spacing w:after="0"/>
        <w:ind w:left="2160" w:hanging="1440"/>
      </w:pPr>
      <w:bookmarkStart w:id="13" w:name="_Toc42694221"/>
      <w:bookmarkStart w:id="14" w:name="_Toc71126535"/>
      <w:r>
        <w:t xml:space="preserve">Objection </w:t>
      </w:r>
      <w:r w:rsidR="00317302">
        <w:t>5</w:t>
      </w:r>
      <w:r>
        <w:t>.</w:t>
      </w:r>
      <w:r w:rsidR="004F5BDC">
        <w:tab/>
      </w:r>
      <w:bookmarkEnd w:id="13"/>
      <w:r w:rsidR="001C46B3">
        <w:t>The PUCO Staff should not have recommended modifying the review schedule for annual PIR Rider applications without first knowing the cost of such a schedule change and the impact on consumers.</w:t>
      </w:r>
      <w:bookmarkEnd w:id="14"/>
    </w:p>
    <w:p w:rsidR="00FE6451" w:rsidRPr="00FE6451" w:rsidP="00FE6451" w14:paraId="1C10EA6C" w14:textId="77777777"/>
    <w:p w:rsidR="001C46B3" w:rsidP="00B40CED" w14:paraId="5E5E47AE" w14:textId="53D26F1E">
      <w:pPr>
        <w:pStyle w:val="BodyTextIndent3"/>
        <w:spacing w:line="480" w:lineRule="auto"/>
      </w:pPr>
      <w:r>
        <w:t xml:space="preserve">OCC </w:t>
      </w:r>
      <w:r w:rsidR="00B21F46">
        <w:t xml:space="preserve">generally </w:t>
      </w:r>
      <w:r>
        <w:t xml:space="preserve">supports the PUCO </w:t>
      </w:r>
      <w:r w:rsidR="005229A8">
        <w:t xml:space="preserve">Staff </w:t>
      </w:r>
      <w:r>
        <w:t xml:space="preserve">recommendation to modify the </w:t>
      </w:r>
      <w:r w:rsidR="005229A8">
        <w:t xml:space="preserve">review schedule for </w:t>
      </w:r>
      <w:r w:rsidR="00B21F46">
        <w:t xml:space="preserve">Dominion’s </w:t>
      </w:r>
      <w:r w:rsidR="005229A8">
        <w:t xml:space="preserve">PIR Rider applications to be consistent with the schedule used to review </w:t>
      </w:r>
      <w:r w:rsidR="00DC2988">
        <w:t>Vectren’s</w:t>
      </w:r>
      <w:r w:rsidR="005229A8">
        <w:t xml:space="preserve"> annual DRR applications if the schedule change will assist PUCO Staff in conducting an in-depth </w:t>
      </w:r>
      <w:r w:rsidR="00B21F46">
        <w:t>r</w:t>
      </w:r>
      <w:r w:rsidR="005229A8">
        <w:t>eview of Dominion’s annual applications.</w:t>
      </w:r>
      <w:r>
        <w:rPr>
          <w:rStyle w:val="FootnoteReference"/>
        </w:rPr>
        <w:footnoteReference w:id="39"/>
      </w:r>
      <w:r w:rsidR="00CB2155">
        <w:t xml:space="preserve"> </w:t>
      </w:r>
      <w:r w:rsidR="005229A8">
        <w:t xml:space="preserve">However, </w:t>
      </w:r>
      <w:r w:rsidR="00DC2988">
        <w:t>the Staff’s</w:t>
      </w:r>
      <w:r w:rsidR="005229A8">
        <w:t xml:space="preserve"> recommendation does not include any estimates of the costs or consumer rate impacts that the schedule change might have.</w:t>
      </w:r>
      <w:r w:rsidR="00CB2155">
        <w:t xml:space="preserve"> </w:t>
      </w:r>
      <w:r w:rsidR="005229A8">
        <w:t>Therefore, OCC objects to the recommendation</w:t>
      </w:r>
      <w:r w:rsidR="00DC2988">
        <w:t xml:space="preserve"> at this time.</w:t>
      </w:r>
      <w:r w:rsidR="005229A8">
        <w:t xml:space="preserve"> OCC will revisit its objection when and if the cost impact to Dominion’s residential c</w:t>
      </w:r>
      <w:r w:rsidR="00D1792F">
        <w:t>ustomers</w:t>
      </w:r>
      <w:r w:rsidR="005229A8">
        <w:t xml:space="preserve"> is known and verified.</w:t>
      </w:r>
      <w:r w:rsidR="00CB2155">
        <w:t xml:space="preserve"> </w:t>
      </w:r>
      <w:r w:rsidR="005229A8">
        <w:t>If the costs to consumers is marginal, then OCC will likely support Staff’s recommendation.</w:t>
      </w:r>
      <w:r w:rsidR="00CB2155">
        <w:t xml:space="preserve"> </w:t>
      </w:r>
      <w:r w:rsidR="005229A8">
        <w:t xml:space="preserve">However, if the costs to consumers is </w:t>
      </w:r>
      <w:r w:rsidR="00DC2988">
        <w:t>substantial,</w:t>
      </w:r>
      <w:r w:rsidR="005229A8">
        <w:t xml:space="preserve"> then the benefits of the schedule change would likely be outweighed by the costs</w:t>
      </w:r>
      <w:r w:rsidR="00DC2988">
        <w:t>,</w:t>
      </w:r>
      <w:r w:rsidR="005229A8">
        <w:t xml:space="preserve"> and the </w:t>
      </w:r>
      <w:r w:rsidR="00F517BD">
        <w:t>recommendations should be rejected.</w:t>
      </w:r>
      <w:r w:rsidR="00CB2155">
        <w:t xml:space="preserve"> </w:t>
      </w:r>
    </w:p>
    <w:p w:rsidR="00FD0673" w:rsidP="00E41E2A" w14:paraId="0973DF01" w14:textId="1363E958">
      <w:pPr>
        <w:pStyle w:val="Heading2"/>
        <w:ind w:left="2160" w:hanging="1440"/>
      </w:pPr>
      <w:bookmarkStart w:id="15" w:name="_Toc42694222"/>
      <w:bookmarkStart w:id="16" w:name="_Toc71126536"/>
      <w:r>
        <w:t xml:space="preserve">Objection </w:t>
      </w:r>
      <w:r w:rsidR="00317302">
        <w:t>6</w:t>
      </w:r>
      <w:r w:rsidR="0069402D">
        <w:t>.</w:t>
      </w:r>
      <w:r w:rsidR="00E41E2A">
        <w:tab/>
      </w:r>
      <w:r w:rsidR="00F517BD">
        <w:t>OCC supports PUCO Staff’s view that the PIR Program should be completed in 2033 as originally</w:t>
      </w:r>
      <w:bookmarkEnd w:id="15"/>
      <w:r w:rsidR="00F517BD">
        <w:t xml:space="preserve"> proposed.</w:t>
      </w:r>
      <w:r w:rsidR="00CB2155">
        <w:t xml:space="preserve"> </w:t>
      </w:r>
      <w:r w:rsidR="00F517BD">
        <w:t xml:space="preserve">However, if completion of the Program in 2033 </w:t>
      </w:r>
      <w:r w:rsidR="009D5E20">
        <w:t>means</w:t>
      </w:r>
      <w:r w:rsidR="00F517BD">
        <w:t xml:space="preserve"> large increases in </w:t>
      </w:r>
      <w:r w:rsidR="009D5E20">
        <w:t xml:space="preserve">annual PIR capital investments and corresponding large increases in annual PIR Rider rates, then </w:t>
      </w:r>
      <w:r w:rsidR="00F517BD">
        <w:t xml:space="preserve">OCC does not support </w:t>
      </w:r>
      <w:r w:rsidR="009D5E20">
        <w:t>the recommendation.</w:t>
      </w:r>
      <w:bookmarkEnd w:id="16"/>
    </w:p>
    <w:p w:rsidR="005934DE" w:rsidP="00D4185C" w14:paraId="7947ABE2" w14:textId="37F324D8">
      <w:pPr>
        <w:pStyle w:val="BodyTextIndent3"/>
        <w:spacing w:line="480" w:lineRule="auto"/>
      </w:pPr>
      <w:r>
        <w:t xml:space="preserve">The PIR Program was originally </w:t>
      </w:r>
      <w:r w:rsidR="005D1D76">
        <w:t>proposed</w:t>
      </w:r>
      <w:r>
        <w:t xml:space="preserve"> and adopted as a 25-year Program, commencing in 2008.</w:t>
      </w:r>
      <w:r w:rsidR="00CB2155">
        <w:t xml:space="preserve"> </w:t>
      </w:r>
      <w:r>
        <w:t>If the Program stays on schedule, then it should be complete in 2033.</w:t>
      </w:r>
      <w:r w:rsidR="00CB2155">
        <w:t xml:space="preserve"> </w:t>
      </w:r>
      <w:r>
        <w:t xml:space="preserve">The Program has now been in place for </w:t>
      </w:r>
      <w:r w:rsidR="003E2666">
        <w:t xml:space="preserve">13 years and </w:t>
      </w:r>
      <w:r>
        <w:t>Dominion has been in control of the schedule, pace, and over</w:t>
      </w:r>
      <w:r w:rsidR="003E2666">
        <w:t xml:space="preserve">sight of the </w:t>
      </w:r>
      <w:r>
        <w:t xml:space="preserve">Program </w:t>
      </w:r>
      <w:r w:rsidR="003E2666">
        <w:t>the entire time.</w:t>
      </w:r>
      <w:r w:rsidR="00CB2155">
        <w:t xml:space="preserve"> </w:t>
      </w:r>
    </w:p>
    <w:p w:rsidR="00867587" w:rsidP="00D4185C" w14:paraId="686A879C" w14:textId="6135110D">
      <w:pPr>
        <w:pStyle w:val="BodyTextIndent3"/>
        <w:spacing w:line="480" w:lineRule="auto"/>
      </w:pPr>
      <w:r>
        <w:t>In the Staff Report, PUCO Staff expresses what it describes as a “significant concern”</w:t>
      </w:r>
      <w:r>
        <w:rPr>
          <w:rStyle w:val="FootnoteReference"/>
        </w:rPr>
        <w:footnoteReference w:id="40"/>
      </w:r>
      <w:r>
        <w:t xml:space="preserve"> regarding whether Dominion will be able to complete the PIR Program in 2033 as originally scheduled</w:t>
      </w:r>
      <w:r w:rsidR="00A03464">
        <w:t>.</w:t>
      </w:r>
      <w:r w:rsidR="00CB2155">
        <w:t xml:space="preserve"> </w:t>
      </w:r>
      <w:r>
        <w:t xml:space="preserve">As a result, </w:t>
      </w:r>
      <w:r>
        <w:t xml:space="preserve">Staff </w:t>
      </w:r>
      <w:r>
        <w:t xml:space="preserve">recommends that the PUCO direct Dominion to continue to use its </w:t>
      </w:r>
      <w:r w:rsidR="00D1792F">
        <w:t>“</w:t>
      </w:r>
      <w:r>
        <w:t>best efforts</w:t>
      </w:r>
      <w:r w:rsidR="00D1792F">
        <w:t>”</w:t>
      </w:r>
      <w:r>
        <w:t xml:space="preserve"> to replace all target</w:t>
      </w:r>
      <w:r w:rsidR="006401BD">
        <w:t xml:space="preserve"> pipe</w:t>
      </w:r>
      <w:r>
        <w:t xml:space="preserve"> (i.e., bare steel, cast-iron, ineffectively coated steel, and other metallic pipe </w:t>
      </w:r>
      <w:r w:rsidR="006401BD">
        <w:t>included in the scope of the Program) by 2033.</w:t>
      </w:r>
      <w:r>
        <w:rPr>
          <w:rStyle w:val="FootnoteReference"/>
        </w:rPr>
        <w:footnoteReference w:id="41"/>
      </w:r>
      <w:r w:rsidR="00CB2155">
        <w:t xml:space="preserve"> </w:t>
      </w:r>
    </w:p>
    <w:p w:rsidR="00867587" w:rsidP="00D4185C" w14:paraId="7B3FC521" w14:textId="3A12DBB8">
      <w:pPr>
        <w:pStyle w:val="BodyTextIndent3"/>
        <w:spacing w:line="480" w:lineRule="auto"/>
      </w:pPr>
      <w:r>
        <w:t>OCC does not support</w:t>
      </w:r>
      <w:r w:rsidR="006401BD">
        <w:t xml:space="preserve"> this </w:t>
      </w:r>
      <w:r>
        <w:t xml:space="preserve">PUCO Staff </w:t>
      </w:r>
      <w:r w:rsidR="006401BD">
        <w:t xml:space="preserve">recommendation </w:t>
      </w:r>
      <w:r>
        <w:t>if it will result in</w:t>
      </w:r>
      <w:r w:rsidR="006401BD">
        <w:t xml:space="preserve"> massive increases in Dominion’s annual PIR investments in the future (2027 through 2033)</w:t>
      </w:r>
      <w:r w:rsidR="00107F97">
        <w:t>.</w:t>
      </w:r>
      <w:r w:rsidR="00CB2155">
        <w:t xml:space="preserve"> </w:t>
      </w:r>
      <w:r w:rsidR="00107F97">
        <w:t>As OCC has pointed out in prior PIR Program reauthorization cases,</w:t>
      </w:r>
      <w:r>
        <w:rPr>
          <w:rStyle w:val="FootnoteReference"/>
        </w:rPr>
        <w:footnoteReference w:id="42"/>
      </w:r>
      <w:r w:rsidR="00107F97">
        <w:t xml:space="preserve"> the original 25-year period to complete the Program was not tied to any specific Pipeline and Hazardous Materials Safety Administration (“PHMSA”) requirements or deadlines to remove target pipe or to any particular engineering requirements or impediments.</w:t>
      </w:r>
      <w:r w:rsidR="00CB2155">
        <w:t xml:space="preserve"> </w:t>
      </w:r>
      <w:r w:rsidR="009B4B7B">
        <w:t xml:space="preserve">Dominion’s </w:t>
      </w:r>
      <w:r w:rsidR="00107F97">
        <w:t xml:space="preserve">25-year </w:t>
      </w:r>
      <w:r w:rsidR="009B4B7B">
        <w:t xml:space="preserve">PIR </w:t>
      </w:r>
      <w:r w:rsidR="00107F97">
        <w:t xml:space="preserve">Program </w:t>
      </w:r>
      <w:r w:rsidR="005934DE">
        <w:t xml:space="preserve">resulted from annual replacement mileage targets that </w:t>
      </w:r>
      <w:r w:rsidR="00107F97">
        <w:t xml:space="preserve">Dominion </w:t>
      </w:r>
      <w:r w:rsidR="005934DE">
        <w:t xml:space="preserve">claimed that it could reasonably meet and manage. </w:t>
      </w:r>
    </w:p>
    <w:p w:rsidR="004F39F9" w:rsidP="00D4185C" w14:paraId="5785E908" w14:textId="5BE54168">
      <w:pPr>
        <w:pStyle w:val="BodyTextIndent3"/>
        <w:spacing w:line="480" w:lineRule="auto"/>
      </w:pPr>
      <w:r>
        <w:t xml:space="preserve">It has been </w:t>
      </w:r>
      <w:r w:rsidR="007F1B6C">
        <w:t xml:space="preserve">and continues to be </w:t>
      </w:r>
      <w:r>
        <w:t xml:space="preserve">Dominion’s responsibility to manage the annual pipeline </w:t>
      </w:r>
      <w:r w:rsidRPr="004F39F9">
        <w:t>replacement</w:t>
      </w:r>
      <w:r>
        <w:t>. If the PIR Program replacements are behind schedule, then the responsibility is Dominion’s.</w:t>
      </w:r>
      <w:r w:rsidR="00CB2155">
        <w:t xml:space="preserve"> </w:t>
      </w:r>
      <w:r>
        <w:t xml:space="preserve">Customers should not be saddled with </w:t>
      </w:r>
      <w:r w:rsidR="00762661">
        <w:t xml:space="preserve">a </w:t>
      </w:r>
      <w:r>
        <w:t xml:space="preserve">very large PIR Rider increase in the </w:t>
      </w:r>
      <w:r w:rsidR="00A03464">
        <w:t>p</w:t>
      </w:r>
      <w:r>
        <w:t>rogram’s latter years. Instead, if the PIR Program continues, Dominion should continue to make PIR capital investments at a pace that is comparable to its past investments.</w:t>
      </w:r>
      <w:r w:rsidR="00CB2155">
        <w:t xml:space="preserve"> </w:t>
      </w:r>
      <w:r>
        <w:t xml:space="preserve">And </w:t>
      </w:r>
      <w:r w:rsidR="00867587">
        <w:t xml:space="preserve">if </w:t>
      </w:r>
      <w:r>
        <w:t xml:space="preserve">in 2033 the </w:t>
      </w:r>
      <w:r w:rsidR="00A03464">
        <w:t>p</w:t>
      </w:r>
      <w:r>
        <w:t xml:space="preserve">rogram is not completed, the PUCO should not permit Dominion to include any PIR investment made after </w:t>
      </w:r>
      <w:r w:rsidR="00867587">
        <w:t>that year</w:t>
      </w:r>
      <w:r>
        <w:t xml:space="preserve"> in the PIR Rider. Any prudent and necessary PIR investments after 2033 should be eligible for collect</w:t>
      </w:r>
      <w:r w:rsidR="00D1792F">
        <w:t>ion</w:t>
      </w:r>
      <w:r>
        <w:t xml:space="preserve"> in a base rate case held after 2033.</w:t>
      </w:r>
    </w:p>
    <w:p w:rsidR="00F517BD" w:rsidP="00D4185C" w14:paraId="14F04543" w14:textId="15A1C826">
      <w:pPr>
        <w:pStyle w:val="BodyTextIndent3"/>
        <w:spacing w:line="480" w:lineRule="auto"/>
      </w:pPr>
      <w:r>
        <w:t xml:space="preserve">OCC agrees with Staff’s </w:t>
      </w:r>
      <w:r w:rsidR="005D1D76">
        <w:t xml:space="preserve">belief </w:t>
      </w:r>
      <w:r>
        <w:t>that the PIR Program should end in 2033 as originally called for.</w:t>
      </w:r>
      <w:r>
        <w:rPr>
          <w:rStyle w:val="FootnoteReference"/>
        </w:rPr>
        <w:footnoteReference w:id="43"/>
      </w:r>
      <w:r>
        <w:t xml:space="preserve"> However, Dominion should not be permitted to make massive CEP investments in the last few years of the Program in order to make up for lost time on a schedule that </w:t>
      </w:r>
      <w:r w:rsidR="00762661">
        <w:t>the utility</w:t>
      </w:r>
      <w:r>
        <w:t xml:space="preserve"> recommended and maintained control over throughout the </w:t>
      </w:r>
      <w:r w:rsidR="00F93774">
        <w:t xml:space="preserve">term of the </w:t>
      </w:r>
      <w:r w:rsidR="00466E16">
        <w:t>p</w:t>
      </w:r>
      <w:r>
        <w:t xml:space="preserve">rogram. Customers should not be saddled with large increases to the PIR Rider because Dominion fell behind on </w:t>
      </w:r>
      <w:r w:rsidR="00E966EF">
        <w:t>pipeline infrastructure</w:t>
      </w:r>
      <w:r w:rsidR="00C00FB6">
        <w:t xml:space="preserve"> </w:t>
      </w:r>
      <w:r>
        <w:t>replacements that it controlled.</w:t>
      </w:r>
    </w:p>
    <w:p w:rsidR="00CB5D16" w:rsidP="00D4185C" w14:paraId="4120C98C" w14:textId="77777777">
      <w:pPr>
        <w:pStyle w:val="BodyTextIndent3"/>
        <w:spacing w:line="240" w:lineRule="auto"/>
      </w:pPr>
    </w:p>
    <w:p w:rsidR="000520C5" w:rsidRPr="00690416" w:rsidP="008E2499" w14:paraId="21E0E7C9" w14:textId="77777777">
      <w:pPr>
        <w:pStyle w:val="Heading1"/>
      </w:pPr>
      <w:bookmarkStart w:id="17" w:name="_Toc42694224"/>
      <w:bookmarkStart w:id="18" w:name="_Toc71126537"/>
      <w:r>
        <w:t>I</w:t>
      </w:r>
      <w:r w:rsidR="006C2EF7">
        <w:t>I</w:t>
      </w:r>
      <w:r>
        <w:t>I.</w:t>
      </w:r>
      <w:r>
        <w:tab/>
        <w:t>CONCLUSION</w:t>
      </w:r>
      <w:bookmarkEnd w:id="17"/>
      <w:bookmarkEnd w:id="18"/>
    </w:p>
    <w:p w:rsidR="00A03464" w:rsidP="00A03464" w14:paraId="363411DB" w14:textId="77777777">
      <w:pPr>
        <w:pStyle w:val="BodyTextIndent3"/>
        <w:spacing w:line="480" w:lineRule="auto"/>
      </w:pPr>
      <w:r>
        <w:t>Dominion</w:t>
      </w:r>
      <w:r w:rsidR="00867587">
        <w:t>’s</w:t>
      </w:r>
      <w:r>
        <w:t xml:space="preserve"> third renewal of the PIR Program could end up adding nearly $106 per year to residential customers</w:t>
      </w:r>
      <w:r w:rsidR="002336D5">
        <w:t>’ bills through 2026 on top of the nearly $180 per year that they already paying through the PIR Rider.</w:t>
      </w:r>
      <w:r w:rsidR="00CB2155">
        <w:t xml:space="preserve"> </w:t>
      </w:r>
      <w:r w:rsidR="002336D5">
        <w:t xml:space="preserve">Dominion made its request through a single-issue alternative regulation case that deprives customers of a </w:t>
      </w:r>
      <w:r w:rsidR="00867587">
        <w:t xml:space="preserve">distribution </w:t>
      </w:r>
      <w:r w:rsidR="002336D5">
        <w:t xml:space="preserve">base rate case where all factors </w:t>
      </w:r>
      <w:r w:rsidR="007E4EF0">
        <w:t xml:space="preserve">are taken into consideration </w:t>
      </w:r>
      <w:r w:rsidR="002336D5">
        <w:t>that affect the rates that Dominion charges c</w:t>
      </w:r>
      <w:r w:rsidR="003E700C">
        <w:t>onsumers.</w:t>
      </w:r>
      <w:r w:rsidR="00CB2155">
        <w:t xml:space="preserve"> </w:t>
      </w:r>
      <w:r w:rsidR="002336D5">
        <w:t>And Dominion proposes to continue to use its outdated and inflated rate of return to set PIR Rider rates, which will end up costing its customers millions of dollars for absolutely nothing in return.</w:t>
      </w:r>
      <w:r w:rsidR="00CB2155">
        <w:t xml:space="preserve"> </w:t>
      </w:r>
      <w:r w:rsidR="00173A56">
        <w:t xml:space="preserve">To protect consumers from </w:t>
      </w:r>
      <w:r w:rsidR="002336D5">
        <w:t xml:space="preserve">continuing to </w:t>
      </w:r>
      <w:r w:rsidR="00173A56">
        <w:t xml:space="preserve">pay </w:t>
      </w:r>
      <w:r w:rsidR="002336D5">
        <w:t xml:space="preserve">unjust and </w:t>
      </w:r>
      <w:r w:rsidR="00173A56">
        <w:t xml:space="preserve">unreasonable rates under Dominion’s </w:t>
      </w:r>
      <w:r w:rsidR="002336D5">
        <w:t>PIR Rider through 2026</w:t>
      </w:r>
      <w:r w:rsidR="00173A56">
        <w:t>, the PUCO should adopt OCC’s consumer</w:t>
      </w:r>
      <w:r w:rsidR="00867587">
        <w:t xml:space="preserve"> </w:t>
      </w:r>
      <w:r w:rsidR="00173A56">
        <w:t>protection objections.</w:t>
      </w:r>
    </w:p>
    <w:p w:rsidR="00082BD3" w:rsidP="00A03464" w14:paraId="18E5AF6C" w14:textId="77777777">
      <w:pPr>
        <w:pStyle w:val="BodyTextIndent3"/>
        <w:spacing w:line="480" w:lineRule="auto"/>
        <w:ind w:left="3600"/>
        <w:rPr>
          <w:szCs w:val="24"/>
        </w:rPr>
      </w:pPr>
    </w:p>
    <w:p w:rsidR="00CB2155" w:rsidP="00A03464" w14:paraId="1EA225A2" w14:textId="391FED77">
      <w:pPr>
        <w:pStyle w:val="BodyTextIndent3"/>
        <w:spacing w:line="480" w:lineRule="auto"/>
        <w:ind w:left="3600"/>
        <w:rPr>
          <w:szCs w:val="24"/>
        </w:rPr>
      </w:pPr>
      <w:r>
        <w:rPr>
          <w:szCs w:val="24"/>
        </w:rPr>
        <w:t>Respectfully submitted,</w:t>
      </w:r>
    </w:p>
    <w:p w:rsidR="00CB2155" w:rsidP="00CB2155" w14:paraId="4D8A7884" w14:textId="7356975E">
      <w:pPr>
        <w:pStyle w:val="BodyTextIndent3"/>
        <w:widowControl w:val="0"/>
        <w:spacing w:line="240" w:lineRule="auto"/>
        <w:ind w:left="3600" w:right="-672"/>
        <w:rPr>
          <w:szCs w:val="24"/>
        </w:rPr>
      </w:pPr>
      <w:r>
        <w:rPr>
          <w:szCs w:val="24"/>
        </w:rPr>
        <w:t>Bruce Weston (0016973)</w:t>
      </w:r>
    </w:p>
    <w:p w:rsidR="00CB2155" w:rsidP="00CB2155" w14:paraId="543E306D" w14:textId="77777777">
      <w:pPr>
        <w:tabs>
          <w:tab w:val="left" w:pos="4320"/>
        </w:tabs>
        <w:rPr>
          <w:szCs w:val="24"/>
        </w:rPr>
      </w:pPr>
      <w:r>
        <w:rPr>
          <w:szCs w:val="24"/>
        </w:rPr>
        <w:tab/>
        <w:t>Ohio Consumers’ Counsel</w:t>
      </w:r>
    </w:p>
    <w:p w:rsidR="00CB2155" w:rsidP="00CB2155" w14:paraId="70D4A295" w14:textId="77777777">
      <w:pPr>
        <w:tabs>
          <w:tab w:val="left" w:pos="4320"/>
        </w:tabs>
        <w:rPr>
          <w:szCs w:val="24"/>
        </w:rPr>
      </w:pPr>
      <w:r>
        <w:rPr>
          <w:szCs w:val="24"/>
        </w:rPr>
        <w:tab/>
      </w:r>
    </w:p>
    <w:p w:rsidR="00CB2155" w:rsidRPr="00E567EE" w:rsidP="00CB2155" w14:paraId="286E17EE" w14:textId="77777777">
      <w:pPr>
        <w:tabs>
          <w:tab w:val="left" w:pos="4320"/>
        </w:tabs>
        <w:rPr>
          <w:i/>
          <w:iCs/>
          <w:szCs w:val="24"/>
          <w:u w:val="single"/>
        </w:rPr>
      </w:pPr>
      <w:r>
        <w:rPr>
          <w:szCs w:val="24"/>
        </w:rPr>
        <w:tab/>
      </w:r>
      <w:r>
        <w:rPr>
          <w:i/>
          <w:iCs/>
          <w:szCs w:val="24"/>
          <w:u w:val="single"/>
        </w:rPr>
        <w:t>/s/ Amy Botschner O’Brien</w:t>
      </w:r>
    </w:p>
    <w:p w:rsidR="00CB2155" w:rsidP="00CB2155" w14:paraId="2298CB39" w14:textId="77777777">
      <w:pPr>
        <w:tabs>
          <w:tab w:val="left" w:pos="4320"/>
        </w:tabs>
        <w:rPr>
          <w:szCs w:val="24"/>
        </w:rPr>
      </w:pPr>
      <w:r>
        <w:rPr>
          <w:szCs w:val="24"/>
        </w:rPr>
        <w:tab/>
        <w:t>Amy Botschner O’Brien (0074423)</w:t>
      </w:r>
    </w:p>
    <w:p w:rsidR="00CB2155" w:rsidP="00CB2155" w14:paraId="5AB9014D" w14:textId="77777777">
      <w:pPr>
        <w:tabs>
          <w:tab w:val="left" w:pos="4320"/>
        </w:tabs>
        <w:ind w:firstLine="4320"/>
        <w:rPr>
          <w:szCs w:val="24"/>
        </w:rPr>
      </w:pPr>
      <w:r>
        <w:rPr>
          <w:szCs w:val="24"/>
        </w:rPr>
        <w:t>Counsel of Record</w:t>
      </w:r>
    </w:p>
    <w:p w:rsidR="00CB2155" w:rsidRPr="004C3EBD" w:rsidP="00CB2155" w14:paraId="0673DEA3" w14:textId="77777777">
      <w:pPr>
        <w:tabs>
          <w:tab w:val="left" w:pos="4320"/>
        </w:tabs>
        <w:ind w:left="4320"/>
        <w:jc w:val="both"/>
      </w:pPr>
      <w:r w:rsidRPr="004C3EBD">
        <w:t>Ambrosia E. Wilson (0096598)</w:t>
      </w:r>
    </w:p>
    <w:p w:rsidR="00CB2155" w:rsidP="00CB2155" w14:paraId="2630C9C4" w14:textId="77777777">
      <w:pPr>
        <w:tabs>
          <w:tab w:val="left" w:pos="4320"/>
        </w:tabs>
        <w:rPr>
          <w:szCs w:val="24"/>
        </w:rPr>
      </w:pPr>
      <w:r>
        <w:rPr>
          <w:szCs w:val="24"/>
        </w:rPr>
        <w:tab/>
        <w:t>Assistant Consumers’ Counsel</w:t>
      </w:r>
    </w:p>
    <w:p w:rsidR="00CB2155" w:rsidRPr="00267856" w:rsidP="00CB2155" w14:paraId="38B920AC" w14:textId="77777777">
      <w:pPr>
        <w:rPr>
          <w:b/>
          <w:bCs/>
        </w:rPr>
      </w:pPr>
      <w:r>
        <w:tab/>
      </w:r>
      <w:r>
        <w:tab/>
      </w:r>
      <w:r>
        <w:tab/>
      </w:r>
      <w:r>
        <w:tab/>
      </w:r>
      <w:r>
        <w:tab/>
      </w:r>
      <w:r>
        <w:tab/>
      </w:r>
      <w:r w:rsidRPr="00267856">
        <w:rPr>
          <w:b/>
          <w:bCs/>
        </w:rPr>
        <w:t>Office of the Ohio Consumers’ Counsel</w:t>
      </w:r>
    </w:p>
    <w:p w:rsidR="00CB2155" w:rsidP="00CB2155" w14:paraId="3127305D" w14:textId="77777777">
      <w:pPr>
        <w:ind w:left="4320"/>
        <w:rPr>
          <w:b/>
        </w:rPr>
      </w:pPr>
      <w:r>
        <w:t>65 East State Street, 7th Floor</w:t>
      </w:r>
    </w:p>
    <w:p w:rsidR="00CB2155" w:rsidP="00CB2155" w14:paraId="47773D5F" w14:textId="77777777">
      <w:pPr>
        <w:ind w:left="4320"/>
        <w:rPr>
          <w:b/>
        </w:rPr>
      </w:pPr>
      <w:r>
        <w:t>Columbus, Ohio 43215-4213</w:t>
      </w:r>
    </w:p>
    <w:p w:rsidR="00CB2155" w:rsidP="00CB2155" w14:paraId="447A3A55" w14:textId="77777777">
      <w:pPr>
        <w:autoSpaceDE w:val="0"/>
        <w:autoSpaceDN w:val="0"/>
        <w:adjustRightInd w:val="0"/>
        <w:ind w:left="3600" w:firstLine="720"/>
        <w:rPr>
          <w:szCs w:val="24"/>
        </w:rPr>
      </w:pPr>
      <w:r>
        <w:rPr>
          <w:szCs w:val="24"/>
        </w:rPr>
        <w:t>Telephone [Botschner]: (614) 466-9575</w:t>
      </w:r>
    </w:p>
    <w:p w:rsidR="00CB2155" w:rsidP="00CB2155" w14:paraId="201C9A09" w14:textId="77777777">
      <w:pPr>
        <w:autoSpaceDE w:val="0"/>
        <w:autoSpaceDN w:val="0"/>
        <w:adjustRightInd w:val="0"/>
        <w:ind w:left="3600" w:firstLine="720"/>
        <w:rPr>
          <w:szCs w:val="24"/>
        </w:rPr>
      </w:pPr>
      <w:r>
        <w:rPr>
          <w:szCs w:val="24"/>
        </w:rPr>
        <w:t>Telephone [Wilson]: (614) 466-1292</w:t>
      </w:r>
    </w:p>
    <w:p w:rsidR="00CB2155" w:rsidP="00CB2155" w14:paraId="044E05DE"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Pr>
            <w:rStyle w:val="Hyperlink"/>
            <w:rFonts w:eastAsiaTheme="majorEastAsia"/>
            <w:szCs w:val="24"/>
          </w:rPr>
          <w:t>amy.botschner.obrien@occ.ohio.gov</w:t>
        </w:r>
      </w:hyperlink>
    </w:p>
    <w:p w:rsidR="00CB2155" w:rsidP="00CB2155" w14:paraId="3E202456" w14:textId="77777777">
      <w:pPr>
        <w:ind w:left="4320"/>
        <w:jc w:val="both"/>
        <w:rPr>
          <w:color w:val="0000FF"/>
        </w:rPr>
      </w:pPr>
      <w:hyperlink r:id="rId7" w:history="1">
        <w:r w:rsidRPr="004C3EBD">
          <w:rPr>
            <w:rStyle w:val="Hyperlink"/>
            <w:rFonts w:eastAsiaTheme="majorEastAsia"/>
          </w:rPr>
          <w:t>ambrosia.wilson@occ.ohio.gov</w:t>
        </w:r>
      </w:hyperlink>
      <w:r w:rsidRPr="004C3EBD">
        <w:rPr>
          <w:color w:val="0000FF"/>
        </w:rPr>
        <w:t xml:space="preserve"> </w:t>
      </w:r>
    </w:p>
    <w:p w:rsidR="00CB2155" w:rsidP="00CB2155" w14:paraId="21FA734E" w14:textId="77777777">
      <w:pPr>
        <w:ind w:left="4320"/>
        <w:jc w:val="both"/>
      </w:pPr>
      <w:r>
        <w:rPr>
          <w:szCs w:val="24"/>
        </w:rPr>
        <w:t>(</w:t>
      </w:r>
      <w:r w:rsidRPr="004C3EBD">
        <w:t>willing to accept service by e-mail)</w:t>
      </w:r>
    </w:p>
    <w:p w:rsidR="00CB2155" w14:paraId="75E0213A" w14:textId="3267B0D2">
      <w:r>
        <w:br w:type="page"/>
      </w:r>
    </w:p>
    <w:p w:rsidR="00836BDA" w:rsidP="00CB2155" w14:paraId="1D95B9CC" w14:textId="20263C33">
      <w:pPr>
        <w:jc w:val="center"/>
        <w:rPr>
          <w:b/>
          <w:bCs/>
          <w:u w:val="single"/>
        </w:rPr>
      </w:pPr>
      <w:r>
        <w:rPr>
          <w:b/>
          <w:bCs/>
          <w:u w:val="single"/>
        </w:rPr>
        <w:t>CERTIFICATE OF SERVICE</w:t>
      </w:r>
    </w:p>
    <w:p w:rsidR="00836BDA" w:rsidP="00D4185C" w14:paraId="1405793D" w14:textId="77085F1D">
      <w:pPr>
        <w:spacing w:line="480" w:lineRule="atLeast"/>
      </w:pPr>
      <w:r>
        <w:tab/>
        <w:t>I hereby certify that a copy of th</w:t>
      </w:r>
      <w:r w:rsidR="00DC61DF">
        <w:t xml:space="preserve">ese Objections </w:t>
      </w:r>
      <w:r w:rsidR="004B4DFA">
        <w:t>w</w:t>
      </w:r>
      <w:r w:rsidR="0048311C">
        <w:t>as</w:t>
      </w:r>
      <w:r>
        <w:t xml:space="preserve"> served on the persons stated below </w:t>
      </w:r>
      <w:r w:rsidRPr="009D37EA">
        <w:t xml:space="preserve">via </w:t>
      </w:r>
      <w:r>
        <w:t xml:space="preserve">electronic transmission, this </w:t>
      </w:r>
      <w:r w:rsidR="00CA2D79">
        <w:t xml:space="preserve">5th </w:t>
      </w:r>
      <w:r>
        <w:t xml:space="preserve">day of </w:t>
      </w:r>
      <w:r w:rsidR="00CA2D79">
        <w:t>May 2021</w:t>
      </w:r>
      <w:r>
        <w:t>.</w:t>
      </w:r>
    </w:p>
    <w:p w:rsidR="00836BDA" w:rsidP="00D4185C" w14:paraId="3108E07E" w14:textId="77777777">
      <w:pPr>
        <w:spacing w:line="480" w:lineRule="atLeast"/>
      </w:pPr>
    </w:p>
    <w:p w:rsidR="00CB2155" w:rsidRPr="00460D90" w:rsidP="00CB2155" w14:paraId="600E85DA" w14:textId="77777777">
      <w:pPr>
        <w:tabs>
          <w:tab w:val="left" w:pos="4320"/>
        </w:tabs>
        <w:rPr>
          <w:iCs/>
          <w:u w:val="single"/>
        </w:rPr>
      </w:pPr>
      <w:r>
        <w:tab/>
      </w:r>
      <w:r>
        <w:rPr>
          <w:i/>
          <w:iCs/>
          <w:u w:val="single"/>
        </w:rPr>
        <w:t>/s/ Amy Botschner O’Brien</w:t>
      </w:r>
      <w:r>
        <w:rPr>
          <w:iCs/>
          <w:u w:val="single"/>
        </w:rPr>
        <w:tab/>
      </w:r>
      <w:r>
        <w:rPr>
          <w:iCs/>
          <w:u w:val="single"/>
        </w:rPr>
        <w:tab/>
      </w:r>
    </w:p>
    <w:p w:rsidR="00CB2155" w:rsidP="00CB2155" w14:paraId="2831E2D9" w14:textId="77777777">
      <w:pPr>
        <w:tabs>
          <w:tab w:val="left" w:pos="4320"/>
        </w:tabs>
      </w:pPr>
      <w:r>
        <w:tab/>
        <w:t>Amy Botschner O’Brien</w:t>
      </w:r>
    </w:p>
    <w:p w:rsidR="00CB2155" w:rsidP="00CB2155" w14:paraId="1CD872D4" w14:textId="77777777">
      <w:pPr>
        <w:tabs>
          <w:tab w:val="left" w:pos="4320"/>
        </w:tabs>
      </w:pPr>
      <w:r>
        <w:tab/>
        <w:t>Assistant Consumers’ Counsel</w:t>
      </w:r>
    </w:p>
    <w:p w:rsidR="00836BDA" w:rsidP="00CB2155" w14:paraId="3D37E58E" w14:textId="36B9FA3F">
      <w:pPr>
        <w:tabs>
          <w:tab w:val="left" w:pos="4320"/>
        </w:tabs>
      </w:pPr>
    </w:p>
    <w:p w:rsidR="00CB2155" w:rsidRPr="005D4EA5" w:rsidP="00CB2155" w14:paraId="728B43C4" w14:textId="77777777">
      <w:pPr>
        <w:rPr>
          <w:b/>
          <w:bCs/>
        </w:rPr>
      </w:pPr>
      <w:r w:rsidRPr="005D4EA5">
        <w:t>The PUCO’s e-filing system will electronically serve notice of the filing of this document on the following parties:</w:t>
      </w:r>
    </w:p>
    <w:p w:rsidR="00CB2155" w:rsidRPr="005D4EA5" w:rsidP="00CB2155" w14:paraId="63B3B4D5" w14:textId="77777777">
      <w:pPr>
        <w:widowControl w:val="0"/>
        <w:autoSpaceDE w:val="0"/>
        <w:autoSpaceDN w:val="0"/>
        <w:adjustRightInd w:val="0"/>
      </w:pPr>
    </w:p>
    <w:p w:rsidR="00CB2155" w:rsidRPr="00CE1566" w:rsidP="00CB2155" w14:paraId="002D2853" w14:textId="77777777">
      <w:pPr>
        <w:jc w:val="center"/>
        <w:rPr>
          <w:b/>
          <w:bCs/>
          <w:u w:val="single"/>
        </w:rPr>
      </w:pPr>
      <w:r w:rsidRPr="00CE1566">
        <w:rPr>
          <w:b/>
          <w:bCs/>
          <w:u w:val="single"/>
        </w:rPr>
        <w:t>SERVICE LIST</w:t>
      </w:r>
    </w:p>
    <w:p w:rsidR="00CB2155" w:rsidRPr="002F4BA7" w:rsidP="00CB2155" w14:paraId="5F709C91" w14:textId="77777777">
      <w:pPr>
        <w:jc w:val="center"/>
        <w:rPr>
          <w:u w:val="single"/>
        </w:rPr>
      </w:pPr>
    </w:p>
    <w:tbl>
      <w:tblPr>
        <w:tblW w:w="0" w:type="auto"/>
        <w:tblLayout w:type="fixed"/>
        <w:tblLook w:val="01E0"/>
      </w:tblPr>
      <w:tblGrid>
        <w:gridCol w:w="4230"/>
        <w:gridCol w:w="4950"/>
      </w:tblGrid>
      <w:tr w14:paraId="77BB77D7" w14:textId="77777777" w:rsidTr="008D05A0">
        <w:tblPrEx>
          <w:tblW w:w="0" w:type="auto"/>
          <w:tblLayout w:type="fixed"/>
          <w:tblLook w:val="01E0"/>
        </w:tblPrEx>
        <w:tc>
          <w:tcPr>
            <w:tcW w:w="4230" w:type="dxa"/>
            <w:shd w:val="clear" w:color="auto" w:fill="auto"/>
          </w:tcPr>
          <w:p w:rsidR="00CB2155" w:rsidRPr="005D4EA5" w:rsidP="00CB7AD1" w14:paraId="7E334B27" w14:textId="77777777">
            <w:pPr>
              <w:rPr>
                <w:b/>
                <w:color w:val="0000FF"/>
                <w:u w:val="single"/>
              </w:rPr>
            </w:pPr>
            <w:hyperlink r:id="rId12" w:history="1">
              <w:r w:rsidRPr="005D4EA5">
                <w:rPr>
                  <w:color w:val="0000FF"/>
                  <w:u w:val="single"/>
                </w:rPr>
                <w:t>kyle.kern@ohioattorneygeneral.gov</w:t>
              </w:r>
            </w:hyperlink>
          </w:p>
          <w:p w:rsidR="00CB2155" w:rsidP="00CB7AD1" w14:paraId="10D715A6" w14:textId="77777777">
            <w:pPr>
              <w:rPr>
                <w:rStyle w:val="Hyperlink"/>
                <w:rFonts w:eastAsiaTheme="majorEastAsia"/>
              </w:rPr>
            </w:pPr>
            <w:hyperlink r:id="rId13" w:history="1">
              <w:r w:rsidRPr="00077662">
                <w:rPr>
                  <w:rStyle w:val="Hyperlink"/>
                  <w:rFonts w:eastAsiaTheme="majorEastAsia"/>
                </w:rPr>
                <w:t>jodi.bair@ohioattorneygeneral.gov</w:t>
              </w:r>
            </w:hyperlink>
          </w:p>
          <w:p w:rsidR="00CB2155" w:rsidRPr="005D4EA5" w:rsidP="00CB7AD1" w14:paraId="26664C29" w14:textId="77777777">
            <w:pPr>
              <w:rPr>
                <w:b/>
                <w:color w:val="0000FF"/>
                <w:u w:val="single"/>
              </w:rPr>
            </w:pPr>
          </w:p>
          <w:p w:rsidR="00CB2155" w:rsidRPr="005D4EA5" w:rsidP="00CB7AD1" w14:paraId="3D8485FB" w14:textId="77777777">
            <w:pPr>
              <w:rPr>
                <w:b/>
              </w:rPr>
            </w:pPr>
            <w:r w:rsidRPr="005D4EA5">
              <w:t>Attorney Examiners:</w:t>
            </w:r>
          </w:p>
          <w:p w:rsidR="00CB2155" w:rsidP="00CB7AD1" w14:paraId="2014B3CB" w14:textId="77777777">
            <w:pPr>
              <w:rPr>
                <w:rStyle w:val="Hyperlink"/>
                <w:rFonts w:eastAsiaTheme="majorEastAsia"/>
              </w:rPr>
            </w:pPr>
            <w:hyperlink r:id="rId14" w:history="1">
              <w:r w:rsidRPr="00077662">
                <w:rPr>
                  <w:rStyle w:val="Hyperlink"/>
                  <w:rFonts w:eastAsiaTheme="majorEastAsia"/>
                </w:rPr>
                <w:t>sarah.parrot@puco.ohio.gov</w:t>
              </w:r>
            </w:hyperlink>
          </w:p>
          <w:p w:rsidR="00CB2155" w:rsidP="00CB7AD1" w14:paraId="554242C5" w14:textId="77777777">
            <w:pPr>
              <w:rPr>
                <w:rStyle w:val="Hyperlink"/>
                <w:rFonts w:eastAsiaTheme="majorEastAsia"/>
              </w:rPr>
            </w:pPr>
            <w:hyperlink r:id="rId15" w:history="1">
              <w:r w:rsidRPr="00416830">
                <w:rPr>
                  <w:rStyle w:val="Hyperlink"/>
                  <w:rFonts w:eastAsiaTheme="majorEastAsia"/>
                </w:rPr>
                <w:t>Jacqueline.st.john@puco.ohio.gov</w:t>
              </w:r>
            </w:hyperlink>
          </w:p>
          <w:p w:rsidR="00CB2155" w:rsidRPr="005D4EA5" w:rsidP="00CB7AD1" w14:paraId="6A08591A" w14:textId="77777777">
            <w:pPr>
              <w:spacing w:line="480" w:lineRule="auto"/>
              <w:rPr>
                <w:b/>
              </w:rPr>
            </w:pPr>
          </w:p>
        </w:tc>
        <w:tc>
          <w:tcPr>
            <w:tcW w:w="4950" w:type="dxa"/>
            <w:shd w:val="clear" w:color="auto" w:fill="auto"/>
          </w:tcPr>
          <w:p w:rsidR="00CB2155" w:rsidRPr="005D4EA5" w:rsidP="008D05A0" w14:paraId="5D4F3CF8" w14:textId="77777777">
            <w:pPr>
              <w:autoSpaceDE w:val="0"/>
              <w:autoSpaceDN w:val="0"/>
              <w:adjustRightInd w:val="0"/>
              <w:ind w:left="430"/>
              <w:rPr>
                <w:b/>
              </w:rPr>
            </w:pPr>
            <w:hyperlink r:id="rId16" w:history="1">
              <w:r w:rsidRPr="00077662">
                <w:rPr>
                  <w:rStyle w:val="Hyperlink"/>
                  <w:rFonts w:eastAsiaTheme="majorEastAsia"/>
                </w:rPr>
                <w:t>whitt@whitt-sturtevant.com</w:t>
              </w:r>
            </w:hyperlink>
          </w:p>
          <w:p w:rsidR="00CB2155" w:rsidP="008D05A0" w14:paraId="43E2DFF8" w14:textId="77777777">
            <w:pPr>
              <w:autoSpaceDE w:val="0"/>
              <w:autoSpaceDN w:val="0"/>
              <w:adjustRightInd w:val="0"/>
              <w:ind w:left="430"/>
              <w:rPr>
                <w:bCs/>
                <w:color w:val="0000FF"/>
                <w:u w:val="single"/>
              </w:rPr>
            </w:pPr>
            <w:hyperlink r:id="rId17" w:history="1">
              <w:r w:rsidRPr="00077662">
                <w:rPr>
                  <w:rStyle w:val="Hyperlink"/>
                  <w:rFonts w:eastAsiaTheme="majorEastAsia"/>
                </w:rPr>
                <w:t>kennedy@whitt-sturtevant.com</w:t>
              </w:r>
            </w:hyperlink>
          </w:p>
          <w:p w:rsidR="00CB2155" w:rsidP="008D05A0" w14:paraId="71B6F9D1" w14:textId="77777777">
            <w:pPr>
              <w:autoSpaceDE w:val="0"/>
              <w:autoSpaceDN w:val="0"/>
              <w:adjustRightInd w:val="0"/>
              <w:ind w:left="430"/>
              <w:rPr>
                <w:bCs/>
              </w:rPr>
            </w:pPr>
            <w:hyperlink r:id="rId18" w:history="1">
              <w:r w:rsidRPr="00077662">
                <w:rPr>
                  <w:rStyle w:val="Hyperlink"/>
                  <w:rFonts w:eastAsiaTheme="majorEastAsia"/>
                </w:rPr>
                <w:t>fykes@whitt-sturtevant.com</w:t>
              </w:r>
            </w:hyperlink>
          </w:p>
          <w:p w:rsidR="00CB2155" w:rsidP="008D05A0" w14:paraId="139AC722" w14:textId="1DECD702">
            <w:pPr>
              <w:autoSpaceDE w:val="0"/>
              <w:autoSpaceDN w:val="0"/>
              <w:adjustRightInd w:val="0"/>
              <w:ind w:left="430" w:right="-16"/>
              <w:rPr>
                <w:bCs/>
              </w:rPr>
            </w:pPr>
            <w:hyperlink r:id="rId19" w:history="1">
              <w:r w:rsidRPr="00077662">
                <w:rPr>
                  <w:rStyle w:val="Hyperlink"/>
                  <w:rFonts w:eastAsiaTheme="majorEastAsia"/>
                </w:rPr>
                <w:t>Andrew.j.campbell@dominionenergy.co</w:t>
              </w:r>
            </w:hyperlink>
            <w:r>
              <w:rPr>
                <w:rStyle w:val="Hyperlink"/>
                <w:rFonts w:eastAsiaTheme="majorEastAsia"/>
              </w:rPr>
              <w:t>m</w:t>
            </w:r>
          </w:p>
          <w:p w:rsidR="00CB2155" w:rsidRPr="001D29F0" w:rsidP="008D05A0" w14:paraId="33D60EBC" w14:textId="36757EEE">
            <w:pPr>
              <w:ind w:left="430"/>
              <w:rPr>
                <w:bCs/>
                <w:color w:val="0000FF"/>
              </w:rPr>
            </w:pPr>
            <w:hyperlink r:id="rId20" w:history="1">
              <w:r w:rsidRPr="003D0518">
                <w:rPr>
                  <w:rStyle w:val="Hyperlink"/>
                  <w:bCs/>
                </w:rPr>
                <w:t>rdove@keglerbrown.com</w:t>
              </w:r>
            </w:hyperlink>
          </w:p>
          <w:p w:rsidR="00CB2155" w:rsidRPr="0098323E" w:rsidP="00CB7AD1" w14:paraId="360022A8" w14:textId="77777777">
            <w:pPr>
              <w:autoSpaceDE w:val="0"/>
              <w:autoSpaceDN w:val="0"/>
              <w:adjustRightInd w:val="0"/>
              <w:ind w:left="636"/>
              <w:rPr>
                <w:bCs/>
              </w:rPr>
            </w:pPr>
          </w:p>
          <w:p w:rsidR="00CB2155" w:rsidRPr="005D4EA5" w:rsidP="00CB7AD1" w14:paraId="3E3E5123" w14:textId="77777777">
            <w:pPr>
              <w:autoSpaceDE w:val="0"/>
              <w:autoSpaceDN w:val="0"/>
              <w:adjustRightInd w:val="0"/>
              <w:rPr>
                <w:b/>
              </w:rPr>
            </w:pPr>
          </w:p>
        </w:tc>
      </w:tr>
    </w:tbl>
    <w:p w:rsidR="00CB2155" w:rsidP="00CB2155" w14:paraId="6DF161EC" w14:textId="77777777">
      <w:pPr>
        <w:rPr>
          <w:b/>
          <w:bCs/>
        </w:rPr>
      </w:pPr>
    </w:p>
    <w:p w:rsidR="00D4185C" w:rsidP="00CB2155" w14:paraId="1C9A785A" w14:textId="77777777">
      <w:pPr>
        <w:pStyle w:val="CommentText"/>
        <w:rPr>
          <w:b/>
          <w:bCs/>
        </w:rPr>
      </w:pPr>
    </w:p>
    <w:sectPr w:rsidSect="00CB2155">
      <w:footerReference w:type="first" r:id="rId21"/>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959348"/>
      <w:docPartObj>
        <w:docPartGallery w:val="Page Numbers (Bottom of Page)"/>
        <w:docPartUnique/>
      </w:docPartObj>
    </w:sdtPr>
    <w:sdtEndPr>
      <w:rPr>
        <w:noProof/>
        <w:sz w:val="24"/>
        <w:szCs w:val="24"/>
      </w:rPr>
    </w:sdtEndPr>
    <w:sdtContent>
      <w:p w:rsidR="00CB2155" w:rsidRPr="00CB2155" w14:paraId="39F0FDAE" w14:textId="67D14B64">
        <w:pPr>
          <w:pStyle w:val="Footer"/>
          <w:jc w:val="center"/>
          <w:rPr>
            <w:sz w:val="24"/>
            <w:szCs w:val="24"/>
          </w:rPr>
        </w:pPr>
        <w:r w:rsidRPr="00CB2155">
          <w:rPr>
            <w:sz w:val="24"/>
            <w:szCs w:val="24"/>
          </w:rPr>
          <w:fldChar w:fldCharType="begin"/>
        </w:r>
        <w:r w:rsidRPr="00CB2155">
          <w:rPr>
            <w:sz w:val="24"/>
            <w:szCs w:val="24"/>
          </w:rPr>
          <w:instrText xml:space="preserve"> PAGE   \* MERGEFORMAT </w:instrText>
        </w:r>
        <w:r w:rsidRPr="00CB2155">
          <w:rPr>
            <w:sz w:val="24"/>
            <w:szCs w:val="24"/>
          </w:rPr>
          <w:fldChar w:fldCharType="separate"/>
        </w:r>
        <w:r w:rsidRPr="00CB2155">
          <w:rPr>
            <w:noProof/>
            <w:sz w:val="24"/>
            <w:szCs w:val="24"/>
          </w:rPr>
          <w:t>2</w:t>
        </w:r>
        <w:r w:rsidRPr="00CB215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A56" w:rsidRPr="00C0060E" w14:paraId="35030D8A" w14:textId="2612E90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1691406"/>
      <w:docPartObj>
        <w:docPartGallery w:val="Page Numbers (Bottom of Page)"/>
        <w:docPartUnique/>
      </w:docPartObj>
    </w:sdtPr>
    <w:sdtEndPr>
      <w:rPr>
        <w:noProof/>
        <w:sz w:val="24"/>
        <w:szCs w:val="24"/>
      </w:rPr>
    </w:sdtEndPr>
    <w:sdtContent>
      <w:p w:rsidR="001843DB" w:rsidRPr="001843DB" w14:paraId="1C5654EF" w14:textId="5B357470">
        <w:pPr>
          <w:pStyle w:val="Footer"/>
          <w:jc w:val="center"/>
          <w:rPr>
            <w:sz w:val="24"/>
            <w:szCs w:val="24"/>
          </w:rPr>
        </w:pPr>
        <w:r w:rsidRPr="001843DB">
          <w:rPr>
            <w:sz w:val="24"/>
            <w:szCs w:val="24"/>
          </w:rPr>
          <w:fldChar w:fldCharType="begin"/>
        </w:r>
        <w:r w:rsidRPr="001843DB">
          <w:rPr>
            <w:sz w:val="24"/>
            <w:szCs w:val="24"/>
          </w:rPr>
          <w:instrText xml:space="preserve"> PAGE   \* MERGEFORMAT </w:instrText>
        </w:r>
        <w:r w:rsidRPr="001843DB">
          <w:rPr>
            <w:sz w:val="24"/>
            <w:szCs w:val="24"/>
          </w:rPr>
          <w:fldChar w:fldCharType="separate"/>
        </w:r>
        <w:r w:rsidRPr="001843DB">
          <w:rPr>
            <w:noProof/>
            <w:sz w:val="24"/>
            <w:szCs w:val="24"/>
          </w:rPr>
          <w:t>2</w:t>
        </w:r>
        <w:r w:rsidRPr="001843DB">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BD3" w:rsidRPr="00A83641" w14:paraId="16679E54" w14:textId="39A610FF">
    <w:pPr>
      <w:pStyle w:val="Footer"/>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3851938"/>
      <w:docPartObj>
        <w:docPartGallery w:val="Page Numbers (Bottom of Page)"/>
        <w:docPartUnique/>
      </w:docPartObj>
    </w:sdtPr>
    <w:sdtEndPr>
      <w:rPr>
        <w:noProof/>
        <w:sz w:val="24"/>
        <w:szCs w:val="24"/>
      </w:rPr>
    </w:sdtEndPr>
    <w:sdtContent>
      <w:p w:rsidR="00CB2155" w:rsidRPr="00CB2155" w14:paraId="5A6541D3" w14:textId="519F25E3">
        <w:pPr>
          <w:pStyle w:val="Footer"/>
          <w:jc w:val="center"/>
          <w:rPr>
            <w:sz w:val="24"/>
            <w:szCs w:val="24"/>
          </w:rPr>
        </w:pPr>
        <w:r w:rsidRPr="00CB2155">
          <w:rPr>
            <w:sz w:val="24"/>
            <w:szCs w:val="24"/>
          </w:rPr>
          <w:fldChar w:fldCharType="begin"/>
        </w:r>
        <w:r w:rsidRPr="00CB2155">
          <w:rPr>
            <w:sz w:val="24"/>
            <w:szCs w:val="24"/>
          </w:rPr>
          <w:instrText xml:space="preserve"> PAGE   \* MERGEFORMAT </w:instrText>
        </w:r>
        <w:r w:rsidRPr="00CB2155">
          <w:rPr>
            <w:sz w:val="24"/>
            <w:szCs w:val="24"/>
          </w:rPr>
          <w:fldChar w:fldCharType="separate"/>
        </w:r>
        <w:r w:rsidRPr="00CB2155">
          <w:rPr>
            <w:noProof/>
            <w:sz w:val="24"/>
            <w:szCs w:val="24"/>
          </w:rPr>
          <w:t>2</w:t>
        </w:r>
        <w:r w:rsidRPr="00CB215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4A1" w14:paraId="702743FD" w14:textId="77777777">
      <w:r>
        <w:separator/>
      </w:r>
    </w:p>
  </w:footnote>
  <w:footnote w:type="continuationSeparator" w:id="1">
    <w:p w:rsidR="00E654A1" w14:paraId="0F4F98A2" w14:textId="77777777">
      <w:r>
        <w:continuationSeparator/>
      </w:r>
    </w:p>
  </w:footnote>
  <w:footnote w:id="2">
    <w:p w:rsidR="00173A56" w:rsidP="00C51B8B" w14:paraId="0CEDF73E" w14:textId="7954BFAB">
      <w:pPr>
        <w:pStyle w:val="FootnoteText"/>
        <w:spacing w:after="120"/>
      </w:pPr>
      <w:r>
        <w:rPr>
          <w:rStyle w:val="FootnoteReference"/>
        </w:rPr>
        <w:footnoteRef/>
      </w:r>
      <w:r>
        <w:t xml:space="preserve"> </w:t>
      </w:r>
      <w:r w:rsidRPr="00CE1BC1" w:rsidR="00113813">
        <w:rPr>
          <w:i/>
          <w:iCs/>
        </w:rPr>
        <w:t>See</w:t>
      </w:r>
      <w:r w:rsidR="00113813">
        <w:t xml:space="preserve"> PUCO Finding &amp; Order in Case No. </w:t>
      </w:r>
      <w:r w:rsidRPr="00113813" w:rsidR="00113813">
        <w:t>18-1908-GA-UNC</w:t>
      </w:r>
      <w:r w:rsidR="00113813">
        <w:t xml:space="preserve"> et al</w:t>
      </w:r>
      <w:r w:rsidR="00F10C88">
        <w:t>.</w:t>
      </w:r>
      <w:r w:rsidR="00113813">
        <w:t xml:space="preserve"> at 7-13</w:t>
      </w:r>
      <w:r w:rsidR="006C4ABA">
        <w:t>.</w:t>
      </w:r>
    </w:p>
  </w:footnote>
  <w:footnote w:id="3">
    <w:p w:rsidR="009F15FD" w:rsidRPr="00200242" w:rsidP="00C51B8B" w14:paraId="356E7D24" w14:textId="77777777">
      <w:pPr>
        <w:pStyle w:val="FootnoteText"/>
        <w:spacing w:after="120"/>
      </w:pPr>
      <w:r w:rsidRPr="00200242">
        <w:rPr>
          <w:rStyle w:val="FootnoteReference"/>
        </w:rPr>
        <w:footnoteRef/>
      </w:r>
      <w:r w:rsidRPr="00200242">
        <w:t xml:space="preserve"> </w:t>
      </w:r>
      <w:r w:rsidRPr="00200242">
        <w:rPr>
          <w:i/>
        </w:rPr>
        <w:t>In the Matter of the Application of The East Ohio Gas Company d/b/a Dominion East Ohio for Authority to Increase Rates for its Gas Distribution Service,</w:t>
      </w:r>
      <w:r w:rsidRPr="00200242">
        <w:t xml:space="preserve"> Case No. 07-829-GA-AIR, Opinion and Order at 9-10 (Oct. 15, 2007).</w:t>
      </w:r>
    </w:p>
  </w:footnote>
  <w:footnote w:id="4">
    <w:p w:rsidR="009F15FD" w:rsidRPr="00200242" w:rsidP="00C51B8B" w14:paraId="6AC3993B" w14:textId="2BBAFC4B">
      <w:pPr>
        <w:pStyle w:val="FootnoteText"/>
        <w:spacing w:after="120"/>
      </w:pPr>
      <w:r w:rsidRPr="00200242">
        <w:rPr>
          <w:rStyle w:val="FootnoteReference"/>
        </w:rPr>
        <w:footnoteRef/>
      </w:r>
      <w:r w:rsidRPr="00200242">
        <w:t xml:space="preserve"> </w:t>
      </w:r>
      <w:r>
        <w:t xml:space="preserve">Dominion Application </w:t>
      </w:r>
      <w:r w:rsidR="00CE1BC1">
        <w:t xml:space="preserve">(Dec. 8, 2020) </w:t>
      </w:r>
      <w:r>
        <w:t>at 1-2</w:t>
      </w:r>
      <w:r w:rsidRPr="00200242">
        <w:t xml:space="preserve">. </w:t>
      </w:r>
    </w:p>
  </w:footnote>
  <w:footnote w:id="5">
    <w:p w:rsidR="009F15FD" w:rsidRPr="00200242" w:rsidP="00C51B8B" w14:paraId="6CDA4D63" w14:textId="3B2DF85D">
      <w:pPr>
        <w:pStyle w:val="FootnoteText"/>
        <w:spacing w:after="120"/>
      </w:pPr>
      <w:r w:rsidRPr="00200242">
        <w:rPr>
          <w:rStyle w:val="FootnoteReference"/>
        </w:rPr>
        <w:footnoteRef/>
      </w:r>
      <w:r w:rsidRPr="00200242">
        <w:t xml:space="preserve"> </w:t>
      </w:r>
      <w:r w:rsidRPr="00200242">
        <w:rPr>
          <w:i/>
        </w:rPr>
        <w:t>In the Matter of the Application of The East Ohio Gas Company d/b/a Dominion East Ohio for Authority to Increase Rates for its Gas Distribution Service,</w:t>
      </w:r>
      <w:r w:rsidRPr="00200242">
        <w:t xml:space="preserve"> Case No. 07-829-GA-AIR, Opinion and Order </w:t>
      </w:r>
      <w:r w:rsidR="00CE1BC1">
        <w:t xml:space="preserve">at 9 </w:t>
      </w:r>
      <w:r w:rsidRPr="00200242">
        <w:t>(Oct. 15, 2007)</w:t>
      </w:r>
      <w:r w:rsidR="00CE1BC1">
        <w:t>.</w:t>
      </w:r>
    </w:p>
  </w:footnote>
  <w:footnote w:id="6">
    <w:p w:rsidR="009F15FD" w:rsidRPr="00200242" w:rsidP="00C51B8B" w14:paraId="0DD7D0D2" w14:textId="77777777">
      <w:pPr>
        <w:pStyle w:val="FootnoteText"/>
        <w:spacing w:after="120"/>
      </w:pPr>
      <w:r w:rsidRPr="00200242">
        <w:rPr>
          <w:rStyle w:val="FootnoteReference"/>
        </w:rPr>
        <w:footnoteRef/>
      </w:r>
      <w:r w:rsidRPr="00200242">
        <w:t xml:space="preserve"> </w:t>
      </w:r>
      <w:r w:rsidRPr="00200242">
        <w:rPr>
          <w:i/>
        </w:rPr>
        <w:t>In the Matter of the Application of The East Ohio Gas Company d/b/a Dominion East Ohio for Approval to Modify and Further Accelerate its Pipeline Infrastructure Replacement Program and to Recover the Associated Costs</w:t>
      </w:r>
      <w:r w:rsidRPr="00200242">
        <w:t>, Case No. 11-2401-GA-ALT</w:t>
      </w:r>
      <w:r>
        <w:t>,</w:t>
      </w:r>
      <w:r w:rsidRPr="00200242">
        <w:t xml:space="preserve"> Opinion and Order at 2 (Aug. 3, 2011).</w:t>
      </w:r>
    </w:p>
  </w:footnote>
  <w:footnote w:id="7">
    <w:p w:rsidR="009F15FD" w:rsidRPr="00200242" w:rsidP="00C51B8B" w14:paraId="2B72B386" w14:textId="77777777">
      <w:pPr>
        <w:pStyle w:val="FootnoteText"/>
        <w:spacing w:after="120"/>
      </w:pPr>
      <w:r w:rsidRPr="00200242">
        <w:rPr>
          <w:rStyle w:val="FootnoteReference"/>
        </w:rPr>
        <w:footnoteRef/>
      </w:r>
      <w:r w:rsidRPr="00200242">
        <w:t xml:space="preserve"> </w:t>
      </w:r>
      <w:r w:rsidRPr="00200242">
        <w:rPr>
          <w:i/>
        </w:rPr>
        <w:t>Id</w:t>
      </w:r>
      <w:r>
        <w:rPr>
          <w:i/>
        </w:rPr>
        <w:t>.</w:t>
      </w:r>
      <w:r w:rsidRPr="00200242">
        <w:t xml:space="preserve"> at 3.</w:t>
      </w:r>
    </w:p>
  </w:footnote>
  <w:footnote w:id="8">
    <w:p w:rsidR="009F15FD" w:rsidRPr="00200242" w:rsidP="00C51B8B" w14:paraId="6A5DEE19" w14:textId="77777777">
      <w:pPr>
        <w:pStyle w:val="FootnoteText"/>
        <w:spacing w:after="120"/>
      </w:pPr>
      <w:r w:rsidRPr="00200242">
        <w:rPr>
          <w:rStyle w:val="FootnoteReference"/>
        </w:rPr>
        <w:footnoteRef/>
      </w:r>
      <w:r w:rsidRPr="00200242">
        <w:t xml:space="preserve"> </w:t>
      </w:r>
      <w:r w:rsidRPr="00200242">
        <w:rPr>
          <w:i/>
        </w:rPr>
        <w:t>Id</w:t>
      </w:r>
      <w:r w:rsidRPr="00200242">
        <w:t>. at 6.</w:t>
      </w:r>
    </w:p>
  </w:footnote>
  <w:footnote w:id="9">
    <w:p w:rsidR="009F15FD" w:rsidP="00C51B8B" w14:paraId="30842DCB" w14:textId="29CC484A">
      <w:pPr>
        <w:pStyle w:val="FootnoteText"/>
        <w:spacing w:after="120"/>
      </w:pPr>
      <w:r>
        <w:rPr>
          <w:rStyle w:val="FootnoteReference"/>
        </w:rPr>
        <w:footnoteRef/>
      </w:r>
      <w:r>
        <w:t xml:space="preserve"> </w:t>
      </w:r>
      <w:r w:rsidRPr="00CD4085">
        <w:rPr>
          <w:i/>
          <w:iCs/>
        </w:rPr>
        <w:t>In the Matter of the East Ohio Gas Company d/b/a Dominion East Ohio for Approval of an Alternative Form of Regulation</w:t>
      </w:r>
      <w:r w:rsidR="00A41F87">
        <w:rPr>
          <w:i/>
          <w:iCs/>
        </w:rPr>
        <w:t xml:space="preserve"> to Extend and Increase its Pipeline Infrastructure Replacement Program</w:t>
      </w:r>
      <w:r>
        <w:t xml:space="preserve">, Case No. 15-0362-GA-ALT, Opinion and Order (Sept. 14, 2016); </w:t>
      </w:r>
      <w:r w:rsidRPr="00CD4085">
        <w:rPr>
          <w:i/>
          <w:iCs/>
        </w:rPr>
        <w:t>see also</w:t>
      </w:r>
      <w:r>
        <w:t xml:space="preserve"> Dominion Application at 2-3.</w:t>
      </w:r>
    </w:p>
  </w:footnote>
  <w:footnote w:id="10">
    <w:p w:rsidR="00A41F87" w:rsidP="00C51B8B" w14:paraId="062B7D50" w14:textId="0C4A948D">
      <w:pPr>
        <w:pStyle w:val="FootnoteText"/>
        <w:spacing w:after="120"/>
      </w:pPr>
      <w:r>
        <w:rPr>
          <w:rStyle w:val="FootnoteReference"/>
        </w:rPr>
        <w:footnoteRef/>
      </w:r>
      <w:r>
        <w:t xml:space="preserve"> </w:t>
      </w:r>
      <w:r w:rsidRPr="00A41F87">
        <w:rPr>
          <w:i/>
          <w:iCs/>
        </w:rPr>
        <w:t>Id</w:t>
      </w:r>
      <w:r>
        <w:t>.</w:t>
      </w:r>
    </w:p>
  </w:footnote>
  <w:footnote w:id="11">
    <w:p w:rsidR="00CA2D79" w:rsidP="00C51B8B" w14:paraId="5C60381C" w14:textId="128F8D48">
      <w:pPr>
        <w:pStyle w:val="FootnoteText"/>
        <w:spacing w:after="120"/>
      </w:pPr>
      <w:r>
        <w:rPr>
          <w:rStyle w:val="FootnoteReference"/>
        </w:rPr>
        <w:footnoteRef/>
      </w:r>
      <w:r>
        <w:t xml:space="preserve"> </w:t>
      </w:r>
      <w:r w:rsidRPr="00CA2D79">
        <w:rPr>
          <w:i/>
          <w:iCs/>
        </w:rPr>
        <w:t>In the Matter of the Application of the East Ohio Gas Company D/B/A Dominion Energy Ohio for Implementation of the Tax Cuts and Jobs Act of 2017</w:t>
      </w:r>
      <w:r>
        <w:t xml:space="preserve">, Case No. 18-1908-GA-UNC et al., Finding and Order </w:t>
      </w:r>
      <w:r w:rsidR="000C325E">
        <w:t xml:space="preserve">at 7-13 </w:t>
      </w:r>
      <w:r>
        <w:t>(Dec. 4, 2019).</w:t>
      </w:r>
    </w:p>
  </w:footnote>
  <w:footnote w:id="12">
    <w:p w:rsidR="002A7663" w:rsidP="00C51B8B" w14:paraId="2094CFEE" w14:textId="07F9ACBD">
      <w:pPr>
        <w:pStyle w:val="FootnoteText"/>
        <w:spacing w:after="120"/>
      </w:pPr>
      <w:r>
        <w:rPr>
          <w:rStyle w:val="FootnoteReference"/>
        </w:rPr>
        <w:footnoteRef/>
      </w:r>
      <w:r>
        <w:t xml:space="preserve"> </w:t>
      </w:r>
      <w:r w:rsidRPr="00783664">
        <w:rPr>
          <w:i/>
          <w:iCs/>
        </w:rPr>
        <w:t>See</w:t>
      </w:r>
      <w:r>
        <w:t>, Dominion Application at 3; Staff Report at 3.</w:t>
      </w:r>
    </w:p>
  </w:footnote>
  <w:footnote w:id="13">
    <w:p w:rsidR="00173A56" w:rsidP="00C51B8B" w14:paraId="3EE52E9E" w14:textId="3BC1CA76">
      <w:pPr>
        <w:pStyle w:val="FootnoteText"/>
        <w:spacing w:after="120"/>
      </w:pPr>
      <w:r>
        <w:rPr>
          <w:rStyle w:val="FootnoteReference"/>
        </w:rPr>
        <w:footnoteRef/>
      </w:r>
      <w:r>
        <w:t xml:space="preserve"> Staff Report at 3-4.</w:t>
      </w:r>
    </w:p>
  </w:footnote>
  <w:footnote w:id="14">
    <w:p w:rsidR="00173A56" w:rsidP="00C51B8B" w14:paraId="5BEB6D9F" w14:textId="38F4BF1F">
      <w:pPr>
        <w:pStyle w:val="FootnoteText"/>
        <w:spacing w:after="120"/>
      </w:pPr>
      <w:r>
        <w:rPr>
          <w:rStyle w:val="FootnoteReference"/>
        </w:rPr>
        <w:footnoteRef/>
      </w:r>
      <w:r>
        <w:t xml:space="preserve"> </w:t>
      </w:r>
      <w:r w:rsidRPr="0086209A" w:rsidR="0086209A">
        <w:rPr>
          <w:i/>
          <w:iCs/>
        </w:rPr>
        <w:t>See</w:t>
      </w:r>
      <w:r w:rsidR="0086209A">
        <w:t xml:space="preserve">, </w:t>
      </w:r>
      <w:r w:rsidRPr="00200242" w:rsidR="0086209A">
        <w:rPr>
          <w:i/>
        </w:rPr>
        <w:t>In the Matter of the Application of The East Ohio Gas Company d/b/a Dominion East Ohio for Approval to Modify and Further Accelerate its Pipeline Infrastructure Replacement Program and to Recover the Associated Costs</w:t>
      </w:r>
      <w:r w:rsidRPr="00200242" w:rsidR="0086209A">
        <w:t>, Case No. 11-2401-GA-ALT</w:t>
      </w:r>
      <w:r w:rsidR="0086209A">
        <w:t>,</w:t>
      </w:r>
      <w:r w:rsidRPr="00200242" w:rsidR="0086209A">
        <w:t xml:space="preserve"> Opinion and Order at </w:t>
      </w:r>
      <w:r w:rsidR="0086209A">
        <w:t>6</w:t>
      </w:r>
      <w:r w:rsidRPr="00200242" w:rsidR="0086209A">
        <w:t xml:space="preserve"> (Aug. 3, 2011).</w:t>
      </w:r>
    </w:p>
  </w:footnote>
  <w:footnote w:id="15">
    <w:p w:rsidR="00076819" w:rsidP="00C51B8B" w14:paraId="0036DF3F" w14:textId="7056A6C6">
      <w:pPr>
        <w:pStyle w:val="FootnoteText"/>
        <w:spacing w:after="120"/>
      </w:pPr>
      <w:r>
        <w:rPr>
          <w:rStyle w:val="FootnoteReference"/>
        </w:rPr>
        <w:footnoteRef/>
      </w:r>
      <w:r>
        <w:t xml:space="preserve"> </w:t>
      </w:r>
      <w:r w:rsidRPr="0003188F" w:rsidR="007A40FC">
        <w:rPr>
          <w:i/>
          <w:iCs/>
        </w:rPr>
        <w:t>Id</w:t>
      </w:r>
      <w:r w:rsidR="007A40FC">
        <w:t>.</w:t>
      </w:r>
    </w:p>
  </w:footnote>
  <w:footnote w:id="16">
    <w:p w:rsidR="00173A56" w:rsidP="00C51B8B" w14:paraId="371F6782" w14:textId="1DC5E917">
      <w:pPr>
        <w:pStyle w:val="FootnoteText"/>
        <w:spacing w:after="120"/>
      </w:pPr>
      <w:r>
        <w:rPr>
          <w:rStyle w:val="FootnoteReference"/>
        </w:rPr>
        <w:footnoteRef/>
      </w:r>
      <w:r>
        <w:t xml:space="preserve"> </w:t>
      </w:r>
      <w:r w:rsidRPr="00BD0C64" w:rsidR="00BD0C64">
        <w:rPr>
          <w:i/>
          <w:iCs/>
        </w:rPr>
        <w:t>In the Matter of the Application of Vectren Energy Delivery of Ohio, Inc. for Authority to Amend its Filed Tariffs to Increase the Rates and Charges for Gas Service and Related Matters</w:t>
      </w:r>
      <w:r w:rsidRPr="00BD0C64" w:rsidR="00BD0C64">
        <w:t>.</w:t>
      </w:r>
      <w:r w:rsidR="00BD0C64">
        <w:t xml:space="preserve"> Case No. 07-1080-GA-AIR et al</w:t>
      </w:r>
      <w:r w:rsidR="0003188F">
        <w:t>.</w:t>
      </w:r>
      <w:r w:rsidR="00BD0C64">
        <w:t xml:space="preserve">, Stipulation and Recommendation </w:t>
      </w:r>
      <w:r w:rsidR="0003188F">
        <w:t xml:space="preserve">at 11 </w:t>
      </w:r>
      <w:r w:rsidR="00BD0C64">
        <w:t>(Sept</w:t>
      </w:r>
      <w:r w:rsidR="00E32375">
        <w:t>.</w:t>
      </w:r>
      <w:r w:rsidR="00BD0C64">
        <w:t xml:space="preserve"> 8, 2008).</w:t>
      </w:r>
    </w:p>
  </w:footnote>
  <w:footnote w:id="17">
    <w:p w:rsidR="00173A56" w:rsidP="00C51B8B" w14:paraId="1C660B10" w14:textId="06FDFF47">
      <w:pPr>
        <w:pStyle w:val="FootnoteText"/>
        <w:spacing w:after="120"/>
      </w:pPr>
      <w:r>
        <w:rPr>
          <w:rStyle w:val="FootnoteReference"/>
        </w:rPr>
        <w:footnoteRef/>
      </w:r>
      <w:r>
        <w:t xml:space="preserve"> Staff Report at 4.</w:t>
      </w:r>
    </w:p>
  </w:footnote>
  <w:footnote w:id="18">
    <w:p w:rsidR="00173A56" w:rsidP="00C51B8B" w14:paraId="169E13B9" w14:textId="0D06C503">
      <w:pPr>
        <w:pStyle w:val="FootnoteText"/>
        <w:spacing w:after="120"/>
      </w:pPr>
      <w:r>
        <w:rPr>
          <w:rStyle w:val="FootnoteReference"/>
        </w:rPr>
        <w:footnoteRef/>
      </w:r>
      <w:r>
        <w:t xml:space="preserve"> </w:t>
      </w:r>
      <w:r w:rsidRPr="00E32375">
        <w:rPr>
          <w:i/>
          <w:iCs/>
        </w:rPr>
        <w:t>Id</w:t>
      </w:r>
      <w:r>
        <w:t>.</w:t>
      </w:r>
    </w:p>
  </w:footnote>
  <w:footnote w:id="19">
    <w:p w:rsidR="00FD06F9" w:rsidP="00C51B8B" w14:paraId="1278D29C" w14:textId="61823D09">
      <w:pPr>
        <w:pStyle w:val="FootnoteText"/>
        <w:spacing w:after="120"/>
      </w:pPr>
      <w:r>
        <w:rPr>
          <w:rStyle w:val="FootnoteReference"/>
        </w:rPr>
        <w:footnoteRef/>
      </w:r>
      <w:r>
        <w:t xml:space="preserve"> </w:t>
      </w:r>
      <w:r w:rsidRPr="00E32375">
        <w:rPr>
          <w:i/>
          <w:iCs/>
        </w:rPr>
        <w:t>Id</w:t>
      </w:r>
      <w:r>
        <w:t>.</w:t>
      </w:r>
    </w:p>
  </w:footnote>
  <w:footnote w:id="20">
    <w:p w:rsidR="00E07939" w:rsidP="00C51B8B" w14:paraId="57E95251" w14:textId="03ADAABA">
      <w:pPr>
        <w:pStyle w:val="FootnoteText"/>
        <w:spacing w:after="120"/>
      </w:pPr>
      <w:r>
        <w:rPr>
          <w:rStyle w:val="FootnoteReference"/>
        </w:rPr>
        <w:footnoteRef/>
      </w:r>
      <w:r>
        <w:t xml:space="preserve"> </w:t>
      </w:r>
      <w:r w:rsidRPr="00E32375">
        <w:rPr>
          <w:i/>
          <w:iCs/>
        </w:rPr>
        <w:t>Id</w:t>
      </w:r>
      <w:r>
        <w:t>.</w:t>
      </w:r>
    </w:p>
  </w:footnote>
  <w:footnote w:id="21">
    <w:p w:rsidR="00900545" w:rsidP="00C51B8B" w14:paraId="3787ADD3" w14:textId="63A4CFFE">
      <w:pPr>
        <w:pStyle w:val="FootnoteText"/>
        <w:spacing w:after="120"/>
      </w:pPr>
      <w:r>
        <w:rPr>
          <w:rStyle w:val="FootnoteReference"/>
        </w:rPr>
        <w:footnoteRef/>
      </w:r>
      <w:r>
        <w:t xml:space="preserve"> Staff Report at 5.</w:t>
      </w:r>
    </w:p>
  </w:footnote>
  <w:footnote w:id="22">
    <w:p w:rsidR="00E2213C" w:rsidP="00C51B8B" w14:paraId="3A8EF5A1" w14:textId="5F5D0987">
      <w:pPr>
        <w:pStyle w:val="FootnoteText"/>
        <w:spacing w:after="120"/>
      </w:pPr>
      <w:r>
        <w:rPr>
          <w:rStyle w:val="FootnoteReference"/>
        </w:rPr>
        <w:footnoteRef/>
      </w:r>
      <w:r>
        <w:t xml:space="preserve"> Dominion is scheduled to file a base rate case no later than October 2024 in accordance</w:t>
      </w:r>
      <w:r w:rsidR="00CA2D79">
        <w:t xml:space="preserve"> with a PUCO-approved settlement in Case No. 18-1908-GA-UNC</w:t>
      </w:r>
      <w:r w:rsidR="00934BAD">
        <w:t>,</w:t>
      </w:r>
      <w:r w:rsidR="00CA2D79">
        <w:t xml:space="preserve"> et al.</w:t>
      </w:r>
      <w:r>
        <w:t xml:space="preserve"> </w:t>
      </w:r>
    </w:p>
  </w:footnote>
  <w:footnote w:id="23">
    <w:p w:rsidR="00CA2D79" w:rsidP="00C51B8B" w14:paraId="2AC21B99" w14:textId="3E759049">
      <w:pPr>
        <w:pStyle w:val="FootnoteText"/>
        <w:spacing w:after="120"/>
      </w:pPr>
      <w:r>
        <w:rPr>
          <w:rStyle w:val="FootnoteReference"/>
        </w:rPr>
        <w:footnoteRef/>
      </w:r>
      <w:r>
        <w:t xml:space="preserve"> </w:t>
      </w:r>
      <w:r w:rsidRPr="00CA2D79">
        <w:rPr>
          <w:i/>
          <w:iCs/>
        </w:rPr>
        <w:t>Id</w:t>
      </w:r>
      <w:r>
        <w:t>.</w:t>
      </w:r>
    </w:p>
  </w:footnote>
  <w:footnote w:id="24">
    <w:p w:rsidR="00934BAD" w:rsidP="00C51B8B" w14:paraId="2A28F33E" w14:textId="0FEC8E95">
      <w:pPr>
        <w:pStyle w:val="FootnoteText"/>
        <w:spacing w:after="120"/>
      </w:pPr>
      <w:r>
        <w:rPr>
          <w:rStyle w:val="FootnoteReference"/>
        </w:rPr>
        <w:footnoteRef/>
      </w:r>
      <w:r>
        <w:t xml:space="preserve"> Staff Report at 4.</w:t>
      </w:r>
    </w:p>
  </w:footnote>
  <w:footnote w:id="25">
    <w:p w:rsidR="00934BAD" w:rsidP="00C51B8B" w14:paraId="422B4CF6" w14:textId="3951C3CA">
      <w:pPr>
        <w:pStyle w:val="FootnoteText"/>
        <w:spacing w:after="120"/>
      </w:pPr>
      <w:r>
        <w:rPr>
          <w:rStyle w:val="FootnoteReference"/>
        </w:rPr>
        <w:footnoteRef/>
      </w:r>
      <w:r>
        <w:t xml:space="preserve"> Staff Report at 3-4. </w:t>
      </w:r>
    </w:p>
  </w:footnote>
  <w:footnote w:id="26">
    <w:p w:rsidR="00BA5A3D" w:rsidP="00C51B8B" w14:paraId="49BF2A7F" w14:textId="77777777">
      <w:pPr>
        <w:pStyle w:val="FootnoteText"/>
        <w:spacing w:after="120"/>
      </w:pPr>
      <w:r>
        <w:rPr>
          <w:rStyle w:val="FootnoteReference"/>
        </w:rPr>
        <w:footnoteRef/>
      </w:r>
      <w:r>
        <w:t xml:space="preserve"> Dominion Application at 4.</w:t>
      </w:r>
    </w:p>
  </w:footnote>
  <w:footnote w:id="27">
    <w:p w:rsidR="00BA5A3D" w:rsidP="00C51B8B" w14:paraId="45CE2733" w14:textId="77777777">
      <w:pPr>
        <w:pStyle w:val="FootnoteText"/>
        <w:spacing w:after="120"/>
      </w:pPr>
      <w:r>
        <w:rPr>
          <w:rStyle w:val="FootnoteReference"/>
        </w:rPr>
        <w:footnoteRef/>
      </w:r>
      <w:r>
        <w:t xml:space="preserve"> </w:t>
      </w:r>
      <w:r w:rsidRPr="00740A2E">
        <w:rPr>
          <w:i/>
          <w:iCs/>
        </w:rPr>
        <w:t>See</w:t>
      </w:r>
      <w:r>
        <w:t>, Case No. 19-0468-GA-ALT, OCC/NOPEC Ex. 2, Direct Testimony of Daniel J. Duann, Ph.D. (Sept. 11, 2020).</w:t>
      </w:r>
    </w:p>
  </w:footnote>
  <w:footnote w:id="28">
    <w:p w:rsidR="00BA5A3D" w:rsidP="00C51B8B" w14:paraId="10C299EF" w14:textId="77777777">
      <w:pPr>
        <w:pStyle w:val="FootnoteText"/>
        <w:spacing w:after="120"/>
      </w:pPr>
      <w:r>
        <w:rPr>
          <w:rStyle w:val="FootnoteReference"/>
        </w:rPr>
        <w:footnoteRef/>
      </w:r>
      <w:r>
        <w:t xml:space="preserve"> Case No. 07-0829-GA-AIR, as adjusted to reflect the impact of the Tax Cuts and Jobs Act of 2017 reduction of the federal income tax rate from 35% to 21%.</w:t>
      </w:r>
    </w:p>
  </w:footnote>
  <w:footnote w:id="29">
    <w:p w:rsidR="00BA5A3D" w:rsidP="00C51B8B" w14:paraId="14982777" w14:textId="77777777">
      <w:pPr>
        <w:pStyle w:val="FootnoteText"/>
        <w:spacing w:after="120"/>
      </w:pPr>
      <w:r>
        <w:rPr>
          <w:rStyle w:val="FootnoteReference"/>
        </w:rPr>
        <w:footnoteRef/>
      </w:r>
      <w:r>
        <w:t xml:space="preserve"> </w:t>
      </w:r>
      <w:r w:rsidRPr="00E8682A">
        <w:rPr>
          <w:i/>
          <w:iCs/>
        </w:rPr>
        <w:t>See</w:t>
      </w:r>
      <w:r>
        <w:t>, Duann Testimony at 8, Case No. 19-0468-GA-ALT.</w:t>
      </w:r>
    </w:p>
  </w:footnote>
  <w:footnote w:id="30">
    <w:p w:rsidR="00BA5A3D" w:rsidP="00C51B8B" w14:paraId="2C2EB834" w14:textId="77777777">
      <w:pPr>
        <w:pStyle w:val="FootnoteText"/>
        <w:spacing w:after="120"/>
      </w:pPr>
      <w:r>
        <w:rPr>
          <w:rStyle w:val="FootnoteReference"/>
        </w:rPr>
        <w:footnoteRef/>
      </w:r>
      <w:r>
        <w:t xml:space="preserve"> </w:t>
      </w:r>
      <w:r w:rsidRPr="00741B30">
        <w:rPr>
          <w:i/>
          <w:iCs/>
        </w:rPr>
        <w:t>Id</w:t>
      </w:r>
      <w:r>
        <w:t>. at 6-12.</w:t>
      </w:r>
    </w:p>
  </w:footnote>
  <w:footnote w:id="31">
    <w:p w:rsidR="00BA5A3D" w:rsidP="00C51B8B" w14:paraId="175D70AB" w14:textId="77777777">
      <w:pPr>
        <w:pStyle w:val="FootnoteText"/>
        <w:spacing w:after="120"/>
      </w:pPr>
      <w:r>
        <w:rPr>
          <w:rStyle w:val="FootnoteReference"/>
        </w:rPr>
        <w:footnoteRef/>
      </w:r>
      <w:r>
        <w:t xml:space="preserve"> Duann Testimony at 7.</w:t>
      </w:r>
    </w:p>
  </w:footnote>
  <w:footnote w:id="32">
    <w:p w:rsidR="007F0B28" w:rsidP="00C51B8B" w14:paraId="05AD838F" w14:textId="34C69D99">
      <w:pPr>
        <w:pStyle w:val="FootnoteText"/>
        <w:spacing w:after="120"/>
      </w:pPr>
      <w:r>
        <w:rPr>
          <w:rStyle w:val="FootnoteReference"/>
        </w:rPr>
        <w:footnoteRef/>
      </w:r>
      <w:r w:rsidR="006C4ABA">
        <w:t xml:space="preserve"> </w:t>
      </w:r>
      <w:r>
        <w:t>Consumer Protection Comments by Office of the Ohio Consumers’ Counsel at 2, 5-8 (Feb. 17, 2021).</w:t>
      </w:r>
      <w:r>
        <w:t xml:space="preserve"> </w:t>
      </w:r>
    </w:p>
  </w:footnote>
  <w:footnote w:id="33">
    <w:p w:rsidR="001C315F" w:rsidP="00C51B8B" w14:paraId="7A3D832C" w14:textId="2AB899D4">
      <w:pPr>
        <w:pStyle w:val="FootnoteText"/>
        <w:spacing w:after="120"/>
      </w:pPr>
      <w:r>
        <w:rPr>
          <w:rStyle w:val="FootnoteReference"/>
        </w:rPr>
        <w:footnoteRef/>
      </w:r>
      <w:r>
        <w:t xml:space="preserve"> </w:t>
      </w:r>
      <w:r w:rsidR="00173AD8">
        <w:t>Dominion response to OCC INT-01-005 (Feb</w:t>
      </w:r>
      <w:r w:rsidR="006C4ABA">
        <w:t>.</w:t>
      </w:r>
      <w:r w:rsidR="00173AD8">
        <w:t xml:space="preserve"> 3, 2021).</w:t>
      </w:r>
    </w:p>
  </w:footnote>
  <w:footnote w:id="34">
    <w:p w:rsidR="00934BAD" w:rsidP="00C51B8B" w14:paraId="5BD74CFD" w14:textId="28339EBA">
      <w:pPr>
        <w:pStyle w:val="FootnoteText"/>
        <w:spacing w:after="120"/>
      </w:pPr>
      <w:r>
        <w:rPr>
          <w:rStyle w:val="FootnoteReference"/>
        </w:rPr>
        <w:footnoteRef/>
      </w:r>
      <w:r>
        <w:t xml:space="preserve"> Dominion Application at 5.</w:t>
      </w:r>
    </w:p>
  </w:footnote>
  <w:footnote w:id="35">
    <w:p w:rsidR="007F2D23" w:rsidP="00C51B8B" w14:paraId="4A37E17D" w14:textId="4CA11337">
      <w:pPr>
        <w:pStyle w:val="FootnoteText"/>
        <w:spacing w:after="120"/>
      </w:pPr>
      <w:r>
        <w:rPr>
          <w:rStyle w:val="FootnoteReference"/>
        </w:rPr>
        <w:footnoteRef/>
      </w:r>
      <w:r>
        <w:t xml:space="preserve"> </w:t>
      </w:r>
      <w:r w:rsidR="00DC2988">
        <w:rPr>
          <w:szCs w:val="24"/>
        </w:rPr>
        <w:t>U</w:t>
      </w:r>
      <w:r w:rsidRPr="00CB76F9" w:rsidR="00DC2988">
        <w:rPr>
          <w:szCs w:val="24"/>
        </w:rPr>
        <w:t>nder the residential rates adopted in Dominion’s most recent case to reauthorize the program</w:t>
      </w:r>
      <w:r w:rsidRPr="00762661" w:rsidR="00762661">
        <w:rPr>
          <w:i/>
          <w:iCs/>
          <w:szCs w:val="24"/>
        </w:rPr>
        <w:t>, In the Matter of the Application of the East Ohio Gas Company d/b/a Dominion East Ohio for Approval of an Alternative Form of Regulation</w:t>
      </w:r>
      <w:r w:rsidR="00762661">
        <w:rPr>
          <w:szCs w:val="24"/>
        </w:rPr>
        <w:t>, Case No. 15-362</w:t>
      </w:r>
      <w:r w:rsidRPr="00CB76F9" w:rsidR="00DC2988">
        <w:rPr>
          <w:szCs w:val="24"/>
        </w:rPr>
        <w:t>-GA-ALT</w:t>
      </w:r>
      <w:r w:rsidR="00762661">
        <w:rPr>
          <w:szCs w:val="24"/>
        </w:rPr>
        <w:t>, Opinion and Order (Sept. 14, 2016</w:t>
      </w:r>
      <w:r w:rsidRPr="00CB76F9" w:rsidR="00DC2988">
        <w:rPr>
          <w:szCs w:val="24"/>
        </w:rPr>
        <w:t>)</w:t>
      </w:r>
      <w:r w:rsidR="00762661">
        <w:rPr>
          <w:szCs w:val="24"/>
        </w:rPr>
        <w:t>.</w:t>
      </w:r>
    </w:p>
  </w:footnote>
  <w:footnote w:id="36">
    <w:p w:rsidR="00FB113E" w:rsidP="00C51B8B" w14:paraId="7E272A30" w14:textId="7D1C551D">
      <w:pPr>
        <w:pStyle w:val="FootnoteText"/>
        <w:spacing w:after="120"/>
      </w:pPr>
      <w:r>
        <w:rPr>
          <w:rStyle w:val="FootnoteReference"/>
        </w:rPr>
        <w:footnoteRef/>
      </w:r>
      <w:r>
        <w:t xml:space="preserve"> Staff Report at 4.</w:t>
      </w:r>
    </w:p>
  </w:footnote>
  <w:footnote w:id="37">
    <w:p w:rsidR="007F2D23" w:rsidP="00C51B8B" w14:paraId="113A93A5" w14:textId="0104EC84">
      <w:pPr>
        <w:pStyle w:val="FootnoteText"/>
        <w:spacing w:after="120"/>
      </w:pPr>
      <w:r>
        <w:rPr>
          <w:rStyle w:val="FootnoteReference"/>
        </w:rPr>
        <w:footnoteRef/>
      </w:r>
      <w:r>
        <w:t xml:space="preserve"> </w:t>
      </w:r>
      <w:r w:rsidRPr="007F2D23">
        <w:rPr>
          <w:i/>
          <w:iCs/>
        </w:rPr>
        <w:t>Id</w:t>
      </w:r>
      <w:r>
        <w:t>.</w:t>
      </w:r>
    </w:p>
  </w:footnote>
  <w:footnote w:id="38">
    <w:p w:rsidR="00946E4D" w:rsidP="00C51B8B" w14:paraId="341ECC14" w14:textId="4298B73F">
      <w:pPr>
        <w:pStyle w:val="FootnoteText"/>
        <w:spacing w:after="120"/>
      </w:pPr>
      <w:r w:rsidRPr="001843DB">
        <w:rPr>
          <w:rStyle w:val="FootnoteReference"/>
        </w:rPr>
        <w:footnoteRef/>
      </w:r>
      <w:r w:rsidR="006C4ABA">
        <w:t xml:space="preserve"> </w:t>
      </w:r>
      <w:r>
        <w:t>Case No. 15-362-GA-ALT Opinion and Order at 5.</w:t>
      </w:r>
    </w:p>
  </w:footnote>
  <w:footnote w:id="39">
    <w:p w:rsidR="00D1792F" w:rsidP="00C51B8B" w14:paraId="214FE3EF" w14:textId="193258CE">
      <w:pPr>
        <w:pStyle w:val="FootnoteText"/>
        <w:spacing w:after="120"/>
      </w:pPr>
      <w:r>
        <w:rPr>
          <w:rStyle w:val="FootnoteReference"/>
        </w:rPr>
        <w:footnoteRef/>
      </w:r>
      <w:r>
        <w:t xml:space="preserve"> Staff Report at 3-4.</w:t>
      </w:r>
    </w:p>
  </w:footnote>
  <w:footnote w:id="40">
    <w:p w:rsidR="00867587" w:rsidP="00C51B8B" w14:paraId="65476229" w14:textId="42685BB7">
      <w:pPr>
        <w:pStyle w:val="FootnoteText"/>
        <w:spacing w:after="120"/>
      </w:pPr>
      <w:r>
        <w:rPr>
          <w:rStyle w:val="FootnoteReference"/>
        </w:rPr>
        <w:footnoteRef/>
      </w:r>
      <w:r>
        <w:t xml:space="preserve"> Staff Report at 4.</w:t>
      </w:r>
    </w:p>
  </w:footnote>
  <w:footnote w:id="41">
    <w:p w:rsidR="006401BD" w:rsidP="00C51B8B" w14:paraId="0E80DEB7" w14:textId="1ACAF793">
      <w:pPr>
        <w:pStyle w:val="FootnoteText"/>
        <w:spacing w:after="120"/>
      </w:pPr>
      <w:r>
        <w:rPr>
          <w:rStyle w:val="FootnoteReference"/>
        </w:rPr>
        <w:footnoteRef/>
      </w:r>
      <w:r>
        <w:t xml:space="preserve"> </w:t>
      </w:r>
      <w:r w:rsidRPr="00762661" w:rsidR="00762661">
        <w:rPr>
          <w:i/>
          <w:iCs/>
        </w:rPr>
        <w:t>Id</w:t>
      </w:r>
      <w:r w:rsidR="00762661">
        <w:t>.</w:t>
      </w:r>
    </w:p>
  </w:footnote>
  <w:footnote w:id="42">
    <w:p w:rsidR="007F1B6C" w:rsidP="00C51B8B" w14:paraId="49924D4D" w14:textId="0AD869A9">
      <w:pPr>
        <w:pStyle w:val="FootnoteText"/>
        <w:spacing w:after="120"/>
      </w:pPr>
      <w:r>
        <w:rPr>
          <w:rStyle w:val="FootnoteReference"/>
        </w:rPr>
        <w:footnoteRef/>
      </w:r>
      <w:r>
        <w:t xml:space="preserve"> </w:t>
      </w:r>
      <w:r w:rsidRPr="007F1B6C">
        <w:rPr>
          <w:i/>
          <w:iCs/>
        </w:rPr>
        <w:t>See</w:t>
      </w:r>
      <w:r>
        <w:t>, Initial Brief by The Office of the Ohio Consumers’ Counsel, Case No. 15-362 (Mar</w:t>
      </w:r>
      <w:r w:rsidR="006C4ABA">
        <w:t>.</w:t>
      </w:r>
      <w:r>
        <w:t xml:space="preserve"> 15, 2016).</w:t>
      </w:r>
    </w:p>
  </w:footnote>
  <w:footnote w:id="43">
    <w:p w:rsidR="00D1792F" w:rsidP="00C51B8B" w14:paraId="0572FE99" w14:textId="16B4D083">
      <w:pPr>
        <w:pStyle w:val="FootnoteText"/>
        <w:spacing w:after="120"/>
      </w:pPr>
      <w:r>
        <w:rPr>
          <w:rStyle w:val="FootnoteReference"/>
        </w:rPr>
        <w:footnoteRef/>
      </w:r>
      <w:r>
        <w:t xml:space="preserve"> Staff Report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7C37D7D"/>
    <w:multiLevelType w:val="hybridMultilevel"/>
    <w:tmpl w:val="7E900294"/>
    <w:lvl w:ilvl="0">
      <w:start w:val="1"/>
      <w:numFmt w:val="decimal"/>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68B06EC"/>
    <w:multiLevelType w:val="hybridMultilevel"/>
    <w:tmpl w:val="53D819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7"/>
  </w:num>
  <w:num w:numId="4">
    <w:abstractNumId w:val="6"/>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3256"/>
    <w:rsid w:val="00007BE4"/>
    <w:rsid w:val="00010D94"/>
    <w:rsid w:val="000149FA"/>
    <w:rsid w:val="0003188F"/>
    <w:rsid w:val="000520C5"/>
    <w:rsid w:val="000623A7"/>
    <w:rsid w:val="00076819"/>
    <w:rsid w:val="00077662"/>
    <w:rsid w:val="00082BD3"/>
    <w:rsid w:val="000841AF"/>
    <w:rsid w:val="00091365"/>
    <w:rsid w:val="000B2FF8"/>
    <w:rsid w:val="000B3316"/>
    <w:rsid w:val="000B3D25"/>
    <w:rsid w:val="000C325E"/>
    <w:rsid w:val="000D3CB7"/>
    <w:rsid w:val="000D5986"/>
    <w:rsid w:val="000E19C1"/>
    <w:rsid w:val="000E5427"/>
    <w:rsid w:val="000E6B41"/>
    <w:rsid w:val="000F176C"/>
    <w:rsid w:val="000F7847"/>
    <w:rsid w:val="00107F97"/>
    <w:rsid w:val="00110AAF"/>
    <w:rsid w:val="00113813"/>
    <w:rsid w:val="00126831"/>
    <w:rsid w:val="001277C8"/>
    <w:rsid w:val="00136CA4"/>
    <w:rsid w:val="001450FB"/>
    <w:rsid w:val="00166062"/>
    <w:rsid w:val="00173A56"/>
    <w:rsid w:val="00173AD8"/>
    <w:rsid w:val="001843DB"/>
    <w:rsid w:val="0019116F"/>
    <w:rsid w:val="001A7714"/>
    <w:rsid w:val="001B0AFA"/>
    <w:rsid w:val="001C315F"/>
    <w:rsid w:val="001C46B3"/>
    <w:rsid w:val="001D29F0"/>
    <w:rsid w:val="001D563C"/>
    <w:rsid w:val="001D5688"/>
    <w:rsid w:val="001E7860"/>
    <w:rsid w:val="001E7CC7"/>
    <w:rsid w:val="00200242"/>
    <w:rsid w:val="002054C3"/>
    <w:rsid w:val="0020664D"/>
    <w:rsid w:val="0021695F"/>
    <w:rsid w:val="00231CAC"/>
    <w:rsid w:val="002336D5"/>
    <w:rsid w:val="00263D93"/>
    <w:rsid w:val="00264445"/>
    <w:rsid w:val="00267856"/>
    <w:rsid w:val="00271737"/>
    <w:rsid w:val="00280058"/>
    <w:rsid w:val="002812E4"/>
    <w:rsid w:val="00281ECB"/>
    <w:rsid w:val="002A7663"/>
    <w:rsid w:val="002B5102"/>
    <w:rsid w:val="002B54B9"/>
    <w:rsid w:val="002C25A2"/>
    <w:rsid w:val="002C6022"/>
    <w:rsid w:val="002C7DE3"/>
    <w:rsid w:val="002D1206"/>
    <w:rsid w:val="002D3B14"/>
    <w:rsid w:val="002E0F2F"/>
    <w:rsid w:val="002F0CDB"/>
    <w:rsid w:val="002F4BA7"/>
    <w:rsid w:val="002F6E9F"/>
    <w:rsid w:val="0030104A"/>
    <w:rsid w:val="00304692"/>
    <w:rsid w:val="00310E97"/>
    <w:rsid w:val="003162B4"/>
    <w:rsid w:val="00317302"/>
    <w:rsid w:val="00322286"/>
    <w:rsid w:val="00326FA5"/>
    <w:rsid w:val="00347BCC"/>
    <w:rsid w:val="00351175"/>
    <w:rsid w:val="00367582"/>
    <w:rsid w:val="00372DFE"/>
    <w:rsid w:val="00383AE6"/>
    <w:rsid w:val="003916C0"/>
    <w:rsid w:val="003B4855"/>
    <w:rsid w:val="003D0518"/>
    <w:rsid w:val="003D30A5"/>
    <w:rsid w:val="003D5071"/>
    <w:rsid w:val="003D6749"/>
    <w:rsid w:val="003E2666"/>
    <w:rsid w:val="003E700C"/>
    <w:rsid w:val="003F1D60"/>
    <w:rsid w:val="00414187"/>
    <w:rsid w:val="00416830"/>
    <w:rsid w:val="004515C4"/>
    <w:rsid w:val="004515F8"/>
    <w:rsid w:val="00460D90"/>
    <w:rsid w:val="00466E16"/>
    <w:rsid w:val="00474101"/>
    <w:rsid w:val="00474E09"/>
    <w:rsid w:val="004778AF"/>
    <w:rsid w:val="00481650"/>
    <w:rsid w:val="0048311C"/>
    <w:rsid w:val="0049260C"/>
    <w:rsid w:val="004A44C0"/>
    <w:rsid w:val="004A686B"/>
    <w:rsid w:val="004A6D4E"/>
    <w:rsid w:val="004B341B"/>
    <w:rsid w:val="004B41CD"/>
    <w:rsid w:val="004B4DFA"/>
    <w:rsid w:val="004C02C3"/>
    <w:rsid w:val="004C3EBD"/>
    <w:rsid w:val="004D4C6D"/>
    <w:rsid w:val="004E3A86"/>
    <w:rsid w:val="004F39F9"/>
    <w:rsid w:val="004F5BDC"/>
    <w:rsid w:val="00513A30"/>
    <w:rsid w:val="00516D51"/>
    <w:rsid w:val="00517420"/>
    <w:rsid w:val="005229A8"/>
    <w:rsid w:val="00524818"/>
    <w:rsid w:val="00554224"/>
    <w:rsid w:val="0056226C"/>
    <w:rsid w:val="00565FA7"/>
    <w:rsid w:val="00583506"/>
    <w:rsid w:val="00592F22"/>
    <w:rsid w:val="005934DE"/>
    <w:rsid w:val="005A2A37"/>
    <w:rsid w:val="005A6137"/>
    <w:rsid w:val="005C61B3"/>
    <w:rsid w:val="005D1D76"/>
    <w:rsid w:val="005D455D"/>
    <w:rsid w:val="005D4EA5"/>
    <w:rsid w:val="005E1A52"/>
    <w:rsid w:val="005E23DC"/>
    <w:rsid w:val="005E34F1"/>
    <w:rsid w:val="005F1155"/>
    <w:rsid w:val="00601734"/>
    <w:rsid w:val="006026F9"/>
    <w:rsid w:val="006042E6"/>
    <w:rsid w:val="00621A3E"/>
    <w:rsid w:val="00632A00"/>
    <w:rsid w:val="006401BD"/>
    <w:rsid w:val="00642606"/>
    <w:rsid w:val="00652332"/>
    <w:rsid w:val="00661572"/>
    <w:rsid w:val="00690416"/>
    <w:rsid w:val="00692EB0"/>
    <w:rsid w:val="0069402D"/>
    <w:rsid w:val="006B45D4"/>
    <w:rsid w:val="006C187E"/>
    <w:rsid w:val="006C2EF7"/>
    <w:rsid w:val="006C4ABA"/>
    <w:rsid w:val="006D7569"/>
    <w:rsid w:val="006E3F2E"/>
    <w:rsid w:val="006E3FA7"/>
    <w:rsid w:val="00727FE7"/>
    <w:rsid w:val="007360B0"/>
    <w:rsid w:val="007365FE"/>
    <w:rsid w:val="0074083A"/>
    <w:rsid w:val="00740A2E"/>
    <w:rsid w:val="00741B30"/>
    <w:rsid w:val="00742DDD"/>
    <w:rsid w:val="0074512F"/>
    <w:rsid w:val="0074700C"/>
    <w:rsid w:val="00754C46"/>
    <w:rsid w:val="00760330"/>
    <w:rsid w:val="00762661"/>
    <w:rsid w:val="007644B2"/>
    <w:rsid w:val="00767C6D"/>
    <w:rsid w:val="00770F28"/>
    <w:rsid w:val="00783664"/>
    <w:rsid w:val="0079022E"/>
    <w:rsid w:val="007A40FC"/>
    <w:rsid w:val="007A46B4"/>
    <w:rsid w:val="007C1A47"/>
    <w:rsid w:val="007D7CBD"/>
    <w:rsid w:val="007E29EB"/>
    <w:rsid w:val="007E4D83"/>
    <w:rsid w:val="007E4EF0"/>
    <w:rsid w:val="007E548A"/>
    <w:rsid w:val="007F0AC4"/>
    <w:rsid w:val="007F0B28"/>
    <w:rsid w:val="007F1B6C"/>
    <w:rsid w:val="007F2D23"/>
    <w:rsid w:val="007F72D1"/>
    <w:rsid w:val="0080038A"/>
    <w:rsid w:val="00811286"/>
    <w:rsid w:val="00814BD8"/>
    <w:rsid w:val="00821F0E"/>
    <w:rsid w:val="00824D53"/>
    <w:rsid w:val="0083461E"/>
    <w:rsid w:val="00836BDA"/>
    <w:rsid w:val="00841E5F"/>
    <w:rsid w:val="008426DF"/>
    <w:rsid w:val="00846631"/>
    <w:rsid w:val="008539FB"/>
    <w:rsid w:val="0086209A"/>
    <w:rsid w:val="00867587"/>
    <w:rsid w:val="00890AFE"/>
    <w:rsid w:val="008B64E1"/>
    <w:rsid w:val="008C1AEA"/>
    <w:rsid w:val="008C5DD3"/>
    <w:rsid w:val="008D05A0"/>
    <w:rsid w:val="008E0F6B"/>
    <w:rsid w:val="008E2499"/>
    <w:rsid w:val="008E26A5"/>
    <w:rsid w:val="008E4E01"/>
    <w:rsid w:val="008F1B0B"/>
    <w:rsid w:val="00900545"/>
    <w:rsid w:val="009138DC"/>
    <w:rsid w:val="00920B1D"/>
    <w:rsid w:val="00934BAD"/>
    <w:rsid w:val="00946E4D"/>
    <w:rsid w:val="009617A4"/>
    <w:rsid w:val="009649D5"/>
    <w:rsid w:val="0098323E"/>
    <w:rsid w:val="009910F8"/>
    <w:rsid w:val="009B4B7B"/>
    <w:rsid w:val="009D37EA"/>
    <w:rsid w:val="009D5E20"/>
    <w:rsid w:val="009E06A5"/>
    <w:rsid w:val="009E1326"/>
    <w:rsid w:val="009F15FD"/>
    <w:rsid w:val="009F3C8A"/>
    <w:rsid w:val="00A0301F"/>
    <w:rsid w:val="00A03464"/>
    <w:rsid w:val="00A037BF"/>
    <w:rsid w:val="00A044B5"/>
    <w:rsid w:val="00A12CE6"/>
    <w:rsid w:val="00A134F7"/>
    <w:rsid w:val="00A16C84"/>
    <w:rsid w:val="00A17720"/>
    <w:rsid w:val="00A342E4"/>
    <w:rsid w:val="00A41F87"/>
    <w:rsid w:val="00A457B3"/>
    <w:rsid w:val="00A538CA"/>
    <w:rsid w:val="00A61AFF"/>
    <w:rsid w:val="00A721DF"/>
    <w:rsid w:val="00A82114"/>
    <w:rsid w:val="00A83641"/>
    <w:rsid w:val="00A91671"/>
    <w:rsid w:val="00A9624C"/>
    <w:rsid w:val="00AB22E0"/>
    <w:rsid w:val="00AC03B0"/>
    <w:rsid w:val="00AC37FB"/>
    <w:rsid w:val="00AC69A6"/>
    <w:rsid w:val="00AE7A26"/>
    <w:rsid w:val="00B00277"/>
    <w:rsid w:val="00B103E3"/>
    <w:rsid w:val="00B21D29"/>
    <w:rsid w:val="00B21F46"/>
    <w:rsid w:val="00B40CED"/>
    <w:rsid w:val="00B652E1"/>
    <w:rsid w:val="00B7455E"/>
    <w:rsid w:val="00B841A2"/>
    <w:rsid w:val="00B84853"/>
    <w:rsid w:val="00B9184D"/>
    <w:rsid w:val="00BA0756"/>
    <w:rsid w:val="00BA5A3D"/>
    <w:rsid w:val="00BB13D5"/>
    <w:rsid w:val="00BB4617"/>
    <w:rsid w:val="00BB511B"/>
    <w:rsid w:val="00BB6930"/>
    <w:rsid w:val="00BB7D9C"/>
    <w:rsid w:val="00BC05C0"/>
    <w:rsid w:val="00BC170B"/>
    <w:rsid w:val="00BD0C64"/>
    <w:rsid w:val="00BE37F0"/>
    <w:rsid w:val="00BE6A24"/>
    <w:rsid w:val="00BF6EBE"/>
    <w:rsid w:val="00C0060E"/>
    <w:rsid w:val="00C00FB6"/>
    <w:rsid w:val="00C017A7"/>
    <w:rsid w:val="00C063C9"/>
    <w:rsid w:val="00C06536"/>
    <w:rsid w:val="00C262B2"/>
    <w:rsid w:val="00C2771E"/>
    <w:rsid w:val="00C40656"/>
    <w:rsid w:val="00C410BE"/>
    <w:rsid w:val="00C5124F"/>
    <w:rsid w:val="00C51B8B"/>
    <w:rsid w:val="00C621CA"/>
    <w:rsid w:val="00C6360D"/>
    <w:rsid w:val="00C64C85"/>
    <w:rsid w:val="00C65CC3"/>
    <w:rsid w:val="00C75369"/>
    <w:rsid w:val="00C81614"/>
    <w:rsid w:val="00CA2D79"/>
    <w:rsid w:val="00CB2155"/>
    <w:rsid w:val="00CB5D16"/>
    <w:rsid w:val="00CB76F9"/>
    <w:rsid w:val="00CB7AD1"/>
    <w:rsid w:val="00CD2819"/>
    <w:rsid w:val="00CD4085"/>
    <w:rsid w:val="00CD65B9"/>
    <w:rsid w:val="00CE1566"/>
    <w:rsid w:val="00CE1BC1"/>
    <w:rsid w:val="00CF3990"/>
    <w:rsid w:val="00CF5A7A"/>
    <w:rsid w:val="00D13A56"/>
    <w:rsid w:val="00D1700D"/>
    <w:rsid w:val="00D1792F"/>
    <w:rsid w:val="00D4185C"/>
    <w:rsid w:val="00D47ECF"/>
    <w:rsid w:val="00D6741A"/>
    <w:rsid w:val="00D74569"/>
    <w:rsid w:val="00D74612"/>
    <w:rsid w:val="00D7695E"/>
    <w:rsid w:val="00D80D07"/>
    <w:rsid w:val="00D81268"/>
    <w:rsid w:val="00D86902"/>
    <w:rsid w:val="00D875C7"/>
    <w:rsid w:val="00D879B3"/>
    <w:rsid w:val="00D90AE5"/>
    <w:rsid w:val="00D961B0"/>
    <w:rsid w:val="00DB1C53"/>
    <w:rsid w:val="00DB2909"/>
    <w:rsid w:val="00DB5164"/>
    <w:rsid w:val="00DB6AED"/>
    <w:rsid w:val="00DB6F1A"/>
    <w:rsid w:val="00DC2988"/>
    <w:rsid w:val="00DC61DF"/>
    <w:rsid w:val="00DD53E7"/>
    <w:rsid w:val="00DE0FE3"/>
    <w:rsid w:val="00DE2C6C"/>
    <w:rsid w:val="00DE70D2"/>
    <w:rsid w:val="00DF6691"/>
    <w:rsid w:val="00DF6B06"/>
    <w:rsid w:val="00E07939"/>
    <w:rsid w:val="00E21DA7"/>
    <w:rsid w:val="00E2213C"/>
    <w:rsid w:val="00E32375"/>
    <w:rsid w:val="00E41E2A"/>
    <w:rsid w:val="00E4646A"/>
    <w:rsid w:val="00E473A7"/>
    <w:rsid w:val="00E564F6"/>
    <w:rsid w:val="00E567EE"/>
    <w:rsid w:val="00E654A1"/>
    <w:rsid w:val="00E705C3"/>
    <w:rsid w:val="00E8053A"/>
    <w:rsid w:val="00E8682A"/>
    <w:rsid w:val="00E90A07"/>
    <w:rsid w:val="00E91397"/>
    <w:rsid w:val="00E93580"/>
    <w:rsid w:val="00E951E7"/>
    <w:rsid w:val="00E951E8"/>
    <w:rsid w:val="00E966EF"/>
    <w:rsid w:val="00EA6726"/>
    <w:rsid w:val="00EB4020"/>
    <w:rsid w:val="00EC69C0"/>
    <w:rsid w:val="00EC7E9F"/>
    <w:rsid w:val="00EE75BA"/>
    <w:rsid w:val="00EF4251"/>
    <w:rsid w:val="00EF43CB"/>
    <w:rsid w:val="00F00274"/>
    <w:rsid w:val="00F016F3"/>
    <w:rsid w:val="00F10C88"/>
    <w:rsid w:val="00F33877"/>
    <w:rsid w:val="00F40885"/>
    <w:rsid w:val="00F50EDD"/>
    <w:rsid w:val="00F517BD"/>
    <w:rsid w:val="00F5628F"/>
    <w:rsid w:val="00F562C1"/>
    <w:rsid w:val="00F71BFE"/>
    <w:rsid w:val="00F72206"/>
    <w:rsid w:val="00F87C07"/>
    <w:rsid w:val="00F912AB"/>
    <w:rsid w:val="00F93774"/>
    <w:rsid w:val="00FA280C"/>
    <w:rsid w:val="00FB00E6"/>
    <w:rsid w:val="00FB113E"/>
    <w:rsid w:val="00FC0F0B"/>
    <w:rsid w:val="00FC622B"/>
    <w:rsid w:val="00FD0673"/>
    <w:rsid w:val="00FD06F9"/>
    <w:rsid w:val="00FE6451"/>
    <w:rsid w:val="00FE7C4E"/>
    <w:rsid w:val="00FE7F0A"/>
    <w:rsid w:val="00FF1E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41"/>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qFormat/>
    <w:rsid w:val="009138D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rsid w:val="009138DC"/>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semiHidden/>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FE6451"/>
    <w:pPr>
      <w:tabs>
        <w:tab w:val="decimal" w:leader="dot" w:pos="9360"/>
      </w:tabs>
      <w:spacing w:after="240"/>
      <w:ind w:left="720" w:hanging="720"/>
    </w:pPr>
  </w:style>
  <w:style w:type="paragraph" w:styleId="TOC2">
    <w:name w:val="toc 2"/>
    <w:basedOn w:val="Normal"/>
    <w:next w:val="Normal"/>
    <w:autoRedefine/>
    <w:uiPriority w:val="39"/>
    <w:unhideWhenUsed/>
    <w:rsid w:val="00FE6451"/>
    <w:pPr>
      <w:tabs>
        <w:tab w:val="decimal" w:leader="dot" w:pos="9360"/>
      </w:tabs>
      <w:spacing w:after="240"/>
      <w:ind w:left="1440" w:hanging="720"/>
    </w:pPr>
  </w:style>
  <w:style w:type="paragraph" w:styleId="ListParagraph">
    <w:name w:val="List Paragraph"/>
    <w:basedOn w:val="Normal"/>
    <w:uiPriority w:val="34"/>
    <w:qFormat/>
    <w:rsid w:val="00A82114"/>
    <w:pPr>
      <w:ind w:left="720"/>
      <w:contextualSpacing/>
    </w:pPr>
  </w:style>
  <w:style w:type="character" w:customStyle="1" w:styleId="UnresolvedMention">
    <w:name w:val="Unresolved Mention"/>
    <w:basedOn w:val="DefaultParagraphFont"/>
    <w:rsid w:val="00CB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mailto:kyle.kern@ohioattorneygeneral.gov" TargetMode="External" /><Relationship Id="rId13" Type="http://schemas.openxmlformats.org/officeDocument/2006/relationships/hyperlink" Target="mailto:jodi.bair@ohioattorneygeneral.gov" TargetMode="External" /><Relationship Id="rId14" Type="http://schemas.openxmlformats.org/officeDocument/2006/relationships/hyperlink" Target="mailto:sarah.parrot@puco.ohio.gov" TargetMode="External" /><Relationship Id="rId15" Type="http://schemas.openxmlformats.org/officeDocument/2006/relationships/hyperlink" Target="mailto:Jacqueline.st.john@puco.ohio.gov" TargetMode="External" /><Relationship Id="rId16" Type="http://schemas.openxmlformats.org/officeDocument/2006/relationships/hyperlink" Target="mailto:whitt@whitt-sturtevant.com" TargetMode="External" /><Relationship Id="rId17" Type="http://schemas.openxmlformats.org/officeDocument/2006/relationships/hyperlink" Target="mailto:kennedy@whitt-sturtevant.com" TargetMode="External" /><Relationship Id="rId18" Type="http://schemas.openxmlformats.org/officeDocument/2006/relationships/hyperlink" Target="mailto:fykes@whitt-sturtevant.com" TargetMode="External" /><Relationship Id="rId19" Type="http://schemas.openxmlformats.org/officeDocument/2006/relationships/hyperlink" Target="mailto:Andrew.j.campbell@dominionenergy.com" TargetMode="External" /><Relationship Id="rId2" Type="http://schemas.openxmlformats.org/officeDocument/2006/relationships/settings" Target="settings.xml" /><Relationship Id="rId20" Type="http://schemas.openxmlformats.org/officeDocument/2006/relationships/hyperlink" Target="mailto:rdove@keglerbrown.com" TargetMode="Externa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DEO PIR Objections/all mgmt edits/final?  (00152183.DOCX;1)</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2021-05-05T21:03:47Z</dcterms:created>
  <dcterms:modified xsi:type="dcterms:W3CDTF">2021-05-05T21:03:47Z</dcterms:modified>
</cp:coreProperties>
</file>