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Bold"/>
        <w:rPr>
          <w:rFonts w:cs="Times New Roman"/>
          <w:szCs w:val="24"/>
        </w:rPr>
      </w:pPr>
      <w:r>
        <w:rPr>
          <w:rFonts w:cs="Times New Roman"/>
          <w:szCs w:val="24"/>
        </w:rPr>
        <w:t xml:space="preserve">BEFORE THE </w:t>
      </w:r>
    </w:p>
    <w:p>
      <w:pPr>
        <w:pStyle w:val="TitleBold"/>
        <w:rPr>
          <w:rFonts w:cs="Times New Roman"/>
          <w:szCs w:val="24"/>
        </w:rPr>
      </w:pPr>
      <w:r>
        <w:rPr>
          <w:rFonts w:cs="Times New Roman"/>
          <w:szCs w:val="24"/>
        </w:rPr>
        <w:t>PUBLIC UTILITIES COMMISSION OF OHIO</w:t>
      </w:r>
    </w:p>
    <w:p>
      <w:pPr>
        <w:pStyle w:val="KBody"/>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297"/>
        <w:gridCol w:w="4478"/>
      </w:tblGrid>
      <w:tr>
        <w:trPr>
          <w:cantSplit/>
        </w:trPr>
        <w:tc>
          <w:tcPr>
            <w:tcW w:w="4225" w:type="dxa"/>
          </w:tcPr>
          <w:p>
            <w:pPr>
              <w:contextualSpacing/>
              <w:rPr>
                <w:rFonts w:eastAsia="Calibri"/>
              </w:rPr>
            </w:pPr>
            <w:r>
              <w:rPr>
                <w:rFonts w:eastAsia="Calibri"/>
              </w:rPr>
              <w:t>In the Matter of the Complaint and Request for Emergency Interim Relief by Dynegy Marketing and Trade, LLC Against the Northeast Ohio Public Energy Council</w:t>
            </w:r>
          </w:p>
          <w:p>
            <w:pPr>
              <w:tabs>
                <w:tab w:val="left" w:pos="0"/>
              </w:tabs>
              <w:contextualSpacing/>
              <w:rPr>
                <w:rFonts w:eastAsia="Calibri"/>
              </w:rPr>
            </w:pPr>
          </w:p>
        </w:tc>
        <w:tc>
          <w:tcPr>
            <w:tcW w:w="297" w:type="dxa"/>
          </w:tcPr>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tc>
        <w:tc>
          <w:tcPr>
            <w:tcW w:w="4478" w:type="dxa"/>
          </w:tcPr>
          <w:p>
            <w:pPr>
              <w:ind w:left="497"/>
              <w:contextualSpacing/>
              <w:jc w:val="right"/>
              <w:rPr>
                <w:rFonts w:eastAsia="Calibri"/>
              </w:rPr>
            </w:pPr>
            <w:r>
              <w:rPr>
                <w:rFonts w:eastAsia="Calibri"/>
              </w:rPr>
              <w:t>Case No. 22-0817-EL-CSS</w:t>
            </w:r>
          </w:p>
          <w:p>
            <w:pPr>
              <w:ind w:left="497"/>
              <w:contextualSpacing/>
              <w:rPr>
                <w:rFonts w:eastAsia="Calibri"/>
                <w:b/>
              </w:rPr>
            </w:pPr>
          </w:p>
          <w:p>
            <w:pPr>
              <w:contextualSpacing/>
              <w:jc w:val="right"/>
              <w:rPr>
                <w:rFonts w:eastAsia="Calibri"/>
                <w:b/>
                <w:u w:val="single"/>
              </w:rPr>
            </w:pPr>
          </w:p>
          <w:p>
            <w:pPr>
              <w:contextualSpacing/>
              <w:jc w:val="right"/>
              <w:rPr>
                <w:rFonts w:eastAsia="Calibri"/>
                <w:b/>
                <w:u w:val="single"/>
              </w:rPr>
            </w:pPr>
          </w:p>
        </w:tc>
      </w:tr>
    </w:tbl>
    <w:p>
      <w:pPr>
        <w:pStyle w:val="KBody"/>
      </w:pPr>
      <w:r>
        <w:t>___________________________________________________________________________</w:t>
      </w:r>
    </w:p>
    <w:p>
      <w:pPr>
        <w:pStyle w:val="TitleBold"/>
        <w:spacing w:after="0"/>
        <w:rPr>
          <w:rFonts w:cs="Times New Roman"/>
          <w:szCs w:val="24"/>
        </w:rPr>
      </w:pPr>
      <w:r>
        <w:rPr>
          <w:rFonts w:cs="Times New Roman"/>
          <w:szCs w:val="24"/>
        </w:rPr>
        <w:t>MOTION FOR LEAVE TO FILE REPLY MEMORANDUM IN SUPPORT OF TRANSALTA ENERGY MARKETING (U.S.) INC.’S MOTION TO INTERVENE</w:t>
      </w:r>
    </w:p>
    <w:p>
      <w:pPr>
        <w:pStyle w:val="KBody"/>
      </w:pPr>
      <w:r>
        <w:t>___________________________________________________________________________</w:t>
      </w:r>
    </w:p>
    <w:p>
      <w:pPr>
        <w:pStyle w:val="KBodyDoubleFirstIndent5"/>
        <w:jc w:val="left"/>
        <w:rPr>
          <w:rFonts w:eastAsiaTheme="minorHAnsi"/>
          <w:color w:val="000000"/>
        </w:rPr>
      </w:pPr>
      <w:r>
        <w:t>Pursuant to Ohio Admin. Code 4901-1-12, TransAlta Energy Marketing (U.S.) Inc. (“TransAlta”), hereby moves for leave to file a Reply Memorandum to the Northeast Ohio Public Energy Council’s (“NOPEC’s”) Memorandum Contra TransAlta’s Motion to Intervene filed in the above captioned-proceeding on October 4, 2022.</w:t>
      </w:r>
      <w:r>
        <w:rPr>
          <w:rStyle w:val="FootnoteReference"/>
        </w:rPr>
        <w:footnoteReference w:id="1"/>
      </w:r>
      <w:r>
        <w:t xml:space="preserve">  TransAlta moves to address the allegations NOPEC makes in its Memorandum Contra and demonstrates that:  (1) TransAlta meets the Public Utilities Commission of Ohio’s (“Commission’s”) liberal standard for intervention; (2) NOPEC provides no basis for denying TransAlta’s intervention; and (3) NOPEC’s arguments are based </w:t>
      </w:r>
      <w:r>
        <w:rPr>
          <w:rFonts w:eastAsiaTheme="minorHAnsi"/>
          <w:color w:val="000000"/>
        </w:rPr>
        <w:t>on conclusory and unsubstantiated allegations.  Accordingly, TransAlta requests leave to file a reply memorandum in support of its intervention in the above-captioned proceeding.</w:t>
      </w:r>
    </w:p>
    <w:p>
      <w:pPr>
        <w:pStyle w:val="KBodyDoubleFirstIndent5"/>
      </w:pPr>
      <w:r>
        <w:t>A memorandum in support of this motion is attached.</w:t>
      </w:r>
    </w:p>
    <w:tbl>
      <w:tblPr>
        <w:tblW w:w="5000" w:type="pct"/>
        <w:tblLayout w:type="fixed"/>
        <w:tblCellMar>
          <w:left w:w="0" w:type="dxa"/>
          <w:right w:w="0" w:type="dxa"/>
        </w:tblCellMar>
        <w:tblLook w:val="0000" w:firstRow="0" w:lastRow="0" w:firstColumn="0" w:lastColumn="0" w:noHBand="0" w:noVBand="0"/>
      </w:tblPr>
      <w:tblGrid>
        <w:gridCol w:w="4680"/>
        <w:gridCol w:w="4680"/>
      </w:tblGrid>
      <w:tr>
        <w:trPr>
          <w:cantSplit/>
        </w:trPr>
        <w:tc>
          <w:tcPr>
            <w:tcW w:w="2500" w:type="pct"/>
          </w:tcPr>
          <w:p>
            <w:pPr>
              <w:widowControl w:val="0"/>
              <w:ind w:right="108"/>
              <w:jc w:val="both"/>
            </w:pPr>
            <w:r>
              <w:lastRenderedPageBreak/>
              <w:t>Dated:</w:t>
            </w:r>
            <w:r>
              <w:tab/>
              <w:t>October 11, 2022</w:t>
            </w:r>
          </w:p>
          <w:p>
            <w:pPr>
              <w:widowControl w:val="0"/>
              <w:ind w:right="108"/>
              <w:jc w:val="both"/>
            </w:pPr>
          </w:p>
        </w:tc>
        <w:tc>
          <w:tcPr>
            <w:tcW w:w="2500" w:type="pct"/>
          </w:tcPr>
          <w:p>
            <w:pPr>
              <w:widowControl w:val="0"/>
              <w:jc w:val="both"/>
              <w:rPr>
                <w:caps/>
              </w:rPr>
            </w:pPr>
            <w:r>
              <w:t>Respectfully submitted,</w:t>
            </w:r>
          </w:p>
          <w:p>
            <w:pPr>
              <w:widowControl w:val="0"/>
              <w:ind w:left="108"/>
              <w:jc w:val="both"/>
              <w:rPr>
                <w:caps/>
              </w:rPr>
            </w:pPr>
          </w:p>
          <w:p>
            <w:pPr>
              <w:rPr>
                <w:i/>
                <w:iCs/>
                <w:sz w:val="22"/>
                <w:szCs w:val="22"/>
                <w:u w:val="single"/>
              </w:rPr>
            </w:pPr>
            <w:r>
              <w:rPr>
                <w:i/>
                <w:iCs/>
                <w:u w:val="single"/>
              </w:rPr>
              <w:t>/s/ Kimberly Frank</w:t>
            </w:r>
          </w:p>
          <w:p>
            <w:pPr>
              <w:widowControl w:val="0"/>
              <w:contextualSpacing/>
              <w:rPr>
                <w:rFonts w:eastAsia="Calibri"/>
              </w:rPr>
            </w:pPr>
            <w:r>
              <w:rPr>
                <w:rFonts w:eastAsia="Calibri"/>
              </w:rPr>
              <w:t>Kimberly B. Frank, Counsel of Record</w:t>
            </w:r>
          </w:p>
          <w:p>
            <w:pPr>
              <w:widowControl w:val="0"/>
              <w:contextualSpacing/>
              <w:rPr>
                <w:rFonts w:eastAsia="Calibri"/>
              </w:rPr>
            </w:pPr>
            <w:r>
              <w:rPr>
                <w:rFonts w:eastAsia="Calibri"/>
              </w:rPr>
              <w:t>PHV-26301-2022</w:t>
            </w:r>
          </w:p>
          <w:p>
            <w:pPr>
              <w:widowControl w:val="0"/>
              <w:contextualSpacing/>
              <w:rPr>
                <w:rFonts w:eastAsia="Calibri"/>
                <w:i/>
              </w:rPr>
            </w:pPr>
          </w:p>
          <w:p>
            <w:pPr>
              <w:widowControl w:val="0"/>
              <w:contextualSpacing/>
              <w:rPr>
                <w:rFonts w:eastAsia="Calibri"/>
              </w:rPr>
            </w:pPr>
            <w:r>
              <w:rPr>
                <w:rFonts w:eastAsia="Calibri"/>
              </w:rPr>
              <w:t xml:space="preserve">K&amp;L Gates LLP </w:t>
            </w:r>
          </w:p>
          <w:p>
            <w:pPr>
              <w:widowControl w:val="0"/>
              <w:contextualSpacing/>
              <w:rPr>
                <w:rFonts w:eastAsia="Calibri"/>
              </w:rPr>
            </w:pPr>
            <w:r>
              <w:rPr>
                <w:rFonts w:eastAsia="Calibri"/>
              </w:rPr>
              <w:t xml:space="preserve">1601 K Street, NW </w:t>
            </w:r>
          </w:p>
          <w:p>
            <w:pPr>
              <w:widowControl w:val="0"/>
              <w:contextualSpacing/>
              <w:rPr>
                <w:rFonts w:eastAsia="Calibri"/>
              </w:rPr>
            </w:pPr>
            <w:r>
              <w:rPr>
                <w:rFonts w:eastAsia="Calibri"/>
              </w:rPr>
              <w:t>Washington, DC  20006</w:t>
            </w:r>
          </w:p>
          <w:p>
            <w:pPr>
              <w:widowControl w:val="0"/>
              <w:contextualSpacing/>
              <w:rPr>
                <w:rFonts w:eastAsia="Calibri"/>
              </w:rPr>
            </w:pPr>
            <w:r>
              <w:rPr>
                <w:rFonts w:eastAsia="Calibri"/>
              </w:rPr>
              <w:t>Tel: 202-778-9064</w:t>
            </w:r>
          </w:p>
          <w:p>
            <w:pPr>
              <w:widowControl w:val="0"/>
              <w:contextualSpacing/>
              <w:rPr>
                <w:rFonts w:eastAsia="Calibri"/>
              </w:rPr>
            </w:pPr>
            <w:r>
              <w:rPr>
                <w:rFonts w:eastAsiaTheme="minorHAnsi"/>
                <w:szCs w:val="22"/>
              </w:rPr>
              <w:t>Fax: 202-778-9100</w:t>
            </w:r>
          </w:p>
          <w:p>
            <w:pPr>
              <w:rPr>
                <w:rFonts w:eastAsia="Calibri"/>
                <w:color w:val="0000FF"/>
                <w:u w:val="single"/>
              </w:rPr>
            </w:pPr>
            <w:r>
              <w:t xml:space="preserve">Email: </w:t>
            </w:r>
            <w:hyperlink w:history="1" r:id="rId8">
              <w:r>
                <w:rPr>
                  <w:rFonts w:eastAsia="Calibri"/>
                  <w:color w:val="0000FF"/>
                  <w:u w:val="single"/>
                </w:rPr>
                <w:t>kimberly.frank@klgates.com</w:t>
              </w:r>
            </w:hyperlink>
          </w:p>
          <w:p>
            <w:pPr>
              <w:rPr>
                <w:rFonts w:eastAsia="Calibri"/>
                <w:color w:val="0000FF"/>
                <w:u w:val="single"/>
              </w:rPr>
            </w:pPr>
          </w:p>
          <w:p>
            <w:r>
              <w:t>Janessa Glenn (0100782)</w:t>
            </w:r>
          </w:p>
          <w:p>
            <w:r>
              <w:t>K&amp;L Gates LLP</w:t>
            </w:r>
          </w:p>
          <w:p>
            <w:r>
              <w:t>2801 Via Fortuna, Suite 650</w:t>
            </w:r>
          </w:p>
          <w:p>
            <w:r>
              <w:t>Austin, Texas  78746-7568</w:t>
            </w:r>
          </w:p>
          <w:p>
            <w:r>
              <w:t>Tel: 512-482-6866</w:t>
            </w:r>
          </w:p>
          <w:p>
            <w:r>
              <w:t>Fax: 512-482-6859</w:t>
            </w:r>
          </w:p>
          <w:p>
            <w:pPr>
              <w:rPr>
                <w:color w:val="0563C1" w:themeColor="hyperlink"/>
                <w:u w:val="single"/>
              </w:rPr>
            </w:pPr>
            <w:r>
              <w:t xml:space="preserve">Email: </w:t>
            </w:r>
            <w:hyperlink w:history="1" r:id="rId9">
              <w:r>
                <w:rPr>
                  <w:color w:val="0563C1" w:themeColor="hyperlink"/>
                  <w:u w:val="single"/>
                </w:rPr>
                <w:t>janessa.glenn@klgates.com</w:t>
              </w:r>
            </w:hyperlink>
          </w:p>
          <w:p>
            <w:pPr>
              <w:rPr>
                <w:color w:val="0563C1" w:themeColor="hyperlink"/>
                <w:u w:val="single"/>
              </w:rPr>
            </w:pPr>
          </w:p>
          <w:p>
            <w:pPr>
              <w:widowControl w:val="0"/>
              <w:contextualSpacing/>
              <w:rPr>
                <w:rFonts w:eastAsia="Calibri"/>
              </w:rPr>
            </w:pPr>
          </w:p>
          <w:p/>
          <w:p>
            <w:pPr>
              <w:rPr>
                <w:b/>
              </w:rPr>
            </w:pPr>
            <w:r>
              <w:rPr>
                <w:b/>
              </w:rPr>
              <w:t>Willing to Accept Service by Email</w:t>
            </w:r>
          </w:p>
          <w:p>
            <w:pPr>
              <w:rPr>
                <w:b/>
              </w:rPr>
            </w:pPr>
          </w:p>
          <w:p>
            <w:pPr>
              <w:rPr>
                <w:b/>
                <w:bCs/>
                <w:i/>
              </w:rPr>
            </w:pPr>
            <w:r>
              <w:rPr>
                <w:b/>
                <w:bCs/>
                <w:i/>
              </w:rPr>
              <w:t>COUNSEL FOR TRANSALTA ENERGY MARKETING (U.S.) INC.</w:t>
            </w:r>
          </w:p>
          <w:p>
            <w:pPr>
              <w:widowControl w:val="0"/>
              <w:ind w:left="108"/>
              <w:jc w:val="both"/>
            </w:pPr>
          </w:p>
        </w:tc>
      </w:tr>
    </w:tbl>
    <w:p>
      <w:pPr>
        <w:spacing w:after="160" w:line="259" w:lineRule="auto"/>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pPr>
        <w:spacing w:after="160" w:line="259" w:lineRule="auto"/>
        <w:rPr>
          <w:rFonts w:eastAsiaTheme="majorEastAsia"/>
          <w:b/>
        </w:rPr>
      </w:pPr>
    </w:p>
    <w:p>
      <w:pPr>
        <w:pStyle w:val="TitleBold"/>
        <w:rPr>
          <w:rFonts w:cs="Times New Roman"/>
          <w:szCs w:val="24"/>
        </w:rPr>
      </w:pPr>
      <w:r>
        <w:rPr>
          <w:rFonts w:cs="Times New Roman"/>
          <w:szCs w:val="24"/>
        </w:rPr>
        <w:t xml:space="preserve">BEFORE THE </w:t>
      </w:r>
    </w:p>
    <w:p>
      <w:pPr>
        <w:pStyle w:val="TitleBold"/>
        <w:rPr>
          <w:rFonts w:cs="Times New Roman"/>
          <w:szCs w:val="24"/>
        </w:rPr>
      </w:pPr>
      <w:r>
        <w:rPr>
          <w:rFonts w:cs="Times New Roman"/>
          <w:szCs w:val="24"/>
        </w:rPr>
        <w:t>PUBLIC UTILITIES COMMISSION OF OHIO</w:t>
      </w:r>
    </w:p>
    <w:p>
      <w:pPr>
        <w:pStyle w:val="KBody"/>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297"/>
        <w:gridCol w:w="4478"/>
      </w:tblGrid>
      <w:tr>
        <w:trPr>
          <w:cantSplit/>
        </w:trPr>
        <w:tc>
          <w:tcPr>
            <w:tcW w:w="4225" w:type="dxa"/>
          </w:tcPr>
          <w:p>
            <w:pPr>
              <w:contextualSpacing/>
              <w:rPr>
                <w:rFonts w:eastAsia="Calibri"/>
              </w:rPr>
            </w:pPr>
            <w:r>
              <w:rPr>
                <w:rFonts w:eastAsia="Calibri"/>
              </w:rPr>
              <w:t xml:space="preserve">In the Matter of the Complaint and Request for Emergency Interim Relief by Dynegy Marketing and Trade, LLC Against the Northeast Ohio Public Energy Council </w:t>
            </w:r>
          </w:p>
          <w:p>
            <w:pPr>
              <w:tabs>
                <w:tab w:val="left" w:pos="0"/>
              </w:tabs>
              <w:contextualSpacing/>
              <w:rPr>
                <w:rFonts w:eastAsia="Calibri"/>
              </w:rPr>
            </w:pPr>
          </w:p>
        </w:tc>
        <w:tc>
          <w:tcPr>
            <w:tcW w:w="297" w:type="dxa"/>
          </w:tcPr>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tc>
        <w:tc>
          <w:tcPr>
            <w:tcW w:w="4478" w:type="dxa"/>
          </w:tcPr>
          <w:p>
            <w:pPr>
              <w:ind w:left="497"/>
              <w:contextualSpacing/>
              <w:jc w:val="right"/>
              <w:rPr>
                <w:rFonts w:eastAsia="Calibri"/>
              </w:rPr>
            </w:pPr>
            <w:r>
              <w:rPr>
                <w:rFonts w:eastAsia="Calibri"/>
              </w:rPr>
              <w:t>Case No. 22-0817-EL-CSS</w:t>
            </w:r>
          </w:p>
          <w:p>
            <w:pPr>
              <w:ind w:left="497"/>
              <w:contextualSpacing/>
              <w:rPr>
                <w:rFonts w:eastAsia="Calibri"/>
                <w:b/>
              </w:rPr>
            </w:pPr>
          </w:p>
          <w:p>
            <w:pPr>
              <w:contextualSpacing/>
              <w:jc w:val="right"/>
              <w:rPr>
                <w:rFonts w:eastAsia="Calibri"/>
                <w:b/>
                <w:u w:val="single"/>
              </w:rPr>
            </w:pPr>
          </w:p>
          <w:p>
            <w:pPr>
              <w:contextualSpacing/>
              <w:jc w:val="center"/>
              <w:rPr>
                <w:rFonts w:eastAsia="Calibri"/>
                <w:b/>
                <w:u w:val="single"/>
              </w:rPr>
            </w:pPr>
          </w:p>
        </w:tc>
      </w:tr>
    </w:tbl>
    <w:p>
      <w:pPr>
        <w:pStyle w:val="KBody"/>
      </w:pPr>
      <w:r>
        <w:t>___________________________________________________________________________</w:t>
      </w:r>
    </w:p>
    <w:p>
      <w:pPr>
        <w:pStyle w:val="TitleBold"/>
        <w:spacing w:after="0"/>
        <w:rPr>
          <w:rFonts w:cs="Times New Roman"/>
          <w:szCs w:val="24"/>
        </w:rPr>
      </w:pPr>
      <w:r>
        <w:rPr>
          <w:rFonts w:cs="Times New Roman"/>
          <w:szCs w:val="24"/>
        </w:rPr>
        <w:t xml:space="preserve">MEMORANDUM IN SUPPORT OF MOTION FOR LEAVE </w:t>
      </w:r>
    </w:p>
    <w:p>
      <w:pPr>
        <w:pStyle w:val="TitleBold"/>
        <w:spacing w:after="0"/>
        <w:rPr>
          <w:rFonts w:cs="Times New Roman"/>
          <w:szCs w:val="24"/>
        </w:rPr>
      </w:pPr>
      <w:r>
        <w:rPr>
          <w:rFonts w:cs="Times New Roman"/>
          <w:szCs w:val="24"/>
        </w:rPr>
        <w:t xml:space="preserve">TO FILE REPLY MEMORANDUM IN SUPPORT OF </w:t>
      </w:r>
    </w:p>
    <w:p>
      <w:pPr>
        <w:pStyle w:val="TitleBold"/>
        <w:spacing w:after="0"/>
        <w:rPr>
          <w:rFonts w:cs="Times New Roman"/>
          <w:szCs w:val="24"/>
        </w:rPr>
      </w:pPr>
      <w:r>
        <w:rPr>
          <w:rFonts w:cs="Times New Roman"/>
          <w:szCs w:val="24"/>
        </w:rPr>
        <w:t xml:space="preserve">TRANSALTA ENERGY MARKETING (U.S.) INC.’S MOTION TO INTERVENE </w:t>
      </w:r>
    </w:p>
    <w:p>
      <w:pPr>
        <w:pStyle w:val="KBody"/>
      </w:pPr>
      <w:r>
        <w:t>___________________________________________________________________________</w:t>
      </w:r>
    </w:p>
    <w:p>
      <w:pPr>
        <w:pStyle w:val="KBodyDoubleFirstIndent5"/>
        <w:jc w:val="left"/>
      </w:pPr>
      <w:r>
        <w:rPr>
          <w:rFonts w:eastAsiaTheme="minorHAnsi"/>
          <w:color w:val="000000"/>
        </w:rPr>
        <w:t xml:space="preserve">On September 27, 2022, TransAlta Energy Marketing (U.S.) Inc. (“TransAlta”) moved to intervene in the above-captioned </w:t>
      </w:r>
      <w:r>
        <w:t>proceeding arising from the Northeast Ohio Public Energy Council’s (“NOPEC’s”) plan to prematurely and immediately return its Standard Program Price customers to the default standard service offer supply programs of three electric distribution utilities, as described in the Complaint and Request for Emergency Relief filed by Dynegy Marketing and Trade, LLC on August 31, 2022.</w:t>
      </w:r>
      <w:r>
        <w:rPr>
          <w:rStyle w:val="FootnoteReference"/>
        </w:rPr>
        <w:footnoteReference w:id="2"/>
      </w:r>
      <w:r>
        <w:t xml:space="preserve"> </w:t>
      </w:r>
    </w:p>
    <w:p>
      <w:pPr>
        <w:autoSpaceDE w:val="0"/>
        <w:autoSpaceDN w:val="0"/>
        <w:adjustRightInd w:val="0"/>
        <w:spacing w:line="480" w:lineRule="auto"/>
        <w:ind w:firstLine="720"/>
        <w:rPr>
          <w:rFonts w:eastAsiaTheme="minorHAnsi"/>
          <w:color w:val="000000"/>
        </w:rPr>
      </w:pPr>
      <w:r>
        <w:t>On October 4, 2022, NOPEC filed a Memorandum Contra TransAlta’s Motion to Intervene.</w:t>
      </w:r>
      <w:r>
        <w:rPr>
          <w:rStyle w:val="FootnoteReference"/>
        </w:rPr>
        <w:footnoteReference w:id="3"/>
      </w:r>
      <w:r>
        <w:t xml:space="preserve">  TransAlta moves for leave to file a Reply Memorandum to NOPEC’s Memorandum Contra to correct the record, as NOPEC’s Memorandum Contra </w:t>
      </w:r>
      <w:r>
        <w:rPr>
          <w:rFonts w:eastAsiaTheme="minorHAnsi"/>
          <w:color w:val="000000"/>
        </w:rPr>
        <w:t xml:space="preserve">relies primarily on conclusory </w:t>
      </w:r>
      <w:r>
        <w:rPr>
          <w:rFonts w:eastAsiaTheme="minorHAnsi"/>
          <w:color w:val="000000"/>
        </w:rPr>
        <w:lastRenderedPageBreak/>
        <w:t>and unsubstantiated allegations.  Although reply briefs are not normally permitted in the case of expedited motions, TransAlta should be granted leave to file a reply to correct NOPEC’s mischaracterizations of TransAlta’s Motion to Intervene and to ensure that the Public Utilities Commission of Ohio (“Commission”) is properly informed of TransAlta’s substantial interest in the outcome of this proceeding.  Moreover, the Commission has not yet established a procedural schedule in this proceeding, and thus, no party will be prejudiced by having the Commission consider the attached reply brief.</w:t>
      </w:r>
    </w:p>
    <w:p>
      <w:pPr>
        <w:autoSpaceDE w:val="0"/>
        <w:autoSpaceDN w:val="0"/>
        <w:adjustRightInd w:val="0"/>
        <w:spacing w:line="480" w:lineRule="auto"/>
        <w:ind w:firstLine="720"/>
        <w:rPr>
          <w:rFonts w:eastAsiaTheme="minorHAnsi"/>
          <w:color w:val="000000"/>
        </w:rPr>
      </w:pPr>
      <w:r>
        <w:rPr>
          <w:rFonts w:eastAsiaTheme="minorHAnsi"/>
          <w:color w:val="000000"/>
        </w:rPr>
        <w:t>Accordingly, for the foregoing reasons, the Commission should grant TransAlta’s motion for leave to file a reply memorandum and should consider the arguments set forth therein.</w:t>
      </w:r>
    </w:p>
    <w:p>
      <w:pPr>
        <w:autoSpaceDE w:val="0"/>
        <w:autoSpaceDN w:val="0"/>
        <w:adjustRightInd w:val="0"/>
        <w:spacing w:line="480" w:lineRule="auto"/>
        <w:ind w:firstLine="720"/>
        <w:rPr>
          <w:rFonts w:eastAsiaTheme="minorHAnsi"/>
          <w:color w:val="000000"/>
        </w:rPr>
      </w:pPr>
    </w:p>
    <w:tbl>
      <w:tblPr>
        <w:tblW w:w="5000" w:type="pct"/>
        <w:tblLayout w:type="fixed"/>
        <w:tblCellMar>
          <w:left w:w="0" w:type="dxa"/>
          <w:right w:w="0" w:type="dxa"/>
        </w:tblCellMar>
        <w:tblLook w:val="0000" w:firstRow="0" w:lastRow="0" w:firstColumn="0" w:lastColumn="0" w:noHBand="0" w:noVBand="0"/>
      </w:tblPr>
      <w:tblGrid>
        <w:gridCol w:w="4680"/>
        <w:gridCol w:w="4680"/>
      </w:tblGrid>
      <w:tr>
        <w:trPr>
          <w:cantSplit/>
        </w:trPr>
        <w:tc>
          <w:tcPr>
            <w:tcW w:w="2500" w:type="pct"/>
          </w:tcPr>
          <w:p>
            <w:pPr>
              <w:widowControl w:val="0"/>
              <w:ind w:right="108"/>
              <w:jc w:val="both"/>
            </w:pPr>
            <w:r>
              <w:lastRenderedPageBreak/>
              <w:t>Dated:</w:t>
            </w:r>
            <w:r>
              <w:tab/>
              <w:t>October 11, 2022</w:t>
            </w:r>
          </w:p>
          <w:p>
            <w:pPr>
              <w:widowControl w:val="0"/>
              <w:ind w:right="108"/>
              <w:jc w:val="both"/>
            </w:pPr>
          </w:p>
        </w:tc>
        <w:tc>
          <w:tcPr>
            <w:tcW w:w="2500" w:type="pct"/>
          </w:tcPr>
          <w:p>
            <w:pPr>
              <w:widowControl w:val="0"/>
              <w:jc w:val="both"/>
              <w:rPr>
                <w:caps/>
              </w:rPr>
            </w:pPr>
            <w:r>
              <w:t>Respectfully submitted,</w:t>
            </w:r>
          </w:p>
          <w:p>
            <w:pPr>
              <w:widowControl w:val="0"/>
              <w:ind w:left="108"/>
              <w:jc w:val="both"/>
              <w:rPr>
                <w:caps/>
              </w:rPr>
            </w:pPr>
          </w:p>
          <w:p>
            <w:pPr>
              <w:rPr>
                <w:i/>
                <w:iCs/>
                <w:sz w:val="22"/>
                <w:szCs w:val="22"/>
                <w:u w:val="single"/>
              </w:rPr>
            </w:pPr>
            <w:r>
              <w:rPr>
                <w:i/>
                <w:iCs/>
                <w:u w:val="single"/>
              </w:rPr>
              <w:t>/s/ Kimberly Frank</w:t>
            </w:r>
          </w:p>
          <w:p>
            <w:pPr>
              <w:widowControl w:val="0"/>
              <w:contextualSpacing/>
              <w:rPr>
                <w:rFonts w:eastAsia="Calibri"/>
              </w:rPr>
            </w:pPr>
            <w:r>
              <w:rPr>
                <w:rFonts w:eastAsia="Calibri"/>
              </w:rPr>
              <w:t>Kimberly B. Frank, Counsel of Record</w:t>
            </w:r>
          </w:p>
          <w:p>
            <w:pPr>
              <w:widowControl w:val="0"/>
              <w:contextualSpacing/>
              <w:rPr>
                <w:rFonts w:eastAsia="Calibri"/>
              </w:rPr>
            </w:pPr>
            <w:r>
              <w:rPr>
                <w:rFonts w:eastAsia="Calibri"/>
              </w:rPr>
              <w:t>PHV-26301-2022</w:t>
            </w:r>
          </w:p>
          <w:p>
            <w:pPr>
              <w:widowControl w:val="0"/>
              <w:contextualSpacing/>
              <w:rPr>
                <w:rFonts w:eastAsia="Calibri"/>
                <w:i/>
              </w:rPr>
            </w:pPr>
          </w:p>
          <w:p>
            <w:pPr>
              <w:widowControl w:val="0"/>
              <w:contextualSpacing/>
              <w:rPr>
                <w:rFonts w:eastAsia="Calibri"/>
              </w:rPr>
            </w:pPr>
            <w:r>
              <w:rPr>
                <w:rFonts w:eastAsia="Calibri"/>
              </w:rPr>
              <w:t xml:space="preserve">K&amp;L Gates LLP </w:t>
            </w:r>
          </w:p>
          <w:p>
            <w:pPr>
              <w:widowControl w:val="0"/>
              <w:contextualSpacing/>
              <w:rPr>
                <w:rFonts w:eastAsia="Calibri"/>
              </w:rPr>
            </w:pPr>
            <w:r>
              <w:rPr>
                <w:rFonts w:eastAsia="Calibri"/>
              </w:rPr>
              <w:t xml:space="preserve">1601 K Street, NW </w:t>
            </w:r>
          </w:p>
          <w:p>
            <w:pPr>
              <w:widowControl w:val="0"/>
              <w:contextualSpacing/>
              <w:rPr>
                <w:rFonts w:eastAsia="Calibri"/>
              </w:rPr>
            </w:pPr>
            <w:r>
              <w:rPr>
                <w:rFonts w:eastAsia="Calibri"/>
              </w:rPr>
              <w:t>Washington, DC  20006</w:t>
            </w:r>
          </w:p>
          <w:p>
            <w:pPr>
              <w:widowControl w:val="0"/>
              <w:contextualSpacing/>
              <w:rPr>
                <w:rFonts w:eastAsia="Calibri"/>
              </w:rPr>
            </w:pPr>
            <w:r>
              <w:rPr>
                <w:rFonts w:eastAsia="Calibri"/>
              </w:rPr>
              <w:t>Tel: 202-778-9064</w:t>
            </w:r>
          </w:p>
          <w:p>
            <w:pPr>
              <w:widowControl w:val="0"/>
              <w:contextualSpacing/>
              <w:rPr>
                <w:rFonts w:eastAsia="Calibri"/>
              </w:rPr>
            </w:pPr>
            <w:r>
              <w:rPr>
                <w:rFonts w:eastAsiaTheme="minorHAnsi"/>
                <w:szCs w:val="22"/>
              </w:rPr>
              <w:t>Fax: 202-778-9100</w:t>
            </w:r>
          </w:p>
          <w:p>
            <w:pPr>
              <w:rPr>
                <w:rFonts w:eastAsia="Calibri"/>
                <w:color w:val="0000FF"/>
                <w:u w:val="single"/>
              </w:rPr>
            </w:pPr>
            <w:r>
              <w:t xml:space="preserve">Email: </w:t>
            </w:r>
            <w:hyperlink w:history="1" r:id="rId16">
              <w:r>
                <w:rPr>
                  <w:rFonts w:eastAsia="Calibri"/>
                  <w:color w:val="0000FF"/>
                  <w:u w:val="single"/>
                </w:rPr>
                <w:t>kimberly.frank@klgates.com</w:t>
              </w:r>
            </w:hyperlink>
          </w:p>
          <w:p>
            <w:pPr>
              <w:rPr>
                <w:rFonts w:eastAsia="Calibri"/>
                <w:color w:val="0000FF"/>
                <w:u w:val="single"/>
              </w:rPr>
            </w:pPr>
          </w:p>
          <w:p>
            <w:r>
              <w:t>Janessa Glenn (0100782)</w:t>
            </w:r>
          </w:p>
          <w:p>
            <w:r>
              <w:t>K&amp;L Gates LLP</w:t>
            </w:r>
          </w:p>
          <w:p>
            <w:r>
              <w:t>2801 Via Fortuna, Suite 650</w:t>
            </w:r>
          </w:p>
          <w:p>
            <w:r>
              <w:t>Austin, Texas  78746-7568</w:t>
            </w:r>
          </w:p>
          <w:p>
            <w:r>
              <w:t>Tel: 512-482-6866</w:t>
            </w:r>
          </w:p>
          <w:p>
            <w:r>
              <w:t>Fax: 512-482-6859</w:t>
            </w:r>
          </w:p>
          <w:p>
            <w:pPr>
              <w:rPr>
                <w:color w:val="0563C1" w:themeColor="hyperlink"/>
                <w:u w:val="single"/>
              </w:rPr>
            </w:pPr>
            <w:r>
              <w:t xml:space="preserve">Email: </w:t>
            </w:r>
            <w:hyperlink w:history="1" r:id="rId17">
              <w:r>
                <w:rPr>
                  <w:color w:val="0563C1" w:themeColor="hyperlink"/>
                  <w:u w:val="single"/>
                </w:rPr>
                <w:t>janessa.glenn@klgates.com</w:t>
              </w:r>
            </w:hyperlink>
          </w:p>
          <w:p>
            <w:pPr>
              <w:rPr>
                <w:color w:val="0563C1" w:themeColor="hyperlink"/>
                <w:u w:val="single"/>
              </w:rPr>
            </w:pPr>
          </w:p>
          <w:p>
            <w:pPr>
              <w:widowControl w:val="0"/>
              <w:contextualSpacing/>
              <w:rPr>
                <w:rFonts w:eastAsia="Calibri"/>
              </w:rPr>
            </w:pPr>
          </w:p>
          <w:p/>
          <w:p>
            <w:pPr>
              <w:rPr>
                <w:b/>
              </w:rPr>
            </w:pPr>
            <w:r>
              <w:rPr>
                <w:b/>
              </w:rPr>
              <w:t>Willing to Accept Service by Email</w:t>
            </w:r>
          </w:p>
          <w:p>
            <w:pPr>
              <w:rPr>
                <w:b/>
              </w:rPr>
            </w:pPr>
          </w:p>
          <w:p>
            <w:pPr>
              <w:rPr>
                <w:b/>
                <w:bCs/>
                <w:i/>
              </w:rPr>
            </w:pPr>
            <w:r>
              <w:rPr>
                <w:b/>
                <w:bCs/>
                <w:i/>
              </w:rPr>
              <w:t>COUNSEL FOR TRANSALTA ENERGY MARKETING (U.S.) INC.</w:t>
            </w:r>
          </w:p>
          <w:p>
            <w:pPr>
              <w:widowControl w:val="0"/>
              <w:ind w:left="108"/>
              <w:jc w:val="both"/>
            </w:pPr>
          </w:p>
        </w:tc>
      </w:tr>
    </w:tbl>
    <w:p>
      <w:pPr>
        <w:spacing w:after="160" w:line="259" w:lineRule="auto"/>
        <w:rPr>
          <w:rFonts w:eastAsiaTheme="majorEastAsia"/>
        </w:rPr>
        <w:sectPr>
          <w:pgSz w:w="12240" w:h="15840"/>
          <w:pgMar w:top="1440" w:right="1440" w:bottom="1440" w:left="1440" w:header="720" w:footer="720" w:gutter="0"/>
          <w:pgNumType w:start="1"/>
          <w:cols w:space="720"/>
          <w:docGrid w:linePitch="360"/>
        </w:sectPr>
      </w:pPr>
    </w:p>
    <w:p>
      <w:pPr>
        <w:keepNext/>
        <w:spacing w:after="240"/>
        <w:contextualSpacing/>
        <w:jc w:val="center"/>
        <w:rPr>
          <w:rFonts w:eastAsiaTheme="majorEastAsia"/>
          <w:b/>
        </w:rPr>
      </w:pPr>
      <w:r>
        <w:rPr>
          <w:rFonts w:eastAsiaTheme="majorEastAsia"/>
          <w:b/>
        </w:rPr>
        <w:lastRenderedPageBreak/>
        <w:t xml:space="preserve">BEFORE THE </w:t>
      </w:r>
    </w:p>
    <w:p>
      <w:pPr>
        <w:keepNext/>
        <w:spacing w:after="240"/>
        <w:contextualSpacing/>
        <w:jc w:val="center"/>
        <w:rPr>
          <w:rFonts w:eastAsiaTheme="majorEastAsia"/>
          <w:b/>
        </w:rPr>
      </w:pPr>
      <w:r>
        <w:rPr>
          <w:rFonts w:eastAsiaTheme="majorEastAsia"/>
          <w:b/>
        </w:rPr>
        <w:t>PUBLIC UTILITIES COMMISSION OF OHIO</w:t>
      </w:r>
    </w:p>
    <w:p>
      <w:pPr>
        <w:spacing w:after="240"/>
      </w:pPr>
    </w:p>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297"/>
        <w:gridCol w:w="4478"/>
      </w:tblGrid>
      <w:tr>
        <w:trPr>
          <w:cantSplit/>
        </w:trPr>
        <w:tc>
          <w:tcPr>
            <w:tcW w:w="4225" w:type="dxa"/>
          </w:tcPr>
          <w:p>
            <w:pPr>
              <w:contextualSpacing/>
              <w:rPr>
                <w:rFonts w:eastAsia="Calibri"/>
              </w:rPr>
            </w:pPr>
            <w:r>
              <w:rPr>
                <w:rFonts w:eastAsia="Calibri"/>
              </w:rPr>
              <w:t>In the Matter of the Complaint and Request for Emergency Interim Relief by Dynegy Marketing and Trade, LLC Against the Northeast Ohio Public Energy Council</w:t>
            </w:r>
          </w:p>
        </w:tc>
        <w:tc>
          <w:tcPr>
            <w:tcW w:w="297" w:type="dxa"/>
          </w:tcPr>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tc>
        <w:tc>
          <w:tcPr>
            <w:tcW w:w="4478" w:type="dxa"/>
          </w:tcPr>
          <w:p>
            <w:pPr>
              <w:ind w:left="497"/>
              <w:contextualSpacing/>
              <w:jc w:val="right"/>
              <w:rPr>
                <w:rFonts w:eastAsia="Calibri"/>
              </w:rPr>
            </w:pPr>
            <w:r>
              <w:rPr>
                <w:rFonts w:eastAsia="Calibri"/>
              </w:rPr>
              <w:t>Case No. 22-0817-EL-CSS</w:t>
            </w:r>
          </w:p>
          <w:p>
            <w:pPr>
              <w:ind w:left="497"/>
              <w:contextualSpacing/>
              <w:rPr>
                <w:rFonts w:eastAsia="Calibri"/>
                <w:b/>
              </w:rPr>
            </w:pPr>
          </w:p>
          <w:p>
            <w:pPr>
              <w:contextualSpacing/>
              <w:jc w:val="right"/>
              <w:rPr>
                <w:rFonts w:eastAsia="Calibri"/>
                <w:b/>
                <w:u w:val="single"/>
              </w:rPr>
            </w:pPr>
          </w:p>
          <w:p>
            <w:pPr>
              <w:contextualSpacing/>
              <w:rPr>
                <w:rFonts w:eastAsia="Calibri"/>
                <w:b/>
                <w:u w:val="single"/>
              </w:rPr>
            </w:pPr>
          </w:p>
        </w:tc>
      </w:tr>
    </w:tbl>
    <w:p>
      <w:pPr>
        <w:spacing w:after="240"/>
      </w:pPr>
      <w:r>
        <w:t>___________________________________________________________________________</w:t>
      </w:r>
    </w:p>
    <w:p>
      <w:pPr>
        <w:keepNext/>
        <w:contextualSpacing/>
        <w:jc w:val="center"/>
        <w:rPr>
          <w:rFonts w:eastAsiaTheme="majorEastAsia"/>
          <w:b/>
        </w:rPr>
      </w:pPr>
      <w:r>
        <w:rPr>
          <w:rFonts w:eastAsiaTheme="majorEastAsia"/>
          <w:b/>
        </w:rPr>
        <w:t xml:space="preserve">REPLY MEMORANDUM IN SUPPORT OF </w:t>
      </w:r>
    </w:p>
    <w:p>
      <w:pPr>
        <w:keepNext/>
        <w:contextualSpacing/>
        <w:jc w:val="center"/>
        <w:rPr>
          <w:rFonts w:eastAsiaTheme="majorEastAsia"/>
          <w:b/>
        </w:rPr>
      </w:pPr>
      <w:r>
        <w:rPr>
          <w:rFonts w:eastAsiaTheme="majorEastAsia"/>
          <w:b/>
        </w:rPr>
        <w:t>TRANSALTA ENERGY MARKETING (U.S.) INC.’S MOTION TO INTERVENE</w:t>
      </w:r>
    </w:p>
    <w:p>
      <w:pPr>
        <w:spacing w:after="240"/>
      </w:pPr>
      <w:r>
        <w:t>___________________________________________________________________________</w:t>
      </w:r>
    </w:p>
    <w:p>
      <w:pPr>
        <w:keepNext/>
        <w:numPr>
          <w:ilvl w:val="0"/>
          <w:numId w:val="1"/>
        </w:numPr>
        <w:tabs>
          <w:tab w:val="clear" w:pos="1800"/>
        </w:tabs>
        <w:spacing w:after="240"/>
        <w:ind w:left="1440"/>
        <w:outlineLvl w:val="0"/>
        <w:rPr>
          <w:rFonts w:eastAsiaTheme="majorEastAsia"/>
          <w:bCs/>
        </w:rPr>
      </w:pPr>
      <w:r>
        <w:rPr>
          <w:rFonts w:eastAsiaTheme="majorEastAsia"/>
          <w:b/>
          <w:bCs/>
          <w:caps/>
        </w:rPr>
        <w:t>introduction</w:t>
      </w:r>
    </w:p>
    <w:p>
      <w:pPr>
        <w:autoSpaceDE w:val="0"/>
        <w:autoSpaceDN w:val="0"/>
        <w:adjustRightInd w:val="0"/>
        <w:spacing w:line="480" w:lineRule="auto"/>
        <w:ind w:firstLine="720"/>
        <w:rPr>
          <w:rFonts w:eastAsiaTheme="minorHAnsi"/>
          <w:color w:val="000000"/>
        </w:rPr>
      </w:pPr>
      <w:r>
        <w:rPr>
          <w:rFonts w:eastAsiaTheme="minorHAnsi"/>
          <w:color w:val="000000"/>
        </w:rPr>
        <w:t>On September 27, 2022, pursuant to R.C. 4903.221 and Ohio Admin. Code 4901-1-11, TransAlta Energy Marketing (U.S.) Inc. (“TransAlta”) moved to intervene in the above-captioned proceeding to address allegations raised in the Complaint and Request for Emergency Relief filed by Dynegy Marketing and Trade, LLC (“Dynegy”) on August 31, 2022,</w:t>
      </w:r>
      <w:r>
        <w:rPr>
          <w:rStyle w:val="FootnoteReference"/>
          <w:rFonts w:eastAsiaTheme="minorHAnsi"/>
          <w:color w:val="000000"/>
        </w:rPr>
        <w:footnoteReference w:id="4"/>
      </w:r>
      <w:r>
        <w:rPr>
          <w:rFonts w:eastAsiaTheme="minorHAnsi"/>
          <w:color w:val="000000"/>
        </w:rPr>
        <w:t xml:space="preserve"> asking the Public Utilities Commission of Ohio (“Commission”) to:  (1) investigate whether the Northeast Ohio Public Energy Council’s (“NOPEC’s”) dropping of over half a million of its Standard Program Price customers from its current three-year aggregation program and returning them prematurely to the standard service offer (“SSO”) programs of Cleveland Electric Illuminating Company and Ohio Edison Company (together, “FirstEnergy”) and Ohio Power Company (“AEP Ohio”) is consistent with Ohio law and the Commission’s rules; (2) enforce all relevant provisions of NOPEC’s governance and operation plan; and (3) suspend NOPEC’s certification.  NOPEC’s load shift will have significant impacts on TransAlta and Ohio’s competitive electric service market, and TransAlta seeks intervention without limitation in this proceeding.  </w:t>
      </w:r>
    </w:p>
    <w:p>
      <w:pPr>
        <w:autoSpaceDE w:val="0"/>
        <w:autoSpaceDN w:val="0"/>
        <w:adjustRightInd w:val="0"/>
        <w:spacing w:line="480" w:lineRule="auto"/>
        <w:rPr>
          <w:rFonts w:eastAsiaTheme="minorHAnsi"/>
          <w:color w:val="000000"/>
        </w:rPr>
      </w:pPr>
      <w:r>
        <w:rPr>
          <w:rFonts w:eastAsiaTheme="minorHAnsi"/>
          <w:color w:val="000000"/>
        </w:rPr>
        <w:lastRenderedPageBreak/>
        <w:tab/>
      </w:r>
      <w:r>
        <w:t>On October 4, 2022, NOPEC filed a Memorandum Contra TransAlta’s Motion to Intervene,</w:t>
      </w:r>
      <w:r>
        <w:rPr>
          <w:rStyle w:val="FootnoteReference"/>
        </w:rPr>
        <w:footnoteReference w:id="5"/>
      </w:r>
      <w:r>
        <w:rPr>
          <w:rFonts w:eastAsiaTheme="minorHAnsi"/>
          <w:color w:val="000000"/>
        </w:rPr>
        <w:t xml:space="preserve"> which mischaracterizes the Commission’s liberal intervention standard, provides no basis for denying TransAlta’s intervention, and relies primarily on broad and unsupported allegations that have no basis in fact, law, or prior Commission precedent.  Accordingly, the Commission should reject NOPEC’s arguments and grant TransAlta’s motion to intervene.</w:t>
      </w:r>
    </w:p>
    <w:p>
      <w:pPr>
        <w:keepNext/>
        <w:numPr>
          <w:ilvl w:val="0"/>
          <w:numId w:val="1"/>
        </w:numPr>
        <w:tabs>
          <w:tab w:val="clear" w:pos="1800"/>
        </w:tabs>
        <w:spacing w:after="240"/>
        <w:ind w:left="1440"/>
        <w:outlineLvl w:val="0"/>
        <w:rPr>
          <w:rFonts w:eastAsiaTheme="majorEastAsia"/>
          <w:b/>
          <w:bCs/>
          <w:caps/>
        </w:rPr>
      </w:pPr>
      <w:r>
        <w:rPr>
          <w:rFonts w:eastAsiaTheme="majorEastAsia"/>
          <w:b/>
          <w:bCs/>
          <w:caps/>
        </w:rPr>
        <w:t>law and argument</w:t>
      </w:r>
    </w:p>
    <w:p>
      <w:pPr>
        <w:autoSpaceDE w:val="0"/>
        <w:autoSpaceDN w:val="0"/>
        <w:adjustRightInd w:val="0"/>
        <w:spacing w:line="480" w:lineRule="auto"/>
        <w:ind w:firstLine="720"/>
        <w:rPr>
          <w:rFonts w:eastAsiaTheme="minorHAnsi"/>
          <w:color w:val="000000"/>
        </w:rPr>
      </w:pPr>
      <w:r>
        <w:rPr>
          <w:rFonts w:eastAsiaTheme="minorHAnsi"/>
          <w:color w:val="000000"/>
        </w:rPr>
        <w:t>The Commission has a long-standing policy of encouraging broad participation in its proceedings.</w:t>
      </w:r>
      <w:r>
        <w:rPr>
          <w:rFonts w:eastAsiaTheme="minorHAnsi"/>
          <w:color w:val="000000"/>
          <w:vertAlign w:val="superscript"/>
        </w:rPr>
        <w:footnoteReference w:id="6"/>
      </w:r>
      <w:r>
        <w:rPr>
          <w:rFonts w:eastAsiaTheme="minorHAnsi"/>
          <w:color w:val="000000"/>
        </w:rPr>
        <w:t xml:space="preserve">  Indeed, intervention rules should “generally [be] liberally construed in favor of intervention,”</w:t>
      </w:r>
      <w:r>
        <w:rPr>
          <w:rFonts w:eastAsiaTheme="minorHAnsi"/>
          <w:color w:val="000000"/>
          <w:vertAlign w:val="superscript"/>
        </w:rPr>
        <w:footnoteReference w:id="7"/>
      </w:r>
      <w:r>
        <w:rPr>
          <w:rFonts w:eastAsiaTheme="minorHAnsi"/>
          <w:color w:val="000000"/>
        </w:rPr>
        <w:t xml:space="preserve"> and this liberal construction applies “whether or not a hearing is held.”</w:t>
      </w:r>
      <w:r>
        <w:rPr>
          <w:rFonts w:eastAsiaTheme="minorHAnsi"/>
          <w:color w:val="000000"/>
          <w:vertAlign w:val="superscript"/>
        </w:rPr>
        <w:footnoteReference w:id="8"/>
      </w:r>
      <w:r>
        <w:rPr>
          <w:rFonts w:eastAsiaTheme="minorHAnsi"/>
          <w:color w:val="000000"/>
        </w:rPr>
        <w:t xml:space="preserve">  Moreover, a party should be granted intervention when it meets the five factors articulated in the rules, absent “evidence in the record calling those claims into doubt” or establishing that intervention would cause undue delay.</w:t>
      </w:r>
      <w:r>
        <w:rPr>
          <w:rFonts w:eastAsiaTheme="minorHAnsi"/>
          <w:color w:val="000000"/>
          <w:vertAlign w:val="superscript"/>
        </w:rPr>
        <w:footnoteReference w:id="9"/>
      </w:r>
    </w:p>
    <w:p>
      <w:pPr>
        <w:autoSpaceDE w:val="0"/>
        <w:autoSpaceDN w:val="0"/>
        <w:adjustRightInd w:val="0"/>
        <w:spacing w:line="480" w:lineRule="auto"/>
        <w:ind w:firstLine="720"/>
        <w:rPr>
          <w:rFonts w:eastAsiaTheme="minorHAnsi"/>
          <w:color w:val="000000"/>
        </w:rPr>
      </w:pPr>
      <w:r>
        <w:rPr>
          <w:rFonts w:eastAsiaTheme="minorHAnsi"/>
          <w:color w:val="000000"/>
        </w:rPr>
        <w:t xml:space="preserve">TransAlta has demonstrated that it meets the five factors the Commission uses in evaluating whether to permit intervention.  Specifically, TransAlta has been directly impacted by NOPEC’s unprecedented actions because TransAlta is currently responsible for serving 7% and 4% of the SSO load in the FirstEnergy and AEP Ohio service territories, respectively.  </w:t>
      </w:r>
      <w:r>
        <w:rPr>
          <w:rFonts w:eastAsiaTheme="minorHAnsi"/>
          <w:color w:val="000000"/>
        </w:rPr>
        <w:lastRenderedPageBreak/>
        <w:t>Accordingly, TransAlta has a real and substantial interest in this proceeding.  No other party can represent TransAlta’s business interests with respect to its own SSO load obligations and the impact of NOPEC’s actions on TransAlta.  Moreover, TransAlta’s intervention will not cause undue delay, as the Commission has not yet established a procedural schedule in this proceeding.  Last, TransAlta’s supporting memorandum demonstrates that its intervention is in the public interest, and that its legal position is consistent with the Commission’s initial findings in Case No. 00-2317-EL-GAG (the “Certification Proceeding”).</w:t>
      </w:r>
      <w:r>
        <w:rPr>
          <w:rStyle w:val="FootnoteReference"/>
          <w:rFonts w:eastAsiaTheme="minorHAnsi"/>
          <w:color w:val="000000"/>
        </w:rPr>
        <w:footnoteReference w:id="10"/>
      </w:r>
      <w:r>
        <w:rPr>
          <w:rFonts w:eastAsiaTheme="minorHAnsi"/>
          <w:color w:val="000000"/>
        </w:rPr>
        <w:t xml:space="preserve">  Thus, TransAlta meets the Commission’s liberal standard for intervention and its motion to intervene should be granted. </w:t>
      </w:r>
    </w:p>
    <w:p>
      <w:pPr>
        <w:autoSpaceDE w:val="0"/>
        <w:autoSpaceDN w:val="0"/>
        <w:adjustRightInd w:val="0"/>
        <w:spacing w:line="480" w:lineRule="auto"/>
        <w:ind w:firstLine="720"/>
        <w:rPr>
          <w:rFonts w:eastAsiaTheme="minorHAnsi"/>
          <w:color w:val="000000"/>
        </w:rPr>
      </w:pPr>
      <w:r>
        <w:rPr>
          <w:rFonts w:eastAsiaTheme="minorHAnsi"/>
          <w:color w:val="000000"/>
        </w:rPr>
        <w:t>Rather than respond to TransAlta’s arguments or provide any particularized basis to deny TransAlta’s intervention, NOPEC spends most of its time arguing that TransAlta does not have a right to intervene in a proceeding concerning its “mere filing” of a Notice of Material Change.</w:t>
      </w:r>
      <w:r>
        <w:rPr>
          <w:rFonts w:eastAsiaTheme="minorHAnsi"/>
          <w:color w:val="000000"/>
          <w:vertAlign w:val="superscript"/>
        </w:rPr>
        <w:footnoteReference w:id="11"/>
      </w:r>
      <w:r>
        <w:rPr>
          <w:rFonts w:eastAsiaTheme="minorHAnsi"/>
          <w:color w:val="000000"/>
        </w:rPr>
        <w:t xml:space="preserve">  But NOPEC misses the point.  First, even if there is no right to intervene here, intervention is nevertheless </w:t>
      </w:r>
      <w:r>
        <w:rPr>
          <w:rFonts w:eastAsiaTheme="minorHAnsi"/>
          <w:i/>
          <w:color w:val="000000"/>
        </w:rPr>
        <w:t>permissive</w:t>
      </w:r>
      <w:r>
        <w:rPr>
          <w:rFonts w:eastAsiaTheme="minorHAnsi"/>
          <w:color w:val="000000"/>
        </w:rPr>
        <w:t>.  Second, so much more is at stake here than a “mere filing.”  In fact, NOPEC’s characterization of its unilateral decision to return prematurely over 500,000 customers to SSO service</w:t>
      </w:r>
      <w:r>
        <w:rPr>
          <w:rFonts w:ascii="TimesNewRomanPSMT" w:hAnsi="TimesNewRomanPSMT" w:cs="TimesNewRomanPSMT" w:eastAsiaTheme="minorHAnsi"/>
          <w:color w:val="000000"/>
        </w:rPr>
        <w:t>—</w:t>
      </w:r>
      <w:r>
        <w:rPr>
          <w:rFonts w:eastAsiaTheme="minorHAnsi"/>
          <w:color w:val="000000"/>
        </w:rPr>
        <w:t>and its apparent ignorance of the significant impact that its actions will have on SSO load suppliers, SSO auctions, and the wider Ohio electric market</w:t>
      </w:r>
      <w:r>
        <w:rPr>
          <w:rFonts w:ascii="TimesNewRomanPSMT" w:hAnsi="TimesNewRomanPSMT" w:cs="TimesNewRomanPSMT" w:eastAsiaTheme="minorHAnsi"/>
          <w:color w:val="000000"/>
        </w:rPr>
        <w:t>—</w:t>
      </w:r>
      <w:r>
        <w:rPr>
          <w:rFonts w:eastAsiaTheme="minorHAnsi"/>
          <w:color w:val="000000"/>
        </w:rPr>
        <w:t>underscores why granting TransAlta party status is essential to ensure its interests in this proceeding are adequately protected.</w:t>
      </w:r>
    </w:p>
    <w:p>
      <w:pPr>
        <w:autoSpaceDE w:val="0"/>
        <w:autoSpaceDN w:val="0"/>
        <w:adjustRightInd w:val="0"/>
        <w:spacing w:line="480" w:lineRule="auto"/>
        <w:ind w:firstLine="720"/>
        <w:rPr>
          <w:rFonts w:ascii="TimesNewRomanPSMT" w:hAnsi="TimesNewRomanPSMT" w:cs="TimesNewRomanPSMT" w:eastAsiaTheme="minorHAnsi"/>
          <w:color w:val="000000"/>
        </w:rPr>
      </w:pPr>
      <w:r>
        <w:rPr>
          <w:rFonts w:eastAsiaTheme="minorHAnsi"/>
          <w:color w:val="000000"/>
        </w:rPr>
        <w:t xml:space="preserve">NOPEC claims TransAlta’s intervention should be denied here because its interests can be protected by the submission of comments as sought by the Commission in the Certification </w:t>
      </w:r>
      <w:r>
        <w:rPr>
          <w:rFonts w:eastAsiaTheme="minorHAnsi"/>
          <w:color w:val="000000"/>
        </w:rPr>
        <w:lastRenderedPageBreak/>
        <w:t>Proceeding.</w:t>
      </w:r>
      <w:r>
        <w:rPr>
          <w:rStyle w:val="FootnoteReference"/>
          <w:rFonts w:eastAsiaTheme="minorHAnsi"/>
          <w:color w:val="000000"/>
        </w:rPr>
        <w:footnoteReference w:id="12"/>
      </w:r>
      <w:r>
        <w:rPr>
          <w:rFonts w:eastAsiaTheme="minorHAnsi"/>
          <w:color w:val="000000"/>
        </w:rPr>
        <w:t xml:space="preserve">  But, the Commission has made clear on multiple occasions that it has not consolidated this proceeding with the Certification Proceeding.</w:t>
      </w:r>
      <w:r>
        <w:rPr>
          <w:rStyle w:val="FootnoteReference"/>
          <w:rFonts w:eastAsiaTheme="minorHAnsi"/>
          <w:color w:val="000000"/>
        </w:rPr>
        <w:footnoteReference w:id="13"/>
      </w:r>
      <w:r>
        <w:rPr>
          <w:rFonts w:eastAsiaTheme="minorHAnsi"/>
          <w:color w:val="000000"/>
        </w:rPr>
        <w:t xml:space="preserve">  Thus, any comments that TransAlta may file with respect to NOPEC’s response to the Show Cause Entry will not preserve TransAlta’s rights as a party in this proceeding.</w:t>
      </w:r>
      <w:r>
        <w:rPr>
          <w:rStyle w:val="FootnoteReference"/>
          <w:rFonts w:eastAsiaTheme="minorHAnsi"/>
          <w:color w:val="000000"/>
        </w:rPr>
        <w:footnoteReference w:id="14"/>
      </w:r>
    </w:p>
    <w:p>
      <w:pPr>
        <w:autoSpaceDE w:val="0"/>
        <w:autoSpaceDN w:val="0"/>
        <w:adjustRightInd w:val="0"/>
        <w:spacing w:line="480" w:lineRule="auto"/>
        <w:ind w:firstLine="720"/>
        <w:rPr>
          <w:rFonts w:eastAsiaTheme="minorHAnsi"/>
          <w:color w:val="000000"/>
        </w:rPr>
      </w:pPr>
      <w:r>
        <w:rPr>
          <w:rFonts w:eastAsiaTheme="minorHAnsi"/>
          <w:color w:val="000000"/>
        </w:rPr>
        <w:t>NOPEC further argues that TransAlta has no right to interject itself into Dynegy’s complaint proceeding, that TransAlta’s intervention is “an obvious attempt . . . to duplicate the efforts of Dynegy,”</w:t>
      </w:r>
      <w:r>
        <w:rPr>
          <w:rFonts w:eastAsiaTheme="minorHAnsi"/>
          <w:color w:val="000000"/>
          <w:vertAlign w:val="superscript"/>
        </w:rPr>
        <w:footnoteReference w:id="15"/>
      </w:r>
      <w:r>
        <w:rPr>
          <w:rFonts w:eastAsiaTheme="minorHAnsi"/>
          <w:color w:val="000000"/>
        </w:rPr>
        <w:t xml:space="preserve"> and that, </w:t>
      </w:r>
      <w:r>
        <w:t xml:space="preserve">essentially, TransAlta’s only interest in this proceeding is the underlying legal issue or the precedent to be set.  </w:t>
      </w:r>
      <w:r>
        <w:rPr>
          <w:rFonts w:eastAsiaTheme="minorHAnsi"/>
          <w:color w:val="000000"/>
        </w:rPr>
        <w:t xml:space="preserve">Again, NOPEC misses the mark.  TransAlta seeks intervention here to address the lawfulness of NOPEC’s actions, which Dynegy urges the Commission to investigate in the Complaint.  There is no other party, including </w:t>
      </w:r>
      <w:r>
        <w:rPr>
          <w:rFonts w:ascii="TimesNewRomanPSMT" w:hAnsi="TimesNewRomanPSMT" w:eastAsia="Calibri" w:cs="TimesNewRomanPSMT"/>
          <w:color w:val="000000"/>
        </w:rPr>
        <w:t>Dynegy</w:t>
      </w:r>
      <w:r>
        <w:rPr>
          <w:rFonts w:eastAsiaTheme="minorHAnsi"/>
          <w:color w:val="000000"/>
        </w:rPr>
        <w:t>, that can understand how NOPEC’s load-shifting will impact TransAlta’s business operations, and how that specific impact</w:t>
      </w:r>
      <w:r>
        <w:rPr>
          <w:rFonts w:ascii="TimesNewRomanPSMT" w:hAnsi="TimesNewRomanPSMT" w:cs="TimesNewRomanPSMT" w:eastAsiaTheme="minorHAnsi"/>
          <w:color w:val="000000"/>
        </w:rPr>
        <w:t xml:space="preserve"> </w:t>
      </w:r>
      <w:r>
        <w:rPr>
          <w:rFonts w:eastAsiaTheme="minorHAnsi"/>
          <w:color w:val="000000"/>
        </w:rPr>
        <w:t>could more broadly adversely affect “wholesale auctions which provide the generation for SSO service in all Ohio EDUs service territories.”</w:t>
      </w:r>
      <w:r>
        <w:rPr>
          <w:rFonts w:eastAsiaTheme="minorHAnsi"/>
          <w:color w:val="000000"/>
          <w:vertAlign w:val="superscript"/>
        </w:rPr>
        <w:footnoteReference w:id="16"/>
      </w:r>
      <w:r>
        <w:rPr>
          <w:rFonts w:eastAsiaTheme="minorHAnsi"/>
          <w:color w:val="000000"/>
        </w:rPr>
        <w:t xml:space="preserve">  Accordingly, TransAlta’s interest in this proceeding is not duplicative or merely based on precedential interest.  To the </w:t>
      </w:r>
      <w:r>
        <w:rPr>
          <w:rFonts w:eastAsiaTheme="minorHAnsi"/>
          <w:color w:val="000000"/>
        </w:rPr>
        <w:lastRenderedPageBreak/>
        <w:t>contrary, TransAlta has a direct and substantial business interest that cannot be represented by any other party, and should therefore be allowed to contribute to the development of the record and actively participate as a party in these proceedings.  Further, NOPEC cites no precedent to support its assertion that intervention is unwarranted in a complaint proceeding, but rather cites precedent that would support TransAlta’s intervention.</w:t>
      </w:r>
      <w:r>
        <w:rPr>
          <w:rStyle w:val="FootnoteReference"/>
          <w:rFonts w:eastAsiaTheme="minorHAnsi"/>
          <w:color w:val="000000"/>
        </w:rPr>
        <w:footnoteReference w:id="17"/>
      </w:r>
    </w:p>
    <w:p>
      <w:pPr>
        <w:autoSpaceDE w:val="0"/>
        <w:autoSpaceDN w:val="0"/>
        <w:adjustRightInd w:val="0"/>
        <w:spacing w:line="480" w:lineRule="auto"/>
        <w:ind w:firstLine="720"/>
        <w:rPr>
          <w:rFonts w:eastAsiaTheme="minorHAnsi"/>
          <w:color w:val="000000"/>
        </w:rPr>
      </w:pPr>
      <w:r>
        <w:rPr>
          <w:rFonts w:eastAsiaTheme="minorHAnsi"/>
          <w:color w:val="000000"/>
        </w:rPr>
        <w:t>Indeed, NOPEC’s Memorandum Contra largely relies on broad conclusory statements that are unsupported by any evidence, facts, case law, or precedent, and should thereby be rejected.  For example, in asserting that TransAlta’s intervention will unduly delay the proceeding, NOPEC merely concludes “TransAlta seeks intervention to engage in a campaign against NOPEC,”</w:t>
      </w:r>
      <w:r>
        <w:rPr>
          <w:rFonts w:eastAsiaTheme="minorHAnsi"/>
          <w:color w:val="000000"/>
          <w:vertAlign w:val="superscript"/>
        </w:rPr>
        <w:footnoteReference w:id="18"/>
      </w:r>
      <w:r>
        <w:rPr>
          <w:rFonts w:eastAsiaTheme="minorHAnsi"/>
          <w:color w:val="000000"/>
        </w:rPr>
        <w:t xml:space="preserve"> and that its intervention “will ultimately result in overbroad and unwarranted discovery requests that go well beyond the narrow scope of this proceeding.”</w:t>
      </w:r>
      <w:r>
        <w:rPr>
          <w:rFonts w:eastAsiaTheme="minorHAnsi"/>
          <w:color w:val="000000"/>
          <w:vertAlign w:val="superscript"/>
        </w:rPr>
        <w:footnoteReference w:id="19"/>
      </w:r>
      <w:r>
        <w:rPr>
          <w:rFonts w:eastAsiaTheme="minorHAnsi"/>
          <w:color w:val="000000"/>
        </w:rPr>
        <w:t xml:space="preserve">  However, NOPEC provides no evidence or facts to support its assertions.  NOPEC also claims, without any basis, that TransAlta “intends to make general and vague allegations,”</w:t>
      </w:r>
      <w:r>
        <w:rPr>
          <w:rFonts w:eastAsiaTheme="minorHAnsi"/>
          <w:color w:val="000000"/>
          <w:vertAlign w:val="superscript"/>
        </w:rPr>
        <w:footnoteReference w:id="20"/>
      </w:r>
      <w:r>
        <w:rPr>
          <w:rFonts w:eastAsiaTheme="minorHAnsi"/>
          <w:color w:val="000000"/>
        </w:rPr>
        <w:t xml:space="preserve"> is “blaming NOPEC for its own failures in assessing the risk of being an SSO supplier,”</w:t>
      </w:r>
      <w:r>
        <w:rPr>
          <w:rFonts w:eastAsiaTheme="minorHAnsi"/>
          <w:color w:val="000000"/>
          <w:vertAlign w:val="superscript"/>
        </w:rPr>
        <w:footnoteReference w:id="21"/>
      </w:r>
      <w:r>
        <w:rPr>
          <w:rFonts w:eastAsiaTheme="minorHAnsi"/>
          <w:color w:val="000000"/>
        </w:rPr>
        <w:t xml:space="preserve"> and that TransAlta intends to “misuse the intervention process . . .  to advance its self-serving interests of avoiding its contractual commitments.”</w:t>
      </w:r>
      <w:r>
        <w:rPr>
          <w:rFonts w:eastAsiaTheme="minorHAnsi"/>
          <w:color w:val="000000"/>
          <w:vertAlign w:val="superscript"/>
        </w:rPr>
        <w:footnoteReference w:id="22"/>
      </w:r>
      <w:r>
        <w:rPr>
          <w:rFonts w:eastAsiaTheme="minorHAnsi"/>
          <w:color w:val="000000"/>
        </w:rPr>
        <w:t xml:space="preserve">  But again, NOPEC provides no evidence to support these assertions.  Its conclusory and unsupported allegations must fail.</w:t>
      </w:r>
    </w:p>
    <w:p>
      <w:pPr>
        <w:keepNext/>
        <w:numPr>
          <w:ilvl w:val="0"/>
          <w:numId w:val="1"/>
        </w:numPr>
        <w:tabs>
          <w:tab w:val="clear" w:pos="1800"/>
        </w:tabs>
        <w:spacing w:after="240"/>
        <w:ind w:left="1440"/>
        <w:outlineLvl w:val="0"/>
        <w:rPr>
          <w:rFonts w:eastAsiaTheme="majorEastAsia"/>
          <w:b/>
          <w:bCs/>
          <w:caps/>
        </w:rPr>
      </w:pPr>
      <w:r>
        <w:rPr>
          <w:rFonts w:eastAsiaTheme="majorEastAsia"/>
          <w:b/>
          <w:bCs/>
          <w:caps/>
        </w:rPr>
        <w:lastRenderedPageBreak/>
        <w:t>Conclusion</w:t>
      </w:r>
    </w:p>
    <w:p>
      <w:pPr>
        <w:spacing w:line="480" w:lineRule="auto"/>
        <w:ind w:firstLine="720"/>
        <w:rPr>
          <w:rFonts w:eastAsiaTheme="minorHAnsi"/>
          <w:color w:val="000000"/>
        </w:rPr>
      </w:pPr>
      <w:r>
        <w:t xml:space="preserve">WHEREFORE, for the foregoing reasons, TransAlta respectfully requests that the Commission grant its motion to intervene in this proceeding.  </w:t>
      </w:r>
      <w:r>
        <w:rPr>
          <w:rFonts w:eastAsiaTheme="minorHAnsi"/>
          <w:color w:val="000000"/>
        </w:rPr>
        <w:t>Because TransAlta may be bound by any Commission order or activity in this proceeding and may be adversely affected thereby, and because TransAlta’s interests in this proceeding cannot be represented by any other party, TransAlta respectfully requests its motion to intervene be granted without limitation.</w:t>
      </w:r>
    </w:p>
    <w:p>
      <w:pPr>
        <w:spacing w:line="480" w:lineRule="auto"/>
        <w:ind w:firstLine="720"/>
      </w:pPr>
    </w:p>
    <w:tbl>
      <w:tblPr>
        <w:tblW w:w="5000" w:type="pct"/>
        <w:tblLayout w:type="fixed"/>
        <w:tblCellMar>
          <w:left w:w="0" w:type="dxa"/>
          <w:right w:w="0" w:type="dxa"/>
        </w:tblCellMar>
        <w:tblLook w:val="0000" w:firstRow="0" w:lastRow="0" w:firstColumn="0" w:lastColumn="0" w:noHBand="0" w:noVBand="0"/>
      </w:tblPr>
      <w:tblGrid>
        <w:gridCol w:w="4680"/>
        <w:gridCol w:w="4680"/>
      </w:tblGrid>
      <w:tr>
        <w:trPr>
          <w:cantSplit/>
        </w:trPr>
        <w:tc>
          <w:tcPr>
            <w:tcW w:w="2500" w:type="pct"/>
          </w:tcPr>
          <w:p>
            <w:pPr>
              <w:widowControl w:val="0"/>
              <w:ind w:right="108"/>
              <w:jc w:val="both"/>
            </w:pPr>
            <w:r>
              <w:t>Dated:</w:t>
            </w:r>
            <w:r>
              <w:tab/>
              <w:t>October 11, 2022</w:t>
            </w:r>
          </w:p>
          <w:p>
            <w:pPr>
              <w:widowControl w:val="0"/>
              <w:ind w:right="108"/>
              <w:jc w:val="both"/>
            </w:pPr>
          </w:p>
        </w:tc>
        <w:tc>
          <w:tcPr>
            <w:tcW w:w="2500" w:type="pct"/>
          </w:tcPr>
          <w:p>
            <w:pPr>
              <w:widowControl w:val="0"/>
              <w:jc w:val="both"/>
              <w:rPr>
                <w:caps/>
              </w:rPr>
            </w:pPr>
            <w:r>
              <w:t>Respectfully submitted,</w:t>
            </w:r>
            <w:bookmarkStart w:name="_mpd897429950000000000000000000000000000" w:id="0"/>
            <w:bookmarkEnd w:id="0"/>
          </w:p>
          <w:p>
            <w:pPr>
              <w:widowControl w:val="0"/>
              <w:ind w:left="108"/>
              <w:jc w:val="both"/>
              <w:rPr>
                <w:caps/>
              </w:rPr>
            </w:pPr>
          </w:p>
          <w:p>
            <w:pPr>
              <w:rPr>
                <w:i/>
                <w:iCs/>
                <w:sz w:val="22"/>
                <w:szCs w:val="22"/>
                <w:u w:val="single"/>
              </w:rPr>
            </w:pPr>
            <w:r>
              <w:rPr>
                <w:i/>
                <w:iCs/>
                <w:u w:val="single"/>
              </w:rPr>
              <w:t>/s/ Kimberly Frank</w:t>
            </w:r>
          </w:p>
          <w:p>
            <w:pPr>
              <w:widowControl w:val="0"/>
              <w:contextualSpacing/>
              <w:rPr>
                <w:rFonts w:eastAsia="Calibri"/>
              </w:rPr>
            </w:pPr>
            <w:r>
              <w:rPr>
                <w:rFonts w:eastAsia="Calibri"/>
              </w:rPr>
              <w:t>Kimberly B. Frank, Counsel of Record</w:t>
            </w:r>
          </w:p>
          <w:p>
            <w:pPr>
              <w:widowControl w:val="0"/>
              <w:contextualSpacing/>
              <w:rPr>
                <w:rFonts w:eastAsia="Calibri"/>
              </w:rPr>
            </w:pPr>
            <w:r>
              <w:rPr>
                <w:rFonts w:eastAsia="Calibri"/>
              </w:rPr>
              <w:t>PHV-26301-2022</w:t>
            </w:r>
          </w:p>
          <w:p>
            <w:pPr>
              <w:widowControl w:val="0"/>
              <w:contextualSpacing/>
              <w:rPr>
                <w:rFonts w:eastAsia="Calibri"/>
                <w:i/>
              </w:rPr>
            </w:pPr>
          </w:p>
          <w:p>
            <w:pPr>
              <w:widowControl w:val="0"/>
              <w:contextualSpacing/>
              <w:rPr>
                <w:rFonts w:eastAsia="Calibri"/>
              </w:rPr>
            </w:pPr>
            <w:r>
              <w:rPr>
                <w:rFonts w:eastAsia="Calibri"/>
              </w:rPr>
              <w:t xml:space="preserve">K&amp;L Gates LLP </w:t>
            </w:r>
          </w:p>
          <w:p>
            <w:pPr>
              <w:widowControl w:val="0"/>
              <w:contextualSpacing/>
              <w:rPr>
                <w:rFonts w:eastAsia="Calibri"/>
              </w:rPr>
            </w:pPr>
            <w:r>
              <w:rPr>
                <w:rFonts w:eastAsia="Calibri"/>
              </w:rPr>
              <w:t xml:space="preserve">1601 K Street, NW </w:t>
            </w:r>
          </w:p>
          <w:p>
            <w:pPr>
              <w:widowControl w:val="0"/>
              <w:contextualSpacing/>
              <w:rPr>
                <w:rFonts w:eastAsia="Calibri"/>
              </w:rPr>
            </w:pPr>
            <w:r>
              <w:rPr>
                <w:rFonts w:eastAsia="Calibri"/>
              </w:rPr>
              <w:t>Washington, DC  20006</w:t>
            </w:r>
          </w:p>
          <w:p>
            <w:pPr>
              <w:widowControl w:val="0"/>
              <w:contextualSpacing/>
              <w:rPr>
                <w:rFonts w:eastAsia="Calibri"/>
              </w:rPr>
            </w:pPr>
            <w:r>
              <w:rPr>
                <w:rFonts w:eastAsia="Calibri"/>
              </w:rPr>
              <w:t>Tel: 202-778-9064</w:t>
            </w:r>
          </w:p>
          <w:p>
            <w:pPr>
              <w:widowControl w:val="0"/>
              <w:contextualSpacing/>
              <w:rPr>
                <w:rFonts w:eastAsia="Calibri"/>
              </w:rPr>
            </w:pPr>
            <w:r>
              <w:rPr>
                <w:rFonts w:eastAsiaTheme="minorHAnsi"/>
                <w:szCs w:val="22"/>
              </w:rPr>
              <w:t>Fax: 202-778-9100</w:t>
            </w:r>
          </w:p>
          <w:p>
            <w:pPr>
              <w:rPr>
                <w:rFonts w:eastAsia="Calibri"/>
                <w:color w:val="0000FF"/>
                <w:u w:val="single"/>
              </w:rPr>
            </w:pPr>
            <w:r>
              <w:t xml:space="preserve">Email: </w:t>
            </w:r>
            <w:hyperlink w:history="1" r:id="rId18">
              <w:r>
                <w:rPr>
                  <w:rFonts w:eastAsia="Calibri"/>
                  <w:color w:val="0000FF"/>
                  <w:u w:val="single"/>
                </w:rPr>
                <w:t>kimberly.frank@klgates.com</w:t>
              </w:r>
            </w:hyperlink>
          </w:p>
          <w:p>
            <w:pPr>
              <w:rPr>
                <w:rFonts w:eastAsia="Calibri"/>
                <w:color w:val="0000FF"/>
                <w:u w:val="single"/>
              </w:rPr>
            </w:pPr>
          </w:p>
          <w:p>
            <w:r>
              <w:t>Janessa Glenn (0100782)</w:t>
            </w:r>
          </w:p>
          <w:p>
            <w:r>
              <w:t>K&amp;L Gates LLP</w:t>
            </w:r>
          </w:p>
          <w:p>
            <w:r>
              <w:t>2801 Via Fortuna, Suite 650</w:t>
            </w:r>
          </w:p>
          <w:p>
            <w:r>
              <w:t>Austin, Texas  78746-7568</w:t>
            </w:r>
          </w:p>
          <w:p>
            <w:r>
              <w:t>Tel: 512-482-6866</w:t>
            </w:r>
          </w:p>
          <w:p>
            <w:r>
              <w:t>Fax: 512-482-6859</w:t>
            </w:r>
          </w:p>
          <w:p>
            <w:pPr>
              <w:rPr>
                <w:color w:val="0563C1" w:themeColor="hyperlink"/>
                <w:u w:val="single"/>
              </w:rPr>
            </w:pPr>
            <w:r>
              <w:t xml:space="preserve">Email: </w:t>
            </w:r>
            <w:hyperlink w:history="1" r:id="rId19">
              <w:r>
                <w:rPr>
                  <w:color w:val="0563C1" w:themeColor="hyperlink"/>
                  <w:u w:val="single"/>
                </w:rPr>
                <w:t>janessa.glenn@klgates.com</w:t>
              </w:r>
            </w:hyperlink>
          </w:p>
          <w:p>
            <w:pPr>
              <w:rPr>
                <w:color w:val="0563C1" w:themeColor="hyperlink"/>
                <w:u w:val="single"/>
              </w:rPr>
            </w:pPr>
          </w:p>
          <w:p>
            <w:pPr>
              <w:widowControl w:val="0"/>
              <w:contextualSpacing/>
              <w:rPr>
                <w:rFonts w:eastAsia="Calibri"/>
              </w:rPr>
            </w:pPr>
          </w:p>
          <w:p/>
          <w:p>
            <w:pPr>
              <w:rPr>
                <w:b/>
              </w:rPr>
            </w:pPr>
            <w:r>
              <w:rPr>
                <w:b/>
              </w:rPr>
              <w:t>Willing to Accept Service by Email</w:t>
            </w:r>
          </w:p>
          <w:p>
            <w:pPr>
              <w:rPr>
                <w:b/>
              </w:rPr>
            </w:pPr>
          </w:p>
          <w:p>
            <w:pPr>
              <w:rPr>
                <w:b/>
                <w:bCs/>
                <w:i/>
              </w:rPr>
            </w:pPr>
            <w:r>
              <w:rPr>
                <w:b/>
                <w:bCs/>
                <w:i/>
              </w:rPr>
              <w:t>COUNSEL FOR TRANSALTA ENERGY MARKETING (U.S.) INC.</w:t>
            </w:r>
          </w:p>
          <w:p>
            <w:pPr>
              <w:widowControl w:val="0"/>
              <w:ind w:left="108"/>
              <w:jc w:val="both"/>
            </w:pPr>
          </w:p>
        </w:tc>
      </w:tr>
    </w:tbl>
    <w:p>
      <w:pPr>
        <w:tabs>
          <w:tab w:val="left" w:pos="0"/>
        </w:tabs>
        <w:spacing w:line="480" w:lineRule="auto"/>
        <w:jc w:val="both"/>
        <w:rPr>
          <w:rFonts w:eastAsiaTheme="majorEastAsia"/>
          <w:b/>
          <w:bCs/>
          <w:caps/>
        </w:rPr>
        <w:sectPr>
          <w:pgSz w:w="12240" w:h="15840"/>
          <w:pgMar w:top="1440" w:right="1440" w:bottom="1440" w:left="1440" w:header="720" w:footer="720" w:gutter="0"/>
          <w:pgNumType w:start="1"/>
          <w:cols w:space="720"/>
          <w:docGrid w:linePitch="360"/>
        </w:sectPr>
      </w:pPr>
    </w:p>
    <w:p>
      <w:pPr>
        <w:keepNext/>
        <w:spacing w:after="240"/>
        <w:contextualSpacing/>
        <w:jc w:val="center"/>
        <w:rPr>
          <w:rFonts w:eastAsiaTheme="majorEastAsia"/>
          <w:b/>
          <w:u w:val="single"/>
        </w:rPr>
      </w:pPr>
      <w:r>
        <w:rPr>
          <w:rFonts w:eastAsiaTheme="majorEastAsia"/>
          <w:b/>
          <w:u w:val="single"/>
        </w:rPr>
        <w:lastRenderedPageBreak/>
        <w:t>CERTIFICATE OF SERVICE</w:t>
      </w:r>
    </w:p>
    <w:p>
      <w:pPr>
        <w:keepNext/>
        <w:spacing w:after="240"/>
        <w:contextualSpacing/>
        <w:jc w:val="center"/>
        <w:rPr>
          <w:rFonts w:eastAsiaTheme="majorEastAsia"/>
          <w:b/>
          <w:u w:val="single"/>
        </w:rPr>
      </w:pPr>
    </w:p>
    <w:p>
      <w:pPr>
        <w:spacing w:line="480" w:lineRule="auto"/>
        <w:ind w:firstLine="720"/>
        <w:rPr>
          <w:rFonts w:eastAsiaTheme="minorHAnsi"/>
          <w:color w:val="333333"/>
          <w:lang w:val="en"/>
        </w:rPr>
      </w:pPr>
      <w:r>
        <w:rPr>
          <w:rFonts w:eastAsiaTheme="minorHAnsi"/>
          <w:color w:val="333333"/>
          <w:lang w:val="en"/>
        </w:rPr>
        <w:t>I certify on this 11th day of October, 2022, that the foregoing document was filed using the Commission’s Docketing Information System and was served by electronic mail on the following: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tc>
          <w:tcPr>
            <w:tcW w:w="4675" w:type="dxa"/>
          </w:tcPr>
          <w:p>
            <w:pPr>
              <w:rPr>
                <w:rFonts w:eastAsiaTheme="minorHAnsi"/>
                <w:color w:val="333333"/>
                <w:lang w:val="en"/>
              </w:rPr>
            </w:pPr>
            <w:r>
              <w:rPr>
                <w:rFonts w:eastAsiaTheme="minorHAnsi"/>
                <w:color w:val="333333"/>
                <w:lang w:val="en"/>
              </w:rPr>
              <w:t>Dane Stinson</w:t>
            </w:r>
            <w:r>
              <w:rPr>
                <w:rFonts w:eastAsiaTheme="minorHAnsi"/>
                <w:color w:val="333333"/>
                <w:lang w:val="en"/>
              </w:rPr>
              <w:tab/>
              <w:t xml:space="preserve"> </w:t>
            </w:r>
          </w:p>
          <w:p>
            <w:pPr>
              <w:rPr>
                <w:rFonts w:eastAsiaTheme="minorHAnsi"/>
                <w:color w:val="333333"/>
                <w:lang w:val="en"/>
              </w:rPr>
            </w:pPr>
            <w:r>
              <w:rPr>
                <w:rFonts w:eastAsiaTheme="minorHAnsi"/>
                <w:color w:val="333333"/>
                <w:lang w:val="en"/>
              </w:rPr>
              <w:t>Devin D. Parram</w:t>
            </w:r>
          </w:p>
          <w:p>
            <w:pPr>
              <w:rPr>
                <w:rFonts w:eastAsiaTheme="minorHAnsi"/>
                <w:color w:val="333333"/>
                <w:lang w:val="en"/>
              </w:rPr>
            </w:pPr>
            <w:r>
              <w:rPr>
                <w:rFonts w:eastAsiaTheme="minorHAnsi"/>
                <w:color w:val="333333"/>
                <w:lang w:val="en"/>
              </w:rPr>
              <w:t>Drew H. Campbell</w:t>
            </w:r>
            <w:r>
              <w:rPr>
                <w:rFonts w:eastAsiaTheme="minorHAnsi"/>
                <w:color w:val="333333"/>
                <w:lang w:val="en"/>
              </w:rPr>
              <w:tab/>
              <w:t xml:space="preserve"> </w:t>
            </w:r>
          </w:p>
          <w:p>
            <w:pPr>
              <w:rPr>
                <w:rFonts w:eastAsiaTheme="minorHAnsi"/>
                <w:color w:val="333333"/>
                <w:lang w:val="en"/>
              </w:rPr>
            </w:pPr>
            <w:r>
              <w:rPr>
                <w:rFonts w:eastAsiaTheme="minorHAnsi"/>
                <w:color w:val="333333"/>
                <w:lang w:val="en"/>
              </w:rPr>
              <w:t>Matthew W. Warnock</w:t>
            </w:r>
          </w:p>
          <w:p>
            <w:pPr>
              <w:rPr>
                <w:rFonts w:eastAsiaTheme="minorHAnsi"/>
                <w:color w:val="333333"/>
                <w:lang w:val="en"/>
              </w:rPr>
            </w:pPr>
            <w:r>
              <w:rPr>
                <w:rFonts w:eastAsiaTheme="minorHAnsi"/>
                <w:color w:val="333333"/>
                <w:lang w:val="en"/>
              </w:rPr>
              <w:t>Bricker &amp; Eckler, LLP</w:t>
            </w:r>
          </w:p>
          <w:p>
            <w:pPr>
              <w:rPr>
                <w:rFonts w:eastAsiaTheme="minorHAnsi"/>
                <w:color w:val="333333"/>
                <w:lang w:val="en"/>
              </w:rPr>
            </w:pPr>
            <w:r>
              <w:rPr>
                <w:rFonts w:eastAsiaTheme="minorHAnsi"/>
                <w:color w:val="333333"/>
                <w:lang w:val="en"/>
              </w:rPr>
              <w:t>100 S. Third Street</w:t>
            </w:r>
            <w:r>
              <w:rPr>
                <w:rFonts w:eastAsiaTheme="minorHAnsi"/>
                <w:color w:val="333333"/>
                <w:lang w:val="en"/>
              </w:rPr>
              <w:tab/>
              <w:t xml:space="preserve"> </w:t>
            </w:r>
          </w:p>
          <w:p>
            <w:pPr>
              <w:rPr>
                <w:rFonts w:eastAsiaTheme="minorHAnsi"/>
                <w:color w:val="333333"/>
                <w:lang w:val="en"/>
              </w:rPr>
            </w:pPr>
            <w:r>
              <w:rPr>
                <w:rFonts w:eastAsiaTheme="minorHAnsi"/>
                <w:color w:val="333333"/>
                <w:lang w:val="en"/>
              </w:rPr>
              <w:t>Columbus, OH 43215-4291</w:t>
            </w:r>
            <w:r>
              <w:rPr>
                <w:rFonts w:eastAsiaTheme="minorHAnsi"/>
                <w:color w:val="333333"/>
                <w:lang w:val="en"/>
              </w:rPr>
              <w:tab/>
              <w:t xml:space="preserve"> </w:t>
            </w:r>
          </w:p>
          <w:p>
            <w:pPr>
              <w:rPr>
                <w:rFonts w:eastAsiaTheme="minorHAnsi"/>
                <w:color w:val="333333"/>
                <w:lang w:val="en"/>
              </w:rPr>
            </w:pPr>
            <w:r>
              <w:rPr>
                <w:rFonts w:eastAsiaTheme="minorHAnsi"/>
                <w:color w:val="333333"/>
                <w:lang w:val="en"/>
              </w:rPr>
              <w:t>dstinson@bricker.com</w:t>
            </w:r>
          </w:p>
          <w:p>
            <w:pPr>
              <w:rPr>
                <w:rFonts w:eastAsiaTheme="minorHAnsi"/>
                <w:color w:val="333333"/>
                <w:lang w:val="en"/>
              </w:rPr>
            </w:pPr>
            <w:r>
              <w:rPr>
                <w:rFonts w:eastAsiaTheme="minorHAnsi"/>
                <w:color w:val="333333"/>
                <w:lang w:val="en"/>
              </w:rPr>
              <w:t>dparram@bricker.com</w:t>
            </w:r>
          </w:p>
          <w:p>
            <w:pPr>
              <w:rPr>
                <w:rFonts w:eastAsiaTheme="minorHAnsi"/>
                <w:color w:val="333333"/>
                <w:lang w:val="en"/>
              </w:rPr>
            </w:pPr>
            <w:r>
              <w:rPr>
                <w:rFonts w:eastAsiaTheme="minorHAnsi"/>
                <w:color w:val="333333"/>
                <w:lang w:val="en"/>
              </w:rPr>
              <w:t>dcampbell@bricker.com</w:t>
            </w:r>
          </w:p>
          <w:p>
            <w:pPr>
              <w:rPr>
                <w:rFonts w:eastAsiaTheme="minorHAnsi"/>
                <w:color w:val="333333"/>
                <w:lang w:val="en"/>
              </w:rPr>
            </w:pPr>
            <w:r>
              <w:rPr>
                <w:rFonts w:eastAsiaTheme="minorHAnsi"/>
                <w:color w:val="333333"/>
                <w:lang w:val="en"/>
              </w:rPr>
              <w:t>mwarnock@bricker.com</w:t>
            </w:r>
          </w:p>
          <w:p>
            <w:pPr>
              <w:rPr>
                <w:rFonts w:eastAsiaTheme="minorHAnsi"/>
                <w:color w:val="333333"/>
                <w:lang w:val="en"/>
              </w:rPr>
            </w:pPr>
          </w:p>
          <w:p>
            <w:pPr>
              <w:autoSpaceDE w:val="0"/>
              <w:autoSpaceDN w:val="0"/>
              <w:rPr>
                <w:rFonts w:eastAsiaTheme="minorHAnsi"/>
              </w:rPr>
            </w:pPr>
            <w:r>
              <w:rPr>
                <w:rFonts w:eastAsiaTheme="minorHAnsi"/>
              </w:rPr>
              <w:t>David F. Proaño</w:t>
            </w:r>
          </w:p>
          <w:p>
            <w:pPr>
              <w:autoSpaceDE w:val="0"/>
              <w:autoSpaceDN w:val="0"/>
              <w:rPr>
                <w:rFonts w:eastAsiaTheme="minorHAnsi"/>
              </w:rPr>
            </w:pPr>
            <w:r>
              <w:rPr>
                <w:rFonts w:eastAsiaTheme="minorHAnsi"/>
              </w:rPr>
              <w:t xml:space="preserve">Taylor M. Thompson  </w:t>
            </w:r>
          </w:p>
          <w:p>
            <w:pPr>
              <w:autoSpaceDE w:val="0"/>
              <w:autoSpaceDN w:val="0"/>
              <w:rPr>
                <w:rFonts w:eastAsiaTheme="minorHAnsi"/>
              </w:rPr>
            </w:pPr>
            <w:r>
              <w:rPr>
                <w:rFonts w:eastAsiaTheme="minorHAnsi"/>
              </w:rPr>
              <w:t xml:space="preserve">James H. Rollinson  </w:t>
            </w:r>
          </w:p>
          <w:p>
            <w:pPr>
              <w:autoSpaceDE w:val="0"/>
              <w:autoSpaceDN w:val="0"/>
              <w:rPr>
                <w:rFonts w:eastAsiaTheme="minorHAnsi"/>
              </w:rPr>
            </w:pPr>
            <w:r>
              <w:rPr>
                <w:rFonts w:eastAsiaTheme="minorHAnsi"/>
              </w:rPr>
              <w:t xml:space="preserve">Patrick T. Lewis  </w:t>
            </w:r>
          </w:p>
          <w:p>
            <w:pPr>
              <w:autoSpaceDE w:val="0"/>
              <w:autoSpaceDN w:val="0"/>
              <w:rPr>
                <w:rFonts w:eastAsiaTheme="minorHAnsi"/>
              </w:rPr>
            </w:pPr>
            <w:r>
              <w:rPr>
                <w:rFonts w:eastAsiaTheme="minorHAnsi"/>
              </w:rPr>
              <w:t>Kyle T. Cutts</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127 Public Square, Suite 2000 </w:t>
            </w:r>
          </w:p>
          <w:p>
            <w:pPr>
              <w:autoSpaceDE w:val="0"/>
              <w:autoSpaceDN w:val="0"/>
              <w:rPr>
                <w:rFonts w:eastAsiaTheme="minorHAnsi"/>
              </w:rPr>
            </w:pPr>
            <w:r>
              <w:rPr>
                <w:rFonts w:eastAsiaTheme="minorHAnsi"/>
              </w:rPr>
              <w:t xml:space="preserve">Cleveland, OH 44114 </w:t>
            </w:r>
          </w:p>
          <w:p>
            <w:pPr>
              <w:autoSpaceDE w:val="0"/>
              <w:autoSpaceDN w:val="0"/>
              <w:rPr>
                <w:rFonts w:eastAsiaTheme="minorHAnsi"/>
                <w:sz w:val="23"/>
                <w:szCs w:val="23"/>
              </w:rPr>
            </w:pPr>
            <w:r>
              <w:rPr>
                <w:rFonts w:eastAsiaTheme="minorHAnsi"/>
                <w:sz w:val="23"/>
                <w:szCs w:val="23"/>
              </w:rPr>
              <w:t xml:space="preserve">dproano@bakerlaw.com </w:t>
            </w:r>
          </w:p>
          <w:p>
            <w:pPr>
              <w:autoSpaceDE w:val="0"/>
              <w:autoSpaceDN w:val="0"/>
              <w:rPr>
                <w:rFonts w:eastAsiaTheme="minorHAnsi"/>
                <w:sz w:val="23"/>
                <w:szCs w:val="23"/>
              </w:rPr>
            </w:pPr>
            <w:r>
              <w:rPr>
                <w:rFonts w:eastAsiaTheme="minorHAnsi"/>
                <w:sz w:val="23"/>
                <w:szCs w:val="23"/>
              </w:rPr>
              <w:t xml:space="preserve">tathompson@bakerlaw.com </w:t>
            </w:r>
          </w:p>
          <w:p>
            <w:pPr>
              <w:autoSpaceDE w:val="0"/>
              <w:autoSpaceDN w:val="0"/>
              <w:rPr>
                <w:rFonts w:eastAsiaTheme="minorHAnsi"/>
              </w:rPr>
            </w:pPr>
            <w:r>
              <w:rPr>
                <w:rFonts w:eastAsiaTheme="minorHAnsi"/>
              </w:rPr>
              <w:t xml:space="preserve">jrollinson@bakerlaw.com plewis@bakerlaw.com </w:t>
            </w:r>
          </w:p>
          <w:p>
            <w:pPr>
              <w:autoSpaceDE w:val="0"/>
              <w:autoSpaceDN w:val="0"/>
              <w:rPr>
                <w:rFonts w:eastAsiaTheme="minorHAnsi"/>
              </w:rPr>
            </w:pPr>
            <w:r>
              <w:rPr>
                <w:rFonts w:eastAsiaTheme="minorHAnsi"/>
              </w:rPr>
              <w:t>kcutts@bakerlaw.com</w:t>
            </w:r>
          </w:p>
        </w:tc>
        <w:tc>
          <w:tcPr>
            <w:tcW w:w="4675" w:type="dxa"/>
          </w:tcPr>
          <w:p>
            <w:pPr>
              <w:rPr>
                <w:rFonts w:eastAsiaTheme="minorHAnsi"/>
              </w:rPr>
            </w:pPr>
            <w:r>
              <w:rPr>
                <w:rFonts w:eastAsiaTheme="minorHAnsi"/>
              </w:rPr>
              <w:t>Thomas Lindgren</w:t>
            </w:r>
          </w:p>
          <w:p>
            <w:pPr>
              <w:rPr>
                <w:rFonts w:eastAsiaTheme="minorHAnsi"/>
              </w:rPr>
            </w:pPr>
            <w:r>
              <w:rPr>
                <w:rFonts w:eastAsiaTheme="minorHAnsi"/>
              </w:rPr>
              <w:t>Rhiannon Plant</w:t>
            </w:r>
          </w:p>
          <w:p>
            <w:pPr>
              <w:rPr>
                <w:rFonts w:eastAsiaTheme="minorHAnsi"/>
              </w:rPr>
            </w:pPr>
            <w:r>
              <w:rPr>
                <w:rFonts w:eastAsiaTheme="minorHAnsi"/>
              </w:rPr>
              <w:t>Assistant Ohio Attorneys General</w:t>
            </w:r>
          </w:p>
          <w:p>
            <w:pPr>
              <w:rPr>
                <w:rFonts w:eastAsiaTheme="minorHAnsi"/>
              </w:rPr>
            </w:pPr>
            <w:r>
              <w:rPr>
                <w:rFonts w:eastAsiaTheme="minorHAnsi"/>
              </w:rPr>
              <w:t>Public Utilities Section</w:t>
            </w:r>
          </w:p>
          <w:p>
            <w:pPr>
              <w:rPr>
                <w:rFonts w:eastAsiaTheme="minorHAnsi"/>
              </w:rPr>
            </w:pPr>
            <w:r>
              <w:rPr>
                <w:rFonts w:eastAsiaTheme="minorHAnsi"/>
              </w:rPr>
              <w:t>30 East Broad Street</w:t>
            </w:r>
          </w:p>
          <w:p>
            <w:pPr>
              <w:rPr>
                <w:rFonts w:eastAsiaTheme="minorHAnsi"/>
              </w:rPr>
            </w:pPr>
            <w:r>
              <w:rPr>
                <w:rFonts w:eastAsiaTheme="minorHAnsi"/>
              </w:rPr>
              <w:t>Columbus, OH  43215</w:t>
            </w:r>
          </w:p>
          <w:p>
            <w:pPr>
              <w:rPr>
                <w:rFonts w:eastAsiaTheme="minorHAnsi"/>
              </w:rPr>
            </w:pPr>
            <w:r>
              <w:rPr>
                <w:rFonts w:eastAsiaTheme="minorHAnsi"/>
              </w:rPr>
              <w:t>Thomas.Lindgren@OhioAGO.gov</w:t>
            </w:r>
          </w:p>
          <w:p>
            <w:pPr>
              <w:rPr>
                <w:rFonts w:eastAsiaTheme="minorHAnsi"/>
              </w:rPr>
            </w:pPr>
            <w:r>
              <w:rPr>
                <w:rFonts w:eastAsiaTheme="minorHAnsi"/>
              </w:rPr>
              <w:t>Rhiannon.Plant@OhioAGO.gov</w:t>
            </w:r>
          </w:p>
          <w:p>
            <w:pPr>
              <w:rPr>
                <w:rFonts w:eastAsiaTheme="minorHAnsi"/>
              </w:rPr>
            </w:pPr>
          </w:p>
          <w:p>
            <w:pPr>
              <w:rPr>
                <w:rFonts w:eastAsiaTheme="minorHAnsi"/>
              </w:rPr>
            </w:pPr>
            <w:r>
              <w:rPr>
                <w:rFonts w:eastAsiaTheme="minorHAnsi"/>
              </w:rPr>
              <w:t>Steven T. Nourse</w:t>
            </w:r>
          </w:p>
          <w:p>
            <w:pPr>
              <w:rPr>
                <w:rFonts w:eastAsiaTheme="minorHAnsi"/>
              </w:rPr>
            </w:pPr>
            <w:r>
              <w:rPr>
                <w:rFonts w:eastAsiaTheme="minorHAnsi"/>
              </w:rPr>
              <w:t>AEP Service Corporation</w:t>
            </w:r>
          </w:p>
          <w:p>
            <w:pPr>
              <w:rPr>
                <w:rFonts w:eastAsiaTheme="minorHAnsi"/>
              </w:rPr>
            </w:pPr>
            <w:r>
              <w:rPr>
                <w:rFonts w:eastAsiaTheme="minorHAnsi"/>
              </w:rPr>
              <w:t>1 Riverside Plaza</w:t>
            </w:r>
          </w:p>
          <w:p>
            <w:pPr>
              <w:rPr>
                <w:rFonts w:eastAsiaTheme="minorHAnsi"/>
              </w:rPr>
            </w:pPr>
            <w:r>
              <w:rPr>
                <w:rFonts w:eastAsiaTheme="minorHAnsi"/>
              </w:rPr>
              <w:t>Columbus, OH 43215</w:t>
            </w:r>
          </w:p>
          <w:p>
            <w:pPr>
              <w:rPr>
                <w:rFonts w:eastAsiaTheme="minorHAnsi"/>
              </w:rPr>
            </w:pPr>
            <w:r>
              <w:rPr>
                <w:rFonts w:eastAsiaTheme="minorHAnsi"/>
              </w:rPr>
              <w:t>stnourse@aep.com</w:t>
            </w:r>
          </w:p>
          <w:p>
            <w:pPr>
              <w:rPr>
                <w:rFonts w:eastAsiaTheme="minorHAnsi"/>
              </w:rPr>
            </w:pPr>
          </w:p>
          <w:p>
            <w:pPr>
              <w:rPr>
                <w:rFonts w:eastAsiaTheme="minorHAnsi"/>
              </w:rPr>
            </w:pPr>
            <w:r>
              <w:rPr>
                <w:rFonts w:eastAsiaTheme="minorHAnsi"/>
              </w:rPr>
              <w:t>Larry Sauer</w:t>
            </w:r>
          </w:p>
          <w:p>
            <w:pPr>
              <w:rPr>
                <w:rFonts w:eastAsiaTheme="minorHAnsi"/>
              </w:rPr>
            </w:pPr>
            <w:r>
              <w:rPr>
                <w:rFonts w:eastAsiaTheme="minorHAnsi"/>
              </w:rPr>
              <w:t>John Finnigan</w:t>
            </w:r>
          </w:p>
          <w:p>
            <w:pPr>
              <w:rPr>
                <w:rFonts w:eastAsiaTheme="minorHAnsi"/>
              </w:rPr>
            </w:pPr>
            <w:r>
              <w:rPr>
                <w:rFonts w:eastAsiaTheme="minorHAnsi"/>
              </w:rPr>
              <w:t>Maureen R. Willis</w:t>
            </w:r>
          </w:p>
          <w:p>
            <w:pPr>
              <w:rPr>
                <w:rFonts w:eastAsiaTheme="minorHAnsi"/>
              </w:rPr>
            </w:pPr>
            <w:r>
              <w:rPr>
                <w:rFonts w:eastAsiaTheme="minorHAnsi"/>
              </w:rPr>
              <w:t>Alana M. Noward</w:t>
            </w:r>
          </w:p>
          <w:p>
            <w:pPr>
              <w:rPr>
                <w:rFonts w:eastAsiaTheme="minorHAnsi"/>
              </w:rPr>
            </w:pPr>
            <w:r>
              <w:rPr>
                <w:rFonts w:eastAsiaTheme="minorHAnsi"/>
              </w:rPr>
              <w:t>Office of the Ohio Consumers’ Counsel</w:t>
            </w:r>
          </w:p>
          <w:p>
            <w:pPr>
              <w:rPr>
                <w:rFonts w:eastAsiaTheme="minorHAnsi"/>
              </w:rPr>
            </w:pPr>
            <w:r>
              <w:rPr>
                <w:rFonts w:eastAsiaTheme="minorHAnsi"/>
              </w:rPr>
              <w:t>65 East State Street, Suite 700</w:t>
            </w:r>
          </w:p>
          <w:p>
            <w:pPr>
              <w:rPr>
                <w:rFonts w:eastAsiaTheme="minorHAnsi"/>
              </w:rPr>
            </w:pPr>
            <w:r>
              <w:rPr>
                <w:rFonts w:eastAsiaTheme="minorHAnsi"/>
              </w:rPr>
              <w:t>Columbus, OH  43215</w:t>
            </w:r>
          </w:p>
          <w:p>
            <w:pPr>
              <w:rPr>
                <w:rFonts w:eastAsiaTheme="minorHAnsi"/>
              </w:rPr>
            </w:pPr>
            <w:r>
              <w:rPr>
                <w:rFonts w:eastAsiaTheme="minorHAnsi"/>
              </w:rPr>
              <w:t>Larry.Sauer@occ.ohio.gov</w:t>
            </w:r>
          </w:p>
          <w:p>
            <w:pPr>
              <w:rPr>
                <w:rFonts w:eastAsiaTheme="minorHAnsi"/>
              </w:rPr>
            </w:pPr>
            <w:r>
              <w:rPr>
                <w:rFonts w:eastAsiaTheme="minorHAnsi"/>
              </w:rPr>
              <w:t>John.Finnigan@occ.ohio.gov</w:t>
            </w:r>
          </w:p>
          <w:p>
            <w:pPr>
              <w:rPr>
                <w:rFonts w:eastAsiaTheme="minorHAnsi"/>
              </w:rPr>
            </w:pPr>
            <w:r>
              <w:rPr>
                <w:rFonts w:eastAsiaTheme="minorHAnsi"/>
              </w:rPr>
              <w:t>Maureen.Willis@occ.ohio.gov</w:t>
            </w:r>
          </w:p>
          <w:p>
            <w:pPr>
              <w:rPr>
                <w:rFonts w:eastAsiaTheme="minorHAnsi"/>
              </w:rPr>
            </w:pPr>
            <w:r>
              <w:rPr>
                <w:rFonts w:eastAsiaTheme="minorHAnsi"/>
              </w:rPr>
              <w:t>Alana.noward@occ.ohio.gov</w:t>
            </w:r>
          </w:p>
        </w:tc>
      </w:tr>
      <w:tr>
        <w:tc>
          <w:tcPr>
            <w:tcW w:w="4675" w:type="dxa"/>
          </w:tcPr>
          <w:p>
            <w:pPr>
              <w:rPr>
                <w:rFonts w:eastAsiaTheme="minorHAnsi"/>
              </w:rPr>
            </w:pPr>
          </w:p>
        </w:tc>
        <w:tc>
          <w:tcPr>
            <w:tcW w:w="4675" w:type="dxa"/>
          </w:tcPr>
          <w:p>
            <w:pPr>
              <w:rPr>
                <w:rFonts w:eastAsiaTheme="minorHAnsi"/>
              </w:rPr>
            </w:pPr>
          </w:p>
        </w:tc>
      </w:tr>
      <w:tr>
        <w:tc>
          <w:tcPr>
            <w:tcW w:w="4675" w:type="dxa"/>
          </w:tcPr>
          <w:p>
            <w:pPr>
              <w:autoSpaceDE w:val="0"/>
              <w:autoSpaceDN w:val="0"/>
              <w:rPr>
                <w:rFonts w:eastAsiaTheme="minorHAnsi"/>
              </w:rPr>
            </w:pPr>
            <w:r>
              <w:rPr>
                <w:rFonts w:eastAsiaTheme="minorHAnsi"/>
              </w:rPr>
              <w:t xml:space="preserve">Ali I. Haque  </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200 Civic Center Drive, Suite 1200 </w:t>
            </w:r>
          </w:p>
          <w:p>
            <w:pPr>
              <w:autoSpaceDE w:val="0"/>
              <w:autoSpaceDN w:val="0"/>
              <w:rPr>
                <w:rFonts w:eastAsiaTheme="minorHAnsi"/>
              </w:rPr>
            </w:pPr>
            <w:r>
              <w:rPr>
                <w:rFonts w:eastAsiaTheme="minorHAnsi"/>
              </w:rPr>
              <w:t xml:space="preserve">Columbus, OH 43215 </w:t>
            </w:r>
            <w:bookmarkStart w:name="_GoBack" w:id="1"/>
            <w:bookmarkEnd w:id="1"/>
          </w:p>
          <w:p>
            <w:pPr>
              <w:autoSpaceDE w:val="0"/>
              <w:autoSpaceDN w:val="0"/>
              <w:rPr>
                <w:rFonts w:eastAsiaTheme="minorHAnsi"/>
              </w:rPr>
            </w:pPr>
            <w:r>
              <w:rPr>
                <w:rFonts w:eastAsiaTheme="minorHAnsi"/>
              </w:rPr>
              <w:t>ahaque@bakerlaw.com</w:t>
            </w:r>
          </w:p>
          <w:p>
            <w:pPr>
              <w:rPr>
                <w:rFonts w:eastAsiaTheme="minorHAnsi"/>
              </w:rPr>
            </w:pPr>
          </w:p>
          <w:p>
            <w:pPr>
              <w:rPr>
                <w:rFonts w:eastAsiaTheme="minorHAnsi"/>
              </w:rPr>
            </w:pPr>
            <w:r>
              <w:rPr>
                <w:rFonts w:eastAsiaTheme="minorHAnsi"/>
              </w:rPr>
              <w:t>Brian Knipe</w:t>
            </w:r>
            <w:r>
              <w:rPr>
                <w:rFonts w:eastAsiaTheme="minorHAnsi"/>
              </w:rPr>
              <w:br/>
              <w:t>First Energy Corp.</w:t>
            </w:r>
          </w:p>
          <w:p>
            <w:pPr>
              <w:rPr>
                <w:rFonts w:eastAsiaTheme="minorHAnsi"/>
              </w:rPr>
            </w:pPr>
            <w:r>
              <w:rPr>
                <w:rFonts w:eastAsiaTheme="minorHAnsi"/>
              </w:rPr>
              <w:t>76 South Main Street</w:t>
            </w:r>
          </w:p>
          <w:p>
            <w:pPr>
              <w:rPr>
                <w:rFonts w:eastAsiaTheme="minorHAnsi"/>
              </w:rPr>
            </w:pPr>
            <w:r>
              <w:rPr>
                <w:rFonts w:eastAsiaTheme="minorHAnsi"/>
              </w:rPr>
              <w:t>Akron, OH  44308</w:t>
            </w:r>
          </w:p>
          <w:p>
            <w:pPr>
              <w:rPr>
                <w:rFonts w:eastAsiaTheme="minorHAnsi"/>
              </w:rPr>
            </w:pPr>
            <w:r>
              <w:rPr>
                <w:rFonts w:eastAsiaTheme="minorHAnsi"/>
              </w:rPr>
              <w:t>bknipe@firstenergycorp.com</w:t>
            </w:r>
          </w:p>
          <w:p>
            <w:pPr>
              <w:rPr>
                <w:rFonts w:eastAsiaTheme="minorHAnsi"/>
              </w:rPr>
            </w:pPr>
          </w:p>
          <w:p>
            <w:pPr>
              <w:rPr>
                <w:rFonts w:eastAsiaTheme="minorHAnsi"/>
              </w:rPr>
            </w:pPr>
            <w:r>
              <w:rPr>
                <w:rFonts w:eastAsiaTheme="minorHAnsi"/>
              </w:rPr>
              <w:t>Evan Betterton</w:t>
            </w:r>
          </w:p>
          <w:p>
            <w:pPr>
              <w:rPr>
                <w:rFonts w:eastAsiaTheme="minorHAnsi"/>
              </w:rPr>
            </w:pPr>
            <w:r>
              <w:rPr>
                <w:rFonts w:eastAsiaTheme="minorHAnsi"/>
              </w:rPr>
              <w:t>Stacie Cathcart</w:t>
            </w:r>
          </w:p>
          <w:p>
            <w:pPr>
              <w:rPr>
                <w:rFonts w:eastAsiaTheme="minorHAnsi"/>
              </w:rPr>
            </w:pPr>
            <w:r>
              <w:rPr>
                <w:rFonts w:eastAsiaTheme="minorHAnsi"/>
              </w:rPr>
              <w:t>IGS Energy</w:t>
            </w:r>
          </w:p>
          <w:p>
            <w:pPr>
              <w:rPr>
                <w:rFonts w:eastAsiaTheme="minorHAnsi"/>
              </w:rPr>
            </w:pPr>
            <w:r>
              <w:rPr>
                <w:rFonts w:eastAsiaTheme="minorHAnsi"/>
              </w:rPr>
              <w:t>6100 Emerald Parkway</w:t>
            </w:r>
          </w:p>
          <w:p>
            <w:pPr>
              <w:rPr>
                <w:rFonts w:eastAsiaTheme="minorHAnsi"/>
              </w:rPr>
            </w:pPr>
            <w:r>
              <w:rPr>
                <w:rFonts w:eastAsiaTheme="minorHAnsi"/>
              </w:rPr>
              <w:t>Dublin, OH 43016</w:t>
            </w:r>
          </w:p>
          <w:p>
            <w:pPr>
              <w:rPr>
                <w:rFonts w:eastAsiaTheme="minorHAnsi"/>
              </w:rPr>
            </w:pPr>
            <w:r>
              <w:rPr>
                <w:rFonts w:eastAsiaTheme="minorHAnsi"/>
              </w:rPr>
              <w:t>evan.betterton@igs.com</w:t>
            </w:r>
          </w:p>
          <w:p>
            <w:pPr>
              <w:rPr>
                <w:rFonts w:eastAsiaTheme="minorHAnsi"/>
              </w:rPr>
            </w:pPr>
            <w:r>
              <w:rPr>
                <w:rFonts w:eastAsiaTheme="minorHAnsi"/>
              </w:rPr>
              <w:t>stacie.cathcart@igs.com</w:t>
            </w:r>
          </w:p>
        </w:tc>
        <w:tc>
          <w:tcPr>
            <w:tcW w:w="4675" w:type="dxa"/>
          </w:tcPr>
          <w:p>
            <w:pPr>
              <w:rPr>
                <w:rFonts w:eastAsiaTheme="minorHAnsi"/>
              </w:rPr>
            </w:pPr>
            <w:r>
              <w:rPr>
                <w:rFonts w:eastAsiaTheme="minorHAnsi"/>
              </w:rPr>
              <w:lastRenderedPageBreak/>
              <w:t>Michael Dortch</w:t>
            </w:r>
          </w:p>
          <w:p>
            <w:pPr>
              <w:rPr>
                <w:rFonts w:eastAsiaTheme="minorHAnsi"/>
              </w:rPr>
            </w:pPr>
            <w:r>
              <w:rPr>
                <w:rFonts w:eastAsiaTheme="minorHAnsi"/>
              </w:rPr>
              <w:t>Justin M. Dortch</w:t>
            </w:r>
          </w:p>
          <w:p>
            <w:pPr>
              <w:rPr>
                <w:rFonts w:eastAsiaTheme="minorHAnsi"/>
              </w:rPr>
            </w:pPr>
            <w:r>
              <w:rPr>
                <w:rFonts w:eastAsiaTheme="minorHAnsi"/>
              </w:rPr>
              <w:t>Richard R. Parsons</w:t>
            </w:r>
          </w:p>
          <w:p>
            <w:pPr>
              <w:rPr>
                <w:rFonts w:eastAsiaTheme="minorHAnsi"/>
              </w:rPr>
            </w:pPr>
            <w:r>
              <w:rPr>
                <w:rFonts w:eastAsiaTheme="minorHAnsi"/>
              </w:rPr>
              <w:t>Kravitz, Brown &amp; Dortch, LLC</w:t>
            </w:r>
          </w:p>
          <w:p>
            <w:pPr>
              <w:rPr>
                <w:rFonts w:eastAsiaTheme="minorHAnsi"/>
              </w:rPr>
            </w:pPr>
            <w:r>
              <w:rPr>
                <w:rFonts w:eastAsiaTheme="minorHAnsi"/>
              </w:rPr>
              <w:t>65 East State Street, Suite 200</w:t>
            </w:r>
          </w:p>
          <w:p>
            <w:pPr>
              <w:rPr>
                <w:rFonts w:eastAsiaTheme="minorHAnsi"/>
              </w:rPr>
            </w:pPr>
            <w:r>
              <w:rPr>
                <w:rFonts w:eastAsiaTheme="minorHAnsi"/>
              </w:rPr>
              <w:t>Columbus, OH  43215</w:t>
            </w:r>
          </w:p>
          <w:p>
            <w:pPr>
              <w:rPr>
                <w:rFonts w:eastAsiaTheme="minorHAnsi"/>
              </w:rPr>
            </w:pPr>
            <w:r>
              <w:rPr>
                <w:rFonts w:eastAsiaTheme="minorHAnsi"/>
              </w:rPr>
              <w:t>mdortch@kravitzllc.com</w:t>
            </w:r>
          </w:p>
          <w:p>
            <w:pPr>
              <w:rPr>
                <w:rFonts w:eastAsiaTheme="minorHAnsi"/>
              </w:rPr>
            </w:pPr>
            <w:r>
              <w:rPr>
                <w:rFonts w:eastAsiaTheme="minorHAnsi"/>
              </w:rPr>
              <w:t>jdortch@kravitzllc.com</w:t>
            </w:r>
          </w:p>
          <w:p>
            <w:pPr>
              <w:rPr>
                <w:rFonts w:eastAsiaTheme="minorHAnsi"/>
              </w:rPr>
            </w:pPr>
            <w:r>
              <w:rPr>
                <w:rFonts w:eastAsiaTheme="minorHAnsi"/>
              </w:rPr>
              <w:t>rparsons@kravitzllc.com</w:t>
            </w:r>
          </w:p>
          <w:p>
            <w:pPr>
              <w:rPr>
                <w:rFonts w:eastAsiaTheme="minorHAnsi"/>
              </w:rPr>
            </w:pPr>
          </w:p>
          <w:p>
            <w:pPr>
              <w:rPr>
                <w:rFonts w:eastAsiaTheme="minorHAnsi"/>
              </w:rPr>
            </w:pPr>
          </w:p>
          <w:p>
            <w:pPr>
              <w:rPr>
                <w:rFonts w:eastAsiaTheme="minorHAnsi"/>
              </w:rPr>
            </w:pPr>
          </w:p>
          <w:p>
            <w:pPr>
              <w:rPr>
                <w:rFonts w:eastAsiaTheme="minorHAnsi"/>
              </w:rPr>
            </w:pPr>
            <w:r>
              <w:rPr>
                <w:rFonts w:eastAsiaTheme="minorHAnsi"/>
              </w:rPr>
              <w:t>Michael A. Yuffee (</w:t>
            </w:r>
            <w:r>
              <w:rPr>
                <w:rFonts w:eastAsiaTheme="minorHAnsi"/>
                <w:i/>
              </w:rPr>
              <w:t>pro hac vice pending</w:t>
            </w:r>
            <w:r>
              <w:rPr>
                <w:rFonts w:eastAsiaTheme="minorHAnsi"/>
              </w:rPr>
              <w:t>)</w:t>
            </w:r>
          </w:p>
          <w:p>
            <w:pPr>
              <w:rPr>
                <w:rFonts w:eastAsiaTheme="minorHAnsi"/>
              </w:rPr>
            </w:pPr>
            <w:r>
              <w:rPr>
                <w:rFonts w:eastAsiaTheme="minorHAnsi"/>
              </w:rPr>
              <w:t>PHV#260362002</w:t>
            </w:r>
          </w:p>
          <w:p>
            <w:pPr>
              <w:rPr>
                <w:rFonts w:eastAsiaTheme="minorHAnsi"/>
              </w:rPr>
            </w:pPr>
            <w:r>
              <w:rPr>
                <w:rFonts w:eastAsiaTheme="minorHAnsi"/>
              </w:rPr>
              <w:t>Ryan Norfolk (</w:t>
            </w:r>
            <w:r>
              <w:rPr>
                <w:rFonts w:eastAsiaTheme="minorHAnsi"/>
                <w:i/>
              </w:rPr>
              <w:t>pro hac vice pending</w:t>
            </w:r>
            <w:r>
              <w:rPr>
                <w:rFonts w:eastAsiaTheme="minorHAnsi"/>
              </w:rPr>
              <w:t>)</w:t>
            </w:r>
          </w:p>
          <w:p>
            <w:pPr>
              <w:rPr>
                <w:rFonts w:eastAsiaTheme="minorHAnsi"/>
              </w:rPr>
            </w:pPr>
            <w:r>
              <w:rPr>
                <w:rFonts w:eastAsiaTheme="minorHAnsi"/>
              </w:rPr>
              <w:t>PHV # 26248-2002</w:t>
            </w:r>
          </w:p>
          <w:p>
            <w:pPr>
              <w:rPr>
                <w:rFonts w:eastAsiaTheme="minorHAnsi"/>
              </w:rPr>
            </w:pPr>
            <w:r>
              <w:rPr>
                <w:rFonts w:eastAsiaTheme="minorHAnsi"/>
              </w:rPr>
              <w:t>Baker Botts, LLP</w:t>
            </w:r>
          </w:p>
          <w:p>
            <w:pPr>
              <w:rPr>
                <w:rFonts w:eastAsiaTheme="minorHAnsi"/>
              </w:rPr>
            </w:pPr>
            <w:r>
              <w:rPr>
                <w:rFonts w:eastAsiaTheme="minorHAnsi"/>
              </w:rPr>
              <w:t>700 K Street, NW</w:t>
            </w:r>
          </w:p>
          <w:p>
            <w:pPr>
              <w:rPr>
                <w:rFonts w:eastAsiaTheme="minorHAnsi"/>
              </w:rPr>
            </w:pPr>
            <w:r>
              <w:rPr>
                <w:rFonts w:eastAsiaTheme="minorHAnsi"/>
              </w:rPr>
              <w:t>Washington, DC  20001</w:t>
            </w:r>
          </w:p>
          <w:p>
            <w:pPr>
              <w:rPr>
                <w:rFonts w:eastAsiaTheme="minorHAnsi"/>
              </w:rPr>
            </w:pPr>
            <w:r>
              <w:rPr>
                <w:rFonts w:eastAsiaTheme="minorHAnsi"/>
              </w:rPr>
              <w:t>michael.yuffee@bakerbotts.com</w:t>
            </w:r>
          </w:p>
          <w:p>
            <w:pPr>
              <w:rPr>
                <w:rFonts w:eastAsiaTheme="minorHAnsi"/>
              </w:rPr>
            </w:pPr>
            <w:r>
              <w:rPr>
                <w:rFonts w:eastAsiaTheme="minorHAnsi"/>
              </w:rPr>
              <w:t>ryan.norfolk@bakerbotts.com</w:t>
            </w:r>
          </w:p>
          <w:p>
            <w:pPr>
              <w:rPr>
                <w:rFonts w:eastAsiaTheme="minorHAnsi"/>
              </w:rPr>
            </w:pPr>
          </w:p>
        </w:tc>
      </w:tr>
      <w:tr>
        <w:tc>
          <w:tcPr>
            <w:tcW w:w="4675" w:type="dxa"/>
          </w:tcPr>
          <w:p>
            <w:pPr>
              <w:rPr>
                <w:rFonts w:eastAsiaTheme="minorHAnsi"/>
              </w:rPr>
            </w:pPr>
            <w:r>
              <w:rPr>
                <w:rFonts w:eastAsiaTheme="minorHAnsi"/>
              </w:rPr>
              <w:lastRenderedPageBreak/>
              <w:t>Dona Seger-Lawson</w:t>
            </w:r>
          </w:p>
          <w:p>
            <w:pPr>
              <w:rPr>
                <w:rFonts w:eastAsiaTheme="minorHAnsi"/>
              </w:rPr>
            </w:pPr>
            <w:r>
              <w:rPr>
                <w:rFonts w:eastAsiaTheme="minorHAnsi"/>
              </w:rPr>
              <w:t>AEP Indiana Michigan</w:t>
            </w:r>
          </w:p>
          <w:p>
            <w:pPr>
              <w:rPr>
                <w:rFonts w:eastAsiaTheme="minorHAnsi"/>
              </w:rPr>
            </w:pPr>
            <w:r>
              <w:rPr>
                <w:rFonts w:eastAsiaTheme="minorHAnsi"/>
              </w:rPr>
              <w:t>110 E. Wayne St.</w:t>
            </w:r>
          </w:p>
          <w:p>
            <w:pPr>
              <w:rPr>
                <w:rFonts w:eastAsiaTheme="minorHAnsi"/>
              </w:rPr>
            </w:pPr>
            <w:r>
              <w:rPr>
                <w:rFonts w:eastAsiaTheme="minorHAnsi"/>
              </w:rPr>
              <w:t>Fort Wayne, IN 46802</w:t>
            </w:r>
          </w:p>
          <w:p>
            <w:pPr>
              <w:rPr>
                <w:rFonts w:eastAsiaTheme="minorHAnsi"/>
              </w:rPr>
            </w:pPr>
            <w:r>
              <w:rPr>
                <w:rFonts w:eastAsiaTheme="minorHAnsi"/>
              </w:rPr>
              <w:t>Dgseger-lawson@aep.com</w:t>
            </w:r>
          </w:p>
          <w:p>
            <w:pPr>
              <w:rPr>
                <w:rFonts w:eastAsiaTheme="minorHAnsi"/>
              </w:rPr>
            </w:pPr>
          </w:p>
          <w:p>
            <w:pPr>
              <w:rPr>
                <w:rFonts w:eastAsiaTheme="minorHAnsi"/>
              </w:rPr>
            </w:pPr>
            <w:r>
              <w:rPr>
                <w:rFonts w:eastAsiaTheme="minorHAnsi"/>
              </w:rPr>
              <w:t>Thomas M. Bellish</w:t>
            </w:r>
          </w:p>
          <w:p>
            <w:pPr>
              <w:rPr>
                <w:rFonts w:eastAsiaTheme="minorHAnsi"/>
              </w:rPr>
            </w:pPr>
            <w:r>
              <w:rPr>
                <w:rFonts w:eastAsiaTheme="minorHAnsi"/>
              </w:rPr>
              <w:t>Buckeye Energy Brokers, Inc.</w:t>
            </w:r>
          </w:p>
          <w:p>
            <w:pPr>
              <w:rPr>
                <w:rFonts w:eastAsiaTheme="minorHAnsi"/>
              </w:rPr>
            </w:pPr>
            <w:r>
              <w:rPr>
                <w:rFonts w:eastAsiaTheme="minorHAnsi"/>
              </w:rPr>
              <w:t>65 East Mill Street</w:t>
            </w:r>
          </w:p>
          <w:p>
            <w:pPr>
              <w:rPr>
                <w:rFonts w:eastAsiaTheme="minorHAnsi"/>
              </w:rPr>
            </w:pPr>
            <w:r>
              <w:rPr>
                <w:rFonts w:eastAsiaTheme="minorHAnsi"/>
              </w:rPr>
              <w:t>Akron, OH 44308</w:t>
            </w:r>
          </w:p>
          <w:p>
            <w:pPr>
              <w:rPr>
                <w:rFonts w:eastAsiaTheme="minorHAnsi"/>
              </w:rPr>
            </w:pPr>
            <w:r>
              <w:rPr>
                <w:rFonts w:eastAsiaTheme="minorHAnsi"/>
              </w:rPr>
              <w:t>tb@buckeyeenergybrokers.com</w:t>
            </w:r>
          </w:p>
          <w:p>
            <w:pPr>
              <w:rPr>
                <w:rFonts w:eastAsiaTheme="minorHAnsi"/>
              </w:rPr>
            </w:pPr>
          </w:p>
          <w:p>
            <w:pPr>
              <w:rPr>
                <w:rFonts w:eastAsiaTheme="minorHAnsi"/>
              </w:rPr>
            </w:pPr>
            <w:r>
              <w:rPr>
                <w:rFonts w:eastAsiaTheme="minorHAnsi"/>
              </w:rPr>
              <w:t>Christine E. Watchorn</w:t>
            </w:r>
          </w:p>
          <w:p>
            <w:pPr>
              <w:rPr>
                <w:rFonts w:eastAsiaTheme="minorHAnsi"/>
              </w:rPr>
            </w:pPr>
            <w:r>
              <w:rPr>
                <w:rFonts w:eastAsiaTheme="minorHAnsi"/>
              </w:rPr>
              <w:t>Zachary E. Woltz</w:t>
            </w:r>
          </w:p>
          <w:p>
            <w:pPr>
              <w:rPr>
                <w:rFonts w:eastAsiaTheme="minorHAnsi"/>
              </w:rPr>
            </w:pPr>
            <w:r>
              <w:rPr>
                <w:rFonts w:eastAsiaTheme="minorHAnsi"/>
              </w:rPr>
              <w:t>FirstEnergy Service Company</w:t>
            </w:r>
          </w:p>
          <w:p>
            <w:pPr>
              <w:rPr>
                <w:rFonts w:eastAsiaTheme="minorHAnsi"/>
              </w:rPr>
            </w:pPr>
            <w:r>
              <w:rPr>
                <w:rFonts w:eastAsiaTheme="minorHAnsi"/>
              </w:rPr>
              <w:t>Columbus, Ohio 43215</w:t>
            </w:r>
          </w:p>
          <w:p>
            <w:pPr>
              <w:rPr>
                <w:rFonts w:eastAsiaTheme="minorHAnsi"/>
              </w:rPr>
            </w:pPr>
            <w:r>
              <w:rPr>
                <w:rFonts w:eastAsiaTheme="minorHAnsi"/>
              </w:rPr>
              <w:t>cwatchorn@firstenergycorp.com</w:t>
            </w:r>
          </w:p>
          <w:p>
            <w:pPr>
              <w:rPr>
                <w:rFonts w:eastAsiaTheme="minorHAnsi"/>
              </w:rPr>
            </w:pPr>
            <w:r>
              <w:rPr>
                <w:rFonts w:eastAsiaTheme="minorHAnsi"/>
              </w:rPr>
              <w:t>zwoltz@firstenergycorp.com</w:t>
            </w:r>
          </w:p>
        </w:tc>
        <w:tc>
          <w:tcPr>
            <w:tcW w:w="4675" w:type="dxa"/>
          </w:tcPr>
          <w:p>
            <w:pPr>
              <w:rPr>
                <w:rFonts w:eastAsiaTheme="minorHAnsi"/>
              </w:rPr>
            </w:pPr>
            <w:r>
              <w:rPr>
                <w:rFonts w:eastAsiaTheme="minorHAnsi"/>
              </w:rPr>
              <w:t>Michael R. Gladman</w:t>
            </w:r>
          </w:p>
          <w:p>
            <w:pPr>
              <w:rPr>
                <w:rFonts w:eastAsiaTheme="minorHAnsi"/>
              </w:rPr>
            </w:pPr>
            <w:r>
              <w:rPr>
                <w:rFonts w:eastAsiaTheme="minorHAnsi"/>
              </w:rPr>
              <w:t>Shalini B. Goyal</w:t>
            </w:r>
          </w:p>
          <w:p>
            <w:pPr>
              <w:rPr>
                <w:rFonts w:eastAsiaTheme="minorHAnsi"/>
              </w:rPr>
            </w:pPr>
            <w:r>
              <w:rPr>
                <w:rFonts w:eastAsiaTheme="minorHAnsi"/>
              </w:rPr>
              <w:t>Margaret M. Dengler</w:t>
            </w:r>
          </w:p>
          <w:p>
            <w:pPr>
              <w:rPr>
                <w:rFonts w:eastAsiaTheme="minorHAnsi"/>
              </w:rPr>
            </w:pPr>
            <w:r>
              <w:rPr>
                <w:rFonts w:eastAsiaTheme="minorHAnsi"/>
              </w:rPr>
              <w:t>Ryan A. Doringo</w:t>
            </w:r>
          </w:p>
          <w:p>
            <w:pPr>
              <w:rPr>
                <w:rFonts w:eastAsiaTheme="minorHAnsi"/>
              </w:rPr>
            </w:pPr>
            <w:r>
              <w:rPr>
                <w:rFonts w:eastAsiaTheme="minorHAnsi"/>
              </w:rPr>
              <w:t>Jones Day</w:t>
            </w:r>
          </w:p>
          <w:p>
            <w:pPr>
              <w:rPr>
                <w:rFonts w:eastAsiaTheme="minorHAnsi"/>
              </w:rPr>
            </w:pPr>
            <w:r>
              <w:rPr>
                <w:rFonts w:eastAsiaTheme="minorHAnsi"/>
              </w:rPr>
              <w:t>325 John H. McConnell Blvd., Suite 600</w:t>
            </w:r>
          </w:p>
          <w:p>
            <w:pPr>
              <w:rPr>
                <w:rFonts w:eastAsiaTheme="minorHAnsi"/>
              </w:rPr>
            </w:pPr>
            <w:r>
              <w:rPr>
                <w:rFonts w:eastAsiaTheme="minorHAnsi"/>
              </w:rPr>
              <w:t>Columbus, Ohio 43215</w:t>
            </w:r>
          </w:p>
          <w:p>
            <w:pPr>
              <w:rPr>
                <w:rFonts w:eastAsiaTheme="minorHAnsi"/>
              </w:rPr>
            </w:pPr>
            <w:r>
              <w:rPr>
                <w:rFonts w:eastAsiaTheme="minorHAnsi"/>
              </w:rPr>
              <w:t>mrgladman@jonesday.com</w:t>
            </w:r>
          </w:p>
          <w:p>
            <w:pPr>
              <w:rPr>
                <w:rFonts w:eastAsiaTheme="minorHAnsi"/>
              </w:rPr>
            </w:pPr>
            <w:r>
              <w:rPr>
                <w:rFonts w:eastAsiaTheme="minorHAnsi"/>
              </w:rPr>
              <w:t>sgoyal@jonesday.com</w:t>
            </w:r>
          </w:p>
          <w:p>
            <w:pPr>
              <w:rPr>
                <w:rFonts w:eastAsiaTheme="minorHAnsi"/>
              </w:rPr>
            </w:pPr>
            <w:r>
              <w:rPr>
                <w:rFonts w:eastAsiaTheme="minorHAnsi"/>
              </w:rPr>
              <w:t>mdengler@jonesday.com</w:t>
            </w:r>
          </w:p>
          <w:p>
            <w:pPr>
              <w:rPr>
                <w:rFonts w:eastAsiaTheme="minorHAnsi"/>
              </w:rPr>
            </w:pPr>
            <w:r>
              <w:rPr>
                <w:rFonts w:eastAsiaTheme="minorHAnsi"/>
              </w:rPr>
              <w:t>radoringo@jonesday.com</w:t>
            </w:r>
          </w:p>
          <w:p>
            <w:pPr>
              <w:rPr>
                <w:rFonts w:eastAsiaTheme="minorHAnsi"/>
              </w:rPr>
            </w:pPr>
          </w:p>
          <w:p>
            <w:pPr>
              <w:rPr>
                <w:rFonts w:eastAsiaTheme="minorHAnsi"/>
              </w:rPr>
            </w:pPr>
          </w:p>
        </w:tc>
      </w:tr>
    </w:tbl>
    <w:p>
      <w:pPr>
        <w:spacing w:after="240"/>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Respectfully submitted,</w:t>
      </w:r>
    </w:p>
    <w:p>
      <w:pPr>
        <w:ind w:left="5040"/>
        <w:rPr>
          <w:rFonts w:eastAsiaTheme="majorEastAsia"/>
          <w:i/>
          <w:iCs/>
          <w:u w:val="single"/>
        </w:rPr>
      </w:pPr>
      <w:r>
        <w:rPr>
          <w:rFonts w:eastAsiaTheme="majorEastAsia"/>
          <w:i/>
          <w:iCs/>
          <w:u w:val="single"/>
        </w:rPr>
        <w:t>/s/ Kimberly Frank</w:t>
      </w:r>
    </w:p>
    <w:p>
      <w:pPr>
        <w:ind w:left="5040"/>
        <w:rPr>
          <w:rFonts w:eastAsiaTheme="majorEastAsia"/>
          <w:iCs/>
        </w:rPr>
      </w:pPr>
      <w:r>
        <w:rPr>
          <w:rFonts w:eastAsiaTheme="majorEastAsia"/>
          <w:iCs/>
        </w:rPr>
        <w:t>Kimberly Frank (</w:t>
      </w:r>
      <w:r>
        <w:rPr>
          <w:rFonts w:eastAsia="Calibri"/>
        </w:rPr>
        <w:t>PHV-26301-2022)</w:t>
      </w:r>
    </w:p>
    <w:p>
      <w:pPr>
        <w:ind w:left="5040"/>
        <w:rPr>
          <w:rFonts w:eastAsiaTheme="majorEastAsia"/>
        </w:rPr>
      </w:pPr>
      <w:hyperlink w:history="1" r:id="rId20">
        <w:r>
          <w:rPr>
            <w:color w:val="0563C1" w:themeColor="hyperlink"/>
            <w:u w:val="single"/>
          </w:rPr>
          <w:t>kimberly.frank@klgates.com</w:t>
        </w:r>
      </w:hyperlink>
    </w:p>
    <w:p>
      <w:pPr>
        <w:rPr>
          <w:rFonts w:eastAsiaTheme="majorEastAsia"/>
        </w:rPr>
      </w:pPr>
    </w:p>
    <w:sectPr>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noProof/>
      </w:rPr>
    </w:pPr>
    <w:sdt>
      <w:sdtPr>
        <w:id w:val="88747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pPr>
                  <w:pStyle w:val="MacPacTrailer"/>
                </w:pPr>
                <w:r>
                  <w:t xml:space="preserve">506128660.4 </w:t>
                </w:r>
              </w:p>
              <w:p>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rPr>
          <w:sz w:val="22"/>
          <w:szCs w:val="22"/>
        </w:rPr>
      </w:pPr>
      <w:r>
        <w:rPr>
          <w:rStyle w:val="FootnoteReference"/>
          <w:sz w:val="22"/>
          <w:szCs w:val="22"/>
        </w:rPr>
        <w:footnoteRef/>
      </w:r>
      <w:r>
        <w:rPr>
          <w:sz w:val="22"/>
          <w:szCs w:val="22"/>
        </w:rPr>
        <w:t xml:space="preserve"> Memorandum Contra Motion to Intervene by TransAlta Marketing and Trade, LLC, </w:t>
      </w:r>
      <w:r>
        <w:rPr>
          <w:i/>
          <w:sz w:val="22"/>
          <w:szCs w:val="22"/>
        </w:rPr>
        <w:t>Dynegy Mktg. &amp; Trade, LLC v. Ne. Ohio Pub. Energy Council</w:t>
      </w:r>
      <w:r>
        <w:rPr>
          <w:sz w:val="22"/>
          <w:szCs w:val="22"/>
        </w:rPr>
        <w:t>, Case No. 22-0817-EL-CSS (filed Oct. 4, 2022) (“Memorandum Contra”).  Notably, NOPEC’s Memorandum Contra incorrectly identifies TransAlta as “TransAlta Marketing and Trade, LLC.”  The movant’s correct business name is TransAlta Energy Marketing (U.S.) Inc.</w:t>
      </w:r>
    </w:p>
  </w:footnote>
  <w:footnote w:id="2">
    <w:p>
      <w:pPr>
        <w:pStyle w:val="FootnoteText"/>
        <w:rPr>
          <w:sz w:val="22"/>
          <w:szCs w:val="22"/>
        </w:rPr>
      </w:pPr>
      <w:r>
        <w:rPr>
          <w:rStyle w:val="FootnoteReference"/>
          <w:sz w:val="22"/>
          <w:szCs w:val="22"/>
        </w:rPr>
        <w:footnoteRef/>
      </w:r>
      <w:r>
        <w:rPr>
          <w:sz w:val="22"/>
          <w:szCs w:val="22"/>
        </w:rPr>
        <w:t xml:space="preserve"> Complaint and Request for Emergency Relief, </w:t>
      </w:r>
      <w:r>
        <w:rPr>
          <w:i/>
          <w:sz w:val="22"/>
          <w:szCs w:val="22"/>
        </w:rPr>
        <w:t>Dynegy Mktg. &amp; Trade, LLC v. Ne. Ohio Pub. Energy Council</w:t>
      </w:r>
      <w:r>
        <w:rPr>
          <w:sz w:val="22"/>
          <w:szCs w:val="22"/>
        </w:rPr>
        <w:t>, Case No. 22-0817-EL-CSS (filed Aug. 31, 2022).</w:t>
      </w:r>
    </w:p>
  </w:footnote>
  <w:footnote w:id="3">
    <w:p>
      <w:pPr>
        <w:pStyle w:val="FootnoteText"/>
        <w:rPr>
          <w:sz w:val="22"/>
          <w:szCs w:val="22"/>
        </w:rPr>
      </w:pPr>
      <w:r>
        <w:rPr>
          <w:rStyle w:val="FootnoteReference"/>
          <w:sz w:val="22"/>
          <w:szCs w:val="22"/>
        </w:rPr>
        <w:footnoteRef/>
      </w:r>
      <w:r>
        <w:rPr>
          <w:sz w:val="22"/>
          <w:szCs w:val="22"/>
        </w:rPr>
        <w:t xml:space="preserve"> Memorandum Contra Motion to Intervene by TransAlta Marketing and Trade, LLC, </w:t>
      </w:r>
      <w:r>
        <w:rPr>
          <w:i/>
          <w:sz w:val="22"/>
          <w:szCs w:val="22"/>
        </w:rPr>
        <w:t>Dynegy Mktg. &amp; Trade, LLC v. Ne. Ohio Pub. Energy Council</w:t>
      </w:r>
      <w:r>
        <w:rPr>
          <w:sz w:val="22"/>
          <w:szCs w:val="22"/>
        </w:rPr>
        <w:t>, Case No. 22-0817-EL-CSS (filed Oct. 4, 2022) (“Memorandum Contra”).  Notably, NOPEC’s Memorandum Contra incorrectly identifies TransAlta as “TransAlta Marketing and Trade, LLC.”  The movant’s correct business name is TransAlta Energy Marketing (U.S.) Inc.</w:t>
      </w:r>
    </w:p>
  </w:footnote>
  <w:footnote w:id="4">
    <w:p>
      <w:pPr>
        <w:pStyle w:val="FootnoteText"/>
        <w:rPr>
          <w:sz w:val="22"/>
          <w:szCs w:val="22"/>
        </w:rPr>
      </w:pPr>
      <w:r>
        <w:rPr>
          <w:rStyle w:val="FootnoteReference"/>
          <w:sz w:val="22"/>
          <w:szCs w:val="22"/>
        </w:rPr>
        <w:footnoteRef/>
      </w:r>
      <w:r>
        <w:rPr>
          <w:sz w:val="22"/>
          <w:szCs w:val="22"/>
        </w:rPr>
        <w:t xml:space="preserve"> Complaint and Request for Emergency Relief, </w:t>
      </w:r>
      <w:r>
        <w:rPr>
          <w:i/>
          <w:sz w:val="22"/>
          <w:szCs w:val="22"/>
        </w:rPr>
        <w:t>Dynegy Mktg. &amp; Trade, LLC v. Ne. Ohio Pub. Energy Council</w:t>
      </w:r>
      <w:r>
        <w:rPr>
          <w:sz w:val="22"/>
          <w:szCs w:val="22"/>
        </w:rPr>
        <w:t>, Case No. 22-0817-EL-CSS (filed Aug. 31, 2022) (“Complaint”).</w:t>
      </w:r>
    </w:p>
  </w:footnote>
  <w:footnote w:id="5">
    <w:p>
      <w:pPr>
        <w:pStyle w:val="FootnoteText"/>
        <w:rPr>
          <w:sz w:val="22"/>
          <w:szCs w:val="22"/>
        </w:rPr>
      </w:pPr>
      <w:r>
        <w:rPr>
          <w:rStyle w:val="FootnoteReference"/>
          <w:sz w:val="22"/>
          <w:szCs w:val="22"/>
        </w:rPr>
        <w:footnoteRef/>
      </w:r>
      <w:r>
        <w:rPr>
          <w:sz w:val="22"/>
          <w:szCs w:val="22"/>
        </w:rPr>
        <w:t xml:space="preserve"> Memorandum Contra Motion to Intervene by TransAlta Marketing and Trade, LLC, </w:t>
      </w:r>
      <w:r>
        <w:rPr>
          <w:i/>
          <w:sz w:val="22"/>
          <w:szCs w:val="22"/>
        </w:rPr>
        <w:t>Dynegy Mktg. &amp; Trade, LLC v. Ne. Ohio Pub. Energy Council</w:t>
      </w:r>
      <w:r>
        <w:rPr>
          <w:sz w:val="22"/>
          <w:szCs w:val="22"/>
        </w:rPr>
        <w:t>, Case No. 22-0817-EL-CSS (filed Oct. 4, 2022) (“Memorandum Contra”).  Notably, NOPEC’s Memorandum Contra incorrectly identifies TransAlta as “TransAlta Marketing and Trade, LLC.”  The movant’s correct business name is TransAlta Energy Marketing (U.S.) Inc.</w:t>
      </w:r>
    </w:p>
  </w:footnote>
  <w:footnote w:id="6">
    <w:p>
      <w:pPr>
        <w:pStyle w:val="FootnoteText"/>
        <w:rPr>
          <w:sz w:val="22"/>
          <w:szCs w:val="22"/>
        </w:rPr>
      </w:pPr>
      <w:r>
        <w:rPr>
          <w:rStyle w:val="FootnoteReference"/>
          <w:sz w:val="22"/>
          <w:szCs w:val="22"/>
        </w:rPr>
        <w:footnoteRef/>
      </w:r>
      <w:r>
        <w:rPr>
          <w:sz w:val="22"/>
          <w:szCs w:val="22"/>
        </w:rPr>
        <w:t xml:space="preserve"> </w:t>
      </w:r>
      <w:r>
        <w:rPr>
          <w:i/>
          <w:sz w:val="22"/>
          <w:szCs w:val="22"/>
        </w:rPr>
        <w:t>In re Cleveland Elec. Illum. Co.</w:t>
      </w:r>
      <w:r>
        <w:rPr>
          <w:sz w:val="22"/>
          <w:szCs w:val="22"/>
        </w:rPr>
        <w:t>, Case No. 85-675-EL-AIR, 1986 WL 1262093, Entry at ¶ 6 (issued Jan. 14, 1986) (“The Commission’s policy is to encourage the broadest possible participation in its proceedings.”).</w:t>
      </w:r>
    </w:p>
  </w:footnote>
  <w:footnote w:id="7">
    <w:p>
      <w:pPr>
        <w:pStyle w:val="FootnoteText"/>
        <w:rPr>
          <w:sz w:val="22"/>
          <w:szCs w:val="22"/>
        </w:rPr>
      </w:pPr>
      <w:r>
        <w:rPr>
          <w:rStyle w:val="FootnoteReference"/>
          <w:sz w:val="22"/>
          <w:szCs w:val="22"/>
        </w:rPr>
        <w:footnoteRef/>
      </w:r>
      <w:r>
        <w:rPr>
          <w:sz w:val="22"/>
          <w:szCs w:val="22"/>
        </w:rPr>
        <w:t xml:space="preserve"> </w:t>
      </w:r>
      <w:r>
        <w:rPr>
          <w:i/>
          <w:sz w:val="22"/>
          <w:szCs w:val="22"/>
        </w:rPr>
        <w:t>Ohio Consumers’ Counsel v. Pub. Utils. Comm’n</w:t>
      </w:r>
      <w:r>
        <w:rPr>
          <w:sz w:val="22"/>
          <w:szCs w:val="22"/>
        </w:rPr>
        <w:t xml:space="preserve">, 111 Ohio St.3d 384, 388, 2006-Ohio-5853, 856 N.E.2d 940, ¶ 16 (quoting </w:t>
      </w:r>
      <w:r>
        <w:rPr>
          <w:i/>
          <w:sz w:val="22"/>
          <w:szCs w:val="22"/>
        </w:rPr>
        <w:t>State ex rel. Polo v. Cuyahoga Cty. Bd. of Elections</w:t>
      </w:r>
      <w:r>
        <w:rPr>
          <w:sz w:val="22"/>
          <w:szCs w:val="22"/>
        </w:rPr>
        <w:t>, 74 Ohio St.3d 143, 144, 656 N.E.2d 1277 (1995)).</w:t>
      </w:r>
    </w:p>
  </w:footnote>
  <w:footnote w:id="8">
    <w:p>
      <w:pPr>
        <w:pStyle w:val="FootnoteText"/>
        <w:rPr>
          <w:sz w:val="22"/>
          <w:szCs w:val="22"/>
        </w:rPr>
      </w:pPr>
      <w:r>
        <w:rPr>
          <w:rStyle w:val="FootnoteReference"/>
          <w:sz w:val="22"/>
          <w:szCs w:val="22"/>
        </w:rPr>
        <w:footnoteRef/>
      </w:r>
      <w:r>
        <w:rPr>
          <w:sz w:val="22"/>
          <w:szCs w:val="22"/>
        </w:rPr>
        <w:t xml:space="preserve"> </w:t>
      </w:r>
      <w:r>
        <w:rPr>
          <w:i/>
          <w:iCs/>
          <w:sz w:val="22"/>
          <w:szCs w:val="22"/>
        </w:rPr>
        <w:t xml:space="preserve">Id. </w:t>
      </w:r>
      <w:r>
        <w:rPr>
          <w:sz w:val="22"/>
          <w:szCs w:val="22"/>
        </w:rPr>
        <w:t>at ¶ 20.</w:t>
      </w:r>
    </w:p>
  </w:footnote>
  <w:footnote w:id="9">
    <w:p>
      <w:pPr>
        <w:pStyle w:val="FootnoteText"/>
        <w:rPr>
          <w:sz w:val="22"/>
          <w:szCs w:val="22"/>
        </w:rPr>
      </w:pPr>
      <w:r>
        <w:rPr>
          <w:rStyle w:val="FootnoteReference"/>
          <w:sz w:val="22"/>
          <w:szCs w:val="22"/>
        </w:rPr>
        <w:footnoteRef/>
      </w:r>
      <w:r>
        <w:rPr>
          <w:sz w:val="22"/>
          <w:szCs w:val="22"/>
        </w:rPr>
        <w:t xml:space="preserve"> </w:t>
      </w:r>
      <w:r>
        <w:rPr>
          <w:i/>
          <w:iCs/>
          <w:sz w:val="22"/>
          <w:szCs w:val="22"/>
        </w:rPr>
        <w:t>Id</w:t>
      </w:r>
      <w:r>
        <w:rPr>
          <w:sz w:val="22"/>
          <w:szCs w:val="22"/>
        </w:rPr>
        <w:t>.</w:t>
      </w:r>
    </w:p>
  </w:footnote>
  <w:footnote w:id="10">
    <w:p>
      <w:pPr>
        <w:pStyle w:val="FootnoteText"/>
        <w:rPr>
          <w:sz w:val="22"/>
          <w:szCs w:val="22"/>
        </w:rPr>
      </w:pPr>
      <w:r>
        <w:rPr>
          <w:rStyle w:val="FootnoteReference"/>
          <w:sz w:val="22"/>
          <w:szCs w:val="22"/>
        </w:rPr>
        <w:footnoteRef/>
      </w:r>
      <w:r>
        <w:rPr>
          <w:sz w:val="22"/>
          <w:szCs w:val="22"/>
        </w:rPr>
        <w:t xml:space="preserve"> </w:t>
      </w:r>
      <w:r>
        <w:rPr>
          <w:i/>
          <w:sz w:val="22"/>
          <w:szCs w:val="22"/>
        </w:rPr>
        <w:t>In re Certification of Ne. Ohio Pub. Energy Council as Governmental Aggregator</w:t>
      </w:r>
      <w:r>
        <w:rPr>
          <w:sz w:val="22"/>
          <w:szCs w:val="22"/>
        </w:rPr>
        <w:t xml:space="preserve">, Case No. 00-2317-EL-GAG (issued Sept. 7, 2022) and </w:t>
      </w:r>
      <w:r>
        <w:rPr>
          <w:i/>
          <w:sz w:val="22"/>
          <w:szCs w:val="22"/>
        </w:rPr>
        <w:t>In re Motion of Ne. Ohio Pub. Energy Council for a Limited Waiver</w:t>
      </w:r>
      <w:r>
        <w:rPr>
          <w:sz w:val="22"/>
          <w:szCs w:val="22"/>
        </w:rPr>
        <w:t>, Case No. 22-806-EL-WVR (issued Sept. 7, 2022) (“Show Cause Entry”).</w:t>
      </w:r>
    </w:p>
  </w:footnote>
  <w:footnote w:id="11">
    <w:p>
      <w:pPr>
        <w:pStyle w:val="FootnoteText"/>
        <w:rPr>
          <w:sz w:val="22"/>
          <w:szCs w:val="22"/>
        </w:rPr>
      </w:pPr>
      <w:r>
        <w:rPr>
          <w:rStyle w:val="FootnoteReference"/>
          <w:sz w:val="22"/>
          <w:szCs w:val="22"/>
        </w:rPr>
        <w:footnoteRef/>
      </w:r>
      <w:r>
        <w:rPr>
          <w:sz w:val="22"/>
          <w:szCs w:val="22"/>
        </w:rPr>
        <w:t xml:space="preserve"> Memorandum Contra at pp. 2-3.</w:t>
      </w:r>
    </w:p>
  </w:footnote>
  <w:footnote w:id="12">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xml:space="preserve">. at pp. 5-6. </w:t>
      </w:r>
    </w:p>
  </w:footnote>
  <w:footnote w:id="13">
    <w:p>
      <w:pPr>
        <w:pStyle w:val="FootnoteText"/>
        <w:rPr>
          <w:sz w:val="22"/>
          <w:szCs w:val="22"/>
        </w:rPr>
      </w:pPr>
      <w:r>
        <w:rPr>
          <w:rStyle w:val="FootnoteReference"/>
          <w:sz w:val="22"/>
          <w:szCs w:val="22"/>
        </w:rPr>
        <w:footnoteRef/>
      </w:r>
      <w:r>
        <w:rPr>
          <w:sz w:val="22"/>
          <w:szCs w:val="22"/>
        </w:rPr>
        <w:t xml:space="preserve"> Show Cause Entry at ¶ 15 (“[T]he Commission cautions the parties that these cases have not been consolidated at this time.”);</w:t>
      </w:r>
      <w:r>
        <w:rPr>
          <w:i/>
          <w:sz w:val="22"/>
          <w:szCs w:val="22"/>
        </w:rPr>
        <w:t xml:space="preserve"> In re Certification of Ne. Ohio Pub. Energy Council as Governmental Aggregator</w:t>
      </w:r>
      <w:r>
        <w:rPr>
          <w:sz w:val="22"/>
          <w:szCs w:val="22"/>
        </w:rPr>
        <w:t xml:space="preserve">, Case No. 00-2317-EL-GAG, Entry at ¶ 12 (issued Sept. 23, 2022) (noting that this proceeding and the Certification Proceeding have not been consolidated and instructing parties to refrain from multi-captioning future filings).  In fact, NOPEC previously complained that parties were filing a single motion to intervene in this and the Certification Proceeding, asserting that such “blanket” motions to intervene were unlawful and highly prejudicial to NOPEC.  </w:t>
      </w:r>
      <w:r>
        <w:rPr>
          <w:i/>
          <w:sz w:val="22"/>
          <w:szCs w:val="22"/>
        </w:rPr>
        <w:t>See, e.g.</w:t>
      </w:r>
      <w:r>
        <w:rPr>
          <w:sz w:val="22"/>
          <w:szCs w:val="22"/>
        </w:rPr>
        <w:t xml:space="preserve">, Memorandum Contra Enel Trading North America, LLC’s Motion to Intervene, </w:t>
      </w:r>
      <w:r>
        <w:rPr>
          <w:rFonts w:eastAsia="Calibri"/>
          <w:i/>
          <w:sz w:val="22"/>
          <w:szCs w:val="22"/>
        </w:rPr>
        <w:t>Dynegy Mktg. &amp; Trade, LLC v. Ne. Ohio Pub. Energy Council</w:t>
      </w:r>
      <w:r>
        <w:rPr>
          <w:sz w:val="22"/>
          <w:szCs w:val="22"/>
        </w:rPr>
        <w:t xml:space="preserve">, Case No. 22-0817-EL-CSS, at p. 1 (filed Sept. 14, 2022). </w:t>
      </w:r>
    </w:p>
  </w:footnote>
  <w:footnote w:id="14">
    <w:p>
      <w:pPr>
        <w:pStyle w:val="FootnoteText"/>
        <w:rPr>
          <w:sz w:val="22"/>
          <w:szCs w:val="22"/>
        </w:rPr>
      </w:pPr>
      <w:r>
        <w:rPr>
          <w:rStyle w:val="FootnoteReference"/>
          <w:sz w:val="22"/>
          <w:szCs w:val="22"/>
        </w:rPr>
        <w:footnoteRef/>
      </w:r>
      <w:r>
        <w:rPr>
          <w:sz w:val="22"/>
          <w:szCs w:val="22"/>
        </w:rPr>
        <w:t xml:space="preserve"> </w:t>
      </w:r>
      <w:r>
        <w:rPr>
          <w:i/>
          <w:sz w:val="22"/>
          <w:szCs w:val="22"/>
        </w:rPr>
        <w:t>See</w:t>
      </w:r>
      <w:r>
        <w:rPr>
          <w:sz w:val="22"/>
          <w:szCs w:val="22"/>
        </w:rPr>
        <w:t xml:space="preserve"> </w:t>
      </w:r>
      <w:r>
        <w:rPr>
          <w:rFonts w:eastAsiaTheme="minorHAnsi"/>
          <w:i/>
          <w:iCs/>
          <w:color w:val="000000"/>
          <w:sz w:val="22"/>
          <w:szCs w:val="22"/>
        </w:rPr>
        <w:t>Ohio Domestic Violence Network</w:t>
      </w:r>
      <w:r>
        <w:rPr>
          <w:rFonts w:eastAsiaTheme="minorHAnsi"/>
          <w:i/>
          <w:color w:val="000000"/>
          <w:sz w:val="22"/>
          <w:szCs w:val="22"/>
        </w:rPr>
        <w:t xml:space="preserve">, </w:t>
      </w:r>
      <w:r>
        <w:rPr>
          <w:rFonts w:eastAsiaTheme="minorHAnsi"/>
          <w:i/>
          <w:iCs/>
          <w:color w:val="000000"/>
          <w:sz w:val="22"/>
          <w:szCs w:val="22"/>
        </w:rPr>
        <w:t>v. Pub. Utils. Comm’n</w:t>
      </w:r>
      <w:r>
        <w:rPr>
          <w:rFonts w:eastAsiaTheme="minorHAnsi"/>
          <w:color w:val="000000"/>
          <w:sz w:val="22"/>
          <w:szCs w:val="22"/>
        </w:rPr>
        <w:t>, 1994-Ohio-165, 70 Ohio St. 3d 311, 315-16, 638 N.E.2d 1012 (1994) (</w:t>
      </w:r>
      <w:r>
        <w:rPr>
          <w:sz w:val="22"/>
          <w:szCs w:val="22"/>
        </w:rPr>
        <w:t>finding that appellants had no standing to appeal the Commission’s ruling in a proceeding for which they were denied intervention, and only had standing with respect to proceedings in which their intervention was granted).</w:t>
      </w:r>
    </w:p>
  </w:footnote>
  <w:footnote w:id="15">
    <w:p>
      <w:pPr>
        <w:pStyle w:val="FootnoteText"/>
        <w:rPr>
          <w:sz w:val="22"/>
          <w:szCs w:val="22"/>
        </w:rPr>
      </w:pPr>
      <w:r>
        <w:rPr>
          <w:rStyle w:val="FootnoteReference"/>
          <w:sz w:val="22"/>
          <w:szCs w:val="22"/>
        </w:rPr>
        <w:footnoteRef/>
      </w:r>
      <w:r>
        <w:rPr>
          <w:sz w:val="22"/>
          <w:szCs w:val="22"/>
        </w:rPr>
        <w:t xml:space="preserve"> Memorandum Contra at p. 5.</w:t>
      </w:r>
    </w:p>
  </w:footnote>
  <w:footnote w:id="16">
    <w:p>
      <w:pPr>
        <w:pStyle w:val="FootnoteText"/>
        <w:rPr>
          <w:sz w:val="22"/>
          <w:szCs w:val="22"/>
        </w:rPr>
      </w:pPr>
      <w:r>
        <w:rPr>
          <w:rStyle w:val="FootnoteReference"/>
          <w:sz w:val="22"/>
          <w:szCs w:val="22"/>
        </w:rPr>
        <w:footnoteRef/>
      </w:r>
      <w:r>
        <w:rPr>
          <w:sz w:val="22"/>
          <w:szCs w:val="22"/>
        </w:rPr>
        <w:t xml:space="preserve"> Show Cause Entry at ¶ 14.  </w:t>
      </w:r>
    </w:p>
  </w:footnote>
  <w:footnote w:id="17">
    <w:p>
      <w:pPr>
        <w:pStyle w:val="KBodyDoubleFirstIndent5"/>
        <w:spacing w:after="120" w:line="240" w:lineRule="auto"/>
        <w:ind w:firstLine="0"/>
        <w:jc w:val="left"/>
        <w:rPr>
          <w:sz w:val="22"/>
          <w:szCs w:val="22"/>
        </w:rPr>
      </w:pPr>
      <w:r>
        <w:rPr>
          <w:rStyle w:val="FootnoteReference"/>
          <w:sz w:val="22"/>
          <w:szCs w:val="22"/>
        </w:rPr>
        <w:footnoteRef/>
      </w:r>
      <w:r>
        <w:rPr>
          <w:sz w:val="22"/>
          <w:szCs w:val="22"/>
        </w:rPr>
        <w:t xml:space="preserve"> </w:t>
      </w:r>
      <w:r>
        <w:rPr>
          <w:i/>
          <w:sz w:val="22"/>
          <w:szCs w:val="22"/>
        </w:rPr>
        <w:t>See, e.g.</w:t>
      </w:r>
      <w:r>
        <w:rPr>
          <w:sz w:val="22"/>
          <w:szCs w:val="22"/>
        </w:rPr>
        <w:t xml:space="preserve">, </w:t>
      </w:r>
      <w:r>
        <w:rPr>
          <w:i/>
          <w:sz w:val="22"/>
          <w:szCs w:val="22"/>
        </w:rPr>
        <w:t>In re Complaint of the City of Cleveland &amp; WPS Energy Serv., Inc. v. The Cleveland Elec. Illum. Co. &amp; FirstEnergy, Corp.</w:t>
      </w:r>
      <w:r>
        <w:rPr>
          <w:sz w:val="22"/>
          <w:szCs w:val="22"/>
        </w:rPr>
        <w:t>, Case No. 01-174-EL-CSS, Entry at ¶ 3 (issued Mar. 29, 2001) (granting intervention in complaint proceeding for party with “a real and substantial interest” that was not adequately represented by existing parties).</w:t>
      </w:r>
    </w:p>
  </w:footnote>
  <w:footnote w:id="18">
    <w:p>
      <w:pPr>
        <w:pStyle w:val="FootnoteText"/>
        <w:rPr>
          <w:sz w:val="22"/>
          <w:szCs w:val="22"/>
        </w:rPr>
      </w:pPr>
      <w:r>
        <w:rPr>
          <w:rStyle w:val="FootnoteReference"/>
          <w:sz w:val="22"/>
          <w:szCs w:val="22"/>
        </w:rPr>
        <w:footnoteRef/>
      </w:r>
      <w:r>
        <w:rPr>
          <w:sz w:val="22"/>
          <w:szCs w:val="22"/>
        </w:rPr>
        <w:t xml:space="preserve"> Memorandum Contra at p. 5.</w:t>
      </w:r>
    </w:p>
  </w:footnote>
  <w:footnote w:id="19">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w:t>
      </w:r>
    </w:p>
  </w:footnote>
  <w:footnote w:id="20">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p. 4.</w:t>
      </w:r>
    </w:p>
  </w:footnote>
  <w:footnote w:id="21">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p. 1.</w:t>
      </w:r>
    </w:p>
  </w:footnote>
  <w:footnote w:id="22">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p.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4E"/>
    <w:multiLevelType w:val="hybridMultilevel"/>
    <w:tmpl w:val="A02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71F"/>
    <w:multiLevelType w:val="hybridMultilevel"/>
    <w:tmpl w:val="B26EC8D8"/>
    <w:lvl w:ilvl="0" w:tplc="A8485796">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F061EB"/>
    <w:multiLevelType w:val="hybridMultilevel"/>
    <w:tmpl w:val="EFF8BA68"/>
    <w:lvl w:ilvl="0" w:tplc="5FDE2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44BB0"/>
    <w:multiLevelType w:val="hybridMultilevel"/>
    <w:tmpl w:val="E22AEEBE"/>
    <w:lvl w:ilvl="0" w:tplc="5156CCF4">
      <w:start w:val="1"/>
      <w:numFmt w:val="decimal"/>
      <w:pStyle w:val="FERCAffidavitNumberedPara"/>
      <w:lvlText w:val="%1."/>
      <w:lvlJc w:val="left"/>
      <w:pPr>
        <w:ind w:left="720" w:hanging="360"/>
      </w:pPr>
    </w:lvl>
    <w:lvl w:ilvl="1" w:tplc="B4E40E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30EC9"/>
    <w:multiLevelType w:val="hybridMultilevel"/>
    <w:tmpl w:val="24E6F3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3D00D5E"/>
    <w:multiLevelType w:val="hybridMultilevel"/>
    <w:tmpl w:val="213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42B3F"/>
    <w:multiLevelType w:val="multilevel"/>
    <w:tmpl w:val="818EB8DA"/>
    <w:lvl w:ilvl="0">
      <w:start w:val="1"/>
      <w:numFmt w:val="upperRoman"/>
      <w:pStyle w:val="OutlineHL1"/>
      <w:lvlText w:val="%1."/>
      <w:lvlJc w:val="left"/>
      <w:pPr>
        <w:tabs>
          <w:tab w:val="num" w:pos="1800"/>
        </w:tabs>
        <w:ind w:left="1800" w:hanging="720"/>
      </w:pPr>
      <w:rPr>
        <w:rFonts w:hint="default"/>
        <w:b/>
        <w:caps w:val="0"/>
        <w:color w:val="auto"/>
        <w:u w:val="none"/>
      </w:rPr>
    </w:lvl>
    <w:lvl w:ilvl="1">
      <w:start w:val="1"/>
      <w:numFmt w:val="upperLetter"/>
      <w:lvlText w:val="%2."/>
      <w:lvlJc w:val="left"/>
      <w:pPr>
        <w:tabs>
          <w:tab w:val="num" w:pos="2610"/>
        </w:tabs>
        <w:ind w:left="2610" w:hanging="720"/>
      </w:pPr>
      <w:rPr>
        <w:rFonts w:ascii="Times New Roman" w:hAnsi="Times New Roman" w:cs="Times New Roman" w:hint="default"/>
        <w:b/>
        <w:i w:val="0"/>
        <w:color w:val="auto"/>
        <w:sz w:val="24"/>
        <w:szCs w:val="24"/>
        <w:u w:val="none"/>
      </w:rPr>
    </w:lvl>
    <w:lvl w:ilvl="2">
      <w:start w:val="1"/>
      <w:numFmt w:val="decimal"/>
      <w:lvlText w:val="%3."/>
      <w:lvlJc w:val="left"/>
      <w:pPr>
        <w:tabs>
          <w:tab w:val="num" w:pos="3240"/>
        </w:tabs>
        <w:ind w:left="3240" w:hanging="720"/>
      </w:pPr>
      <w:rPr>
        <w:rFonts w:ascii="Times New Roman" w:hAnsi="Times New Roman" w:cs="Times New Roman" w:hint="default"/>
        <w:b/>
        <w:color w:val="auto"/>
        <w:sz w:val="24"/>
        <w:szCs w:val="24"/>
        <w:u w:val="none"/>
      </w:rPr>
    </w:lvl>
    <w:lvl w:ilvl="3">
      <w:start w:val="1"/>
      <w:numFmt w:val="lowerLetter"/>
      <w:pStyle w:val="OutlineHL4"/>
      <w:lvlText w:val="%4."/>
      <w:lvlJc w:val="left"/>
      <w:pPr>
        <w:tabs>
          <w:tab w:val="num" w:pos="3960"/>
        </w:tabs>
        <w:ind w:left="3960" w:hanging="720"/>
      </w:pPr>
      <w:rPr>
        <w:rFonts w:ascii="Times New Roman" w:hAnsi="Times New Roman" w:cs="Times New Roman" w:hint="default"/>
        <w:color w:val="auto"/>
        <w:sz w:val="24"/>
        <w:szCs w:val="24"/>
        <w:u w:val="none"/>
      </w:rPr>
    </w:lvl>
    <w:lvl w:ilvl="4">
      <w:start w:val="1"/>
      <w:numFmt w:val="lowerRoman"/>
      <w:pStyle w:val="OutlineHL5"/>
      <w:lvlText w:val="%5."/>
      <w:lvlJc w:val="left"/>
      <w:pPr>
        <w:tabs>
          <w:tab w:val="num" w:pos="4680"/>
        </w:tabs>
        <w:ind w:left="4680" w:hanging="720"/>
      </w:pPr>
      <w:rPr>
        <w:rFonts w:hint="default"/>
        <w:color w:val="auto"/>
        <w:u w:val="none"/>
      </w:rPr>
    </w:lvl>
    <w:lvl w:ilvl="5">
      <w:start w:val="1"/>
      <w:numFmt w:val="lowerLetter"/>
      <w:pStyle w:val="OutlineHL6"/>
      <w:lvlText w:val="(%6)"/>
      <w:lvlJc w:val="left"/>
      <w:pPr>
        <w:tabs>
          <w:tab w:val="num" w:pos="5400"/>
        </w:tabs>
        <w:ind w:left="5400" w:hanging="720"/>
      </w:pPr>
      <w:rPr>
        <w:rFonts w:hint="default"/>
        <w:color w:val="auto"/>
        <w:u w:val="none"/>
      </w:rPr>
    </w:lvl>
    <w:lvl w:ilvl="6">
      <w:start w:val="1"/>
      <w:numFmt w:val="decimal"/>
      <w:pStyle w:val="OutlineHL7"/>
      <w:lvlText w:val="(%7)"/>
      <w:lvlJc w:val="left"/>
      <w:pPr>
        <w:tabs>
          <w:tab w:val="num" w:pos="6120"/>
        </w:tabs>
        <w:ind w:left="6120" w:hanging="720"/>
      </w:pPr>
      <w:rPr>
        <w:rFonts w:hint="default"/>
        <w:color w:val="auto"/>
        <w:u w:val="none"/>
      </w:rPr>
    </w:lvl>
    <w:lvl w:ilvl="7">
      <w:start w:val="1"/>
      <w:numFmt w:val="lowerRoman"/>
      <w:pStyle w:val="OutlineHL8"/>
      <w:lvlText w:val="%8)"/>
      <w:lvlJc w:val="left"/>
      <w:pPr>
        <w:tabs>
          <w:tab w:val="num" w:pos="6840"/>
        </w:tabs>
        <w:ind w:left="6840" w:hanging="720"/>
      </w:pPr>
      <w:rPr>
        <w:rFonts w:hint="default"/>
        <w:color w:val="auto"/>
        <w:u w:val="none"/>
      </w:rPr>
    </w:lvl>
    <w:lvl w:ilvl="8">
      <w:start w:val="1"/>
      <w:numFmt w:val="lowerLetter"/>
      <w:pStyle w:val="OutlineHL9"/>
      <w:lvlText w:val="%9)"/>
      <w:lvlJc w:val="left"/>
      <w:pPr>
        <w:tabs>
          <w:tab w:val="num" w:pos="7560"/>
        </w:tabs>
        <w:ind w:left="7560" w:hanging="720"/>
      </w:pPr>
      <w:rPr>
        <w:rFonts w:hint="default"/>
        <w:color w:val="auto"/>
        <w:u w:val="none"/>
      </w:rPr>
    </w:lvl>
  </w:abstractNum>
  <w:abstractNum w:abstractNumId="7" w15:restartNumberingAfterBreak="0">
    <w:nsid w:val="477F25D7"/>
    <w:multiLevelType w:val="hybridMultilevel"/>
    <w:tmpl w:val="2264DB56"/>
    <w:lvl w:ilvl="0" w:tplc="264ED8FE">
      <w:start w:val="1"/>
      <w:numFmt w:val="decimal"/>
      <w:pStyle w:val="FERC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D9694F"/>
    <w:multiLevelType w:val="hybridMultilevel"/>
    <w:tmpl w:val="CAF00AC2"/>
    <w:lvl w:ilvl="0" w:tplc="FE2097BE">
      <w:start w:val="1"/>
      <w:numFmt w:val="decimal"/>
      <w:pStyle w:val="OutlineHL2"/>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543E1985"/>
    <w:multiLevelType w:val="hybridMultilevel"/>
    <w:tmpl w:val="2D149CF8"/>
    <w:lvl w:ilvl="0" w:tplc="83967128">
      <w:start w:val="1"/>
      <w:numFmt w:val="upperRoman"/>
      <w:pStyle w:val="FERC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155BE"/>
    <w:multiLevelType w:val="hybridMultilevel"/>
    <w:tmpl w:val="31AE688E"/>
    <w:lvl w:ilvl="0" w:tplc="345287C6">
      <w:start w:val="1"/>
      <w:numFmt w:val="bullet"/>
      <w:pStyle w:val="KBulle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617CB"/>
    <w:multiLevelType w:val="hybridMultilevel"/>
    <w:tmpl w:val="08A4DEF8"/>
    <w:lvl w:ilvl="0" w:tplc="8ACE8FEA">
      <w:start w:val="1"/>
      <w:numFmt w:val="decimal"/>
      <w:pStyle w:val="FERCAffidavitParagraph"/>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013888"/>
    <w:multiLevelType w:val="hybridMultilevel"/>
    <w:tmpl w:val="4FFCE8DC"/>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6FAF"/>
    <w:multiLevelType w:val="hybridMultilevel"/>
    <w:tmpl w:val="1AC444F2"/>
    <w:lvl w:ilvl="0" w:tplc="712C4144">
      <w:start w:val="1"/>
      <w:numFmt w:val="bullet"/>
      <w:pStyle w:val="KBulle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0745B"/>
    <w:multiLevelType w:val="hybridMultilevel"/>
    <w:tmpl w:val="533ECB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55667DF"/>
    <w:multiLevelType w:val="hybridMultilevel"/>
    <w:tmpl w:val="82A224AA"/>
    <w:lvl w:ilvl="0" w:tplc="E8A80BA0">
      <w:start w:val="1"/>
      <w:numFmt w:val="decimal"/>
      <w:pStyle w:val="OutlineHL3"/>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6157013"/>
    <w:multiLevelType w:val="hybridMultilevel"/>
    <w:tmpl w:val="EE00FDF8"/>
    <w:lvl w:ilvl="0" w:tplc="CDCE0E70">
      <w:start w:val="1"/>
      <w:numFmt w:val="upperLetter"/>
      <w:pStyle w:val="FERC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D770F2"/>
    <w:multiLevelType w:val="hybridMultilevel"/>
    <w:tmpl w:val="5E3450A2"/>
    <w:lvl w:ilvl="0" w:tplc="864EF624">
      <w:start w:val="1"/>
      <w:numFmt w:val="bullet"/>
      <w:pStyle w:val="KBullet3"/>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576C1"/>
    <w:multiLevelType w:val="hybridMultilevel"/>
    <w:tmpl w:val="5A5AB6AA"/>
    <w:lvl w:ilvl="0" w:tplc="442A90F0">
      <w:start w:val="1"/>
      <w:numFmt w:val="bullet"/>
      <w:pStyle w:val="FERC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4D2F87"/>
    <w:multiLevelType w:val="hybridMultilevel"/>
    <w:tmpl w:val="96805942"/>
    <w:lvl w:ilvl="0" w:tplc="D6425754">
      <w:start w:val="1"/>
      <w:numFmt w:val="bullet"/>
      <w:pStyle w:val="KBullet4"/>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31B9B"/>
    <w:multiLevelType w:val="hybridMultilevel"/>
    <w:tmpl w:val="67A0F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14"/>
  </w:num>
  <w:num w:numId="14">
    <w:abstractNumId w:val="2"/>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17"/>
  </w:num>
  <w:num w:numId="20">
    <w:abstractNumId w:val="19"/>
  </w:num>
  <w:num w:numId="21">
    <w:abstractNumId w:val="1"/>
  </w:num>
  <w:num w:numId="22">
    <w:abstractNumId w:val="15"/>
  </w:num>
  <w:num w:numId="23">
    <w:abstractNumId w:val="15"/>
    <w:lvlOverride w:ilvl="0">
      <w:startOverride w:val="1"/>
    </w:lvlOverride>
  </w:num>
  <w:num w:numId="24">
    <w:abstractNumId w:val="8"/>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0950B93A-E3A8-4D12-90FB-539729F8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39" w:semiHidden="1" w:unhideWhenUsed="1"/>
    <w:lsdException w:name="toc 9" w:uiPriority="0"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line="240" w:lineRule="auto"/>
    </w:pPr>
    <w:rPr>
      <w:rFonts w:ascii="Times New Roman" w:hAnsi="Times New Roman" w:eastAsia="Times New Roman" w:cs="Times New Roman"/>
      <w:sz w:val="24"/>
      <w:szCs w:val="24"/>
    </w:rPr>
  </w:style>
  <w:style w:type="paragraph" w:styleId="Heading1">
    <w:name w:val="heading 1"/>
    <w:basedOn w:val="Normal"/>
    <w:next w:val="KBody"/>
    <w:link w:val="Heading1Char"/>
    <w:qFormat/>
    <w:pPr>
      <w:keepNext/>
      <w:keepLines/>
      <w:spacing w:after="240"/>
      <w:outlineLvl w:val="0"/>
    </w:pPr>
    <w:rPr>
      <w:rFonts w:cs="Arial"/>
      <w:bCs/>
      <w:szCs w:val="32"/>
    </w:rPr>
  </w:style>
  <w:style w:type="paragraph" w:styleId="Heading2">
    <w:name w:val="heading 2"/>
    <w:basedOn w:val="Normal"/>
    <w:next w:val="KBody"/>
    <w:link w:val="Heading2Char"/>
    <w:qFormat/>
    <w:pPr>
      <w:keepNext/>
      <w:spacing w:after="240"/>
      <w:outlineLvl w:val="1"/>
    </w:pPr>
    <w:rPr>
      <w:rFonts w:cs="Arial"/>
      <w:bCs/>
      <w:iCs/>
      <w:szCs w:val="28"/>
    </w:rPr>
  </w:style>
  <w:style w:type="paragraph" w:styleId="Heading3">
    <w:name w:val="heading 3"/>
    <w:basedOn w:val="Normal"/>
    <w:next w:val="KBody"/>
    <w:link w:val="Heading3Char"/>
    <w:qFormat/>
    <w:pPr>
      <w:spacing w:after="240"/>
      <w:outlineLvl w:val="2"/>
    </w:pPr>
    <w:rPr>
      <w:rFonts w:cs="Arial"/>
      <w:bCs/>
      <w:szCs w:val="26"/>
    </w:rPr>
  </w:style>
  <w:style w:type="paragraph" w:styleId="Heading4">
    <w:name w:val="heading 4"/>
    <w:basedOn w:val="Normal"/>
    <w:next w:val="KBody"/>
    <w:link w:val="Heading4Char"/>
    <w:pPr>
      <w:keepNext/>
      <w:spacing w:after="240"/>
      <w:outlineLvl w:val="3"/>
    </w:pPr>
    <w:rPr>
      <w:bCs/>
      <w:szCs w:val="28"/>
    </w:rPr>
  </w:style>
  <w:style w:type="paragraph" w:styleId="Heading5">
    <w:name w:val="heading 5"/>
    <w:basedOn w:val="Normal"/>
    <w:next w:val="KBody"/>
    <w:link w:val="Heading5Char"/>
    <w:pPr>
      <w:keepNext/>
      <w:spacing w:after="240"/>
      <w:outlineLvl w:val="4"/>
    </w:pPr>
    <w:rPr>
      <w:bCs/>
      <w:iCs/>
      <w:szCs w:val="26"/>
    </w:rPr>
  </w:style>
  <w:style w:type="paragraph" w:styleId="Heading6">
    <w:name w:val="heading 6"/>
    <w:basedOn w:val="Normal"/>
    <w:next w:val="KBody"/>
    <w:link w:val="Heading6Char"/>
    <w:pPr>
      <w:keepNext/>
      <w:spacing w:after="240"/>
      <w:outlineLvl w:val="5"/>
    </w:pPr>
    <w:rPr>
      <w:bCs/>
      <w:szCs w:val="22"/>
    </w:rPr>
  </w:style>
  <w:style w:type="paragraph" w:styleId="Heading7">
    <w:name w:val="heading 7"/>
    <w:basedOn w:val="Normal"/>
    <w:next w:val="KBody"/>
    <w:link w:val="Heading7Char"/>
    <w:pPr>
      <w:keepNext/>
      <w:spacing w:after="240"/>
      <w:outlineLvl w:val="6"/>
    </w:pPr>
  </w:style>
  <w:style w:type="paragraph" w:styleId="Heading8">
    <w:name w:val="heading 8"/>
    <w:basedOn w:val="Normal"/>
    <w:next w:val="KBody"/>
    <w:link w:val="Heading8Char"/>
    <w:pPr>
      <w:keepNext/>
      <w:spacing w:after="240"/>
      <w:outlineLvl w:val="7"/>
    </w:pPr>
    <w:rPr>
      <w:iCs/>
    </w:rPr>
  </w:style>
  <w:style w:type="paragraph" w:styleId="Heading9">
    <w:name w:val="heading 9"/>
    <w:basedOn w:val="Normal"/>
    <w:next w:val="KBody"/>
    <w:link w:val="Heading9Char"/>
    <w:pPr>
      <w:keepNext/>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680"/>
        <w:tab w:val="right" w:pos="9360"/>
      </w:tabs>
    </w:p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680"/>
        <w:tab w:val="right" w:pos="9360"/>
      </w:tabs>
    </w:pPr>
  </w:style>
  <w:style w:type="character" w:styleId="FooterChar" w:customStyle="1">
    <w:name w:val="Footer Char"/>
    <w:basedOn w:val="DefaultParagraphFont"/>
    <w:link w:val="Footer"/>
    <w:rPr>
      <w:rFonts w:ascii="Times New Roman" w:hAnsi="Times New Roman" w:eastAsia="Times New Roman" w:cs="Times New Roman"/>
      <w:sz w:val="24"/>
      <w:szCs w:val="24"/>
    </w:rPr>
  </w:style>
  <w:style w:type="paragraph" w:styleId="MacPacTrailer" w:customStyle="1">
    <w:name w:val="MacPac Trailer"/>
    <w:pPr>
      <w:widowControl w:val="0"/>
      <w:spacing w:after="0" w:line="200" w:lineRule="exact"/>
    </w:pPr>
    <w:rPr>
      <w:rFonts w:ascii="Arial" w:hAnsi="Arial" w:eastAsia="Times New Roman" w:cs="Times New Roman"/>
      <w:sz w:val="15"/>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unhideWhenUsed/>
    <w:pPr>
      <w:spacing w:after="120"/>
    </w:pPr>
    <w:rPr>
      <w:szCs w:val="20"/>
    </w:rPr>
  </w:style>
  <w:style w:type="character" w:styleId="FootnoteTextChar" w:customStyle="1">
    <w:name w:val="Footnote Text Char"/>
    <w:basedOn w:val="DefaultParagraphFont"/>
    <w:link w:val="FootnoteText"/>
    <w:uiPriority w:val="99"/>
    <w:rPr>
      <w:rFonts w:ascii="Times New Roman" w:hAnsi="Times New Roman" w:eastAsia="Times New Roman" w:cs="Times New Roman"/>
      <w:sz w:val="24"/>
      <w:szCs w:val="20"/>
    </w:rPr>
  </w:style>
  <w:style w:type="character" w:styleId="FootnoteReference">
    <w:name w:val="footnote reference"/>
    <w:basedOn w:val="DefaultParagraphFont"/>
    <w:uiPriority w:val="99"/>
    <w:unhideWhenUsed/>
    <w:rPr>
      <w:sz w:val="24"/>
      <w:vertAlign w:val="superscript"/>
    </w:rPr>
  </w:style>
  <w:style w:type="paragraph" w:styleId="ListParagraph">
    <w:name w:val="List Paragraph"/>
    <w:basedOn w:val="Normal"/>
    <w:uiPriority w:val="34"/>
    <w:unhideWhenUsed/>
    <w:pPr>
      <w:ind w:left="720"/>
      <w:contextualSpacing/>
    </w:p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paragraph" w:styleId="Default" w:customStyle="1">
    <w:name w:val="Default"/>
    <w:pPr>
      <w:autoSpaceDE w:val="0"/>
      <w:autoSpaceDN w:val="0"/>
      <w:adjustRightInd w:val="0"/>
      <w:spacing w:after="0" w:line="240" w:lineRule="auto"/>
    </w:pPr>
    <w:rPr>
      <w:rFonts w:ascii="TimesNewRomanPSMT" w:hAnsi="TimesNewRomanPSMT" w:cs="TimesNewRomanPSMT"/>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rPr>
      <w:color w:val="605E5C"/>
      <w:shd w:val="clear" w:color="auto" w:fill="E1DFDD"/>
    </w:rPr>
  </w:style>
  <w:style w:type="table" w:styleId="TableGrid11" w:customStyle="1">
    <w:name w:val="Table Grid11"/>
    <w:basedOn w:val="TableNormal"/>
    <w:next w:val="TableGrid"/>
    <w:uiPriority w:val="59"/>
    <w:pPr>
      <w:spacing w:after="0"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Pr>
      <w:sz w:val="20"/>
      <w:szCs w:val="20"/>
    </w:rPr>
  </w:style>
  <w:style w:type="character" w:styleId="EndnoteTextChar" w:customStyle="1">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OutlineHL1" w:customStyle="1">
    <w:name w:val="OutlineH_L1"/>
    <w:basedOn w:val="Normal"/>
    <w:next w:val="BodyText"/>
    <w:pPr>
      <w:keepNext/>
      <w:numPr>
        <w:numId w:val="1"/>
      </w:numPr>
      <w:tabs>
        <w:tab w:val="clear" w:pos="1800"/>
      </w:tabs>
      <w:spacing w:after="240"/>
      <w:ind w:left="1440"/>
      <w:outlineLvl w:val="0"/>
    </w:pPr>
    <w:rPr>
      <w:rFonts w:ascii="Times New Roman Bold" w:hAnsi="Times New Roman Bold" w:cs="Calibri" w:eastAsiaTheme="majorEastAsia"/>
      <w:b/>
      <w:bCs/>
      <w:caps/>
      <w:szCs w:val="28"/>
    </w:rPr>
  </w:style>
  <w:style w:type="paragraph" w:styleId="OutlineHL2" w:customStyle="1">
    <w:name w:val="OutlineH_L2"/>
    <w:basedOn w:val="Normal"/>
    <w:next w:val="BodyText"/>
    <w:link w:val="OutlineHL2Char"/>
    <w:pPr>
      <w:keepNext/>
      <w:numPr>
        <w:numId w:val="24"/>
      </w:numPr>
      <w:spacing w:after="240"/>
      <w:ind w:left="1440" w:hanging="720"/>
      <w:outlineLvl w:val="1"/>
    </w:pPr>
    <w:rPr>
      <w:rFonts w:cs="Calibri" w:eastAsiaTheme="majorEastAsia"/>
      <w:b/>
      <w:szCs w:val="26"/>
    </w:rPr>
  </w:style>
  <w:style w:type="character" w:styleId="OutlineHL2Char" w:customStyle="1">
    <w:name w:val="OutlineH_L2 Char"/>
    <w:basedOn w:val="DefaultParagraphFont"/>
    <w:link w:val="OutlineHL2"/>
    <w:rPr>
      <w:rFonts w:ascii="Times New Roman" w:hAnsi="Times New Roman" w:cs="Calibri" w:eastAsiaTheme="majorEastAsia"/>
      <w:b/>
      <w:sz w:val="24"/>
      <w:szCs w:val="26"/>
    </w:rPr>
  </w:style>
  <w:style w:type="paragraph" w:styleId="OutlineHL3" w:customStyle="1">
    <w:name w:val="OutlineH_L3"/>
    <w:basedOn w:val="Normal"/>
    <w:next w:val="BodyText"/>
    <w:pPr>
      <w:numPr>
        <w:numId w:val="22"/>
      </w:numPr>
      <w:spacing w:after="240"/>
      <w:ind w:left="1440" w:hanging="720"/>
      <w:outlineLvl w:val="2"/>
    </w:pPr>
    <w:rPr>
      <w:rFonts w:eastAsiaTheme="majorEastAsia"/>
      <w:bCs/>
    </w:rPr>
  </w:style>
  <w:style w:type="paragraph" w:styleId="OutlineHL4" w:customStyle="1">
    <w:name w:val="OutlineH_L4"/>
    <w:basedOn w:val="Normal"/>
    <w:next w:val="BodyText"/>
    <w:pPr>
      <w:numPr>
        <w:ilvl w:val="3"/>
        <w:numId w:val="1"/>
      </w:numPr>
      <w:tabs>
        <w:tab w:val="left" w:pos="2880"/>
      </w:tabs>
      <w:spacing w:after="240"/>
      <w:outlineLvl w:val="3"/>
    </w:pPr>
    <w:rPr>
      <w:rFonts w:ascii="Calibri" w:hAnsi="Calibri" w:cs="Calibri" w:eastAsiaTheme="majorEastAsia"/>
      <w:bCs/>
      <w:iCs/>
    </w:rPr>
  </w:style>
  <w:style w:type="paragraph" w:styleId="OutlineHL5" w:customStyle="1">
    <w:name w:val="OutlineH_L5"/>
    <w:basedOn w:val="Normal"/>
    <w:next w:val="BodyText"/>
    <w:pPr>
      <w:numPr>
        <w:ilvl w:val="4"/>
        <w:numId w:val="1"/>
      </w:numPr>
      <w:tabs>
        <w:tab w:val="left" w:pos="3600"/>
      </w:tabs>
      <w:spacing w:after="240"/>
      <w:outlineLvl w:val="4"/>
    </w:pPr>
    <w:rPr>
      <w:rFonts w:ascii="Calibri" w:hAnsi="Calibri" w:cs="Calibri" w:eastAsiaTheme="majorEastAsia"/>
    </w:rPr>
  </w:style>
  <w:style w:type="paragraph" w:styleId="OutlineHL6" w:customStyle="1">
    <w:name w:val="OutlineH_L6"/>
    <w:basedOn w:val="Normal"/>
    <w:next w:val="BodyText"/>
    <w:pPr>
      <w:numPr>
        <w:ilvl w:val="5"/>
        <w:numId w:val="1"/>
      </w:numPr>
      <w:tabs>
        <w:tab w:val="left" w:pos="4320"/>
      </w:tabs>
      <w:spacing w:after="240"/>
      <w:outlineLvl w:val="5"/>
    </w:pPr>
    <w:rPr>
      <w:rFonts w:ascii="Calibri" w:hAnsi="Calibri" w:cs="Calibri" w:eastAsiaTheme="majorEastAsia"/>
      <w:iCs/>
    </w:rPr>
  </w:style>
  <w:style w:type="paragraph" w:styleId="OutlineHL7" w:customStyle="1">
    <w:name w:val="OutlineH_L7"/>
    <w:basedOn w:val="Normal"/>
    <w:next w:val="BodyText"/>
    <w:pPr>
      <w:numPr>
        <w:ilvl w:val="6"/>
        <w:numId w:val="1"/>
      </w:numPr>
      <w:tabs>
        <w:tab w:val="left" w:pos="5040"/>
      </w:tabs>
      <w:spacing w:after="240"/>
      <w:outlineLvl w:val="6"/>
    </w:pPr>
    <w:rPr>
      <w:rFonts w:ascii="Calibri" w:hAnsi="Calibri" w:cs="Calibri" w:eastAsiaTheme="majorEastAsia"/>
      <w:iCs/>
    </w:rPr>
  </w:style>
  <w:style w:type="paragraph" w:styleId="OutlineHL8" w:customStyle="1">
    <w:name w:val="OutlineH_L8"/>
    <w:basedOn w:val="Normal"/>
    <w:next w:val="BodyText"/>
    <w:pPr>
      <w:numPr>
        <w:ilvl w:val="7"/>
        <w:numId w:val="1"/>
      </w:numPr>
      <w:tabs>
        <w:tab w:val="left" w:pos="5760"/>
      </w:tabs>
      <w:spacing w:after="240"/>
      <w:outlineLvl w:val="7"/>
    </w:pPr>
    <w:rPr>
      <w:rFonts w:ascii="Calibri" w:hAnsi="Calibri" w:cs="Calibri" w:eastAsiaTheme="majorEastAsia"/>
      <w:szCs w:val="28"/>
    </w:rPr>
  </w:style>
  <w:style w:type="paragraph" w:styleId="OutlineHL9" w:customStyle="1">
    <w:name w:val="OutlineH_L9"/>
    <w:basedOn w:val="Normal"/>
    <w:next w:val="BodyText"/>
    <w:pPr>
      <w:numPr>
        <w:ilvl w:val="8"/>
        <w:numId w:val="1"/>
      </w:numPr>
      <w:tabs>
        <w:tab w:val="left" w:pos="6480"/>
      </w:tabs>
      <w:spacing w:after="240"/>
      <w:outlineLvl w:val="8"/>
    </w:pPr>
    <w:rPr>
      <w:rFonts w:ascii="Calibri" w:hAnsi="Calibri" w:cs="Calibri" w:eastAsiaTheme="majorEastAsia"/>
      <w:iCs/>
      <w:szCs w:val="28"/>
    </w:rPr>
  </w:style>
  <w:style w:type="paragraph" w:styleId="BodyText">
    <w:name w:val="Body Text"/>
    <w:basedOn w:val="Normal"/>
    <w:link w:val="BodyTextChar"/>
    <w:uiPriority w:val="99"/>
    <w:unhideWhenUsed/>
    <w:pPr>
      <w:spacing w:after="120"/>
    </w:pPr>
  </w:style>
  <w:style w:type="character" w:styleId="BodyTextChar" w:customStyle="1">
    <w:name w:val="Body Text Char"/>
    <w:basedOn w:val="DefaultParagraphFont"/>
    <w:link w:val="BodyText"/>
    <w:uiPriority w:val="99"/>
  </w:style>
  <w:style w:type="paragraph" w:styleId="FERCAffidavitNumberedPara" w:customStyle="1">
    <w:name w:val="FERC Affidavit Numbered Para"/>
    <w:basedOn w:val="ListParagraph"/>
    <w:link w:val="FERCAffidavitNumberedParaChar"/>
    <w:qFormat/>
    <w:pPr>
      <w:numPr>
        <w:numId w:val="2"/>
      </w:numPr>
      <w:spacing w:line="480" w:lineRule="auto"/>
    </w:pPr>
  </w:style>
  <w:style w:type="character" w:styleId="FERCAffidavitNumberedParaChar" w:customStyle="1">
    <w:name w:val="FERC Affidavit Numbered Para Char"/>
    <w:basedOn w:val="DefaultParagraphFont"/>
    <w:link w:val="FERCAffidavitNumberedPara"/>
    <w:rPr>
      <w:rFonts w:ascii="Times New Roman" w:hAnsi="Times New Roman" w:cs="Times New Roman"/>
      <w:sz w:val="24"/>
      <w:szCs w:val="24"/>
    </w:rPr>
  </w:style>
  <w:style w:type="paragraph" w:styleId="FERCAffidavitParagraph" w:customStyle="1">
    <w:name w:val="FERC Affidavit Paragraph"/>
    <w:basedOn w:val="ListParagraph"/>
    <w:qFormat/>
    <w:pPr>
      <w:numPr>
        <w:numId w:val="3"/>
      </w:numPr>
      <w:tabs>
        <w:tab w:val="num" w:pos="360"/>
      </w:tabs>
      <w:spacing w:line="480" w:lineRule="auto"/>
    </w:pPr>
  </w:style>
  <w:style w:type="paragraph" w:styleId="FERCBody" w:customStyle="1">
    <w:name w:val="FERC Body"/>
    <w:basedOn w:val="Normal"/>
    <w:link w:val="FERCBodyChar"/>
    <w:qFormat/>
    <w:pPr>
      <w:spacing w:line="480" w:lineRule="auto"/>
      <w:ind w:firstLine="720"/>
    </w:pPr>
  </w:style>
  <w:style w:type="character" w:styleId="FERCBodyChar" w:customStyle="1">
    <w:name w:val="FERC Body Char"/>
    <w:basedOn w:val="DefaultParagraphFont"/>
    <w:link w:val="FERCBody"/>
    <w:rPr>
      <w:rFonts w:ascii="Times New Roman" w:hAnsi="Times New Roman" w:cs="Times New Roman"/>
      <w:sz w:val="24"/>
      <w:szCs w:val="24"/>
    </w:rPr>
  </w:style>
  <w:style w:type="paragraph" w:styleId="FERCBullets" w:customStyle="1">
    <w:name w:val="FERC Bullets"/>
    <w:basedOn w:val="FERCBody"/>
    <w:link w:val="FERCBulletsChar"/>
    <w:qFormat/>
    <w:pPr>
      <w:numPr>
        <w:numId w:val="4"/>
      </w:numPr>
      <w:spacing w:before="240" w:after="240" w:line="240" w:lineRule="auto"/>
    </w:pPr>
  </w:style>
  <w:style w:type="character" w:styleId="FERCBulletsChar" w:customStyle="1">
    <w:name w:val="FERC Bullets Char"/>
    <w:basedOn w:val="FERCBodyChar"/>
    <w:link w:val="FERCBullets"/>
    <w:rPr>
      <w:rFonts w:ascii="Times New Roman" w:hAnsi="Times New Roman" w:cs="Times New Roman"/>
      <w:sz w:val="24"/>
      <w:szCs w:val="24"/>
    </w:rPr>
  </w:style>
  <w:style w:type="paragraph" w:styleId="FERCHEADING1" w:customStyle="1">
    <w:name w:val="FERC HEADING 1"/>
    <w:basedOn w:val="Normal"/>
    <w:link w:val="FERCHEADING1Char"/>
    <w:qFormat/>
    <w:pPr>
      <w:keepNext/>
      <w:numPr>
        <w:numId w:val="5"/>
      </w:numPr>
      <w:spacing w:before="240" w:after="360"/>
      <w:ind w:hanging="720"/>
      <w:outlineLvl w:val="0"/>
    </w:pPr>
    <w:rPr>
      <w:rFonts w:eastAsiaTheme="majorEastAsia"/>
      <w:b/>
      <w:bCs/>
      <w:caps/>
    </w:rPr>
  </w:style>
  <w:style w:type="character" w:styleId="FERCHEADING1Char" w:customStyle="1">
    <w:name w:val="FERC HEADING 1 Char"/>
    <w:basedOn w:val="DefaultParagraphFont"/>
    <w:link w:val="FERCHEADING1"/>
    <w:rPr>
      <w:rFonts w:ascii="Times New Roman" w:hAnsi="Times New Roman" w:cs="Times New Roman" w:eastAsiaTheme="majorEastAsia"/>
      <w:b/>
      <w:bCs/>
      <w:caps/>
      <w:sz w:val="24"/>
      <w:szCs w:val="24"/>
    </w:rPr>
  </w:style>
  <w:style w:type="paragraph" w:styleId="FERCHEADING2" w:customStyle="1">
    <w:name w:val="FERC HEADING 2"/>
    <w:basedOn w:val="Normal"/>
    <w:link w:val="FERCHEADING2Char"/>
    <w:qFormat/>
    <w:pPr>
      <w:keepNext/>
      <w:numPr>
        <w:numId w:val="6"/>
      </w:numPr>
      <w:spacing w:after="240"/>
      <w:ind w:hanging="720"/>
      <w:outlineLvl w:val="1"/>
    </w:pPr>
    <w:rPr>
      <w:rFonts w:eastAsiaTheme="majorEastAsia"/>
      <w:b/>
      <w:bCs/>
    </w:rPr>
  </w:style>
  <w:style w:type="character" w:styleId="FERCHEADING2Char" w:customStyle="1">
    <w:name w:val="FERC HEADING 2 Char"/>
    <w:basedOn w:val="DefaultParagraphFont"/>
    <w:link w:val="FERCHEADING2"/>
    <w:rPr>
      <w:rFonts w:ascii="Times New Roman" w:hAnsi="Times New Roman" w:cs="Times New Roman" w:eastAsiaTheme="majorEastAsia"/>
      <w:b/>
      <w:bCs/>
      <w:sz w:val="24"/>
      <w:szCs w:val="24"/>
    </w:rPr>
  </w:style>
  <w:style w:type="paragraph" w:styleId="FERCHEADING3" w:customStyle="1">
    <w:name w:val="FERC HEADING 3"/>
    <w:basedOn w:val="Normal"/>
    <w:link w:val="FERCHEADING3Char"/>
    <w:qFormat/>
    <w:pPr>
      <w:keepNext/>
      <w:numPr>
        <w:numId w:val="7"/>
      </w:numPr>
      <w:spacing w:after="240"/>
      <w:ind w:hanging="720"/>
      <w:outlineLvl w:val="2"/>
    </w:pPr>
    <w:rPr>
      <w:b/>
      <w:bCs/>
    </w:rPr>
  </w:style>
  <w:style w:type="character" w:styleId="FERCHEADING3Char" w:customStyle="1">
    <w:name w:val="FERC HEADING 3 Char"/>
    <w:basedOn w:val="DefaultParagraphFont"/>
    <w:link w:val="FERCHEADING3"/>
    <w:rPr>
      <w:rFonts w:ascii="Times New Roman" w:hAnsi="Times New Roman" w:cs="Times New Roman"/>
      <w:b/>
      <w:bCs/>
      <w:sz w:val="24"/>
      <w:szCs w:val="24"/>
    </w:rPr>
  </w:style>
  <w:style w:type="paragraph" w:styleId="FERCHeading4" w:customStyle="1">
    <w:name w:val="FERC Heading 4"/>
    <w:basedOn w:val="Normal"/>
    <w:link w:val="FERCHeading4Char"/>
    <w:qFormat/>
    <w:pPr>
      <w:spacing w:after="240"/>
      <w:ind w:left="2880" w:hanging="720"/>
      <w:outlineLvl w:val="3"/>
    </w:pPr>
    <w:rPr>
      <w:rFonts w:eastAsiaTheme="majorEastAsia"/>
      <w:b/>
      <w:bCs/>
      <w:iCs/>
    </w:rPr>
  </w:style>
  <w:style w:type="character" w:styleId="FERCHeading4Char" w:customStyle="1">
    <w:name w:val="FERC Heading 4 Char"/>
    <w:basedOn w:val="DefaultParagraphFont"/>
    <w:link w:val="FERCHeading4"/>
    <w:rPr>
      <w:rFonts w:ascii="Times New Roman" w:hAnsi="Times New Roman" w:cs="Times New Roman" w:eastAsiaTheme="majorEastAsia"/>
      <w:b/>
      <w:bCs/>
      <w:iCs/>
      <w:sz w:val="24"/>
      <w:szCs w:val="24"/>
    </w:rPr>
  </w:style>
  <w:style w:type="paragraph" w:styleId="FERCIndentquote" w:customStyle="1">
    <w:name w:val="FERC Indent quote"/>
    <w:basedOn w:val="FERCBody"/>
    <w:link w:val="FERCIndentquoteChar"/>
    <w:qFormat/>
    <w:pPr>
      <w:spacing w:before="120" w:after="240" w:line="240" w:lineRule="auto"/>
      <w:ind w:left="720" w:right="720" w:firstLine="0"/>
    </w:pPr>
  </w:style>
  <w:style w:type="character" w:styleId="FERCIndentquoteChar" w:customStyle="1">
    <w:name w:val="FERC Indent quote Char"/>
    <w:basedOn w:val="FERCBodyChar"/>
    <w:link w:val="FERCIndentquote"/>
    <w:rPr>
      <w:rFonts w:ascii="Times New Roman" w:hAnsi="Times New Roman" w:cs="Times New Roman"/>
      <w:sz w:val="24"/>
      <w:szCs w:val="24"/>
    </w:rPr>
  </w:style>
  <w:style w:type="paragraph" w:styleId="FERCSignatureBlock" w:customStyle="1">
    <w:name w:val="FERC Signature Block"/>
    <w:basedOn w:val="BodyText"/>
    <w:rPr>
      <w:rFonts w:ascii="Arial" w:hAnsi="Arial" w:eastAsia="Cambria"/>
    </w:rPr>
  </w:style>
  <w:style w:type="paragraph" w:styleId="KBody" w:customStyle="1">
    <w:name w:val="K Body"/>
    <w:basedOn w:val="Normal"/>
    <w:qFormat/>
    <w:pPr>
      <w:spacing w:after="240"/>
    </w:pPr>
  </w:style>
  <w:style w:type="paragraph" w:styleId="BlockText">
    <w:name w:val="Block Text"/>
    <w:basedOn w:val="Normal"/>
    <w:pPr>
      <w:spacing w:after="240"/>
      <w:jc w:val="both"/>
    </w:pPr>
  </w:style>
  <w:style w:type="paragraph" w:styleId="BodyText3">
    <w:name w:val="Body Text 3"/>
    <w:basedOn w:val="Normal"/>
    <w:link w:val="BodyText3Char"/>
    <w:semiHidden/>
    <w:pPr>
      <w:spacing w:after="120"/>
    </w:pPr>
    <w:rPr>
      <w:szCs w:val="16"/>
    </w:rPr>
  </w:style>
  <w:style w:type="character" w:styleId="BodyText3Char" w:customStyle="1">
    <w:name w:val="Body Text 3 Char"/>
    <w:basedOn w:val="DefaultParagraphFont"/>
    <w:link w:val="BodyText3"/>
    <w:semiHidden/>
    <w:rPr>
      <w:rFonts w:ascii="Times New Roman" w:hAnsi="Times New Roman" w:eastAsia="Times New Roman" w:cs="Times New Roman"/>
      <w:sz w:val="24"/>
      <w:szCs w:val="16"/>
    </w:rPr>
  </w:style>
  <w:style w:type="paragraph" w:styleId="BodyTextIndent3">
    <w:name w:val="Body Text Indent 3"/>
    <w:basedOn w:val="Normal"/>
    <w:link w:val="BodyTextIndent3Char"/>
    <w:semiHidden/>
    <w:pPr>
      <w:spacing w:after="120"/>
      <w:ind w:left="360"/>
    </w:pPr>
    <w:rPr>
      <w:szCs w:val="16"/>
    </w:rPr>
  </w:style>
  <w:style w:type="character" w:styleId="BodyTextIndent3Char" w:customStyle="1">
    <w:name w:val="Body Text Indent 3 Char"/>
    <w:basedOn w:val="DefaultParagraphFont"/>
    <w:link w:val="BodyTextIndent3"/>
    <w:semiHidden/>
    <w:rPr>
      <w:rFonts w:ascii="Times New Roman" w:hAnsi="Times New Roman" w:eastAsia="Times New Roman" w:cs="Times New Roman"/>
      <w:sz w:val="24"/>
      <w:szCs w:val="16"/>
    </w:rPr>
  </w:style>
  <w:style w:type="paragraph" w:styleId="Caption">
    <w:name w:val="caption"/>
    <w:basedOn w:val="Normal"/>
    <w:next w:val="Normal"/>
    <w:semiHidden/>
    <w:unhideWhenUsed/>
    <w:qFormat/>
    <w:pPr>
      <w:spacing w:after="200"/>
    </w:pPr>
    <w:rPr>
      <w:b/>
      <w:bCs/>
      <w:szCs w:val="18"/>
    </w:rPr>
  </w:style>
  <w:style w:type="paragraph" w:styleId="Center" w:customStyle="1">
    <w:name w:val="Center"/>
    <w:basedOn w:val="Normal"/>
    <w:qFormat/>
    <w:pPr>
      <w:spacing w:after="240"/>
      <w:jc w:val="center"/>
    </w:pPr>
  </w:style>
  <w:style w:type="character" w:styleId="DocID" w:customStyle="1">
    <w:name w:val="DocID"/>
    <w:basedOn w:val="DefaultParagraphFont"/>
    <w:uiPriority w:val="1"/>
    <w:rPr>
      <w:rFonts w:ascii="Arial" w:hAnsi="Arial"/>
      <w:sz w:val="15"/>
    </w:rPr>
  </w:style>
  <w:style w:type="paragraph" w:styleId="EnvelopeAddress">
    <w:name w:val="envelope address"/>
    <w:basedOn w:val="Normal"/>
    <w:pPr>
      <w:framePr w:w="7920" w:h="1980" w:hSpace="180" w:wrap="auto" w:hAnchor="page" w:xAlign="center" w:yAlign="bottom" w:hRule="exact"/>
      <w:ind w:left="2880"/>
    </w:pPr>
    <w:rPr>
      <w:rFonts w:cs="Arial"/>
      <w:sz w:val="20"/>
    </w:rPr>
  </w:style>
  <w:style w:type="paragraph" w:styleId="EnvelopeReturn">
    <w:name w:val="envelope return"/>
    <w:basedOn w:val="Normal"/>
    <w:rPr>
      <w:rFonts w:asciiTheme="majorHAnsi" w:hAnsiTheme="majorHAnsi" w:eastAsiaTheme="majorEastAsia" w:cstheme="majorBidi"/>
      <w:sz w:val="20"/>
      <w:szCs w:val="20"/>
    </w:rPr>
  </w:style>
  <w:style w:type="paragraph" w:styleId="FooterLandscape" w:customStyle="1">
    <w:name w:val="Footer Landscape"/>
    <w:basedOn w:val="Normal"/>
    <w:pPr>
      <w:tabs>
        <w:tab w:val="center" w:pos="6120"/>
        <w:tab w:val="right" w:pos="12960"/>
      </w:tabs>
    </w:pPr>
  </w:style>
  <w:style w:type="paragraph" w:styleId="HeaderLandscape" w:customStyle="1">
    <w:name w:val="Header Landscape"/>
    <w:basedOn w:val="Normal"/>
    <w:pPr>
      <w:tabs>
        <w:tab w:val="center" w:pos="6120"/>
        <w:tab w:val="right" w:pos="12960"/>
      </w:tabs>
    </w:pPr>
  </w:style>
  <w:style w:type="character" w:styleId="Heading1Char" w:customStyle="1">
    <w:name w:val="Heading 1 Char"/>
    <w:basedOn w:val="DefaultParagraphFont"/>
    <w:link w:val="Heading1"/>
    <w:rPr>
      <w:rFonts w:ascii="Times New Roman" w:hAnsi="Times New Roman" w:eastAsia="Times New Roman" w:cs="Arial"/>
      <w:bCs/>
      <w:sz w:val="24"/>
      <w:szCs w:val="32"/>
    </w:rPr>
  </w:style>
  <w:style w:type="character" w:styleId="Heading2Char" w:customStyle="1">
    <w:name w:val="Heading 2 Char"/>
    <w:basedOn w:val="DefaultParagraphFont"/>
    <w:link w:val="Heading2"/>
    <w:rPr>
      <w:rFonts w:ascii="Times New Roman" w:hAnsi="Times New Roman" w:eastAsia="Times New Roman" w:cs="Arial"/>
      <w:bCs/>
      <w:iC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4Char" w:customStyle="1">
    <w:name w:val="Heading 4 Char"/>
    <w:basedOn w:val="DefaultParagraphFont"/>
    <w:link w:val="Heading4"/>
    <w:rPr>
      <w:rFonts w:ascii="Times New Roman" w:hAnsi="Times New Roman" w:eastAsia="Times New Roman" w:cs="Times New Roman"/>
      <w:bCs/>
      <w:sz w:val="24"/>
      <w:szCs w:val="28"/>
    </w:rPr>
  </w:style>
  <w:style w:type="character" w:styleId="Heading5Char" w:customStyle="1">
    <w:name w:val="Heading 5 Char"/>
    <w:basedOn w:val="DefaultParagraphFont"/>
    <w:link w:val="Heading5"/>
    <w:rPr>
      <w:rFonts w:ascii="Times New Roman" w:hAnsi="Times New Roman" w:eastAsia="Times New Roman" w:cs="Times New Roman"/>
      <w:bCs/>
      <w:iCs/>
      <w:sz w:val="24"/>
      <w:szCs w:val="26"/>
    </w:rPr>
  </w:style>
  <w:style w:type="character" w:styleId="Heading6Char" w:customStyle="1">
    <w:name w:val="Heading 6 Char"/>
    <w:basedOn w:val="DefaultParagraphFont"/>
    <w:link w:val="Heading6"/>
    <w:rPr>
      <w:rFonts w:ascii="Times New Roman" w:hAnsi="Times New Roman" w:eastAsia="Times New Roman" w:cs="Times New Roman"/>
      <w:bCs/>
      <w:sz w:val="24"/>
    </w:rPr>
  </w:style>
  <w:style w:type="character" w:styleId="Heading7Char" w:customStyle="1">
    <w:name w:val="Heading 7 Char"/>
    <w:basedOn w:val="DefaultParagraphFont"/>
    <w:link w:val="Heading7"/>
    <w:rPr>
      <w:rFonts w:ascii="Times New Roman" w:hAnsi="Times New Roman" w:eastAsia="Times New Roman" w:cs="Times New Roman"/>
      <w:sz w:val="24"/>
      <w:szCs w:val="24"/>
    </w:rPr>
  </w:style>
  <w:style w:type="character" w:styleId="Heading8Char" w:customStyle="1">
    <w:name w:val="Heading 8 Char"/>
    <w:basedOn w:val="DefaultParagraphFont"/>
    <w:link w:val="Heading8"/>
    <w:rPr>
      <w:rFonts w:ascii="Times New Roman" w:hAnsi="Times New Roman" w:eastAsia="Times New Roman" w:cs="Times New Roman"/>
      <w:iCs/>
      <w:sz w:val="24"/>
      <w:szCs w:val="24"/>
    </w:rPr>
  </w:style>
  <w:style w:type="character" w:styleId="Heading9Char" w:customStyle="1">
    <w:name w:val="Heading 9 Char"/>
    <w:basedOn w:val="DefaultParagraphFont"/>
    <w:link w:val="Heading9"/>
    <w:rPr>
      <w:rFonts w:ascii="Times New Roman" w:hAnsi="Times New Roman" w:eastAsia="Times New Roman" w:cs="Arial"/>
      <w:sz w:val="24"/>
    </w:rPr>
  </w:style>
  <w:style w:type="character" w:styleId="IntenseEmphasis">
    <w:name w:val="Intense Emphasis"/>
    <w:basedOn w:val="DefaultParagraphFont"/>
    <w:uiPriority w:val="21"/>
    <w:rPr>
      <w:b/>
      <w:bCs/>
      <w:i/>
      <w:iCs/>
      <w:color w:val="auto"/>
    </w:rPr>
  </w:style>
  <w:style w:type="paragraph" w:styleId="IntenseQuote">
    <w:name w:val="Intense Quote"/>
    <w:basedOn w:val="Normal"/>
    <w:next w:val="Normal"/>
    <w:link w:val="IntenseQuoteChar"/>
    <w:uiPriority w:val="30"/>
    <w:pPr>
      <w:pBdr>
        <w:bottom w:val="single" w:color="auto" w:sz="4" w:space="4"/>
      </w:pBdr>
      <w:spacing w:before="200" w:after="280"/>
      <w:ind w:left="936" w:right="936"/>
    </w:pPr>
    <w:rPr>
      <w:b/>
      <w:bCs/>
      <w:i/>
      <w:iCs/>
    </w:rPr>
  </w:style>
  <w:style w:type="character" w:styleId="IntenseQuoteChar" w:customStyle="1">
    <w:name w:val="Intense Quote Char"/>
    <w:basedOn w:val="DefaultParagraphFont"/>
    <w:link w:val="IntenseQuote"/>
    <w:uiPriority w:val="30"/>
    <w:rPr>
      <w:rFonts w:ascii="Times New Roman" w:hAnsi="Times New Roman" w:eastAsia="Times New Roman" w:cs="Times New Roman"/>
      <w:b/>
      <w:bCs/>
      <w:i/>
      <w:iCs/>
      <w:sz w:val="24"/>
      <w:szCs w:val="24"/>
    </w:rPr>
  </w:style>
  <w:style w:type="character" w:styleId="IntenseReference">
    <w:name w:val="Intense Reference"/>
    <w:basedOn w:val="DefaultParagraphFont"/>
    <w:uiPriority w:val="32"/>
    <w:rPr>
      <w:b/>
      <w:bCs/>
      <w:smallCaps/>
      <w:color w:val="auto"/>
      <w:spacing w:val="5"/>
      <w:u w:val="single"/>
    </w:rPr>
  </w:style>
  <w:style w:type="paragraph" w:styleId="KBodyDouble" w:customStyle="1">
    <w:name w:val="K Body Double"/>
    <w:basedOn w:val="Normal"/>
    <w:qFormat/>
    <w:pPr>
      <w:spacing w:line="480" w:lineRule="auto"/>
      <w:jc w:val="both"/>
    </w:pPr>
  </w:style>
  <w:style w:type="paragraph" w:styleId="KBodyDoubleFirstIndent5" w:customStyle="1">
    <w:name w:val="K Body Double First Indent .5&quot;"/>
    <w:basedOn w:val="Normal"/>
    <w:qFormat/>
    <w:pPr>
      <w:spacing w:line="480" w:lineRule="auto"/>
      <w:ind w:firstLine="720"/>
      <w:jc w:val="both"/>
    </w:pPr>
  </w:style>
  <w:style w:type="paragraph" w:styleId="KBodyDoubleFirstIndent1" w:customStyle="1">
    <w:name w:val="K Body Double First Indent 1&quot;"/>
    <w:basedOn w:val="Normal"/>
    <w:qFormat/>
    <w:pPr>
      <w:spacing w:line="480" w:lineRule="auto"/>
      <w:ind w:firstLine="1440"/>
    </w:pPr>
  </w:style>
  <w:style w:type="paragraph" w:styleId="KBodyFirstIndent" w:customStyle="1">
    <w:name w:val="K Body First Indent"/>
    <w:basedOn w:val="Normal"/>
    <w:qFormat/>
    <w:pPr>
      <w:spacing w:after="240"/>
      <w:ind w:firstLine="720"/>
    </w:pPr>
  </w:style>
  <w:style w:type="paragraph" w:styleId="KBodyFirstIndent5" w:customStyle="1">
    <w:name w:val="K Body First Indent .5&quot;"/>
    <w:basedOn w:val="Normal"/>
    <w:qFormat/>
    <w:pPr>
      <w:spacing w:after="240"/>
      <w:ind w:firstLine="720"/>
    </w:pPr>
  </w:style>
  <w:style w:type="paragraph" w:styleId="KBodyFirstIndent1" w:customStyle="1">
    <w:name w:val="K Body First Indent 1&quot;"/>
    <w:basedOn w:val="Normal"/>
    <w:qFormat/>
    <w:pPr>
      <w:spacing w:after="240"/>
      <w:ind w:firstLine="1440"/>
    </w:pPr>
  </w:style>
  <w:style w:type="paragraph" w:styleId="KBullet1" w:customStyle="1">
    <w:name w:val="K Bullet1"/>
    <w:basedOn w:val="Normal"/>
    <w:qFormat/>
    <w:pPr>
      <w:numPr>
        <w:numId w:val="17"/>
      </w:numPr>
      <w:spacing w:after="240"/>
    </w:pPr>
  </w:style>
  <w:style w:type="paragraph" w:styleId="KBullet2" w:customStyle="1">
    <w:name w:val="K Bullet2"/>
    <w:basedOn w:val="Normal"/>
    <w:qFormat/>
    <w:pPr>
      <w:numPr>
        <w:numId w:val="18"/>
      </w:numPr>
      <w:spacing w:after="240"/>
    </w:pPr>
  </w:style>
  <w:style w:type="paragraph" w:styleId="KBullet3" w:customStyle="1">
    <w:name w:val="K Bullet3"/>
    <w:basedOn w:val="Normal"/>
    <w:qFormat/>
    <w:pPr>
      <w:numPr>
        <w:numId w:val="19"/>
      </w:numPr>
      <w:spacing w:after="240"/>
    </w:pPr>
  </w:style>
  <w:style w:type="paragraph" w:styleId="KBullet4" w:customStyle="1">
    <w:name w:val="K Bullet4"/>
    <w:basedOn w:val="Normal"/>
    <w:qFormat/>
    <w:pPr>
      <w:numPr>
        <w:numId w:val="20"/>
      </w:numPr>
      <w:spacing w:after="240"/>
    </w:pPr>
  </w:style>
  <w:style w:type="paragraph" w:styleId="KBullet5" w:customStyle="1">
    <w:name w:val="K Bullet5"/>
    <w:basedOn w:val="Normal"/>
    <w:qFormat/>
    <w:pPr>
      <w:numPr>
        <w:numId w:val="21"/>
      </w:numPr>
      <w:spacing w:after="240"/>
    </w:pPr>
  </w:style>
  <w:style w:type="paragraph" w:styleId="KDisclosure" w:customStyle="1">
    <w:name w:val="K Disclosure"/>
    <w:basedOn w:val="KBody"/>
    <w:pPr>
      <w:spacing w:before="60" w:after="60"/>
    </w:pPr>
    <w:rPr>
      <w:rFonts w:ascii="Arial Narrow" w:hAnsi="Arial Narrow" w:cs="Arial" w:eastAsiaTheme="minorEastAsia"/>
      <w:color w:val="000000"/>
      <w:sz w:val="16"/>
      <w:szCs w:val="16"/>
    </w:rPr>
  </w:style>
  <w:style w:type="paragraph" w:styleId="KFrontPageBox" w:customStyle="1">
    <w:name w:val="K FrontPageBox"/>
    <w:basedOn w:val="KBody"/>
    <w:link w:val="KFrontPageBoxChar"/>
    <w:pPr>
      <w:spacing w:before="240"/>
    </w:pPr>
    <w:rPr>
      <w:rFonts w:cs="Arial" w:eastAsiaTheme="minorEastAsia"/>
      <w:b/>
      <w:caps/>
      <w:color w:val="000000"/>
      <w:sz w:val="30"/>
      <w:szCs w:val="22"/>
    </w:rPr>
  </w:style>
  <w:style w:type="character" w:styleId="KFrontPageBoxChar" w:customStyle="1">
    <w:name w:val="K FrontPageBox Char"/>
    <w:basedOn w:val="DefaultParagraphFont"/>
    <w:link w:val="KFrontPageBox"/>
    <w:rPr>
      <w:rFonts w:ascii="Times New Roman" w:hAnsi="Times New Roman" w:cs="Arial" w:eastAsiaTheme="minorEastAsia"/>
      <w:b/>
      <w:caps/>
      <w:color w:val="000000"/>
      <w:sz w:val="30"/>
    </w:rPr>
  </w:style>
  <w:style w:type="paragraph" w:styleId="KIndent1" w:customStyle="1">
    <w:name w:val="K Indent1"/>
    <w:basedOn w:val="Normal"/>
    <w:qFormat/>
    <w:pPr>
      <w:spacing w:after="240"/>
      <w:ind w:left="720"/>
    </w:pPr>
  </w:style>
  <w:style w:type="paragraph" w:styleId="KIndent2" w:customStyle="1">
    <w:name w:val="K Indent2"/>
    <w:basedOn w:val="Normal"/>
    <w:qFormat/>
    <w:pPr>
      <w:spacing w:after="240"/>
      <w:ind w:left="1440"/>
    </w:pPr>
  </w:style>
  <w:style w:type="paragraph" w:styleId="KIndent3" w:customStyle="1">
    <w:name w:val="K Indent3"/>
    <w:basedOn w:val="Normal"/>
    <w:qFormat/>
    <w:pPr>
      <w:spacing w:after="240"/>
      <w:ind w:left="2160"/>
    </w:pPr>
  </w:style>
  <w:style w:type="paragraph" w:styleId="KIndent4" w:customStyle="1">
    <w:name w:val="K Indent4"/>
    <w:basedOn w:val="Normal"/>
    <w:qFormat/>
    <w:pPr>
      <w:spacing w:after="240"/>
      <w:ind w:left="2880"/>
    </w:pPr>
  </w:style>
  <w:style w:type="paragraph" w:styleId="KIndent5" w:customStyle="1">
    <w:name w:val="K Indent5"/>
    <w:basedOn w:val="Normal"/>
    <w:qFormat/>
    <w:pPr>
      <w:spacing w:after="240"/>
      <w:ind w:left="3600"/>
    </w:pPr>
  </w:style>
  <w:style w:type="paragraph" w:styleId="KIndentFL1" w:customStyle="1">
    <w:name w:val="K IndentFL1"/>
    <w:basedOn w:val="Normal"/>
    <w:qFormat/>
    <w:pPr>
      <w:spacing w:after="240"/>
      <w:ind w:left="720" w:firstLine="720"/>
    </w:pPr>
  </w:style>
  <w:style w:type="paragraph" w:styleId="KIndentFL2" w:customStyle="1">
    <w:name w:val="K IndentFL2"/>
    <w:basedOn w:val="Normal"/>
    <w:qFormat/>
    <w:pPr>
      <w:spacing w:after="240"/>
      <w:ind w:left="1440" w:firstLine="720"/>
    </w:pPr>
  </w:style>
  <w:style w:type="paragraph" w:styleId="KIndentFL3" w:customStyle="1">
    <w:name w:val="K IndentFL3"/>
    <w:basedOn w:val="Normal"/>
    <w:qFormat/>
    <w:pPr>
      <w:spacing w:after="240"/>
      <w:ind w:left="2160" w:firstLine="720"/>
    </w:pPr>
  </w:style>
  <w:style w:type="paragraph" w:styleId="KIndentFL4" w:customStyle="1">
    <w:name w:val="K IndentFL4"/>
    <w:basedOn w:val="Normal"/>
    <w:qFormat/>
    <w:pPr>
      <w:spacing w:after="240"/>
      <w:ind w:left="2880" w:firstLine="720"/>
    </w:pPr>
  </w:style>
  <w:style w:type="paragraph" w:styleId="KIndentFL5" w:customStyle="1">
    <w:name w:val="K IndentFL5"/>
    <w:basedOn w:val="Normal"/>
    <w:qFormat/>
    <w:pPr>
      <w:spacing w:after="240"/>
      <w:ind w:left="3600" w:firstLine="720"/>
    </w:pPr>
  </w:style>
  <w:style w:type="paragraph" w:styleId="KSS" w:customStyle="1">
    <w:name w:val="K SS"/>
    <w:basedOn w:val="Normal"/>
    <w:pPr>
      <w:spacing w:after="240"/>
      <w:jc w:val="center"/>
    </w:pPr>
    <w:rPr>
      <w:b/>
    </w:rPr>
  </w:style>
  <w:style w:type="paragraph" w:styleId="KST" w:customStyle="1">
    <w:name w:val="K ST"/>
    <w:basedOn w:val="Normal"/>
    <w:next w:val="KSS"/>
    <w:pPr>
      <w:spacing w:after="240"/>
      <w:jc w:val="center"/>
    </w:pPr>
    <w:rPr>
      <w:caps/>
    </w:rPr>
  </w:style>
  <w:style w:type="paragraph" w:styleId="KTBody" w:customStyle="1">
    <w:name w:val="K TBody"/>
    <w:basedOn w:val="Normal"/>
    <w:link w:val="KTBodyChar"/>
    <w:rPr>
      <w:rFonts w:cs="Arial" w:eastAsiaTheme="minorEastAsia"/>
      <w:szCs w:val="22"/>
    </w:rPr>
  </w:style>
  <w:style w:type="character" w:styleId="KTBodyChar" w:customStyle="1">
    <w:name w:val="K TBody Char"/>
    <w:basedOn w:val="DefaultParagraphFont"/>
    <w:link w:val="KTBody"/>
    <w:rPr>
      <w:rFonts w:ascii="Times New Roman" w:hAnsi="Times New Roman" w:cs="Arial" w:eastAsiaTheme="minorEastAsia"/>
      <w:sz w:val="24"/>
    </w:rPr>
  </w:style>
  <w:style w:type="paragraph" w:styleId="Quote5" w:customStyle="1">
    <w:name w:val="Quote .5&quot;"/>
    <w:basedOn w:val="Normal"/>
    <w:qFormat/>
    <w:pPr>
      <w:spacing w:after="240"/>
      <w:ind w:left="720" w:right="720"/>
    </w:pPr>
  </w:style>
  <w:style w:type="paragraph" w:styleId="Quote1" w:customStyle="1">
    <w:name w:val="Quote 1&quot;"/>
    <w:basedOn w:val="Normal"/>
    <w:qFormat/>
    <w:pPr>
      <w:spacing w:after="240"/>
      <w:ind w:left="1440" w:right="1440"/>
    </w:pPr>
  </w:style>
  <w:style w:type="paragraph" w:styleId="REQROGHEADINGS" w:customStyle="1">
    <w:name w:val="REQ/ROG HEADINGS"/>
    <w:basedOn w:val="Normal"/>
    <w:next w:val="Normal"/>
    <w:pPr>
      <w:keepNext/>
      <w:keepLines/>
      <w:spacing w:after="240"/>
    </w:pPr>
    <w:rPr>
      <w:b/>
      <w:u w:val="single"/>
    </w:rPr>
  </w:style>
  <w:style w:type="paragraph" w:styleId="REQROGTEXT" w:customStyle="1">
    <w:name w:val="REQ/ROG TEXT"/>
    <w:basedOn w:val="Normal"/>
    <w:qFormat/>
    <w:pPr>
      <w:spacing w:after="240"/>
      <w:ind w:firstLine="720"/>
    </w:pPr>
  </w:style>
  <w:style w:type="paragraph" w:styleId="RESPONSEHEADINGS" w:customStyle="1">
    <w:name w:val="RESPONSE HEADINGS"/>
    <w:basedOn w:val="Normal"/>
    <w:next w:val="Normal"/>
    <w:pPr>
      <w:keepNext/>
      <w:keepLines/>
      <w:spacing w:after="240"/>
    </w:pPr>
    <w:rPr>
      <w:b/>
      <w:u w:val="single"/>
    </w:rPr>
  </w:style>
  <w:style w:type="paragraph" w:styleId="RESPONSETEXT" w:customStyle="1">
    <w:name w:val="RESPONSE TEXT"/>
    <w:basedOn w:val="Normal"/>
    <w:qFormat/>
    <w:pPr>
      <w:spacing w:line="480" w:lineRule="auto"/>
      <w:ind w:firstLine="720"/>
    </w:pPr>
  </w:style>
  <w:style w:type="paragraph" w:styleId="Signature">
    <w:name w:val="Signature"/>
    <w:basedOn w:val="Normal"/>
    <w:link w:val="SignatureChar"/>
    <w:pPr>
      <w:keepNext/>
      <w:tabs>
        <w:tab w:val="right" w:leader="underscore" w:pos="9360"/>
      </w:tabs>
      <w:ind w:left="4680"/>
    </w:pPr>
  </w:style>
  <w:style w:type="character" w:styleId="SignatureChar" w:customStyle="1">
    <w:name w:val="Signature Char"/>
    <w:basedOn w:val="DefaultParagraphFont"/>
    <w:link w:val="Signature"/>
    <w:rPr>
      <w:rFonts w:ascii="Times New Roman" w:hAnsi="Times New Roman" w:eastAsia="Times New Roman" w:cs="Times New Roman"/>
      <w:sz w:val="24"/>
      <w:szCs w:val="24"/>
    </w:rPr>
  </w:style>
  <w:style w:type="paragraph" w:styleId="Subtitle">
    <w:name w:val="Subtitle"/>
    <w:basedOn w:val="Normal"/>
    <w:next w:val="KBody"/>
    <w:link w:val="SubtitleChar"/>
    <w:pPr>
      <w:numPr>
        <w:ilvl w:val="1"/>
      </w:numPr>
    </w:pPr>
    <w:rPr>
      <w:rFonts w:eastAsiaTheme="majorEastAsia" w:cstheme="majorBidi"/>
      <w:iCs/>
    </w:rPr>
  </w:style>
  <w:style w:type="character" w:styleId="SubtitleChar" w:customStyle="1">
    <w:name w:val="Subtitle Char"/>
    <w:basedOn w:val="DefaultParagraphFont"/>
    <w:link w:val="Subtitle"/>
    <w:rPr>
      <w:rFonts w:ascii="Times New Roman" w:hAnsi="Times New Roman" w:eastAsiaTheme="majorEastAsia" w:cstheme="majorBidi"/>
      <w:iCs/>
      <w:sz w:val="24"/>
      <w:szCs w:val="24"/>
    </w:rPr>
  </w:style>
  <w:style w:type="paragraph" w:styleId="SubtitleBold" w:customStyle="1">
    <w:name w:val="Subtitle Bold"/>
    <w:basedOn w:val="Normal"/>
    <w:next w:val="KBody"/>
    <w:qFormat/>
    <w:pPr>
      <w:keepNext/>
      <w:keepLines/>
      <w:spacing w:after="240"/>
    </w:pPr>
    <w:rPr>
      <w:b/>
    </w:rPr>
  </w:style>
  <w:style w:type="paragraph" w:styleId="SubtitleUnderline" w:customStyle="1">
    <w:name w:val="Subtitle Underline"/>
    <w:basedOn w:val="Normal"/>
    <w:next w:val="KBody"/>
    <w:qFormat/>
    <w:pPr>
      <w:keepNext/>
      <w:keepLines/>
      <w:spacing w:after="240"/>
    </w:pPr>
    <w:rPr>
      <w:u w:val="single"/>
    </w:rPr>
  </w:style>
  <w:style w:type="paragraph" w:styleId="SubtitleUnderlineBold" w:customStyle="1">
    <w:name w:val="Subtitle Underline Bold"/>
    <w:basedOn w:val="Normal"/>
    <w:next w:val="KBody"/>
    <w:qFormat/>
    <w:pPr>
      <w:keepNext/>
      <w:keepLines/>
      <w:spacing w:after="240"/>
    </w:pPr>
    <w:rPr>
      <w:b/>
      <w:u w:val="single"/>
    </w:rPr>
  </w:style>
  <w:style w:type="character" w:styleId="SubtleReference">
    <w:name w:val="Subtle Reference"/>
    <w:basedOn w:val="DefaultParagraphFont"/>
    <w:uiPriority w:val="31"/>
    <w:rPr>
      <w:smallCaps/>
      <w:color w:val="auto"/>
      <w:u w:val="single"/>
    </w:rPr>
  </w:style>
  <w:style w:type="paragraph" w:styleId="TableofAuthorities">
    <w:name w:val="table of authorities"/>
    <w:basedOn w:val="Normal"/>
    <w:next w:val="Normal"/>
    <w:pPr>
      <w:ind w:left="245" w:right="432" w:hanging="245"/>
    </w:p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styleId="TitleChar" w:customStyle="1">
    <w:name w:val="Title Char"/>
    <w:basedOn w:val="DefaultParagraphFont"/>
    <w:link w:val="Title"/>
    <w:rPr>
      <w:rFonts w:ascii="Times New Roman" w:hAnsi="Times New Roman" w:eastAsiaTheme="majorEastAsia" w:cstheme="majorBidi"/>
      <w:sz w:val="24"/>
      <w:szCs w:val="52"/>
    </w:rPr>
  </w:style>
  <w:style w:type="paragraph" w:styleId="TitleBold" w:customStyle="1">
    <w:name w:val="Title Bold"/>
    <w:basedOn w:val="Title"/>
    <w:next w:val="KBody"/>
    <w:qFormat/>
    <w:rPr>
      <w:b/>
    </w:rPr>
  </w:style>
  <w:style w:type="paragraph" w:styleId="TitleCaps" w:customStyle="1">
    <w:name w:val="Title Caps"/>
    <w:basedOn w:val="Normal"/>
    <w:next w:val="KBody"/>
    <w:qFormat/>
    <w:pPr>
      <w:keepNext/>
      <w:spacing w:after="240"/>
      <w:contextualSpacing/>
      <w:jc w:val="center"/>
    </w:pPr>
    <w:rPr>
      <w:caps/>
    </w:rPr>
  </w:style>
  <w:style w:type="paragraph" w:styleId="TitleUnderline" w:customStyle="1">
    <w:name w:val="Title Underline"/>
    <w:basedOn w:val="Normal"/>
    <w:next w:val="KBody"/>
    <w:qFormat/>
    <w:pPr>
      <w:spacing w:after="240"/>
      <w:jc w:val="center"/>
    </w:pPr>
    <w:rPr>
      <w:u w:val="single"/>
    </w:rPr>
  </w:style>
  <w:style w:type="paragraph" w:styleId="TitleUnderlineBold" w:customStyle="1">
    <w:name w:val="Title Underline Bold"/>
    <w:basedOn w:val="Title"/>
    <w:next w:val="KBody"/>
    <w:qFormat/>
    <w:rPr>
      <w:b/>
      <w:u w:val="single"/>
    </w:rPr>
  </w:style>
  <w:style w:type="paragraph" w:styleId="TOAHeading">
    <w:name w:val="toa heading"/>
    <w:basedOn w:val="Normal"/>
    <w:next w:val="Normal"/>
    <w:pPr>
      <w:spacing w:after="240"/>
    </w:pPr>
    <w:rPr>
      <w:rFonts w:cs="Arial"/>
      <w:b/>
      <w:bCs/>
    </w:rPr>
  </w:style>
  <w:style w:type="paragraph" w:styleId="TOC1">
    <w:name w:val="toc 1"/>
    <w:basedOn w:val="Normal"/>
    <w:next w:val="KBody"/>
    <w:pPr>
      <w:tabs>
        <w:tab w:val="right" w:leader="dot" w:pos="9274"/>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styleId="TOCHeading">
    <w:name w:val="TOC Heading"/>
    <w:basedOn w:val="Normal"/>
    <w:next w:val="Normal"/>
    <w:uiPriority w:val="39"/>
    <w:semiHidden/>
    <w:unhideWhenUsed/>
    <w:qFormat/>
    <w:pPr>
      <w:jc w:val="center"/>
    </w:pPr>
    <w:rPr>
      <w:rFonts w:eastAsiaTheme="majorEastAsia" w:cstheme="majorBidi"/>
      <w:b/>
      <w:szCs w:val="28"/>
    </w:rPr>
  </w:style>
  <w:style w:type="paragraph" w:styleId="TOCPage" w:customStyle="1">
    <w:name w:val="TOC Page"/>
    <w:basedOn w:val="Normal"/>
    <w:next w:val="Normal"/>
    <w:uiPriority w:val="39"/>
    <w:unhideWhenUsed/>
    <w:qFormat/>
    <w:pPr>
      <w:spacing w:after="120"/>
      <w:jc w:val="right"/>
    </w:pPr>
    <w:rPr>
      <w:b/>
    </w:rPr>
  </w:style>
  <w:style w:type="table" w:styleId="TableGrid111" w:customStyle="1">
    <w:name w:val="Table Grid111"/>
    <w:basedOn w:val="TableNormal"/>
    <w:next w:val="TableGrid"/>
    <w:uiPriority w:val="59"/>
    <w:pPr>
      <w:spacing w:after="0"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6397">
      <w:bodyDiv w:val="1"/>
      <w:marLeft w:val="0"/>
      <w:marRight w:val="0"/>
      <w:marTop w:val="0"/>
      <w:marBottom w:val="0"/>
      <w:divBdr>
        <w:top w:val="none" w:sz="0" w:space="0" w:color="auto"/>
        <w:left w:val="none" w:sz="0" w:space="0" w:color="auto"/>
        <w:bottom w:val="none" w:sz="0" w:space="0" w:color="auto"/>
        <w:right w:val="none" w:sz="0" w:space="0" w:color="auto"/>
      </w:divBdr>
      <w:divsChild>
        <w:div w:id="494540352">
          <w:marLeft w:val="0"/>
          <w:marRight w:val="0"/>
          <w:marTop w:val="0"/>
          <w:marBottom w:val="0"/>
          <w:divBdr>
            <w:top w:val="single" w:sz="2" w:space="0" w:color="959CB6"/>
            <w:left w:val="single" w:sz="2" w:space="0" w:color="959CB6"/>
            <w:bottom w:val="single" w:sz="2" w:space="0" w:color="959CB6"/>
            <w:right w:val="single" w:sz="2" w:space="0" w:color="959CB6"/>
          </w:divBdr>
          <w:divsChild>
            <w:div w:id="1904869427">
              <w:marLeft w:val="0"/>
              <w:marRight w:val="0"/>
              <w:marTop w:val="0"/>
              <w:marBottom w:val="0"/>
              <w:divBdr>
                <w:top w:val="single" w:sz="2" w:space="0" w:color="959CB6"/>
                <w:left w:val="single" w:sz="2" w:space="0" w:color="959CB6"/>
                <w:bottom w:val="single" w:sz="2" w:space="0" w:color="959CB6"/>
                <w:right w:val="single" w:sz="2" w:space="0" w:color="959CB6"/>
              </w:divBdr>
              <w:divsChild>
                <w:div w:id="1591423553">
                  <w:marLeft w:val="0"/>
                  <w:marRight w:val="0"/>
                  <w:marTop w:val="0"/>
                  <w:marBottom w:val="0"/>
                  <w:divBdr>
                    <w:top w:val="single" w:sz="2" w:space="0" w:color="959CB6"/>
                    <w:left w:val="single" w:sz="2" w:space="0" w:color="959CB6"/>
                    <w:bottom w:val="single" w:sz="2" w:space="0" w:color="959CB6"/>
                    <w:right w:val="single" w:sz="2" w:space="0" w:color="959CB6"/>
                  </w:divBdr>
                  <w:divsChild>
                    <w:div w:id="595283409">
                      <w:marLeft w:val="0"/>
                      <w:marRight w:val="0"/>
                      <w:marTop w:val="0"/>
                      <w:marBottom w:val="0"/>
                      <w:divBdr>
                        <w:top w:val="single" w:sz="2" w:space="0" w:color="959CB6"/>
                        <w:left w:val="single" w:sz="2" w:space="0" w:color="959CB6"/>
                        <w:bottom w:val="single" w:sz="2" w:space="0" w:color="959CB6"/>
                        <w:right w:val="single" w:sz="2" w:space="0" w:color="959CB6"/>
                      </w:divBdr>
                    </w:div>
                  </w:divsChild>
                </w:div>
              </w:divsChild>
            </w:div>
          </w:divsChild>
        </w:div>
        <w:div w:id="2087874619">
          <w:marLeft w:val="0"/>
          <w:marRight w:val="0"/>
          <w:marTop w:val="0"/>
          <w:marBottom w:val="0"/>
          <w:divBdr>
            <w:top w:val="single" w:sz="2" w:space="0" w:color="959CB6"/>
            <w:left w:val="single" w:sz="2" w:space="0" w:color="959CB6"/>
            <w:bottom w:val="single" w:sz="2" w:space="0" w:color="959CB6"/>
            <w:right w:val="single" w:sz="2" w:space="0" w:color="959CB6"/>
          </w:divBdr>
          <w:divsChild>
            <w:div w:id="52509099">
              <w:marLeft w:val="0"/>
              <w:marRight w:val="0"/>
              <w:marTop w:val="0"/>
              <w:marBottom w:val="0"/>
              <w:divBdr>
                <w:top w:val="single" w:sz="2" w:space="0" w:color="959CB6"/>
                <w:left w:val="single" w:sz="2" w:space="0" w:color="959CB6"/>
                <w:bottom w:val="single" w:sz="2" w:space="0" w:color="959CB6"/>
                <w:right w:val="single" w:sz="2" w:space="0" w:color="959CB6"/>
              </w:divBdr>
              <w:divsChild>
                <w:div w:id="1312441449">
                  <w:marLeft w:val="0"/>
                  <w:marRight w:val="0"/>
                  <w:marTop w:val="0"/>
                  <w:marBottom w:val="0"/>
                  <w:divBdr>
                    <w:top w:val="single" w:sz="2" w:space="0" w:color="959CB6"/>
                    <w:left w:val="single" w:sz="2" w:space="0" w:color="959CB6"/>
                    <w:bottom w:val="single" w:sz="2" w:space="0" w:color="959CB6"/>
                    <w:right w:val="single" w:sz="2" w:space="0" w:color="959CB6"/>
                  </w:divBdr>
                  <w:divsChild>
                    <w:div w:id="757412092">
                      <w:marLeft w:val="0"/>
                      <w:marRight w:val="0"/>
                      <w:marTop w:val="0"/>
                      <w:marBottom w:val="0"/>
                      <w:divBdr>
                        <w:top w:val="single" w:sz="2" w:space="0" w:color="959CB6"/>
                        <w:left w:val="single" w:sz="2" w:space="0" w:color="959CB6"/>
                        <w:bottom w:val="single" w:sz="2" w:space="0" w:color="959CB6"/>
                        <w:right w:val="single" w:sz="2" w:space="0" w:color="959CB6"/>
                      </w:divBdr>
                    </w:div>
                  </w:divsChild>
                </w:div>
              </w:divsChild>
            </w:div>
          </w:divsChild>
        </w:div>
        <w:div w:id="1952472975">
          <w:marLeft w:val="0"/>
          <w:marRight w:val="0"/>
          <w:marTop w:val="0"/>
          <w:marBottom w:val="0"/>
          <w:divBdr>
            <w:top w:val="single" w:sz="2" w:space="0" w:color="959CB6"/>
            <w:left w:val="single" w:sz="2" w:space="0" w:color="959CB6"/>
            <w:bottom w:val="single" w:sz="2" w:space="0" w:color="959CB6"/>
            <w:right w:val="single" w:sz="2" w:space="0" w:color="959CB6"/>
          </w:divBdr>
          <w:divsChild>
            <w:div w:id="391543643">
              <w:marLeft w:val="0"/>
              <w:marRight w:val="0"/>
              <w:marTop w:val="0"/>
              <w:marBottom w:val="0"/>
              <w:divBdr>
                <w:top w:val="single" w:sz="2" w:space="0" w:color="959CB6"/>
                <w:left w:val="single" w:sz="2" w:space="0" w:color="959CB6"/>
                <w:bottom w:val="single" w:sz="2" w:space="0" w:color="959CB6"/>
                <w:right w:val="single" w:sz="2" w:space="0" w:color="959CB6"/>
              </w:divBdr>
              <w:divsChild>
                <w:div w:id="1635716101">
                  <w:marLeft w:val="0"/>
                  <w:marRight w:val="0"/>
                  <w:marTop w:val="0"/>
                  <w:marBottom w:val="0"/>
                  <w:divBdr>
                    <w:top w:val="single" w:sz="2" w:space="0" w:color="959CB6"/>
                    <w:left w:val="single" w:sz="2" w:space="0" w:color="959CB6"/>
                    <w:bottom w:val="single" w:sz="2" w:space="0" w:color="959CB6"/>
                    <w:right w:val="single" w:sz="2" w:space="0" w:color="959CB6"/>
                  </w:divBdr>
                  <w:divsChild>
                    <w:div w:id="930166327">
                      <w:marLeft w:val="0"/>
                      <w:marRight w:val="0"/>
                      <w:marTop w:val="0"/>
                      <w:marBottom w:val="0"/>
                      <w:divBdr>
                        <w:top w:val="single" w:sz="2" w:space="0" w:color="959CB6"/>
                        <w:left w:val="single" w:sz="2" w:space="0" w:color="959CB6"/>
                        <w:bottom w:val="single" w:sz="2" w:space="0" w:color="959CB6"/>
                        <w:right w:val="single" w:sz="2" w:space="0" w:color="959CB6"/>
                      </w:divBdr>
                    </w:div>
                  </w:divsChild>
                </w:div>
              </w:divsChild>
            </w:div>
          </w:divsChild>
        </w:div>
      </w:divsChild>
    </w:div>
    <w:div w:id="803472166">
      <w:bodyDiv w:val="1"/>
      <w:marLeft w:val="0"/>
      <w:marRight w:val="0"/>
      <w:marTop w:val="0"/>
      <w:marBottom w:val="0"/>
      <w:divBdr>
        <w:top w:val="none" w:sz="0" w:space="0" w:color="auto"/>
        <w:left w:val="none" w:sz="0" w:space="0" w:color="auto"/>
        <w:bottom w:val="none" w:sz="0" w:space="0" w:color="auto"/>
        <w:right w:val="none" w:sz="0" w:space="0" w:color="auto"/>
      </w:divBdr>
    </w:div>
    <w:div w:id="950471372">
      <w:bodyDiv w:val="1"/>
      <w:marLeft w:val="0"/>
      <w:marRight w:val="0"/>
      <w:marTop w:val="0"/>
      <w:marBottom w:val="0"/>
      <w:divBdr>
        <w:top w:val="none" w:sz="0" w:space="0" w:color="auto"/>
        <w:left w:val="none" w:sz="0" w:space="0" w:color="auto"/>
        <w:bottom w:val="none" w:sz="0" w:space="0" w:color="auto"/>
        <w:right w:val="none" w:sz="0" w:space="0" w:color="auto"/>
      </w:divBdr>
      <w:divsChild>
        <w:div w:id="391201811">
          <w:marLeft w:val="0"/>
          <w:marRight w:val="0"/>
          <w:marTop w:val="0"/>
          <w:marBottom w:val="0"/>
          <w:divBdr>
            <w:top w:val="none" w:sz="0" w:space="0" w:color="auto"/>
            <w:left w:val="none" w:sz="0" w:space="0" w:color="auto"/>
            <w:bottom w:val="none" w:sz="0" w:space="0" w:color="auto"/>
            <w:right w:val="none" w:sz="0" w:space="0" w:color="auto"/>
          </w:divBdr>
          <w:divsChild>
            <w:div w:id="10495890">
              <w:marLeft w:val="0"/>
              <w:marRight w:val="0"/>
              <w:marTop w:val="0"/>
              <w:marBottom w:val="0"/>
              <w:divBdr>
                <w:top w:val="none" w:sz="0" w:space="0" w:color="auto"/>
                <w:left w:val="none" w:sz="0" w:space="0" w:color="auto"/>
                <w:bottom w:val="none" w:sz="0" w:space="0" w:color="auto"/>
                <w:right w:val="none" w:sz="0" w:space="0" w:color="auto"/>
              </w:divBdr>
              <w:divsChild>
                <w:div w:id="9226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1528">
      <w:bodyDiv w:val="1"/>
      <w:marLeft w:val="0"/>
      <w:marRight w:val="0"/>
      <w:marTop w:val="0"/>
      <w:marBottom w:val="0"/>
      <w:divBdr>
        <w:top w:val="none" w:sz="0" w:space="0" w:color="auto"/>
        <w:left w:val="none" w:sz="0" w:space="0" w:color="auto"/>
        <w:bottom w:val="none" w:sz="0" w:space="0" w:color="auto"/>
        <w:right w:val="none" w:sz="0" w:space="0" w:color="auto"/>
      </w:divBdr>
    </w:div>
    <w:div w:id="1623683579">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imberly.frank@klgates.com" TargetMode="External" Id="rId8" /><Relationship Type="http://schemas.openxmlformats.org/officeDocument/2006/relationships/footer" Target="footer2.xml" Id="rId13" /><Relationship Type="http://schemas.openxmlformats.org/officeDocument/2006/relationships/hyperlink" Target="mailto:kimberly.frank@klgates.com" TargetMode="External" Id="rId18" /><Relationship Type="http://schemas.openxmlformats.org/officeDocument/2006/relationships/styles" Target="styles.xml" Id="rId3" /><Relationship Type="http://schemas.openxmlformats.org/officeDocument/2006/relationships/footer" Target="footer4.xml"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hyperlink" Target="mailto:janessa.glenn@klgates.com" TargetMode="External" Id="rId17" /><Relationship Type="http://schemas.openxmlformats.org/officeDocument/2006/relationships/numbering" Target="numbering.xml" Id="rId2" /><Relationship Type="http://schemas.openxmlformats.org/officeDocument/2006/relationships/hyperlink" Target="mailto:kimberly.frank@klgates.com" TargetMode="External" Id="rId16" /><Relationship Type="http://schemas.openxmlformats.org/officeDocument/2006/relationships/hyperlink" Target="mailto:janessa.glenn@klgates.com" TargetMode="External" Id="rId20"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hyperlink" Target="mailto:janessa.glenn@klgates.com" TargetMode="External" Id="rId19" /><Relationship Type="http://schemas.openxmlformats.org/officeDocument/2006/relationships/settings" Target="settings.xml" Id="rId4" /><Relationship Type="http://schemas.openxmlformats.org/officeDocument/2006/relationships/hyperlink" Target="mailto:janessa.glenn@klgates.com" TargetMode="External" Id="rId9" /><Relationship Type="http://schemas.openxmlformats.org/officeDocument/2006/relationships/header" Target="header3.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2022-10-11T20:08:09.0000000Z</dcterms:created>
  <dcterms:modified xsi:type="dcterms:W3CDTF">2022-10-11T20:08:09.0000000Z</dcterms:modified>
</coreProperties>
</file>