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D2B6" w14:textId="77777777" w:rsidR="00545F29" w:rsidRPr="009D71F6" w:rsidRDefault="0056270F">
      <w:pPr>
        <w:pStyle w:val="Title"/>
        <w:widowControl w:val="0"/>
        <w:rPr>
          <w:rFonts w:ascii="Arial" w:hAnsi="Arial" w:cs="Arial"/>
          <w:szCs w:val="24"/>
        </w:rPr>
      </w:pPr>
      <w:bookmarkStart w:id="0" w:name="_GoBack"/>
      <w:bookmarkEnd w:id="0"/>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9D6BC1" w:rsidRPr="009D71F6" w14:paraId="7176D2C6" w14:textId="77777777">
        <w:trPr>
          <w:trHeight w:val="873"/>
          <w:jc w:val="center"/>
        </w:trPr>
        <w:tc>
          <w:tcPr>
            <w:tcW w:w="4739" w:type="dxa"/>
          </w:tcPr>
          <w:p w14:paraId="7176D2BB" w14:textId="111CB4CA" w:rsidR="009D6BC1" w:rsidRPr="009D71F6" w:rsidRDefault="009D6BC1" w:rsidP="00EB67DF">
            <w:pPr>
              <w:widowControl w:val="0"/>
              <w:spacing w:after="0" w:line="240" w:lineRule="auto"/>
              <w:jc w:val="both"/>
              <w:rPr>
                <w:rFonts w:ascii="Arial" w:hAnsi="Arial" w:cs="Arial"/>
                <w:sz w:val="24"/>
                <w:szCs w:val="24"/>
              </w:rPr>
            </w:pPr>
            <w:r w:rsidRPr="003D01DA">
              <w:rPr>
                <w:rFonts w:ascii="Arial" w:hAnsi="Arial" w:cs="Arial"/>
                <w:sz w:val="24"/>
                <w:szCs w:val="24"/>
              </w:rPr>
              <w:t>In th</w:t>
            </w:r>
            <w:r>
              <w:rPr>
                <w:rFonts w:ascii="Arial" w:hAnsi="Arial" w:cs="Arial"/>
                <w:sz w:val="24"/>
                <w:szCs w:val="24"/>
              </w:rPr>
              <w:t xml:space="preserve">e Matter of Application of Duke </w:t>
            </w:r>
            <w:r w:rsidRPr="003D01DA">
              <w:rPr>
                <w:rFonts w:ascii="Arial" w:hAnsi="Arial" w:cs="Arial"/>
                <w:sz w:val="24"/>
                <w:szCs w:val="24"/>
              </w:rPr>
              <w:t>Ene</w:t>
            </w:r>
            <w:r>
              <w:rPr>
                <w:rFonts w:ascii="Arial" w:hAnsi="Arial" w:cs="Arial"/>
                <w:sz w:val="24"/>
                <w:szCs w:val="24"/>
              </w:rPr>
              <w:t>rgy Ohio, Inc. to File for Tariff Approval</w:t>
            </w:r>
          </w:p>
        </w:tc>
        <w:tc>
          <w:tcPr>
            <w:tcW w:w="630" w:type="dxa"/>
          </w:tcPr>
          <w:p w14:paraId="49D5D543" w14:textId="77777777" w:rsidR="009D6BC1" w:rsidRPr="009D71F6" w:rsidRDefault="009D6BC1" w:rsidP="00680E38">
            <w:pPr>
              <w:widowControl w:val="0"/>
              <w:spacing w:after="0" w:line="240" w:lineRule="auto"/>
              <w:jc w:val="center"/>
              <w:rPr>
                <w:rFonts w:ascii="Arial" w:hAnsi="Arial" w:cs="Arial"/>
                <w:sz w:val="24"/>
                <w:szCs w:val="24"/>
              </w:rPr>
            </w:pPr>
            <w:r w:rsidRPr="009D71F6">
              <w:rPr>
                <w:rFonts w:ascii="Arial" w:hAnsi="Arial" w:cs="Arial"/>
                <w:sz w:val="24"/>
                <w:szCs w:val="24"/>
              </w:rPr>
              <w:t>)</w:t>
            </w:r>
          </w:p>
          <w:p w14:paraId="2B634A47" w14:textId="77777777" w:rsidR="009D6BC1" w:rsidRPr="009D71F6" w:rsidRDefault="009D6BC1" w:rsidP="00680E38">
            <w:pPr>
              <w:widowControl w:val="0"/>
              <w:spacing w:after="0" w:line="240" w:lineRule="auto"/>
              <w:jc w:val="center"/>
              <w:rPr>
                <w:rFonts w:ascii="Arial" w:hAnsi="Arial" w:cs="Arial"/>
                <w:sz w:val="24"/>
                <w:szCs w:val="24"/>
              </w:rPr>
            </w:pPr>
            <w:r w:rsidRPr="009D71F6">
              <w:rPr>
                <w:rFonts w:ascii="Arial" w:hAnsi="Arial" w:cs="Arial"/>
                <w:sz w:val="24"/>
                <w:szCs w:val="24"/>
              </w:rPr>
              <w:t>)</w:t>
            </w:r>
          </w:p>
          <w:p w14:paraId="1B253E97" w14:textId="77777777" w:rsidR="009D6BC1" w:rsidRPr="009D71F6" w:rsidRDefault="009D6BC1" w:rsidP="00680E38">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C0" w14:textId="138E682C" w:rsidR="009D6BC1" w:rsidRPr="009D71F6" w:rsidRDefault="009D6BC1" w:rsidP="00357C8B">
            <w:pPr>
              <w:widowControl w:val="0"/>
              <w:spacing w:after="0" w:line="240" w:lineRule="auto"/>
              <w:jc w:val="center"/>
              <w:rPr>
                <w:rFonts w:ascii="Arial" w:hAnsi="Arial" w:cs="Arial"/>
                <w:sz w:val="24"/>
                <w:szCs w:val="24"/>
              </w:rPr>
            </w:pPr>
          </w:p>
        </w:tc>
        <w:tc>
          <w:tcPr>
            <w:tcW w:w="3928" w:type="dxa"/>
          </w:tcPr>
          <w:p w14:paraId="4A58D349" w14:textId="77777777" w:rsidR="009D6BC1" w:rsidRPr="009D71F6" w:rsidRDefault="009D6BC1" w:rsidP="00680E38">
            <w:pPr>
              <w:widowControl w:val="0"/>
              <w:spacing w:after="0" w:line="240" w:lineRule="auto"/>
              <w:rPr>
                <w:rFonts w:ascii="Arial" w:hAnsi="Arial" w:cs="Arial"/>
                <w:sz w:val="24"/>
                <w:szCs w:val="24"/>
              </w:rPr>
            </w:pPr>
          </w:p>
          <w:p w14:paraId="4CAE8058" w14:textId="0384177D" w:rsidR="009D6BC1" w:rsidRPr="009D71F6" w:rsidRDefault="0063518D" w:rsidP="00680E38">
            <w:pPr>
              <w:widowControl w:val="0"/>
              <w:spacing w:after="0" w:line="240" w:lineRule="auto"/>
              <w:rPr>
                <w:rFonts w:ascii="Arial" w:hAnsi="Arial" w:cs="Arial"/>
                <w:sz w:val="24"/>
                <w:szCs w:val="24"/>
              </w:rPr>
            </w:pPr>
            <w:r>
              <w:rPr>
                <w:rFonts w:ascii="Arial" w:hAnsi="Arial" w:cs="Arial"/>
                <w:sz w:val="24"/>
                <w:szCs w:val="24"/>
              </w:rPr>
              <w:t>Case No. 14-2209-EL-ATA</w:t>
            </w:r>
          </w:p>
          <w:p w14:paraId="5D7E8E3A" w14:textId="63C2F340" w:rsidR="009D6BC1" w:rsidRPr="009D71F6" w:rsidRDefault="009D6BC1" w:rsidP="00680E38">
            <w:pPr>
              <w:widowControl w:val="0"/>
              <w:spacing w:after="0" w:line="240" w:lineRule="auto"/>
              <w:rPr>
                <w:rFonts w:ascii="Arial" w:hAnsi="Arial" w:cs="Arial"/>
                <w:sz w:val="24"/>
                <w:szCs w:val="24"/>
              </w:rPr>
            </w:pPr>
          </w:p>
          <w:p w14:paraId="7176D2C5" w14:textId="350A9796" w:rsidR="009D6BC1" w:rsidRPr="009D71F6" w:rsidRDefault="009D6BC1">
            <w:pPr>
              <w:widowControl w:val="0"/>
              <w:spacing w:after="0" w:line="240" w:lineRule="auto"/>
              <w:rPr>
                <w:rFonts w:ascii="Arial" w:hAnsi="Arial" w:cs="Arial"/>
                <w:sz w:val="24"/>
                <w:szCs w:val="24"/>
              </w:rPr>
            </w:pPr>
          </w:p>
        </w:tc>
      </w:tr>
    </w:tbl>
    <w:p w14:paraId="7176D2C7"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0BD018D9" w14:textId="77777777" w:rsidR="009D6BC1" w:rsidRDefault="009D6BC1">
      <w:pPr>
        <w:widowControl w:val="0"/>
        <w:spacing w:after="0" w:line="240" w:lineRule="auto"/>
        <w:jc w:val="center"/>
        <w:rPr>
          <w:rFonts w:ascii="Arial" w:hAnsi="Arial" w:cs="Arial"/>
          <w:b/>
          <w:bCs/>
          <w:sz w:val="24"/>
          <w:szCs w:val="24"/>
        </w:rPr>
      </w:pPr>
    </w:p>
    <w:p w14:paraId="7176D2CA" w14:textId="06077C7A" w:rsidR="00545F29" w:rsidRPr="009D71F6" w:rsidRDefault="005E5B7C">
      <w:pPr>
        <w:widowControl w:val="0"/>
        <w:spacing w:after="0" w:line="240" w:lineRule="auto"/>
        <w:jc w:val="center"/>
        <w:rPr>
          <w:rFonts w:ascii="Arial" w:hAnsi="Arial" w:cs="Arial"/>
          <w:b/>
          <w:bCs/>
          <w:sz w:val="24"/>
          <w:szCs w:val="24"/>
        </w:rPr>
      </w:pPr>
      <w:r>
        <w:rPr>
          <w:rFonts w:ascii="Arial" w:hAnsi="Arial" w:cs="Arial"/>
          <w:b/>
          <w:bCs/>
          <w:sz w:val="24"/>
          <w:szCs w:val="24"/>
        </w:rPr>
        <w:t xml:space="preserve">REPLY </w:t>
      </w:r>
      <w:r w:rsidR="007032CD">
        <w:rPr>
          <w:rFonts w:ascii="Arial" w:hAnsi="Arial" w:cs="Arial"/>
          <w:b/>
          <w:bCs/>
          <w:sz w:val="24"/>
          <w:szCs w:val="24"/>
        </w:rPr>
        <w:t>COMMENTS</w:t>
      </w:r>
      <w:r w:rsidR="00AA75B4">
        <w:rPr>
          <w:rFonts w:ascii="Arial" w:hAnsi="Arial" w:cs="Arial"/>
          <w:b/>
          <w:bCs/>
          <w:sz w:val="24"/>
          <w:szCs w:val="24"/>
        </w:rPr>
        <w:t xml:space="preserve"> OF IGS ENERGY</w:t>
      </w:r>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7D434B1A"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19A5282C"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7002DFE5"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39545212"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1FFAC93F" w14:textId="5772FB47" w:rsidR="00237730" w:rsidRDefault="00237730" w:rsidP="00237730">
      <w:pPr>
        <w:spacing w:after="0" w:line="240" w:lineRule="auto"/>
        <w:ind w:left="5040"/>
        <w:rPr>
          <w:rFonts w:ascii="Arial" w:eastAsia="Calibri" w:hAnsi="Arial" w:cs="Arial"/>
          <w:sz w:val="24"/>
          <w:szCs w:val="24"/>
          <w:u w:val="single"/>
        </w:rPr>
      </w:pPr>
    </w:p>
    <w:p w14:paraId="7307477B" w14:textId="7B7509FE" w:rsidR="00237730" w:rsidRDefault="00237730" w:rsidP="00237730">
      <w:pPr>
        <w:spacing w:after="0" w:line="240" w:lineRule="auto"/>
        <w:ind w:left="5040"/>
        <w:rPr>
          <w:rFonts w:ascii="Arial" w:hAnsi="Arial" w:cs="Arial"/>
          <w:sz w:val="24"/>
          <w:szCs w:val="24"/>
        </w:rPr>
      </w:pPr>
      <w:r>
        <w:rPr>
          <w:rFonts w:ascii="Arial" w:hAnsi="Arial" w:cs="Arial"/>
          <w:sz w:val="24"/>
          <w:szCs w:val="24"/>
        </w:rPr>
        <w:t>Joseph Oliker</w:t>
      </w:r>
      <w:r w:rsidR="007B3399">
        <w:rPr>
          <w:rFonts w:ascii="Arial" w:hAnsi="Arial" w:cs="Arial"/>
          <w:sz w:val="24"/>
          <w:szCs w:val="24"/>
        </w:rPr>
        <w:t xml:space="preserve"> </w:t>
      </w:r>
    </w:p>
    <w:p w14:paraId="47F2F7F1"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Counsel of Record</w:t>
      </w:r>
    </w:p>
    <w:p w14:paraId="1E783C5D" w14:textId="3A73F714" w:rsidR="0058767D" w:rsidRDefault="0058767D" w:rsidP="00237730">
      <w:pPr>
        <w:spacing w:after="0" w:line="240" w:lineRule="auto"/>
        <w:ind w:left="5040"/>
        <w:rPr>
          <w:rFonts w:ascii="Arial" w:hAnsi="Arial" w:cs="Arial"/>
          <w:sz w:val="24"/>
          <w:szCs w:val="24"/>
        </w:rPr>
      </w:pPr>
      <w:r w:rsidRPr="0058767D">
        <w:rPr>
          <w:rFonts w:ascii="Arial" w:hAnsi="Arial" w:cs="Arial"/>
          <w:sz w:val="24"/>
          <w:szCs w:val="24"/>
        </w:rPr>
        <w:t>joliker@igsenergy.com</w:t>
      </w:r>
    </w:p>
    <w:p w14:paraId="1C54B0A0" w14:textId="1FE88325" w:rsidR="00237730" w:rsidRDefault="00AA75B4" w:rsidP="00237730">
      <w:pPr>
        <w:spacing w:after="0" w:line="240" w:lineRule="auto"/>
        <w:ind w:left="5040"/>
        <w:rPr>
          <w:rFonts w:ascii="Arial" w:hAnsi="Arial" w:cs="Arial"/>
          <w:sz w:val="24"/>
          <w:szCs w:val="24"/>
        </w:rPr>
      </w:pPr>
      <w:r>
        <w:rPr>
          <w:rFonts w:ascii="Arial" w:hAnsi="Arial" w:cs="Arial"/>
          <w:sz w:val="24"/>
          <w:szCs w:val="24"/>
        </w:rPr>
        <w:t>IGS Energy</w:t>
      </w:r>
    </w:p>
    <w:p w14:paraId="7808A77D"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6100 Emerald Parkway</w:t>
      </w:r>
    </w:p>
    <w:p w14:paraId="7F0E5D8B"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Dublin, Ohio 43016</w:t>
      </w:r>
    </w:p>
    <w:p w14:paraId="6527965A"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3ABFFA73"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F7DC00" w14:textId="77777777" w:rsidR="00237730" w:rsidRDefault="00237730" w:rsidP="00237730">
      <w:pPr>
        <w:spacing w:after="0" w:line="240" w:lineRule="auto"/>
        <w:ind w:left="5040"/>
        <w:rPr>
          <w:rFonts w:ascii="Arial" w:hAnsi="Arial" w:cs="Arial"/>
          <w:sz w:val="24"/>
          <w:szCs w:val="24"/>
        </w:rPr>
      </w:pPr>
    </w:p>
    <w:p w14:paraId="5C805413" w14:textId="4C5B22C0" w:rsidR="00237730" w:rsidRDefault="00553D21" w:rsidP="00237730">
      <w:pPr>
        <w:spacing w:after="0" w:line="240" w:lineRule="auto"/>
        <w:ind w:left="5040"/>
        <w:rPr>
          <w:rFonts w:ascii="Arial" w:hAnsi="Arial" w:cs="Arial"/>
          <w:b/>
          <w:i/>
          <w:sz w:val="24"/>
          <w:szCs w:val="24"/>
        </w:rPr>
      </w:pPr>
      <w:r>
        <w:rPr>
          <w:rFonts w:ascii="Arial" w:hAnsi="Arial" w:cs="Arial"/>
          <w:b/>
          <w:i/>
          <w:sz w:val="24"/>
          <w:szCs w:val="24"/>
        </w:rPr>
        <w:t>Attorney</w:t>
      </w:r>
      <w:r w:rsidR="00237730">
        <w:rPr>
          <w:rFonts w:ascii="Arial" w:hAnsi="Arial" w:cs="Arial"/>
          <w:b/>
          <w:i/>
          <w:sz w:val="24"/>
          <w:szCs w:val="24"/>
        </w:rPr>
        <w:t xml:space="preserve"> for IGS Energy</w:t>
      </w:r>
    </w:p>
    <w:p w14:paraId="29245C49" w14:textId="77777777" w:rsidR="00237730" w:rsidRDefault="00237730" w:rsidP="00237730">
      <w:pPr>
        <w:spacing w:after="0" w:line="240" w:lineRule="auto"/>
        <w:ind w:left="5040"/>
        <w:rPr>
          <w:rFonts w:ascii="Arial" w:hAnsi="Arial" w:cs="Arial"/>
          <w:b/>
          <w:i/>
          <w:sz w:val="24"/>
          <w:szCs w:val="24"/>
        </w:rPr>
      </w:pPr>
    </w:p>
    <w:p w14:paraId="34A4F2A5" w14:textId="77777777" w:rsidR="00EB67DF" w:rsidRDefault="00EB67DF" w:rsidP="00D13280">
      <w:pPr>
        <w:spacing w:after="0" w:line="240" w:lineRule="auto"/>
        <w:rPr>
          <w:rFonts w:ascii="Arial" w:hAnsi="Arial" w:cs="Arial"/>
          <w:b/>
          <w:sz w:val="24"/>
          <w:szCs w:val="24"/>
        </w:rPr>
      </w:pPr>
    </w:p>
    <w:p w14:paraId="36FD7C48" w14:textId="77777777" w:rsidR="00EB67DF" w:rsidRDefault="00EB67DF" w:rsidP="00D13280">
      <w:pPr>
        <w:spacing w:after="0" w:line="240" w:lineRule="auto"/>
        <w:rPr>
          <w:rFonts w:ascii="Arial" w:hAnsi="Arial" w:cs="Arial"/>
          <w:b/>
          <w:sz w:val="24"/>
          <w:szCs w:val="24"/>
        </w:rPr>
      </w:pPr>
    </w:p>
    <w:p w14:paraId="3595B5EA" w14:textId="77777777" w:rsidR="00EB67DF" w:rsidRDefault="00EB67DF" w:rsidP="00D13280">
      <w:pPr>
        <w:spacing w:after="0" w:line="240" w:lineRule="auto"/>
        <w:rPr>
          <w:rFonts w:ascii="Arial" w:hAnsi="Arial" w:cs="Arial"/>
          <w:b/>
          <w:sz w:val="24"/>
          <w:szCs w:val="24"/>
        </w:rPr>
      </w:pPr>
    </w:p>
    <w:p w14:paraId="4B70B117" w14:textId="77777777" w:rsidR="00EB67DF" w:rsidRDefault="00EB67DF" w:rsidP="00D13280">
      <w:pPr>
        <w:spacing w:after="0" w:line="240" w:lineRule="auto"/>
        <w:rPr>
          <w:rFonts w:ascii="Arial" w:hAnsi="Arial" w:cs="Arial"/>
          <w:b/>
          <w:sz w:val="24"/>
          <w:szCs w:val="24"/>
        </w:rPr>
      </w:pPr>
    </w:p>
    <w:p w14:paraId="3D46AC74" w14:textId="77777777" w:rsidR="00EB67DF" w:rsidRDefault="00EB67DF" w:rsidP="00D13280">
      <w:pPr>
        <w:spacing w:after="0" w:line="240" w:lineRule="auto"/>
        <w:rPr>
          <w:rFonts w:ascii="Arial" w:hAnsi="Arial" w:cs="Arial"/>
          <w:b/>
          <w:sz w:val="24"/>
          <w:szCs w:val="24"/>
        </w:rPr>
      </w:pPr>
    </w:p>
    <w:p w14:paraId="5B52A399" w14:textId="77777777" w:rsidR="00EB67DF" w:rsidRDefault="00EB67DF" w:rsidP="00D13280">
      <w:pPr>
        <w:spacing w:after="0" w:line="240" w:lineRule="auto"/>
        <w:rPr>
          <w:rFonts w:ascii="Arial" w:hAnsi="Arial" w:cs="Arial"/>
          <w:b/>
          <w:sz w:val="24"/>
          <w:szCs w:val="24"/>
        </w:rPr>
      </w:pPr>
    </w:p>
    <w:p w14:paraId="0C5B0D09" w14:textId="77777777" w:rsidR="00EB67DF" w:rsidRDefault="00EB67DF" w:rsidP="00D13280">
      <w:pPr>
        <w:spacing w:after="0" w:line="240" w:lineRule="auto"/>
        <w:rPr>
          <w:rFonts w:ascii="Arial" w:hAnsi="Arial" w:cs="Arial"/>
          <w:b/>
          <w:sz w:val="24"/>
          <w:szCs w:val="24"/>
        </w:rPr>
      </w:pPr>
    </w:p>
    <w:p w14:paraId="1C0FCDB1" w14:textId="77777777" w:rsidR="00EB67DF" w:rsidRDefault="00EB67DF" w:rsidP="00D13280">
      <w:pPr>
        <w:spacing w:after="0" w:line="240" w:lineRule="auto"/>
        <w:rPr>
          <w:rFonts w:ascii="Arial" w:hAnsi="Arial" w:cs="Arial"/>
          <w:b/>
          <w:sz w:val="24"/>
          <w:szCs w:val="24"/>
        </w:rPr>
      </w:pPr>
    </w:p>
    <w:p w14:paraId="2552B45A" w14:textId="77777777" w:rsidR="00EB67DF" w:rsidRDefault="00EB67DF" w:rsidP="00D13280">
      <w:pPr>
        <w:spacing w:after="0" w:line="240" w:lineRule="auto"/>
        <w:rPr>
          <w:rFonts w:ascii="Arial" w:hAnsi="Arial" w:cs="Arial"/>
          <w:b/>
          <w:sz w:val="24"/>
          <w:szCs w:val="24"/>
        </w:rPr>
      </w:pPr>
    </w:p>
    <w:p w14:paraId="70DDAB3F" w14:textId="77777777" w:rsidR="00EB67DF" w:rsidRDefault="00EB67DF" w:rsidP="00D13280">
      <w:pPr>
        <w:spacing w:after="0" w:line="240" w:lineRule="auto"/>
        <w:rPr>
          <w:rFonts w:ascii="Arial" w:hAnsi="Arial" w:cs="Arial"/>
          <w:b/>
          <w:sz w:val="24"/>
          <w:szCs w:val="24"/>
        </w:rPr>
      </w:pPr>
    </w:p>
    <w:p w14:paraId="02FF85D4" w14:textId="77777777" w:rsidR="00EB67DF" w:rsidRDefault="00EB67DF" w:rsidP="00D13280">
      <w:pPr>
        <w:spacing w:after="0" w:line="240" w:lineRule="auto"/>
        <w:rPr>
          <w:rFonts w:ascii="Arial" w:hAnsi="Arial" w:cs="Arial"/>
          <w:b/>
          <w:sz w:val="24"/>
          <w:szCs w:val="24"/>
        </w:rPr>
      </w:pPr>
    </w:p>
    <w:p w14:paraId="65447692" w14:textId="7F31A92A" w:rsidR="00357C8B" w:rsidRPr="00EB67DF" w:rsidRDefault="00FE538F" w:rsidP="00EB67DF">
      <w:pPr>
        <w:spacing w:after="0" w:line="240" w:lineRule="auto"/>
        <w:rPr>
          <w:rFonts w:ascii="Arial" w:hAnsi="Arial" w:cs="Arial"/>
          <w:b/>
          <w:sz w:val="24"/>
          <w:szCs w:val="24"/>
        </w:rPr>
      </w:pPr>
      <w:r>
        <w:rPr>
          <w:rFonts w:ascii="Arial" w:hAnsi="Arial" w:cs="Arial"/>
          <w:b/>
          <w:sz w:val="24"/>
          <w:szCs w:val="24"/>
        </w:rPr>
        <w:t>March 27</w:t>
      </w:r>
      <w:r w:rsidR="000A0F85">
        <w:rPr>
          <w:rFonts w:ascii="Arial" w:hAnsi="Arial" w:cs="Arial"/>
          <w:b/>
          <w:sz w:val="24"/>
          <w:szCs w:val="24"/>
        </w:rPr>
        <w:t>, 2015</w:t>
      </w:r>
    </w:p>
    <w:p w14:paraId="5B23343D" w14:textId="77777777" w:rsidR="009D6BC1" w:rsidRDefault="009D6BC1" w:rsidP="0082224E">
      <w:pPr>
        <w:autoSpaceDE w:val="0"/>
        <w:autoSpaceDN w:val="0"/>
        <w:adjustRightInd w:val="0"/>
        <w:spacing w:after="120" w:line="480" w:lineRule="auto"/>
        <w:ind w:firstLine="720"/>
        <w:jc w:val="both"/>
        <w:rPr>
          <w:rFonts w:ascii="Arial" w:hAnsi="Arial" w:cs="Arial"/>
          <w:sz w:val="24"/>
          <w:szCs w:val="24"/>
        </w:rPr>
      </w:pPr>
    </w:p>
    <w:p w14:paraId="75E24387" w14:textId="76A29782" w:rsidR="00FA034B" w:rsidRDefault="00FE3EE7" w:rsidP="00025E6B">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lastRenderedPageBreak/>
        <w:tab/>
      </w:r>
      <w:r w:rsidR="00FA034B">
        <w:rPr>
          <w:rFonts w:ascii="Arial" w:hAnsi="Arial" w:cs="Arial"/>
          <w:sz w:val="24"/>
          <w:szCs w:val="24"/>
        </w:rPr>
        <w:t xml:space="preserve">One year ago, the </w:t>
      </w:r>
      <w:r w:rsidR="00FA034B" w:rsidRPr="00FA034B">
        <w:rPr>
          <w:rFonts w:ascii="Arial" w:hAnsi="Arial" w:cs="Arial"/>
          <w:sz w:val="24"/>
          <w:szCs w:val="24"/>
        </w:rPr>
        <w:t xml:space="preserve">Commission directed all electric distribution utilities to file a tariff specifying terms and conditions for the transfer of interval data, as well as proposed formulas for calculating customers’ individual network service peak load (“NSPL”) and peak load </w:t>
      </w:r>
      <w:r w:rsidR="001B125D">
        <w:rPr>
          <w:rFonts w:ascii="Arial" w:hAnsi="Arial" w:cs="Arial"/>
          <w:sz w:val="24"/>
          <w:szCs w:val="24"/>
        </w:rPr>
        <w:t>contribution (“PLC</w:t>
      </w:r>
      <w:r w:rsidR="00FA034B" w:rsidRPr="00FA034B">
        <w:rPr>
          <w:rFonts w:ascii="Arial" w:hAnsi="Arial" w:cs="Arial"/>
          <w:sz w:val="24"/>
          <w:szCs w:val="24"/>
        </w:rPr>
        <w:t>”).</w:t>
      </w:r>
      <w:r w:rsidR="0005578F">
        <w:rPr>
          <w:rStyle w:val="FootnoteReference"/>
          <w:rFonts w:ascii="Arial" w:hAnsi="Arial" w:cs="Arial"/>
          <w:sz w:val="24"/>
          <w:szCs w:val="24"/>
        </w:rPr>
        <w:footnoteReference w:id="1"/>
      </w:r>
      <w:r w:rsidR="00FA034B">
        <w:rPr>
          <w:rFonts w:ascii="Arial" w:hAnsi="Arial" w:cs="Arial"/>
          <w:sz w:val="24"/>
          <w:szCs w:val="24"/>
        </w:rPr>
        <w:t xml:space="preserve">  Despite the Commission’s Order, </w:t>
      </w:r>
      <w:r w:rsidR="0005578F">
        <w:rPr>
          <w:rFonts w:ascii="Arial" w:hAnsi="Arial" w:cs="Arial"/>
          <w:sz w:val="24"/>
          <w:szCs w:val="24"/>
        </w:rPr>
        <w:t>Duke is still dragging its feet—its “compliance filing” fails to fulfil the Commission’s directive.</w:t>
      </w:r>
    </w:p>
    <w:p w14:paraId="443019C6" w14:textId="38FF0AF4" w:rsidR="00FA034B" w:rsidRDefault="0005578F" w:rsidP="00025E6B">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t>The c</w:t>
      </w:r>
      <w:r w:rsidR="00FA034B">
        <w:rPr>
          <w:rFonts w:ascii="Arial" w:hAnsi="Arial" w:cs="Arial"/>
          <w:sz w:val="24"/>
          <w:szCs w:val="24"/>
        </w:rPr>
        <w:t xml:space="preserve">omments submitted by parties in this proceeding </w:t>
      </w:r>
      <w:r>
        <w:rPr>
          <w:rFonts w:ascii="Arial" w:hAnsi="Arial" w:cs="Arial"/>
          <w:sz w:val="24"/>
          <w:szCs w:val="24"/>
        </w:rPr>
        <w:t>unequivocally support requiring Duke to</w:t>
      </w:r>
      <w:r w:rsidR="00FA034B">
        <w:rPr>
          <w:rFonts w:ascii="Arial" w:hAnsi="Arial" w:cs="Arial"/>
          <w:sz w:val="24"/>
          <w:szCs w:val="24"/>
        </w:rPr>
        <w:t xml:space="preserve"> make interval data available to CRES providers</w:t>
      </w:r>
      <w:r>
        <w:rPr>
          <w:rFonts w:ascii="Arial" w:hAnsi="Arial" w:cs="Arial"/>
          <w:sz w:val="24"/>
          <w:szCs w:val="24"/>
        </w:rPr>
        <w:t>, as well as calculating customer-specific NSPLs and PLCs</w:t>
      </w:r>
      <w:r w:rsidR="00FA034B">
        <w:rPr>
          <w:rFonts w:ascii="Arial" w:hAnsi="Arial" w:cs="Arial"/>
          <w:sz w:val="24"/>
          <w:szCs w:val="24"/>
        </w:rPr>
        <w:t>.  As stated in IGS’s initial comments, the Commission should direct Duke to implement the following:</w:t>
      </w:r>
    </w:p>
    <w:p w14:paraId="04598FD5" w14:textId="77777777" w:rsidR="00FA034B" w:rsidRDefault="00FA034B" w:rsidP="00025E6B">
      <w:pPr>
        <w:pStyle w:val="ListParagraph"/>
        <w:numPr>
          <w:ilvl w:val="0"/>
          <w:numId w:val="9"/>
        </w:numPr>
        <w:autoSpaceDE w:val="0"/>
        <w:autoSpaceDN w:val="0"/>
        <w:adjustRightInd w:val="0"/>
        <w:spacing w:after="120" w:line="240" w:lineRule="auto"/>
        <w:ind w:left="1080" w:right="720"/>
        <w:jc w:val="both"/>
        <w:rPr>
          <w:rFonts w:ascii="Arial" w:hAnsi="Arial" w:cs="Arial"/>
          <w:sz w:val="24"/>
          <w:szCs w:val="24"/>
        </w:rPr>
      </w:pPr>
      <w:r>
        <w:rPr>
          <w:rFonts w:ascii="Arial" w:hAnsi="Arial" w:cs="Arial"/>
          <w:sz w:val="24"/>
          <w:szCs w:val="24"/>
        </w:rPr>
        <w:t>Immediately invest in the necessary meter data management systems necessary to allow CRES providers to receive customer interval data through an electronic data interchange (“EDI”);</w:t>
      </w:r>
    </w:p>
    <w:p w14:paraId="7AEF9C1E" w14:textId="77777777" w:rsidR="00FA034B" w:rsidRDefault="00FA034B" w:rsidP="00025E6B">
      <w:pPr>
        <w:pStyle w:val="ListParagraph"/>
        <w:autoSpaceDE w:val="0"/>
        <w:autoSpaceDN w:val="0"/>
        <w:adjustRightInd w:val="0"/>
        <w:spacing w:after="120" w:line="240" w:lineRule="auto"/>
        <w:ind w:left="1080" w:right="720"/>
        <w:jc w:val="both"/>
        <w:rPr>
          <w:rFonts w:ascii="Arial" w:hAnsi="Arial" w:cs="Arial"/>
          <w:sz w:val="24"/>
          <w:szCs w:val="24"/>
        </w:rPr>
      </w:pPr>
    </w:p>
    <w:p w14:paraId="55451E83" w14:textId="2968363B" w:rsidR="00FA034B" w:rsidRDefault="00FA034B" w:rsidP="00025E6B">
      <w:pPr>
        <w:pStyle w:val="ListParagraph"/>
        <w:numPr>
          <w:ilvl w:val="0"/>
          <w:numId w:val="9"/>
        </w:numPr>
        <w:autoSpaceDE w:val="0"/>
        <w:autoSpaceDN w:val="0"/>
        <w:adjustRightInd w:val="0"/>
        <w:spacing w:after="120" w:line="240" w:lineRule="auto"/>
        <w:ind w:left="1080" w:right="720"/>
        <w:jc w:val="both"/>
        <w:rPr>
          <w:rFonts w:ascii="Arial" w:hAnsi="Arial" w:cs="Arial"/>
          <w:sz w:val="24"/>
          <w:szCs w:val="24"/>
        </w:rPr>
      </w:pPr>
      <w:r>
        <w:rPr>
          <w:rFonts w:ascii="Arial" w:hAnsi="Arial" w:cs="Arial"/>
          <w:sz w:val="24"/>
          <w:szCs w:val="24"/>
        </w:rPr>
        <w:t>Transition to calculating cust</w:t>
      </w:r>
      <w:r w:rsidR="00025E6B">
        <w:rPr>
          <w:rFonts w:ascii="Arial" w:hAnsi="Arial" w:cs="Arial"/>
          <w:sz w:val="24"/>
          <w:szCs w:val="24"/>
        </w:rPr>
        <w:t>omers’ PLC</w:t>
      </w:r>
      <w:r>
        <w:rPr>
          <w:rFonts w:ascii="Arial" w:hAnsi="Arial" w:cs="Arial"/>
          <w:sz w:val="24"/>
          <w:szCs w:val="24"/>
        </w:rPr>
        <w:t xml:space="preserve"> based upon their actual usage;</w:t>
      </w:r>
    </w:p>
    <w:p w14:paraId="57B06BEB" w14:textId="77777777" w:rsidR="00FA034B" w:rsidRPr="009F141F" w:rsidRDefault="00FA034B" w:rsidP="00025E6B">
      <w:pPr>
        <w:pStyle w:val="ListParagraph"/>
        <w:spacing w:after="120" w:line="240" w:lineRule="auto"/>
        <w:jc w:val="both"/>
        <w:rPr>
          <w:rFonts w:ascii="Arial" w:hAnsi="Arial" w:cs="Arial"/>
          <w:sz w:val="24"/>
          <w:szCs w:val="24"/>
        </w:rPr>
      </w:pPr>
    </w:p>
    <w:p w14:paraId="2628F887" w14:textId="77777777" w:rsidR="00FA034B" w:rsidRPr="00ED25F0" w:rsidRDefault="00FA034B" w:rsidP="00025E6B">
      <w:pPr>
        <w:pStyle w:val="ListParagraph"/>
        <w:numPr>
          <w:ilvl w:val="0"/>
          <w:numId w:val="9"/>
        </w:numPr>
        <w:autoSpaceDE w:val="0"/>
        <w:autoSpaceDN w:val="0"/>
        <w:adjustRightInd w:val="0"/>
        <w:spacing w:after="120" w:line="240" w:lineRule="auto"/>
        <w:ind w:left="1080" w:right="720"/>
        <w:jc w:val="both"/>
        <w:rPr>
          <w:rFonts w:ascii="Arial" w:hAnsi="Arial" w:cs="Arial"/>
          <w:sz w:val="24"/>
          <w:szCs w:val="24"/>
        </w:rPr>
      </w:pPr>
      <w:r>
        <w:rPr>
          <w:rFonts w:ascii="Arial" w:hAnsi="Arial" w:cs="Arial"/>
          <w:sz w:val="24"/>
          <w:szCs w:val="24"/>
        </w:rPr>
        <w:t>Transition to calculating NSPLs based upon actual peak usage on the Duke system during the coincident peak;</w:t>
      </w:r>
    </w:p>
    <w:p w14:paraId="0CD32AF0" w14:textId="77777777" w:rsidR="00FA034B" w:rsidRPr="00ED25F0" w:rsidRDefault="00FA034B" w:rsidP="00025E6B">
      <w:pPr>
        <w:pStyle w:val="ListParagraph"/>
        <w:autoSpaceDE w:val="0"/>
        <w:autoSpaceDN w:val="0"/>
        <w:adjustRightInd w:val="0"/>
        <w:spacing w:after="120" w:line="240" w:lineRule="auto"/>
        <w:ind w:left="1080" w:right="720"/>
        <w:jc w:val="both"/>
        <w:rPr>
          <w:rFonts w:ascii="Arial" w:hAnsi="Arial" w:cs="Arial"/>
          <w:sz w:val="24"/>
          <w:szCs w:val="24"/>
        </w:rPr>
      </w:pPr>
    </w:p>
    <w:p w14:paraId="315D85DF" w14:textId="0237042C" w:rsidR="00FA034B" w:rsidRDefault="00FA034B" w:rsidP="00025E6B">
      <w:pPr>
        <w:pStyle w:val="ListParagraph"/>
        <w:numPr>
          <w:ilvl w:val="0"/>
          <w:numId w:val="9"/>
        </w:numPr>
        <w:autoSpaceDE w:val="0"/>
        <w:autoSpaceDN w:val="0"/>
        <w:adjustRightInd w:val="0"/>
        <w:spacing w:after="120" w:line="480" w:lineRule="auto"/>
        <w:ind w:left="1080" w:right="720"/>
        <w:jc w:val="both"/>
        <w:rPr>
          <w:rFonts w:ascii="Arial" w:hAnsi="Arial" w:cs="Arial"/>
          <w:sz w:val="24"/>
          <w:szCs w:val="24"/>
        </w:rPr>
      </w:pPr>
      <w:r>
        <w:rPr>
          <w:rFonts w:ascii="Arial" w:hAnsi="Arial" w:cs="Arial"/>
          <w:sz w:val="24"/>
          <w:szCs w:val="24"/>
        </w:rPr>
        <w:t xml:space="preserve">Perform CRES provider settlements based upon actual meter data. </w:t>
      </w:r>
    </w:p>
    <w:p w14:paraId="7AB4ABBA" w14:textId="210D432D" w:rsidR="00FA034B" w:rsidRDefault="00FA034B" w:rsidP="00025E6B">
      <w:pPr>
        <w:spacing w:after="120" w:line="480" w:lineRule="auto"/>
        <w:rPr>
          <w:rFonts w:ascii="Arial" w:hAnsi="Arial" w:cs="Arial"/>
          <w:sz w:val="24"/>
          <w:szCs w:val="24"/>
        </w:rPr>
      </w:pPr>
      <w:r>
        <w:rPr>
          <w:rFonts w:ascii="Arial" w:hAnsi="Arial" w:cs="Arial"/>
          <w:sz w:val="24"/>
          <w:szCs w:val="24"/>
        </w:rPr>
        <w:t xml:space="preserve">Implementing these steps will allow </w:t>
      </w:r>
      <w:r w:rsidR="00025E6B">
        <w:rPr>
          <w:rFonts w:ascii="Arial" w:hAnsi="Arial" w:cs="Arial"/>
          <w:sz w:val="24"/>
          <w:szCs w:val="24"/>
        </w:rPr>
        <w:t>customers to begin receiving smart</w:t>
      </w:r>
      <w:r w:rsidR="000E5F86">
        <w:rPr>
          <w:rFonts w:ascii="Arial" w:hAnsi="Arial" w:cs="Arial"/>
          <w:sz w:val="24"/>
          <w:szCs w:val="24"/>
        </w:rPr>
        <w:t xml:space="preserve"> meter enabled products and services that</w:t>
      </w:r>
      <w:r w:rsidR="001B125D">
        <w:rPr>
          <w:rFonts w:ascii="Arial" w:hAnsi="Arial" w:cs="Arial"/>
          <w:sz w:val="24"/>
          <w:szCs w:val="24"/>
        </w:rPr>
        <w:t xml:space="preserve"> will help them use and consume</w:t>
      </w:r>
      <w:r w:rsidR="000E5F86">
        <w:rPr>
          <w:rFonts w:ascii="Arial" w:hAnsi="Arial" w:cs="Arial"/>
          <w:sz w:val="24"/>
          <w:szCs w:val="24"/>
        </w:rPr>
        <w:t xml:space="preserve"> energy more efficiently</w:t>
      </w:r>
      <w:r>
        <w:rPr>
          <w:rFonts w:ascii="Arial" w:hAnsi="Arial" w:cs="Arial"/>
          <w:sz w:val="24"/>
          <w:szCs w:val="24"/>
        </w:rPr>
        <w:t xml:space="preserve">.  </w:t>
      </w:r>
    </w:p>
    <w:p w14:paraId="7D3780B9" w14:textId="14D6CBE6" w:rsidR="0005578F" w:rsidRDefault="00FA034B" w:rsidP="00025E6B">
      <w:pPr>
        <w:spacing w:after="120" w:line="480" w:lineRule="auto"/>
        <w:jc w:val="both"/>
        <w:rPr>
          <w:rFonts w:ascii="Arial" w:hAnsi="Arial" w:cs="Arial"/>
          <w:sz w:val="24"/>
          <w:szCs w:val="24"/>
        </w:rPr>
      </w:pPr>
      <w:r>
        <w:rPr>
          <w:rFonts w:ascii="Arial" w:hAnsi="Arial" w:cs="Arial"/>
          <w:sz w:val="24"/>
          <w:szCs w:val="24"/>
        </w:rPr>
        <w:tab/>
      </w:r>
      <w:r w:rsidR="0005578F">
        <w:rPr>
          <w:rFonts w:ascii="Arial" w:hAnsi="Arial" w:cs="Arial"/>
          <w:sz w:val="24"/>
          <w:szCs w:val="24"/>
        </w:rPr>
        <w:t xml:space="preserve">Every intervening party agrees that </w:t>
      </w:r>
      <w:r w:rsidR="001B125D">
        <w:rPr>
          <w:rFonts w:ascii="Arial" w:hAnsi="Arial" w:cs="Arial"/>
          <w:sz w:val="24"/>
          <w:szCs w:val="24"/>
        </w:rPr>
        <w:t xml:space="preserve">the </w:t>
      </w:r>
      <w:r w:rsidR="0005578F">
        <w:rPr>
          <w:rFonts w:ascii="Arial" w:hAnsi="Arial" w:cs="Arial"/>
          <w:sz w:val="24"/>
          <w:szCs w:val="24"/>
        </w:rPr>
        <w:t>above recommendations should be adopted.  O</w:t>
      </w:r>
      <w:r>
        <w:rPr>
          <w:rFonts w:ascii="Arial" w:hAnsi="Arial" w:cs="Arial"/>
          <w:sz w:val="24"/>
          <w:szCs w:val="24"/>
        </w:rPr>
        <w:t xml:space="preserve">ne </w:t>
      </w:r>
      <w:proofErr w:type="spellStart"/>
      <w:r>
        <w:rPr>
          <w:rFonts w:ascii="Arial" w:hAnsi="Arial" w:cs="Arial"/>
          <w:sz w:val="24"/>
          <w:szCs w:val="24"/>
        </w:rPr>
        <w:t>intervenor</w:t>
      </w:r>
      <w:proofErr w:type="spellEnd"/>
      <w:r>
        <w:rPr>
          <w:rFonts w:ascii="Arial" w:hAnsi="Arial" w:cs="Arial"/>
          <w:sz w:val="24"/>
          <w:szCs w:val="24"/>
        </w:rPr>
        <w:t>, the Ohio Partners for Affordable Energy</w:t>
      </w:r>
      <w:r w:rsidR="0005578F">
        <w:rPr>
          <w:rFonts w:ascii="Arial" w:hAnsi="Arial" w:cs="Arial"/>
          <w:sz w:val="24"/>
          <w:szCs w:val="24"/>
        </w:rPr>
        <w:t xml:space="preserve"> (“OPAE”),</w:t>
      </w:r>
      <w:r>
        <w:rPr>
          <w:rFonts w:ascii="Arial" w:hAnsi="Arial" w:cs="Arial"/>
          <w:sz w:val="24"/>
          <w:szCs w:val="24"/>
        </w:rPr>
        <w:t xml:space="preserve"> however, also claims that </w:t>
      </w:r>
      <w:r w:rsidR="00324177">
        <w:rPr>
          <w:rFonts w:ascii="Arial" w:hAnsi="Arial" w:cs="Arial"/>
          <w:sz w:val="24"/>
          <w:szCs w:val="24"/>
        </w:rPr>
        <w:t xml:space="preserve">the cost of transferring interval data to CRES providers should be </w:t>
      </w:r>
      <w:r w:rsidR="00324177">
        <w:rPr>
          <w:rFonts w:ascii="Arial" w:hAnsi="Arial" w:cs="Arial"/>
          <w:sz w:val="24"/>
          <w:szCs w:val="24"/>
        </w:rPr>
        <w:lastRenderedPageBreak/>
        <w:t>recovered “</w:t>
      </w:r>
      <w:proofErr w:type="gramStart"/>
      <w:r w:rsidR="00324177" w:rsidRPr="00324177">
        <w:rPr>
          <w:rFonts w:ascii="Arial" w:hAnsi="Arial" w:cs="Arial"/>
          <w:sz w:val="24"/>
          <w:szCs w:val="24"/>
        </w:rPr>
        <w:t>through</w:t>
      </w:r>
      <w:proofErr w:type="gramEnd"/>
      <w:r w:rsidR="00324177" w:rsidRPr="00324177">
        <w:rPr>
          <w:rFonts w:ascii="Arial" w:hAnsi="Arial" w:cs="Arial"/>
          <w:sz w:val="24"/>
          <w:szCs w:val="24"/>
        </w:rPr>
        <w:t xml:space="preserve"> supplier fees and charges if there are incremental costs for transmitting such data through electronic data interchange (“EDI”) billing protocols to individual suppliers.”</w:t>
      </w:r>
      <w:r w:rsidR="00025E6B">
        <w:rPr>
          <w:rStyle w:val="FootnoteReference"/>
          <w:rFonts w:ascii="Arial" w:hAnsi="Arial" w:cs="Arial"/>
          <w:sz w:val="24"/>
          <w:szCs w:val="24"/>
        </w:rPr>
        <w:footnoteReference w:id="2"/>
      </w:r>
      <w:r w:rsidR="00856078">
        <w:rPr>
          <w:rFonts w:ascii="Arial" w:hAnsi="Arial" w:cs="Arial"/>
          <w:sz w:val="24"/>
          <w:szCs w:val="24"/>
        </w:rPr>
        <w:t xml:space="preserve">  </w:t>
      </w:r>
    </w:p>
    <w:p w14:paraId="301C32BA" w14:textId="1053A82B" w:rsidR="0005578F" w:rsidRPr="005D6AD4" w:rsidRDefault="005E5B7C" w:rsidP="00025E6B">
      <w:pPr>
        <w:spacing w:after="120" w:line="480" w:lineRule="auto"/>
        <w:ind w:firstLine="720"/>
        <w:jc w:val="both"/>
        <w:rPr>
          <w:rFonts w:ascii="Arial" w:hAnsi="Arial" w:cs="Arial"/>
          <w:sz w:val="24"/>
          <w:szCs w:val="24"/>
        </w:rPr>
      </w:pPr>
      <w:r>
        <w:rPr>
          <w:rFonts w:ascii="Arial" w:hAnsi="Arial" w:cs="Arial"/>
          <w:sz w:val="24"/>
          <w:szCs w:val="24"/>
        </w:rPr>
        <w:t xml:space="preserve">OPAE </w:t>
      </w:r>
      <w:r w:rsidR="00856078">
        <w:rPr>
          <w:rFonts w:ascii="Arial" w:hAnsi="Arial" w:cs="Arial"/>
          <w:sz w:val="24"/>
          <w:szCs w:val="24"/>
        </w:rPr>
        <w:t>claims that CRES providers should have to pay for access to interval data for</w:t>
      </w:r>
      <w:r w:rsidR="005D6AD4">
        <w:rPr>
          <w:rFonts w:ascii="Arial" w:hAnsi="Arial" w:cs="Arial"/>
          <w:sz w:val="24"/>
          <w:szCs w:val="24"/>
        </w:rPr>
        <w:t xml:space="preserve"> two</w:t>
      </w:r>
      <w:r w:rsidR="00856078">
        <w:rPr>
          <w:rFonts w:ascii="Arial" w:hAnsi="Arial" w:cs="Arial"/>
          <w:sz w:val="24"/>
          <w:szCs w:val="24"/>
        </w:rPr>
        <w:t xml:space="preserve"> reasons</w:t>
      </w:r>
      <w:r w:rsidR="0005578F">
        <w:rPr>
          <w:rFonts w:ascii="Arial" w:hAnsi="Arial" w:cs="Arial"/>
          <w:sz w:val="24"/>
          <w:szCs w:val="24"/>
        </w:rPr>
        <w:t xml:space="preserve">: </w:t>
      </w:r>
      <w:r>
        <w:rPr>
          <w:rFonts w:ascii="Arial" w:hAnsi="Arial" w:cs="Arial"/>
          <w:sz w:val="24"/>
          <w:szCs w:val="24"/>
        </w:rPr>
        <w:t xml:space="preserve"> </w:t>
      </w:r>
    </w:p>
    <w:p w14:paraId="57E689E7" w14:textId="394F3C52" w:rsidR="0005578F" w:rsidRPr="0005578F" w:rsidRDefault="005E5B7C" w:rsidP="00025E6B">
      <w:pPr>
        <w:pStyle w:val="ListParagraph"/>
        <w:numPr>
          <w:ilvl w:val="0"/>
          <w:numId w:val="14"/>
        </w:numPr>
        <w:spacing w:after="120" w:line="240" w:lineRule="auto"/>
        <w:ind w:left="1440" w:right="720"/>
        <w:jc w:val="both"/>
        <w:rPr>
          <w:rFonts w:ascii="Arial" w:hAnsi="Arial" w:cs="Arial"/>
          <w:sz w:val="24"/>
          <w:szCs w:val="24"/>
        </w:rPr>
      </w:pPr>
      <w:r w:rsidRPr="0005578F">
        <w:rPr>
          <w:rFonts w:ascii="Arial" w:hAnsi="Arial" w:cs="Arial"/>
          <w:sz w:val="24"/>
          <w:szCs w:val="24"/>
        </w:rPr>
        <w:t>Distribution consumers are typically required to pay the costs of smart meter</w:t>
      </w:r>
      <w:r w:rsidR="00FE3EE7" w:rsidRPr="0005578F">
        <w:rPr>
          <w:rFonts w:ascii="Arial" w:hAnsi="Arial" w:cs="Arial"/>
          <w:sz w:val="24"/>
          <w:szCs w:val="24"/>
        </w:rPr>
        <w:t xml:space="preserve"> </w:t>
      </w:r>
      <w:r w:rsidRPr="0005578F">
        <w:rPr>
          <w:rFonts w:ascii="Arial" w:hAnsi="Arial" w:cs="Arial"/>
          <w:sz w:val="24"/>
          <w:szCs w:val="24"/>
        </w:rPr>
        <w:t>systems. The extra steps of allowing suppliers acc</w:t>
      </w:r>
      <w:r w:rsidR="00FE3EE7" w:rsidRPr="0005578F">
        <w:rPr>
          <w:rFonts w:ascii="Arial" w:hAnsi="Arial" w:cs="Arial"/>
          <w:sz w:val="24"/>
          <w:szCs w:val="24"/>
        </w:rPr>
        <w:t xml:space="preserve">ess to this data, when there is </w:t>
      </w:r>
      <w:r w:rsidRPr="0005578F">
        <w:rPr>
          <w:rFonts w:ascii="Arial" w:hAnsi="Arial" w:cs="Arial"/>
          <w:sz w:val="24"/>
          <w:szCs w:val="24"/>
        </w:rPr>
        <w:t>additional cost to perform those steps, must be paid for by the individual suppliers</w:t>
      </w:r>
      <w:r w:rsidR="00FE3EE7" w:rsidRPr="0005578F">
        <w:rPr>
          <w:rFonts w:ascii="Arial" w:hAnsi="Arial" w:cs="Arial"/>
          <w:sz w:val="24"/>
          <w:szCs w:val="24"/>
        </w:rPr>
        <w:t xml:space="preserve"> </w:t>
      </w:r>
      <w:r w:rsidRPr="0005578F">
        <w:rPr>
          <w:rFonts w:ascii="Arial" w:hAnsi="Arial" w:cs="Arial"/>
          <w:sz w:val="24"/>
          <w:szCs w:val="24"/>
        </w:rPr>
        <w:t>who cause the extra steps to be taken. Custome</w:t>
      </w:r>
      <w:r w:rsidR="00FE3EE7" w:rsidRPr="0005578F">
        <w:rPr>
          <w:rFonts w:ascii="Arial" w:hAnsi="Arial" w:cs="Arial"/>
          <w:sz w:val="24"/>
          <w:szCs w:val="24"/>
        </w:rPr>
        <w:t xml:space="preserve">rs do not cause those costs and </w:t>
      </w:r>
      <w:r w:rsidRPr="0005578F">
        <w:rPr>
          <w:rFonts w:ascii="Arial" w:hAnsi="Arial" w:cs="Arial"/>
          <w:sz w:val="24"/>
          <w:szCs w:val="24"/>
        </w:rPr>
        <w:t>should not be required to pay those costs.</w:t>
      </w:r>
      <w:r w:rsidR="00025E6B">
        <w:rPr>
          <w:rStyle w:val="FootnoteReference"/>
          <w:rFonts w:ascii="Arial" w:hAnsi="Arial" w:cs="Arial"/>
          <w:sz w:val="24"/>
          <w:szCs w:val="24"/>
        </w:rPr>
        <w:footnoteReference w:id="3"/>
      </w:r>
    </w:p>
    <w:p w14:paraId="2D70B543" w14:textId="77777777" w:rsidR="0005578F" w:rsidRPr="0005578F" w:rsidRDefault="0005578F" w:rsidP="00025E6B">
      <w:pPr>
        <w:pStyle w:val="ListParagraph"/>
        <w:spacing w:after="120" w:line="240" w:lineRule="auto"/>
        <w:ind w:left="1440" w:right="720"/>
        <w:jc w:val="both"/>
        <w:rPr>
          <w:rFonts w:ascii="Arial" w:hAnsi="Arial" w:cs="Arial"/>
          <w:sz w:val="24"/>
          <w:szCs w:val="24"/>
        </w:rPr>
      </w:pPr>
    </w:p>
    <w:p w14:paraId="3702219A" w14:textId="260E162D" w:rsidR="000E5F86" w:rsidRPr="00025E6B" w:rsidRDefault="0005578F" w:rsidP="00025E6B">
      <w:pPr>
        <w:pStyle w:val="ListParagraph"/>
        <w:numPr>
          <w:ilvl w:val="0"/>
          <w:numId w:val="14"/>
        </w:numPr>
        <w:spacing w:after="120" w:line="240" w:lineRule="auto"/>
        <w:ind w:left="1440" w:right="720"/>
        <w:jc w:val="both"/>
        <w:rPr>
          <w:rFonts w:ascii="Arial" w:hAnsi="Arial" w:cs="Arial"/>
          <w:sz w:val="24"/>
          <w:szCs w:val="24"/>
        </w:rPr>
      </w:pPr>
      <w:r>
        <w:rPr>
          <w:rFonts w:ascii="Arial" w:hAnsi="Arial" w:cs="Arial"/>
          <w:sz w:val="24"/>
          <w:szCs w:val="24"/>
        </w:rPr>
        <w:t>R</w:t>
      </w:r>
      <w:r w:rsidR="005E5B7C" w:rsidRPr="0005578F">
        <w:rPr>
          <w:rFonts w:ascii="Arial" w:hAnsi="Arial" w:cs="Arial"/>
          <w:sz w:val="24"/>
          <w:szCs w:val="24"/>
        </w:rPr>
        <w:t>equiring marketers to pay the costs of obtaining the data they need does</w:t>
      </w:r>
      <w:r w:rsidR="00FE3EE7" w:rsidRPr="0005578F">
        <w:rPr>
          <w:rFonts w:ascii="Arial" w:hAnsi="Arial" w:cs="Arial"/>
          <w:sz w:val="24"/>
          <w:szCs w:val="24"/>
        </w:rPr>
        <w:t xml:space="preserve"> </w:t>
      </w:r>
      <w:r w:rsidR="005E5B7C" w:rsidRPr="0005578F">
        <w:rPr>
          <w:rFonts w:ascii="Arial" w:hAnsi="Arial" w:cs="Arial"/>
          <w:sz w:val="24"/>
          <w:szCs w:val="24"/>
        </w:rPr>
        <w:t>not automatically mean the costs will be pass</w:t>
      </w:r>
      <w:r w:rsidR="00FE3EE7" w:rsidRPr="0005578F">
        <w:rPr>
          <w:rFonts w:ascii="Arial" w:hAnsi="Arial" w:cs="Arial"/>
          <w:sz w:val="24"/>
          <w:szCs w:val="24"/>
        </w:rPr>
        <w:t xml:space="preserve">ed through to customers. Once a </w:t>
      </w:r>
      <w:r w:rsidR="005E5B7C" w:rsidRPr="0005578F">
        <w:rPr>
          <w:rFonts w:ascii="Arial" w:hAnsi="Arial" w:cs="Arial"/>
          <w:sz w:val="24"/>
          <w:szCs w:val="24"/>
        </w:rPr>
        <w:t>cost becomes an element of a competitive offer,</w:t>
      </w:r>
      <w:r w:rsidR="00FE3EE7" w:rsidRPr="0005578F">
        <w:rPr>
          <w:rFonts w:ascii="Arial" w:hAnsi="Arial" w:cs="Arial"/>
          <w:sz w:val="24"/>
          <w:szCs w:val="24"/>
        </w:rPr>
        <w:t xml:space="preserve"> the marketer may well discount </w:t>
      </w:r>
      <w:r w:rsidR="005E5B7C" w:rsidRPr="0005578F">
        <w:rPr>
          <w:rFonts w:ascii="Arial" w:hAnsi="Arial" w:cs="Arial"/>
          <w:sz w:val="24"/>
          <w:szCs w:val="24"/>
        </w:rPr>
        <w:t xml:space="preserve">the cost in order to more </w:t>
      </w:r>
      <w:proofErr w:type="gramStart"/>
      <w:r w:rsidR="005E5B7C" w:rsidRPr="0005578F">
        <w:rPr>
          <w:rFonts w:ascii="Arial" w:hAnsi="Arial" w:cs="Arial"/>
          <w:sz w:val="24"/>
          <w:szCs w:val="24"/>
        </w:rPr>
        <w:t>effectively</w:t>
      </w:r>
      <w:proofErr w:type="gramEnd"/>
      <w:r w:rsidR="005E5B7C" w:rsidRPr="0005578F">
        <w:rPr>
          <w:rFonts w:ascii="Arial" w:hAnsi="Arial" w:cs="Arial"/>
          <w:sz w:val="24"/>
          <w:szCs w:val="24"/>
        </w:rPr>
        <w:t xml:space="preserve"> compete. Not </w:t>
      </w:r>
      <w:r w:rsidR="00FE3EE7" w:rsidRPr="0005578F">
        <w:rPr>
          <w:rFonts w:ascii="Arial" w:hAnsi="Arial" w:cs="Arial"/>
          <w:sz w:val="24"/>
          <w:szCs w:val="24"/>
        </w:rPr>
        <w:t xml:space="preserve">requiring marketers to shoulder </w:t>
      </w:r>
      <w:r w:rsidR="005E5B7C" w:rsidRPr="0005578F">
        <w:rPr>
          <w:rFonts w:ascii="Arial" w:hAnsi="Arial" w:cs="Arial"/>
          <w:sz w:val="24"/>
          <w:szCs w:val="24"/>
        </w:rPr>
        <w:t>the costs of obtaining the information they ne</w:t>
      </w:r>
      <w:r w:rsidR="00FE3EE7" w:rsidRPr="0005578F">
        <w:rPr>
          <w:rFonts w:ascii="Arial" w:hAnsi="Arial" w:cs="Arial"/>
          <w:sz w:val="24"/>
          <w:szCs w:val="24"/>
        </w:rPr>
        <w:t xml:space="preserve">ed to do business could erect a </w:t>
      </w:r>
      <w:r w:rsidR="005E5B7C" w:rsidRPr="0005578F">
        <w:rPr>
          <w:rFonts w:ascii="Arial" w:hAnsi="Arial" w:cs="Arial"/>
          <w:sz w:val="24"/>
          <w:szCs w:val="24"/>
        </w:rPr>
        <w:t>barrier to competition.</w:t>
      </w:r>
      <w:r w:rsidR="00025E6B">
        <w:rPr>
          <w:rStyle w:val="FootnoteReference"/>
          <w:rFonts w:ascii="Arial" w:hAnsi="Arial" w:cs="Arial"/>
          <w:sz w:val="24"/>
          <w:szCs w:val="24"/>
        </w:rPr>
        <w:footnoteReference w:id="4"/>
      </w:r>
    </w:p>
    <w:p w14:paraId="04E5DDF3" w14:textId="01805706" w:rsidR="00025E6B" w:rsidRDefault="000E5F86" w:rsidP="00025E6B">
      <w:pPr>
        <w:spacing w:after="120" w:line="480" w:lineRule="auto"/>
        <w:ind w:right="720"/>
        <w:jc w:val="both"/>
        <w:rPr>
          <w:rFonts w:ascii="Arial" w:hAnsi="Arial" w:cs="Arial"/>
          <w:sz w:val="24"/>
          <w:szCs w:val="24"/>
        </w:rPr>
      </w:pPr>
      <w:r>
        <w:rPr>
          <w:rFonts w:ascii="Arial" w:hAnsi="Arial" w:cs="Arial"/>
          <w:sz w:val="24"/>
          <w:szCs w:val="24"/>
        </w:rPr>
        <w:t>OPAE’s arguments should be rejected</w:t>
      </w:r>
      <w:r w:rsidR="00381CA8">
        <w:rPr>
          <w:rFonts w:ascii="Arial" w:hAnsi="Arial" w:cs="Arial"/>
          <w:sz w:val="24"/>
          <w:szCs w:val="24"/>
        </w:rPr>
        <w:t xml:space="preserve"> for multiple reasons</w:t>
      </w:r>
      <w:r>
        <w:rPr>
          <w:rFonts w:ascii="Arial" w:hAnsi="Arial" w:cs="Arial"/>
          <w:sz w:val="24"/>
          <w:szCs w:val="24"/>
        </w:rPr>
        <w:t>.</w:t>
      </w:r>
    </w:p>
    <w:p w14:paraId="545C1385" w14:textId="0F58F306" w:rsidR="000E5F86" w:rsidRDefault="000E5F86" w:rsidP="00025E6B">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First, Duke currently collects the cost of administ</w:t>
      </w:r>
      <w:r w:rsidR="001947F7">
        <w:rPr>
          <w:rFonts w:ascii="Arial" w:hAnsi="Arial" w:cs="Arial"/>
          <w:sz w:val="24"/>
          <w:szCs w:val="24"/>
        </w:rPr>
        <w:t xml:space="preserve">ering its own time-of-use rates </w:t>
      </w:r>
      <w:r>
        <w:rPr>
          <w:rFonts w:ascii="Arial" w:hAnsi="Arial" w:cs="Arial"/>
          <w:sz w:val="24"/>
          <w:szCs w:val="24"/>
        </w:rPr>
        <w:t xml:space="preserve">through distribution rates.  It would be unjust and unreasonable to charge CRES providers for interval data given that Duke collects all costs to offer its own time-of-use rates and </w:t>
      </w:r>
      <w:r w:rsidR="001947F7">
        <w:rPr>
          <w:rFonts w:ascii="Arial" w:hAnsi="Arial" w:cs="Arial"/>
          <w:sz w:val="24"/>
          <w:szCs w:val="24"/>
        </w:rPr>
        <w:t>smart</w:t>
      </w:r>
      <w:r>
        <w:rPr>
          <w:rFonts w:ascii="Arial" w:hAnsi="Arial" w:cs="Arial"/>
          <w:sz w:val="24"/>
          <w:szCs w:val="24"/>
        </w:rPr>
        <w:t xml:space="preserve"> meter enabled products through distribution rates.</w:t>
      </w:r>
    </w:p>
    <w:p w14:paraId="701B37BB" w14:textId="51009925" w:rsidR="000E5F86" w:rsidRDefault="000E5F86" w:rsidP="00025E6B">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t xml:space="preserve">Second, the </w:t>
      </w:r>
      <w:proofErr w:type="gramStart"/>
      <w:r>
        <w:rPr>
          <w:rFonts w:ascii="Arial" w:hAnsi="Arial" w:cs="Arial"/>
          <w:sz w:val="24"/>
          <w:szCs w:val="24"/>
        </w:rPr>
        <w:t xml:space="preserve">cost of </w:t>
      </w:r>
      <w:r w:rsidR="00381CA8">
        <w:rPr>
          <w:rFonts w:ascii="Arial" w:hAnsi="Arial" w:cs="Arial"/>
          <w:sz w:val="24"/>
          <w:szCs w:val="24"/>
        </w:rPr>
        <w:t xml:space="preserve">meter and </w:t>
      </w:r>
      <w:r>
        <w:rPr>
          <w:rFonts w:ascii="Arial" w:hAnsi="Arial" w:cs="Arial"/>
          <w:sz w:val="24"/>
          <w:szCs w:val="24"/>
        </w:rPr>
        <w:t>billing systems ha</w:t>
      </w:r>
      <w:r w:rsidR="00381CA8">
        <w:rPr>
          <w:rFonts w:ascii="Arial" w:hAnsi="Arial" w:cs="Arial"/>
          <w:sz w:val="24"/>
          <w:szCs w:val="24"/>
        </w:rPr>
        <w:t>ve</w:t>
      </w:r>
      <w:proofErr w:type="gramEnd"/>
      <w:r>
        <w:rPr>
          <w:rFonts w:ascii="Arial" w:hAnsi="Arial" w:cs="Arial"/>
          <w:sz w:val="24"/>
          <w:szCs w:val="24"/>
        </w:rPr>
        <w:t xml:space="preserve"> always been collected through distribution rates. Customers pay for smart meters because they are related to metering and billing, which are classified as a non-competitive distribution service under </w:t>
      </w:r>
      <w:r>
        <w:rPr>
          <w:rFonts w:ascii="Arial" w:hAnsi="Arial" w:cs="Arial"/>
          <w:sz w:val="24"/>
          <w:szCs w:val="24"/>
        </w:rPr>
        <w:lastRenderedPageBreak/>
        <w:t>Ohio law.</w:t>
      </w:r>
      <w:r w:rsidR="001947F7">
        <w:rPr>
          <w:rFonts w:ascii="Arial" w:hAnsi="Arial" w:cs="Arial"/>
          <w:sz w:val="24"/>
          <w:szCs w:val="24"/>
        </w:rPr>
        <w:t xml:space="preserve">  </w:t>
      </w:r>
      <w:proofErr w:type="gramStart"/>
      <w:r w:rsidR="001947F7">
        <w:rPr>
          <w:rFonts w:ascii="Arial" w:hAnsi="Arial" w:cs="Arial"/>
          <w:sz w:val="24"/>
          <w:szCs w:val="24"/>
        </w:rPr>
        <w:t>R.C. 4928.04.</w:t>
      </w:r>
      <w:proofErr w:type="gramEnd"/>
      <w:r>
        <w:rPr>
          <w:rFonts w:ascii="Arial" w:hAnsi="Arial" w:cs="Arial"/>
          <w:sz w:val="24"/>
          <w:szCs w:val="24"/>
        </w:rPr>
        <w:t xml:space="preserve">  Interval data is inextricably connected to this non-competitive service.</w:t>
      </w:r>
      <w:r w:rsidRPr="00E1640C">
        <w:rPr>
          <w:rFonts w:ascii="Arial" w:hAnsi="Arial" w:cs="Arial"/>
          <w:sz w:val="24"/>
          <w:szCs w:val="24"/>
        </w:rPr>
        <w:t xml:space="preserve"> </w:t>
      </w:r>
      <w:r>
        <w:rPr>
          <w:rFonts w:ascii="Arial" w:hAnsi="Arial" w:cs="Arial"/>
          <w:sz w:val="24"/>
          <w:szCs w:val="24"/>
        </w:rPr>
        <w:t xml:space="preserve"> As OPAE notes in its Comments, “[a]</w:t>
      </w:r>
      <w:proofErr w:type="spellStart"/>
      <w:r w:rsidRPr="00856078">
        <w:rPr>
          <w:rFonts w:ascii="Arial" w:hAnsi="Arial" w:cs="Arial"/>
          <w:sz w:val="24"/>
          <w:szCs w:val="24"/>
        </w:rPr>
        <w:t>ccess</w:t>
      </w:r>
      <w:proofErr w:type="spellEnd"/>
      <w:r w:rsidRPr="00856078">
        <w:rPr>
          <w:rFonts w:ascii="Arial" w:hAnsi="Arial" w:cs="Arial"/>
          <w:sz w:val="24"/>
          <w:szCs w:val="24"/>
        </w:rPr>
        <w:t xml:space="preserve"> to interval dat</w:t>
      </w:r>
      <w:r>
        <w:rPr>
          <w:rFonts w:ascii="Arial" w:hAnsi="Arial" w:cs="Arial"/>
          <w:sz w:val="24"/>
          <w:szCs w:val="24"/>
        </w:rPr>
        <w:t xml:space="preserve">a is necessary for customers to </w:t>
      </w:r>
      <w:r w:rsidRPr="00856078">
        <w:rPr>
          <w:rFonts w:ascii="Arial" w:hAnsi="Arial" w:cs="Arial"/>
          <w:sz w:val="24"/>
          <w:szCs w:val="24"/>
        </w:rPr>
        <w:t>have time-of-use products and services</w:t>
      </w:r>
      <w:r>
        <w:rPr>
          <w:rFonts w:ascii="Arial" w:hAnsi="Arial" w:cs="Arial"/>
          <w:sz w:val="24"/>
          <w:szCs w:val="24"/>
        </w:rPr>
        <w:t>.”</w:t>
      </w:r>
      <w:r w:rsidR="001947F7">
        <w:rPr>
          <w:rStyle w:val="FootnoteReference"/>
          <w:rFonts w:ascii="Arial" w:hAnsi="Arial" w:cs="Arial"/>
          <w:sz w:val="24"/>
          <w:szCs w:val="24"/>
        </w:rPr>
        <w:footnoteReference w:id="5"/>
      </w:r>
      <w:r>
        <w:rPr>
          <w:rFonts w:ascii="Arial" w:hAnsi="Arial" w:cs="Arial"/>
          <w:sz w:val="24"/>
          <w:szCs w:val="24"/>
        </w:rPr>
        <w:t xml:space="preserve">  Duke is the only party that can </w:t>
      </w:r>
      <w:r w:rsidR="00381CA8">
        <w:rPr>
          <w:rFonts w:ascii="Arial" w:hAnsi="Arial" w:cs="Arial"/>
          <w:sz w:val="24"/>
          <w:szCs w:val="24"/>
        </w:rPr>
        <w:t>meter data and</w:t>
      </w:r>
      <w:r>
        <w:rPr>
          <w:rFonts w:ascii="Arial" w:hAnsi="Arial" w:cs="Arial"/>
          <w:sz w:val="24"/>
          <w:szCs w:val="24"/>
        </w:rPr>
        <w:t xml:space="preserve"> bill for this service; thus, </w:t>
      </w:r>
      <w:r w:rsidR="00381CA8">
        <w:rPr>
          <w:rFonts w:ascii="Arial" w:hAnsi="Arial" w:cs="Arial"/>
          <w:sz w:val="24"/>
          <w:szCs w:val="24"/>
        </w:rPr>
        <w:t xml:space="preserve">these services are </w:t>
      </w:r>
      <w:r>
        <w:rPr>
          <w:rFonts w:ascii="Arial" w:hAnsi="Arial" w:cs="Arial"/>
          <w:sz w:val="24"/>
          <w:szCs w:val="24"/>
        </w:rPr>
        <w:t>non-competitive until such time as the Commission deems otherwise under R.C. 4928.04.</w:t>
      </w:r>
      <w:r>
        <w:rPr>
          <w:rStyle w:val="FootnoteReference"/>
          <w:rFonts w:ascii="Arial" w:hAnsi="Arial" w:cs="Arial"/>
          <w:sz w:val="24"/>
          <w:szCs w:val="24"/>
        </w:rPr>
        <w:footnoteReference w:id="6"/>
      </w:r>
      <w:r>
        <w:rPr>
          <w:rFonts w:ascii="Arial" w:hAnsi="Arial" w:cs="Arial"/>
          <w:sz w:val="24"/>
          <w:szCs w:val="24"/>
        </w:rPr>
        <w:t xml:space="preserve">  </w:t>
      </w:r>
    </w:p>
    <w:p w14:paraId="2C42E1C1" w14:textId="7C65D808" w:rsidR="00FE3EE7" w:rsidRDefault="000E5F86" w:rsidP="00025E6B">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t xml:space="preserve">Third, </w:t>
      </w:r>
      <w:r w:rsidR="00A84106">
        <w:rPr>
          <w:rFonts w:ascii="Arial" w:hAnsi="Arial" w:cs="Arial"/>
          <w:sz w:val="24"/>
          <w:szCs w:val="24"/>
        </w:rPr>
        <w:t>OPAE’s proposal appears to be contrary Ohio law, which favors recovery of smart grid-related costs through distribution rates.  R.C. 4928.143(</w:t>
      </w:r>
      <w:r w:rsidR="00025E6B">
        <w:rPr>
          <w:rFonts w:ascii="Arial" w:hAnsi="Arial" w:cs="Arial"/>
          <w:sz w:val="24"/>
          <w:szCs w:val="24"/>
        </w:rPr>
        <w:t>I</w:t>
      </w:r>
      <w:r w:rsidR="00A84106">
        <w:rPr>
          <w:rFonts w:ascii="Arial" w:hAnsi="Arial" w:cs="Arial"/>
          <w:sz w:val="24"/>
          <w:szCs w:val="24"/>
        </w:rPr>
        <w:t>) provides that an Electric Security Plan may include “[p]</w:t>
      </w:r>
      <w:proofErr w:type="spellStart"/>
      <w:r w:rsidR="00A84106" w:rsidRPr="00A84106">
        <w:rPr>
          <w:rFonts w:ascii="Arial" w:hAnsi="Arial" w:cs="Arial"/>
          <w:sz w:val="24"/>
          <w:szCs w:val="24"/>
        </w:rPr>
        <w:t>rovisions</w:t>
      </w:r>
      <w:proofErr w:type="spellEnd"/>
      <w:r w:rsidR="00A84106" w:rsidRPr="00A84106">
        <w:rPr>
          <w:rFonts w:ascii="Arial" w:hAnsi="Arial" w:cs="Arial"/>
          <w:sz w:val="24"/>
          <w:szCs w:val="24"/>
        </w:rPr>
        <w:t xml:space="preserve"> under which the electric distribution utility may implement economic development, job retention, and </w:t>
      </w:r>
      <w:r w:rsidR="00A84106" w:rsidRPr="00A84106">
        <w:rPr>
          <w:rFonts w:ascii="Arial" w:hAnsi="Arial" w:cs="Arial"/>
          <w:b/>
          <w:i/>
          <w:sz w:val="24"/>
          <w:szCs w:val="24"/>
        </w:rPr>
        <w:t>energy efficiency programs</w:t>
      </w:r>
      <w:r w:rsidR="00A84106" w:rsidRPr="00A84106">
        <w:rPr>
          <w:rFonts w:ascii="Arial" w:hAnsi="Arial" w:cs="Arial"/>
          <w:sz w:val="24"/>
          <w:szCs w:val="24"/>
        </w:rPr>
        <w:t xml:space="preserve">, </w:t>
      </w:r>
      <w:r w:rsidR="00A84106" w:rsidRPr="00A84106">
        <w:rPr>
          <w:rFonts w:ascii="Arial" w:hAnsi="Arial" w:cs="Arial"/>
          <w:b/>
          <w:i/>
          <w:sz w:val="24"/>
          <w:szCs w:val="24"/>
        </w:rPr>
        <w:t>which provisions may allocate program costs across all classes of customers of the utility</w:t>
      </w:r>
      <w:r w:rsidR="00A84106" w:rsidRPr="00A84106">
        <w:rPr>
          <w:rFonts w:ascii="Arial" w:hAnsi="Arial" w:cs="Arial"/>
          <w:sz w:val="24"/>
          <w:szCs w:val="24"/>
        </w:rPr>
        <w:t xml:space="preserve"> and those of electric distribution utilities in the same holding company system.</w:t>
      </w:r>
      <w:r w:rsidR="00A84106">
        <w:rPr>
          <w:rFonts w:ascii="Arial" w:hAnsi="Arial" w:cs="Arial"/>
          <w:sz w:val="24"/>
          <w:szCs w:val="24"/>
        </w:rPr>
        <w:t>” (</w:t>
      </w:r>
      <w:proofErr w:type="gramStart"/>
      <w:r w:rsidR="00A84106">
        <w:rPr>
          <w:rFonts w:ascii="Arial" w:hAnsi="Arial" w:cs="Arial"/>
          <w:sz w:val="24"/>
          <w:szCs w:val="24"/>
        </w:rPr>
        <w:t>emphasis</w:t>
      </w:r>
      <w:proofErr w:type="gramEnd"/>
      <w:r w:rsidR="00A84106">
        <w:rPr>
          <w:rFonts w:ascii="Arial" w:hAnsi="Arial" w:cs="Arial"/>
          <w:sz w:val="24"/>
          <w:szCs w:val="24"/>
        </w:rPr>
        <w:t xml:space="preserve"> added). R.C. 4928.66 provides that energy efficiency programs may include “</w:t>
      </w:r>
      <w:r w:rsidR="00A84106" w:rsidRPr="00A84106">
        <w:rPr>
          <w:rFonts w:ascii="Arial" w:hAnsi="Arial" w:cs="Arial"/>
          <w:sz w:val="24"/>
          <w:szCs w:val="24"/>
        </w:rPr>
        <w:t>Smart grid investment programs</w:t>
      </w:r>
      <w:r w:rsidR="00A84106">
        <w:rPr>
          <w:rFonts w:ascii="Arial" w:hAnsi="Arial" w:cs="Arial"/>
          <w:sz w:val="24"/>
          <w:szCs w:val="24"/>
        </w:rPr>
        <w:t>.”  Thus, Ohio law appears to</w:t>
      </w:r>
      <w:r w:rsidR="001B125D">
        <w:rPr>
          <w:rFonts w:ascii="Arial" w:hAnsi="Arial" w:cs="Arial"/>
          <w:sz w:val="24"/>
          <w:szCs w:val="24"/>
        </w:rPr>
        <w:t xml:space="preserve"> support recovery of costs related to transferring</w:t>
      </w:r>
      <w:r w:rsidR="00A84106">
        <w:rPr>
          <w:rFonts w:ascii="Arial" w:hAnsi="Arial" w:cs="Arial"/>
          <w:sz w:val="24"/>
          <w:szCs w:val="24"/>
        </w:rPr>
        <w:t xml:space="preserve"> interval data from smart meters through distribution rates.</w:t>
      </w:r>
      <w:r w:rsidR="00780FD0">
        <w:rPr>
          <w:rFonts w:ascii="Arial" w:hAnsi="Arial" w:cs="Arial"/>
          <w:sz w:val="24"/>
          <w:szCs w:val="24"/>
        </w:rPr>
        <w:t xml:space="preserve"> </w:t>
      </w:r>
    </w:p>
    <w:p w14:paraId="0E2101E3" w14:textId="0E798B83" w:rsidR="00E1640C" w:rsidRDefault="00FE538F" w:rsidP="00025E6B">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Finally</w:t>
      </w:r>
      <w:r w:rsidR="00E1640C">
        <w:rPr>
          <w:rFonts w:ascii="Arial" w:hAnsi="Arial" w:cs="Arial"/>
          <w:sz w:val="24"/>
          <w:szCs w:val="24"/>
        </w:rPr>
        <w:t>,</w:t>
      </w:r>
      <w:r w:rsidR="00381CA8">
        <w:rPr>
          <w:rFonts w:ascii="Arial" w:hAnsi="Arial" w:cs="Arial"/>
          <w:sz w:val="24"/>
          <w:szCs w:val="24"/>
        </w:rPr>
        <w:t xml:space="preserve"> charging CRES providers for interval data will only create additional barriers to offering time-of-use products and ultimately result in fewer time-of use offerings to customers.</w:t>
      </w:r>
      <w:r w:rsidR="00E1640C">
        <w:rPr>
          <w:rFonts w:ascii="Arial" w:hAnsi="Arial" w:cs="Arial"/>
          <w:sz w:val="24"/>
          <w:szCs w:val="24"/>
        </w:rPr>
        <w:t xml:space="preserve"> OPAE </w:t>
      </w:r>
      <w:r w:rsidR="00025E6B">
        <w:rPr>
          <w:rFonts w:ascii="Arial" w:hAnsi="Arial" w:cs="Arial"/>
          <w:sz w:val="24"/>
          <w:szCs w:val="24"/>
        </w:rPr>
        <w:t>merely</w:t>
      </w:r>
      <w:r w:rsidR="00E1640C">
        <w:rPr>
          <w:rFonts w:ascii="Arial" w:hAnsi="Arial" w:cs="Arial"/>
          <w:sz w:val="24"/>
          <w:szCs w:val="24"/>
        </w:rPr>
        <w:t xml:space="preserve"> assumes</w:t>
      </w:r>
      <w:r w:rsidR="00025E6B">
        <w:rPr>
          <w:rFonts w:ascii="Arial" w:hAnsi="Arial" w:cs="Arial"/>
          <w:sz w:val="24"/>
          <w:szCs w:val="24"/>
        </w:rPr>
        <w:t xml:space="preserve"> without record evidence</w:t>
      </w:r>
      <w:r w:rsidR="00E1640C">
        <w:rPr>
          <w:rFonts w:ascii="Arial" w:hAnsi="Arial" w:cs="Arial"/>
          <w:sz w:val="24"/>
          <w:szCs w:val="24"/>
        </w:rPr>
        <w:t xml:space="preserve"> that CRES provi</w:t>
      </w:r>
      <w:r w:rsidR="001B125D">
        <w:rPr>
          <w:rFonts w:ascii="Arial" w:hAnsi="Arial" w:cs="Arial"/>
          <w:sz w:val="24"/>
          <w:szCs w:val="24"/>
        </w:rPr>
        <w:t>d</w:t>
      </w:r>
      <w:r w:rsidR="00E1640C">
        <w:rPr>
          <w:rFonts w:ascii="Arial" w:hAnsi="Arial" w:cs="Arial"/>
          <w:sz w:val="24"/>
          <w:szCs w:val="24"/>
        </w:rPr>
        <w:t>ers will not</w:t>
      </w:r>
      <w:r w:rsidR="00025E6B">
        <w:rPr>
          <w:rFonts w:ascii="Arial" w:hAnsi="Arial" w:cs="Arial"/>
          <w:sz w:val="24"/>
          <w:szCs w:val="24"/>
        </w:rPr>
        <w:t xml:space="preserve"> be forced to</w:t>
      </w:r>
      <w:r w:rsidR="00E1640C">
        <w:rPr>
          <w:rFonts w:ascii="Arial" w:hAnsi="Arial" w:cs="Arial"/>
          <w:sz w:val="24"/>
          <w:szCs w:val="24"/>
        </w:rPr>
        <w:t xml:space="preserve"> pass along </w:t>
      </w:r>
      <w:r w:rsidR="001B125D">
        <w:rPr>
          <w:rFonts w:ascii="Arial" w:hAnsi="Arial" w:cs="Arial"/>
          <w:sz w:val="24"/>
          <w:szCs w:val="24"/>
        </w:rPr>
        <w:t>additional costs to customers.</w:t>
      </w:r>
      <w:r w:rsidR="00381CA8">
        <w:rPr>
          <w:rFonts w:ascii="Arial" w:hAnsi="Arial" w:cs="Arial"/>
          <w:sz w:val="24"/>
          <w:szCs w:val="24"/>
        </w:rPr>
        <w:t xml:space="preserve"> </w:t>
      </w:r>
      <w:r w:rsidR="00025E6B">
        <w:rPr>
          <w:rFonts w:ascii="Arial" w:hAnsi="Arial" w:cs="Arial"/>
          <w:sz w:val="24"/>
          <w:szCs w:val="24"/>
        </w:rPr>
        <w:t xml:space="preserve">  In fact,</w:t>
      </w:r>
      <w:r w:rsidR="00780FD0">
        <w:rPr>
          <w:rFonts w:ascii="Arial" w:hAnsi="Arial" w:cs="Arial"/>
          <w:sz w:val="24"/>
          <w:szCs w:val="24"/>
        </w:rPr>
        <w:t xml:space="preserve"> </w:t>
      </w:r>
      <w:r w:rsidR="00E1640C">
        <w:rPr>
          <w:rFonts w:ascii="Arial" w:hAnsi="Arial" w:cs="Arial"/>
          <w:sz w:val="24"/>
          <w:szCs w:val="24"/>
        </w:rPr>
        <w:t xml:space="preserve">OPAE’s proposal would </w:t>
      </w:r>
      <w:r w:rsidR="00025E6B">
        <w:rPr>
          <w:rFonts w:ascii="Arial" w:hAnsi="Arial" w:cs="Arial"/>
          <w:sz w:val="24"/>
          <w:szCs w:val="24"/>
        </w:rPr>
        <w:t>impose additional costs onto customers</w:t>
      </w:r>
      <w:r w:rsidR="001B125D">
        <w:rPr>
          <w:rFonts w:ascii="Arial" w:hAnsi="Arial" w:cs="Arial"/>
          <w:sz w:val="24"/>
          <w:szCs w:val="24"/>
        </w:rPr>
        <w:t xml:space="preserve"> and suppliers to the detriment</w:t>
      </w:r>
      <w:r w:rsidR="00025E6B">
        <w:rPr>
          <w:rFonts w:ascii="Arial" w:hAnsi="Arial" w:cs="Arial"/>
          <w:sz w:val="24"/>
          <w:szCs w:val="24"/>
        </w:rPr>
        <w:t xml:space="preserve"> of a</w:t>
      </w:r>
      <w:r w:rsidR="00E1640C">
        <w:rPr>
          <w:rFonts w:ascii="Arial" w:hAnsi="Arial" w:cs="Arial"/>
          <w:sz w:val="24"/>
          <w:szCs w:val="24"/>
        </w:rPr>
        <w:t>n already trou</w:t>
      </w:r>
      <w:r w:rsidR="00780FD0">
        <w:rPr>
          <w:rFonts w:ascii="Arial" w:hAnsi="Arial" w:cs="Arial"/>
          <w:sz w:val="24"/>
          <w:szCs w:val="24"/>
        </w:rPr>
        <w:t>bled, fledgling market</w:t>
      </w:r>
      <w:r w:rsidR="00025E6B">
        <w:rPr>
          <w:rFonts w:ascii="Arial" w:hAnsi="Arial" w:cs="Arial"/>
          <w:sz w:val="24"/>
          <w:szCs w:val="24"/>
        </w:rPr>
        <w:t>.  Thus,</w:t>
      </w:r>
      <w:r w:rsidR="00780FD0">
        <w:rPr>
          <w:rFonts w:ascii="Arial" w:hAnsi="Arial" w:cs="Arial"/>
          <w:sz w:val="24"/>
          <w:szCs w:val="24"/>
        </w:rPr>
        <w:t xml:space="preserve"> the Commission should reject it</w:t>
      </w:r>
      <w:r w:rsidR="00E1640C">
        <w:rPr>
          <w:rFonts w:ascii="Arial" w:hAnsi="Arial" w:cs="Arial"/>
          <w:sz w:val="24"/>
          <w:szCs w:val="24"/>
        </w:rPr>
        <w:t>.</w:t>
      </w:r>
    </w:p>
    <w:p w14:paraId="15D16B34" w14:textId="76E98920" w:rsidR="001947F7" w:rsidRDefault="001947F7" w:rsidP="001947F7">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Accordingly,</w:t>
      </w:r>
      <w:r>
        <w:rPr>
          <w:rFonts w:ascii="Arial" w:eastAsia="Calibri" w:hAnsi="Arial" w:cs="Arial"/>
          <w:sz w:val="24"/>
          <w:szCs w:val="24"/>
        </w:rPr>
        <w:t xml:space="preserve"> </w:t>
      </w:r>
      <w:r>
        <w:rPr>
          <w:rFonts w:ascii="Arial" w:hAnsi="Arial" w:cs="Arial"/>
          <w:sz w:val="24"/>
          <w:szCs w:val="24"/>
        </w:rPr>
        <w:t>the Commission should adopt the recommendations discussed in IGS’s Comments and Reply Comments to ensure that customers have access to smart meter enabled products and services.</w:t>
      </w:r>
    </w:p>
    <w:p w14:paraId="07BCBA1A" w14:textId="6E3C2E84" w:rsidR="001947F7" w:rsidRDefault="001947F7" w:rsidP="001947F7">
      <w:pPr>
        <w:spacing w:after="0" w:line="240" w:lineRule="auto"/>
        <w:rPr>
          <w:rFonts w:ascii="Arial" w:eastAsia="Calibri" w:hAnsi="Arial" w:cs="Arial"/>
          <w:sz w:val="24"/>
          <w:szCs w:val="24"/>
        </w:rPr>
      </w:pPr>
    </w:p>
    <w:p w14:paraId="7176D2D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D1" w14:textId="77777777" w:rsidR="00545F29" w:rsidRDefault="00545F29">
      <w:pPr>
        <w:spacing w:after="0" w:line="240" w:lineRule="auto"/>
        <w:ind w:left="5040"/>
        <w:rPr>
          <w:rFonts w:ascii="Arial" w:eastAsia="Calibri" w:hAnsi="Arial" w:cs="Arial"/>
          <w:sz w:val="24"/>
          <w:szCs w:val="24"/>
        </w:rPr>
      </w:pPr>
    </w:p>
    <w:p w14:paraId="7176D2D3" w14:textId="77777777" w:rsidR="00545F29" w:rsidRDefault="00545F29" w:rsidP="00850567">
      <w:pPr>
        <w:spacing w:after="0" w:line="240" w:lineRule="auto"/>
        <w:rPr>
          <w:rFonts w:ascii="Arial" w:eastAsia="Calibri" w:hAnsi="Arial" w:cs="Arial"/>
          <w:sz w:val="24"/>
          <w:szCs w:val="24"/>
          <w:u w:val="single"/>
        </w:rPr>
      </w:pPr>
    </w:p>
    <w:p w14:paraId="7176D2D4" w14:textId="71202B1E" w:rsidR="00F10F9B" w:rsidRPr="00D223D6" w:rsidRDefault="00F5720A">
      <w:pPr>
        <w:spacing w:after="0" w:line="240" w:lineRule="auto"/>
        <w:ind w:left="5040"/>
        <w:rPr>
          <w:rFonts w:ascii="Arial" w:eastAsia="Arial" w:hAnsi="Arial" w:cs="Arial"/>
          <w:b/>
          <w:i/>
          <w:sz w:val="24"/>
          <w:szCs w:val="24"/>
          <w:u w:val="single"/>
        </w:rPr>
      </w:pPr>
      <w:r w:rsidRPr="00D223D6">
        <w:rPr>
          <w:rFonts w:ascii="Arial" w:eastAsia="Arial" w:hAnsi="Arial" w:cs="Arial"/>
          <w:b/>
          <w:i/>
          <w:sz w:val="24"/>
          <w:szCs w:val="24"/>
          <w:u w:val="single"/>
        </w:rPr>
        <w:t>/s/ Joseph Oliker</w:t>
      </w:r>
    </w:p>
    <w:p w14:paraId="0181F1A6" w14:textId="10887A4B" w:rsidR="00F5720A" w:rsidRPr="007B3399" w:rsidRDefault="00F5720A" w:rsidP="007B3399">
      <w:pPr>
        <w:spacing w:after="0" w:line="240" w:lineRule="auto"/>
        <w:ind w:left="5040"/>
        <w:rPr>
          <w:rFonts w:ascii="Arial" w:hAnsi="Arial" w:cs="Arial"/>
          <w:sz w:val="24"/>
          <w:szCs w:val="24"/>
        </w:rPr>
      </w:pPr>
      <w:r>
        <w:rPr>
          <w:rFonts w:ascii="Arial" w:eastAsia="Arial" w:hAnsi="Arial" w:cs="Arial"/>
          <w:sz w:val="24"/>
          <w:szCs w:val="24"/>
        </w:rPr>
        <w:t>Joseph Oliker</w:t>
      </w:r>
      <w:r w:rsidR="007B3399">
        <w:rPr>
          <w:rFonts w:ascii="Arial" w:eastAsia="Arial" w:hAnsi="Arial" w:cs="Arial"/>
          <w:sz w:val="24"/>
          <w:szCs w:val="24"/>
        </w:rPr>
        <w:t xml:space="preserve"> </w:t>
      </w:r>
    </w:p>
    <w:p w14:paraId="4878AB42" w14:textId="5D55136F" w:rsidR="00F5720A" w:rsidRDefault="00F5720A">
      <w:pPr>
        <w:spacing w:after="0" w:line="240" w:lineRule="auto"/>
        <w:ind w:left="5040"/>
        <w:rPr>
          <w:rFonts w:ascii="Arial" w:eastAsia="Calibri" w:hAnsi="Arial" w:cs="Arial"/>
          <w:sz w:val="24"/>
          <w:szCs w:val="24"/>
          <w:u w:val="single"/>
        </w:rPr>
      </w:pPr>
      <w:r>
        <w:rPr>
          <w:rFonts w:ascii="Arial" w:eastAsia="Arial" w:hAnsi="Arial" w:cs="Arial"/>
          <w:sz w:val="24"/>
          <w:szCs w:val="24"/>
        </w:rPr>
        <w:t xml:space="preserve">Counsel of Record </w:t>
      </w:r>
    </w:p>
    <w:p w14:paraId="7176D2D6" w14:textId="1BBE8363" w:rsidR="00545F29" w:rsidRDefault="00F5720A" w:rsidP="00F5720A">
      <w:pPr>
        <w:spacing w:after="0" w:line="240" w:lineRule="auto"/>
        <w:ind w:left="5040"/>
        <w:rPr>
          <w:rFonts w:ascii="Arial" w:hAnsi="Arial" w:cs="Arial"/>
          <w:sz w:val="24"/>
          <w:szCs w:val="24"/>
        </w:rPr>
      </w:pPr>
      <w:r>
        <w:rPr>
          <w:rFonts w:ascii="Arial" w:hAnsi="Arial" w:cs="Arial"/>
          <w:sz w:val="24"/>
          <w:szCs w:val="24"/>
        </w:rPr>
        <w:t>joliker</w:t>
      </w:r>
      <w:r w:rsidR="0056270F">
        <w:rPr>
          <w:rFonts w:ascii="Arial" w:hAnsi="Arial" w:cs="Arial"/>
          <w:sz w:val="24"/>
          <w:szCs w:val="24"/>
        </w:rPr>
        <w:t>@igsenergy.com</w:t>
      </w:r>
    </w:p>
    <w:p w14:paraId="7176D2DA" w14:textId="71124126" w:rsidR="00545F29" w:rsidRDefault="00AA75B4">
      <w:pPr>
        <w:spacing w:after="0" w:line="240" w:lineRule="auto"/>
        <w:ind w:left="5040"/>
        <w:rPr>
          <w:rFonts w:ascii="Arial" w:hAnsi="Arial" w:cs="Arial"/>
          <w:sz w:val="24"/>
          <w:szCs w:val="24"/>
        </w:rPr>
      </w:pPr>
      <w:r>
        <w:rPr>
          <w:rFonts w:ascii="Arial" w:hAnsi="Arial" w:cs="Arial"/>
          <w:sz w:val="24"/>
          <w:szCs w:val="24"/>
        </w:rPr>
        <w:t>IGS Energy</w:t>
      </w:r>
    </w:p>
    <w:p w14:paraId="7176D2DB" w14:textId="77777777" w:rsidR="00545F29" w:rsidRDefault="0056270F">
      <w:pPr>
        <w:spacing w:after="0" w:line="240" w:lineRule="auto"/>
        <w:ind w:left="5040"/>
        <w:rPr>
          <w:rFonts w:ascii="Arial" w:hAnsi="Arial" w:cs="Arial"/>
          <w:sz w:val="24"/>
          <w:szCs w:val="24"/>
        </w:rPr>
      </w:pPr>
      <w:r>
        <w:rPr>
          <w:rFonts w:ascii="Arial" w:hAnsi="Arial" w:cs="Arial"/>
          <w:sz w:val="24"/>
          <w:szCs w:val="24"/>
        </w:rPr>
        <w:t>6100 Emerald Parkway</w:t>
      </w:r>
    </w:p>
    <w:p w14:paraId="7176D2DC" w14:textId="77777777" w:rsidR="00545F29" w:rsidRDefault="0056270F">
      <w:pPr>
        <w:spacing w:after="0" w:line="240" w:lineRule="auto"/>
        <w:ind w:left="5040"/>
        <w:rPr>
          <w:rFonts w:ascii="Arial" w:hAnsi="Arial" w:cs="Arial"/>
          <w:sz w:val="24"/>
          <w:szCs w:val="24"/>
        </w:rPr>
      </w:pPr>
      <w:r>
        <w:rPr>
          <w:rFonts w:ascii="Arial" w:hAnsi="Arial" w:cs="Arial"/>
          <w:sz w:val="24"/>
          <w:szCs w:val="24"/>
        </w:rPr>
        <w:t>Dublin, Ohio 43016</w:t>
      </w:r>
    </w:p>
    <w:p w14:paraId="7176D2DD" w14:textId="77777777" w:rsidR="00545F29" w:rsidRDefault="0056270F">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7176D2DE" w14:textId="77777777" w:rsidR="00545F29" w:rsidRDefault="0056270F">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76D2DF" w14:textId="77777777" w:rsidR="00545F29" w:rsidRDefault="00545F29">
      <w:pPr>
        <w:spacing w:after="0" w:line="240" w:lineRule="auto"/>
        <w:ind w:left="5040"/>
        <w:rPr>
          <w:rFonts w:ascii="Arial" w:hAnsi="Arial" w:cs="Arial"/>
          <w:sz w:val="24"/>
          <w:szCs w:val="24"/>
        </w:rPr>
      </w:pPr>
    </w:p>
    <w:p w14:paraId="7176D2E1" w14:textId="48CD5939" w:rsidR="00545F29" w:rsidRPr="00237730" w:rsidRDefault="00553D21" w:rsidP="00237730">
      <w:pPr>
        <w:spacing w:after="0" w:line="240" w:lineRule="auto"/>
        <w:ind w:left="5040"/>
        <w:rPr>
          <w:rFonts w:ascii="Arial" w:hAnsi="Arial" w:cs="Arial"/>
          <w:b/>
          <w:i/>
          <w:sz w:val="24"/>
          <w:szCs w:val="24"/>
        </w:rPr>
      </w:pPr>
      <w:r>
        <w:rPr>
          <w:rFonts w:ascii="Arial" w:hAnsi="Arial" w:cs="Arial"/>
          <w:b/>
          <w:i/>
          <w:sz w:val="24"/>
          <w:szCs w:val="24"/>
        </w:rPr>
        <w:t>Attorney</w:t>
      </w:r>
      <w:r w:rsidR="00237730">
        <w:rPr>
          <w:rFonts w:ascii="Arial" w:hAnsi="Arial" w:cs="Arial"/>
          <w:b/>
          <w:i/>
          <w:sz w:val="24"/>
          <w:szCs w:val="24"/>
        </w:rPr>
        <w:t xml:space="preserve"> for IGS Energy</w:t>
      </w:r>
    </w:p>
    <w:p w14:paraId="5B995E50" w14:textId="6CDDC3AA" w:rsidR="003D01DA" w:rsidRDefault="003D01DA">
      <w:pPr>
        <w:rPr>
          <w:rFonts w:ascii="Arial" w:hAnsi="Arial" w:cs="Arial"/>
          <w:b/>
          <w:szCs w:val="24"/>
          <w:u w:val="single"/>
        </w:rPr>
      </w:pPr>
    </w:p>
    <w:p w14:paraId="5013AA4A" w14:textId="77777777" w:rsidR="00454C0E" w:rsidRDefault="00454C0E">
      <w:pPr>
        <w:rPr>
          <w:rFonts w:ascii="Arial" w:hAnsi="Arial" w:cs="Arial"/>
          <w:b/>
          <w:szCs w:val="24"/>
          <w:u w:val="single"/>
        </w:rPr>
      </w:pPr>
    </w:p>
    <w:p w14:paraId="1D78A8D5" w14:textId="77777777" w:rsidR="00454C0E" w:rsidRDefault="00454C0E">
      <w:pPr>
        <w:rPr>
          <w:rFonts w:ascii="Arial" w:hAnsi="Arial" w:cs="Arial"/>
          <w:b/>
          <w:szCs w:val="24"/>
          <w:u w:val="single"/>
        </w:rPr>
      </w:pPr>
    </w:p>
    <w:p w14:paraId="38F1C5F3" w14:textId="77777777" w:rsidR="00454C0E" w:rsidRDefault="00454C0E">
      <w:pPr>
        <w:rPr>
          <w:rFonts w:ascii="Arial" w:hAnsi="Arial" w:cs="Arial"/>
          <w:b/>
          <w:szCs w:val="24"/>
          <w:u w:val="single"/>
        </w:rPr>
      </w:pPr>
    </w:p>
    <w:p w14:paraId="3D457E22" w14:textId="77777777" w:rsidR="00025E6B" w:rsidRDefault="00025E6B" w:rsidP="00454C0E">
      <w:pPr>
        <w:rPr>
          <w:rFonts w:ascii="Arial" w:hAnsi="Arial" w:cs="Arial"/>
          <w:b/>
          <w:szCs w:val="24"/>
          <w:u w:val="single"/>
        </w:rPr>
      </w:pPr>
    </w:p>
    <w:p w14:paraId="67E9DB2F" w14:textId="77777777" w:rsidR="001B125D" w:rsidRPr="00454C0E" w:rsidRDefault="001B125D" w:rsidP="00454C0E">
      <w:pPr>
        <w:rPr>
          <w:rFonts w:ascii="Arial" w:hAnsi="Arial" w:cs="Arial"/>
          <w:b/>
          <w:szCs w:val="24"/>
          <w:u w:val="single"/>
        </w:rPr>
      </w:pP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4B5DB2F6" w:rsidR="00545F29" w:rsidRPr="009D71F6" w:rsidRDefault="0056270F" w:rsidP="00D223D6">
      <w:pPr>
        <w:spacing w:after="0" w:line="48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 xml:space="preserve">The undersigned hereby certifies that a copy of the foregoing </w:t>
      </w:r>
      <w:r w:rsidR="00FE538F">
        <w:rPr>
          <w:rFonts w:ascii="Arial" w:eastAsia="Calibri" w:hAnsi="Arial" w:cs="Arial"/>
          <w:i/>
          <w:sz w:val="24"/>
          <w:szCs w:val="24"/>
        </w:rPr>
        <w:t xml:space="preserve">Reply </w:t>
      </w:r>
      <w:r w:rsidR="00903512">
        <w:rPr>
          <w:rFonts w:ascii="Arial" w:eastAsia="Calibri" w:hAnsi="Arial" w:cs="Arial"/>
          <w:i/>
          <w:sz w:val="24"/>
          <w:szCs w:val="24"/>
        </w:rPr>
        <w:t xml:space="preserve">Comments </w:t>
      </w:r>
      <w:r w:rsidR="00AA75B4">
        <w:rPr>
          <w:rFonts w:ascii="Arial" w:eastAsia="Calibri" w:hAnsi="Arial" w:cs="Arial"/>
          <w:i/>
          <w:sz w:val="24"/>
          <w:szCs w:val="24"/>
        </w:rPr>
        <w:t>of IGS Energy</w:t>
      </w:r>
      <w:r w:rsidRPr="009D71F6">
        <w:rPr>
          <w:rFonts w:ascii="Arial" w:eastAsia="Calibri" w:hAnsi="Arial" w:cs="Arial"/>
          <w:i/>
          <w:sz w:val="24"/>
          <w:szCs w:val="24"/>
        </w:rPr>
        <w:t xml:space="preserve"> </w:t>
      </w:r>
      <w:r w:rsidRPr="009D71F6">
        <w:rPr>
          <w:rFonts w:ascii="Arial" w:eastAsia="Calibri" w:hAnsi="Arial" w:cs="Arial"/>
          <w:sz w:val="24"/>
          <w:szCs w:val="24"/>
        </w:rPr>
        <w:t xml:space="preserve">was served this </w:t>
      </w:r>
      <w:r w:rsidR="00FE538F">
        <w:rPr>
          <w:rFonts w:ascii="Arial" w:eastAsia="Calibri" w:hAnsi="Arial" w:cs="Arial"/>
          <w:sz w:val="24"/>
          <w:szCs w:val="24"/>
        </w:rPr>
        <w:t>27</w:t>
      </w:r>
      <w:r w:rsidR="00903512" w:rsidRPr="00903512">
        <w:rPr>
          <w:rFonts w:ascii="Arial" w:eastAsia="Calibri" w:hAnsi="Arial" w:cs="Arial"/>
          <w:sz w:val="24"/>
          <w:szCs w:val="24"/>
          <w:vertAlign w:val="superscript"/>
        </w:rPr>
        <w:t>th</w:t>
      </w:r>
      <w:r w:rsidR="00903512">
        <w:rPr>
          <w:rFonts w:ascii="Arial" w:eastAsia="Calibri" w:hAnsi="Arial" w:cs="Arial"/>
          <w:sz w:val="24"/>
          <w:szCs w:val="24"/>
        </w:rPr>
        <w:t xml:space="preserve"> day of March 2015</w:t>
      </w:r>
      <w:r w:rsidRPr="009D71F6">
        <w:rPr>
          <w:rFonts w:ascii="Arial" w:eastAsia="Calibri" w:hAnsi="Arial" w:cs="Arial"/>
          <w:sz w:val="24"/>
          <w:szCs w:val="24"/>
        </w:rPr>
        <w:t xml:space="preserve"> via electronic mail upon the following:</w:t>
      </w:r>
    </w:p>
    <w:p w14:paraId="7176D30D" w14:textId="77777777" w:rsidR="00545F29" w:rsidRPr="009D71F6" w:rsidRDefault="00545F29">
      <w:pPr>
        <w:spacing w:after="0" w:line="240" w:lineRule="auto"/>
        <w:jc w:val="both"/>
        <w:rPr>
          <w:rFonts w:ascii="Arial" w:eastAsia="Calibri" w:hAnsi="Arial" w:cs="Arial"/>
          <w:sz w:val="24"/>
          <w:szCs w:val="24"/>
        </w:rPr>
      </w:pPr>
    </w:p>
    <w:p w14:paraId="7176D30E" w14:textId="77777777" w:rsidR="00545F29" w:rsidRPr="009D71F6" w:rsidRDefault="00545F29">
      <w:pPr>
        <w:spacing w:after="0" w:line="240" w:lineRule="auto"/>
        <w:jc w:val="both"/>
        <w:rPr>
          <w:rFonts w:ascii="Arial" w:eastAsia="Arial" w:hAnsi="Arial" w:cs="Arial"/>
          <w:sz w:val="24"/>
          <w:szCs w:val="24"/>
        </w:rPr>
      </w:pPr>
    </w:p>
    <w:p w14:paraId="7176D30F" w14:textId="77777777" w:rsidR="00545F29" w:rsidRPr="009D71F6" w:rsidRDefault="00545F29">
      <w:pPr>
        <w:spacing w:after="0" w:line="240" w:lineRule="auto"/>
        <w:jc w:val="both"/>
        <w:rPr>
          <w:rFonts w:ascii="Arial" w:eastAsia="Arial" w:hAnsi="Arial" w:cs="Arial"/>
          <w:sz w:val="24"/>
          <w:szCs w:val="24"/>
        </w:rPr>
      </w:pPr>
    </w:p>
    <w:p w14:paraId="7176D310" w14:textId="46FCE781" w:rsidR="009D71F6" w:rsidRPr="009D71F6" w:rsidRDefault="009D71F6" w:rsidP="00237730">
      <w:pPr>
        <w:spacing w:after="0" w:line="240" w:lineRule="auto"/>
        <w:ind w:left="5040" w:firstLine="720"/>
        <w:rPr>
          <w:rFonts w:ascii="Arial" w:eastAsia="Calibri" w:hAnsi="Arial" w:cs="Arial"/>
          <w:sz w:val="24"/>
          <w:szCs w:val="24"/>
          <w:u w:val="single"/>
        </w:rPr>
      </w:pPr>
      <w:r w:rsidRPr="009D71F6">
        <w:rPr>
          <w:rFonts w:ascii="Arial" w:eastAsia="Arial" w:hAnsi="Arial" w:cs="Arial"/>
          <w:i/>
          <w:sz w:val="24"/>
          <w:szCs w:val="24"/>
          <w:u w:val="single"/>
        </w:rPr>
        <w:t xml:space="preserve">/s/ </w:t>
      </w:r>
      <w:r w:rsidR="00237730">
        <w:rPr>
          <w:rFonts w:ascii="Arial" w:eastAsia="Arial" w:hAnsi="Arial" w:cs="Arial"/>
          <w:i/>
          <w:sz w:val="24"/>
          <w:szCs w:val="24"/>
          <w:u w:val="single"/>
        </w:rPr>
        <w:t>Joseph Oliker_______</w:t>
      </w:r>
    </w:p>
    <w:p w14:paraId="7176D311" w14:textId="5306D116" w:rsidR="00FE2DE0" w:rsidRPr="009D71F6" w:rsidRDefault="00237730" w:rsidP="00237730">
      <w:pPr>
        <w:spacing w:after="0" w:line="240" w:lineRule="auto"/>
        <w:ind w:left="5040" w:firstLine="720"/>
        <w:rPr>
          <w:rFonts w:ascii="Arial" w:hAnsi="Arial" w:cs="Arial"/>
          <w:sz w:val="24"/>
          <w:szCs w:val="24"/>
        </w:rPr>
      </w:pPr>
      <w:r>
        <w:rPr>
          <w:rFonts w:ascii="Arial" w:hAnsi="Arial" w:cs="Arial"/>
          <w:sz w:val="24"/>
          <w:szCs w:val="24"/>
        </w:rPr>
        <w:t>Joseph Oliker</w:t>
      </w:r>
    </w:p>
    <w:p w14:paraId="6FCF01CA" w14:textId="77777777" w:rsidR="00B270B3" w:rsidRPr="00BB03FA" w:rsidRDefault="00B270B3" w:rsidP="00B270B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788"/>
        <w:gridCol w:w="4788"/>
      </w:tblGrid>
      <w:tr w:rsidR="00B270B3" w:rsidRPr="00BB03FA" w14:paraId="498F860B" w14:textId="77777777" w:rsidTr="00B270B3">
        <w:tc>
          <w:tcPr>
            <w:tcW w:w="4788" w:type="dxa"/>
          </w:tcPr>
          <w:p w14:paraId="5160DB03" w14:textId="777C5F44" w:rsidR="00BB03FA" w:rsidRPr="00BB03FA" w:rsidRDefault="00BB03FA" w:rsidP="00B270B3">
            <w:pPr>
              <w:rPr>
                <w:rFonts w:ascii="Arial" w:hAnsi="Arial" w:cs="Arial"/>
                <w:sz w:val="24"/>
                <w:szCs w:val="24"/>
              </w:rPr>
            </w:pPr>
            <w:r w:rsidRPr="00BB03FA">
              <w:rPr>
                <w:rFonts w:ascii="Arial" w:hAnsi="Arial" w:cs="Arial"/>
                <w:sz w:val="24"/>
                <w:szCs w:val="24"/>
              </w:rPr>
              <w:t xml:space="preserve">Amy B. Spiller </w:t>
            </w:r>
          </w:p>
          <w:p w14:paraId="226C414B" w14:textId="77777777" w:rsidR="00BB03FA" w:rsidRPr="00BB03FA" w:rsidRDefault="00BB03FA" w:rsidP="00B270B3">
            <w:pPr>
              <w:rPr>
                <w:rFonts w:ascii="Arial" w:hAnsi="Arial" w:cs="Arial"/>
                <w:sz w:val="24"/>
                <w:szCs w:val="24"/>
              </w:rPr>
            </w:pPr>
            <w:r w:rsidRPr="00BB03FA">
              <w:rPr>
                <w:rFonts w:ascii="Arial" w:hAnsi="Arial" w:cs="Arial"/>
                <w:sz w:val="24"/>
                <w:szCs w:val="24"/>
              </w:rPr>
              <w:t>Deputy General Counsel</w:t>
            </w:r>
          </w:p>
          <w:p w14:paraId="2E11B12A" w14:textId="06B8B820" w:rsidR="00BB03FA" w:rsidRPr="00BB03FA" w:rsidRDefault="00BB03FA" w:rsidP="00B270B3">
            <w:pPr>
              <w:rPr>
                <w:rFonts w:ascii="Arial" w:hAnsi="Arial" w:cs="Arial"/>
                <w:sz w:val="24"/>
                <w:szCs w:val="24"/>
              </w:rPr>
            </w:pPr>
            <w:r w:rsidRPr="00BB03FA">
              <w:rPr>
                <w:rFonts w:ascii="Arial" w:hAnsi="Arial" w:cs="Arial"/>
                <w:sz w:val="24"/>
                <w:szCs w:val="24"/>
              </w:rPr>
              <w:t>Elizabeth H. Watts</w:t>
            </w:r>
          </w:p>
          <w:p w14:paraId="795FA404" w14:textId="65243871" w:rsidR="00BB03FA" w:rsidRPr="00BB03FA" w:rsidRDefault="00BB03FA" w:rsidP="00B270B3">
            <w:pPr>
              <w:rPr>
                <w:rFonts w:ascii="Arial" w:hAnsi="Arial" w:cs="Arial"/>
                <w:sz w:val="24"/>
                <w:szCs w:val="24"/>
              </w:rPr>
            </w:pPr>
            <w:r w:rsidRPr="00BB03FA">
              <w:rPr>
                <w:rFonts w:ascii="Arial" w:hAnsi="Arial" w:cs="Arial"/>
                <w:sz w:val="24"/>
                <w:szCs w:val="24"/>
              </w:rPr>
              <w:t>Associate General Counsel</w:t>
            </w:r>
          </w:p>
          <w:p w14:paraId="0FF9A90D" w14:textId="77777777" w:rsidR="00BB03FA" w:rsidRPr="00BB03FA" w:rsidRDefault="00BB03FA" w:rsidP="00BB03FA">
            <w:pPr>
              <w:autoSpaceDE w:val="0"/>
              <w:autoSpaceDN w:val="0"/>
              <w:adjustRightInd w:val="0"/>
              <w:rPr>
                <w:rFonts w:ascii="Arial" w:hAnsi="Arial" w:cs="Arial"/>
                <w:sz w:val="24"/>
                <w:szCs w:val="24"/>
              </w:rPr>
            </w:pPr>
            <w:r w:rsidRPr="00BB03FA">
              <w:rPr>
                <w:rFonts w:ascii="Arial" w:hAnsi="Arial" w:cs="Arial"/>
                <w:sz w:val="24"/>
                <w:szCs w:val="24"/>
              </w:rPr>
              <w:t>Duke Energy Ohio, Inc.</w:t>
            </w:r>
          </w:p>
          <w:p w14:paraId="77D71336" w14:textId="1F93D3F3" w:rsidR="00BB03FA" w:rsidRDefault="00BB03FA" w:rsidP="00BB03FA">
            <w:pPr>
              <w:autoSpaceDE w:val="0"/>
              <w:autoSpaceDN w:val="0"/>
              <w:adjustRightInd w:val="0"/>
              <w:rPr>
                <w:rFonts w:ascii="Arial" w:hAnsi="Arial" w:cs="Arial"/>
                <w:sz w:val="24"/>
                <w:szCs w:val="24"/>
              </w:rPr>
            </w:pPr>
            <w:r w:rsidRPr="00BB03FA">
              <w:rPr>
                <w:rFonts w:ascii="Arial" w:hAnsi="Arial" w:cs="Arial"/>
                <w:sz w:val="24"/>
                <w:szCs w:val="24"/>
              </w:rPr>
              <w:t xml:space="preserve">139 </w:t>
            </w:r>
            <w:r w:rsidR="00A74926">
              <w:rPr>
                <w:rFonts w:ascii="Arial" w:hAnsi="Arial" w:cs="Arial"/>
                <w:sz w:val="24"/>
                <w:szCs w:val="24"/>
              </w:rPr>
              <w:t>East Fourth Street, 1303-</w:t>
            </w:r>
            <w:r w:rsidRPr="00BB03FA">
              <w:rPr>
                <w:rFonts w:ascii="Arial" w:hAnsi="Arial" w:cs="Arial"/>
                <w:sz w:val="24"/>
                <w:szCs w:val="24"/>
              </w:rPr>
              <w:t>Main</w:t>
            </w:r>
          </w:p>
          <w:p w14:paraId="4A552CD2" w14:textId="40A54D61" w:rsidR="00A74926" w:rsidRPr="00BB03FA" w:rsidRDefault="00A74926" w:rsidP="00BB03FA">
            <w:pPr>
              <w:autoSpaceDE w:val="0"/>
              <w:autoSpaceDN w:val="0"/>
              <w:adjustRightInd w:val="0"/>
              <w:rPr>
                <w:rFonts w:ascii="Arial" w:hAnsi="Arial" w:cs="Arial"/>
                <w:sz w:val="24"/>
                <w:szCs w:val="24"/>
              </w:rPr>
            </w:pPr>
            <w:r>
              <w:rPr>
                <w:rFonts w:ascii="Arial" w:hAnsi="Arial" w:cs="Arial"/>
                <w:sz w:val="24"/>
                <w:szCs w:val="24"/>
              </w:rPr>
              <w:t>P.O Box 960</w:t>
            </w:r>
          </w:p>
          <w:p w14:paraId="5ADB5856" w14:textId="758354B2" w:rsidR="00BB03FA" w:rsidRPr="00BB03FA" w:rsidRDefault="00BB03FA" w:rsidP="00B270B3">
            <w:pPr>
              <w:rPr>
                <w:rFonts w:ascii="Arial" w:hAnsi="Arial" w:cs="Arial"/>
                <w:sz w:val="24"/>
                <w:szCs w:val="24"/>
              </w:rPr>
            </w:pPr>
            <w:r w:rsidRPr="00BB03FA">
              <w:rPr>
                <w:rFonts w:ascii="Arial" w:hAnsi="Arial" w:cs="Arial"/>
                <w:sz w:val="24"/>
                <w:szCs w:val="24"/>
              </w:rPr>
              <w:t>Cincinnati, Ohio 452</w:t>
            </w:r>
            <w:r w:rsidR="00A74926">
              <w:rPr>
                <w:rFonts w:ascii="Arial" w:hAnsi="Arial" w:cs="Arial"/>
                <w:sz w:val="24"/>
                <w:szCs w:val="24"/>
              </w:rPr>
              <w:t>01</w:t>
            </w:r>
          </w:p>
          <w:p w14:paraId="62FC2F4F" w14:textId="5B5AFB24" w:rsidR="00B270B3" w:rsidRPr="00BB03FA" w:rsidRDefault="009E386A" w:rsidP="00B270B3">
            <w:pPr>
              <w:rPr>
                <w:rFonts w:ascii="Arial" w:hAnsi="Arial" w:cs="Arial"/>
                <w:sz w:val="24"/>
                <w:szCs w:val="24"/>
              </w:rPr>
            </w:pPr>
            <w:hyperlink r:id="rId9" w:history="1">
              <w:r w:rsidR="00B270B3" w:rsidRPr="00BB03FA">
                <w:rPr>
                  <w:rStyle w:val="Hyperlink"/>
                  <w:rFonts w:ascii="Arial" w:hAnsi="Arial" w:cs="Arial"/>
                  <w:color w:val="auto"/>
                  <w:sz w:val="24"/>
                  <w:szCs w:val="24"/>
                  <w:u w:val="none"/>
                </w:rPr>
                <w:t>Amy.Spiller@duke-energy.com</w:t>
              </w:r>
            </w:hyperlink>
          </w:p>
          <w:p w14:paraId="7FAFE182" w14:textId="77777777" w:rsidR="00B270B3" w:rsidRPr="00BB03FA" w:rsidRDefault="00B270B3" w:rsidP="00B270B3">
            <w:pPr>
              <w:rPr>
                <w:rFonts w:ascii="Arial" w:hAnsi="Arial" w:cs="Arial"/>
                <w:sz w:val="24"/>
                <w:szCs w:val="24"/>
              </w:rPr>
            </w:pPr>
            <w:r w:rsidRPr="00BB03FA">
              <w:rPr>
                <w:rFonts w:ascii="Arial" w:hAnsi="Arial" w:cs="Arial"/>
                <w:sz w:val="24"/>
                <w:szCs w:val="24"/>
              </w:rPr>
              <w:t>elizabeth.watts@duke-energy.com</w:t>
            </w:r>
          </w:p>
          <w:p w14:paraId="1B7A1EA5" w14:textId="77777777" w:rsidR="00B270B3" w:rsidRDefault="00B270B3" w:rsidP="000258F0">
            <w:pPr>
              <w:rPr>
                <w:rFonts w:ascii="Arial" w:hAnsi="Arial" w:cs="Arial"/>
                <w:sz w:val="24"/>
                <w:szCs w:val="24"/>
              </w:rPr>
            </w:pPr>
          </w:p>
          <w:p w14:paraId="5EB74029" w14:textId="77777777" w:rsidR="00454C0E" w:rsidRPr="00454C0E" w:rsidRDefault="00454C0E" w:rsidP="00454C0E">
            <w:pPr>
              <w:rPr>
                <w:rFonts w:ascii="Arial" w:hAnsi="Arial" w:cs="Arial"/>
                <w:sz w:val="24"/>
                <w:szCs w:val="24"/>
              </w:rPr>
            </w:pPr>
            <w:r w:rsidRPr="00454C0E">
              <w:rPr>
                <w:rFonts w:ascii="Arial" w:hAnsi="Arial" w:cs="Arial"/>
                <w:sz w:val="24"/>
                <w:szCs w:val="24"/>
              </w:rPr>
              <w:t>Joseph Clark</w:t>
            </w:r>
          </w:p>
          <w:p w14:paraId="372555BD" w14:textId="77777777" w:rsidR="00454C0E" w:rsidRPr="00454C0E" w:rsidRDefault="00454C0E" w:rsidP="00454C0E">
            <w:pPr>
              <w:rPr>
                <w:rFonts w:ascii="Arial" w:hAnsi="Arial" w:cs="Arial"/>
                <w:sz w:val="24"/>
                <w:szCs w:val="24"/>
              </w:rPr>
            </w:pPr>
            <w:r w:rsidRPr="00454C0E">
              <w:rPr>
                <w:rFonts w:ascii="Arial" w:hAnsi="Arial" w:cs="Arial"/>
                <w:sz w:val="24"/>
                <w:szCs w:val="24"/>
              </w:rPr>
              <w:t>Jennifer Spinosi</w:t>
            </w:r>
          </w:p>
          <w:p w14:paraId="2E56FC44" w14:textId="77777777" w:rsidR="00454C0E" w:rsidRPr="00454C0E" w:rsidRDefault="00454C0E" w:rsidP="00454C0E">
            <w:pPr>
              <w:rPr>
                <w:rFonts w:ascii="Arial" w:hAnsi="Arial" w:cs="Arial"/>
                <w:sz w:val="24"/>
                <w:szCs w:val="24"/>
              </w:rPr>
            </w:pPr>
            <w:r w:rsidRPr="00454C0E">
              <w:rPr>
                <w:rFonts w:ascii="Arial" w:hAnsi="Arial" w:cs="Arial"/>
                <w:sz w:val="24"/>
                <w:szCs w:val="24"/>
              </w:rPr>
              <w:t>Direct Energy Services</w:t>
            </w:r>
          </w:p>
          <w:p w14:paraId="5A1896EA" w14:textId="77777777" w:rsidR="00454C0E" w:rsidRPr="00454C0E" w:rsidRDefault="00454C0E" w:rsidP="00454C0E">
            <w:pPr>
              <w:rPr>
                <w:rFonts w:ascii="Arial" w:hAnsi="Arial" w:cs="Arial"/>
                <w:sz w:val="24"/>
                <w:szCs w:val="24"/>
              </w:rPr>
            </w:pPr>
            <w:r w:rsidRPr="00454C0E">
              <w:rPr>
                <w:rFonts w:ascii="Arial" w:hAnsi="Arial" w:cs="Arial"/>
                <w:sz w:val="24"/>
                <w:szCs w:val="24"/>
              </w:rPr>
              <w:t>21 East State Street, Suite 1950</w:t>
            </w:r>
          </w:p>
          <w:p w14:paraId="7C628385" w14:textId="77777777" w:rsidR="00454C0E" w:rsidRPr="00454C0E" w:rsidRDefault="00454C0E" w:rsidP="00454C0E">
            <w:pPr>
              <w:rPr>
                <w:rFonts w:ascii="Arial" w:hAnsi="Arial" w:cs="Arial"/>
                <w:sz w:val="24"/>
                <w:szCs w:val="24"/>
              </w:rPr>
            </w:pPr>
            <w:r w:rsidRPr="00454C0E">
              <w:rPr>
                <w:rFonts w:ascii="Arial" w:hAnsi="Arial" w:cs="Arial"/>
                <w:sz w:val="24"/>
                <w:szCs w:val="24"/>
              </w:rPr>
              <w:t>Columbus, OH  43215</w:t>
            </w:r>
          </w:p>
          <w:p w14:paraId="6A5C7076" w14:textId="77777777" w:rsidR="00454C0E" w:rsidRPr="00454C0E" w:rsidRDefault="00454C0E" w:rsidP="00454C0E">
            <w:pPr>
              <w:rPr>
                <w:rFonts w:ascii="Arial" w:hAnsi="Arial" w:cs="Arial"/>
                <w:sz w:val="24"/>
                <w:szCs w:val="24"/>
              </w:rPr>
            </w:pPr>
            <w:r w:rsidRPr="00454C0E">
              <w:rPr>
                <w:rFonts w:ascii="Arial" w:hAnsi="Arial" w:cs="Arial"/>
                <w:sz w:val="24"/>
                <w:szCs w:val="24"/>
              </w:rPr>
              <w:t>joseph.clark@directenergy.com</w:t>
            </w:r>
          </w:p>
          <w:p w14:paraId="0BA9736B" w14:textId="77535553" w:rsidR="00454C0E" w:rsidRPr="00BB03FA" w:rsidRDefault="00454C0E" w:rsidP="00454C0E">
            <w:pPr>
              <w:rPr>
                <w:rFonts w:ascii="Arial" w:hAnsi="Arial" w:cs="Arial"/>
                <w:sz w:val="24"/>
                <w:szCs w:val="24"/>
              </w:rPr>
            </w:pPr>
            <w:r w:rsidRPr="00454C0E">
              <w:rPr>
                <w:rFonts w:ascii="Arial" w:hAnsi="Arial" w:cs="Arial"/>
                <w:sz w:val="24"/>
                <w:szCs w:val="24"/>
              </w:rPr>
              <w:t>jennifer.lause@directenergy.com</w:t>
            </w:r>
          </w:p>
        </w:tc>
        <w:tc>
          <w:tcPr>
            <w:tcW w:w="4788" w:type="dxa"/>
          </w:tcPr>
          <w:p w14:paraId="549FBD77" w14:textId="0F3465C9" w:rsidR="00454C0E" w:rsidRDefault="00454C0E" w:rsidP="007816CB">
            <w:pPr>
              <w:rPr>
                <w:rFonts w:ascii="Arial" w:hAnsi="Arial" w:cs="Arial"/>
                <w:sz w:val="24"/>
                <w:szCs w:val="24"/>
              </w:rPr>
            </w:pPr>
            <w:r>
              <w:rPr>
                <w:rFonts w:ascii="Arial" w:hAnsi="Arial" w:cs="Arial"/>
                <w:sz w:val="24"/>
                <w:szCs w:val="24"/>
              </w:rPr>
              <w:t>Katie Johnson</w:t>
            </w:r>
          </w:p>
          <w:p w14:paraId="22906E9A" w14:textId="77777777" w:rsidR="007816CB" w:rsidRPr="007816CB" w:rsidRDefault="007816CB" w:rsidP="007816CB">
            <w:pPr>
              <w:rPr>
                <w:rFonts w:ascii="Arial" w:hAnsi="Arial" w:cs="Arial"/>
                <w:sz w:val="24"/>
                <w:szCs w:val="24"/>
              </w:rPr>
            </w:pPr>
            <w:r w:rsidRPr="007816CB">
              <w:rPr>
                <w:rFonts w:ascii="Arial" w:hAnsi="Arial" w:cs="Arial"/>
                <w:sz w:val="24"/>
                <w:szCs w:val="24"/>
              </w:rPr>
              <w:t>Public Utilities Section</w:t>
            </w:r>
          </w:p>
          <w:p w14:paraId="19EFD939" w14:textId="77777777" w:rsidR="007816CB" w:rsidRPr="007816CB" w:rsidRDefault="007816CB" w:rsidP="007816CB">
            <w:pPr>
              <w:rPr>
                <w:rFonts w:ascii="Arial" w:hAnsi="Arial" w:cs="Arial"/>
                <w:sz w:val="24"/>
                <w:szCs w:val="24"/>
              </w:rPr>
            </w:pPr>
            <w:r w:rsidRPr="007816CB">
              <w:rPr>
                <w:rFonts w:ascii="Arial" w:hAnsi="Arial" w:cs="Arial"/>
                <w:sz w:val="24"/>
                <w:szCs w:val="24"/>
              </w:rPr>
              <w:t>180 East Broad Street, 6th Floor</w:t>
            </w:r>
          </w:p>
          <w:p w14:paraId="3ECB8E12" w14:textId="56A9B309" w:rsidR="007816CB" w:rsidRPr="00BB03FA" w:rsidRDefault="00F611C0" w:rsidP="007816CB">
            <w:pPr>
              <w:rPr>
                <w:rFonts w:ascii="Arial" w:hAnsi="Arial" w:cs="Arial"/>
                <w:sz w:val="24"/>
                <w:szCs w:val="24"/>
              </w:rPr>
            </w:pPr>
            <w:r>
              <w:rPr>
                <w:rFonts w:ascii="Arial" w:hAnsi="Arial" w:cs="Arial"/>
                <w:sz w:val="24"/>
                <w:szCs w:val="24"/>
              </w:rPr>
              <w:t>Columbus, Ohio</w:t>
            </w:r>
            <w:r w:rsidR="007816CB" w:rsidRPr="007816CB">
              <w:rPr>
                <w:rFonts w:ascii="Arial" w:hAnsi="Arial" w:cs="Arial"/>
                <w:sz w:val="24"/>
                <w:szCs w:val="24"/>
              </w:rPr>
              <w:t xml:space="preserve"> 43215</w:t>
            </w:r>
          </w:p>
          <w:p w14:paraId="64031109" w14:textId="295D3077" w:rsidR="00454C0E" w:rsidRDefault="00454C0E">
            <w:pPr>
              <w:rPr>
                <w:rFonts w:ascii="Arial" w:hAnsi="Arial" w:cs="Arial"/>
                <w:sz w:val="24"/>
                <w:szCs w:val="24"/>
              </w:rPr>
            </w:pPr>
            <w:r w:rsidRPr="00454C0E">
              <w:rPr>
                <w:rFonts w:ascii="Arial" w:hAnsi="Arial" w:cs="Arial"/>
                <w:sz w:val="24"/>
                <w:szCs w:val="24"/>
              </w:rPr>
              <w:t>katie.johnson@puc.state.oh.us</w:t>
            </w:r>
          </w:p>
          <w:p w14:paraId="77192057" w14:textId="77777777" w:rsidR="00454C0E" w:rsidRDefault="00454C0E">
            <w:pPr>
              <w:rPr>
                <w:rFonts w:ascii="Arial" w:hAnsi="Arial" w:cs="Arial"/>
                <w:sz w:val="24"/>
                <w:szCs w:val="24"/>
              </w:rPr>
            </w:pPr>
          </w:p>
          <w:p w14:paraId="7B7A93C8" w14:textId="77777777" w:rsidR="00454C0E" w:rsidRPr="00454C0E" w:rsidRDefault="00454C0E" w:rsidP="00454C0E">
            <w:pPr>
              <w:rPr>
                <w:rFonts w:ascii="Arial" w:hAnsi="Arial" w:cs="Arial"/>
                <w:sz w:val="24"/>
                <w:szCs w:val="24"/>
              </w:rPr>
            </w:pPr>
            <w:r w:rsidRPr="00454C0E">
              <w:rPr>
                <w:rFonts w:ascii="Arial" w:hAnsi="Arial" w:cs="Arial"/>
                <w:sz w:val="24"/>
                <w:szCs w:val="24"/>
              </w:rPr>
              <w:t>Colleen L. Mooney</w:t>
            </w:r>
          </w:p>
          <w:p w14:paraId="288469C1" w14:textId="77777777" w:rsidR="00454C0E" w:rsidRPr="00454C0E" w:rsidRDefault="00454C0E" w:rsidP="00454C0E">
            <w:pPr>
              <w:rPr>
                <w:rFonts w:ascii="Arial" w:hAnsi="Arial" w:cs="Arial"/>
                <w:sz w:val="24"/>
                <w:szCs w:val="24"/>
              </w:rPr>
            </w:pPr>
            <w:r w:rsidRPr="00454C0E">
              <w:rPr>
                <w:rFonts w:ascii="Arial" w:hAnsi="Arial" w:cs="Arial"/>
                <w:sz w:val="24"/>
                <w:szCs w:val="24"/>
              </w:rPr>
              <w:t>Ohio Partners for Affordable Energy</w:t>
            </w:r>
          </w:p>
          <w:p w14:paraId="7AD9C6FC" w14:textId="77777777" w:rsidR="00454C0E" w:rsidRPr="00454C0E" w:rsidRDefault="00454C0E" w:rsidP="00454C0E">
            <w:pPr>
              <w:rPr>
                <w:rFonts w:ascii="Arial" w:hAnsi="Arial" w:cs="Arial"/>
                <w:sz w:val="24"/>
                <w:szCs w:val="24"/>
              </w:rPr>
            </w:pPr>
            <w:r w:rsidRPr="00454C0E">
              <w:rPr>
                <w:rFonts w:ascii="Arial" w:hAnsi="Arial" w:cs="Arial"/>
                <w:sz w:val="24"/>
                <w:szCs w:val="24"/>
              </w:rPr>
              <w:t>231 West Lima Street</w:t>
            </w:r>
          </w:p>
          <w:p w14:paraId="0FB3A264" w14:textId="77777777" w:rsidR="00454C0E" w:rsidRPr="00454C0E" w:rsidRDefault="00454C0E" w:rsidP="00454C0E">
            <w:pPr>
              <w:rPr>
                <w:rFonts w:ascii="Arial" w:hAnsi="Arial" w:cs="Arial"/>
                <w:sz w:val="24"/>
                <w:szCs w:val="24"/>
              </w:rPr>
            </w:pPr>
            <w:r w:rsidRPr="00454C0E">
              <w:rPr>
                <w:rFonts w:ascii="Arial" w:hAnsi="Arial" w:cs="Arial"/>
                <w:sz w:val="24"/>
                <w:szCs w:val="24"/>
              </w:rPr>
              <w:t>Findlay, OH  45839-1793</w:t>
            </w:r>
          </w:p>
          <w:p w14:paraId="270BCF17" w14:textId="77777777" w:rsidR="007816CB" w:rsidRDefault="00454C0E" w:rsidP="00454C0E">
            <w:pPr>
              <w:rPr>
                <w:rFonts w:ascii="Arial" w:hAnsi="Arial" w:cs="Arial"/>
                <w:sz w:val="24"/>
                <w:szCs w:val="24"/>
              </w:rPr>
            </w:pPr>
            <w:r w:rsidRPr="00454C0E">
              <w:rPr>
                <w:rFonts w:ascii="Arial" w:hAnsi="Arial" w:cs="Arial"/>
                <w:sz w:val="24"/>
                <w:szCs w:val="24"/>
              </w:rPr>
              <w:t>cmooney@ohiopartners.org</w:t>
            </w:r>
            <w:r>
              <w:rPr>
                <w:rFonts w:ascii="Arial" w:hAnsi="Arial" w:cs="Arial"/>
                <w:sz w:val="24"/>
                <w:szCs w:val="24"/>
              </w:rPr>
              <w:br/>
            </w:r>
          </w:p>
          <w:p w14:paraId="68E4847D" w14:textId="77777777" w:rsidR="00454C0E" w:rsidRPr="00454C0E" w:rsidRDefault="00454C0E" w:rsidP="00454C0E">
            <w:pPr>
              <w:rPr>
                <w:rFonts w:ascii="Arial" w:hAnsi="Arial" w:cs="Arial"/>
                <w:sz w:val="24"/>
                <w:szCs w:val="24"/>
              </w:rPr>
            </w:pPr>
            <w:r w:rsidRPr="00454C0E">
              <w:rPr>
                <w:rFonts w:ascii="Arial" w:hAnsi="Arial" w:cs="Arial"/>
                <w:sz w:val="24"/>
                <w:szCs w:val="24"/>
              </w:rPr>
              <w:t>M. Howard Petricoff</w:t>
            </w:r>
          </w:p>
          <w:p w14:paraId="21BB976A" w14:textId="77777777" w:rsidR="00454C0E" w:rsidRPr="00454C0E" w:rsidRDefault="00454C0E" w:rsidP="00454C0E">
            <w:pPr>
              <w:rPr>
                <w:rFonts w:ascii="Arial" w:hAnsi="Arial" w:cs="Arial"/>
                <w:sz w:val="24"/>
                <w:szCs w:val="24"/>
              </w:rPr>
            </w:pPr>
            <w:r w:rsidRPr="00454C0E">
              <w:rPr>
                <w:rFonts w:ascii="Arial" w:hAnsi="Arial" w:cs="Arial"/>
                <w:sz w:val="24"/>
                <w:szCs w:val="24"/>
              </w:rPr>
              <w:t>Michael J. Settineri</w:t>
            </w:r>
          </w:p>
          <w:p w14:paraId="34AC757B" w14:textId="77777777" w:rsidR="00454C0E" w:rsidRPr="00454C0E" w:rsidRDefault="00454C0E" w:rsidP="00454C0E">
            <w:pPr>
              <w:rPr>
                <w:rFonts w:ascii="Arial" w:hAnsi="Arial" w:cs="Arial"/>
                <w:sz w:val="24"/>
                <w:szCs w:val="24"/>
              </w:rPr>
            </w:pPr>
            <w:r w:rsidRPr="00454C0E">
              <w:rPr>
                <w:rFonts w:ascii="Arial" w:hAnsi="Arial" w:cs="Arial"/>
                <w:sz w:val="24"/>
                <w:szCs w:val="24"/>
              </w:rPr>
              <w:t>Gretchen L. Petrucci</w:t>
            </w:r>
          </w:p>
          <w:p w14:paraId="5723BD75" w14:textId="77777777" w:rsidR="00454C0E" w:rsidRPr="00454C0E" w:rsidRDefault="00454C0E" w:rsidP="00454C0E">
            <w:pPr>
              <w:rPr>
                <w:rFonts w:ascii="Arial" w:hAnsi="Arial" w:cs="Arial"/>
                <w:sz w:val="24"/>
                <w:szCs w:val="24"/>
              </w:rPr>
            </w:pPr>
            <w:proofErr w:type="spellStart"/>
            <w:r w:rsidRPr="00454C0E">
              <w:rPr>
                <w:rFonts w:ascii="Arial" w:hAnsi="Arial" w:cs="Arial"/>
                <w:sz w:val="24"/>
                <w:szCs w:val="24"/>
              </w:rPr>
              <w:t>Vorys</w:t>
            </w:r>
            <w:proofErr w:type="spellEnd"/>
            <w:r w:rsidRPr="00454C0E">
              <w:rPr>
                <w:rFonts w:ascii="Arial" w:hAnsi="Arial" w:cs="Arial"/>
                <w:sz w:val="24"/>
                <w:szCs w:val="24"/>
              </w:rPr>
              <w:t xml:space="preserve"> </w:t>
            </w:r>
            <w:proofErr w:type="spellStart"/>
            <w:r w:rsidRPr="00454C0E">
              <w:rPr>
                <w:rFonts w:ascii="Arial" w:hAnsi="Arial" w:cs="Arial"/>
                <w:sz w:val="24"/>
                <w:szCs w:val="24"/>
              </w:rPr>
              <w:t>Sater</w:t>
            </w:r>
            <w:proofErr w:type="spellEnd"/>
            <w:r w:rsidRPr="00454C0E">
              <w:rPr>
                <w:rFonts w:ascii="Arial" w:hAnsi="Arial" w:cs="Arial"/>
                <w:sz w:val="24"/>
                <w:szCs w:val="24"/>
              </w:rPr>
              <w:t xml:space="preserve"> Seymour &amp; Pease</w:t>
            </w:r>
          </w:p>
          <w:p w14:paraId="1128202D" w14:textId="77777777" w:rsidR="00454C0E" w:rsidRPr="00454C0E" w:rsidRDefault="00454C0E" w:rsidP="00454C0E">
            <w:pPr>
              <w:rPr>
                <w:rFonts w:ascii="Arial" w:hAnsi="Arial" w:cs="Arial"/>
                <w:sz w:val="24"/>
                <w:szCs w:val="24"/>
              </w:rPr>
            </w:pPr>
            <w:r w:rsidRPr="00454C0E">
              <w:rPr>
                <w:rFonts w:ascii="Arial" w:hAnsi="Arial" w:cs="Arial"/>
                <w:sz w:val="24"/>
                <w:szCs w:val="24"/>
              </w:rPr>
              <w:t>52 East Gay Street</w:t>
            </w:r>
          </w:p>
          <w:p w14:paraId="4B671CB0" w14:textId="77777777" w:rsidR="00454C0E" w:rsidRPr="00454C0E" w:rsidRDefault="00454C0E" w:rsidP="00454C0E">
            <w:pPr>
              <w:rPr>
                <w:rFonts w:ascii="Arial" w:hAnsi="Arial" w:cs="Arial"/>
                <w:sz w:val="24"/>
                <w:szCs w:val="24"/>
              </w:rPr>
            </w:pPr>
            <w:r w:rsidRPr="00454C0E">
              <w:rPr>
                <w:rFonts w:ascii="Arial" w:hAnsi="Arial" w:cs="Arial"/>
                <w:sz w:val="24"/>
                <w:szCs w:val="24"/>
              </w:rPr>
              <w:t>Columbus, OH  43216-1008</w:t>
            </w:r>
          </w:p>
          <w:p w14:paraId="4DC46A92" w14:textId="77777777" w:rsidR="00454C0E" w:rsidRPr="00454C0E" w:rsidRDefault="00454C0E" w:rsidP="00454C0E">
            <w:pPr>
              <w:rPr>
                <w:rFonts w:ascii="Arial" w:hAnsi="Arial" w:cs="Arial"/>
                <w:sz w:val="24"/>
                <w:szCs w:val="24"/>
              </w:rPr>
            </w:pPr>
            <w:r w:rsidRPr="00454C0E">
              <w:rPr>
                <w:rFonts w:ascii="Arial" w:hAnsi="Arial" w:cs="Arial"/>
                <w:sz w:val="24"/>
                <w:szCs w:val="24"/>
              </w:rPr>
              <w:t>mhpetricoff@vorys.com</w:t>
            </w:r>
          </w:p>
          <w:p w14:paraId="03394CB1" w14:textId="77777777" w:rsidR="00454C0E" w:rsidRPr="00454C0E" w:rsidRDefault="00454C0E" w:rsidP="00454C0E">
            <w:pPr>
              <w:rPr>
                <w:rFonts w:ascii="Arial" w:hAnsi="Arial" w:cs="Arial"/>
                <w:sz w:val="24"/>
                <w:szCs w:val="24"/>
              </w:rPr>
            </w:pPr>
            <w:r w:rsidRPr="00454C0E">
              <w:rPr>
                <w:rFonts w:ascii="Arial" w:hAnsi="Arial" w:cs="Arial"/>
                <w:sz w:val="24"/>
                <w:szCs w:val="24"/>
              </w:rPr>
              <w:t>mjsettineri@vorys.com</w:t>
            </w:r>
          </w:p>
          <w:p w14:paraId="7EBD91CE" w14:textId="483FDA1F" w:rsidR="00454C0E" w:rsidRPr="00BB03FA" w:rsidRDefault="00454C0E" w:rsidP="00454C0E">
            <w:pPr>
              <w:rPr>
                <w:rFonts w:ascii="Arial" w:hAnsi="Arial" w:cs="Arial"/>
                <w:sz w:val="24"/>
                <w:szCs w:val="24"/>
              </w:rPr>
            </w:pPr>
            <w:r w:rsidRPr="00454C0E">
              <w:rPr>
                <w:rFonts w:ascii="Arial" w:hAnsi="Arial" w:cs="Arial"/>
                <w:sz w:val="24"/>
                <w:szCs w:val="24"/>
              </w:rPr>
              <w:t>glpetrucci@vorys.com</w:t>
            </w:r>
          </w:p>
        </w:tc>
      </w:tr>
    </w:tbl>
    <w:p w14:paraId="7176D312" w14:textId="38B97BB5" w:rsidR="00545F29" w:rsidRPr="003A51CC" w:rsidRDefault="00545F29">
      <w:pPr>
        <w:spacing w:after="0" w:line="240" w:lineRule="auto"/>
        <w:rPr>
          <w:rFonts w:ascii="Arial" w:hAnsi="Arial" w:cs="Arial"/>
          <w:sz w:val="24"/>
          <w:szCs w:val="24"/>
        </w:rPr>
      </w:pPr>
    </w:p>
    <w:sectPr w:rsidR="00545F29" w:rsidRPr="003A51C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511B33" w15:done="0"/>
  <w15:commentEx w15:paraId="0E85C7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BFCE9" w14:textId="77777777" w:rsidR="009E386A" w:rsidRDefault="009E386A">
      <w:pPr>
        <w:spacing w:after="0" w:line="240" w:lineRule="auto"/>
      </w:pPr>
      <w:r>
        <w:separator/>
      </w:r>
    </w:p>
  </w:endnote>
  <w:endnote w:type="continuationSeparator" w:id="0">
    <w:p w14:paraId="2966D3E4" w14:textId="77777777" w:rsidR="009E386A" w:rsidRDefault="009E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EB00" w14:textId="77777777" w:rsidR="00AB1B3E" w:rsidRDefault="00AB1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860"/>
      <w:docPartObj>
        <w:docPartGallery w:val="Page Numbers (Bottom of Page)"/>
        <w:docPartUnique/>
      </w:docPartObj>
    </w:sdtPr>
    <w:sdtEndPr/>
    <w:sdtContent>
      <w:p w14:paraId="7176D32E" w14:textId="77777777" w:rsidR="0098338B" w:rsidRDefault="0098338B">
        <w:pPr>
          <w:pStyle w:val="Footer"/>
          <w:jc w:val="center"/>
        </w:pPr>
        <w:r>
          <w:fldChar w:fldCharType="begin"/>
        </w:r>
        <w:r>
          <w:instrText xml:space="preserve"> PAGE   \* MERGEFORMAT </w:instrText>
        </w:r>
        <w:r>
          <w:fldChar w:fldCharType="separate"/>
        </w:r>
        <w:r w:rsidR="00AB1B3E">
          <w:rPr>
            <w:noProof/>
          </w:rPr>
          <w:t>2</w:t>
        </w:r>
        <w:r>
          <w:rPr>
            <w:noProof/>
          </w:rPr>
          <w:fldChar w:fldCharType="end"/>
        </w:r>
      </w:p>
    </w:sdtContent>
  </w:sdt>
  <w:p w14:paraId="7176D32F" w14:textId="77777777" w:rsidR="0098338B" w:rsidRDefault="00983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06F3B" w14:textId="77777777" w:rsidR="00AB1B3E" w:rsidRDefault="00AB1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790A9" w14:textId="77777777" w:rsidR="009E386A" w:rsidRDefault="009E386A">
      <w:pPr>
        <w:spacing w:after="0" w:line="240" w:lineRule="auto"/>
      </w:pPr>
      <w:r>
        <w:separator/>
      </w:r>
    </w:p>
  </w:footnote>
  <w:footnote w:type="continuationSeparator" w:id="0">
    <w:p w14:paraId="1A6C8762" w14:textId="77777777" w:rsidR="009E386A" w:rsidRDefault="009E386A">
      <w:pPr>
        <w:spacing w:after="0" w:line="240" w:lineRule="auto"/>
      </w:pPr>
      <w:r>
        <w:continuationSeparator/>
      </w:r>
    </w:p>
  </w:footnote>
  <w:footnote w:id="1">
    <w:p w14:paraId="49439890" w14:textId="77777777" w:rsidR="0005578F" w:rsidRPr="00850567" w:rsidRDefault="0005578F" w:rsidP="0005578F">
      <w:pPr>
        <w:pStyle w:val="FootnoteText"/>
        <w:jc w:val="both"/>
        <w:rPr>
          <w:rFonts w:ascii="Arial" w:hAnsi="Arial" w:cs="Arial"/>
        </w:rPr>
      </w:pPr>
      <w:r>
        <w:rPr>
          <w:rStyle w:val="FootnoteReference"/>
        </w:rPr>
        <w:footnoteRef/>
      </w:r>
      <w:r>
        <w:t xml:space="preserve"> </w:t>
      </w:r>
      <w:proofErr w:type="gramStart"/>
      <w:r w:rsidRPr="005B1503">
        <w:rPr>
          <w:rFonts w:ascii="Arial" w:hAnsi="Arial" w:cs="Arial"/>
          <w:i/>
        </w:rPr>
        <w:t>In the Matter of the Commission’s Investigation of Ohio’s Retail Electric Service Market</w:t>
      </w:r>
      <w:r w:rsidRPr="005B1503">
        <w:rPr>
          <w:rFonts w:ascii="Arial" w:hAnsi="Arial" w:cs="Arial"/>
        </w:rPr>
        <w:t>,</w:t>
      </w:r>
      <w:r w:rsidRPr="005B1503">
        <w:rPr>
          <w:rFonts w:ascii="Arial" w:hAnsi="Arial" w:cs="Arial"/>
          <w:i/>
        </w:rPr>
        <w:t xml:space="preserve"> </w:t>
      </w:r>
      <w:r>
        <w:rPr>
          <w:rFonts w:ascii="Arial" w:hAnsi="Arial" w:cs="Arial"/>
        </w:rPr>
        <w:t>Case.</w:t>
      </w:r>
      <w:proofErr w:type="gramEnd"/>
      <w:r>
        <w:rPr>
          <w:rFonts w:ascii="Arial" w:hAnsi="Arial" w:cs="Arial"/>
        </w:rPr>
        <w:t xml:space="preserve"> </w:t>
      </w:r>
      <w:proofErr w:type="gramStart"/>
      <w:r>
        <w:rPr>
          <w:rFonts w:ascii="Arial" w:hAnsi="Arial" w:cs="Arial"/>
        </w:rPr>
        <w:t>No. 12-</w:t>
      </w:r>
      <w:r w:rsidRPr="00850567">
        <w:rPr>
          <w:rFonts w:ascii="Arial" w:hAnsi="Arial" w:cs="Arial"/>
        </w:rPr>
        <w:t>3151-EL-COI Finding and Order at 36 (Mar. 26, 2014) (hereinafter “</w:t>
      </w:r>
      <w:r w:rsidRPr="00850567">
        <w:rPr>
          <w:rFonts w:ascii="Arial" w:hAnsi="Arial" w:cs="Arial"/>
          <w:i/>
        </w:rPr>
        <w:t>RMI Case</w:t>
      </w:r>
      <w:r w:rsidRPr="00850567">
        <w:rPr>
          <w:rFonts w:ascii="Arial" w:hAnsi="Arial" w:cs="Arial"/>
        </w:rPr>
        <w:t xml:space="preserve">” or “RMI Order”); </w:t>
      </w:r>
      <w:r w:rsidRPr="00850567">
        <w:rPr>
          <w:rFonts w:ascii="Arial" w:hAnsi="Arial" w:cs="Arial"/>
          <w:i/>
        </w:rPr>
        <w:t>RMI Case</w:t>
      </w:r>
      <w:r w:rsidRPr="00850567">
        <w:rPr>
          <w:rFonts w:ascii="Arial" w:hAnsi="Arial" w:cs="Arial"/>
        </w:rPr>
        <w:t>, Entry on Rehearing at 19 (May 21, 2014).</w:t>
      </w:r>
      <w:proofErr w:type="gramEnd"/>
      <w:r w:rsidRPr="00850567">
        <w:rPr>
          <w:rFonts w:ascii="Arial" w:hAnsi="Arial" w:cs="Arial"/>
        </w:rPr>
        <w:t xml:space="preserve"> </w:t>
      </w:r>
    </w:p>
    <w:p w14:paraId="331E2062" w14:textId="49CFF054" w:rsidR="0005578F" w:rsidRDefault="0005578F">
      <w:pPr>
        <w:pStyle w:val="FootnoteText"/>
      </w:pPr>
    </w:p>
  </w:footnote>
  <w:footnote w:id="2">
    <w:p w14:paraId="3418F3AF" w14:textId="7639852B" w:rsidR="00025E6B" w:rsidRDefault="00025E6B">
      <w:pPr>
        <w:pStyle w:val="FootnoteText"/>
        <w:rPr>
          <w:rFonts w:ascii="Arial" w:hAnsi="Arial" w:cs="Arial"/>
        </w:rPr>
      </w:pPr>
      <w:r w:rsidRPr="00025E6B">
        <w:rPr>
          <w:rStyle w:val="FootnoteReference"/>
          <w:rFonts w:ascii="Arial" w:hAnsi="Arial" w:cs="Arial"/>
        </w:rPr>
        <w:footnoteRef/>
      </w:r>
      <w:r w:rsidRPr="00025E6B">
        <w:rPr>
          <w:rFonts w:ascii="Arial" w:hAnsi="Arial" w:cs="Arial"/>
        </w:rPr>
        <w:t xml:space="preserve"> </w:t>
      </w:r>
      <w:proofErr w:type="gramStart"/>
      <w:r w:rsidRPr="00025E6B">
        <w:rPr>
          <w:rFonts w:ascii="Arial" w:hAnsi="Arial" w:cs="Arial"/>
        </w:rPr>
        <w:t>OPAE Comments at 3.</w:t>
      </w:r>
      <w:proofErr w:type="gramEnd"/>
    </w:p>
    <w:p w14:paraId="24D8A3BB" w14:textId="77777777" w:rsidR="00025E6B" w:rsidRPr="00025E6B" w:rsidRDefault="00025E6B">
      <w:pPr>
        <w:pStyle w:val="FootnoteText"/>
        <w:rPr>
          <w:rFonts w:ascii="Arial" w:hAnsi="Arial" w:cs="Arial"/>
        </w:rPr>
      </w:pPr>
    </w:p>
  </w:footnote>
  <w:footnote w:id="3">
    <w:p w14:paraId="2FC9E6A3" w14:textId="0A42197E" w:rsidR="00025E6B" w:rsidRPr="00025E6B" w:rsidRDefault="00025E6B">
      <w:pPr>
        <w:pStyle w:val="FootnoteText"/>
        <w:rPr>
          <w:rFonts w:ascii="Arial" w:hAnsi="Arial" w:cs="Arial"/>
          <w:i/>
        </w:rPr>
      </w:pPr>
      <w:r w:rsidRPr="00025E6B">
        <w:rPr>
          <w:rStyle w:val="FootnoteReference"/>
          <w:rFonts w:ascii="Arial" w:hAnsi="Arial" w:cs="Arial"/>
        </w:rPr>
        <w:footnoteRef/>
      </w:r>
      <w:r w:rsidRPr="00025E6B">
        <w:rPr>
          <w:rFonts w:ascii="Arial" w:hAnsi="Arial" w:cs="Arial"/>
        </w:rPr>
        <w:t xml:space="preserve"> </w:t>
      </w:r>
      <w:r w:rsidRPr="00025E6B">
        <w:rPr>
          <w:rFonts w:ascii="Arial" w:hAnsi="Arial" w:cs="Arial"/>
          <w:i/>
        </w:rPr>
        <w:t>Id.</w:t>
      </w:r>
    </w:p>
    <w:p w14:paraId="6E825B0E" w14:textId="77777777" w:rsidR="00025E6B" w:rsidRPr="00025E6B" w:rsidRDefault="00025E6B">
      <w:pPr>
        <w:pStyle w:val="FootnoteText"/>
        <w:rPr>
          <w:rFonts w:ascii="Arial" w:hAnsi="Arial" w:cs="Arial"/>
          <w:i/>
        </w:rPr>
      </w:pPr>
    </w:p>
  </w:footnote>
  <w:footnote w:id="4">
    <w:p w14:paraId="05757CA4" w14:textId="73B7D564" w:rsidR="00025E6B" w:rsidRPr="00025E6B" w:rsidRDefault="00025E6B">
      <w:pPr>
        <w:pStyle w:val="FootnoteText"/>
        <w:rPr>
          <w:i/>
        </w:rPr>
      </w:pPr>
      <w:r w:rsidRPr="00025E6B">
        <w:rPr>
          <w:rStyle w:val="FootnoteReference"/>
          <w:rFonts w:ascii="Arial" w:hAnsi="Arial" w:cs="Arial"/>
        </w:rPr>
        <w:footnoteRef/>
      </w:r>
      <w:r w:rsidRPr="00025E6B">
        <w:rPr>
          <w:rFonts w:ascii="Arial" w:hAnsi="Arial" w:cs="Arial"/>
        </w:rPr>
        <w:t xml:space="preserve"> </w:t>
      </w:r>
      <w:r w:rsidRPr="00025E6B">
        <w:rPr>
          <w:rFonts w:ascii="Arial" w:hAnsi="Arial" w:cs="Arial"/>
          <w:i/>
        </w:rPr>
        <w:t>Id.</w:t>
      </w:r>
    </w:p>
  </w:footnote>
  <w:footnote w:id="5">
    <w:p w14:paraId="1EFFEF91" w14:textId="662A4DB6" w:rsidR="001947F7" w:rsidRPr="001947F7" w:rsidRDefault="001947F7">
      <w:pPr>
        <w:pStyle w:val="FootnoteText"/>
        <w:rPr>
          <w:rFonts w:ascii="Arial" w:hAnsi="Arial" w:cs="Arial"/>
        </w:rPr>
      </w:pPr>
      <w:r w:rsidRPr="001947F7">
        <w:rPr>
          <w:rStyle w:val="FootnoteReference"/>
          <w:rFonts w:ascii="Arial" w:hAnsi="Arial" w:cs="Arial"/>
        </w:rPr>
        <w:footnoteRef/>
      </w:r>
      <w:r w:rsidRPr="001947F7">
        <w:rPr>
          <w:rFonts w:ascii="Arial" w:hAnsi="Arial" w:cs="Arial"/>
        </w:rPr>
        <w:t xml:space="preserve"> </w:t>
      </w:r>
      <w:proofErr w:type="gramStart"/>
      <w:r w:rsidRPr="001947F7">
        <w:rPr>
          <w:rFonts w:ascii="Arial" w:hAnsi="Arial" w:cs="Arial"/>
        </w:rPr>
        <w:t>OPAE Comments at 2.</w:t>
      </w:r>
      <w:proofErr w:type="gramEnd"/>
    </w:p>
    <w:p w14:paraId="3E6C9203" w14:textId="77777777" w:rsidR="001947F7" w:rsidRDefault="001947F7">
      <w:pPr>
        <w:pStyle w:val="FootnoteText"/>
      </w:pPr>
    </w:p>
  </w:footnote>
  <w:footnote w:id="6">
    <w:p w14:paraId="69770058" w14:textId="77777777" w:rsidR="000E5F86" w:rsidRPr="00851EF3" w:rsidRDefault="000E5F86" w:rsidP="000E5F86">
      <w:pPr>
        <w:pStyle w:val="FootnoteText"/>
        <w:rPr>
          <w:rFonts w:ascii="Arial" w:hAnsi="Arial" w:cs="Arial"/>
        </w:rPr>
      </w:pPr>
      <w:r w:rsidRPr="00851EF3">
        <w:rPr>
          <w:rStyle w:val="FootnoteReference"/>
          <w:rFonts w:ascii="Arial" w:hAnsi="Arial" w:cs="Arial"/>
        </w:rPr>
        <w:footnoteRef/>
      </w:r>
      <w:r w:rsidRPr="00851EF3">
        <w:rPr>
          <w:rFonts w:ascii="Arial" w:hAnsi="Arial" w:cs="Arial"/>
        </w:rPr>
        <w:t xml:space="preserve"> R.C. 4928.04 states</w:t>
      </w:r>
      <w:r>
        <w:rPr>
          <w:rFonts w:ascii="Arial" w:hAnsi="Arial" w:cs="Arial"/>
        </w:rPr>
        <w:t xml:space="preserve"> (emphasis added)</w:t>
      </w:r>
      <w:r w:rsidRPr="00851EF3">
        <w:rPr>
          <w:rFonts w:ascii="Arial" w:hAnsi="Arial" w:cs="Arial"/>
        </w:rPr>
        <w:t xml:space="preserve">: </w:t>
      </w:r>
    </w:p>
    <w:p w14:paraId="15552FA6" w14:textId="77777777" w:rsidR="000E5F86" w:rsidRPr="00851EF3" w:rsidRDefault="000E5F86" w:rsidP="000E5F86">
      <w:pPr>
        <w:pStyle w:val="FootnoteText"/>
        <w:rPr>
          <w:rFonts w:ascii="Arial" w:hAnsi="Arial" w:cs="Arial"/>
        </w:rPr>
      </w:pPr>
    </w:p>
    <w:p w14:paraId="0011BA91" w14:textId="77777777" w:rsidR="000E5F86" w:rsidRPr="00851EF3" w:rsidRDefault="000E5F86" w:rsidP="000E5F86">
      <w:pPr>
        <w:pStyle w:val="FootnoteText"/>
        <w:ind w:left="720"/>
        <w:rPr>
          <w:rFonts w:ascii="Arial" w:hAnsi="Arial" w:cs="Arial"/>
        </w:rPr>
      </w:pPr>
      <w:r w:rsidRPr="00851EF3">
        <w:rPr>
          <w:rFonts w:ascii="Arial" w:hAnsi="Arial" w:cs="Arial"/>
        </w:rPr>
        <w:t xml:space="preserve">(A) The public utilities commission by order may declare that retail ancillary, </w:t>
      </w:r>
      <w:r w:rsidRPr="00851EF3">
        <w:rPr>
          <w:rFonts w:ascii="Arial" w:hAnsi="Arial" w:cs="Arial"/>
          <w:b/>
        </w:rPr>
        <w:t>metering, or billing</w:t>
      </w:r>
      <w:r w:rsidRPr="00851EF3">
        <w:rPr>
          <w:rFonts w:ascii="Arial" w:hAnsi="Arial" w:cs="Arial"/>
        </w:rPr>
        <w:t xml:space="preserve"> and collection service supplied to consumers within the certified territory of an electric utility on or after the starting date of competitive retail electric service is a competitive retail electric service that the consumers may obtain from any supplier or suppliers subject to this chapter. The commission may issue such order, after investigation and public hearing, only if it first determines either of the following: </w:t>
      </w:r>
    </w:p>
    <w:p w14:paraId="432EF630" w14:textId="77777777" w:rsidR="000E5F86" w:rsidRPr="00851EF3" w:rsidRDefault="000E5F86" w:rsidP="000E5F86">
      <w:pPr>
        <w:pStyle w:val="FootnoteText"/>
        <w:rPr>
          <w:rFonts w:ascii="Arial" w:hAnsi="Arial" w:cs="Arial"/>
        </w:rPr>
      </w:pPr>
    </w:p>
    <w:p w14:paraId="7BA75B0A" w14:textId="77777777" w:rsidR="000E5F86" w:rsidRPr="00851EF3" w:rsidRDefault="000E5F86" w:rsidP="000E5F86">
      <w:pPr>
        <w:pStyle w:val="FootnoteText"/>
        <w:ind w:firstLine="720"/>
        <w:rPr>
          <w:rFonts w:ascii="Arial" w:hAnsi="Arial" w:cs="Arial"/>
        </w:rPr>
      </w:pPr>
      <w:r w:rsidRPr="00851EF3">
        <w:rPr>
          <w:rFonts w:ascii="Arial" w:hAnsi="Arial" w:cs="Arial"/>
        </w:rPr>
        <w:t xml:space="preserve">(1) There will be effective competition with respect to the service. </w:t>
      </w:r>
    </w:p>
    <w:p w14:paraId="5E5C80AC" w14:textId="77777777" w:rsidR="000E5F86" w:rsidRPr="00851EF3" w:rsidRDefault="000E5F86" w:rsidP="000E5F86">
      <w:pPr>
        <w:pStyle w:val="FootnoteText"/>
        <w:rPr>
          <w:rFonts w:ascii="Arial" w:hAnsi="Arial" w:cs="Arial"/>
        </w:rPr>
      </w:pPr>
    </w:p>
    <w:p w14:paraId="1DC131DC" w14:textId="77777777" w:rsidR="000E5F86" w:rsidRDefault="000E5F86" w:rsidP="000E5F86">
      <w:pPr>
        <w:pStyle w:val="FootnoteText"/>
        <w:ind w:left="720"/>
      </w:pPr>
      <w:r w:rsidRPr="00851EF3">
        <w:rPr>
          <w:rFonts w:ascii="Arial" w:hAnsi="Arial" w:cs="Arial"/>
        </w:rPr>
        <w:t>(2) The customers of the service have reasonably available alternatives. The commission shall initiate a proceeding on or before March 31, 2003, on the question of the desirability, feasibility, and timing of any such competition.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0C09F" w14:textId="77777777" w:rsidR="00AB1B3E" w:rsidRDefault="00AB1B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92BAE" w14:textId="77777777" w:rsidR="00AB1B3E" w:rsidRDefault="00AB1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A197C"/>
    <w:multiLevelType w:val="hybridMultilevel"/>
    <w:tmpl w:val="B6A44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E69BA"/>
    <w:multiLevelType w:val="hybridMultilevel"/>
    <w:tmpl w:val="9634AFF4"/>
    <w:lvl w:ilvl="0" w:tplc="113A32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03A30"/>
    <w:multiLevelType w:val="hybridMultilevel"/>
    <w:tmpl w:val="0018ED9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26F4070D"/>
    <w:multiLevelType w:val="hybridMultilevel"/>
    <w:tmpl w:val="1A12AB0C"/>
    <w:lvl w:ilvl="0" w:tplc="B07CF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AA67BD"/>
    <w:multiLevelType w:val="hybridMultilevel"/>
    <w:tmpl w:val="0F5458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1FB75BF"/>
    <w:multiLevelType w:val="hybridMultilevel"/>
    <w:tmpl w:val="D56AFFCE"/>
    <w:lvl w:ilvl="0" w:tplc="C1DA44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833A6"/>
    <w:multiLevelType w:val="hybridMultilevel"/>
    <w:tmpl w:val="462202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9"/>
  </w:num>
  <w:num w:numId="5">
    <w:abstractNumId w:val="4"/>
  </w:num>
  <w:num w:numId="6">
    <w:abstractNumId w:val="10"/>
  </w:num>
  <w:num w:numId="7">
    <w:abstractNumId w:val="2"/>
  </w:num>
  <w:num w:numId="8">
    <w:abstractNumId w:val="8"/>
  </w:num>
  <w:num w:numId="9">
    <w:abstractNumId w:val="11"/>
  </w:num>
  <w:num w:numId="10">
    <w:abstractNumId w:val="7"/>
  </w:num>
  <w:num w:numId="11">
    <w:abstractNumId w:val="6"/>
  </w:num>
  <w:num w:numId="12">
    <w:abstractNumId w:val="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9"/>
    <w:rsid w:val="00004E6B"/>
    <w:rsid w:val="00021336"/>
    <w:rsid w:val="000258F0"/>
    <w:rsid w:val="00025E6B"/>
    <w:rsid w:val="00054020"/>
    <w:rsid w:val="0005578F"/>
    <w:rsid w:val="000627DC"/>
    <w:rsid w:val="00072993"/>
    <w:rsid w:val="00087F7E"/>
    <w:rsid w:val="000A0F85"/>
    <w:rsid w:val="000A6A25"/>
    <w:rsid w:val="000B223F"/>
    <w:rsid w:val="000C0FC8"/>
    <w:rsid w:val="000D4B34"/>
    <w:rsid w:val="000E5F86"/>
    <w:rsid w:val="000E7DA7"/>
    <w:rsid w:val="001144C4"/>
    <w:rsid w:val="00121836"/>
    <w:rsid w:val="001502B7"/>
    <w:rsid w:val="00155B5A"/>
    <w:rsid w:val="001947F7"/>
    <w:rsid w:val="001B125D"/>
    <w:rsid w:val="001F3F95"/>
    <w:rsid w:val="001F7922"/>
    <w:rsid w:val="00214C99"/>
    <w:rsid w:val="00217AE0"/>
    <w:rsid w:val="00231B62"/>
    <w:rsid w:val="002336FA"/>
    <w:rsid w:val="00237730"/>
    <w:rsid w:val="002547B7"/>
    <w:rsid w:val="0026046D"/>
    <w:rsid w:val="00265154"/>
    <w:rsid w:val="00281021"/>
    <w:rsid w:val="002E7401"/>
    <w:rsid w:val="002F05DC"/>
    <w:rsid w:val="002F7C71"/>
    <w:rsid w:val="00324177"/>
    <w:rsid w:val="003254F4"/>
    <w:rsid w:val="00337E86"/>
    <w:rsid w:val="003504EC"/>
    <w:rsid w:val="00355B90"/>
    <w:rsid w:val="00357C8B"/>
    <w:rsid w:val="003622C7"/>
    <w:rsid w:val="00381CA8"/>
    <w:rsid w:val="00386129"/>
    <w:rsid w:val="003A51CC"/>
    <w:rsid w:val="003D01DA"/>
    <w:rsid w:val="003D7D23"/>
    <w:rsid w:val="00402194"/>
    <w:rsid w:val="00413918"/>
    <w:rsid w:val="00454C0E"/>
    <w:rsid w:val="00457C5D"/>
    <w:rsid w:val="004641EA"/>
    <w:rsid w:val="00465A9F"/>
    <w:rsid w:val="004726B2"/>
    <w:rsid w:val="00474257"/>
    <w:rsid w:val="004821D0"/>
    <w:rsid w:val="00483963"/>
    <w:rsid w:val="00491E5D"/>
    <w:rsid w:val="00492AD6"/>
    <w:rsid w:val="004A6C5B"/>
    <w:rsid w:val="004D04A6"/>
    <w:rsid w:val="00545F29"/>
    <w:rsid w:val="00553D21"/>
    <w:rsid w:val="0056270F"/>
    <w:rsid w:val="0058767D"/>
    <w:rsid w:val="0059264C"/>
    <w:rsid w:val="005B37CC"/>
    <w:rsid w:val="005B63F0"/>
    <w:rsid w:val="005C23F7"/>
    <w:rsid w:val="005D6AD4"/>
    <w:rsid w:val="005E5B7C"/>
    <w:rsid w:val="00613140"/>
    <w:rsid w:val="0063518D"/>
    <w:rsid w:val="00672BD2"/>
    <w:rsid w:val="00674123"/>
    <w:rsid w:val="006B49E9"/>
    <w:rsid w:val="006E14B5"/>
    <w:rsid w:val="006E6F71"/>
    <w:rsid w:val="007032CD"/>
    <w:rsid w:val="007133A5"/>
    <w:rsid w:val="00780FD0"/>
    <w:rsid w:val="007816CB"/>
    <w:rsid w:val="007A3068"/>
    <w:rsid w:val="007B3399"/>
    <w:rsid w:val="007D2210"/>
    <w:rsid w:val="007D5BFF"/>
    <w:rsid w:val="007E72CD"/>
    <w:rsid w:val="00813BFB"/>
    <w:rsid w:val="0082224E"/>
    <w:rsid w:val="0082422E"/>
    <w:rsid w:val="00850567"/>
    <w:rsid w:val="00851EF3"/>
    <w:rsid w:val="00856078"/>
    <w:rsid w:val="00882F6E"/>
    <w:rsid w:val="008A26F1"/>
    <w:rsid w:val="008D3329"/>
    <w:rsid w:val="00903512"/>
    <w:rsid w:val="00955F86"/>
    <w:rsid w:val="00960CFA"/>
    <w:rsid w:val="0096486B"/>
    <w:rsid w:val="00972956"/>
    <w:rsid w:val="00976CF5"/>
    <w:rsid w:val="00980E29"/>
    <w:rsid w:val="0098338B"/>
    <w:rsid w:val="0098755F"/>
    <w:rsid w:val="009B1592"/>
    <w:rsid w:val="009B4C7C"/>
    <w:rsid w:val="009D5434"/>
    <w:rsid w:val="009D6BC1"/>
    <w:rsid w:val="009D71F6"/>
    <w:rsid w:val="009E386A"/>
    <w:rsid w:val="009E716D"/>
    <w:rsid w:val="009F141F"/>
    <w:rsid w:val="009F4632"/>
    <w:rsid w:val="009F6674"/>
    <w:rsid w:val="00A17DD2"/>
    <w:rsid w:val="00A2205F"/>
    <w:rsid w:val="00A71E20"/>
    <w:rsid w:val="00A74926"/>
    <w:rsid w:val="00A84106"/>
    <w:rsid w:val="00A940AD"/>
    <w:rsid w:val="00AA75B4"/>
    <w:rsid w:val="00AB1B3E"/>
    <w:rsid w:val="00AB7596"/>
    <w:rsid w:val="00AC58C0"/>
    <w:rsid w:val="00AD5E1E"/>
    <w:rsid w:val="00B03255"/>
    <w:rsid w:val="00B069EA"/>
    <w:rsid w:val="00B270B3"/>
    <w:rsid w:val="00B92A76"/>
    <w:rsid w:val="00BB03FA"/>
    <w:rsid w:val="00BB29DA"/>
    <w:rsid w:val="00C20F96"/>
    <w:rsid w:val="00C73923"/>
    <w:rsid w:val="00C84BD1"/>
    <w:rsid w:val="00C90FB8"/>
    <w:rsid w:val="00CD710C"/>
    <w:rsid w:val="00CE3F16"/>
    <w:rsid w:val="00D13280"/>
    <w:rsid w:val="00D17D42"/>
    <w:rsid w:val="00D223D6"/>
    <w:rsid w:val="00D35EFF"/>
    <w:rsid w:val="00D45B9F"/>
    <w:rsid w:val="00D57E21"/>
    <w:rsid w:val="00D95326"/>
    <w:rsid w:val="00DE4973"/>
    <w:rsid w:val="00DF0186"/>
    <w:rsid w:val="00E10B32"/>
    <w:rsid w:val="00E1640C"/>
    <w:rsid w:val="00E40444"/>
    <w:rsid w:val="00E45E23"/>
    <w:rsid w:val="00E5294E"/>
    <w:rsid w:val="00E65A81"/>
    <w:rsid w:val="00EA0C60"/>
    <w:rsid w:val="00EB67DF"/>
    <w:rsid w:val="00ED25F0"/>
    <w:rsid w:val="00F10F9B"/>
    <w:rsid w:val="00F111C7"/>
    <w:rsid w:val="00F5720A"/>
    <w:rsid w:val="00F611C0"/>
    <w:rsid w:val="00F67F1E"/>
    <w:rsid w:val="00FA034B"/>
    <w:rsid w:val="00FA4A29"/>
    <w:rsid w:val="00FD7783"/>
    <w:rsid w:val="00FE2DE0"/>
    <w:rsid w:val="00FE3EE7"/>
    <w:rsid w:val="00FE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my.Spiller@duke-energ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DC98-8A65-4420-A995-453B905A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2015-03-27T17:24:00Z</dcterms:created>
  <dcterms:modified xsi:type="dcterms:W3CDTF">2015-03-27T17:25:00Z</dcterms:modified>
</cp:coreProperties>
</file>