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leBold"/>
        <w:rPr>
          <w:rFonts w:cs="Times New Roman"/>
          <w:szCs w:val="24"/>
        </w:rPr>
      </w:pPr>
      <w:r>
        <w:rPr>
          <w:rFonts w:cs="Times New Roman"/>
          <w:szCs w:val="24"/>
        </w:rPr>
        <w:t xml:space="preserve">BEFORE THE </w:t>
      </w:r>
    </w:p>
    <w:p>
      <w:pPr>
        <w:pStyle w:val="TitleBold"/>
        <w:rPr>
          <w:rFonts w:cs="Times New Roman"/>
          <w:szCs w:val="24"/>
        </w:rPr>
      </w:pPr>
      <w:r>
        <w:rPr>
          <w:rFonts w:cs="Times New Roman"/>
          <w:szCs w:val="24"/>
        </w:rPr>
        <w:t>PUBLIC UTILITIES COMMISSION OF OHIO</w:t>
      </w:r>
    </w:p>
    <w:p>
      <w:pPr>
        <w:pStyle w:val="KBody"/>
      </w:pPr>
    </w:p>
    <w:tbl>
      <w:tblPr>
        <w:tblStyle w:val="TableGrid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25"/>
        <w:gridCol w:w="297"/>
        <w:gridCol w:w="4478"/>
      </w:tblGrid>
      <w:tr>
        <w:trPr>
          <w:cantSplit/>
        </w:trPr>
        <w:tc>
          <w:tcPr>
            <w:tcW w:w="4225" w:type="dxa"/>
          </w:tcPr>
          <w:p>
            <w:pPr>
              <w:contextualSpacing/>
              <w:rPr>
                <w:rFonts w:eastAsia="Calibri"/>
              </w:rPr>
            </w:pPr>
            <w:r>
              <w:rPr>
                <w:rFonts w:eastAsia="Calibri"/>
              </w:rPr>
              <w:t>In the Matter of the Certification of Northeast Ohio Public Energy Council as Governmental Aggregator</w:t>
            </w:r>
          </w:p>
          <w:p>
            <w:pPr>
              <w:tabs>
                <w:tab w:val="left" w:pos="0"/>
              </w:tabs>
              <w:contextualSpacing/>
              <w:rPr>
                <w:rFonts w:eastAsia="Calibri"/>
              </w:rPr>
            </w:pPr>
          </w:p>
        </w:tc>
        <w:tc>
          <w:tcPr>
            <w:tcW w:w="297" w:type="dxa"/>
          </w:tcPr>
          <w:p>
            <w:pPr>
              <w:tabs>
                <w:tab w:val="left" w:pos="0"/>
              </w:tabs>
              <w:contextualSpacing/>
              <w:jc w:val="center"/>
              <w:rPr>
                <w:rFonts w:eastAsia="Calibri"/>
              </w:rPr>
            </w:pPr>
            <w:r>
              <w:rPr>
                <w:rFonts w:eastAsia="Calibri"/>
              </w:rPr>
              <w:t>)</w:t>
            </w:r>
          </w:p>
          <w:p>
            <w:pPr>
              <w:tabs>
                <w:tab w:val="left" w:pos="0"/>
              </w:tabs>
              <w:contextualSpacing/>
              <w:jc w:val="center"/>
              <w:rPr>
                <w:rFonts w:eastAsia="Calibri"/>
              </w:rPr>
            </w:pPr>
            <w:r>
              <w:rPr>
                <w:rFonts w:eastAsia="Calibri"/>
              </w:rPr>
              <w:t>)</w:t>
            </w:r>
          </w:p>
          <w:p>
            <w:pPr>
              <w:tabs>
                <w:tab w:val="left" w:pos="0"/>
              </w:tabs>
              <w:contextualSpacing/>
              <w:jc w:val="center"/>
              <w:rPr>
                <w:rFonts w:eastAsia="Calibri"/>
              </w:rPr>
            </w:pPr>
            <w:r>
              <w:rPr>
                <w:rFonts w:eastAsia="Calibri"/>
              </w:rPr>
              <w:t>)</w:t>
            </w:r>
          </w:p>
          <w:p>
            <w:pPr>
              <w:tabs>
                <w:tab w:val="left" w:pos="0"/>
              </w:tabs>
              <w:contextualSpacing/>
              <w:jc w:val="center"/>
              <w:rPr>
                <w:rFonts w:eastAsia="Calibri"/>
              </w:rPr>
            </w:pPr>
            <w:r>
              <w:rPr>
                <w:rFonts w:eastAsia="Calibri"/>
              </w:rPr>
              <w:t>)</w:t>
            </w:r>
          </w:p>
        </w:tc>
        <w:tc>
          <w:tcPr>
            <w:tcW w:w="4478" w:type="dxa"/>
          </w:tcPr>
          <w:p>
            <w:pPr>
              <w:ind w:left="497"/>
              <w:contextualSpacing/>
              <w:jc w:val="right"/>
              <w:rPr>
                <w:rFonts w:eastAsia="Calibri"/>
              </w:rPr>
            </w:pPr>
            <w:r>
              <w:rPr>
                <w:rFonts w:eastAsia="Calibri"/>
              </w:rPr>
              <w:t>Case No. 00-2317-EL-GAG</w:t>
            </w:r>
          </w:p>
          <w:p>
            <w:pPr>
              <w:ind w:left="497"/>
              <w:contextualSpacing/>
              <w:rPr>
                <w:rFonts w:eastAsia="Calibri"/>
                <w:b/>
              </w:rPr>
            </w:pPr>
          </w:p>
          <w:p>
            <w:pPr>
              <w:contextualSpacing/>
              <w:jc w:val="right"/>
              <w:rPr>
                <w:rFonts w:eastAsia="Calibri"/>
                <w:b/>
                <w:u w:val="single"/>
              </w:rPr>
            </w:pPr>
          </w:p>
        </w:tc>
      </w:tr>
    </w:tbl>
    <w:p>
      <w:pPr>
        <w:pStyle w:val="KBody"/>
      </w:pPr>
      <w:r>
        <w:t>___________________________________________________________________________</w:t>
      </w:r>
    </w:p>
    <w:p>
      <w:pPr>
        <w:pStyle w:val="TitleBold"/>
        <w:spacing w:after="0"/>
        <w:rPr>
          <w:rFonts w:cs="Times New Roman"/>
          <w:szCs w:val="24"/>
        </w:rPr>
      </w:pPr>
      <w:r>
        <w:rPr>
          <w:rFonts w:cs="Times New Roman"/>
          <w:szCs w:val="24"/>
        </w:rPr>
        <w:t xml:space="preserve">REPLY MEMORANDUM IN SUPPORT OF </w:t>
      </w:r>
    </w:p>
    <w:p>
      <w:pPr>
        <w:pStyle w:val="TitleBold"/>
        <w:spacing w:after="0"/>
        <w:rPr>
          <w:rFonts w:cs="Times New Roman"/>
          <w:szCs w:val="24"/>
        </w:rPr>
      </w:pPr>
      <w:r>
        <w:rPr>
          <w:rFonts w:cs="Times New Roman"/>
          <w:szCs w:val="24"/>
        </w:rPr>
        <w:t>TRANSALTA ENERGY MARKETING (U.S.) INC.’S MOTION TO INTERVENE</w:t>
      </w:r>
    </w:p>
    <w:p>
      <w:pPr>
        <w:pStyle w:val="KBody"/>
      </w:pPr>
      <w:r>
        <w:t>___________________________________________________________________________</w:t>
      </w:r>
    </w:p>
    <w:p>
      <w:pPr>
        <w:pStyle w:val="OutlineHL1"/>
        <w:rPr>
          <w:rFonts w:ascii="Times New Roman" w:hAnsi="Times New Roman" w:cs="Times New Roman"/>
          <w:b w:val="0"/>
          <w:caps w:val="0"/>
          <w:szCs w:val="24"/>
        </w:rPr>
      </w:pPr>
      <w:r>
        <w:rPr>
          <w:rFonts w:ascii="Times New Roman" w:hAnsi="Times New Roman" w:cs="Times New Roman"/>
          <w:szCs w:val="24"/>
        </w:rPr>
        <w:t>introduction</w:t>
      </w:r>
    </w:p>
    <w:p>
      <w:pPr>
        <w:pStyle w:val="Default"/>
        <w:spacing w:line="480" w:lineRule="auto"/>
        <w:ind w:firstLine="720"/>
        <w:rPr>
          <w:rFonts w:ascii="Times New Roman" w:hAnsi="Times New Roman" w:cs="Times New Roman"/>
        </w:rPr>
      </w:pPr>
      <w:r>
        <w:rPr>
          <w:rFonts w:ascii="Times New Roman" w:hAnsi="Times New Roman" w:cs="Times New Roman"/>
        </w:rPr>
        <w:t>On September 27, 2022, pursuant to R.C. 4903.221 and Ohio Admin. Code 4901-1-11, TransAlta Energy Marketing (U.S.) Inc. (“TransAlta”) moved to intervene in the above-captioned proceeding in connection with the Northeast Ohio Public Energy Council’s (“NOPEC’s”) dropping of over half a million of its Standard Program Price customers from its current three-year aggregation program and returning them prematurely to the standard service offer (“SSO”) programs of Cleve</w:t>
      </w:r>
      <w:bookmarkStart w:name="_GoBack" w:id="0"/>
      <w:bookmarkEnd w:id="0"/>
      <w:r>
        <w:rPr>
          <w:rFonts w:ascii="Times New Roman" w:hAnsi="Times New Roman" w:cs="Times New Roman"/>
        </w:rPr>
        <w:t xml:space="preserve">land Electric Illuminating Company and Ohio Edison Company (together, “FirstEnergy”) and Ohio Power Company (“AEP Ohio”).  NOPEC’s load shift will have significant impacts on TransAlta and Ohio’s competitive electric service market, and TransAlta seeks intervention without limitation in this proceeding.  </w:t>
      </w:r>
    </w:p>
    <w:p>
      <w:pPr>
        <w:pStyle w:val="Default"/>
        <w:spacing w:line="480" w:lineRule="auto"/>
        <w:rPr>
          <w:rFonts w:ascii="Times New Roman" w:hAnsi="Times New Roman" w:cs="Times New Roman"/>
        </w:rPr>
      </w:pPr>
      <w:r>
        <w:rPr>
          <w:rFonts w:ascii="Times New Roman" w:hAnsi="Times New Roman" w:cs="Times New Roman"/>
        </w:rPr>
        <w:tab/>
        <w:t>On October 4, 2022, NOPEC filed a Memorandum Contra TransAlta’s Motion to Intervene,</w:t>
      </w:r>
      <w:r>
        <w:rPr>
          <w:rStyle w:val="FootnoteReference"/>
          <w:rFonts w:ascii="Times New Roman" w:hAnsi="Times New Roman" w:cs="Times New Roman"/>
        </w:rPr>
        <w:footnoteReference w:id="1"/>
      </w:r>
      <w:r>
        <w:rPr>
          <w:rFonts w:ascii="Times New Roman" w:hAnsi="Times New Roman" w:cs="Times New Roman"/>
        </w:rPr>
        <w:t xml:space="preserve"> which mischaracterizes the Public Utilities Commission of Ohio’s (“Commission’s”) liberal intervention standard, provides no basis for denying TransAlta’s intervention, and relies </w:t>
      </w:r>
      <w:r>
        <w:rPr>
          <w:rFonts w:ascii="Times New Roman" w:hAnsi="Times New Roman" w:cs="Times New Roman"/>
        </w:rPr>
        <w:lastRenderedPageBreak/>
        <w:t>primarily on broad and unsupported allegations that have no basis in fact, law, or prior Commission precedent.  Accordingly, the Commission should reject NOPEC’s arguments and grant TransAlta’s motion to intervene.</w:t>
      </w:r>
      <w:r>
        <w:rPr>
          <w:rStyle w:val="FootnoteReference"/>
          <w:rFonts w:ascii="Times New Roman" w:hAnsi="Times New Roman" w:cs="Times New Roman"/>
        </w:rPr>
        <w:footnoteReference w:id="2"/>
      </w:r>
    </w:p>
    <w:p>
      <w:pPr>
        <w:pStyle w:val="OutlineHL1"/>
        <w:rPr>
          <w:rFonts w:ascii="Times New Roman" w:hAnsi="Times New Roman" w:cs="Times New Roman"/>
          <w:szCs w:val="24"/>
        </w:rPr>
      </w:pPr>
      <w:r>
        <w:rPr>
          <w:rFonts w:ascii="Times New Roman" w:hAnsi="Times New Roman" w:cs="Times New Roman"/>
          <w:szCs w:val="24"/>
        </w:rPr>
        <w:t>law and argument</w:t>
      </w:r>
    </w:p>
    <w:p>
      <w:pPr>
        <w:pStyle w:val="Default"/>
        <w:spacing w:line="480" w:lineRule="auto"/>
        <w:ind w:firstLine="720"/>
        <w:rPr>
          <w:rFonts w:ascii="Times New Roman" w:hAnsi="Times New Roman" w:cs="Times New Roman"/>
        </w:rPr>
      </w:pPr>
      <w:r>
        <w:rPr>
          <w:rFonts w:ascii="Times New Roman" w:hAnsi="Times New Roman" w:cs="Times New Roman"/>
        </w:rPr>
        <w:t>The Commission has a long-standing policy of encouraging broad participation in its proceedings.</w:t>
      </w:r>
      <w:r>
        <w:rPr>
          <w:rStyle w:val="FootnoteReference"/>
          <w:rFonts w:ascii="Times New Roman" w:hAnsi="Times New Roman" w:cs="Times New Roman"/>
        </w:rPr>
        <w:footnoteReference w:id="3"/>
      </w:r>
      <w:r>
        <w:rPr>
          <w:rFonts w:ascii="Times New Roman" w:hAnsi="Times New Roman" w:cs="Times New Roman"/>
        </w:rPr>
        <w:t xml:space="preserve">  Indeed, intervention rules should “generally [be] liberally construed in favor of intervention,”</w:t>
      </w:r>
      <w:r>
        <w:rPr>
          <w:rStyle w:val="FootnoteReference"/>
          <w:rFonts w:ascii="Times New Roman" w:hAnsi="Times New Roman" w:cs="Times New Roman"/>
        </w:rPr>
        <w:footnoteReference w:id="4"/>
      </w:r>
      <w:r>
        <w:rPr>
          <w:rFonts w:ascii="Times New Roman" w:hAnsi="Times New Roman" w:cs="Times New Roman"/>
        </w:rPr>
        <w:t xml:space="preserve"> and this liberal construction applies “whether or not a hearing is held.”</w:t>
      </w:r>
      <w:r>
        <w:rPr>
          <w:rStyle w:val="FootnoteReference"/>
          <w:rFonts w:ascii="Times New Roman" w:hAnsi="Times New Roman" w:cs="Times New Roman"/>
        </w:rPr>
        <w:footnoteReference w:id="5"/>
      </w:r>
      <w:r>
        <w:rPr>
          <w:rFonts w:ascii="Times New Roman" w:hAnsi="Times New Roman" w:cs="Times New Roman"/>
        </w:rPr>
        <w:t xml:space="preserve">  Moreover, a party should be granted intervention when it meets the five factors articulated in the rules, absent “evidence in the record calling those claims into doubt” or establishing that intervention would cause undue delay.</w:t>
      </w:r>
      <w:r>
        <w:rPr>
          <w:rStyle w:val="FootnoteReference"/>
          <w:rFonts w:ascii="Times New Roman" w:hAnsi="Times New Roman" w:cs="Times New Roman"/>
        </w:rPr>
        <w:footnoteReference w:id="6"/>
      </w:r>
    </w:p>
    <w:p>
      <w:pPr>
        <w:pStyle w:val="Default"/>
        <w:spacing w:line="480" w:lineRule="auto"/>
        <w:ind w:firstLine="720"/>
        <w:rPr>
          <w:rFonts w:ascii="Times New Roman" w:hAnsi="Times New Roman" w:cs="Times New Roman"/>
        </w:rPr>
      </w:pPr>
      <w:r>
        <w:rPr>
          <w:rFonts w:ascii="Times New Roman" w:hAnsi="Times New Roman" w:cs="Times New Roman"/>
        </w:rPr>
        <w:t xml:space="preserve">TransAlta has demonstrated that it meets the five factors the Commission uses in evaluating whether to permit intervention.  Specifically, TransAlta has been directly impacted by NOPEC’s unprecedented actions because TransAlta is currently responsible for serving 7% and 4% of the SSO load in the FirstEnergy and AEP Ohio service territories, respectively.  Accordingly, TransAlta has a real and substantial interest in this proceeding.  No other party can represent TransAlta’s business interests with respect to its own SSO load obligations and the </w:t>
      </w:r>
      <w:r>
        <w:rPr>
          <w:rFonts w:ascii="Times New Roman" w:hAnsi="Times New Roman" w:cs="Times New Roman"/>
        </w:rPr>
        <w:lastRenderedPageBreak/>
        <w:t>impact of NOPEC’s actions on TransAlta.  TransAlta’s supporting memorandum further demonstrates that its intervention will not cause undue delay and is in the public interest,</w:t>
      </w:r>
      <w:r>
        <w:rPr>
          <w:rStyle w:val="FootnoteReference"/>
          <w:rFonts w:ascii="Times New Roman" w:hAnsi="Times New Roman" w:cs="Times New Roman"/>
        </w:rPr>
        <w:footnoteReference w:id="7"/>
      </w:r>
      <w:r>
        <w:rPr>
          <w:rFonts w:ascii="Times New Roman" w:hAnsi="Times New Roman" w:cs="Times New Roman"/>
        </w:rPr>
        <w:t xml:space="preserve"> and that its legal position is consistent with the Commission’s reasons for directing NOPEC to show cause demonstrating why its certificate should not be suspended.  Thus, TransAlta meets the Commission’s liberal standard for intervention and its motion to intervene should be granted. </w:t>
      </w:r>
    </w:p>
    <w:p>
      <w:pPr>
        <w:pStyle w:val="Default"/>
        <w:spacing w:line="480" w:lineRule="auto"/>
        <w:ind w:firstLine="720"/>
        <w:rPr>
          <w:rFonts w:ascii="Times New Roman" w:hAnsi="Times New Roman" w:cs="Times New Roman"/>
        </w:rPr>
      </w:pPr>
      <w:r>
        <w:rPr>
          <w:rFonts w:ascii="Times New Roman" w:hAnsi="Times New Roman" w:cs="Times New Roman"/>
        </w:rPr>
        <w:t>Rather than respond to TransAlta’s arguments or provide any particularized basis to deny TransAlta’s intervention, NOPEC spends most of its time arguing that TransAlta does not have a right to intervene in a proceeding that involves a “mere filing” of a Notice of Material Change.</w:t>
      </w:r>
      <w:r>
        <w:rPr>
          <w:rStyle w:val="FootnoteReference"/>
          <w:rFonts w:ascii="Times New Roman" w:hAnsi="Times New Roman" w:cs="Times New Roman"/>
        </w:rPr>
        <w:footnoteReference w:id="8"/>
      </w:r>
      <w:r>
        <w:rPr>
          <w:rFonts w:ascii="Times New Roman" w:hAnsi="Times New Roman" w:cs="Times New Roman"/>
        </w:rPr>
        <w:t xml:space="preserve">  But NOPEC misses the point.  First, even if there is no right to intervene here, intervention is nevertheless </w:t>
      </w:r>
      <w:r>
        <w:rPr>
          <w:rFonts w:ascii="Times New Roman" w:hAnsi="Times New Roman" w:cs="Times New Roman"/>
          <w:i/>
        </w:rPr>
        <w:t>permissive</w:t>
      </w:r>
      <w:r>
        <w:rPr>
          <w:rFonts w:ascii="Times New Roman" w:hAnsi="Times New Roman" w:cs="Times New Roman"/>
        </w:rPr>
        <w:t>.  Second, so much more is at stake here than a “mere filing.”  In fact, NOPEC’s characterization of its unilateral decision to return prematurely over 500,000 customers to SSO service</w:t>
      </w:r>
      <w:r>
        <w:t>—</w:t>
      </w:r>
      <w:r>
        <w:rPr>
          <w:rFonts w:ascii="Times New Roman" w:hAnsi="Times New Roman" w:cs="Times New Roman"/>
        </w:rPr>
        <w:t>and its apparent ignorance of the significant impact that its actions will have on SSO load suppliers, SSO auctions, and the wider Ohio electric market</w:t>
      </w:r>
      <w:r>
        <w:t>—</w:t>
      </w:r>
      <w:r>
        <w:rPr>
          <w:rFonts w:ascii="Times New Roman" w:hAnsi="Times New Roman" w:cs="Times New Roman"/>
        </w:rPr>
        <w:t>underscores why granting TransAlta party status is essential to ensure its interests in this proceeding are adequately protected.</w:t>
      </w:r>
    </w:p>
    <w:p>
      <w:pPr>
        <w:pStyle w:val="Default"/>
        <w:spacing w:line="480" w:lineRule="auto"/>
        <w:ind w:firstLine="720"/>
      </w:pPr>
      <w:r>
        <w:rPr>
          <w:rFonts w:ascii="Times New Roman" w:hAnsi="Times New Roman" w:cs="Times New Roman"/>
        </w:rPr>
        <w:lastRenderedPageBreak/>
        <w:t xml:space="preserve">NOPEC claims TransAlta’s intervention should be denied because its interests can be protected by the submission of comments as sought by the Commission in the Show Cause Entry.  But allowing the mere submission of comments does not provide TransAlta full rights as a party to this proceeding.  Indeed, </w:t>
      </w:r>
      <w:r>
        <w:rPr>
          <w:i/>
          <w:iCs/>
        </w:rPr>
        <w:t>Ohio Domestic Violence Network v. Pub. Utils. Comm’n</w:t>
      </w:r>
      <w:r>
        <w:t xml:space="preserve">, 1994-Ohio-165, 70 Ohio St. 3d 311, 315-16, 638 N.E.2d 1012 (1994), </w:t>
      </w:r>
      <w:r>
        <w:rPr>
          <w:rFonts w:ascii="Times New Roman" w:hAnsi="Times New Roman" w:cs="Times New Roman"/>
        </w:rPr>
        <w:t xml:space="preserve">makes clear intervention is necessary for TransAlta to preserve its appellate rights, including the right to seek rehearing of any adverse rulings in this proceeding.  </w:t>
      </w:r>
    </w:p>
    <w:p>
      <w:pPr>
        <w:pStyle w:val="Default"/>
        <w:spacing w:line="480" w:lineRule="auto"/>
        <w:ind w:firstLine="720"/>
      </w:pPr>
      <w:r>
        <w:t>NOPEC further argues that, essentially, TransAlta’s only interest in this proceeding is the underlying legal issue or the precedent to be set, and that its intervention is “an obvious attempt … to duplicate the efforts of Dynegy.”</w:t>
      </w:r>
      <w:r>
        <w:rPr>
          <w:vertAlign w:val="superscript"/>
        </w:rPr>
        <w:footnoteReference w:id="9"/>
      </w:r>
      <w:r>
        <w:t xml:space="preserve"> </w:t>
      </w:r>
      <w:r>
        <w:rPr>
          <w:rFonts w:ascii="Times New Roman" w:hAnsi="Times New Roman" w:cs="Times New Roman"/>
        </w:rPr>
        <w:t xml:space="preserve"> Again, NOPEC misses the mark.  TransAlta seeks intervention to address whether NOPEC’s actions would result in the suspension of NOPEC’s certification and the effect of those actions and the Commission’s rulings in this case, as specific to TransAlta.  There is no other party, including </w:t>
      </w:r>
      <w:r>
        <w:rPr>
          <w:rFonts w:eastAsia="Calibri"/>
        </w:rPr>
        <w:t>Dynegy Marketing and Trade, LLC</w:t>
      </w:r>
      <w:r>
        <w:rPr>
          <w:rFonts w:ascii="Times New Roman" w:hAnsi="Times New Roman" w:cs="Times New Roman"/>
        </w:rPr>
        <w:t>, that can understand how NOPEC’s load-shifting will impact TransAlta’s business operations, and how that specific impact</w:t>
      </w:r>
      <w:r>
        <w:t xml:space="preserve"> </w:t>
      </w:r>
      <w:r>
        <w:rPr>
          <w:rFonts w:ascii="Times New Roman" w:hAnsi="Times New Roman" w:cs="Times New Roman"/>
        </w:rPr>
        <w:t>could more broadly adversely affect “wholesale auctions which provide the generation for SSO service in all Ohio EDUs service territories.”</w:t>
      </w:r>
      <w:r>
        <w:rPr>
          <w:rStyle w:val="FootnoteReference"/>
          <w:rFonts w:ascii="Times New Roman" w:hAnsi="Times New Roman" w:cs="Times New Roman"/>
        </w:rPr>
        <w:footnoteReference w:id="10"/>
      </w:r>
      <w:r>
        <w:rPr>
          <w:rFonts w:ascii="Times New Roman" w:hAnsi="Times New Roman" w:cs="Times New Roman"/>
        </w:rPr>
        <w:t xml:space="preserve">  Accordingly, TransAlta’s interest in this proceeding is not duplicative or merely based on precedential interest.  To the contrary, TransAlta has a direct and substantial business interest that cannot be represented by any other party, and should therefore be allowed to contribute to the development of the record and actively participate as a party in these proceedings.</w:t>
      </w:r>
    </w:p>
    <w:p>
      <w:pPr>
        <w:pStyle w:val="Default"/>
        <w:spacing w:line="480" w:lineRule="auto"/>
        <w:ind w:firstLine="720"/>
        <w:rPr>
          <w:rFonts w:ascii="Times New Roman" w:hAnsi="Times New Roman" w:cs="Times New Roman"/>
        </w:rPr>
      </w:pPr>
      <w:r>
        <w:rPr>
          <w:rFonts w:ascii="Times New Roman" w:hAnsi="Times New Roman" w:cs="Times New Roman"/>
        </w:rPr>
        <w:lastRenderedPageBreak/>
        <w:t>Indeed, NOPEC’s Memorandum Contra largely relies on broad conclusory statements that are unsupported by any evidence, facts, case law, or precedent, and should thereby be rejected.  For example, in asserting that TransAlta’s intervention will unduly delay the proceeding, NOPEC merely concludes “TransAlta seeks intervention to engage in a campaign against NOPEC,”</w:t>
      </w:r>
      <w:r>
        <w:rPr>
          <w:rStyle w:val="FootnoteReference"/>
          <w:rFonts w:ascii="Times New Roman" w:hAnsi="Times New Roman" w:cs="Times New Roman"/>
        </w:rPr>
        <w:footnoteReference w:id="11"/>
      </w:r>
      <w:r>
        <w:rPr>
          <w:rFonts w:ascii="Times New Roman" w:hAnsi="Times New Roman" w:cs="Times New Roman"/>
        </w:rPr>
        <w:t xml:space="preserve"> and that its intervention “will ultimately result in overbroad and unwarranted discovery requests that go well beyond the narrow scope of this proceeding.”</w:t>
      </w:r>
      <w:r>
        <w:rPr>
          <w:rStyle w:val="FootnoteReference"/>
          <w:rFonts w:ascii="Times New Roman" w:hAnsi="Times New Roman" w:cs="Times New Roman"/>
        </w:rPr>
        <w:footnoteReference w:id="12"/>
      </w:r>
      <w:r>
        <w:rPr>
          <w:rFonts w:ascii="Times New Roman" w:hAnsi="Times New Roman" w:cs="Times New Roman"/>
        </w:rPr>
        <w:t xml:space="preserve">  However, NOPEC provides no evidence or facts to support its assertions.  NOPEC also claims, without any basis, that TransAlta “intends to make general and vague allegations,”</w:t>
      </w:r>
      <w:r>
        <w:rPr>
          <w:rStyle w:val="FootnoteReference"/>
          <w:rFonts w:ascii="Times New Roman" w:hAnsi="Times New Roman" w:cs="Times New Roman"/>
        </w:rPr>
        <w:footnoteReference w:id="13"/>
      </w:r>
      <w:r>
        <w:rPr>
          <w:rFonts w:ascii="Times New Roman" w:hAnsi="Times New Roman" w:cs="Times New Roman"/>
        </w:rPr>
        <w:t xml:space="preserve"> is “blaming NOPEC for its own failures in assessing the risk of being an SSO supplier,”</w:t>
      </w:r>
      <w:r>
        <w:rPr>
          <w:rStyle w:val="FootnoteReference"/>
          <w:rFonts w:ascii="Times New Roman" w:hAnsi="Times New Roman" w:cs="Times New Roman"/>
        </w:rPr>
        <w:footnoteReference w:id="14"/>
      </w:r>
      <w:r>
        <w:rPr>
          <w:rFonts w:ascii="Times New Roman" w:hAnsi="Times New Roman" w:cs="Times New Roman"/>
        </w:rPr>
        <w:t xml:space="preserve"> and that TransAlta intends to “misuse the intervention process . . .  to advance its self-serving interests of avoiding its contractual commitments.”</w:t>
      </w:r>
      <w:r>
        <w:rPr>
          <w:rStyle w:val="FootnoteReference"/>
          <w:rFonts w:ascii="Times New Roman" w:hAnsi="Times New Roman" w:cs="Times New Roman"/>
        </w:rPr>
        <w:footnoteReference w:id="15"/>
      </w:r>
      <w:r>
        <w:rPr>
          <w:rFonts w:ascii="Times New Roman" w:hAnsi="Times New Roman" w:cs="Times New Roman"/>
        </w:rPr>
        <w:t xml:space="preserve">  But again, NOPEC provides no evidence to support these assertions.  Its conclusory and unsupported allegations must fail.</w:t>
      </w:r>
    </w:p>
    <w:p>
      <w:pPr>
        <w:pStyle w:val="OutlineHL1"/>
        <w:rPr>
          <w:rFonts w:ascii="Times New Roman" w:hAnsi="Times New Roman" w:cs="Times New Roman"/>
          <w:szCs w:val="24"/>
        </w:rPr>
      </w:pPr>
      <w:r>
        <w:rPr>
          <w:rFonts w:ascii="Times New Roman" w:hAnsi="Times New Roman" w:cs="Times New Roman"/>
          <w:szCs w:val="24"/>
        </w:rPr>
        <w:t>Conclusion</w:t>
      </w:r>
    </w:p>
    <w:p>
      <w:pPr>
        <w:pStyle w:val="KBodyDoubleFirstIndent5"/>
        <w:jc w:val="left"/>
        <w:rPr>
          <w:rFonts w:eastAsiaTheme="minorHAnsi"/>
          <w:color w:val="000000"/>
        </w:rPr>
      </w:pPr>
      <w:r>
        <w:t xml:space="preserve">WHEREFORE, for the foregoing reasons, TransAlta respectfully requests that the Commission grant its motion to intervene in this proceeding.  </w:t>
      </w:r>
      <w:r>
        <w:rPr>
          <w:rFonts w:eastAsiaTheme="minorHAnsi"/>
          <w:color w:val="000000"/>
        </w:rPr>
        <w:t>Because TransAlta may be bound by any Commission order or activity in this proceeding and may be adversely affected thereby, and because TransAlta’s interests in this proceeding cannot be represented by any other party, TransAlta respectfully requests its motion to intervene be granted without limitation.</w:t>
      </w:r>
    </w:p>
    <w:p>
      <w:pPr>
        <w:pStyle w:val="KBodyDoubleFirstIndent5"/>
        <w:jc w:val="left"/>
      </w:pPr>
    </w:p>
    <w:tbl>
      <w:tblPr>
        <w:tblW w:w="5000" w:type="pct"/>
        <w:tblLayout w:type="fixed"/>
        <w:tblCellMar>
          <w:left w:w="0" w:type="dxa"/>
          <w:right w:w="0" w:type="dxa"/>
        </w:tblCellMar>
        <w:tblLook w:val="0000" w:firstRow="0" w:lastRow="0" w:firstColumn="0" w:lastColumn="0" w:noHBand="0" w:noVBand="0"/>
      </w:tblPr>
      <w:tblGrid>
        <w:gridCol w:w="4680"/>
        <w:gridCol w:w="4680"/>
      </w:tblGrid>
      <w:tr>
        <w:trPr>
          <w:cantSplit/>
        </w:trPr>
        <w:tc>
          <w:tcPr>
            <w:tcW w:w="2500" w:type="pct"/>
          </w:tcPr>
          <w:p>
            <w:pPr>
              <w:widowControl w:val="0"/>
              <w:ind w:right="108"/>
              <w:jc w:val="both"/>
            </w:pPr>
            <w:r>
              <w:lastRenderedPageBreak/>
              <w:t>Dated:</w:t>
            </w:r>
            <w:r>
              <w:tab/>
              <w:t>October 11, 2022</w:t>
            </w:r>
          </w:p>
          <w:p>
            <w:pPr>
              <w:widowControl w:val="0"/>
              <w:ind w:right="108"/>
              <w:jc w:val="both"/>
            </w:pPr>
          </w:p>
        </w:tc>
        <w:tc>
          <w:tcPr>
            <w:tcW w:w="2500" w:type="pct"/>
          </w:tcPr>
          <w:p>
            <w:pPr>
              <w:widowControl w:val="0"/>
              <w:jc w:val="both"/>
              <w:rPr>
                <w:caps/>
              </w:rPr>
            </w:pPr>
            <w:r>
              <w:t>Respectfully submitted,</w:t>
            </w:r>
            <w:bookmarkStart w:name="_mpd897429950000000000000000000000000000" w:id="1"/>
            <w:bookmarkEnd w:id="1"/>
          </w:p>
          <w:p>
            <w:pPr>
              <w:widowControl w:val="0"/>
              <w:ind w:left="108"/>
              <w:jc w:val="both"/>
              <w:rPr>
                <w:caps/>
              </w:rPr>
            </w:pPr>
          </w:p>
          <w:p>
            <w:pPr>
              <w:pStyle w:val="KBody"/>
              <w:spacing w:after="0"/>
              <w:rPr>
                <w:i/>
                <w:iCs/>
                <w:sz w:val="22"/>
                <w:szCs w:val="22"/>
                <w:u w:val="single"/>
              </w:rPr>
            </w:pPr>
            <w:r>
              <w:rPr>
                <w:i/>
                <w:iCs/>
                <w:u w:val="single"/>
              </w:rPr>
              <w:t>/s/ Kimberly Frank</w:t>
            </w:r>
          </w:p>
          <w:p>
            <w:pPr>
              <w:widowControl w:val="0"/>
              <w:contextualSpacing/>
              <w:rPr>
                <w:rFonts w:eastAsia="Calibri"/>
              </w:rPr>
            </w:pPr>
            <w:r>
              <w:rPr>
                <w:rFonts w:eastAsia="Calibri"/>
              </w:rPr>
              <w:t>Kimberly B. Frank, Counsel of Record</w:t>
            </w:r>
          </w:p>
          <w:p>
            <w:pPr>
              <w:widowControl w:val="0"/>
              <w:contextualSpacing/>
              <w:rPr>
                <w:rFonts w:eastAsia="Calibri"/>
              </w:rPr>
            </w:pPr>
            <w:r>
              <w:rPr>
                <w:rFonts w:eastAsia="Calibri"/>
              </w:rPr>
              <w:t>PHV-26301-2022</w:t>
            </w:r>
          </w:p>
          <w:p>
            <w:pPr>
              <w:widowControl w:val="0"/>
              <w:contextualSpacing/>
              <w:rPr>
                <w:rFonts w:eastAsia="Calibri"/>
                <w:i/>
              </w:rPr>
            </w:pPr>
          </w:p>
          <w:p>
            <w:pPr>
              <w:widowControl w:val="0"/>
              <w:contextualSpacing/>
              <w:rPr>
                <w:rFonts w:eastAsia="Calibri"/>
              </w:rPr>
            </w:pPr>
            <w:r>
              <w:rPr>
                <w:rFonts w:eastAsia="Calibri"/>
              </w:rPr>
              <w:t xml:space="preserve">K&amp;L Gates LLP </w:t>
            </w:r>
          </w:p>
          <w:p>
            <w:pPr>
              <w:widowControl w:val="0"/>
              <w:contextualSpacing/>
              <w:rPr>
                <w:rFonts w:eastAsia="Calibri"/>
              </w:rPr>
            </w:pPr>
            <w:r>
              <w:rPr>
                <w:rFonts w:eastAsia="Calibri"/>
              </w:rPr>
              <w:t xml:space="preserve">1601 K Street, NW </w:t>
            </w:r>
          </w:p>
          <w:p>
            <w:pPr>
              <w:widowControl w:val="0"/>
              <w:contextualSpacing/>
              <w:rPr>
                <w:rFonts w:eastAsia="Calibri"/>
              </w:rPr>
            </w:pPr>
            <w:r>
              <w:rPr>
                <w:rFonts w:eastAsia="Calibri"/>
              </w:rPr>
              <w:t>Washington, DC  20006</w:t>
            </w:r>
          </w:p>
          <w:p>
            <w:pPr>
              <w:widowControl w:val="0"/>
              <w:contextualSpacing/>
              <w:rPr>
                <w:rFonts w:eastAsia="Calibri"/>
              </w:rPr>
            </w:pPr>
            <w:r>
              <w:rPr>
                <w:rFonts w:eastAsia="Calibri"/>
              </w:rPr>
              <w:t>Tel: 202-778-9064</w:t>
            </w:r>
          </w:p>
          <w:p>
            <w:pPr>
              <w:widowControl w:val="0"/>
              <w:contextualSpacing/>
              <w:rPr>
                <w:rFonts w:eastAsia="Calibri"/>
              </w:rPr>
            </w:pPr>
            <w:r>
              <w:rPr>
                <w:rFonts w:eastAsiaTheme="minorHAnsi"/>
                <w:szCs w:val="22"/>
              </w:rPr>
              <w:t>Fax: 202-778-9100</w:t>
            </w:r>
          </w:p>
          <w:p>
            <w:pPr>
              <w:pStyle w:val="KBody"/>
              <w:spacing w:after="0"/>
              <w:rPr>
                <w:rFonts w:eastAsia="Calibri"/>
                <w:color w:val="0000FF"/>
                <w:u w:val="single"/>
              </w:rPr>
            </w:pPr>
            <w:r>
              <w:t xml:space="preserve">Email: </w:t>
            </w:r>
            <w:hyperlink w:history="1" r:id="rId8">
              <w:r>
                <w:rPr>
                  <w:rFonts w:eastAsia="Calibri"/>
                  <w:color w:val="0000FF"/>
                  <w:u w:val="single"/>
                </w:rPr>
                <w:t>kimberly.frank@klgates.com</w:t>
              </w:r>
            </w:hyperlink>
          </w:p>
          <w:p>
            <w:pPr>
              <w:pStyle w:val="KBody"/>
              <w:spacing w:after="0"/>
              <w:rPr>
                <w:rFonts w:eastAsia="Calibri"/>
                <w:color w:val="0000FF"/>
                <w:u w:val="single"/>
              </w:rPr>
            </w:pPr>
          </w:p>
          <w:p>
            <w:pPr>
              <w:pStyle w:val="KBody"/>
              <w:spacing w:after="0"/>
            </w:pPr>
            <w:r>
              <w:t>Janessa Glenn (0100782)</w:t>
            </w:r>
          </w:p>
          <w:p>
            <w:pPr>
              <w:pStyle w:val="KBody"/>
              <w:spacing w:after="0"/>
            </w:pPr>
            <w:r>
              <w:t>K&amp;L Gates LLP</w:t>
            </w:r>
          </w:p>
          <w:p>
            <w:pPr>
              <w:pStyle w:val="KBody"/>
              <w:spacing w:after="0"/>
            </w:pPr>
            <w:r>
              <w:t>2801 Via Fortuna, Suite 650</w:t>
            </w:r>
          </w:p>
          <w:p>
            <w:pPr>
              <w:pStyle w:val="KBody"/>
              <w:spacing w:after="0"/>
            </w:pPr>
            <w:r>
              <w:t>Austin, Texas  78746-7568</w:t>
            </w:r>
          </w:p>
          <w:p>
            <w:pPr>
              <w:pStyle w:val="KBody"/>
              <w:spacing w:after="0"/>
            </w:pPr>
            <w:r>
              <w:t>Tel: 512-482-6866</w:t>
            </w:r>
          </w:p>
          <w:p>
            <w:pPr>
              <w:pStyle w:val="KBody"/>
              <w:spacing w:after="0"/>
            </w:pPr>
            <w:r>
              <w:t>Fax: 512-482-6859</w:t>
            </w:r>
          </w:p>
          <w:p>
            <w:pPr>
              <w:pStyle w:val="KBody"/>
              <w:spacing w:after="0"/>
              <w:rPr>
                <w:rStyle w:val="Hyperlink"/>
              </w:rPr>
            </w:pPr>
            <w:r>
              <w:t xml:space="preserve">Email: </w:t>
            </w:r>
            <w:hyperlink w:history="1" r:id="rId9">
              <w:r>
                <w:rPr>
                  <w:rStyle w:val="Hyperlink"/>
                </w:rPr>
                <w:t>janessa.glenn@klgates.com</w:t>
              </w:r>
            </w:hyperlink>
          </w:p>
          <w:p>
            <w:pPr>
              <w:pStyle w:val="KBody"/>
              <w:spacing w:after="0"/>
              <w:rPr>
                <w:rStyle w:val="Hyperlink"/>
              </w:rPr>
            </w:pPr>
          </w:p>
          <w:p>
            <w:pPr>
              <w:widowControl w:val="0"/>
              <w:contextualSpacing/>
              <w:rPr>
                <w:rFonts w:eastAsia="Calibri"/>
              </w:rPr>
            </w:pPr>
          </w:p>
          <w:p>
            <w:pPr>
              <w:pStyle w:val="KBody"/>
              <w:spacing w:after="0"/>
            </w:pPr>
          </w:p>
          <w:p>
            <w:pPr>
              <w:pStyle w:val="KBody"/>
              <w:spacing w:after="0"/>
              <w:rPr>
                <w:b/>
              </w:rPr>
            </w:pPr>
            <w:r>
              <w:rPr>
                <w:b/>
              </w:rPr>
              <w:t>Willing to Accept Service by Email</w:t>
            </w:r>
          </w:p>
          <w:p>
            <w:pPr>
              <w:pStyle w:val="KBody"/>
              <w:spacing w:after="0"/>
              <w:rPr>
                <w:b/>
              </w:rPr>
            </w:pPr>
          </w:p>
          <w:p>
            <w:pPr>
              <w:pStyle w:val="KBody"/>
              <w:spacing w:after="0"/>
              <w:rPr>
                <w:b/>
                <w:bCs/>
                <w:i/>
              </w:rPr>
            </w:pPr>
            <w:r>
              <w:rPr>
                <w:b/>
                <w:bCs/>
                <w:i/>
              </w:rPr>
              <w:t>COUNSEL FOR TRANSALTA ENERGY MARKETING (U.S.) INC.</w:t>
            </w:r>
          </w:p>
          <w:p>
            <w:pPr>
              <w:widowControl w:val="0"/>
              <w:ind w:left="108"/>
              <w:jc w:val="both"/>
            </w:pPr>
          </w:p>
        </w:tc>
      </w:tr>
    </w:tbl>
    <w:p>
      <w:pPr>
        <w:pStyle w:val="FERCBody"/>
        <w:tabs>
          <w:tab w:val="left" w:pos="0"/>
        </w:tabs>
        <w:ind w:firstLine="0"/>
        <w:jc w:val="both"/>
        <w:rPr>
          <w:rFonts w:eastAsiaTheme="majorEastAsia"/>
          <w:b/>
          <w:bCs/>
          <w:caps/>
        </w:rPr>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pPr>
        <w:pStyle w:val="TitleUnderlineBold"/>
        <w:rPr>
          <w:rFonts w:cs="Times New Roman"/>
          <w:szCs w:val="24"/>
        </w:rPr>
      </w:pPr>
      <w:r>
        <w:rPr>
          <w:rFonts w:cs="Times New Roman"/>
          <w:szCs w:val="24"/>
        </w:rPr>
        <w:lastRenderedPageBreak/>
        <w:t>CERTIFICATE OF SERVICE</w:t>
      </w:r>
    </w:p>
    <w:p>
      <w:pPr>
        <w:spacing w:line="480" w:lineRule="auto"/>
        <w:ind w:firstLine="720"/>
        <w:rPr>
          <w:rFonts w:eastAsiaTheme="minorHAnsi"/>
          <w:color w:val="333333"/>
          <w:lang w:val="en"/>
        </w:rPr>
      </w:pPr>
      <w:r>
        <w:rPr>
          <w:rFonts w:eastAsiaTheme="minorHAnsi"/>
          <w:color w:val="333333"/>
          <w:lang w:val="en"/>
        </w:rPr>
        <w:t>I certify on this 11th day of October, 2022, that the foregoing document was filed using the Commission’s Docketing Information System and was served by electronic mail on the following:</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tc>
          <w:tcPr>
            <w:tcW w:w="4675" w:type="dxa"/>
          </w:tcPr>
          <w:p>
            <w:pPr>
              <w:rPr>
                <w:rFonts w:eastAsiaTheme="minorHAnsi"/>
                <w:color w:val="333333"/>
                <w:lang w:val="en"/>
              </w:rPr>
            </w:pPr>
            <w:r>
              <w:rPr>
                <w:rFonts w:eastAsiaTheme="minorHAnsi"/>
                <w:color w:val="333333"/>
                <w:lang w:val="en"/>
              </w:rPr>
              <w:t>Dane Stinson</w:t>
            </w:r>
            <w:r>
              <w:rPr>
                <w:rFonts w:eastAsiaTheme="minorHAnsi"/>
                <w:color w:val="333333"/>
                <w:lang w:val="en"/>
              </w:rPr>
              <w:tab/>
              <w:t xml:space="preserve"> </w:t>
            </w:r>
          </w:p>
          <w:p>
            <w:pPr>
              <w:rPr>
                <w:rFonts w:eastAsiaTheme="minorHAnsi"/>
                <w:color w:val="333333"/>
                <w:lang w:val="en"/>
              </w:rPr>
            </w:pPr>
            <w:r>
              <w:rPr>
                <w:rFonts w:eastAsiaTheme="minorHAnsi"/>
                <w:color w:val="333333"/>
                <w:lang w:val="en"/>
              </w:rPr>
              <w:t>Devin D. Parram</w:t>
            </w:r>
          </w:p>
          <w:p>
            <w:pPr>
              <w:rPr>
                <w:rFonts w:eastAsiaTheme="minorHAnsi"/>
                <w:color w:val="333333"/>
                <w:lang w:val="en"/>
              </w:rPr>
            </w:pPr>
            <w:r>
              <w:rPr>
                <w:rFonts w:eastAsiaTheme="minorHAnsi"/>
                <w:color w:val="333333"/>
                <w:lang w:val="en"/>
              </w:rPr>
              <w:t>Drew H. Campbell</w:t>
            </w:r>
            <w:r>
              <w:rPr>
                <w:rFonts w:eastAsiaTheme="minorHAnsi"/>
                <w:color w:val="333333"/>
                <w:lang w:val="en"/>
              </w:rPr>
              <w:tab/>
              <w:t xml:space="preserve"> </w:t>
            </w:r>
          </w:p>
          <w:p>
            <w:pPr>
              <w:rPr>
                <w:rFonts w:eastAsiaTheme="minorHAnsi"/>
                <w:color w:val="333333"/>
                <w:lang w:val="en"/>
              </w:rPr>
            </w:pPr>
            <w:r>
              <w:rPr>
                <w:rFonts w:eastAsiaTheme="minorHAnsi"/>
                <w:color w:val="333333"/>
                <w:lang w:val="en"/>
              </w:rPr>
              <w:t>Matthew W. Warnock</w:t>
            </w:r>
          </w:p>
          <w:p>
            <w:pPr>
              <w:rPr>
                <w:rFonts w:eastAsiaTheme="minorHAnsi"/>
                <w:color w:val="333333"/>
                <w:lang w:val="en"/>
              </w:rPr>
            </w:pPr>
            <w:r>
              <w:rPr>
                <w:rFonts w:eastAsiaTheme="minorHAnsi"/>
                <w:color w:val="333333"/>
                <w:lang w:val="en"/>
              </w:rPr>
              <w:t>Bricker &amp; Eckler, LLP</w:t>
            </w:r>
          </w:p>
          <w:p>
            <w:pPr>
              <w:rPr>
                <w:rFonts w:eastAsiaTheme="minorHAnsi"/>
                <w:color w:val="333333"/>
                <w:lang w:val="en"/>
              </w:rPr>
            </w:pPr>
            <w:r>
              <w:rPr>
                <w:rFonts w:eastAsiaTheme="minorHAnsi"/>
                <w:color w:val="333333"/>
                <w:lang w:val="en"/>
              </w:rPr>
              <w:t>100 S. Third Street</w:t>
            </w:r>
            <w:r>
              <w:rPr>
                <w:rFonts w:eastAsiaTheme="minorHAnsi"/>
                <w:color w:val="333333"/>
                <w:lang w:val="en"/>
              </w:rPr>
              <w:tab/>
              <w:t xml:space="preserve"> </w:t>
            </w:r>
          </w:p>
          <w:p>
            <w:pPr>
              <w:rPr>
                <w:rFonts w:eastAsiaTheme="minorHAnsi"/>
                <w:color w:val="333333"/>
                <w:lang w:val="en"/>
              </w:rPr>
            </w:pPr>
            <w:r>
              <w:rPr>
                <w:rFonts w:eastAsiaTheme="minorHAnsi"/>
                <w:color w:val="333333"/>
                <w:lang w:val="en"/>
              </w:rPr>
              <w:t>Columbus, OH 43215-4291</w:t>
            </w:r>
            <w:r>
              <w:rPr>
                <w:rFonts w:eastAsiaTheme="minorHAnsi"/>
                <w:color w:val="333333"/>
                <w:lang w:val="en"/>
              </w:rPr>
              <w:tab/>
              <w:t xml:space="preserve"> </w:t>
            </w:r>
          </w:p>
          <w:p>
            <w:pPr>
              <w:rPr>
                <w:rFonts w:eastAsiaTheme="minorHAnsi"/>
                <w:color w:val="333333"/>
                <w:lang w:val="en"/>
              </w:rPr>
            </w:pPr>
            <w:r>
              <w:rPr>
                <w:rFonts w:eastAsiaTheme="minorHAnsi"/>
                <w:color w:val="333333"/>
                <w:lang w:val="en"/>
              </w:rPr>
              <w:t>dstinson@bricker.com</w:t>
            </w:r>
          </w:p>
          <w:p>
            <w:pPr>
              <w:rPr>
                <w:rFonts w:eastAsiaTheme="minorHAnsi"/>
                <w:color w:val="333333"/>
                <w:lang w:val="en"/>
              </w:rPr>
            </w:pPr>
            <w:r>
              <w:rPr>
                <w:rFonts w:eastAsiaTheme="minorHAnsi"/>
                <w:color w:val="333333"/>
                <w:lang w:val="en"/>
              </w:rPr>
              <w:t>dparram@bricker.com</w:t>
            </w:r>
          </w:p>
          <w:p>
            <w:pPr>
              <w:rPr>
                <w:rFonts w:eastAsiaTheme="minorHAnsi"/>
                <w:color w:val="333333"/>
                <w:lang w:val="en"/>
              </w:rPr>
            </w:pPr>
            <w:r>
              <w:rPr>
                <w:rFonts w:eastAsiaTheme="minorHAnsi"/>
                <w:color w:val="333333"/>
                <w:lang w:val="en"/>
              </w:rPr>
              <w:t>dcampbell@bricker.com</w:t>
            </w:r>
          </w:p>
          <w:p>
            <w:pPr>
              <w:rPr>
                <w:rFonts w:eastAsiaTheme="minorHAnsi"/>
                <w:color w:val="333333"/>
                <w:lang w:val="en"/>
              </w:rPr>
            </w:pPr>
            <w:r>
              <w:rPr>
                <w:rFonts w:eastAsiaTheme="minorHAnsi"/>
                <w:color w:val="333333"/>
                <w:lang w:val="en"/>
              </w:rPr>
              <w:t>mwarnock@bricker.com</w:t>
            </w:r>
          </w:p>
          <w:p>
            <w:pPr>
              <w:rPr>
                <w:rFonts w:eastAsiaTheme="minorHAnsi"/>
                <w:color w:val="333333"/>
                <w:lang w:val="en"/>
              </w:rPr>
            </w:pPr>
          </w:p>
          <w:p>
            <w:pPr>
              <w:autoSpaceDE w:val="0"/>
              <w:autoSpaceDN w:val="0"/>
              <w:rPr>
                <w:rFonts w:eastAsiaTheme="minorHAnsi"/>
              </w:rPr>
            </w:pPr>
            <w:r>
              <w:rPr>
                <w:rFonts w:eastAsiaTheme="minorHAnsi"/>
              </w:rPr>
              <w:t>David F. Proaño</w:t>
            </w:r>
          </w:p>
          <w:p>
            <w:pPr>
              <w:autoSpaceDE w:val="0"/>
              <w:autoSpaceDN w:val="0"/>
              <w:rPr>
                <w:rFonts w:eastAsiaTheme="minorHAnsi"/>
              </w:rPr>
            </w:pPr>
            <w:r>
              <w:rPr>
                <w:rFonts w:eastAsiaTheme="minorHAnsi"/>
              </w:rPr>
              <w:t xml:space="preserve">Taylor M. Thompson  </w:t>
            </w:r>
          </w:p>
          <w:p>
            <w:pPr>
              <w:autoSpaceDE w:val="0"/>
              <w:autoSpaceDN w:val="0"/>
              <w:rPr>
                <w:rFonts w:eastAsiaTheme="minorHAnsi"/>
              </w:rPr>
            </w:pPr>
            <w:r>
              <w:rPr>
                <w:rFonts w:eastAsiaTheme="minorHAnsi"/>
              </w:rPr>
              <w:t xml:space="preserve">James H. Rollinson  </w:t>
            </w:r>
          </w:p>
          <w:p>
            <w:pPr>
              <w:autoSpaceDE w:val="0"/>
              <w:autoSpaceDN w:val="0"/>
              <w:rPr>
                <w:rFonts w:eastAsiaTheme="minorHAnsi"/>
              </w:rPr>
            </w:pPr>
            <w:r>
              <w:rPr>
                <w:rFonts w:eastAsiaTheme="minorHAnsi"/>
              </w:rPr>
              <w:t xml:space="preserve">Patrick T. Lewis  </w:t>
            </w:r>
          </w:p>
          <w:p>
            <w:pPr>
              <w:autoSpaceDE w:val="0"/>
              <w:autoSpaceDN w:val="0"/>
              <w:rPr>
                <w:rFonts w:eastAsiaTheme="minorHAnsi"/>
              </w:rPr>
            </w:pPr>
            <w:r>
              <w:rPr>
                <w:rFonts w:eastAsiaTheme="minorHAnsi"/>
              </w:rPr>
              <w:t>Kyle T. Cutts</w:t>
            </w:r>
          </w:p>
          <w:p>
            <w:pPr>
              <w:autoSpaceDE w:val="0"/>
              <w:autoSpaceDN w:val="0"/>
              <w:rPr>
                <w:rFonts w:eastAsiaTheme="minorHAnsi"/>
              </w:rPr>
            </w:pPr>
            <w:r>
              <w:rPr>
                <w:rFonts w:eastAsiaTheme="minorHAnsi"/>
              </w:rPr>
              <w:t xml:space="preserve">Baker &amp; Hostetler LLP </w:t>
            </w:r>
          </w:p>
          <w:p>
            <w:pPr>
              <w:autoSpaceDE w:val="0"/>
              <w:autoSpaceDN w:val="0"/>
              <w:rPr>
                <w:rFonts w:eastAsiaTheme="minorHAnsi"/>
              </w:rPr>
            </w:pPr>
            <w:r>
              <w:rPr>
                <w:rFonts w:eastAsiaTheme="minorHAnsi"/>
              </w:rPr>
              <w:t xml:space="preserve">127 Public Square, Suite 2000 </w:t>
            </w:r>
          </w:p>
          <w:p>
            <w:pPr>
              <w:autoSpaceDE w:val="0"/>
              <w:autoSpaceDN w:val="0"/>
              <w:rPr>
                <w:rFonts w:eastAsiaTheme="minorHAnsi"/>
              </w:rPr>
            </w:pPr>
            <w:r>
              <w:rPr>
                <w:rFonts w:eastAsiaTheme="minorHAnsi"/>
              </w:rPr>
              <w:t xml:space="preserve">Cleveland, OH 44114 </w:t>
            </w:r>
          </w:p>
          <w:p>
            <w:pPr>
              <w:autoSpaceDE w:val="0"/>
              <w:autoSpaceDN w:val="0"/>
              <w:rPr>
                <w:rFonts w:eastAsiaTheme="minorHAnsi"/>
                <w:sz w:val="23"/>
                <w:szCs w:val="23"/>
              </w:rPr>
            </w:pPr>
            <w:r>
              <w:rPr>
                <w:rFonts w:eastAsiaTheme="minorHAnsi"/>
                <w:sz w:val="23"/>
                <w:szCs w:val="23"/>
              </w:rPr>
              <w:t xml:space="preserve">dproano@bakerlaw.com </w:t>
            </w:r>
          </w:p>
          <w:p>
            <w:pPr>
              <w:autoSpaceDE w:val="0"/>
              <w:autoSpaceDN w:val="0"/>
              <w:rPr>
                <w:rFonts w:eastAsiaTheme="minorHAnsi"/>
                <w:sz w:val="23"/>
                <w:szCs w:val="23"/>
              </w:rPr>
            </w:pPr>
            <w:r>
              <w:rPr>
                <w:rFonts w:eastAsiaTheme="minorHAnsi"/>
                <w:sz w:val="23"/>
                <w:szCs w:val="23"/>
              </w:rPr>
              <w:t xml:space="preserve">tathompson@bakerlaw.com </w:t>
            </w:r>
          </w:p>
          <w:p>
            <w:pPr>
              <w:autoSpaceDE w:val="0"/>
              <w:autoSpaceDN w:val="0"/>
              <w:rPr>
                <w:rFonts w:eastAsiaTheme="minorHAnsi"/>
              </w:rPr>
            </w:pPr>
            <w:r>
              <w:rPr>
                <w:rFonts w:eastAsiaTheme="minorHAnsi"/>
              </w:rPr>
              <w:t xml:space="preserve">jrollinson@bakerlaw.com plewis@bakerlaw.com </w:t>
            </w:r>
          </w:p>
          <w:p>
            <w:pPr>
              <w:autoSpaceDE w:val="0"/>
              <w:autoSpaceDN w:val="0"/>
              <w:rPr>
                <w:rFonts w:eastAsiaTheme="minorHAnsi"/>
              </w:rPr>
            </w:pPr>
            <w:r>
              <w:rPr>
                <w:rFonts w:eastAsiaTheme="minorHAnsi"/>
              </w:rPr>
              <w:t>kcutts@bakerlaw.com</w:t>
            </w:r>
          </w:p>
        </w:tc>
        <w:tc>
          <w:tcPr>
            <w:tcW w:w="4675" w:type="dxa"/>
          </w:tcPr>
          <w:p>
            <w:pPr>
              <w:rPr>
                <w:rFonts w:eastAsiaTheme="minorHAnsi"/>
              </w:rPr>
            </w:pPr>
            <w:r>
              <w:rPr>
                <w:rFonts w:eastAsiaTheme="minorHAnsi"/>
              </w:rPr>
              <w:t>Thomas Lindgren</w:t>
            </w:r>
          </w:p>
          <w:p>
            <w:pPr>
              <w:rPr>
                <w:rFonts w:eastAsiaTheme="minorHAnsi"/>
              </w:rPr>
            </w:pPr>
            <w:r>
              <w:rPr>
                <w:rFonts w:eastAsiaTheme="minorHAnsi"/>
              </w:rPr>
              <w:t>Rhiannon Plant</w:t>
            </w:r>
          </w:p>
          <w:p>
            <w:pPr>
              <w:rPr>
                <w:rFonts w:eastAsiaTheme="minorHAnsi"/>
              </w:rPr>
            </w:pPr>
            <w:r>
              <w:rPr>
                <w:rFonts w:eastAsiaTheme="minorHAnsi"/>
              </w:rPr>
              <w:t>Assistant Ohio Attorneys General</w:t>
            </w:r>
          </w:p>
          <w:p>
            <w:pPr>
              <w:rPr>
                <w:rFonts w:eastAsiaTheme="minorHAnsi"/>
              </w:rPr>
            </w:pPr>
            <w:r>
              <w:rPr>
                <w:rFonts w:eastAsiaTheme="minorHAnsi"/>
              </w:rPr>
              <w:t>Public Utilities Section</w:t>
            </w:r>
          </w:p>
          <w:p>
            <w:pPr>
              <w:rPr>
                <w:rFonts w:eastAsiaTheme="minorHAnsi"/>
              </w:rPr>
            </w:pPr>
            <w:r>
              <w:rPr>
                <w:rFonts w:eastAsiaTheme="minorHAnsi"/>
              </w:rPr>
              <w:t>30 East Broad Street</w:t>
            </w:r>
          </w:p>
          <w:p>
            <w:pPr>
              <w:rPr>
                <w:rFonts w:eastAsiaTheme="minorHAnsi"/>
              </w:rPr>
            </w:pPr>
            <w:r>
              <w:rPr>
                <w:rFonts w:eastAsiaTheme="minorHAnsi"/>
              </w:rPr>
              <w:t>Columbus, OH  43215</w:t>
            </w:r>
          </w:p>
          <w:p>
            <w:pPr>
              <w:rPr>
                <w:rFonts w:eastAsiaTheme="minorHAnsi"/>
              </w:rPr>
            </w:pPr>
            <w:r>
              <w:rPr>
                <w:rFonts w:eastAsiaTheme="minorHAnsi"/>
              </w:rPr>
              <w:t>Thomas.Lindgren@OhioAGO.gov</w:t>
            </w:r>
          </w:p>
          <w:p>
            <w:pPr>
              <w:rPr>
                <w:rFonts w:eastAsiaTheme="minorHAnsi"/>
              </w:rPr>
            </w:pPr>
            <w:r>
              <w:rPr>
                <w:rFonts w:eastAsiaTheme="minorHAnsi"/>
              </w:rPr>
              <w:t>Rhiannon.Plant@OhioAGO.gov</w:t>
            </w:r>
          </w:p>
          <w:p>
            <w:pPr>
              <w:rPr>
                <w:rFonts w:eastAsiaTheme="minorHAnsi"/>
              </w:rPr>
            </w:pPr>
          </w:p>
          <w:p>
            <w:pPr>
              <w:rPr>
                <w:rFonts w:eastAsiaTheme="minorHAnsi"/>
              </w:rPr>
            </w:pPr>
            <w:r>
              <w:rPr>
                <w:rFonts w:eastAsiaTheme="minorHAnsi"/>
              </w:rPr>
              <w:t>Steven T. Nourse</w:t>
            </w:r>
          </w:p>
          <w:p>
            <w:pPr>
              <w:rPr>
                <w:rFonts w:eastAsiaTheme="minorHAnsi"/>
              </w:rPr>
            </w:pPr>
            <w:r>
              <w:rPr>
                <w:rFonts w:eastAsiaTheme="minorHAnsi"/>
              </w:rPr>
              <w:t>AEP Service Corporation</w:t>
            </w:r>
          </w:p>
          <w:p>
            <w:pPr>
              <w:rPr>
                <w:rFonts w:eastAsiaTheme="minorHAnsi"/>
              </w:rPr>
            </w:pPr>
            <w:r>
              <w:rPr>
                <w:rFonts w:eastAsiaTheme="minorHAnsi"/>
              </w:rPr>
              <w:t>1 Riverside Plaza</w:t>
            </w:r>
          </w:p>
          <w:p>
            <w:pPr>
              <w:rPr>
                <w:rFonts w:eastAsiaTheme="minorHAnsi"/>
              </w:rPr>
            </w:pPr>
            <w:r>
              <w:rPr>
                <w:rFonts w:eastAsiaTheme="minorHAnsi"/>
              </w:rPr>
              <w:t>Columbus, OH 43215</w:t>
            </w:r>
          </w:p>
          <w:p>
            <w:pPr>
              <w:rPr>
                <w:rFonts w:eastAsiaTheme="minorHAnsi"/>
              </w:rPr>
            </w:pPr>
            <w:r>
              <w:rPr>
                <w:rFonts w:eastAsiaTheme="minorHAnsi"/>
              </w:rPr>
              <w:t>stnourse@aep.com</w:t>
            </w:r>
          </w:p>
          <w:p>
            <w:pPr>
              <w:rPr>
                <w:rFonts w:eastAsiaTheme="minorHAnsi"/>
              </w:rPr>
            </w:pPr>
          </w:p>
          <w:p>
            <w:pPr>
              <w:rPr>
                <w:rFonts w:eastAsiaTheme="minorHAnsi"/>
              </w:rPr>
            </w:pPr>
            <w:r>
              <w:rPr>
                <w:rFonts w:eastAsiaTheme="minorHAnsi"/>
              </w:rPr>
              <w:t>Larry Sauer</w:t>
            </w:r>
          </w:p>
          <w:p>
            <w:pPr>
              <w:rPr>
                <w:rFonts w:eastAsiaTheme="minorHAnsi"/>
              </w:rPr>
            </w:pPr>
            <w:r>
              <w:rPr>
                <w:rFonts w:eastAsiaTheme="minorHAnsi"/>
              </w:rPr>
              <w:t>John Finnigan</w:t>
            </w:r>
          </w:p>
          <w:p>
            <w:pPr>
              <w:rPr>
                <w:rFonts w:eastAsiaTheme="minorHAnsi"/>
              </w:rPr>
            </w:pPr>
            <w:r>
              <w:rPr>
                <w:rFonts w:eastAsiaTheme="minorHAnsi"/>
              </w:rPr>
              <w:t>Maureen R. Willis</w:t>
            </w:r>
          </w:p>
          <w:p>
            <w:pPr>
              <w:rPr>
                <w:rFonts w:eastAsiaTheme="minorHAnsi"/>
              </w:rPr>
            </w:pPr>
            <w:r>
              <w:rPr>
                <w:rFonts w:eastAsiaTheme="minorHAnsi"/>
              </w:rPr>
              <w:t>Alana M. Noward</w:t>
            </w:r>
          </w:p>
          <w:p>
            <w:pPr>
              <w:rPr>
                <w:rFonts w:eastAsiaTheme="minorHAnsi"/>
              </w:rPr>
            </w:pPr>
            <w:r>
              <w:rPr>
                <w:rFonts w:eastAsiaTheme="minorHAnsi"/>
              </w:rPr>
              <w:t>Office of the Ohio Consumers’ Counsel</w:t>
            </w:r>
          </w:p>
          <w:p>
            <w:pPr>
              <w:rPr>
                <w:rFonts w:eastAsiaTheme="minorHAnsi"/>
              </w:rPr>
            </w:pPr>
            <w:r>
              <w:rPr>
                <w:rFonts w:eastAsiaTheme="minorHAnsi"/>
              </w:rPr>
              <w:t>65 East State Street, Suite 700</w:t>
            </w:r>
          </w:p>
          <w:p>
            <w:pPr>
              <w:rPr>
                <w:rFonts w:eastAsiaTheme="minorHAnsi"/>
              </w:rPr>
            </w:pPr>
            <w:r>
              <w:rPr>
                <w:rFonts w:eastAsiaTheme="minorHAnsi"/>
              </w:rPr>
              <w:t>Columbus, OH  43215</w:t>
            </w:r>
          </w:p>
          <w:p>
            <w:pPr>
              <w:rPr>
                <w:rFonts w:eastAsiaTheme="minorHAnsi"/>
              </w:rPr>
            </w:pPr>
            <w:r>
              <w:rPr>
                <w:rFonts w:eastAsiaTheme="minorHAnsi"/>
              </w:rPr>
              <w:t>Larry.Sauer@occ.ohio.gov</w:t>
            </w:r>
          </w:p>
          <w:p>
            <w:pPr>
              <w:rPr>
                <w:rFonts w:eastAsiaTheme="minorHAnsi"/>
              </w:rPr>
            </w:pPr>
            <w:r>
              <w:rPr>
                <w:rFonts w:eastAsiaTheme="minorHAnsi"/>
              </w:rPr>
              <w:t>John.Finnigan@occ.ohio.gov</w:t>
            </w:r>
          </w:p>
          <w:p>
            <w:pPr>
              <w:rPr>
                <w:rFonts w:eastAsiaTheme="minorHAnsi"/>
              </w:rPr>
            </w:pPr>
            <w:r>
              <w:rPr>
                <w:rFonts w:eastAsiaTheme="minorHAnsi"/>
              </w:rPr>
              <w:t>Maureen.Willis@occ.ohio.gov</w:t>
            </w:r>
          </w:p>
          <w:p>
            <w:pPr>
              <w:rPr>
                <w:rFonts w:eastAsiaTheme="minorHAnsi"/>
              </w:rPr>
            </w:pPr>
            <w:r>
              <w:rPr>
                <w:rFonts w:eastAsiaTheme="minorHAnsi"/>
              </w:rPr>
              <w:t>Alana.noward@occ.ohio.gov</w:t>
            </w:r>
          </w:p>
        </w:tc>
      </w:tr>
      <w:tr>
        <w:tc>
          <w:tcPr>
            <w:tcW w:w="4675" w:type="dxa"/>
          </w:tcPr>
          <w:p>
            <w:pPr>
              <w:rPr>
                <w:rFonts w:eastAsiaTheme="minorHAnsi"/>
              </w:rPr>
            </w:pPr>
          </w:p>
        </w:tc>
        <w:tc>
          <w:tcPr>
            <w:tcW w:w="4675" w:type="dxa"/>
          </w:tcPr>
          <w:p>
            <w:pPr>
              <w:rPr>
                <w:rFonts w:eastAsiaTheme="minorHAnsi"/>
              </w:rPr>
            </w:pPr>
          </w:p>
        </w:tc>
      </w:tr>
      <w:tr>
        <w:tc>
          <w:tcPr>
            <w:tcW w:w="4675" w:type="dxa"/>
          </w:tcPr>
          <w:p>
            <w:pPr>
              <w:autoSpaceDE w:val="0"/>
              <w:autoSpaceDN w:val="0"/>
              <w:rPr>
                <w:rFonts w:eastAsiaTheme="minorHAnsi"/>
              </w:rPr>
            </w:pPr>
            <w:r>
              <w:rPr>
                <w:rFonts w:eastAsiaTheme="minorHAnsi"/>
              </w:rPr>
              <w:t xml:space="preserve">Ali I. Haque  </w:t>
            </w:r>
          </w:p>
          <w:p>
            <w:pPr>
              <w:autoSpaceDE w:val="0"/>
              <w:autoSpaceDN w:val="0"/>
              <w:rPr>
                <w:rFonts w:eastAsiaTheme="minorHAnsi"/>
              </w:rPr>
            </w:pPr>
            <w:r>
              <w:rPr>
                <w:rFonts w:eastAsiaTheme="minorHAnsi"/>
              </w:rPr>
              <w:t xml:space="preserve">Baker &amp; Hostetler LLP </w:t>
            </w:r>
          </w:p>
          <w:p>
            <w:pPr>
              <w:autoSpaceDE w:val="0"/>
              <w:autoSpaceDN w:val="0"/>
              <w:rPr>
                <w:rFonts w:eastAsiaTheme="minorHAnsi"/>
              </w:rPr>
            </w:pPr>
            <w:r>
              <w:rPr>
                <w:rFonts w:eastAsiaTheme="minorHAnsi"/>
              </w:rPr>
              <w:t xml:space="preserve">200 Civic Center Drive, Suite 1200 </w:t>
            </w:r>
          </w:p>
          <w:p>
            <w:pPr>
              <w:autoSpaceDE w:val="0"/>
              <w:autoSpaceDN w:val="0"/>
              <w:rPr>
                <w:rFonts w:eastAsiaTheme="minorHAnsi"/>
              </w:rPr>
            </w:pPr>
            <w:r>
              <w:rPr>
                <w:rFonts w:eastAsiaTheme="minorHAnsi"/>
              </w:rPr>
              <w:t xml:space="preserve">Columbus, OH 43215 </w:t>
            </w:r>
          </w:p>
          <w:p>
            <w:pPr>
              <w:autoSpaceDE w:val="0"/>
              <w:autoSpaceDN w:val="0"/>
              <w:rPr>
                <w:rFonts w:eastAsiaTheme="minorHAnsi"/>
              </w:rPr>
            </w:pPr>
            <w:r>
              <w:rPr>
                <w:rFonts w:eastAsiaTheme="minorHAnsi"/>
              </w:rPr>
              <w:t>ahaque@bakerlaw.com</w:t>
            </w:r>
          </w:p>
          <w:p>
            <w:pPr>
              <w:rPr>
                <w:rFonts w:eastAsiaTheme="minorHAnsi"/>
              </w:rPr>
            </w:pPr>
          </w:p>
          <w:p>
            <w:pPr>
              <w:rPr>
                <w:rFonts w:eastAsiaTheme="minorHAnsi"/>
              </w:rPr>
            </w:pPr>
            <w:r>
              <w:rPr>
                <w:rFonts w:eastAsiaTheme="minorHAnsi"/>
              </w:rPr>
              <w:t>Brian Knipe</w:t>
            </w:r>
            <w:r>
              <w:rPr>
                <w:rFonts w:eastAsiaTheme="minorHAnsi"/>
              </w:rPr>
              <w:br/>
              <w:t>First Energy Corp.</w:t>
            </w:r>
          </w:p>
          <w:p>
            <w:pPr>
              <w:rPr>
                <w:rFonts w:eastAsiaTheme="minorHAnsi"/>
              </w:rPr>
            </w:pPr>
            <w:r>
              <w:rPr>
                <w:rFonts w:eastAsiaTheme="minorHAnsi"/>
              </w:rPr>
              <w:t>76 South Main Street</w:t>
            </w:r>
          </w:p>
          <w:p>
            <w:pPr>
              <w:rPr>
                <w:rFonts w:eastAsiaTheme="minorHAnsi"/>
              </w:rPr>
            </w:pPr>
            <w:r>
              <w:rPr>
                <w:rFonts w:eastAsiaTheme="minorHAnsi"/>
              </w:rPr>
              <w:t>Akron, OH  44308</w:t>
            </w:r>
          </w:p>
          <w:p>
            <w:pPr>
              <w:rPr>
                <w:rFonts w:eastAsiaTheme="minorHAnsi"/>
              </w:rPr>
            </w:pPr>
            <w:r>
              <w:rPr>
                <w:rFonts w:eastAsiaTheme="minorHAnsi"/>
              </w:rPr>
              <w:t>bknipe@firstenergycorp.com</w:t>
            </w:r>
          </w:p>
          <w:p>
            <w:pPr>
              <w:rPr>
                <w:rFonts w:eastAsiaTheme="minorHAnsi"/>
              </w:rPr>
            </w:pPr>
          </w:p>
          <w:p>
            <w:pPr>
              <w:rPr>
                <w:rFonts w:eastAsiaTheme="minorHAnsi"/>
              </w:rPr>
            </w:pPr>
            <w:r>
              <w:rPr>
                <w:rFonts w:eastAsiaTheme="minorHAnsi"/>
              </w:rPr>
              <w:lastRenderedPageBreak/>
              <w:t>Evan Betterton</w:t>
            </w:r>
          </w:p>
          <w:p>
            <w:pPr>
              <w:rPr>
                <w:rFonts w:eastAsiaTheme="minorHAnsi"/>
              </w:rPr>
            </w:pPr>
            <w:r>
              <w:rPr>
                <w:rFonts w:eastAsiaTheme="minorHAnsi"/>
              </w:rPr>
              <w:t>Stacie Cathcart</w:t>
            </w:r>
          </w:p>
          <w:p>
            <w:pPr>
              <w:rPr>
                <w:rFonts w:eastAsiaTheme="minorHAnsi"/>
              </w:rPr>
            </w:pPr>
            <w:r>
              <w:rPr>
                <w:rFonts w:eastAsiaTheme="minorHAnsi"/>
              </w:rPr>
              <w:t>IGS Energy</w:t>
            </w:r>
          </w:p>
          <w:p>
            <w:pPr>
              <w:rPr>
                <w:rFonts w:eastAsiaTheme="minorHAnsi"/>
              </w:rPr>
            </w:pPr>
            <w:r>
              <w:rPr>
                <w:rFonts w:eastAsiaTheme="minorHAnsi"/>
              </w:rPr>
              <w:t>6100 Emerald Parkway</w:t>
            </w:r>
          </w:p>
          <w:p>
            <w:pPr>
              <w:rPr>
                <w:rFonts w:eastAsiaTheme="minorHAnsi"/>
              </w:rPr>
            </w:pPr>
            <w:r>
              <w:rPr>
                <w:rFonts w:eastAsiaTheme="minorHAnsi"/>
              </w:rPr>
              <w:t>Dublin, OH 43016</w:t>
            </w:r>
          </w:p>
          <w:p>
            <w:pPr>
              <w:rPr>
                <w:rFonts w:eastAsiaTheme="minorHAnsi"/>
              </w:rPr>
            </w:pPr>
            <w:r>
              <w:rPr>
                <w:rFonts w:eastAsiaTheme="minorHAnsi"/>
              </w:rPr>
              <w:t>evan.betterton@igs.com</w:t>
            </w:r>
          </w:p>
          <w:p>
            <w:pPr>
              <w:rPr>
                <w:rFonts w:eastAsiaTheme="minorHAnsi"/>
              </w:rPr>
            </w:pPr>
            <w:r>
              <w:rPr>
                <w:rFonts w:eastAsiaTheme="minorHAnsi"/>
              </w:rPr>
              <w:t>stacie.cathcart@igs.com</w:t>
            </w:r>
          </w:p>
        </w:tc>
        <w:tc>
          <w:tcPr>
            <w:tcW w:w="4675" w:type="dxa"/>
          </w:tcPr>
          <w:p>
            <w:pPr>
              <w:rPr>
                <w:rFonts w:eastAsiaTheme="minorHAnsi"/>
              </w:rPr>
            </w:pPr>
            <w:r>
              <w:rPr>
                <w:rFonts w:eastAsiaTheme="minorHAnsi"/>
              </w:rPr>
              <w:lastRenderedPageBreak/>
              <w:t>Michael Dortch</w:t>
            </w:r>
          </w:p>
          <w:p>
            <w:pPr>
              <w:rPr>
                <w:rFonts w:eastAsiaTheme="minorHAnsi"/>
              </w:rPr>
            </w:pPr>
            <w:r>
              <w:rPr>
                <w:rFonts w:eastAsiaTheme="minorHAnsi"/>
              </w:rPr>
              <w:t>Justin M. Dortch</w:t>
            </w:r>
          </w:p>
          <w:p>
            <w:pPr>
              <w:rPr>
                <w:rFonts w:eastAsiaTheme="minorHAnsi"/>
              </w:rPr>
            </w:pPr>
            <w:r>
              <w:rPr>
                <w:rFonts w:eastAsiaTheme="minorHAnsi"/>
              </w:rPr>
              <w:t>Richard R. Parsons</w:t>
            </w:r>
          </w:p>
          <w:p>
            <w:pPr>
              <w:rPr>
                <w:rFonts w:eastAsiaTheme="minorHAnsi"/>
              </w:rPr>
            </w:pPr>
            <w:r>
              <w:rPr>
                <w:rFonts w:eastAsiaTheme="minorHAnsi"/>
              </w:rPr>
              <w:t>Kravitz, Brown &amp; Dortch, LLC</w:t>
            </w:r>
          </w:p>
          <w:p>
            <w:pPr>
              <w:rPr>
                <w:rFonts w:eastAsiaTheme="minorHAnsi"/>
              </w:rPr>
            </w:pPr>
            <w:r>
              <w:rPr>
                <w:rFonts w:eastAsiaTheme="minorHAnsi"/>
              </w:rPr>
              <w:t>65 East State Street, Suite 200</w:t>
            </w:r>
          </w:p>
          <w:p>
            <w:pPr>
              <w:rPr>
                <w:rFonts w:eastAsiaTheme="minorHAnsi"/>
              </w:rPr>
            </w:pPr>
            <w:r>
              <w:rPr>
                <w:rFonts w:eastAsiaTheme="minorHAnsi"/>
              </w:rPr>
              <w:t>Columbus, OH  43215</w:t>
            </w:r>
          </w:p>
          <w:p>
            <w:pPr>
              <w:rPr>
                <w:rFonts w:eastAsiaTheme="minorHAnsi"/>
              </w:rPr>
            </w:pPr>
            <w:r>
              <w:rPr>
                <w:rFonts w:eastAsiaTheme="minorHAnsi"/>
              </w:rPr>
              <w:t>mdortch@kravitzllc.com</w:t>
            </w:r>
          </w:p>
          <w:p>
            <w:pPr>
              <w:rPr>
                <w:rFonts w:eastAsiaTheme="minorHAnsi"/>
              </w:rPr>
            </w:pPr>
            <w:r>
              <w:rPr>
                <w:rFonts w:eastAsiaTheme="minorHAnsi"/>
              </w:rPr>
              <w:t>jdortch@kravitzllc.com</w:t>
            </w:r>
          </w:p>
          <w:p>
            <w:pPr>
              <w:rPr>
                <w:rFonts w:eastAsiaTheme="minorHAnsi"/>
              </w:rPr>
            </w:pPr>
            <w:r>
              <w:rPr>
                <w:rFonts w:eastAsiaTheme="minorHAnsi"/>
              </w:rPr>
              <w:t>rparsons@kravitzllc.com</w:t>
            </w:r>
          </w:p>
          <w:p>
            <w:pPr>
              <w:rPr>
                <w:rFonts w:eastAsiaTheme="minorHAnsi"/>
              </w:rPr>
            </w:pPr>
          </w:p>
          <w:p>
            <w:pPr>
              <w:rPr>
                <w:rFonts w:eastAsiaTheme="minorHAnsi"/>
              </w:rPr>
            </w:pPr>
          </w:p>
          <w:p>
            <w:pPr>
              <w:rPr>
                <w:rFonts w:eastAsiaTheme="minorHAnsi"/>
              </w:rPr>
            </w:pPr>
          </w:p>
          <w:p>
            <w:pPr>
              <w:rPr>
                <w:rFonts w:eastAsiaTheme="minorHAnsi"/>
              </w:rPr>
            </w:pPr>
            <w:r>
              <w:rPr>
                <w:rFonts w:eastAsiaTheme="minorHAnsi"/>
              </w:rPr>
              <w:lastRenderedPageBreak/>
              <w:t>Michael A. Yuffee (</w:t>
            </w:r>
            <w:r>
              <w:rPr>
                <w:rFonts w:eastAsiaTheme="minorHAnsi"/>
                <w:i/>
              </w:rPr>
              <w:t>pro hac vice pending</w:t>
            </w:r>
            <w:r>
              <w:rPr>
                <w:rFonts w:eastAsiaTheme="minorHAnsi"/>
              </w:rPr>
              <w:t>)</w:t>
            </w:r>
          </w:p>
          <w:p>
            <w:pPr>
              <w:rPr>
                <w:rFonts w:eastAsiaTheme="minorHAnsi"/>
              </w:rPr>
            </w:pPr>
            <w:r>
              <w:rPr>
                <w:rFonts w:eastAsiaTheme="minorHAnsi"/>
              </w:rPr>
              <w:t>PHV#260362002</w:t>
            </w:r>
          </w:p>
          <w:p>
            <w:pPr>
              <w:rPr>
                <w:rFonts w:eastAsiaTheme="minorHAnsi"/>
              </w:rPr>
            </w:pPr>
            <w:r>
              <w:rPr>
                <w:rFonts w:eastAsiaTheme="minorHAnsi"/>
              </w:rPr>
              <w:t>Ryan Norfolk (</w:t>
            </w:r>
            <w:r>
              <w:rPr>
                <w:rFonts w:eastAsiaTheme="minorHAnsi"/>
                <w:i/>
              </w:rPr>
              <w:t>pro hac vice pending</w:t>
            </w:r>
            <w:r>
              <w:rPr>
                <w:rFonts w:eastAsiaTheme="minorHAnsi"/>
              </w:rPr>
              <w:t>)</w:t>
            </w:r>
          </w:p>
          <w:p>
            <w:pPr>
              <w:rPr>
                <w:rFonts w:eastAsiaTheme="minorHAnsi"/>
              </w:rPr>
            </w:pPr>
            <w:r>
              <w:rPr>
                <w:rFonts w:eastAsiaTheme="minorHAnsi"/>
              </w:rPr>
              <w:t>PHV # 26248-2002</w:t>
            </w:r>
          </w:p>
          <w:p>
            <w:pPr>
              <w:rPr>
                <w:rFonts w:eastAsiaTheme="minorHAnsi"/>
              </w:rPr>
            </w:pPr>
            <w:r>
              <w:rPr>
                <w:rFonts w:eastAsiaTheme="minorHAnsi"/>
              </w:rPr>
              <w:t>Baker Botts, LLP</w:t>
            </w:r>
          </w:p>
          <w:p>
            <w:pPr>
              <w:rPr>
                <w:rFonts w:eastAsiaTheme="minorHAnsi"/>
              </w:rPr>
            </w:pPr>
            <w:r>
              <w:rPr>
                <w:rFonts w:eastAsiaTheme="minorHAnsi"/>
              </w:rPr>
              <w:t>700 K Street, NW</w:t>
            </w:r>
          </w:p>
          <w:p>
            <w:pPr>
              <w:rPr>
                <w:rFonts w:eastAsiaTheme="minorHAnsi"/>
              </w:rPr>
            </w:pPr>
            <w:r>
              <w:rPr>
                <w:rFonts w:eastAsiaTheme="minorHAnsi"/>
              </w:rPr>
              <w:t>Washington, DC  20001</w:t>
            </w:r>
          </w:p>
          <w:p>
            <w:pPr>
              <w:rPr>
                <w:rFonts w:eastAsiaTheme="minorHAnsi"/>
              </w:rPr>
            </w:pPr>
            <w:r>
              <w:rPr>
                <w:rFonts w:eastAsiaTheme="minorHAnsi"/>
              </w:rPr>
              <w:t>michael.yuffee@bakerbotts.com</w:t>
            </w:r>
          </w:p>
          <w:p>
            <w:pPr>
              <w:rPr>
                <w:rFonts w:eastAsiaTheme="minorHAnsi"/>
              </w:rPr>
            </w:pPr>
            <w:r>
              <w:rPr>
                <w:rFonts w:eastAsiaTheme="minorHAnsi"/>
              </w:rPr>
              <w:t>ryan.norfolk@bakerbotts.com</w:t>
            </w:r>
          </w:p>
          <w:p>
            <w:pPr>
              <w:rPr>
                <w:rFonts w:eastAsiaTheme="minorHAnsi"/>
              </w:rPr>
            </w:pPr>
          </w:p>
        </w:tc>
      </w:tr>
      <w:tr>
        <w:tc>
          <w:tcPr>
            <w:tcW w:w="4675" w:type="dxa"/>
          </w:tcPr>
          <w:p>
            <w:pPr>
              <w:rPr>
                <w:rFonts w:eastAsiaTheme="minorHAnsi"/>
              </w:rPr>
            </w:pPr>
            <w:r>
              <w:rPr>
                <w:rFonts w:eastAsiaTheme="minorHAnsi"/>
              </w:rPr>
              <w:lastRenderedPageBreak/>
              <w:t>Dona Seger-Lawson</w:t>
            </w:r>
          </w:p>
          <w:p>
            <w:pPr>
              <w:rPr>
                <w:rFonts w:eastAsiaTheme="minorHAnsi"/>
              </w:rPr>
            </w:pPr>
            <w:r>
              <w:rPr>
                <w:rFonts w:eastAsiaTheme="minorHAnsi"/>
              </w:rPr>
              <w:t>AEP Indiana Michigan</w:t>
            </w:r>
          </w:p>
          <w:p>
            <w:pPr>
              <w:rPr>
                <w:rFonts w:eastAsiaTheme="minorHAnsi"/>
              </w:rPr>
            </w:pPr>
            <w:r>
              <w:rPr>
                <w:rFonts w:eastAsiaTheme="minorHAnsi"/>
              </w:rPr>
              <w:t>110 E. Wayne St.</w:t>
            </w:r>
          </w:p>
          <w:p>
            <w:pPr>
              <w:rPr>
                <w:rFonts w:eastAsiaTheme="minorHAnsi"/>
              </w:rPr>
            </w:pPr>
            <w:r>
              <w:rPr>
                <w:rFonts w:eastAsiaTheme="minorHAnsi"/>
              </w:rPr>
              <w:t>Fort Wayne, IN 46802</w:t>
            </w:r>
          </w:p>
          <w:p>
            <w:pPr>
              <w:rPr>
                <w:rFonts w:eastAsiaTheme="minorHAnsi"/>
              </w:rPr>
            </w:pPr>
            <w:r>
              <w:rPr>
                <w:rFonts w:eastAsiaTheme="minorHAnsi"/>
              </w:rPr>
              <w:t>Dgseger-lawson@aep.com</w:t>
            </w:r>
          </w:p>
          <w:p>
            <w:pPr>
              <w:rPr>
                <w:rFonts w:eastAsiaTheme="minorHAnsi"/>
              </w:rPr>
            </w:pPr>
          </w:p>
          <w:p>
            <w:pPr>
              <w:rPr>
                <w:rFonts w:eastAsiaTheme="minorHAnsi"/>
              </w:rPr>
            </w:pPr>
            <w:r>
              <w:rPr>
                <w:rFonts w:eastAsiaTheme="minorHAnsi"/>
              </w:rPr>
              <w:t>Thomas M. Bellish</w:t>
            </w:r>
          </w:p>
          <w:p>
            <w:pPr>
              <w:rPr>
                <w:rFonts w:eastAsiaTheme="minorHAnsi"/>
              </w:rPr>
            </w:pPr>
            <w:r>
              <w:rPr>
                <w:rFonts w:eastAsiaTheme="minorHAnsi"/>
              </w:rPr>
              <w:t>Buckeye Energy Brokers, Inc.</w:t>
            </w:r>
          </w:p>
          <w:p>
            <w:pPr>
              <w:rPr>
                <w:rFonts w:eastAsiaTheme="minorHAnsi"/>
              </w:rPr>
            </w:pPr>
            <w:r>
              <w:rPr>
                <w:rFonts w:eastAsiaTheme="minorHAnsi"/>
              </w:rPr>
              <w:t>65 East Mill Street</w:t>
            </w:r>
          </w:p>
          <w:p>
            <w:pPr>
              <w:rPr>
                <w:rFonts w:eastAsiaTheme="minorHAnsi"/>
              </w:rPr>
            </w:pPr>
            <w:r>
              <w:rPr>
                <w:rFonts w:eastAsiaTheme="minorHAnsi"/>
              </w:rPr>
              <w:t>Akron, OH 44308</w:t>
            </w:r>
          </w:p>
          <w:p>
            <w:pPr>
              <w:rPr>
                <w:rFonts w:eastAsiaTheme="minorHAnsi"/>
              </w:rPr>
            </w:pPr>
            <w:r>
              <w:rPr>
                <w:rFonts w:eastAsiaTheme="minorHAnsi"/>
              </w:rPr>
              <w:t>tb@buckeyeenergybrokers.com</w:t>
            </w:r>
          </w:p>
          <w:p>
            <w:pPr>
              <w:rPr>
                <w:rFonts w:eastAsiaTheme="minorHAnsi"/>
              </w:rPr>
            </w:pPr>
          </w:p>
          <w:p>
            <w:pPr>
              <w:rPr>
                <w:rFonts w:eastAsiaTheme="minorHAnsi"/>
              </w:rPr>
            </w:pPr>
            <w:r>
              <w:rPr>
                <w:rFonts w:eastAsiaTheme="minorHAnsi"/>
              </w:rPr>
              <w:t>Christine E. Watchorn</w:t>
            </w:r>
          </w:p>
          <w:p>
            <w:pPr>
              <w:rPr>
                <w:rFonts w:eastAsiaTheme="minorHAnsi"/>
              </w:rPr>
            </w:pPr>
            <w:r>
              <w:rPr>
                <w:rFonts w:eastAsiaTheme="minorHAnsi"/>
              </w:rPr>
              <w:t>Zachary E. Woltz</w:t>
            </w:r>
          </w:p>
          <w:p>
            <w:pPr>
              <w:rPr>
                <w:rFonts w:eastAsiaTheme="minorHAnsi"/>
              </w:rPr>
            </w:pPr>
            <w:r>
              <w:rPr>
                <w:rFonts w:eastAsiaTheme="minorHAnsi"/>
              </w:rPr>
              <w:t>FirstEnergy Service Company</w:t>
            </w:r>
          </w:p>
          <w:p>
            <w:pPr>
              <w:rPr>
                <w:rFonts w:eastAsiaTheme="minorHAnsi"/>
              </w:rPr>
            </w:pPr>
            <w:r>
              <w:rPr>
                <w:rFonts w:eastAsiaTheme="minorHAnsi"/>
              </w:rPr>
              <w:t>Columbus, Ohio 43215</w:t>
            </w:r>
          </w:p>
          <w:p>
            <w:pPr>
              <w:rPr>
                <w:rFonts w:eastAsiaTheme="minorHAnsi"/>
              </w:rPr>
            </w:pPr>
            <w:r>
              <w:rPr>
                <w:rFonts w:eastAsiaTheme="minorHAnsi"/>
              </w:rPr>
              <w:t>cwatchorn@firstenergycorp.com</w:t>
            </w:r>
          </w:p>
          <w:p>
            <w:pPr>
              <w:rPr>
                <w:rFonts w:eastAsiaTheme="minorHAnsi"/>
              </w:rPr>
            </w:pPr>
            <w:r>
              <w:rPr>
                <w:rFonts w:eastAsiaTheme="minorHAnsi"/>
              </w:rPr>
              <w:t>zwoltz@firstenergycorp.com</w:t>
            </w:r>
          </w:p>
        </w:tc>
        <w:tc>
          <w:tcPr>
            <w:tcW w:w="4675" w:type="dxa"/>
          </w:tcPr>
          <w:p>
            <w:pPr>
              <w:rPr>
                <w:rFonts w:eastAsiaTheme="minorHAnsi"/>
              </w:rPr>
            </w:pPr>
            <w:r>
              <w:rPr>
                <w:rFonts w:eastAsiaTheme="minorHAnsi"/>
              </w:rPr>
              <w:t>Michael R. Gladman</w:t>
            </w:r>
          </w:p>
          <w:p>
            <w:pPr>
              <w:rPr>
                <w:rFonts w:eastAsiaTheme="minorHAnsi"/>
              </w:rPr>
            </w:pPr>
            <w:r>
              <w:rPr>
                <w:rFonts w:eastAsiaTheme="minorHAnsi"/>
              </w:rPr>
              <w:t>Shalini B. Goyal</w:t>
            </w:r>
          </w:p>
          <w:p>
            <w:pPr>
              <w:rPr>
                <w:rFonts w:eastAsiaTheme="minorHAnsi"/>
              </w:rPr>
            </w:pPr>
            <w:r>
              <w:rPr>
                <w:rFonts w:eastAsiaTheme="minorHAnsi"/>
              </w:rPr>
              <w:t>Margaret M. Dengler</w:t>
            </w:r>
          </w:p>
          <w:p>
            <w:pPr>
              <w:rPr>
                <w:rFonts w:eastAsiaTheme="minorHAnsi"/>
              </w:rPr>
            </w:pPr>
            <w:r>
              <w:rPr>
                <w:rFonts w:eastAsiaTheme="minorHAnsi"/>
              </w:rPr>
              <w:t>Ryan A. Doringo</w:t>
            </w:r>
          </w:p>
          <w:p>
            <w:pPr>
              <w:rPr>
                <w:rFonts w:eastAsiaTheme="minorHAnsi"/>
              </w:rPr>
            </w:pPr>
            <w:r>
              <w:rPr>
                <w:rFonts w:eastAsiaTheme="minorHAnsi"/>
              </w:rPr>
              <w:t>Jones Day</w:t>
            </w:r>
          </w:p>
          <w:p>
            <w:pPr>
              <w:rPr>
                <w:rFonts w:eastAsiaTheme="minorHAnsi"/>
              </w:rPr>
            </w:pPr>
            <w:r>
              <w:rPr>
                <w:rFonts w:eastAsiaTheme="minorHAnsi"/>
              </w:rPr>
              <w:t>325 John H. McConnell Blvd., Suite 600</w:t>
            </w:r>
          </w:p>
          <w:p>
            <w:pPr>
              <w:rPr>
                <w:rFonts w:eastAsiaTheme="minorHAnsi"/>
              </w:rPr>
            </w:pPr>
            <w:r>
              <w:rPr>
                <w:rFonts w:eastAsiaTheme="minorHAnsi"/>
              </w:rPr>
              <w:t>Columbus, Ohio 43215</w:t>
            </w:r>
          </w:p>
          <w:p>
            <w:pPr>
              <w:rPr>
                <w:rFonts w:eastAsiaTheme="minorHAnsi"/>
              </w:rPr>
            </w:pPr>
            <w:r>
              <w:rPr>
                <w:rFonts w:eastAsiaTheme="minorHAnsi"/>
              </w:rPr>
              <w:t>mrgladman@jonesday.com</w:t>
            </w:r>
          </w:p>
          <w:p>
            <w:pPr>
              <w:rPr>
                <w:rFonts w:eastAsiaTheme="minorHAnsi"/>
              </w:rPr>
            </w:pPr>
            <w:r>
              <w:rPr>
                <w:rFonts w:eastAsiaTheme="minorHAnsi"/>
              </w:rPr>
              <w:t>sgoyal@jonesday.com</w:t>
            </w:r>
          </w:p>
          <w:p>
            <w:pPr>
              <w:rPr>
                <w:rFonts w:eastAsiaTheme="minorHAnsi"/>
              </w:rPr>
            </w:pPr>
            <w:r>
              <w:rPr>
                <w:rFonts w:eastAsiaTheme="minorHAnsi"/>
              </w:rPr>
              <w:t>mdengler@jonesday.com</w:t>
            </w:r>
          </w:p>
          <w:p>
            <w:pPr>
              <w:rPr>
                <w:rFonts w:eastAsiaTheme="minorHAnsi"/>
              </w:rPr>
            </w:pPr>
            <w:r>
              <w:rPr>
                <w:rFonts w:eastAsiaTheme="minorHAnsi"/>
              </w:rPr>
              <w:t>radoringo@jonesday.com</w:t>
            </w:r>
          </w:p>
          <w:p>
            <w:pPr>
              <w:rPr>
                <w:rFonts w:eastAsiaTheme="minorHAnsi"/>
              </w:rPr>
            </w:pPr>
          </w:p>
          <w:p>
            <w:pPr>
              <w:rPr>
                <w:rFonts w:eastAsiaTheme="minorHAnsi"/>
              </w:rPr>
            </w:pPr>
          </w:p>
        </w:tc>
      </w:tr>
    </w:tbl>
    <w:p>
      <w:pPr>
        <w:pStyle w:val="KBody"/>
        <w:rPr>
          <w:rFonts w:eastAsiaTheme="majorEastAsia"/>
        </w:rPr>
      </w:pP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t>Respectfully submitted,</w:t>
      </w:r>
    </w:p>
    <w:p>
      <w:pPr>
        <w:pStyle w:val="KBody"/>
        <w:spacing w:after="0"/>
        <w:ind w:left="5040"/>
        <w:rPr>
          <w:rFonts w:eastAsiaTheme="majorEastAsia"/>
          <w:i/>
          <w:iCs/>
          <w:u w:val="single"/>
        </w:rPr>
      </w:pPr>
      <w:r>
        <w:rPr>
          <w:rFonts w:eastAsiaTheme="majorEastAsia"/>
          <w:i/>
          <w:iCs/>
          <w:u w:val="single"/>
        </w:rPr>
        <w:t>/s/ Kimberly Frank</w:t>
      </w:r>
    </w:p>
    <w:p>
      <w:pPr>
        <w:pStyle w:val="KBody"/>
        <w:spacing w:after="0"/>
        <w:ind w:left="5040"/>
        <w:rPr>
          <w:rFonts w:eastAsiaTheme="majorEastAsia"/>
          <w:iCs/>
        </w:rPr>
      </w:pPr>
      <w:r>
        <w:rPr>
          <w:rFonts w:eastAsiaTheme="majorEastAsia"/>
          <w:iCs/>
        </w:rPr>
        <w:t>Kimberly Frank (</w:t>
      </w:r>
      <w:r>
        <w:rPr>
          <w:rFonts w:eastAsia="Calibri"/>
        </w:rPr>
        <w:t>PHV-26301-2022)</w:t>
      </w:r>
    </w:p>
    <w:p>
      <w:pPr>
        <w:pStyle w:val="KBody"/>
        <w:spacing w:after="0"/>
        <w:ind w:left="5040"/>
        <w:rPr>
          <w:rFonts w:eastAsiaTheme="majorEastAsia"/>
        </w:rPr>
      </w:pPr>
      <w:hyperlink w:history="1" r:id="rId16">
        <w:r>
          <w:rPr>
            <w:rStyle w:val="Hyperlink"/>
          </w:rPr>
          <w:t>kimberly.frank@klgates.com</w:t>
        </w:r>
      </w:hyperlink>
    </w:p>
    <w:sectPr>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DengXian Light">
    <w:altName w:val="等线 Light"/>
    <w:charset w:val="86"/>
    <w:family w:val="auto"/>
    <w:pitch w:val="variable"/>
    <w:sig w:usb0="A10102FF" w:usb1="38CF7CFA" w:usb2="0001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10102FF" w:usb1="38CF7CFA" w:usb2="0001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rPr>
        <w:noProof/>
      </w:rPr>
    </w:pPr>
    <w:sdt>
      <w:sdtPr>
        <w:id w:val="887477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noProof/>
      </w:rPr>
      <w:pict>
        <v:shapetype id="_x0000_t202" coordsize="21600,21600" o:spt="202" path="m,l,21600r21600,l21600,xe">
          <v:stroke joinstyle="miter"/>
          <v:path gradientshapeok="t" o:connecttype="rect"/>
        </v:shapetype>
        <v:shape id="zzmpTrailer_1078_1B"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21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v:textbox inset="0,0,0,0">
            <w:txbxContent>
              <w:p>
                <w:pPr>
                  <w:pStyle w:val="MacPacTrailer"/>
                </w:pPr>
                <w:r>
                  <w:t xml:space="preserve">506127440.7 </w:t>
                </w:r>
              </w:p>
              <w:p>
                <w:pPr>
                  <w:pStyle w:val="MacPacTraile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sz w:val="22"/>
          <w:szCs w:val="22"/>
        </w:rPr>
      </w:pPr>
      <w:r>
        <w:rPr>
          <w:rStyle w:val="FootnoteReference"/>
          <w:sz w:val="22"/>
          <w:szCs w:val="22"/>
        </w:rPr>
        <w:footnoteRef/>
      </w:r>
      <w:r>
        <w:rPr>
          <w:sz w:val="22"/>
          <w:szCs w:val="22"/>
        </w:rPr>
        <w:t xml:space="preserve"> Memorandum Contra Motion to Intervene by TransAlta Marketing and Trade, LLC, </w:t>
      </w:r>
      <w:r>
        <w:rPr>
          <w:i/>
          <w:sz w:val="22"/>
          <w:szCs w:val="22"/>
        </w:rPr>
        <w:t>In re Certification of Ne. Ohio Pub. Energy Council as Governmental Aggregator</w:t>
      </w:r>
      <w:r>
        <w:rPr>
          <w:sz w:val="22"/>
          <w:szCs w:val="22"/>
        </w:rPr>
        <w:t>, Case No. 00-2317-EL-GAG (filed Oct. 4, 2022) (“Memorandum Contra”).  Notably, NOPEC’s Memorandum Contra incorrectly identifies TransAlta as “TransAlta Marketing and Trade, LLC.”  The movant’s correct business name is TransAlta Energy Marketing (U.S.) Inc.</w:t>
      </w:r>
    </w:p>
  </w:footnote>
  <w:footnote w:id="2">
    <w:p>
      <w:pPr>
        <w:pStyle w:val="FootnoteText"/>
        <w:rPr>
          <w:sz w:val="22"/>
          <w:szCs w:val="22"/>
        </w:rPr>
      </w:pPr>
      <w:r>
        <w:rPr>
          <w:rStyle w:val="FootnoteReference"/>
          <w:sz w:val="22"/>
          <w:szCs w:val="22"/>
        </w:rPr>
        <w:footnoteRef/>
      </w:r>
      <w:r>
        <w:rPr>
          <w:sz w:val="22"/>
          <w:szCs w:val="22"/>
        </w:rPr>
        <w:t xml:space="preserve"> During a pre-hearing conference held on October 4, 2022, the Attorney Examiner did not rule on any motions to intervene filed in this proceeding and set a date for all such motions to be filed by November 3, 2022.  TransAlta interprets this to mean its request for expedited treatment has been denied and thereby it may reply to NOPEC’s Memorandum Contra under Ohio Admin. Code 4901-1-12(C).  To the extent necessary, TransAlta seeks waiver of the Commission’s rules for leave to file this reply. </w:t>
      </w:r>
    </w:p>
  </w:footnote>
  <w:footnote w:id="3">
    <w:p>
      <w:pPr>
        <w:pStyle w:val="FootnoteText"/>
        <w:rPr>
          <w:sz w:val="22"/>
          <w:szCs w:val="22"/>
        </w:rPr>
      </w:pPr>
      <w:r>
        <w:rPr>
          <w:rStyle w:val="FootnoteReference"/>
          <w:sz w:val="22"/>
          <w:szCs w:val="22"/>
        </w:rPr>
        <w:footnoteRef/>
      </w:r>
      <w:r>
        <w:rPr>
          <w:sz w:val="22"/>
          <w:szCs w:val="22"/>
        </w:rPr>
        <w:t xml:space="preserve"> </w:t>
      </w:r>
      <w:r>
        <w:rPr>
          <w:i/>
          <w:sz w:val="22"/>
          <w:szCs w:val="22"/>
        </w:rPr>
        <w:t>In re Cleveland Elec. Illum. Co.</w:t>
      </w:r>
      <w:r>
        <w:rPr>
          <w:sz w:val="22"/>
          <w:szCs w:val="22"/>
        </w:rPr>
        <w:t>, Case No. 85-675-EL-AIR, 1986 WL 1262093, Entry at ¶ 6 (issued Jan. 14, 1986) (“The Commission’s policy is to encourage the broadest possible participation in its proceedings.”).</w:t>
      </w:r>
    </w:p>
  </w:footnote>
  <w:footnote w:id="4">
    <w:p>
      <w:pPr>
        <w:pStyle w:val="FootnoteText"/>
        <w:rPr>
          <w:sz w:val="22"/>
          <w:szCs w:val="22"/>
        </w:rPr>
      </w:pPr>
      <w:r>
        <w:rPr>
          <w:rStyle w:val="FootnoteReference"/>
          <w:sz w:val="22"/>
          <w:szCs w:val="22"/>
        </w:rPr>
        <w:footnoteRef/>
      </w:r>
      <w:r>
        <w:rPr>
          <w:sz w:val="22"/>
          <w:szCs w:val="22"/>
        </w:rPr>
        <w:t xml:space="preserve"> </w:t>
      </w:r>
      <w:r>
        <w:rPr>
          <w:i/>
          <w:sz w:val="22"/>
          <w:szCs w:val="22"/>
        </w:rPr>
        <w:t>Ohio Consumers’ Counsel v. Pub. Utils. Comm’n</w:t>
      </w:r>
      <w:r>
        <w:rPr>
          <w:sz w:val="22"/>
          <w:szCs w:val="22"/>
        </w:rPr>
        <w:t xml:space="preserve">, 111 Ohio St.3d 384, 388, 2006-Ohio-5853, 856 N.E.2d 940, ¶ 16 (quoting </w:t>
      </w:r>
      <w:r>
        <w:rPr>
          <w:i/>
          <w:sz w:val="22"/>
          <w:szCs w:val="22"/>
        </w:rPr>
        <w:t>State ex rel. Polo v. Cuyahoga Cty. Bd. of Elections</w:t>
      </w:r>
      <w:r>
        <w:rPr>
          <w:sz w:val="22"/>
          <w:szCs w:val="22"/>
        </w:rPr>
        <w:t>, 74 Ohio St.3d 143, 144, 656 N.E.2d 1277 (1995)).</w:t>
      </w:r>
    </w:p>
  </w:footnote>
  <w:footnote w:id="5">
    <w:p>
      <w:pPr>
        <w:pStyle w:val="FootnoteText"/>
        <w:rPr>
          <w:sz w:val="22"/>
          <w:szCs w:val="22"/>
        </w:rPr>
      </w:pPr>
      <w:r>
        <w:rPr>
          <w:rStyle w:val="FootnoteReference"/>
          <w:sz w:val="22"/>
          <w:szCs w:val="22"/>
        </w:rPr>
        <w:footnoteRef/>
      </w:r>
      <w:r>
        <w:rPr>
          <w:sz w:val="22"/>
          <w:szCs w:val="22"/>
        </w:rPr>
        <w:t xml:space="preserve"> </w:t>
      </w:r>
      <w:r>
        <w:rPr>
          <w:i/>
          <w:iCs/>
          <w:sz w:val="22"/>
          <w:szCs w:val="22"/>
        </w:rPr>
        <w:t xml:space="preserve">Id. </w:t>
      </w:r>
      <w:r>
        <w:rPr>
          <w:sz w:val="22"/>
          <w:szCs w:val="22"/>
        </w:rPr>
        <w:t>at ¶ 20.</w:t>
      </w:r>
    </w:p>
  </w:footnote>
  <w:footnote w:id="6">
    <w:p>
      <w:pPr>
        <w:pStyle w:val="FootnoteText"/>
        <w:rPr>
          <w:sz w:val="22"/>
          <w:szCs w:val="22"/>
        </w:rPr>
      </w:pPr>
      <w:r>
        <w:rPr>
          <w:rStyle w:val="FootnoteReference"/>
          <w:sz w:val="22"/>
          <w:szCs w:val="22"/>
        </w:rPr>
        <w:footnoteRef/>
      </w:r>
      <w:r>
        <w:rPr>
          <w:sz w:val="22"/>
          <w:szCs w:val="22"/>
        </w:rPr>
        <w:t xml:space="preserve"> </w:t>
      </w:r>
      <w:r>
        <w:rPr>
          <w:i/>
          <w:iCs/>
          <w:sz w:val="22"/>
          <w:szCs w:val="22"/>
        </w:rPr>
        <w:t>Id.</w:t>
      </w:r>
    </w:p>
  </w:footnote>
  <w:footnote w:id="7">
    <w:p>
      <w:pPr>
        <w:pStyle w:val="FootnoteText"/>
        <w:rPr>
          <w:sz w:val="22"/>
          <w:szCs w:val="22"/>
        </w:rPr>
      </w:pPr>
      <w:r>
        <w:rPr>
          <w:rStyle w:val="FootnoteReference"/>
          <w:sz w:val="22"/>
          <w:szCs w:val="22"/>
        </w:rPr>
        <w:footnoteRef/>
      </w:r>
      <w:r>
        <w:rPr>
          <w:sz w:val="22"/>
          <w:szCs w:val="22"/>
        </w:rPr>
        <w:t xml:space="preserve"> </w:t>
      </w:r>
      <w:r>
        <w:rPr>
          <w:i/>
          <w:sz w:val="22"/>
          <w:szCs w:val="22"/>
        </w:rPr>
        <w:t>See</w:t>
      </w:r>
      <w:r>
        <w:rPr>
          <w:sz w:val="22"/>
          <w:szCs w:val="22"/>
        </w:rPr>
        <w:t xml:space="preserve"> Memorandum in Support of Motion to Intervene by TransAlta Energy Marketing (U.S.) Inc., </w:t>
      </w:r>
      <w:r>
        <w:rPr>
          <w:i/>
          <w:sz w:val="22"/>
          <w:szCs w:val="22"/>
        </w:rPr>
        <w:t>In re Certification of Ne. Ohio Pub. Energy Council as Governmental Aggregator</w:t>
      </w:r>
      <w:r>
        <w:rPr>
          <w:sz w:val="22"/>
          <w:szCs w:val="22"/>
        </w:rPr>
        <w:t>, Case No. 00-2317-EL-GAG, at pp. 9-10 (filed Sept. 27, 2022).  Indeed, TransAlta’s participation in this proceeding will not cause undue delay, will not unjustly prejudice any existing party, and is in the public interest because the Commission has explicitly sought comments from interested parties—</w:t>
      </w:r>
      <w:r>
        <w:rPr>
          <w:i/>
          <w:sz w:val="22"/>
          <w:szCs w:val="22"/>
        </w:rPr>
        <w:t xml:space="preserve">i.e., </w:t>
      </w:r>
      <w:r>
        <w:rPr>
          <w:sz w:val="22"/>
          <w:szCs w:val="22"/>
        </w:rPr>
        <w:t xml:space="preserve">SSO suppliers like TransAlta—concerning NOPEC’s actions.  </w:t>
      </w:r>
      <w:r>
        <w:rPr>
          <w:i/>
          <w:sz w:val="22"/>
          <w:szCs w:val="22"/>
        </w:rPr>
        <w:t>In re Certification of Ne. Ohio Pub. Energy Council as Governmental Aggregator</w:t>
      </w:r>
      <w:r>
        <w:rPr>
          <w:sz w:val="22"/>
          <w:szCs w:val="22"/>
        </w:rPr>
        <w:t xml:space="preserve">, Case No. 00-2317-EL-GAG (issued Sept. 7, 2022) and </w:t>
      </w:r>
      <w:r>
        <w:rPr>
          <w:i/>
          <w:sz w:val="22"/>
          <w:szCs w:val="22"/>
        </w:rPr>
        <w:t>In re Motion of Ne. Ohio Pub. Energy Council for a Limited Waiver</w:t>
      </w:r>
      <w:r>
        <w:rPr>
          <w:sz w:val="22"/>
          <w:szCs w:val="22"/>
        </w:rPr>
        <w:t>, Case No. 22-806-EL-WVR, Entry at ¶ 13 (issued Sept. 7, 2022) (“Show Cause Entry”).  During the October 4, 2022 pre-hearing conference, the Attorney Examiner provided more time for interested parties to consider NOPEC’s responses to discovery and to file comments, extending the deadline for comments and reply comments to October 27, 2022, and November 3, 2022, respectively.</w:t>
      </w:r>
    </w:p>
  </w:footnote>
  <w:footnote w:id="8">
    <w:p>
      <w:pPr>
        <w:pStyle w:val="FootnoteText"/>
        <w:rPr>
          <w:sz w:val="22"/>
          <w:szCs w:val="22"/>
        </w:rPr>
      </w:pPr>
      <w:r>
        <w:rPr>
          <w:rStyle w:val="FootnoteReference"/>
          <w:sz w:val="22"/>
          <w:szCs w:val="22"/>
        </w:rPr>
        <w:footnoteRef/>
      </w:r>
      <w:r>
        <w:rPr>
          <w:sz w:val="22"/>
          <w:szCs w:val="22"/>
        </w:rPr>
        <w:t xml:space="preserve"> Memorandum Contra at pp. 2-3.</w:t>
      </w:r>
    </w:p>
  </w:footnote>
  <w:footnote w:id="9">
    <w:p>
      <w:pPr>
        <w:pStyle w:val="FootnoteText"/>
        <w:rPr>
          <w:sz w:val="22"/>
          <w:szCs w:val="22"/>
        </w:rPr>
      </w:pPr>
      <w:r>
        <w:rPr>
          <w:rStyle w:val="FootnoteReference"/>
          <w:sz w:val="22"/>
          <w:szCs w:val="22"/>
        </w:rPr>
        <w:footnoteRef/>
      </w:r>
      <w:r>
        <w:rPr>
          <w:sz w:val="22"/>
          <w:szCs w:val="22"/>
        </w:rPr>
        <w:t xml:space="preserve"> </w:t>
      </w:r>
      <w:r>
        <w:rPr>
          <w:i/>
          <w:sz w:val="22"/>
          <w:szCs w:val="22"/>
        </w:rPr>
        <w:t>Id</w:t>
      </w:r>
      <w:r>
        <w:rPr>
          <w:sz w:val="22"/>
          <w:szCs w:val="22"/>
        </w:rPr>
        <w:t>. at p. 4.</w:t>
      </w:r>
    </w:p>
  </w:footnote>
  <w:footnote w:id="10">
    <w:p>
      <w:pPr>
        <w:pStyle w:val="FootnoteText"/>
        <w:rPr>
          <w:sz w:val="22"/>
          <w:szCs w:val="22"/>
        </w:rPr>
      </w:pPr>
      <w:r>
        <w:rPr>
          <w:rStyle w:val="FootnoteReference"/>
          <w:sz w:val="22"/>
          <w:szCs w:val="22"/>
        </w:rPr>
        <w:footnoteRef/>
      </w:r>
      <w:r>
        <w:rPr>
          <w:sz w:val="22"/>
          <w:szCs w:val="22"/>
        </w:rPr>
        <w:t xml:space="preserve"> Show Cause Entry at ¶ 14.  </w:t>
      </w:r>
    </w:p>
  </w:footnote>
  <w:footnote w:id="11">
    <w:p>
      <w:pPr>
        <w:pStyle w:val="FootnoteText"/>
        <w:rPr>
          <w:sz w:val="22"/>
          <w:szCs w:val="22"/>
        </w:rPr>
      </w:pPr>
      <w:r>
        <w:rPr>
          <w:rStyle w:val="FootnoteReference"/>
          <w:sz w:val="22"/>
          <w:szCs w:val="22"/>
        </w:rPr>
        <w:footnoteRef/>
      </w:r>
      <w:r>
        <w:rPr>
          <w:sz w:val="22"/>
          <w:szCs w:val="22"/>
        </w:rPr>
        <w:t xml:space="preserve"> Memorandum Contra at p. 5.</w:t>
      </w:r>
    </w:p>
  </w:footnote>
  <w:footnote w:id="12">
    <w:p>
      <w:pPr>
        <w:pStyle w:val="FootnoteText"/>
        <w:rPr>
          <w:sz w:val="22"/>
          <w:szCs w:val="22"/>
        </w:rPr>
      </w:pPr>
      <w:r>
        <w:rPr>
          <w:rStyle w:val="FootnoteReference"/>
          <w:sz w:val="22"/>
          <w:szCs w:val="22"/>
        </w:rPr>
        <w:footnoteRef/>
      </w:r>
      <w:r>
        <w:rPr>
          <w:sz w:val="22"/>
          <w:szCs w:val="22"/>
        </w:rPr>
        <w:t xml:space="preserve"> </w:t>
      </w:r>
      <w:r>
        <w:rPr>
          <w:i/>
          <w:sz w:val="22"/>
          <w:szCs w:val="22"/>
        </w:rPr>
        <w:t>Id</w:t>
      </w:r>
      <w:r>
        <w:rPr>
          <w:sz w:val="22"/>
          <w:szCs w:val="22"/>
        </w:rPr>
        <w:t>.</w:t>
      </w:r>
    </w:p>
  </w:footnote>
  <w:footnote w:id="13">
    <w:p>
      <w:pPr>
        <w:pStyle w:val="FootnoteText"/>
        <w:rPr>
          <w:sz w:val="22"/>
          <w:szCs w:val="22"/>
        </w:rPr>
      </w:pPr>
      <w:r>
        <w:rPr>
          <w:rStyle w:val="FootnoteReference"/>
          <w:sz w:val="22"/>
          <w:szCs w:val="22"/>
        </w:rPr>
        <w:footnoteRef/>
      </w:r>
      <w:r>
        <w:rPr>
          <w:sz w:val="22"/>
          <w:szCs w:val="22"/>
        </w:rPr>
        <w:t xml:space="preserve"> </w:t>
      </w:r>
      <w:r>
        <w:rPr>
          <w:i/>
          <w:sz w:val="22"/>
          <w:szCs w:val="22"/>
        </w:rPr>
        <w:t>Id</w:t>
      </w:r>
      <w:r>
        <w:rPr>
          <w:sz w:val="22"/>
          <w:szCs w:val="22"/>
        </w:rPr>
        <w:t>. at p. 4.</w:t>
      </w:r>
    </w:p>
  </w:footnote>
  <w:footnote w:id="14">
    <w:p>
      <w:pPr>
        <w:pStyle w:val="FootnoteText"/>
        <w:rPr>
          <w:sz w:val="22"/>
          <w:szCs w:val="22"/>
        </w:rPr>
      </w:pPr>
      <w:r>
        <w:rPr>
          <w:rStyle w:val="FootnoteReference"/>
          <w:sz w:val="22"/>
          <w:szCs w:val="22"/>
        </w:rPr>
        <w:footnoteRef/>
      </w:r>
      <w:r>
        <w:rPr>
          <w:sz w:val="22"/>
          <w:szCs w:val="22"/>
        </w:rPr>
        <w:t xml:space="preserve"> </w:t>
      </w:r>
      <w:r>
        <w:rPr>
          <w:i/>
          <w:sz w:val="22"/>
          <w:szCs w:val="22"/>
        </w:rPr>
        <w:t>Id</w:t>
      </w:r>
      <w:r>
        <w:rPr>
          <w:sz w:val="22"/>
          <w:szCs w:val="22"/>
        </w:rPr>
        <w:t>. at p. 1.</w:t>
      </w:r>
    </w:p>
  </w:footnote>
  <w:footnote w:id="15">
    <w:p>
      <w:pPr>
        <w:pStyle w:val="FootnoteText"/>
        <w:rPr>
          <w:sz w:val="22"/>
          <w:szCs w:val="22"/>
        </w:rPr>
      </w:pPr>
      <w:r>
        <w:rPr>
          <w:rStyle w:val="FootnoteReference"/>
          <w:sz w:val="22"/>
          <w:szCs w:val="22"/>
        </w:rPr>
        <w:footnoteRef/>
      </w:r>
      <w:r>
        <w:rPr>
          <w:sz w:val="22"/>
          <w:szCs w:val="22"/>
        </w:rPr>
        <w:t xml:space="preserve"> </w:t>
      </w:r>
      <w:r>
        <w:rPr>
          <w:i/>
          <w:sz w:val="22"/>
          <w:szCs w:val="22"/>
        </w:rPr>
        <w:t>Id</w:t>
      </w:r>
      <w:r>
        <w:rPr>
          <w:sz w:val="22"/>
          <w:szCs w:val="22"/>
        </w:rPr>
        <w:t>. at p.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D4E"/>
    <w:multiLevelType w:val="hybridMultilevel"/>
    <w:tmpl w:val="A02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4571F"/>
    <w:multiLevelType w:val="hybridMultilevel"/>
    <w:tmpl w:val="B26EC8D8"/>
    <w:lvl w:ilvl="0" w:tplc="A8485796">
      <w:start w:val="1"/>
      <w:numFmt w:val="bullet"/>
      <w:pStyle w:val="KBullet5"/>
      <w:lvlText w:val=""/>
      <w:lvlJc w:val="left"/>
      <w:pPr>
        <w:ind w:left="324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8F061EB"/>
    <w:multiLevelType w:val="hybridMultilevel"/>
    <w:tmpl w:val="EFF8BA68"/>
    <w:lvl w:ilvl="0" w:tplc="5FDE2E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44BB0"/>
    <w:multiLevelType w:val="hybridMultilevel"/>
    <w:tmpl w:val="E22AEEBE"/>
    <w:lvl w:ilvl="0" w:tplc="5156CCF4">
      <w:start w:val="1"/>
      <w:numFmt w:val="decimal"/>
      <w:pStyle w:val="FERCAffidavitNumberedPara"/>
      <w:lvlText w:val="%1."/>
      <w:lvlJc w:val="left"/>
      <w:pPr>
        <w:ind w:left="720" w:hanging="360"/>
      </w:pPr>
    </w:lvl>
    <w:lvl w:ilvl="1" w:tplc="B4E40E4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30EC9"/>
    <w:multiLevelType w:val="hybridMultilevel"/>
    <w:tmpl w:val="24E6F32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3D00D5E"/>
    <w:multiLevelType w:val="hybridMultilevel"/>
    <w:tmpl w:val="2130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42B3F"/>
    <w:multiLevelType w:val="multilevel"/>
    <w:tmpl w:val="818EB8DA"/>
    <w:lvl w:ilvl="0">
      <w:start w:val="1"/>
      <w:numFmt w:val="upperRoman"/>
      <w:pStyle w:val="OutlineHL1"/>
      <w:lvlText w:val="%1."/>
      <w:lvlJc w:val="left"/>
      <w:pPr>
        <w:tabs>
          <w:tab w:val="num" w:pos="1800"/>
        </w:tabs>
        <w:ind w:left="1800" w:hanging="720"/>
      </w:pPr>
      <w:rPr>
        <w:rFonts w:hint="default"/>
        <w:b/>
        <w:caps w:val="0"/>
        <w:color w:val="auto"/>
        <w:u w:val="none"/>
      </w:rPr>
    </w:lvl>
    <w:lvl w:ilvl="1">
      <w:start w:val="1"/>
      <w:numFmt w:val="upperLetter"/>
      <w:lvlText w:val="%2."/>
      <w:lvlJc w:val="left"/>
      <w:pPr>
        <w:tabs>
          <w:tab w:val="num" w:pos="2610"/>
        </w:tabs>
        <w:ind w:left="2610" w:hanging="720"/>
      </w:pPr>
      <w:rPr>
        <w:rFonts w:ascii="Times New Roman" w:hAnsi="Times New Roman" w:cs="Times New Roman" w:hint="default"/>
        <w:b/>
        <w:i w:val="0"/>
        <w:color w:val="auto"/>
        <w:sz w:val="24"/>
        <w:szCs w:val="24"/>
        <w:u w:val="none"/>
      </w:rPr>
    </w:lvl>
    <w:lvl w:ilvl="2">
      <w:start w:val="1"/>
      <w:numFmt w:val="decimal"/>
      <w:lvlText w:val="%3."/>
      <w:lvlJc w:val="left"/>
      <w:pPr>
        <w:tabs>
          <w:tab w:val="num" w:pos="3240"/>
        </w:tabs>
        <w:ind w:left="3240" w:hanging="720"/>
      </w:pPr>
      <w:rPr>
        <w:rFonts w:ascii="Times New Roman" w:hAnsi="Times New Roman" w:cs="Times New Roman" w:hint="default"/>
        <w:b/>
        <w:color w:val="auto"/>
        <w:sz w:val="24"/>
        <w:szCs w:val="24"/>
        <w:u w:val="none"/>
      </w:rPr>
    </w:lvl>
    <w:lvl w:ilvl="3">
      <w:start w:val="1"/>
      <w:numFmt w:val="lowerLetter"/>
      <w:pStyle w:val="OutlineHL4"/>
      <w:lvlText w:val="%4."/>
      <w:lvlJc w:val="left"/>
      <w:pPr>
        <w:tabs>
          <w:tab w:val="num" w:pos="3960"/>
        </w:tabs>
        <w:ind w:left="3960" w:hanging="720"/>
      </w:pPr>
      <w:rPr>
        <w:rFonts w:ascii="Times New Roman" w:hAnsi="Times New Roman" w:cs="Times New Roman" w:hint="default"/>
        <w:color w:val="auto"/>
        <w:sz w:val="24"/>
        <w:szCs w:val="24"/>
        <w:u w:val="none"/>
      </w:rPr>
    </w:lvl>
    <w:lvl w:ilvl="4">
      <w:start w:val="1"/>
      <w:numFmt w:val="lowerRoman"/>
      <w:pStyle w:val="OutlineHL5"/>
      <w:lvlText w:val="%5."/>
      <w:lvlJc w:val="left"/>
      <w:pPr>
        <w:tabs>
          <w:tab w:val="num" w:pos="4680"/>
        </w:tabs>
        <w:ind w:left="4680" w:hanging="720"/>
      </w:pPr>
      <w:rPr>
        <w:rFonts w:hint="default"/>
        <w:color w:val="auto"/>
        <w:u w:val="none"/>
      </w:rPr>
    </w:lvl>
    <w:lvl w:ilvl="5">
      <w:start w:val="1"/>
      <w:numFmt w:val="lowerLetter"/>
      <w:pStyle w:val="OutlineHL6"/>
      <w:lvlText w:val="(%6)"/>
      <w:lvlJc w:val="left"/>
      <w:pPr>
        <w:tabs>
          <w:tab w:val="num" w:pos="5400"/>
        </w:tabs>
        <w:ind w:left="5400" w:hanging="720"/>
      </w:pPr>
      <w:rPr>
        <w:rFonts w:hint="default"/>
        <w:color w:val="auto"/>
        <w:u w:val="none"/>
      </w:rPr>
    </w:lvl>
    <w:lvl w:ilvl="6">
      <w:start w:val="1"/>
      <w:numFmt w:val="decimal"/>
      <w:pStyle w:val="OutlineHL7"/>
      <w:lvlText w:val="(%7)"/>
      <w:lvlJc w:val="left"/>
      <w:pPr>
        <w:tabs>
          <w:tab w:val="num" w:pos="6120"/>
        </w:tabs>
        <w:ind w:left="6120" w:hanging="720"/>
      </w:pPr>
      <w:rPr>
        <w:rFonts w:hint="default"/>
        <w:color w:val="auto"/>
        <w:u w:val="none"/>
      </w:rPr>
    </w:lvl>
    <w:lvl w:ilvl="7">
      <w:start w:val="1"/>
      <w:numFmt w:val="lowerRoman"/>
      <w:pStyle w:val="OutlineHL8"/>
      <w:lvlText w:val="%8)"/>
      <w:lvlJc w:val="left"/>
      <w:pPr>
        <w:tabs>
          <w:tab w:val="num" w:pos="6840"/>
        </w:tabs>
        <w:ind w:left="6840" w:hanging="720"/>
      </w:pPr>
      <w:rPr>
        <w:rFonts w:hint="default"/>
        <w:color w:val="auto"/>
        <w:u w:val="none"/>
      </w:rPr>
    </w:lvl>
    <w:lvl w:ilvl="8">
      <w:start w:val="1"/>
      <w:numFmt w:val="lowerLetter"/>
      <w:pStyle w:val="OutlineHL9"/>
      <w:lvlText w:val="%9)"/>
      <w:lvlJc w:val="left"/>
      <w:pPr>
        <w:tabs>
          <w:tab w:val="num" w:pos="7560"/>
        </w:tabs>
        <w:ind w:left="7560" w:hanging="720"/>
      </w:pPr>
      <w:rPr>
        <w:rFonts w:hint="default"/>
        <w:color w:val="auto"/>
        <w:u w:val="none"/>
      </w:rPr>
    </w:lvl>
  </w:abstractNum>
  <w:abstractNum w:abstractNumId="7" w15:restartNumberingAfterBreak="0">
    <w:nsid w:val="477F25D7"/>
    <w:multiLevelType w:val="hybridMultilevel"/>
    <w:tmpl w:val="2264DB56"/>
    <w:lvl w:ilvl="0" w:tplc="264ED8FE">
      <w:start w:val="1"/>
      <w:numFmt w:val="decimal"/>
      <w:pStyle w:val="FERCHEADING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0D9694F"/>
    <w:multiLevelType w:val="hybridMultilevel"/>
    <w:tmpl w:val="CAF00AC2"/>
    <w:lvl w:ilvl="0" w:tplc="FE2097BE">
      <w:start w:val="1"/>
      <w:numFmt w:val="decimal"/>
      <w:pStyle w:val="OutlineHL2"/>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15:restartNumberingAfterBreak="0">
    <w:nsid w:val="543E1985"/>
    <w:multiLevelType w:val="hybridMultilevel"/>
    <w:tmpl w:val="2D149CF8"/>
    <w:lvl w:ilvl="0" w:tplc="83967128">
      <w:start w:val="1"/>
      <w:numFmt w:val="upperRoman"/>
      <w:pStyle w:val="FERCHEADING1"/>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155BE"/>
    <w:multiLevelType w:val="hybridMultilevel"/>
    <w:tmpl w:val="31AE688E"/>
    <w:lvl w:ilvl="0" w:tplc="345287C6">
      <w:start w:val="1"/>
      <w:numFmt w:val="bullet"/>
      <w:pStyle w:val="KBullet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617CB"/>
    <w:multiLevelType w:val="hybridMultilevel"/>
    <w:tmpl w:val="08A4DEF8"/>
    <w:lvl w:ilvl="0" w:tplc="8ACE8FEA">
      <w:start w:val="1"/>
      <w:numFmt w:val="decimal"/>
      <w:pStyle w:val="FERCAffidavitParagraph"/>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9013888"/>
    <w:multiLevelType w:val="hybridMultilevel"/>
    <w:tmpl w:val="4FFCE8DC"/>
    <w:lvl w:ilvl="0" w:tplc="0409000F">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26FAF"/>
    <w:multiLevelType w:val="hybridMultilevel"/>
    <w:tmpl w:val="1AC444F2"/>
    <w:lvl w:ilvl="0" w:tplc="712C4144">
      <w:start w:val="1"/>
      <w:numFmt w:val="bullet"/>
      <w:pStyle w:val="KBulle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0745B"/>
    <w:multiLevelType w:val="hybridMultilevel"/>
    <w:tmpl w:val="533ECB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55667DF"/>
    <w:multiLevelType w:val="hybridMultilevel"/>
    <w:tmpl w:val="82A224AA"/>
    <w:lvl w:ilvl="0" w:tplc="E8A80BA0">
      <w:start w:val="1"/>
      <w:numFmt w:val="decimal"/>
      <w:pStyle w:val="OutlineHL3"/>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66157013"/>
    <w:multiLevelType w:val="hybridMultilevel"/>
    <w:tmpl w:val="EE00FDF8"/>
    <w:lvl w:ilvl="0" w:tplc="CDCE0E70">
      <w:start w:val="1"/>
      <w:numFmt w:val="upperLetter"/>
      <w:pStyle w:val="FERC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D770F2"/>
    <w:multiLevelType w:val="hybridMultilevel"/>
    <w:tmpl w:val="5E3450A2"/>
    <w:lvl w:ilvl="0" w:tplc="864EF624">
      <w:start w:val="1"/>
      <w:numFmt w:val="bullet"/>
      <w:pStyle w:val="KBullet3"/>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576C1"/>
    <w:multiLevelType w:val="hybridMultilevel"/>
    <w:tmpl w:val="5A5AB6AA"/>
    <w:lvl w:ilvl="0" w:tplc="442A90F0">
      <w:start w:val="1"/>
      <w:numFmt w:val="bullet"/>
      <w:pStyle w:val="FERC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64D2F87"/>
    <w:multiLevelType w:val="hybridMultilevel"/>
    <w:tmpl w:val="96805942"/>
    <w:lvl w:ilvl="0" w:tplc="D6425754">
      <w:start w:val="1"/>
      <w:numFmt w:val="bullet"/>
      <w:pStyle w:val="KBullet4"/>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31B9B"/>
    <w:multiLevelType w:val="hybridMultilevel"/>
    <w:tmpl w:val="67A0FF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16"/>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 w:numId="13">
    <w:abstractNumId w:val="14"/>
  </w:num>
  <w:num w:numId="14">
    <w:abstractNumId w:val="2"/>
  </w:num>
  <w:num w:numId="15">
    <w:abstractNumId w:val="2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3"/>
  </w:num>
  <w:num w:numId="19">
    <w:abstractNumId w:val="17"/>
  </w:num>
  <w:num w:numId="20">
    <w:abstractNumId w:val="19"/>
  </w:num>
  <w:num w:numId="21">
    <w:abstractNumId w:val="1"/>
  </w:num>
  <w:num w:numId="22">
    <w:abstractNumId w:val="15"/>
  </w:num>
  <w:num w:numId="23">
    <w:abstractNumId w:val="15"/>
    <w:lvlOverride w:ilvl="0">
      <w:startOverride w:val="1"/>
    </w:lvlOverride>
  </w:num>
  <w:num w:numId="24">
    <w:abstractNumId w:val="8"/>
  </w:num>
  <w:num w:numId="2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1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75"/>
    <o:shapelayout v:ext="edit">
      <o:idmap v:ext="edit" data="1"/>
    </o:shapelayout>
  </w:shapeDefaults>
  <w:decimalSymbol w:val="."/>
  <w:listSeparator w:val=","/>
  <w15:chartTrackingRefBased/>
  <w15:docId w15:val="{0950B93A-E3A8-4D12-90FB-539729F8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39" w:semiHidden="1" w:unhideWhenUsed="1"/>
    <w:lsdException w:name="toc 9" w:uiPriority="0"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uiPriority="0" w:semiHidden="1" w:unhideWhenUsed="1"/>
    <w:lsdException w:name="envelope return" w:uiPriority="0"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0" w:line="240" w:lineRule="auto"/>
    </w:pPr>
    <w:rPr>
      <w:rFonts w:ascii="Times New Roman" w:hAnsi="Times New Roman" w:eastAsia="Times New Roman" w:cs="Times New Roman"/>
      <w:sz w:val="24"/>
      <w:szCs w:val="24"/>
    </w:rPr>
  </w:style>
  <w:style w:type="paragraph" w:styleId="Heading1">
    <w:name w:val="heading 1"/>
    <w:basedOn w:val="Normal"/>
    <w:next w:val="KBody"/>
    <w:link w:val="Heading1Char"/>
    <w:qFormat/>
    <w:pPr>
      <w:keepNext/>
      <w:keepLines/>
      <w:spacing w:after="240"/>
      <w:outlineLvl w:val="0"/>
    </w:pPr>
    <w:rPr>
      <w:rFonts w:cs="Arial"/>
      <w:bCs/>
      <w:szCs w:val="32"/>
    </w:rPr>
  </w:style>
  <w:style w:type="paragraph" w:styleId="Heading2">
    <w:name w:val="heading 2"/>
    <w:basedOn w:val="Normal"/>
    <w:next w:val="KBody"/>
    <w:link w:val="Heading2Char"/>
    <w:qFormat/>
    <w:pPr>
      <w:keepNext/>
      <w:spacing w:after="240"/>
      <w:outlineLvl w:val="1"/>
    </w:pPr>
    <w:rPr>
      <w:rFonts w:cs="Arial"/>
      <w:bCs/>
      <w:iCs/>
      <w:szCs w:val="28"/>
    </w:rPr>
  </w:style>
  <w:style w:type="paragraph" w:styleId="Heading3">
    <w:name w:val="heading 3"/>
    <w:basedOn w:val="Normal"/>
    <w:next w:val="KBody"/>
    <w:link w:val="Heading3Char"/>
    <w:qFormat/>
    <w:pPr>
      <w:spacing w:after="240"/>
      <w:outlineLvl w:val="2"/>
    </w:pPr>
    <w:rPr>
      <w:rFonts w:cs="Arial"/>
      <w:bCs/>
      <w:szCs w:val="26"/>
    </w:rPr>
  </w:style>
  <w:style w:type="paragraph" w:styleId="Heading4">
    <w:name w:val="heading 4"/>
    <w:basedOn w:val="Normal"/>
    <w:next w:val="KBody"/>
    <w:link w:val="Heading4Char"/>
    <w:pPr>
      <w:keepNext/>
      <w:spacing w:after="240"/>
      <w:outlineLvl w:val="3"/>
    </w:pPr>
    <w:rPr>
      <w:bCs/>
      <w:szCs w:val="28"/>
    </w:rPr>
  </w:style>
  <w:style w:type="paragraph" w:styleId="Heading5">
    <w:name w:val="heading 5"/>
    <w:basedOn w:val="Normal"/>
    <w:next w:val="KBody"/>
    <w:link w:val="Heading5Char"/>
    <w:pPr>
      <w:keepNext/>
      <w:spacing w:after="240"/>
      <w:outlineLvl w:val="4"/>
    </w:pPr>
    <w:rPr>
      <w:bCs/>
      <w:iCs/>
      <w:szCs w:val="26"/>
    </w:rPr>
  </w:style>
  <w:style w:type="paragraph" w:styleId="Heading6">
    <w:name w:val="heading 6"/>
    <w:basedOn w:val="Normal"/>
    <w:next w:val="KBody"/>
    <w:link w:val="Heading6Char"/>
    <w:pPr>
      <w:keepNext/>
      <w:spacing w:after="240"/>
      <w:outlineLvl w:val="5"/>
    </w:pPr>
    <w:rPr>
      <w:bCs/>
      <w:szCs w:val="22"/>
    </w:rPr>
  </w:style>
  <w:style w:type="paragraph" w:styleId="Heading7">
    <w:name w:val="heading 7"/>
    <w:basedOn w:val="Normal"/>
    <w:next w:val="KBody"/>
    <w:link w:val="Heading7Char"/>
    <w:pPr>
      <w:keepNext/>
      <w:spacing w:after="240"/>
      <w:outlineLvl w:val="6"/>
    </w:pPr>
  </w:style>
  <w:style w:type="paragraph" w:styleId="Heading8">
    <w:name w:val="heading 8"/>
    <w:basedOn w:val="Normal"/>
    <w:next w:val="KBody"/>
    <w:link w:val="Heading8Char"/>
    <w:pPr>
      <w:keepNext/>
      <w:spacing w:after="240"/>
      <w:outlineLvl w:val="7"/>
    </w:pPr>
    <w:rPr>
      <w:iCs/>
    </w:rPr>
  </w:style>
  <w:style w:type="paragraph" w:styleId="Heading9">
    <w:name w:val="heading 9"/>
    <w:basedOn w:val="Normal"/>
    <w:next w:val="KBody"/>
    <w:link w:val="Heading9Char"/>
    <w:pPr>
      <w:keepNext/>
      <w:spacing w:after="24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680"/>
        <w:tab w:val="right" w:pos="9360"/>
      </w:tabs>
    </w:pPr>
  </w:style>
  <w:style w:type="character" w:styleId="HeaderChar" w:customStyle="1">
    <w:name w:val="Header Char"/>
    <w:basedOn w:val="DefaultParagraphFont"/>
    <w:link w:val="Header"/>
    <w:rPr>
      <w:rFonts w:ascii="Times New Roman" w:hAnsi="Times New Roman" w:eastAsia="Times New Roman" w:cs="Times New Roman"/>
      <w:sz w:val="24"/>
      <w:szCs w:val="24"/>
    </w:rPr>
  </w:style>
  <w:style w:type="paragraph" w:styleId="Footer">
    <w:name w:val="footer"/>
    <w:basedOn w:val="Normal"/>
    <w:link w:val="FooterChar"/>
    <w:pPr>
      <w:tabs>
        <w:tab w:val="center" w:pos="4680"/>
        <w:tab w:val="right" w:pos="9360"/>
      </w:tabs>
    </w:pPr>
  </w:style>
  <w:style w:type="character" w:styleId="FooterChar" w:customStyle="1">
    <w:name w:val="Footer Char"/>
    <w:basedOn w:val="DefaultParagraphFont"/>
    <w:link w:val="Footer"/>
    <w:rPr>
      <w:rFonts w:ascii="Times New Roman" w:hAnsi="Times New Roman" w:eastAsia="Times New Roman" w:cs="Times New Roman"/>
      <w:sz w:val="24"/>
      <w:szCs w:val="24"/>
    </w:rPr>
  </w:style>
  <w:style w:type="paragraph" w:styleId="MacPacTrailer" w:customStyle="1">
    <w:name w:val="MacPac Trailer"/>
    <w:pPr>
      <w:widowControl w:val="0"/>
      <w:spacing w:after="0" w:line="200" w:lineRule="exact"/>
    </w:pPr>
    <w:rPr>
      <w:rFonts w:ascii="Arial" w:hAnsi="Arial" w:eastAsia="Times New Roman" w:cs="Times New Roman"/>
      <w:sz w:val="15"/>
    </w:rPr>
  </w:style>
  <w:style w:type="character" w:styleId="PlaceholderText">
    <w:name w:val="Placeholder Text"/>
    <w:basedOn w:val="DefaultParagraphFont"/>
    <w:uiPriority w:val="99"/>
    <w:semiHidden/>
    <w:rPr>
      <w:color w:val="808080"/>
    </w:rPr>
  </w:style>
  <w:style w:type="paragraph" w:styleId="FootnoteText">
    <w:name w:val="footnote text"/>
    <w:basedOn w:val="Normal"/>
    <w:link w:val="FootnoteTextChar"/>
    <w:uiPriority w:val="99"/>
    <w:unhideWhenUsed/>
    <w:pPr>
      <w:spacing w:after="120"/>
    </w:pPr>
    <w:rPr>
      <w:szCs w:val="20"/>
    </w:rPr>
  </w:style>
  <w:style w:type="character" w:styleId="FootnoteTextChar" w:customStyle="1">
    <w:name w:val="Footnote Text Char"/>
    <w:basedOn w:val="DefaultParagraphFont"/>
    <w:link w:val="FootnoteText"/>
    <w:uiPriority w:val="99"/>
    <w:rPr>
      <w:rFonts w:ascii="Times New Roman" w:hAnsi="Times New Roman" w:eastAsia="Times New Roman" w:cs="Times New Roman"/>
      <w:sz w:val="24"/>
      <w:szCs w:val="20"/>
    </w:rPr>
  </w:style>
  <w:style w:type="character" w:styleId="FootnoteReference">
    <w:name w:val="footnote reference"/>
    <w:basedOn w:val="DefaultParagraphFont"/>
    <w:uiPriority w:val="99"/>
    <w:unhideWhenUsed/>
    <w:rPr>
      <w:sz w:val="24"/>
      <w:vertAlign w:val="superscript"/>
    </w:rPr>
  </w:style>
  <w:style w:type="paragraph" w:styleId="ListParagraph">
    <w:name w:val="List Paragraph"/>
    <w:basedOn w:val="Normal"/>
    <w:uiPriority w:val="34"/>
    <w:unhideWhenUsed/>
    <w:pPr>
      <w:ind w:left="720"/>
      <w:contextualSpacing/>
    </w:p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uiPriority w:val="20"/>
    <w:qFormat/>
    <w:rPr>
      <w:i/>
      <w:iCs/>
    </w:rPr>
  </w:style>
  <w:style w:type="paragraph" w:styleId="Default" w:customStyle="1">
    <w:name w:val="Default"/>
    <w:pPr>
      <w:autoSpaceDE w:val="0"/>
      <w:autoSpaceDN w:val="0"/>
      <w:adjustRightInd w:val="0"/>
      <w:spacing w:after="0" w:line="240" w:lineRule="auto"/>
    </w:pPr>
    <w:rPr>
      <w:rFonts w:ascii="TimesNewRomanPSMT" w:hAnsi="TimesNewRomanPSMT" w:cs="TimesNewRomanPSMT"/>
      <w:color w:val="000000"/>
      <w:sz w:val="24"/>
      <w:szCs w:val="24"/>
    </w:rPr>
  </w:style>
  <w:style w:type="character" w:styleId="Hyperlink">
    <w:name w:val="Hyperlink"/>
    <w:basedOn w:val="DefaultParagraphFont"/>
    <w:uiPriority w:val="99"/>
    <w:unhideWhenUsed/>
    <w:rPr>
      <w:color w:val="0563C1" w:themeColor="hyperlink"/>
      <w:u w:val="single"/>
    </w:rPr>
  </w:style>
  <w:style w:type="character" w:styleId="UnresolvedMention" w:customStyle="1">
    <w:name w:val="Unresolved Mention"/>
    <w:basedOn w:val="DefaultParagraphFont"/>
    <w:uiPriority w:val="99"/>
    <w:semiHidden/>
    <w:unhideWhenUsed/>
    <w:rPr>
      <w:color w:val="605E5C"/>
      <w:shd w:val="clear" w:color="auto" w:fill="E1DFDD"/>
    </w:rPr>
  </w:style>
  <w:style w:type="table" w:styleId="TableGrid11" w:customStyle="1">
    <w:name w:val="Table Grid11"/>
    <w:basedOn w:val="TableNormal"/>
    <w:next w:val="TableGrid"/>
    <w:uiPriority w:val="59"/>
    <w:pPr>
      <w:spacing w:after="0"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Pr>
      <w:sz w:val="20"/>
      <w:szCs w:val="20"/>
    </w:rPr>
  </w:style>
  <w:style w:type="character" w:styleId="EndnoteTextChar" w:customStyle="1">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OutlineHL1" w:customStyle="1">
    <w:name w:val="OutlineH_L1"/>
    <w:basedOn w:val="Normal"/>
    <w:next w:val="BodyText"/>
    <w:pPr>
      <w:keepNext/>
      <w:numPr>
        <w:numId w:val="1"/>
      </w:numPr>
      <w:tabs>
        <w:tab w:val="clear" w:pos="1800"/>
      </w:tabs>
      <w:spacing w:after="240"/>
      <w:ind w:left="1440"/>
      <w:outlineLvl w:val="0"/>
    </w:pPr>
    <w:rPr>
      <w:rFonts w:ascii="Times New Roman Bold" w:hAnsi="Times New Roman Bold" w:cs="Calibri" w:eastAsiaTheme="majorEastAsia"/>
      <w:b/>
      <w:bCs/>
      <w:caps/>
      <w:szCs w:val="28"/>
    </w:rPr>
  </w:style>
  <w:style w:type="paragraph" w:styleId="OutlineHL2" w:customStyle="1">
    <w:name w:val="OutlineH_L2"/>
    <w:basedOn w:val="Normal"/>
    <w:next w:val="BodyText"/>
    <w:link w:val="OutlineHL2Char"/>
    <w:pPr>
      <w:keepNext/>
      <w:numPr>
        <w:numId w:val="24"/>
      </w:numPr>
      <w:spacing w:after="240"/>
      <w:ind w:left="1440" w:hanging="720"/>
      <w:outlineLvl w:val="1"/>
    </w:pPr>
    <w:rPr>
      <w:rFonts w:cs="Calibri" w:eastAsiaTheme="majorEastAsia"/>
      <w:b/>
      <w:szCs w:val="26"/>
    </w:rPr>
  </w:style>
  <w:style w:type="character" w:styleId="OutlineHL2Char" w:customStyle="1">
    <w:name w:val="OutlineH_L2 Char"/>
    <w:basedOn w:val="DefaultParagraphFont"/>
    <w:link w:val="OutlineHL2"/>
    <w:rPr>
      <w:rFonts w:ascii="Times New Roman" w:hAnsi="Times New Roman" w:cs="Calibri" w:eastAsiaTheme="majorEastAsia"/>
      <w:b/>
      <w:sz w:val="24"/>
      <w:szCs w:val="26"/>
    </w:rPr>
  </w:style>
  <w:style w:type="paragraph" w:styleId="OutlineHL3" w:customStyle="1">
    <w:name w:val="OutlineH_L3"/>
    <w:basedOn w:val="Normal"/>
    <w:next w:val="BodyText"/>
    <w:pPr>
      <w:numPr>
        <w:numId w:val="22"/>
      </w:numPr>
      <w:spacing w:after="240"/>
      <w:ind w:left="1440" w:hanging="720"/>
      <w:outlineLvl w:val="2"/>
    </w:pPr>
    <w:rPr>
      <w:rFonts w:eastAsiaTheme="majorEastAsia"/>
      <w:bCs/>
    </w:rPr>
  </w:style>
  <w:style w:type="paragraph" w:styleId="OutlineHL4" w:customStyle="1">
    <w:name w:val="OutlineH_L4"/>
    <w:basedOn w:val="Normal"/>
    <w:next w:val="BodyText"/>
    <w:pPr>
      <w:numPr>
        <w:ilvl w:val="3"/>
        <w:numId w:val="1"/>
      </w:numPr>
      <w:tabs>
        <w:tab w:val="left" w:pos="2880"/>
      </w:tabs>
      <w:spacing w:after="240"/>
      <w:outlineLvl w:val="3"/>
    </w:pPr>
    <w:rPr>
      <w:rFonts w:ascii="Calibri" w:hAnsi="Calibri" w:cs="Calibri" w:eastAsiaTheme="majorEastAsia"/>
      <w:bCs/>
      <w:iCs/>
    </w:rPr>
  </w:style>
  <w:style w:type="paragraph" w:styleId="OutlineHL5" w:customStyle="1">
    <w:name w:val="OutlineH_L5"/>
    <w:basedOn w:val="Normal"/>
    <w:next w:val="BodyText"/>
    <w:pPr>
      <w:numPr>
        <w:ilvl w:val="4"/>
        <w:numId w:val="1"/>
      </w:numPr>
      <w:tabs>
        <w:tab w:val="left" w:pos="3600"/>
      </w:tabs>
      <w:spacing w:after="240"/>
      <w:outlineLvl w:val="4"/>
    </w:pPr>
    <w:rPr>
      <w:rFonts w:ascii="Calibri" w:hAnsi="Calibri" w:cs="Calibri" w:eastAsiaTheme="majorEastAsia"/>
    </w:rPr>
  </w:style>
  <w:style w:type="paragraph" w:styleId="OutlineHL6" w:customStyle="1">
    <w:name w:val="OutlineH_L6"/>
    <w:basedOn w:val="Normal"/>
    <w:next w:val="BodyText"/>
    <w:pPr>
      <w:numPr>
        <w:ilvl w:val="5"/>
        <w:numId w:val="1"/>
      </w:numPr>
      <w:tabs>
        <w:tab w:val="left" w:pos="4320"/>
      </w:tabs>
      <w:spacing w:after="240"/>
      <w:outlineLvl w:val="5"/>
    </w:pPr>
    <w:rPr>
      <w:rFonts w:ascii="Calibri" w:hAnsi="Calibri" w:cs="Calibri" w:eastAsiaTheme="majorEastAsia"/>
      <w:iCs/>
    </w:rPr>
  </w:style>
  <w:style w:type="paragraph" w:styleId="OutlineHL7" w:customStyle="1">
    <w:name w:val="OutlineH_L7"/>
    <w:basedOn w:val="Normal"/>
    <w:next w:val="BodyText"/>
    <w:pPr>
      <w:numPr>
        <w:ilvl w:val="6"/>
        <w:numId w:val="1"/>
      </w:numPr>
      <w:tabs>
        <w:tab w:val="left" w:pos="5040"/>
      </w:tabs>
      <w:spacing w:after="240"/>
      <w:outlineLvl w:val="6"/>
    </w:pPr>
    <w:rPr>
      <w:rFonts w:ascii="Calibri" w:hAnsi="Calibri" w:cs="Calibri" w:eastAsiaTheme="majorEastAsia"/>
      <w:iCs/>
    </w:rPr>
  </w:style>
  <w:style w:type="paragraph" w:styleId="OutlineHL8" w:customStyle="1">
    <w:name w:val="OutlineH_L8"/>
    <w:basedOn w:val="Normal"/>
    <w:next w:val="BodyText"/>
    <w:pPr>
      <w:numPr>
        <w:ilvl w:val="7"/>
        <w:numId w:val="1"/>
      </w:numPr>
      <w:tabs>
        <w:tab w:val="left" w:pos="5760"/>
      </w:tabs>
      <w:spacing w:after="240"/>
      <w:outlineLvl w:val="7"/>
    </w:pPr>
    <w:rPr>
      <w:rFonts w:ascii="Calibri" w:hAnsi="Calibri" w:cs="Calibri" w:eastAsiaTheme="majorEastAsia"/>
      <w:szCs w:val="28"/>
    </w:rPr>
  </w:style>
  <w:style w:type="paragraph" w:styleId="OutlineHL9" w:customStyle="1">
    <w:name w:val="OutlineH_L9"/>
    <w:basedOn w:val="Normal"/>
    <w:next w:val="BodyText"/>
    <w:pPr>
      <w:numPr>
        <w:ilvl w:val="8"/>
        <w:numId w:val="1"/>
      </w:numPr>
      <w:tabs>
        <w:tab w:val="left" w:pos="6480"/>
      </w:tabs>
      <w:spacing w:after="240"/>
      <w:outlineLvl w:val="8"/>
    </w:pPr>
    <w:rPr>
      <w:rFonts w:ascii="Calibri" w:hAnsi="Calibri" w:cs="Calibri" w:eastAsiaTheme="majorEastAsia"/>
      <w:iCs/>
      <w:szCs w:val="28"/>
    </w:rPr>
  </w:style>
  <w:style w:type="paragraph" w:styleId="BodyText">
    <w:name w:val="Body Text"/>
    <w:basedOn w:val="Normal"/>
    <w:link w:val="BodyTextChar"/>
    <w:uiPriority w:val="99"/>
    <w:unhideWhenUsed/>
    <w:pPr>
      <w:spacing w:after="120"/>
    </w:pPr>
  </w:style>
  <w:style w:type="character" w:styleId="BodyTextChar" w:customStyle="1">
    <w:name w:val="Body Text Char"/>
    <w:basedOn w:val="DefaultParagraphFont"/>
    <w:link w:val="BodyText"/>
    <w:uiPriority w:val="99"/>
  </w:style>
  <w:style w:type="paragraph" w:styleId="FERCAffidavitNumberedPara" w:customStyle="1">
    <w:name w:val="FERC Affidavit Numbered Para"/>
    <w:basedOn w:val="ListParagraph"/>
    <w:link w:val="FERCAffidavitNumberedParaChar"/>
    <w:qFormat/>
    <w:pPr>
      <w:numPr>
        <w:numId w:val="2"/>
      </w:numPr>
      <w:spacing w:line="480" w:lineRule="auto"/>
    </w:pPr>
  </w:style>
  <w:style w:type="character" w:styleId="FERCAffidavitNumberedParaChar" w:customStyle="1">
    <w:name w:val="FERC Affidavit Numbered Para Char"/>
    <w:basedOn w:val="DefaultParagraphFont"/>
    <w:link w:val="FERCAffidavitNumberedPara"/>
    <w:rPr>
      <w:rFonts w:ascii="Times New Roman" w:hAnsi="Times New Roman" w:cs="Times New Roman"/>
      <w:sz w:val="24"/>
      <w:szCs w:val="24"/>
    </w:rPr>
  </w:style>
  <w:style w:type="paragraph" w:styleId="FERCAffidavitParagraph" w:customStyle="1">
    <w:name w:val="FERC Affidavit Paragraph"/>
    <w:basedOn w:val="ListParagraph"/>
    <w:qFormat/>
    <w:pPr>
      <w:numPr>
        <w:numId w:val="3"/>
      </w:numPr>
      <w:tabs>
        <w:tab w:val="num" w:pos="360"/>
      </w:tabs>
      <w:spacing w:line="480" w:lineRule="auto"/>
    </w:pPr>
  </w:style>
  <w:style w:type="paragraph" w:styleId="FERCBody" w:customStyle="1">
    <w:name w:val="FERC Body"/>
    <w:basedOn w:val="Normal"/>
    <w:link w:val="FERCBodyChar"/>
    <w:qFormat/>
    <w:pPr>
      <w:spacing w:line="480" w:lineRule="auto"/>
      <w:ind w:firstLine="720"/>
    </w:pPr>
  </w:style>
  <w:style w:type="character" w:styleId="FERCBodyChar" w:customStyle="1">
    <w:name w:val="FERC Body Char"/>
    <w:basedOn w:val="DefaultParagraphFont"/>
    <w:link w:val="FERCBody"/>
    <w:rPr>
      <w:rFonts w:ascii="Times New Roman" w:hAnsi="Times New Roman" w:cs="Times New Roman"/>
      <w:sz w:val="24"/>
      <w:szCs w:val="24"/>
    </w:rPr>
  </w:style>
  <w:style w:type="paragraph" w:styleId="FERCBullets" w:customStyle="1">
    <w:name w:val="FERC Bullets"/>
    <w:basedOn w:val="FERCBody"/>
    <w:link w:val="FERCBulletsChar"/>
    <w:qFormat/>
    <w:pPr>
      <w:numPr>
        <w:numId w:val="4"/>
      </w:numPr>
      <w:spacing w:before="240" w:after="240" w:line="240" w:lineRule="auto"/>
    </w:pPr>
  </w:style>
  <w:style w:type="character" w:styleId="FERCBulletsChar" w:customStyle="1">
    <w:name w:val="FERC Bullets Char"/>
    <w:basedOn w:val="FERCBodyChar"/>
    <w:link w:val="FERCBullets"/>
    <w:rPr>
      <w:rFonts w:ascii="Times New Roman" w:hAnsi="Times New Roman" w:cs="Times New Roman"/>
      <w:sz w:val="24"/>
      <w:szCs w:val="24"/>
    </w:rPr>
  </w:style>
  <w:style w:type="paragraph" w:styleId="FERCHEADING1" w:customStyle="1">
    <w:name w:val="FERC HEADING 1"/>
    <w:basedOn w:val="Normal"/>
    <w:link w:val="FERCHEADING1Char"/>
    <w:qFormat/>
    <w:pPr>
      <w:keepNext/>
      <w:numPr>
        <w:numId w:val="5"/>
      </w:numPr>
      <w:spacing w:before="240" w:after="360"/>
      <w:ind w:hanging="720"/>
      <w:outlineLvl w:val="0"/>
    </w:pPr>
    <w:rPr>
      <w:rFonts w:eastAsiaTheme="majorEastAsia"/>
      <w:b/>
      <w:bCs/>
      <w:caps/>
    </w:rPr>
  </w:style>
  <w:style w:type="character" w:styleId="FERCHEADING1Char" w:customStyle="1">
    <w:name w:val="FERC HEADING 1 Char"/>
    <w:basedOn w:val="DefaultParagraphFont"/>
    <w:link w:val="FERCHEADING1"/>
    <w:rPr>
      <w:rFonts w:ascii="Times New Roman" w:hAnsi="Times New Roman" w:cs="Times New Roman" w:eastAsiaTheme="majorEastAsia"/>
      <w:b/>
      <w:bCs/>
      <w:caps/>
      <w:sz w:val="24"/>
      <w:szCs w:val="24"/>
    </w:rPr>
  </w:style>
  <w:style w:type="paragraph" w:styleId="FERCHEADING2" w:customStyle="1">
    <w:name w:val="FERC HEADING 2"/>
    <w:basedOn w:val="Normal"/>
    <w:link w:val="FERCHEADING2Char"/>
    <w:qFormat/>
    <w:pPr>
      <w:keepNext/>
      <w:numPr>
        <w:numId w:val="6"/>
      </w:numPr>
      <w:spacing w:after="240"/>
      <w:ind w:hanging="720"/>
      <w:outlineLvl w:val="1"/>
    </w:pPr>
    <w:rPr>
      <w:rFonts w:eastAsiaTheme="majorEastAsia"/>
      <w:b/>
      <w:bCs/>
    </w:rPr>
  </w:style>
  <w:style w:type="character" w:styleId="FERCHEADING2Char" w:customStyle="1">
    <w:name w:val="FERC HEADING 2 Char"/>
    <w:basedOn w:val="DefaultParagraphFont"/>
    <w:link w:val="FERCHEADING2"/>
    <w:rPr>
      <w:rFonts w:ascii="Times New Roman" w:hAnsi="Times New Roman" w:cs="Times New Roman" w:eastAsiaTheme="majorEastAsia"/>
      <w:b/>
      <w:bCs/>
      <w:sz w:val="24"/>
      <w:szCs w:val="24"/>
    </w:rPr>
  </w:style>
  <w:style w:type="paragraph" w:styleId="FERCHEADING3" w:customStyle="1">
    <w:name w:val="FERC HEADING 3"/>
    <w:basedOn w:val="Normal"/>
    <w:link w:val="FERCHEADING3Char"/>
    <w:qFormat/>
    <w:pPr>
      <w:keepNext/>
      <w:numPr>
        <w:numId w:val="7"/>
      </w:numPr>
      <w:spacing w:after="240"/>
      <w:ind w:hanging="720"/>
      <w:outlineLvl w:val="2"/>
    </w:pPr>
    <w:rPr>
      <w:b/>
      <w:bCs/>
    </w:rPr>
  </w:style>
  <w:style w:type="character" w:styleId="FERCHEADING3Char" w:customStyle="1">
    <w:name w:val="FERC HEADING 3 Char"/>
    <w:basedOn w:val="DefaultParagraphFont"/>
    <w:link w:val="FERCHEADING3"/>
    <w:rPr>
      <w:rFonts w:ascii="Times New Roman" w:hAnsi="Times New Roman" w:cs="Times New Roman"/>
      <w:b/>
      <w:bCs/>
      <w:sz w:val="24"/>
      <w:szCs w:val="24"/>
    </w:rPr>
  </w:style>
  <w:style w:type="paragraph" w:styleId="FERCHeading4" w:customStyle="1">
    <w:name w:val="FERC Heading 4"/>
    <w:basedOn w:val="Normal"/>
    <w:link w:val="FERCHeading4Char"/>
    <w:qFormat/>
    <w:pPr>
      <w:spacing w:after="240"/>
      <w:ind w:left="2880" w:hanging="720"/>
      <w:outlineLvl w:val="3"/>
    </w:pPr>
    <w:rPr>
      <w:rFonts w:eastAsiaTheme="majorEastAsia"/>
      <w:b/>
      <w:bCs/>
      <w:iCs/>
    </w:rPr>
  </w:style>
  <w:style w:type="character" w:styleId="FERCHeading4Char" w:customStyle="1">
    <w:name w:val="FERC Heading 4 Char"/>
    <w:basedOn w:val="DefaultParagraphFont"/>
    <w:link w:val="FERCHeading4"/>
    <w:rPr>
      <w:rFonts w:ascii="Times New Roman" w:hAnsi="Times New Roman" w:cs="Times New Roman" w:eastAsiaTheme="majorEastAsia"/>
      <w:b/>
      <w:bCs/>
      <w:iCs/>
      <w:sz w:val="24"/>
      <w:szCs w:val="24"/>
    </w:rPr>
  </w:style>
  <w:style w:type="paragraph" w:styleId="FERCIndentquote" w:customStyle="1">
    <w:name w:val="FERC Indent quote"/>
    <w:basedOn w:val="FERCBody"/>
    <w:link w:val="FERCIndentquoteChar"/>
    <w:qFormat/>
    <w:pPr>
      <w:spacing w:before="120" w:after="240" w:line="240" w:lineRule="auto"/>
      <w:ind w:left="720" w:right="720" w:firstLine="0"/>
    </w:pPr>
  </w:style>
  <w:style w:type="character" w:styleId="FERCIndentquoteChar" w:customStyle="1">
    <w:name w:val="FERC Indent quote Char"/>
    <w:basedOn w:val="FERCBodyChar"/>
    <w:link w:val="FERCIndentquote"/>
    <w:rPr>
      <w:rFonts w:ascii="Times New Roman" w:hAnsi="Times New Roman" w:cs="Times New Roman"/>
      <w:sz w:val="24"/>
      <w:szCs w:val="24"/>
    </w:rPr>
  </w:style>
  <w:style w:type="paragraph" w:styleId="FERCSignatureBlock" w:customStyle="1">
    <w:name w:val="FERC Signature Block"/>
    <w:basedOn w:val="BodyText"/>
    <w:rPr>
      <w:rFonts w:ascii="Arial" w:hAnsi="Arial" w:eastAsia="Cambria"/>
    </w:rPr>
  </w:style>
  <w:style w:type="paragraph" w:styleId="KBody" w:customStyle="1">
    <w:name w:val="K Body"/>
    <w:basedOn w:val="Normal"/>
    <w:qFormat/>
    <w:pPr>
      <w:spacing w:after="240"/>
    </w:pPr>
  </w:style>
  <w:style w:type="paragraph" w:styleId="BlockText">
    <w:name w:val="Block Text"/>
    <w:basedOn w:val="Normal"/>
    <w:pPr>
      <w:spacing w:after="240"/>
      <w:jc w:val="both"/>
    </w:pPr>
  </w:style>
  <w:style w:type="paragraph" w:styleId="BodyText3">
    <w:name w:val="Body Text 3"/>
    <w:basedOn w:val="Normal"/>
    <w:link w:val="BodyText3Char"/>
    <w:semiHidden/>
    <w:pPr>
      <w:spacing w:after="120"/>
    </w:pPr>
    <w:rPr>
      <w:szCs w:val="16"/>
    </w:rPr>
  </w:style>
  <w:style w:type="character" w:styleId="BodyText3Char" w:customStyle="1">
    <w:name w:val="Body Text 3 Char"/>
    <w:basedOn w:val="DefaultParagraphFont"/>
    <w:link w:val="BodyText3"/>
    <w:semiHidden/>
    <w:rPr>
      <w:rFonts w:ascii="Times New Roman" w:hAnsi="Times New Roman" w:eastAsia="Times New Roman" w:cs="Times New Roman"/>
      <w:sz w:val="24"/>
      <w:szCs w:val="16"/>
    </w:rPr>
  </w:style>
  <w:style w:type="paragraph" w:styleId="BodyTextIndent3">
    <w:name w:val="Body Text Indent 3"/>
    <w:basedOn w:val="Normal"/>
    <w:link w:val="BodyTextIndent3Char"/>
    <w:semiHidden/>
    <w:pPr>
      <w:spacing w:after="120"/>
      <w:ind w:left="360"/>
    </w:pPr>
    <w:rPr>
      <w:szCs w:val="16"/>
    </w:rPr>
  </w:style>
  <w:style w:type="character" w:styleId="BodyTextIndent3Char" w:customStyle="1">
    <w:name w:val="Body Text Indent 3 Char"/>
    <w:basedOn w:val="DefaultParagraphFont"/>
    <w:link w:val="BodyTextIndent3"/>
    <w:semiHidden/>
    <w:rPr>
      <w:rFonts w:ascii="Times New Roman" w:hAnsi="Times New Roman" w:eastAsia="Times New Roman" w:cs="Times New Roman"/>
      <w:sz w:val="24"/>
      <w:szCs w:val="16"/>
    </w:rPr>
  </w:style>
  <w:style w:type="paragraph" w:styleId="Caption">
    <w:name w:val="caption"/>
    <w:basedOn w:val="Normal"/>
    <w:next w:val="Normal"/>
    <w:semiHidden/>
    <w:unhideWhenUsed/>
    <w:qFormat/>
    <w:pPr>
      <w:spacing w:after="200"/>
    </w:pPr>
    <w:rPr>
      <w:b/>
      <w:bCs/>
      <w:szCs w:val="18"/>
    </w:rPr>
  </w:style>
  <w:style w:type="paragraph" w:styleId="Center" w:customStyle="1">
    <w:name w:val="Center"/>
    <w:basedOn w:val="Normal"/>
    <w:qFormat/>
    <w:pPr>
      <w:spacing w:after="240"/>
      <w:jc w:val="center"/>
    </w:pPr>
  </w:style>
  <w:style w:type="character" w:styleId="DocID" w:customStyle="1">
    <w:name w:val="DocID"/>
    <w:basedOn w:val="DefaultParagraphFont"/>
    <w:uiPriority w:val="1"/>
    <w:rPr>
      <w:rFonts w:ascii="Arial" w:hAnsi="Arial"/>
      <w:sz w:val="15"/>
    </w:rPr>
  </w:style>
  <w:style w:type="paragraph" w:styleId="EnvelopeAddress">
    <w:name w:val="envelope address"/>
    <w:basedOn w:val="Normal"/>
    <w:pPr>
      <w:framePr w:w="7920" w:h="1980" w:hSpace="180" w:wrap="auto" w:hAnchor="page" w:xAlign="center" w:yAlign="bottom" w:hRule="exact"/>
      <w:ind w:left="2880"/>
    </w:pPr>
    <w:rPr>
      <w:rFonts w:cs="Arial"/>
      <w:sz w:val="20"/>
    </w:rPr>
  </w:style>
  <w:style w:type="paragraph" w:styleId="EnvelopeReturn">
    <w:name w:val="envelope return"/>
    <w:basedOn w:val="Normal"/>
    <w:rPr>
      <w:rFonts w:asciiTheme="majorHAnsi" w:hAnsiTheme="majorHAnsi" w:eastAsiaTheme="majorEastAsia" w:cstheme="majorBidi"/>
      <w:sz w:val="20"/>
      <w:szCs w:val="20"/>
    </w:rPr>
  </w:style>
  <w:style w:type="paragraph" w:styleId="FooterLandscape" w:customStyle="1">
    <w:name w:val="Footer Landscape"/>
    <w:basedOn w:val="Normal"/>
    <w:pPr>
      <w:tabs>
        <w:tab w:val="center" w:pos="6120"/>
        <w:tab w:val="right" w:pos="12960"/>
      </w:tabs>
    </w:pPr>
  </w:style>
  <w:style w:type="paragraph" w:styleId="HeaderLandscape" w:customStyle="1">
    <w:name w:val="Header Landscape"/>
    <w:basedOn w:val="Normal"/>
    <w:pPr>
      <w:tabs>
        <w:tab w:val="center" w:pos="6120"/>
        <w:tab w:val="right" w:pos="12960"/>
      </w:tabs>
    </w:pPr>
  </w:style>
  <w:style w:type="character" w:styleId="Heading1Char" w:customStyle="1">
    <w:name w:val="Heading 1 Char"/>
    <w:basedOn w:val="DefaultParagraphFont"/>
    <w:link w:val="Heading1"/>
    <w:rPr>
      <w:rFonts w:ascii="Times New Roman" w:hAnsi="Times New Roman" w:eastAsia="Times New Roman" w:cs="Arial"/>
      <w:bCs/>
      <w:sz w:val="24"/>
      <w:szCs w:val="32"/>
    </w:rPr>
  </w:style>
  <w:style w:type="character" w:styleId="Heading2Char" w:customStyle="1">
    <w:name w:val="Heading 2 Char"/>
    <w:basedOn w:val="DefaultParagraphFont"/>
    <w:link w:val="Heading2"/>
    <w:rPr>
      <w:rFonts w:ascii="Times New Roman" w:hAnsi="Times New Roman" w:eastAsia="Times New Roman" w:cs="Arial"/>
      <w:bCs/>
      <w:iCs/>
      <w:sz w:val="24"/>
      <w:szCs w:val="28"/>
    </w:rPr>
  </w:style>
  <w:style w:type="character" w:styleId="Heading3Char" w:customStyle="1">
    <w:name w:val="Heading 3 Char"/>
    <w:basedOn w:val="DefaultParagraphFont"/>
    <w:link w:val="Heading3"/>
    <w:rPr>
      <w:rFonts w:ascii="Times New Roman" w:hAnsi="Times New Roman" w:eastAsia="Times New Roman" w:cs="Arial"/>
      <w:bCs/>
      <w:sz w:val="24"/>
      <w:szCs w:val="26"/>
    </w:rPr>
  </w:style>
  <w:style w:type="character" w:styleId="Heading4Char" w:customStyle="1">
    <w:name w:val="Heading 4 Char"/>
    <w:basedOn w:val="DefaultParagraphFont"/>
    <w:link w:val="Heading4"/>
    <w:rPr>
      <w:rFonts w:ascii="Times New Roman" w:hAnsi="Times New Roman" w:eastAsia="Times New Roman" w:cs="Times New Roman"/>
      <w:bCs/>
      <w:sz w:val="24"/>
      <w:szCs w:val="28"/>
    </w:rPr>
  </w:style>
  <w:style w:type="character" w:styleId="Heading5Char" w:customStyle="1">
    <w:name w:val="Heading 5 Char"/>
    <w:basedOn w:val="DefaultParagraphFont"/>
    <w:link w:val="Heading5"/>
    <w:rPr>
      <w:rFonts w:ascii="Times New Roman" w:hAnsi="Times New Roman" w:eastAsia="Times New Roman" w:cs="Times New Roman"/>
      <w:bCs/>
      <w:iCs/>
      <w:sz w:val="24"/>
      <w:szCs w:val="26"/>
    </w:rPr>
  </w:style>
  <w:style w:type="character" w:styleId="Heading6Char" w:customStyle="1">
    <w:name w:val="Heading 6 Char"/>
    <w:basedOn w:val="DefaultParagraphFont"/>
    <w:link w:val="Heading6"/>
    <w:rPr>
      <w:rFonts w:ascii="Times New Roman" w:hAnsi="Times New Roman" w:eastAsia="Times New Roman" w:cs="Times New Roman"/>
      <w:bCs/>
      <w:sz w:val="24"/>
    </w:rPr>
  </w:style>
  <w:style w:type="character" w:styleId="Heading7Char" w:customStyle="1">
    <w:name w:val="Heading 7 Char"/>
    <w:basedOn w:val="DefaultParagraphFont"/>
    <w:link w:val="Heading7"/>
    <w:rPr>
      <w:rFonts w:ascii="Times New Roman" w:hAnsi="Times New Roman" w:eastAsia="Times New Roman" w:cs="Times New Roman"/>
      <w:sz w:val="24"/>
      <w:szCs w:val="24"/>
    </w:rPr>
  </w:style>
  <w:style w:type="character" w:styleId="Heading8Char" w:customStyle="1">
    <w:name w:val="Heading 8 Char"/>
    <w:basedOn w:val="DefaultParagraphFont"/>
    <w:link w:val="Heading8"/>
    <w:rPr>
      <w:rFonts w:ascii="Times New Roman" w:hAnsi="Times New Roman" w:eastAsia="Times New Roman" w:cs="Times New Roman"/>
      <w:iCs/>
      <w:sz w:val="24"/>
      <w:szCs w:val="24"/>
    </w:rPr>
  </w:style>
  <w:style w:type="character" w:styleId="Heading9Char" w:customStyle="1">
    <w:name w:val="Heading 9 Char"/>
    <w:basedOn w:val="DefaultParagraphFont"/>
    <w:link w:val="Heading9"/>
    <w:rPr>
      <w:rFonts w:ascii="Times New Roman" w:hAnsi="Times New Roman" w:eastAsia="Times New Roman" w:cs="Arial"/>
      <w:sz w:val="24"/>
    </w:rPr>
  </w:style>
  <w:style w:type="character" w:styleId="IntenseEmphasis">
    <w:name w:val="Intense Emphasis"/>
    <w:basedOn w:val="DefaultParagraphFont"/>
    <w:uiPriority w:val="21"/>
    <w:rPr>
      <w:b/>
      <w:bCs/>
      <w:i/>
      <w:iCs/>
      <w:color w:val="auto"/>
    </w:rPr>
  </w:style>
  <w:style w:type="paragraph" w:styleId="IntenseQuote">
    <w:name w:val="Intense Quote"/>
    <w:basedOn w:val="Normal"/>
    <w:next w:val="Normal"/>
    <w:link w:val="IntenseQuoteChar"/>
    <w:uiPriority w:val="30"/>
    <w:pPr>
      <w:pBdr>
        <w:bottom w:val="single" w:color="auto" w:sz="4" w:space="4"/>
      </w:pBdr>
      <w:spacing w:before="200" w:after="280"/>
      <w:ind w:left="936" w:right="936"/>
    </w:pPr>
    <w:rPr>
      <w:b/>
      <w:bCs/>
      <w:i/>
      <w:iCs/>
    </w:rPr>
  </w:style>
  <w:style w:type="character" w:styleId="IntenseQuoteChar" w:customStyle="1">
    <w:name w:val="Intense Quote Char"/>
    <w:basedOn w:val="DefaultParagraphFont"/>
    <w:link w:val="IntenseQuote"/>
    <w:uiPriority w:val="30"/>
    <w:rPr>
      <w:rFonts w:ascii="Times New Roman" w:hAnsi="Times New Roman" w:eastAsia="Times New Roman" w:cs="Times New Roman"/>
      <w:b/>
      <w:bCs/>
      <w:i/>
      <w:iCs/>
      <w:sz w:val="24"/>
      <w:szCs w:val="24"/>
    </w:rPr>
  </w:style>
  <w:style w:type="character" w:styleId="IntenseReference">
    <w:name w:val="Intense Reference"/>
    <w:basedOn w:val="DefaultParagraphFont"/>
    <w:uiPriority w:val="32"/>
    <w:rPr>
      <w:b/>
      <w:bCs/>
      <w:smallCaps/>
      <w:color w:val="auto"/>
      <w:spacing w:val="5"/>
      <w:u w:val="single"/>
    </w:rPr>
  </w:style>
  <w:style w:type="paragraph" w:styleId="KBodyDouble" w:customStyle="1">
    <w:name w:val="K Body Double"/>
    <w:basedOn w:val="Normal"/>
    <w:qFormat/>
    <w:pPr>
      <w:spacing w:line="480" w:lineRule="auto"/>
      <w:jc w:val="both"/>
    </w:pPr>
  </w:style>
  <w:style w:type="paragraph" w:styleId="KBodyDoubleFirstIndent5" w:customStyle="1">
    <w:name w:val="K Body Double First Indent .5&quot;"/>
    <w:basedOn w:val="Normal"/>
    <w:qFormat/>
    <w:pPr>
      <w:spacing w:line="480" w:lineRule="auto"/>
      <w:ind w:firstLine="720"/>
      <w:jc w:val="both"/>
    </w:pPr>
  </w:style>
  <w:style w:type="paragraph" w:styleId="KBodyDoubleFirstIndent1" w:customStyle="1">
    <w:name w:val="K Body Double First Indent 1&quot;"/>
    <w:basedOn w:val="Normal"/>
    <w:qFormat/>
    <w:pPr>
      <w:spacing w:line="480" w:lineRule="auto"/>
      <w:ind w:firstLine="1440"/>
    </w:pPr>
  </w:style>
  <w:style w:type="paragraph" w:styleId="KBodyFirstIndent" w:customStyle="1">
    <w:name w:val="K Body First Indent"/>
    <w:basedOn w:val="Normal"/>
    <w:qFormat/>
    <w:pPr>
      <w:spacing w:after="240"/>
      <w:ind w:firstLine="720"/>
    </w:pPr>
  </w:style>
  <w:style w:type="paragraph" w:styleId="KBodyFirstIndent5" w:customStyle="1">
    <w:name w:val="K Body First Indent .5&quot;"/>
    <w:basedOn w:val="Normal"/>
    <w:qFormat/>
    <w:pPr>
      <w:spacing w:after="240"/>
      <w:ind w:firstLine="720"/>
    </w:pPr>
  </w:style>
  <w:style w:type="paragraph" w:styleId="KBodyFirstIndent1" w:customStyle="1">
    <w:name w:val="K Body First Indent 1&quot;"/>
    <w:basedOn w:val="Normal"/>
    <w:qFormat/>
    <w:pPr>
      <w:spacing w:after="240"/>
      <w:ind w:firstLine="1440"/>
    </w:pPr>
  </w:style>
  <w:style w:type="paragraph" w:styleId="KBullet1" w:customStyle="1">
    <w:name w:val="K Bullet1"/>
    <w:basedOn w:val="Normal"/>
    <w:qFormat/>
    <w:pPr>
      <w:numPr>
        <w:numId w:val="17"/>
      </w:numPr>
      <w:spacing w:after="240"/>
    </w:pPr>
  </w:style>
  <w:style w:type="paragraph" w:styleId="KBullet2" w:customStyle="1">
    <w:name w:val="K Bullet2"/>
    <w:basedOn w:val="Normal"/>
    <w:qFormat/>
    <w:pPr>
      <w:numPr>
        <w:numId w:val="18"/>
      </w:numPr>
      <w:spacing w:after="240"/>
    </w:pPr>
  </w:style>
  <w:style w:type="paragraph" w:styleId="KBullet3" w:customStyle="1">
    <w:name w:val="K Bullet3"/>
    <w:basedOn w:val="Normal"/>
    <w:qFormat/>
    <w:pPr>
      <w:numPr>
        <w:numId w:val="19"/>
      </w:numPr>
      <w:spacing w:after="240"/>
    </w:pPr>
  </w:style>
  <w:style w:type="paragraph" w:styleId="KBullet4" w:customStyle="1">
    <w:name w:val="K Bullet4"/>
    <w:basedOn w:val="Normal"/>
    <w:qFormat/>
    <w:pPr>
      <w:numPr>
        <w:numId w:val="20"/>
      </w:numPr>
      <w:spacing w:after="240"/>
    </w:pPr>
  </w:style>
  <w:style w:type="paragraph" w:styleId="KBullet5" w:customStyle="1">
    <w:name w:val="K Bullet5"/>
    <w:basedOn w:val="Normal"/>
    <w:qFormat/>
    <w:pPr>
      <w:numPr>
        <w:numId w:val="21"/>
      </w:numPr>
      <w:spacing w:after="240"/>
    </w:pPr>
  </w:style>
  <w:style w:type="paragraph" w:styleId="KDisclosure" w:customStyle="1">
    <w:name w:val="K Disclosure"/>
    <w:basedOn w:val="KBody"/>
    <w:pPr>
      <w:spacing w:before="60" w:after="60"/>
    </w:pPr>
    <w:rPr>
      <w:rFonts w:ascii="Arial Narrow" w:hAnsi="Arial Narrow" w:cs="Arial" w:eastAsiaTheme="minorEastAsia"/>
      <w:color w:val="000000"/>
      <w:sz w:val="16"/>
      <w:szCs w:val="16"/>
    </w:rPr>
  </w:style>
  <w:style w:type="paragraph" w:styleId="KFrontPageBox" w:customStyle="1">
    <w:name w:val="K FrontPageBox"/>
    <w:basedOn w:val="KBody"/>
    <w:link w:val="KFrontPageBoxChar"/>
    <w:pPr>
      <w:spacing w:before="240"/>
    </w:pPr>
    <w:rPr>
      <w:rFonts w:cs="Arial" w:eastAsiaTheme="minorEastAsia"/>
      <w:b/>
      <w:caps/>
      <w:color w:val="000000"/>
      <w:sz w:val="30"/>
      <w:szCs w:val="22"/>
    </w:rPr>
  </w:style>
  <w:style w:type="character" w:styleId="KFrontPageBoxChar" w:customStyle="1">
    <w:name w:val="K FrontPageBox Char"/>
    <w:basedOn w:val="DefaultParagraphFont"/>
    <w:link w:val="KFrontPageBox"/>
    <w:rPr>
      <w:rFonts w:ascii="Times New Roman" w:hAnsi="Times New Roman" w:cs="Arial" w:eastAsiaTheme="minorEastAsia"/>
      <w:b/>
      <w:caps/>
      <w:color w:val="000000"/>
      <w:sz w:val="30"/>
    </w:rPr>
  </w:style>
  <w:style w:type="paragraph" w:styleId="KIndent1" w:customStyle="1">
    <w:name w:val="K Indent1"/>
    <w:basedOn w:val="Normal"/>
    <w:qFormat/>
    <w:pPr>
      <w:spacing w:after="240"/>
      <w:ind w:left="720"/>
    </w:pPr>
  </w:style>
  <w:style w:type="paragraph" w:styleId="KIndent2" w:customStyle="1">
    <w:name w:val="K Indent2"/>
    <w:basedOn w:val="Normal"/>
    <w:qFormat/>
    <w:pPr>
      <w:spacing w:after="240"/>
      <w:ind w:left="1440"/>
    </w:pPr>
  </w:style>
  <w:style w:type="paragraph" w:styleId="KIndent3" w:customStyle="1">
    <w:name w:val="K Indent3"/>
    <w:basedOn w:val="Normal"/>
    <w:qFormat/>
    <w:pPr>
      <w:spacing w:after="240"/>
      <w:ind w:left="2160"/>
    </w:pPr>
  </w:style>
  <w:style w:type="paragraph" w:styleId="KIndent4" w:customStyle="1">
    <w:name w:val="K Indent4"/>
    <w:basedOn w:val="Normal"/>
    <w:qFormat/>
    <w:pPr>
      <w:spacing w:after="240"/>
      <w:ind w:left="2880"/>
    </w:pPr>
  </w:style>
  <w:style w:type="paragraph" w:styleId="KIndent5" w:customStyle="1">
    <w:name w:val="K Indent5"/>
    <w:basedOn w:val="Normal"/>
    <w:qFormat/>
    <w:pPr>
      <w:spacing w:after="240"/>
      <w:ind w:left="3600"/>
    </w:pPr>
  </w:style>
  <w:style w:type="paragraph" w:styleId="KIndentFL1" w:customStyle="1">
    <w:name w:val="K IndentFL1"/>
    <w:basedOn w:val="Normal"/>
    <w:qFormat/>
    <w:pPr>
      <w:spacing w:after="240"/>
      <w:ind w:left="720" w:firstLine="720"/>
    </w:pPr>
  </w:style>
  <w:style w:type="paragraph" w:styleId="KIndentFL2" w:customStyle="1">
    <w:name w:val="K IndentFL2"/>
    <w:basedOn w:val="Normal"/>
    <w:qFormat/>
    <w:pPr>
      <w:spacing w:after="240"/>
      <w:ind w:left="1440" w:firstLine="720"/>
    </w:pPr>
  </w:style>
  <w:style w:type="paragraph" w:styleId="KIndentFL3" w:customStyle="1">
    <w:name w:val="K IndentFL3"/>
    <w:basedOn w:val="Normal"/>
    <w:qFormat/>
    <w:pPr>
      <w:spacing w:after="240"/>
      <w:ind w:left="2160" w:firstLine="720"/>
    </w:pPr>
  </w:style>
  <w:style w:type="paragraph" w:styleId="KIndentFL4" w:customStyle="1">
    <w:name w:val="K IndentFL4"/>
    <w:basedOn w:val="Normal"/>
    <w:qFormat/>
    <w:pPr>
      <w:spacing w:after="240"/>
      <w:ind w:left="2880" w:firstLine="720"/>
    </w:pPr>
  </w:style>
  <w:style w:type="paragraph" w:styleId="KIndentFL5" w:customStyle="1">
    <w:name w:val="K IndentFL5"/>
    <w:basedOn w:val="Normal"/>
    <w:qFormat/>
    <w:pPr>
      <w:spacing w:after="240"/>
      <w:ind w:left="3600" w:firstLine="720"/>
    </w:pPr>
  </w:style>
  <w:style w:type="paragraph" w:styleId="KSS" w:customStyle="1">
    <w:name w:val="K SS"/>
    <w:basedOn w:val="Normal"/>
    <w:pPr>
      <w:spacing w:after="240"/>
      <w:jc w:val="center"/>
    </w:pPr>
    <w:rPr>
      <w:b/>
    </w:rPr>
  </w:style>
  <w:style w:type="paragraph" w:styleId="KST" w:customStyle="1">
    <w:name w:val="K ST"/>
    <w:basedOn w:val="Normal"/>
    <w:next w:val="KSS"/>
    <w:pPr>
      <w:spacing w:after="240"/>
      <w:jc w:val="center"/>
    </w:pPr>
    <w:rPr>
      <w:caps/>
    </w:rPr>
  </w:style>
  <w:style w:type="paragraph" w:styleId="KTBody" w:customStyle="1">
    <w:name w:val="K TBody"/>
    <w:basedOn w:val="Normal"/>
    <w:link w:val="KTBodyChar"/>
    <w:rPr>
      <w:rFonts w:cs="Arial" w:eastAsiaTheme="minorEastAsia"/>
      <w:szCs w:val="22"/>
    </w:rPr>
  </w:style>
  <w:style w:type="character" w:styleId="KTBodyChar" w:customStyle="1">
    <w:name w:val="K TBody Char"/>
    <w:basedOn w:val="DefaultParagraphFont"/>
    <w:link w:val="KTBody"/>
    <w:rPr>
      <w:rFonts w:ascii="Times New Roman" w:hAnsi="Times New Roman" w:cs="Arial" w:eastAsiaTheme="minorEastAsia"/>
      <w:sz w:val="24"/>
    </w:rPr>
  </w:style>
  <w:style w:type="paragraph" w:styleId="Quote5" w:customStyle="1">
    <w:name w:val="Quote .5&quot;"/>
    <w:basedOn w:val="Normal"/>
    <w:qFormat/>
    <w:pPr>
      <w:spacing w:after="240"/>
      <w:ind w:left="720" w:right="720"/>
    </w:pPr>
  </w:style>
  <w:style w:type="paragraph" w:styleId="Quote1" w:customStyle="1">
    <w:name w:val="Quote 1&quot;"/>
    <w:basedOn w:val="Normal"/>
    <w:qFormat/>
    <w:pPr>
      <w:spacing w:after="240"/>
      <w:ind w:left="1440" w:right="1440"/>
    </w:pPr>
  </w:style>
  <w:style w:type="paragraph" w:styleId="REQROGHEADINGS" w:customStyle="1">
    <w:name w:val="REQ/ROG HEADINGS"/>
    <w:basedOn w:val="Normal"/>
    <w:next w:val="Normal"/>
    <w:pPr>
      <w:keepNext/>
      <w:keepLines/>
      <w:spacing w:after="240"/>
    </w:pPr>
    <w:rPr>
      <w:b/>
      <w:u w:val="single"/>
    </w:rPr>
  </w:style>
  <w:style w:type="paragraph" w:styleId="REQROGTEXT" w:customStyle="1">
    <w:name w:val="REQ/ROG TEXT"/>
    <w:basedOn w:val="Normal"/>
    <w:qFormat/>
    <w:pPr>
      <w:spacing w:after="240"/>
      <w:ind w:firstLine="720"/>
    </w:pPr>
  </w:style>
  <w:style w:type="paragraph" w:styleId="RESPONSEHEADINGS" w:customStyle="1">
    <w:name w:val="RESPONSE HEADINGS"/>
    <w:basedOn w:val="Normal"/>
    <w:next w:val="Normal"/>
    <w:pPr>
      <w:keepNext/>
      <w:keepLines/>
      <w:spacing w:after="240"/>
    </w:pPr>
    <w:rPr>
      <w:b/>
      <w:u w:val="single"/>
    </w:rPr>
  </w:style>
  <w:style w:type="paragraph" w:styleId="RESPONSETEXT" w:customStyle="1">
    <w:name w:val="RESPONSE TEXT"/>
    <w:basedOn w:val="Normal"/>
    <w:qFormat/>
    <w:pPr>
      <w:spacing w:line="480" w:lineRule="auto"/>
      <w:ind w:firstLine="720"/>
    </w:pPr>
  </w:style>
  <w:style w:type="paragraph" w:styleId="Signature">
    <w:name w:val="Signature"/>
    <w:basedOn w:val="Normal"/>
    <w:link w:val="SignatureChar"/>
    <w:pPr>
      <w:keepNext/>
      <w:tabs>
        <w:tab w:val="right" w:leader="underscore" w:pos="9360"/>
      </w:tabs>
      <w:ind w:left="4680"/>
    </w:pPr>
  </w:style>
  <w:style w:type="character" w:styleId="SignatureChar" w:customStyle="1">
    <w:name w:val="Signature Char"/>
    <w:basedOn w:val="DefaultParagraphFont"/>
    <w:link w:val="Signature"/>
    <w:rPr>
      <w:rFonts w:ascii="Times New Roman" w:hAnsi="Times New Roman" w:eastAsia="Times New Roman" w:cs="Times New Roman"/>
      <w:sz w:val="24"/>
      <w:szCs w:val="24"/>
    </w:rPr>
  </w:style>
  <w:style w:type="paragraph" w:styleId="Subtitle">
    <w:name w:val="Subtitle"/>
    <w:basedOn w:val="Normal"/>
    <w:next w:val="KBody"/>
    <w:link w:val="SubtitleChar"/>
    <w:pPr>
      <w:numPr>
        <w:ilvl w:val="1"/>
      </w:numPr>
    </w:pPr>
    <w:rPr>
      <w:rFonts w:eastAsiaTheme="majorEastAsia" w:cstheme="majorBidi"/>
      <w:iCs/>
    </w:rPr>
  </w:style>
  <w:style w:type="character" w:styleId="SubtitleChar" w:customStyle="1">
    <w:name w:val="Subtitle Char"/>
    <w:basedOn w:val="DefaultParagraphFont"/>
    <w:link w:val="Subtitle"/>
    <w:rPr>
      <w:rFonts w:ascii="Times New Roman" w:hAnsi="Times New Roman" w:eastAsiaTheme="majorEastAsia" w:cstheme="majorBidi"/>
      <w:iCs/>
      <w:sz w:val="24"/>
      <w:szCs w:val="24"/>
    </w:rPr>
  </w:style>
  <w:style w:type="paragraph" w:styleId="SubtitleBold" w:customStyle="1">
    <w:name w:val="Subtitle Bold"/>
    <w:basedOn w:val="Normal"/>
    <w:next w:val="KBody"/>
    <w:qFormat/>
    <w:pPr>
      <w:keepNext/>
      <w:keepLines/>
      <w:spacing w:after="240"/>
    </w:pPr>
    <w:rPr>
      <w:b/>
    </w:rPr>
  </w:style>
  <w:style w:type="paragraph" w:styleId="SubtitleUnderline" w:customStyle="1">
    <w:name w:val="Subtitle Underline"/>
    <w:basedOn w:val="Normal"/>
    <w:next w:val="KBody"/>
    <w:qFormat/>
    <w:pPr>
      <w:keepNext/>
      <w:keepLines/>
      <w:spacing w:after="240"/>
    </w:pPr>
    <w:rPr>
      <w:u w:val="single"/>
    </w:rPr>
  </w:style>
  <w:style w:type="paragraph" w:styleId="SubtitleUnderlineBold" w:customStyle="1">
    <w:name w:val="Subtitle Underline Bold"/>
    <w:basedOn w:val="Normal"/>
    <w:next w:val="KBody"/>
    <w:qFormat/>
    <w:pPr>
      <w:keepNext/>
      <w:keepLines/>
      <w:spacing w:after="240"/>
    </w:pPr>
    <w:rPr>
      <w:b/>
      <w:u w:val="single"/>
    </w:rPr>
  </w:style>
  <w:style w:type="character" w:styleId="SubtleReference">
    <w:name w:val="Subtle Reference"/>
    <w:basedOn w:val="DefaultParagraphFont"/>
    <w:uiPriority w:val="31"/>
    <w:rPr>
      <w:smallCaps/>
      <w:color w:val="auto"/>
      <w:u w:val="single"/>
    </w:rPr>
  </w:style>
  <w:style w:type="paragraph" w:styleId="TableofAuthorities">
    <w:name w:val="table of authorities"/>
    <w:basedOn w:val="Normal"/>
    <w:next w:val="Normal"/>
    <w:pPr>
      <w:ind w:left="245" w:right="432" w:hanging="245"/>
    </w:pPr>
  </w:style>
  <w:style w:type="paragraph" w:styleId="Title">
    <w:name w:val="Title"/>
    <w:basedOn w:val="Normal"/>
    <w:next w:val="KBody"/>
    <w:link w:val="TitleChar"/>
    <w:pPr>
      <w:keepNext/>
      <w:spacing w:after="240"/>
      <w:contextualSpacing/>
      <w:jc w:val="center"/>
    </w:pPr>
    <w:rPr>
      <w:rFonts w:eastAsiaTheme="majorEastAsia" w:cstheme="majorBidi"/>
      <w:szCs w:val="52"/>
    </w:rPr>
  </w:style>
  <w:style w:type="character" w:styleId="TitleChar" w:customStyle="1">
    <w:name w:val="Title Char"/>
    <w:basedOn w:val="DefaultParagraphFont"/>
    <w:link w:val="Title"/>
    <w:rPr>
      <w:rFonts w:ascii="Times New Roman" w:hAnsi="Times New Roman" w:eastAsiaTheme="majorEastAsia" w:cstheme="majorBidi"/>
      <w:sz w:val="24"/>
      <w:szCs w:val="52"/>
    </w:rPr>
  </w:style>
  <w:style w:type="paragraph" w:styleId="TitleBold" w:customStyle="1">
    <w:name w:val="Title Bold"/>
    <w:basedOn w:val="Title"/>
    <w:next w:val="KBody"/>
    <w:qFormat/>
    <w:rPr>
      <w:b/>
    </w:rPr>
  </w:style>
  <w:style w:type="paragraph" w:styleId="TitleCaps" w:customStyle="1">
    <w:name w:val="Title Caps"/>
    <w:basedOn w:val="Normal"/>
    <w:next w:val="KBody"/>
    <w:qFormat/>
    <w:pPr>
      <w:keepNext/>
      <w:spacing w:after="240"/>
      <w:contextualSpacing/>
      <w:jc w:val="center"/>
    </w:pPr>
    <w:rPr>
      <w:caps/>
    </w:rPr>
  </w:style>
  <w:style w:type="paragraph" w:styleId="TitleUnderline" w:customStyle="1">
    <w:name w:val="Title Underline"/>
    <w:basedOn w:val="Normal"/>
    <w:next w:val="KBody"/>
    <w:qFormat/>
    <w:pPr>
      <w:spacing w:after="240"/>
      <w:jc w:val="center"/>
    </w:pPr>
    <w:rPr>
      <w:u w:val="single"/>
    </w:rPr>
  </w:style>
  <w:style w:type="paragraph" w:styleId="TitleUnderlineBold" w:customStyle="1">
    <w:name w:val="Title Underline Bold"/>
    <w:basedOn w:val="Title"/>
    <w:next w:val="KBody"/>
    <w:qFormat/>
    <w:rPr>
      <w:b/>
      <w:u w:val="single"/>
    </w:rPr>
  </w:style>
  <w:style w:type="paragraph" w:styleId="TOAHeading">
    <w:name w:val="toa heading"/>
    <w:basedOn w:val="Normal"/>
    <w:next w:val="Normal"/>
    <w:pPr>
      <w:spacing w:after="240"/>
    </w:pPr>
    <w:rPr>
      <w:rFonts w:cs="Arial"/>
      <w:b/>
      <w:bCs/>
    </w:rPr>
  </w:style>
  <w:style w:type="paragraph" w:styleId="TOC1">
    <w:name w:val="toc 1"/>
    <w:basedOn w:val="Normal"/>
    <w:next w:val="KBody"/>
    <w:pPr>
      <w:tabs>
        <w:tab w:val="right" w:leader="dot" w:pos="9274"/>
      </w:tabs>
      <w:spacing w:after="240"/>
      <w:ind w:left="720" w:right="864" w:hanging="720"/>
    </w:pPr>
  </w:style>
  <w:style w:type="paragraph" w:styleId="TOC2">
    <w:name w:val="toc 2"/>
    <w:basedOn w:val="Normal"/>
    <w:next w:val="KBody"/>
    <w:pPr>
      <w:tabs>
        <w:tab w:val="right" w:leader="dot" w:pos="9274"/>
      </w:tabs>
      <w:spacing w:after="240"/>
      <w:ind w:left="1440" w:right="864" w:hanging="720"/>
    </w:pPr>
  </w:style>
  <w:style w:type="paragraph" w:styleId="TOC3">
    <w:name w:val="toc 3"/>
    <w:basedOn w:val="Normal"/>
    <w:next w:val="KBody"/>
    <w:unhideWhenUsed/>
    <w:pPr>
      <w:tabs>
        <w:tab w:val="right" w:leader="dot" w:pos="9274"/>
      </w:tabs>
      <w:spacing w:after="240"/>
      <w:ind w:left="2160" w:right="864" w:hanging="720"/>
    </w:pPr>
  </w:style>
  <w:style w:type="paragraph" w:styleId="TOC4">
    <w:name w:val="toc 4"/>
    <w:basedOn w:val="Normal"/>
    <w:next w:val="KBody"/>
    <w:unhideWhenUsed/>
    <w:pPr>
      <w:tabs>
        <w:tab w:val="right" w:leader="dot" w:pos="9274"/>
      </w:tabs>
      <w:spacing w:after="240"/>
      <w:ind w:left="2880" w:right="864" w:hanging="720"/>
    </w:pPr>
  </w:style>
  <w:style w:type="paragraph" w:styleId="TOC5">
    <w:name w:val="toc 5"/>
    <w:basedOn w:val="Normal"/>
    <w:next w:val="KBody"/>
    <w:unhideWhenUsed/>
    <w:pPr>
      <w:tabs>
        <w:tab w:val="right" w:leader="dot" w:pos="9274"/>
      </w:tabs>
      <w:spacing w:after="120"/>
      <w:ind w:left="1440" w:right="864" w:hanging="720"/>
    </w:pPr>
  </w:style>
  <w:style w:type="paragraph" w:styleId="TOC6">
    <w:name w:val="toc 6"/>
    <w:basedOn w:val="Normal"/>
    <w:next w:val="KBody"/>
    <w:unhideWhenUsed/>
    <w:pPr>
      <w:tabs>
        <w:tab w:val="right" w:leader="dot" w:pos="9274"/>
      </w:tabs>
      <w:spacing w:after="120"/>
      <w:ind w:left="1440" w:right="864" w:hanging="720"/>
    </w:pPr>
  </w:style>
  <w:style w:type="paragraph" w:styleId="TOC7">
    <w:name w:val="toc 7"/>
    <w:basedOn w:val="Normal"/>
    <w:next w:val="KBody"/>
    <w:unhideWhenUsed/>
    <w:pPr>
      <w:tabs>
        <w:tab w:val="right" w:leader="dot" w:pos="9274"/>
      </w:tabs>
      <w:spacing w:after="120"/>
      <w:ind w:left="1440" w:right="864" w:hanging="720"/>
    </w:pPr>
  </w:style>
  <w:style w:type="paragraph" w:styleId="TOC8">
    <w:name w:val="toc 8"/>
    <w:basedOn w:val="Normal"/>
    <w:next w:val="KBody"/>
    <w:uiPriority w:val="39"/>
    <w:unhideWhenUsed/>
    <w:pPr>
      <w:tabs>
        <w:tab w:val="right" w:leader="dot" w:pos="9274"/>
      </w:tabs>
      <w:spacing w:after="120"/>
      <w:ind w:left="1440" w:right="864" w:hanging="720"/>
    </w:pPr>
  </w:style>
  <w:style w:type="paragraph" w:styleId="TOC9">
    <w:name w:val="toc 9"/>
    <w:basedOn w:val="Normal"/>
    <w:next w:val="KBody"/>
    <w:unhideWhenUsed/>
    <w:pPr>
      <w:tabs>
        <w:tab w:val="right" w:leader="dot" w:pos="9274"/>
      </w:tabs>
      <w:spacing w:after="120"/>
      <w:ind w:left="1440" w:right="864" w:hanging="720"/>
    </w:pPr>
  </w:style>
  <w:style w:type="paragraph" w:styleId="TOCHeading">
    <w:name w:val="TOC Heading"/>
    <w:basedOn w:val="Normal"/>
    <w:next w:val="Normal"/>
    <w:uiPriority w:val="39"/>
    <w:semiHidden/>
    <w:unhideWhenUsed/>
    <w:qFormat/>
    <w:pPr>
      <w:jc w:val="center"/>
    </w:pPr>
    <w:rPr>
      <w:rFonts w:eastAsiaTheme="majorEastAsia" w:cstheme="majorBidi"/>
      <w:b/>
      <w:szCs w:val="28"/>
    </w:rPr>
  </w:style>
  <w:style w:type="paragraph" w:styleId="TOCPage" w:customStyle="1">
    <w:name w:val="TOC Page"/>
    <w:basedOn w:val="Normal"/>
    <w:next w:val="Normal"/>
    <w:uiPriority w:val="39"/>
    <w:unhideWhenUsed/>
    <w:qFormat/>
    <w:pPr>
      <w:spacing w:after="120"/>
      <w:jc w:val="righ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472166">
      <w:bodyDiv w:val="1"/>
      <w:marLeft w:val="0"/>
      <w:marRight w:val="0"/>
      <w:marTop w:val="0"/>
      <w:marBottom w:val="0"/>
      <w:divBdr>
        <w:top w:val="none" w:sz="0" w:space="0" w:color="auto"/>
        <w:left w:val="none" w:sz="0" w:space="0" w:color="auto"/>
        <w:bottom w:val="none" w:sz="0" w:space="0" w:color="auto"/>
        <w:right w:val="none" w:sz="0" w:space="0" w:color="auto"/>
      </w:divBdr>
    </w:div>
    <w:div w:id="950471372">
      <w:bodyDiv w:val="1"/>
      <w:marLeft w:val="0"/>
      <w:marRight w:val="0"/>
      <w:marTop w:val="0"/>
      <w:marBottom w:val="0"/>
      <w:divBdr>
        <w:top w:val="none" w:sz="0" w:space="0" w:color="auto"/>
        <w:left w:val="none" w:sz="0" w:space="0" w:color="auto"/>
        <w:bottom w:val="none" w:sz="0" w:space="0" w:color="auto"/>
        <w:right w:val="none" w:sz="0" w:space="0" w:color="auto"/>
      </w:divBdr>
      <w:divsChild>
        <w:div w:id="391201811">
          <w:marLeft w:val="0"/>
          <w:marRight w:val="0"/>
          <w:marTop w:val="0"/>
          <w:marBottom w:val="0"/>
          <w:divBdr>
            <w:top w:val="none" w:sz="0" w:space="0" w:color="auto"/>
            <w:left w:val="none" w:sz="0" w:space="0" w:color="auto"/>
            <w:bottom w:val="none" w:sz="0" w:space="0" w:color="auto"/>
            <w:right w:val="none" w:sz="0" w:space="0" w:color="auto"/>
          </w:divBdr>
          <w:divsChild>
            <w:div w:id="10495890">
              <w:marLeft w:val="0"/>
              <w:marRight w:val="0"/>
              <w:marTop w:val="0"/>
              <w:marBottom w:val="0"/>
              <w:divBdr>
                <w:top w:val="none" w:sz="0" w:space="0" w:color="auto"/>
                <w:left w:val="none" w:sz="0" w:space="0" w:color="auto"/>
                <w:bottom w:val="none" w:sz="0" w:space="0" w:color="auto"/>
                <w:right w:val="none" w:sz="0" w:space="0" w:color="auto"/>
              </w:divBdr>
              <w:divsChild>
                <w:div w:id="9226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1528">
      <w:bodyDiv w:val="1"/>
      <w:marLeft w:val="0"/>
      <w:marRight w:val="0"/>
      <w:marTop w:val="0"/>
      <w:marBottom w:val="0"/>
      <w:divBdr>
        <w:top w:val="none" w:sz="0" w:space="0" w:color="auto"/>
        <w:left w:val="none" w:sz="0" w:space="0" w:color="auto"/>
        <w:bottom w:val="none" w:sz="0" w:space="0" w:color="auto"/>
        <w:right w:val="none" w:sz="0" w:space="0" w:color="auto"/>
      </w:divBdr>
    </w:div>
    <w:div w:id="1623683579">
      <w:bodyDiv w:val="1"/>
      <w:marLeft w:val="0"/>
      <w:marRight w:val="0"/>
      <w:marTop w:val="0"/>
      <w:marBottom w:val="0"/>
      <w:divBdr>
        <w:top w:val="none" w:sz="0" w:space="0" w:color="auto"/>
        <w:left w:val="none" w:sz="0" w:space="0" w:color="auto"/>
        <w:bottom w:val="none" w:sz="0" w:space="0" w:color="auto"/>
        <w:right w:val="none" w:sz="0" w:space="0" w:color="auto"/>
      </w:divBdr>
    </w:div>
    <w:div w:id="17932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kimberly.frank@klgates.com" TargetMode="Externa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yperlink" Target="mailto:janessa.glenn@klgates.com" TargetMode="Externa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janessa.glenn@klgates.com" TargetMode="Externa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2022-10-11T20:06:21.0000000Z</dcterms:created>
  <dcterms:modified xsi:type="dcterms:W3CDTF">2022-10-11T20:06:21.0000000Z</dcterms:modified>
</coreProperties>
</file>