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A1859" w:rsidRPr="00EB04D1" w:rsidP="002A1859" w14:paraId="5D15F563" w14:textId="77777777">
      <w:pPr>
        <w:pStyle w:val="HTMLPreformatted"/>
        <w:jc w:val="center"/>
        <w:rPr>
          <w:rFonts w:ascii="Times New Roman" w:hAnsi="Times New Roman" w:cs="Times New Roman"/>
          <w:b/>
          <w:bCs/>
          <w:sz w:val="24"/>
          <w:szCs w:val="24"/>
        </w:rPr>
      </w:pPr>
      <w:r w:rsidRPr="00EB04D1">
        <w:rPr>
          <w:rFonts w:ascii="Times New Roman" w:hAnsi="Times New Roman" w:cs="Times New Roman"/>
          <w:b/>
          <w:bCs/>
          <w:sz w:val="24"/>
          <w:szCs w:val="24"/>
        </w:rPr>
        <w:t>BEFORE</w:t>
      </w:r>
    </w:p>
    <w:p w:rsidR="002A1859" w:rsidRPr="00EB04D1" w:rsidP="002A1859" w14:paraId="2E73B11B" w14:textId="77777777">
      <w:pPr>
        <w:pStyle w:val="HTMLPreformatted"/>
        <w:jc w:val="center"/>
        <w:rPr>
          <w:rFonts w:ascii="Times New Roman" w:hAnsi="Times New Roman" w:cs="Times New Roman"/>
          <w:sz w:val="24"/>
          <w:szCs w:val="24"/>
        </w:rPr>
      </w:pPr>
      <w:r w:rsidRPr="00EB04D1">
        <w:rPr>
          <w:rFonts w:ascii="Times New Roman" w:hAnsi="Times New Roman" w:cs="Times New Roman"/>
          <w:b/>
          <w:bCs/>
          <w:sz w:val="24"/>
          <w:szCs w:val="24"/>
        </w:rPr>
        <w:t>THE PUBLIC UTILITIES COMMISSION OF OHIO</w:t>
      </w:r>
    </w:p>
    <w:p w:rsidR="002A1859" w:rsidRPr="00EB04D1" w:rsidP="002A1859" w14:paraId="275E1FFE" w14:textId="77777777">
      <w:pPr>
        <w:pStyle w:val="HTMLPreformatted"/>
        <w:rPr>
          <w:rFonts w:ascii="Times New Roman" w:hAnsi="Times New Roman" w:cs="Times New Roman"/>
          <w:sz w:val="24"/>
          <w:szCs w:val="24"/>
        </w:rPr>
      </w:pPr>
    </w:p>
    <w:tbl>
      <w:tblPr>
        <w:tblW w:w="8730" w:type="dxa"/>
        <w:tblLook w:val="01E0"/>
      </w:tblPr>
      <w:tblGrid>
        <w:gridCol w:w="4230"/>
        <w:gridCol w:w="540"/>
        <w:gridCol w:w="3960"/>
      </w:tblGrid>
      <w:tr w14:paraId="4481EF1B" w14:textId="77777777" w:rsidTr="0035430B">
        <w:tblPrEx>
          <w:tblW w:w="8730" w:type="dxa"/>
          <w:tblLook w:val="01E0"/>
        </w:tblPrEx>
        <w:trPr>
          <w:trHeight w:val="522"/>
        </w:trPr>
        <w:tc>
          <w:tcPr>
            <w:tcW w:w="4230" w:type="dxa"/>
            <w:shd w:val="clear" w:color="auto" w:fill="auto"/>
          </w:tcPr>
          <w:p w:rsidR="002A1859" w:rsidRPr="00EB04D1" w:rsidP="0035430B" w14:paraId="60FE1C2D"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Tariff Revisions.</w:t>
            </w:r>
          </w:p>
          <w:p w:rsidR="002A1859" w:rsidRPr="00EB04D1" w:rsidP="0035430B" w14:paraId="0F8BE070" w14:textId="77777777">
            <w:pPr>
              <w:pStyle w:val="HTMLPreformatted"/>
              <w:rPr>
                <w:rFonts w:ascii="Times New Roman" w:hAnsi="Times New Roman" w:cs="Times New Roman"/>
                <w:sz w:val="24"/>
                <w:szCs w:val="24"/>
              </w:rPr>
            </w:pPr>
          </w:p>
          <w:p w:rsidR="002A1859" w:rsidRPr="00EB04D1" w:rsidP="0035430B" w14:paraId="042DE65C"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Carbon Offset Program.</w:t>
            </w:r>
          </w:p>
        </w:tc>
        <w:tc>
          <w:tcPr>
            <w:tcW w:w="540" w:type="dxa"/>
            <w:shd w:val="clear" w:color="auto" w:fill="auto"/>
          </w:tcPr>
          <w:p w:rsidR="002A1859" w:rsidRPr="00EB04D1" w:rsidP="0035430B" w14:paraId="6FEAF757"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241FACFC"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6E3BF412"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0D0F3D0B"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1CA5950E" w14:textId="77777777">
            <w:pPr>
              <w:pStyle w:val="HTMLPreformatted"/>
              <w:rPr>
                <w:rFonts w:ascii="Times New Roman" w:hAnsi="Times New Roman" w:cs="Times New Roman"/>
                <w:sz w:val="24"/>
                <w:szCs w:val="24"/>
              </w:rPr>
            </w:pPr>
          </w:p>
          <w:p w:rsidR="002A1859" w:rsidRPr="00EB04D1" w:rsidP="0035430B" w14:paraId="17540D8F"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0E98E7C4"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1B000241"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A1859" w:rsidRPr="00EB04D1" w:rsidP="0035430B" w14:paraId="6A6325FE"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tc>
        <w:tc>
          <w:tcPr>
            <w:tcW w:w="3960" w:type="dxa"/>
            <w:shd w:val="clear" w:color="auto" w:fill="auto"/>
          </w:tcPr>
          <w:p w:rsidR="002A1859" w:rsidRPr="00EB04D1" w:rsidP="0035430B" w14:paraId="78B56BD1" w14:textId="77777777">
            <w:pPr>
              <w:pStyle w:val="HTMLPreformatted"/>
              <w:rPr>
                <w:rFonts w:ascii="Times New Roman" w:hAnsi="Times New Roman" w:cs="Times New Roman"/>
                <w:sz w:val="24"/>
                <w:szCs w:val="24"/>
              </w:rPr>
            </w:pPr>
          </w:p>
          <w:p w:rsidR="002A1859" w:rsidRPr="00EB04D1" w:rsidP="0035430B" w14:paraId="62F63C5E"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22-179-GA-ATA</w:t>
            </w:r>
          </w:p>
          <w:p w:rsidR="002A1859" w:rsidRPr="00EB04D1" w:rsidP="0035430B" w14:paraId="1B76BD57" w14:textId="77777777">
            <w:pPr>
              <w:pStyle w:val="HTMLPreformatted"/>
              <w:rPr>
                <w:rFonts w:ascii="Times New Roman" w:hAnsi="Times New Roman" w:cs="Times New Roman"/>
                <w:sz w:val="24"/>
                <w:szCs w:val="24"/>
              </w:rPr>
            </w:pPr>
          </w:p>
          <w:p w:rsidR="002A1859" w:rsidRPr="00EB04D1" w:rsidP="0035430B" w14:paraId="354A6841" w14:textId="77777777">
            <w:pPr>
              <w:pStyle w:val="HTMLPreformatted"/>
              <w:rPr>
                <w:rFonts w:ascii="Times New Roman" w:hAnsi="Times New Roman" w:cs="Times New Roman"/>
                <w:sz w:val="24"/>
                <w:szCs w:val="24"/>
              </w:rPr>
            </w:pPr>
          </w:p>
          <w:p w:rsidR="002A1859" w:rsidRPr="00EB04D1" w:rsidP="0035430B" w14:paraId="028E618E" w14:textId="77777777">
            <w:pPr>
              <w:pStyle w:val="HTMLPreformatted"/>
              <w:rPr>
                <w:rFonts w:ascii="Times New Roman" w:hAnsi="Times New Roman" w:cs="Times New Roman"/>
                <w:sz w:val="24"/>
                <w:szCs w:val="24"/>
              </w:rPr>
            </w:pPr>
          </w:p>
          <w:p w:rsidR="002A1859" w:rsidRPr="00EB04D1" w:rsidP="0035430B" w14:paraId="2B413331" w14:textId="77777777">
            <w:pPr>
              <w:pStyle w:val="HTMLPreformatted"/>
              <w:rPr>
                <w:rFonts w:ascii="Times New Roman" w:hAnsi="Times New Roman" w:cs="Times New Roman"/>
                <w:sz w:val="24"/>
                <w:szCs w:val="24"/>
              </w:rPr>
            </w:pPr>
          </w:p>
          <w:p w:rsidR="002A1859" w:rsidRPr="00EB04D1" w:rsidP="0035430B" w14:paraId="7F55B7E4"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22-180-GA-UNC</w:t>
            </w:r>
          </w:p>
          <w:p w:rsidR="002A1859" w:rsidRPr="00EB04D1" w:rsidP="0035430B" w14:paraId="167C958D" w14:textId="77777777">
            <w:pPr>
              <w:pStyle w:val="HTMLPreformatted"/>
              <w:rPr>
                <w:rFonts w:ascii="Times New Roman" w:hAnsi="Times New Roman" w:cs="Times New Roman"/>
                <w:sz w:val="24"/>
                <w:szCs w:val="24"/>
              </w:rPr>
            </w:pPr>
          </w:p>
        </w:tc>
      </w:tr>
    </w:tbl>
    <w:p w:rsidR="002A1859" w:rsidRPr="0077698C" w:rsidP="002A1859" w14:paraId="47BEB114" w14:textId="77777777">
      <w:pPr>
        <w:keepNext/>
        <w:pBdr>
          <w:bottom w:val="single" w:sz="12" w:space="1" w:color="auto"/>
        </w:pBdr>
        <w:tabs>
          <w:tab w:val="left" w:pos="4320"/>
        </w:tabs>
        <w:outlineLvl w:val="1"/>
        <w:rPr>
          <w:szCs w:val="24"/>
        </w:rPr>
      </w:pPr>
    </w:p>
    <w:p w:rsidR="002A1859" w:rsidRPr="0077698C" w:rsidP="002A1859" w14:paraId="799C3709" w14:textId="77777777">
      <w:pPr>
        <w:keepNext/>
        <w:tabs>
          <w:tab w:val="left" w:pos="4320"/>
        </w:tabs>
        <w:jc w:val="center"/>
        <w:outlineLvl w:val="1"/>
        <w:rPr>
          <w:b/>
          <w:szCs w:val="24"/>
        </w:rPr>
      </w:pPr>
    </w:p>
    <w:p w:rsidR="002A1859" w:rsidRPr="0077698C" w:rsidP="002A1859" w14:paraId="78F84E40" w14:textId="77777777">
      <w:pPr>
        <w:jc w:val="center"/>
        <w:rPr>
          <w:b/>
          <w:bCs/>
          <w:szCs w:val="24"/>
        </w:rPr>
      </w:pPr>
      <w:r>
        <w:rPr>
          <w:b/>
          <w:bCs/>
          <w:szCs w:val="24"/>
        </w:rPr>
        <w:t>INITIAL BRIEF</w:t>
      </w:r>
    </w:p>
    <w:p w:rsidR="002A1859" w:rsidRPr="0077698C" w:rsidP="002A1859" w14:paraId="68DEE25C" w14:textId="77777777">
      <w:pPr>
        <w:jc w:val="center"/>
        <w:rPr>
          <w:b/>
          <w:bCs/>
          <w:szCs w:val="24"/>
        </w:rPr>
      </w:pPr>
      <w:r w:rsidRPr="0077698C">
        <w:rPr>
          <w:b/>
          <w:bCs/>
          <w:szCs w:val="24"/>
        </w:rPr>
        <w:t>BY</w:t>
      </w:r>
    </w:p>
    <w:p w:rsidR="002A1859" w:rsidRPr="0077698C" w:rsidP="002A1859" w14:paraId="499EE007" w14:textId="77777777">
      <w:pPr>
        <w:jc w:val="center"/>
        <w:rPr>
          <w:b/>
          <w:bCs/>
          <w:szCs w:val="24"/>
        </w:rPr>
      </w:pPr>
      <w:r w:rsidRPr="0077698C">
        <w:rPr>
          <w:b/>
          <w:bCs/>
          <w:szCs w:val="24"/>
        </w:rPr>
        <w:t>OFFICE OF THE OHIO CONSUMERS’ COUNSEL</w:t>
      </w:r>
    </w:p>
    <w:p w:rsidR="002A1859" w:rsidRPr="0077698C" w:rsidP="002A1859" w14:paraId="6F054900" w14:textId="77777777">
      <w:pPr>
        <w:keepNext/>
        <w:pBdr>
          <w:bottom w:val="single" w:sz="12" w:space="1" w:color="auto"/>
        </w:pBdr>
        <w:tabs>
          <w:tab w:val="left" w:pos="4320"/>
        </w:tabs>
        <w:spacing w:after="240"/>
        <w:jc w:val="center"/>
        <w:outlineLvl w:val="1"/>
        <w:rPr>
          <w:b/>
          <w:szCs w:val="24"/>
        </w:rPr>
      </w:pPr>
    </w:p>
    <w:p w:rsidR="002A1859" w:rsidP="002A1859" w14:paraId="3F760D81" w14:textId="1096B887">
      <w:pPr>
        <w:pStyle w:val="Heading1"/>
        <w:ind w:firstLine="0"/>
      </w:pPr>
    </w:p>
    <w:p w:rsidR="002A1859" w:rsidP="002A1859" w14:paraId="679A3CBB" w14:textId="77777777"/>
    <w:p w:rsidR="002A1859" w:rsidP="002A1859" w14:paraId="0520B57E" w14:textId="77777777"/>
    <w:p w:rsidR="002A1859" w:rsidRPr="00EB04D1" w:rsidP="002A1859" w14:paraId="0D7520AF" w14:textId="77777777">
      <w:pPr>
        <w:ind w:left="4320"/>
        <w:rPr>
          <w:szCs w:val="24"/>
        </w:rPr>
      </w:pPr>
      <w:r w:rsidRPr="00EB04D1">
        <w:rPr>
          <w:szCs w:val="24"/>
        </w:rPr>
        <w:t>Bruce Weston (0016973)</w:t>
      </w:r>
    </w:p>
    <w:p w:rsidR="002A1859" w:rsidRPr="00EB04D1" w:rsidP="002A1859" w14:paraId="617385DB" w14:textId="77777777">
      <w:pPr>
        <w:tabs>
          <w:tab w:val="left" w:pos="4320"/>
        </w:tabs>
        <w:ind w:left="4320" w:hanging="450"/>
        <w:rPr>
          <w:szCs w:val="24"/>
        </w:rPr>
      </w:pPr>
      <w:r w:rsidRPr="00EB04D1">
        <w:rPr>
          <w:szCs w:val="24"/>
        </w:rPr>
        <w:tab/>
        <w:t>Ohio Consumers’ Counsel</w:t>
      </w:r>
    </w:p>
    <w:p w:rsidR="002A1859" w:rsidRPr="00EB04D1" w:rsidP="002A1859" w14:paraId="27E309D0" w14:textId="77777777">
      <w:pPr>
        <w:tabs>
          <w:tab w:val="left" w:pos="4320"/>
        </w:tabs>
        <w:ind w:left="4320"/>
        <w:rPr>
          <w:szCs w:val="24"/>
        </w:rPr>
      </w:pPr>
    </w:p>
    <w:p w:rsidR="002A1859" w:rsidRPr="00EB04D1" w:rsidP="002A1859" w14:paraId="24BA1164" w14:textId="77777777">
      <w:pPr>
        <w:tabs>
          <w:tab w:val="left" w:pos="4320"/>
        </w:tabs>
        <w:ind w:left="4320"/>
        <w:rPr>
          <w:szCs w:val="24"/>
        </w:rPr>
      </w:pPr>
      <w:r>
        <w:rPr>
          <w:szCs w:val="24"/>
        </w:rPr>
        <w:t>Angela D. O’Brien</w:t>
      </w:r>
      <w:r w:rsidRPr="00EB04D1">
        <w:rPr>
          <w:szCs w:val="24"/>
        </w:rPr>
        <w:t xml:space="preserve"> (00</w:t>
      </w:r>
      <w:r>
        <w:rPr>
          <w:szCs w:val="24"/>
        </w:rPr>
        <w:t>97579</w:t>
      </w:r>
      <w:r w:rsidRPr="00EB04D1">
        <w:rPr>
          <w:szCs w:val="24"/>
        </w:rPr>
        <w:t>)</w:t>
      </w:r>
    </w:p>
    <w:p w:rsidR="002A1859" w:rsidP="002A1859" w14:paraId="1139EDE4" w14:textId="77777777">
      <w:pPr>
        <w:tabs>
          <w:tab w:val="left" w:pos="4320"/>
        </w:tabs>
        <w:ind w:left="4320"/>
        <w:rPr>
          <w:szCs w:val="24"/>
        </w:rPr>
      </w:pPr>
      <w:r w:rsidRPr="00EB04D1">
        <w:rPr>
          <w:szCs w:val="24"/>
        </w:rPr>
        <w:t>Counsel of Record</w:t>
      </w:r>
    </w:p>
    <w:p w:rsidR="002A1859" w:rsidRPr="00EB04D1" w:rsidP="002A1859" w14:paraId="7667FF05" w14:textId="77777777">
      <w:pPr>
        <w:tabs>
          <w:tab w:val="left" w:pos="4320"/>
        </w:tabs>
        <w:ind w:left="4320"/>
        <w:rPr>
          <w:szCs w:val="24"/>
        </w:rPr>
      </w:pPr>
      <w:r>
        <w:rPr>
          <w:szCs w:val="24"/>
        </w:rPr>
        <w:t>Deputy Consumers’ Counsel</w:t>
      </w:r>
    </w:p>
    <w:p w:rsidR="002A1859" w:rsidRPr="00EB04D1" w:rsidP="002A1859" w14:paraId="0EAF4FB1" w14:textId="77777777">
      <w:pPr>
        <w:tabs>
          <w:tab w:val="left" w:pos="3870"/>
          <w:tab w:val="left" w:pos="4320"/>
        </w:tabs>
        <w:ind w:left="4320"/>
        <w:rPr>
          <w:szCs w:val="24"/>
        </w:rPr>
      </w:pPr>
    </w:p>
    <w:p w:rsidR="002A1859" w:rsidRPr="00EB04D1" w:rsidP="002A1859" w14:paraId="7690E9ED" w14:textId="77777777">
      <w:pPr>
        <w:ind w:left="4320"/>
        <w:rPr>
          <w:b/>
          <w:bCs/>
          <w:szCs w:val="24"/>
        </w:rPr>
      </w:pPr>
      <w:r w:rsidRPr="00EB04D1">
        <w:rPr>
          <w:b/>
          <w:bCs/>
          <w:szCs w:val="24"/>
        </w:rPr>
        <w:t>Office of the Ohio Consumers' Counsel</w:t>
      </w:r>
    </w:p>
    <w:p w:rsidR="002A1859" w:rsidRPr="00EB04D1" w:rsidP="002A1859" w14:paraId="306B24E1" w14:textId="77777777">
      <w:pPr>
        <w:ind w:left="4320"/>
        <w:rPr>
          <w:szCs w:val="24"/>
        </w:rPr>
      </w:pPr>
      <w:r w:rsidRPr="00EB04D1">
        <w:rPr>
          <w:szCs w:val="24"/>
        </w:rPr>
        <w:t>65 East State Street, Suite 700</w:t>
      </w:r>
    </w:p>
    <w:p w:rsidR="002A1859" w:rsidRPr="00EB04D1" w:rsidP="002A1859" w14:paraId="1972A847" w14:textId="77777777">
      <w:pPr>
        <w:ind w:left="4320"/>
        <w:rPr>
          <w:szCs w:val="24"/>
        </w:rPr>
      </w:pPr>
      <w:r w:rsidRPr="00EB04D1">
        <w:rPr>
          <w:szCs w:val="24"/>
        </w:rPr>
        <w:t>Columbus, Ohio 43215</w:t>
      </w:r>
    </w:p>
    <w:p w:rsidR="002A1859" w:rsidRPr="00EB04D1" w:rsidP="002A1859" w14:paraId="5EAE6BC8" w14:textId="77777777">
      <w:pPr>
        <w:autoSpaceDE w:val="0"/>
        <w:autoSpaceDN w:val="0"/>
        <w:adjustRightInd w:val="0"/>
        <w:ind w:left="4320"/>
        <w:rPr>
          <w:szCs w:val="24"/>
        </w:rPr>
      </w:pPr>
      <w:r w:rsidRPr="00EB04D1">
        <w:rPr>
          <w:szCs w:val="24"/>
        </w:rPr>
        <w:t>Telephone: [</w:t>
      </w:r>
      <w:r>
        <w:rPr>
          <w:szCs w:val="24"/>
        </w:rPr>
        <w:t>O’Brien</w:t>
      </w:r>
      <w:r w:rsidRPr="00EB04D1">
        <w:rPr>
          <w:szCs w:val="24"/>
        </w:rPr>
        <w:t>]: (614) 466-</w:t>
      </w:r>
      <w:r>
        <w:rPr>
          <w:szCs w:val="24"/>
        </w:rPr>
        <w:t>9531</w:t>
      </w:r>
    </w:p>
    <w:p w:rsidR="002A1859" w:rsidP="002A1859" w14:paraId="6469B624" w14:textId="77777777">
      <w:pPr>
        <w:pStyle w:val="HTMLPreformatted"/>
        <w:ind w:left="4320"/>
        <w:rPr>
          <w:rFonts w:ascii="Times New Roman" w:hAnsi="Times New Roman" w:cs="Times New Roman"/>
          <w:sz w:val="24"/>
          <w:szCs w:val="24"/>
        </w:rPr>
      </w:pPr>
      <w:hyperlink r:id="rId6" w:history="1">
        <w:r w:rsidRPr="00E3048C" w:rsidR="00482FC2">
          <w:rPr>
            <w:rStyle w:val="Hyperlink"/>
            <w:rFonts w:ascii="Times New Roman" w:hAnsi="Times New Roman" w:cs="Times New Roman"/>
            <w:sz w:val="24"/>
            <w:szCs w:val="24"/>
          </w:rPr>
          <w:t>angela.obrien@occ.ohio.gov</w:t>
        </w:r>
      </w:hyperlink>
      <w:r w:rsidR="00482FC2">
        <w:rPr>
          <w:rFonts w:ascii="Times New Roman" w:hAnsi="Times New Roman" w:cs="Times New Roman"/>
          <w:sz w:val="24"/>
          <w:szCs w:val="24"/>
        </w:rPr>
        <w:t xml:space="preserve"> </w:t>
      </w:r>
    </w:p>
    <w:p w:rsidR="002A1859" w:rsidRPr="00EB04D1" w:rsidP="002A1859" w14:paraId="467D5ECA" w14:textId="77777777">
      <w:pPr>
        <w:pStyle w:val="HTMLPreformatted"/>
        <w:ind w:left="4320"/>
        <w:rPr>
          <w:rFonts w:ascii="Times New Roman" w:hAnsi="Times New Roman" w:cs="Times New Roman"/>
          <w:sz w:val="24"/>
          <w:szCs w:val="24"/>
        </w:rPr>
      </w:pPr>
      <w:r w:rsidRPr="00EB04D1">
        <w:rPr>
          <w:rFonts w:ascii="Times New Roman" w:hAnsi="Times New Roman" w:cs="Times New Roman"/>
          <w:sz w:val="24"/>
          <w:szCs w:val="24"/>
        </w:rPr>
        <w:t>(willing to accept service by e-mail)</w:t>
      </w:r>
    </w:p>
    <w:p w:rsidR="002A1859" w:rsidP="002A1859" w14:paraId="765E17DE" w14:textId="77777777"/>
    <w:p w:rsidR="002A1859" w:rsidP="002A1859" w14:paraId="65D5E3A2" w14:textId="77777777"/>
    <w:p w:rsidR="002A1859" w:rsidP="002A1859" w14:paraId="399E9CC9" w14:textId="77777777"/>
    <w:p w:rsidR="002A1859" w:rsidP="002A1859" w14:paraId="152EBF05" w14:textId="77777777"/>
    <w:p w:rsidR="002A1859" w:rsidP="002A1859" w14:paraId="14BDE1AB" w14:textId="77777777"/>
    <w:p w:rsidR="002A1859" w:rsidP="002A1859" w14:paraId="034644B6" w14:textId="77777777"/>
    <w:p w:rsidR="002A1859" w:rsidP="002A1859" w14:paraId="13F6294E" w14:textId="77777777"/>
    <w:p w:rsidR="002A1859" w:rsidRPr="002A1859" w:rsidP="002A1859" w14:paraId="50094200" w14:textId="66F8272E">
      <w:pPr>
        <w:sectPr w:rsidSect="00C625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2"/>
          <w:cols w:space="720"/>
          <w:titlePg/>
          <w:docGrid w:linePitch="65"/>
        </w:sectPr>
      </w:pPr>
      <w:r>
        <w:t>August 2, 2023</w:t>
      </w:r>
    </w:p>
    <w:p w:rsidR="002A1859" w:rsidP="00E94266" w14:paraId="3EB4DC4A" w14:textId="77777777">
      <w:pPr>
        <w:pStyle w:val="HTMLPreformatted"/>
        <w:jc w:val="center"/>
        <w:rPr>
          <w:rFonts w:ascii="Times New Roman" w:hAnsi="Times New Roman" w:cs="Times New Roman"/>
          <w:b/>
          <w:bCs/>
          <w:sz w:val="24"/>
          <w:szCs w:val="24"/>
          <w:u w:val="single"/>
        </w:rPr>
      </w:pPr>
      <w:r w:rsidRPr="002A1859">
        <w:rPr>
          <w:rFonts w:ascii="Times New Roman" w:hAnsi="Times New Roman" w:cs="Times New Roman"/>
          <w:b/>
          <w:bCs/>
          <w:sz w:val="24"/>
          <w:szCs w:val="24"/>
          <w:u w:val="single"/>
        </w:rPr>
        <w:t>TABLE OF CONTENTS</w:t>
      </w:r>
    </w:p>
    <w:p w:rsidR="002A1859" w:rsidP="00E94266" w14:paraId="683747E0" w14:textId="77777777">
      <w:pPr>
        <w:pStyle w:val="HTMLPreformatted"/>
        <w:jc w:val="center"/>
        <w:rPr>
          <w:rFonts w:ascii="Times New Roman" w:hAnsi="Times New Roman" w:cs="Times New Roman"/>
          <w:b/>
          <w:bCs/>
          <w:sz w:val="24"/>
          <w:szCs w:val="24"/>
          <w:u w:val="single"/>
        </w:rPr>
      </w:pPr>
    </w:p>
    <w:p w:rsidR="002A1859" w:rsidP="002A1859" w14:paraId="09DA5572" w14:textId="77777777">
      <w:pPr>
        <w:pStyle w:val="HTMLPreformatted"/>
        <w:jc w:val="right"/>
        <w:rPr>
          <w:rFonts w:ascii="Times New Roman" w:hAnsi="Times New Roman" w:cs="Times New Roman"/>
          <w:b/>
          <w:bCs/>
          <w:sz w:val="24"/>
          <w:szCs w:val="24"/>
        </w:rPr>
      </w:pPr>
      <w:r w:rsidRPr="002A1859">
        <w:rPr>
          <w:rFonts w:ascii="Times New Roman" w:hAnsi="Times New Roman" w:cs="Times New Roman"/>
          <w:b/>
          <w:bCs/>
          <w:sz w:val="24"/>
          <w:szCs w:val="24"/>
        </w:rPr>
        <w:t>PAGE</w:t>
      </w:r>
    </w:p>
    <w:p w:rsidR="005442EA" w:rsidP="002A1859" w14:paraId="6986D396" w14:textId="77777777">
      <w:pPr>
        <w:pStyle w:val="HTMLPreformatted"/>
        <w:jc w:val="right"/>
        <w:rPr>
          <w:rFonts w:ascii="Times New Roman" w:hAnsi="Times New Roman" w:cs="Times New Roman"/>
          <w:b/>
          <w:bCs/>
          <w:sz w:val="24"/>
          <w:szCs w:val="24"/>
        </w:rPr>
      </w:pPr>
    </w:p>
    <w:p w:rsidR="005442EA" w14:paraId="443C6954" w14:textId="6F5FD769">
      <w:pPr>
        <w:pStyle w:val="TOC1"/>
        <w:rPr>
          <w:rFonts w:asciiTheme="minorHAnsi" w:eastAsiaTheme="minorEastAsia" w:hAnsiTheme="minorHAnsi" w:cstheme="minorBidi"/>
          <w:noProof/>
          <w:kern w:val="2"/>
          <w:sz w:val="22"/>
          <w:szCs w:val="22"/>
          <w14:ligatures w14:val="standardContextual"/>
        </w:rPr>
      </w:pPr>
      <w:r>
        <w:rPr>
          <w:b/>
          <w:bCs/>
          <w:szCs w:val="24"/>
        </w:rPr>
        <w:fldChar w:fldCharType="begin"/>
      </w:r>
      <w:r>
        <w:rPr>
          <w:b/>
          <w:bCs/>
          <w:szCs w:val="24"/>
        </w:rPr>
        <w:instrText xml:space="preserve"> TOC \o "1-3" \h \z \u </w:instrText>
      </w:r>
      <w:r>
        <w:rPr>
          <w:b/>
          <w:bCs/>
          <w:szCs w:val="24"/>
        </w:rPr>
        <w:fldChar w:fldCharType="separate"/>
      </w:r>
      <w:hyperlink w:anchor="_Toc141885125" w:history="1">
        <w:r w:rsidRPr="00581977">
          <w:rPr>
            <w:rStyle w:val="Hyperlink"/>
            <w:noProof/>
          </w:rPr>
          <w:t>I.</w:t>
        </w:r>
        <w:r>
          <w:rPr>
            <w:rFonts w:asciiTheme="minorHAnsi" w:eastAsiaTheme="minorEastAsia" w:hAnsiTheme="minorHAnsi" w:cstheme="minorBidi"/>
            <w:noProof/>
            <w:kern w:val="2"/>
            <w:sz w:val="22"/>
            <w:szCs w:val="22"/>
            <w14:ligatures w14:val="standardContextual"/>
          </w:rPr>
          <w:tab/>
        </w:r>
        <w:r w:rsidRPr="00581977">
          <w:rPr>
            <w:rStyle w:val="Hyperlink"/>
            <w:noProof/>
          </w:rPr>
          <w:t>INTRODUCTION</w:t>
        </w:r>
        <w:r>
          <w:rPr>
            <w:noProof/>
            <w:webHidden/>
          </w:rPr>
          <w:tab/>
        </w:r>
        <w:r>
          <w:rPr>
            <w:noProof/>
            <w:webHidden/>
          </w:rPr>
          <w:fldChar w:fldCharType="begin"/>
        </w:r>
        <w:r>
          <w:rPr>
            <w:noProof/>
            <w:webHidden/>
          </w:rPr>
          <w:instrText xml:space="preserve"> PAGEREF _Toc141885125 \h </w:instrText>
        </w:r>
        <w:r>
          <w:rPr>
            <w:noProof/>
            <w:webHidden/>
          </w:rPr>
          <w:fldChar w:fldCharType="separate"/>
        </w:r>
        <w:r w:rsidR="00CC2B2A">
          <w:rPr>
            <w:noProof/>
            <w:webHidden/>
          </w:rPr>
          <w:t>1</w:t>
        </w:r>
        <w:r>
          <w:rPr>
            <w:noProof/>
            <w:webHidden/>
          </w:rPr>
          <w:fldChar w:fldCharType="end"/>
        </w:r>
      </w:hyperlink>
    </w:p>
    <w:p w:rsidR="005442EA" w14:paraId="5CA1A16B" w14:textId="5F4680F0">
      <w:pPr>
        <w:pStyle w:val="TOC1"/>
        <w:rPr>
          <w:rFonts w:asciiTheme="minorHAnsi" w:eastAsiaTheme="minorEastAsia" w:hAnsiTheme="minorHAnsi" w:cstheme="minorBidi"/>
          <w:noProof/>
          <w:kern w:val="2"/>
          <w:sz w:val="22"/>
          <w:szCs w:val="22"/>
          <w14:ligatures w14:val="standardContextual"/>
        </w:rPr>
      </w:pPr>
      <w:hyperlink w:anchor="_Toc141885126" w:history="1">
        <w:r w:rsidRPr="00581977" w:rsidR="00482FC2">
          <w:rPr>
            <w:rStyle w:val="Hyperlink"/>
            <w:bCs/>
            <w:noProof/>
          </w:rPr>
          <w:t>II.</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THE SETTLEMENT VIOLATES THE PUCO’S THREE-PART TEST FOR CONSIDERING SETTLEMENTS</w:t>
        </w:r>
        <w:r w:rsidR="00482FC2">
          <w:rPr>
            <w:noProof/>
            <w:webHidden/>
          </w:rPr>
          <w:tab/>
        </w:r>
        <w:r w:rsidR="00482FC2">
          <w:rPr>
            <w:noProof/>
            <w:webHidden/>
          </w:rPr>
          <w:fldChar w:fldCharType="begin"/>
        </w:r>
        <w:r w:rsidR="00482FC2">
          <w:rPr>
            <w:noProof/>
            <w:webHidden/>
          </w:rPr>
          <w:instrText xml:space="preserve"> PAGEREF _Toc141885126 \h </w:instrText>
        </w:r>
        <w:r w:rsidR="00482FC2">
          <w:rPr>
            <w:noProof/>
            <w:webHidden/>
          </w:rPr>
          <w:fldChar w:fldCharType="separate"/>
        </w:r>
        <w:r w:rsidR="00CC2B2A">
          <w:rPr>
            <w:noProof/>
            <w:webHidden/>
          </w:rPr>
          <w:t>2</w:t>
        </w:r>
        <w:r w:rsidR="00482FC2">
          <w:rPr>
            <w:noProof/>
            <w:webHidden/>
          </w:rPr>
          <w:fldChar w:fldCharType="end"/>
        </w:r>
      </w:hyperlink>
    </w:p>
    <w:p w:rsidR="005442EA" w14:paraId="3FBA60E9" w14:textId="17F68DA0">
      <w:pPr>
        <w:pStyle w:val="TOC2"/>
        <w:tabs>
          <w:tab w:val="left" w:pos="1440"/>
        </w:tabs>
        <w:rPr>
          <w:rFonts w:asciiTheme="minorHAnsi" w:eastAsiaTheme="minorEastAsia" w:hAnsiTheme="minorHAnsi" w:cstheme="minorBidi"/>
          <w:noProof/>
          <w:kern w:val="2"/>
          <w:sz w:val="22"/>
          <w:szCs w:val="22"/>
          <w14:ligatures w14:val="standardContextual"/>
        </w:rPr>
      </w:pPr>
      <w:hyperlink w:anchor="_Toc141885127" w:history="1">
        <w:r w:rsidRPr="00581977" w:rsidR="00482FC2">
          <w:rPr>
            <w:rStyle w:val="Hyperlink"/>
            <w:noProof/>
          </w:rPr>
          <w:t>A.</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 xml:space="preserve">The Settlement lacks serious bargaining and lacks diverse interests. </w:t>
        </w:r>
        <w:r w:rsidR="00482FC2">
          <w:rPr>
            <w:rStyle w:val="Hyperlink"/>
            <w:noProof/>
          </w:rPr>
          <w:br/>
        </w:r>
        <w:r w:rsidRPr="00581977" w:rsidR="00482FC2">
          <w:rPr>
            <w:rStyle w:val="Hyperlink"/>
            <w:noProof/>
          </w:rPr>
          <w:t xml:space="preserve">And the settlement should not be given the benefit of a PUCO </w:t>
        </w:r>
        <w:r w:rsidR="00482FC2">
          <w:rPr>
            <w:rStyle w:val="Hyperlink"/>
            <w:noProof/>
          </w:rPr>
          <w:br/>
        </w:r>
        <w:r w:rsidRPr="00581977" w:rsidR="00482FC2">
          <w:rPr>
            <w:rStyle w:val="Hyperlink"/>
            <w:noProof/>
          </w:rPr>
          <w:t>evaluation under the settlement standards.</w:t>
        </w:r>
        <w:r w:rsidR="00482FC2">
          <w:rPr>
            <w:noProof/>
            <w:webHidden/>
          </w:rPr>
          <w:tab/>
        </w:r>
        <w:r w:rsidR="00482FC2">
          <w:rPr>
            <w:noProof/>
            <w:webHidden/>
          </w:rPr>
          <w:fldChar w:fldCharType="begin"/>
        </w:r>
        <w:r w:rsidR="00482FC2">
          <w:rPr>
            <w:noProof/>
            <w:webHidden/>
          </w:rPr>
          <w:instrText xml:space="preserve"> PAGEREF _Toc141885127 \h </w:instrText>
        </w:r>
        <w:r w:rsidR="00482FC2">
          <w:rPr>
            <w:noProof/>
            <w:webHidden/>
          </w:rPr>
          <w:fldChar w:fldCharType="separate"/>
        </w:r>
        <w:r w:rsidR="00CC2B2A">
          <w:rPr>
            <w:noProof/>
            <w:webHidden/>
          </w:rPr>
          <w:t>3</w:t>
        </w:r>
        <w:r w:rsidR="00482FC2">
          <w:rPr>
            <w:noProof/>
            <w:webHidden/>
          </w:rPr>
          <w:fldChar w:fldCharType="end"/>
        </w:r>
      </w:hyperlink>
    </w:p>
    <w:p w:rsidR="005442EA" w14:paraId="6C2498B8" w14:textId="62978F0F">
      <w:pPr>
        <w:pStyle w:val="TOC2"/>
        <w:tabs>
          <w:tab w:val="left" w:pos="1440"/>
        </w:tabs>
        <w:rPr>
          <w:rFonts w:asciiTheme="minorHAnsi" w:eastAsiaTheme="minorEastAsia" w:hAnsiTheme="minorHAnsi" w:cstheme="minorBidi"/>
          <w:noProof/>
          <w:kern w:val="2"/>
          <w:sz w:val="22"/>
          <w:szCs w:val="22"/>
          <w14:ligatures w14:val="standardContextual"/>
        </w:rPr>
      </w:pPr>
      <w:hyperlink w:anchor="_Toc141885128" w:history="1">
        <w:r w:rsidRPr="00581977" w:rsidR="00482FC2">
          <w:rPr>
            <w:rStyle w:val="Hyperlink"/>
            <w:noProof/>
          </w:rPr>
          <w:t>B.</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 xml:space="preserve">The Settlement does not benefit consumers and the public interest. Allowing Dominion, a monopoly utility, to promote and facilitate competitive carbon offset offers could unfairly discriminate against </w:t>
        </w:r>
        <w:r w:rsidR="00482FC2">
          <w:rPr>
            <w:rStyle w:val="Hyperlink"/>
            <w:noProof/>
          </w:rPr>
          <w:br/>
        </w:r>
        <w:r w:rsidRPr="00581977" w:rsidR="00482FC2">
          <w:rPr>
            <w:rStyle w:val="Hyperlink"/>
            <w:noProof/>
          </w:rPr>
          <w:t>non-participating natural gas marketers and confuse consumers.</w:t>
        </w:r>
        <w:r w:rsidR="00482FC2">
          <w:rPr>
            <w:noProof/>
            <w:webHidden/>
          </w:rPr>
          <w:tab/>
        </w:r>
        <w:r w:rsidR="00482FC2">
          <w:rPr>
            <w:noProof/>
            <w:webHidden/>
          </w:rPr>
          <w:fldChar w:fldCharType="begin"/>
        </w:r>
        <w:r w:rsidR="00482FC2">
          <w:rPr>
            <w:noProof/>
            <w:webHidden/>
          </w:rPr>
          <w:instrText xml:space="preserve"> PAGEREF _Toc141885128 \h </w:instrText>
        </w:r>
        <w:r w:rsidR="00482FC2">
          <w:rPr>
            <w:noProof/>
            <w:webHidden/>
          </w:rPr>
          <w:fldChar w:fldCharType="separate"/>
        </w:r>
        <w:r w:rsidR="00CC2B2A">
          <w:rPr>
            <w:noProof/>
            <w:webHidden/>
          </w:rPr>
          <w:t>4</w:t>
        </w:r>
        <w:r w:rsidR="00482FC2">
          <w:rPr>
            <w:noProof/>
            <w:webHidden/>
          </w:rPr>
          <w:fldChar w:fldCharType="end"/>
        </w:r>
      </w:hyperlink>
    </w:p>
    <w:p w:rsidR="005442EA" w14:paraId="5303AF06" w14:textId="2920F5EA">
      <w:pPr>
        <w:pStyle w:val="TOC3"/>
        <w:tabs>
          <w:tab w:val="left" w:pos="2160"/>
        </w:tabs>
        <w:rPr>
          <w:rFonts w:asciiTheme="minorHAnsi" w:eastAsiaTheme="minorEastAsia" w:hAnsiTheme="minorHAnsi" w:cstheme="minorBidi"/>
          <w:noProof/>
          <w:kern w:val="2"/>
          <w:sz w:val="22"/>
          <w:szCs w:val="22"/>
          <w14:ligatures w14:val="standardContextual"/>
        </w:rPr>
      </w:pPr>
      <w:hyperlink w:anchor="_Toc141885129" w:history="1">
        <w:r w:rsidRPr="00581977" w:rsidR="00482FC2">
          <w:rPr>
            <w:rStyle w:val="Hyperlink"/>
            <w:noProof/>
          </w:rPr>
          <w:t>1.</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 xml:space="preserve">The Decarbon Ohio Program is unnecessary and would </w:t>
        </w:r>
        <w:r w:rsidR="00482FC2">
          <w:rPr>
            <w:rStyle w:val="Hyperlink"/>
            <w:noProof/>
          </w:rPr>
          <w:br/>
        </w:r>
        <w:r w:rsidRPr="00581977" w:rsidR="00482FC2">
          <w:rPr>
            <w:rStyle w:val="Hyperlink"/>
            <w:noProof/>
          </w:rPr>
          <w:t>unfairly favor participating marketers, which could harm consumers.</w:t>
        </w:r>
        <w:r w:rsidR="00482FC2">
          <w:rPr>
            <w:noProof/>
            <w:webHidden/>
          </w:rPr>
          <w:tab/>
        </w:r>
        <w:r w:rsidR="00482FC2">
          <w:rPr>
            <w:noProof/>
            <w:webHidden/>
          </w:rPr>
          <w:fldChar w:fldCharType="begin"/>
        </w:r>
        <w:r w:rsidR="00482FC2">
          <w:rPr>
            <w:noProof/>
            <w:webHidden/>
          </w:rPr>
          <w:instrText xml:space="preserve"> PAGEREF _Toc141885129 \h </w:instrText>
        </w:r>
        <w:r w:rsidR="00482FC2">
          <w:rPr>
            <w:noProof/>
            <w:webHidden/>
          </w:rPr>
          <w:fldChar w:fldCharType="separate"/>
        </w:r>
        <w:r w:rsidR="00CC2B2A">
          <w:rPr>
            <w:noProof/>
            <w:webHidden/>
          </w:rPr>
          <w:t>4</w:t>
        </w:r>
        <w:r w:rsidR="00482FC2">
          <w:rPr>
            <w:noProof/>
            <w:webHidden/>
          </w:rPr>
          <w:fldChar w:fldCharType="end"/>
        </w:r>
      </w:hyperlink>
    </w:p>
    <w:p w:rsidR="005442EA" w14:paraId="4F5E4D79" w14:textId="0921A035">
      <w:pPr>
        <w:pStyle w:val="TOC3"/>
        <w:tabs>
          <w:tab w:val="left" w:pos="2160"/>
        </w:tabs>
        <w:rPr>
          <w:rFonts w:asciiTheme="minorHAnsi" w:eastAsiaTheme="minorEastAsia" w:hAnsiTheme="minorHAnsi" w:cstheme="minorBidi"/>
          <w:noProof/>
          <w:kern w:val="2"/>
          <w:sz w:val="22"/>
          <w:szCs w:val="22"/>
          <w14:ligatures w14:val="standardContextual"/>
        </w:rPr>
      </w:pPr>
      <w:hyperlink w:anchor="_Toc141885130" w:history="1">
        <w:r w:rsidRPr="00581977" w:rsidR="00482FC2">
          <w:rPr>
            <w:rStyle w:val="Hyperlink"/>
            <w:noProof/>
          </w:rPr>
          <w:t>2.</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The Decarbon Ohio Program could harm consumers by encouraging mis-marketing through greenwashing.</w:t>
        </w:r>
        <w:r w:rsidR="00482FC2">
          <w:rPr>
            <w:noProof/>
            <w:webHidden/>
          </w:rPr>
          <w:tab/>
        </w:r>
        <w:r w:rsidR="00482FC2">
          <w:rPr>
            <w:noProof/>
            <w:webHidden/>
          </w:rPr>
          <w:fldChar w:fldCharType="begin"/>
        </w:r>
        <w:r w:rsidR="00482FC2">
          <w:rPr>
            <w:noProof/>
            <w:webHidden/>
          </w:rPr>
          <w:instrText xml:space="preserve"> PAGEREF _Toc141885130 \h </w:instrText>
        </w:r>
        <w:r w:rsidR="00482FC2">
          <w:rPr>
            <w:noProof/>
            <w:webHidden/>
          </w:rPr>
          <w:fldChar w:fldCharType="separate"/>
        </w:r>
        <w:r w:rsidR="00CC2B2A">
          <w:rPr>
            <w:noProof/>
            <w:webHidden/>
          </w:rPr>
          <w:t>5</w:t>
        </w:r>
        <w:r w:rsidR="00482FC2">
          <w:rPr>
            <w:noProof/>
            <w:webHidden/>
          </w:rPr>
          <w:fldChar w:fldCharType="end"/>
        </w:r>
      </w:hyperlink>
    </w:p>
    <w:p w:rsidR="005442EA" w14:paraId="6FCF020E" w14:textId="2DDACE13">
      <w:pPr>
        <w:pStyle w:val="TOC2"/>
        <w:tabs>
          <w:tab w:val="left" w:pos="1440"/>
        </w:tabs>
        <w:rPr>
          <w:rFonts w:asciiTheme="minorHAnsi" w:eastAsiaTheme="minorEastAsia" w:hAnsiTheme="minorHAnsi" w:cstheme="minorBidi"/>
          <w:noProof/>
          <w:kern w:val="2"/>
          <w:sz w:val="22"/>
          <w:szCs w:val="22"/>
          <w14:ligatures w14:val="standardContextual"/>
        </w:rPr>
      </w:pPr>
      <w:hyperlink w:anchor="_Toc141885131" w:history="1">
        <w:r w:rsidRPr="00581977" w:rsidR="00482FC2">
          <w:rPr>
            <w:rStyle w:val="Hyperlink"/>
            <w:noProof/>
          </w:rPr>
          <w:t>C.</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The PUCO should reject the Settlement because it violates regulatory principles and practices -- and violates Ohio law. The Decarbon Ohio Program involves the monopoly utility (Dominion) providing a non-utility service that unfairly benefits participating marketers to the detriment of competition. It also can create customer confusion which is contrary to regulatory practices and principles.</w:t>
        </w:r>
        <w:r w:rsidR="00482FC2">
          <w:rPr>
            <w:noProof/>
            <w:webHidden/>
          </w:rPr>
          <w:tab/>
        </w:r>
        <w:r w:rsidR="00482FC2">
          <w:rPr>
            <w:noProof/>
            <w:webHidden/>
          </w:rPr>
          <w:fldChar w:fldCharType="begin"/>
        </w:r>
        <w:r w:rsidR="00482FC2">
          <w:rPr>
            <w:noProof/>
            <w:webHidden/>
          </w:rPr>
          <w:instrText xml:space="preserve"> PAGEREF _Toc141885131 \h </w:instrText>
        </w:r>
        <w:r w:rsidR="00482FC2">
          <w:rPr>
            <w:noProof/>
            <w:webHidden/>
          </w:rPr>
          <w:fldChar w:fldCharType="separate"/>
        </w:r>
        <w:r w:rsidR="00CC2B2A">
          <w:rPr>
            <w:noProof/>
            <w:webHidden/>
          </w:rPr>
          <w:t>7</w:t>
        </w:r>
        <w:r w:rsidR="00482FC2">
          <w:rPr>
            <w:noProof/>
            <w:webHidden/>
          </w:rPr>
          <w:fldChar w:fldCharType="end"/>
        </w:r>
      </w:hyperlink>
    </w:p>
    <w:p w:rsidR="005442EA" w14:paraId="738ED0E3" w14:textId="70221DBE">
      <w:pPr>
        <w:pStyle w:val="TOC1"/>
        <w:rPr>
          <w:rFonts w:asciiTheme="minorHAnsi" w:eastAsiaTheme="minorEastAsia" w:hAnsiTheme="minorHAnsi" w:cstheme="minorBidi"/>
          <w:noProof/>
          <w:kern w:val="2"/>
          <w:sz w:val="22"/>
          <w:szCs w:val="22"/>
          <w14:ligatures w14:val="standardContextual"/>
        </w:rPr>
      </w:pPr>
      <w:hyperlink w:anchor="_Toc141885132" w:history="1">
        <w:r w:rsidRPr="00581977" w:rsidR="00482FC2">
          <w:rPr>
            <w:rStyle w:val="Hyperlink"/>
            <w:noProof/>
          </w:rPr>
          <w:t>III.</w:t>
        </w:r>
        <w:r w:rsidR="00482FC2">
          <w:rPr>
            <w:rFonts w:asciiTheme="minorHAnsi" w:eastAsiaTheme="minorEastAsia" w:hAnsiTheme="minorHAnsi" w:cstheme="minorBidi"/>
            <w:noProof/>
            <w:kern w:val="2"/>
            <w:sz w:val="22"/>
            <w:szCs w:val="22"/>
            <w14:ligatures w14:val="standardContextual"/>
          </w:rPr>
          <w:tab/>
        </w:r>
        <w:r w:rsidRPr="00581977" w:rsidR="00482FC2">
          <w:rPr>
            <w:rStyle w:val="Hyperlink"/>
            <w:noProof/>
          </w:rPr>
          <w:t>CONCLUSION</w:t>
        </w:r>
        <w:r w:rsidR="00482FC2">
          <w:rPr>
            <w:noProof/>
            <w:webHidden/>
          </w:rPr>
          <w:tab/>
        </w:r>
        <w:r w:rsidR="00482FC2">
          <w:rPr>
            <w:noProof/>
            <w:webHidden/>
          </w:rPr>
          <w:fldChar w:fldCharType="begin"/>
        </w:r>
        <w:r w:rsidR="00482FC2">
          <w:rPr>
            <w:noProof/>
            <w:webHidden/>
          </w:rPr>
          <w:instrText xml:space="preserve"> PAGEREF _Toc141885132 \h </w:instrText>
        </w:r>
        <w:r w:rsidR="00482FC2">
          <w:rPr>
            <w:noProof/>
            <w:webHidden/>
          </w:rPr>
          <w:fldChar w:fldCharType="separate"/>
        </w:r>
        <w:r w:rsidR="00CC2B2A">
          <w:rPr>
            <w:noProof/>
            <w:webHidden/>
          </w:rPr>
          <w:t>10</w:t>
        </w:r>
        <w:r w:rsidR="00482FC2">
          <w:rPr>
            <w:noProof/>
            <w:webHidden/>
          </w:rPr>
          <w:fldChar w:fldCharType="end"/>
        </w:r>
      </w:hyperlink>
    </w:p>
    <w:p w:rsidR="00566293" w:rsidP="002A1859" w14:paraId="70E436FD" w14:textId="48F093C5">
      <w:pPr>
        <w:pStyle w:val="HTMLPreformatted"/>
        <w:jc w:val="right"/>
        <w:rPr>
          <w:rFonts w:ascii="Times New Roman" w:hAnsi="Times New Roman" w:cs="Times New Roman"/>
          <w:b/>
          <w:bCs/>
          <w:sz w:val="24"/>
          <w:szCs w:val="24"/>
        </w:rPr>
        <w:sectPr w:rsidSect="00566293">
          <w:footerReference w:type="first" r:id="rId13"/>
          <w:pgSz w:w="12240" w:h="15840"/>
          <w:pgMar w:top="1440" w:right="1800" w:bottom="1440" w:left="1800" w:header="720" w:footer="720" w:gutter="0"/>
          <w:pgNumType w:fmt="lowerRoman" w:start="1"/>
          <w:cols w:space="720"/>
          <w:titlePg/>
          <w:docGrid w:linePitch="65"/>
        </w:sectPr>
      </w:pPr>
      <w:r>
        <w:rPr>
          <w:rFonts w:ascii="Times New Roman" w:eastAsia="Times New Roman" w:hAnsi="Times New Roman" w:cs="Times New Roman"/>
          <w:b/>
          <w:bCs/>
          <w:sz w:val="24"/>
          <w:szCs w:val="24"/>
        </w:rPr>
        <w:fldChar w:fldCharType="end"/>
      </w:r>
    </w:p>
    <w:p w:rsidR="00E94266" w:rsidRPr="00EB04D1" w:rsidP="00E94266" w14:paraId="28283622" w14:textId="77777777">
      <w:pPr>
        <w:pStyle w:val="HTMLPreformatted"/>
        <w:jc w:val="center"/>
        <w:rPr>
          <w:rFonts w:ascii="Times New Roman" w:hAnsi="Times New Roman" w:cs="Times New Roman"/>
          <w:b/>
          <w:bCs/>
          <w:sz w:val="24"/>
          <w:szCs w:val="24"/>
        </w:rPr>
      </w:pPr>
      <w:r w:rsidRPr="00EB04D1">
        <w:rPr>
          <w:rFonts w:ascii="Times New Roman" w:hAnsi="Times New Roman" w:cs="Times New Roman"/>
          <w:b/>
          <w:bCs/>
          <w:sz w:val="24"/>
          <w:szCs w:val="24"/>
        </w:rPr>
        <w:t>BEFORE</w:t>
      </w:r>
    </w:p>
    <w:p w:rsidR="00E94266" w:rsidRPr="00EB04D1" w:rsidP="00E94266" w14:paraId="29B18939" w14:textId="77777777">
      <w:pPr>
        <w:pStyle w:val="HTMLPreformatted"/>
        <w:jc w:val="center"/>
        <w:rPr>
          <w:rFonts w:ascii="Times New Roman" w:hAnsi="Times New Roman" w:cs="Times New Roman"/>
          <w:sz w:val="24"/>
          <w:szCs w:val="24"/>
        </w:rPr>
      </w:pPr>
      <w:r w:rsidRPr="00EB04D1">
        <w:rPr>
          <w:rFonts w:ascii="Times New Roman" w:hAnsi="Times New Roman" w:cs="Times New Roman"/>
          <w:b/>
          <w:bCs/>
          <w:sz w:val="24"/>
          <w:szCs w:val="24"/>
        </w:rPr>
        <w:t>THE PUBLIC UTILITIES COMMISSION OF OHIO</w:t>
      </w:r>
    </w:p>
    <w:p w:rsidR="002F13D4" w:rsidRPr="00EB04D1" w:rsidP="002F13D4" w14:paraId="45C7150D" w14:textId="77777777">
      <w:pPr>
        <w:pStyle w:val="HTMLPreformatted"/>
        <w:rPr>
          <w:rFonts w:ascii="Times New Roman" w:hAnsi="Times New Roman" w:cs="Times New Roman"/>
          <w:sz w:val="24"/>
          <w:szCs w:val="24"/>
        </w:rPr>
      </w:pPr>
    </w:p>
    <w:tbl>
      <w:tblPr>
        <w:tblW w:w="8730" w:type="dxa"/>
        <w:tblLook w:val="01E0"/>
      </w:tblPr>
      <w:tblGrid>
        <w:gridCol w:w="4230"/>
        <w:gridCol w:w="540"/>
        <w:gridCol w:w="3960"/>
      </w:tblGrid>
      <w:tr w14:paraId="772EA2F8" w14:textId="77777777" w:rsidTr="00736089">
        <w:tblPrEx>
          <w:tblW w:w="8730" w:type="dxa"/>
          <w:tblLook w:val="01E0"/>
        </w:tblPrEx>
        <w:trPr>
          <w:trHeight w:val="522"/>
        </w:trPr>
        <w:tc>
          <w:tcPr>
            <w:tcW w:w="4230" w:type="dxa"/>
            <w:shd w:val="clear" w:color="auto" w:fill="auto"/>
          </w:tcPr>
          <w:p w:rsidR="002F1357" w:rsidRPr="00EB04D1" w:rsidP="00736089" w14:paraId="1627CD0F" w14:textId="00517A65">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Tariff Revisions</w:t>
            </w:r>
            <w:r w:rsidRPr="00EB04D1" w:rsidR="00560B36">
              <w:rPr>
                <w:rFonts w:ascii="Times New Roman" w:hAnsi="Times New Roman" w:cs="Times New Roman"/>
                <w:sz w:val="24"/>
                <w:szCs w:val="24"/>
              </w:rPr>
              <w:t>.</w:t>
            </w:r>
          </w:p>
          <w:p w:rsidR="002F1357" w:rsidRPr="00EB04D1" w:rsidP="00736089" w14:paraId="0FF26A81" w14:textId="77777777">
            <w:pPr>
              <w:pStyle w:val="HTMLPreformatted"/>
              <w:rPr>
                <w:rFonts w:ascii="Times New Roman" w:hAnsi="Times New Roman" w:cs="Times New Roman"/>
                <w:sz w:val="24"/>
                <w:szCs w:val="24"/>
              </w:rPr>
            </w:pPr>
          </w:p>
          <w:p w:rsidR="002F1357" w:rsidRPr="00EB04D1" w:rsidP="00736089" w14:paraId="61EC973A" w14:textId="50D12CAA">
            <w:pPr>
              <w:pStyle w:val="HTMLPreformatted"/>
              <w:rPr>
                <w:rFonts w:ascii="Times New Roman" w:hAnsi="Times New Roman" w:cs="Times New Roman"/>
                <w:sz w:val="24"/>
                <w:szCs w:val="24"/>
              </w:rPr>
            </w:pPr>
            <w:r w:rsidRPr="00EB04D1">
              <w:rPr>
                <w:rFonts w:ascii="Times New Roman" w:hAnsi="Times New Roman" w:cs="Times New Roman"/>
                <w:sz w:val="24"/>
                <w:szCs w:val="24"/>
              </w:rPr>
              <w:t>In the Matter of the Application of the East Ohio Gas Company d/b/a Dominion Energy Ohio for Approval of Carbon Offset Program</w:t>
            </w:r>
            <w:r w:rsidRPr="00EB04D1" w:rsidR="00560B36">
              <w:rPr>
                <w:rFonts w:ascii="Times New Roman" w:hAnsi="Times New Roman" w:cs="Times New Roman"/>
                <w:sz w:val="24"/>
                <w:szCs w:val="24"/>
              </w:rPr>
              <w:t>.</w:t>
            </w:r>
          </w:p>
        </w:tc>
        <w:tc>
          <w:tcPr>
            <w:tcW w:w="540" w:type="dxa"/>
            <w:shd w:val="clear" w:color="auto" w:fill="auto"/>
          </w:tcPr>
          <w:p w:rsidR="002F1357" w:rsidRPr="00EB04D1" w:rsidP="00736089" w14:paraId="4C726708"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BE78B60"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CDACA2C"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508AF431"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7DC6DF74" w14:textId="77777777">
            <w:pPr>
              <w:pStyle w:val="HTMLPreformatted"/>
              <w:rPr>
                <w:rFonts w:ascii="Times New Roman" w:hAnsi="Times New Roman" w:cs="Times New Roman"/>
                <w:sz w:val="24"/>
                <w:szCs w:val="24"/>
              </w:rPr>
            </w:pPr>
          </w:p>
          <w:p w:rsidR="002F1357" w:rsidRPr="00EB04D1" w:rsidP="00736089" w14:paraId="5177554F"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6A108E64"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1833723D"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p w:rsidR="002F1357" w:rsidRPr="00EB04D1" w:rsidP="00736089" w14:paraId="08B254D2" w14:textId="77777777">
            <w:pPr>
              <w:pStyle w:val="HTMLPreformatted"/>
              <w:rPr>
                <w:rFonts w:ascii="Times New Roman" w:hAnsi="Times New Roman" w:cs="Times New Roman"/>
                <w:sz w:val="24"/>
                <w:szCs w:val="24"/>
              </w:rPr>
            </w:pPr>
            <w:r w:rsidRPr="00EB04D1">
              <w:rPr>
                <w:rFonts w:ascii="Times New Roman" w:hAnsi="Times New Roman" w:cs="Times New Roman"/>
                <w:sz w:val="24"/>
                <w:szCs w:val="24"/>
              </w:rPr>
              <w:t>)</w:t>
            </w:r>
          </w:p>
        </w:tc>
        <w:tc>
          <w:tcPr>
            <w:tcW w:w="3960" w:type="dxa"/>
            <w:shd w:val="clear" w:color="auto" w:fill="auto"/>
          </w:tcPr>
          <w:p w:rsidR="002F1357" w:rsidRPr="00EB04D1" w:rsidP="00736089" w14:paraId="3C6CBAC8" w14:textId="77777777">
            <w:pPr>
              <w:pStyle w:val="HTMLPreformatted"/>
              <w:rPr>
                <w:rFonts w:ascii="Times New Roman" w:hAnsi="Times New Roman" w:cs="Times New Roman"/>
                <w:sz w:val="24"/>
                <w:szCs w:val="24"/>
              </w:rPr>
            </w:pPr>
          </w:p>
          <w:p w:rsidR="002F1357" w:rsidRPr="00EB04D1" w:rsidP="00736089" w14:paraId="324650DD" w14:textId="13CA62EE">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22-179-GA-ATA</w:t>
            </w:r>
          </w:p>
          <w:p w:rsidR="002F1357" w:rsidRPr="00EB04D1" w:rsidP="00736089" w14:paraId="4E990FB1" w14:textId="77777777">
            <w:pPr>
              <w:pStyle w:val="HTMLPreformatted"/>
              <w:rPr>
                <w:rFonts w:ascii="Times New Roman" w:hAnsi="Times New Roman" w:cs="Times New Roman"/>
                <w:sz w:val="24"/>
                <w:szCs w:val="24"/>
              </w:rPr>
            </w:pPr>
          </w:p>
          <w:p w:rsidR="002F1357" w:rsidRPr="00EB04D1" w:rsidP="00736089" w14:paraId="60FBD83C" w14:textId="77777777">
            <w:pPr>
              <w:pStyle w:val="HTMLPreformatted"/>
              <w:rPr>
                <w:rFonts w:ascii="Times New Roman" w:hAnsi="Times New Roman" w:cs="Times New Roman"/>
                <w:sz w:val="24"/>
                <w:szCs w:val="24"/>
              </w:rPr>
            </w:pPr>
          </w:p>
          <w:p w:rsidR="002F1357" w:rsidRPr="00EB04D1" w:rsidP="00736089" w14:paraId="38A354F5" w14:textId="77777777">
            <w:pPr>
              <w:pStyle w:val="HTMLPreformatted"/>
              <w:rPr>
                <w:rFonts w:ascii="Times New Roman" w:hAnsi="Times New Roman" w:cs="Times New Roman"/>
                <w:sz w:val="24"/>
                <w:szCs w:val="24"/>
              </w:rPr>
            </w:pPr>
          </w:p>
          <w:p w:rsidR="002F1357" w:rsidRPr="00EB04D1" w:rsidP="00736089" w14:paraId="6CFF08B4" w14:textId="77777777">
            <w:pPr>
              <w:pStyle w:val="HTMLPreformatted"/>
              <w:rPr>
                <w:rFonts w:ascii="Times New Roman" w:hAnsi="Times New Roman" w:cs="Times New Roman"/>
                <w:sz w:val="24"/>
                <w:szCs w:val="24"/>
              </w:rPr>
            </w:pPr>
          </w:p>
          <w:p w:rsidR="002F1357" w:rsidRPr="00EB04D1" w:rsidP="00736089" w14:paraId="0EFDC918" w14:textId="564210A9">
            <w:pPr>
              <w:pStyle w:val="HTMLPreformatted"/>
              <w:rPr>
                <w:rFonts w:ascii="Times New Roman" w:hAnsi="Times New Roman" w:cs="Times New Roman"/>
                <w:sz w:val="24"/>
                <w:szCs w:val="24"/>
              </w:rPr>
            </w:pPr>
            <w:r w:rsidRPr="00EB04D1">
              <w:rPr>
                <w:rFonts w:ascii="Times New Roman" w:hAnsi="Times New Roman" w:cs="Times New Roman"/>
                <w:sz w:val="24"/>
                <w:szCs w:val="24"/>
              </w:rPr>
              <w:t>Case No. 22-180-GA-UNC</w:t>
            </w:r>
          </w:p>
          <w:p w:rsidR="002F1357" w:rsidRPr="00EB04D1" w:rsidP="00736089" w14:paraId="3918602E" w14:textId="77777777">
            <w:pPr>
              <w:pStyle w:val="HTMLPreformatted"/>
              <w:rPr>
                <w:rFonts w:ascii="Times New Roman" w:hAnsi="Times New Roman" w:cs="Times New Roman"/>
                <w:sz w:val="24"/>
                <w:szCs w:val="24"/>
              </w:rPr>
            </w:pPr>
          </w:p>
        </w:tc>
      </w:tr>
    </w:tbl>
    <w:p w:rsidR="0077698C" w:rsidRPr="0077698C" w:rsidP="0077698C" w14:paraId="44E36311" w14:textId="77777777">
      <w:pPr>
        <w:keepNext/>
        <w:pBdr>
          <w:bottom w:val="single" w:sz="12" w:space="1" w:color="auto"/>
        </w:pBdr>
        <w:tabs>
          <w:tab w:val="left" w:pos="4320"/>
        </w:tabs>
        <w:outlineLvl w:val="1"/>
        <w:rPr>
          <w:szCs w:val="24"/>
        </w:rPr>
      </w:pPr>
    </w:p>
    <w:p w:rsidR="0077698C" w:rsidRPr="0077698C" w:rsidP="0077698C" w14:paraId="625C646E" w14:textId="77777777">
      <w:pPr>
        <w:keepNext/>
        <w:tabs>
          <w:tab w:val="left" w:pos="4320"/>
        </w:tabs>
        <w:jc w:val="center"/>
        <w:outlineLvl w:val="1"/>
        <w:rPr>
          <w:b/>
          <w:szCs w:val="24"/>
        </w:rPr>
      </w:pPr>
    </w:p>
    <w:p w:rsidR="0077698C" w:rsidRPr="0077698C" w:rsidP="0077698C" w14:paraId="0D85C753" w14:textId="4139C89A">
      <w:pPr>
        <w:jc w:val="center"/>
        <w:rPr>
          <w:b/>
          <w:bCs/>
          <w:szCs w:val="24"/>
        </w:rPr>
      </w:pPr>
      <w:r>
        <w:rPr>
          <w:b/>
          <w:bCs/>
          <w:szCs w:val="24"/>
        </w:rPr>
        <w:t>INITIAL BRIEF</w:t>
      </w:r>
    </w:p>
    <w:p w:rsidR="0077698C" w:rsidRPr="0077698C" w:rsidP="0077698C" w14:paraId="603C7C30" w14:textId="77777777">
      <w:pPr>
        <w:jc w:val="center"/>
        <w:rPr>
          <w:b/>
          <w:bCs/>
          <w:szCs w:val="24"/>
        </w:rPr>
      </w:pPr>
      <w:r w:rsidRPr="0077698C">
        <w:rPr>
          <w:b/>
          <w:bCs/>
          <w:szCs w:val="24"/>
        </w:rPr>
        <w:t>BY</w:t>
      </w:r>
    </w:p>
    <w:p w:rsidR="0077698C" w:rsidRPr="0077698C" w:rsidP="0077698C" w14:paraId="0B7530C1" w14:textId="77777777">
      <w:pPr>
        <w:jc w:val="center"/>
        <w:rPr>
          <w:b/>
          <w:bCs/>
          <w:szCs w:val="24"/>
        </w:rPr>
      </w:pPr>
      <w:r w:rsidRPr="0077698C">
        <w:rPr>
          <w:b/>
          <w:bCs/>
          <w:szCs w:val="24"/>
        </w:rPr>
        <w:t>OFFICE OF THE OHIO CONSUMERS’ COUNSEL</w:t>
      </w:r>
    </w:p>
    <w:p w:rsidR="0077698C" w:rsidRPr="0077698C" w:rsidP="0077698C" w14:paraId="29DC247F" w14:textId="77777777">
      <w:pPr>
        <w:keepNext/>
        <w:pBdr>
          <w:bottom w:val="single" w:sz="12" w:space="1" w:color="auto"/>
        </w:pBdr>
        <w:tabs>
          <w:tab w:val="left" w:pos="4320"/>
        </w:tabs>
        <w:spacing w:after="240"/>
        <w:jc w:val="center"/>
        <w:outlineLvl w:val="1"/>
        <w:rPr>
          <w:b/>
          <w:szCs w:val="24"/>
        </w:rPr>
      </w:pPr>
    </w:p>
    <w:p w:rsidR="006E76CD" w:rsidRPr="00EB04D1" w:rsidP="006E76CD" w14:paraId="4A90A392" w14:textId="43F2083A">
      <w:pPr>
        <w:pStyle w:val="Heading1"/>
        <w:numPr>
          <w:ilvl w:val="0"/>
          <w:numId w:val="8"/>
        </w:numPr>
        <w:ind w:left="720"/>
      </w:pPr>
      <w:bookmarkStart w:id="0" w:name="_Toc141885125"/>
      <w:r w:rsidRPr="00EB04D1">
        <w:t>INTRODUCTION</w:t>
      </w:r>
      <w:bookmarkEnd w:id="0"/>
      <w:r w:rsidRPr="00EB04D1">
        <w:t xml:space="preserve"> </w:t>
      </w:r>
    </w:p>
    <w:p w:rsidR="007F502C" w:rsidP="007F502C" w14:paraId="5677CC22" w14:textId="5F9266AC">
      <w:pPr>
        <w:pStyle w:val="BodyTextIndent3"/>
        <w:widowControl w:val="0"/>
        <w:spacing w:line="480" w:lineRule="auto"/>
        <w:ind w:right="-317"/>
        <w:rPr>
          <w:szCs w:val="24"/>
        </w:rPr>
      </w:pPr>
      <w:r>
        <w:rPr>
          <w:szCs w:val="24"/>
        </w:rPr>
        <w:t>It should not impress the PUCO that natural gas marketers</w:t>
      </w:r>
      <w:r>
        <w:rPr>
          <w:rStyle w:val="FootnoteReference"/>
          <w:szCs w:val="24"/>
        </w:rPr>
        <w:footnoteReference w:id="2"/>
      </w:r>
      <w:r>
        <w:rPr>
          <w:szCs w:val="24"/>
        </w:rPr>
        <w:t xml:space="preserve"> were, unsurprisingly, able to reach a settlement among themselves and their own national association, plus with monopoly utility Dominion Energy Ohio (“Dominion”). The Settlement would affect consumers but no consumer representatives signed it, nor did the PUCO staff. Their agreement would allow </w:t>
      </w:r>
      <w:r w:rsidR="00154718">
        <w:rPr>
          <w:szCs w:val="24"/>
        </w:rPr>
        <w:t xml:space="preserve">monopoly </w:t>
      </w:r>
      <w:r>
        <w:rPr>
          <w:szCs w:val="24"/>
        </w:rPr>
        <w:t>Dominion to establish itself as sort of a carbon-offset czar, in a</w:t>
      </w:r>
      <w:r w:rsidR="00154718">
        <w:rPr>
          <w:szCs w:val="24"/>
        </w:rPr>
        <w:t xml:space="preserve"> so-called</w:t>
      </w:r>
      <w:r>
        <w:rPr>
          <w:szCs w:val="24"/>
        </w:rPr>
        <w:t xml:space="preserve"> Decarbon Ohio Program</w:t>
      </w:r>
      <w:r w:rsidR="00154718">
        <w:rPr>
          <w:szCs w:val="24"/>
        </w:rPr>
        <w:t>, in what is supposed to be competitive marketing.</w:t>
      </w:r>
      <w:r>
        <w:rPr>
          <w:szCs w:val="24"/>
        </w:rPr>
        <w:t xml:space="preserve"> The program would enable marketer promotions to consumers about the marketers’ claimed greenness. The program provides no assurance to consumers that the marketers’ charges for the promoted de-carboned energy would be reasonable. Note that those parties also added the state’s name into the mix, for an additional touch of officiality to draw consumers in. The PUCO should reject the settlement.</w:t>
      </w:r>
      <w:r>
        <w:rPr>
          <w:szCs w:val="24"/>
        </w:rPr>
        <w:tab/>
      </w:r>
    </w:p>
    <w:p w:rsidR="005A0DC7" w:rsidP="007F502C" w14:paraId="2168526E" w14:textId="1C65514B">
      <w:pPr>
        <w:pStyle w:val="BodyTextIndent3"/>
        <w:widowControl w:val="0"/>
        <w:spacing w:line="480" w:lineRule="auto"/>
        <w:ind w:right="-317"/>
        <w:rPr>
          <w:szCs w:val="24"/>
        </w:rPr>
      </w:pPr>
      <w:r w:rsidRPr="008F4BE1">
        <w:rPr>
          <w:szCs w:val="24"/>
        </w:rPr>
        <w:t xml:space="preserve">In Ohio, energy marketers are supposed to compete in the marketplace for the benefit of consumers. At least that is the theory. The competition for consumers is to be without the government and the monopoly utility’s involvement in picking (or appearing to pick) winners and losers in marketers’ success with consumers. </w:t>
      </w:r>
    </w:p>
    <w:p w:rsidR="002306E2" w:rsidP="000F206B" w14:paraId="2FD7387F" w14:textId="5414B978">
      <w:pPr>
        <w:pStyle w:val="BodyTextIndent3"/>
        <w:widowControl w:val="0"/>
        <w:spacing w:line="480" w:lineRule="auto"/>
        <w:ind w:right="-317"/>
      </w:pPr>
      <w:r>
        <w:t>C</w:t>
      </w:r>
      <w:r w:rsidR="004F3298">
        <w:t>arbon offset opportunities can be a good thing</w:t>
      </w:r>
      <w:r w:rsidR="00CA0AB3">
        <w:t xml:space="preserve"> for consumers</w:t>
      </w:r>
      <w:r>
        <w:t>. But</w:t>
      </w:r>
      <w:r w:rsidR="00CE3BA5">
        <w:t xml:space="preserve"> having a</w:t>
      </w:r>
      <w:r w:rsidR="00CA0AB3">
        <w:t xml:space="preserve"> monopoly </w:t>
      </w:r>
      <w:r>
        <w:t>like Dominion</w:t>
      </w:r>
      <w:r w:rsidR="00CE3BA5">
        <w:t xml:space="preserve"> promot</w:t>
      </w:r>
      <w:r>
        <w:t>ing</w:t>
      </w:r>
      <w:r w:rsidR="00743903">
        <w:t xml:space="preserve">, </w:t>
      </w:r>
      <w:r w:rsidR="00CE3BA5">
        <w:t>verify</w:t>
      </w:r>
      <w:r>
        <w:t>ing</w:t>
      </w:r>
      <w:r w:rsidR="00CE3BA5">
        <w:t xml:space="preserve"> </w:t>
      </w:r>
      <w:r w:rsidR="00743903">
        <w:t xml:space="preserve">and otherwise involved in </w:t>
      </w:r>
      <w:r w:rsidR="00CE3BA5">
        <w:t>carbon offsets</w:t>
      </w:r>
      <w:r w:rsidR="00743903">
        <w:t xml:space="preserve"> for energy marketers (to use in promotions to consumers)</w:t>
      </w:r>
      <w:r w:rsidR="00CE3BA5">
        <w:t xml:space="preserve"> is not</w:t>
      </w:r>
      <w:r w:rsidR="00743903">
        <w:t xml:space="preserve"> a</w:t>
      </w:r>
      <w:r w:rsidR="00D65BDE">
        <w:t xml:space="preserve"> </w:t>
      </w:r>
      <w:r w:rsidR="00CE3BA5">
        <w:t>good</w:t>
      </w:r>
      <w:r w:rsidR="00743903">
        <w:t xml:space="preserve"> thing under Ohio’s </w:t>
      </w:r>
      <w:r w:rsidR="00882714">
        <w:t xml:space="preserve">competitive </w:t>
      </w:r>
      <w:r w:rsidR="00743903">
        <w:t xml:space="preserve">market approach for </w:t>
      </w:r>
      <w:r w:rsidR="000C5BA8">
        <w:t xml:space="preserve">natural gas </w:t>
      </w:r>
      <w:r w:rsidR="00CE3BA5">
        <w:t>consumers.</w:t>
      </w:r>
      <w:r w:rsidR="00CA0AB3">
        <w:t xml:space="preserve"> </w:t>
      </w:r>
    </w:p>
    <w:p w:rsidR="004F3298" w:rsidP="00C15065" w14:paraId="5467D2F7" w14:textId="61AAE120">
      <w:pPr>
        <w:pStyle w:val="BodyTextIndent3"/>
        <w:widowControl w:val="0"/>
        <w:spacing w:line="480" w:lineRule="auto"/>
        <w:ind w:right="-317"/>
      </w:pPr>
      <w:r w:rsidRPr="00EB04D1">
        <w:rPr>
          <w:szCs w:val="24"/>
        </w:rPr>
        <w:t>Dominion (and the PUCO) should leave the marketing of natural gas, with carbon offsets, to energy</w:t>
      </w:r>
      <w:r w:rsidR="00882714">
        <w:rPr>
          <w:szCs w:val="24"/>
        </w:rPr>
        <w:t xml:space="preserve"> </w:t>
      </w:r>
      <w:r w:rsidRPr="00EB04D1">
        <w:rPr>
          <w:szCs w:val="24"/>
        </w:rPr>
        <w:t>marketers in the competitive market.</w:t>
      </w:r>
      <w:r>
        <w:t xml:space="preserve"> T</w:t>
      </w:r>
      <w:r w:rsidR="009A7A46">
        <w:t>o protect consumers, t</w:t>
      </w:r>
      <w:r>
        <w:t xml:space="preserve">he PUCO should reject the </w:t>
      </w:r>
      <w:r w:rsidR="002306E2">
        <w:t>S</w:t>
      </w:r>
      <w:r>
        <w:t>ettlement.</w:t>
      </w:r>
      <w:r w:rsidR="004C5091">
        <w:t xml:space="preserve"> </w:t>
      </w:r>
    </w:p>
    <w:p w:rsidR="004C5091" w:rsidP="004C5091" w14:paraId="23293874" w14:textId="77777777">
      <w:pPr>
        <w:pStyle w:val="BodyTextIndent3"/>
        <w:widowControl w:val="0"/>
        <w:spacing w:line="240" w:lineRule="auto"/>
        <w:ind w:right="-317" w:firstLine="0"/>
      </w:pPr>
    </w:p>
    <w:p w:rsidR="00965E03" w:rsidRPr="00D65BDE" w:rsidP="004C5091" w14:paraId="60F10F02" w14:textId="70F7AB3A">
      <w:pPr>
        <w:pStyle w:val="BodyTextIndent3"/>
        <w:widowControl w:val="0"/>
        <w:numPr>
          <w:ilvl w:val="0"/>
          <w:numId w:val="8"/>
        </w:numPr>
        <w:spacing w:line="240" w:lineRule="auto"/>
        <w:ind w:left="720" w:right="-29"/>
        <w:rPr>
          <w:b/>
          <w:bCs/>
          <w:szCs w:val="24"/>
        </w:rPr>
      </w:pPr>
      <w:bookmarkStart w:id="1" w:name="_Toc141885126"/>
      <w:r w:rsidRPr="00566293">
        <w:rPr>
          <w:rStyle w:val="Heading1Char"/>
        </w:rPr>
        <w:t>THE SETTLEMENT VIOLATES THE PUCO’S THREE-PART TEST FOR CONSIDERING SETTLEMENTS</w:t>
      </w:r>
      <w:bookmarkEnd w:id="1"/>
    </w:p>
    <w:p w:rsidR="00D65BDE" w:rsidRPr="00B42DBE" w:rsidP="00D65BDE" w14:paraId="52964E1A" w14:textId="77777777">
      <w:pPr>
        <w:pStyle w:val="BodyTextIndent3"/>
        <w:widowControl w:val="0"/>
        <w:spacing w:line="240" w:lineRule="auto"/>
        <w:ind w:left="1440" w:right="-29" w:firstLine="0"/>
        <w:rPr>
          <w:b/>
          <w:bCs/>
          <w:szCs w:val="24"/>
        </w:rPr>
      </w:pPr>
    </w:p>
    <w:p w:rsidR="00965E03" w:rsidRPr="00506520" w:rsidP="00965E03" w14:paraId="087074B8" w14:textId="56BC4555">
      <w:pPr>
        <w:pStyle w:val="BodyTextIndent3"/>
        <w:widowControl w:val="0"/>
        <w:spacing w:line="480" w:lineRule="auto"/>
        <w:ind w:right="-317"/>
        <w:rPr>
          <w:szCs w:val="24"/>
        </w:rPr>
      </w:pPr>
      <w:r w:rsidRPr="00506520">
        <w:rPr>
          <w:szCs w:val="24"/>
        </w:rPr>
        <w:t xml:space="preserve">Settlements are </w:t>
      </w:r>
      <w:r w:rsidRPr="00965E03">
        <w:t>evaluated</w:t>
      </w:r>
      <w:r w:rsidRPr="00506520">
        <w:rPr>
          <w:szCs w:val="24"/>
        </w:rPr>
        <w:t xml:space="preserve"> by the PUCO under a three-part test. The PUCO will adopt a settlement only if it meets the following three criteria: 1. the settlement is a product of serious bargaining among capable, knowledgeable parties; 2. the settlement, as a package, benefits customers and the public interest; and 3. the settlement package</w:t>
      </w:r>
      <w:r w:rsidR="0002027E">
        <w:rPr>
          <w:szCs w:val="24"/>
        </w:rPr>
        <w:t xml:space="preserve"> does not</w:t>
      </w:r>
      <w:r w:rsidRPr="00506520">
        <w:rPr>
          <w:szCs w:val="24"/>
        </w:rPr>
        <w:t xml:space="preserve"> violate important regulatory principle</w:t>
      </w:r>
      <w:r w:rsidR="0002027E">
        <w:rPr>
          <w:szCs w:val="24"/>
        </w:rPr>
        <w:t>s</w:t>
      </w:r>
      <w:r w:rsidRPr="00506520">
        <w:rPr>
          <w:szCs w:val="24"/>
        </w:rPr>
        <w:t xml:space="preserve"> or practice</w:t>
      </w:r>
      <w:r w:rsidR="0002027E">
        <w:rPr>
          <w:szCs w:val="24"/>
        </w:rPr>
        <w:t>s</w:t>
      </w:r>
      <w:r w:rsidRPr="00506520">
        <w:rPr>
          <w:szCs w:val="24"/>
        </w:rPr>
        <w:t>.</w:t>
      </w:r>
      <w:r>
        <w:rPr>
          <w:szCs w:val="24"/>
          <w:vertAlign w:val="superscript"/>
        </w:rPr>
        <w:footnoteReference w:id="3"/>
      </w:r>
      <w:r w:rsidRPr="00506520">
        <w:rPr>
          <w:szCs w:val="24"/>
        </w:rPr>
        <w:t xml:space="preserve"> In addition, the PUCO also routinely considers whether the parties to the settlement represent diverse interests.</w:t>
      </w:r>
      <w:r>
        <w:rPr>
          <w:rStyle w:val="FootnoteReference"/>
          <w:szCs w:val="24"/>
        </w:rPr>
        <w:footnoteReference w:id="4"/>
      </w:r>
      <w:r w:rsidRPr="00506520">
        <w:rPr>
          <w:szCs w:val="24"/>
        </w:rPr>
        <w:t xml:space="preserve"> </w:t>
      </w:r>
    </w:p>
    <w:p w:rsidR="00B42DBE" w:rsidP="00B42DBE" w14:paraId="0199FDC8" w14:textId="02521A26">
      <w:pPr>
        <w:spacing w:line="480" w:lineRule="auto"/>
        <w:ind w:firstLine="720"/>
      </w:pPr>
      <w:r>
        <w:rPr>
          <w:szCs w:val="24"/>
        </w:rPr>
        <w:t>T</w:t>
      </w:r>
      <w:r w:rsidRPr="00506520" w:rsidR="00965E03">
        <w:rPr>
          <w:szCs w:val="24"/>
        </w:rPr>
        <w:t xml:space="preserve">he </w:t>
      </w:r>
      <w:r w:rsidR="002306E2">
        <w:rPr>
          <w:szCs w:val="24"/>
        </w:rPr>
        <w:t>S</w:t>
      </w:r>
      <w:r w:rsidRPr="00506520" w:rsidR="00965E03">
        <w:rPr>
          <w:szCs w:val="24"/>
        </w:rPr>
        <w:t>ettlement</w:t>
      </w:r>
      <w:r>
        <w:rPr>
          <w:szCs w:val="24"/>
        </w:rPr>
        <w:t xml:space="preserve"> violates all three prongs of the three-part settlement test.</w:t>
      </w:r>
      <w:r w:rsidRPr="00506520" w:rsidR="00965E03">
        <w:rPr>
          <w:szCs w:val="24"/>
        </w:rPr>
        <w:t xml:space="preserve"> </w:t>
      </w:r>
      <w:r>
        <w:t xml:space="preserve">The </w:t>
      </w:r>
      <w:r w:rsidR="002306E2">
        <w:t>S</w:t>
      </w:r>
      <w:r>
        <w:t xml:space="preserve">ettlement </w:t>
      </w:r>
      <w:r w:rsidR="00035C62">
        <w:t xml:space="preserve">is not a result of serious bargaining (and lacks diverse interests such as no consumer advocate’s signing), it </w:t>
      </w:r>
      <w:r>
        <w:t>does not benefit c</w:t>
      </w:r>
      <w:r w:rsidR="00A853C4">
        <w:t>onsumers</w:t>
      </w:r>
      <w:r>
        <w:t xml:space="preserve"> and </w:t>
      </w:r>
      <w:r w:rsidR="00035C62">
        <w:t xml:space="preserve">it is not in the </w:t>
      </w:r>
      <w:r>
        <w:t xml:space="preserve">public interest. </w:t>
      </w:r>
      <w:r w:rsidR="000F206B">
        <w:t xml:space="preserve">And the </w:t>
      </w:r>
      <w:r w:rsidR="002306E2">
        <w:t>S</w:t>
      </w:r>
      <w:r w:rsidR="000F206B">
        <w:t>ettlement is</w:t>
      </w:r>
      <w:r>
        <w:t xml:space="preserve"> contrary to regulatory principles and practices. </w:t>
      </w:r>
    </w:p>
    <w:p w:rsidR="0036781B" w:rsidP="00566293" w14:paraId="4EB27C80" w14:textId="5734F169">
      <w:pPr>
        <w:pStyle w:val="Heading2"/>
        <w:numPr>
          <w:ilvl w:val="0"/>
          <w:numId w:val="22"/>
        </w:numPr>
        <w:ind w:left="1440" w:hanging="720"/>
      </w:pPr>
      <w:bookmarkStart w:id="2" w:name="_Toc141885127"/>
      <w:r>
        <w:t>The Settlement lacks serious bargaining and lacks diverse interests.</w:t>
      </w:r>
      <w:r w:rsidR="001245B7">
        <w:t xml:space="preserve"> And the settlement should not be given the benefit of a PUCO evaluation under the settlement standards.</w:t>
      </w:r>
      <w:bookmarkEnd w:id="2"/>
    </w:p>
    <w:p w:rsidR="00837BEC" w:rsidP="00837BEC" w14:paraId="304F1187" w14:textId="7045372D">
      <w:pPr>
        <w:pStyle w:val="BodyTextIndent3"/>
        <w:widowControl w:val="0"/>
        <w:spacing w:line="480" w:lineRule="auto"/>
        <w:ind w:right="-317"/>
        <w:rPr>
          <w:szCs w:val="24"/>
        </w:rPr>
      </w:pPr>
      <w:r>
        <w:rPr>
          <w:szCs w:val="24"/>
        </w:rPr>
        <w:t>A group of stakeholders with common interests negotiated a settlement to serve their interests. Diverse interests are lacking.</w:t>
      </w:r>
      <w:r w:rsidR="002A1859">
        <w:rPr>
          <w:szCs w:val="24"/>
        </w:rPr>
        <w:t xml:space="preserve"> </w:t>
      </w:r>
      <w:r>
        <w:rPr>
          <w:szCs w:val="24"/>
        </w:rPr>
        <w:t xml:space="preserve">No representative of Dominion’s million consumers signed the settlement. </w:t>
      </w:r>
    </w:p>
    <w:p w:rsidR="00837BEC" w:rsidP="00837BEC" w14:paraId="407A0B0D" w14:textId="2766F421">
      <w:pPr>
        <w:pStyle w:val="BodyTextIndent3"/>
        <w:widowControl w:val="0"/>
        <w:spacing w:line="480" w:lineRule="auto"/>
        <w:ind w:right="-317"/>
        <w:rPr>
          <w:szCs w:val="24"/>
        </w:rPr>
      </w:pPr>
      <w:r>
        <w:rPr>
          <w:szCs w:val="24"/>
        </w:rPr>
        <w:t>The seriousness of the bargaining by the settlement parties is belied by their limited-interest result</w:t>
      </w:r>
      <w:r w:rsidR="00BC2C68">
        <w:rPr>
          <w:szCs w:val="24"/>
        </w:rPr>
        <w:t>. Their limited-interest result</w:t>
      </w:r>
      <w:r>
        <w:rPr>
          <w:szCs w:val="24"/>
        </w:rPr>
        <w:t xml:space="preserve"> serves their corporate interests</w:t>
      </w:r>
      <w:r w:rsidR="00BC2C68">
        <w:rPr>
          <w:szCs w:val="24"/>
        </w:rPr>
        <w:t>. That includes interests</w:t>
      </w:r>
      <w:r>
        <w:rPr>
          <w:szCs w:val="24"/>
        </w:rPr>
        <w:t xml:space="preserve"> </w:t>
      </w:r>
      <w:r w:rsidR="00BC2C68">
        <w:rPr>
          <w:szCs w:val="24"/>
        </w:rPr>
        <w:t>in</w:t>
      </w:r>
      <w:r>
        <w:rPr>
          <w:szCs w:val="24"/>
        </w:rPr>
        <w:t xml:space="preserve"> </w:t>
      </w:r>
      <w:r w:rsidR="00BC2C68">
        <w:rPr>
          <w:szCs w:val="24"/>
        </w:rPr>
        <w:t>finding -- through a result by government regulation and utility involvement, instead of by direct competition -- a way for certain marketers to gain a competitive advantage.</w:t>
      </w:r>
      <w:r w:rsidR="002A1859">
        <w:rPr>
          <w:szCs w:val="24"/>
        </w:rPr>
        <w:t xml:space="preserve"> </w:t>
      </w:r>
      <w:r>
        <w:rPr>
          <w:szCs w:val="24"/>
        </w:rPr>
        <w:t>And t</w:t>
      </w:r>
      <w:r w:rsidR="00BC2C68">
        <w:rPr>
          <w:szCs w:val="24"/>
        </w:rPr>
        <w:t xml:space="preserve">he </w:t>
      </w:r>
      <w:r>
        <w:rPr>
          <w:szCs w:val="24"/>
        </w:rPr>
        <w:t>regulated monopoly utility</w:t>
      </w:r>
      <w:r w:rsidR="00BC2C68">
        <w:rPr>
          <w:szCs w:val="24"/>
        </w:rPr>
        <w:t xml:space="preserve"> (Dominion)</w:t>
      </w:r>
      <w:r>
        <w:rPr>
          <w:szCs w:val="24"/>
        </w:rPr>
        <w:t xml:space="preserve"> </w:t>
      </w:r>
      <w:r w:rsidR="00BC2C68">
        <w:rPr>
          <w:szCs w:val="24"/>
        </w:rPr>
        <w:t xml:space="preserve">gains the enhanced public image, such as with its ESG goals, of association with </w:t>
      </w:r>
      <w:r w:rsidR="00217777">
        <w:rPr>
          <w:szCs w:val="24"/>
        </w:rPr>
        <w:t xml:space="preserve">unregulated </w:t>
      </w:r>
      <w:r w:rsidR="00BC2C68">
        <w:rPr>
          <w:szCs w:val="24"/>
        </w:rPr>
        <w:t>carbon offsets</w:t>
      </w:r>
      <w:r w:rsidR="00B00C7E">
        <w:rPr>
          <w:szCs w:val="24"/>
        </w:rPr>
        <w:t xml:space="preserve"> by marketers</w:t>
      </w:r>
      <w:r w:rsidR="00BC2C68">
        <w:rPr>
          <w:szCs w:val="24"/>
        </w:rPr>
        <w:t xml:space="preserve">. </w:t>
      </w:r>
      <w:r w:rsidR="00C415C2">
        <w:rPr>
          <w:szCs w:val="24"/>
        </w:rPr>
        <w:t>The fact that their bargaining did not result in compromise with a real party in interest, consumers as represented by OCC, reflects the lack of serious bargaining.</w:t>
      </w:r>
    </w:p>
    <w:p w:rsidR="001245B7" w:rsidRPr="00C15065" w:rsidP="00C15065" w14:paraId="5661D410" w14:textId="6774C033">
      <w:pPr>
        <w:pStyle w:val="BodyTextIndent3"/>
        <w:widowControl w:val="0"/>
        <w:spacing w:line="480" w:lineRule="auto"/>
        <w:ind w:right="-317"/>
        <w:rPr>
          <w:szCs w:val="24"/>
        </w:rPr>
      </w:pPr>
      <w:r>
        <w:rPr>
          <w:szCs w:val="24"/>
        </w:rPr>
        <w:t xml:space="preserve">Finally, the PUCO should not automatically give any and every settlement the favorable treatment of its three-part settlement review. This Settlement should be denied those favorable PUCO review standards. Here, parties with relatively common (not diverse) interests joined together to serve their corporate interests. </w:t>
      </w:r>
      <w:r w:rsidRPr="00C15065">
        <w:rPr>
          <w:i/>
          <w:iCs/>
          <w:szCs w:val="24"/>
        </w:rPr>
        <w:t>Mainly, marketers reached an agreement with themselves.</w:t>
      </w:r>
      <w:r>
        <w:rPr>
          <w:szCs w:val="24"/>
        </w:rPr>
        <w:t xml:space="preserve"> A real party in interest, consumers, did not join the Settlement. Nor did the PUCO staff sign the Settlement.</w:t>
      </w:r>
      <w:r w:rsidR="00C859B8">
        <w:rPr>
          <w:szCs w:val="24"/>
        </w:rPr>
        <w:t xml:space="preserve"> The PUCO should not favor Dominion and the marketers with review under the preferential settlement standards.</w:t>
      </w:r>
      <w:r>
        <w:rPr>
          <w:szCs w:val="24"/>
        </w:rPr>
        <w:t xml:space="preserve"> </w:t>
      </w:r>
    </w:p>
    <w:p w:rsidR="006613A2" w:rsidP="00566293" w14:paraId="19756651" w14:textId="674BED36">
      <w:pPr>
        <w:pStyle w:val="Heading2"/>
        <w:numPr>
          <w:ilvl w:val="0"/>
          <w:numId w:val="22"/>
        </w:numPr>
        <w:ind w:left="1440" w:hanging="720"/>
      </w:pPr>
      <w:bookmarkStart w:id="3" w:name="_Toc141885128"/>
      <w:r>
        <w:t>The Settlement does not benefit consumers and the public inter</w:t>
      </w:r>
      <w:r w:rsidR="00F02882">
        <w:t>est</w:t>
      </w:r>
      <w:r w:rsidR="003608B3">
        <w:t xml:space="preserve">. Allowing Dominion, a monopoly utility, to promote and facilitate competitive carbon offset offers could </w:t>
      </w:r>
      <w:r w:rsidRPr="003608B3" w:rsidR="003608B3">
        <w:t>unfairly discriminate against non-participating natural gas marketers and confuse consumers.</w:t>
      </w:r>
      <w:bookmarkEnd w:id="3"/>
      <w:r w:rsidR="00F02882">
        <w:t xml:space="preserve"> </w:t>
      </w:r>
    </w:p>
    <w:p w:rsidR="00E24F04" w:rsidP="00D65BDE" w14:paraId="449053DD" w14:textId="22C1D975">
      <w:pPr>
        <w:pStyle w:val="BodyTextIndent3"/>
        <w:widowControl w:val="0"/>
        <w:spacing w:line="480" w:lineRule="auto"/>
        <w:ind w:right="-317"/>
        <w:rPr>
          <w:szCs w:val="24"/>
        </w:rPr>
      </w:pPr>
      <w:r w:rsidRPr="00EB04D1">
        <w:rPr>
          <w:szCs w:val="24"/>
        </w:rPr>
        <w:t>Under</w:t>
      </w:r>
      <w:r w:rsidR="00EA231C">
        <w:rPr>
          <w:szCs w:val="24"/>
        </w:rPr>
        <w:t xml:space="preserve"> the Decarbon Ohio Program in the </w:t>
      </w:r>
      <w:r w:rsidR="002306E2">
        <w:rPr>
          <w:szCs w:val="24"/>
        </w:rPr>
        <w:t>S</w:t>
      </w:r>
      <w:r w:rsidR="00EA231C">
        <w:rPr>
          <w:szCs w:val="24"/>
        </w:rPr>
        <w:t xml:space="preserve">ettlement, </w:t>
      </w:r>
      <w:r w:rsidRPr="00EB04D1">
        <w:rPr>
          <w:szCs w:val="24"/>
        </w:rPr>
        <w:t>natural gas marketers in Dominion’s territory would be responsible for buying and selling carbon offsets and marketing carbon-offsetting rate offers to consumers.</w:t>
      </w:r>
      <w:r>
        <w:rPr>
          <w:rStyle w:val="FootnoteReference"/>
          <w:szCs w:val="24"/>
        </w:rPr>
        <w:footnoteReference w:id="5"/>
      </w:r>
      <w:r w:rsidRPr="00EB04D1">
        <w:rPr>
          <w:szCs w:val="24"/>
        </w:rPr>
        <w:t xml:space="preserve"> </w:t>
      </w:r>
      <w:r w:rsidR="00EA231C">
        <w:t>Dominion would facilitate the program, which would include providing educational information to consumers, along with validating carbon offsets through a third-party verifier.</w:t>
      </w:r>
      <w:r>
        <w:rPr>
          <w:rStyle w:val="FootnoteReference"/>
        </w:rPr>
        <w:footnoteReference w:id="6"/>
      </w:r>
      <w:r w:rsidR="00EA231C">
        <w:t xml:space="preserve"> </w:t>
      </w:r>
      <w:r w:rsidRPr="00EB04D1">
        <w:rPr>
          <w:szCs w:val="24"/>
        </w:rPr>
        <w:t>Dominion</w:t>
      </w:r>
      <w:r w:rsidR="00CE3BA5">
        <w:rPr>
          <w:szCs w:val="24"/>
        </w:rPr>
        <w:t xml:space="preserve">’s </w:t>
      </w:r>
      <w:r w:rsidRPr="00EB04D1" w:rsidR="005C4AE3">
        <w:rPr>
          <w:szCs w:val="24"/>
        </w:rPr>
        <w:t>insert</w:t>
      </w:r>
      <w:r w:rsidR="00CE3BA5">
        <w:rPr>
          <w:szCs w:val="24"/>
        </w:rPr>
        <w:t>ion of</w:t>
      </w:r>
      <w:r w:rsidRPr="00EB04D1" w:rsidR="005C4AE3">
        <w:rPr>
          <w:szCs w:val="24"/>
        </w:rPr>
        <w:t xml:space="preserve"> its monopoly self</w:t>
      </w:r>
      <w:r w:rsidRPr="00EB04D1" w:rsidR="00042596">
        <w:rPr>
          <w:szCs w:val="24"/>
        </w:rPr>
        <w:t xml:space="preserve"> as </w:t>
      </w:r>
      <w:r w:rsidR="00086773">
        <w:rPr>
          <w:szCs w:val="24"/>
        </w:rPr>
        <w:t>the</w:t>
      </w:r>
      <w:r w:rsidRPr="00EB04D1">
        <w:rPr>
          <w:szCs w:val="24"/>
        </w:rPr>
        <w:t xml:space="preserve"> facilitat</w:t>
      </w:r>
      <w:r w:rsidRPr="00EB04D1" w:rsidR="00042596">
        <w:rPr>
          <w:szCs w:val="24"/>
        </w:rPr>
        <w:t>or</w:t>
      </w:r>
      <w:r w:rsidRPr="00EB04D1">
        <w:rPr>
          <w:szCs w:val="24"/>
        </w:rPr>
        <w:t xml:space="preserve"> </w:t>
      </w:r>
      <w:r w:rsidRPr="00EB04D1" w:rsidR="00C52989">
        <w:rPr>
          <w:szCs w:val="24"/>
        </w:rPr>
        <w:t>and administ</w:t>
      </w:r>
      <w:r w:rsidRPr="00EB04D1" w:rsidR="00042596">
        <w:rPr>
          <w:szCs w:val="24"/>
        </w:rPr>
        <w:t>rator for</w:t>
      </w:r>
      <w:r w:rsidRPr="00EB04D1" w:rsidR="00C52989">
        <w:rPr>
          <w:szCs w:val="24"/>
        </w:rPr>
        <w:t xml:space="preserve"> </w:t>
      </w:r>
      <w:r w:rsidRPr="00EB04D1">
        <w:rPr>
          <w:szCs w:val="24"/>
        </w:rPr>
        <w:t>the program</w:t>
      </w:r>
      <w:r w:rsidR="00CE3BA5">
        <w:rPr>
          <w:szCs w:val="24"/>
        </w:rPr>
        <w:t xml:space="preserve"> is harmful to consumers and the public interest</w:t>
      </w:r>
      <w:r w:rsidR="007B6743">
        <w:rPr>
          <w:szCs w:val="24"/>
        </w:rPr>
        <w:t>. That is</w:t>
      </w:r>
      <w:r w:rsidR="00CE3BA5">
        <w:rPr>
          <w:szCs w:val="24"/>
        </w:rPr>
        <w:t xml:space="preserve"> in violation of prong two of the PUCO’s three-part settlement test. The PUCO should reject the Settlement.</w:t>
      </w:r>
      <w:r w:rsidR="004C5091">
        <w:rPr>
          <w:szCs w:val="24"/>
        </w:rPr>
        <w:t xml:space="preserve"> </w:t>
      </w:r>
    </w:p>
    <w:p w:rsidR="00603F49" w:rsidRPr="00603F49" w:rsidP="00421CF6" w14:paraId="206F2617" w14:textId="2B48A4D0">
      <w:pPr>
        <w:pStyle w:val="Heading3"/>
        <w:numPr>
          <w:ilvl w:val="0"/>
          <w:numId w:val="21"/>
        </w:numPr>
        <w:ind w:left="2160" w:hanging="720"/>
      </w:pPr>
      <w:bookmarkStart w:id="4" w:name="_Toc141885129"/>
      <w:r w:rsidRPr="00603F49">
        <w:t>The Decarbon Ohio Program is unnecessary and would unfairly favor participating marketers, which could harm consumers.</w:t>
      </w:r>
      <w:bookmarkEnd w:id="4"/>
      <w:r w:rsidRPr="00603F49">
        <w:t xml:space="preserve"> </w:t>
      </w:r>
    </w:p>
    <w:p w:rsidR="00231D82" w:rsidP="00D65BDE" w14:paraId="5D654F57" w14:textId="3DEA07EC">
      <w:pPr>
        <w:pStyle w:val="BodyTextIndent3"/>
        <w:widowControl w:val="0"/>
        <w:spacing w:line="480" w:lineRule="auto"/>
        <w:ind w:right="-317"/>
        <w:rPr>
          <w:szCs w:val="24"/>
        </w:rPr>
      </w:pPr>
      <w:r>
        <w:t>Dominion’s residential consumers already have the option to purchase a carbon offset plan through a natural gas marketer</w:t>
      </w:r>
      <w:r w:rsidR="00603F49">
        <w:t xml:space="preserve"> in the competitive market</w:t>
      </w:r>
      <w:r>
        <w:t>. OCC witness Andrew Tinkham testified that there are numerous marketers (including IGS, Tomorrow Energy, and CleanSky Energy) offering carbon offset rates on the PUCO Apples to Apples website.</w:t>
      </w:r>
      <w:r>
        <w:rPr>
          <w:rStyle w:val="FootnoteReference"/>
        </w:rPr>
        <w:footnoteReference w:id="7"/>
      </w:r>
      <w:r>
        <w:t xml:space="preserve"> </w:t>
      </w:r>
      <w:r w:rsidR="00603F49">
        <w:t xml:space="preserve">Thus, the Decarbon Ohio Program is unnecessary </w:t>
      </w:r>
      <w:r w:rsidR="0002027E">
        <w:t xml:space="preserve">for consumers </w:t>
      </w:r>
      <w:r w:rsidR="00603F49">
        <w:t>in the first place.</w:t>
      </w:r>
    </w:p>
    <w:p w:rsidR="002306E2" w:rsidP="00D65BDE" w14:paraId="05E5DC0B" w14:textId="77B7C61E">
      <w:pPr>
        <w:pStyle w:val="BodyTextIndent3"/>
        <w:widowControl w:val="0"/>
        <w:spacing w:line="480" w:lineRule="auto"/>
        <w:ind w:right="-317"/>
      </w:pPr>
      <w:r>
        <w:rPr>
          <w:szCs w:val="24"/>
        </w:rPr>
        <w:t>OCC witnes</w:t>
      </w:r>
      <w:r w:rsidR="00603F49">
        <w:rPr>
          <w:szCs w:val="24"/>
        </w:rPr>
        <w:t xml:space="preserve">s </w:t>
      </w:r>
      <w:r>
        <w:rPr>
          <w:szCs w:val="24"/>
        </w:rPr>
        <w:t xml:space="preserve">Tinkham </w:t>
      </w:r>
      <w:r w:rsidR="00603F49">
        <w:rPr>
          <w:szCs w:val="24"/>
        </w:rPr>
        <w:t xml:space="preserve">further </w:t>
      </w:r>
      <w:r>
        <w:rPr>
          <w:szCs w:val="24"/>
        </w:rPr>
        <w:t>testified that the program agreed to in the Settlement would unfairly advantage participating natural gas marketers, putting Ohio consumers at risk.</w:t>
      </w:r>
      <w:r>
        <w:rPr>
          <w:rStyle w:val="FootnoteReference"/>
          <w:szCs w:val="24"/>
        </w:rPr>
        <w:footnoteReference w:id="8"/>
      </w:r>
      <w:r>
        <w:rPr>
          <w:szCs w:val="24"/>
        </w:rPr>
        <w:t xml:space="preserve"> </w:t>
      </w:r>
      <w:r w:rsidR="00150DC7">
        <w:rPr>
          <w:szCs w:val="24"/>
        </w:rPr>
        <w:t>U</w:t>
      </w:r>
      <w:r>
        <w:t xml:space="preserve">nder the Settlement, marketers that participate in the </w:t>
      </w:r>
      <w:r w:rsidR="00150DC7">
        <w:t xml:space="preserve">program </w:t>
      </w:r>
      <w:r>
        <w:t>are allowed to use a “Decarbon Ohio” trademark at no cost for marketing service to consumers.</w:t>
      </w:r>
      <w:r>
        <w:rPr>
          <w:rStyle w:val="FootnoteReference"/>
        </w:rPr>
        <w:footnoteReference w:id="9"/>
      </w:r>
      <w:r>
        <w:t xml:space="preserve"> </w:t>
      </w:r>
      <w:r w:rsidR="00150DC7">
        <w:t>Mr. Tinkham</w:t>
      </w:r>
      <w:r w:rsidR="00603F49">
        <w:t xml:space="preserve"> explained </w:t>
      </w:r>
      <w:r w:rsidR="00150DC7">
        <w:t xml:space="preserve">that this could </w:t>
      </w:r>
      <w:r>
        <w:t xml:space="preserve">provide a marketer participating in the program </w:t>
      </w:r>
      <w:r w:rsidR="00150DC7">
        <w:t xml:space="preserve">with </w:t>
      </w:r>
      <w:r>
        <w:t>an inappropriate competitive edge over a non-participating marketer.</w:t>
      </w:r>
      <w:r>
        <w:rPr>
          <w:rStyle w:val="FootnoteReference"/>
        </w:rPr>
        <w:footnoteReference w:id="10"/>
      </w:r>
    </w:p>
    <w:p w:rsidR="00086773" w:rsidP="00086773" w14:paraId="016F519B" w14:textId="3CABF104">
      <w:pPr>
        <w:spacing w:line="480" w:lineRule="auto"/>
        <w:ind w:firstLine="720"/>
      </w:pPr>
      <w:r>
        <w:t xml:space="preserve">Mr. Tinkham </w:t>
      </w:r>
      <w:r w:rsidR="00603F49">
        <w:t xml:space="preserve">also testified </w:t>
      </w:r>
      <w:r>
        <w:t>that this aspect of the Decarbon Ohio Program is contrary to Dominion’s Standards of Conduct language in its tariff, which provides:</w:t>
      </w:r>
    </w:p>
    <w:p w:rsidR="00086773" w:rsidRPr="0002027E" w:rsidP="00086773" w14:paraId="269A4D99" w14:textId="77777777">
      <w:pPr>
        <w:spacing w:after="240"/>
        <w:ind w:left="1440"/>
      </w:pPr>
      <w:r w:rsidRPr="0002027E">
        <w:rPr>
          <w:b/>
          <w:bCs/>
        </w:rPr>
        <w:t xml:space="preserve">24.4 </w:t>
      </w:r>
      <w:r w:rsidRPr="0002027E">
        <w:t>(c) East Ohio shall not give any Supplier, including its marketing affiliate, or Customers of any Supplier, including its affiliate, preference over any other Suppliers or Customers. For purposes of East Ohio’s firm transportation program, any ancillary service provided by East Ohio that is not tariffed (e.g., billing and envelope service), shall be priced uniformly for affiliated and nonaffiliated companies and available to all equally.</w:t>
      </w:r>
      <w:r>
        <w:rPr>
          <w:rStyle w:val="FootnoteReference"/>
        </w:rPr>
        <w:footnoteReference w:id="11"/>
      </w:r>
      <w:r w:rsidRPr="0002027E">
        <w:t xml:space="preserve"> </w:t>
      </w:r>
    </w:p>
    <w:p w:rsidR="00086773" w:rsidP="00086773" w14:paraId="7693068D" w14:textId="3BF06A84">
      <w:pPr>
        <w:pStyle w:val="BodyTextIndent3"/>
        <w:widowControl w:val="0"/>
        <w:spacing w:line="480" w:lineRule="auto"/>
        <w:ind w:right="-317"/>
      </w:pPr>
      <w:r>
        <w:t>Mr. Tinkham testified that the Decarbon Ohio Program</w:t>
      </w:r>
      <w:r w:rsidR="00BA0FDC">
        <w:t xml:space="preserve"> in the Settlement</w:t>
      </w:r>
      <w:r>
        <w:t xml:space="preserve"> provides a preference to marketers participating in the program </w:t>
      </w:r>
      <w:r w:rsidR="00BA0FDC">
        <w:t xml:space="preserve">(through advertising benefits) </w:t>
      </w:r>
      <w:r>
        <w:t>that non-participating marketers will not receive.</w:t>
      </w:r>
      <w:r>
        <w:rPr>
          <w:rStyle w:val="FootnoteReference"/>
        </w:rPr>
        <w:footnoteReference w:id="12"/>
      </w:r>
      <w:r>
        <w:t xml:space="preserve"> T</w:t>
      </w:r>
      <w:r w:rsidR="00BA0FDC">
        <w:t>his would</w:t>
      </w:r>
      <w:r>
        <w:t xml:space="preserve"> interfere with the competitive natural gas market in Ohio, which would </w:t>
      </w:r>
      <w:r w:rsidR="00BA0FDC">
        <w:t>in turn</w:t>
      </w:r>
      <w:r>
        <w:t xml:space="preserve"> harm consumers. </w:t>
      </w:r>
      <w:r w:rsidR="00603F49">
        <w:t>T</w:t>
      </w:r>
      <w:r w:rsidRPr="00C15E2C">
        <w:t>hrough marketing or visiting the Dominion website, consumers might not realize there are other options</w:t>
      </w:r>
      <w:r>
        <w:t xml:space="preserve"> to secure natural gas related to carbon offsets outside of the Decarbon Ohio Program. That </w:t>
      </w:r>
      <w:r w:rsidRPr="00C15E2C">
        <w:t>is unfair to marketers that do not participate in the progra</w:t>
      </w:r>
      <w:r w:rsidR="00BA0FDC">
        <w:t>m and</w:t>
      </w:r>
      <w:r>
        <w:t xml:space="preserve"> problematic for consumer choices</w:t>
      </w:r>
      <w:r w:rsidRPr="00C15E2C">
        <w:t>.</w:t>
      </w:r>
      <w:r>
        <w:rPr>
          <w:rStyle w:val="FootnoteReference"/>
        </w:rPr>
        <w:footnoteReference w:id="13"/>
      </w:r>
    </w:p>
    <w:p w:rsidR="007B381E" w:rsidP="00421CF6" w14:paraId="385502CF" w14:textId="64F06DE7">
      <w:pPr>
        <w:pStyle w:val="Heading3"/>
        <w:numPr>
          <w:ilvl w:val="0"/>
          <w:numId w:val="21"/>
        </w:numPr>
        <w:ind w:left="2160" w:hanging="720"/>
      </w:pPr>
      <w:bookmarkStart w:id="5" w:name="_Toc141885130"/>
      <w:r w:rsidRPr="00603F49">
        <w:t xml:space="preserve">The Decarbon Ohio Program could </w:t>
      </w:r>
      <w:r>
        <w:t>harm</w:t>
      </w:r>
      <w:r w:rsidRPr="00603F49">
        <w:t xml:space="preserve"> consumers</w:t>
      </w:r>
      <w:r>
        <w:t xml:space="preserve"> by </w:t>
      </w:r>
      <w:r w:rsidRPr="00603F49">
        <w:t>encourag</w:t>
      </w:r>
      <w:r>
        <w:t>ing</w:t>
      </w:r>
      <w:r w:rsidRPr="00603F49">
        <w:t xml:space="preserve"> </w:t>
      </w:r>
      <w:r w:rsidR="000C5BA8">
        <w:t xml:space="preserve">mis-marketing through </w:t>
      </w:r>
      <w:r w:rsidR="009047E4">
        <w:t>g</w:t>
      </w:r>
      <w:r w:rsidRPr="00603F49">
        <w:t>reenwashing.</w:t>
      </w:r>
      <w:bookmarkEnd w:id="5"/>
    </w:p>
    <w:p w:rsidR="00603F49" w:rsidP="00C15065" w14:paraId="6F5AFC4A" w14:textId="75EC7E8A">
      <w:pPr>
        <w:spacing w:line="480" w:lineRule="auto"/>
        <w:ind w:firstLine="720"/>
      </w:pPr>
      <w:r>
        <w:rPr>
          <w:szCs w:val="24"/>
        </w:rPr>
        <w:t xml:space="preserve">The PUCO should </w:t>
      </w:r>
      <w:r w:rsidR="00FE2E37">
        <w:rPr>
          <w:szCs w:val="24"/>
        </w:rPr>
        <w:t xml:space="preserve">also </w:t>
      </w:r>
      <w:r>
        <w:rPr>
          <w:szCs w:val="24"/>
        </w:rPr>
        <w:t xml:space="preserve">reject the Settlement because it could </w:t>
      </w:r>
      <w:r w:rsidR="000C5BA8">
        <w:rPr>
          <w:szCs w:val="24"/>
        </w:rPr>
        <w:t>enable</w:t>
      </w:r>
      <w:r>
        <w:rPr>
          <w:szCs w:val="24"/>
        </w:rPr>
        <w:t xml:space="preserve"> </w:t>
      </w:r>
      <w:r w:rsidR="000C5BA8">
        <w:rPr>
          <w:szCs w:val="24"/>
        </w:rPr>
        <w:t>g</w:t>
      </w:r>
      <w:r>
        <w:rPr>
          <w:szCs w:val="24"/>
        </w:rPr>
        <w:t xml:space="preserve">reenwashing. OCC witness Tinkham testified that </w:t>
      </w:r>
      <w:r w:rsidR="00FE2E37">
        <w:rPr>
          <w:szCs w:val="24"/>
        </w:rPr>
        <w:t>“</w:t>
      </w:r>
      <w:r w:rsidR="000C5BA8">
        <w:rPr>
          <w:szCs w:val="24"/>
        </w:rPr>
        <w:t>g</w:t>
      </w:r>
      <w:r>
        <w:rPr>
          <w:szCs w:val="24"/>
        </w:rPr>
        <w:t>reenwashing</w:t>
      </w:r>
      <w:r w:rsidR="00FE2E37">
        <w:rPr>
          <w:szCs w:val="24"/>
        </w:rPr>
        <w:t>”</w:t>
      </w:r>
      <w:r>
        <w:rPr>
          <w:szCs w:val="24"/>
        </w:rPr>
        <w:t xml:space="preserve"> </w:t>
      </w:r>
      <w:r>
        <w:t>is a</w:t>
      </w:r>
      <w:r w:rsidR="00FE2E37">
        <w:t xml:space="preserve"> term to describe</w:t>
      </w:r>
      <w:r>
        <w:t xml:space="preserve"> deceptive and misleading marketing practice</w:t>
      </w:r>
      <w:r w:rsidR="00FE2E37">
        <w:t>s</w:t>
      </w:r>
      <w:r>
        <w:t xml:space="preserve"> when a company </w:t>
      </w:r>
      <w:r w:rsidRPr="00FE2E37">
        <w:rPr>
          <w:i/>
          <w:iCs/>
        </w:rPr>
        <w:t>claims</w:t>
      </w:r>
      <w:r>
        <w:t xml:space="preserve"> that a product is good for the environment when it may not be as advertised.</w:t>
      </w:r>
      <w:r>
        <w:rPr>
          <w:rStyle w:val="FootnoteReference"/>
        </w:rPr>
        <w:footnoteReference w:id="14"/>
      </w:r>
      <w:r w:rsidR="002219BC">
        <w:t xml:space="preserve"> </w:t>
      </w:r>
      <w:r w:rsidR="0095605E">
        <w:t xml:space="preserve">The Settlement </w:t>
      </w:r>
      <w:r w:rsidR="00662500">
        <w:t xml:space="preserve">does not adequately protect Ohio consumers from </w:t>
      </w:r>
      <w:r w:rsidR="009047E4">
        <w:t>g</w:t>
      </w:r>
      <w:r w:rsidR="00662500">
        <w:t>reenwashing.</w:t>
      </w:r>
      <w:r w:rsidR="009047E4">
        <w:t xml:space="preserve"> Indeed, the Settlement can contribute to greenwashing, against the public interest. </w:t>
      </w:r>
    </w:p>
    <w:p w:rsidR="0095605E" w:rsidP="00662500" w14:paraId="1976291F" w14:textId="7607CC5E">
      <w:pPr>
        <w:spacing w:line="480" w:lineRule="auto"/>
        <w:ind w:firstLine="720"/>
      </w:pPr>
      <w:r>
        <w:t>The Federal Trade Commission (</w:t>
      </w:r>
      <w:r w:rsidR="00662500">
        <w:t>“</w:t>
      </w:r>
      <w:r>
        <w:t>FTC</w:t>
      </w:r>
      <w:r w:rsidR="00662500">
        <w:t>”</w:t>
      </w:r>
      <w:r>
        <w:t xml:space="preserve">) has Carbon Offset rules to protect </w:t>
      </w:r>
      <w:bookmarkStart w:id="6" w:name="_Hlk134102576"/>
      <w:r>
        <w:t>consumers from false carbon offset marketing</w:t>
      </w:r>
      <w:r w:rsidR="00F24AA8">
        <w:t xml:space="preserve">. </w:t>
      </w:r>
      <w:r w:rsidR="00662500">
        <w:t xml:space="preserve">The </w:t>
      </w:r>
      <w:r>
        <w:t>FTC</w:t>
      </w:r>
      <w:r w:rsidR="00662500">
        <w:t>’s Carbon Offset rules</w:t>
      </w:r>
      <w:r>
        <w:t xml:space="preserve"> </w:t>
      </w:r>
      <w:r w:rsidR="00662500">
        <w:t>(</w:t>
      </w:r>
      <w:r>
        <w:t>16 C.F.R. §260.5</w:t>
      </w:r>
      <w:r w:rsidR="00662500">
        <w:t>)</w:t>
      </w:r>
      <w:r>
        <w:t xml:space="preserve"> </w:t>
      </w:r>
      <w:bookmarkEnd w:id="6"/>
      <w:r w:rsidR="00662500">
        <w:t>provide the following</w:t>
      </w:r>
      <w:r>
        <w:t>:</w:t>
      </w:r>
    </w:p>
    <w:p w:rsidR="0095605E" w:rsidRPr="00662500" w:rsidP="00662500" w14:paraId="651440CF" w14:textId="58DAB85E">
      <w:pPr>
        <w:spacing w:after="240"/>
        <w:ind w:left="1440"/>
      </w:pPr>
      <w:r w:rsidRPr="00662500">
        <w:t xml:space="preserve">(a) Given the complexities of carbon offsets, sellers should employ competent and reliable scientific and accounting methods to properly quantify claimed emission reductions and to ensure that they do not sell the same reduction more than one time. </w:t>
      </w:r>
    </w:p>
    <w:p w:rsidR="0095605E" w:rsidRPr="00662500" w:rsidP="00662500" w14:paraId="55072807" w14:textId="257C983F">
      <w:pPr>
        <w:spacing w:after="240"/>
        <w:ind w:left="1440"/>
      </w:pPr>
      <w:r w:rsidRPr="00662500">
        <w:t xml:space="preserve">(b) It is deceptive to misrepresent, directly or by implication, that a carbon offset represents emission reductions that have already occurred or will occur in the immediate future. To avoid deception, marketers should clearly and prominently disclose if the carbon offset represents emission reductions that will not occur for two years or longer. </w:t>
      </w:r>
    </w:p>
    <w:p w:rsidR="0095605E" w:rsidRPr="00662500" w:rsidP="00662500" w14:paraId="0E9784CA" w14:textId="37E97863">
      <w:pPr>
        <w:spacing w:after="240"/>
        <w:ind w:left="1440"/>
      </w:pPr>
      <w:r w:rsidRPr="00662500">
        <w:t>(c) It is deceptive to claim, directly or by implication, that a carbon offset represents an emission reduction if the reduction, or the activity that caused the reduction, was required by law.</w:t>
      </w:r>
    </w:p>
    <w:p w:rsidR="00F24AA8" w:rsidP="00F24AA8" w14:paraId="21FB5D13" w14:textId="5DCD73EA">
      <w:pPr>
        <w:spacing w:line="480" w:lineRule="auto"/>
        <w:ind w:firstLine="720"/>
      </w:pPr>
      <w:r>
        <w:t>P</w:t>
      </w:r>
      <w:r w:rsidR="0095605E">
        <w:t xml:space="preserve">ublic utilities and energy marketers offering </w:t>
      </w:r>
      <w:r>
        <w:t xml:space="preserve">so-called </w:t>
      </w:r>
      <w:r w:rsidR="0095605E">
        <w:t>green services</w:t>
      </w:r>
      <w:r>
        <w:t xml:space="preserve"> through carbon offsets</w:t>
      </w:r>
      <w:r w:rsidR="0002568F">
        <w:t xml:space="preserve"> (such as in Dominion’s program)</w:t>
      </w:r>
      <w:r w:rsidR="0095605E">
        <w:t xml:space="preserve"> </w:t>
      </w:r>
      <w:r w:rsidR="00F80F35">
        <w:t xml:space="preserve">would </w:t>
      </w:r>
      <w:r w:rsidR="000C5BA8">
        <w:t xml:space="preserve">likely </w:t>
      </w:r>
      <w:r w:rsidR="00F80F35">
        <w:t xml:space="preserve">claim that they </w:t>
      </w:r>
      <w:r w:rsidR="0095605E">
        <w:t xml:space="preserve">are </w:t>
      </w:r>
      <w:r w:rsidR="00F80F35">
        <w:t>not</w:t>
      </w:r>
      <w:r w:rsidR="0095605E">
        <w:t xml:space="preserve"> specifically subject to the FTC’s Carbon Offset rules</w:t>
      </w:r>
      <w:r w:rsidR="0002568F">
        <w:t>.</w:t>
      </w:r>
      <w:r w:rsidR="0095605E">
        <w:t xml:space="preserve"> Ohio</w:t>
      </w:r>
      <w:r w:rsidR="0002568F">
        <w:t xml:space="preserve"> certainly disfavors</w:t>
      </w:r>
      <w:r w:rsidR="0095605E">
        <w:t xml:space="preserve"> deceptive marketer practices</w:t>
      </w:r>
      <w:r w:rsidR="0002568F">
        <w:t xml:space="preserve">, given </w:t>
      </w:r>
      <w:r w:rsidR="0095605E">
        <w:t>O.A.C. 4901:1-29-05(D)</w:t>
      </w:r>
      <w:r w:rsidR="0002568F">
        <w:t xml:space="preserve"> and other regulations.</w:t>
      </w:r>
      <w:r>
        <w:t xml:space="preserve"> </w:t>
      </w:r>
      <w:r w:rsidR="0002568F">
        <w:t>B</w:t>
      </w:r>
      <w:r>
        <w:t>ut</w:t>
      </w:r>
      <w:r w:rsidR="0095605E">
        <w:t xml:space="preserve"> </w:t>
      </w:r>
      <w:r w:rsidR="0002568F">
        <w:t>g</w:t>
      </w:r>
      <w:r w:rsidR="0095605E">
        <w:t>reenwashing is not specifically mentioned.</w:t>
      </w:r>
      <w:r w:rsidR="00DE70A1">
        <w:t xml:space="preserve"> </w:t>
      </w:r>
      <w:r w:rsidR="00F80F35">
        <w:t>In any event, even with the PUCO’s enforcement actions against marketers, most marketer transactions with consumers are beyond the PUCO’s awareness</w:t>
      </w:r>
      <w:r w:rsidR="0002568F">
        <w:t xml:space="preserve"> and protection</w:t>
      </w:r>
      <w:r w:rsidR="00F80F35">
        <w:t>. Therefore, avoidance of mis</w:t>
      </w:r>
      <w:r w:rsidR="005833B8">
        <w:t>-</w:t>
      </w:r>
      <w:r w:rsidR="00F80F35">
        <w:t xml:space="preserve">marketing opportunities is needed for consumer protection, instead of reliance merely on the </w:t>
      </w:r>
      <w:r w:rsidR="0002568F">
        <w:t xml:space="preserve">questionable </w:t>
      </w:r>
      <w:r w:rsidR="00F80F35">
        <w:t>potential to catch mis</w:t>
      </w:r>
      <w:r w:rsidR="005833B8">
        <w:t>-</w:t>
      </w:r>
      <w:r w:rsidR="00F80F35">
        <w:t>marketing.</w:t>
      </w:r>
      <w:r w:rsidR="002A1859">
        <w:t xml:space="preserve"> </w:t>
      </w:r>
    </w:p>
    <w:p w:rsidR="0095605E" w:rsidP="00F24AA8" w14:paraId="65CDF09A" w14:textId="2C52E346">
      <w:pPr>
        <w:spacing w:line="480" w:lineRule="auto"/>
        <w:ind w:firstLine="720"/>
      </w:pPr>
      <w:r>
        <w:t xml:space="preserve">Under the Settlement “carbon offsets acquired through the carbon registries maintained by the following entities shall constitute preapproved third-party verified carbon offsets: </w:t>
      </w:r>
      <w:r w:rsidRPr="00AA19AC">
        <w:t>Verified Carbon Standard (VCS), the American Carbon Registry (ACR), the Climate Action Reserve (CAR), CSA CHG CleanProjects Registry and the Gold Standard (GS).</w:t>
      </w:r>
      <w:r>
        <w:t>”</w:t>
      </w:r>
      <w:r>
        <w:rPr>
          <w:rStyle w:val="FootnoteReference"/>
        </w:rPr>
        <w:footnoteReference w:id="15"/>
      </w:r>
      <w:r>
        <w:t xml:space="preserve"> However,</w:t>
      </w:r>
      <w:r w:rsidR="00AA4DD4">
        <w:t xml:space="preserve"> this may not be sufficient to protect consumers.</w:t>
      </w:r>
      <w:r>
        <w:t xml:space="preserve"> </w:t>
      </w:r>
      <w:r w:rsidR="00AA4DD4">
        <w:t>OCC witness Tinkham testified that</w:t>
      </w:r>
      <w:r>
        <w:t xml:space="preserve"> major registries overreporting carbon offset credits</w:t>
      </w:r>
      <w:r w:rsidR="0002027E">
        <w:t xml:space="preserve"> </w:t>
      </w:r>
      <w:r>
        <w:t>include A</w:t>
      </w:r>
      <w:r w:rsidRPr="00AA19AC">
        <w:t>merican Carbon Registry, Climate Action Reserve</w:t>
      </w:r>
      <w:r w:rsidR="007A38B0">
        <w:t>,</w:t>
      </w:r>
      <w:r w:rsidRPr="00AA19AC">
        <w:t xml:space="preserve"> and Verified Carbon Standard</w:t>
      </w:r>
      <w:r>
        <w:t>.</w:t>
      </w:r>
      <w:r>
        <w:rPr>
          <w:rStyle w:val="FootnoteReference"/>
        </w:rPr>
        <w:footnoteReference w:id="16"/>
      </w:r>
      <w:r>
        <w:t xml:space="preserve"> </w:t>
      </w:r>
      <w:r w:rsidR="007A38B0">
        <w:t>In addition,</w:t>
      </w:r>
      <w:r w:rsidR="00044612">
        <w:t xml:space="preserve"> carbon offset credits are susceptible</w:t>
      </w:r>
      <w:r w:rsidR="007A38B0">
        <w:t xml:space="preserve"> to fraud </w:t>
      </w:r>
      <w:r w:rsidR="003C6E90">
        <w:t>and</w:t>
      </w:r>
      <w:r w:rsidR="00044612">
        <w:t xml:space="preserve"> </w:t>
      </w:r>
      <w:r w:rsidR="007A38B0">
        <w:t>can be misrepresented as providing green benefits that don’t exist</w:t>
      </w:r>
      <w:r w:rsidR="00044612">
        <w:t>.</w:t>
      </w:r>
    </w:p>
    <w:p w:rsidR="006613A2" w:rsidRPr="00044612" w:rsidP="00044612" w14:paraId="74C1B88C" w14:textId="696514AB">
      <w:pPr>
        <w:spacing w:line="480" w:lineRule="auto"/>
        <w:ind w:firstLine="720"/>
      </w:pPr>
      <w:r>
        <w:t>For these reasons, the Decarbon Ohio Program under the Settlement should not be implemented. And the PUCO should not approve a program that has the potential to mislead consumers by claiming environmental benefits that may not be fully realized. The PUCO should reject the Settlement.</w:t>
      </w:r>
    </w:p>
    <w:p w:rsidR="00E44894" w:rsidRPr="002306E2" w:rsidP="00566293" w14:paraId="68320E8B" w14:textId="5266F91A">
      <w:pPr>
        <w:pStyle w:val="Heading2"/>
        <w:numPr>
          <w:ilvl w:val="0"/>
          <w:numId w:val="22"/>
        </w:numPr>
        <w:ind w:left="1440" w:hanging="720"/>
      </w:pPr>
      <w:bookmarkStart w:id="7" w:name="_Toc141885131"/>
      <w:r>
        <w:t>The</w:t>
      </w:r>
      <w:r w:rsidR="00C94B94">
        <w:t xml:space="preserve"> PUCO should reject the</w:t>
      </w:r>
      <w:r>
        <w:t xml:space="preserve"> Settlement </w:t>
      </w:r>
      <w:r w:rsidR="00C94B94">
        <w:t xml:space="preserve">because it </w:t>
      </w:r>
      <w:r>
        <w:t>violate</w:t>
      </w:r>
      <w:r w:rsidR="00C94B94">
        <w:t>s regulatory principles</w:t>
      </w:r>
      <w:r w:rsidR="00CA59C6">
        <w:t xml:space="preserve"> and</w:t>
      </w:r>
      <w:r w:rsidR="00C94B94">
        <w:t xml:space="preserve"> practices</w:t>
      </w:r>
      <w:r w:rsidR="00B449BD">
        <w:t xml:space="preserve"> -- and violates Ohio law</w:t>
      </w:r>
      <w:r w:rsidR="00B7227D">
        <w:t xml:space="preserve">. The Decarbon Ohio Program involves the monopoly utility (Dominion) providing a non-utility service that unfairly </w:t>
      </w:r>
      <w:r w:rsidR="00C94B94">
        <w:t>benefit</w:t>
      </w:r>
      <w:r w:rsidR="00B7227D">
        <w:t>s</w:t>
      </w:r>
      <w:r w:rsidR="00C94B94">
        <w:t xml:space="preserve"> </w:t>
      </w:r>
      <w:r w:rsidR="00B7227D">
        <w:t xml:space="preserve">participating </w:t>
      </w:r>
      <w:r w:rsidR="00C94B94">
        <w:t>marketers</w:t>
      </w:r>
      <w:r w:rsidR="00B7227D">
        <w:t xml:space="preserve"> to the detriment of competition.</w:t>
      </w:r>
      <w:r w:rsidR="00035473">
        <w:t xml:space="preserve"> It also </w:t>
      </w:r>
      <w:r w:rsidR="006821A6">
        <w:t xml:space="preserve">can </w:t>
      </w:r>
      <w:r w:rsidR="00035473">
        <w:t>create</w:t>
      </w:r>
      <w:r w:rsidR="006821A6">
        <w:t xml:space="preserve"> </w:t>
      </w:r>
      <w:r w:rsidR="00035473">
        <w:t>customer confusion</w:t>
      </w:r>
      <w:r w:rsidR="006821A6">
        <w:t xml:space="preserve"> which is contrary to regulatory practices and principles.</w:t>
      </w:r>
      <w:bookmarkEnd w:id="7"/>
    </w:p>
    <w:p w:rsidR="00341992" w:rsidP="004A421C" w14:paraId="4174DD4D" w14:textId="185AACC2">
      <w:pPr>
        <w:spacing w:line="480" w:lineRule="auto"/>
        <w:ind w:firstLine="720"/>
        <w:rPr>
          <w:szCs w:val="24"/>
        </w:rPr>
      </w:pPr>
      <w:r>
        <w:rPr>
          <w:szCs w:val="24"/>
        </w:rPr>
        <w:t>At the outset, we note that OCC’s preceding arguments on the second prong for settlements</w:t>
      </w:r>
      <w:r w:rsidR="00D73E71">
        <w:rPr>
          <w:szCs w:val="24"/>
        </w:rPr>
        <w:t xml:space="preserve">, such as </w:t>
      </w:r>
      <w:r w:rsidR="00F37615">
        <w:rPr>
          <w:szCs w:val="24"/>
        </w:rPr>
        <w:t>principles against deception of consumers,</w:t>
      </w:r>
      <w:r>
        <w:rPr>
          <w:szCs w:val="24"/>
        </w:rPr>
        <w:t xml:space="preserve"> are also applicable to the third prong. </w:t>
      </w:r>
    </w:p>
    <w:p w:rsidR="00B7227D" w:rsidP="004A421C" w14:paraId="42F11EA2" w14:textId="43E84A3D">
      <w:pPr>
        <w:spacing w:line="480" w:lineRule="auto"/>
        <w:ind w:firstLine="720"/>
        <w:rPr>
          <w:szCs w:val="24"/>
        </w:rPr>
      </w:pPr>
      <w:r>
        <w:rPr>
          <w:szCs w:val="24"/>
        </w:rPr>
        <w:t xml:space="preserve">To protect consumers, natural gas marketers should compete on a level playing field. But that </w:t>
      </w:r>
      <w:r w:rsidR="00F21ECF">
        <w:rPr>
          <w:szCs w:val="24"/>
        </w:rPr>
        <w:t xml:space="preserve">will not </w:t>
      </w:r>
      <w:r>
        <w:rPr>
          <w:szCs w:val="24"/>
        </w:rPr>
        <w:t>happen if the PUCO approves the Settlement</w:t>
      </w:r>
      <w:r w:rsidR="00F21ECF">
        <w:rPr>
          <w:szCs w:val="24"/>
        </w:rPr>
        <w:t xml:space="preserve">. The </w:t>
      </w:r>
      <w:r>
        <w:rPr>
          <w:szCs w:val="24"/>
        </w:rPr>
        <w:t>Decarbon Ohio Program</w:t>
      </w:r>
      <w:r w:rsidR="00F21ECF">
        <w:rPr>
          <w:szCs w:val="24"/>
        </w:rPr>
        <w:t xml:space="preserve"> favors participating marketers over non-participating marketers</w:t>
      </w:r>
      <w:r>
        <w:rPr>
          <w:szCs w:val="24"/>
        </w:rPr>
        <w:t>. The PUCO should reject the Settlement.</w:t>
      </w:r>
      <w:r w:rsidR="004C5091">
        <w:rPr>
          <w:szCs w:val="24"/>
        </w:rPr>
        <w:t xml:space="preserve"> </w:t>
      </w:r>
    </w:p>
    <w:p w:rsidR="00E47D84" w:rsidP="00CA59C6" w14:paraId="4212D3EF" w14:textId="4F3479A4">
      <w:pPr>
        <w:spacing w:line="480" w:lineRule="auto"/>
        <w:ind w:firstLine="720"/>
        <w:rPr>
          <w:szCs w:val="24"/>
        </w:rPr>
      </w:pPr>
      <w:r>
        <w:rPr>
          <w:szCs w:val="24"/>
        </w:rPr>
        <w:t>To begin, p</w:t>
      </w:r>
      <w:r w:rsidRPr="00EB04D1">
        <w:rPr>
          <w:szCs w:val="24"/>
        </w:rPr>
        <w:t xml:space="preserve">roviding carbon offsets is not engaging in the business of supplying natural gas for lighting, power, or heating purposes to consumers in Ohio. </w:t>
      </w:r>
      <w:r w:rsidR="007A38B0">
        <w:rPr>
          <w:szCs w:val="24"/>
        </w:rPr>
        <w:t>To the contrary</w:t>
      </w:r>
      <w:r>
        <w:rPr>
          <w:szCs w:val="24"/>
        </w:rPr>
        <w:t>, the Decarbon Ohio Program is a non-utility, non-tariffed program.</w:t>
      </w:r>
      <w:r>
        <w:rPr>
          <w:rStyle w:val="FootnoteReference"/>
          <w:szCs w:val="24"/>
        </w:rPr>
        <w:footnoteReference w:id="17"/>
      </w:r>
      <w:r>
        <w:rPr>
          <w:szCs w:val="24"/>
        </w:rPr>
        <w:t xml:space="preserve"> </w:t>
      </w:r>
      <w:r w:rsidRPr="00EB04D1">
        <w:rPr>
          <w:szCs w:val="24"/>
        </w:rPr>
        <w:t xml:space="preserve">Thus, </w:t>
      </w:r>
      <w:r>
        <w:rPr>
          <w:szCs w:val="24"/>
        </w:rPr>
        <w:t xml:space="preserve">the PUCO should not be involved in approving the Settlement or the Decarbon Ohio Program. </w:t>
      </w:r>
    </w:p>
    <w:p w:rsidR="0045612C" w:rsidP="00CA59C6" w14:paraId="53F36686" w14:textId="0130862D">
      <w:pPr>
        <w:spacing w:line="480" w:lineRule="auto"/>
        <w:ind w:firstLine="720"/>
        <w:rPr>
          <w:color w:val="222222"/>
          <w:szCs w:val="24"/>
          <w:shd w:val="clear" w:color="auto" w:fill="FFFFFF"/>
        </w:rPr>
      </w:pPr>
      <w:r w:rsidRPr="00EB04D1">
        <w:rPr>
          <w:szCs w:val="24"/>
        </w:rPr>
        <w:t>Under R.C. 4905.04, the PUCO has the “power and jurisdiction to supervise and regulate public utilities.” Under R.C. 4905.02, a “public utility” is any person or entity “defined in section 4905.03 of the Revised Code,” other than non-profit electric light companies, a utility owned and operated exclusively by and for the utility’s customers, or a municipal utility. R.C. 4905.03 defines a “natural gas company” as any person or entity “</w:t>
      </w:r>
      <w:r w:rsidRPr="00EB04D1">
        <w:rPr>
          <w:color w:val="222222"/>
          <w:szCs w:val="24"/>
          <w:shd w:val="clear" w:color="auto" w:fill="FFFFFF"/>
        </w:rPr>
        <w:t>when engaged in the business of supplying natural gas for lighting, power, or heating purposes to consumers . . . .”</w:t>
      </w:r>
      <w:r w:rsidR="00CA59C6">
        <w:rPr>
          <w:color w:val="222222"/>
          <w:szCs w:val="24"/>
          <w:shd w:val="clear" w:color="auto" w:fill="FFFFFF"/>
        </w:rPr>
        <w:t xml:space="preserve"> </w:t>
      </w:r>
      <w:r w:rsidR="00E47D84">
        <w:rPr>
          <w:color w:val="222222"/>
          <w:szCs w:val="24"/>
          <w:shd w:val="clear" w:color="auto" w:fill="FFFFFF"/>
        </w:rPr>
        <w:t>Promoting and verifying carbon offsets is none of these things. Th</w:t>
      </w:r>
      <w:r w:rsidR="007A38B0">
        <w:rPr>
          <w:color w:val="222222"/>
          <w:szCs w:val="24"/>
          <w:shd w:val="clear" w:color="auto" w:fill="FFFFFF"/>
        </w:rPr>
        <w:t>us, the</w:t>
      </w:r>
      <w:r w:rsidR="00E47D84">
        <w:rPr>
          <w:color w:val="222222"/>
          <w:szCs w:val="24"/>
          <w:shd w:val="clear" w:color="auto" w:fill="FFFFFF"/>
        </w:rPr>
        <w:t xml:space="preserve"> PUCO should reject the Settlement</w:t>
      </w:r>
      <w:r w:rsidR="00B449BD">
        <w:rPr>
          <w:color w:val="222222"/>
          <w:szCs w:val="24"/>
          <w:shd w:val="clear" w:color="auto" w:fill="FFFFFF"/>
        </w:rPr>
        <w:t xml:space="preserve"> as unlawful</w:t>
      </w:r>
      <w:r w:rsidR="00E47D84">
        <w:rPr>
          <w:color w:val="222222"/>
          <w:szCs w:val="24"/>
          <w:shd w:val="clear" w:color="auto" w:fill="FFFFFF"/>
        </w:rPr>
        <w:t>.</w:t>
      </w:r>
    </w:p>
    <w:p w:rsidR="00E63296" w:rsidP="00334119" w14:paraId="2E32E961" w14:textId="7E302BB8">
      <w:pPr>
        <w:spacing w:line="480" w:lineRule="auto"/>
        <w:ind w:firstLine="720"/>
      </w:pPr>
      <w:r>
        <w:t>The Settlement also violates regulatory principles because, as noted, it would provide a</w:t>
      </w:r>
      <w:r w:rsidR="009C0D9A">
        <w:t xml:space="preserve">n inappropriate </w:t>
      </w:r>
      <w:r>
        <w:t>competitive advantage</w:t>
      </w:r>
      <w:r w:rsidR="009C0D9A">
        <w:t>, courtesy of the government (PUCO) and a monopoly utility,</w:t>
      </w:r>
      <w:r>
        <w:t xml:space="preserve"> to the participating marketers. The Settlement provides advertising benefits to marketers participating in the Decarbon Ohio Program but not to non-participating marketers.</w:t>
      </w:r>
      <w:r>
        <w:rPr>
          <w:rStyle w:val="FootnoteReference"/>
        </w:rPr>
        <w:footnoteReference w:id="18"/>
      </w:r>
      <w:r>
        <w:t xml:space="preserve"> This would be contrary to R.C. 4905.35(A), which provides that “</w:t>
      </w:r>
      <w:r w:rsidRPr="00334119">
        <w:t>no public utility shall make or give any undue or reasonable preference or advantage to any person, firm, corporation, or locality, or subject any person, firm, corporation, or locality to any undue or unreasonable prejudice or disadvantage.</w:t>
      </w:r>
      <w:r w:rsidR="00F04F4D">
        <w:t>”</w:t>
      </w:r>
      <w:r>
        <w:rPr>
          <w:i/>
          <w:iCs/>
        </w:rPr>
        <w:t xml:space="preserve"> </w:t>
      </w:r>
      <w:r w:rsidR="00F04F4D">
        <w:t>T</w:t>
      </w:r>
      <w:r w:rsidR="00B67662">
        <w:t xml:space="preserve">he PUCO should reject the Settlement. </w:t>
      </w:r>
    </w:p>
    <w:p w:rsidR="00B17BB7" w:rsidP="00B17BB7" w14:paraId="501D8671" w14:textId="3E308DD6">
      <w:pPr>
        <w:spacing w:line="480" w:lineRule="auto"/>
        <w:ind w:firstLine="720"/>
      </w:pPr>
      <w:r>
        <w:t>T</w:t>
      </w:r>
      <w:r w:rsidR="002633DB">
        <w:t xml:space="preserve">he Settlement would also </w:t>
      </w:r>
      <w:r>
        <w:t>violate</w:t>
      </w:r>
      <w:r w:rsidR="00474F2F">
        <w:t xml:space="preserve"> </w:t>
      </w:r>
      <w:r w:rsidR="00DD339D">
        <w:t>regulatory</w:t>
      </w:r>
      <w:r w:rsidR="00474F2F">
        <w:t xml:space="preserve"> practices and principles, including</w:t>
      </w:r>
      <w:r w:rsidR="002A1859">
        <w:t xml:space="preserve"> </w:t>
      </w:r>
      <w:r>
        <w:t>state policy in R.C. 4929.02(A)(3) to “promote diversity of natural gas supplies and suppliers, by giving consumers effective choices over the selection of those supplies and suppliers.” The Decarbon Ohio Program will promote marketers that participate in the program over non-participating marketers. Marketers participating in the Decarbon Ohio Program will be included in</w:t>
      </w:r>
      <w:r w:rsidRPr="00F442A3">
        <w:t xml:space="preserve"> </w:t>
      </w:r>
      <w:r w:rsidRPr="00C15E2C">
        <w:t xml:space="preserve">marketing </w:t>
      </w:r>
      <w:r>
        <w:t>and on</w:t>
      </w:r>
      <w:r w:rsidRPr="00C15E2C">
        <w:t xml:space="preserve"> Dominion</w:t>
      </w:r>
      <w:r>
        <w:t>’s</w:t>
      </w:r>
      <w:r w:rsidRPr="00C15E2C">
        <w:t xml:space="preserve"> website</w:t>
      </w:r>
      <w:r>
        <w:t>.</w:t>
      </w:r>
      <w:r>
        <w:rPr>
          <w:rStyle w:val="FootnoteReference"/>
        </w:rPr>
        <w:footnoteReference w:id="19"/>
      </w:r>
      <w:r>
        <w:t xml:space="preserve"> Consumers’ recognition </w:t>
      </w:r>
      <w:r w:rsidR="002633DB">
        <w:t xml:space="preserve">of </w:t>
      </w:r>
      <w:r>
        <w:t xml:space="preserve">Dominion’s name could </w:t>
      </w:r>
      <w:r w:rsidR="002633DB">
        <w:t>influence consumers’ decisions to choose</w:t>
      </w:r>
      <w:r>
        <w:t xml:space="preserve"> the</w:t>
      </w:r>
      <w:r w:rsidR="002633DB">
        <w:t xml:space="preserve"> marketers participating in the program</w:t>
      </w:r>
      <w:r>
        <w:t>. C</w:t>
      </w:r>
      <w:r w:rsidRPr="00C15E2C">
        <w:t>onsumers</w:t>
      </w:r>
      <w:r>
        <w:t xml:space="preserve"> </w:t>
      </w:r>
      <w:r w:rsidRPr="00C15E2C">
        <w:t>m</w:t>
      </w:r>
      <w:r>
        <w:t>ay</w:t>
      </w:r>
      <w:r w:rsidRPr="00C15E2C">
        <w:t xml:space="preserve"> not realize there are other options</w:t>
      </w:r>
      <w:r>
        <w:t xml:space="preserve"> to secure natural gas with green attributes outside of the Decarbon Ohio Program.</w:t>
      </w:r>
      <w:r>
        <w:rPr>
          <w:rStyle w:val="FootnoteReference"/>
        </w:rPr>
        <w:footnoteReference w:id="20"/>
      </w:r>
      <w:r>
        <w:t xml:space="preserve"> </w:t>
      </w:r>
    </w:p>
    <w:p w:rsidR="00334119" w:rsidRPr="00F04F4D" w:rsidP="00B17BB7" w14:paraId="76AD98EA" w14:textId="24F46D13">
      <w:pPr>
        <w:spacing w:line="480" w:lineRule="auto"/>
        <w:ind w:firstLine="720"/>
      </w:pPr>
      <w:r>
        <w:t>Moreover, promoting marketers participating in the Decarbon Ohio Program over non-participating marketers would be</w:t>
      </w:r>
      <w:r w:rsidR="00E63296">
        <w:t xml:space="preserve"> contrary to Dominion’s standard of conduct in its tariff, as </w:t>
      </w:r>
      <w:r>
        <w:t>noted</w:t>
      </w:r>
      <w:r w:rsidR="00E63296">
        <w:t xml:space="preserve"> above.</w:t>
      </w:r>
      <w:r>
        <w:t xml:space="preserve"> </w:t>
      </w:r>
      <w:r w:rsidR="00474F2F">
        <w:t xml:space="preserve">And in doing so, it would violate </w:t>
      </w:r>
      <w:r w:rsidR="00DD339D">
        <w:t>R.C. 4905.30 which requires utilities to abide by their filed and approved</w:t>
      </w:r>
      <w:r w:rsidR="002A1859">
        <w:t xml:space="preserve"> </w:t>
      </w:r>
      <w:r w:rsidR="00DD339D">
        <w:t>tariffs.</w:t>
      </w:r>
      <w:r w:rsidR="002A1859">
        <w:t xml:space="preserve"> </w:t>
      </w:r>
      <w:r>
        <w:t>Accordingly, the Settlement violates the third prong of the PUCO’s three-part settlement test. The PUCO should reject the Settlement.</w:t>
      </w:r>
      <w:r w:rsidR="00B67662">
        <w:t xml:space="preserve"> </w:t>
      </w:r>
    </w:p>
    <w:p w:rsidR="00454F0A" w:rsidP="00B17BB7" w14:paraId="5C7870E4" w14:textId="4BB07C31">
      <w:pPr>
        <w:spacing w:line="480" w:lineRule="auto"/>
        <w:ind w:firstLine="720"/>
        <w:rPr>
          <w:szCs w:val="24"/>
        </w:rPr>
      </w:pPr>
      <w:r w:rsidRPr="00EB04D1">
        <w:rPr>
          <w:szCs w:val="24"/>
        </w:rPr>
        <w:t xml:space="preserve">Dominion’s carbon-offset proposal is </w:t>
      </w:r>
      <w:r w:rsidR="00B17BB7">
        <w:rPr>
          <w:szCs w:val="24"/>
        </w:rPr>
        <w:t xml:space="preserve">an </w:t>
      </w:r>
      <w:r w:rsidRPr="00EB04D1">
        <w:rPr>
          <w:szCs w:val="24"/>
        </w:rPr>
        <w:t xml:space="preserve">intrusion into the market that </w:t>
      </w:r>
      <w:r w:rsidR="00B17BB7">
        <w:rPr>
          <w:szCs w:val="24"/>
        </w:rPr>
        <w:t>could ultimately harm cost consumers.</w:t>
      </w:r>
      <w:r w:rsidR="00EB04D1">
        <w:rPr>
          <w:szCs w:val="24"/>
        </w:rPr>
        <w:t xml:space="preserve"> </w:t>
      </w:r>
      <w:r w:rsidR="00482FC2">
        <w:rPr>
          <w:szCs w:val="24"/>
        </w:rPr>
        <w:t>Under Ohio’s structure for energy</w:t>
      </w:r>
      <w:r w:rsidR="000650EC">
        <w:rPr>
          <w:szCs w:val="24"/>
        </w:rPr>
        <w:t xml:space="preserve"> supply,</w:t>
      </w:r>
      <w:r w:rsidR="00482FC2">
        <w:rPr>
          <w:szCs w:val="24"/>
        </w:rPr>
        <w:t xml:space="preserve"> </w:t>
      </w:r>
      <w:r w:rsidR="000650EC">
        <w:rPr>
          <w:szCs w:val="24"/>
        </w:rPr>
        <w:t xml:space="preserve">marketers </w:t>
      </w:r>
      <w:r w:rsidR="00482FC2">
        <w:rPr>
          <w:szCs w:val="24"/>
        </w:rPr>
        <w:t>should respond in the competitive market to consumers who want greener energy and carbon offsets.</w:t>
      </w:r>
    </w:p>
    <w:p w:rsidR="000650EC" w:rsidRPr="00B17BB7" w:rsidP="00B17BB7" w14:paraId="317E9AAA" w14:textId="5791210F">
      <w:pPr>
        <w:spacing w:line="480" w:lineRule="auto"/>
        <w:ind w:firstLine="720"/>
      </w:pPr>
      <w:r>
        <w:rPr>
          <w:szCs w:val="24"/>
        </w:rPr>
        <w:t>Finally</w:t>
      </w:r>
      <w:r w:rsidR="003C6E90">
        <w:rPr>
          <w:szCs w:val="24"/>
        </w:rPr>
        <w:t>,</w:t>
      </w:r>
      <w:r>
        <w:rPr>
          <w:szCs w:val="24"/>
        </w:rPr>
        <w:t xml:space="preserve"> and as discussed in the preceding section, the Program can create consumer confusion with the monopoly utility’s involvement in the competitive market. That includes that Dominion’s focus on carbon offsets can distract consumers from what the marketers are charging them (consumers), which might be considerable. And the Program can confuse consumers by using the state’s name, as in Decarbon Ohio, to give the Program an officiality that it in reality lacks. </w:t>
      </w:r>
    </w:p>
    <w:p w:rsidR="00E24F04" w:rsidRPr="00EB04D1" w:rsidP="00E24F04" w14:paraId="78AE425E" w14:textId="77777777">
      <w:pPr>
        <w:ind w:firstLine="720"/>
        <w:rPr>
          <w:szCs w:val="24"/>
        </w:rPr>
      </w:pPr>
    </w:p>
    <w:p w:rsidR="003B64FB" w:rsidRPr="00A22827" w:rsidP="00A22827" w14:paraId="62156BA3" w14:textId="772757E5">
      <w:pPr>
        <w:pStyle w:val="Heading1"/>
      </w:pPr>
      <w:bookmarkStart w:id="8" w:name="_Toc141885132"/>
      <w:r>
        <w:t>III.</w:t>
      </w:r>
      <w:r>
        <w:tab/>
      </w:r>
      <w:r w:rsidRPr="00A22827">
        <w:t>CONCLUSION</w:t>
      </w:r>
      <w:bookmarkEnd w:id="8"/>
    </w:p>
    <w:p w:rsidR="00154718" w:rsidP="00B17BB7" w14:paraId="297D7CAC" w14:textId="75AE1D67">
      <w:pPr>
        <w:spacing w:line="480" w:lineRule="auto"/>
        <w:ind w:firstLine="720"/>
        <w:rPr>
          <w:szCs w:val="24"/>
        </w:rPr>
      </w:pPr>
      <w:r>
        <w:rPr>
          <w:szCs w:val="24"/>
        </w:rPr>
        <w:t>It should not impress the PUCO that natural gas marketers were, unsurprisingly, able to reach a settlement among themselves and their own national association, plus with monopoly utility Dominion. The Settlement would affect consumers</w:t>
      </w:r>
      <w:r w:rsidR="003C6E90">
        <w:rPr>
          <w:szCs w:val="24"/>
        </w:rPr>
        <w:t>,</w:t>
      </w:r>
      <w:r>
        <w:rPr>
          <w:szCs w:val="24"/>
        </w:rPr>
        <w:t xml:space="preserve"> but no consumer representatives signed it, nor did the PUCO staff. Their agreement would allow monopoly Dominion to establish itself as sort of a carbon-offset czar, in a so-called Decarbon Ohio Program, in what is supposed to be competitive energy marketing.</w:t>
      </w:r>
    </w:p>
    <w:p w:rsidR="00CC2B2A" w:rsidP="00B17BB7" w14:paraId="476E09E1" w14:textId="77777777">
      <w:pPr>
        <w:spacing w:line="480" w:lineRule="auto"/>
        <w:ind w:firstLine="720"/>
        <w:rPr>
          <w:szCs w:val="24"/>
        </w:rPr>
      </w:pPr>
      <w:r w:rsidRPr="00EB04D1">
        <w:rPr>
          <w:szCs w:val="24"/>
        </w:rPr>
        <w:t>The PUCO should protect consumers and reject</w:t>
      </w:r>
      <w:r>
        <w:rPr>
          <w:szCs w:val="24"/>
        </w:rPr>
        <w:t xml:space="preserve"> the Settlement </w:t>
      </w:r>
      <w:r w:rsidR="006C0C25">
        <w:rPr>
          <w:szCs w:val="24"/>
        </w:rPr>
        <w:t>for a government/monopoly program, the</w:t>
      </w:r>
      <w:r>
        <w:rPr>
          <w:szCs w:val="24"/>
        </w:rPr>
        <w:t xml:space="preserve"> Decarbon Ohio Program</w:t>
      </w:r>
      <w:r w:rsidRPr="00EB04D1">
        <w:rPr>
          <w:szCs w:val="24"/>
        </w:rPr>
        <w:t>.</w:t>
      </w:r>
      <w:r>
        <w:rPr>
          <w:szCs w:val="24"/>
        </w:rPr>
        <w:t xml:space="preserve"> </w:t>
      </w:r>
      <w:r w:rsidRPr="00EB04D1" w:rsidR="00750FB2">
        <w:rPr>
          <w:szCs w:val="24"/>
        </w:rPr>
        <w:t xml:space="preserve">Carbon reduction is a good </w:t>
      </w:r>
    </w:p>
    <w:p w:rsidR="00CC2B2A" w14:paraId="6B84359E" w14:textId="77777777">
      <w:pPr>
        <w:rPr>
          <w:szCs w:val="24"/>
        </w:rPr>
      </w:pPr>
      <w:r>
        <w:rPr>
          <w:szCs w:val="24"/>
        </w:rPr>
        <w:br w:type="page"/>
      </w:r>
    </w:p>
    <w:p w:rsidR="004C5091" w:rsidP="00CC2B2A" w14:paraId="2AC51D41" w14:textId="637DC890">
      <w:pPr>
        <w:spacing w:line="480" w:lineRule="auto"/>
        <w:rPr>
          <w:szCs w:val="24"/>
        </w:rPr>
      </w:pPr>
      <w:r w:rsidRPr="00EB04D1">
        <w:rPr>
          <w:szCs w:val="24"/>
        </w:rPr>
        <w:t>idea for the world</w:t>
      </w:r>
      <w:r w:rsidR="00DF2724">
        <w:rPr>
          <w:szCs w:val="24"/>
        </w:rPr>
        <w:t xml:space="preserve">, but the Decarbon Ohio Program </w:t>
      </w:r>
      <w:r w:rsidRPr="00EB04D1" w:rsidR="00B1572E">
        <w:rPr>
          <w:szCs w:val="24"/>
        </w:rPr>
        <w:t xml:space="preserve">is a bad idea for </w:t>
      </w:r>
      <w:r w:rsidRPr="00EB04D1">
        <w:rPr>
          <w:szCs w:val="24"/>
        </w:rPr>
        <w:t xml:space="preserve">Ohio </w:t>
      </w:r>
      <w:r w:rsidRPr="00EB04D1" w:rsidR="00B1572E">
        <w:rPr>
          <w:szCs w:val="24"/>
        </w:rPr>
        <w:t>consumers</w:t>
      </w:r>
      <w:r w:rsidRPr="00EB04D1" w:rsidR="00775C03">
        <w:rPr>
          <w:szCs w:val="24"/>
        </w:rPr>
        <w:t xml:space="preserve">. </w:t>
      </w:r>
      <w:r w:rsidRPr="00EB04D1" w:rsidR="00C64B53">
        <w:rPr>
          <w:szCs w:val="24"/>
        </w:rPr>
        <w:t>In Ohio, c</w:t>
      </w:r>
      <w:r w:rsidRPr="00EB04D1" w:rsidR="00F32FA8">
        <w:rPr>
          <w:szCs w:val="24"/>
        </w:rPr>
        <w:t xml:space="preserve">arbon offset programs should be, and are, provided </w:t>
      </w:r>
      <w:r w:rsidR="006C0C25">
        <w:rPr>
          <w:szCs w:val="24"/>
        </w:rPr>
        <w:t>through</w:t>
      </w:r>
      <w:r w:rsidRPr="00EB04D1" w:rsidR="00F32FA8">
        <w:rPr>
          <w:szCs w:val="24"/>
        </w:rPr>
        <w:t xml:space="preserve"> the competitive market</w:t>
      </w:r>
      <w:r w:rsidR="006C0C25">
        <w:rPr>
          <w:szCs w:val="24"/>
        </w:rPr>
        <w:t>.</w:t>
      </w:r>
      <w:r w:rsidR="00997C8C">
        <w:rPr>
          <w:szCs w:val="24"/>
        </w:rPr>
        <w:t xml:space="preserve"> </w:t>
      </w:r>
    </w:p>
    <w:p w:rsidR="003B64FB" w:rsidP="005442EA" w14:paraId="60A58338" w14:textId="52B6635D">
      <w:pPr>
        <w:ind w:left="3600" w:firstLine="720"/>
        <w:rPr>
          <w:szCs w:val="24"/>
        </w:rPr>
      </w:pPr>
      <w:r w:rsidRPr="00EB04D1">
        <w:rPr>
          <w:szCs w:val="24"/>
        </w:rPr>
        <w:t>Respectfully submitted,</w:t>
      </w:r>
    </w:p>
    <w:p w:rsidR="005442EA" w:rsidRPr="00EB04D1" w:rsidP="005442EA" w14:paraId="38BF707E" w14:textId="77777777">
      <w:pPr>
        <w:ind w:left="3600" w:firstLine="720"/>
        <w:rPr>
          <w:szCs w:val="24"/>
        </w:rPr>
      </w:pPr>
    </w:p>
    <w:p w:rsidR="003B64FB" w:rsidRPr="00EB04D1" w:rsidP="003B64FB" w14:paraId="48A7DAF4" w14:textId="77777777">
      <w:pPr>
        <w:ind w:left="4320"/>
        <w:rPr>
          <w:szCs w:val="24"/>
        </w:rPr>
      </w:pPr>
      <w:r w:rsidRPr="00EB04D1">
        <w:rPr>
          <w:szCs w:val="24"/>
        </w:rPr>
        <w:t>Bruce Weston (0016973)</w:t>
      </w:r>
    </w:p>
    <w:p w:rsidR="003B64FB" w:rsidRPr="00EB04D1" w:rsidP="003B64FB" w14:paraId="6A8793C9" w14:textId="77777777">
      <w:pPr>
        <w:tabs>
          <w:tab w:val="left" w:pos="4320"/>
        </w:tabs>
        <w:ind w:left="4320" w:hanging="450"/>
        <w:rPr>
          <w:szCs w:val="24"/>
        </w:rPr>
      </w:pPr>
      <w:r w:rsidRPr="00EB04D1">
        <w:rPr>
          <w:szCs w:val="24"/>
        </w:rPr>
        <w:tab/>
        <w:t>Ohio Consumers’ Counsel</w:t>
      </w:r>
    </w:p>
    <w:p w:rsidR="003B64FB" w:rsidRPr="00EB04D1" w:rsidP="003B64FB" w14:paraId="6E3D7B5B" w14:textId="77777777">
      <w:pPr>
        <w:tabs>
          <w:tab w:val="left" w:pos="4320"/>
        </w:tabs>
        <w:ind w:left="4320"/>
        <w:rPr>
          <w:szCs w:val="24"/>
        </w:rPr>
      </w:pPr>
    </w:p>
    <w:p w:rsidR="003B64FB" w:rsidRPr="00EB04D1" w:rsidP="003B64FB" w14:paraId="47B23D22" w14:textId="6FD987B3">
      <w:pPr>
        <w:tabs>
          <w:tab w:val="left" w:pos="4320"/>
        </w:tabs>
        <w:ind w:left="4320"/>
        <w:rPr>
          <w:i/>
          <w:iCs/>
          <w:szCs w:val="24"/>
          <w:u w:val="single"/>
        </w:rPr>
      </w:pPr>
      <w:r w:rsidRPr="00EB04D1">
        <w:rPr>
          <w:i/>
          <w:iCs/>
          <w:szCs w:val="24"/>
          <w:u w:val="single"/>
        </w:rPr>
        <w:t xml:space="preserve">/s/ </w:t>
      </w:r>
      <w:r w:rsidR="00DF2724">
        <w:rPr>
          <w:i/>
          <w:iCs/>
          <w:szCs w:val="24"/>
          <w:u w:val="single"/>
        </w:rPr>
        <w:t>Angela D. O’Brien</w:t>
      </w:r>
      <w:r w:rsidRPr="00EB04D1">
        <w:rPr>
          <w:i/>
          <w:iCs/>
          <w:szCs w:val="24"/>
          <w:u w:val="single"/>
        </w:rPr>
        <w:tab/>
      </w:r>
      <w:r w:rsidRPr="00EB04D1">
        <w:rPr>
          <w:i/>
          <w:iCs/>
          <w:szCs w:val="24"/>
          <w:u w:val="single"/>
        </w:rPr>
        <w:tab/>
      </w:r>
    </w:p>
    <w:p w:rsidR="003B64FB" w:rsidRPr="00EB04D1" w:rsidP="003B64FB" w14:paraId="1BE00A8F" w14:textId="606CBEF9">
      <w:pPr>
        <w:tabs>
          <w:tab w:val="left" w:pos="4320"/>
        </w:tabs>
        <w:ind w:left="4320"/>
        <w:rPr>
          <w:szCs w:val="24"/>
        </w:rPr>
      </w:pPr>
      <w:r>
        <w:rPr>
          <w:szCs w:val="24"/>
        </w:rPr>
        <w:t>Angela D. O’Brien</w:t>
      </w:r>
      <w:r w:rsidRPr="00EB04D1" w:rsidR="00750FB2">
        <w:rPr>
          <w:szCs w:val="24"/>
        </w:rPr>
        <w:t xml:space="preserve"> (00</w:t>
      </w:r>
      <w:r>
        <w:rPr>
          <w:szCs w:val="24"/>
        </w:rPr>
        <w:t>97579</w:t>
      </w:r>
      <w:r w:rsidRPr="00EB04D1" w:rsidR="00750FB2">
        <w:rPr>
          <w:szCs w:val="24"/>
        </w:rPr>
        <w:t>)</w:t>
      </w:r>
    </w:p>
    <w:p w:rsidR="003B64FB" w:rsidP="003B64FB" w14:paraId="7D01D52E" w14:textId="77777777">
      <w:pPr>
        <w:tabs>
          <w:tab w:val="left" w:pos="4320"/>
        </w:tabs>
        <w:ind w:left="4320"/>
        <w:rPr>
          <w:szCs w:val="24"/>
        </w:rPr>
      </w:pPr>
      <w:r w:rsidRPr="00EB04D1">
        <w:rPr>
          <w:szCs w:val="24"/>
        </w:rPr>
        <w:t>Counsel of Record</w:t>
      </w:r>
    </w:p>
    <w:p w:rsidR="00DF2724" w:rsidRPr="00EB04D1" w:rsidP="003B64FB" w14:paraId="32BDF109" w14:textId="50FDD06F">
      <w:pPr>
        <w:tabs>
          <w:tab w:val="left" w:pos="4320"/>
        </w:tabs>
        <w:ind w:left="4320"/>
        <w:rPr>
          <w:szCs w:val="24"/>
        </w:rPr>
      </w:pPr>
      <w:r>
        <w:rPr>
          <w:szCs w:val="24"/>
        </w:rPr>
        <w:t>Deputy Consumers’ Counsel</w:t>
      </w:r>
    </w:p>
    <w:p w:rsidR="003B64FB" w:rsidRPr="00EB04D1" w:rsidP="003B64FB" w14:paraId="646354A7" w14:textId="77777777">
      <w:pPr>
        <w:tabs>
          <w:tab w:val="left" w:pos="3870"/>
          <w:tab w:val="left" w:pos="4320"/>
        </w:tabs>
        <w:ind w:left="4320"/>
        <w:rPr>
          <w:szCs w:val="24"/>
        </w:rPr>
      </w:pPr>
    </w:p>
    <w:p w:rsidR="003B64FB" w:rsidRPr="00EB04D1" w:rsidP="003B64FB" w14:paraId="51B38207" w14:textId="77777777">
      <w:pPr>
        <w:ind w:left="4320"/>
        <w:rPr>
          <w:b/>
          <w:bCs/>
          <w:szCs w:val="24"/>
        </w:rPr>
      </w:pPr>
      <w:r w:rsidRPr="00EB04D1">
        <w:rPr>
          <w:b/>
          <w:bCs/>
          <w:szCs w:val="24"/>
        </w:rPr>
        <w:t>Office of the Ohio Consumers' Counsel</w:t>
      </w:r>
    </w:p>
    <w:p w:rsidR="003B64FB" w:rsidRPr="00EB04D1" w:rsidP="003B64FB" w14:paraId="6E902DF1" w14:textId="77777777">
      <w:pPr>
        <w:ind w:left="4320"/>
        <w:rPr>
          <w:szCs w:val="24"/>
        </w:rPr>
      </w:pPr>
      <w:r w:rsidRPr="00EB04D1">
        <w:rPr>
          <w:szCs w:val="24"/>
        </w:rPr>
        <w:t>65 East State Street, Suite 700</w:t>
      </w:r>
    </w:p>
    <w:p w:rsidR="003B64FB" w:rsidRPr="00EB04D1" w:rsidP="003B64FB" w14:paraId="2C3F69DE" w14:textId="77777777">
      <w:pPr>
        <w:ind w:left="4320"/>
        <w:rPr>
          <w:szCs w:val="24"/>
        </w:rPr>
      </w:pPr>
      <w:r w:rsidRPr="00EB04D1">
        <w:rPr>
          <w:szCs w:val="24"/>
        </w:rPr>
        <w:t>Columbus, Ohio 43215</w:t>
      </w:r>
    </w:p>
    <w:p w:rsidR="003B64FB" w:rsidRPr="00EB04D1" w:rsidP="003B64FB" w14:paraId="17CD321B" w14:textId="21E57EC2">
      <w:pPr>
        <w:autoSpaceDE w:val="0"/>
        <w:autoSpaceDN w:val="0"/>
        <w:adjustRightInd w:val="0"/>
        <w:ind w:left="4320"/>
        <w:rPr>
          <w:szCs w:val="24"/>
        </w:rPr>
      </w:pPr>
      <w:r w:rsidRPr="00EB04D1">
        <w:rPr>
          <w:szCs w:val="24"/>
        </w:rPr>
        <w:t>Telephone: [</w:t>
      </w:r>
      <w:r w:rsidR="00DF2724">
        <w:rPr>
          <w:szCs w:val="24"/>
        </w:rPr>
        <w:t>O’Brien</w:t>
      </w:r>
      <w:r w:rsidRPr="00EB04D1">
        <w:rPr>
          <w:szCs w:val="24"/>
        </w:rPr>
        <w:t>]: (614) 466-</w:t>
      </w:r>
      <w:r w:rsidR="00DF2724">
        <w:rPr>
          <w:szCs w:val="24"/>
        </w:rPr>
        <w:t>9531</w:t>
      </w:r>
    </w:p>
    <w:p w:rsidR="00DF2724" w:rsidP="003B64FB" w14:paraId="6205B19C" w14:textId="69072EA7">
      <w:pPr>
        <w:pStyle w:val="HTMLPreformatted"/>
        <w:ind w:left="4320"/>
        <w:rPr>
          <w:rFonts w:ascii="Times New Roman" w:hAnsi="Times New Roman" w:cs="Times New Roman"/>
          <w:sz w:val="24"/>
          <w:szCs w:val="24"/>
        </w:rPr>
      </w:pPr>
      <w:hyperlink r:id="rId6" w:history="1">
        <w:r w:rsidRPr="00E3048C" w:rsidR="00482FC2">
          <w:rPr>
            <w:rStyle w:val="Hyperlink"/>
            <w:rFonts w:ascii="Times New Roman" w:hAnsi="Times New Roman" w:cs="Times New Roman"/>
            <w:sz w:val="24"/>
            <w:szCs w:val="24"/>
          </w:rPr>
          <w:t>angela.obrien@occ.ohio.gov</w:t>
        </w:r>
      </w:hyperlink>
      <w:r w:rsidR="00482FC2">
        <w:rPr>
          <w:rFonts w:ascii="Times New Roman" w:hAnsi="Times New Roman" w:cs="Times New Roman"/>
          <w:sz w:val="24"/>
          <w:szCs w:val="24"/>
        </w:rPr>
        <w:t xml:space="preserve"> </w:t>
      </w:r>
    </w:p>
    <w:p w:rsidR="003B64FB" w:rsidRPr="00EB04D1" w:rsidP="003B64FB" w14:paraId="096C8525" w14:textId="7811E832">
      <w:pPr>
        <w:pStyle w:val="HTMLPreformatted"/>
        <w:ind w:left="4320"/>
        <w:rPr>
          <w:rFonts w:ascii="Times New Roman" w:hAnsi="Times New Roman" w:cs="Times New Roman"/>
          <w:sz w:val="24"/>
          <w:szCs w:val="24"/>
        </w:rPr>
      </w:pPr>
      <w:r w:rsidRPr="00EB04D1">
        <w:rPr>
          <w:rFonts w:ascii="Times New Roman" w:hAnsi="Times New Roman" w:cs="Times New Roman"/>
          <w:sz w:val="24"/>
          <w:szCs w:val="24"/>
        </w:rPr>
        <w:t>(willing to accept service by e-mail)</w:t>
      </w:r>
    </w:p>
    <w:p w:rsidR="00C62557" w14:paraId="487F3CD4" w14:textId="77777777">
      <w:pPr>
        <w:rPr>
          <w:b/>
          <w:bCs/>
          <w:szCs w:val="24"/>
          <w:u w:val="single"/>
        </w:rPr>
      </w:pPr>
      <w:r>
        <w:rPr>
          <w:b/>
          <w:bCs/>
          <w:szCs w:val="24"/>
          <w:u w:val="single"/>
        </w:rPr>
        <w:br w:type="page"/>
      </w:r>
    </w:p>
    <w:p w:rsidR="00A044B5" w:rsidRPr="00EB04D1" w:rsidP="002F13D4" w14:paraId="2DD9E643" w14:textId="35A65107">
      <w:pPr>
        <w:jc w:val="center"/>
        <w:rPr>
          <w:b/>
          <w:bCs/>
          <w:szCs w:val="24"/>
          <w:u w:val="single"/>
        </w:rPr>
      </w:pPr>
      <w:r w:rsidRPr="00EB04D1">
        <w:rPr>
          <w:b/>
          <w:bCs/>
          <w:szCs w:val="24"/>
          <w:u w:val="single"/>
        </w:rPr>
        <w:t>CERTIFICATE OF SERVICE</w:t>
      </w:r>
    </w:p>
    <w:p w:rsidR="00A044B5" w:rsidRPr="00EB04D1" w14:paraId="1B6370E8" w14:textId="28AA6F4A">
      <w:pPr>
        <w:spacing w:line="480" w:lineRule="atLeast"/>
        <w:rPr>
          <w:szCs w:val="24"/>
        </w:rPr>
      </w:pPr>
      <w:r w:rsidRPr="00EB04D1">
        <w:rPr>
          <w:szCs w:val="24"/>
        </w:rPr>
        <w:tab/>
        <w:t>I hereby certify that a copy of th</w:t>
      </w:r>
      <w:r w:rsidR="00E96D08">
        <w:rPr>
          <w:szCs w:val="24"/>
        </w:rPr>
        <w:t>is</w:t>
      </w:r>
      <w:r w:rsidRPr="00EB04D1">
        <w:rPr>
          <w:szCs w:val="24"/>
        </w:rPr>
        <w:t xml:space="preserve"> </w:t>
      </w:r>
      <w:r w:rsidR="00E96D08">
        <w:rPr>
          <w:szCs w:val="24"/>
        </w:rPr>
        <w:t>Initial Brief</w:t>
      </w:r>
      <w:r w:rsidRPr="00EB04D1">
        <w:rPr>
          <w:szCs w:val="24"/>
        </w:rPr>
        <w:t xml:space="preserve"> w</w:t>
      </w:r>
      <w:r w:rsidR="0087434C">
        <w:rPr>
          <w:szCs w:val="24"/>
        </w:rPr>
        <w:t>as</w:t>
      </w:r>
      <w:r w:rsidRPr="00EB04D1">
        <w:rPr>
          <w:szCs w:val="24"/>
        </w:rPr>
        <w:t xml:space="preserve"> served on the persons stated below via electronic transmission, this </w:t>
      </w:r>
      <w:r w:rsidR="00DF2724">
        <w:rPr>
          <w:szCs w:val="24"/>
        </w:rPr>
        <w:t>2</w:t>
      </w:r>
      <w:r w:rsidRPr="00DF2724" w:rsidR="00DF2724">
        <w:rPr>
          <w:szCs w:val="24"/>
          <w:vertAlign w:val="superscript"/>
        </w:rPr>
        <w:t>nd</w:t>
      </w:r>
      <w:r w:rsidR="00BA5B96">
        <w:rPr>
          <w:szCs w:val="24"/>
        </w:rPr>
        <w:t xml:space="preserve"> </w:t>
      </w:r>
      <w:r w:rsidRPr="00EB04D1">
        <w:rPr>
          <w:szCs w:val="24"/>
        </w:rPr>
        <w:t>day of</w:t>
      </w:r>
      <w:r w:rsidR="00DF2724">
        <w:rPr>
          <w:szCs w:val="24"/>
        </w:rPr>
        <w:t xml:space="preserve"> August</w:t>
      </w:r>
      <w:r w:rsidRPr="00EB04D1">
        <w:rPr>
          <w:szCs w:val="24"/>
        </w:rPr>
        <w:t xml:space="preserve"> 20</w:t>
      </w:r>
      <w:r w:rsidRPr="00EB04D1" w:rsidR="002F13D4">
        <w:rPr>
          <w:szCs w:val="24"/>
        </w:rPr>
        <w:t>2</w:t>
      </w:r>
      <w:r w:rsidR="00DF2724">
        <w:rPr>
          <w:szCs w:val="24"/>
        </w:rPr>
        <w:t>3</w:t>
      </w:r>
      <w:r w:rsidRPr="00EB04D1">
        <w:rPr>
          <w:szCs w:val="24"/>
        </w:rPr>
        <w:t>.</w:t>
      </w:r>
    </w:p>
    <w:p w:rsidR="00A044B5" w:rsidRPr="00EB04D1" w:rsidP="004F3EDB" w14:paraId="50EF4295" w14:textId="77777777">
      <w:pPr>
        <w:rPr>
          <w:szCs w:val="24"/>
        </w:rPr>
      </w:pPr>
    </w:p>
    <w:p w:rsidR="00A044B5" w:rsidRPr="00EB04D1" w14:paraId="05DA20DB" w14:textId="5154A44F">
      <w:pPr>
        <w:tabs>
          <w:tab w:val="left" w:pos="4320"/>
        </w:tabs>
        <w:rPr>
          <w:iCs/>
          <w:szCs w:val="24"/>
          <w:u w:val="single"/>
        </w:rPr>
      </w:pPr>
      <w:r w:rsidRPr="00EB04D1">
        <w:rPr>
          <w:szCs w:val="24"/>
        </w:rPr>
        <w:tab/>
      </w:r>
      <w:r w:rsidRPr="00EB04D1">
        <w:rPr>
          <w:i/>
          <w:iCs/>
          <w:szCs w:val="24"/>
          <w:u w:val="single"/>
        </w:rPr>
        <w:t xml:space="preserve">/s/ </w:t>
      </w:r>
      <w:r w:rsidR="00DF2724">
        <w:rPr>
          <w:i/>
          <w:iCs/>
          <w:szCs w:val="24"/>
          <w:u w:val="single"/>
        </w:rPr>
        <w:t>Angela D. O’Brien</w:t>
      </w:r>
      <w:r w:rsidRPr="00EB04D1">
        <w:rPr>
          <w:iCs/>
          <w:szCs w:val="24"/>
          <w:u w:val="single"/>
        </w:rPr>
        <w:tab/>
      </w:r>
    </w:p>
    <w:p w:rsidR="00A044B5" w:rsidRPr="00EB04D1" w14:paraId="1C2B130E" w14:textId="2846CB72">
      <w:pPr>
        <w:tabs>
          <w:tab w:val="left" w:pos="4320"/>
        </w:tabs>
        <w:rPr>
          <w:szCs w:val="24"/>
        </w:rPr>
      </w:pPr>
      <w:r w:rsidRPr="00EB04D1">
        <w:rPr>
          <w:szCs w:val="24"/>
        </w:rPr>
        <w:tab/>
      </w:r>
      <w:r w:rsidR="00DF2724">
        <w:rPr>
          <w:szCs w:val="24"/>
        </w:rPr>
        <w:t>Angela D. O’Brien</w:t>
      </w:r>
    </w:p>
    <w:p w:rsidR="00A044B5" w:rsidRPr="00EB04D1" w14:paraId="3B86BAFB" w14:textId="07EF77F4">
      <w:pPr>
        <w:tabs>
          <w:tab w:val="left" w:pos="4320"/>
        </w:tabs>
        <w:rPr>
          <w:szCs w:val="24"/>
        </w:rPr>
      </w:pPr>
      <w:r w:rsidRPr="00EB04D1">
        <w:rPr>
          <w:szCs w:val="24"/>
        </w:rPr>
        <w:tab/>
      </w:r>
      <w:r w:rsidR="00DF2724">
        <w:rPr>
          <w:szCs w:val="24"/>
        </w:rPr>
        <w:t>Deputy</w:t>
      </w:r>
      <w:r w:rsidRPr="00EB04D1">
        <w:rPr>
          <w:szCs w:val="24"/>
        </w:rPr>
        <w:t xml:space="preserve"> Consumers’ Counsel</w:t>
      </w:r>
    </w:p>
    <w:p w:rsidR="00A044B5" w:rsidRPr="00EB04D1" w14:paraId="3AC0002F" w14:textId="77777777">
      <w:pPr>
        <w:pStyle w:val="CommentSubject"/>
        <w:rPr>
          <w:szCs w:val="24"/>
        </w:rPr>
      </w:pPr>
    </w:p>
    <w:p w:rsidR="002F13D4" w:rsidRPr="00EB04D1" w:rsidP="002F13D4" w14:paraId="0AEA87A2" w14:textId="77777777">
      <w:pPr>
        <w:rPr>
          <w:szCs w:val="24"/>
        </w:rPr>
      </w:pPr>
      <w:r w:rsidRPr="00EB04D1">
        <w:rPr>
          <w:szCs w:val="24"/>
        </w:rPr>
        <w:t>The PUCO’s e-filing system will electronically serve notice of the filing of this document on the following parties:</w:t>
      </w:r>
    </w:p>
    <w:p w:rsidR="00A044B5" w:rsidRPr="00EB04D1" w14:paraId="72D3CC1C" w14:textId="77777777">
      <w:pPr>
        <w:pStyle w:val="CommentText"/>
      </w:pPr>
    </w:p>
    <w:p w:rsidR="00A044B5" w:rsidRPr="00EB04D1" w14:paraId="424A417D" w14:textId="77777777">
      <w:pPr>
        <w:pStyle w:val="CommentText"/>
        <w:jc w:val="center"/>
        <w:rPr>
          <w:b/>
          <w:u w:val="single"/>
        </w:rPr>
      </w:pPr>
      <w:r w:rsidRPr="00EB04D1">
        <w:rPr>
          <w:b/>
          <w:u w:val="single"/>
        </w:rPr>
        <w:t>SERVICE LIST</w:t>
      </w:r>
    </w:p>
    <w:p w:rsidR="009D37EA" w:rsidRPr="00EB04D1" w14:paraId="35BF20DE" w14:textId="77777777">
      <w:pPr>
        <w:pStyle w:val="CommentText"/>
        <w:jc w:val="center"/>
        <w:rPr>
          <w:b/>
          <w:u w:val="single"/>
        </w:rPr>
      </w:pPr>
    </w:p>
    <w:p w:rsidR="00A044B5" w:rsidRPr="00EB04D1" w14:paraId="005CB0EE"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096"/>
      </w:tblGrid>
      <w:tr w14:paraId="60208EBA" w14:textId="77777777" w:rsidTr="00D802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9" w:type="dxa"/>
          </w:tcPr>
          <w:p w:rsidR="005D7B6B" w:rsidRPr="00EB04D1" w14:paraId="268DD778" w14:textId="0913B6C2">
            <w:pPr>
              <w:pStyle w:val="BodyText"/>
              <w:rPr>
                <w:szCs w:val="24"/>
              </w:rPr>
            </w:pPr>
            <w:hyperlink r:id="rId14" w:history="1">
              <w:r w:rsidRPr="00EB04D1" w:rsidR="00462D72">
                <w:rPr>
                  <w:rStyle w:val="Hyperlink"/>
                  <w:szCs w:val="24"/>
                </w:rPr>
                <w:t>shaun.lyons@ohioAGO.gov</w:t>
              </w:r>
            </w:hyperlink>
          </w:p>
          <w:p w:rsidR="00462D72" w:rsidRPr="00EB04D1" w14:paraId="5456EFDD" w14:textId="3E78CFA4">
            <w:pPr>
              <w:pStyle w:val="BodyText"/>
              <w:rPr>
                <w:szCs w:val="24"/>
              </w:rPr>
            </w:pPr>
            <w:hyperlink r:id="rId15" w:history="1">
              <w:r w:rsidRPr="00EB04D1" w:rsidR="00D371BA">
                <w:rPr>
                  <w:rStyle w:val="Hyperlink"/>
                  <w:szCs w:val="24"/>
                </w:rPr>
                <w:t>werner.margard@ohioAGO.gov</w:t>
              </w:r>
            </w:hyperlink>
          </w:p>
          <w:p w:rsidR="00971ADD" w:rsidRPr="00EB04D1" w14:paraId="3BC2A9B5" w14:textId="689817A4">
            <w:pPr>
              <w:pStyle w:val="BodyText"/>
              <w:rPr>
                <w:szCs w:val="24"/>
              </w:rPr>
            </w:pPr>
            <w:hyperlink r:id="rId16" w:history="1">
              <w:r w:rsidRPr="00EB04D1" w:rsidR="00D371BA">
                <w:rPr>
                  <w:rStyle w:val="Hyperlink"/>
                  <w:szCs w:val="24"/>
                </w:rPr>
                <w:t>dproano@bakerlaw.com</w:t>
              </w:r>
            </w:hyperlink>
          </w:p>
          <w:p w:rsidR="00971ADD" w:rsidRPr="00EB04D1" w14:paraId="639B7476" w14:textId="61B3182B">
            <w:pPr>
              <w:pStyle w:val="BodyText"/>
              <w:rPr>
                <w:szCs w:val="24"/>
              </w:rPr>
            </w:pPr>
            <w:hyperlink r:id="rId17" w:history="1">
              <w:r w:rsidRPr="00EB04D1" w:rsidR="00D371BA">
                <w:rPr>
                  <w:rStyle w:val="Hyperlink"/>
                  <w:szCs w:val="24"/>
                </w:rPr>
                <w:t>tathompson@bakerlaw.com</w:t>
              </w:r>
            </w:hyperlink>
          </w:p>
          <w:p w:rsidR="00D22A05" w:rsidRPr="00D22A05" w14:paraId="7CEE085C" w14:textId="3B09D56F">
            <w:pPr>
              <w:pStyle w:val="BodyText"/>
              <w:rPr>
                <w:color w:val="0000FF"/>
                <w:szCs w:val="24"/>
                <w:u w:val="single"/>
              </w:rPr>
            </w:pPr>
            <w:hyperlink r:id="rId18" w:history="1">
              <w:r w:rsidRPr="00252FC2" w:rsidR="00D371BA">
                <w:rPr>
                  <w:rStyle w:val="Hyperlink"/>
                  <w:szCs w:val="24"/>
                </w:rPr>
                <w:t>j</w:t>
              </w:r>
              <w:r w:rsidRPr="00252FC2" w:rsidR="00D371BA">
                <w:rPr>
                  <w:rStyle w:val="Hyperlink"/>
                </w:rPr>
                <w:t>weber</w:t>
              </w:r>
              <w:r w:rsidRPr="00252FC2" w:rsidR="00D371BA">
                <w:rPr>
                  <w:rStyle w:val="Hyperlink"/>
                  <w:szCs w:val="24"/>
                </w:rPr>
                <w:t>@elpc.org</w:t>
              </w:r>
            </w:hyperlink>
          </w:p>
          <w:p w:rsidR="00260C99" w:rsidRPr="00EB04D1" w14:paraId="1FA684E4" w14:textId="77777777">
            <w:pPr>
              <w:pStyle w:val="BodyText"/>
              <w:rPr>
                <w:szCs w:val="24"/>
              </w:rPr>
            </w:pPr>
          </w:p>
          <w:p w:rsidR="009D37EA" w:rsidRPr="00EB04D1" w14:paraId="553FBF21" w14:textId="26674BF2">
            <w:pPr>
              <w:pStyle w:val="BodyText"/>
              <w:rPr>
                <w:szCs w:val="24"/>
              </w:rPr>
            </w:pPr>
            <w:r w:rsidRPr="00EB04D1">
              <w:rPr>
                <w:szCs w:val="24"/>
              </w:rPr>
              <w:t>Attorney Examiner:</w:t>
            </w:r>
          </w:p>
          <w:p w:rsidR="009D37EA" w:rsidRPr="00EB04D1" w:rsidP="00D80256" w14:paraId="2A60A46D" w14:textId="5BE99BBB">
            <w:pPr>
              <w:rPr>
                <w:szCs w:val="24"/>
              </w:rPr>
            </w:pPr>
            <w:hyperlink r:id="rId19" w:history="1">
              <w:r w:rsidRPr="00EB04D1" w:rsidR="00D068B0">
                <w:rPr>
                  <w:rStyle w:val="Hyperlink"/>
                  <w:szCs w:val="24"/>
                </w:rPr>
                <w:t>patricia.schabo@puco.ohio.gov</w:t>
              </w:r>
            </w:hyperlink>
          </w:p>
          <w:p w:rsidR="00D068B0" w:rsidRPr="00EB04D1" w:rsidP="00D80256" w14:paraId="36B9E42F" w14:textId="77777777">
            <w:pPr>
              <w:rPr>
                <w:szCs w:val="24"/>
              </w:rPr>
            </w:pPr>
          </w:p>
          <w:p w:rsidR="00FE7F0A" w:rsidRPr="00EB04D1" w14:paraId="5890BDAB" w14:textId="77777777">
            <w:pPr>
              <w:pStyle w:val="BodyText"/>
              <w:rPr>
                <w:szCs w:val="24"/>
              </w:rPr>
            </w:pPr>
            <w:r w:rsidRPr="00EB04D1">
              <w:rPr>
                <w:szCs w:val="24"/>
              </w:rPr>
              <w:t xml:space="preserve"> </w:t>
            </w:r>
          </w:p>
        </w:tc>
        <w:tc>
          <w:tcPr>
            <w:tcW w:w="4721" w:type="dxa"/>
          </w:tcPr>
          <w:p w:rsidR="00E96D08" w:rsidRPr="00E00293" w:rsidP="00E96D08" w14:paraId="2F8DD363" w14:textId="77777777">
            <w:pPr>
              <w:autoSpaceDE w:val="0"/>
              <w:autoSpaceDN w:val="0"/>
              <w:adjustRightInd w:val="0"/>
              <w:ind w:left="840"/>
              <w:rPr>
                <w:color w:val="0000FF"/>
                <w:u w:val="single"/>
                <w:lang w:bidi="he-IL"/>
              </w:rPr>
            </w:pPr>
            <w:hyperlink r:id="rId20" w:history="1">
              <w:r w:rsidRPr="0001613F" w:rsidR="00482FC2">
                <w:rPr>
                  <w:color w:val="0000FF"/>
                  <w:u w:val="single"/>
                  <w:lang w:bidi="he-IL"/>
                </w:rPr>
                <w:t>kennedy@whitt-sturtevant.com</w:t>
              </w:r>
            </w:hyperlink>
          </w:p>
          <w:p w:rsidR="00E96D08" w:rsidRPr="00E00293" w:rsidP="00E96D08" w14:paraId="6EF35C59" w14:textId="77777777">
            <w:pPr>
              <w:autoSpaceDE w:val="0"/>
              <w:autoSpaceDN w:val="0"/>
              <w:adjustRightInd w:val="0"/>
              <w:ind w:left="840"/>
              <w:rPr>
                <w:color w:val="0000FF"/>
                <w:u w:val="single"/>
                <w:lang w:bidi="he-IL"/>
              </w:rPr>
            </w:pPr>
            <w:r w:rsidRPr="00E00293">
              <w:rPr>
                <w:color w:val="0000FF"/>
                <w:u w:val="single"/>
                <w:lang w:bidi="he-IL"/>
              </w:rPr>
              <w:t>demonte@whitt-sturtevant.com</w:t>
            </w:r>
          </w:p>
          <w:p w:rsidR="00E96D08" w:rsidRPr="00E00293" w:rsidP="00E96D08" w14:paraId="092AA4F1" w14:textId="77777777">
            <w:pPr>
              <w:autoSpaceDE w:val="0"/>
              <w:autoSpaceDN w:val="0"/>
              <w:adjustRightInd w:val="0"/>
              <w:ind w:left="840"/>
              <w:rPr>
                <w:lang w:bidi="he-IL"/>
              </w:rPr>
            </w:pPr>
            <w:hyperlink r:id="rId21" w:history="1">
              <w:r w:rsidRPr="00E00293" w:rsidR="00482FC2">
                <w:rPr>
                  <w:rStyle w:val="Hyperlink"/>
                  <w:lang w:bidi="he-IL"/>
                </w:rPr>
                <w:t>whitt@whitt-sturtevant.com</w:t>
              </w:r>
            </w:hyperlink>
          </w:p>
          <w:p w:rsidR="00E96D08" w:rsidRPr="0001613F" w:rsidP="00E96D08" w14:paraId="44066686" w14:textId="77777777">
            <w:pPr>
              <w:ind w:left="840"/>
              <w:jc w:val="both"/>
              <w:rPr>
                <w:color w:val="0000FF"/>
                <w:u w:val="single"/>
              </w:rPr>
            </w:pPr>
            <w:hyperlink r:id="rId22" w:history="1">
              <w:r w:rsidRPr="0001613F" w:rsidR="00482FC2">
                <w:rPr>
                  <w:color w:val="0000FF"/>
                  <w:u w:val="single"/>
                </w:rPr>
                <w:t>andrew.j.campbell@dominionenergy.com</w:t>
              </w:r>
            </w:hyperlink>
          </w:p>
          <w:p w:rsidR="00E96D08" w:rsidRPr="0001613F" w:rsidP="00E96D08" w14:paraId="44980CA1" w14:textId="77777777">
            <w:pPr>
              <w:ind w:left="840"/>
              <w:jc w:val="both"/>
            </w:pPr>
            <w:hyperlink r:id="rId23" w:history="1">
              <w:r w:rsidRPr="0001613F" w:rsidR="00482FC2">
                <w:rPr>
                  <w:rStyle w:val="Hyperlink"/>
                </w:rPr>
                <w:t>m</w:t>
              </w:r>
              <w:r w:rsidRPr="00E00293" w:rsidR="00482FC2">
                <w:rPr>
                  <w:rStyle w:val="Hyperlink"/>
                </w:rPr>
                <w:t>j</w:t>
              </w:r>
              <w:r w:rsidRPr="0001613F" w:rsidR="00482FC2">
                <w:rPr>
                  <w:rStyle w:val="Hyperlink"/>
                </w:rPr>
                <w:t>settineri@vorys.com</w:t>
              </w:r>
            </w:hyperlink>
          </w:p>
          <w:p w:rsidR="00E96D08" w:rsidRPr="0001613F" w:rsidP="00E96D08" w14:paraId="18295030" w14:textId="77777777">
            <w:pPr>
              <w:ind w:left="840"/>
              <w:jc w:val="both"/>
            </w:pPr>
            <w:hyperlink r:id="rId24" w:history="1">
              <w:r w:rsidRPr="0001613F" w:rsidR="00482FC2">
                <w:rPr>
                  <w:color w:val="0000FF"/>
                  <w:u w:val="single"/>
                </w:rPr>
                <w:t>glpetrucci@vorys.com</w:t>
              </w:r>
            </w:hyperlink>
          </w:p>
          <w:p w:rsidR="00E96D08" w:rsidRPr="0001613F" w:rsidP="00E96D08" w14:paraId="03F5F0CC" w14:textId="77777777">
            <w:pPr>
              <w:ind w:left="840"/>
              <w:jc w:val="both"/>
            </w:pPr>
            <w:hyperlink r:id="rId25" w:history="1">
              <w:r w:rsidRPr="0001613F" w:rsidR="00482FC2">
                <w:rPr>
                  <w:color w:val="0000FF"/>
                  <w:u w:val="single"/>
                </w:rPr>
                <w:t>michael.nugent@igs.com</w:t>
              </w:r>
            </w:hyperlink>
          </w:p>
          <w:p w:rsidR="00E96D08" w:rsidRPr="0001613F" w:rsidP="00E96D08" w14:paraId="0D236DCC" w14:textId="77777777">
            <w:pPr>
              <w:ind w:left="840"/>
              <w:jc w:val="both"/>
            </w:pPr>
            <w:hyperlink r:id="rId26" w:history="1">
              <w:r w:rsidRPr="0001613F" w:rsidR="00482FC2">
                <w:rPr>
                  <w:color w:val="0000FF"/>
                  <w:u w:val="single"/>
                </w:rPr>
                <w:t>evan.betterton@igs.com</w:t>
              </w:r>
            </w:hyperlink>
          </w:p>
          <w:p w:rsidR="00E96D08" w:rsidRPr="0001613F" w:rsidP="00E96D08" w14:paraId="2337DA9E" w14:textId="77777777">
            <w:pPr>
              <w:ind w:left="840"/>
              <w:jc w:val="both"/>
              <w:rPr>
                <w:color w:val="0000FF"/>
                <w:u w:val="single"/>
              </w:rPr>
            </w:pPr>
            <w:hyperlink r:id="rId27" w:history="1">
              <w:r w:rsidRPr="0001613F" w:rsidR="00482FC2">
                <w:rPr>
                  <w:color w:val="0000FF"/>
                  <w:u w:val="single"/>
                </w:rPr>
                <w:t>stacie.cathcart@igs.com</w:t>
              </w:r>
            </w:hyperlink>
          </w:p>
          <w:p w:rsidR="00E96D08" w:rsidRPr="0001613F" w:rsidP="00E96D08" w14:paraId="30CA9905" w14:textId="77777777">
            <w:pPr>
              <w:ind w:left="840"/>
              <w:jc w:val="both"/>
              <w:rPr>
                <w:color w:val="0000FF"/>
                <w:u w:val="single"/>
              </w:rPr>
            </w:pPr>
            <w:hyperlink r:id="rId28" w:history="1">
              <w:r w:rsidRPr="0001613F" w:rsidR="00482FC2">
                <w:rPr>
                  <w:color w:val="0000FF"/>
                  <w:u w:val="single"/>
                </w:rPr>
                <w:t>dparram@bricker.com</w:t>
              </w:r>
            </w:hyperlink>
          </w:p>
          <w:p w:rsidR="00E96D08" w:rsidP="00E96D08" w14:paraId="675D2271" w14:textId="77777777">
            <w:pPr>
              <w:ind w:left="840"/>
              <w:jc w:val="both"/>
              <w:rPr>
                <w:color w:val="0000FF"/>
                <w:u w:val="single"/>
              </w:rPr>
            </w:pPr>
            <w:hyperlink r:id="rId29" w:history="1">
              <w:r w:rsidRPr="0001613F" w:rsidR="00482FC2">
                <w:rPr>
                  <w:color w:val="0000FF"/>
                  <w:u w:val="single"/>
                </w:rPr>
                <w:t>gkrassen@nopec.org</w:t>
              </w:r>
            </w:hyperlink>
          </w:p>
          <w:p w:rsidR="008C6FB2" w:rsidRPr="0001613F" w:rsidP="00E96D08" w14:paraId="749A1034" w14:textId="06A31A0E">
            <w:pPr>
              <w:ind w:left="840"/>
              <w:jc w:val="both"/>
              <w:rPr>
                <w:color w:val="0000FF"/>
                <w:u w:val="single"/>
              </w:rPr>
            </w:pPr>
            <w:r>
              <w:rPr>
                <w:color w:val="0000FF"/>
                <w:u w:val="single"/>
              </w:rPr>
              <w:t>pwillison@bakerlaw.com</w:t>
            </w:r>
          </w:p>
          <w:p w:rsidR="00F24B60" w:rsidRPr="00EB04D1" w:rsidP="00971ADD" w14:paraId="5A23A7E7" w14:textId="77777777">
            <w:pPr>
              <w:pStyle w:val="BodyText"/>
              <w:ind w:left="465"/>
              <w:rPr>
                <w:szCs w:val="24"/>
              </w:rPr>
            </w:pPr>
          </w:p>
          <w:p w:rsidR="00971ADD" w:rsidRPr="00EB04D1" w:rsidP="00971ADD" w14:paraId="210ABE9A" w14:textId="77777777">
            <w:pPr>
              <w:pStyle w:val="BodyText"/>
              <w:ind w:left="465"/>
              <w:rPr>
                <w:szCs w:val="24"/>
              </w:rPr>
            </w:pPr>
          </w:p>
          <w:p w:rsidR="009D37EA" w:rsidRPr="00EB04D1" w:rsidP="009D37EA" w14:paraId="34B35DC1" w14:textId="77777777">
            <w:pPr>
              <w:pStyle w:val="BodyText"/>
              <w:ind w:left="707"/>
              <w:rPr>
                <w:szCs w:val="24"/>
              </w:rPr>
            </w:pPr>
          </w:p>
        </w:tc>
      </w:tr>
    </w:tbl>
    <w:p w:rsidR="00A044B5" w:rsidRPr="00EB04D1" w14:paraId="5C1058B3" w14:textId="77777777">
      <w:pPr>
        <w:pStyle w:val="BodyText"/>
        <w:rPr>
          <w:b/>
          <w:bCs/>
          <w:szCs w:val="24"/>
        </w:rPr>
      </w:pPr>
    </w:p>
    <w:sectPr w:rsidSect="002A185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F66" w14:paraId="28AF9D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170674"/>
      <w:docPartObj>
        <w:docPartGallery w:val="Page Numbers (Bottom of Page)"/>
        <w:docPartUnique/>
      </w:docPartObj>
    </w:sdtPr>
    <w:sdtEndPr>
      <w:rPr>
        <w:noProof/>
        <w:sz w:val="24"/>
        <w:szCs w:val="24"/>
      </w:rPr>
    </w:sdtEndPr>
    <w:sdtContent>
      <w:p w:rsidR="002A1859" w:rsidRPr="002A1859" w14:paraId="7789739A" w14:textId="1677A13C">
        <w:pPr>
          <w:pStyle w:val="Footer"/>
          <w:jc w:val="center"/>
          <w:rPr>
            <w:sz w:val="24"/>
            <w:szCs w:val="24"/>
          </w:rPr>
        </w:pPr>
        <w:r w:rsidRPr="002A1859">
          <w:rPr>
            <w:sz w:val="24"/>
            <w:szCs w:val="24"/>
          </w:rPr>
          <w:fldChar w:fldCharType="begin"/>
        </w:r>
        <w:r w:rsidRPr="002A1859">
          <w:rPr>
            <w:sz w:val="24"/>
            <w:szCs w:val="24"/>
          </w:rPr>
          <w:instrText xml:space="preserve"> PAGE   \* MERGEFORMAT </w:instrText>
        </w:r>
        <w:r w:rsidRPr="002A1859">
          <w:rPr>
            <w:sz w:val="24"/>
            <w:szCs w:val="24"/>
          </w:rPr>
          <w:fldChar w:fldCharType="separate"/>
        </w:r>
        <w:r w:rsidRPr="002A1859">
          <w:rPr>
            <w:noProof/>
            <w:sz w:val="24"/>
            <w:szCs w:val="24"/>
          </w:rPr>
          <w:t>2</w:t>
        </w:r>
        <w:r w:rsidRPr="002A185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091" w:rsidRPr="004C5091" w14:paraId="0EDF4CF0" w14:textId="0826D28C">
    <w:pPr>
      <w:pStyle w:val="Foote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5514860"/>
      <w:docPartObj>
        <w:docPartGallery w:val="Page Numbers (Bottom of Page)"/>
        <w:docPartUnique/>
      </w:docPartObj>
    </w:sdtPr>
    <w:sdtEndPr>
      <w:rPr>
        <w:noProof/>
        <w:sz w:val="24"/>
        <w:szCs w:val="24"/>
      </w:rPr>
    </w:sdtEndPr>
    <w:sdtContent>
      <w:p w:rsidR="00566293" w:rsidRPr="00566293" w14:paraId="4EF744E4" w14:textId="0B17D4A9">
        <w:pPr>
          <w:pStyle w:val="Footer"/>
          <w:jc w:val="center"/>
          <w:rPr>
            <w:sz w:val="24"/>
            <w:szCs w:val="24"/>
          </w:rPr>
        </w:pPr>
        <w:r w:rsidRPr="00566293">
          <w:rPr>
            <w:sz w:val="24"/>
            <w:szCs w:val="24"/>
          </w:rPr>
          <w:fldChar w:fldCharType="begin"/>
        </w:r>
        <w:r w:rsidRPr="00566293">
          <w:rPr>
            <w:sz w:val="24"/>
            <w:szCs w:val="24"/>
          </w:rPr>
          <w:instrText xml:space="preserve"> PAGE   \* MERGEFORMAT </w:instrText>
        </w:r>
        <w:r w:rsidRPr="00566293">
          <w:rPr>
            <w:sz w:val="24"/>
            <w:szCs w:val="24"/>
          </w:rPr>
          <w:fldChar w:fldCharType="separate"/>
        </w:r>
        <w:r w:rsidRPr="00566293">
          <w:rPr>
            <w:noProof/>
            <w:sz w:val="24"/>
            <w:szCs w:val="24"/>
          </w:rPr>
          <w:t>2</w:t>
        </w:r>
        <w:r w:rsidRPr="0056629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2FC2" w14:paraId="4F8F15C5" w14:textId="77777777">
      <w:r>
        <w:separator/>
      </w:r>
    </w:p>
  </w:footnote>
  <w:footnote w:type="continuationSeparator" w:id="1">
    <w:p w:rsidR="00482FC2" w14:paraId="0BB22215" w14:textId="77777777">
      <w:r>
        <w:continuationSeparator/>
      </w:r>
    </w:p>
  </w:footnote>
  <w:footnote w:id="2">
    <w:p w:rsidR="007F502C" w:rsidRPr="00CE3BA5" w:rsidP="007F502C" w14:paraId="0E79AF87" w14:textId="77777777">
      <w:pPr>
        <w:pStyle w:val="FootnoteText"/>
        <w:spacing w:after="120"/>
      </w:pPr>
      <w:r>
        <w:rPr>
          <w:rStyle w:val="FootnoteReference"/>
        </w:rPr>
        <w:footnoteRef/>
      </w:r>
      <w:r>
        <w:t xml:space="preserve"> Marketers signing the settlement include Interstate Gas Supply, LLC (IGS); SFE Energy Ohio, Inc. and StateWise Energy Ohio, LLC (SFE Energy); Direct Energy Business LLC, Direct Energy Services LLC, Direct Energy Business Marketing LLC, Energy Plus Natural Gas LLC, Reliant Energy Northeast LLC, Stream Ohio Gas &amp; Electric, LLC, and XOOM Energy Ohio, LLC (the NRG Retail Companies); and the Retail Energy Supply Association (RESA). </w:t>
      </w:r>
      <w:r>
        <w:rPr>
          <w:i/>
          <w:iCs/>
        </w:rPr>
        <w:t xml:space="preserve">See </w:t>
      </w:r>
      <w:r>
        <w:t>Joint Ex. 1.0 (Stipulation and Recommendation) (“Settlement”).</w:t>
      </w:r>
    </w:p>
  </w:footnote>
  <w:footnote w:id="3">
    <w:p w:rsidR="00965E03" w:rsidRPr="00B52D65" w:rsidP="00E96D08" w14:paraId="27DC3D22" w14:textId="77777777">
      <w:pPr>
        <w:pStyle w:val="FootnoteText"/>
        <w:spacing w:after="120"/>
      </w:pPr>
      <w:r w:rsidRPr="00B52D65">
        <w:rPr>
          <w:rStyle w:val="FootnoteReference"/>
        </w:rPr>
        <w:footnoteRef/>
      </w:r>
      <w:r w:rsidRPr="00B52D65">
        <w:t xml:space="preserve"> </w:t>
      </w:r>
      <w:r w:rsidRPr="00B52D65">
        <w:rPr>
          <w:i/>
          <w:iCs/>
        </w:rPr>
        <w:t>Consumers’ Counsel v. Pub. Util. Comm’n</w:t>
      </w:r>
      <w:r w:rsidRPr="00B52D65">
        <w:t>. (1992), 64 Ohio St.3d 123, 126.</w:t>
      </w:r>
    </w:p>
  </w:footnote>
  <w:footnote w:id="4">
    <w:p w:rsidR="00965E03" w:rsidRPr="00B52D65" w:rsidP="00E96D08" w14:paraId="4721F9EC" w14:textId="0301E11B">
      <w:pPr>
        <w:pStyle w:val="FootnoteText"/>
        <w:spacing w:after="120"/>
      </w:pPr>
      <w:r w:rsidRPr="00B52D65">
        <w:rPr>
          <w:rStyle w:val="FootnoteReference"/>
        </w:rPr>
        <w:footnoteRef/>
      </w:r>
      <w:r w:rsidRPr="00B52D65">
        <w:t xml:space="preserve"> OCC Ex. </w:t>
      </w:r>
      <w:r w:rsidR="00B42DBE">
        <w:t>1</w:t>
      </w:r>
      <w:r w:rsidRPr="00B52D65">
        <w:t xml:space="preserve"> (</w:t>
      </w:r>
      <w:r w:rsidR="00B42DBE">
        <w:t>Tinkham Direct</w:t>
      </w:r>
      <w:r w:rsidRPr="00B52D65">
        <w:t xml:space="preserve">) at </w:t>
      </w:r>
      <w:r w:rsidR="00B42DBE">
        <w:t>5</w:t>
      </w:r>
      <w:r w:rsidRPr="00B52D65">
        <w:t>.</w:t>
      </w:r>
    </w:p>
  </w:footnote>
  <w:footnote w:id="5">
    <w:p w:rsidR="00EA231C" w:rsidP="00E96D08" w14:paraId="01EC2CE4" w14:textId="1B0BB09E">
      <w:pPr>
        <w:pStyle w:val="FootnoteText"/>
        <w:spacing w:after="120"/>
      </w:pPr>
      <w:r>
        <w:rPr>
          <w:rStyle w:val="FootnoteReference"/>
        </w:rPr>
        <w:footnoteRef/>
      </w:r>
      <w:r>
        <w:t xml:space="preserve"> OCC. Ex. 1 (Tinkham Direct) at 6.</w:t>
      </w:r>
    </w:p>
  </w:footnote>
  <w:footnote w:id="6">
    <w:p w:rsidR="00EA231C" w:rsidRPr="00EA231C" w:rsidP="00E96D08" w14:paraId="0A9D14BB" w14:textId="48AE2C1D">
      <w:pPr>
        <w:pStyle w:val="FootnoteText"/>
        <w:spacing w:after="120"/>
        <w:rPr>
          <w:i/>
          <w:iCs/>
        </w:rPr>
      </w:pPr>
      <w:r>
        <w:rPr>
          <w:rStyle w:val="FootnoteReference"/>
        </w:rPr>
        <w:footnoteRef/>
      </w:r>
      <w:r>
        <w:t xml:space="preserve"> </w:t>
      </w:r>
      <w:r>
        <w:rPr>
          <w:i/>
          <w:iCs/>
        </w:rPr>
        <w:t>Id.</w:t>
      </w:r>
    </w:p>
  </w:footnote>
  <w:footnote w:id="7">
    <w:p w:rsidR="00231D82" w:rsidP="00E96D08" w14:paraId="47A02F19" w14:textId="122F1D27">
      <w:pPr>
        <w:pStyle w:val="FootnoteText"/>
        <w:spacing w:after="120"/>
      </w:pPr>
      <w:r>
        <w:rPr>
          <w:rStyle w:val="FootnoteReference"/>
        </w:rPr>
        <w:footnoteRef/>
      </w:r>
      <w:r>
        <w:t xml:space="preserve"> OCC Ex. 1.0 (Tinkham Direct) at 8.</w:t>
      </w:r>
    </w:p>
  </w:footnote>
  <w:footnote w:id="8">
    <w:p w:rsidR="002306E2" w:rsidRPr="002306E2" w:rsidP="00E96D08" w14:paraId="060DECE6" w14:textId="65C7BD7A">
      <w:pPr>
        <w:pStyle w:val="FootnoteText"/>
        <w:spacing w:after="120"/>
      </w:pPr>
      <w:r>
        <w:rPr>
          <w:rStyle w:val="FootnoteReference"/>
        </w:rPr>
        <w:footnoteRef/>
      </w:r>
      <w:r>
        <w:t xml:space="preserve"> </w:t>
      </w:r>
      <w:r>
        <w:rPr>
          <w:i/>
          <w:iCs/>
        </w:rPr>
        <w:t xml:space="preserve">Id. </w:t>
      </w:r>
      <w:r>
        <w:t xml:space="preserve">at 6. </w:t>
      </w:r>
    </w:p>
  </w:footnote>
  <w:footnote w:id="9">
    <w:p w:rsidR="002306E2" w:rsidRPr="00DA269C" w:rsidP="00E96D08" w14:paraId="05AD3AE0" w14:textId="77777777">
      <w:pPr>
        <w:pStyle w:val="FootnoteText"/>
        <w:spacing w:after="120"/>
      </w:pPr>
      <w:r w:rsidRPr="00DA269C">
        <w:rPr>
          <w:rStyle w:val="FootnoteReference"/>
        </w:rPr>
        <w:footnoteRef/>
      </w:r>
      <w:r w:rsidRPr="00DA269C">
        <w:t xml:space="preserve"> Settlement, at 5. </w:t>
      </w:r>
    </w:p>
  </w:footnote>
  <w:footnote w:id="10">
    <w:p w:rsidR="00150DC7" w:rsidP="00E96D08" w14:paraId="6FFC3700" w14:textId="107B824A">
      <w:pPr>
        <w:pStyle w:val="FootnoteText"/>
        <w:spacing w:after="120"/>
      </w:pPr>
      <w:r>
        <w:rPr>
          <w:rStyle w:val="FootnoteReference"/>
        </w:rPr>
        <w:footnoteRef/>
      </w:r>
      <w:r>
        <w:t xml:space="preserve"> OCC 1.0 (Tinkham Direct) at 6.</w:t>
      </w:r>
    </w:p>
  </w:footnote>
  <w:footnote w:id="11">
    <w:p w:rsidR="00086773" w:rsidRPr="00DA269C" w:rsidP="00E96D08" w14:paraId="729A786F" w14:textId="54C2D05C">
      <w:pPr>
        <w:pStyle w:val="FootnoteText"/>
        <w:spacing w:after="120"/>
      </w:pPr>
      <w:r w:rsidRPr="00DA269C">
        <w:rPr>
          <w:rStyle w:val="FootnoteReference"/>
        </w:rPr>
        <w:footnoteRef/>
      </w:r>
      <w:r w:rsidRPr="00DA269C">
        <w:t xml:space="preserve"> </w:t>
      </w:r>
      <w:r>
        <w:rPr>
          <w:i/>
          <w:iCs/>
        </w:rPr>
        <w:t xml:space="preserve">Id. </w:t>
      </w:r>
      <w:r>
        <w:t xml:space="preserve">at 7 (quoting </w:t>
      </w:r>
      <w:r w:rsidRPr="00DA269C">
        <w:t>Dominion Tariff, Fourth Revised Sheet No. ECPS 47</w:t>
      </w:r>
      <w:r>
        <w:t>)</w:t>
      </w:r>
      <w:r w:rsidRPr="00DA269C">
        <w:t>.</w:t>
      </w:r>
    </w:p>
  </w:footnote>
  <w:footnote w:id="12">
    <w:p w:rsidR="00FE2E37" w:rsidRPr="00947327" w:rsidP="00E96D08" w14:paraId="5F9FFCA2" w14:textId="77777777">
      <w:pPr>
        <w:pStyle w:val="FootnoteText"/>
        <w:spacing w:after="120"/>
      </w:pPr>
      <w:r>
        <w:rPr>
          <w:rStyle w:val="FootnoteReference"/>
        </w:rPr>
        <w:footnoteRef/>
      </w:r>
      <w:r>
        <w:t xml:space="preserve"> OCC 1.0 (Tinkham Direct) at 7.</w:t>
      </w:r>
    </w:p>
  </w:footnote>
  <w:footnote w:id="13">
    <w:p w:rsidR="00BA0FDC" w:rsidRPr="00BA0FDC" w:rsidP="00E96D08" w14:paraId="53A482D2" w14:textId="10DDC8D0">
      <w:pPr>
        <w:pStyle w:val="FootnoteText"/>
        <w:spacing w:after="120"/>
        <w:rPr>
          <w:i/>
          <w:iCs/>
        </w:rPr>
      </w:pPr>
      <w:r>
        <w:rPr>
          <w:rStyle w:val="FootnoteReference"/>
        </w:rPr>
        <w:footnoteRef/>
      </w:r>
      <w:r>
        <w:t xml:space="preserve"> </w:t>
      </w:r>
      <w:r>
        <w:rPr>
          <w:i/>
          <w:iCs/>
        </w:rPr>
        <w:t>Id.</w:t>
      </w:r>
    </w:p>
  </w:footnote>
  <w:footnote w:id="14">
    <w:p w:rsidR="007B381E" w:rsidRPr="007B381E" w:rsidP="00E96D08" w14:paraId="3F881A7E" w14:textId="2B285522">
      <w:pPr>
        <w:pStyle w:val="FootnoteText"/>
        <w:spacing w:after="120"/>
      </w:pPr>
      <w:r>
        <w:rPr>
          <w:rStyle w:val="FootnoteReference"/>
        </w:rPr>
        <w:footnoteRef/>
      </w:r>
      <w:r>
        <w:t xml:space="preserve"> </w:t>
      </w:r>
      <w:r>
        <w:rPr>
          <w:i/>
          <w:iCs/>
        </w:rPr>
        <w:t xml:space="preserve">Id. </w:t>
      </w:r>
      <w:r>
        <w:t>at 9.</w:t>
      </w:r>
    </w:p>
  </w:footnote>
  <w:footnote w:id="15">
    <w:p w:rsidR="00F24AA8" w:rsidRPr="00DA269C" w:rsidP="00E96D08" w14:paraId="68D53F20" w14:textId="08509048">
      <w:pPr>
        <w:pStyle w:val="FootnoteText"/>
        <w:spacing w:after="120"/>
      </w:pPr>
      <w:r w:rsidRPr="00DA269C">
        <w:rPr>
          <w:rStyle w:val="FootnoteReference"/>
        </w:rPr>
        <w:footnoteRef/>
      </w:r>
      <w:r w:rsidRPr="00DA269C">
        <w:t xml:space="preserve"> </w:t>
      </w:r>
      <w:r>
        <w:t xml:space="preserve">Settlement, at 5-6. </w:t>
      </w:r>
    </w:p>
  </w:footnote>
  <w:footnote w:id="16">
    <w:p w:rsidR="00F24AA8" w:rsidRPr="00044612" w:rsidP="00E96D08" w14:paraId="51D6EDCB" w14:textId="1B90B77F">
      <w:pPr>
        <w:pStyle w:val="FootnoteText"/>
        <w:spacing w:after="120"/>
      </w:pPr>
      <w:r w:rsidRPr="00DA269C">
        <w:rPr>
          <w:rStyle w:val="FootnoteReference"/>
        </w:rPr>
        <w:footnoteRef/>
      </w:r>
      <w:r w:rsidRPr="00DA269C">
        <w:t xml:space="preserve"> </w:t>
      </w:r>
      <w:r w:rsidR="00AA4DD4">
        <w:t>OCC Ex. 1.0 (Tinkham Direct) at 11.</w:t>
      </w:r>
      <w:r w:rsidR="00044612">
        <w:t xml:space="preserve"> </w:t>
      </w:r>
    </w:p>
  </w:footnote>
  <w:footnote w:id="17">
    <w:p w:rsidR="00E47D84" w:rsidP="00E96D08" w14:paraId="7FAB8ACF" w14:textId="77777777">
      <w:pPr>
        <w:pStyle w:val="FootnoteText"/>
        <w:spacing w:after="120"/>
      </w:pPr>
      <w:r>
        <w:rPr>
          <w:rStyle w:val="FootnoteReference"/>
        </w:rPr>
        <w:footnoteRef/>
      </w:r>
      <w:r>
        <w:t xml:space="preserve"> OCC Ex. 1.0 (Tinkham Direct) at 4.</w:t>
      </w:r>
    </w:p>
  </w:footnote>
  <w:footnote w:id="18">
    <w:p w:rsidR="00334119" w:rsidRPr="00334119" w:rsidP="00E96D08" w14:paraId="06FB9138" w14:textId="1842F7B2">
      <w:pPr>
        <w:pStyle w:val="FootnoteText"/>
        <w:spacing w:after="120"/>
      </w:pPr>
      <w:r>
        <w:rPr>
          <w:rStyle w:val="FootnoteReference"/>
        </w:rPr>
        <w:footnoteRef/>
      </w:r>
      <w:r>
        <w:t xml:space="preserve"> </w:t>
      </w:r>
      <w:r>
        <w:rPr>
          <w:i/>
          <w:iCs/>
        </w:rPr>
        <w:t>Id.</w:t>
      </w:r>
      <w:r>
        <w:t xml:space="preserve"> at 12-13.</w:t>
      </w:r>
    </w:p>
  </w:footnote>
  <w:footnote w:id="19">
    <w:p w:rsidR="00E63296" w:rsidRPr="00E63296" w:rsidP="00E96D08" w14:paraId="0D09EB03" w14:textId="25F5E771">
      <w:pPr>
        <w:pStyle w:val="FootnoteText"/>
        <w:spacing w:after="120"/>
      </w:pPr>
      <w:r>
        <w:rPr>
          <w:rStyle w:val="FootnoteReference"/>
        </w:rPr>
        <w:footnoteRef/>
      </w:r>
      <w:r>
        <w:t xml:space="preserve"> </w:t>
      </w:r>
      <w:r>
        <w:rPr>
          <w:i/>
          <w:iCs/>
        </w:rPr>
        <w:t>Id.</w:t>
      </w:r>
      <w:r>
        <w:t xml:space="preserve"> at 12. </w:t>
      </w:r>
    </w:p>
  </w:footnote>
  <w:footnote w:id="20">
    <w:p w:rsidR="00B17BB7" w:rsidRPr="00B17BB7" w:rsidP="00E96D08" w14:paraId="4060AB13" w14:textId="6A03A393">
      <w:pPr>
        <w:pStyle w:val="FootnoteText"/>
        <w:spacing w:after="120"/>
        <w:rPr>
          <w:i/>
          <w:iCs/>
        </w:rPr>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F66" w14:paraId="3A90C9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F66" w14:paraId="5C4EB2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F66" w14:paraId="114B48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F1E9F"/>
    <w:multiLevelType w:val="hybridMultilevel"/>
    <w:tmpl w:val="DBB066E2"/>
    <w:lvl w:ilvl="0">
      <w:start w:val="10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07D40"/>
    <w:multiLevelType w:val="hybridMultilevel"/>
    <w:tmpl w:val="98F20C16"/>
    <w:lvl w:ilvl="0">
      <w:start w:val="1"/>
      <w:numFmt w:val="upperRoman"/>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99201C"/>
    <w:multiLevelType w:val="hybridMultilevel"/>
    <w:tmpl w:val="D2AEE414"/>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72C21"/>
    <w:multiLevelType w:val="hybridMultilevel"/>
    <w:tmpl w:val="8EB08F2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FBA5653"/>
    <w:multiLevelType w:val="hybridMultilevel"/>
    <w:tmpl w:val="949A3DE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2C7F84"/>
    <w:multiLevelType w:val="hybridMultilevel"/>
    <w:tmpl w:val="A112AF26"/>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626C71"/>
    <w:multiLevelType w:val="hybridMultilevel"/>
    <w:tmpl w:val="0CDA818C"/>
    <w:lvl w:ilvl="0">
      <w:start w:val="50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AA0427"/>
    <w:multiLevelType w:val="hybridMultilevel"/>
    <w:tmpl w:val="B3F436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4C109A"/>
    <w:multiLevelType w:val="hybridMultilevel"/>
    <w:tmpl w:val="78C47944"/>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3A5755"/>
    <w:multiLevelType w:val="hybridMultilevel"/>
    <w:tmpl w:val="E36C4E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3684789"/>
    <w:multiLevelType w:val="hybridMultilevel"/>
    <w:tmpl w:val="FA2E76A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6CC33191"/>
    <w:multiLevelType w:val="hybridMultilevel"/>
    <w:tmpl w:val="3DAC46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E591E06"/>
    <w:multiLevelType w:val="hybridMultilevel"/>
    <w:tmpl w:val="DFD2377C"/>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E26575"/>
    <w:multiLevelType w:val="hybridMultilevel"/>
    <w:tmpl w:val="EAAC51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78E409F9"/>
    <w:multiLevelType w:val="hybridMultilevel"/>
    <w:tmpl w:val="138EB6E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D347A13"/>
    <w:multiLevelType w:val="hybridMultilevel"/>
    <w:tmpl w:val="A566E67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2"/>
  </w:num>
  <w:num w:numId="2">
    <w:abstractNumId w:val="10"/>
  </w:num>
  <w:num w:numId="3">
    <w:abstractNumId w:val="15"/>
  </w:num>
  <w:num w:numId="4">
    <w:abstractNumId w:val="13"/>
  </w:num>
  <w:num w:numId="5">
    <w:abstractNumId w:val="1"/>
  </w:num>
  <w:num w:numId="6">
    <w:abstractNumId w:val="19"/>
  </w:num>
  <w:num w:numId="7">
    <w:abstractNumId w:val="20"/>
  </w:num>
  <w:num w:numId="8">
    <w:abstractNumId w:val="2"/>
  </w:num>
  <w:num w:numId="9">
    <w:abstractNumId w:val="11"/>
  </w:num>
  <w:num w:numId="10">
    <w:abstractNumId w:val="8"/>
  </w:num>
  <w:num w:numId="11">
    <w:abstractNumId w:val="0"/>
  </w:num>
  <w:num w:numId="12">
    <w:abstractNumId w:val="7"/>
  </w:num>
  <w:num w:numId="13">
    <w:abstractNumId w:val="3"/>
  </w:num>
  <w:num w:numId="14">
    <w:abstractNumId w:val="17"/>
  </w:num>
  <w:num w:numId="15">
    <w:abstractNumId w:val="9"/>
  </w:num>
  <w:num w:numId="16">
    <w:abstractNumId w:val="6"/>
  </w:num>
  <w:num w:numId="17">
    <w:abstractNumId w:val="21"/>
  </w:num>
  <w:num w:numId="18">
    <w:abstractNumId w:val="5"/>
  </w:num>
  <w:num w:numId="19">
    <w:abstractNumId w:val="16"/>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6"/>
    <w:rsid w:val="000002F7"/>
    <w:rsid w:val="000006D2"/>
    <w:rsid w:val="00000F96"/>
    <w:rsid w:val="0001613F"/>
    <w:rsid w:val="0002027E"/>
    <w:rsid w:val="0002568F"/>
    <w:rsid w:val="00030938"/>
    <w:rsid w:val="0003117F"/>
    <w:rsid w:val="00035473"/>
    <w:rsid w:val="00035C62"/>
    <w:rsid w:val="0004046D"/>
    <w:rsid w:val="000420E7"/>
    <w:rsid w:val="00042596"/>
    <w:rsid w:val="00044612"/>
    <w:rsid w:val="00046BA2"/>
    <w:rsid w:val="0004752E"/>
    <w:rsid w:val="00052C4D"/>
    <w:rsid w:val="00055682"/>
    <w:rsid w:val="000600DE"/>
    <w:rsid w:val="00060C36"/>
    <w:rsid w:val="00062F2F"/>
    <w:rsid w:val="000650EC"/>
    <w:rsid w:val="0008198B"/>
    <w:rsid w:val="0008236D"/>
    <w:rsid w:val="0008399F"/>
    <w:rsid w:val="00086773"/>
    <w:rsid w:val="0008791C"/>
    <w:rsid w:val="000B242C"/>
    <w:rsid w:val="000B2972"/>
    <w:rsid w:val="000B31EF"/>
    <w:rsid w:val="000C4C29"/>
    <w:rsid w:val="000C5BA8"/>
    <w:rsid w:val="000D6B62"/>
    <w:rsid w:val="000E3798"/>
    <w:rsid w:val="000F03DC"/>
    <w:rsid w:val="000F058C"/>
    <w:rsid w:val="000F206B"/>
    <w:rsid w:val="00100DAD"/>
    <w:rsid w:val="00103F45"/>
    <w:rsid w:val="00106734"/>
    <w:rsid w:val="00114698"/>
    <w:rsid w:val="001245B7"/>
    <w:rsid w:val="001321E1"/>
    <w:rsid w:val="001341AE"/>
    <w:rsid w:val="001361BC"/>
    <w:rsid w:val="00136B1F"/>
    <w:rsid w:val="001401CE"/>
    <w:rsid w:val="00141D27"/>
    <w:rsid w:val="00150DC7"/>
    <w:rsid w:val="00154718"/>
    <w:rsid w:val="00161F4B"/>
    <w:rsid w:val="00192625"/>
    <w:rsid w:val="001A6575"/>
    <w:rsid w:val="001B0FF2"/>
    <w:rsid w:val="001B53E3"/>
    <w:rsid w:val="001B7D42"/>
    <w:rsid w:val="001D3370"/>
    <w:rsid w:val="001F3CDB"/>
    <w:rsid w:val="002034D9"/>
    <w:rsid w:val="0020485D"/>
    <w:rsid w:val="00213F71"/>
    <w:rsid w:val="00217777"/>
    <w:rsid w:val="00220A23"/>
    <w:rsid w:val="002219BC"/>
    <w:rsid w:val="00224A09"/>
    <w:rsid w:val="00224DCB"/>
    <w:rsid w:val="00227FA6"/>
    <w:rsid w:val="002306E2"/>
    <w:rsid w:val="002313BE"/>
    <w:rsid w:val="00231D82"/>
    <w:rsid w:val="00232CFE"/>
    <w:rsid w:val="00233C22"/>
    <w:rsid w:val="00234A32"/>
    <w:rsid w:val="00252FC2"/>
    <w:rsid w:val="00260C99"/>
    <w:rsid w:val="002633DB"/>
    <w:rsid w:val="00270857"/>
    <w:rsid w:val="00270BEA"/>
    <w:rsid w:val="00272A96"/>
    <w:rsid w:val="002748A1"/>
    <w:rsid w:val="00281790"/>
    <w:rsid w:val="00281D53"/>
    <w:rsid w:val="002A1859"/>
    <w:rsid w:val="002A23F0"/>
    <w:rsid w:val="002A5A46"/>
    <w:rsid w:val="002B2205"/>
    <w:rsid w:val="002B78C7"/>
    <w:rsid w:val="002C00A5"/>
    <w:rsid w:val="002D11C5"/>
    <w:rsid w:val="002E49F5"/>
    <w:rsid w:val="002F1357"/>
    <w:rsid w:val="002F13D4"/>
    <w:rsid w:val="002F217B"/>
    <w:rsid w:val="002F3321"/>
    <w:rsid w:val="002F3929"/>
    <w:rsid w:val="0030691E"/>
    <w:rsid w:val="00310800"/>
    <w:rsid w:val="0031242C"/>
    <w:rsid w:val="00315E57"/>
    <w:rsid w:val="0031647C"/>
    <w:rsid w:val="00320755"/>
    <w:rsid w:val="00324117"/>
    <w:rsid w:val="003262A6"/>
    <w:rsid w:val="0032646D"/>
    <w:rsid w:val="00327D75"/>
    <w:rsid w:val="00334119"/>
    <w:rsid w:val="00340405"/>
    <w:rsid w:val="00341992"/>
    <w:rsid w:val="0035430B"/>
    <w:rsid w:val="003561C2"/>
    <w:rsid w:val="003608B3"/>
    <w:rsid w:val="00361852"/>
    <w:rsid w:val="0036781B"/>
    <w:rsid w:val="003705D8"/>
    <w:rsid w:val="00377686"/>
    <w:rsid w:val="0039196E"/>
    <w:rsid w:val="003A3C97"/>
    <w:rsid w:val="003A5734"/>
    <w:rsid w:val="003B64FB"/>
    <w:rsid w:val="003C6E90"/>
    <w:rsid w:val="003D001D"/>
    <w:rsid w:val="003D467F"/>
    <w:rsid w:val="003D6C0C"/>
    <w:rsid w:val="003D7CCD"/>
    <w:rsid w:val="003F1105"/>
    <w:rsid w:val="003F47DE"/>
    <w:rsid w:val="00421CF6"/>
    <w:rsid w:val="00421F82"/>
    <w:rsid w:val="004229C3"/>
    <w:rsid w:val="00431365"/>
    <w:rsid w:val="004343DD"/>
    <w:rsid w:val="00437547"/>
    <w:rsid w:val="0044413D"/>
    <w:rsid w:val="00454F0A"/>
    <w:rsid w:val="0045612C"/>
    <w:rsid w:val="00460D90"/>
    <w:rsid w:val="0046257E"/>
    <w:rsid w:val="00462D72"/>
    <w:rsid w:val="00474F2F"/>
    <w:rsid w:val="00480FAA"/>
    <w:rsid w:val="00482777"/>
    <w:rsid w:val="00482FC2"/>
    <w:rsid w:val="004856CA"/>
    <w:rsid w:val="004860AE"/>
    <w:rsid w:val="004869EB"/>
    <w:rsid w:val="004A3C0B"/>
    <w:rsid w:val="004A421C"/>
    <w:rsid w:val="004A539E"/>
    <w:rsid w:val="004B0DA4"/>
    <w:rsid w:val="004C5091"/>
    <w:rsid w:val="004D2741"/>
    <w:rsid w:val="004E0590"/>
    <w:rsid w:val="004E61F9"/>
    <w:rsid w:val="004F0592"/>
    <w:rsid w:val="004F13C6"/>
    <w:rsid w:val="004F3298"/>
    <w:rsid w:val="004F3EDB"/>
    <w:rsid w:val="004F46FC"/>
    <w:rsid w:val="004F59DD"/>
    <w:rsid w:val="00500876"/>
    <w:rsid w:val="00501F91"/>
    <w:rsid w:val="00506520"/>
    <w:rsid w:val="00514DB6"/>
    <w:rsid w:val="00516DF1"/>
    <w:rsid w:val="005442EA"/>
    <w:rsid w:val="00560B36"/>
    <w:rsid w:val="00562F65"/>
    <w:rsid w:val="00566293"/>
    <w:rsid w:val="00567A0D"/>
    <w:rsid w:val="00571120"/>
    <w:rsid w:val="00581977"/>
    <w:rsid w:val="005833B8"/>
    <w:rsid w:val="00591846"/>
    <w:rsid w:val="005A0DC7"/>
    <w:rsid w:val="005A33E6"/>
    <w:rsid w:val="005A668B"/>
    <w:rsid w:val="005B328C"/>
    <w:rsid w:val="005B7AD5"/>
    <w:rsid w:val="005C4AE3"/>
    <w:rsid w:val="005D7B6B"/>
    <w:rsid w:val="005E1AF6"/>
    <w:rsid w:val="005E57B6"/>
    <w:rsid w:val="005F3FB1"/>
    <w:rsid w:val="005F6B26"/>
    <w:rsid w:val="00600219"/>
    <w:rsid w:val="006004A9"/>
    <w:rsid w:val="00600A4D"/>
    <w:rsid w:val="00602818"/>
    <w:rsid w:val="00603E99"/>
    <w:rsid w:val="00603F49"/>
    <w:rsid w:val="00605FE2"/>
    <w:rsid w:val="00622963"/>
    <w:rsid w:val="00622B49"/>
    <w:rsid w:val="0062559A"/>
    <w:rsid w:val="00634F66"/>
    <w:rsid w:val="00635051"/>
    <w:rsid w:val="006613A2"/>
    <w:rsid w:val="00662500"/>
    <w:rsid w:val="0066655F"/>
    <w:rsid w:val="006671D7"/>
    <w:rsid w:val="006821A6"/>
    <w:rsid w:val="00683454"/>
    <w:rsid w:val="00683E52"/>
    <w:rsid w:val="00690DF1"/>
    <w:rsid w:val="0069675C"/>
    <w:rsid w:val="0069794C"/>
    <w:rsid w:val="006B6D4A"/>
    <w:rsid w:val="006C0C25"/>
    <w:rsid w:val="006C68A7"/>
    <w:rsid w:val="006E2EAA"/>
    <w:rsid w:val="006E76CD"/>
    <w:rsid w:val="006F50B4"/>
    <w:rsid w:val="006F7D5E"/>
    <w:rsid w:val="00705F8D"/>
    <w:rsid w:val="00711CE4"/>
    <w:rsid w:val="00732A17"/>
    <w:rsid w:val="00736089"/>
    <w:rsid w:val="0073626D"/>
    <w:rsid w:val="00742DDD"/>
    <w:rsid w:val="00743903"/>
    <w:rsid w:val="00750FB2"/>
    <w:rsid w:val="00760DDE"/>
    <w:rsid w:val="0076137D"/>
    <w:rsid w:val="00767FD4"/>
    <w:rsid w:val="00773CB9"/>
    <w:rsid w:val="00775C03"/>
    <w:rsid w:val="007760E4"/>
    <w:rsid w:val="0077698C"/>
    <w:rsid w:val="00781A5C"/>
    <w:rsid w:val="0079718E"/>
    <w:rsid w:val="007A38B0"/>
    <w:rsid w:val="007B381E"/>
    <w:rsid w:val="007B3CAF"/>
    <w:rsid w:val="007B59CF"/>
    <w:rsid w:val="007B6743"/>
    <w:rsid w:val="007C0B6C"/>
    <w:rsid w:val="007C1C73"/>
    <w:rsid w:val="007C57D5"/>
    <w:rsid w:val="007D7130"/>
    <w:rsid w:val="007F15D6"/>
    <w:rsid w:val="007F1ECF"/>
    <w:rsid w:val="007F502C"/>
    <w:rsid w:val="007F545C"/>
    <w:rsid w:val="00801656"/>
    <w:rsid w:val="00820837"/>
    <w:rsid w:val="008246F5"/>
    <w:rsid w:val="00824C1C"/>
    <w:rsid w:val="00824D53"/>
    <w:rsid w:val="00826EF9"/>
    <w:rsid w:val="00835306"/>
    <w:rsid w:val="00837BEC"/>
    <w:rsid w:val="00864D1A"/>
    <w:rsid w:val="008741F3"/>
    <w:rsid w:val="0087434C"/>
    <w:rsid w:val="0088249A"/>
    <w:rsid w:val="00882714"/>
    <w:rsid w:val="008853EC"/>
    <w:rsid w:val="008873F8"/>
    <w:rsid w:val="008964DF"/>
    <w:rsid w:val="008968A1"/>
    <w:rsid w:val="008A5447"/>
    <w:rsid w:val="008A70C3"/>
    <w:rsid w:val="008C13F5"/>
    <w:rsid w:val="008C6FB2"/>
    <w:rsid w:val="008E3462"/>
    <w:rsid w:val="008E41A5"/>
    <w:rsid w:val="008E67DD"/>
    <w:rsid w:val="008F4BE1"/>
    <w:rsid w:val="008F61A0"/>
    <w:rsid w:val="009047E4"/>
    <w:rsid w:val="00905C6A"/>
    <w:rsid w:val="009249EF"/>
    <w:rsid w:val="009251F5"/>
    <w:rsid w:val="009427F6"/>
    <w:rsid w:val="00942C56"/>
    <w:rsid w:val="00947327"/>
    <w:rsid w:val="0094796C"/>
    <w:rsid w:val="00947DDB"/>
    <w:rsid w:val="009525CC"/>
    <w:rsid w:val="0095605E"/>
    <w:rsid w:val="00963BF9"/>
    <w:rsid w:val="00965E03"/>
    <w:rsid w:val="009668DC"/>
    <w:rsid w:val="00971ADD"/>
    <w:rsid w:val="00983005"/>
    <w:rsid w:val="00986CEC"/>
    <w:rsid w:val="009871AC"/>
    <w:rsid w:val="00996F86"/>
    <w:rsid w:val="00997C8C"/>
    <w:rsid w:val="009A760A"/>
    <w:rsid w:val="009A7A46"/>
    <w:rsid w:val="009B2290"/>
    <w:rsid w:val="009B3C94"/>
    <w:rsid w:val="009C0D9A"/>
    <w:rsid w:val="009C51CD"/>
    <w:rsid w:val="009C5FA7"/>
    <w:rsid w:val="009D06F8"/>
    <w:rsid w:val="009D37EA"/>
    <w:rsid w:val="009D7360"/>
    <w:rsid w:val="009E0A79"/>
    <w:rsid w:val="009E36C5"/>
    <w:rsid w:val="00A044B5"/>
    <w:rsid w:val="00A0543A"/>
    <w:rsid w:val="00A15DBB"/>
    <w:rsid w:val="00A22827"/>
    <w:rsid w:val="00A231B2"/>
    <w:rsid w:val="00A2560A"/>
    <w:rsid w:val="00A30226"/>
    <w:rsid w:val="00A56630"/>
    <w:rsid w:val="00A700C4"/>
    <w:rsid w:val="00A853C4"/>
    <w:rsid w:val="00A93AB6"/>
    <w:rsid w:val="00AA19AC"/>
    <w:rsid w:val="00AA2085"/>
    <w:rsid w:val="00AA433F"/>
    <w:rsid w:val="00AA4DD4"/>
    <w:rsid w:val="00AB4BC0"/>
    <w:rsid w:val="00AB7E9F"/>
    <w:rsid w:val="00AC2226"/>
    <w:rsid w:val="00AD1804"/>
    <w:rsid w:val="00AD2A8A"/>
    <w:rsid w:val="00AF4374"/>
    <w:rsid w:val="00B00C7E"/>
    <w:rsid w:val="00B10AD4"/>
    <w:rsid w:val="00B1572E"/>
    <w:rsid w:val="00B164B1"/>
    <w:rsid w:val="00B17BB7"/>
    <w:rsid w:val="00B26D5E"/>
    <w:rsid w:val="00B32B46"/>
    <w:rsid w:val="00B404A7"/>
    <w:rsid w:val="00B4163D"/>
    <w:rsid w:val="00B42DBE"/>
    <w:rsid w:val="00B449BD"/>
    <w:rsid w:val="00B44EBD"/>
    <w:rsid w:val="00B52D65"/>
    <w:rsid w:val="00B629AC"/>
    <w:rsid w:val="00B67662"/>
    <w:rsid w:val="00B7227D"/>
    <w:rsid w:val="00B74745"/>
    <w:rsid w:val="00B805DD"/>
    <w:rsid w:val="00B828DF"/>
    <w:rsid w:val="00B838CC"/>
    <w:rsid w:val="00B91039"/>
    <w:rsid w:val="00B91211"/>
    <w:rsid w:val="00B91A0C"/>
    <w:rsid w:val="00BA0FDC"/>
    <w:rsid w:val="00BA5B96"/>
    <w:rsid w:val="00BA7331"/>
    <w:rsid w:val="00BB55C0"/>
    <w:rsid w:val="00BC2C68"/>
    <w:rsid w:val="00BE1E4D"/>
    <w:rsid w:val="00BE35EC"/>
    <w:rsid w:val="00C15065"/>
    <w:rsid w:val="00C15E2C"/>
    <w:rsid w:val="00C25E86"/>
    <w:rsid w:val="00C346F3"/>
    <w:rsid w:val="00C415C2"/>
    <w:rsid w:val="00C462BF"/>
    <w:rsid w:val="00C5036A"/>
    <w:rsid w:val="00C52989"/>
    <w:rsid w:val="00C62557"/>
    <w:rsid w:val="00C64B53"/>
    <w:rsid w:val="00C7538D"/>
    <w:rsid w:val="00C83ECB"/>
    <w:rsid w:val="00C859B8"/>
    <w:rsid w:val="00C94B94"/>
    <w:rsid w:val="00CA0AB3"/>
    <w:rsid w:val="00CA3F81"/>
    <w:rsid w:val="00CA42DA"/>
    <w:rsid w:val="00CA59C6"/>
    <w:rsid w:val="00CA7791"/>
    <w:rsid w:val="00CC011B"/>
    <w:rsid w:val="00CC2B2A"/>
    <w:rsid w:val="00CD6174"/>
    <w:rsid w:val="00CE00E4"/>
    <w:rsid w:val="00CE3BA5"/>
    <w:rsid w:val="00CE46EF"/>
    <w:rsid w:val="00CF573D"/>
    <w:rsid w:val="00CF7AA5"/>
    <w:rsid w:val="00D068B0"/>
    <w:rsid w:val="00D2007D"/>
    <w:rsid w:val="00D22A05"/>
    <w:rsid w:val="00D3013A"/>
    <w:rsid w:val="00D371BA"/>
    <w:rsid w:val="00D3793F"/>
    <w:rsid w:val="00D502A5"/>
    <w:rsid w:val="00D5251B"/>
    <w:rsid w:val="00D53ACA"/>
    <w:rsid w:val="00D60E87"/>
    <w:rsid w:val="00D65BDE"/>
    <w:rsid w:val="00D660D5"/>
    <w:rsid w:val="00D73E71"/>
    <w:rsid w:val="00D77DA7"/>
    <w:rsid w:val="00D80256"/>
    <w:rsid w:val="00D83EB1"/>
    <w:rsid w:val="00D87C3B"/>
    <w:rsid w:val="00D94497"/>
    <w:rsid w:val="00D96381"/>
    <w:rsid w:val="00DA269C"/>
    <w:rsid w:val="00DA3BA0"/>
    <w:rsid w:val="00DA7823"/>
    <w:rsid w:val="00DC1265"/>
    <w:rsid w:val="00DD2872"/>
    <w:rsid w:val="00DD339D"/>
    <w:rsid w:val="00DD603B"/>
    <w:rsid w:val="00DE50A0"/>
    <w:rsid w:val="00DE5A94"/>
    <w:rsid w:val="00DE70A1"/>
    <w:rsid w:val="00DF2724"/>
    <w:rsid w:val="00DF6691"/>
    <w:rsid w:val="00DF6B6B"/>
    <w:rsid w:val="00E00293"/>
    <w:rsid w:val="00E12612"/>
    <w:rsid w:val="00E239FB"/>
    <w:rsid w:val="00E23FF8"/>
    <w:rsid w:val="00E24F04"/>
    <w:rsid w:val="00E3048C"/>
    <w:rsid w:val="00E33490"/>
    <w:rsid w:val="00E364D3"/>
    <w:rsid w:val="00E44894"/>
    <w:rsid w:val="00E47D84"/>
    <w:rsid w:val="00E55E7F"/>
    <w:rsid w:val="00E63296"/>
    <w:rsid w:val="00E72FA8"/>
    <w:rsid w:val="00E94266"/>
    <w:rsid w:val="00E95140"/>
    <w:rsid w:val="00E965AD"/>
    <w:rsid w:val="00E96D08"/>
    <w:rsid w:val="00EA162B"/>
    <w:rsid w:val="00EA231C"/>
    <w:rsid w:val="00EB042B"/>
    <w:rsid w:val="00EB04D1"/>
    <w:rsid w:val="00EB1AB2"/>
    <w:rsid w:val="00EC10C4"/>
    <w:rsid w:val="00EC124B"/>
    <w:rsid w:val="00EC3E34"/>
    <w:rsid w:val="00EC48EC"/>
    <w:rsid w:val="00EC55AB"/>
    <w:rsid w:val="00EC6175"/>
    <w:rsid w:val="00ED3836"/>
    <w:rsid w:val="00EE3BBA"/>
    <w:rsid w:val="00EF16BB"/>
    <w:rsid w:val="00F00C83"/>
    <w:rsid w:val="00F02882"/>
    <w:rsid w:val="00F04F4D"/>
    <w:rsid w:val="00F06EDA"/>
    <w:rsid w:val="00F101BB"/>
    <w:rsid w:val="00F131A5"/>
    <w:rsid w:val="00F13E66"/>
    <w:rsid w:val="00F21ECF"/>
    <w:rsid w:val="00F24AA8"/>
    <w:rsid w:val="00F24B60"/>
    <w:rsid w:val="00F32750"/>
    <w:rsid w:val="00F32FA8"/>
    <w:rsid w:val="00F33EC3"/>
    <w:rsid w:val="00F37615"/>
    <w:rsid w:val="00F40A35"/>
    <w:rsid w:val="00F42386"/>
    <w:rsid w:val="00F442A3"/>
    <w:rsid w:val="00F45917"/>
    <w:rsid w:val="00F4732B"/>
    <w:rsid w:val="00F51E82"/>
    <w:rsid w:val="00F62182"/>
    <w:rsid w:val="00F6509D"/>
    <w:rsid w:val="00F677E2"/>
    <w:rsid w:val="00F806DA"/>
    <w:rsid w:val="00F80F35"/>
    <w:rsid w:val="00F9004D"/>
    <w:rsid w:val="00F91E36"/>
    <w:rsid w:val="00F921F1"/>
    <w:rsid w:val="00F92A6E"/>
    <w:rsid w:val="00F962A9"/>
    <w:rsid w:val="00FA5FB0"/>
    <w:rsid w:val="00FC0F56"/>
    <w:rsid w:val="00FC2535"/>
    <w:rsid w:val="00FC2AFD"/>
    <w:rsid w:val="00FC2EF5"/>
    <w:rsid w:val="00FD55F5"/>
    <w:rsid w:val="00FE2E37"/>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1FD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59"/>
    <w:rPr>
      <w:sz w:val="24"/>
    </w:rPr>
  </w:style>
  <w:style w:type="paragraph" w:styleId="Heading1">
    <w:name w:val="heading 1"/>
    <w:basedOn w:val="Normal"/>
    <w:next w:val="Normal"/>
    <w:link w:val="Heading1Char"/>
    <w:qFormat/>
    <w:rsid w:val="0066655F"/>
    <w:pPr>
      <w:keepNext/>
      <w:spacing w:after="240"/>
      <w:ind w:left="720" w:hanging="720"/>
      <w:outlineLvl w:val="0"/>
    </w:pPr>
    <w:rPr>
      <w:b/>
      <w:szCs w:val="24"/>
    </w:rPr>
  </w:style>
  <w:style w:type="paragraph" w:styleId="Heading2">
    <w:name w:val="heading 2"/>
    <w:basedOn w:val="Normal"/>
    <w:next w:val="Normal"/>
    <w:qFormat/>
    <w:rsid w:val="00566293"/>
    <w:pPr>
      <w:keepNext/>
      <w:tabs>
        <w:tab w:val="left" w:pos="4320"/>
      </w:tabs>
      <w:spacing w:after="240"/>
      <w:ind w:left="1440" w:hanging="720"/>
      <w:outlineLvl w:val="1"/>
    </w:pPr>
    <w:rPr>
      <w:b/>
    </w:rPr>
  </w:style>
  <w:style w:type="paragraph" w:styleId="Heading3">
    <w:name w:val="heading 3"/>
    <w:basedOn w:val="Normal"/>
    <w:next w:val="Normal"/>
    <w:qFormat/>
    <w:rsid w:val="00421CF6"/>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D7B6B"/>
    <w:rPr>
      <w:color w:val="605E5C"/>
      <w:shd w:val="clear" w:color="auto" w:fill="E1DFDD"/>
    </w:rPr>
  </w:style>
  <w:style w:type="character" w:customStyle="1" w:styleId="HTMLPreformattedChar">
    <w:name w:val="HTML Preformatted Char"/>
    <w:basedOn w:val="DefaultParagraphFont"/>
    <w:link w:val="HTMLPreformatted"/>
    <w:rsid w:val="002F13D4"/>
    <w:rPr>
      <w:rFonts w:ascii="Courier New" w:eastAsia="Courier New" w:hAnsi="Courier New" w:cs="Courier New"/>
    </w:rPr>
  </w:style>
  <w:style w:type="character" w:customStyle="1" w:styleId="UnresolvedMention3">
    <w:name w:val="Unresolved Mention3"/>
    <w:basedOn w:val="DefaultParagraphFont"/>
    <w:rsid w:val="00260C99"/>
    <w:rPr>
      <w:color w:val="605E5C"/>
      <w:shd w:val="clear" w:color="auto" w:fill="E1DFDD"/>
    </w:rPr>
  </w:style>
  <w:style w:type="character" w:customStyle="1" w:styleId="UnresolvedMention4">
    <w:name w:val="Unresolved Mention4"/>
    <w:basedOn w:val="DefaultParagraphFont"/>
    <w:rsid w:val="00C83ECB"/>
    <w:rPr>
      <w:color w:val="605E5C"/>
      <w:shd w:val="clear" w:color="auto" w:fill="E1DFDD"/>
    </w:rPr>
  </w:style>
  <w:style w:type="paragraph" w:styleId="Revision">
    <w:name w:val="Revision"/>
    <w:hidden/>
    <w:uiPriority w:val="99"/>
    <w:semiHidden/>
    <w:rsid w:val="002313BE"/>
    <w:rPr>
      <w:sz w:val="24"/>
    </w:rPr>
  </w:style>
  <w:style w:type="paragraph" w:styleId="ListParagraph">
    <w:name w:val="List Paragraph"/>
    <w:basedOn w:val="Normal"/>
    <w:uiPriority w:val="34"/>
    <w:qFormat/>
    <w:rsid w:val="000F058C"/>
    <w:pPr>
      <w:ind w:left="720"/>
      <w:contextualSpacing/>
    </w:p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rsid w:val="00965E03"/>
  </w:style>
  <w:style w:type="character" w:customStyle="1" w:styleId="UnresolvedMention5">
    <w:name w:val="Unresolved Mention5"/>
    <w:basedOn w:val="DefaultParagraphFont"/>
    <w:rsid w:val="00DF2724"/>
    <w:rPr>
      <w:color w:val="605E5C"/>
      <w:shd w:val="clear" w:color="auto" w:fill="E1DFDD"/>
    </w:rPr>
  </w:style>
  <w:style w:type="character" w:customStyle="1" w:styleId="Heading1Char">
    <w:name w:val="Heading 1 Char"/>
    <w:basedOn w:val="DefaultParagraphFont"/>
    <w:link w:val="Heading1"/>
    <w:rsid w:val="002A1859"/>
    <w:rPr>
      <w:b/>
      <w:sz w:val="24"/>
      <w:szCs w:val="24"/>
    </w:rPr>
  </w:style>
  <w:style w:type="paragraph" w:styleId="TOC1">
    <w:name w:val="toc 1"/>
    <w:basedOn w:val="Normal"/>
    <w:next w:val="Normal"/>
    <w:autoRedefine/>
    <w:uiPriority w:val="39"/>
    <w:rsid w:val="005442EA"/>
    <w:pPr>
      <w:tabs>
        <w:tab w:val="decimal" w:leader="dot" w:pos="9360"/>
      </w:tabs>
      <w:spacing w:after="240"/>
      <w:ind w:left="720" w:hanging="720"/>
    </w:pPr>
  </w:style>
  <w:style w:type="paragraph" w:styleId="TOC2">
    <w:name w:val="toc 2"/>
    <w:basedOn w:val="Normal"/>
    <w:next w:val="Normal"/>
    <w:autoRedefine/>
    <w:uiPriority w:val="39"/>
    <w:rsid w:val="005442EA"/>
    <w:pPr>
      <w:tabs>
        <w:tab w:val="decimal" w:leader="dot" w:pos="9360"/>
      </w:tabs>
      <w:spacing w:after="240"/>
      <w:ind w:left="1440" w:hanging="720"/>
    </w:pPr>
  </w:style>
  <w:style w:type="paragraph" w:styleId="TOC3">
    <w:name w:val="toc 3"/>
    <w:basedOn w:val="Normal"/>
    <w:next w:val="Normal"/>
    <w:autoRedefine/>
    <w:uiPriority w:val="39"/>
    <w:rsid w:val="005442EA"/>
    <w:pPr>
      <w:tabs>
        <w:tab w:val="decimal" w:leader="dot" w:pos="9360"/>
      </w:tabs>
      <w:spacing w:after="24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mailto:shaun.lyons@ohioAGO.gov" TargetMode="External" /><Relationship Id="rId15" Type="http://schemas.openxmlformats.org/officeDocument/2006/relationships/hyperlink" Target="mailto:werner.margard@ohioAGO.gov" TargetMode="External" /><Relationship Id="rId16" Type="http://schemas.openxmlformats.org/officeDocument/2006/relationships/hyperlink" Target="mailto:dproano@bakerlaw.com" TargetMode="External" /><Relationship Id="rId17" Type="http://schemas.openxmlformats.org/officeDocument/2006/relationships/hyperlink" Target="mailto:tathompson@bakerlaw.com" TargetMode="External" /><Relationship Id="rId18" Type="http://schemas.openxmlformats.org/officeDocument/2006/relationships/hyperlink" Target="mailto:jweber@elpc.org" TargetMode="External" /><Relationship Id="rId19" Type="http://schemas.openxmlformats.org/officeDocument/2006/relationships/hyperlink" Target="mailto:patricia.schabo@puco.ohio.gov" TargetMode="External" /><Relationship Id="rId2" Type="http://schemas.openxmlformats.org/officeDocument/2006/relationships/settings" Target="settings.xml" /><Relationship Id="rId20" Type="http://schemas.openxmlformats.org/officeDocument/2006/relationships/hyperlink" Target="mailto:kennedy@whitt-sturtevant.com" TargetMode="External" /><Relationship Id="rId21" Type="http://schemas.openxmlformats.org/officeDocument/2006/relationships/hyperlink" Target="mailto:whitt@whitt-sturtevant.com" TargetMode="External" /><Relationship Id="rId22" Type="http://schemas.openxmlformats.org/officeDocument/2006/relationships/hyperlink" Target="mailto:andrew.j.campbell@dominionenergy.com" TargetMode="External" /><Relationship Id="rId23" Type="http://schemas.openxmlformats.org/officeDocument/2006/relationships/hyperlink" Target="mailto:mjsettineri@vorys.com" TargetMode="External" /><Relationship Id="rId24" Type="http://schemas.openxmlformats.org/officeDocument/2006/relationships/hyperlink" Target="mailto:glpetrucci@vorys.com" TargetMode="External" /><Relationship Id="rId25" Type="http://schemas.openxmlformats.org/officeDocument/2006/relationships/hyperlink" Target="mailto:michael.nugent@igs.com" TargetMode="External" /><Relationship Id="rId26" Type="http://schemas.openxmlformats.org/officeDocument/2006/relationships/hyperlink" Target="mailto:evan.betterton@igs.com" TargetMode="External" /><Relationship Id="rId27" Type="http://schemas.openxmlformats.org/officeDocument/2006/relationships/hyperlink" Target="mailto:stacie.cathcart@igs.com" TargetMode="External" /><Relationship Id="rId28" Type="http://schemas.openxmlformats.org/officeDocument/2006/relationships/hyperlink" Target="mailto:dparram@bricker.com" TargetMode="External" /><Relationship Id="rId29" Type="http://schemas.openxmlformats.org/officeDocument/2006/relationships/hyperlink" Target="mailto:gkrassen@nopec.org" TargetMode="Externa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9BD-C2D7-4B89-8307-71E033A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2023-08-02T20:40:31Z</dcterms:created>
  <dcterms:modified xsi:type="dcterms:W3CDTF">2023-08-02T20:40:31Z</dcterms:modified>
</cp:coreProperties>
</file>