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A1C9" w14:textId="77777777" w:rsidR="00272F3C" w:rsidRPr="00272F3C" w:rsidRDefault="00272F3C" w:rsidP="00272F3C">
      <w:pPr>
        <w:pStyle w:val="PlainText"/>
        <w:jc w:val="center"/>
        <w:rPr>
          <w:rFonts w:ascii="Times New Roman" w:hAnsi="Times New Roman"/>
          <w:b/>
          <w:sz w:val="26"/>
          <w:szCs w:val="26"/>
        </w:rPr>
      </w:pPr>
      <w:r w:rsidRPr="00272F3C">
        <w:rPr>
          <w:rFonts w:ascii="Times New Roman" w:hAnsi="Times New Roman"/>
          <w:b/>
          <w:sz w:val="26"/>
          <w:szCs w:val="26"/>
        </w:rPr>
        <w:t>BEFORE</w:t>
      </w:r>
    </w:p>
    <w:p w14:paraId="66D779AE" w14:textId="77777777" w:rsidR="00272F3C" w:rsidRPr="00272F3C" w:rsidRDefault="00272F3C" w:rsidP="00272F3C">
      <w:pPr>
        <w:pStyle w:val="PlainText"/>
        <w:jc w:val="center"/>
        <w:rPr>
          <w:rFonts w:ascii="Times New Roman" w:hAnsi="Times New Roman"/>
          <w:b/>
          <w:sz w:val="26"/>
          <w:szCs w:val="26"/>
        </w:rPr>
      </w:pPr>
      <w:r w:rsidRPr="00272F3C">
        <w:rPr>
          <w:rFonts w:ascii="Times New Roman" w:hAnsi="Times New Roman"/>
          <w:b/>
          <w:sz w:val="26"/>
          <w:szCs w:val="26"/>
        </w:rPr>
        <w:t>THE PUBLIC UTILITIES COMMISSION OF OHIO</w:t>
      </w:r>
    </w:p>
    <w:p w14:paraId="7363E3FF" w14:textId="77777777" w:rsidR="00272F3C" w:rsidRPr="0017233F" w:rsidRDefault="00272F3C" w:rsidP="00272F3C">
      <w:pPr>
        <w:pStyle w:val="Title"/>
        <w:tabs>
          <w:tab w:val="left" w:pos="5130"/>
          <w:tab w:val="left" w:pos="5670"/>
        </w:tabs>
        <w:jc w:val="left"/>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289"/>
        <w:gridCol w:w="4490"/>
      </w:tblGrid>
      <w:tr w:rsidR="00016347" w14:paraId="7E1C6353" w14:textId="77777777" w:rsidTr="008B4584">
        <w:tc>
          <w:tcPr>
            <w:tcW w:w="4585" w:type="dxa"/>
          </w:tcPr>
          <w:p w14:paraId="5A2E9B08" w14:textId="730663E1" w:rsidR="00016347" w:rsidRPr="00016347" w:rsidRDefault="00016347" w:rsidP="008B4584">
            <w:pPr>
              <w:pStyle w:val="Title"/>
              <w:tabs>
                <w:tab w:val="left" w:pos="5130"/>
                <w:tab w:val="left" w:pos="5670"/>
              </w:tabs>
              <w:jc w:val="left"/>
              <w:rPr>
                <w:rFonts w:ascii="Times New Roman" w:hAnsi="Times New Roman"/>
                <w:b/>
                <w:sz w:val="26"/>
                <w:szCs w:val="26"/>
              </w:rPr>
            </w:pPr>
            <w:r w:rsidRPr="0017233F">
              <w:rPr>
                <w:rFonts w:ascii="Times New Roman" w:hAnsi="Times New Roman"/>
                <w:sz w:val="26"/>
                <w:szCs w:val="26"/>
              </w:rPr>
              <w:t>In the Matter of the Application of</w:t>
            </w:r>
            <w:r>
              <w:rPr>
                <w:rFonts w:ascii="Times New Roman" w:hAnsi="Times New Roman"/>
                <w:sz w:val="26"/>
                <w:szCs w:val="26"/>
              </w:rPr>
              <w:t xml:space="preserve"> </w:t>
            </w:r>
            <w:r w:rsidRPr="0017233F">
              <w:rPr>
                <w:rFonts w:ascii="Times New Roman" w:hAnsi="Times New Roman"/>
                <w:b/>
                <w:sz w:val="26"/>
                <w:szCs w:val="26"/>
              </w:rPr>
              <w:t>The East Ohio Gas Company d/b/a</w:t>
            </w:r>
            <w:r>
              <w:rPr>
                <w:rFonts w:ascii="Times New Roman" w:hAnsi="Times New Roman"/>
                <w:b/>
                <w:sz w:val="26"/>
                <w:szCs w:val="26"/>
              </w:rPr>
              <w:t xml:space="preserve"> </w:t>
            </w:r>
            <w:r w:rsidRPr="0017233F">
              <w:rPr>
                <w:rFonts w:ascii="Times New Roman" w:hAnsi="Times New Roman"/>
                <w:b/>
                <w:sz w:val="26"/>
                <w:szCs w:val="26"/>
              </w:rPr>
              <w:t xml:space="preserve">Dominion East Ohio </w:t>
            </w:r>
            <w:r w:rsidRPr="0017233F">
              <w:rPr>
                <w:rFonts w:ascii="Times New Roman" w:hAnsi="Times New Roman"/>
                <w:sz w:val="26"/>
                <w:szCs w:val="26"/>
              </w:rPr>
              <w:t xml:space="preserve">to </w:t>
            </w:r>
            <w:r>
              <w:rPr>
                <w:rFonts w:ascii="Times New Roman" w:hAnsi="Times New Roman"/>
                <w:sz w:val="26"/>
                <w:szCs w:val="26"/>
              </w:rPr>
              <w:t>A</w:t>
            </w:r>
            <w:r w:rsidRPr="0017233F">
              <w:rPr>
                <w:rFonts w:ascii="Times New Roman" w:hAnsi="Times New Roman"/>
                <w:sz w:val="26"/>
                <w:szCs w:val="26"/>
              </w:rPr>
              <w:t>djust its</w:t>
            </w:r>
            <w:r>
              <w:rPr>
                <w:rFonts w:ascii="Times New Roman" w:hAnsi="Times New Roman"/>
                <w:sz w:val="26"/>
                <w:szCs w:val="26"/>
              </w:rPr>
              <w:t xml:space="preserve"> Pipeline Infrastructure Replacement Program Cost </w:t>
            </w:r>
            <w:r w:rsidRPr="0017233F">
              <w:rPr>
                <w:rFonts w:ascii="Times New Roman" w:hAnsi="Times New Roman"/>
                <w:sz w:val="26"/>
                <w:szCs w:val="26"/>
              </w:rPr>
              <w:t xml:space="preserve">Recovery Charge and </w:t>
            </w:r>
            <w:r>
              <w:rPr>
                <w:rFonts w:ascii="Times New Roman" w:hAnsi="Times New Roman"/>
                <w:sz w:val="26"/>
                <w:szCs w:val="26"/>
              </w:rPr>
              <w:t>R</w:t>
            </w:r>
            <w:r w:rsidRPr="0017233F">
              <w:rPr>
                <w:rFonts w:ascii="Times New Roman" w:hAnsi="Times New Roman"/>
                <w:sz w:val="26"/>
                <w:szCs w:val="26"/>
              </w:rPr>
              <w:t>elated Matters</w:t>
            </w:r>
            <w:r>
              <w:rPr>
                <w:rFonts w:ascii="Times New Roman" w:hAnsi="Times New Roman"/>
                <w:sz w:val="26"/>
                <w:szCs w:val="26"/>
              </w:rPr>
              <w:t>.</w:t>
            </w:r>
          </w:p>
        </w:tc>
        <w:tc>
          <w:tcPr>
            <w:tcW w:w="270" w:type="dxa"/>
          </w:tcPr>
          <w:p w14:paraId="48FE633D" w14:textId="77777777" w:rsidR="00016347" w:rsidRDefault="00016347" w:rsidP="008B4584">
            <w:pPr>
              <w:pStyle w:val="Title"/>
              <w:tabs>
                <w:tab w:val="left" w:pos="5130"/>
                <w:tab w:val="left" w:pos="5670"/>
              </w:tabs>
              <w:jc w:val="left"/>
              <w:rPr>
                <w:rFonts w:ascii="Times New Roman" w:hAnsi="Times New Roman"/>
                <w:sz w:val="26"/>
                <w:szCs w:val="26"/>
              </w:rPr>
            </w:pPr>
            <w:r>
              <w:rPr>
                <w:rFonts w:ascii="Times New Roman" w:hAnsi="Times New Roman"/>
                <w:sz w:val="26"/>
                <w:szCs w:val="26"/>
              </w:rPr>
              <w:t>:</w:t>
            </w:r>
            <w:r>
              <w:rPr>
                <w:rFonts w:ascii="Times New Roman" w:hAnsi="Times New Roman"/>
                <w:sz w:val="26"/>
                <w:szCs w:val="26"/>
              </w:rPr>
              <w:br/>
              <w:t>:</w:t>
            </w:r>
          </w:p>
          <w:p w14:paraId="6231F320" w14:textId="77777777" w:rsidR="00016347" w:rsidRDefault="00016347" w:rsidP="008B4584">
            <w:pPr>
              <w:pStyle w:val="Title"/>
              <w:tabs>
                <w:tab w:val="left" w:pos="5130"/>
                <w:tab w:val="left" w:pos="5670"/>
              </w:tabs>
              <w:jc w:val="left"/>
              <w:rPr>
                <w:rFonts w:ascii="Times New Roman" w:hAnsi="Times New Roman"/>
                <w:sz w:val="26"/>
                <w:szCs w:val="26"/>
              </w:rPr>
            </w:pPr>
            <w:r>
              <w:rPr>
                <w:rFonts w:ascii="Times New Roman" w:hAnsi="Times New Roman"/>
                <w:sz w:val="26"/>
                <w:szCs w:val="26"/>
              </w:rPr>
              <w:t>:</w:t>
            </w:r>
          </w:p>
          <w:p w14:paraId="3148F5E8" w14:textId="77777777" w:rsidR="00016347" w:rsidRDefault="00016347" w:rsidP="008B4584">
            <w:pPr>
              <w:pStyle w:val="Title"/>
              <w:tabs>
                <w:tab w:val="left" w:pos="5130"/>
                <w:tab w:val="left" w:pos="5670"/>
              </w:tabs>
              <w:jc w:val="left"/>
              <w:rPr>
                <w:rFonts w:ascii="Times New Roman" w:hAnsi="Times New Roman"/>
                <w:sz w:val="26"/>
                <w:szCs w:val="26"/>
              </w:rPr>
            </w:pPr>
            <w:r>
              <w:rPr>
                <w:rFonts w:ascii="Times New Roman" w:hAnsi="Times New Roman"/>
                <w:sz w:val="26"/>
                <w:szCs w:val="26"/>
              </w:rPr>
              <w:t>:</w:t>
            </w:r>
          </w:p>
          <w:p w14:paraId="570E929B" w14:textId="77777777" w:rsidR="00016347" w:rsidRDefault="00016347" w:rsidP="008B4584">
            <w:pPr>
              <w:pStyle w:val="Title"/>
              <w:tabs>
                <w:tab w:val="left" w:pos="5130"/>
                <w:tab w:val="left" w:pos="5670"/>
              </w:tabs>
              <w:jc w:val="left"/>
              <w:rPr>
                <w:rFonts w:ascii="Times New Roman" w:hAnsi="Times New Roman"/>
                <w:sz w:val="26"/>
                <w:szCs w:val="26"/>
              </w:rPr>
            </w:pPr>
            <w:r>
              <w:rPr>
                <w:rFonts w:ascii="Times New Roman" w:hAnsi="Times New Roman"/>
                <w:sz w:val="26"/>
                <w:szCs w:val="26"/>
              </w:rPr>
              <w:t>:</w:t>
            </w:r>
          </w:p>
          <w:p w14:paraId="651B2F87" w14:textId="77777777" w:rsidR="00016347" w:rsidRDefault="00016347" w:rsidP="008B4584">
            <w:pPr>
              <w:pStyle w:val="Title"/>
              <w:tabs>
                <w:tab w:val="left" w:pos="5130"/>
                <w:tab w:val="left" w:pos="5670"/>
              </w:tabs>
              <w:jc w:val="left"/>
              <w:rPr>
                <w:rFonts w:ascii="Times New Roman" w:hAnsi="Times New Roman"/>
                <w:sz w:val="26"/>
                <w:szCs w:val="26"/>
              </w:rPr>
            </w:pPr>
            <w:r>
              <w:rPr>
                <w:rFonts w:ascii="Times New Roman" w:hAnsi="Times New Roman"/>
                <w:sz w:val="26"/>
                <w:szCs w:val="26"/>
              </w:rPr>
              <w:t>:</w:t>
            </w:r>
          </w:p>
        </w:tc>
        <w:tc>
          <w:tcPr>
            <w:tcW w:w="4495" w:type="dxa"/>
          </w:tcPr>
          <w:p w14:paraId="5EFB4B79" w14:textId="77777777" w:rsidR="00016347" w:rsidRDefault="00016347" w:rsidP="008B4584">
            <w:pPr>
              <w:pStyle w:val="Title"/>
              <w:tabs>
                <w:tab w:val="left" w:pos="5130"/>
                <w:tab w:val="left" w:pos="5670"/>
              </w:tabs>
              <w:jc w:val="left"/>
              <w:rPr>
                <w:rFonts w:ascii="Times New Roman" w:hAnsi="Times New Roman"/>
                <w:sz w:val="26"/>
                <w:szCs w:val="26"/>
              </w:rPr>
            </w:pPr>
          </w:p>
          <w:p w14:paraId="698B3D57" w14:textId="77777777" w:rsidR="00016347" w:rsidRDefault="00016347" w:rsidP="008B4584">
            <w:pPr>
              <w:pStyle w:val="Title"/>
              <w:tabs>
                <w:tab w:val="left" w:pos="5130"/>
                <w:tab w:val="left" w:pos="5670"/>
              </w:tabs>
              <w:jc w:val="left"/>
              <w:rPr>
                <w:rFonts w:ascii="Times New Roman" w:hAnsi="Times New Roman"/>
                <w:sz w:val="26"/>
                <w:szCs w:val="26"/>
              </w:rPr>
            </w:pPr>
          </w:p>
          <w:p w14:paraId="1DBD3163" w14:textId="15BA7883" w:rsidR="00016347" w:rsidRDefault="00016347" w:rsidP="00841EF2">
            <w:pPr>
              <w:pStyle w:val="Title"/>
              <w:tabs>
                <w:tab w:val="left" w:pos="5130"/>
                <w:tab w:val="left" w:pos="5670"/>
              </w:tabs>
              <w:jc w:val="left"/>
              <w:rPr>
                <w:rFonts w:ascii="Times New Roman" w:hAnsi="Times New Roman"/>
                <w:sz w:val="26"/>
                <w:szCs w:val="26"/>
              </w:rPr>
            </w:pPr>
            <w:r>
              <w:rPr>
                <w:rFonts w:ascii="Times New Roman" w:hAnsi="Times New Roman"/>
                <w:sz w:val="26"/>
                <w:szCs w:val="26"/>
              </w:rPr>
              <w:t xml:space="preserve">Case No. </w:t>
            </w:r>
            <w:r w:rsidR="00841EF2">
              <w:rPr>
                <w:rFonts w:ascii="Times New Roman" w:hAnsi="Times New Roman"/>
                <w:sz w:val="26"/>
                <w:szCs w:val="26"/>
              </w:rPr>
              <w:t>15</w:t>
            </w:r>
            <w:r>
              <w:rPr>
                <w:rFonts w:ascii="Times New Roman" w:hAnsi="Times New Roman"/>
                <w:sz w:val="26"/>
                <w:szCs w:val="26"/>
              </w:rPr>
              <w:t>-</w:t>
            </w:r>
            <w:r w:rsidR="00841EF2">
              <w:rPr>
                <w:rFonts w:ascii="Times New Roman" w:hAnsi="Times New Roman"/>
                <w:sz w:val="26"/>
                <w:szCs w:val="26"/>
              </w:rPr>
              <w:t>1987</w:t>
            </w:r>
            <w:r>
              <w:rPr>
                <w:rFonts w:ascii="Times New Roman" w:hAnsi="Times New Roman"/>
                <w:sz w:val="26"/>
                <w:szCs w:val="26"/>
              </w:rPr>
              <w:t>-GA-RDR</w:t>
            </w:r>
          </w:p>
        </w:tc>
      </w:tr>
    </w:tbl>
    <w:p w14:paraId="221B687B" w14:textId="77777777" w:rsidR="00016347" w:rsidRPr="0017233F" w:rsidRDefault="00016347" w:rsidP="00016347">
      <w:pPr>
        <w:pStyle w:val="Title"/>
        <w:tabs>
          <w:tab w:val="left" w:pos="5130"/>
          <w:tab w:val="left" w:pos="5670"/>
        </w:tabs>
        <w:jc w:val="left"/>
        <w:rPr>
          <w:rFonts w:ascii="Times New Roman" w:hAnsi="Times New Roman"/>
          <w:sz w:val="26"/>
          <w:szCs w:val="26"/>
        </w:rPr>
      </w:pPr>
    </w:p>
    <w:p w14:paraId="1083FDF2" w14:textId="77777777" w:rsidR="00016347" w:rsidRPr="00016347" w:rsidRDefault="00016347" w:rsidP="0001634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32B1D66D" w14:textId="77777777" w:rsidR="00016347" w:rsidRDefault="00016347" w:rsidP="00016347">
      <w:pPr>
        <w:pStyle w:val="Title"/>
        <w:tabs>
          <w:tab w:val="left" w:pos="5130"/>
          <w:tab w:val="left" w:pos="5670"/>
        </w:tabs>
        <w:rPr>
          <w:rFonts w:ascii="Times New Roman" w:hAnsi="Times New Roman"/>
          <w:b/>
          <w:sz w:val="32"/>
          <w:szCs w:val="32"/>
        </w:rPr>
      </w:pPr>
      <w:r w:rsidRPr="00272F3C">
        <w:rPr>
          <w:rFonts w:ascii="Times New Roman" w:hAnsi="Times New Roman"/>
          <w:b/>
          <w:sz w:val="32"/>
          <w:szCs w:val="32"/>
        </w:rPr>
        <w:t>COMMENTS</w:t>
      </w:r>
      <w:r w:rsidR="001E5FFF">
        <w:rPr>
          <w:rFonts w:ascii="Times New Roman" w:hAnsi="Times New Roman"/>
          <w:b/>
          <w:sz w:val="32"/>
          <w:szCs w:val="32"/>
        </w:rPr>
        <w:t xml:space="preserve"> </w:t>
      </w:r>
      <w:r w:rsidRPr="00272F3C">
        <w:rPr>
          <w:rFonts w:ascii="Times New Roman" w:hAnsi="Times New Roman"/>
          <w:b/>
          <w:sz w:val="32"/>
          <w:szCs w:val="32"/>
        </w:rPr>
        <w:t>AND</w:t>
      </w:r>
      <w:r w:rsidR="001E5FFF">
        <w:rPr>
          <w:rFonts w:ascii="Times New Roman" w:hAnsi="Times New Roman"/>
          <w:b/>
          <w:sz w:val="32"/>
          <w:szCs w:val="32"/>
        </w:rPr>
        <w:t xml:space="preserve"> </w:t>
      </w:r>
      <w:r w:rsidRPr="00272F3C">
        <w:rPr>
          <w:rFonts w:ascii="Times New Roman" w:hAnsi="Times New Roman"/>
          <w:b/>
          <w:sz w:val="32"/>
          <w:szCs w:val="32"/>
        </w:rPr>
        <w:t>RECOMMENDATIONS</w:t>
      </w:r>
    </w:p>
    <w:p w14:paraId="6B7BDF33" w14:textId="77777777" w:rsidR="00016347" w:rsidRPr="00016347" w:rsidRDefault="00016347" w:rsidP="0001634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0A2E8BEF" w14:textId="77777777" w:rsidR="00B33287" w:rsidRPr="009C6AD0" w:rsidRDefault="009C6AD0" w:rsidP="00016347">
      <w:pPr>
        <w:pStyle w:val="Heading1"/>
        <w:rPr>
          <w:b w:val="0"/>
        </w:rPr>
      </w:pPr>
      <w:r w:rsidRPr="009C6AD0">
        <w:t>INTRODUCTION</w:t>
      </w:r>
    </w:p>
    <w:p w14:paraId="36BB1296" w14:textId="5B09FCE2" w:rsidR="00701BDB" w:rsidRPr="00FD29FE" w:rsidRDefault="00016347" w:rsidP="00032280">
      <w:pPr>
        <w:pStyle w:val="Textstyle"/>
        <w:rPr>
          <w:b/>
        </w:rPr>
      </w:pPr>
      <w:r>
        <w:tab/>
      </w:r>
      <w:r w:rsidR="00FD29FE">
        <w:t xml:space="preserve">Pursuant to </w:t>
      </w:r>
      <w:r w:rsidR="005D4D85" w:rsidRPr="0017233F">
        <w:t xml:space="preserve">the </w:t>
      </w:r>
      <w:r w:rsidR="00E113AF">
        <w:t>S</w:t>
      </w:r>
      <w:r w:rsidR="005D4D85" w:rsidRPr="0017233F">
        <w:t>tipulation</w:t>
      </w:r>
      <w:r w:rsidR="000A47CA">
        <w:t>s</w:t>
      </w:r>
      <w:r w:rsidR="005D4D85" w:rsidRPr="0017233F">
        <w:t xml:space="preserve"> adopted in Case N</w:t>
      </w:r>
      <w:r w:rsidR="00505089">
        <w:t>os.</w:t>
      </w:r>
      <w:r w:rsidR="005D4D85" w:rsidRPr="0017233F">
        <w:t xml:space="preserve"> </w:t>
      </w:r>
      <w:r w:rsidR="000A47CA">
        <w:t xml:space="preserve">11-2401-GA-ALT, </w:t>
      </w:r>
      <w:r w:rsidR="005D4D85" w:rsidRPr="0017233F">
        <w:t xml:space="preserve">07-829-GA-AIR, 07-830-GA-ALT, 07-831-GA-AAM, 08-169-GA-ALT, </w:t>
      </w:r>
      <w:r w:rsidR="00546F2C">
        <w:t xml:space="preserve">and </w:t>
      </w:r>
      <w:r w:rsidR="005D4D85" w:rsidRPr="0017233F">
        <w:t>06-1453-GA-UNC</w:t>
      </w:r>
      <w:r w:rsidR="00E93AA3">
        <w:t>,</w:t>
      </w:r>
      <w:r w:rsidR="00546F2C">
        <w:t xml:space="preserve"> </w:t>
      </w:r>
      <w:r w:rsidR="005D4D85" w:rsidRPr="0017233F">
        <w:t xml:space="preserve">the </w:t>
      </w:r>
      <w:r w:rsidR="00FD29FE">
        <w:t xml:space="preserve">Staff of the Public Utilities Commission of Ohio (Staff) </w:t>
      </w:r>
      <w:r w:rsidR="005D4D85" w:rsidRPr="0017233F">
        <w:t xml:space="preserve">has conducted </w:t>
      </w:r>
      <w:r w:rsidR="00EA41D4">
        <w:t>an</w:t>
      </w:r>
      <w:r w:rsidR="005D4D85" w:rsidRPr="0017233F">
        <w:t xml:space="preserve"> investigation </w:t>
      </w:r>
      <w:r w:rsidR="00012EA5">
        <w:t>of</w:t>
      </w:r>
      <w:r w:rsidR="00C97D6D">
        <w:t xml:space="preserve"> the </w:t>
      </w:r>
      <w:r w:rsidR="00C97D6D" w:rsidRPr="0017233F">
        <w:t>East Ohio Gas Company</w:t>
      </w:r>
      <w:r w:rsidR="00C97D6D">
        <w:t>’s</w:t>
      </w:r>
      <w:r w:rsidR="00C97D6D" w:rsidRPr="0017233F">
        <w:t xml:space="preserve"> d/b/a Dominion East Ohio (DEO or Company</w:t>
      </w:r>
      <w:r w:rsidR="00C97D6D">
        <w:t xml:space="preserve">) </w:t>
      </w:r>
      <w:r w:rsidR="00012EA5">
        <w:t>application to adjust its pipeline infrastructure replacement program cost recovery charge</w:t>
      </w:r>
      <w:r w:rsidR="005D4D85" w:rsidRPr="0017233F">
        <w:t xml:space="preserve"> and</w:t>
      </w:r>
      <w:r w:rsidR="00012EA5">
        <w:t xml:space="preserve"> </w:t>
      </w:r>
      <w:r w:rsidR="005D4D85" w:rsidRPr="0017233F">
        <w:t>sub</w:t>
      </w:r>
      <w:r w:rsidR="00A236E9">
        <w:softHyphen/>
      </w:r>
      <w:r w:rsidR="005D4D85" w:rsidRPr="0017233F">
        <w:t xml:space="preserve">mits its </w:t>
      </w:r>
      <w:r w:rsidR="00EA41D4">
        <w:t xml:space="preserve">conclusions and recommendations </w:t>
      </w:r>
      <w:r w:rsidR="005D4D85" w:rsidRPr="0017233F">
        <w:t xml:space="preserve">to the </w:t>
      </w:r>
      <w:r w:rsidR="00FD29FE">
        <w:t>Public Utilities Commission of Ohio (</w:t>
      </w:r>
      <w:r w:rsidR="005D4D85" w:rsidRPr="0017233F">
        <w:t>Commission</w:t>
      </w:r>
      <w:r w:rsidR="00FD29FE">
        <w:t>)</w:t>
      </w:r>
      <w:r w:rsidR="00EA41D4">
        <w:t xml:space="preserve"> in these Comments.  Staff’s </w:t>
      </w:r>
      <w:r w:rsidR="005D4D85" w:rsidRPr="0017233F">
        <w:t xml:space="preserve">Comments </w:t>
      </w:r>
      <w:r w:rsidR="005D4D85">
        <w:t xml:space="preserve">were </w:t>
      </w:r>
      <w:r w:rsidR="005D4D85" w:rsidRPr="0017233F">
        <w:t>prepar</w:t>
      </w:r>
      <w:r w:rsidR="00927E69">
        <w:t>ed by the Commis</w:t>
      </w:r>
      <w:r w:rsidR="00A236E9">
        <w:softHyphen/>
      </w:r>
      <w:r w:rsidR="00927E69">
        <w:t>sion’s Rates and Analysis</w:t>
      </w:r>
      <w:r w:rsidR="005D4D85" w:rsidRPr="0017233F">
        <w:t xml:space="preserve"> Department. </w:t>
      </w:r>
      <w:r w:rsidR="009C6AD0">
        <w:t xml:space="preserve"> Included are financial reviews of </w:t>
      </w:r>
      <w:r w:rsidR="00EA41D4">
        <w:t>DEO’s pro</w:t>
      </w:r>
      <w:r w:rsidR="00A236E9">
        <w:softHyphen/>
      </w:r>
      <w:r w:rsidR="00EA41D4">
        <w:t xml:space="preserve">posed </w:t>
      </w:r>
      <w:r w:rsidR="009C6AD0">
        <w:t>additions to plant-in-service</w:t>
      </w:r>
      <w:r w:rsidR="00EA41D4">
        <w:t>, revenue</w:t>
      </w:r>
      <w:r w:rsidR="009C6AD0">
        <w:t xml:space="preserve"> requirement</w:t>
      </w:r>
      <w:r w:rsidR="00EA41D4">
        <w:t>,</w:t>
      </w:r>
      <w:r w:rsidR="009C6AD0">
        <w:t xml:space="preserve"> and other matters</w:t>
      </w:r>
      <w:r w:rsidR="009C6AD0" w:rsidRPr="00EA41D4">
        <w:t>.</w:t>
      </w:r>
      <w:r w:rsidR="00EA41D4" w:rsidRPr="00EA41D4">
        <w:t xml:space="preserve">  </w:t>
      </w:r>
      <w:r w:rsidR="008649F6" w:rsidRPr="00EA41D4">
        <w:t>The</w:t>
      </w:r>
      <w:r w:rsidR="00EA41D4" w:rsidRPr="00EA41D4">
        <w:t xml:space="preserve"> C</w:t>
      </w:r>
      <w:r w:rsidR="008649F6" w:rsidRPr="00EA41D4">
        <w:t>om</w:t>
      </w:r>
      <w:r w:rsidR="00A236E9">
        <w:softHyphen/>
      </w:r>
      <w:r w:rsidR="008649F6" w:rsidRPr="00EA41D4">
        <w:t xml:space="preserve">ments </w:t>
      </w:r>
      <w:r w:rsidR="009C6AD0" w:rsidRPr="00EA41D4">
        <w:t xml:space="preserve">are </w:t>
      </w:r>
      <w:r w:rsidR="008649F6" w:rsidRPr="00EA41D4">
        <w:t>the results of Staff’s investigation and do not reflect the views of the Commis</w:t>
      </w:r>
      <w:r w:rsidR="00A236E9">
        <w:softHyphen/>
      </w:r>
      <w:r w:rsidR="008649F6" w:rsidRPr="00EA41D4">
        <w:t>sion</w:t>
      </w:r>
      <w:r w:rsidR="00E93AA3" w:rsidRPr="00EA41D4">
        <w:t>,</w:t>
      </w:r>
      <w:r w:rsidR="008649F6" w:rsidRPr="00EA41D4">
        <w:t xml:space="preserve"> nor </w:t>
      </w:r>
      <w:r w:rsidR="00E93AA3" w:rsidRPr="00EA41D4">
        <w:t xml:space="preserve">is </w:t>
      </w:r>
      <w:r w:rsidR="008649F6" w:rsidRPr="00EA41D4">
        <w:t>the Commis</w:t>
      </w:r>
      <w:r w:rsidR="00E1736A">
        <w:softHyphen/>
      </w:r>
      <w:r w:rsidR="008649F6" w:rsidRPr="00EA41D4">
        <w:t xml:space="preserve">sion bound by </w:t>
      </w:r>
      <w:r w:rsidR="006F74C1">
        <w:t xml:space="preserve">Staff’s </w:t>
      </w:r>
      <w:r w:rsidR="006F74C1" w:rsidRPr="00EA41D4">
        <w:t>representations</w:t>
      </w:r>
      <w:r w:rsidR="008649F6" w:rsidRPr="00EA41D4">
        <w:t xml:space="preserve"> or recommendations.</w:t>
      </w:r>
    </w:p>
    <w:p w14:paraId="41C4D843" w14:textId="77777777" w:rsidR="008649F6" w:rsidRPr="0017233F" w:rsidRDefault="008649F6" w:rsidP="00016347">
      <w:pPr>
        <w:pStyle w:val="Heading1"/>
      </w:pPr>
      <w:r w:rsidRPr="0017233F">
        <w:lastRenderedPageBreak/>
        <w:t>BACKGROUND</w:t>
      </w:r>
    </w:p>
    <w:p w14:paraId="37A95F07" w14:textId="479DED14" w:rsidR="00AA4051" w:rsidRDefault="00016347" w:rsidP="00032280">
      <w:pPr>
        <w:pStyle w:val="Textstyle"/>
      </w:pPr>
      <w:r>
        <w:tab/>
      </w:r>
      <w:r w:rsidR="0038246B" w:rsidRPr="0017233F">
        <w:t>DEO</w:t>
      </w:r>
      <w:r w:rsidR="00E83F60" w:rsidRPr="0017233F">
        <w:t xml:space="preserve"> </w:t>
      </w:r>
      <w:r w:rsidR="00A42CBC">
        <w:t>is an Ohio C</w:t>
      </w:r>
      <w:r w:rsidR="00B33287" w:rsidRPr="0017233F">
        <w:t>orporat</w:t>
      </w:r>
      <w:r w:rsidR="00FA47C6" w:rsidRPr="0017233F">
        <w:t>ion</w:t>
      </w:r>
      <w:r w:rsidR="00E84E9B" w:rsidRPr="0017233F">
        <w:t xml:space="preserve"> engaged in the business of providing </w:t>
      </w:r>
      <w:r w:rsidR="00FA47C6" w:rsidRPr="0017233F">
        <w:t xml:space="preserve">natural gas </w:t>
      </w:r>
      <w:r w:rsidR="00E84E9B" w:rsidRPr="0017233F">
        <w:t>service to approxi</w:t>
      </w:r>
      <w:r w:rsidR="00E1736A">
        <w:softHyphen/>
      </w:r>
      <w:r w:rsidR="00E84E9B" w:rsidRPr="0017233F">
        <w:t xml:space="preserve">mately 1.2 million </w:t>
      </w:r>
      <w:r w:rsidR="00FA47C6" w:rsidRPr="0017233F">
        <w:t xml:space="preserve">customers in </w:t>
      </w:r>
      <w:r w:rsidR="00E84E9B" w:rsidRPr="0017233F">
        <w:t xml:space="preserve">northeast, </w:t>
      </w:r>
      <w:r w:rsidR="00FA47C6" w:rsidRPr="0017233F">
        <w:t>western</w:t>
      </w:r>
      <w:r w:rsidR="000472EF">
        <w:t>,</w:t>
      </w:r>
      <w:r w:rsidR="00E84E9B" w:rsidRPr="0017233F">
        <w:t xml:space="preserve"> and southeast</w:t>
      </w:r>
      <w:r w:rsidR="00EA41D4">
        <w:t xml:space="preserve"> Ohio communities.</w:t>
      </w:r>
      <w:r w:rsidR="006B5816">
        <w:t xml:space="preserve">  </w:t>
      </w:r>
    </w:p>
    <w:p w14:paraId="77AF5D77" w14:textId="2AADE19E" w:rsidR="006B5816" w:rsidRDefault="00016347" w:rsidP="00032280">
      <w:pPr>
        <w:pStyle w:val="Textstyle"/>
      </w:pPr>
      <w:r>
        <w:tab/>
      </w:r>
      <w:r w:rsidR="006B5816">
        <w:t>The Company’s Pipeline Infrastructure Replacement</w:t>
      </w:r>
      <w:r w:rsidR="006B5816" w:rsidRPr="0017233F">
        <w:t xml:space="preserve"> </w:t>
      </w:r>
      <w:r w:rsidR="006B5816">
        <w:t xml:space="preserve">Program </w:t>
      </w:r>
      <w:r w:rsidR="00F20F9F">
        <w:t xml:space="preserve">(PIR Program or Program) </w:t>
      </w:r>
      <w:r w:rsidR="006B5816">
        <w:t>was author</w:t>
      </w:r>
      <w:r w:rsidR="00E1736A">
        <w:softHyphen/>
      </w:r>
      <w:r w:rsidR="006B5816">
        <w:t xml:space="preserve">ized by Commission </w:t>
      </w:r>
      <w:r w:rsidR="00AA4051">
        <w:t xml:space="preserve">Opinion and Order </w:t>
      </w:r>
      <w:r w:rsidR="001974B1">
        <w:t xml:space="preserve">on October 15, 2008 in Case No. 07-829-GA-AIR, </w:t>
      </w:r>
      <w:r w:rsidR="001974B1" w:rsidRPr="001974B1">
        <w:rPr>
          <w:i/>
        </w:rPr>
        <w:t>et al</w:t>
      </w:r>
      <w:r w:rsidR="007375CB">
        <w:t xml:space="preserve"> (Rate Case Order)</w:t>
      </w:r>
      <w:r w:rsidR="001974B1">
        <w:t xml:space="preserve">.  DEO’s PIR Program </w:t>
      </w:r>
      <w:r w:rsidR="007375CB">
        <w:t xml:space="preserve">initially </w:t>
      </w:r>
      <w:r w:rsidR="001974B1">
        <w:t>called for replaceme</w:t>
      </w:r>
      <w:r w:rsidR="000472EF">
        <w:t xml:space="preserve">nt of 4,122 miles of bare steel, </w:t>
      </w:r>
      <w:r w:rsidR="001974B1">
        <w:t>cast iron</w:t>
      </w:r>
      <w:r w:rsidR="000472EF">
        <w:t>,</w:t>
      </w:r>
      <w:r w:rsidR="001974B1">
        <w:t xml:space="preserve"> </w:t>
      </w:r>
      <w:r w:rsidR="000472EF">
        <w:t xml:space="preserve">and other metallic </w:t>
      </w:r>
      <w:r w:rsidR="001974B1">
        <w:t xml:space="preserve">(BS/CI) </w:t>
      </w:r>
      <w:r w:rsidR="007375CB">
        <w:t>pipe</w:t>
      </w:r>
      <w:r w:rsidR="00A236E9">
        <w:softHyphen/>
      </w:r>
      <w:r w:rsidR="007375CB">
        <w:t>lines in its distribution system over a 25 year period and provided that DEO would assume ownership and ongo</w:t>
      </w:r>
      <w:r w:rsidR="00E1736A">
        <w:softHyphen/>
      </w:r>
      <w:r w:rsidR="007375CB">
        <w:t xml:space="preserve">ing responsibility for all customer-owned service lines when such lines were separated </w:t>
      </w:r>
      <w:r w:rsidR="006F74C1">
        <w:t>from</w:t>
      </w:r>
      <w:r w:rsidR="007375CB">
        <w:t xml:space="preserve"> service </w:t>
      </w:r>
      <w:r w:rsidR="006F74C1">
        <w:t xml:space="preserve">in order </w:t>
      </w:r>
      <w:r w:rsidR="007375CB">
        <w:t>to replace associated mainlines or to repair</w:t>
      </w:r>
      <w:r w:rsidR="00210276">
        <w:t xml:space="preserve"> leaks.  The Rate Case Order also authorized DEO to establish a PIR Cost Recovery Charge (PIR Rider) to recover its PIR investments from customers, adopted a process for Staff and interven</w:t>
      </w:r>
      <w:r w:rsidR="00A86DE6">
        <w:t>o</w:t>
      </w:r>
      <w:r w:rsidR="00210276">
        <w:t>r review of DEO</w:t>
      </w:r>
      <w:r w:rsidR="00A86DE6">
        <w:t>’s</w:t>
      </w:r>
      <w:r w:rsidR="00210276">
        <w:t xml:space="preserve"> annual applications to increase the PIR Rider, </w:t>
      </w:r>
      <w:r w:rsidR="002039CB">
        <w:t>and established a cap on annual PIR Rider increases.  The PIR Program was initially author</w:t>
      </w:r>
      <w:r w:rsidR="00A236E9">
        <w:softHyphen/>
      </w:r>
      <w:r w:rsidR="002039CB">
        <w:t xml:space="preserve">ized for a </w:t>
      </w:r>
      <w:r w:rsidR="00B23A84">
        <w:t>five-year period.</w:t>
      </w:r>
    </w:p>
    <w:p w14:paraId="1DA19AD7" w14:textId="75BE8241" w:rsidR="00486223" w:rsidRDefault="00016347" w:rsidP="00032280">
      <w:pPr>
        <w:pStyle w:val="Textstyle"/>
      </w:pPr>
      <w:r>
        <w:tab/>
      </w:r>
      <w:r w:rsidR="003223D7">
        <w:t xml:space="preserve">By an </w:t>
      </w:r>
      <w:r w:rsidR="00F20F9F">
        <w:t xml:space="preserve">Opinion </w:t>
      </w:r>
      <w:r w:rsidR="003223D7">
        <w:t>and Order dated August 3, 2011, the Commission approved a stipu</w:t>
      </w:r>
      <w:r w:rsidR="00E1736A">
        <w:softHyphen/>
      </w:r>
      <w:r w:rsidR="003223D7">
        <w:t>lation reached by the parties in Case No. 11-2401-GA-ALT.  In that case, the parties agreed</w:t>
      </w:r>
      <w:r w:rsidR="00AE4C1E">
        <w:t>, among other things</w:t>
      </w:r>
      <w:r w:rsidR="000472EF">
        <w:t>,</w:t>
      </w:r>
      <w:r w:rsidR="003223D7">
        <w:t xml:space="preserve"> that</w:t>
      </w:r>
      <w:r w:rsidR="00AE4C1E">
        <w:t xml:space="preserve"> (1)</w:t>
      </w:r>
      <w:r w:rsidR="003223D7">
        <w:t xml:space="preserve"> DEO would add 1,450 miles of pre-1955 inef</w:t>
      </w:r>
      <w:r w:rsidR="00A236E9">
        <w:softHyphen/>
      </w:r>
      <w:r w:rsidR="003223D7">
        <w:t xml:space="preserve">fectively coated pipe to the scope of its replacement </w:t>
      </w:r>
      <w:r w:rsidR="00AE4C1E">
        <w:t>program; (2) DEO w</w:t>
      </w:r>
      <w:r w:rsidR="00372731">
        <w:t>ould</w:t>
      </w:r>
      <w:r w:rsidR="00AE4C1E">
        <w:t xml:space="preserve"> test </w:t>
      </w:r>
      <w:r w:rsidR="003223D7">
        <w:t xml:space="preserve">field coated pipe that was installed </w:t>
      </w:r>
      <w:r w:rsidR="00AE4C1E">
        <w:t xml:space="preserve">after </w:t>
      </w:r>
      <w:r w:rsidR="003223D7">
        <w:t xml:space="preserve">1955 and </w:t>
      </w:r>
      <w:r w:rsidR="000472EF">
        <w:t xml:space="preserve">replace any pipe </w:t>
      </w:r>
      <w:r w:rsidR="003223D7">
        <w:t>found to be ineffective</w:t>
      </w:r>
      <w:r w:rsidR="00AE4C1E">
        <w:t>ly coated</w:t>
      </w:r>
      <w:r w:rsidR="000472EF">
        <w:t xml:space="preserve"> under the Program</w:t>
      </w:r>
      <w:r w:rsidR="00AE4C1E">
        <w:t xml:space="preserve">; (3) the Program would be reauthorized for another five-year </w:t>
      </w:r>
      <w:r w:rsidR="00AE4C1E">
        <w:lastRenderedPageBreak/>
        <w:t xml:space="preserve">period; (4) </w:t>
      </w:r>
      <w:r w:rsidR="00156CB3">
        <w:t xml:space="preserve">specified caps </w:t>
      </w:r>
      <w:r w:rsidR="00372731">
        <w:t>w</w:t>
      </w:r>
      <w:r w:rsidR="00156CB3">
        <w:t xml:space="preserve">ould be placed on annual increases to the PIR Rider; and (5) DEO would modify the schedule for filing its annual applications to adjust the PIR Rider to be consistent with the schedules used for other utilities’ gas infrastructure replacement programs.  This revised schedule provides that DEO </w:t>
      </w:r>
      <w:r w:rsidR="00486223">
        <w:t xml:space="preserve">shall submit a pre-filing notice (PFN) with nine months of actual data and three months of estimated data in support of its PIR Rider applications by November 30 each year.  The Company is then to file an updated application by February </w:t>
      </w:r>
      <w:r w:rsidR="00841EF2">
        <w:t xml:space="preserve">29 </w:t>
      </w:r>
      <w:r w:rsidR="00486223">
        <w:t xml:space="preserve">of the succeeding year </w:t>
      </w:r>
      <w:r w:rsidR="000472EF">
        <w:t>that includes</w:t>
      </w:r>
      <w:r w:rsidR="00486223">
        <w:t xml:space="preserve"> 12 months of actual data in support of new PIR Rider rates to be effective with the first billing cycle in May. </w:t>
      </w:r>
    </w:p>
    <w:p w14:paraId="5BBDE047" w14:textId="44A110E5" w:rsidR="00486223" w:rsidRDefault="00016347" w:rsidP="00032280">
      <w:pPr>
        <w:pStyle w:val="Textstyle"/>
      </w:pPr>
      <w:r>
        <w:tab/>
      </w:r>
      <w:r w:rsidR="00486223">
        <w:t xml:space="preserve">In accordance with this schedule, on November </w:t>
      </w:r>
      <w:r w:rsidR="00841EF2">
        <w:t>30</w:t>
      </w:r>
      <w:r w:rsidR="00486223">
        <w:t xml:space="preserve">, </w:t>
      </w:r>
      <w:r w:rsidR="00841EF2">
        <w:t>2015</w:t>
      </w:r>
      <w:r w:rsidR="00486223" w:rsidRPr="00144460">
        <w:t xml:space="preserve">, DEO filed a </w:t>
      </w:r>
      <w:r w:rsidR="00C000E6">
        <w:t xml:space="preserve">PFN in this case indicating its </w:t>
      </w:r>
      <w:r w:rsidR="00486223" w:rsidRPr="00144460">
        <w:t xml:space="preserve">intent to file an application </w:t>
      </w:r>
      <w:r w:rsidR="00486223">
        <w:t xml:space="preserve">to adjust existing </w:t>
      </w:r>
      <w:r w:rsidR="00486223" w:rsidRPr="00144460">
        <w:t>PI</w:t>
      </w:r>
      <w:r w:rsidR="00486223">
        <w:t xml:space="preserve">R </w:t>
      </w:r>
      <w:r w:rsidR="00CC62FC">
        <w:t xml:space="preserve">Rider </w:t>
      </w:r>
      <w:r w:rsidR="00486223">
        <w:t xml:space="preserve">rates to </w:t>
      </w:r>
      <w:r w:rsidR="00486223" w:rsidRPr="00144460">
        <w:t>recover</w:t>
      </w:r>
      <w:r w:rsidR="00486223">
        <w:t xml:space="preserve"> </w:t>
      </w:r>
      <w:r w:rsidR="00C000E6">
        <w:t xml:space="preserve">PIR Program </w:t>
      </w:r>
      <w:r w:rsidR="00486223" w:rsidRPr="00144460">
        <w:t xml:space="preserve">costs incurred during the period </w:t>
      </w:r>
      <w:r w:rsidR="00486223">
        <w:t xml:space="preserve">January 1, </w:t>
      </w:r>
      <w:r w:rsidR="00841EF2">
        <w:t>2015</w:t>
      </w:r>
      <w:r w:rsidR="00841EF2" w:rsidRPr="00144460">
        <w:t xml:space="preserve"> </w:t>
      </w:r>
      <w:r w:rsidR="00486223" w:rsidRPr="00144460">
        <w:t xml:space="preserve">through </w:t>
      </w:r>
      <w:r w:rsidR="00486223">
        <w:t xml:space="preserve">December 31, </w:t>
      </w:r>
      <w:r w:rsidR="00841EF2">
        <w:t>2015</w:t>
      </w:r>
      <w:r w:rsidR="00486223">
        <w:t xml:space="preserve">.  </w:t>
      </w:r>
      <w:r w:rsidR="00C000E6">
        <w:t xml:space="preserve">The PFN included </w:t>
      </w:r>
      <w:r w:rsidR="00486223">
        <w:t>Schedules 1 through 16A</w:t>
      </w:r>
      <w:r w:rsidR="007E3503">
        <w:t>, which provided</w:t>
      </w:r>
      <w:r w:rsidR="00C000E6">
        <w:t xml:space="preserve"> </w:t>
      </w:r>
      <w:r w:rsidR="00486223">
        <w:t xml:space="preserve">an estimated PIR revenue requirement based on nine months of actual data from the period January 1, </w:t>
      </w:r>
      <w:r w:rsidR="00841EF2">
        <w:t xml:space="preserve">2015 </w:t>
      </w:r>
      <w:r w:rsidR="00486223">
        <w:t xml:space="preserve">through September 30, </w:t>
      </w:r>
      <w:r w:rsidR="00841EF2">
        <w:t>2015</w:t>
      </w:r>
      <w:r w:rsidR="00486223">
        <w:t xml:space="preserve">, and three months of projected data for the period October 1, </w:t>
      </w:r>
      <w:r w:rsidR="00841EF2">
        <w:t xml:space="preserve">2015 </w:t>
      </w:r>
      <w:r w:rsidR="00C000E6">
        <w:t>through</w:t>
      </w:r>
      <w:r w:rsidR="00486223">
        <w:t xml:space="preserve"> December 31, </w:t>
      </w:r>
      <w:r w:rsidR="00841EF2">
        <w:t>2015</w:t>
      </w:r>
      <w:r w:rsidR="00486223">
        <w:t xml:space="preserve">. </w:t>
      </w:r>
      <w:r>
        <w:t xml:space="preserve"> </w:t>
      </w:r>
      <w:r w:rsidR="00486223" w:rsidRPr="00F3605E">
        <w:t xml:space="preserve">On </w:t>
      </w:r>
      <w:r w:rsidR="00486223">
        <w:t xml:space="preserve">February </w:t>
      </w:r>
      <w:r w:rsidR="00841EF2">
        <w:t>29</w:t>
      </w:r>
      <w:r w:rsidR="00486223">
        <w:t xml:space="preserve">, </w:t>
      </w:r>
      <w:r w:rsidR="00841EF2">
        <w:t>2016</w:t>
      </w:r>
      <w:r w:rsidR="00486223" w:rsidRPr="00F3605E">
        <w:t xml:space="preserve">, DEO filed </w:t>
      </w:r>
      <w:r w:rsidR="00486223">
        <w:t xml:space="preserve">its </w:t>
      </w:r>
      <w:r w:rsidR="00C000E6">
        <w:t>A</w:t>
      </w:r>
      <w:r w:rsidR="00486223" w:rsidRPr="00F3605E">
        <w:t xml:space="preserve">pplication </w:t>
      </w:r>
      <w:r w:rsidR="00C000E6">
        <w:t>in this case</w:t>
      </w:r>
      <w:r w:rsidR="00045215">
        <w:t xml:space="preserve">, which included </w:t>
      </w:r>
      <w:r w:rsidR="00C000E6">
        <w:t>updated S</w:t>
      </w:r>
      <w:r w:rsidR="00486223">
        <w:t>chedules 1 through 16A</w:t>
      </w:r>
      <w:r w:rsidR="006F74C1">
        <w:t>, 12</w:t>
      </w:r>
      <w:r w:rsidR="00C000E6">
        <w:t xml:space="preserve"> months of actual data through </w:t>
      </w:r>
      <w:r w:rsidR="00841EF2">
        <w:t>2015</w:t>
      </w:r>
      <w:r w:rsidR="00045215">
        <w:t>,</w:t>
      </w:r>
      <w:r w:rsidR="00C000E6">
        <w:t xml:space="preserve"> and supporting testimony.  </w:t>
      </w:r>
    </w:p>
    <w:p w14:paraId="1E51EA26" w14:textId="36B2D543" w:rsidR="00CC3F1F" w:rsidRDefault="00016347" w:rsidP="00032280">
      <w:pPr>
        <w:pStyle w:val="Textstyle"/>
      </w:pPr>
      <w:r>
        <w:tab/>
      </w:r>
      <w:r w:rsidR="00CC3F1F" w:rsidRPr="00CC3F1F">
        <w:t xml:space="preserve">On March </w:t>
      </w:r>
      <w:r w:rsidR="00841EF2">
        <w:t>7</w:t>
      </w:r>
      <w:r w:rsidR="00CC3F1F" w:rsidRPr="00CC3F1F">
        <w:t xml:space="preserve">, </w:t>
      </w:r>
      <w:r w:rsidR="00841EF2" w:rsidRPr="00CC3F1F">
        <w:t>201</w:t>
      </w:r>
      <w:r w:rsidR="00841EF2">
        <w:t>6</w:t>
      </w:r>
      <w:r w:rsidR="00CC3F1F" w:rsidRPr="00CC3F1F">
        <w:t>, the Attorney Examiner in this case issued an Entry establish</w:t>
      </w:r>
      <w:r w:rsidR="00CC3F1F" w:rsidRPr="00CC3F1F">
        <w:softHyphen/>
        <w:t>ing a pro</w:t>
      </w:r>
      <w:r w:rsidR="00CC3F1F" w:rsidRPr="00CC3F1F">
        <w:softHyphen/>
        <w:t>cedural schedule for the case as follows:</w:t>
      </w:r>
    </w:p>
    <w:p w14:paraId="76A899E8" w14:textId="77777777" w:rsidR="0052497D" w:rsidRPr="00CC3F1F" w:rsidRDefault="0052497D" w:rsidP="00032280">
      <w:pPr>
        <w:pStyle w:val="Textstyle"/>
      </w:pPr>
    </w:p>
    <w:p w14:paraId="47906BED" w14:textId="6C841929" w:rsidR="00CC3F1F" w:rsidRPr="00CC3F1F" w:rsidRDefault="00CC3F1F" w:rsidP="00CC3F1F">
      <w:pPr>
        <w:numPr>
          <w:ilvl w:val="0"/>
          <w:numId w:val="15"/>
        </w:numPr>
        <w:autoSpaceDE w:val="0"/>
        <w:autoSpaceDN w:val="0"/>
        <w:adjustRightInd w:val="0"/>
        <w:spacing w:before="240" w:after="240" w:line="276" w:lineRule="auto"/>
        <w:ind w:left="1440" w:right="1440" w:hanging="720"/>
        <w:rPr>
          <w:sz w:val="26"/>
          <w:szCs w:val="26"/>
        </w:rPr>
      </w:pPr>
      <w:r w:rsidRPr="00CC3F1F">
        <w:rPr>
          <w:sz w:val="26"/>
          <w:szCs w:val="26"/>
        </w:rPr>
        <w:lastRenderedPageBreak/>
        <w:t xml:space="preserve">March </w:t>
      </w:r>
      <w:r w:rsidR="00841EF2" w:rsidRPr="00CC3F1F">
        <w:rPr>
          <w:sz w:val="26"/>
          <w:szCs w:val="26"/>
        </w:rPr>
        <w:t>2</w:t>
      </w:r>
      <w:r w:rsidR="00841EF2">
        <w:rPr>
          <w:sz w:val="26"/>
          <w:szCs w:val="26"/>
        </w:rPr>
        <w:t>5</w:t>
      </w:r>
      <w:r w:rsidRPr="00CC3F1F">
        <w:rPr>
          <w:sz w:val="26"/>
          <w:szCs w:val="26"/>
        </w:rPr>
        <w:t xml:space="preserve">, </w:t>
      </w:r>
      <w:r w:rsidR="00841EF2" w:rsidRPr="00CC3F1F">
        <w:rPr>
          <w:sz w:val="26"/>
          <w:szCs w:val="26"/>
        </w:rPr>
        <w:t>201</w:t>
      </w:r>
      <w:r w:rsidR="00841EF2">
        <w:rPr>
          <w:sz w:val="26"/>
          <w:szCs w:val="26"/>
        </w:rPr>
        <w:t>6</w:t>
      </w:r>
      <w:r w:rsidR="00841EF2" w:rsidRPr="00CC3F1F">
        <w:rPr>
          <w:sz w:val="26"/>
          <w:szCs w:val="26"/>
        </w:rPr>
        <w:t xml:space="preserve"> </w:t>
      </w:r>
      <w:r w:rsidR="00A16EDF">
        <w:rPr>
          <w:sz w:val="26"/>
          <w:szCs w:val="26"/>
        </w:rPr>
        <w:t xml:space="preserve">– Deadline for </w:t>
      </w:r>
      <w:r w:rsidRPr="00CC3F1F">
        <w:rPr>
          <w:sz w:val="26"/>
          <w:szCs w:val="26"/>
        </w:rPr>
        <w:t>filing motions to intervene.</w:t>
      </w:r>
    </w:p>
    <w:p w14:paraId="0A893ED0" w14:textId="067BB7F9" w:rsidR="00CC3F1F" w:rsidRPr="00CC3F1F" w:rsidRDefault="00CC3F1F" w:rsidP="00CC3F1F">
      <w:pPr>
        <w:numPr>
          <w:ilvl w:val="0"/>
          <w:numId w:val="15"/>
        </w:numPr>
        <w:autoSpaceDE w:val="0"/>
        <w:autoSpaceDN w:val="0"/>
        <w:adjustRightInd w:val="0"/>
        <w:spacing w:before="240" w:after="240" w:line="276" w:lineRule="auto"/>
        <w:ind w:left="1440" w:right="1440" w:hanging="720"/>
        <w:rPr>
          <w:sz w:val="26"/>
          <w:szCs w:val="26"/>
        </w:rPr>
      </w:pPr>
      <w:r w:rsidRPr="00CC3F1F">
        <w:rPr>
          <w:sz w:val="26"/>
          <w:szCs w:val="26"/>
        </w:rPr>
        <w:t xml:space="preserve">March </w:t>
      </w:r>
      <w:r w:rsidR="00841EF2" w:rsidRPr="00CC3F1F">
        <w:rPr>
          <w:sz w:val="26"/>
          <w:szCs w:val="26"/>
        </w:rPr>
        <w:t>2</w:t>
      </w:r>
      <w:r w:rsidR="00841EF2">
        <w:rPr>
          <w:sz w:val="26"/>
          <w:szCs w:val="26"/>
        </w:rPr>
        <w:t>5</w:t>
      </w:r>
      <w:r w:rsidRPr="00CC3F1F">
        <w:rPr>
          <w:sz w:val="26"/>
          <w:szCs w:val="26"/>
        </w:rPr>
        <w:t xml:space="preserve">, </w:t>
      </w:r>
      <w:r w:rsidR="00841EF2" w:rsidRPr="00CC3F1F">
        <w:rPr>
          <w:sz w:val="26"/>
          <w:szCs w:val="26"/>
        </w:rPr>
        <w:t>201</w:t>
      </w:r>
      <w:r w:rsidR="00841EF2">
        <w:rPr>
          <w:sz w:val="26"/>
          <w:szCs w:val="26"/>
        </w:rPr>
        <w:t>6</w:t>
      </w:r>
      <w:r w:rsidR="00841EF2" w:rsidRPr="00CC3F1F">
        <w:rPr>
          <w:sz w:val="26"/>
          <w:szCs w:val="26"/>
        </w:rPr>
        <w:t xml:space="preserve"> </w:t>
      </w:r>
      <w:r w:rsidRPr="00CC3F1F">
        <w:rPr>
          <w:sz w:val="26"/>
          <w:szCs w:val="26"/>
        </w:rPr>
        <w:t>– Deadline for Staff and interven</w:t>
      </w:r>
      <w:r w:rsidR="00956EC3">
        <w:rPr>
          <w:sz w:val="26"/>
          <w:szCs w:val="26"/>
        </w:rPr>
        <w:t>o</w:t>
      </w:r>
      <w:r w:rsidRPr="00CC3F1F">
        <w:rPr>
          <w:sz w:val="26"/>
          <w:szCs w:val="26"/>
        </w:rPr>
        <w:t>rs to file com</w:t>
      </w:r>
      <w:r w:rsidRPr="00CC3F1F">
        <w:rPr>
          <w:sz w:val="26"/>
          <w:szCs w:val="26"/>
        </w:rPr>
        <w:softHyphen/>
        <w:t>ments on the application.</w:t>
      </w:r>
    </w:p>
    <w:p w14:paraId="4E3B71A0" w14:textId="67EB6B9A" w:rsidR="00CC3F1F" w:rsidRPr="00CC3F1F" w:rsidRDefault="00841EF2" w:rsidP="00CC3F1F">
      <w:pPr>
        <w:numPr>
          <w:ilvl w:val="0"/>
          <w:numId w:val="15"/>
        </w:numPr>
        <w:autoSpaceDE w:val="0"/>
        <w:autoSpaceDN w:val="0"/>
        <w:adjustRightInd w:val="0"/>
        <w:spacing w:before="240" w:after="240" w:line="276" w:lineRule="auto"/>
        <w:ind w:left="1440" w:right="1440" w:hanging="720"/>
        <w:rPr>
          <w:sz w:val="26"/>
          <w:szCs w:val="26"/>
        </w:rPr>
      </w:pPr>
      <w:r>
        <w:rPr>
          <w:sz w:val="26"/>
          <w:szCs w:val="26"/>
        </w:rPr>
        <w:t>March</w:t>
      </w:r>
      <w:r w:rsidR="00B81D96">
        <w:rPr>
          <w:sz w:val="26"/>
          <w:szCs w:val="26"/>
        </w:rPr>
        <w:t xml:space="preserve"> </w:t>
      </w:r>
      <w:r>
        <w:rPr>
          <w:sz w:val="26"/>
          <w:szCs w:val="26"/>
        </w:rPr>
        <w:t>31</w:t>
      </w:r>
      <w:r w:rsidR="00CC3F1F" w:rsidRPr="00CC3F1F">
        <w:rPr>
          <w:sz w:val="26"/>
          <w:szCs w:val="26"/>
        </w:rPr>
        <w:t xml:space="preserve">, </w:t>
      </w:r>
      <w:r w:rsidRPr="00CC3F1F">
        <w:rPr>
          <w:sz w:val="26"/>
          <w:szCs w:val="26"/>
        </w:rPr>
        <w:t>201</w:t>
      </w:r>
      <w:r>
        <w:rPr>
          <w:sz w:val="26"/>
          <w:szCs w:val="26"/>
        </w:rPr>
        <w:t>6</w:t>
      </w:r>
      <w:r w:rsidRPr="00CC3F1F">
        <w:rPr>
          <w:sz w:val="26"/>
          <w:szCs w:val="26"/>
        </w:rPr>
        <w:t xml:space="preserve"> </w:t>
      </w:r>
      <w:r w:rsidR="00CC3F1F" w:rsidRPr="00CC3F1F">
        <w:rPr>
          <w:sz w:val="26"/>
          <w:szCs w:val="26"/>
        </w:rPr>
        <w:t xml:space="preserve">– Deadline for </w:t>
      </w:r>
      <w:r w:rsidR="00AC7406">
        <w:rPr>
          <w:sz w:val="26"/>
          <w:szCs w:val="26"/>
        </w:rPr>
        <w:t>DEO</w:t>
      </w:r>
      <w:r w:rsidR="00CC3F1F" w:rsidRPr="00CC3F1F">
        <w:rPr>
          <w:sz w:val="26"/>
          <w:szCs w:val="26"/>
        </w:rPr>
        <w:t xml:space="preserve"> to file a statement inform</w:t>
      </w:r>
      <w:r w:rsidR="00E1736A">
        <w:rPr>
          <w:sz w:val="26"/>
          <w:szCs w:val="26"/>
        </w:rPr>
        <w:softHyphen/>
      </w:r>
      <w:r w:rsidR="00CC3F1F" w:rsidRPr="00CC3F1F">
        <w:rPr>
          <w:sz w:val="26"/>
          <w:szCs w:val="26"/>
        </w:rPr>
        <w:t>ing the Commission whether the issues raised in the com</w:t>
      </w:r>
      <w:r w:rsidR="00E1736A">
        <w:rPr>
          <w:sz w:val="26"/>
          <w:szCs w:val="26"/>
        </w:rPr>
        <w:softHyphen/>
      </w:r>
      <w:r w:rsidR="00CC3F1F" w:rsidRPr="00CC3F1F">
        <w:rPr>
          <w:sz w:val="26"/>
          <w:szCs w:val="26"/>
        </w:rPr>
        <w:t>ments have been resolved.</w:t>
      </w:r>
    </w:p>
    <w:p w14:paraId="5982EC94" w14:textId="0C7A704D" w:rsidR="00CC3F1F" w:rsidRPr="00CC3F1F" w:rsidRDefault="00CC3F1F" w:rsidP="00CC3F1F">
      <w:pPr>
        <w:numPr>
          <w:ilvl w:val="0"/>
          <w:numId w:val="15"/>
        </w:numPr>
        <w:autoSpaceDE w:val="0"/>
        <w:autoSpaceDN w:val="0"/>
        <w:adjustRightInd w:val="0"/>
        <w:spacing w:before="240" w:after="240" w:line="276" w:lineRule="auto"/>
        <w:ind w:left="1440" w:right="1440" w:hanging="720"/>
        <w:rPr>
          <w:sz w:val="26"/>
          <w:szCs w:val="26"/>
        </w:rPr>
      </w:pPr>
      <w:r w:rsidRPr="00CC3F1F">
        <w:rPr>
          <w:sz w:val="26"/>
          <w:szCs w:val="26"/>
        </w:rPr>
        <w:t xml:space="preserve">April </w:t>
      </w:r>
      <w:r w:rsidR="00841EF2">
        <w:rPr>
          <w:sz w:val="26"/>
          <w:szCs w:val="26"/>
        </w:rPr>
        <w:t>1</w:t>
      </w:r>
      <w:r w:rsidRPr="00CC3F1F">
        <w:rPr>
          <w:sz w:val="26"/>
          <w:szCs w:val="26"/>
        </w:rPr>
        <w:t xml:space="preserve">, </w:t>
      </w:r>
      <w:r w:rsidR="00841EF2" w:rsidRPr="00CC3F1F">
        <w:rPr>
          <w:sz w:val="26"/>
          <w:szCs w:val="26"/>
        </w:rPr>
        <w:t>201</w:t>
      </w:r>
      <w:r w:rsidR="00841EF2">
        <w:rPr>
          <w:sz w:val="26"/>
          <w:szCs w:val="26"/>
        </w:rPr>
        <w:t>6</w:t>
      </w:r>
      <w:r w:rsidR="00841EF2" w:rsidRPr="00CC3F1F">
        <w:rPr>
          <w:sz w:val="26"/>
          <w:szCs w:val="26"/>
        </w:rPr>
        <w:t xml:space="preserve"> </w:t>
      </w:r>
      <w:r w:rsidRPr="00CC3F1F">
        <w:rPr>
          <w:sz w:val="26"/>
          <w:szCs w:val="26"/>
        </w:rPr>
        <w:t xml:space="preserve">– Deadline for </w:t>
      </w:r>
      <w:r w:rsidR="001B440A">
        <w:rPr>
          <w:sz w:val="26"/>
          <w:szCs w:val="26"/>
        </w:rPr>
        <w:t xml:space="preserve">the parties and Staff to file </w:t>
      </w:r>
      <w:r w:rsidRPr="00CC3F1F">
        <w:rPr>
          <w:sz w:val="26"/>
          <w:szCs w:val="26"/>
        </w:rPr>
        <w:t>expert testimony.</w:t>
      </w:r>
    </w:p>
    <w:p w14:paraId="0EBAC15C" w14:textId="27BA98DA" w:rsidR="00CC3F1F" w:rsidRDefault="00CC3F1F" w:rsidP="00CC3F1F">
      <w:pPr>
        <w:numPr>
          <w:ilvl w:val="0"/>
          <w:numId w:val="15"/>
        </w:numPr>
        <w:autoSpaceDE w:val="0"/>
        <w:autoSpaceDN w:val="0"/>
        <w:adjustRightInd w:val="0"/>
        <w:spacing w:before="240" w:after="240" w:line="276" w:lineRule="auto"/>
        <w:ind w:left="1440" w:right="1440" w:hanging="720"/>
        <w:rPr>
          <w:sz w:val="26"/>
          <w:szCs w:val="26"/>
        </w:rPr>
      </w:pPr>
      <w:r w:rsidRPr="00CC3F1F">
        <w:rPr>
          <w:sz w:val="26"/>
          <w:szCs w:val="26"/>
        </w:rPr>
        <w:t xml:space="preserve">April </w:t>
      </w:r>
      <w:r w:rsidR="00652A05">
        <w:rPr>
          <w:sz w:val="26"/>
          <w:szCs w:val="26"/>
        </w:rPr>
        <w:t>6</w:t>
      </w:r>
      <w:r w:rsidRPr="00CC3F1F">
        <w:rPr>
          <w:sz w:val="26"/>
          <w:szCs w:val="26"/>
        </w:rPr>
        <w:t>, 2015</w:t>
      </w:r>
      <w:r w:rsidR="005548FD">
        <w:rPr>
          <w:sz w:val="26"/>
          <w:szCs w:val="26"/>
        </w:rPr>
        <w:t xml:space="preserve">, </w:t>
      </w:r>
      <w:r w:rsidR="00AC7406">
        <w:rPr>
          <w:sz w:val="26"/>
          <w:szCs w:val="26"/>
        </w:rPr>
        <w:t xml:space="preserve">9:00 a.m. </w:t>
      </w:r>
      <w:r w:rsidR="005548FD" w:rsidRPr="00CC3F1F">
        <w:rPr>
          <w:sz w:val="26"/>
          <w:szCs w:val="26"/>
        </w:rPr>
        <w:t>–</w:t>
      </w:r>
      <w:r w:rsidR="005548FD">
        <w:rPr>
          <w:sz w:val="26"/>
          <w:szCs w:val="26"/>
        </w:rPr>
        <w:t xml:space="preserve"> D</w:t>
      </w:r>
      <w:r w:rsidRPr="00CC3F1F">
        <w:rPr>
          <w:sz w:val="26"/>
          <w:szCs w:val="26"/>
        </w:rPr>
        <w:t>eadline for some or all parties to the case to file a stipulation resolving some or all issues raised by the parties.</w:t>
      </w:r>
    </w:p>
    <w:p w14:paraId="2D98A6DD" w14:textId="36982813" w:rsidR="00AC7406" w:rsidRDefault="00AC7406" w:rsidP="00CC3F1F">
      <w:pPr>
        <w:numPr>
          <w:ilvl w:val="0"/>
          <w:numId w:val="15"/>
        </w:numPr>
        <w:autoSpaceDE w:val="0"/>
        <w:autoSpaceDN w:val="0"/>
        <w:adjustRightInd w:val="0"/>
        <w:spacing w:before="240" w:after="240" w:line="276" w:lineRule="auto"/>
        <w:ind w:left="1440" w:right="1440" w:hanging="720"/>
        <w:rPr>
          <w:sz w:val="26"/>
          <w:szCs w:val="26"/>
        </w:rPr>
      </w:pPr>
      <w:r w:rsidRPr="00CC3F1F">
        <w:rPr>
          <w:sz w:val="26"/>
          <w:szCs w:val="26"/>
        </w:rPr>
        <w:t xml:space="preserve">April </w:t>
      </w:r>
      <w:r w:rsidR="00841EF2">
        <w:rPr>
          <w:sz w:val="26"/>
          <w:szCs w:val="26"/>
        </w:rPr>
        <w:t>7</w:t>
      </w:r>
      <w:r w:rsidRPr="00CC3F1F">
        <w:rPr>
          <w:sz w:val="26"/>
          <w:szCs w:val="26"/>
        </w:rPr>
        <w:t xml:space="preserve">, </w:t>
      </w:r>
      <w:r w:rsidR="00841EF2" w:rsidRPr="00CC3F1F">
        <w:rPr>
          <w:sz w:val="26"/>
          <w:szCs w:val="26"/>
        </w:rPr>
        <w:t>201</w:t>
      </w:r>
      <w:r w:rsidR="00841EF2">
        <w:rPr>
          <w:sz w:val="26"/>
          <w:szCs w:val="26"/>
        </w:rPr>
        <w:t>6</w:t>
      </w:r>
      <w:r w:rsidR="00652A05">
        <w:rPr>
          <w:sz w:val="26"/>
          <w:szCs w:val="26"/>
        </w:rPr>
        <w:t xml:space="preserve"> –</w:t>
      </w:r>
      <w:r w:rsidRPr="00CC3F1F">
        <w:rPr>
          <w:sz w:val="26"/>
          <w:szCs w:val="26"/>
        </w:rPr>
        <w:t>Hearing date if some or all issues raised in the com</w:t>
      </w:r>
      <w:r w:rsidRPr="00CC3F1F">
        <w:rPr>
          <w:sz w:val="26"/>
          <w:szCs w:val="26"/>
        </w:rPr>
        <w:softHyphen/>
        <w:t>ments are not resolved.</w:t>
      </w:r>
    </w:p>
    <w:p w14:paraId="544627DA" w14:textId="77777777" w:rsidR="00C8632C" w:rsidRPr="00C8632C" w:rsidRDefault="00C8632C" w:rsidP="00016347">
      <w:pPr>
        <w:pStyle w:val="Heading1"/>
      </w:pPr>
      <w:r w:rsidRPr="00C8632C">
        <w:t xml:space="preserve">PIR PROGRAM </w:t>
      </w:r>
      <w:r>
        <w:t xml:space="preserve">PROGRESS </w:t>
      </w:r>
      <w:r w:rsidRPr="00C8632C">
        <w:t>AND DEO’</w:t>
      </w:r>
      <w:r>
        <w:t>S</w:t>
      </w:r>
      <w:r w:rsidRPr="00C8632C">
        <w:t xml:space="preserve"> APPLICATION</w:t>
      </w:r>
    </w:p>
    <w:p w14:paraId="50982BF2" w14:textId="6C24E001" w:rsidR="004202CC" w:rsidRDefault="00016347" w:rsidP="00032280">
      <w:pPr>
        <w:pStyle w:val="Textstyle"/>
      </w:pPr>
      <w:r>
        <w:tab/>
      </w:r>
      <w:r w:rsidR="00CD6B76">
        <w:t xml:space="preserve">DEO reports that in </w:t>
      </w:r>
      <w:r w:rsidR="001B440A">
        <w:t xml:space="preserve">2015 </w:t>
      </w:r>
      <w:r w:rsidR="00CD6B76">
        <w:t xml:space="preserve">it replaced </w:t>
      </w:r>
      <w:r w:rsidR="00B23793">
        <w:t xml:space="preserve">157.53 </w:t>
      </w:r>
      <w:r w:rsidR="00CD6B76">
        <w:t xml:space="preserve">miles of BS/CI pipelines and </w:t>
      </w:r>
      <w:r w:rsidR="00B23793">
        <w:t>41,387</w:t>
      </w:r>
      <w:r w:rsidR="00CD6B76">
        <w:t xml:space="preserve"> ser</w:t>
      </w:r>
      <w:r w:rsidR="00E1736A">
        <w:softHyphen/>
      </w:r>
      <w:r w:rsidR="00CD6B76">
        <w:t xml:space="preserve">vice lines </w:t>
      </w:r>
      <w:r w:rsidR="00E37935">
        <w:t>(includes both main-to-curb and curb-to-meter service lines)</w:t>
      </w:r>
      <w:r w:rsidR="00652A05">
        <w:t>.</w:t>
      </w:r>
      <w:r w:rsidR="00CD6B76">
        <w:t xml:space="preserve">  Including the </w:t>
      </w:r>
      <w:r w:rsidR="00B23793">
        <w:t xml:space="preserve">2015 </w:t>
      </w:r>
      <w:r w:rsidR="00E37935">
        <w:t xml:space="preserve">replacements, the Company reports that, since inception of the PIR Program in July 2008, it has replaced a total of </w:t>
      </w:r>
      <w:r w:rsidR="00B23793">
        <w:t xml:space="preserve">1,181.44 </w:t>
      </w:r>
      <w:r w:rsidR="00E37935">
        <w:t xml:space="preserve">miles of BS/CI pipelines, replaced </w:t>
      </w:r>
      <w:r w:rsidR="00B23793">
        <w:t>271</w:t>
      </w:r>
      <w:r w:rsidR="0028024D">
        <w:t>,</w:t>
      </w:r>
      <w:r w:rsidR="00B23793">
        <w:t>432</w:t>
      </w:r>
      <w:r w:rsidR="00E37935">
        <w:t xml:space="preserve"> service lines, and moved 1,559 </w:t>
      </w:r>
      <w:r w:rsidR="00652A05">
        <w:t xml:space="preserve">inside customer </w:t>
      </w:r>
      <w:r w:rsidR="00E37935">
        <w:t xml:space="preserve">meters outside.  To recover its </w:t>
      </w:r>
      <w:r w:rsidR="00E635E6">
        <w:t xml:space="preserve">2015 </w:t>
      </w:r>
      <w:r w:rsidR="00F468FC">
        <w:t xml:space="preserve">PIR </w:t>
      </w:r>
      <w:r w:rsidR="00E37935">
        <w:t>investments</w:t>
      </w:r>
      <w:r w:rsidR="00F468FC">
        <w:t>, DEO’s Application and supporting schedules propose a revenue requirement of $</w:t>
      </w:r>
      <w:r w:rsidR="00922979">
        <w:t>131,226,679.71</w:t>
      </w:r>
      <w:r w:rsidR="00F468FC">
        <w:t xml:space="preserve">.  </w:t>
      </w:r>
      <w:r w:rsidR="00E54278">
        <w:t xml:space="preserve">In testimony filed with the Application, Company witness Vicki Friscic notes that Application Schedule </w:t>
      </w:r>
      <w:r w:rsidR="002B098D">
        <w:t>4</w:t>
      </w:r>
      <w:r w:rsidR="00E54278">
        <w:t xml:space="preserve"> and other </w:t>
      </w:r>
      <w:r w:rsidR="002B098D">
        <w:t>schedules affected by plant retire</w:t>
      </w:r>
      <w:r w:rsidR="00A236E9">
        <w:softHyphen/>
      </w:r>
      <w:r w:rsidR="002B098D">
        <w:t>ments include</w:t>
      </w:r>
      <w:r w:rsidR="00E54278">
        <w:t xml:space="preserve"> adjustment</w:t>
      </w:r>
      <w:r w:rsidR="009B1C01">
        <w:t>s</w:t>
      </w:r>
      <w:r w:rsidR="00E54278">
        <w:t xml:space="preserve"> for retirements that should have been recognized in 2013 and </w:t>
      </w:r>
      <w:r w:rsidR="00E54278">
        <w:lastRenderedPageBreak/>
        <w:t>2014</w:t>
      </w:r>
      <w:r w:rsidR="002B098D">
        <w:t>.</w:t>
      </w:r>
      <w:r w:rsidR="00E54278" w:rsidRPr="009D092D">
        <w:rPr>
          <w:rStyle w:val="FootnoteReference"/>
        </w:rPr>
        <w:footnoteReference w:id="1"/>
      </w:r>
      <w:r w:rsidR="00A6329D">
        <w:t xml:space="preserve"> </w:t>
      </w:r>
      <w:r w:rsidR="00E53A2B" w:rsidRPr="009D092D">
        <w:t xml:space="preserve"> </w:t>
      </w:r>
      <w:r w:rsidR="00F468FC">
        <w:t>When</w:t>
      </w:r>
      <w:r w:rsidR="005548FD">
        <w:t xml:space="preserve"> the proposed revenue requirement is</w:t>
      </w:r>
      <w:r w:rsidR="00F468FC">
        <w:t xml:space="preserve"> allocated to the</w:t>
      </w:r>
      <w:r w:rsidR="00F468FC" w:rsidRPr="0017233F">
        <w:t xml:space="preserve"> </w:t>
      </w:r>
      <w:r w:rsidR="00F468FC">
        <w:t>cus</w:t>
      </w:r>
      <w:r w:rsidR="00E1736A">
        <w:softHyphen/>
      </w:r>
      <w:r w:rsidR="00F468FC">
        <w:t xml:space="preserve">tomer </w:t>
      </w:r>
      <w:r w:rsidR="00F468FC" w:rsidRPr="0017233F">
        <w:t xml:space="preserve">rate classes </w:t>
      </w:r>
      <w:r w:rsidR="00F468FC">
        <w:t xml:space="preserve">established in the cost of service study used in DEO’s last base rate case, </w:t>
      </w:r>
      <w:r w:rsidR="006F74C1">
        <w:t xml:space="preserve">the </w:t>
      </w:r>
      <w:r w:rsidR="006F74C1" w:rsidRPr="0017233F">
        <w:t xml:space="preserve">Company </w:t>
      </w:r>
      <w:r w:rsidR="006F74C1">
        <w:t xml:space="preserve">recommends </w:t>
      </w:r>
      <w:r w:rsidR="006F74C1" w:rsidRPr="0017233F">
        <w:t xml:space="preserve">that the Commission </w:t>
      </w:r>
      <w:r w:rsidR="006F74C1">
        <w:t xml:space="preserve">approve the following </w:t>
      </w:r>
      <w:r w:rsidR="00585281">
        <w:t xml:space="preserve">PIR </w:t>
      </w:r>
      <w:r w:rsidR="00CC62FC">
        <w:t>Rider</w:t>
      </w:r>
      <w:r w:rsidR="00585281">
        <w:t xml:space="preserve"> rates</w:t>
      </w:r>
      <w:r w:rsidR="006F74C1">
        <w:t>:</w:t>
      </w:r>
    </w:p>
    <w:p w14:paraId="56A08E8E" w14:textId="77777777" w:rsidR="00016347" w:rsidRDefault="00016347" w:rsidP="004202CC">
      <w:pPr>
        <w:pStyle w:val="Title"/>
        <w:jc w:val="left"/>
        <w:rPr>
          <w:rFonts w:ascii="Times New Roman" w:hAnsi="Times New Roman"/>
          <w:b/>
          <w:sz w:val="26"/>
          <w:szCs w:val="26"/>
        </w:rPr>
      </w:pPr>
    </w:p>
    <w:tbl>
      <w:tblPr>
        <w:tblStyle w:val="TableGrid"/>
        <w:tblpPr w:leftFromText="180" w:rightFromText="180" w:vertAnchor="text" w:horzAnchor="margin" w:tblpY="-15"/>
        <w:tblW w:w="0" w:type="auto"/>
        <w:tblLook w:val="04A0" w:firstRow="1" w:lastRow="0" w:firstColumn="1" w:lastColumn="0" w:noHBand="0" w:noVBand="1"/>
      </w:tblPr>
      <w:tblGrid>
        <w:gridCol w:w="2155"/>
        <w:gridCol w:w="2513"/>
        <w:gridCol w:w="2634"/>
      </w:tblGrid>
      <w:tr w:rsidR="00652A05" w:rsidRPr="00447171" w14:paraId="39828660" w14:textId="77777777" w:rsidTr="009D092D">
        <w:tc>
          <w:tcPr>
            <w:tcW w:w="2155" w:type="dxa"/>
            <w:shd w:val="clear" w:color="auto" w:fill="D9D9D9" w:themeFill="background1" w:themeFillShade="D9"/>
          </w:tcPr>
          <w:p w14:paraId="1EB1EDFD" w14:textId="77777777" w:rsidR="00652A05" w:rsidRPr="00447171" w:rsidRDefault="00652A05" w:rsidP="00012C7F">
            <w:pPr>
              <w:pStyle w:val="Title"/>
              <w:spacing w:line="360" w:lineRule="auto"/>
              <w:rPr>
                <w:rFonts w:ascii="Times New Roman" w:hAnsi="Times New Roman"/>
                <w:b/>
                <w:sz w:val="26"/>
                <w:szCs w:val="26"/>
              </w:rPr>
            </w:pPr>
            <w:r w:rsidRPr="00447171">
              <w:rPr>
                <w:rFonts w:ascii="Times New Roman" w:hAnsi="Times New Roman"/>
                <w:b/>
                <w:sz w:val="26"/>
                <w:szCs w:val="26"/>
              </w:rPr>
              <w:t>Rate Class</w:t>
            </w:r>
          </w:p>
        </w:tc>
        <w:tc>
          <w:tcPr>
            <w:tcW w:w="2513" w:type="dxa"/>
            <w:shd w:val="clear" w:color="auto" w:fill="D9D9D9" w:themeFill="background1" w:themeFillShade="D9"/>
          </w:tcPr>
          <w:p w14:paraId="48A103D3" w14:textId="77777777" w:rsidR="00652A05" w:rsidRPr="00447171" w:rsidRDefault="00652A05" w:rsidP="00012C7F">
            <w:pPr>
              <w:pStyle w:val="Title"/>
              <w:spacing w:line="360" w:lineRule="auto"/>
              <w:rPr>
                <w:rFonts w:ascii="Times New Roman" w:hAnsi="Times New Roman"/>
                <w:b/>
                <w:sz w:val="26"/>
                <w:szCs w:val="26"/>
              </w:rPr>
            </w:pPr>
            <w:r w:rsidRPr="00447171">
              <w:rPr>
                <w:rFonts w:ascii="Times New Roman" w:hAnsi="Times New Roman"/>
                <w:b/>
                <w:sz w:val="26"/>
                <w:szCs w:val="26"/>
              </w:rPr>
              <w:t>Proposed Rates</w:t>
            </w:r>
          </w:p>
        </w:tc>
        <w:tc>
          <w:tcPr>
            <w:tcW w:w="2634" w:type="dxa"/>
            <w:shd w:val="clear" w:color="auto" w:fill="D9D9D9" w:themeFill="background1" w:themeFillShade="D9"/>
          </w:tcPr>
          <w:p w14:paraId="641CA212" w14:textId="77777777" w:rsidR="00652A05" w:rsidRPr="00447171" w:rsidRDefault="00652A05" w:rsidP="00012C7F">
            <w:pPr>
              <w:pStyle w:val="Title"/>
              <w:spacing w:line="360" w:lineRule="auto"/>
              <w:rPr>
                <w:rFonts w:ascii="Times New Roman" w:hAnsi="Times New Roman"/>
                <w:b/>
                <w:sz w:val="26"/>
                <w:szCs w:val="26"/>
              </w:rPr>
            </w:pPr>
            <w:r w:rsidRPr="00447171">
              <w:rPr>
                <w:rFonts w:ascii="Times New Roman" w:hAnsi="Times New Roman"/>
                <w:b/>
                <w:sz w:val="26"/>
                <w:szCs w:val="26"/>
              </w:rPr>
              <w:t>Current Rates</w:t>
            </w:r>
          </w:p>
        </w:tc>
      </w:tr>
      <w:tr w:rsidR="00652A05" w14:paraId="57C671BA" w14:textId="77777777" w:rsidTr="009D092D">
        <w:tc>
          <w:tcPr>
            <w:tcW w:w="2155" w:type="dxa"/>
          </w:tcPr>
          <w:p w14:paraId="5F69D1B0"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GSS/ECTS</w:t>
            </w:r>
          </w:p>
        </w:tc>
        <w:tc>
          <w:tcPr>
            <w:tcW w:w="2513" w:type="dxa"/>
          </w:tcPr>
          <w:p w14:paraId="43F1CA13"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$8.12/month</w:t>
            </w:r>
          </w:p>
        </w:tc>
        <w:tc>
          <w:tcPr>
            <w:tcW w:w="2634" w:type="dxa"/>
          </w:tcPr>
          <w:p w14:paraId="2DE22587"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$6.70/month</w:t>
            </w:r>
          </w:p>
        </w:tc>
      </w:tr>
      <w:tr w:rsidR="00652A05" w14:paraId="389F9166" w14:textId="77777777" w:rsidTr="009D092D">
        <w:tc>
          <w:tcPr>
            <w:tcW w:w="2155" w:type="dxa"/>
          </w:tcPr>
          <w:p w14:paraId="7305C38F"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LVGSS/LVECTS</w:t>
            </w:r>
          </w:p>
        </w:tc>
        <w:tc>
          <w:tcPr>
            <w:tcW w:w="2513" w:type="dxa"/>
          </w:tcPr>
          <w:p w14:paraId="1FBC2279"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$53.49/month</w:t>
            </w:r>
          </w:p>
        </w:tc>
        <w:tc>
          <w:tcPr>
            <w:tcW w:w="2634" w:type="dxa"/>
          </w:tcPr>
          <w:p w14:paraId="0F833BF3"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$46.56/month</w:t>
            </w:r>
          </w:p>
        </w:tc>
      </w:tr>
      <w:tr w:rsidR="00652A05" w14:paraId="296133F5" w14:textId="77777777" w:rsidTr="009D092D">
        <w:tc>
          <w:tcPr>
            <w:tcW w:w="2155" w:type="dxa"/>
          </w:tcPr>
          <w:p w14:paraId="5C99D1C4"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GTS/TSS</w:t>
            </w:r>
          </w:p>
        </w:tc>
        <w:tc>
          <w:tcPr>
            <w:tcW w:w="2513" w:type="dxa"/>
          </w:tcPr>
          <w:p w14:paraId="72D02FF0"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$253.28/month</w:t>
            </w:r>
          </w:p>
        </w:tc>
        <w:tc>
          <w:tcPr>
            <w:tcW w:w="2634" w:type="dxa"/>
          </w:tcPr>
          <w:p w14:paraId="37CC0825"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$212.94/month</w:t>
            </w:r>
          </w:p>
        </w:tc>
      </w:tr>
      <w:tr w:rsidR="00652A05" w14:paraId="591D0A48" w14:textId="77777777" w:rsidTr="009D092D">
        <w:tc>
          <w:tcPr>
            <w:tcW w:w="2155" w:type="dxa"/>
          </w:tcPr>
          <w:p w14:paraId="1113008B"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DTS</w:t>
            </w:r>
          </w:p>
        </w:tc>
        <w:tc>
          <w:tcPr>
            <w:tcW w:w="2513" w:type="dxa"/>
          </w:tcPr>
          <w:p w14:paraId="610A1978"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$0.0564/Mcf</w:t>
            </w:r>
          </w:p>
        </w:tc>
        <w:tc>
          <w:tcPr>
            <w:tcW w:w="2634" w:type="dxa"/>
          </w:tcPr>
          <w:p w14:paraId="5B8003C2" w14:textId="77777777" w:rsidR="00652A05" w:rsidRDefault="00652A05" w:rsidP="00012C7F">
            <w:pPr>
              <w:pStyle w:val="Title"/>
              <w:spacing w:line="360" w:lineRule="auto"/>
              <w:rPr>
                <w:rFonts w:ascii="Times New Roman" w:hAnsi="Times New Roman"/>
                <w:sz w:val="26"/>
                <w:szCs w:val="26"/>
              </w:rPr>
            </w:pPr>
            <w:r>
              <w:rPr>
                <w:rFonts w:ascii="Times New Roman" w:hAnsi="Times New Roman"/>
                <w:sz w:val="26"/>
                <w:szCs w:val="26"/>
              </w:rPr>
              <w:t>$0.0497/Mcf</w:t>
            </w:r>
          </w:p>
        </w:tc>
      </w:tr>
    </w:tbl>
    <w:p w14:paraId="508C6786" w14:textId="77777777" w:rsidR="002B098D" w:rsidRDefault="002B098D" w:rsidP="00016347">
      <w:pPr>
        <w:pStyle w:val="Heading1"/>
      </w:pPr>
    </w:p>
    <w:p w14:paraId="356C57A5" w14:textId="77777777" w:rsidR="002B098D" w:rsidRDefault="002B098D" w:rsidP="00016347">
      <w:pPr>
        <w:pStyle w:val="Heading1"/>
      </w:pPr>
    </w:p>
    <w:p w14:paraId="186B3839" w14:textId="77777777" w:rsidR="002B098D" w:rsidRDefault="002B098D" w:rsidP="00016347">
      <w:pPr>
        <w:pStyle w:val="Heading1"/>
      </w:pPr>
    </w:p>
    <w:p w14:paraId="6458B008" w14:textId="77777777" w:rsidR="002B098D" w:rsidRDefault="002B098D" w:rsidP="00016347">
      <w:pPr>
        <w:pStyle w:val="Heading1"/>
      </w:pPr>
    </w:p>
    <w:p w14:paraId="0AB84F73" w14:textId="22185A7F" w:rsidR="00B33287" w:rsidRDefault="002B098D" w:rsidP="00016347">
      <w:pPr>
        <w:pStyle w:val="Heading1"/>
      </w:pPr>
      <w:r>
        <w:t xml:space="preserve">STAFF’S </w:t>
      </w:r>
      <w:r w:rsidR="00C2357B" w:rsidRPr="0017233F">
        <w:t>INVESTIGATION</w:t>
      </w:r>
      <w:r w:rsidR="00F468FC">
        <w:t>, CONCLUSIONS</w:t>
      </w:r>
      <w:r w:rsidR="006F74C1">
        <w:t>,</w:t>
      </w:r>
      <w:r w:rsidR="00F468FC">
        <w:t xml:space="preserve"> AND RECOMMENDATIONS</w:t>
      </w:r>
    </w:p>
    <w:p w14:paraId="75650C6F" w14:textId="3D542EC5" w:rsidR="00585281" w:rsidRDefault="00016347" w:rsidP="00032280">
      <w:pPr>
        <w:pStyle w:val="Textstyle"/>
      </w:pPr>
      <w:r>
        <w:tab/>
      </w:r>
      <w:r w:rsidR="00BA64D2">
        <w:t xml:space="preserve">The purpose </w:t>
      </w:r>
      <w:r w:rsidR="00B33287" w:rsidRPr="0017233F">
        <w:t>of</w:t>
      </w:r>
      <w:r w:rsidR="00BA64D2">
        <w:t xml:space="preserve"> Staff’s investigation was</w:t>
      </w:r>
      <w:r w:rsidR="00B33287" w:rsidRPr="0017233F">
        <w:t xml:space="preserve"> to determine if the </w:t>
      </w:r>
      <w:r w:rsidR="00C07B81" w:rsidRPr="0017233F">
        <w:t>Company</w:t>
      </w:r>
      <w:r w:rsidR="00B33287" w:rsidRPr="0017233F">
        <w:t xml:space="preserve">’s </w:t>
      </w:r>
      <w:r w:rsidR="00BA64D2">
        <w:t>A</w:t>
      </w:r>
      <w:r w:rsidR="00827C0B">
        <w:t>ppli</w:t>
      </w:r>
      <w:r w:rsidR="00E1736A">
        <w:softHyphen/>
      </w:r>
      <w:r w:rsidR="00827C0B">
        <w:t>ca</w:t>
      </w:r>
      <w:r w:rsidR="00A236E9">
        <w:softHyphen/>
      </w:r>
      <w:r w:rsidR="00827C0B">
        <w:t xml:space="preserve">tion and </w:t>
      </w:r>
      <w:r w:rsidR="00BA64D2">
        <w:t xml:space="preserve">supporting documentation </w:t>
      </w:r>
      <w:r w:rsidR="00B33287" w:rsidRPr="0017233F">
        <w:t xml:space="preserve">justify the </w:t>
      </w:r>
      <w:r w:rsidR="00FA5926">
        <w:t xml:space="preserve">requested </w:t>
      </w:r>
      <w:r w:rsidR="00827C0B">
        <w:t xml:space="preserve">PIR </w:t>
      </w:r>
      <w:r w:rsidR="00B33287" w:rsidRPr="0017233F">
        <w:t xml:space="preserve">revenue requirement </w:t>
      </w:r>
      <w:r w:rsidR="00827C0B">
        <w:t xml:space="preserve">and can be </w:t>
      </w:r>
      <w:r w:rsidR="00B33287" w:rsidRPr="0017233F">
        <w:t xml:space="preserve">used as a </w:t>
      </w:r>
      <w:r w:rsidR="00BA64D2">
        <w:t xml:space="preserve">reliable </w:t>
      </w:r>
      <w:r w:rsidR="00B33287" w:rsidRPr="0017233F">
        <w:t>basis for</w:t>
      </w:r>
      <w:r w:rsidR="00F83591" w:rsidRPr="0017233F">
        <w:t xml:space="preserve"> </w:t>
      </w:r>
      <w:r w:rsidR="00BA64D2">
        <w:t>DEO’s proposed increases</w:t>
      </w:r>
      <w:r w:rsidR="00C07B81" w:rsidRPr="0017233F">
        <w:t xml:space="preserve"> to the </w:t>
      </w:r>
      <w:r w:rsidR="00C3721C">
        <w:t>PIR</w:t>
      </w:r>
      <w:r w:rsidR="004865D3" w:rsidRPr="0017233F">
        <w:t xml:space="preserve"> </w:t>
      </w:r>
      <w:r w:rsidR="00CC62FC">
        <w:t xml:space="preserve">Rider </w:t>
      </w:r>
      <w:r w:rsidR="006E221F">
        <w:t>rates</w:t>
      </w:r>
      <w:r w:rsidR="004865D3" w:rsidRPr="0017233F">
        <w:t xml:space="preserve">.  </w:t>
      </w:r>
      <w:r w:rsidR="00BA64D2">
        <w:t>As part of its investigation</w:t>
      </w:r>
      <w:r w:rsidR="00303967">
        <w:t>,</w:t>
      </w:r>
      <w:r w:rsidR="00BA64D2">
        <w:t xml:space="preserve"> t</w:t>
      </w:r>
      <w:r w:rsidR="00B33287" w:rsidRPr="0017233F">
        <w:t xml:space="preserve">he Staff reviewed and analyzed all of the documentation filed by the </w:t>
      </w:r>
      <w:r w:rsidR="00C07B81" w:rsidRPr="0017233F">
        <w:t>Company</w:t>
      </w:r>
      <w:r w:rsidR="00B33287" w:rsidRPr="0017233F">
        <w:t xml:space="preserve"> and traced it to supporting work papers and to source data.  </w:t>
      </w:r>
      <w:r w:rsidR="00BA64D2">
        <w:t xml:space="preserve">In addition, </w:t>
      </w:r>
      <w:r w:rsidR="00B33287" w:rsidRPr="0017233F">
        <w:t>Staff issued data requests, conducted investigative interviews, and performed independ</w:t>
      </w:r>
      <w:r w:rsidR="00E1736A">
        <w:softHyphen/>
      </w:r>
      <w:r w:rsidR="00B33287" w:rsidRPr="0017233F">
        <w:t>ent analyses when necessary.</w:t>
      </w:r>
      <w:r w:rsidR="002B6D5F">
        <w:t xml:space="preserve">  </w:t>
      </w:r>
    </w:p>
    <w:p w14:paraId="61B20EE7" w14:textId="0B4A7D55" w:rsidR="0082779B" w:rsidRDefault="00032280" w:rsidP="00032280">
      <w:pPr>
        <w:pStyle w:val="Textstyle"/>
      </w:pPr>
      <w:r>
        <w:lastRenderedPageBreak/>
        <w:tab/>
      </w:r>
      <w:r w:rsidR="00BA64D2">
        <w:t>Based on this investigation</w:t>
      </w:r>
      <w:r w:rsidR="00BA64D2" w:rsidRPr="00B81D96">
        <w:t>,</w:t>
      </w:r>
      <w:r w:rsidR="002B098D">
        <w:t xml:space="preserve"> </w:t>
      </w:r>
      <w:r w:rsidR="00012C7F">
        <w:t xml:space="preserve">Staff recommends that the Commission direct DEO to file revised schedules to its Application in order to remove the proposed adjustments </w:t>
      </w:r>
      <w:r w:rsidR="009B1C01">
        <w:t>to account for</w:t>
      </w:r>
      <w:r w:rsidR="00012C7F">
        <w:t xml:space="preserve"> plant retirements</w:t>
      </w:r>
      <w:r w:rsidR="00CF5621">
        <w:t xml:space="preserve"> </w:t>
      </w:r>
      <w:r w:rsidR="005E608C">
        <w:t xml:space="preserve">and related cost </w:t>
      </w:r>
      <w:r w:rsidR="00012C7F">
        <w:t xml:space="preserve">that should have been recorded in 2013 and 2014 and to implement the resulting PIR </w:t>
      </w:r>
      <w:r w:rsidR="00CC62FC">
        <w:t xml:space="preserve">Rider </w:t>
      </w:r>
      <w:r w:rsidR="00585281">
        <w:t>rates</w:t>
      </w:r>
      <w:r w:rsidR="00012C7F">
        <w:t xml:space="preserve"> accordingly.  </w:t>
      </w:r>
      <w:r w:rsidR="00CF5621">
        <w:t>Consistent with prior</w:t>
      </w:r>
      <w:r w:rsidR="00CF5621" w:rsidRPr="00B81D96" w:rsidDel="00E53A2B">
        <w:t xml:space="preserve"> </w:t>
      </w:r>
      <w:r w:rsidR="00CF5621">
        <w:t>Commission rulings, Staff historically has not supported adjustments to pending rider applications in order to reflect out</w:t>
      </w:r>
      <w:r w:rsidR="00585281">
        <w:t>-</w:t>
      </w:r>
      <w:r w:rsidR="00CF5621">
        <w:t>of</w:t>
      </w:r>
      <w:r w:rsidR="00585281">
        <w:t>-</w:t>
      </w:r>
      <w:r w:rsidR="00CF5621">
        <w:t>period adjustments.</w:t>
      </w:r>
      <w:r w:rsidR="00CF5621" w:rsidRPr="00A222A7">
        <w:rPr>
          <w:rStyle w:val="FootnoteReference"/>
        </w:rPr>
        <w:t xml:space="preserve"> </w:t>
      </w:r>
      <w:r w:rsidR="00CF5621" w:rsidRPr="009D092D">
        <w:rPr>
          <w:rStyle w:val="FootnoteReference"/>
        </w:rPr>
        <w:footnoteReference w:id="2"/>
      </w:r>
      <w:r w:rsidR="00CF5621">
        <w:t xml:space="preserve">  In Staff’s opinion, rider rates set in prior proceedings were subject to audit during those proceedings and specifically approved by the Commission.  Utilizing electronic copies of the Application schedules provided by the Company, Staff recalculated DEO’s proposed PIR </w:t>
      </w:r>
      <w:r w:rsidR="005114AF">
        <w:t>Rider rates</w:t>
      </w:r>
      <w:r w:rsidR="00CF5621">
        <w:t xml:space="preserve"> </w:t>
      </w:r>
      <w:r w:rsidR="000424B9">
        <w:t xml:space="preserve">with the </w:t>
      </w:r>
      <w:r w:rsidR="009B1C01">
        <w:t xml:space="preserve">proposed adjustments removed and determined that Dominion’s revised </w:t>
      </w:r>
      <w:r w:rsidR="0082779B">
        <w:t>revenue require</w:t>
      </w:r>
      <w:r w:rsidR="00A236E9">
        <w:softHyphen/>
      </w:r>
      <w:r w:rsidR="0082779B">
        <w:t xml:space="preserve">ment </w:t>
      </w:r>
      <w:r w:rsidR="009B1C01">
        <w:t>will be</w:t>
      </w:r>
      <w:r w:rsidR="00CF5621">
        <w:t xml:space="preserve"> $131,239,38</w:t>
      </w:r>
      <w:r w:rsidR="002B098D">
        <w:t>7.54</w:t>
      </w:r>
      <w:r w:rsidR="009B1C01">
        <w:t xml:space="preserve"> </w:t>
      </w:r>
      <w:r w:rsidR="0082779B">
        <w:t xml:space="preserve">and </w:t>
      </w:r>
      <w:r w:rsidR="009B1C01">
        <w:t xml:space="preserve">the resulting changes to the </w:t>
      </w:r>
      <w:r w:rsidR="0082779B">
        <w:t xml:space="preserve">PIR </w:t>
      </w:r>
      <w:r w:rsidR="005114AF">
        <w:t xml:space="preserve">Rider </w:t>
      </w:r>
      <w:r w:rsidR="002B098D">
        <w:t xml:space="preserve">Rates </w:t>
      </w:r>
      <w:r w:rsidR="00A16EDF">
        <w:t>will be</w:t>
      </w:r>
      <w:r w:rsidR="0082779B">
        <w:t>:</w:t>
      </w:r>
    </w:p>
    <w:p w14:paraId="3D255224" w14:textId="77777777" w:rsidR="0052497D" w:rsidRDefault="0052497D" w:rsidP="00032280">
      <w:pPr>
        <w:pStyle w:val="Textstyle"/>
      </w:pPr>
    </w:p>
    <w:tbl>
      <w:tblPr>
        <w:tblStyle w:val="TableGrid"/>
        <w:tblW w:w="0" w:type="auto"/>
        <w:tblLook w:val="04A0" w:firstRow="1" w:lastRow="0" w:firstColumn="1" w:lastColumn="0" w:noHBand="0" w:noVBand="1"/>
      </w:tblPr>
      <w:tblGrid>
        <w:gridCol w:w="2095"/>
        <w:gridCol w:w="2220"/>
        <w:gridCol w:w="2340"/>
        <w:gridCol w:w="2695"/>
      </w:tblGrid>
      <w:tr w:rsidR="00FD2732" w14:paraId="65356372" w14:textId="77777777" w:rsidTr="009D092D">
        <w:tc>
          <w:tcPr>
            <w:tcW w:w="2095" w:type="dxa"/>
            <w:shd w:val="clear" w:color="auto" w:fill="D9D9D9" w:themeFill="background1" w:themeFillShade="D9"/>
          </w:tcPr>
          <w:p w14:paraId="5EEFD9EB" w14:textId="6CA7D0B7" w:rsidR="00FD2732" w:rsidRPr="009D092D" w:rsidRDefault="00FD2732" w:rsidP="00032280">
            <w:pPr>
              <w:pStyle w:val="Textstyle"/>
            </w:pPr>
            <w:r w:rsidRPr="009D092D">
              <w:t>Rate Class</w:t>
            </w:r>
          </w:p>
        </w:tc>
        <w:tc>
          <w:tcPr>
            <w:tcW w:w="2220" w:type="dxa"/>
            <w:shd w:val="clear" w:color="auto" w:fill="D9D9D9" w:themeFill="background1" w:themeFillShade="D9"/>
          </w:tcPr>
          <w:p w14:paraId="3288011C" w14:textId="36523E1D" w:rsidR="00FD2732" w:rsidRPr="009D092D" w:rsidRDefault="00FD2732" w:rsidP="00032280">
            <w:pPr>
              <w:pStyle w:val="Textstyle"/>
            </w:pPr>
            <w:r w:rsidRPr="009D092D">
              <w:t>DEO’s Proposed Rates</w:t>
            </w:r>
            <w:r>
              <w:t xml:space="preserve"> </w:t>
            </w:r>
          </w:p>
        </w:tc>
        <w:tc>
          <w:tcPr>
            <w:tcW w:w="2340" w:type="dxa"/>
            <w:shd w:val="clear" w:color="auto" w:fill="D9D9D9" w:themeFill="background1" w:themeFillShade="D9"/>
          </w:tcPr>
          <w:p w14:paraId="269F68DD" w14:textId="5F32F8E7" w:rsidR="00FD2732" w:rsidRPr="009D092D" w:rsidRDefault="00FD2732" w:rsidP="00032280">
            <w:pPr>
              <w:pStyle w:val="Textstyle"/>
            </w:pPr>
            <w:r w:rsidRPr="009D092D">
              <w:t xml:space="preserve">Staff Adjusted Rates </w:t>
            </w:r>
          </w:p>
        </w:tc>
        <w:tc>
          <w:tcPr>
            <w:tcW w:w="2695" w:type="dxa"/>
            <w:shd w:val="clear" w:color="auto" w:fill="D9D9D9" w:themeFill="background1" w:themeFillShade="D9"/>
          </w:tcPr>
          <w:p w14:paraId="4C86AA05" w14:textId="0C25BE99" w:rsidR="00FD2732" w:rsidRPr="009D092D" w:rsidRDefault="00FD2732" w:rsidP="00032280">
            <w:pPr>
              <w:pStyle w:val="Textstyle"/>
            </w:pPr>
            <w:r w:rsidRPr="009D092D">
              <w:t xml:space="preserve">Difference </w:t>
            </w:r>
          </w:p>
        </w:tc>
      </w:tr>
      <w:tr w:rsidR="00CF49F9" w14:paraId="1CCC5DCF" w14:textId="77777777" w:rsidTr="009D092D">
        <w:tc>
          <w:tcPr>
            <w:tcW w:w="2095" w:type="dxa"/>
          </w:tcPr>
          <w:p w14:paraId="4C350041" w14:textId="1A1CD786" w:rsidR="00CF49F9" w:rsidRDefault="00CF49F9" w:rsidP="00032280">
            <w:pPr>
              <w:pStyle w:val="Textstyle"/>
            </w:pPr>
            <w:r>
              <w:t>GSS/ECTS</w:t>
            </w:r>
          </w:p>
        </w:tc>
        <w:tc>
          <w:tcPr>
            <w:tcW w:w="2220" w:type="dxa"/>
          </w:tcPr>
          <w:p w14:paraId="28579069" w14:textId="5464E305" w:rsidR="00CF49F9" w:rsidRDefault="00CF49F9" w:rsidP="00032280">
            <w:pPr>
              <w:pStyle w:val="Textstyle"/>
            </w:pPr>
            <w:r>
              <w:t>$8.12/month</w:t>
            </w:r>
          </w:p>
        </w:tc>
        <w:tc>
          <w:tcPr>
            <w:tcW w:w="2340" w:type="dxa"/>
          </w:tcPr>
          <w:p w14:paraId="424BDAF8" w14:textId="37B88EA9" w:rsidR="00CF49F9" w:rsidRDefault="00CF49F9" w:rsidP="00032280">
            <w:pPr>
              <w:pStyle w:val="Textstyle"/>
            </w:pPr>
            <w:r>
              <w:t>$8.12/month</w:t>
            </w:r>
          </w:p>
        </w:tc>
        <w:tc>
          <w:tcPr>
            <w:tcW w:w="2695" w:type="dxa"/>
          </w:tcPr>
          <w:p w14:paraId="731C393A" w14:textId="72D6B41D" w:rsidR="00CF49F9" w:rsidRDefault="00CF49F9" w:rsidP="00032280">
            <w:pPr>
              <w:pStyle w:val="Textstyle"/>
            </w:pPr>
            <w:r>
              <w:t>No change</w:t>
            </w:r>
          </w:p>
        </w:tc>
      </w:tr>
      <w:tr w:rsidR="00CF49F9" w14:paraId="03643220" w14:textId="77777777" w:rsidTr="009D092D">
        <w:tc>
          <w:tcPr>
            <w:tcW w:w="2095" w:type="dxa"/>
          </w:tcPr>
          <w:p w14:paraId="67378BDD" w14:textId="5F84F0CA" w:rsidR="00CF49F9" w:rsidRDefault="00CF49F9" w:rsidP="00032280">
            <w:pPr>
              <w:pStyle w:val="Textstyle"/>
            </w:pPr>
            <w:r>
              <w:t>LVGSS/LVECTS</w:t>
            </w:r>
          </w:p>
        </w:tc>
        <w:tc>
          <w:tcPr>
            <w:tcW w:w="2220" w:type="dxa"/>
          </w:tcPr>
          <w:p w14:paraId="58FD89EE" w14:textId="65D3C6CE" w:rsidR="00CF49F9" w:rsidRDefault="00CF49F9" w:rsidP="00032280">
            <w:pPr>
              <w:pStyle w:val="Textstyle"/>
            </w:pPr>
            <w:r>
              <w:t>$53.49/month</w:t>
            </w:r>
          </w:p>
        </w:tc>
        <w:tc>
          <w:tcPr>
            <w:tcW w:w="2340" w:type="dxa"/>
          </w:tcPr>
          <w:p w14:paraId="11A157D7" w14:textId="3ADA1890" w:rsidR="00CF49F9" w:rsidRDefault="00CF49F9" w:rsidP="00032280">
            <w:pPr>
              <w:pStyle w:val="Textstyle"/>
            </w:pPr>
            <w:r>
              <w:t>$53.47/month</w:t>
            </w:r>
          </w:p>
        </w:tc>
        <w:tc>
          <w:tcPr>
            <w:tcW w:w="2695" w:type="dxa"/>
          </w:tcPr>
          <w:p w14:paraId="75B3878D" w14:textId="1C5D1F78" w:rsidR="00CF49F9" w:rsidRDefault="00CC62FC" w:rsidP="00032280">
            <w:pPr>
              <w:pStyle w:val="Textstyle"/>
            </w:pPr>
            <w:r>
              <w:t>$0.02/month</w:t>
            </w:r>
          </w:p>
        </w:tc>
      </w:tr>
      <w:tr w:rsidR="00CF49F9" w14:paraId="75CEB60A" w14:textId="77777777" w:rsidTr="009D092D">
        <w:tc>
          <w:tcPr>
            <w:tcW w:w="2095" w:type="dxa"/>
          </w:tcPr>
          <w:p w14:paraId="35E39984" w14:textId="0A166FAB" w:rsidR="00CF49F9" w:rsidRDefault="00CF49F9" w:rsidP="00032280">
            <w:pPr>
              <w:pStyle w:val="Textstyle"/>
            </w:pPr>
            <w:r>
              <w:t>GTS/TSS</w:t>
            </w:r>
          </w:p>
        </w:tc>
        <w:tc>
          <w:tcPr>
            <w:tcW w:w="2220" w:type="dxa"/>
          </w:tcPr>
          <w:p w14:paraId="77853704" w14:textId="087EC58D" w:rsidR="00CF49F9" w:rsidRDefault="00CF49F9" w:rsidP="00032280">
            <w:pPr>
              <w:pStyle w:val="Textstyle"/>
            </w:pPr>
            <w:r>
              <w:t>$253.28/month</w:t>
            </w:r>
          </w:p>
        </w:tc>
        <w:tc>
          <w:tcPr>
            <w:tcW w:w="2340" w:type="dxa"/>
          </w:tcPr>
          <w:p w14:paraId="4C9C7B08" w14:textId="34E30C12" w:rsidR="00CF49F9" w:rsidRDefault="00CF49F9" w:rsidP="00032280">
            <w:pPr>
              <w:pStyle w:val="Textstyle"/>
            </w:pPr>
            <w:r>
              <w:t>$253.22/month</w:t>
            </w:r>
          </w:p>
        </w:tc>
        <w:tc>
          <w:tcPr>
            <w:tcW w:w="2695" w:type="dxa"/>
          </w:tcPr>
          <w:p w14:paraId="2A28AF02" w14:textId="3B8CF00C" w:rsidR="00CF49F9" w:rsidRDefault="00CC62FC" w:rsidP="00032280">
            <w:pPr>
              <w:pStyle w:val="Textstyle"/>
            </w:pPr>
            <w:r>
              <w:t>$0.06/month</w:t>
            </w:r>
          </w:p>
        </w:tc>
      </w:tr>
      <w:tr w:rsidR="00CF49F9" w14:paraId="681E0395" w14:textId="77777777" w:rsidTr="009D092D">
        <w:tc>
          <w:tcPr>
            <w:tcW w:w="2095" w:type="dxa"/>
          </w:tcPr>
          <w:p w14:paraId="162AA76E" w14:textId="19C6B762" w:rsidR="00CF49F9" w:rsidRDefault="00CF49F9" w:rsidP="00032280">
            <w:pPr>
              <w:pStyle w:val="Textstyle"/>
            </w:pPr>
            <w:r>
              <w:t>DTS</w:t>
            </w:r>
          </w:p>
        </w:tc>
        <w:tc>
          <w:tcPr>
            <w:tcW w:w="2220" w:type="dxa"/>
          </w:tcPr>
          <w:p w14:paraId="7D65DBEF" w14:textId="026D573E" w:rsidR="00CF49F9" w:rsidRDefault="00CF49F9" w:rsidP="00032280">
            <w:pPr>
              <w:pStyle w:val="Textstyle"/>
            </w:pPr>
            <w:r>
              <w:t>$0.0564/Mcf</w:t>
            </w:r>
          </w:p>
        </w:tc>
        <w:tc>
          <w:tcPr>
            <w:tcW w:w="2340" w:type="dxa"/>
          </w:tcPr>
          <w:p w14:paraId="47B349C6" w14:textId="4BEF35CE" w:rsidR="00CF49F9" w:rsidRDefault="00CF49F9" w:rsidP="00032280">
            <w:pPr>
              <w:pStyle w:val="Textstyle"/>
            </w:pPr>
            <w:r>
              <w:t>$0.0564/Mcf</w:t>
            </w:r>
          </w:p>
        </w:tc>
        <w:tc>
          <w:tcPr>
            <w:tcW w:w="2695" w:type="dxa"/>
          </w:tcPr>
          <w:p w14:paraId="442204C6" w14:textId="31C8B399" w:rsidR="00CF49F9" w:rsidRDefault="00CF49F9" w:rsidP="00032280">
            <w:pPr>
              <w:pStyle w:val="Textstyle"/>
            </w:pPr>
            <w:r>
              <w:t>No change</w:t>
            </w:r>
          </w:p>
        </w:tc>
      </w:tr>
    </w:tbl>
    <w:p w14:paraId="25965639" w14:textId="77777777" w:rsidR="0082779B" w:rsidRDefault="0082779B" w:rsidP="00032280">
      <w:pPr>
        <w:pStyle w:val="Textstyle"/>
      </w:pPr>
    </w:p>
    <w:p w14:paraId="2B68CDCD" w14:textId="3CE6E3D0" w:rsidR="00E53A2B" w:rsidRPr="00B81D96" w:rsidRDefault="00032280" w:rsidP="00032280">
      <w:pPr>
        <w:pStyle w:val="Textstyle"/>
      </w:pPr>
      <w:r>
        <w:lastRenderedPageBreak/>
        <w:tab/>
      </w:r>
      <w:r w:rsidR="00CF5621">
        <w:t>Staff has no other objections to DEO’s Application</w:t>
      </w:r>
      <w:r w:rsidR="00CC62FC">
        <w:t xml:space="preserve">. </w:t>
      </w:r>
      <w:r w:rsidR="00CF5621">
        <w:t xml:space="preserve"> </w:t>
      </w:r>
      <w:r w:rsidR="00CC62FC">
        <w:t>T</w:t>
      </w:r>
      <w:r w:rsidR="00CF5621">
        <w:t>herefore</w:t>
      </w:r>
      <w:r w:rsidR="00CC62FC">
        <w:t>,</w:t>
      </w:r>
      <w:r w:rsidR="00CF5621">
        <w:t xml:space="preserve"> </w:t>
      </w:r>
      <w:r w:rsidR="00CC62FC">
        <w:t>subject to the</w:t>
      </w:r>
      <w:r w:rsidR="00CF5621">
        <w:t xml:space="preserve"> adoption of Staff</w:t>
      </w:r>
      <w:r w:rsidR="00CC62FC">
        <w:t>’s</w:t>
      </w:r>
      <w:r w:rsidR="00CF5621">
        <w:t xml:space="preserve"> modification described above, Staff recommends that the Commission approve DEO’s Application.  </w:t>
      </w:r>
    </w:p>
    <w:tbl>
      <w:tblPr>
        <w:tblW w:w="0" w:type="auto"/>
        <w:tblLook w:val="04A0" w:firstRow="1" w:lastRow="0" w:firstColumn="1" w:lastColumn="0" w:noHBand="0" w:noVBand="1"/>
      </w:tblPr>
      <w:tblGrid>
        <w:gridCol w:w="4662"/>
        <w:gridCol w:w="4698"/>
      </w:tblGrid>
      <w:tr w:rsidR="00C2357B" w:rsidRPr="0017233F" w14:paraId="07B64A95" w14:textId="77777777" w:rsidTr="00016347">
        <w:tc>
          <w:tcPr>
            <w:tcW w:w="4662" w:type="dxa"/>
            <w:shd w:val="clear" w:color="auto" w:fill="auto"/>
          </w:tcPr>
          <w:p w14:paraId="5329186A" w14:textId="77777777" w:rsidR="00C2357B" w:rsidRPr="0017233F" w:rsidRDefault="00C2357B" w:rsidP="004E29F2">
            <w:pPr>
              <w:pStyle w:val="Title"/>
              <w:jc w:val="both"/>
              <w:rPr>
                <w:rFonts w:ascii="Times New Roman" w:hAnsi="Times New Roman"/>
                <w:sz w:val="26"/>
                <w:szCs w:val="26"/>
              </w:rPr>
            </w:pPr>
            <w:bookmarkStart w:id="0" w:name="_GoBack"/>
            <w:bookmarkEnd w:id="0"/>
          </w:p>
        </w:tc>
        <w:tc>
          <w:tcPr>
            <w:tcW w:w="4698" w:type="dxa"/>
            <w:shd w:val="clear" w:color="auto" w:fill="auto"/>
          </w:tcPr>
          <w:p w14:paraId="6A9A89B3" w14:textId="77777777" w:rsidR="004E29F2" w:rsidRPr="0017233F" w:rsidRDefault="004E29F2" w:rsidP="004E29F2">
            <w:pPr>
              <w:spacing w:line="480" w:lineRule="auto"/>
              <w:jc w:val="both"/>
              <w:rPr>
                <w:sz w:val="26"/>
                <w:szCs w:val="26"/>
              </w:rPr>
            </w:pPr>
            <w:r w:rsidRPr="0017233F">
              <w:rPr>
                <w:sz w:val="26"/>
                <w:szCs w:val="26"/>
              </w:rPr>
              <w:t>Respectfully submitted,</w:t>
            </w:r>
          </w:p>
          <w:p w14:paraId="45A18725" w14:textId="77777777" w:rsidR="004E29F2" w:rsidRPr="0017233F" w:rsidRDefault="00AA1D39" w:rsidP="004E29F2">
            <w:pPr>
              <w:autoSpaceDE w:val="0"/>
              <w:autoSpaceDN w:val="0"/>
              <w:adjustRightInd w:val="0"/>
              <w:rPr>
                <w:b/>
                <w:sz w:val="26"/>
                <w:szCs w:val="26"/>
              </w:rPr>
            </w:pPr>
            <w:r>
              <w:rPr>
                <w:b/>
                <w:sz w:val="26"/>
                <w:szCs w:val="26"/>
              </w:rPr>
              <w:t>Michael DeWine</w:t>
            </w:r>
          </w:p>
          <w:p w14:paraId="60CA7E97" w14:textId="77777777" w:rsidR="004E29F2" w:rsidRPr="0017233F" w:rsidRDefault="004E29F2" w:rsidP="004E29F2">
            <w:pPr>
              <w:autoSpaceDE w:val="0"/>
              <w:autoSpaceDN w:val="0"/>
              <w:adjustRightInd w:val="0"/>
              <w:rPr>
                <w:sz w:val="26"/>
                <w:szCs w:val="26"/>
              </w:rPr>
            </w:pPr>
            <w:r w:rsidRPr="0017233F">
              <w:rPr>
                <w:sz w:val="26"/>
                <w:szCs w:val="26"/>
              </w:rPr>
              <w:t>Ohio Attorney General</w:t>
            </w:r>
          </w:p>
          <w:p w14:paraId="53675320" w14:textId="77777777" w:rsidR="004E29F2" w:rsidRPr="0017233F" w:rsidRDefault="004E29F2" w:rsidP="004E29F2">
            <w:pPr>
              <w:autoSpaceDE w:val="0"/>
              <w:autoSpaceDN w:val="0"/>
              <w:adjustRightInd w:val="0"/>
              <w:rPr>
                <w:sz w:val="26"/>
                <w:szCs w:val="26"/>
              </w:rPr>
            </w:pPr>
          </w:p>
          <w:p w14:paraId="3DECDE86" w14:textId="77777777" w:rsidR="004E29F2" w:rsidRPr="0017233F" w:rsidRDefault="00AA1D39" w:rsidP="004E29F2">
            <w:pPr>
              <w:autoSpaceDE w:val="0"/>
              <w:autoSpaceDN w:val="0"/>
              <w:adjustRightInd w:val="0"/>
              <w:rPr>
                <w:b/>
                <w:sz w:val="26"/>
                <w:szCs w:val="26"/>
              </w:rPr>
            </w:pPr>
            <w:r>
              <w:rPr>
                <w:b/>
                <w:sz w:val="26"/>
                <w:szCs w:val="26"/>
              </w:rPr>
              <w:t>William L. Wright</w:t>
            </w:r>
          </w:p>
          <w:p w14:paraId="432183BC" w14:textId="77777777" w:rsidR="004E29F2" w:rsidRPr="0017233F" w:rsidRDefault="004E29F2" w:rsidP="004E29F2">
            <w:pPr>
              <w:autoSpaceDE w:val="0"/>
              <w:autoSpaceDN w:val="0"/>
              <w:adjustRightInd w:val="0"/>
              <w:rPr>
                <w:sz w:val="26"/>
                <w:szCs w:val="26"/>
              </w:rPr>
            </w:pPr>
            <w:r w:rsidRPr="0017233F">
              <w:rPr>
                <w:sz w:val="26"/>
                <w:szCs w:val="26"/>
              </w:rPr>
              <w:t>Section Chief</w:t>
            </w:r>
          </w:p>
          <w:p w14:paraId="77C7A0F4" w14:textId="77777777" w:rsidR="004E29F2" w:rsidRPr="0017233F" w:rsidRDefault="004E29F2" w:rsidP="004E29F2">
            <w:pPr>
              <w:autoSpaceDE w:val="0"/>
              <w:autoSpaceDN w:val="0"/>
              <w:adjustRightInd w:val="0"/>
              <w:rPr>
                <w:sz w:val="26"/>
                <w:szCs w:val="26"/>
              </w:rPr>
            </w:pPr>
          </w:p>
          <w:p w14:paraId="4076B2CB" w14:textId="3D72701C" w:rsidR="00016347" w:rsidRPr="00032280" w:rsidRDefault="00EE0EBC" w:rsidP="00016347">
            <w:pPr>
              <w:tabs>
                <w:tab w:val="left" w:pos="4590"/>
              </w:tabs>
              <w:ind w:right="-108"/>
              <w:jc w:val="both"/>
              <w:rPr>
                <w:sz w:val="26"/>
                <w:szCs w:val="26"/>
                <w:u w:val="single"/>
              </w:rPr>
            </w:pPr>
            <w:r w:rsidRPr="00032280">
              <w:rPr>
                <w:rFonts w:ascii="Viner Hand ITC" w:hAnsi="Viner Hand ITC"/>
                <w:sz w:val="26"/>
                <w:szCs w:val="26"/>
                <w:u w:val="single"/>
              </w:rPr>
              <w:t xml:space="preserve">/s/ </w:t>
            </w:r>
            <w:r w:rsidR="00BC15F3">
              <w:rPr>
                <w:rFonts w:ascii="Viner Hand ITC" w:hAnsi="Viner Hand ITC"/>
                <w:sz w:val="26"/>
                <w:szCs w:val="26"/>
                <w:u w:val="single"/>
              </w:rPr>
              <w:t>Robert A. Eubanks</w:t>
            </w:r>
            <w:r w:rsidR="00016347" w:rsidRPr="00032280">
              <w:rPr>
                <w:sz w:val="26"/>
                <w:szCs w:val="26"/>
                <w:u w:val="single"/>
              </w:rPr>
              <w:tab/>
            </w:r>
          </w:p>
          <w:p w14:paraId="6FE67F7E" w14:textId="1A272C29" w:rsidR="000472EF" w:rsidRDefault="00032280" w:rsidP="004E29F2">
            <w:pPr>
              <w:jc w:val="both"/>
              <w:rPr>
                <w:b/>
                <w:sz w:val="26"/>
                <w:szCs w:val="26"/>
              </w:rPr>
            </w:pPr>
            <w:r>
              <w:rPr>
                <w:b/>
                <w:sz w:val="26"/>
                <w:szCs w:val="26"/>
              </w:rPr>
              <w:t>Steven L. Beeler</w:t>
            </w:r>
          </w:p>
          <w:p w14:paraId="6BD5DF4F" w14:textId="5026187E" w:rsidR="00032280" w:rsidRPr="00032280" w:rsidRDefault="00032280" w:rsidP="004E29F2">
            <w:pPr>
              <w:jc w:val="both"/>
              <w:rPr>
                <w:b/>
                <w:sz w:val="26"/>
                <w:szCs w:val="26"/>
              </w:rPr>
            </w:pPr>
            <w:r>
              <w:rPr>
                <w:b/>
                <w:sz w:val="26"/>
                <w:szCs w:val="26"/>
              </w:rPr>
              <w:t>Robert A. Eubanks</w:t>
            </w:r>
          </w:p>
          <w:p w14:paraId="78B5FEFA" w14:textId="77777777" w:rsidR="004E29F2" w:rsidRPr="00032280" w:rsidRDefault="004E29F2" w:rsidP="004E29F2">
            <w:pPr>
              <w:jc w:val="both"/>
              <w:rPr>
                <w:sz w:val="26"/>
                <w:szCs w:val="26"/>
              </w:rPr>
            </w:pPr>
            <w:r w:rsidRPr="00032280">
              <w:rPr>
                <w:sz w:val="26"/>
                <w:szCs w:val="26"/>
              </w:rPr>
              <w:t>Assistant Attorney</w:t>
            </w:r>
            <w:r w:rsidR="000472EF" w:rsidRPr="00032280">
              <w:rPr>
                <w:sz w:val="26"/>
                <w:szCs w:val="26"/>
              </w:rPr>
              <w:t>s</w:t>
            </w:r>
            <w:r w:rsidRPr="00032280">
              <w:rPr>
                <w:sz w:val="26"/>
                <w:szCs w:val="26"/>
              </w:rPr>
              <w:t xml:space="preserve"> General</w:t>
            </w:r>
          </w:p>
          <w:p w14:paraId="7903C6E9" w14:textId="77777777" w:rsidR="004E29F2" w:rsidRPr="00032280" w:rsidRDefault="004E29F2" w:rsidP="004E29F2">
            <w:pPr>
              <w:jc w:val="both"/>
              <w:rPr>
                <w:sz w:val="26"/>
                <w:szCs w:val="26"/>
              </w:rPr>
            </w:pPr>
            <w:r w:rsidRPr="00032280">
              <w:rPr>
                <w:sz w:val="26"/>
                <w:szCs w:val="26"/>
              </w:rPr>
              <w:t>180 East Broad Street</w:t>
            </w:r>
          </w:p>
          <w:p w14:paraId="20F2CFDC" w14:textId="77777777" w:rsidR="004E29F2" w:rsidRPr="00032280" w:rsidRDefault="004E29F2" w:rsidP="004E29F2">
            <w:pPr>
              <w:jc w:val="both"/>
              <w:rPr>
                <w:sz w:val="26"/>
                <w:szCs w:val="26"/>
              </w:rPr>
            </w:pPr>
            <w:r w:rsidRPr="00032280">
              <w:rPr>
                <w:sz w:val="26"/>
                <w:szCs w:val="26"/>
              </w:rPr>
              <w:t>Columbus, Ohio 43215</w:t>
            </w:r>
          </w:p>
          <w:p w14:paraId="1E1CDE1A" w14:textId="77777777" w:rsidR="004E29F2" w:rsidRPr="00032280" w:rsidRDefault="00016347" w:rsidP="004E29F2">
            <w:pPr>
              <w:jc w:val="both"/>
              <w:rPr>
                <w:sz w:val="26"/>
                <w:szCs w:val="26"/>
              </w:rPr>
            </w:pPr>
            <w:r w:rsidRPr="00032280">
              <w:rPr>
                <w:sz w:val="26"/>
                <w:szCs w:val="26"/>
              </w:rPr>
              <w:t>614.995.</w:t>
            </w:r>
            <w:r w:rsidR="006150BD" w:rsidRPr="00032280">
              <w:rPr>
                <w:sz w:val="26"/>
                <w:szCs w:val="26"/>
              </w:rPr>
              <w:t>5532</w:t>
            </w:r>
            <w:r w:rsidRPr="00032280">
              <w:rPr>
                <w:sz w:val="26"/>
                <w:szCs w:val="26"/>
              </w:rPr>
              <w:t xml:space="preserve"> (telephone)</w:t>
            </w:r>
          </w:p>
          <w:p w14:paraId="5481413E" w14:textId="77777777" w:rsidR="004E29F2" w:rsidRPr="00032280" w:rsidRDefault="00016347" w:rsidP="004E29F2">
            <w:pPr>
              <w:jc w:val="both"/>
              <w:rPr>
                <w:sz w:val="26"/>
                <w:szCs w:val="26"/>
              </w:rPr>
            </w:pPr>
            <w:r w:rsidRPr="00032280">
              <w:rPr>
                <w:sz w:val="26"/>
                <w:szCs w:val="26"/>
              </w:rPr>
              <w:t>614.644.</w:t>
            </w:r>
            <w:r w:rsidR="004E29F2" w:rsidRPr="00032280">
              <w:rPr>
                <w:sz w:val="26"/>
                <w:szCs w:val="26"/>
              </w:rPr>
              <w:t>8764</w:t>
            </w:r>
            <w:r w:rsidRPr="00032280">
              <w:rPr>
                <w:sz w:val="26"/>
                <w:szCs w:val="26"/>
              </w:rPr>
              <w:t xml:space="preserve"> (fax)</w:t>
            </w:r>
          </w:p>
          <w:p w14:paraId="7DB0D165" w14:textId="5705E7C6" w:rsidR="00016347" w:rsidRPr="00032280" w:rsidRDefault="00BC15F3" w:rsidP="004E29F2">
            <w:pPr>
              <w:jc w:val="both"/>
              <w:rPr>
                <w:sz w:val="26"/>
                <w:szCs w:val="26"/>
              </w:rPr>
            </w:pPr>
            <w:hyperlink r:id="rId8" w:history="1">
              <w:r w:rsidR="00032280" w:rsidRPr="005E71A9">
                <w:rPr>
                  <w:rStyle w:val="Hyperlink"/>
                  <w:sz w:val="26"/>
                  <w:szCs w:val="26"/>
                </w:rPr>
                <w:t>steven.beeler@puc.state.oh.us</w:t>
              </w:r>
            </w:hyperlink>
          </w:p>
          <w:p w14:paraId="035E02C9" w14:textId="0EA6386B" w:rsidR="00016347" w:rsidRDefault="00BC15F3" w:rsidP="004E29F2">
            <w:pPr>
              <w:jc w:val="both"/>
              <w:rPr>
                <w:sz w:val="26"/>
                <w:szCs w:val="26"/>
              </w:rPr>
            </w:pPr>
            <w:hyperlink r:id="rId9" w:history="1">
              <w:r w:rsidR="00032280" w:rsidRPr="005E71A9">
                <w:rPr>
                  <w:rStyle w:val="Hyperlink"/>
                  <w:sz w:val="26"/>
                  <w:szCs w:val="26"/>
                </w:rPr>
                <w:t>robert.eubanks@puc.state.oh.us</w:t>
              </w:r>
            </w:hyperlink>
          </w:p>
          <w:p w14:paraId="489D8C7F" w14:textId="77777777" w:rsidR="00D33168" w:rsidRDefault="00D33168" w:rsidP="004E29F2">
            <w:pPr>
              <w:autoSpaceDE w:val="0"/>
              <w:autoSpaceDN w:val="0"/>
              <w:adjustRightInd w:val="0"/>
              <w:rPr>
                <w:sz w:val="26"/>
                <w:szCs w:val="26"/>
              </w:rPr>
            </w:pPr>
          </w:p>
          <w:p w14:paraId="5F23B5CF" w14:textId="77777777" w:rsidR="004E29F2" w:rsidRPr="00016347" w:rsidRDefault="004E29F2" w:rsidP="004E29F2">
            <w:pPr>
              <w:autoSpaceDE w:val="0"/>
              <w:autoSpaceDN w:val="0"/>
              <w:adjustRightInd w:val="0"/>
              <w:rPr>
                <w:b/>
                <w:sz w:val="26"/>
                <w:szCs w:val="26"/>
              </w:rPr>
            </w:pPr>
            <w:r w:rsidRPr="00016347">
              <w:rPr>
                <w:b/>
                <w:sz w:val="26"/>
                <w:szCs w:val="26"/>
              </w:rPr>
              <w:t xml:space="preserve">On </w:t>
            </w:r>
            <w:r w:rsidR="00D33168" w:rsidRPr="00016347">
              <w:rPr>
                <w:b/>
                <w:sz w:val="26"/>
                <w:szCs w:val="26"/>
              </w:rPr>
              <w:t>B</w:t>
            </w:r>
            <w:r w:rsidRPr="00016347">
              <w:rPr>
                <w:b/>
                <w:sz w:val="26"/>
                <w:szCs w:val="26"/>
              </w:rPr>
              <w:t>ehalf of the Staff of the</w:t>
            </w:r>
          </w:p>
          <w:p w14:paraId="78029F96" w14:textId="77777777" w:rsidR="004E29F2" w:rsidRPr="00016347" w:rsidRDefault="004E29F2" w:rsidP="004E29F2">
            <w:pPr>
              <w:jc w:val="both"/>
              <w:rPr>
                <w:b/>
                <w:sz w:val="26"/>
                <w:szCs w:val="26"/>
              </w:rPr>
            </w:pPr>
            <w:r w:rsidRPr="00016347">
              <w:rPr>
                <w:b/>
                <w:sz w:val="26"/>
                <w:szCs w:val="26"/>
              </w:rPr>
              <w:t>Public Utilities Commission of Ohio</w:t>
            </w:r>
          </w:p>
          <w:p w14:paraId="17B13215" w14:textId="77777777" w:rsidR="004E29F2" w:rsidRPr="0017233F" w:rsidRDefault="004E29F2" w:rsidP="004E29F2">
            <w:pPr>
              <w:jc w:val="both"/>
              <w:rPr>
                <w:sz w:val="26"/>
                <w:szCs w:val="26"/>
              </w:rPr>
            </w:pPr>
          </w:p>
          <w:p w14:paraId="03DB1B63" w14:textId="77777777" w:rsidR="00C2357B" w:rsidRPr="0017233F" w:rsidRDefault="00C2357B" w:rsidP="004E29F2">
            <w:pPr>
              <w:pStyle w:val="Title"/>
              <w:jc w:val="both"/>
              <w:rPr>
                <w:rFonts w:ascii="Times New Roman" w:hAnsi="Times New Roman"/>
                <w:sz w:val="26"/>
                <w:szCs w:val="26"/>
              </w:rPr>
            </w:pPr>
          </w:p>
        </w:tc>
      </w:tr>
    </w:tbl>
    <w:p w14:paraId="7A8312DA" w14:textId="77777777" w:rsidR="000424B9" w:rsidRDefault="000424B9" w:rsidP="00C2357B">
      <w:pPr>
        <w:pStyle w:val="Title"/>
        <w:rPr>
          <w:rFonts w:ascii="Times New Roman" w:hAnsi="Times New Roman"/>
          <w:b/>
          <w:sz w:val="26"/>
          <w:szCs w:val="26"/>
        </w:rPr>
      </w:pPr>
      <w:r>
        <w:rPr>
          <w:rFonts w:ascii="Times New Roman" w:hAnsi="Times New Roman"/>
          <w:b/>
          <w:sz w:val="26"/>
          <w:szCs w:val="26"/>
        </w:rPr>
        <w:br w:type="page"/>
      </w:r>
    </w:p>
    <w:p w14:paraId="03B7E4D4" w14:textId="594D0343" w:rsidR="00FF69FE" w:rsidRPr="0017233F" w:rsidRDefault="00C2357B" w:rsidP="00C2357B">
      <w:pPr>
        <w:pStyle w:val="Title"/>
        <w:rPr>
          <w:rFonts w:ascii="Times New Roman" w:hAnsi="Times New Roman"/>
          <w:b/>
          <w:sz w:val="26"/>
          <w:szCs w:val="26"/>
        </w:rPr>
      </w:pPr>
      <w:r w:rsidRPr="0017233F">
        <w:rPr>
          <w:rFonts w:ascii="Times New Roman" w:hAnsi="Times New Roman"/>
          <w:b/>
          <w:sz w:val="26"/>
          <w:szCs w:val="26"/>
        </w:rPr>
        <w:lastRenderedPageBreak/>
        <w:t>CERTIFICATE OF SERVICE</w:t>
      </w:r>
    </w:p>
    <w:p w14:paraId="40D2484C" w14:textId="77777777" w:rsidR="00C2357B" w:rsidRPr="0017233F" w:rsidRDefault="00C2357B" w:rsidP="00C2357B">
      <w:pPr>
        <w:pStyle w:val="Title"/>
        <w:jc w:val="left"/>
        <w:rPr>
          <w:rFonts w:ascii="Times New Roman" w:hAnsi="Times New Roman"/>
          <w:b/>
          <w:sz w:val="26"/>
          <w:szCs w:val="26"/>
        </w:rPr>
      </w:pPr>
    </w:p>
    <w:p w14:paraId="5E2C56B0" w14:textId="75837003" w:rsidR="00C2357B" w:rsidRPr="0017233F" w:rsidRDefault="0017233F" w:rsidP="00032280">
      <w:pPr>
        <w:pStyle w:val="Textstyle"/>
      </w:pPr>
      <w:r>
        <w:tab/>
      </w:r>
      <w:r w:rsidR="00C2357B" w:rsidRPr="0017233F">
        <w:t xml:space="preserve">I certify that a copy of the foregoing Staff Comments was served via electronic mail upon </w:t>
      </w:r>
      <w:r w:rsidR="00A236E9">
        <w:t>all parties of record</w:t>
      </w:r>
      <w:r w:rsidR="00C2357B" w:rsidRPr="0017233F">
        <w:t xml:space="preserve"> this </w:t>
      </w:r>
      <w:r w:rsidR="00E635E6">
        <w:t>25</w:t>
      </w:r>
      <w:r w:rsidR="00E635E6" w:rsidRPr="0017233F">
        <w:rPr>
          <w:vertAlign w:val="superscript"/>
        </w:rPr>
        <w:t>th</w:t>
      </w:r>
      <w:r w:rsidR="00E635E6" w:rsidRPr="0017233F">
        <w:t xml:space="preserve"> </w:t>
      </w:r>
      <w:r w:rsidR="00C2357B" w:rsidRPr="0017233F">
        <w:t xml:space="preserve">day of </w:t>
      </w:r>
      <w:r w:rsidR="00C50CB7">
        <w:t>March</w:t>
      </w:r>
      <w:r w:rsidR="00C2357B" w:rsidRPr="0017233F">
        <w:t xml:space="preserve">, </w:t>
      </w:r>
      <w:r w:rsidR="00E635E6" w:rsidRPr="0017233F">
        <w:t>20</w:t>
      </w:r>
      <w:r w:rsidR="00E635E6">
        <w:t>16</w:t>
      </w:r>
      <w:r w:rsidR="00C2357B" w:rsidRPr="0017233F">
        <w:t>.</w:t>
      </w:r>
    </w:p>
    <w:p w14:paraId="660677ED" w14:textId="3EDC98C4" w:rsidR="003A079A" w:rsidRPr="00016347" w:rsidRDefault="00EE0EBC" w:rsidP="003A079A">
      <w:pPr>
        <w:tabs>
          <w:tab w:val="left" w:pos="9360"/>
        </w:tabs>
        <w:ind w:left="4590" w:right="-108"/>
        <w:jc w:val="both"/>
        <w:rPr>
          <w:sz w:val="26"/>
          <w:szCs w:val="26"/>
          <w:u w:val="single"/>
        </w:rPr>
      </w:pPr>
      <w:r>
        <w:rPr>
          <w:rFonts w:ascii="Viner Hand ITC" w:hAnsi="Viner Hand ITC"/>
          <w:sz w:val="26"/>
          <w:szCs w:val="26"/>
          <w:u w:val="single"/>
        </w:rPr>
        <w:t xml:space="preserve">/s/ </w:t>
      </w:r>
      <w:r w:rsidR="00032280">
        <w:rPr>
          <w:rFonts w:ascii="Viner Hand ITC" w:hAnsi="Viner Hand ITC"/>
          <w:sz w:val="26"/>
          <w:szCs w:val="26"/>
          <w:u w:val="single"/>
        </w:rPr>
        <w:t>Robert A. Eubanks</w:t>
      </w:r>
      <w:r w:rsidR="003A079A">
        <w:rPr>
          <w:sz w:val="26"/>
          <w:szCs w:val="26"/>
          <w:u w:val="single"/>
        </w:rPr>
        <w:tab/>
      </w:r>
    </w:p>
    <w:p w14:paraId="21339EB5" w14:textId="4254C976" w:rsidR="003A079A" w:rsidRDefault="00032280" w:rsidP="003A079A">
      <w:pPr>
        <w:ind w:left="4590"/>
        <w:jc w:val="both"/>
        <w:rPr>
          <w:b/>
          <w:sz w:val="26"/>
          <w:szCs w:val="26"/>
        </w:rPr>
      </w:pPr>
      <w:r>
        <w:rPr>
          <w:b/>
          <w:sz w:val="26"/>
          <w:szCs w:val="26"/>
        </w:rPr>
        <w:t>Robert A. Eubanks</w:t>
      </w:r>
    </w:p>
    <w:p w14:paraId="545C56E6" w14:textId="77777777" w:rsidR="003A079A" w:rsidRPr="003A079A" w:rsidRDefault="003A079A" w:rsidP="003A079A">
      <w:pPr>
        <w:ind w:left="4590"/>
        <w:jc w:val="both"/>
        <w:rPr>
          <w:sz w:val="26"/>
          <w:szCs w:val="26"/>
        </w:rPr>
      </w:pPr>
      <w:r>
        <w:rPr>
          <w:sz w:val="26"/>
          <w:szCs w:val="26"/>
        </w:rPr>
        <w:t>Assistant Attorney General</w:t>
      </w:r>
    </w:p>
    <w:p w14:paraId="757EAAE4" w14:textId="77777777" w:rsidR="00030970" w:rsidRPr="002669BF" w:rsidRDefault="00030970" w:rsidP="00030970">
      <w:pPr>
        <w:rPr>
          <w:b/>
          <w:sz w:val="26"/>
          <w:szCs w:val="26"/>
        </w:rPr>
      </w:pPr>
      <w:r w:rsidRPr="002669BF">
        <w:rPr>
          <w:b/>
          <w:sz w:val="26"/>
          <w:szCs w:val="26"/>
        </w:rPr>
        <w:t>Parties of Record:</w:t>
      </w:r>
    </w:p>
    <w:p w14:paraId="176ED7E7" w14:textId="77777777" w:rsidR="00030970" w:rsidRPr="002669BF" w:rsidRDefault="00030970" w:rsidP="00030970">
      <w:pPr>
        <w:rPr>
          <w:b/>
          <w:sz w:val="26"/>
          <w:szCs w:val="26"/>
        </w:rPr>
      </w:pPr>
    </w:p>
    <w:tbl>
      <w:tblPr>
        <w:tblW w:w="0" w:type="auto"/>
        <w:tblLook w:val="01E0" w:firstRow="1" w:lastRow="1" w:firstColumn="1" w:lastColumn="1" w:noHBand="0" w:noVBand="0"/>
      </w:tblPr>
      <w:tblGrid>
        <w:gridCol w:w="4707"/>
        <w:gridCol w:w="4653"/>
      </w:tblGrid>
      <w:tr w:rsidR="00030970" w:rsidRPr="0028141F" w14:paraId="21D1F2D4" w14:textId="77777777" w:rsidTr="00E2092E">
        <w:tc>
          <w:tcPr>
            <w:tcW w:w="4788" w:type="dxa"/>
            <w:shd w:val="clear" w:color="auto" w:fill="auto"/>
          </w:tcPr>
          <w:p w14:paraId="4C757900" w14:textId="083D5A08" w:rsidR="00A236E9" w:rsidRDefault="00A236E9" w:rsidP="00E2092E">
            <w:pPr>
              <w:rPr>
                <w:sz w:val="26"/>
                <w:szCs w:val="26"/>
              </w:rPr>
            </w:pPr>
            <w:r>
              <w:rPr>
                <w:sz w:val="26"/>
                <w:szCs w:val="26"/>
              </w:rPr>
              <w:t>Mark A. Whitt</w:t>
            </w:r>
          </w:p>
          <w:p w14:paraId="2BC0797A" w14:textId="120106FB" w:rsidR="00A236E9" w:rsidRDefault="00030970" w:rsidP="00E2092E">
            <w:pPr>
              <w:rPr>
                <w:sz w:val="26"/>
                <w:szCs w:val="26"/>
              </w:rPr>
            </w:pPr>
            <w:r>
              <w:rPr>
                <w:sz w:val="26"/>
                <w:szCs w:val="26"/>
              </w:rPr>
              <w:t>Andrew J. Campbell</w:t>
            </w:r>
          </w:p>
          <w:p w14:paraId="63EA89DB" w14:textId="37B78587" w:rsidR="00A236E9" w:rsidRDefault="00A236E9" w:rsidP="00E2092E">
            <w:pPr>
              <w:rPr>
                <w:sz w:val="26"/>
                <w:szCs w:val="26"/>
              </w:rPr>
            </w:pPr>
            <w:r>
              <w:rPr>
                <w:sz w:val="26"/>
                <w:szCs w:val="26"/>
              </w:rPr>
              <w:t>Rebekah J. Glover</w:t>
            </w:r>
          </w:p>
          <w:p w14:paraId="3F4B1171" w14:textId="77777777" w:rsidR="00030970" w:rsidRDefault="00030970" w:rsidP="00E2092E">
            <w:pPr>
              <w:rPr>
                <w:sz w:val="26"/>
                <w:szCs w:val="26"/>
              </w:rPr>
            </w:pPr>
            <w:r>
              <w:rPr>
                <w:sz w:val="26"/>
                <w:szCs w:val="26"/>
              </w:rPr>
              <w:t>Whitt Sturtevant</w:t>
            </w:r>
          </w:p>
          <w:p w14:paraId="3DE8EE66" w14:textId="77777777" w:rsidR="00030970" w:rsidRDefault="00030970" w:rsidP="00E2092E">
            <w:pPr>
              <w:rPr>
                <w:sz w:val="26"/>
                <w:szCs w:val="26"/>
              </w:rPr>
            </w:pPr>
            <w:r>
              <w:rPr>
                <w:sz w:val="26"/>
                <w:szCs w:val="26"/>
              </w:rPr>
              <w:t>The KeyBank Building</w:t>
            </w:r>
          </w:p>
          <w:p w14:paraId="2C0E8A6F" w14:textId="77777777" w:rsidR="00030970" w:rsidRDefault="00030970" w:rsidP="00E2092E">
            <w:pPr>
              <w:rPr>
                <w:sz w:val="26"/>
                <w:szCs w:val="26"/>
              </w:rPr>
            </w:pPr>
            <w:r>
              <w:rPr>
                <w:sz w:val="26"/>
                <w:szCs w:val="26"/>
              </w:rPr>
              <w:t>88 East Broad Street</w:t>
            </w:r>
          </w:p>
          <w:p w14:paraId="44E193D3" w14:textId="77777777" w:rsidR="00030970" w:rsidRDefault="00030970" w:rsidP="00E2092E">
            <w:pPr>
              <w:rPr>
                <w:sz w:val="26"/>
                <w:szCs w:val="26"/>
              </w:rPr>
            </w:pPr>
            <w:r>
              <w:rPr>
                <w:sz w:val="26"/>
                <w:szCs w:val="26"/>
              </w:rPr>
              <w:t>Suite 1590</w:t>
            </w:r>
          </w:p>
          <w:p w14:paraId="1CF0D4C7" w14:textId="77777777" w:rsidR="00030970" w:rsidRDefault="00030970" w:rsidP="00E2092E">
            <w:pPr>
              <w:rPr>
                <w:sz w:val="26"/>
                <w:szCs w:val="26"/>
              </w:rPr>
            </w:pPr>
            <w:r>
              <w:rPr>
                <w:sz w:val="26"/>
                <w:szCs w:val="26"/>
              </w:rPr>
              <w:t>Columbus, OH  43215-</w:t>
            </w:r>
          </w:p>
          <w:p w14:paraId="4AB476C6" w14:textId="222812F8" w:rsidR="00A236E9" w:rsidRPr="00A236E9" w:rsidRDefault="00BC15F3" w:rsidP="00E2092E">
            <w:pPr>
              <w:rPr>
                <w:sz w:val="26"/>
                <w:szCs w:val="26"/>
              </w:rPr>
            </w:pPr>
            <w:hyperlink r:id="rId10" w:history="1">
              <w:r w:rsidR="00A236E9" w:rsidRPr="00A236E9">
                <w:rPr>
                  <w:rStyle w:val="Hyperlink"/>
                  <w:sz w:val="26"/>
                  <w:szCs w:val="26"/>
                </w:rPr>
                <w:t>whitt@whitt-sturtevant.com</w:t>
              </w:r>
            </w:hyperlink>
          </w:p>
          <w:p w14:paraId="168A6642" w14:textId="7B1D3C18" w:rsidR="00A236E9" w:rsidRDefault="00BC15F3" w:rsidP="00E2092E">
            <w:pPr>
              <w:rPr>
                <w:rStyle w:val="Hyperlink"/>
                <w:sz w:val="26"/>
                <w:szCs w:val="26"/>
              </w:rPr>
            </w:pPr>
            <w:hyperlink r:id="rId11" w:history="1">
              <w:r w:rsidR="00A236E9" w:rsidRPr="005E71A9">
                <w:rPr>
                  <w:rStyle w:val="Hyperlink"/>
                  <w:sz w:val="26"/>
                  <w:szCs w:val="26"/>
                </w:rPr>
                <w:t>campbell@whitt-sturtevant.com</w:t>
              </w:r>
            </w:hyperlink>
          </w:p>
          <w:p w14:paraId="766C7D5F" w14:textId="3B129814" w:rsidR="00A236E9" w:rsidRPr="00A236E9" w:rsidRDefault="00A236E9" w:rsidP="00E2092E">
            <w:pPr>
              <w:rPr>
                <w:color w:val="0000FF" w:themeColor="hyperlink"/>
                <w:sz w:val="26"/>
                <w:szCs w:val="26"/>
                <w:u w:val="single"/>
              </w:rPr>
            </w:pPr>
            <w:r>
              <w:rPr>
                <w:rStyle w:val="Hyperlink"/>
                <w:sz w:val="26"/>
                <w:szCs w:val="26"/>
              </w:rPr>
              <w:t>glover@whitt-sturtevant.com</w:t>
            </w:r>
          </w:p>
          <w:p w14:paraId="7FA0E66F" w14:textId="77777777" w:rsidR="00030970" w:rsidRPr="00AE33CA" w:rsidRDefault="00030970" w:rsidP="00E2092E">
            <w:pPr>
              <w:rPr>
                <w:sz w:val="26"/>
                <w:szCs w:val="26"/>
              </w:rPr>
            </w:pPr>
          </w:p>
        </w:tc>
        <w:tc>
          <w:tcPr>
            <w:tcW w:w="4788" w:type="dxa"/>
            <w:shd w:val="clear" w:color="auto" w:fill="auto"/>
          </w:tcPr>
          <w:p w14:paraId="2E62DD56" w14:textId="77777777" w:rsidR="00030970" w:rsidRPr="00AE33CA" w:rsidRDefault="00030970" w:rsidP="00E2092E">
            <w:pPr>
              <w:rPr>
                <w:sz w:val="26"/>
                <w:szCs w:val="26"/>
              </w:rPr>
            </w:pPr>
          </w:p>
        </w:tc>
      </w:tr>
    </w:tbl>
    <w:p w14:paraId="0E5D668A" w14:textId="77777777" w:rsidR="00C2357B" w:rsidRPr="0017233F" w:rsidRDefault="00C2357B" w:rsidP="00686650">
      <w:pPr>
        <w:pStyle w:val="Title"/>
        <w:widowControl w:val="0"/>
        <w:jc w:val="left"/>
        <w:rPr>
          <w:rFonts w:ascii="Times New Roman" w:hAnsi="Times New Roman"/>
          <w:b/>
          <w:sz w:val="26"/>
          <w:szCs w:val="26"/>
        </w:rPr>
      </w:pPr>
    </w:p>
    <w:sectPr w:rsidR="00C2357B" w:rsidRPr="0017233F" w:rsidSect="00C2357B">
      <w:footerReference w:type="default" r:id="rId12"/>
      <w:footerReference w:type="first" r:id="rId13"/>
      <w:pgSz w:w="12240" w:h="15840"/>
      <w:pgMar w:top="1440" w:right="1440" w:bottom="1440" w:left="1440" w:header="1008"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5CAF1" w14:textId="77777777" w:rsidR="005B7C77" w:rsidRDefault="005B7C77">
      <w:r>
        <w:separator/>
      </w:r>
    </w:p>
  </w:endnote>
  <w:endnote w:type="continuationSeparator" w:id="0">
    <w:p w14:paraId="46B204F1" w14:textId="77777777" w:rsidR="005B7C77" w:rsidRDefault="005B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4762" w14:textId="77777777" w:rsidR="0035337F" w:rsidRDefault="00C54713">
    <w:pPr>
      <w:pStyle w:val="Footer"/>
      <w:jc w:val="center"/>
    </w:pPr>
    <w:r>
      <w:fldChar w:fldCharType="begin"/>
    </w:r>
    <w:r>
      <w:instrText xml:space="preserve"> PAGE   \* MERGEFORMAT </w:instrText>
    </w:r>
    <w:r>
      <w:fldChar w:fldCharType="separate"/>
    </w:r>
    <w:r w:rsidR="00BC15F3">
      <w:rPr>
        <w:noProof/>
      </w:rPr>
      <w:t>7</w:t>
    </w:r>
    <w:r>
      <w:rPr>
        <w:noProof/>
      </w:rPr>
      <w:fldChar w:fldCharType="end"/>
    </w:r>
  </w:p>
  <w:p w14:paraId="3E0550B2" w14:textId="77777777" w:rsidR="0035337F" w:rsidRDefault="00353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99811" w14:textId="77777777" w:rsidR="0035337F" w:rsidRDefault="0035337F">
    <w:pPr>
      <w:pStyle w:val="Footer"/>
      <w:jc w:val="center"/>
    </w:pPr>
  </w:p>
  <w:p w14:paraId="767B7FBE" w14:textId="77777777" w:rsidR="0035337F" w:rsidRDefault="00353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E8EE3" w14:textId="77777777" w:rsidR="005B7C77" w:rsidRDefault="005B7C77">
      <w:r>
        <w:separator/>
      </w:r>
    </w:p>
  </w:footnote>
  <w:footnote w:type="continuationSeparator" w:id="0">
    <w:p w14:paraId="65495EB1" w14:textId="77777777" w:rsidR="005B7C77" w:rsidRDefault="005B7C77">
      <w:r>
        <w:continuationSeparator/>
      </w:r>
    </w:p>
  </w:footnote>
  <w:footnote w:id="1">
    <w:p w14:paraId="2B8E5351" w14:textId="10B5D453" w:rsidR="00E54278" w:rsidRDefault="00E54278" w:rsidP="00E54278">
      <w:pPr>
        <w:pStyle w:val="FootnoteText"/>
      </w:pPr>
      <w:r>
        <w:rPr>
          <w:rStyle w:val="FootnoteReference"/>
        </w:rPr>
        <w:footnoteRef/>
      </w:r>
      <w:r>
        <w:t xml:space="preserve"> </w:t>
      </w:r>
      <w:r>
        <w:tab/>
      </w:r>
      <w:r>
        <w:tab/>
      </w:r>
      <w:r w:rsidR="00FB69C3" w:rsidRPr="0032753D">
        <w:rPr>
          <w:i/>
        </w:rPr>
        <w:t xml:space="preserve">In the Matter of the Application of The East Ohio Gas Company d/b/a Dominion East Ohio for Approval of Tariffs to Adjust its </w:t>
      </w:r>
      <w:r w:rsidR="005548FD">
        <w:rPr>
          <w:i/>
        </w:rPr>
        <w:t>Pipeline Infrastructure Replacement Program</w:t>
      </w:r>
      <w:r w:rsidR="00FB69C3" w:rsidRPr="0032753D">
        <w:rPr>
          <w:i/>
        </w:rPr>
        <w:t xml:space="preserve"> Cost Recovery Charge and Related Matters</w:t>
      </w:r>
      <w:r w:rsidR="00FB69C3">
        <w:rPr>
          <w:i/>
        </w:rPr>
        <w:t>,</w:t>
      </w:r>
      <w:r w:rsidR="00FB69C3" w:rsidRPr="0032753D">
        <w:t xml:space="preserve"> </w:t>
      </w:r>
      <w:r w:rsidR="005548FD">
        <w:t>Case No. 15-1987</w:t>
      </w:r>
      <w:r w:rsidR="00FB69C3">
        <w:t>-GA-RDR (Direct Testimony of Vicki H. Friscic at 6-7) (Feb. 29, 2016).</w:t>
      </w:r>
    </w:p>
  </w:footnote>
  <w:footnote w:id="2">
    <w:p w14:paraId="21345ECB" w14:textId="60E913B0" w:rsidR="00CF5621" w:rsidRDefault="00CF5621" w:rsidP="00FB69C3">
      <w:pPr>
        <w:pStyle w:val="FootnoteText"/>
      </w:pPr>
      <w:r>
        <w:rPr>
          <w:rStyle w:val="FootnoteReference"/>
        </w:rPr>
        <w:footnoteRef/>
      </w:r>
      <w:r>
        <w:t xml:space="preserve"> </w:t>
      </w:r>
      <w:r>
        <w:tab/>
      </w:r>
      <w:r>
        <w:tab/>
      </w:r>
      <w:r w:rsidR="00FB69C3" w:rsidRPr="00701DF9">
        <w:rPr>
          <w:i/>
        </w:rPr>
        <w:t>In the Matter of the Long-Term Forecast Report of the Cincinnati Gas &amp; Electric Company and Related Matters, et al.</w:t>
      </w:r>
      <w:r w:rsidR="00FB69C3">
        <w:rPr>
          <w:i/>
        </w:rPr>
        <w:t>,</w:t>
      </w:r>
      <w:r w:rsidR="00FB69C3">
        <w:t xml:space="preserve"> Case Nos. 03-118-GA-FOR and 03-218-GA-GCR (Entry) (Dec. 10,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D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C15C5"/>
    <w:multiLevelType w:val="hybridMultilevel"/>
    <w:tmpl w:val="660C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C14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219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A5157"/>
    <w:multiLevelType w:val="hybridMultilevel"/>
    <w:tmpl w:val="FC200FB6"/>
    <w:lvl w:ilvl="0" w:tplc="3412EF7A">
      <w:start w:val="1"/>
      <w:numFmt w:val="upperLetter"/>
      <w:lvlText w:val="%1."/>
      <w:lvlJc w:val="left"/>
      <w:pPr>
        <w:ind w:left="1800" w:hanging="360"/>
      </w:pPr>
      <w:rPr>
        <w:rFonts w:ascii="Times New Roman" w:eastAsia="Times New Roman"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A05A2F"/>
    <w:multiLevelType w:val="hybridMultilevel"/>
    <w:tmpl w:val="8F66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A6C43"/>
    <w:multiLevelType w:val="hybridMultilevel"/>
    <w:tmpl w:val="DF7E7668"/>
    <w:lvl w:ilvl="0" w:tplc="87C077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5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C47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B852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A55A28"/>
    <w:multiLevelType w:val="hybridMultilevel"/>
    <w:tmpl w:val="CDE204AE"/>
    <w:lvl w:ilvl="0" w:tplc="202E016C">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965F67"/>
    <w:multiLevelType w:val="hybridMultilevel"/>
    <w:tmpl w:val="735CF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D46A9"/>
    <w:multiLevelType w:val="hybridMultilevel"/>
    <w:tmpl w:val="F19A62B0"/>
    <w:lvl w:ilvl="0" w:tplc="F75C4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A10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B965E1"/>
    <w:multiLevelType w:val="hybridMultilevel"/>
    <w:tmpl w:val="81D2B39C"/>
    <w:lvl w:ilvl="0" w:tplc="54F8320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
  </w:num>
  <w:num w:numId="2">
    <w:abstractNumId w:val="8"/>
  </w:num>
  <w:num w:numId="3">
    <w:abstractNumId w:val="9"/>
  </w:num>
  <w:num w:numId="4">
    <w:abstractNumId w:val="7"/>
  </w:num>
  <w:num w:numId="5">
    <w:abstractNumId w:val="13"/>
  </w:num>
  <w:num w:numId="6">
    <w:abstractNumId w:val="0"/>
  </w:num>
  <w:num w:numId="7">
    <w:abstractNumId w:val="3"/>
  </w:num>
  <w:num w:numId="8">
    <w:abstractNumId w:val="14"/>
  </w:num>
  <w:num w:numId="9">
    <w:abstractNumId w:val="1"/>
  </w:num>
  <w:num w:numId="10">
    <w:abstractNumId w:val="11"/>
  </w:num>
  <w:num w:numId="11">
    <w:abstractNumId w:val="12"/>
  </w:num>
  <w:num w:numId="12">
    <w:abstractNumId w:val="5"/>
  </w:num>
  <w:num w:numId="13">
    <w:abstractNumId w:val="6"/>
  </w:num>
  <w:num w:numId="14">
    <w:abstractNumId w:val="4"/>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87"/>
    <w:rsid w:val="0000506F"/>
    <w:rsid w:val="00010EDF"/>
    <w:rsid w:val="00012C7F"/>
    <w:rsid w:val="00012EA5"/>
    <w:rsid w:val="00014E16"/>
    <w:rsid w:val="00016347"/>
    <w:rsid w:val="0001669D"/>
    <w:rsid w:val="00020861"/>
    <w:rsid w:val="00021839"/>
    <w:rsid w:val="00024C49"/>
    <w:rsid w:val="00025734"/>
    <w:rsid w:val="000265EC"/>
    <w:rsid w:val="000271CD"/>
    <w:rsid w:val="00027F90"/>
    <w:rsid w:val="00030970"/>
    <w:rsid w:val="00032280"/>
    <w:rsid w:val="00032C7D"/>
    <w:rsid w:val="000333E0"/>
    <w:rsid w:val="000334B3"/>
    <w:rsid w:val="00033CFE"/>
    <w:rsid w:val="00034672"/>
    <w:rsid w:val="00036B0E"/>
    <w:rsid w:val="00036E71"/>
    <w:rsid w:val="000379FA"/>
    <w:rsid w:val="0004083D"/>
    <w:rsid w:val="000424B9"/>
    <w:rsid w:val="000429FA"/>
    <w:rsid w:val="00045215"/>
    <w:rsid w:val="00045976"/>
    <w:rsid w:val="000472EF"/>
    <w:rsid w:val="00050550"/>
    <w:rsid w:val="00050909"/>
    <w:rsid w:val="00057964"/>
    <w:rsid w:val="0007123D"/>
    <w:rsid w:val="0007208A"/>
    <w:rsid w:val="00075185"/>
    <w:rsid w:val="000800D5"/>
    <w:rsid w:val="000828CB"/>
    <w:rsid w:val="000837E7"/>
    <w:rsid w:val="00090D79"/>
    <w:rsid w:val="000925E2"/>
    <w:rsid w:val="0009299C"/>
    <w:rsid w:val="000A168B"/>
    <w:rsid w:val="000A22E7"/>
    <w:rsid w:val="000A47CA"/>
    <w:rsid w:val="000A5365"/>
    <w:rsid w:val="000B2BB0"/>
    <w:rsid w:val="000B2C7E"/>
    <w:rsid w:val="000B4A32"/>
    <w:rsid w:val="000B640B"/>
    <w:rsid w:val="000C1D3E"/>
    <w:rsid w:val="000C6501"/>
    <w:rsid w:val="000D1D7D"/>
    <w:rsid w:val="000D2068"/>
    <w:rsid w:val="000D691A"/>
    <w:rsid w:val="000E462F"/>
    <w:rsid w:val="000E5892"/>
    <w:rsid w:val="000E59F4"/>
    <w:rsid w:val="000F7523"/>
    <w:rsid w:val="000F77C0"/>
    <w:rsid w:val="00103496"/>
    <w:rsid w:val="0010789E"/>
    <w:rsid w:val="001123A8"/>
    <w:rsid w:val="00116189"/>
    <w:rsid w:val="00116A59"/>
    <w:rsid w:val="00117636"/>
    <w:rsid w:val="00121A58"/>
    <w:rsid w:val="001271E1"/>
    <w:rsid w:val="00130287"/>
    <w:rsid w:val="00130DE1"/>
    <w:rsid w:val="0013520D"/>
    <w:rsid w:val="00144460"/>
    <w:rsid w:val="00147D55"/>
    <w:rsid w:val="00150B13"/>
    <w:rsid w:val="001524A4"/>
    <w:rsid w:val="001559EC"/>
    <w:rsid w:val="00156CB3"/>
    <w:rsid w:val="00160C95"/>
    <w:rsid w:val="00164EC4"/>
    <w:rsid w:val="0017233F"/>
    <w:rsid w:val="00172ADF"/>
    <w:rsid w:val="001818F2"/>
    <w:rsid w:val="001833F4"/>
    <w:rsid w:val="001836DF"/>
    <w:rsid w:val="001974B1"/>
    <w:rsid w:val="00197E17"/>
    <w:rsid w:val="001A2C5F"/>
    <w:rsid w:val="001A3572"/>
    <w:rsid w:val="001A50A3"/>
    <w:rsid w:val="001B16A0"/>
    <w:rsid w:val="001B440A"/>
    <w:rsid w:val="001B722D"/>
    <w:rsid w:val="001D084B"/>
    <w:rsid w:val="001D0D2A"/>
    <w:rsid w:val="001D738A"/>
    <w:rsid w:val="001E5FFF"/>
    <w:rsid w:val="001E7E86"/>
    <w:rsid w:val="001F3ED8"/>
    <w:rsid w:val="001F5D0B"/>
    <w:rsid w:val="00200662"/>
    <w:rsid w:val="00202994"/>
    <w:rsid w:val="002039CB"/>
    <w:rsid w:val="00210276"/>
    <w:rsid w:val="00215F58"/>
    <w:rsid w:val="00222005"/>
    <w:rsid w:val="0022750F"/>
    <w:rsid w:val="00232494"/>
    <w:rsid w:val="002331D2"/>
    <w:rsid w:val="00245E9D"/>
    <w:rsid w:val="002511C8"/>
    <w:rsid w:val="00255289"/>
    <w:rsid w:val="002625CD"/>
    <w:rsid w:val="002626D9"/>
    <w:rsid w:val="002629B2"/>
    <w:rsid w:val="00266468"/>
    <w:rsid w:val="00266728"/>
    <w:rsid w:val="002674E5"/>
    <w:rsid w:val="00270DB7"/>
    <w:rsid w:val="00272BE5"/>
    <w:rsid w:val="00272F3C"/>
    <w:rsid w:val="002739AB"/>
    <w:rsid w:val="00277426"/>
    <w:rsid w:val="00277CE6"/>
    <w:rsid w:val="00277EA6"/>
    <w:rsid w:val="0028024D"/>
    <w:rsid w:val="0028065A"/>
    <w:rsid w:val="00280A44"/>
    <w:rsid w:val="00281A0B"/>
    <w:rsid w:val="00283CE0"/>
    <w:rsid w:val="00283DEB"/>
    <w:rsid w:val="002847E4"/>
    <w:rsid w:val="00284A64"/>
    <w:rsid w:val="00290A68"/>
    <w:rsid w:val="002A0363"/>
    <w:rsid w:val="002A10FD"/>
    <w:rsid w:val="002A2FBA"/>
    <w:rsid w:val="002A3185"/>
    <w:rsid w:val="002B0597"/>
    <w:rsid w:val="002B098D"/>
    <w:rsid w:val="002B176B"/>
    <w:rsid w:val="002B3A85"/>
    <w:rsid w:val="002B6D5F"/>
    <w:rsid w:val="002C0296"/>
    <w:rsid w:val="002C102F"/>
    <w:rsid w:val="002C19D0"/>
    <w:rsid w:val="002C1EEA"/>
    <w:rsid w:val="002C64F6"/>
    <w:rsid w:val="002C6CE5"/>
    <w:rsid w:val="002D03D8"/>
    <w:rsid w:val="002D0A37"/>
    <w:rsid w:val="002D1663"/>
    <w:rsid w:val="002D28D3"/>
    <w:rsid w:val="002D3470"/>
    <w:rsid w:val="002D3582"/>
    <w:rsid w:val="002D4B77"/>
    <w:rsid w:val="002D6C48"/>
    <w:rsid w:val="002D7D18"/>
    <w:rsid w:val="002F07FB"/>
    <w:rsid w:val="002F0E83"/>
    <w:rsid w:val="002F6BCB"/>
    <w:rsid w:val="002F76F6"/>
    <w:rsid w:val="002F798A"/>
    <w:rsid w:val="003028CE"/>
    <w:rsid w:val="00303967"/>
    <w:rsid w:val="003048DD"/>
    <w:rsid w:val="00311982"/>
    <w:rsid w:val="003141A1"/>
    <w:rsid w:val="00314C99"/>
    <w:rsid w:val="003201F7"/>
    <w:rsid w:val="003203B5"/>
    <w:rsid w:val="003223D7"/>
    <w:rsid w:val="00323A8B"/>
    <w:rsid w:val="0032569D"/>
    <w:rsid w:val="00327038"/>
    <w:rsid w:val="003345FE"/>
    <w:rsid w:val="003359A6"/>
    <w:rsid w:val="0033607D"/>
    <w:rsid w:val="003412EB"/>
    <w:rsid w:val="00341AD8"/>
    <w:rsid w:val="0035024C"/>
    <w:rsid w:val="0035337F"/>
    <w:rsid w:val="00353677"/>
    <w:rsid w:val="0035441E"/>
    <w:rsid w:val="003547B6"/>
    <w:rsid w:val="00361D39"/>
    <w:rsid w:val="0036289C"/>
    <w:rsid w:val="003652EE"/>
    <w:rsid w:val="003654C0"/>
    <w:rsid w:val="00372731"/>
    <w:rsid w:val="003732CD"/>
    <w:rsid w:val="00375F52"/>
    <w:rsid w:val="00376423"/>
    <w:rsid w:val="0038246B"/>
    <w:rsid w:val="00384044"/>
    <w:rsid w:val="0038488F"/>
    <w:rsid w:val="00390F4B"/>
    <w:rsid w:val="00391941"/>
    <w:rsid w:val="0039464F"/>
    <w:rsid w:val="00394DFD"/>
    <w:rsid w:val="00396E8A"/>
    <w:rsid w:val="003A079A"/>
    <w:rsid w:val="003A2684"/>
    <w:rsid w:val="003B051D"/>
    <w:rsid w:val="003B2AE9"/>
    <w:rsid w:val="003B43D4"/>
    <w:rsid w:val="003B5CDE"/>
    <w:rsid w:val="003B647A"/>
    <w:rsid w:val="003C08B3"/>
    <w:rsid w:val="003C7F64"/>
    <w:rsid w:val="003D1649"/>
    <w:rsid w:val="003D37E9"/>
    <w:rsid w:val="003D47E9"/>
    <w:rsid w:val="003D6AF1"/>
    <w:rsid w:val="003D7079"/>
    <w:rsid w:val="003D7594"/>
    <w:rsid w:val="003E0E93"/>
    <w:rsid w:val="003E3FF7"/>
    <w:rsid w:val="003E55AE"/>
    <w:rsid w:val="003E73EB"/>
    <w:rsid w:val="003E7ADF"/>
    <w:rsid w:val="003F3BDE"/>
    <w:rsid w:val="003F5CC2"/>
    <w:rsid w:val="003F7CEF"/>
    <w:rsid w:val="004202CC"/>
    <w:rsid w:val="0042216A"/>
    <w:rsid w:val="0042372C"/>
    <w:rsid w:val="004238AF"/>
    <w:rsid w:val="004250CF"/>
    <w:rsid w:val="0042626E"/>
    <w:rsid w:val="00430C3A"/>
    <w:rsid w:val="00430D43"/>
    <w:rsid w:val="00431025"/>
    <w:rsid w:val="00431B8F"/>
    <w:rsid w:val="00435E47"/>
    <w:rsid w:val="0043696F"/>
    <w:rsid w:val="00437437"/>
    <w:rsid w:val="00442D3B"/>
    <w:rsid w:val="00445FB7"/>
    <w:rsid w:val="00447171"/>
    <w:rsid w:val="00447854"/>
    <w:rsid w:val="00450E04"/>
    <w:rsid w:val="00456B77"/>
    <w:rsid w:val="0046638D"/>
    <w:rsid w:val="00470A18"/>
    <w:rsid w:val="0048165C"/>
    <w:rsid w:val="00486223"/>
    <w:rsid w:val="004865D3"/>
    <w:rsid w:val="00487DE6"/>
    <w:rsid w:val="004922BD"/>
    <w:rsid w:val="004A207B"/>
    <w:rsid w:val="004B0CD7"/>
    <w:rsid w:val="004D0D84"/>
    <w:rsid w:val="004D19A9"/>
    <w:rsid w:val="004D4AD1"/>
    <w:rsid w:val="004D4C40"/>
    <w:rsid w:val="004D618C"/>
    <w:rsid w:val="004E283B"/>
    <w:rsid w:val="004E29F2"/>
    <w:rsid w:val="004E2A8A"/>
    <w:rsid w:val="004E333E"/>
    <w:rsid w:val="004E632D"/>
    <w:rsid w:val="004F207E"/>
    <w:rsid w:val="004F2C18"/>
    <w:rsid w:val="004F5463"/>
    <w:rsid w:val="004F55A8"/>
    <w:rsid w:val="004F67C3"/>
    <w:rsid w:val="004F6A80"/>
    <w:rsid w:val="004F7FA3"/>
    <w:rsid w:val="00502754"/>
    <w:rsid w:val="00502A21"/>
    <w:rsid w:val="00503AFE"/>
    <w:rsid w:val="00505089"/>
    <w:rsid w:val="00505A24"/>
    <w:rsid w:val="00506279"/>
    <w:rsid w:val="00506340"/>
    <w:rsid w:val="00506C10"/>
    <w:rsid w:val="00506FEF"/>
    <w:rsid w:val="005114AF"/>
    <w:rsid w:val="00515912"/>
    <w:rsid w:val="0052341B"/>
    <w:rsid w:val="0052497D"/>
    <w:rsid w:val="00526C94"/>
    <w:rsid w:val="00527579"/>
    <w:rsid w:val="00531914"/>
    <w:rsid w:val="005361CC"/>
    <w:rsid w:val="005377FA"/>
    <w:rsid w:val="005461B4"/>
    <w:rsid w:val="00546F2C"/>
    <w:rsid w:val="0055177E"/>
    <w:rsid w:val="005548FD"/>
    <w:rsid w:val="00555508"/>
    <w:rsid w:val="005570C7"/>
    <w:rsid w:val="005612F8"/>
    <w:rsid w:val="0057054F"/>
    <w:rsid w:val="00570FD4"/>
    <w:rsid w:val="00574CB3"/>
    <w:rsid w:val="005778C4"/>
    <w:rsid w:val="00577EC3"/>
    <w:rsid w:val="005815D1"/>
    <w:rsid w:val="00585281"/>
    <w:rsid w:val="00586662"/>
    <w:rsid w:val="00591CCF"/>
    <w:rsid w:val="00595048"/>
    <w:rsid w:val="005A37D9"/>
    <w:rsid w:val="005B03BF"/>
    <w:rsid w:val="005B7C77"/>
    <w:rsid w:val="005C197C"/>
    <w:rsid w:val="005C5518"/>
    <w:rsid w:val="005D0BC2"/>
    <w:rsid w:val="005D4D85"/>
    <w:rsid w:val="005D5233"/>
    <w:rsid w:val="005E0C4E"/>
    <w:rsid w:val="005E4E9D"/>
    <w:rsid w:val="005E54EE"/>
    <w:rsid w:val="005E608C"/>
    <w:rsid w:val="005F100F"/>
    <w:rsid w:val="006017B2"/>
    <w:rsid w:val="00603BAA"/>
    <w:rsid w:val="0060420B"/>
    <w:rsid w:val="006056C6"/>
    <w:rsid w:val="006065E9"/>
    <w:rsid w:val="00611444"/>
    <w:rsid w:val="006150BD"/>
    <w:rsid w:val="0062006F"/>
    <w:rsid w:val="00621EA7"/>
    <w:rsid w:val="00622922"/>
    <w:rsid w:val="00627F6F"/>
    <w:rsid w:val="00633843"/>
    <w:rsid w:val="00637587"/>
    <w:rsid w:val="006402D8"/>
    <w:rsid w:val="00642D52"/>
    <w:rsid w:val="00647DB6"/>
    <w:rsid w:val="00650ABA"/>
    <w:rsid w:val="00652A05"/>
    <w:rsid w:val="00656F72"/>
    <w:rsid w:val="0066184A"/>
    <w:rsid w:val="00661F81"/>
    <w:rsid w:val="00663E6D"/>
    <w:rsid w:val="0068056A"/>
    <w:rsid w:val="006862E3"/>
    <w:rsid w:val="00686650"/>
    <w:rsid w:val="00687A1C"/>
    <w:rsid w:val="00690FD5"/>
    <w:rsid w:val="006915EC"/>
    <w:rsid w:val="00694600"/>
    <w:rsid w:val="00695203"/>
    <w:rsid w:val="006B5816"/>
    <w:rsid w:val="006B5E09"/>
    <w:rsid w:val="006B79AC"/>
    <w:rsid w:val="006C3764"/>
    <w:rsid w:val="006D053F"/>
    <w:rsid w:val="006D56BF"/>
    <w:rsid w:val="006D799D"/>
    <w:rsid w:val="006E026E"/>
    <w:rsid w:val="006E0B33"/>
    <w:rsid w:val="006E221F"/>
    <w:rsid w:val="006E3F99"/>
    <w:rsid w:val="006E44A7"/>
    <w:rsid w:val="006E4867"/>
    <w:rsid w:val="006E51F6"/>
    <w:rsid w:val="006E5BD6"/>
    <w:rsid w:val="006F1B01"/>
    <w:rsid w:val="006F2CA3"/>
    <w:rsid w:val="006F3AC8"/>
    <w:rsid w:val="006F74C1"/>
    <w:rsid w:val="006F7EFE"/>
    <w:rsid w:val="00701BDB"/>
    <w:rsid w:val="00701F48"/>
    <w:rsid w:val="00704837"/>
    <w:rsid w:val="00704A87"/>
    <w:rsid w:val="00710C97"/>
    <w:rsid w:val="00714DAC"/>
    <w:rsid w:val="00717203"/>
    <w:rsid w:val="0072215C"/>
    <w:rsid w:val="00722723"/>
    <w:rsid w:val="00722AB7"/>
    <w:rsid w:val="00723C2D"/>
    <w:rsid w:val="00726403"/>
    <w:rsid w:val="0073157F"/>
    <w:rsid w:val="00733175"/>
    <w:rsid w:val="007340E9"/>
    <w:rsid w:val="007375CB"/>
    <w:rsid w:val="00742407"/>
    <w:rsid w:val="007428EF"/>
    <w:rsid w:val="007461DC"/>
    <w:rsid w:val="00752596"/>
    <w:rsid w:val="0075616A"/>
    <w:rsid w:val="00757A97"/>
    <w:rsid w:val="0076077E"/>
    <w:rsid w:val="00760CE4"/>
    <w:rsid w:val="00761867"/>
    <w:rsid w:val="007637D7"/>
    <w:rsid w:val="00763FBD"/>
    <w:rsid w:val="007658AF"/>
    <w:rsid w:val="007667C0"/>
    <w:rsid w:val="00767755"/>
    <w:rsid w:val="00783651"/>
    <w:rsid w:val="00793098"/>
    <w:rsid w:val="00793B13"/>
    <w:rsid w:val="00794379"/>
    <w:rsid w:val="0079798E"/>
    <w:rsid w:val="007A01A2"/>
    <w:rsid w:val="007A2AA8"/>
    <w:rsid w:val="007A2C75"/>
    <w:rsid w:val="007A36DE"/>
    <w:rsid w:val="007B1607"/>
    <w:rsid w:val="007B2206"/>
    <w:rsid w:val="007C2598"/>
    <w:rsid w:val="007C7090"/>
    <w:rsid w:val="007D472E"/>
    <w:rsid w:val="007D5599"/>
    <w:rsid w:val="007D590B"/>
    <w:rsid w:val="007D763F"/>
    <w:rsid w:val="007E1657"/>
    <w:rsid w:val="007E1B8A"/>
    <w:rsid w:val="007E3503"/>
    <w:rsid w:val="007E4A4C"/>
    <w:rsid w:val="007E5008"/>
    <w:rsid w:val="007F5527"/>
    <w:rsid w:val="007F6578"/>
    <w:rsid w:val="00802733"/>
    <w:rsid w:val="00802EDB"/>
    <w:rsid w:val="00812385"/>
    <w:rsid w:val="00817453"/>
    <w:rsid w:val="008214D7"/>
    <w:rsid w:val="008245C1"/>
    <w:rsid w:val="0082559D"/>
    <w:rsid w:val="0082779B"/>
    <w:rsid w:val="00827C0B"/>
    <w:rsid w:val="0083041F"/>
    <w:rsid w:val="00831FA2"/>
    <w:rsid w:val="0083307E"/>
    <w:rsid w:val="008412DD"/>
    <w:rsid w:val="00841EF2"/>
    <w:rsid w:val="0084471F"/>
    <w:rsid w:val="00844E77"/>
    <w:rsid w:val="00852167"/>
    <w:rsid w:val="00862966"/>
    <w:rsid w:val="00862C23"/>
    <w:rsid w:val="008642A8"/>
    <w:rsid w:val="008649F6"/>
    <w:rsid w:val="00865518"/>
    <w:rsid w:val="00871BE0"/>
    <w:rsid w:val="008722B3"/>
    <w:rsid w:val="008748C3"/>
    <w:rsid w:val="0089299F"/>
    <w:rsid w:val="00895D87"/>
    <w:rsid w:val="00895E32"/>
    <w:rsid w:val="00897EBE"/>
    <w:rsid w:val="008A27B6"/>
    <w:rsid w:val="008A3B3E"/>
    <w:rsid w:val="008A4FA2"/>
    <w:rsid w:val="008A550A"/>
    <w:rsid w:val="008A5D1B"/>
    <w:rsid w:val="008A70CE"/>
    <w:rsid w:val="008B1B95"/>
    <w:rsid w:val="008B4EA8"/>
    <w:rsid w:val="008D5140"/>
    <w:rsid w:val="008E16D2"/>
    <w:rsid w:val="008E6D4D"/>
    <w:rsid w:val="008F5D07"/>
    <w:rsid w:val="008F6074"/>
    <w:rsid w:val="0090192E"/>
    <w:rsid w:val="009055D9"/>
    <w:rsid w:val="00922577"/>
    <w:rsid w:val="00922979"/>
    <w:rsid w:val="0092464D"/>
    <w:rsid w:val="0092782C"/>
    <w:rsid w:val="00927E69"/>
    <w:rsid w:val="00935572"/>
    <w:rsid w:val="00942A16"/>
    <w:rsid w:val="00944ED7"/>
    <w:rsid w:val="009460E0"/>
    <w:rsid w:val="0095001D"/>
    <w:rsid w:val="00956EC3"/>
    <w:rsid w:val="009600B1"/>
    <w:rsid w:val="00961C1E"/>
    <w:rsid w:val="00963E7C"/>
    <w:rsid w:val="00965A10"/>
    <w:rsid w:val="00967FB8"/>
    <w:rsid w:val="009709A8"/>
    <w:rsid w:val="00970C08"/>
    <w:rsid w:val="009720AE"/>
    <w:rsid w:val="00980EB1"/>
    <w:rsid w:val="009815DA"/>
    <w:rsid w:val="009819AD"/>
    <w:rsid w:val="00983D7C"/>
    <w:rsid w:val="00986114"/>
    <w:rsid w:val="009926BF"/>
    <w:rsid w:val="00994813"/>
    <w:rsid w:val="00994D66"/>
    <w:rsid w:val="009977AA"/>
    <w:rsid w:val="009A6533"/>
    <w:rsid w:val="009B04E2"/>
    <w:rsid w:val="009B1C01"/>
    <w:rsid w:val="009B64FA"/>
    <w:rsid w:val="009B7693"/>
    <w:rsid w:val="009B7E8A"/>
    <w:rsid w:val="009C14A0"/>
    <w:rsid w:val="009C6AD0"/>
    <w:rsid w:val="009D092D"/>
    <w:rsid w:val="009D1533"/>
    <w:rsid w:val="009D1820"/>
    <w:rsid w:val="009D502C"/>
    <w:rsid w:val="009E3746"/>
    <w:rsid w:val="009E3BA6"/>
    <w:rsid w:val="009E428A"/>
    <w:rsid w:val="009E711E"/>
    <w:rsid w:val="009F069D"/>
    <w:rsid w:val="009F1FE3"/>
    <w:rsid w:val="009F755C"/>
    <w:rsid w:val="00A01D6F"/>
    <w:rsid w:val="00A10272"/>
    <w:rsid w:val="00A14794"/>
    <w:rsid w:val="00A16EDF"/>
    <w:rsid w:val="00A20648"/>
    <w:rsid w:val="00A236E9"/>
    <w:rsid w:val="00A31A79"/>
    <w:rsid w:val="00A331D4"/>
    <w:rsid w:val="00A366DB"/>
    <w:rsid w:val="00A42CBC"/>
    <w:rsid w:val="00A4514D"/>
    <w:rsid w:val="00A553B3"/>
    <w:rsid w:val="00A56093"/>
    <w:rsid w:val="00A57B12"/>
    <w:rsid w:val="00A6329D"/>
    <w:rsid w:val="00A67FBA"/>
    <w:rsid w:val="00A72791"/>
    <w:rsid w:val="00A73450"/>
    <w:rsid w:val="00A7346C"/>
    <w:rsid w:val="00A769B1"/>
    <w:rsid w:val="00A776DA"/>
    <w:rsid w:val="00A83D47"/>
    <w:rsid w:val="00A85A64"/>
    <w:rsid w:val="00A86B5C"/>
    <w:rsid w:val="00A86DE6"/>
    <w:rsid w:val="00A91A10"/>
    <w:rsid w:val="00A938F0"/>
    <w:rsid w:val="00A93AD8"/>
    <w:rsid w:val="00AA1D39"/>
    <w:rsid w:val="00AA2035"/>
    <w:rsid w:val="00AA4051"/>
    <w:rsid w:val="00AA4BE8"/>
    <w:rsid w:val="00AB1331"/>
    <w:rsid w:val="00AC0471"/>
    <w:rsid w:val="00AC0786"/>
    <w:rsid w:val="00AC1BA5"/>
    <w:rsid w:val="00AC1FB8"/>
    <w:rsid w:val="00AC2F9F"/>
    <w:rsid w:val="00AC5BE2"/>
    <w:rsid w:val="00AC7406"/>
    <w:rsid w:val="00AD01C3"/>
    <w:rsid w:val="00AD21F7"/>
    <w:rsid w:val="00AD2D48"/>
    <w:rsid w:val="00AE0866"/>
    <w:rsid w:val="00AE2CBF"/>
    <w:rsid w:val="00AE4C1E"/>
    <w:rsid w:val="00AE72E6"/>
    <w:rsid w:val="00AF2A2C"/>
    <w:rsid w:val="00AF484B"/>
    <w:rsid w:val="00AF6457"/>
    <w:rsid w:val="00B112A1"/>
    <w:rsid w:val="00B16557"/>
    <w:rsid w:val="00B16A8F"/>
    <w:rsid w:val="00B20B32"/>
    <w:rsid w:val="00B22001"/>
    <w:rsid w:val="00B225EC"/>
    <w:rsid w:val="00B22CD4"/>
    <w:rsid w:val="00B23793"/>
    <w:rsid w:val="00B23A0B"/>
    <w:rsid w:val="00B23A84"/>
    <w:rsid w:val="00B321E0"/>
    <w:rsid w:val="00B33287"/>
    <w:rsid w:val="00B452F0"/>
    <w:rsid w:val="00B45BD0"/>
    <w:rsid w:val="00B50107"/>
    <w:rsid w:val="00B600C1"/>
    <w:rsid w:val="00B66A3F"/>
    <w:rsid w:val="00B66A94"/>
    <w:rsid w:val="00B81D96"/>
    <w:rsid w:val="00B86B4B"/>
    <w:rsid w:val="00B87644"/>
    <w:rsid w:val="00B918C5"/>
    <w:rsid w:val="00B947BC"/>
    <w:rsid w:val="00BA4E22"/>
    <w:rsid w:val="00BA64D2"/>
    <w:rsid w:val="00BB525C"/>
    <w:rsid w:val="00BB5BCB"/>
    <w:rsid w:val="00BB6E2A"/>
    <w:rsid w:val="00BB7E50"/>
    <w:rsid w:val="00BC15F3"/>
    <w:rsid w:val="00BD701B"/>
    <w:rsid w:val="00BE63F1"/>
    <w:rsid w:val="00C000E6"/>
    <w:rsid w:val="00C066FD"/>
    <w:rsid w:val="00C07B81"/>
    <w:rsid w:val="00C1096A"/>
    <w:rsid w:val="00C2357B"/>
    <w:rsid w:val="00C24F05"/>
    <w:rsid w:val="00C25FCE"/>
    <w:rsid w:val="00C305BF"/>
    <w:rsid w:val="00C33D8F"/>
    <w:rsid w:val="00C367F0"/>
    <w:rsid w:val="00C3721C"/>
    <w:rsid w:val="00C42B61"/>
    <w:rsid w:val="00C47470"/>
    <w:rsid w:val="00C50CB7"/>
    <w:rsid w:val="00C5241B"/>
    <w:rsid w:val="00C54713"/>
    <w:rsid w:val="00C55CFC"/>
    <w:rsid w:val="00C70BD5"/>
    <w:rsid w:val="00C8010A"/>
    <w:rsid w:val="00C80D8C"/>
    <w:rsid w:val="00C8632C"/>
    <w:rsid w:val="00C877B7"/>
    <w:rsid w:val="00C903F7"/>
    <w:rsid w:val="00C95D20"/>
    <w:rsid w:val="00C97D6D"/>
    <w:rsid w:val="00CA6907"/>
    <w:rsid w:val="00CB08EF"/>
    <w:rsid w:val="00CC0806"/>
    <w:rsid w:val="00CC3D9D"/>
    <w:rsid w:val="00CC3F1F"/>
    <w:rsid w:val="00CC4F2B"/>
    <w:rsid w:val="00CC62FC"/>
    <w:rsid w:val="00CD31E5"/>
    <w:rsid w:val="00CD3794"/>
    <w:rsid w:val="00CD67FD"/>
    <w:rsid w:val="00CD6B76"/>
    <w:rsid w:val="00CE172F"/>
    <w:rsid w:val="00CE6C39"/>
    <w:rsid w:val="00CE71B6"/>
    <w:rsid w:val="00CF3071"/>
    <w:rsid w:val="00CF49F9"/>
    <w:rsid w:val="00CF5621"/>
    <w:rsid w:val="00D00A8D"/>
    <w:rsid w:val="00D01F34"/>
    <w:rsid w:val="00D053B9"/>
    <w:rsid w:val="00D0589D"/>
    <w:rsid w:val="00D0782F"/>
    <w:rsid w:val="00D12A83"/>
    <w:rsid w:val="00D16118"/>
    <w:rsid w:val="00D17699"/>
    <w:rsid w:val="00D215A8"/>
    <w:rsid w:val="00D26C23"/>
    <w:rsid w:val="00D30394"/>
    <w:rsid w:val="00D33168"/>
    <w:rsid w:val="00D4344D"/>
    <w:rsid w:val="00D5117D"/>
    <w:rsid w:val="00D524AE"/>
    <w:rsid w:val="00D53ADC"/>
    <w:rsid w:val="00D55F54"/>
    <w:rsid w:val="00D57402"/>
    <w:rsid w:val="00D57B6E"/>
    <w:rsid w:val="00D643F3"/>
    <w:rsid w:val="00D703A9"/>
    <w:rsid w:val="00D72D64"/>
    <w:rsid w:val="00D77DF5"/>
    <w:rsid w:val="00D830A7"/>
    <w:rsid w:val="00D83445"/>
    <w:rsid w:val="00D94519"/>
    <w:rsid w:val="00DA0ABD"/>
    <w:rsid w:val="00DA2A8B"/>
    <w:rsid w:val="00DA4753"/>
    <w:rsid w:val="00DA5F3B"/>
    <w:rsid w:val="00DB0C42"/>
    <w:rsid w:val="00DB7761"/>
    <w:rsid w:val="00DC37FD"/>
    <w:rsid w:val="00DC3C34"/>
    <w:rsid w:val="00DC4798"/>
    <w:rsid w:val="00DD0628"/>
    <w:rsid w:val="00DD105C"/>
    <w:rsid w:val="00DD1D1C"/>
    <w:rsid w:val="00DD1E75"/>
    <w:rsid w:val="00DD1E9A"/>
    <w:rsid w:val="00DD62EA"/>
    <w:rsid w:val="00DD6E49"/>
    <w:rsid w:val="00DE07FE"/>
    <w:rsid w:val="00DE1746"/>
    <w:rsid w:val="00DE4633"/>
    <w:rsid w:val="00DE60D7"/>
    <w:rsid w:val="00DE68EB"/>
    <w:rsid w:val="00DF03C1"/>
    <w:rsid w:val="00DF1992"/>
    <w:rsid w:val="00DF7BEB"/>
    <w:rsid w:val="00E00C2D"/>
    <w:rsid w:val="00E04037"/>
    <w:rsid w:val="00E07441"/>
    <w:rsid w:val="00E113AF"/>
    <w:rsid w:val="00E15409"/>
    <w:rsid w:val="00E16F47"/>
    <w:rsid w:val="00E1736A"/>
    <w:rsid w:val="00E223EE"/>
    <w:rsid w:val="00E34F84"/>
    <w:rsid w:val="00E35D8B"/>
    <w:rsid w:val="00E37935"/>
    <w:rsid w:val="00E40731"/>
    <w:rsid w:val="00E409CD"/>
    <w:rsid w:val="00E422B5"/>
    <w:rsid w:val="00E42706"/>
    <w:rsid w:val="00E4733C"/>
    <w:rsid w:val="00E52F00"/>
    <w:rsid w:val="00E53A2B"/>
    <w:rsid w:val="00E54278"/>
    <w:rsid w:val="00E55290"/>
    <w:rsid w:val="00E568A4"/>
    <w:rsid w:val="00E576B0"/>
    <w:rsid w:val="00E6140A"/>
    <w:rsid w:val="00E614B5"/>
    <w:rsid w:val="00E61D36"/>
    <w:rsid w:val="00E6354D"/>
    <w:rsid w:val="00E635E6"/>
    <w:rsid w:val="00E6408A"/>
    <w:rsid w:val="00E65555"/>
    <w:rsid w:val="00E668C1"/>
    <w:rsid w:val="00E669D4"/>
    <w:rsid w:val="00E678DD"/>
    <w:rsid w:val="00E67B24"/>
    <w:rsid w:val="00E8126E"/>
    <w:rsid w:val="00E83F60"/>
    <w:rsid w:val="00E8429F"/>
    <w:rsid w:val="00E84E9B"/>
    <w:rsid w:val="00E8606C"/>
    <w:rsid w:val="00E87961"/>
    <w:rsid w:val="00E90511"/>
    <w:rsid w:val="00E906F6"/>
    <w:rsid w:val="00E9276A"/>
    <w:rsid w:val="00E92A42"/>
    <w:rsid w:val="00E92BD1"/>
    <w:rsid w:val="00E93AA3"/>
    <w:rsid w:val="00E94064"/>
    <w:rsid w:val="00E940BD"/>
    <w:rsid w:val="00EA41D4"/>
    <w:rsid w:val="00EA47EA"/>
    <w:rsid w:val="00EB4C8E"/>
    <w:rsid w:val="00EC19CA"/>
    <w:rsid w:val="00ED28DC"/>
    <w:rsid w:val="00EE0EBC"/>
    <w:rsid w:val="00EE3EAA"/>
    <w:rsid w:val="00EE63EA"/>
    <w:rsid w:val="00EE7824"/>
    <w:rsid w:val="00EF3633"/>
    <w:rsid w:val="00EF6848"/>
    <w:rsid w:val="00EF79D8"/>
    <w:rsid w:val="00F06058"/>
    <w:rsid w:val="00F064CC"/>
    <w:rsid w:val="00F10003"/>
    <w:rsid w:val="00F16211"/>
    <w:rsid w:val="00F16D7F"/>
    <w:rsid w:val="00F171A0"/>
    <w:rsid w:val="00F20F9F"/>
    <w:rsid w:val="00F240C9"/>
    <w:rsid w:val="00F31264"/>
    <w:rsid w:val="00F31DE2"/>
    <w:rsid w:val="00F3605E"/>
    <w:rsid w:val="00F37E07"/>
    <w:rsid w:val="00F41670"/>
    <w:rsid w:val="00F41F4B"/>
    <w:rsid w:val="00F42E79"/>
    <w:rsid w:val="00F468FC"/>
    <w:rsid w:val="00F51031"/>
    <w:rsid w:val="00F513D8"/>
    <w:rsid w:val="00F516EA"/>
    <w:rsid w:val="00F530E5"/>
    <w:rsid w:val="00F535C5"/>
    <w:rsid w:val="00F53C94"/>
    <w:rsid w:val="00F57F53"/>
    <w:rsid w:val="00F608A4"/>
    <w:rsid w:val="00F62FCC"/>
    <w:rsid w:val="00F708E9"/>
    <w:rsid w:val="00F74EF3"/>
    <w:rsid w:val="00F82894"/>
    <w:rsid w:val="00F82D25"/>
    <w:rsid w:val="00F83591"/>
    <w:rsid w:val="00F84D6D"/>
    <w:rsid w:val="00F84EF2"/>
    <w:rsid w:val="00F863E1"/>
    <w:rsid w:val="00F93E13"/>
    <w:rsid w:val="00F9476D"/>
    <w:rsid w:val="00FA47C6"/>
    <w:rsid w:val="00FA5926"/>
    <w:rsid w:val="00FA5BB8"/>
    <w:rsid w:val="00FB07D2"/>
    <w:rsid w:val="00FB0C4B"/>
    <w:rsid w:val="00FB1806"/>
    <w:rsid w:val="00FB4FD1"/>
    <w:rsid w:val="00FB54F1"/>
    <w:rsid w:val="00FB69C3"/>
    <w:rsid w:val="00FC0C6E"/>
    <w:rsid w:val="00FC1718"/>
    <w:rsid w:val="00FC741C"/>
    <w:rsid w:val="00FD1E04"/>
    <w:rsid w:val="00FD2732"/>
    <w:rsid w:val="00FD29FE"/>
    <w:rsid w:val="00FE0A0E"/>
    <w:rsid w:val="00FE3248"/>
    <w:rsid w:val="00FE5905"/>
    <w:rsid w:val="00FF06A2"/>
    <w:rsid w:val="00FF69FE"/>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D1401FA"/>
  <w15:docId w15:val="{784008AF-0A79-4BF8-8384-CE3387A2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4E"/>
  </w:style>
  <w:style w:type="paragraph" w:styleId="Heading1">
    <w:name w:val="heading 1"/>
    <w:basedOn w:val="Normal"/>
    <w:next w:val="Normal"/>
    <w:link w:val="Heading1Char"/>
    <w:autoRedefine/>
    <w:qFormat/>
    <w:rsid w:val="00016347"/>
    <w:pPr>
      <w:keepNext/>
      <w:keepLines/>
      <w:spacing w:before="360" w:after="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0C4E"/>
    <w:pPr>
      <w:jc w:val="center"/>
    </w:pPr>
    <w:rPr>
      <w:rFonts w:ascii="Palatino Linotype" w:hAnsi="Palatino Linotype"/>
      <w:sz w:val="28"/>
    </w:rPr>
  </w:style>
  <w:style w:type="paragraph" w:styleId="Footer">
    <w:name w:val="footer"/>
    <w:basedOn w:val="Normal"/>
    <w:link w:val="FooterChar"/>
    <w:uiPriority w:val="99"/>
    <w:rsid w:val="005E0C4E"/>
    <w:pPr>
      <w:tabs>
        <w:tab w:val="center" w:pos="4320"/>
        <w:tab w:val="right" w:pos="8640"/>
      </w:tabs>
    </w:pPr>
  </w:style>
  <w:style w:type="character" w:styleId="PageNumber">
    <w:name w:val="page number"/>
    <w:basedOn w:val="DefaultParagraphFont"/>
    <w:rsid w:val="005E0C4E"/>
  </w:style>
  <w:style w:type="paragraph" w:styleId="BalloonText">
    <w:name w:val="Balloon Text"/>
    <w:basedOn w:val="Normal"/>
    <w:semiHidden/>
    <w:rsid w:val="005E0C4E"/>
    <w:rPr>
      <w:rFonts w:ascii="Tahoma" w:hAnsi="Tahoma" w:cs="Palatino Linotype"/>
      <w:sz w:val="16"/>
      <w:szCs w:val="16"/>
    </w:rPr>
  </w:style>
  <w:style w:type="paragraph" w:styleId="Header">
    <w:name w:val="header"/>
    <w:basedOn w:val="Normal"/>
    <w:rsid w:val="005E0C4E"/>
    <w:pPr>
      <w:tabs>
        <w:tab w:val="center" w:pos="4320"/>
        <w:tab w:val="right" w:pos="8640"/>
      </w:tabs>
    </w:pPr>
  </w:style>
  <w:style w:type="paragraph" w:styleId="PlainText">
    <w:name w:val="Plain Text"/>
    <w:basedOn w:val="Normal"/>
    <w:rsid w:val="005E0C4E"/>
    <w:rPr>
      <w:rFonts w:ascii="Courier New" w:hAnsi="Courier New"/>
    </w:rPr>
  </w:style>
  <w:style w:type="paragraph" w:styleId="ListParagraph">
    <w:name w:val="List Paragraph"/>
    <w:basedOn w:val="Normal"/>
    <w:uiPriority w:val="34"/>
    <w:qFormat/>
    <w:rsid w:val="004B0CD7"/>
    <w:pPr>
      <w:ind w:left="720"/>
    </w:pPr>
  </w:style>
  <w:style w:type="table" w:styleId="TableGrid">
    <w:name w:val="Table Grid"/>
    <w:basedOn w:val="TableNormal"/>
    <w:rsid w:val="00C235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686650"/>
    <w:rPr>
      <w:rFonts w:ascii="Palatino" w:hAnsi="Palatino"/>
      <w:sz w:val="24"/>
    </w:rPr>
  </w:style>
  <w:style w:type="character" w:customStyle="1" w:styleId="BodyText2Char">
    <w:name w:val="Body Text 2 Char"/>
    <w:basedOn w:val="DefaultParagraphFont"/>
    <w:link w:val="BodyText2"/>
    <w:rsid w:val="00686650"/>
    <w:rPr>
      <w:rFonts w:ascii="Palatino" w:hAnsi="Palatino"/>
      <w:sz w:val="24"/>
    </w:rPr>
  </w:style>
  <w:style w:type="character" w:customStyle="1" w:styleId="FooterChar">
    <w:name w:val="Footer Char"/>
    <w:basedOn w:val="DefaultParagraphFont"/>
    <w:link w:val="Footer"/>
    <w:uiPriority w:val="99"/>
    <w:rsid w:val="004E29F2"/>
  </w:style>
  <w:style w:type="paragraph" w:styleId="TOC2">
    <w:name w:val="toc 2"/>
    <w:basedOn w:val="Normal"/>
    <w:next w:val="Normal"/>
    <w:autoRedefine/>
    <w:uiPriority w:val="39"/>
    <w:rsid w:val="002C102F"/>
    <w:pPr>
      <w:ind w:left="200"/>
    </w:pPr>
  </w:style>
  <w:style w:type="paragraph" w:styleId="TOC1">
    <w:name w:val="toc 1"/>
    <w:basedOn w:val="Normal"/>
    <w:next w:val="Normal"/>
    <w:autoRedefine/>
    <w:uiPriority w:val="39"/>
    <w:rsid w:val="002C102F"/>
    <w:rPr>
      <w:sz w:val="24"/>
    </w:rPr>
  </w:style>
  <w:style w:type="character" w:styleId="Hyperlink">
    <w:name w:val="Hyperlink"/>
    <w:basedOn w:val="DefaultParagraphFont"/>
    <w:rsid w:val="00E94064"/>
    <w:rPr>
      <w:color w:val="0000FF" w:themeColor="hyperlink"/>
      <w:u w:val="single"/>
    </w:rPr>
  </w:style>
  <w:style w:type="character" w:customStyle="1" w:styleId="Heading1Char">
    <w:name w:val="Heading 1 Char"/>
    <w:basedOn w:val="DefaultParagraphFont"/>
    <w:link w:val="Heading1"/>
    <w:rsid w:val="00016347"/>
    <w:rPr>
      <w:rFonts w:eastAsiaTheme="majorEastAsia" w:cstheme="majorBidi"/>
      <w:b/>
      <w:sz w:val="28"/>
      <w:szCs w:val="32"/>
    </w:rPr>
  </w:style>
  <w:style w:type="paragraph" w:customStyle="1" w:styleId="Textstyle">
    <w:name w:val="Text style"/>
    <w:basedOn w:val="Title"/>
    <w:autoRedefine/>
    <w:rsid w:val="00032280"/>
    <w:pPr>
      <w:spacing w:line="480" w:lineRule="auto"/>
      <w:jc w:val="left"/>
    </w:pPr>
    <w:rPr>
      <w:rFonts w:ascii="Times New Roman" w:hAnsi="Times New Roman"/>
      <w:sz w:val="26"/>
      <w:szCs w:val="26"/>
    </w:rPr>
  </w:style>
  <w:style w:type="character" w:styleId="CommentReference">
    <w:name w:val="annotation reference"/>
    <w:basedOn w:val="DefaultParagraphFont"/>
    <w:semiHidden/>
    <w:unhideWhenUsed/>
    <w:rsid w:val="00FD29FE"/>
    <w:rPr>
      <w:sz w:val="16"/>
      <w:szCs w:val="16"/>
    </w:rPr>
  </w:style>
  <w:style w:type="paragraph" w:styleId="CommentText">
    <w:name w:val="annotation text"/>
    <w:basedOn w:val="Normal"/>
    <w:link w:val="CommentTextChar"/>
    <w:semiHidden/>
    <w:unhideWhenUsed/>
    <w:rsid w:val="00FD29FE"/>
  </w:style>
  <w:style w:type="character" w:customStyle="1" w:styleId="CommentTextChar">
    <w:name w:val="Comment Text Char"/>
    <w:basedOn w:val="DefaultParagraphFont"/>
    <w:link w:val="CommentText"/>
    <w:semiHidden/>
    <w:rsid w:val="00FD29FE"/>
  </w:style>
  <w:style w:type="paragraph" w:styleId="CommentSubject">
    <w:name w:val="annotation subject"/>
    <w:basedOn w:val="CommentText"/>
    <w:next w:val="CommentText"/>
    <w:link w:val="CommentSubjectChar"/>
    <w:semiHidden/>
    <w:unhideWhenUsed/>
    <w:rsid w:val="00FD29FE"/>
    <w:rPr>
      <w:b/>
      <w:bCs/>
    </w:rPr>
  </w:style>
  <w:style w:type="character" w:customStyle="1" w:styleId="CommentSubjectChar">
    <w:name w:val="Comment Subject Char"/>
    <w:basedOn w:val="CommentTextChar"/>
    <w:link w:val="CommentSubject"/>
    <w:semiHidden/>
    <w:rsid w:val="00FD29FE"/>
    <w:rPr>
      <w:b/>
      <w:bCs/>
    </w:rPr>
  </w:style>
  <w:style w:type="character" w:customStyle="1" w:styleId="TitleChar">
    <w:name w:val="Title Char"/>
    <w:basedOn w:val="DefaultParagraphFont"/>
    <w:link w:val="Title"/>
    <w:rsid w:val="00E53A2B"/>
    <w:rPr>
      <w:rFonts w:ascii="Palatino Linotype" w:hAnsi="Palatino Linotype"/>
      <w:sz w:val="28"/>
    </w:rPr>
  </w:style>
  <w:style w:type="paragraph" w:styleId="FootnoteText">
    <w:name w:val="footnote text"/>
    <w:basedOn w:val="Normal"/>
    <w:link w:val="FootnoteTextChar"/>
    <w:autoRedefine/>
    <w:uiPriority w:val="99"/>
    <w:unhideWhenUsed/>
    <w:rsid w:val="00CF5621"/>
    <w:pPr>
      <w:spacing w:before="240" w:after="240"/>
      <w:ind w:left="720" w:hanging="720"/>
    </w:pPr>
  </w:style>
  <w:style w:type="character" w:customStyle="1" w:styleId="FootnoteTextChar">
    <w:name w:val="Footnote Text Char"/>
    <w:basedOn w:val="DefaultParagraphFont"/>
    <w:link w:val="FootnoteText"/>
    <w:uiPriority w:val="99"/>
    <w:rsid w:val="00CF5621"/>
  </w:style>
  <w:style w:type="character" w:styleId="FootnoteReference">
    <w:name w:val="footnote reference"/>
    <w:basedOn w:val="DefaultParagraphFont"/>
    <w:uiPriority w:val="99"/>
    <w:semiHidden/>
    <w:unhideWhenUsed/>
    <w:rsid w:val="00CF5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8058">
      <w:bodyDiv w:val="1"/>
      <w:marLeft w:val="0"/>
      <w:marRight w:val="0"/>
      <w:marTop w:val="0"/>
      <w:marBottom w:val="0"/>
      <w:divBdr>
        <w:top w:val="none" w:sz="0" w:space="0" w:color="auto"/>
        <w:left w:val="none" w:sz="0" w:space="0" w:color="auto"/>
        <w:bottom w:val="none" w:sz="0" w:space="0" w:color="auto"/>
        <w:right w:val="none" w:sz="0" w:space="0" w:color="auto"/>
      </w:divBdr>
    </w:div>
    <w:div w:id="1741246737">
      <w:bodyDiv w:val="1"/>
      <w:marLeft w:val="0"/>
      <w:marRight w:val="0"/>
      <w:marTop w:val="0"/>
      <w:marBottom w:val="0"/>
      <w:divBdr>
        <w:top w:val="none" w:sz="0" w:space="0" w:color="auto"/>
        <w:left w:val="none" w:sz="0" w:space="0" w:color="auto"/>
        <w:bottom w:val="none" w:sz="0" w:space="0" w:color="auto"/>
        <w:right w:val="none" w:sz="0" w:space="0" w:color="auto"/>
      </w:divBdr>
    </w:div>
    <w:div w:id="1983461208">
      <w:bodyDiv w:val="1"/>
      <w:marLeft w:val="0"/>
      <w:marRight w:val="0"/>
      <w:marTop w:val="0"/>
      <w:marBottom w:val="0"/>
      <w:divBdr>
        <w:top w:val="none" w:sz="0" w:space="0" w:color="auto"/>
        <w:left w:val="none" w:sz="0" w:space="0" w:color="auto"/>
        <w:bottom w:val="none" w:sz="0" w:space="0" w:color="auto"/>
        <w:right w:val="none" w:sz="0" w:space="0" w:color="auto"/>
      </w:divBdr>
    </w:div>
    <w:div w:id="19964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n.beeler@puc.state.oh.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bell@whitt-sturtevan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hitt@whitt-sturtevant.com" TargetMode="External"/><Relationship Id="rId4" Type="http://schemas.openxmlformats.org/officeDocument/2006/relationships/settings" Target="settings.xml"/><Relationship Id="rId9" Type="http://schemas.openxmlformats.org/officeDocument/2006/relationships/hyperlink" Target="mailto:robert.eubanks@puc.state.oh.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196F-D89A-4A7B-A43C-D009CC0B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1376</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Audit Manual</vt:lpstr>
    </vt:vector>
  </TitlesOfParts>
  <Company>Public Utilities Commission of Ohio</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Manual</dc:title>
  <dc:creator>konarsk</dc:creator>
  <cp:lastModifiedBy>Keeton, Kim</cp:lastModifiedBy>
  <cp:revision>5</cp:revision>
  <cp:lastPrinted>2016-03-24T13:34:00Z</cp:lastPrinted>
  <dcterms:created xsi:type="dcterms:W3CDTF">2016-03-25T11:46:00Z</dcterms:created>
  <dcterms:modified xsi:type="dcterms:W3CDTF">2016-03-25T17:07:00Z</dcterms:modified>
</cp:coreProperties>
</file>