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E26B85" w:rsidRPr="003D0923" w:rsidP="00E2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Courier New"/>
          <w:b/>
          <w:bCs/>
          <w:sz w:val="24"/>
          <w:szCs w:val="20"/>
        </w:rPr>
      </w:pPr>
      <w:bookmarkStart w:id="0" w:name="_GoBack"/>
      <w:bookmarkEnd w:id="0"/>
      <w:r>
        <w:rPr>
          <w:rFonts w:ascii="Times New Roman" w:eastAsia="Courier New" w:hAnsi="Times New Roman" w:cs="Courier New"/>
          <w:b/>
          <w:bCs/>
          <w:sz w:val="24"/>
          <w:szCs w:val="20"/>
        </w:rPr>
        <w:t>B</w:t>
      </w:r>
      <w:r w:rsidRPr="003D0923">
        <w:rPr>
          <w:rFonts w:ascii="Times New Roman" w:eastAsia="Courier New" w:hAnsi="Times New Roman" w:cs="Courier New"/>
          <w:b/>
          <w:bCs/>
          <w:sz w:val="24"/>
          <w:szCs w:val="20"/>
        </w:rPr>
        <w:t>EFORE</w:t>
      </w:r>
    </w:p>
    <w:p w:rsidR="00E26B85" w:rsidRPr="003D0923" w:rsidP="00E2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Courier New"/>
          <w:sz w:val="24"/>
          <w:szCs w:val="20"/>
        </w:rPr>
      </w:pPr>
      <w:r w:rsidRPr="003D0923">
        <w:rPr>
          <w:rFonts w:ascii="Times New Roman" w:eastAsia="Courier New" w:hAnsi="Times New Roman" w:cs="Courier New"/>
          <w:b/>
          <w:bCs/>
          <w:sz w:val="24"/>
          <w:szCs w:val="20"/>
        </w:rPr>
        <w:t>THE PUBLIC UTILITIES COMMISSION OF OHIO</w:t>
      </w:r>
    </w:p>
    <w:p w:rsidR="00E26B85" w:rsidRPr="003D0923" w:rsidP="00E2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tbl>
      <w:tblPr>
        <w:tblW w:w="9661" w:type="dxa"/>
        <w:tblLook w:val="01E0"/>
      </w:tblPr>
      <w:tblGrid>
        <w:gridCol w:w="5058"/>
        <w:gridCol w:w="348"/>
        <w:gridCol w:w="4255"/>
      </w:tblGrid>
      <w:tr w:rsidTr="00C46478">
        <w:tblPrEx>
          <w:tblW w:w="9661" w:type="dxa"/>
          <w:tblLook w:val="01E0"/>
        </w:tblPrEx>
        <w:trPr>
          <w:trHeight w:val="847"/>
        </w:trPr>
        <w:tc>
          <w:tcPr>
            <w:tcW w:w="5058" w:type="dxa"/>
            <w:shd w:val="clear" w:color="auto" w:fill="auto"/>
          </w:tcPr>
          <w:p w:rsidR="00C65B59" w:rsidRPr="003D0923" w:rsidP="0086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4"/>
              </w:rPr>
            </w:pPr>
            <w:r>
              <w:rPr>
                <w:rFonts w:ascii="Times New Roman" w:eastAsia="Courier New" w:hAnsi="Times New Roman" w:cs="Times New Roman"/>
                <w:sz w:val="24"/>
                <w:szCs w:val="24"/>
              </w:rPr>
              <w:t xml:space="preserve">In the Matter of the Application of the Ohio Development Services Agency for an Order Approving Adjustments to the Universal Service Fund Rider of Jurisdictional Ohio Electric Distribution Utilities. </w:t>
            </w:r>
          </w:p>
        </w:tc>
        <w:tc>
          <w:tcPr>
            <w:tcW w:w="348" w:type="dxa"/>
            <w:shd w:val="clear" w:color="auto" w:fill="auto"/>
          </w:tcPr>
          <w:p w:rsidR="00C65B59" w:rsidRPr="003D0923" w:rsidP="00A9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3D0923">
              <w:rPr>
                <w:rFonts w:ascii="Times New Roman" w:eastAsia="Courier New" w:hAnsi="Times New Roman" w:cs="Courier New"/>
                <w:sz w:val="24"/>
                <w:szCs w:val="20"/>
              </w:rPr>
              <w:t>)</w:t>
            </w:r>
          </w:p>
          <w:p w:rsidR="00C65B59" w:rsidRPr="003D0923" w:rsidP="00A9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3D0923">
              <w:rPr>
                <w:rFonts w:ascii="Times New Roman" w:eastAsia="Courier New" w:hAnsi="Times New Roman" w:cs="Courier New"/>
                <w:sz w:val="24"/>
                <w:szCs w:val="20"/>
              </w:rPr>
              <w:t>)</w:t>
            </w:r>
          </w:p>
          <w:p w:rsidR="00C65B59" w:rsidP="001B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3D0923">
              <w:rPr>
                <w:rFonts w:ascii="Times New Roman" w:eastAsia="Courier New" w:hAnsi="Times New Roman" w:cs="Courier New"/>
                <w:sz w:val="24"/>
                <w:szCs w:val="20"/>
              </w:rPr>
              <w:t>)</w:t>
            </w:r>
          </w:p>
          <w:p w:rsidR="00912677" w:rsidP="001B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Pr>
                <w:rFonts w:ascii="Times New Roman" w:eastAsia="Courier New" w:hAnsi="Times New Roman" w:cs="Courier New"/>
                <w:sz w:val="24"/>
                <w:szCs w:val="20"/>
              </w:rPr>
              <w:t>)</w:t>
            </w:r>
          </w:p>
          <w:p w:rsidR="00912677" w:rsidRPr="003D0923" w:rsidP="001B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Pr>
                <w:rFonts w:ascii="Times New Roman" w:eastAsia="Courier New" w:hAnsi="Times New Roman" w:cs="Courier New"/>
                <w:sz w:val="24"/>
                <w:szCs w:val="20"/>
              </w:rPr>
              <w:t>)</w:t>
            </w:r>
          </w:p>
        </w:tc>
        <w:tc>
          <w:tcPr>
            <w:tcW w:w="4255" w:type="dxa"/>
            <w:shd w:val="clear" w:color="auto" w:fill="auto"/>
          </w:tcPr>
          <w:p w:rsidR="00C65B59" w:rsidRPr="003D0923" w:rsidP="00A9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p w:rsidR="00912677" w:rsidP="00A9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p w:rsidR="00C65B59" w:rsidRPr="003D0923" w:rsidP="00A9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Pr>
                <w:rFonts w:ascii="Times New Roman" w:eastAsia="Courier New" w:hAnsi="Times New Roman" w:cs="Courier New"/>
                <w:sz w:val="24"/>
                <w:szCs w:val="20"/>
              </w:rPr>
              <w:t>Case No. 17</w:t>
            </w:r>
            <w:r w:rsidR="00D40FE2">
              <w:rPr>
                <w:rFonts w:ascii="Times New Roman" w:eastAsia="Courier New" w:hAnsi="Times New Roman" w:cs="Courier New"/>
                <w:sz w:val="24"/>
                <w:szCs w:val="20"/>
              </w:rPr>
              <w:t>-1</w:t>
            </w:r>
            <w:r>
              <w:rPr>
                <w:rFonts w:ascii="Times New Roman" w:eastAsia="Courier New" w:hAnsi="Times New Roman" w:cs="Courier New"/>
                <w:sz w:val="24"/>
                <w:szCs w:val="20"/>
              </w:rPr>
              <w:t>377</w:t>
            </w:r>
            <w:r w:rsidR="00D40FE2">
              <w:rPr>
                <w:rFonts w:ascii="Times New Roman" w:eastAsia="Courier New" w:hAnsi="Times New Roman" w:cs="Courier New"/>
                <w:sz w:val="24"/>
                <w:szCs w:val="20"/>
              </w:rPr>
              <w:t>-EL-USF</w:t>
            </w:r>
          </w:p>
          <w:p w:rsidR="00C65B59" w:rsidRPr="003D0923" w:rsidP="00A9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p w:rsidR="00C65B59" w:rsidRPr="003D0923" w:rsidP="0086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tc>
      </w:tr>
    </w:tbl>
    <w:p w:rsidR="00E26B85" w:rsidRPr="003D0923" w:rsidP="00E26B85">
      <w:pPr>
        <w:pBdr>
          <w:bottom w:val="single" w:sz="12" w:space="1" w:color="auto"/>
        </w:pBdr>
        <w:spacing w:after="0" w:line="240" w:lineRule="auto"/>
        <w:rPr>
          <w:rFonts w:ascii="Times New Roman" w:eastAsia="Times New Roman" w:hAnsi="Times New Roman" w:cs="Times New Roman"/>
          <w:sz w:val="24"/>
          <w:szCs w:val="24"/>
        </w:rPr>
      </w:pPr>
    </w:p>
    <w:p w:rsidR="00E26B85" w:rsidRPr="00AA268E" w:rsidP="00E26B85">
      <w:pPr>
        <w:spacing w:after="0" w:line="240" w:lineRule="auto"/>
        <w:rPr>
          <w:rFonts w:ascii="Times New Roman" w:eastAsia="Times New Roman" w:hAnsi="Times New Roman" w:cs="Times New Roman"/>
          <w:sz w:val="12"/>
          <w:szCs w:val="12"/>
        </w:rPr>
      </w:pPr>
    </w:p>
    <w:p w:rsidR="00E26B85" w:rsidRPr="003D0923" w:rsidP="00E26B8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REPLY </w:t>
      </w:r>
      <w:r>
        <w:rPr>
          <w:rFonts w:ascii="Times New Roman" w:eastAsia="Times New Roman" w:hAnsi="Times New Roman" w:cs="Times New Roman"/>
          <w:b/>
          <w:sz w:val="24"/>
          <w:szCs w:val="24"/>
        </w:rPr>
        <w:t>COMMENTS</w:t>
      </w:r>
    </w:p>
    <w:p w:rsidR="00E26B85" w:rsidRPr="003D0923" w:rsidP="00E26B85">
      <w:pPr>
        <w:spacing w:after="0" w:line="240" w:lineRule="auto"/>
        <w:jc w:val="center"/>
        <w:rPr>
          <w:rFonts w:ascii="Times New Roman" w:eastAsia="Times New Roman" w:hAnsi="Times New Roman" w:cs="Times New Roman"/>
          <w:b/>
          <w:sz w:val="24"/>
          <w:szCs w:val="24"/>
        </w:rPr>
      </w:pPr>
      <w:r w:rsidRPr="003D0923">
        <w:rPr>
          <w:rFonts w:ascii="Times New Roman" w:eastAsia="Times New Roman" w:hAnsi="Times New Roman" w:cs="Times New Roman"/>
          <w:b/>
          <w:sz w:val="24"/>
          <w:szCs w:val="24"/>
        </w:rPr>
        <w:t>BY</w:t>
      </w:r>
    </w:p>
    <w:p w:rsidR="00E26B85" w:rsidRPr="003D0923" w:rsidP="00E26B85">
      <w:pPr>
        <w:spacing w:after="0" w:line="240" w:lineRule="auto"/>
        <w:jc w:val="center"/>
        <w:rPr>
          <w:rFonts w:ascii="Times New Roman" w:eastAsia="Times New Roman" w:hAnsi="Times New Roman" w:cs="Times New Roman"/>
          <w:b/>
          <w:sz w:val="24"/>
          <w:szCs w:val="24"/>
        </w:rPr>
      </w:pPr>
      <w:r w:rsidRPr="003D0923">
        <w:rPr>
          <w:rFonts w:ascii="Times New Roman" w:eastAsia="Times New Roman" w:hAnsi="Times New Roman" w:cs="Times New Roman"/>
          <w:b/>
          <w:sz w:val="24"/>
          <w:szCs w:val="24"/>
        </w:rPr>
        <w:t>THE OFFICE OF THE OHIO CONSUMERS’ COUNSEL</w:t>
      </w:r>
    </w:p>
    <w:p w:rsidR="00E26B85" w:rsidRPr="00AA268E" w:rsidP="00E26B85">
      <w:pPr>
        <w:pBdr>
          <w:bottom w:val="single" w:sz="12" w:space="1" w:color="auto"/>
        </w:pBdr>
        <w:spacing w:after="0" w:line="240" w:lineRule="auto"/>
        <w:jc w:val="center"/>
        <w:rPr>
          <w:rFonts w:ascii="Times New Roman" w:eastAsia="Times New Roman" w:hAnsi="Times New Roman" w:cs="Times New Roman"/>
          <w:sz w:val="12"/>
          <w:szCs w:val="12"/>
        </w:rPr>
      </w:pPr>
    </w:p>
    <w:p w:rsidR="00E26B85" w:rsidRPr="003D0923" w:rsidP="00E26B85">
      <w:pPr>
        <w:spacing w:after="0" w:line="240" w:lineRule="auto"/>
        <w:rPr>
          <w:rFonts w:ascii="Times New Roman" w:eastAsia="Times New Roman" w:hAnsi="Times New Roman" w:cs="Times New Roman"/>
          <w:b/>
          <w:sz w:val="24"/>
          <w:szCs w:val="24"/>
        </w:rPr>
      </w:pPr>
    </w:p>
    <w:p w:rsidR="00430A25" w:rsidRPr="00067E47" w:rsidP="00067E47">
      <w:pPr>
        <w:pStyle w:val="Heading1"/>
      </w:pPr>
      <w:bookmarkStart w:id="1" w:name="_Toc438202432"/>
      <w:r w:rsidRPr="00067E47">
        <w:t>I.</w:t>
      </w:r>
      <w:r w:rsidRPr="00067E47">
        <w:tab/>
      </w:r>
      <w:r w:rsidRPr="00067E47">
        <w:t>INTRODUCTION</w:t>
      </w:r>
      <w:bookmarkEnd w:id="1"/>
    </w:p>
    <w:p w:rsidR="00E42364" w:rsidP="000A196E">
      <w:pPr>
        <w:autoSpaceDE w:val="0"/>
        <w:autoSpaceDN w:val="0"/>
        <w:adjustRightInd w:val="0"/>
        <w:spacing w:after="0" w:line="480" w:lineRule="auto"/>
        <w:ind w:firstLine="720"/>
        <w:rPr>
          <w:rFonts w:ascii="Times New Roman" w:hAnsi="Times New Roman" w:cs="Times New Roman"/>
          <w:sz w:val="24"/>
          <w:szCs w:val="24"/>
        </w:rPr>
      </w:pPr>
      <w:r w:rsidRPr="00CA08D4">
        <w:rPr>
          <w:rFonts w:ascii="Times New Roman" w:hAnsi="Times New Roman" w:cs="Times New Roman"/>
          <w:sz w:val="24"/>
          <w:szCs w:val="24"/>
        </w:rPr>
        <w:t xml:space="preserve">The Office of the Ohio Consumers’ Counsel (“OCC”) files these Reply Comments on behalf of the 4.2 million residential electric customers </w:t>
      </w:r>
      <w:r w:rsidR="0066415A">
        <w:rPr>
          <w:rFonts w:ascii="Times New Roman" w:hAnsi="Times New Roman" w:cs="Times New Roman"/>
          <w:sz w:val="24"/>
          <w:szCs w:val="24"/>
        </w:rPr>
        <w:t xml:space="preserve">who </w:t>
      </w:r>
      <w:r w:rsidR="003170ED">
        <w:rPr>
          <w:rFonts w:ascii="Times New Roman" w:hAnsi="Times New Roman" w:cs="Times New Roman"/>
          <w:sz w:val="24"/>
          <w:szCs w:val="24"/>
        </w:rPr>
        <w:t>pay (</w:t>
      </w:r>
      <w:r w:rsidR="0066415A">
        <w:rPr>
          <w:rFonts w:ascii="Times New Roman" w:hAnsi="Times New Roman" w:cs="Times New Roman"/>
          <w:sz w:val="24"/>
          <w:szCs w:val="24"/>
        </w:rPr>
        <w:t xml:space="preserve">through </w:t>
      </w:r>
      <w:r w:rsidR="00E373ED">
        <w:rPr>
          <w:rFonts w:ascii="Times New Roman" w:hAnsi="Times New Roman" w:cs="Times New Roman"/>
          <w:sz w:val="24"/>
          <w:szCs w:val="24"/>
        </w:rPr>
        <w:t>their electricity</w:t>
      </w:r>
      <w:r w:rsidR="0066415A">
        <w:rPr>
          <w:rFonts w:ascii="Times New Roman" w:hAnsi="Times New Roman" w:cs="Times New Roman"/>
          <w:sz w:val="24"/>
          <w:szCs w:val="24"/>
        </w:rPr>
        <w:t xml:space="preserve"> bills</w:t>
      </w:r>
      <w:r w:rsidR="003170ED">
        <w:rPr>
          <w:rFonts w:ascii="Times New Roman" w:hAnsi="Times New Roman" w:cs="Times New Roman"/>
          <w:sz w:val="24"/>
          <w:szCs w:val="24"/>
        </w:rPr>
        <w:t xml:space="preserve">) for </w:t>
      </w:r>
      <w:r>
        <w:rPr>
          <w:rFonts w:ascii="Times New Roman" w:hAnsi="Times New Roman" w:cs="Times New Roman"/>
          <w:sz w:val="24"/>
          <w:szCs w:val="24"/>
        </w:rPr>
        <w:t>the programs that make up the Universal Service Fund (</w:t>
      </w:r>
      <w:r w:rsidR="00BF09E4">
        <w:rPr>
          <w:rFonts w:ascii="Times New Roman" w:hAnsi="Times New Roman" w:cs="Times New Roman"/>
          <w:sz w:val="24"/>
          <w:szCs w:val="24"/>
        </w:rPr>
        <w:t>“</w:t>
      </w:r>
      <w:r>
        <w:rPr>
          <w:rFonts w:ascii="Times New Roman" w:hAnsi="Times New Roman" w:cs="Times New Roman"/>
          <w:sz w:val="24"/>
          <w:szCs w:val="24"/>
        </w:rPr>
        <w:t>USF</w:t>
      </w:r>
      <w:r w:rsidR="00BF09E4">
        <w:rPr>
          <w:rFonts w:ascii="Times New Roman" w:hAnsi="Times New Roman" w:cs="Times New Roman"/>
          <w:sz w:val="24"/>
          <w:szCs w:val="24"/>
        </w:rPr>
        <w:t>”)</w:t>
      </w:r>
      <w:r>
        <w:rPr>
          <w:rFonts w:ascii="Times New Roman" w:hAnsi="Times New Roman" w:cs="Times New Roman"/>
          <w:sz w:val="24"/>
          <w:szCs w:val="24"/>
        </w:rPr>
        <w:t xml:space="preserve"> </w:t>
      </w:r>
      <w:r w:rsidRPr="00CA08D4">
        <w:rPr>
          <w:rFonts w:ascii="Times New Roman" w:hAnsi="Times New Roman" w:cs="Times New Roman"/>
          <w:sz w:val="24"/>
          <w:szCs w:val="24"/>
        </w:rPr>
        <w:t>in Ohio.</w:t>
      </w:r>
      <w:r w:rsidR="00C65B59">
        <w:rPr>
          <w:rFonts w:ascii="Times New Roman" w:hAnsi="Times New Roman" w:cs="Times New Roman"/>
          <w:sz w:val="24"/>
          <w:szCs w:val="24"/>
        </w:rPr>
        <w:t xml:space="preserve"> </w:t>
      </w:r>
      <w:r w:rsidR="00FE0312">
        <w:rPr>
          <w:rFonts w:ascii="Times New Roman" w:hAnsi="Times New Roman" w:cs="Times New Roman"/>
          <w:sz w:val="24"/>
          <w:szCs w:val="24"/>
        </w:rPr>
        <w:t>The USF</w:t>
      </w:r>
      <w:r>
        <w:rPr>
          <w:rFonts w:ascii="Times New Roman" w:hAnsi="Times New Roman" w:cs="Times New Roman"/>
          <w:sz w:val="24"/>
          <w:szCs w:val="24"/>
        </w:rPr>
        <w:t xml:space="preserve"> </w:t>
      </w:r>
      <w:r w:rsidR="00D25B87">
        <w:rPr>
          <w:rFonts w:ascii="Times New Roman" w:hAnsi="Times New Roman" w:cs="Times New Roman"/>
          <w:sz w:val="24"/>
          <w:szCs w:val="24"/>
        </w:rPr>
        <w:t xml:space="preserve">provides funding for a number of </w:t>
      </w:r>
      <w:r w:rsidR="00490677">
        <w:rPr>
          <w:rFonts w:ascii="Times New Roman" w:hAnsi="Times New Roman" w:cs="Times New Roman"/>
          <w:sz w:val="24"/>
          <w:szCs w:val="24"/>
        </w:rPr>
        <w:t xml:space="preserve">low-income </w:t>
      </w:r>
      <w:r w:rsidR="00D25B87">
        <w:rPr>
          <w:rFonts w:ascii="Times New Roman" w:hAnsi="Times New Roman" w:cs="Times New Roman"/>
          <w:sz w:val="24"/>
          <w:szCs w:val="24"/>
        </w:rPr>
        <w:t xml:space="preserve">programs including the Percentage of </w:t>
      </w:r>
      <w:r w:rsidR="0066415A">
        <w:rPr>
          <w:rFonts w:ascii="Times New Roman" w:hAnsi="Times New Roman" w:cs="Times New Roman"/>
          <w:sz w:val="24"/>
          <w:szCs w:val="24"/>
        </w:rPr>
        <w:t>Income Payment Plan (“PIPP”) which</w:t>
      </w:r>
      <w:r w:rsidR="00D25B87">
        <w:rPr>
          <w:rFonts w:ascii="Times New Roman" w:hAnsi="Times New Roman" w:cs="Times New Roman"/>
          <w:sz w:val="24"/>
          <w:szCs w:val="24"/>
        </w:rPr>
        <w:t xml:space="preserve"> is administered by the Ohio Development Services Agency (“ODSA”). </w:t>
      </w:r>
    </w:p>
    <w:p w:rsidR="00E373ED" w:rsidP="00C46478">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w:t>
      </w:r>
      <w:r w:rsidR="003E5154">
        <w:rPr>
          <w:rFonts w:ascii="Times New Roman" w:hAnsi="Times New Roman" w:cs="Times New Roman"/>
          <w:sz w:val="24"/>
          <w:szCs w:val="24"/>
        </w:rPr>
        <w:t xml:space="preserve"> June</w:t>
      </w:r>
      <w:r>
        <w:rPr>
          <w:rFonts w:ascii="Times New Roman" w:hAnsi="Times New Roman" w:cs="Times New Roman"/>
          <w:sz w:val="24"/>
          <w:szCs w:val="24"/>
        </w:rPr>
        <w:t xml:space="preserve"> 1, 201</w:t>
      </w:r>
      <w:r w:rsidR="003E5154">
        <w:rPr>
          <w:rFonts w:ascii="Times New Roman" w:hAnsi="Times New Roman" w:cs="Times New Roman"/>
          <w:sz w:val="24"/>
          <w:szCs w:val="24"/>
        </w:rPr>
        <w:t>7</w:t>
      </w:r>
      <w:r>
        <w:rPr>
          <w:rFonts w:ascii="Times New Roman" w:hAnsi="Times New Roman" w:cs="Times New Roman"/>
          <w:sz w:val="24"/>
          <w:szCs w:val="24"/>
        </w:rPr>
        <w:t xml:space="preserve">, ODSA filed its Notice of Intent </w:t>
      </w:r>
      <w:r w:rsidR="00031D26">
        <w:rPr>
          <w:rFonts w:ascii="Times New Roman" w:hAnsi="Times New Roman" w:cs="Times New Roman"/>
          <w:sz w:val="24"/>
          <w:szCs w:val="24"/>
        </w:rPr>
        <w:t xml:space="preserve">to file an application for adjustments to the USF Riders. </w:t>
      </w:r>
      <w:r w:rsidR="00264AE6">
        <w:rPr>
          <w:rFonts w:ascii="Times New Roman" w:hAnsi="Times New Roman" w:cs="Times New Roman"/>
          <w:sz w:val="24"/>
          <w:szCs w:val="24"/>
        </w:rPr>
        <w:t>On Ju</w:t>
      </w:r>
      <w:r w:rsidR="003E5154">
        <w:rPr>
          <w:rFonts w:ascii="Times New Roman" w:hAnsi="Times New Roman" w:cs="Times New Roman"/>
          <w:sz w:val="24"/>
          <w:szCs w:val="24"/>
        </w:rPr>
        <w:t>ne 30,</w:t>
      </w:r>
      <w:r w:rsidR="00264AE6">
        <w:rPr>
          <w:rFonts w:ascii="Times New Roman" w:hAnsi="Times New Roman" w:cs="Times New Roman"/>
          <w:sz w:val="24"/>
          <w:szCs w:val="24"/>
        </w:rPr>
        <w:t xml:space="preserve"> the Kroger Co. (“Kroger”) filed comments seeking to </w:t>
      </w:r>
      <w:r w:rsidR="00E42364">
        <w:rPr>
          <w:rFonts w:ascii="Times New Roman" w:hAnsi="Times New Roman" w:cs="Times New Roman"/>
          <w:sz w:val="24"/>
          <w:szCs w:val="24"/>
        </w:rPr>
        <w:t xml:space="preserve">change the way </w:t>
      </w:r>
      <w:r w:rsidR="00856ED3">
        <w:rPr>
          <w:rFonts w:ascii="Times New Roman" w:hAnsi="Times New Roman" w:cs="Times New Roman"/>
          <w:sz w:val="24"/>
          <w:szCs w:val="24"/>
        </w:rPr>
        <w:t xml:space="preserve">charges </w:t>
      </w:r>
      <w:r w:rsidR="00E42364">
        <w:rPr>
          <w:rFonts w:ascii="Times New Roman" w:hAnsi="Times New Roman" w:cs="Times New Roman"/>
          <w:sz w:val="24"/>
          <w:szCs w:val="24"/>
        </w:rPr>
        <w:t>are collected for USF</w:t>
      </w:r>
      <w:r>
        <w:rPr>
          <w:rStyle w:val="FootnoteReference"/>
          <w:rFonts w:ascii="Times New Roman" w:hAnsi="Times New Roman" w:cs="Times New Roman"/>
          <w:sz w:val="24"/>
          <w:szCs w:val="24"/>
        </w:rPr>
        <w:footnoteReference w:id="2"/>
      </w:r>
      <w:r w:rsidR="00264AE6">
        <w:rPr>
          <w:rFonts w:ascii="Times New Roman" w:hAnsi="Times New Roman" w:cs="Times New Roman"/>
          <w:sz w:val="24"/>
          <w:szCs w:val="24"/>
        </w:rPr>
        <w:t xml:space="preserve"> in a manner that inappropriately shifts </w:t>
      </w:r>
      <w:r w:rsidR="00E42364">
        <w:rPr>
          <w:rFonts w:ascii="Times New Roman" w:hAnsi="Times New Roman" w:cs="Times New Roman"/>
          <w:sz w:val="24"/>
          <w:szCs w:val="24"/>
        </w:rPr>
        <w:t xml:space="preserve">more </w:t>
      </w:r>
      <w:r w:rsidR="00264AE6">
        <w:rPr>
          <w:rFonts w:ascii="Times New Roman" w:hAnsi="Times New Roman" w:cs="Times New Roman"/>
          <w:sz w:val="24"/>
          <w:szCs w:val="24"/>
        </w:rPr>
        <w:t xml:space="preserve">costs to residential customers. OCC </w:t>
      </w:r>
      <w:r w:rsidR="00E42364">
        <w:rPr>
          <w:rFonts w:ascii="Times New Roman" w:hAnsi="Times New Roman" w:cs="Times New Roman"/>
          <w:sz w:val="24"/>
          <w:szCs w:val="24"/>
        </w:rPr>
        <w:t xml:space="preserve">opposes those changes because they violate </w:t>
      </w:r>
      <w:r w:rsidR="00946F91">
        <w:rPr>
          <w:rFonts w:ascii="Times New Roman" w:hAnsi="Times New Roman" w:cs="Times New Roman"/>
          <w:sz w:val="24"/>
          <w:szCs w:val="24"/>
        </w:rPr>
        <w:t xml:space="preserve">Ohio law and unnecessarily harm Ohio residential customers. </w:t>
      </w:r>
      <w:r w:rsidR="003E5154">
        <w:rPr>
          <w:rFonts w:ascii="Times New Roman" w:hAnsi="Times New Roman" w:cs="Times New Roman"/>
          <w:sz w:val="24"/>
          <w:szCs w:val="24"/>
        </w:rPr>
        <w:t>Duke Energy Ohio (“Duke”) also claim</w:t>
      </w:r>
      <w:r w:rsidR="00B86AEC">
        <w:rPr>
          <w:rFonts w:ascii="Times New Roman" w:hAnsi="Times New Roman" w:cs="Times New Roman"/>
          <w:sz w:val="24"/>
          <w:szCs w:val="24"/>
        </w:rPr>
        <w:t>s</w:t>
      </w:r>
      <w:r w:rsidR="003E5154">
        <w:rPr>
          <w:rFonts w:ascii="Times New Roman" w:hAnsi="Times New Roman" w:cs="Times New Roman"/>
          <w:sz w:val="24"/>
          <w:szCs w:val="24"/>
        </w:rPr>
        <w:t xml:space="preserve"> that due to</w:t>
      </w:r>
      <w:r w:rsidR="00B86AEC">
        <w:rPr>
          <w:rFonts w:ascii="Times New Roman" w:hAnsi="Times New Roman" w:cs="Times New Roman"/>
          <w:sz w:val="24"/>
          <w:szCs w:val="24"/>
        </w:rPr>
        <w:t xml:space="preserve"> an</w:t>
      </w:r>
      <w:r w:rsidR="003E5154">
        <w:rPr>
          <w:rFonts w:ascii="Times New Roman" w:hAnsi="Times New Roman" w:cs="Times New Roman"/>
          <w:sz w:val="24"/>
          <w:szCs w:val="24"/>
        </w:rPr>
        <w:t xml:space="preserve"> accounting adjustment from 2013, an </w:t>
      </w:r>
      <w:r w:rsidR="003E5154">
        <w:rPr>
          <w:rFonts w:ascii="Times New Roman" w:hAnsi="Times New Roman" w:cs="Times New Roman"/>
          <w:sz w:val="24"/>
          <w:szCs w:val="24"/>
        </w:rPr>
        <w:t>accounting anomaly was created that resulted in the USF fund under reimbursing Duke for roughly $1.5 million.</w:t>
      </w:r>
      <w:r>
        <w:rPr>
          <w:rStyle w:val="FootnoteReference"/>
          <w:rFonts w:ascii="Times New Roman" w:hAnsi="Times New Roman" w:cs="Times New Roman"/>
          <w:sz w:val="24"/>
          <w:szCs w:val="24"/>
        </w:rPr>
        <w:footnoteReference w:id="3"/>
      </w:r>
    </w:p>
    <w:p w:rsidR="00C46478" w:rsidP="00C46478">
      <w:pPr>
        <w:autoSpaceDE w:val="0"/>
        <w:autoSpaceDN w:val="0"/>
        <w:adjustRightInd w:val="0"/>
        <w:spacing w:after="0" w:line="240" w:lineRule="auto"/>
        <w:ind w:firstLine="720"/>
        <w:rPr>
          <w:rFonts w:ascii="Times New Roman" w:hAnsi="Times New Roman" w:cs="Times New Roman"/>
          <w:sz w:val="24"/>
          <w:szCs w:val="24"/>
        </w:rPr>
      </w:pPr>
    </w:p>
    <w:p w:rsidR="0030212E" w:rsidRPr="006C7CE1" w:rsidP="00067E47">
      <w:pPr>
        <w:pStyle w:val="Heading1"/>
      </w:pPr>
      <w:bookmarkStart w:id="2" w:name="_Toc438202433"/>
      <w:r w:rsidRPr="006C7CE1">
        <w:t>II.</w:t>
      </w:r>
      <w:r w:rsidRPr="006C7CE1">
        <w:tab/>
        <w:t>COMMENTS</w:t>
      </w:r>
    </w:p>
    <w:p w:rsidR="008B16C9" w:rsidP="00E373ED">
      <w:pPr>
        <w:pStyle w:val="Heading2"/>
      </w:pPr>
      <w:bookmarkEnd w:id="2"/>
      <w:r>
        <w:t xml:space="preserve">Kroger’s proposed rate design change violates </w:t>
      </w:r>
      <w:r w:rsidR="00A62242">
        <w:t>R.C. 4928.</w:t>
      </w:r>
      <w:r w:rsidR="00E325E0">
        <w:t>5</w:t>
      </w:r>
      <w:r w:rsidR="00A62242">
        <w:t>2(C)</w:t>
      </w:r>
      <w:r w:rsidR="00856ED3">
        <w:t xml:space="preserve"> </w:t>
      </w:r>
      <w:r>
        <w:t xml:space="preserve">by </w:t>
      </w:r>
      <w:r w:rsidR="00A62242">
        <w:t xml:space="preserve">shifting </w:t>
      </w:r>
      <w:r>
        <w:t>costs to residential customers</w:t>
      </w:r>
      <w:r w:rsidR="00E056CE">
        <w:t>.</w:t>
      </w:r>
    </w:p>
    <w:p w:rsidR="003C15A7" w:rsidP="003C15A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Ohio law </w:t>
      </w:r>
      <w:r>
        <w:rPr>
          <w:rFonts w:ascii="Times New Roman" w:hAnsi="Times New Roman" w:cs="Times New Roman"/>
          <w:sz w:val="24"/>
          <w:szCs w:val="24"/>
        </w:rPr>
        <w:t xml:space="preserve">specifically states that the </w:t>
      </w:r>
      <w:r>
        <w:rPr>
          <w:rFonts w:ascii="Times New Roman" w:hAnsi="Times New Roman" w:cs="Times New Roman"/>
          <w:sz w:val="24"/>
          <w:szCs w:val="24"/>
        </w:rPr>
        <w:t>universal service</w:t>
      </w:r>
      <w:r w:rsidR="00B86AEC">
        <w:rPr>
          <w:rFonts w:ascii="Times New Roman" w:hAnsi="Times New Roman" w:cs="Times New Roman"/>
          <w:sz w:val="24"/>
          <w:szCs w:val="24"/>
        </w:rPr>
        <w:t xml:space="preserve"> fund</w:t>
      </w:r>
      <w:r>
        <w:rPr>
          <w:rFonts w:ascii="Times New Roman" w:hAnsi="Times New Roman" w:cs="Times New Roman"/>
          <w:sz w:val="24"/>
          <w:szCs w:val="24"/>
        </w:rPr>
        <w:t xml:space="preserve"> rider “shall be set in such a manner so as not to shift among the customer classes of electric distribution utilities the costs of funding low-income customer assistance programs.”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This means </w:t>
      </w:r>
      <w:r w:rsidR="00105564">
        <w:rPr>
          <w:rFonts w:ascii="Times New Roman" w:hAnsi="Times New Roman" w:cs="Times New Roman"/>
          <w:sz w:val="24"/>
          <w:szCs w:val="24"/>
        </w:rPr>
        <w:t xml:space="preserve">that a certain specific </w:t>
      </w:r>
      <w:r>
        <w:rPr>
          <w:rFonts w:ascii="Times New Roman" w:hAnsi="Times New Roman" w:cs="Times New Roman"/>
          <w:sz w:val="24"/>
          <w:szCs w:val="24"/>
        </w:rPr>
        <w:t xml:space="preserve">customer class cannot shift the costs </w:t>
      </w:r>
      <w:r w:rsidR="00105564">
        <w:rPr>
          <w:rFonts w:ascii="Times New Roman" w:hAnsi="Times New Roman" w:cs="Times New Roman"/>
          <w:sz w:val="24"/>
          <w:szCs w:val="24"/>
        </w:rPr>
        <w:t>associated with its</w:t>
      </w:r>
      <w:r>
        <w:rPr>
          <w:rFonts w:ascii="Times New Roman" w:hAnsi="Times New Roman" w:cs="Times New Roman"/>
          <w:sz w:val="24"/>
          <w:szCs w:val="24"/>
        </w:rPr>
        <w:t xml:space="preserve"> universal service fund</w:t>
      </w:r>
      <w:r w:rsidR="00105564">
        <w:rPr>
          <w:rFonts w:ascii="Times New Roman" w:hAnsi="Times New Roman" w:cs="Times New Roman"/>
          <w:sz w:val="24"/>
          <w:szCs w:val="24"/>
        </w:rPr>
        <w:t xml:space="preserve"> obligation </w:t>
      </w:r>
      <w:r>
        <w:rPr>
          <w:rFonts w:ascii="Times New Roman" w:hAnsi="Times New Roman" w:cs="Times New Roman"/>
          <w:sz w:val="24"/>
          <w:szCs w:val="24"/>
        </w:rPr>
        <w:t>away from</w:t>
      </w:r>
      <w:r w:rsidR="00105564">
        <w:rPr>
          <w:rFonts w:ascii="Times New Roman" w:hAnsi="Times New Roman" w:cs="Times New Roman"/>
          <w:sz w:val="24"/>
          <w:szCs w:val="24"/>
        </w:rPr>
        <w:t xml:space="preserve"> itself</w:t>
      </w:r>
      <w:r w:rsidR="00E42364">
        <w:rPr>
          <w:rFonts w:ascii="Times New Roman" w:hAnsi="Times New Roman" w:cs="Times New Roman"/>
          <w:sz w:val="24"/>
          <w:szCs w:val="24"/>
        </w:rPr>
        <w:t xml:space="preserve"> and on</w:t>
      </w:r>
      <w:r w:rsidR="00105564">
        <w:rPr>
          <w:rFonts w:ascii="Times New Roman" w:hAnsi="Times New Roman" w:cs="Times New Roman"/>
          <w:sz w:val="24"/>
          <w:szCs w:val="24"/>
        </w:rPr>
        <w:t xml:space="preserve">to another </w:t>
      </w:r>
      <w:r>
        <w:rPr>
          <w:rFonts w:ascii="Times New Roman" w:hAnsi="Times New Roman" w:cs="Times New Roman"/>
          <w:sz w:val="24"/>
          <w:szCs w:val="24"/>
        </w:rPr>
        <w:t xml:space="preserve">customer class. </w:t>
      </w:r>
      <w:r w:rsidR="00E42364">
        <w:rPr>
          <w:rFonts w:ascii="Times New Roman" w:hAnsi="Times New Roman" w:cs="Times New Roman"/>
          <w:sz w:val="24"/>
          <w:szCs w:val="24"/>
        </w:rPr>
        <w:t>But t</w:t>
      </w:r>
      <w:r>
        <w:rPr>
          <w:rFonts w:ascii="Times New Roman" w:hAnsi="Times New Roman" w:cs="Times New Roman"/>
          <w:sz w:val="24"/>
          <w:szCs w:val="24"/>
        </w:rPr>
        <w:t xml:space="preserve">his is precisely what Kroger is seeking to do, </w:t>
      </w:r>
      <w:r w:rsidR="00A62242">
        <w:rPr>
          <w:rFonts w:ascii="Times New Roman" w:hAnsi="Times New Roman" w:cs="Times New Roman"/>
          <w:sz w:val="24"/>
          <w:szCs w:val="24"/>
        </w:rPr>
        <w:t xml:space="preserve">contrary to R.C. 4928.52(C).  </w:t>
      </w:r>
      <w:r>
        <w:rPr>
          <w:rFonts w:ascii="Times New Roman" w:hAnsi="Times New Roman" w:cs="Times New Roman"/>
          <w:sz w:val="24"/>
          <w:szCs w:val="24"/>
        </w:rPr>
        <w:t xml:space="preserve"> </w:t>
      </w:r>
    </w:p>
    <w:p w:rsidR="00A62242" w:rsidP="00A6224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Specifically, Kroger proposes “a modification to the application of the two-step declining block rate design methodology so that two tiers apply to mercantile customers with multiples sites on an aggregated monthly consumption basis.”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00E46274">
        <w:rPr>
          <w:rFonts w:ascii="Times New Roman" w:hAnsi="Times New Roman" w:cs="Times New Roman"/>
          <w:sz w:val="24"/>
          <w:szCs w:val="24"/>
        </w:rPr>
        <w:t>This rate design would essentially create a new class of customers for multi-site mercantile entities. They would be able to aggregate individual customer loads for the sole purpose of significantly lower</w:t>
      </w:r>
      <w:r w:rsidR="00490677">
        <w:rPr>
          <w:rFonts w:ascii="Times New Roman" w:hAnsi="Times New Roman" w:cs="Times New Roman"/>
          <w:sz w:val="24"/>
          <w:szCs w:val="24"/>
        </w:rPr>
        <w:t>ing</w:t>
      </w:r>
      <w:r w:rsidR="00E46274">
        <w:rPr>
          <w:rFonts w:ascii="Times New Roman" w:hAnsi="Times New Roman" w:cs="Times New Roman"/>
          <w:sz w:val="24"/>
          <w:szCs w:val="24"/>
        </w:rPr>
        <w:t xml:space="preserve"> electric rates </w:t>
      </w:r>
      <w:r w:rsidR="00490677">
        <w:rPr>
          <w:rFonts w:ascii="Times New Roman" w:hAnsi="Times New Roman" w:cs="Times New Roman"/>
          <w:sz w:val="24"/>
          <w:szCs w:val="24"/>
        </w:rPr>
        <w:t xml:space="preserve">for the aggregated group on average </w:t>
      </w:r>
      <w:r w:rsidR="00E46274">
        <w:rPr>
          <w:rFonts w:ascii="Times New Roman" w:hAnsi="Times New Roman" w:cs="Times New Roman"/>
          <w:sz w:val="24"/>
          <w:szCs w:val="24"/>
        </w:rPr>
        <w:t>than an individual mercantile customer pays.</w:t>
      </w:r>
    </w:p>
    <w:p w:rsidR="0020379D" w:rsidP="0020379D">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Kroger’s </w:t>
      </w:r>
      <w:r w:rsidR="00147A0C">
        <w:rPr>
          <w:rFonts w:ascii="Times New Roman" w:hAnsi="Times New Roman" w:cs="Times New Roman"/>
          <w:sz w:val="24"/>
          <w:szCs w:val="24"/>
        </w:rPr>
        <w:t xml:space="preserve">proposed </w:t>
      </w:r>
      <w:r>
        <w:rPr>
          <w:rFonts w:ascii="Times New Roman" w:hAnsi="Times New Roman" w:cs="Times New Roman"/>
          <w:sz w:val="24"/>
          <w:szCs w:val="24"/>
        </w:rPr>
        <w:t xml:space="preserve">modification unlawfully shifts costs away from large </w:t>
      </w:r>
      <w:r w:rsidR="00BC6148">
        <w:rPr>
          <w:rFonts w:ascii="Times New Roman" w:hAnsi="Times New Roman" w:cs="Times New Roman"/>
          <w:sz w:val="24"/>
          <w:szCs w:val="24"/>
        </w:rPr>
        <w:t xml:space="preserve">mercantile </w:t>
      </w:r>
      <w:r>
        <w:rPr>
          <w:rFonts w:ascii="Times New Roman" w:hAnsi="Times New Roman" w:cs="Times New Roman"/>
          <w:sz w:val="24"/>
          <w:szCs w:val="24"/>
        </w:rPr>
        <w:t>customers with mult</w:t>
      </w:r>
      <w:r w:rsidR="00C974BF">
        <w:rPr>
          <w:rFonts w:ascii="Times New Roman" w:hAnsi="Times New Roman" w:cs="Times New Roman"/>
          <w:sz w:val="24"/>
          <w:szCs w:val="24"/>
        </w:rPr>
        <w:t>iple locations to other customers</w:t>
      </w:r>
      <w:r w:rsidR="00E42364">
        <w:rPr>
          <w:rFonts w:ascii="Times New Roman" w:hAnsi="Times New Roman" w:cs="Times New Roman"/>
          <w:sz w:val="24"/>
          <w:szCs w:val="24"/>
        </w:rPr>
        <w:t>. The</w:t>
      </w:r>
      <w:r w:rsidR="00C974BF">
        <w:rPr>
          <w:rFonts w:ascii="Times New Roman" w:hAnsi="Times New Roman" w:cs="Times New Roman"/>
          <w:sz w:val="24"/>
          <w:szCs w:val="24"/>
        </w:rPr>
        <w:t xml:space="preserve"> brunt of this cost shifting will be borne by </w:t>
      </w:r>
      <w:r w:rsidR="00147A0C">
        <w:rPr>
          <w:rFonts w:ascii="Times New Roman" w:hAnsi="Times New Roman" w:cs="Times New Roman"/>
          <w:sz w:val="24"/>
          <w:szCs w:val="24"/>
        </w:rPr>
        <w:t>customers who use less energy like small business</w:t>
      </w:r>
      <w:r w:rsidR="00A62242">
        <w:rPr>
          <w:rFonts w:ascii="Times New Roman" w:hAnsi="Times New Roman" w:cs="Times New Roman"/>
          <w:sz w:val="24"/>
          <w:szCs w:val="24"/>
        </w:rPr>
        <w:t>es</w:t>
      </w:r>
      <w:r w:rsidR="00147A0C">
        <w:rPr>
          <w:rFonts w:ascii="Times New Roman" w:hAnsi="Times New Roman" w:cs="Times New Roman"/>
          <w:sz w:val="24"/>
          <w:szCs w:val="24"/>
        </w:rPr>
        <w:t xml:space="preserve"> and </w:t>
      </w:r>
      <w:r w:rsidR="00C974BF">
        <w:rPr>
          <w:rFonts w:ascii="Times New Roman" w:hAnsi="Times New Roman" w:cs="Times New Roman"/>
          <w:sz w:val="24"/>
          <w:szCs w:val="24"/>
        </w:rPr>
        <w:t>resi</w:t>
      </w:r>
      <w:r w:rsidR="00AB604D">
        <w:rPr>
          <w:rFonts w:ascii="Times New Roman" w:hAnsi="Times New Roman" w:cs="Times New Roman"/>
          <w:sz w:val="24"/>
          <w:szCs w:val="24"/>
        </w:rPr>
        <w:t xml:space="preserve">dential customers. Additionally, while only Kroger has proposed this </w:t>
      </w:r>
      <w:r w:rsidR="00856ED3">
        <w:rPr>
          <w:rFonts w:ascii="Times New Roman" w:hAnsi="Times New Roman" w:cs="Times New Roman"/>
          <w:sz w:val="24"/>
          <w:szCs w:val="24"/>
        </w:rPr>
        <w:t xml:space="preserve">modified </w:t>
      </w:r>
      <w:r w:rsidR="00AB604D">
        <w:rPr>
          <w:rFonts w:ascii="Times New Roman" w:hAnsi="Times New Roman" w:cs="Times New Roman"/>
          <w:sz w:val="24"/>
          <w:szCs w:val="24"/>
        </w:rPr>
        <w:t xml:space="preserve">rate design, any other </w:t>
      </w:r>
      <w:r w:rsidR="00147A0C">
        <w:rPr>
          <w:rFonts w:ascii="Times New Roman" w:hAnsi="Times New Roman" w:cs="Times New Roman"/>
          <w:sz w:val="24"/>
          <w:szCs w:val="24"/>
        </w:rPr>
        <w:t xml:space="preserve">similarly situated </w:t>
      </w:r>
      <w:r w:rsidR="00AB604D">
        <w:rPr>
          <w:rFonts w:ascii="Times New Roman" w:hAnsi="Times New Roman" w:cs="Times New Roman"/>
          <w:sz w:val="24"/>
          <w:szCs w:val="24"/>
        </w:rPr>
        <w:t>mul</w:t>
      </w:r>
      <w:r w:rsidR="00E42364">
        <w:rPr>
          <w:rFonts w:ascii="Times New Roman" w:hAnsi="Times New Roman" w:cs="Times New Roman"/>
          <w:sz w:val="24"/>
          <w:szCs w:val="24"/>
        </w:rPr>
        <w:t>t</w:t>
      </w:r>
      <w:r w:rsidR="00AB604D">
        <w:rPr>
          <w:rFonts w:ascii="Times New Roman" w:hAnsi="Times New Roman" w:cs="Times New Roman"/>
          <w:sz w:val="24"/>
          <w:szCs w:val="24"/>
        </w:rPr>
        <w:t xml:space="preserve">i-site </w:t>
      </w:r>
      <w:r w:rsidR="00147A0C">
        <w:rPr>
          <w:rFonts w:ascii="Times New Roman" w:hAnsi="Times New Roman" w:cs="Times New Roman"/>
          <w:sz w:val="24"/>
          <w:szCs w:val="24"/>
        </w:rPr>
        <w:t xml:space="preserve">mercantile </w:t>
      </w:r>
      <w:r w:rsidR="000B7A68">
        <w:rPr>
          <w:rFonts w:ascii="Times New Roman" w:hAnsi="Times New Roman" w:cs="Times New Roman"/>
          <w:sz w:val="24"/>
          <w:szCs w:val="24"/>
        </w:rPr>
        <w:t>customer</w:t>
      </w:r>
      <w:r w:rsidR="0048681A">
        <w:rPr>
          <w:rFonts w:ascii="Times New Roman" w:hAnsi="Times New Roman" w:cs="Times New Roman"/>
          <w:sz w:val="24"/>
          <w:szCs w:val="24"/>
        </w:rPr>
        <w:t>s</w:t>
      </w:r>
      <w:r w:rsidR="000B7A68">
        <w:rPr>
          <w:rFonts w:ascii="Times New Roman" w:hAnsi="Times New Roman" w:cs="Times New Roman"/>
          <w:sz w:val="24"/>
          <w:szCs w:val="24"/>
        </w:rPr>
        <w:t xml:space="preserve"> would be able to take advantage of this </w:t>
      </w:r>
      <w:r w:rsidR="00856ED3">
        <w:rPr>
          <w:rFonts w:ascii="Times New Roman" w:hAnsi="Times New Roman" w:cs="Times New Roman"/>
          <w:sz w:val="24"/>
          <w:szCs w:val="24"/>
        </w:rPr>
        <w:t>unwarranted cost reallocation to reside</w:t>
      </w:r>
      <w:r w:rsidR="00667D55">
        <w:rPr>
          <w:rFonts w:ascii="Times New Roman" w:hAnsi="Times New Roman" w:cs="Times New Roman"/>
          <w:sz w:val="24"/>
          <w:szCs w:val="24"/>
        </w:rPr>
        <w:t>ntial customers</w:t>
      </w:r>
      <w:r w:rsidR="000B7A68">
        <w:rPr>
          <w:rFonts w:ascii="Times New Roman" w:hAnsi="Times New Roman" w:cs="Times New Roman"/>
          <w:sz w:val="24"/>
          <w:szCs w:val="24"/>
        </w:rPr>
        <w:t xml:space="preserve">. </w:t>
      </w:r>
    </w:p>
    <w:p w:rsidR="0020379D">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Kroger claims that </w:t>
      </w:r>
      <w:r w:rsidR="00856ED3">
        <w:rPr>
          <w:rFonts w:ascii="Times New Roman" w:hAnsi="Times New Roman" w:cs="Times New Roman"/>
          <w:sz w:val="24"/>
          <w:szCs w:val="24"/>
        </w:rPr>
        <w:t>because it</w:t>
      </w:r>
      <w:r>
        <w:rPr>
          <w:rFonts w:ascii="Times New Roman" w:hAnsi="Times New Roman" w:cs="Times New Roman"/>
          <w:sz w:val="24"/>
          <w:szCs w:val="24"/>
        </w:rPr>
        <w:t xml:space="preserve"> </w:t>
      </w:r>
      <w:r w:rsidR="00856ED3">
        <w:rPr>
          <w:rFonts w:ascii="Times New Roman" w:hAnsi="Times New Roman" w:cs="Times New Roman"/>
          <w:sz w:val="24"/>
          <w:szCs w:val="24"/>
        </w:rPr>
        <w:t xml:space="preserve">is </w:t>
      </w:r>
      <w:r>
        <w:rPr>
          <w:rFonts w:ascii="Times New Roman" w:hAnsi="Times New Roman" w:cs="Times New Roman"/>
          <w:sz w:val="24"/>
          <w:szCs w:val="24"/>
        </w:rPr>
        <w:t>simply asking to aggregate load for multiple facilities under “common control and ownership</w:t>
      </w:r>
      <w:r w:rsidR="00856ED3">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00856ED3">
        <w:rPr>
          <w:rFonts w:ascii="Times New Roman" w:hAnsi="Times New Roman" w:cs="Times New Roman"/>
          <w:sz w:val="24"/>
          <w:szCs w:val="24"/>
        </w:rPr>
        <w:t xml:space="preserve">it is </w:t>
      </w:r>
      <w:r>
        <w:rPr>
          <w:rFonts w:ascii="Times New Roman" w:hAnsi="Times New Roman" w:cs="Times New Roman"/>
          <w:sz w:val="24"/>
          <w:szCs w:val="24"/>
        </w:rPr>
        <w:t xml:space="preserve">not proposing to change the rate design methodology. However, the law is clear, it is not about the rate design methodology, but about whether the </w:t>
      </w:r>
      <w:r w:rsidR="00856ED3">
        <w:rPr>
          <w:rFonts w:ascii="Times New Roman" w:hAnsi="Times New Roman" w:cs="Times New Roman"/>
          <w:sz w:val="24"/>
          <w:szCs w:val="24"/>
        </w:rPr>
        <w:t xml:space="preserve">charges </w:t>
      </w:r>
      <w:r>
        <w:rPr>
          <w:rFonts w:ascii="Times New Roman" w:hAnsi="Times New Roman" w:cs="Times New Roman"/>
          <w:sz w:val="24"/>
          <w:szCs w:val="24"/>
        </w:rPr>
        <w:t>themselves shift the costs among the customer classes.</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Kroger</w:t>
      </w:r>
      <w:r w:rsidR="00490677">
        <w:rPr>
          <w:rFonts w:ascii="Times New Roman" w:hAnsi="Times New Roman" w:cs="Times New Roman"/>
          <w:sz w:val="24"/>
          <w:szCs w:val="24"/>
        </w:rPr>
        <w:t>’s argument</w:t>
      </w:r>
      <w:r>
        <w:rPr>
          <w:rFonts w:ascii="Times New Roman" w:hAnsi="Times New Roman" w:cs="Times New Roman"/>
          <w:sz w:val="24"/>
          <w:szCs w:val="24"/>
        </w:rPr>
        <w:t xml:space="preserve"> is a distinction without a difference; </w:t>
      </w:r>
      <w:r w:rsidR="00856ED3">
        <w:rPr>
          <w:rFonts w:ascii="Times New Roman" w:hAnsi="Times New Roman" w:cs="Times New Roman"/>
          <w:sz w:val="24"/>
          <w:szCs w:val="24"/>
        </w:rPr>
        <w:t xml:space="preserve">its </w:t>
      </w:r>
      <w:r>
        <w:rPr>
          <w:rFonts w:ascii="Times New Roman" w:hAnsi="Times New Roman" w:cs="Times New Roman"/>
          <w:sz w:val="24"/>
          <w:szCs w:val="24"/>
        </w:rPr>
        <w:t xml:space="preserve">proposal would have the effect of shifting costs to </w:t>
      </w:r>
      <w:r w:rsidR="00856ED3">
        <w:rPr>
          <w:rFonts w:ascii="Times New Roman" w:hAnsi="Times New Roman" w:cs="Times New Roman"/>
          <w:sz w:val="24"/>
          <w:szCs w:val="24"/>
        </w:rPr>
        <w:t xml:space="preserve">the residential </w:t>
      </w:r>
      <w:r>
        <w:rPr>
          <w:rFonts w:ascii="Times New Roman" w:hAnsi="Times New Roman" w:cs="Times New Roman"/>
          <w:sz w:val="24"/>
          <w:szCs w:val="24"/>
        </w:rPr>
        <w:t xml:space="preserve">customer class. </w:t>
      </w:r>
      <w:r w:rsidR="00E46274">
        <w:rPr>
          <w:rFonts w:ascii="Times New Roman" w:hAnsi="Times New Roman" w:cs="Times New Roman"/>
          <w:sz w:val="24"/>
          <w:szCs w:val="24"/>
        </w:rPr>
        <w:t>I</w:t>
      </w:r>
      <w:r>
        <w:rPr>
          <w:rFonts w:ascii="Times New Roman" w:hAnsi="Times New Roman" w:cs="Times New Roman"/>
          <w:sz w:val="24"/>
          <w:szCs w:val="24"/>
        </w:rPr>
        <w:t xml:space="preserve">t is </w:t>
      </w:r>
      <w:r w:rsidR="00E46274">
        <w:rPr>
          <w:rFonts w:ascii="Times New Roman" w:hAnsi="Times New Roman" w:cs="Times New Roman"/>
          <w:sz w:val="24"/>
          <w:szCs w:val="24"/>
        </w:rPr>
        <w:t xml:space="preserve">unlawful under R.C. 4928.52. </w:t>
      </w:r>
    </w:p>
    <w:p w:rsidR="0020379D" w:rsidP="003C15A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Furthermore, it would likely necessitate expensive changes to the billing systems and processes of the utilities.</w:t>
      </w:r>
      <w:r>
        <w:rPr>
          <w:rFonts w:ascii="Times New Roman" w:hAnsi="Times New Roman" w:cs="Times New Roman"/>
          <w:sz w:val="24"/>
          <w:szCs w:val="24"/>
        </w:rPr>
        <w:t xml:space="preserve"> </w:t>
      </w:r>
      <w:r w:rsidR="00864AE3">
        <w:rPr>
          <w:rFonts w:ascii="Times New Roman" w:hAnsi="Times New Roman" w:cs="Times New Roman"/>
          <w:sz w:val="24"/>
          <w:szCs w:val="24"/>
        </w:rPr>
        <w:t>Because of this, e</w:t>
      </w:r>
      <w:r>
        <w:rPr>
          <w:rFonts w:ascii="Times New Roman" w:hAnsi="Times New Roman" w:cs="Times New Roman"/>
          <w:sz w:val="24"/>
          <w:szCs w:val="24"/>
        </w:rPr>
        <w:t xml:space="preserve">very </w:t>
      </w:r>
      <w:r w:rsidR="00864AE3">
        <w:rPr>
          <w:rFonts w:ascii="Times New Roman" w:hAnsi="Times New Roman" w:cs="Times New Roman"/>
          <w:sz w:val="24"/>
          <w:szCs w:val="24"/>
        </w:rPr>
        <w:t xml:space="preserve">Ohio </w:t>
      </w:r>
      <w:r>
        <w:rPr>
          <w:rFonts w:ascii="Times New Roman" w:hAnsi="Times New Roman" w:cs="Times New Roman"/>
          <w:sz w:val="24"/>
          <w:szCs w:val="24"/>
        </w:rPr>
        <w:t>electric utility objected last year when Kroger proposed this same methodology:</w:t>
      </w:r>
    </w:p>
    <w:p w:rsidR="006747D7" w:rsidP="00667D55">
      <w:pPr>
        <w:autoSpaceDE w:val="0"/>
        <w:autoSpaceDN w:val="0"/>
        <w:adjustRightInd w:val="0"/>
        <w:spacing w:after="0" w:line="240" w:lineRule="auto"/>
        <w:ind w:left="1440" w:right="720"/>
        <w:rPr>
          <w:rFonts w:ascii="Times New Roman" w:hAnsi="Times New Roman" w:cs="Times New Roman"/>
          <w:sz w:val="24"/>
          <w:szCs w:val="24"/>
        </w:rPr>
      </w:pPr>
      <w:r>
        <w:rPr>
          <w:rFonts w:ascii="Times New Roman" w:hAnsi="Times New Roman" w:cs="Times New Roman"/>
          <w:sz w:val="24"/>
          <w:szCs w:val="24"/>
        </w:rPr>
        <w:t>In fact, the process of aggregating monthly consumption from multiple Kroger facilities (and even more so if extended to other similarly situated customers) contained within each of the EDU service territories, determining within a given month whether the aggregate load falls within the mercantile class, and then preparing an aggregated bill for locations that are currently billed individually, would require either lengthy manual processing or internal system changes that would be costly and time consuming.</w:t>
      </w:r>
      <w:r>
        <w:rPr>
          <w:rStyle w:val="FootnoteReference"/>
          <w:rFonts w:ascii="Times New Roman" w:hAnsi="Times New Roman" w:cs="Times New Roman"/>
          <w:sz w:val="24"/>
          <w:szCs w:val="24"/>
        </w:rPr>
        <w:footnoteReference w:id="8"/>
      </w:r>
    </w:p>
    <w:p w:rsidR="00864AE3" w:rsidP="006747D7">
      <w:pPr>
        <w:autoSpaceDE w:val="0"/>
        <w:autoSpaceDN w:val="0"/>
        <w:adjustRightInd w:val="0"/>
        <w:spacing w:after="0" w:line="240" w:lineRule="auto"/>
        <w:ind w:left="720"/>
        <w:rPr>
          <w:rFonts w:ascii="Times New Roman" w:hAnsi="Times New Roman" w:cs="Times New Roman"/>
          <w:sz w:val="24"/>
          <w:szCs w:val="24"/>
        </w:rPr>
      </w:pPr>
    </w:p>
    <w:p w:rsidR="00864AE3" w:rsidP="00084F02">
      <w:pPr>
        <w:spacing w:after="0" w:line="480" w:lineRule="auto"/>
        <w:ind w:firstLine="720"/>
        <w:rPr>
          <w:rFonts w:ascii="Times New Roman" w:hAnsi="Times New Roman" w:cs="Times New Roman"/>
          <w:sz w:val="24"/>
        </w:rPr>
      </w:pPr>
      <w:r>
        <w:rPr>
          <w:rFonts w:ascii="Times New Roman" w:hAnsi="Times New Roman" w:cs="Times New Roman"/>
          <w:sz w:val="24"/>
          <w:szCs w:val="24"/>
        </w:rPr>
        <w:t>These utilities went on to state that these increased costs</w:t>
      </w:r>
      <w:r w:rsidR="0066415A">
        <w:rPr>
          <w:rFonts w:ascii="Times New Roman" w:hAnsi="Times New Roman" w:cs="Times New Roman"/>
          <w:sz w:val="24"/>
          <w:szCs w:val="24"/>
        </w:rPr>
        <w:t xml:space="preserve"> would likely be borne by </w:t>
      </w:r>
      <w:r>
        <w:rPr>
          <w:rFonts w:ascii="Times New Roman" w:hAnsi="Times New Roman" w:cs="Times New Roman"/>
          <w:sz w:val="24"/>
          <w:szCs w:val="24"/>
        </w:rPr>
        <w:t>customers</w:t>
      </w:r>
      <w:r w:rsidR="0066415A">
        <w:rPr>
          <w:rFonts w:ascii="Times New Roman" w:hAnsi="Times New Roman" w:cs="Times New Roman"/>
          <w:sz w:val="24"/>
          <w:szCs w:val="24"/>
        </w:rPr>
        <w:t xml:space="preserve"> other than Kroger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r w:rsidR="008F5B0E">
        <w:rPr>
          <w:rFonts w:ascii="Times New Roman" w:hAnsi="Times New Roman" w:cs="Times New Roman"/>
          <w:sz w:val="24"/>
          <w:szCs w:val="24"/>
        </w:rPr>
        <w:t xml:space="preserve"> </w:t>
      </w:r>
      <w:r w:rsidR="00544A0D">
        <w:rPr>
          <w:rFonts w:ascii="Times New Roman" w:hAnsi="Times New Roman" w:cs="Times New Roman"/>
          <w:sz w:val="24"/>
        </w:rPr>
        <w:t xml:space="preserve">Kroger’s proposed cost shift and rate </w:t>
      </w:r>
      <w:r w:rsidR="007348A4">
        <w:rPr>
          <w:rFonts w:ascii="Times New Roman" w:hAnsi="Times New Roman" w:cs="Times New Roman"/>
          <w:sz w:val="24"/>
        </w:rPr>
        <w:t>design is</w:t>
      </w:r>
      <w:r w:rsidR="00461BFC">
        <w:rPr>
          <w:rFonts w:ascii="Times New Roman" w:hAnsi="Times New Roman" w:cs="Times New Roman"/>
          <w:sz w:val="24"/>
        </w:rPr>
        <w:t xml:space="preserve"> not </w:t>
      </w:r>
      <w:r w:rsidR="00544A0D">
        <w:rPr>
          <w:rFonts w:ascii="Times New Roman" w:hAnsi="Times New Roman" w:cs="Times New Roman"/>
          <w:sz w:val="24"/>
        </w:rPr>
        <w:t>an</w:t>
      </w:r>
      <w:r w:rsidR="00461BFC">
        <w:rPr>
          <w:rFonts w:ascii="Times New Roman" w:hAnsi="Times New Roman" w:cs="Times New Roman"/>
          <w:sz w:val="24"/>
        </w:rPr>
        <w:t xml:space="preserve"> appropriate way to seek to reduce the costs of the USF Rider. </w:t>
      </w:r>
      <w:r w:rsidR="00544A0D">
        <w:rPr>
          <w:rFonts w:ascii="Times New Roman" w:hAnsi="Times New Roman" w:cs="Times New Roman"/>
          <w:sz w:val="24"/>
        </w:rPr>
        <w:t xml:space="preserve">The more </w:t>
      </w:r>
      <w:r w:rsidR="007348A4">
        <w:rPr>
          <w:rFonts w:ascii="Times New Roman" w:hAnsi="Times New Roman" w:cs="Times New Roman"/>
          <w:sz w:val="24"/>
        </w:rPr>
        <w:t>appropriate focus</w:t>
      </w:r>
      <w:r w:rsidR="00594ADD">
        <w:rPr>
          <w:rFonts w:ascii="Times New Roman" w:hAnsi="Times New Roman" w:cs="Times New Roman"/>
          <w:sz w:val="24"/>
        </w:rPr>
        <w:t xml:space="preserve"> should be </w:t>
      </w:r>
      <w:r w:rsidR="00544A0D">
        <w:rPr>
          <w:rFonts w:ascii="Times New Roman" w:hAnsi="Times New Roman" w:cs="Times New Roman"/>
          <w:sz w:val="24"/>
        </w:rPr>
        <w:t xml:space="preserve">to work to </w:t>
      </w:r>
      <w:r w:rsidR="00594ADD">
        <w:rPr>
          <w:rFonts w:ascii="Times New Roman" w:hAnsi="Times New Roman" w:cs="Times New Roman"/>
          <w:sz w:val="24"/>
        </w:rPr>
        <w:t>reduc</w:t>
      </w:r>
      <w:r w:rsidR="00544A0D">
        <w:rPr>
          <w:rFonts w:ascii="Times New Roman" w:hAnsi="Times New Roman" w:cs="Times New Roman"/>
          <w:sz w:val="24"/>
        </w:rPr>
        <w:t>e</w:t>
      </w:r>
      <w:r w:rsidR="008938E0">
        <w:rPr>
          <w:rFonts w:ascii="Times New Roman" w:hAnsi="Times New Roman" w:cs="Times New Roman"/>
          <w:sz w:val="24"/>
        </w:rPr>
        <w:t xml:space="preserve"> </w:t>
      </w:r>
      <w:r w:rsidR="00594ADD">
        <w:rPr>
          <w:rFonts w:ascii="Times New Roman" w:hAnsi="Times New Roman" w:cs="Times New Roman"/>
          <w:sz w:val="24"/>
        </w:rPr>
        <w:t xml:space="preserve">the </w:t>
      </w:r>
      <w:r w:rsidR="002D7FA4">
        <w:rPr>
          <w:rFonts w:ascii="Times New Roman" w:hAnsi="Times New Roman" w:cs="Times New Roman"/>
          <w:sz w:val="24"/>
        </w:rPr>
        <w:t xml:space="preserve">USF </w:t>
      </w:r>
      <w:r w:rsidR="00544A0D">
        <w:rPr>
          <w:rFonts w:ascii="Times New Roman" w:hAnsi="Times New Roman" w:cs="Times New Roman"/>
          <w:sz w:val="24"/>
        </w:rPr>
        <w:t xml:space="preserve">charges </w:t>
      </w:r>
      <w:r w:rsidR="002D7FA4">
        <w:rPr>
          <w:rFonts w:ascii="Times New Roman" w:hAnsi="Times New Roman" w:cs="Times New Roman"/>
          <w:sz w:val="24"/>
        </w:rPr>
        <w:t>as a whole.</w:t>
      </w:r>
      <w:r w:rsidR="00594ADD">
        <w:rPr>
          <w:rFonts w:ascii="Times New Roman" w:hAnsi="Times New Roman" w:cs="Times New Roman"/>
          <w:sz w:val="24"/>
        </w:rPr>
        <w:t xml:space="preserve"> </w:t>
      </w:r>
      <w:r>
        <w:rPr>
          <w:rFonts w:ascii="Times New Roman" w:hAnsi="Times New Roman" w:cs="Times New Roman"/>
          <w:sz w:val="24"/>
        </w:rPr>
        <w:t>But that is not what Kroger's proposal does.</w:t>
      </w:r>
    </w:p>
    <w:p w:rsidR="00864AE3" w:rsidRPr="00B86AEC" w:rsidP="00084F02">
      <w:pPr>
        <w:spacing w:after="0" w:line="480" w:lineRule="auto"/>
        <w:rPr>
          <w:rFonts w:ascii="Times New Roman" w:hAnsi="Times New Roman" w:cs="Times New Roman"/>
          <w:sz w:val="24"/>
        </w:rPr>
      </w:pPr>
      <w:r>
        <w:rPr>
          <w:rFonts w:ascii="Times New Roman" w:hAnsi="Times New Roman" w:cs="Times New Roman"/>
          <w:sz w:val="24"/>
        </w:rPr>
        <w:tab/>
        <w:t xml:space="preserve">The focus of the PUCO should be on reducing bills especially to residential customers, not trying to increase the bills (through cost shifting) of residential customers.  This is especially </w:t>
      </w:r>
      <w:r w:rsidR="007F1069">
        <w:rPr>
          <w:rFonts w:ascii="Times New Roman" w:hAnsi="Times New Roman" w:cs="Times New Roman"/>
          <w:sz w:val="24"/>
        </w:rPr>
        <w:t>important, because</w:t>
      </w:r>
      <w:r>
        <w:rPr>
          <w:rFonts w:ascii="Times New Roman" w:hAnsi="Times New Roman" w:cs="Times New Roman"/>
          <w:sz w:val="24"/>
        </w:rPr>
        <w:t xml:space="preserve"> t</w:t>
      </w:r>
      <w:r w:rsidR="008F76D5">
        <w:rPr>
          <w:rFonts w:ascii="Times New Roman" w:hAnsi="Times New Roman" w:cs="Times New Roman"/>
          <w:sz w:val="24"/>
        </w:rPr>
        <w:t xml:space="preserve">here is also a possibility </w:t>
      </w:r>
      <w:r>
        <w:rPr>
          <w:rFonts w:ascii="Times New Roman" w:hAnsi="Times New Roman" w:cs="Times New Roman"/>
          <w:sz w:val="24"/>
        </w:rPr>
        <w:t xml:space="preserve">that </w:t>
      </w:r>
      <w:r w:rsidR="008F76D5">
        <w:rPr>
          <w:rFonts w:ascii="Times New Roman" w:hAnsi="Times New Roman" w:cs="Times New Roman"/>
          <w:sz w:val="24"/>
        </w:rPr>
        <w:t>federal funding for the Low-Income Energy Assistance Program (“LIHEAP”)</w:t>
      </w:r>
      <w:r>
        <w:rPr>
          <w:rStyle w:val="FootnoteReference"/>
          <w:rFonts w:ascii="Times New Roman" w:hAnsi="Times New Roman" w:cs="Times New Roman"/>
          <w:sz w:val="24"/>
        </w:rPr>
        <w:footnoteReference w:id="10"/>
      </w:r>
      <w:r>
        <w:rPr>
          <w:rFonts w:ascii="Times New Roman" w:hAnsi="Times New Roman" w:cs="Times New Roman"/>
          <w:sz w:val="24"/>
        </w:rPr>
        <w:t xml:space="preserve"> will be eliminated.  The loss (or even reduction) of LIHEAP funding c</w:t>
      </w:r>
      <w:r w:rsidR="008F76D5">
        <w:rPr>
          <w:rFonts w:ascii="Times New Roman" w:hAnsi="Times New Roman" w:cs="Times New Roman"/>
          <w:sz w:val="24"/>
        </w:rPr>
        <w:t xml:space="preserve">ould significantly increase the amounts paid through the </w:t>
      </w:r>
      <w:r w:rsidRPr="00B8216C" w:rsidR="008F76D5">
        <w:rPr>
          <w:rFonts w:ascii="Times New Roman" w:hAnsi="Times New Roman" w:cs="Times New Roman"/>
          <w:sz w:val="24"/>
          <w:szCs w:val="24"/>
        </w:rPr>
        <w:t>PIPP program</w:t>
      </w:r>
      <w:r w:rsidRPr="00084F02">
        <w:rPr>
          <w:rFonts w:ascii="Times New Roman" w:hAnsi="Times New Roman" w:cs="Times New Roman"/>
          <w:sz w:val="24"/>
          <w:szCs w:val="24"/>
        </w:rPr>
        <w:t>, increasing costs for all customers.</w:t>
      </w:r>
      <w:r>
        <w:t xml:space="preserve"> </w:t>
      </w:r>
      <w:r w:rsidRPr="00B86AEC" w:rsidR="00667D55">
        <w:rPr>
          <w:rFonts w:ascii="Times New Roman" w:hAnsi="Times New Roman" w:cs="Times New Roman"/>
          <w:sz w:val="24"/>
        </w:rPr>
        <w:t>Therefore,</w:t>
      </w:r>
      <w:r w:rsidRPr="00B86AEC" w:rsidR="00B86AEC">
        <w:rPr>
          <w:rFonts w:ascii="Times New Roman" w:hAnsi="Times New Roman" w:cs="Times New Roman"/>
          <w:sz w:val="24"/>
        </w:rPr>
        <w:t xml:space="preserve"> the PUCO should reject Kroger’s proposal. </w:t>
      </w:r>
      <w:r w:rsidRPr="00B86AEC">
        <w:rPr>
          <w:rFonts w:ascii="Times New Roman" w:hAnsi="Times New Roman" w:cs="Times New Roman"/>
          <w:sz w:val="24"/>
        </w:rPr>
        <w:t xml:space="preserve"> </w:t>
      </w:r>
    </w:p>
    <w:p w:rsidR="00461BFC" w:rsidP="00B8216C">
      <w:pPr>
        <w:pStyle w:val="Heading2"/>
      </w:pPr>
      <w:r>
        <w:t>Duke’</w:t>
      </w:r>
      <w:r w:rsidR="006D1A79">
        <w:t xml:space="preserve">s objections are vague and outside the scope of this proceeding. </w:t>
      </w:r>
    </w:p>
    <w:p w:rsidR="006D20D3" w:rsidP="006D1A79">
      <w:pPr>
        <w:spacing w:after="0" w:line="480" w:lineRule="auto"/>
        <w:ind w:firstLine="720"/>
        <w:rPr>
          <w:rFonts w:ascii="Times New Roman" w:hAnsi="Times New Roman" w:cs="Times New Roman"/>
          <w:sz w:val="24"/>
        </w:rPr>
      </w:pPr>
      <w:r>
        <w:rPr>
          <w:rFonts w:ascii="Times New Roman" w:hAnsi="Times New Roman" w:cs="Times New Roman"/>
          <w:sz w:val="24"/>
        </w:rPr>
        <w:t xml:space="preserve">In a </w:t>
      </w:r>
      <w:r w:rsidR="00C97780">
        <w:rPr>
          <w:rFonts w:ascii="Times New Roman" w:hAnsi="Times New Roman" w:cs="Times New Roman"/>
          <w:sz w:val="24"/>
        </w:rPr>
        <w:t>terse</w:t>
      </w:r>
      <w:r>
        <w:rPr>
          <w:rFonts w:ascii="Times New Roman" w:hAnsi="Times New Roman" w:cs="Times New Roman"/>
          <w:sz w:val="24"/>
        </w:rPr>
        <w:t xml:space="preserve"> objection, Duke claims that </w:t>
      </w:r>
      <w:r w:rsidR="00A62242">
        <w:rPr>
          <w:rFonts w:ascii="Times New Roman" w:hAnsi="Times New Roman" w:cs="Times New Roman"/>
          <w:sz w:val="24"/>
        </w:rPr>
        <w:t xml:space="preserve">an </w:t>
      </w:r>
      <w:r>
        <w:rPr>
          <w:rFonts w:ascii="Times New Roman" w:hAnsi="Times New Roman" w:cs="Times New Roman"/>
          <w:sz w:val="24"/>
        </w:rPr>
        <w:t xml:space="preserve">accounting adjustment required by the </w:t>
      </w:r>
      <w:r w:rsidR="00A62242">
        <w:rPr>
          <w:rFonts w:ascii="Times New Roman" w:hAnsi="Times New Roman" w:cs="Times New Roman"/>
          <w:sz w:val="24"/>
        </w:rPr>
        <w:t>PUCO Staff</w:t>
      </w:r>
      <w:r>
        <w:rPr>
          <w:rFonts w:ascii="Times New Roman" w:hAnsi="Times New Roman" w:cs="Times New Roman"/>
          <w:sz w:val="24"/>
        </w:rPr>
        <w:t xml:space="preserve"> in 2013, has resulted in an “accounting anomaly</w:t>
      </w:r>
      <w:r w:rsidR="00C97780">
        <w:rPr>
          <w:rFonts w:ascii="Times New Roman" w:hAnsi="Times New Roman" w:cs="Times New Roman"/>
          <w:sz w:val="24"/>
        </w:rPr>
        <w:t>,</w:t>
      </w:r>
      <w:r>
        <w:rPr>
          <w:rFonts w:ascii="Times New Roman" w:hAnsi="Times New Roman" w:cs="Times New Roman"/>
          <w:sz w:val="24"/>
        </w:rPr>
        <w:t>” which caused Duke to be under-reimbursed from the USF fund in the amount of $1,560,871.49.</w:t>
      </w:r>
      <w:r>
        <w:rPr>
          <w:rStyle w:val="FootnoteReference"/>
          <w:rFonts w:ascii="Times New Roman" w:hAnsi="Times New Roman" w:cs="Times New Roman"/>
          <w:sz w:val="24"/>
        </w:rPr>
        <w:footnoteReference w:id="11"/>
      </w:r>
      <w:r>
        <w:rPr>
          <w:rFonts w:ascii="Times New Roman" w:hAnsi="Times New Roman" w:cs="Times New Roman"/>
          <w:sz w:val="24"/>
        </w:rPr>
        <w:t xml:space="preserve">  Duke provides no specific information or support for this “accounting anomaly</w:t>
      </w:r>
      <w:r w:rsidR="00A62242">
        <w:rPr>
          <w:rFonts w:ascii="Times New Roman" w:hAnsi="Times New Roman" w:cs="Times New Roman"/>
          <w:sz w:val="24"/>
        </w:rPr>
        <w:t>.</w:t>
      </w:r>
      <w:r>
        <w:rPr>
          <w:rFonts w:ascii="Times New Roman" w:hAnsi="Times New Roman" w:cs="Times New Roman"/>
          <w:sz w:val="24"/>
        </w:rPr>
        <w:t>”</w:t>
      </w:r>
      <w:r w:rsidR="000857BC">
        <w:rPr>
          <w:rFonts w:ascii="Times New Roman" w:hAnsi="Times New Roman" w:cs="Times New Roman"/>
          <w:sz w:val="24"/>
        </w:rPr>
        <w:t xml:space="preserve"> It is not even clear in which year</w:t>
      </w:r>
      <w:r w:rsidR="00907888">
        <w:rPr>
          <w:rFonts w:ascii="Times New Roman" w:hAnsi="Times New Roman" w:cs="Times New Roman"/>
          <w:sz w:val="24"/>
        </w:rPr>
        <w:t xml:space="preserve"> the under-reimbursement occurred.</w:t>
      </w:r>
      <w:r>
        <w:rPr>
          <w:rFonts w:ascii="Times New Roman" w:hAnsi="Times New Roman" w:cs="Times New Roman"/>
          <w:sz w:val="24"/>
        </w:rPr>
        <w:t xml:space="preserve"> </w:t>
      </w:r>
      <w:r w:rsidR="007F1069">
        <w:rPr>
          <w:rFonts w:ascii="Times New Roman" w:hAnsi="Times New Roman" w:cs="Times New Roman"/>
          <w:sz w:val="24"/>
        </w:rPr>
        <w:t>Duke</w:t>
      </w:r>
      <w:r w:rsidR="00C97780">
        <w:rPr>
          <w:rFonts w:ascii="Times New Roman" w:hAnsi="Times New Roman" w:cs="Times New Roman"/>
          <w:sz w:val="24"/>
        </w:rPr>
        <w:t xml:space="preserve"> </w:t>
      </w:r>
      <w:r>
        <w:rPr>
          <w:rFonts w:ascii="Times New Roman" w:hAnsi="Times New Roman" w:cs="Times New Roman"/>
          <w:sz w:val="24"/>
        </w:rPr>
        <w:t xml:space="preserve">simply </w:t>
      </w:r>
      <w:r w:rsidR="00C97780">
        <w:rPr>
          <w:rFonts w:ascii="Times New Roman" w:hAnsi="Times New Roman" w:cs="Times New Roman"/>
          <w:sz w:val="24"/>
        </w:rPr>
        <w:t>demands that</w:t>
      </w:r>
      <w:r>
        <w:rPr>
          <w:rFonts w:ascii="Times New Roman" w:hAnsi="Times New Roman" w:cs="Times New Roman"/>
          <w:sz w:val="24"/>
        </w:rPr>
        <w:t xml:space="preserve"> all the parties to accept </w:t>
      </w:r>
      <w:r w:rsidR="00C97780">
        <w:rPr>
          <w:rFonts w:ascii="Times New Roman" w:hAnsi="Times New Roman" w:cs="Times New Roman"/>
          <w:sz w:val="24"/>
        </w:rPr>
        <w:t xml:space="preserve">its </w:t>
      </w:r>
      <w:r>
        <w:rPr>
          <w:rFonts w:ascii="Times New Roman" w:hAnsi="Times New Roman" w:cs="Times New Roman"/>
          <w:sz w:val="24"/>
        </w:rPr>
        <w:t xml:space="preserve">version of events without any evidence and credit them $1.5 million. The PUCO should require that Duke provide evidence of this “accounting anomaly” that would allow all parties involved to verify Duke’s </w:t>
      </w:r>
      <w:r>
        <w:rPr>
          <w:rFonts w:ascii="Times New Roman" w:hAnsi="Times New Roman" w:cs="Times New Roman"/>
          <w:sz w:val="24"/>
        </w:rPr>
        <w:t>claims.</w:t>
      </w:r>
    </w:p>
    <w:p w:rsidR="006D1A79" w:rsidP="006D1A79">
      <w:pPr>
        <w:spacing w:after="0" w:line="480" w:lineRule="auto"/>
        <w:ind w:firstLine="720"/>
        <w:rPr>
          <w:rFonts w:ascii="Times New Roman" w:hAnsi="Times New Roman" w:cs="Times New Roman"/>
          <w:sz w:val="24"/>
        </w:rPr>
      </w:pPr>
      <w:r>
        <w:rPr>
          <w:rFonts w:ascii="Times New Roman" w:hAnsi="Times New Roman" w:cs="Times New Roman"/>
          <w:sz w:val="24"/>
        </w:rPr>
        <w:t>Additionally, to the extent that this under-</w:t>
      </w:r>
      <w:r w:rsidR="00837B87">
        <w:rPr>
          <w:rFonts w:ascii="Times New Roman" w:hAnsi="Times New Roman" w:cs="Times New Roman"/>
          <w:sz w:val="24"/>
        </w:rPr>
        <w:t>reimbursement</w:t>
      </w:r>
      <w:r>
        <w:rPr>
          <w:rFonts w:ascii="Times New Roman" w:hAnsi="Times New Roman" w:cs="Times New Roman"/>
          <w:sz w:val="24"/>
        </w:rPr>
        <w:t xml:space="preserve"> occurred outside the 2017 USF rate adjustment, then this credit should be denied. ODSA’s application and the No</w:t>
      </w:r>
      <w:r w:rsidR="000B6118">
        <w:rPr>
          <w:rFonts w:ascii="Times New Roman" w:hAnsi="Times New Roman" w:cs="Times New Roman"/>
          <w:sz w:val="24"/>
        </w:rPr>
        <w:t>tice of Intent process laid out by the PUCO encompass only those changes that occur in the test year.</w:t>
      </w:r>
      <w:r>
        <w:rPr>
          <w:rStyle w:val="FootnoteReference"/>
          <w:rFonts w:ascii="Times New Roman" w:hAnsi="Times New Roman" w:cs="Times New Roman"/>
          <w:sz w:val="24"/>
        </w:rPr>
        <w:footnoteReference w:id="12"/>
      </w:r>
      <w:r w:rsidR="000B6118">
        <w:rPr>
          <w:rFonts w:ascii="Times New Roman" w:hAnsi="Times New Roman" w:cs="Times New Roman"/>
          <w:sz w:val="24"/>
        </w:rPr>
        <w:t xml:space="preserve"> To the extent that this 2013 “accounting anomaly” resulted in under-reimbursements </w:t>
      </w:r>
      <w:r w:rsidR="00A62242">
        <w:rPr>
          <w:rFonts w:ascii="Times New Roman" w:hAnsi="Times New Roman" w:cs="Times New Roman"/>
          <w:sz w:val="24"/>
        </w:rPr>
        <w:t xml:space="preserve">four years </w:t>
      </w:r>
      <w:r w:rsidR="000B6118">
        <w:rPr>
          <w:rFonts w:ascii="Times New Roman" w:hAnsi="Times New Roman" w:cs="Times New Roman"/>
          <w:sz w:val="24"/>
        </w:rPr>
        <w:t xml:space="preserve">outside the test year, </w:t>
      </w:r>
      <w:r w:rsidR="00C97780">
        <w:rPr>
          <w:rFonts w:ascii="Times New Roman" w:hAnsi="Times New Roman" w:cs="Times New Roman"/>
          <w:sz w:val="24"/>
        </w:rPr>
        <w:t xml:space="preserve">Duke </w:t>
      </w:r>
      <w:r w:rsidR="000B6118">
        <w:rPr>
          <w:rFonts w:ascii="Times New Roman" w:hAnsi="Times New Roman" w:cs="Times New Roman"/>
          <w:sz w:val="24"/>
        </w:rPr>
        <w:t xml:space="preserve">should not now be permitted to </w:t>
      </w:r>
      <w:r w:rsidR="009B7ACB">
        <w:rPr>
          <w:rFonts w:ascii="Times New Roman" w:hAnsi="Times New Roman" w:cs="Times New Roman"/>
          <w:sz w:val="24"/>
        </w:rPr>
        <w:t xml:space="preserve">receive </w:t>
      </w:r>
      <w:r w:rsidR="000B6118">
        <w:rPr>
          <w:rFonts w:ascii="Times New Roman" w:hAnsi="Times New Roman" w:cs="Times New Roman"/>
          <w:sz w:val="24"/>
        </w:rPr>
        <w:t>credit</w:t>
      </w:r>
      <w:r w:rsidR="009B7ACB">
        <w:rPr>
          <w:rFonts w:ascii="Times New Roman" w:hAnsi="Times New Roman" w:cs="Times New Roman"/>
          <w:sz w:val="24"/>
        </w:rPr>
        <w:t xml:space="preserve"> for</w:t>
      </w:r>
      <w:r w:rsidR="000B6118">
        <w:rPr>
          <w:rFonts w:ascii="Times New Roman" w:hAnsi="Times New Roman" w:cs="Times New Roman"/>
          <w:sz w:val="24"/>
        </w:rPr>
        <w:t xml:space="preserve"> those under-reimbursements. </w:t>
      </w:r>
    </w:p>
    <w:p w:rsidR="00E373ED" w:rsidRPr="006D1A79" w:rsidP="00E373ED">
      <w:pPr>
        <w:spacing w:after="0" w:line="240" w:lineRule="auto"/>
        <w:ind w:firstLine="720"/>
        <w:rPr>
          <w:rFonts w:ascii="Times New Roman" w:hAnsi="Times New Roman" w:cs="Times New Roman"/>
          <w:sz w:val="24"/>
        </w:rPr>
      </w:pPr>
    </w:p>
    <w:p w:rsidR="00A743B6" w:rsidP="00067E47">
      <w:pPr>
        <w:pStyle w:val="Heading1"/>
      </w:pPr>
      <w:bookmarkStart w:id="3" w:name="_Toc438202438"/>
      <w:r>
        <w:t>ii</w:t>
      </w:r>
      <w:r w:rsidR="008240D2">
        <w:t>I</w:t>
      </w:r>
      <w:r w:rsidR="00F07852">
        <w:t>.</w:t>
      </w:r>
      <w:r w:rsidR="00F07852">
        <w:tab/>
      </w:r>
      <w:r w:rsidRPr="007308C5" w:rsidR="00DD6D2F">
        <w:t>CONCLUSION</w:t>
      </w:r>
      <w:bookmarkEnd w:id="3"/>
      <w:r w:rsidRPr="00F07852" w:rsidR="00DD6D2F">
        <w:t xml:space="preserve"> </w:t>
      </w:r>
    </w:p>
    <w:p w:rsidR="00873DCC" w:rsidP="00140EF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USF Rider is </w:t>
      </w:r>
      <w:r w:rsidR="00C470DE">
        <w:rPr>
          <w:rFonts w:ascii="Times New Roman" w:hAnsi="Times New Roman" w:cs="Times New Roman"/>
          <w:sz w:val="24"/>
          <w:szCs w:val="24"/>
        </w:rPr>
        <w:t xml:space="preserve">intended to fund low-income assistance programs administered by the ODSA.  </w:t>
      </w:r>
      <w:r>
        <w:rPr>
          <w:rFonts w:ascii="Times New Roman" w:hAnsi="Times New Roman" w:cs="Times New Roman"/>
          <w:sz w:val="24"/>
          <w:szCs w:val="24"/>
        </w:rPr>
        <w:t xml:space="preserve">This program provides a lifeline to low-income customers who would otherwise be unable to keep their lights on and heaters running. </w:t>
      </w:r>
      <w:r w:rsidR="002D7FA4">
        <w:rPr>
          <w:rFonts w:ascii="Times New Roman" w:hAnsi="Times New Roman" w:cs="Times New Roman"/>
          <w:sz w:val="24"/>
          <w:szCs w:val="24"/>
        </w:rPr>
        <w:t>Kroger's</w:t>
      </w:r>
      <w:r w:rsidR="00B8216C">
        <w:rPr>
          <w:rFonts w:ascii="Times New Roman" w:hAnsi="Times New Roman" w:cs="Times New Roman"/>
          <w:sz w:val="24"/>
          <w:szCs w:val="24"/>
        </w:rPr>
        <w:t xml:space="preserve"> proposal is</w:t>
      </w:r>
      <w:r w:rsidR="002D7FA4">
        <w:rPr>
          <w:rFonts w:ascii="Times New Roman" w:hAnsi="Times New Roman" w:cs="Times New Roman"/>
          <w:sz w:val="24"/>
          <w:szCs w:val="24"/>
        </w:rPr>
        <w:t xml:space="preserve"> </w:t>
      </w:r>
      <w:r w:rsidR="00C97780">
        <w:rPr>
          <w:rFonts w:ascii="Times New Roman" w:hAnsi="Times New Roman" w:cs="Times New Roman"/>
          <w:sz w:val="24"/>
          <w:szCs w:val="24"/>
        </w:rPr>
        <w:t>unlawful</w:t>
      </w:r>
      <w:r w:rsidR="00B8216C">
        <w:rPr>
          <w:rFonts w:ascii="Times New Roman" w:hAnsi="Times New Roman" w:cs="Times New Roman"/>
          <w:sz w:val="24"/>
          <w:szCs w:val="24"/>
        </w:rPr>
        <w:t xml:space="preserve"> under Ohio law, because it inappropriately shifts costs between customer classes. Additionally, </w:t>
      </w:r>
      <w:r w:rsidR="00837B87">
        <w:rPr>
          <w:rFonts w:ascii="Times New Roman" w:hAnsi="Times New Roman" w:cs="Times New Roman"/>
          <w:sz w:val="24"/>
          <w:szCs w:val="24"/>
        </w:rPr>
        <w:t xml:space="preserve">Duke’s </w:t>
      </w:r>
      <w:r w:rsidR="00C97780">
        <w:rPr>
          <w:rFonts w:ascii="Times New Roman" w:hAnsi="Times New Roman" w:cs="Times New Roman"/>
          <w:sz w:val="24"/>
          <w:szCs w:val="24"/>
        </w:rPr>
        <w:t xml:space="preserve">unsupported </w:t>
      </w:r>
      <w:r w:rsidR="00837B87">
        <w:rPr>
          <w:rFonts w:ascii="Times New Roman" w:hAnsi="Times New Roman" w:cs="Times New Roman"/>
          <w:sz w:val="24"/>
          <w:szCs w:val="24"/>
        </w:rPr>
        <w:t>adjustment</w:t>
      </w:r>
      <w:r w:rsidR="002D7FA4">
        <w:rPr>
          <w:rFonts w:ascii="Times New Roman" w:hAnsi="Times New Roman" w:cs="Times New Roman"/>
          <w:sz w:val="24"/>
          <w:szCs w:val="24"/>
        </w:rPr>
        <w:t xml:space="preserve"> would likely</w:t>
      </w:r>
      <w:r>
        <w:rPr>
          <w:rFonts w:ascii="Times New Roman" w:hAnsi="Times New Roman" w:cs="Times New Roman"/>
          <w:sz w:val="24"/>
          <w:szCs w:val="24"/>
        </w:rPr>
        <w:t xml:space="preserve"> increase the burden on residential c</w:t>
      </w:r>
      <w:r w:rsidR="00544A0D">
        <w:rPr>
          <w:rFonts w:ascii="Times New Roman" w:hAnsi="Times New Roman" w:cs="Times New Roman"/>
          <w:sz w:val="24"/>
          <w:szCs w:val="24"/>
        </w:rPr>
        <w:t>on</w:t>
      </w:r>
      <w:r>
        <w:rPr>
          <w:rFonts w:ascii="Times New Roman" w:hAnsi="Times New Roman" w:cs="Times New Roman"/>
          <w:sz w:val="24"/>
          <w:szCs w:val="24"/>
        </w:rPr>
        <w:t>s</w:t>
      </w:r>
      <w:r w:rsidR="00544A0D">
        <w:rPr>
          <w:rFonts w:ascii="Times New Roman" w:hAnsi="Times New Roman" w:cs="Times New Roman"/>
          <w:sz w:val="24"/>
          <w:szCs w:val="24"/>
        </w:rPr>
        <w:t>u</w:t>
      </w:r>
      <w:r>
        <w:rPr>
          <w:rFonts w:ascii="Times New Roman" w:hAnsi="Times New Roman" w:cs="Times New Roman"/>
          <w:sz w:val="24"/>
          <w:szCs w:val="24"/>
        </w:rPr>
        <w:t>mers. Therefore, the PUCO should reject Kroger’</w:t>
      </w:r>
      <w:r w:rsidR="000A3966">
        <w:rPr>
          <w:rFonts w:ascii="Times New Roman" w:hAnsi="Times New Roman" w:cs="Times New Roman"/>
          <w:sz w:val="24"/>
          <w:szCs w:val="24"/>
        </w:rPr>
        <w:t>s proposed changes</w:t>
      </w:r>
      <w:r w:rsidR="00837B87">
        <w:rPr>
          <w:rFonts w:ascii="Times New Roman" w:hAnsi="Times New Roman" w:cs="Times New Roman"/>
          <w:sz w:val="24"/>
          <w:szCs w:val="24"/>
        </w:rPr>
        <w:t xml:space="preserve"> and Duke’s proposed adjustments to the USF</w:t>
      </w:r>
      <w:r w:rsidR="000A3966">
        <w:rPr>
          <w:rFonts w:ascii="Times New Roman" w:hAnsi="Times New Roman" w:cs="Times New Roman"/>
          <w:sz w:val="24"/>
          <w:szCs w:val="24"/>
        </w:rPr>
        <w:t xml:space="preserve">. </w:t>
      </w:r>
    </w:p>
    <w:p w:rsidR="00E373ED" w:rsidP="00E056CE">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373ED">
      <w:pPr>
        <w:rPr>
          <w:rFonts w:ascii="Times New Roman" w:hAnsi="Times New Roman" w:cs="Times New Roman"/>
          <w:sz w:val="24"/>
          <w:szCs w:val="24"/>
        </w:rPr>
      </w:pPr>
      <w:r>
        <w:rPr>
          <w:rFonts w:ascii="Times New Roman" w:hAnsi="Times New Roman" w:cs="Times New Roman"/>
          <w:sz w:val="24"/>
          <w:szCs w:val="24"/>
        </w:rPr>
        <w:br w:type="page"/>
      </w:r>
    </w:p>
    <w:p w:rsidR="000D3703" w:rsidP="00E056CE">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Respectfully submitted,</w:t>
      </w:r>
    </w:p>
    <w:p w:rsidR="000D3703" w:rsidRPr="003D0923" w:rsidP="00E056CE">
      <w:pPr>
        <w:tabs>
          <w:tab w:val="left" w:pos="4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D0923">
        <w:rPr>
          <w:rFonts w:ascii="Times New Roman" w:eastAsia="Times New Roman" w:hAnsi="Times New Roman" w:cs="Times New Roman"/>
          <w:sz w:val="24"/>
          <w:szCs w:val="24"/>
        </w:rPr>
        <w:t>BRUCE WESTON</w:t>
      </w:r>
      <w:r>
        <w:rPr>
          <w:rFonts w:ascii="Times New Roman" w:eastAsia="Times New Roman" w:hAnsi="Times New Roman" w:cs="Times New Roman"/>
          <w:sz w:val="24"/>
          <w:szCs w:val="24"/>
        </w:rPr>
        <w:t xml:space="preserve"> (0016973)</w:t>
      </w:r>
    </w:p>
    <w:p w:rsidR="000D3703" w:rsidRPr="003D0923" w:rsidP="00E056CE">
      <w:pPr>
        <w:tabs>
          <w:tab w:val="left" w:pos="4320"/>
        </w:tabs>
        <w:spacing w:after="0" w:line="240" w:lineRule="auto"/>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ab/>
        <w:t>OHIO CONSUMERS’ COUNSEL</w:t>
      </w:r>
    </w:p>
    <w:p w:rsidR="000D3703" w:rsidP="000D3703">
      <w:pPr>
        <w:tabs>
          <w:tab w:val="left" w:pos="4320"/>
        </w:tabs>
        <w:spacing w:after="0" w:line="240" w:lineRule="auto"/>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ab/>
      </w:r>
    </w:p>
    <w:p w:rsidR="000D3703" w:rsidRPr="007308C5" w:rsidP="000D3703">
      <w:pPr>
        <w:tabs>
          <w:tab w:val="left" w:pos="4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3271F">
        <w:rPr>
          <w:rFonts w:ascii="Times New Roman" w:eastAsia="Times New Roman" w:hAnsi="Times New Roman" w:cs="Times New Roman"/>
          <w:i/>
          <w:sz w:val="24"/>
          <w:szCs w:val="24"/>
          <w:u w:val="single"/>
        </w:rPr>
        <w:t>/s/ Ajay Kumar</w:t>
      </w:r>
      <w:r w:rsidR="007308C5">
        <w:rPr>
          <w:rFonts w:ascii="Times New Roman" w:eastAsia="Times New Roman" w:hAnsi="Times New Roman" w:cs="Times New Roman"/>
          <w:sz w:val="24"/>
          <w:szCs w:val="24"/>
        </w:rPr>
        <w:t>____________</w:t>
      </w:r>
    </w:p>
    <w:p w:rsidR="000D3703" w:rsidRPr="003D0923" w:rsidP="000D3703">
      <w:pPr>
        <w:tabs>
          <w:tab w:val="left" w:pos="4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Ajay Kumar</w:t>
      </w:r>
      <w:r w:rsidRPr="003D0923">
        <w:rPr>
          <w:rFonts w:ascii="Times New Roman" w:eastAsia="Times New Roman" w:hAnsi="Times New Roman" w:cs="Times New Roman"/>
          <w:sz w:val="24"/>
          <w:szCs w:val="24"/>
        </w:rPr>
        <w:t xml:space="preserve"> (00</w:t>
      </w:r>
      <w:r>
        <w:rPr>
          <w:rFonts w:ascii="Times New Roman" w:eastAsia="Times New Roman" w:hAnsi="Times New Roman" w:cs="Times New Roman"/>
          <w:sz w:val="24"/>
          <w:szCs w:val="24"/>
        </w:rPr>
        <w:t>92208</w:t>
      </w:r>
      <w:r w:rsidRPr="003D0923">
        <w:rPr>
          <w:rFonts w:ascii="Times New Roman" w:eastAsia="Times New Roman" w:hAnsi="Times New Roman" w:cs="Times New Roman"/>
          <w:sz w:val="24"/>
          <w:szCs w:val="24"/>
        </w:rPr>
        <w:t>)</w:t>
      </w:r>
    </w:p>
    <w:p w:rsidR="000D3703" w:rsidRPr="003D0923" w:rsidP="000D3703">
      <w:pPr>
        <w:tabs>
          <w:tab w:val="left" w:pos="4320"/>
        </w:tabs>
        <w:spacing w:after="0" w:line="240" w:lineRule="auto"/>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ab/>
        <w:t>Assistant Consumers’ Counsel</w:t>
      </w:r>
    </w:p>
    <w:p w:rsidR="000D3703" w:rsidRPr="003D0923" w:rsidP="000D3703">
      <w:pPr>
        <w:keepNext/>
        <w:spacing w:after="0" w:line="240" w:lineRule="auto"/>
        <w:ind w:left="3240" w:right="-648" w:firstLine="720"/>
        <w:outlineLvl w:val="0"/>
        <w:rPr>
          <w:rFonts w:ascii="Times New Roman" w:eastAsia="Times New Roman" w:hAnsi="Times New Roman" w:cs="Times New Roman"/>
          <w:b/>
          <w:sz w:val="24"/>
          <w:szCs w:val="24"/>
        </w:rPr>
      </w:pPr>
      <w:r w:rsidRPr="003D0923">
        <w:rPr>
          <w:rFonts w:ascii="Times New Roman" w:eastAsia="Times New Roman" w:hAnsi="Times New Roman" w:cs="Times New Roman"/>
          <w:b/>
          <w:sz w:val="24"/>
          <w:szCs w:val="24"/>
        </w:rPr>
        <w:tab/>
      </w:r>
    </w:p>
    <w:p w:rsidR="000D3703" w:rsidRPr="003D0923" w:rsidP="000D3703">
      <w:pPr>
        <w:spacing w:after="0" w:line="240" w:lineRule="auto"/>
        <w:rPr>
          <w:rFonts w:ascii="Times New Roman" w:eastAsia="Times New Roman" w:hAnsi="Times New Roman" w:cs="Times New Roman"/>
          <w:b/>
          <w:sz w:val="24"/>
          <w:szCs w:val="20"/>
        </w:rPr>
      </w:pP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b/>
          <w:sz w:val="24"/>
          <w:szCs w:val="20"/>
        </w:rPr>
        <w:t>Office of the Ohio Consumers’ Counsel</w:t>
      </w:r>
    </w:p>
    <w:p w:rsidR="000D3703" w:rsidRPr="003D0923" w:rsidP="000D3703">
      <w:pPr>
        <w:spacing w:after="0" w:line="240" w:lineRule="auto"/>
        <w:ind w:left="4320"/>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10 West Broad Street, Suite 1800</w:t>
      </w:r>
    </w:p>
    <w:p w:rsidR="000D3703" w:rsidRPr="003D0923" w:rsidP="000D3703">
      <w:pPr>
        <w:spacing w:after="0" w:line="240" w:lineRule="auto"/>
        <w:ind w:left="4320"/>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Columbus, Ohio 43215-3485</w:t>
      </w:r>
    </w:p>
    <w:p w:rsidR="000D3703" w:rsidRPr="003D0923" w:rsidP="000D3703">
      <w:pPr>
        <w:autoSpaceDE w:val="0"/>
        <w:autoSpaceDN w:val="0"/>
        <w:adjustRightInd w:val="0"/>
        <w:spacing w:after="0" w:line="24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Kumar Direct – 614-466-1292</w:t>
      </w:r>
    </w:p>
    <w:p w:rsidR="003F6493" w:rsidRPr="00C3271F" w:rsidP="00C3271F">
      <w:pPr>
        <w:autoSpaceDE w:val="0"/>
        <w:autoSpaceDN w:val="0"/>
        <w:adjustRightInd w:val="0"/>
        <w:spacing w:after="0" w:line="240" w:lineRule="auto"/>
        <w:ind w:left="3600" w:firstLine="720"/>
        <w:rPr>
          <w:rFonts w:ascii="Times New Roman" w:eastAsia="Times New Roman" w:hAnsi="Times New Roman" w:cs="Times New Roman"/>
          <w:sz w:val="24"/>
          <w:szCs w:val="24"/>
        </w:rPr>
      </w:pPr>
      <w:r w:rsidRPr="00855BFA" w:rsidR="00C3271F">
        <w:rPr>
          <w:rStyle w:val="DefaultParagraphFont"/>
          <w:rFonts w:ascii="Times New Roman" w:eastAsia="Times New Roman" w:hAnsi="Times New Roman" w:cs="Times New Roman"/>
          <w:sz w:val="24"/>
          <w:szCs w:val="24"/>
        </w:rPr>
        <w:t>ajay.kumar@occ.ohio.gov</w:t>
      </w:r>
      <w:r w:rsidR="00C3271F">
        <w:rPr>
          <w:rFonts w:ascii="Times New Roman" w:eastAsia="Times New Roman" w:hAnsi="Times New Roman" w:cs="Times New Roman"/>
          <w:sz w:val="24"/>
          <w:szCs w:val="24"/>
        </w:rPr>
        <w:t xml:space="preserve"> </w:t>
      </w:r>
    </w:p>
    <w:p w:rsidR="00EF7053" w:rsidP="000D3703">
      <w:pPr>
        <w:autoSpaceDE w:val="0"/>
        <w:autoSpaceDN w:val="0"/>
        <w:adjustRightInd w:val="0"/>
        <w:spacing w:after="0" w:line="240" w:lineRule="auto"/>
        <w:rPr>
          <w:rFonts w:ascii="Times New Roman" w:eastAsia="Times New Roman" w:hAnsi="Times New Roman" w:cs="Times New Roman"/>
          <w:sz w:val="24"/>
          <w:szCs w:val="24"/>
        </w:rPr>
        <w:sectPr w:rsidSect="00067E47">
          <w:footerReference w:type="default" r:id="rId5"/>
          <w:footerReference w:type="first" r:id="rId6"/>
          <w:pgSz w:w="12240" w:h="15840"/>
          <w:pgMar w:top="1440" w:right="1800" w:bottom="1440" w:left="1800" w:header="720" w:footer="720" w:gutter="0"/>
          <w:cols w:space="720"/>
          <w:titlePg/>
          <w:docGrid w:linePitch="360"/>
        </w:sect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308C5">
        <w:rPr>
          <w:rFonts w:ascii="Times New Roman" w:eastAsia="Times New Roman" w:hAnsi="Times New Roman" w:cs="Times New Roman"/>
          <w:sz w:val="24"/>
          <w:szCs w:val="24"/>
        </w:rPr>
        <w:t>(</w:t>
      </w:r>
      <w:r w:rsidR="00E373ED">
        <w:rPr>
          <w:rFonts w:ascii="Times New Roman" w:eastAsia="Times New Roman" w:hAnsi="Times New Roman" w:cs="Times New Roman"/>
          <w:sz w:val="24"/>
          <w:szCs w:val="24"/>
        </w:rPr>
        <w:t>W</w:t>
      </w:r>
      <w:r w:rsidRPr="007308C5">
        <w:rPr>
          <w:rFonts w:ascii="Times New Roman" w:eastAsia="Times New Roman" w:hAnsi="Times New Roman" w:cs="Times New Roman"/>
          <w:sz w:val="24"/>
          <w:szCs w:val="24"/>
        </w:rPr>
        <w:t>ill accept service via email)</w:t>
      </w:r>
    </w:p>
    <w:p w:rsidR="008240D2" w:rsidRPr="008240D2" w:rsidP="002E325A">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8240D2">
        <w:rPr>
          <w:rFonts w:ascii="Times New Roman" w:hAnsi="Times New Roman" w:cs="Times New Roman"/>
          <w:b/>
          <w:sz w:val="24"/>
          <w:szCs w:val="24"/>
          <w:u w:val="single"/>
        </w:rPr>
        <w:t>CERTIFICATE OF SERVICE</w:t>
      </w:r>
    </w:p>
    <w:p w:rsidR="008240D2" w:rsidRPr="008240D2" w:rsidP="008240D2">
      <w:pPr>
        <w:autoSpaceDE w:val="0"/>
        <w:autoSpaceDN w:val="0"/>
        <w:adjustRightInd w:val="0"/>
        <w:spacing w:after="0" w:line="240" w:lineRule="auto"/>
        <w:ind w:firstLine="4320"/>
        <w:jc w:val="center"/>
        <w:rPr>
          <w:rFonts w:ascii="Times New Roman" w:hAnsi="Times New Roman" w:cs="Times New Roman"/>
          <w:sz w:val="24"/>
          <w:szCs w:val="24"/>
          <w:u w:val="single"/>
        </w:rPr>
      </w:pPr>
    </w:p>
    <w:p w:rsidR="008240D2" w:rsidRPr="008240D2" w:rsidP="008240D2">
      <w:pPr>
        <w:spacing w:after="0" w:line="480" w:lineRule="auto"/>
        <w:ind w:firstLine="720"/>
        <w:rPr>
          <w:rFonts w:ascii="Times New Roman" w:hAnsi="Times New Roman" w:cs="Times New Roman"/>
          <w:sz w:val="24"/>
          <w:szCs w:val="24"/>
        </w:rPr>
      </w:pPr>
      <w:r w:rsidRPr="008240D2">
        <w:rPr>
          <w:rFonts w:ascii="Times New Roman" w:hAnsi="Times New Roman" w:cs="Times New Roman"/>
          <w:sz w:val="24"/>
          <w:szCs w:val="24"/>
        </w:rPr>
        <w:t xml:space="preserve">I hereby certify that a copy of the </w:t>
      </w:r>
      <w:r w:rsidR="00067E47">
        <w:rPr>
          <w:rFonts w:ascii="Times New Roman" w:hAnsi="Times New Roman" w:cs="Times New Roman"/>
          <w:sz w:val="24"/>
          <w:szCs w:val="24"/>
        </w:rPr>
        <w:t xml:space="preserve">Reply </w:t>
      </w:r>
      <w:r>
        <w:rPr>
          <w:rFonts w:ascii="Times New Roman" w:hAnsi="Times New Roman" w:cs="Times New Roman"/>
          <w:sz w:val="24"/>
          <w:szCs w:val="24"/>
        </w:rPr>
        <w:t xml:space="preserve">Comments </w:t>
      </w:r>
      <w:r w:rsidR="000C2F3B">
        <w:rPr>
          <w:rFonts w:ascii="Times New Roman" w:hAnsi="Times New Roman" w:cs="Times New Roman"/>
          <w:sz w:val="24"/>
          <w:szCs w:val="24"/>
        </w:rPr>
        <w:t>was</w:t>
      </w:r>
      <w:r w:rsidRPr="008240D2">
        <w:rPr>
          <w:rFonts w:ascii="Times New Roman" w:hAnsi="Times New Roman" w:cs="Times New Roman"/>
          <w:sz w:val="24"/>
          <w:szCs w:val="24"/>
        </w:rPr>
        <w:t xml:space="preserve"> served </w:t>
      </w:r>
      <w:r w:rsidR="000C2F3B">
        <w:rPr>
          <w:rFonts w:ascii="Times New Roman" w:hAnsi="Times New Roman" w:cs="Times New Roman"/>
          <w:sz w:val="24"/>
          <w:szCs w:val="24"/>
        </w:rPr>
        <w:t xml:space="preserve">on the persons stated below </w:t>
      </w:r>
      <w:r w:rsidRPr="008240D2">
        <w:rPr>
          <w:rFonts w:ascii="Times New Roman" w:hAnsi="Times New Roman" w:cs="Times New Roman"/>
          <w:sz w:val="24"/>
          <w:szCs w:val="24"/>
        </w:rPr>
        <w:t xml:space="preserve">via electronic </w:t>
      </w:r>
      <w:r w:rsidR="000C2F3B">
        <w:rPr>
          <w:rFonts w:ascii="Times New Roman" w:hAnsi="Times New Roman" w:cs="Times New Roman"/>
          <w:sz w:val="24"/>
          <w:szCs w:val="24"/>
        </w:rPr>
        <w:t>transmission, this</w:t>
      </w:r>
      <w:r w:rsidR="00185436">
        <w:rPr>
          <w:rFonts w:ascii="Times New Roman" w:hAnsi="Times New Roman" w:cs="Times New Roman"/>
          <w:sz w:val="24"/>
          <w:szCs w:val="24"/>
        </w:rPr>
        <w:t xml:space="preserve"> 10</w:t>
      </w:r>
      <w:r w:rsidRPr="00C3271F" w:rsidR="00C3271F">
        <w:rPr>
          <w:rFonts w:ascii="Times New Roman" w:hAnsi="Times New Roman" w:cs="Times New Roman"/>
          <w:sz w:val="24"/>
          <w:szCs w:val="24"/>
          <w:vertAlign w:val="superscript"/>
        </w:rPr>
        <w:t>th</w:t>
      </w:r>
      <w:r w:rsidR="00C3271F">
        <w:rPr>
          <w:rFonts w:ascii="Times New Roman" w:hAnsi="Times New Roman" w:cs="Times New Roman"/>
          <w:sz w:val="24"/>
          <w:szCs w:val="24"/>
        </w:rPr>
        <w:t xml:space="preserve"> </w:t>
      </w:r>
      <w:r w:rsidRPr="008240D2">
        <w:rPr>
          <w:rFonts w:ascii="Times New Roman" w:hAnsi="Times New Roman" w:cs="Times New Roman"/>
          <w:sz w:val="24"/>
          <w:szCs w:val="24"/>
        </w:rPr>
        <w:t xml:space="preserve">day of </w:t>
      </w:r>
      <w:r w:rsidR="00C3271F">
        <w:rPr>
          <w:rFonts w:ascii="Times New Roman" w:hAnsi="Times New Roman" w:cs="Times New Roman"/>
          <w:sz w:val="24"/>
          <w:szCs w:val="24"/>
        </w:rPr>
        <w:t>July</w:t>
      </w:r>
      <w:r w:rsidRPr="008240D2">
        <w:rPr>
          <w:rFonts w:ascii="Times New Roman" w:hAnsi="Times New Roman" w:cs="Times New Roman"/>
          <w:sz w:val="24"/>
          <w:szCs w:val="24"/>
        </w:rPr>
        <w:t>, 201</w:t>
      </w:r>
      <w:r w:rsidR="00185436">
        <w:rPr>
          <w:rFonts w:ascii="Times New Roman" w:hAnsi="Times New Roman" w:cs="Times New Roman"/>
          <w:sz w:val="24"/>
          <w:szCs w:val="24"/>
        </w:rPr>
        <w:t>7</w:t>
      </w:r>
      <w:r w:rsidRPr="008240D2">
        <w:rPr>
          <w:rFonts w:ascii="Times New Roman" w:hAnsi="Times New Roman" w:cs="Times New Roman"/>
          <w:sz w:val="24"/>
          <w:szCs w:val="24"/>
        </w:rPr>
        <w:t>.</w:t>
      </w:r>
    </w:p>
    <w:p w:rsidR="008240D2" w:rsidRPr="008240D2" w:rsidP="008240D2">
      <w:pPr>
        <w:spacing w:after="0" w:line="240" w:lineRule="auto"/>
        <w:rPr>
          <w:rFonts w:ascii="Times New Roman" w:hAnsi="Times New Roman" w:cs="Times New Roman"/>
          <w:sz w:val="24"/>
          <w:szCs w:val="24"/>
        </w:rPr>
      </w:pPr>
    </w:p>
    <w:p w:rsidR="008240D2" w:rsidRPr="008240D2" w:rsidP="008240D2">
      <w:pPr>
        <w:tabs>
          <w:tab w:val="left" w:pos="4320"/>
        </w:tabs>
        <w:spacing w:after="0" w:line="240" w:lineRule="auto"/>
        <w:rPr>
          <w:rFonts w:ascii="Times New Roman" w:hAnsi="Times New Roman" w:cs="Times New Roman"/>
          <w:sz w:val="24"/>
          <w:szCs w:val="24"/>
        </w:rPr>
      </w:pPr>
      <w:r w:rsidRPr="008240D2">
        <w:rPr>
          <w:rFonts w:ascii="Times New Roman" w:hAnsi="Times New Roman" w:cs="Times New Roman"/>
          <w:sz w:val="24"/>
          <w:szCs w:val="24"/>
        </w:rPr>
        <w:tab/>
      </w:r>
      <w:r w:rsidR="00C3271F">
        <w:rPr>
          <w:rFonts w:ascii="Times New Roman" w:hAnsi="Times New Roman" w:cs="Times New Roman"/>
          <w:i/>
          <w:sz w:val="24"/>
          <w:szCs w:val="24"/>
          <w:u w:val="single"/>
        </w:rPr>
        <w:t>/s/ Ajay Kumar</w:t>
      </w:r>
      <w:r w:rsidR="005369C9">
        <w:rPr>
          <w:rFonts w:ascii="Times New Roman" w:hAnsi="Times New Roman" w:cs="Times New Roman"/>
          <w:sz w:val="24"/>
          <w:szCs w:val="24"/>
        </w:rPr>
        <w:t>_________</w:t>
      </w:r>
    </w:p>
    <w:p w:rsidR="008240D2" w:rsidRPr="008240D2" w:rsidP="008240D2">
      <w:pPr>
        <w:tabs>
          <w:tab w:val="left" w:pos="4320"/>
        </w:tabs>
        <w:spacing w:after="0" w:line="240" w:lineRule="auto"/>
        <w:rPr>
          <w:rFonts w:ascii="Times New Roman" w:hAnsi="Times New Roman" w:cs="Times New Roman"/>
          <w:sz w:val="24"/>
          <w:szCs w:val="24"/>
        </w:rPr>
      </w:pPr>
      <w:r w:rsidRPr="008240D2">
        <w:rPr>
          <w:rFonts w:ascii="Times New Roman" w:hAnsi="Times New Roman" w:cs="Times New Roman"/>
          <w:sz w:val="24"/>
          <w:szCs w:val="24"/>
        </w:rPr>
        <w:tab/>
      </w:r>
      <w:r w:rsidR="00C3271F">
        <w:rPr>
          <w:rFonts w:ascii="Times New Roman" w:hAnsi="Times New Roman" w:cs="Times New Roman"/>
          <w:sz w:val="24"/>
          <w:szCs w:val="24"/>
        </w:rPr>
        <w:t>Ajay Kumar</w:t>
      </w:r>
    </w:p>
    <w:p w:rsidR="008240D2" w:rsidRPr="008240D2" w:rsidP="008240D2">
      <w:pPr>
        <w:tabs>
          <w:tab w:val="left" w:pos="4320"/>
        </w:tabs>
        <w:spacing w:after="0" w:line="240" w:lineRule="auto"/>
        <w:rPr>
          <w:rFonts w:ascii="Times New Roman" w:hAnsi="Times New Roman" w:cs="Times New Roman"/>
          <w:sz w:val="24"/>
          <w:szCs w:val="24"/>
        </w:rPr>
      </w:pPr>
      <w:r w:rsidRPr="008240D2">
        <w:rPr>
          <w:rFonts w:ascii="Times New Roman" w:hAnsi="Times New Roman" w:cs="Times New Roman"/>
          <w:sz w:val="24"/>
          <w:szCs w:val="24"/>
        </w:rPr>
        <w:tab/>
        <w:t>Assistant Consumers’ Counsel</w:t>
      </w:r>
    </w:p>
    <w:p w:rsidR="008240D2" w:rsidP="008240D2">
      <w:pPr>
        <w:pStyle w:val="CommentText"/>
        <w:spacing w:after="0"/>
        <w:jc w:val="center"/>
        <w:rPr>
          <w:rFonts w:ascii="Times New Roman" w:hAnsi="Times New Roman" w:cs="Times New Roman"/>
          <w:b/>
          <w:sz w:val="24"/>
          <w:szCs w:val="24"/>
          <w:u w:val="single"/>
        </w:rPr>
      </w:pPr>
    </w:p>
    <w:p w:rsidR="003F6493" w:rsidRPr="008240D2" w:rsidP="008240D2">
      <w:pPr>
        <w:pStyle w:val="CommentText"/>
        <w:spacing w:after="0"/>
        <w:jc w:val="center"/>
        <w:rPr>
          <w:rFonts w:ascii="Times New Roman" w:hAnsi="Times New Roman" w:cs="Times New Roman"/>
          <w:b/>
          <w:sz w:val="24"/>
          <w:szCs w:val="24"/>
          <w:u w:val="single"/>
        </w:rPr>
      </w:pPr>
    </w:p>
    <w:p w:rsidR="008240D2" w:rsidP="008240D2">
      <w:pPr>
        <w:pStyle w:val="CommentText"/>
        <w:spacing w:after="0"/>
        <w:jc w:val="center"/>
        <w:rPr>
          <w:rFonts w:ascii="Times New Roman" w:hAnsi="Times New Roman" w:cs="Times New Roman"/>
          <w:b/>
          <w:sz w:val="24"/>
          <w:szCs w:val="24"/>
          <w:u w:val="single"/>
        </w:rPr>
      </w:pPr>
      <w:r w:rsidRPr="008240D2">
        <w:rPr>
          <w:rFonts w:ascii="Times New Roman" w:hAnsi="Times New Roman" w:cs="Times New Roman"/>
          <w:b/>
          <w:sz w:val="24"/>
          <w:szCs w:val="24"/>
          <w:u w:val="single"/>
        </w:rPr>
        <w:t>SERVICE LIST</w:t>
      </w:r>
    </w:p>
    <w:p w:rsidR="00E373ED" w:rsidP="008240D2">
      <w:pPr>
        <w:pStyle w:val="CommentText"/>
        <w:spacing w:after="0"/>
        <w:jc w:val="center"/>
        <w:rPr>
          <w:rFonts w:ascii="Times New Roman" w:hAnsi="Times New Roman" w:cs="Times New Roman"/>
          <w:b/>
          <w:sz w:val="24"/>
          <w:szCs w:val="24"/>
          <w:u w:val="single"/>
        </w:rPr>
      </w:pPr>
    </w:p>
    <w:p w:rsidR="00E373ED" w:rsidRPr="00E373ED" w:rsidP="00E373ED">
      <w:pPr>
        <w:spacing w:after="0" w:line="240" w:lineRule="auto"/>
        <w:jc w:val="both"/>
        <w:rPr>
          <w:rFonts w:ascii="Times New Roman" w:eastAsia="Times New Roman" w:hAnsi="Times New Roman" w:cs="Times New Roman"/>
          <w:bCs/>
          <w:sz w:val="24"/>
          <w:szCs w:val="20"/>
        </w:rPr>
      </w:pPr>
    </w:p>
    <w:tbl>
      <w:tblPr>
        <w:tblW w:w="0" w:type="auto"/>
        <w:tblLook w:val="04A0"/>
      </w:tblPr>
      <w:tblGrid>
        <w:gridCol w:w="4320"/>
        <w:gridCol w:w="4320"/>
      </w:tblGrid>
      <w:tr w:rsidTr="00C16C50">
        <w:tblPrEx>
          <w:tblW w:w="0" w:type="auto"/>
          <w:tblLook w:val="04A0"/>
        </w:tblPrEx>
        <w:tc>
          <w:tcPr>
            <w:tcW w:w="4428" w:type="dxa"/>
            <w:shd w:val="clear" w:color="auto" w:fill="auto"/>
          </w:tcPr>
          <w:p w:rsidR="00E373ED" w:rsidRPr="00E373ED" w:rsidP="00E373ED">
            <w:pPr>
              <w:spacing w:after="0" w:line="240" w:lineRule="auto"/>
              <w:jc w:val="both"/>
              <w:rPr>
                <w:rFonts w:ascii="Times New Roman" w:eastAsia="Times New Roman" w:hAnsi="Times New Roman" w:cs="Times New Roman"/>
                <w:bCs/>
                <w:sz w:val="24"/>
                <w:szCs w:val="20"/>
              </w:rPr>
            </w:pPr>
            <w:r w:rsidRPr="00E373ED">
              <w:rPr>
                <w:rFonts w:ascii="Times New Roman" w:eastAsia="Times New Roman" w:hAnsi="Times New Roman" w:cs="Times New Roman"/>
                <w:bCs/>
                <w:color w:val="0000FF"/>
                <w:sz w:val="24"/>
                <w:szCs w:val="20"/>
                <w:u w:val="single"/>
              </w:rPr>
              <w:t>William.wright@ohioattorneygeneral.gov</w:t>
            </w:r>
          </w:p>
          <w:p w:rsidR="00E373ED" w:rsidRPr="00E373ED" w:rsidP="00E373ED">
            <w:pPr>
              <w:autoSpaceDE w:val="0"/>
              <w:autoSpaceDN w:val="0"/>
              <w:adjustRightInd w:val="0"/>
              <w:spacing w:after="0" w:line="240" w:lineRule="auto"/>
              <w:rPr>
                <w:rFonts w:ascii="Times New Roman" w:eastAsia="Times New Roman" w:hAnsi="Times New Roman" w:cs="Times New Roman"/>
                <w:sz w:val="24"/>
                <w:szCs w:val="24"/>
              </w:rPr>
            </w:pPr>
            <w:r w:rsidRPr="00E373ED">
              <w:rPr>
                <w:rFonts w:ascii="Times New Roman" w:eastAsia="Times New Roman" w:hAnsi="Times New Roman" w:cs="Times New Roman"/>
                <w:color w:val="0000FF"/>
                <w:sz w:val="24"/>
                <w:szCs w:val="24"/>
                <w:u w:val="single"/>
              </w:rPr>
              <w:t>fdarr@mwncmh.com</w:t>
            </w:r>
          </w:p>
          <w:p w:rsidR="00E373ED" w:rsidRPr="00E373ED" w:rsidP="00E373ED">
            <w:pPr>
              <w:autoSpaceDE w:val="0"/>
              <w:autoSpaceDN w:val="0"/>
              <w:adjustRightInd w:val="0"/>
              <w:spacing w:after="0" w:line="240" w:lineRule="auto"/>
              <w:rPr>
                <w:rFonts w:ascii="Times New Roman" w:eastAsia="Times New Roman" w:hAnsi="Times New Roman" w:cs="Times New Roman"/>
                <w:bCs/>
                <w:sz w:val="24"/>
                <w:szCs w:val="20"/>
              </w:rPr>
            </w:pPr>
            <w:r w:rsidRPr="00E373ED">
              <w:rPr>
                <w:rFonts w:ascii="Times New Roman" w:eastAsia="Times New Roman" w:hAnsi="Times New Roman" w:cs="Times New Roman"/>
                <w:color w:val="0000FF"/>
                <w:sz w:val="24"/>
                <w:szCs w:val="24"/>
                <w:u w:val="single"/>
              </w:rPr>
              <w:t>mpritchard@mwncmh.com</w:t>
            </w:r>
          </w:p>
        </w:tc>
        <w:tc>
          <w:tcPr>
            <w:tcW w:w="4428" w:type="dxa"/>
            <w:shd w:val="clear" w:color="auto" w:fill="auto"/>
          </w:tcPr>
          <w:p w:rsidR="00E373ED" w:rsidP="00E373ED">
            <w:pPr>
              <w:spacing w:after="0" w:line="240" w:lineRule="auto"/>
              <w:ind w:left="612"/>
              <w:jc w:val="both"/>
              <w:rPr>
                <w:rFonts w:ascii="Times New Roman" w:eastAsia="Times New Roman" w:hAnsi="Times New Roman" w:cs="Times New Roman"/>
                <w:bCs/>
                <w:color w:val="0000FF"/>
                <w:sz w:val="24"/>
                <w:szCs w:val="20"/>
                <w:u w:val="single"/>
              </w:rPr>
            </w:pPr>
            <w:r w:rsidRPr="00E373ED">
              <w:rPr>
                <w:rFonts w:ascii="Times New Roman" w:eastAsia="Times New Roman" w:hAnsi="Times New Roman" w:cs="Times New Roman"/>
                <w:bCs/>
                <w:color w:val="0000FF"/>
                <w:sz w:val="24"/>
                <w:szCs w:val="20"/>
                <w:u w:val="single"/>
              </w:rPr>
              <w:t>dstinson@bricker.com</w:t>
            </w:r>
          </w:p>
          <w:p w:rsidR="00667D55" w:rsidP="00E373ED">
            <w:pPr>
              <w:spacing w:after="0" w:line="240" w:lineRule="auto"/>
              <w:ind w:left="612"/>
              <w:jc w:val="both"/>
              <w:rPr>
                <w:rFonts w:ascii="Times New Roman" w:eastAsia="Times New Roman" w:hAnsi="Times New Roman" w:cs="Times New Roman"/>
                <w:bCs/>
                <w:color w:val="0000FF"/>
                <w:sz w:val="24"/>
                <w:szCs w:val="20"/>
                <w:u w:val="single"/>
              </w:rPr>
            </w:pPr>
            <w:r w:rsidRPr="00430FA8">
              <w:rPr>
                <w:rStyle w:val="DefaultParagraphFont"/>
                <w:rFonts w:ascii="Times New Roman" w:eastAsia="Times New Roman" w:hAnsi="Times New Roman" w:cs="Times New Roman"/>
                <w:sz w:val="24"/>
                <w:szCs w:val="20"/>
              </w:rPr>
              <w:t>amy.spiller@duke-energy.com</w:t>
            </w:r>
          </w:p>
          <w:p w:rsidR="00E373ED" w:rsidRPr="00E373ED" w:rsidP="00667D55">
            <w:pPr>
              <w:spacing w:after="0" w:line="240" w:lineRule="auto"/>
              <w:ind w:left="612"/>
              <w:jc w:val="both"/>
              <w:rPr>
                <w:rFonts w:ascii="Times New Roman" w:eastAsia="Times New Roman" w:hAnsi="Times New Roman" w:cs="Times New Roman"/>
                <w:bCs/>
                <w:sz w:val="24"/>
                <w:szCs w:val="20"/>
              </w:rPr>
            </w:pPr>
            <w:r>
              <w:rPr>
                <w:rFonts w:ascii="Times New Roman" w:eastAsia="Times New Roman" w:hAnsi="Times New Roman" w:cs="Times New Roman"/>
                <w:bCs/>
                <w:color w:val="0000FF"/>
                <w:sz w:val="24"/>
                <w:szCs w:val="20"/>
                <w:u w:val="single"/>
              </w:rPr>
              <w:t>Elizabeth.watts@duke-energy.com</w:t>
            </w:r>
          </w:p>
        </w:tc>
      </w:tr>
    </w:tbl>
    <w:p w:rsidR="00E373ED" w:rsidRPr="00E373ED" w:rsidP="00E373ED">
      <w:pPr>
        <w:spacing w:after="0" w:line="240" w:lineRule="auto"/>
        <w:jc w:val="both"/>
        <w:rPr>
          <w:rFonts w:ascii="Times New Roman" w:eastAsia="Times New Roman" w:hAnsi="Times New Roman" w:cs="Times New Roman"/>
          <w:color w:val="0000FF"/>
          <w:sz w:val="24"/>
          <w:szCs w:val="24"/>
        </w:rPr>
      </w:pPr>
      <w:r w:rsidRPr="00E373ED">
        <w:rPr>
          <w:rFonts w:ascii="Times New Roman" w:eastAsia="Times New Roman" w:hAnsi="Times New Roman" w:cs="Times New Roman"/>
          <w:color w:val="0000FF"/>
          <w:sz w:val="24"/>
          <w:szCs w:val="24"/>
          <w:u w:val="single"/>
        </w:rPr>
        <w:t>cmooney@ohiopartners.org</w:t>
      </w:r>
    </w:p>
    <w:p w:rsidR="000D3703" w:rsidP="00E373ED">
      <w:pPr>
        <w:spacing w:after="0" w:line="240" w:lineRule="auto"/>
        <w:rPr>
          <w:rFonts w:ascii="Times New Roman" w:hAnsi="Times New Roman" w:cs="Times New Roman"/>
          <w:color w:val="0000FF"/>
          <w:sz w:val="24"/>
          <w:szCs w:val="24"/>
          <w:u w:val="single"/>
        </w:rPr>
      </w:pPr>
      <w:r w:rsidRPr="00E373ED" w:rsidR="00E373ED">
        <w:rPr>
          <w:rFonts w:ascii="Times New Roman" w:hAnsi="Times New Roman" w:cs="Times New Roman"/>
          <w:color w:val="0000FF"/>
          <w:sz w:val="24"/>
          <w:szCs w:val="24"/>
          <w:u w:val="single"/>
        </w:rPr>
        <w:t>paul@carpenterlipps.com</w:t>
      </w:r>
    </w:p>
    <w:p w:rsidR="00667D55" w:rsidP="00E373ED">
      <w:pPr>
        <w:spacing w:after="0" w:line="240" w:lineRule="auto"/>
        <w:rPr>
          <w:rFonts w:ascii="Times New Roman" w:hAnsi="Times New Roman" w:cs="Times New Roman"/>
          <w:color w:val="0000FF"/>
          <w:sz w:val="24"/>
          <w:szCs w:val="24"/>
          <w:u w:val="single"/>
        </w:rPr>
      </w:pPr>
    </w:p>
    <w:p w:rsidR="00667D55" w:rsidRPr="00667D55" w:rsidP="00E373ED">
      <w:pPr>
        <w:spacing w:after="0" w:line="240" w:lineRule="auto"/>
        <w:rPr>
          <w:rFonts w:ascii="Times New Roman" w:hAnsi="Times New Roman" w:cs="Times New Roman"/>
          <w:sz w:val="24"/>
          <w:szCs w:val="24"/>
        </w:rPr>
      </w:pPr>
      <w:r w:rsidRPr="00667D55">
        <w:rPr>
          <w:rFonts w:ascii="Times New Roman" w:hAnsi="Times New Roman" w:cs="Times New Roman"/>
          <w:sz w:val="24"/>
          <w:szCs w:val="24"/>
        </w:rPr>
        <w:t>Attorney Examiner:</w:t>
      </w:r>
    </w:p>
    <w:p w:rsidR="00667D55" w:rsidRPr="008240D2" w:rsidP="00E373ED">
      <w:pPr>
        <w:spacing w:after="0" w:line="240" w:lineRule="auto"/>
        <w:rPr>
          <w:rFonts w:ascii="Times New Roman" w:hAnsi="Times New Roman" w:cs="Times New Roman"/>
          <w:sz w:val="24"/>
          <w:szCs w:val="24"/>
        </w:rPr>
      </w:pPr>
      <w:r w:rsidRPr="00430FA8">
        <w:rPr>
          <w:rStyle w:val="DefaultParagraphFont"/>
          <w:rFonts w:ascii="Times New Roman" w:hAnsi="Times New Roman" w:cs="Times New Roman"/>
          <w:sz w:val="24"/>
          <w:szCs w:val="24"/>
        </w:rPr>
        <w:t>Greta.see@puc.state.oh.us</w:t>
      </w:r>
      <w:r>
        <w:rPr>
          <w:rFonts w:ascii="Times New Roman" w:hAnsi="Times New Roman" w:cs="Times New Roman"/>
          <w:color w:val="0000FF"/>
          <w:sz w:val="24"/>
          <w:szCs w:val="24"/>
          <w:u w:val="single"/>
        </w:rPr>
        <w:t xml:space="preserve"> </w:t>
      </w:r>
    </w:p>
    <w:sectPr w:rsidSect="00F80848">
      <w:footerReference w:type="first" r:id="rId7"/>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26656295"/>
      <w:docPartObj>
        <w:docPartGallery w:val="Page Numbers (Bottom of Page)"/>
        <w:docPartUnique/>
      </w:docPartObj>
    </w:sdtPr>
    <w:sdtEndPr>
      <w:rPr>
        <w:noProof/>
        <w:sz w:val="24"/>
        <w:szCs w:val="24"/>
      </w:rPr>
    </w:sdtEndPr>
    <w:sdtContent>
      <w:p w:rsidR="00594ADD" w:rsidRPr="000857BC">
        <w:pPr>
          <w:pStyle w:val="Footer"/>
          <w:jc w:val="center"/>
          <w:rPr>
            <w:sz w:val="24"/>
            <w:szCs w:val="24"/>
          </w:rPr>
        </w:pPr>
        <w:r w:rsidRPr="000857BC">
          <w:rPr>
            <w:rFonts w:ascii="Times New Roman" w:hAnsi="Times New Roman" w:cs="Times New Roman"/>
            <w:sz w:val="24"/>
            <w:szCs w:val="24"/>
          </w:rPr>
          <w:fldChar w:fldCharType="begin"/>
        </w:r>
        <w:r w:rsidRPr="000857BC">
          <w:rPr>
            <w:rFonts w:ascii="Times New Roman" w:hAnsi="Times New Roman" w:cs="Times New Roman"/>
            <w:sz w:val="24"/>
            <w:szCs w:val="24"/>
          </w:rPr>
          <w:instrText xml:space="preserve"> PAGE   \* MERGEFORMAT </w:instrText>
        </w:r>
        <w:r w:rsidRPr="000857BC">
          <w:rPr>
            <w:rFonts w:ascii="Times New Roman" w:hAnsi="Times New Roman" w:cs="Times New Roman"/>
            <w:sz w:val="24"/>
            <w:szCs w:val="24"/>
          </w:rPr>
          <w:fldChar w:fldCharType="separate"/>
        </w:r>
        <w:r w:rsidR="006B2E29">
          <w:rPr>
            <w:rFonts w:ascii="Times New Roman" w:hAnsi="Times New Roman" w:cs="Times New Roman"/>
            <w:noProof/>
            <w:sz w:val="24"/>
            <w:szCs w:val="24"/>
          </w:rPr>
          <w:t>6</w:t>
        </w:r>
        <w:r w:rsidRPr="000857BC">
          <w:rPr>
            <w:rFonts w:ascii="Times New Roman" w:hAnsi="Times New Roman" w:cs="Times New Roman"/>
            <w:noProof/>
            <w:sz w:val="24"/>
            <w:szCs w:val="24"/>
          </w:rPr>
          <w:fldChar w:fldCharType="end"/>
        </w:r>
      </w:p>
    </w:sdtContent>
  </w:sdt>
  <w:p w:rsidR="00FE0312" w:rsidRPr="000857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E47" w:rsidRPr="000857BC">
    <w:pPr>
      <w:pStyle w:val="Footer"/>
      <w:jc w:val="center"/>
      <w:rPr>
        <w:rFonts w:ascii="Times New Roman" w:hAnsi="Times New Roman" w:cs="Times New Roman"/>
        <w:sz w:val="24"/>
        <w:szCs w:val="24"/>
      </w:rPr>
    </w:pPr>
  </w:p>
  <w:p w:rsidR="006B6978" w:rsidRPr="000857BC" w:rsidP="006B69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3903" w:rsidRPr="000857BC">
    <w:pPr>
      <w:pStyle w:val="Footer"/>
      <w:jc w:val="center"/>
    </w:pPr>
  </w:p>
  <w:p w:rsidR="003E3903" w:rsidRPr="00085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33836" w:rsidP="00606859">
      <w:pPr>
        <w:spacing w:after="0" w:line="240" w:lineRule="auto"/>
      </w:pPr>
      <w:r>
        <w:separator/>
      </w:r>
    </w:p>
  </w:footnote>
  <w:footnote w:type="continuationSeparator" w:id="1">
    <w:p w:rsidR="00733836" w:rsidP="00606859">
      <w:pPr>
        <w:spacing w:after="0" w:line="240" w:lineRule="auto"/>
      </w:pPr>
      <w:r>
        <w:continuationSeparator/>
      </w:r>
    </w:p>
  </w:footnote>
  <w:footnote w:id="2">
    <w:p w:rsidR="00264AE6" w:rsidRPr="000029AE" w:rsidP="000029AE">
      <w:pPr>
        <w:pStyle w:val="FootnoteText"/>
        <w:spacing w:after="120"/>
        <w:rPr>
          <w:rFonts w:ascii="Times New Roman" w:hAnsi="Times New Roman" w:cs="Times New Roman"/>
        </w:rPr>
      </w:pPr>
      <w:r w:rsidRPr="000029AE">
        <w:rPr>
          <w:rStyle w:val="FootnoteReference"/>
          <w:rFonts w:ascii="Times New Roman" w:hAnsi="Times New Roman" w:cs="Times New Roman"/>
        </w:rPr>
        <w:footnoteRef/>
      </w:r>
      <w:r w:rsidRPr="000029AE">
        <w:rPr>
          <w:rFonts w:ascii="Times New Roman" w:hAnsi="Times New Roman" w:cs="Times New Roman"/>
        </w:rPr>
        <w:t xml:space="preserve"> </w:t>
      </w:r>
      <w:r w:rsidRPr="000029AE" w:rsidR="00BF15CD">
        <w:rPr>
          <w:rFonts w:ascii="Times New Roman" w:hAnsi="Times New Roman" w:cs="Times New Roman"/>
        </w:rPr>
        <w:t>Motion to Intervene and Objections and Commen</w:t>
      </w:r>
      <w:r w:rsidRPr="000029AE" w:rsidR="00E056CE">
        <w:rPr>
          <w:rFonts w:ascii="Times New Roman" w:hAnsi="Times New Roman" w:cs="Times New Roman"/>
        </w:rPr>
        <w:t>ts</w:t>
      </w:r>
      <w:r w:rsidRPr="000029AE" w:rsidR="00BF15CD">
        <w:rPr>
          <w:rFonts w:ascii="Times New Roman" w:hAnsi="Times New Roman" w:cs="Times New Roman"/>
        </w:rPr>
        <w:t xml:space="preserve"> by The Kroger Co. at</w:t>
      </w:r>
      <w:r w:rsidR="00E373ED">
        <w:rPr>
          <w:rFonts w:ascii="Times New Roman" w:hAnsi="Times New Roman" w:cs="Times New Roman"/>
        </w:rPr>
        <w:t xml:space="preserve"> 6-7</w:t>
      </w:r>
      <w:r w:rsidRPr="000029AE" w:rsidR="00BF15CD">
        <w:rPr>
          <w:rFonts w:ascii="Times New Roman" w:hAnsi="Times New Roman" w:cs="Times New Roman"/>
        </w:rPr>
        <w:t xml:space="preserve"> (Ju</w:t>
      </w:r>
      <w:r w:rsidRPr="000029AE" w:rsidR="003E5154">
        <w:rPr>
          <w:rFonts w:ascii="Times New Roman" w:hAnsi="Times New Roman" w:cs="Times New Roman"/>
        </w:rPr>
        <w:t>ne</w:t>
      </w:r>
      <w:r w:rsidRPr="000029AE" w:rsidR="00BF15CD">
        <w:rPr>
          <w:rFonts w:ascii="Times New Roman" w:hAnsi="Times New Roman" w:cs="Times New Roman"/>
        </w:rPr>
        <w:t xml:space="preserve"> </w:t>
      </w:r>
      <w:r w:rsidRPr="000029AE" w:rsidR="003E5154">
        <w:rPr>
          <w:rFonts w:ascii="Times New Roman" w:hAnsi="Times New Roman" w:cs="Times New Roman"/>
        </w:rPr>
        <w:t>30</w:t>
      </w:r>
      <w:r w:rsidRPr="000029AE" w:rsidR="00BF15CD">
        <w:rPr>
          <w:rFonts w:ascii="Times New Roman" w:hAnsi="Times New Roman" w:cs="Times New Roman"/>
        </w:rPr>
        <w:t>, 201</w:t>
      </w:r>
      <w:r w:rsidRPr="000029AE" w:rsidR="003E5154">
        <w:rPr>
          <w:rFonts w:ascii="Times New Roman" w:hAnsi="Times New Roman" w:cs="Times New Roman"/>
        </w:rPr>
        <w:t>7</w:t>
      </w:r>
      <w:r w:rsidRPr="000029AE" w:rsidR="00BF15CD">
        <w:rPr>
          <w:rFonts w:ascii="Times New Roman" w:hAnsi="Times New Roman" w:cs="Times New Roman"/>
        </w:rPr>
        <w:t>).</w:t>
      </w:r>
    </w:p>
  </w:footnote>
  <w:footnote w:id="3">
    <w:p w:rsidR="003E5154" w:rsidRPr="000029AE" w:rsidP="000029AE">
      <w:pPr>
        <w:pStyle w:val="FootnoteText"/>
        <w:spacing w:after="120"/>
        <w:rPr>
          <w:rFonts w:ascii="Times New Roman" w:hAnsi="Times New Roman" w:cs="Times New Roman"/>
        </w:rPr>
      </w:pPr>
      <w:r w:rsidRPr="000029AE">
        <w:rPr>
          <w:rStyle w:val="FootnoteReference"/>
          <w:rFonts w:ascii="Times New Roman" w:hAnsi="Times New Roman" w:cs="Times New Roman"/>
        </w:rPr>
        <w:footnoteRef/>
      </w:r>
      <w:r w:rsidRPr="000029AE">
        <w:rPr>
          <w:rFonts w:ascii="Times New Roman" w:hAnsi="Times New Roman" w:cs="Times New Roman"/>
        </w:rPr>
        <w:t xml:space="preserve"> Objections of Duke Energy Ohio at 2 (June 30, 2017). </w:t>
      </w:r>
    </w:p>
  </w:footnote>
  <w:footnote w:id="4">
    <w:p w:rsidR="002F433B" w:rsidRPr="000029AE" w:rsidP="000029AE">
      <w:pPr>
        <w:pStyle w:val="FootnoteText"/>
        <w:spacing w:after="120"/>
        <w:rPr>
          <w:rFonts w:ascii="Times New Roman" w:hAnsi="Times New Roman" w:cs="Times New Roman"/>
        </w:rPr>
      </w:pPr>
      <w:r w:rsidRPr="000029AE">
        <w:rPr>
          <w:rStyle w:val="FootnoteReference"/>
          <w:rFonts w:ascii="Times New Roman" w:hAnsi="Times New Roman" w:cs="Times New Roman"/>
        </w:rPr>
        <w:footnoteRef/>
      </w:r>
      <w:r w:rsidRPr="000029AE">
        <w:rPr>
          <w:rFonts w:ascii="Times New Roman" w:hAnsi="Times New Roman" w:cs="Times New Roman"/>
        </w:rPr>
        <w:t xml:space="preserve"> R.C. 4928.52(C)</w:t>
      </w:r>
      <w:r w:rsidRPr="000029AE" w:rsidR="009817B9">
        <w:rPr>
          <w:rFonts w:ascii="Times New Roman" w:hAnsi="Times New Roman" w:cs="Times New Roman"/>
        </w:rPr>
        <w:t>.</w:t>
      </w:r>
    </w:p>
  </w:footnote>
  <w:footnote w:id="5">
    <w:p w:rsidR="00A62242" w:rsidRPr="000029AE" w:rsidP="00A62242">
      <w:pPr>
        <w:pStyle w:val="FootnoteText"/>
        <w:spacing w:after="120"/>
        <w:rPr>
          <w:rFonts w:ascii="Times New Roman" w:hAnsi="Times New Roman" w:cs="Times New Roman"/>
        </w:rPr>
      </w:pPr>
      <w:r w:rsidRPr="000029AE">
        <w:rPr>
          <w:rStyle w:val="FootnoteReference"/>
          <w:rFonts w:ascii="Times New Roman" w:hAnsi="Times New Roman" w:cs="Times New Roman"/>
        </w:rPr>
        <w:footnoteRef/>
      </w:r>
      <w:r w:rsidRPr="000029AE">
        <w:rPr>
          <w:rFonts w:ascii="Times New Roman" w:hAnsi="Times New Roman" w:cs="Times New Roman"/>
        </w:rPr>
        <w:t xml:space="preserve"> Motion to Intervene and Objections and Comments by The Kroger Co. at 9 (June 30, 2017). </w:t>
      </w:r>
    </w:p>
  </w:footnote>
  <w:footnote w:id="6">
    <w:p w:rsidR="0020379D" w:rsidRPr="000029AE" w:rsidP="000029AE">
      <w:pPr>
        <w:pStyle w:val="FootnoteText"/>
        <w:spacing w:after="120"/>
        <w:rPr>
          <w:rFonts w:ascii="Times New Roman" w:hAnsi="Times New Roman" w:cs="Times New Roman"/>
        </w:rPr>
      </w:pPr>
      <w:r w:rsidRPr="000029AE">
        <w:rPr>
          <w:rStyle w:val="FootnoteReference"/>
          <w:rFonts w:ascii="Times New Roman" w:hAnsi="Times New Roman" w:cs="Times New Roman"/>
        </w:rPr>
        <w:footnoteRef/>
      </w:r>
      <w:r w:rsidRPr="000029AE" w:rsidR="006747D7">
        <w:rPr>
          <w:rFonts w:ascii="Times New Roman" w:hAnsi="Times New Roman" w:cs="Times New Roman"/>
        </w:rPr>
        <w:t xml:space="preserve"> </w:t>
      </w:r>
      <w:r w:rsidRPr="000029AE" w:rsidR="000029AE">
        <w:rPr>
          <w:rFonts w:ascii="Times New Roman" w:hAnsi="Times New Roman" w:cs="Times New Roman"/>
        </w:rPr>
        <w:t xml:space="preserve">Id. at 8. </w:t>
      </w:r>
    </w:p>
  </w:footnote>
  <w:footnote w:id="7">
    <w:p w:rsidR="0020379D" w:rsidRPr="000029AE" w:rsidP="000029AE">
      <w:pPr>
        <w:pStyle w:val="FootnoteText"/>
        <w:spacing w:after="120"/>
        <w:rPr>
          <w:rFonts w:ascii="Times New Roman" w:hAnsi="Times New Roman" w:cs="Times New Roman"/>
        </w:rPr>
      </w:pPr>
      <w:r w:rsidRPr="000029AE">
        <w:rPr>
          <w:rStyle w:val="FootnoteReference"/>
          <w:rFonts w:ascii="Times New Roman" w:hAnsi="Times New Roman" w:cs="Times New Roman"/>
        </w:rPr>
        <w:footnoteRef/>
      </w:r>
      <w:r w:rsidRPr="000029AE">
        <w:rPr>
          <w:rFonts w:ascii="Times New Roman" w:hAnsi="Times New Roman" w:cs="Times New Roman"/>
        </w:rPr>
        <w:t xml:space="preserve"> R.C. 4928.52</w:t>
      </w:r>
      <w:r w:rsidR="00E373ED">
        <w:rPr>
          <w:rFonts w:ascii="Times New Roman" w:hAnsi="Times New Roman" w:cs="Times New Roman"/>
        </w:rPr>
        <w:t>.</w:t>
      </w:r>
    </w:p>
  </w:footnote>
  <w:footnote w:id="8">
    <w:p w:rsidR="006747D7" w:rsidRPr="000029AE" w:rsidP="000029AE">
      <w:pPr>
        <w:pStyle w:val="FootnoteText"/>
        <w:spacing w:after="120"/>
        <w:rPr>
          <w:rFonts w:ascii="Times New Roman" w:hAnsi="Times New Roman" w:cs="Times New Roman"/>
        </w:rPr>
      </w:pPr>
      <w:r w:rsidRPr="000029AE">
        <w:rPr>
          <w:rStyle w:val="FootnoteReference"/>
          <w:rFonts w:ascii="Times New Roman" w:hAnsi="Times New Roman" w:cs="Times New Roman"/>
        </w:rPr>
        <w:footnoteRef/>
      </w:r>
      <w:r w:rsidRPr="000029AE">
        <w:rPr>
          <w:rFonts w:ascii="Times New Roman" w:hAnsi="Times New Roman" w:cs="Times New Roman"/>
        </w:rPr>
        <w:t xml:space="preserve"> </w:t>
      </w:r>
      <w:r w:rsidRPr="000029AE">
        <w:rPr>
          <w:rFonts w:ascii="Times New Roman" w:hAnsi="Times New Roman" w:cs="Times New Roman"/>
          <w:i/>
        </w:rPr>
        <w:t>In the Matter of the Application of the Ohio Development Services Agency for an Order Approving Adjustments to the Universal Service Fund Rider of Jurisdictional Ohio Electric Distribution Utilities.</w:t>
      </w:r>
      <w:r w:rsidRPr="000029AE">
        <w:rPr>
          <w:rFonts w:ascii="Times New Roman" w:hAnsi="Times New Roman" w:cs="Times New Roman"/>
        </w:rPr>
        <w:t xml:space="preserve"> Case No. 16-1223-EL-USF, Joint Comments of Duke Energy Ohio, Inc., Cleveland Electric Illuminating Company, Ohio Edison Company, Toledo Edison Company, Dayton Power and Light Company, and Ohio Power Company in response to Objections and Comments of the Kroger Company at 3 (July 8, 2016).</w:t>
      </w:r>
    </w:p>
  </w:footnote>
  <w:footnote w:id="9">
    <w:p w:rsidR="006747D7" w:rsidRPr="000029AE" w:rsidP="000029AE">
      <w:pPr>
        <w:pStyle w:val="FootnoteText"/>
        <w:spacing w:after="120"/>
        <w:rPr>
          <w:rFonts w:ascii="Times New Roman" w:hAnsi="Times New Roman" w:cs="Times New Roman"/>
        </w:rPr>
      </w:pPr>
      <w:r w:rsidRPr="000029AE">
        <w:rPr>
          <w:rStyle w:val="FootnoteReference"/>
          <w:rFonts w:ascii="Times New Roman" w:hAnsi="Times New Roman" w:cs="Times New Roman"/>
        </w:rPr>
        <w:footnoteRef/>
      </w:r>
      <w:r w:rsidRPr="000029AE">
        <w:rPr>
          <w:rFonts w:ascii="Times New Roman" w:hAnsi="Times New Roman" w:cs="Times New Roman"/>
        </w:rPr>
        <w:t xml:space="preserve"> </w:t>
      </w:r>
      <w:r w:rsidRPr="000029AE" w:rsidR="008F76D5">
        <w:rPr>
          <w:rFonts w:ascii="Times New Roman" w:hAnsi="Times New Roman" w:cs="Times New Roman"/>
        </w:rPr>
        <w:t xml:space="preserve">Id. </w:t>
      </w:r>
    </w:p>
  </w:footnote>
  <w:footnote w:id="10">
    <w:p w:rsidR="008F76D5" w:rsidRPr="000029AE" w:rsidP="000029AE">
      <w:pPr>
        <w:pStyle w:val="FootnoteText"/>
        <w:spacing w:after="120"/>
        <w:rPr>
          <w:rFonts w:ascii="Times New Roman" w:hAnsi="Times New Roman" w:cs="Times New Roman"/>
        </w:rPr>
      </w:pPr>
      <w:r w:rsidRPr="000029AE">
        <w:rPr>
          <w:rStyle w:val="FootnoteReference"/>
          <w:rFonts w:ascii="Times New Roman" w:hAnsi="Times New Roman" w:cs="Times New Roman"/>
        </w:rPr>
        <w:footnoteRef/>
      </w:r>
      <w:r w:rsidRPr="000029AE">
        <w:rPr>
          <w:rFonts w:ascii="Times New Roman" w:hAnsi="Times New Roman" w:cs="Times New Roman"/>
        </w:rPr>
        <w:t xml:space="preserve"> </w:t>
      </w:r>
      <w:r w:rsidRPr="000029AE">
        <w:rPr>
          <w:rFonts w:ascii="Times New Roman" w:hAnsi="Times New Roman" w:cs="Times New Roman"/>
          <w:i/>
        </w:rPr>
        <w:t>See</w:t>
      </w:r>
      <w:r w:rsidRPr="000029AE">
        <w:rPr>
          <w:rFonts w:ascii="Times New Roman" w:hAnsi="Times New Roman" w:cs="Times New Roman"/>
        </w:rPr>
        <w:t xml:space="preserve"> David Sharp, </w:t>
      </w:r>
      <w:r w:rsidRPr="000029AE">
        <w:rPr>
          <w:rFonts w:ascii="Times New Roman" w:hAnsi="Times New Roman" w:cs="Times New Roman"/>
          <w:i/>
        </w:rPr>
        <w:t>Congress is cool to Trump’s proposal to end heating aid</w:t>
      </w:r>
      <w:r w:rsidRPr="000029AE">
        <w:rPr>
          <w:rFonts w:ascii="Times New Roman" w:hAnsi="Times New Roman" w:cs="Times New Roman"/>
        </w:rPr>
        <w:t xml:space="preserve">, </w:t>
      </w:r>
      <w:r w:rsidRPr="000029AE">
        <w:rPr>
          <w:rFonts w:ascii="Times New Roman" w:hAnsi="Times New Roman" w:cs="Times New Roman"/>
          <w:smallCaps/>
        </w:rPr>
        <w:t>Washington Post</w:t>
      </w:r>
      <w:r w:rsidRPr="000029AE">
        <w:rPr>
          <w:rFonts w:ascii="Times New Roman" w:hAnsi="Times New Roman" w:cs="Times New Roman"/>
        </w:rPr>
        <w:t xml:space="preserve"> (July 2, 2017), https://www.washingtonpost.com/business/congress-is-cool-to-trumps-proposal-to-end-heating-aid/2017/07/02/62259d64-5f33-11e7-80a2-8c226031ac3f_story.html?utm_term=.881475fa7fc2.</w:t>
      </w:r>
    </w:p>
  </w:footnote>
  <w:footnote w:id="11">
    <w:p w:rsidR="006D1A79" w:rsidRPr="000029AE" w:rsidP="000029AE">
      <w:pPr>
        <w:pStyle w:val="FootnoteText"/>
        <w:spacing w:after="120"/>
        <w:rPr>
          <w:rFonts w:ascii="Times New Roman" w:hAnsi="Times New Roman" w:cs="Times New Roman"/>
        </w:rPr>
      </w:pPr>
      <w:r w:rsidRPr="000029AE">
        <w:rPr>
          <w:rStyle w:val="FootnoteReference"/>
          <w:rFonts w:ascii="Times New Roman" w:hAnsi="Times New Roman" w:cs="Times New Roman"/>
        </w:rPr>
        <w:footnoteRef/>
      </w:r>
      <w:r w:rsidRPr="000029AE">
        <w:rPr>
          <w:rFonts w:ascii="Times New Roman" w:hAnsi="Times New Roman" w:cs="Times New Roman"/>
        </w:rPr>
        <w:t xml:space="preserve"> </w:t>
      </w:r>
      <w:r w:rsidRPr="000029AE" w:rsidR="000029AE">
        <w:rPr>
          <w:rFonts w:ascii="Times New Roman" w:hAnsi="Times New Roman" w:cs="Times New Roman"/>
        </w:rPr>
        <w:t xml:space="preserve">Objections of Duke Energy Ohio at 2. </w:t>
      </w:r>
    </w:p>
  </w:footnote>
  <w:footnote w:id="12">
    <w:p w:rsidR="000B6118" w:rsidRPr="000029AE" w:rsidP="000029AE">
      <w:pPr>
        <w:pStyle w:val="FootnoteText"/>
        <w:spacing w:after="120"/>
        <w:rPr>
          <w:rFonts w:ascii="Times New Roman" w:hAnsi="Times New Roman" w:cs="Times New Roman"/>
        </w:rPr>
      </w:pPr>
      <w:r w:rsidRPr="000029AE">
        <w:rPr>
          <w:rStyle w:val="FootnoteReference"/>
          <w:rFonts w:ascii="Times New Roman" w:hAnsi="Times New Roman" w:cs="Times New Roman"/>
        </w:rPr>
        <w:footnoteRef/>
      </w:r>
      <w:r w:rsidRPr="000029AE">
        <w:rPr>
          <w:rFonts w:ascii="Times New Roman" w:hAnsi="Times New Roman" w:cs="Times New Roman"/>
        </w:rPr>
        <w:t xml:space="preserve"> Ohio Development Services Agency Notice of Intent to File An Application For Adjustment to Universal Fund Riders at 4 (June 1, 2017). </w:t>
      </w:r>
    </w:p>
    <w:p w:rsidR="000B6118" w:rsidRPr="000029AE" w:rsidP="000029AE">
      <w:pPr>
        <w:pStyle w:val="FootnoteText"/>
        <w:spacing w:after="120"/>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1F181D48"/>
    <w:lvl w:ilvl="0">
      <w:start w:val="1"/>
      <w:numFmt w:val="decimal"/>
      <w:lvlText w:val="%1."/>
      <w:lvlJc w:val="left"/>
      <w:pPr>
        <w:tabs>
          <w:tab w:val="num" w:pos="1080"/>
        </w:tabs>
        <w:ind w:left="1080" w:hanging="360"/>
      </w:pPr>
    </w:lvl>
  </w:abstractNum>
  <w:abstractNum w:abstractNumId="1">
    <w:nsid w:val="FFFFFF7F"/>
    <w:multiLevelType w:val="singleLevel"/>
    <w:tmpl w:val="63368542"/>
    <w:lvl w:ilvl="0">
      <w:start w:val="1"/>
      <w:numFmt w:val="decimal"/>
      <w:lvlText w:val="%1."/>
      <w:lvlJc w:val="left"/>
      <w:pPr>
        <w:tabs>
          <w:tab w:val="num" w:pos="720"/>
        </w:tabs>
        <w:ind w:left="720" w:hanging="360"/>
      </w:pPr>
    </w:lvl>
  </w:abstractNum>
  <w:abstractNum w:abstractNumId="2">
    <w:nsid w:val="FFFFFF80"/>
    <w:multiLevelType w:val="singleLevel"/>
    <w:tmpl w:val="2DBCDAFE"/>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559816E4"/>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EAEA9486"/>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6846B4F0"/>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81FE5FD2"/>
    <w:lvl w:ilvl="0">
      <w:start w:val="1"/>
      <w:numFmt w:val="decimal"/>
      <w:lvlText w:val="%1."/>
      <w:lvlJc w:val="left"/>
      <w:pPr>
        <w:tabs>
          <w:tab w:val="num" w:pos="360"/>
        </w:tabs>
        <w:ind w:left="360" w:hanging="360"/>
      </w:pPr>
    </w:lvl>
  </w:abstractNum>
  <w:abstractNum w:abstractNumId="7">
    <w:nsid w:val="FFFFFF89"/>
    <w:multiLevelType w:val="singleLevel"/>
    <w:tmpl w:val="9FD66B72"/>
    <w:lvl w:ilvl="0">
      <w:start w:val="1"/>
      <w:numFmt w:val="bullet"/>
      <w:lvlText w:val=""/>
      <w:lvlJc w:val="left"/>
      <w:pPr>
        <w:tabs>
          <w:tab w:val="num" w:pos="360"/>
        </w:tabs>
        <w:ind w:left="360" w:hanging="360"/>
      </w:pPr>
      <w:rPr>
        <w:rFonts w:ascii="Symbol" w:hAnsi="Symbol" w:hint="default"/>
      </w:rPr>
    </w:lvl>
  </w:abstractNum>
  <w:abstractNum w:abstractNumId="8">
    <w:nsid w:val="0B9D4231"/>
    <w:multiLevelType w:val="hybridMultilevel"/>
    <w:tmpl w:val="190A083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1603AAF"/>
    <w:multiLevelType w:val="hybridMultilevel"/>
    <w:tmpl w:val="B7FCD4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904EE0"/>
    <w:multiLevelType w:val="hybridMultilevel"/>
    <w:tmpl w:val="8FCAB4D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1C00719D"/>
    <w:multiLevelType w:val="hybridMultilevel"/>
    <w:tmpl w:val="E60AA240"/>
    <w:lvl w:ilvl="0">
      <w:start w:val="1"/>
      <w:numFmt w:val="upperLetter"/>
      <w:pStyle w:val="Heading2"/>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2D20F2E"/>
    <w:multiLevelType w:val="hybridMultilevel"/>
    <w:tmpl w:val="BB30DAC6"/>
    <w:lvl w:ilvl="0">
      <w:start w:val="1"/>
      <w:numFmt w:val="upperLetter"/>
      <w:lvlText w:val="%1."/>
      <w:lvlJc w:val="left"/>
      <w:pPr>
        <w:ind w:left="1170"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3">
    <w:nsid w:val="26EE387C"/>
    <w:multiLevelType w:val="hybridMultilevel"/>
    <w:tmpl w:val="1B2CADF2"/>
    <w:lvl w:ilvl="0">
      <w:start w:val="1"/>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6B913C8"/>
    <w:multiLevelType w:val="hybridMultilevel"/>
    <w:tmpl w:val="654CA21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467824AC"/>
    <w:multiLevelType w:val="hybridMultilevel"/>
    <w:tmpl w:val="307EE0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81C0F11"/>
    <w:multiLevelType w:val="hybridMultilevel"/>
    <w:tmpl w:val="5DA4D7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CB73CD9"/>
    <w:multiLevelType w:val="hybridMultilevel"/>
    <w:tmpl w:val="4978041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7"/>
  </w:num>
  <w:num w:numId="5">
    <w:abstractNumId w:val="12"/>
  </w:num>
  <w:num w:numId="6">
    <w:abstractNumId w:val="7"/>
  </w:num>
  <w:num w:numId="7">
    <w:abstractNumId w:val="5"/>
  </w:num>
  <w:num w:numId="8">
    <w:abstractNumId w:val="4"/>
  </w:num>
  <w:num w:numId="9">
    <w:abstractNumId w:val="3"/>
  </w:num>
  <w:num w:numId="10">
    <w:abstractNumId w:val="2"/>
  </w:num>
  <w:num w:numId="11">
    <w:abstractNumId w:val="6"/>
  </w:num>
  <w:num w:numId="12">
    <w:abstractNumId w:val="1"/>
  </w:num>
  <w:num w:numId="13">
    <w:abstractNumId w:val="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5"/>
  </w:num>
  <w:num w:numId="17">
    <w:abstractNumId w:val="13"/>
  </w:num>
  <w:num w:numId="18">
    <w:abstractNumId w:val="1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C8B"/>
  </w:style>
  <w:style w:type="paragraph" w:styleId="Heading1">
    <w:name w:val="heading 1"/>
    <w:basedOn w:val="Normal"/>
    <w:next w:val="Normal"/>
    <w:link w:val="Heading1Char"/>
    <w:autoRedefine/>
    <w:uiPriority w:val="9"/>
    <w:qFormat/>
    <w:rsid w:val="00067E47"/>
    <w:pPr>
      <w:keepNext/>
      <w:keepLines/>
      <w:spacing w:after="240" w:line="240" w:lineRule="auto"/>
      <w:ind w:left="720" w:hanging="720"/>
      <w:outlineLvl w:val="0"/>
    </w:pPr>
    <w:rPr>
      <w:rFonts w:ascii="Times New Roman Bold" w:hAnsi="Times New Roman Bold" w:eastAsiaTheme="majorEastAsia" w:cstheme="majorBidi"/>
      <w:b/>
      <w:bCs/>
      <w:caps/>
      <w:sz w:val="24"/>
      <w:szCs w:val="28"/>
    </w:rPr>
  </w:style>
  <w:style w:type="paragraph" w:styleId="Heading2">
    <w:name w:val="heading 2"/>
    <w:basedOn w:val="Normal"/>
    <w:next w:val="Normal"/>
    <w:link w:val="Heading2Char"/>
    <w:autoRedefine/>
    <w:uiPriority w:val="9"/>
    <w:unhideWhenUsed/>
    <w:qFormat/>
    <w:rsid w:val="00E373ED"/>
    <w:pPr>
      <w:keepNext/>
      <w:keepLines/>
      <w:numPr>
        <w:numId w:val="18"/>
      </w:numPr>
      <w:spacing w:after="240" w:line="240" w:lineRule="auto"/>
      <w:ind w:left="1440" w:right="720" w:hanging="720"/>
      <w:outlineLvl w:val="1"/>
    </w:pPr>
    <w:rPr>
      <w:rFonts w:ascii="Times New Roman Bold" w:hAnsi="Times New Roman Bold" w:eastAsiaTheme="majorEastAsia" w:cstheme="majorBidi"/>
      <w:b/>
      <w:bCs/>
      <w:sz w:val="24"/>
      <w:szCs w:val="26"/>
    </w:rPr>
  </w:style>
  <w:style w:type="paragraph" w:styleId="Heading3">
    <w:name w:val="heading 3"/>
    <w:basedOn w:val="Normal"/>
    <w:next w:val="Normal"/>
    <w:link w:val="Heading3Char"/>
    <w:autoRedefine/>
    <w:uiPriority w:val="9"/>
    <w:unhideWhenUsed/>
    <w:qFormat/>
    <w:rsid w:val="00067E47"/>
    <w:pPr>
      <w:keepNext/>
      <w:keepLines/>
      <w:spacing w:after="240" w:line="240" w:lineRule="auto"/>
      <w:ind w:left="2160" w:hanging="720"/>
      <w:outlineLvl w:val="2"/>
    </w:pPr>
    <w:rPr>
      <w:rFonts w:ascii="Times New Roman" w:hAnsi="Times New Roman"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06859"/>
    <w:pPr>
      <w:spacing w:after="0" w:line="240" w:lineRule="auto"/>
    </w:pPr>
    <w:rPr>
      <w:sz w:val="20"/>
      <w:szCs w:val="20"/>
    </w:rPr>
  </w:style>
  <w:style w:type="character" w:customStyle="1" w:styleId="FootnoteTextChar">
    <w:name w:val="Footnote Text Char"/>
    <w:basedOn w:val="DefaultParagraphFont"/>
    <w:link w:val="FootnoteText"/>
    <w:uiPriority w:val="99"/>
    <w:rsid w:val="00606859"/>
    <w:rPr>
      <w:sz w:val="20"/>
      <w:szCs w:val="20"/>
    </w:rPr>
  </w:style>
  <w:style w:type="character" w:styleId="FootnoteReference">
    <w:name w:val="footnote reference"/>
    <w:basedOn w:val="DefaultParagraphFont"/>
    <w:uiPriority w:val="99"/>
    <w:semiHidden/>
    <w:unhideWhenUsed/>
    <w:rsid w:val="00606859"/>
    <w:rPr>
      <w:vertAlign w:val="superscript"/>
    </w:rPr>
  </w:style>
  <w:style w:type="paragraph" w:styleId="ListParagraph">
    <w:name w:val="List Paragraph"/>
    <w:basedOn w:val="Normal"/>
    <w:uiPriority w:val="34"/>
    <w:qFormat/>
    <w:rsid w:val="00430A25"/>
    <w:pPr>
      <w:ind w:left="720"/>
      <w:contextualSpacing/>
    </w:pPr>
  </w:style>
  <w:style w:type="paragraph" w:styleId="Header">
    <w:name w:val="header"/>
    <w:basedOn w:val="Normal"/>
    <w:link w:val="HeaderChar"/>
    <w:uiPriority w:val="99"/>
    <w:unhideWhenUsed/>
    <w:rsid w:val="00E26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B85"/>
  </w:style>
  <w:style w:type="paragraph" w:styleId="Footer">
    <w:name w:val="footer"/>
    <w:basedOn w:val="Normal"/>
    <w:link w:val="FooterChar"/>
    <w:uiPriority w:val="99"/>
    <w:unhideWhenUsed/>
    <w:rsid w:val="00E26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B85"/>
  </w:style>
  <w:style w:type="character" w:styleId="CommentReference">
    <w:name w:val="annotation reference"/>
    <w:basedOn w:val="DefaultParagraphFont"/>
    <w:uiPriority w:val="99"/>
    <w:semiHidden/>
    <w:unhideWhenUsed/>
    <w:rsid w:val="00DD6D2F"/>
    <w:rPr>
      <w:sz w:val="16"/>
      <w:szCs w:val="16"/>
    </w:rPr>
  </w:style>
  <w:style w:type="paragraph" w:styleId="CommentText">
    <w:name w:val="annotation text"/>
    <w:basedOn w:val="Normal"/>
    <w:link w:val="CommentTextChar"/>
    <w:semiHidden/>
    <w:unhideWhenUsed/>
    <w:rsid w:val="00DD6D2F"/>
    <w:pPr>
      <w:spacing w:line="240" w:lineRule="auto"/>
    </w:pPr>
    <w:rPr>
      <w:sz w:val="20"/>
      <w:szCs w:val="20"/>
    </w:rPr>
  </w:style>
  <w:style w:type="character" w:customStyle="1" w:styleId="CommentTextChar">
    <w:name w:val="Comment Text Char"/>
    <w:basedOn w:val="DefaultParagraphFont"/>
    <w:link w:val="CommentText"/>
    <w:semiHidden/>
    <w:rsid w:val="00DD6D2F"/>
    <w:rPr>
      <w:sz w:val="20"/>
      <w:szCs w:val="20"/>
    </w:rPr>
  </w:style>
  <w:style w:type="paragraph" w:styleId="CommentSubject">
    <w:name w:val="annotation subject"/>
    <w:basedOn w:val="CommentText"/>
    <w:next w:val="CommentText"/>
    <w:link w:val="CommentSubjectChar"/>
    <w:uiPriority w:val="99"/>
    <w:semiHidden/>
    <w:unhideWhenUsed/>
    <w:rsid w:val="00DD6D2F"/>
    <w:rPr>
      <w:b/>
      <w:bCs/>
    </w:rPr>
  </w:style>
  <w:style w:type="character" w:customStyle="1" w:styleId="CommentSubjectChar">
    <w:name w:val="Comment Subject Char"/>
    <w:basedOn w:val="CommentTextChar"/>
    <w:link w:val="CommentSubject"/>
    <w:uiPriority w:val="99"/>
    <w:semiHidden/>
    <w:rsid w:val="00DD6D2F"/>
    <w:rPr>
      <w:b/>
      <w:bCs/>
      <w:sz w:val="20"/>
      <w:szCs w:val="20"/>
    </w:rPr>
  </w:style>
  <w:style w:type="paragraph" w:styleId="BalloonText">
    <w:name w:val="Balloon Text"/>
    <w:basedOn w:val="Normal"/>
    <w:link w:val="BalloonTextChar"/>
    <w:uiPriority w:val="99"/>
    <w:semiHidden/>
    <w:unhideWhenUsed/>
    <w:rsid w:val="00DD6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D2F"/>
    <w:rPr>
      <w:rFonts w:ascii="Tahoma" w:hAnsi="Tahoma" w:cs="Tahoma"/>
      <w:sz w:val="16"/>
      <w:szCs w:val="16"/>
    </w:rPr>
  </w:style>
  <w:style w:type="character" w:styleId="Hyperlink">
    <w:name w:val="Hyperlink"/>
    <w:basedOn w:val="DefaultParagraphFont"/>
    <w:uiPriority w:val="99"/>
    <w:unhideWhenUsed/>
    <w:rsid w:val="00602454"/>
    <w:rPr>
      <w:color w:val="0000FF" w:themeColor="hyperlink"/>
      <w:u w:val="single"/>
    </w:rPr>
  </w:style>
  <w:style w:type="character" w:customStyle="1" w:styleId="Heading1Char">
    <w:name w:val="Heading 1 Char"/>
    <w:basedOn w:val="DefaultParagraphFont"/>
    <w:link w:val="Heading1"/>
    <w:uiPriority w:val="9"/>
    <w:rsid w:val="00067E47"/>
    <w:rPr>
      <w:rFonts w:ascii="Times New Roman Bold" w:hAnsi="Times New Roman Bold" w:eastAsiaTheme="majorEastAsia" w:cstheme="majorBidi"/>
      <w:b/>
      <w:bCs/>
      <w:caps/>
      <w:sz w:val="24"/>
      <w:szCs w:val="28"/>
    </w:rPr>
  </w:style>
  <w:style w:type="character" w:customStyle="1" w:styleId="Heading2Char">
    <w:name w:val="Heading 2 Char"/>
    <w:basedOn w:val="DefaultParagraphFont"/>
    <w:link w:val="Heading2"/>
    <w:uiPriority w:val="9"/>
    <w:rsid w:val="00E373ED"/>
    <w:rPr>
      <w:rFonts w:ascii="Times New Roman Bold" w:hAnsi="Times New Roman Bold" w:eastAsiaTheme="majorEastAsia" w:cstheme="majorBidi"/>
      <w:b/>
      <w:bCs/>
      <w:sz w:val="24"/>
      <w:szCs w:val="26"/>
    </w:rPr>
  </w:style>
  <w:style w:type="paragraph" w:styleId="TOC1">
    <w:name w:val="toc 1"/>
    <w:basedOn w:val="Normal"/>
    <w:next w:val="Normal"/>
    <w:autoRedefine/>
    <w:uiPriority w:val="39"/>
    <w:unhideWhenUsed/>
    <w:qFormat/>
    <w:rsid w:val="000D3703"/>
    <w:pPr>
      <w:tabs>
        <w:tab w:val="decimal" w:leader="dot" w:pos="864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qFormat/>
    <w:rsid w:val="000D3703"/>
    <w:pPr>
      <w:tabs>
        <w:tab w:val="decimal" w:leader="dot" w:pos="8640"/>
      </w:tabs>
      <w:spacing w:after="240" w:line="240" w:lineRule="auto"/>
      <w:ind w:left="1440" w:hanging="720"/>
    </w:pPr>
    <w:rPr>
      <w:rFonts w:ascii="Times New Roman" w:hAnsi="Times New Roman"/>
      <w:sz w:val="24"/>
    </w:rPr>
  </w:style>
  <w:style w:type="character" w:styleId="PageNumber">
    <w:name w:val="page number"/>
    <w:basedOn w:val="DefaultParagraphFont"/>
    <w:rsid w:val="008240D2"/>
  </w:style>
  <w:style w:type="character" w:customStyle="1" w:styleId="Heading3Char">
    <w:name w:val="Heading 3 Char"/>
    <w:basedOn w:val="DefaultParagraphFont"/>
    <w:link w:val="Heading3"/>
    <w:uiPriority w:val="9"/>
    <w:rsid w:val="00067E47"/>
    <w:rPr>
      <w:rFonts w:ascii="Times New Roman" w:hAnsi="Times New Roman" w:eastAsiaTheme="majorEastAsia" w:cstheme="majorBidi"/>
      <w:b/>
      <w:bCs/>
      <w:sz w:val="24"/>
    </w:rPr>
  </w:style>
  <w:style w:type="table" w:styleId="TableGrid">
    <w:name w:val="Table Grid"/>
    <w:basedOn w:val="TableNormal"/>
    <w:uiPriority w:val="59"/>
    <w:rsid w:val="003F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056C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056CE"/>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67D5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17-1377-EL-USF OCC Reply Comments  (00045385.DOCX;5)</vt:lpstr>
    </vt:vector>
  </TitlesOfParts>
  <Company/>
  <LinksUpToDate>false</LinksUpToDate>
  <CharactersWithSpaces>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2017-07-10T15:35:51Z</dcterms:created>
  <dcterms:modified xsi:type="dcterms:W3CDTF">2017-07-10T15:35:51Z</dcterms:modified>
</cp:coreProperties>
</file>