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8B8B" w14:textId="77777777" w:rsidR="00EC32C2" w:rsidRPr="00DC517F" w:rsidRDefault="00F5358D" w:rsidP="00EC32C2">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BEFORE</w:t>
      </w:r>
    </w:p>
    <w:p w14:paraId="15782A91" w14:textId="77777777" w:rsidR="00EC32C2" w:rsidRPr="00DC517F" w:rsidRDefault="00F5358D" w:rsidP="00EC32C2">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THE PUBLIC UTILITIES COMMISSION OF OHIO</w:t>
      </w:r>
    </w:p>
    <w:p w14:paraId="3E05B2B3" w14:textId="77777777" w:rsidR="00EC32C2" w:rsidRPr="00DC517F" w:rsidRDefault="00EC32C2" w:rsidP="00EC32C2">
      <w:pPr>
        <w:pStyle w:val="HTMLPreformatted"/>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E2142D" w14:paraId="00F116C8" w14:textId="77777777" w:rsidTr="009949D8">
        <w:trPr>
          <w:trHeight w:val="807"/>
        </w:trPr>
        <w:tc>
          <w:tcPr>
            <w:tcW w:w="4230" w:type="dxa"/>
            <w:shd w:val="clear" w:color="auto" w:fill="auto"/>
          </w:tcPr>
          <w:p w14:paraId="7BA55570" w14:textId="77777777" w:rsidR="00EC32C2" w:rsidRPr="00DC517F" w:rsidRDefault="00F5358D" w:rsidP="001A1607">
            <w:r>
              <w:t>In the Matter of the Application of The Dayton Power and Light Company d/b/a AES Ohio to Update its Transmission Cost Recovery Rider.</w:t>
            </w:r>
          </w:p>
        </w:tc>
        <w:tc>
          <w:tcPr>
            <w:tcW w:w="630" w:type="dxa"/>
            <w:shd w:val="clear" w:color="auto" w:fill="auto"/>
          </w:tcPr>
          <w:p w14:paraId="10CBB6C8" w14:textId="77777777" w:rsidR="00EC32C2" w:rsidRPr="00DC517F" w:rsidRDefault="00F5358D" w:rsidP="009949D8">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722FCB54" w14:textId="77777777" w:rsidR="00EC32C2" w:rsidRPr="00DC517F" w:rsidRDefault="00F5358D" w:rsidP="009949D8">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2E9849F5" w14:textId="77777777" w:rsidR="00EC32C2" w:rsidRDefault="00F5358D" w:rsidP="009949D8">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2359F9F9" w14:textId="77777777" w:rsidR="00EC32C2" w:rsidRPr="00DC517F" w:rsidRDefault="00F5358D" w:rsidP="009949D8">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4DD78140" w14:textId="77777777" w:rsidR="00EC32C2" w:rsidRPr="00DC517F" w:rsidRDefault="00EC32C2" w:rsidP="009949D8">
            <w:pPr>
              <w:pStyle w:val="HTMLPreformatted"/>
              <w:rPr>
                <w:rFonts w:ascii="Times New Roman" w:hAnsi="Times New Roman" w:cs="Times New Roman"/>
                <w:sz w:val="24"/>
                <w:szCs w:val="24"/>
              </w:rPr>
            </w:pPr>
          </w:p>
          <w:p w14:paraId="5F864C24" w14:textId="77777777" w:rsidR="00EC32C2" w:rsidRPr="00DC517F" w:rsidRDefault="00F5358D" w:rsidP="009949D8">
            <w:pPr>
              <w:pStyle w:val="HTMLPreformatted"/>
              <w:rPr>
                <w:rFonts w:ascii="Times New Roman" w:hAnsi="Times New Roman" w:cs="Times New Roman"/>
                <w:sz w:val="24"/>
                <w:szCs w:val="24"/>
              </w:rPr>
            </w:pPr>
            <w:r w:rsidRPr="00DC517F">
              <w:rPr>
                <w:rFonts w:ascii="Times New Roman" w:hAnsi="Times New Roman" w:cs="Times New Roman"/>
                <w:sz w:val="24"/>
                <w:szCs w:val="24"/>
              </w:rPr>
              <w:t>Case No. 24-</w:t>
            </w:r>
            <w:r>
              <w:rPr>
                <w:rFonts w:ascii="Times New Roman" w:hAnsi="Times New Roman" w:cs="Times New Roman"/>
                <w:sz w:val="24"/>
                <w:szCs w:val="24"/>
              </w:rPr>
              <w:t>196</w:t>
            </w:r>
            <w:r w:rsidRPr="00DC517F">
              <w:rPr>
                <w:rFonts w:ascii="Times New Roman" w:hAnsi="Times New Roman" w:cs="Times New Roman"/>
                <w:sz w:val="24"/>
                <w:szCs w:val="24"/>
              </w:rPr>
              <w:t>-EL-RDR</w:t>
            </w:r>
          </w:p>
          <w:p w14:paraId="3E23DD64" w14:textId="77777777" w:rsidR="00EC32C2" w:rsidRPr="00DC517F" w:rsidRDefault="00EC32C2" w:rsidP="009949D8">
            <w:pPr>
              <w:pStyle w:val="HTMLPreformatted"/>
              <w:rPr>
                <w:rFonts w:ascii="Times New Roman" w:hAnsi="Times New Roman" w:cs="Times New Roman"/>
                <w:sz w:val="24"/>
                <w:szCs w:val="24"/>
              </w:rPr>
            </w:pPr>
          </w:p>
        </w:tc>
      </w:tr>
    </w:tbl>
    <w:p w14:paraId="3C0394C7" w14:textId="77777777" w:rsidR="00EC32C2" w:rsidRPr="004C74BD" w:rsidRDefault="00EC32C2" w:rsidP="00EC32C2">
      <w:pPr>
        <w:pStyle w:val="InsideAddress"/>
        <w:pBdr>
          <w:bottom w:val="single" w:sz="12" w:space="1" w:color="auto"/>
        </w:pBdr>
        <w:rPr>
          <w:rFonts w:ascii="Times New Roman" w:eastAsia="Times New Roman" w:hAnsi="Times New Roman"/>
          <w:szCs w:val="24"/>
        </w:rPr>
      </w:pPr>
    </w:p>
    <w:p w14:paraId="706F70E1" w14:textId="77777777" w:rsidR="00EC32C2" w:rsidRPr="004C74BD" w:rsidRDefault="00EC32C2" w:rsidP="00EC32C2">
      <w:pPr>
        <w:pStyle w:val="InsideAddress"/>
        <w:rPr>
          <w:rFonts w:ascii="Times New Roman" w:eastAsia="Times New Roman" w:hAnsi="Times New Roman"/>
          <w:szCs w:val="24"/>
        </w:rPr>
      </w:pPr>
    </w:p>
    <w:p w14:paraId="7E4A6431" w14:textId="77777777" w:rsidR="00EC32C2" w:rsidRPr="004C74BD" w:rsidRDefault="00F5358D" w:rsidP="00EC32C2">
      <w:pPr>
        <w:pStyle w:val="Footer"/>
        <w:tabs>
          <w:tab w:val="clear" w:pos="4320"/>
          <w:tab w:val="clear" w:pos="8640"/>
        </w:tabs>
        <w:spacing w:line="240" w:lineRule="auto"/>
        <w:jc w:val="center"/>
        <w:rPr>
          <w:b/>
        </w:rPr>
      </w:pPr>
      <w:r w:rsidRPr="004C74BD">
        <w:rPr>
          <w:b/>
        </w:rPr>
        <w:t>CONSUMER PROTECTION COMMENTS</w:t>
      </w:r>
    </w:p>
    <w:p w14:paraId="06F2A0C5" w14:textId="77777777" w:rsidR="00EC32C2" w:rsidRPr="004C74BD" w:rsidRDefault="00F5358D" w:rsidP="00EC32C2">
      <w:pPr>
        <w:pStyle w:val="Footer"/>
        <w:tabs>
          <w:tab w:val="clear" w:pos="4320"/>
          <w:tab w:val="clear" w:pos="8640"/>
        </w:tabs>
        <w:spacing w:line="240" w:lineRule="auto"/>
        <w:jc w:val="center"/>
        <w:rPr>
          <w:b/>
        </w:rPr>
      </w:pPr>
      <w:r w:rsidRPr="004C74BD">
        <w:rPr>
          <w:b/>
        </w:rPr>
        <w:t>BY</w:t>
      </w:r>
    </w:p>
    <w:p w14:paraId="250E4783" w14:textId="77777777" w:rsidR="00EC32C2" w:rsidRPr="004C74BD" w:rsidRDefault="00F5358D" w:rsidP="00EC32C2">
      <w:pPr>
        <w:jc w:val="center"/>
        <w:rPr>
          <w:b/>
          <w:bCs/>
        </w:rPr>
      </w:pPr>
      <w:r w:rsidRPr="004C74BD">
        <w:rPr>
          <w:b/>
          <w:bCs/>
        </w:rPr>
        <w:t>OFFICE OF THE OHIO CONSUMERS</w:t>
      </w:r>
      <w:r>
        <w:rPr>
          <w:b/>
          <w:bCs/>
        </w:rPr>
        <w:t>’</w:t>
      </w:r>
      <w:r w:rsidRPr="004C74BD">
        <w:rPr>
          <w:b/>
          <w:bCs/>
        </w:rPr>
        <w:t xml:space="preserve"> COUNSEL</w:t>
      </w:r>
    </w:p>
    <w:p w14:paraId="2FDA2AEE" w14:textId="77777777" w:rsidR="00EC32C2" w:rsidRPr="004C74BD" w:rsidRDefault="00EC32C2" w:rsidP="00EC32C2">
      <w:pPr>
        <w:pStyle w:val="Footer"/>
        <w:pBdr>
          <w:bottom w:val="single" w:sz="12" w:space="1" w:color="auto"/>
        </w:pBdr>
        <w:tabs>
          <w:tab w:val="clear" w:pos="4320"/>
          <w:tab w:val="clear" w:pos="8640"/>
        </w:tabs>
        <w:spacing w:line="240" w:lineRule="auto"/>
        <w:rPr>
          <w:b/>
        </w:rPr>
      </w:pPr>
    </w:p>
    <w:p w14:paraId="08E6A801" w14:textId="77777777" w:rsidR="00EC32C2" w:rsidRDefault="00EC32C2" w:rsidP="00B81E9D">
      <w:pPr>
        <w:pStyle w:val="HTMLPreformatted"/>
        <w:jc w:val="center"/>
        <w:rPr>
          <w:rFonts w:ascii="Times New Roman" w:hAnsi="Times New Roman" w:cs="Times New Roman"/>
          <w:b/>
          <w:bCs/>
          <w:sz w:val="24"/>
          <w:szCs w:val="24"/>
        </w:rPr>
      </w:pPr>
    </w:p>
    <w:p w14:paraId="2955415F" w14:textId="77777777" w:rsidR="00EC32C2" w:rsidRDefault="00EC32C2" w:rsidP="00B81E9D">
      <w:pPr>
        <w:pStyle w:val="HTMLPreformatted"/>
        <w:jc w:val="center"/>
        <w:rPr>
          <w:rFonts w:ascii="Times New Roman" w:hAnsi="Times New Roman" w:cs="Times New Roman"/>
          <w:b/>
          <w:bCs/>
          <w:sz w:val="24"/>
          <w:szCs w:val="24"/>
        </w:rPr>
      </w:pPr>
    </w:p>
    <w:p w14:paraId="0537204C" w14:textId="77777777" w:rsidR="00EC32C2" w:rsidRPr="00DC517F" w:rsidRDefault="00F5358D" w:rsidP="00EC32C2">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rPr>
          <w:rFonts w:eastAsia="Courier New"/>
        </w:rPr>
        <w:t>Maureen R. Willis (0020847)</w:t>
      </w:r>
    </w:p>
    <w:p w14:paraId="2EDEC21A" w14:textId="77777777" w:rsidR="00EC32C2" w:rsidRPr="00DC517F" w:rsidRDefault="00F5358D" w:rsidP="00EC32C2">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t>Ohio Consumers</w:t>
      </w:r>
      <w:r>
        <w:t>’</w:t>
      </w:r>
      <w:r w:rsidRPr="00DC517F">
        <w:t xml:space="preserve"> Counsel</w:t>
      </w:r>
    </w:p>
    <w:p w14:paraId="69B65913" w14:textId="003AED32" w:rsidR="00EC32C2" w:rsidRPr="00DC517F" w:rsidRDefault="00EC32C2" w:rsidP="00EC32C2">
      <w:pPr>
        <w:tabs>
          <w:tab w:val="left" w:pos="4320"/>
        </w:tabs>
      </w:pPr>
    </w:p>
    <w:p w14:paraId="13840CD7" w14:textId="77777777" w:rsidR="00EC32C2" w:rsidRDefault="00F5358D" w:rsidP="00EC32C2">
      <w:pPr>
        <w:tabs>
          <w:tab w:val="left" w:pos="4320"/>
        </w:tabs>
        <w:ind w:left="4320"/>
      </w:pPr>
      <w:r>
        <w:t>John Finnigan (0018689)</w:t>
      </w:r>
    </w:p>
    <w:p w14:paraId="4BED4CE7" w14:textId="77777777" w:rsidR="00EC32C2" w:rsidRPr="00DC517F" w:rsidRDefault="00F5358D" w:rsidP="00EC32C2">
      <w:pPr>
        <w:tabs>
          <w:tab w:val="left" w:pos="4320"/>
        </w:tabs>
        <w:ind w:left="4320"/>
      </w:pPr>
      <w:r w:rsidRPr="00DC517F">
        <w:t>Counsel of Record</w:t>
      </w:r>
    </w:p>
    <w:p w14:paraId="69AC079E" w14:textId="77777777" w:rsidR="00EC32C2" w:rsidRPr="00DC517F" w:rsidRDefault="00F5358D" w:rsidP="00EC32C2">
      <w:pPr>
        <w:tabs>
          <w:tab w:val="left" w:pos="4320"/>
        </w:tabs>
        <w:ind w:left="4320"/>
      </w:pPr>
      <w:r w:rsidRPr="00DC517F">
        <w:t>Donald J. Kral (0042091)</w:t>
      </w:r>
    </w:p>
    <w:p w14:paraId="07AD201A" w14:textId="77777777" w:rsidR="00EC32C2" w:rsidRPr="00DC517F" w:rsidRDefault="00F5358D" w:rsidP="00EC32C2">
      <w:pPr>
        <w:tabs>
          <w:tab w:val="left" w:pos="4320"/>
        </w:tabs>
        <w:ind w:left="4320"/>
      </w:pPr>
      <w:r w:rsidRPr="00DC517F">
        <w:t>Assistant Consumers</w:t>
      </w:r>
      <w:r>
        <w:t>’</w:t>
      </w:r>
      <w:r w:rsidRPr="00DC517F">
        <w:t xml:space="preserve"> Counsel</w:t>
      </w:r>
    </w:p>
    <w:p w14:paraId="17B547E9" w14:textId="77777777" w:rsidR="00EC32C2" w:rsidRPr="00DC517F" w:rsidRDefault="00EC32C2" w:rsidP="00EC32C2">
      <w:pPr>
        <w:tabs>
          <w:tab w:val="left" w:pos="4320"/>
        </w:tabs>
        <w:ind w:left="4320"/>
      </w:pPr>
    </w:p>
    <w:p w14:paraId="20946D8B" w14:textId="77777777" w:rsidR="00EC32C2" w:rsidRPr="00DC517F" w:rsidRDefault="00F5358D" w:rsidP="00EC32C2">
      <w:pPr>
        <w:keepNext/>
        <w:ind w:left="4320" w:right="-648"/>
        <w:outlineLvl w:val="0"/>
        <w:rPr>
          <w:b/>
        </w:rPr>
      </w:pPr>
      <w:bookmarkStart w:id="0" w:name="_Toc164852974"/>
      <w:bookmarkStart w:id="1" w:name="_Toc164862638"/>
      <w:r w:rsidRPr="00DC517F">
        <w:rPr>
          <w:b/>
        </w:rPr>
        <w:t>Office of the Ohio Consumers</w:t>
      </w:r>
      <w:r>
        <w:rPr>
          <w:b/>
        </w:rPr>
        <w:t>’</w:t>
      </w:r>
      <w:r w:rsidRPr="00DC517F">
        <w:rPr>
          <w:b/>
        </w:rPr>
        <w:t xml:space="preserve"> Counsel</w:t>
      </w:r>
      <w:bookmarkEnd w:id="0"/>
      <w:bookmarkEnd w:id="1"/>
    </w:p>
    <w:p w14:paraId="793B344D" w14:textId="77777777" w:rsidR="00EC32C2" w:rsidRPr="00DC517F" w:rsidRDefault="00F5358D" w:rsidP="00EC32C2">
      <w:pPr>
        <w:keepNext/>
        <w:ind w:left="4320" w:right="-648"/>
        <w:outlineLvl w:val="0"/>
      </w:pPr>
      <w:bookmarkStart w:id="2" w:name="_Toc164852975"/>
      <w:bookmarkStart w:id="3" w:name="_Toc164862639"/>
      <w:r w:rsidRPr="00DC517F">
        <w:t xml:space="preserve">65 East State </w:t>
      </w:r>
      <w:r w:rsidRPr="00DC517F">
        <w:t>Street, Suite 700</w:t>
      </w:r>
      <w:bookmarkEnd w:id="2"/>
      <w:bookmarkEnd w:id="3"/>
    </w:p>
    <w:p w14:paraId="6F5260C3" w14:textId="77777777" w:rsidR="00EC32C2" w:rsidRDefault="00F5358D" w:rsidP="00EC32C2">
      <w:pPr>
        <w:keepNext/>
        <w:ind w:left="4320" w:right="-648"/>
        <w:outlineLvl w:val="0"/>
      </w:pPr>
      <w:bookmarkStart w:id="4" w:name="_Toc164852976"/>
      <w:bookmarkStart w:id="5" w:name="_Toc164862640"/>
      <w:r w:rsidRPr="00DC517F">
        <w:t>Columbus, Ohio 43215</w:t>
      </w:r>
      <w:bookmarkEnd w:id="4"/>
      <w:bookmarkEnd w:id="5"/>
    </w:p>
    <w:p w14:paraId="4656FD2B" w14:textId="77777777" w:rsidR="00EC32C2" w:rsidRPr="00DC517F" w:rsidRDefault="00F5358D" w:rsidP="00EC32C2">
      <w:pPr>
        <w:autoSpaceDE w:val="0"/>
        <w:autoSpaceDN w:val="0"/>
        <w:adjustRightInd w:val="0"/>
        <w:ind w:left="4320"/>
      </w:pPr>
      <w:r w:rsidRPr="00DC517F">
        <w:t>Telephone [</w:t>
      </w:r>
      <w:r>
        <w:t>Finnigan</w:t>
      </w:r>
      <w:r w:rsidRPr="00DC517F">
        <w:t>]: (614) 466-9565</w:t>
      </w:r>
    </w:p>
    <w:p w14:paraId="123B3CDB" w14:textId="77777777" w:rsidR="00EC32C2" w:rsidRDefault="00F5358D" w:rsidP="00EC32C2">
      <w:pPr>
        <w:autoSpaceDE w:val="0"/>
        <w:autoSpaceDN w:val="0"/>
        <w:adjustRightInd w:val="0"/>
        <w:ind w:left="4320"/>
      </w:pPr>
      <w:r w:rsidRPr="00DC517F">
        <w:t>Telephone [Kral]: (614) 466-9571</w:t>
      </w:r>
    </w:p>
    <w:p w14:paraId="059A560F" w14:textId="77777777" w:rsidR="00EC32C2" w:rsidRDefault="00F5358D" w:rsidP="00EC32C2">
      <w:pPr>
        <w:autoSpaceDE w:val="0"/>
        <w:autoSpaceDN w:val="0"/>
        <w:adjustRightInd w:val="0"/>
        <w:ind w:left="4320"/>
      </w:pPr>
      <w:hyperlink r:id="rId8" w:history="1">
        <w:r w:rsidR="008668D5" w:rsidRPr="00022A4B">
          <w:rPr>
            <w:rStyle w:val="Hyperlink"/>
          </w:rPr>
          <w:t>John.finnigan@occ.ohio.gov</w:t>
        </w:r>
      </w:hyperlink>
    </w:p>
    <w:p w14:paraId="0CE42F48" w14:textId="77777777" w:rsidR="00EC32C2" w:rsidRPr="00DC517F" w:rsidRDefault="00F5358D" w:rsidP="00EC32C2">
      <w:pPr>
        <w:autoSpaceDE w:val="0"/>
        <w:autoSpaceDN w:val="0"/>
        <w:adjustRightInd w:val="0"/>
        <w:ind w:left="4320"/>
      </w:pPr>
      <w:hyperlink r:id="rId9" w:history="1">
        <w:r w:rsidR="008668D5" w:rsidRPr="00DC517F">
          <w:rPr>
            <w:rFonts w:eastAsia="Courier New"/>
            <w:color w:val="0000FF"/>
            <w:u w:val="single"/>
          </w:rPr>
          <w:t>donald.kral@occ.ohio.gov</w:t>
        </w:r>
      </w:hyperlink>
    </w:p>
    <w:p w14:paraId="5A0A60D5" w14:textId="77777777" w:rsidR="00640DF7" w:rsidRDefault="00F5358D" w:rsidP="00DE7702">
      <w:pPr>
        <w:tabs>
          <w:tab w:val="left" w:pos="3870"/>
          <w:tab w:val="left" w:pos="4320"/>
        </w:tabs>
        <w:ind w:left="4320"/>
      </w:pPr>
      <w:r w:rsidRPr="00DC517F">
        <w:t>(</w:t>
      </w:r>
      <w:r>
        <w:t>W</w:t>
      </w:r>
      <w:r w:rsidRPr="00DC517F">
        <w:t>ill accept service via email)</w:t>
      </w:r>
    </w:p>
    <w:p w14:paraId="216467CA" w14:textId="5523D0B4" w:rsidR="00DE7702" w:rsidRDefault="00F5358D" w:rsidP="00DE7702">
      <w:pPr>
        <w:tabs>
          <w:tab w:val="left" w:pos="3870"/>
          <w:tab w:val="left" w:pos="4320"/>
        </w:tabs>
        <w:ind w:left="4320"/>
      </w:pPr>
      <w:r>
        <w:t xml:space="preserve"> </w:t>
      </w:r>
    </w:p>
    <w:p w14:paraId="6BA48869" w14:textId="77777777" w:rsidR="00514E2C" w:rsidRDefault="00514E2C" w:rsidP="00DE7702">
      <w:pPr>
        <w:tabs>
          <w:tab w:val="left" w:pos="3870"/>
          <w:tab w:val="left" w:pos="4320"/>
        </w:tabs>
        <w:ind w:left="4320"/>
        <w:sectPr w:rsidR="00514E2C" w:rsidSect="0002717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360"/>
        </w:sectPr>
      </w:pPr>
    </w:p>
    <w:p w14:paraId="7091155E" w14:textId="77777777" w:rsidR="00514E2C" w:rsidRDefault="00514E2C" w:rsidP="00DE7702">
      <w:pPr>
        <w:tabs>
          <w:tab w:val="left" w:pos="3870"/>
          <w:tab w:val="left" w:pos="4320"/>
        </w:tabs>
        <w:ind w:left="4320"/>
      </w:pPr>
    </w:p>
    <w:p w14:paraId="0F4B14A0" w14:textId="7AC79173" w:rsidR="00DE7702" w:rsidRDefault="00DE7702"/>
    <w:p w14:paraId="400D326F" w14:textId="23EE7D56" w:rsidR="003A5B9B" w:rsidRDefault="00F5358D" w:rsidP="00DE7702">
      <w:pPr>
        <w:tabs>
          <w:tab w:val="left" w:pos="3870"/>
          <w:tab w:val="left" w:pos="4320"/>
        </w:tabs>
        <w:jc w:val="center"/>
        <w:rPr>
          <w:b/>
          <w:bCs/>
        </w:rPr>
      </w:pPr>
      <w:r>
        <w:rPr>
          <w:b/>
          <w:bCs/>
        </w:rPr>
        <w:t>TABLE OF CONTENTS</w:t>
      </w:r>
    </w:p>
    <w:p w14:paraId="6B561EE0" w14:textId="77777777" w:rsidR="001A1607" w:rsidRDefault="00F5358D" w:rsidP="003A5B9B">
      <w:pPr>
        <w:jc w:val="right"/>
        <w:rPr>
          <w:b/>
          <w:bCs/>
        </w:rPr>
      </w:pPr>
      <w:r>
        <w:rPr>
          <w:b/>
          <w:bCs/>
        </w:rPr>
        <w:t>PAGE</w:t>
      </w:r>
    </w:p>
    <w:sdt>
      <w:sdtPr>
        <w:rPr>
          <w:rFonts w:ascii="Times New Roman" w:eastAsia="Times New Roman" w:hAnsi="Times New Roman" w:cs="Times New Roman"/>
          <w:color w:val="auto"/>
          <w:sz w:val="24"/>
          <w:szCs w:val="24"/>
        </w:rPr>
        <w:id w:val="-1250345886"/>
        <w:docPartObj>
          <w:docPartGallery w:val="Table of Contents"/>
          <w:docPartUnique/>
        </w:docPartObj>
      </w:sdtPr>
      <w:sdtEndPr>
        <w:rPr>
          <w:b/>
          <w:bCs/>
          <w:noProof/>
        </w:rPr>
      </w:sdtEndPr>
      <w:sdtContent>
        <w:p w14:paraId="554BF35D" w14:textId="2C9FCE3F" w:rsidR="001A1607" w:rsidRPr="00FF6552" w:rsidRDefault="001A1607">
          <w:pPr>
            <w:pStyle w:val="TOCHeading"/>
            <w:rPr>
              <w:rFonts w:ascii="Times New Roman" w:hAnsi="Times New Roman" w:cs="Times New Roman"/>
              <w:sz w:val="24"/>
              <w:szCs w:val="24"/>
            </w:rPr>
          </w:pPr>
        </w:p>
        <w:p w14:paraId="71037B60" w14:textId="67D43123" w:rsidR="001F14B5" w:rsidRPr="001F14B5" w:rsidRDefault="00F5358D">
          <w:pPr>
            <w:pStyle w:val="TOC1"/>
            <w:rPr>
              <w:rFonts w:ascii="Times New Roman" w:hAnsi="Times New Roman"/>
              <w:noProof/>
              <w:kern w:val="2"/>
              <w:sz w:val="24"/>
              <w:szCs w:val="24"/>
              <w14:ligatures w14:val="standardContextual"/>
            </w:rPr>
          </w:pPr>
          <w:r w:rsidRPr="00FF6552">
            <w:rPr>
              <w:rFonts w:ascii="Times New Roman" w:hAnsi="Times New Roman"/>
              <w:sz w:val="24"/>
              <w:szCs w:val="24"/>
            </w:rPr>
            <w:fldChar w:fldCharType="begin"/>
          </w:r>
          <w:r w:rsidRPr="00FF6552">
            <w:rPr>
              <w:rFonts w:ascii="Times New Roman" w:hAnsi="Times New Roman"/>
              <w:sz w:val="24"/>
              <w:szCs w:val="24"/>
            </w:rPr>
            <w:instrText xml:space="preserve"> TOC \o "1-3" \h \z \u </w:instrText>
          </w:r>
          <w:r w:rsidRPr="00FF6552">
            <w:rPr>
              <w:rFonts w:ascii="Times New Roman" w:hAnsi="Times New Roman"/>
              <w:sz w:val="24"/>
              <w:szCs w:val="24"/>
            </w:rPr>
            <w:fldChar w:fldCharType="separate"/>
          </w:r>
        </w:p>
        <w:p w14:paraId="5D06030A" w14:textId="3429C76B" w:rsidR="001F14B5" w:rsidRPr="001F14B5" w:rsidRDefault="00F5358D">
          <w:pPr>
            <w:pStyle w:val="TOC1"/>
            <w:rPr>
              <w:rFonts w:ascii="Times New Roman" w:hAnsi="Times New Roman"/>
              <w:noProof/>
              <w:kern w:val="2"/>
              <w:sz w:val="24"/>
              <w:szCs w:val="24"/>
              <w14:ligatures w14:val="standardContextual"/>
            </w:rPr>
          </w:pPr>
          <w:hyperlink w:anchor="_Toc164862641" w:history="1">
            <w:r w:rsidR="00D42D20" w:rsidRPr="001F14B5">
              <w:rPr>
                <w:rStyle w:val="Hyperlink"/>
                <w:rFonts w:ascii="Times New Roman" w:hAnsi="Times New Roman"/>
                <w:noProof/>
                <w:sz w:val="24"/>
                <w:szCs w:val="24"/>
              </w:rPr>
              <w:t>I.</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INTRODUCTION</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_Toc164862641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1</w:t>
            </w:r>
            <w:r w:rsidR="00D42D20" w:rsidRPr="001F14B5">
              <w:rPr>
                <w:rFonts w:ascii="Times New Roman" w:hAnsi="Times New Roman"/>
                <w:noProof/>
                <w:webHidden/>
                <w:sz w:val="24"/>
                <w:szCs w:val="24"/>
              </w:rPr>
              <w:fldChar w:fldCharType="end"/>
            </w:r>
          </w:hyperlink>
        </w:p>
        <w:p w14:paraId="4AAF775D" w14:textId="2CB4DA6D" w:rsidR="001F14B5" w:rsidRPr="001F14B5" w:rsidRDefault="00F5358D">
          <w:pPr>
            <w:pStyle w:val="TOC1"/>
            <w:rPr>
              <w:rFonts w:ascii="Times New Roman" w:hAnsi="Times New Roman"/>
              <w:noProof/>
              <w:kern w:val="2"/>
              <w:sz w:val="24"/>
              <w:szCs w:val="24"/>
              <w14:ligatures w14:val="standardContextual"/>
            </w:rPr>
          </w:pPr>
          <w:hyperlink w:anchor="_Toc164862642" w:history="1">
            <w:r w:rsidR="00D42D20" w:rsidRPr="001F14B5">
              <w:rPr>
                <w:rStyle w:val="Hyperlink"/>
                <w:rFonts w:ascii="Times New Roman" w:hAnsi="Times New Roman"/>
                <w:noProof/>
                <w:sz w:val="24"/>
                <w:szCs w:val="24"/>
              </w:rPr>
              <w:t>II.</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RECOMMENDATIONS</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_Toc164862642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2</w:t>
            </w:r>
            <w:r w:rsidR="00D42D20" w:rsidRPr="001F14B5">
              <w:rPr>
                <w:rFonts w:ascii="Times New Roman" w:hAnsi="Times New Roman"/>
                <w:noProof/>
                <w:webHidden/>
                <w:sz w:val="24"/>
                <w:szCs w:val="24"/>
              </w:rPr>
              <w:fldChar w:fldCharType="end"/>
            </w:r>
          </w:hyperlink>
        </w:p>
        <w:p w14:paraId="488317BB" w14:textId="1F8C1B58" w:rsidR="001F14B5" w:rsidRPr="001F14B5" w:rsidRDefault="00F5358D">
          <w:pPr>
            <w:pStyle w:val="TOC2"/>
            <w:rPr>
              <w:rFonts w:ascii="Times New Roman" w:hAnsi="Times New Roman"/>
              <w:noProof/>
              <w:kern w:val="2"/>
              <w:sz w:val="24"/>
              <w:szCs w:val="24"/>
              <w14:ligatures w14:val="standardContextual"/>
            </w:rPr>
          </w:pPr>
          <w:hyperlink w:anchor="_Toc164862643" w:history="1">
            <w:r w:rsidR="00D42D20" w:rsidRPr="001F14B5">
              <w:rPr>
                <w:rStyle w:val="Hyperlink"/>
                <w:rFonts w:ascii="Times New Roman" w:hAnsi="Times New Roman"/>
                <w:noProof/>
                <w:sz w:val="24"/>
                <w:szCs w:val="24"/>
              </w:rPr>
              <w:t>A.</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The PUCO should reject AES Ohio’s massive 53% increase in transmission rates to residential consumers as unfair, unjust, and unreasonable.</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_Toc164862643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2</w:t>
            </w:r>
            <w:r w:rsidR="00D42D20" w:rsidRPr="001F14B5">
              <w:rPr>
                <w:rFonts w:ascii="Times New Roman" w:hAnsi="Times New Roman"/>
                <w:noProof/>
                <w:webHidden/>
                <w:sz w:val="24"/>
                <w:szCs w:val="24"/>
              </w:rPr>
              <w:fldChar w:fldCharType="end"/>
            </w:r>
          </w:hyperlink>
        </w:p>
        <w:p w14:paraId="68323ED1" w14:textId="12CE8452" w:rsidR="001F14B5" w:rsidRPr="001F14B5" w:rsidRDefault="00F5358D">
          <w:pPr>
            <w:pStyle w:val="TOC2"/>
            <w:rPr>
              <w:rFonts w:ascii="Times New Roman" w:hAnsi="Times New Roman"/>
              <w:noProof/>
              <w:kern w:val="2"/>
              <w:sz w:val="24"/>
              <w:szCs w:val="24"/>
              <w14:ligatures w14:val="standardContextual"/>
            </w:rPr>
          </w:pPr>
          <w:hyperlink w:anchor="_Toc164862644" w:history="1">
            <w:r w:rsidR="00D42D20" w:rsidRPr="001F14B5">
              <w:rPr>
                <w:rStyle w:val="Hyperlink"/>
                <w:rFonts w:ascii="Times New Roman" w:hAnsi="Times New Roman"/>
                <w:noProof/>
                <w:sz w:val="24"/>
                <w:szCs w:val="24"/>
              </w:rPr>
              <w:t>B.</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The PUCO should order an audit of AES Ohio’s Pilot Program and make Tariff TCRR subject to refund based on the auditor’s findings regarding cost shifting.</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_Toc164862644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4</w:t>
            </w:r>
            <w:r w:rsidR="00D42D20" w:rsidRPr="001F14B5">
              <w:rPr>
                <w:rFonts w:ascii="Times New Roman" w:hAnsi="Times New Roman"/>
                <w:noProof/>
                <w:webHidden/>
                <w:sz w:val="24"/>
                <w:szCs w:val="24"/>
              </w:rPr>
              <w:fldChar w:fldCharType="end"/>
            </w:r>
          </w:hyperlink>
        </w:p>
        <w:p w14:paraId="6AA0C89E" w14:textId="6B7133D6" w:rsidR="001F14B5" w:rsidRPr="001F14B5" w:rsidRDefault="00F5358D">
          <w:pPr>
            <w:pStyle w:val="TOC2"/>
            <w:rPr>
              <w:rFonts w:ascii="Times New Roman" w:hAnsi="Times New Roman"/>
              <w:noProof/>
              <w:kern w:val="2"/>
              <w:sz w:val="24"/>
              <w:szCs w:val="24"/>
              <w14:ligatures w14:val="standardContextual"/>
            </w:rPr>
          </w:pPr>
          <w:hyperlink w:anchor="_Toc164862645" w:history="1">
            <w:r w:rsidR="00D42D20" w:rsidRPr="001F14B5">
              <w:rPr>
                <w:rStyle w:val="Hyperlink"/>
                <w:rFonts w:ascii="Times New Roman" w:hAnsi="Times New Roman"/>
                <w:noProof/>
                <w:sz w:val="24"/>
                <w:szCs w:val="24"/>
              </w:rPr>
              <w:t>C.</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If the PUCO approves the TCRR, then the PUCO should protect consumers by ordering the TCRR be collected subject to refund pending two FERC rulings regarding possible improper charges to consumers</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_Toc164862645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5</w:t>
            </w:r>
            <w:r w:rsidR="00D42D20" w:rsidRPr="001F14B5">
              <w:rPr>
                <w:rFonts w:ascii="Times New Roman" w:hAnsi="Times New Roman"/>
                <w:noProof/>
                <w:webHidden/>
                <w:sz w:val="24"/>
                <w:szCs w:val="24"/>
              </w:rPr>
              <w:fldChar w:fldCharType="end"/>
            </w:r>
          </w:hyperlink>
        </w:p>
        <w:p w14:paraId="353D366E" w14:textId="636546D3" w:rsidR="001F14B5" w:rsidRPr="001F14B5" w:rsidRDefault="00F5358D" w:rsidP="001F14B5">
          <w:pPr>
            <w:pStyle w:val="TOC3"/>
            <w:rPr>
              <w:noProof/>
              <w:kern w:val="2"/>
              <w14:ligatures w14:val="standardContextual"/>
            </w:rPr>
          </w:pPr>
          <w:hyperlink w:anchor="_Toc164862646" w:history="1">
            <w:r w:rsidR="00D42D20" w:rsidRPr="001F14B5">
              <w:rPr>
                <w:rStyle w:val="Hyperlink"/>
                <w:rFonts w:ascii="Times New Roman" w:hAnsi="Times New Roman"/>
                <w:noProof/>
                <w:sz w:val="24"/>
                <w:szCs w:val="24"/>
              </w:rPr>
              <w:t>1.</w:t>
            </w:r>
            <w:r w:rsidR="00D42D20" w:rsidRPr="001F14B5">
              <w:rPr>
                <w:noProof/>
                <w:kern w:val="2"/>
                <w14:ligatures w14:val="standardContextual"/>
              </w:rPr>
              <w:tab/>
            </w:r>
            <w:r w:rsidR="00D42D20" w:rsidRPr="001F14B5">
              <w:rPr>
                <w:rStyle w:val="Hyperlink"/>
                <w:rFonts w:ascii="Times New Roman" w:hAnsi="Times New Roman"/>
                <w:noProof/>
                <w:sz w:val="24"/>
                <w:szCs w:val="24"/>
              </w:rPr>
              <w:t>If the PUCO approves the TCRR it should be made subject to refund pending the outcome of OCC’s Complaint at FERC</w:t>
            </w:r>
            <w:r w:rsidR="003B4BF0">
              <w:rPr>
                <w:rStyle w:val="Hyperlink"/>
                <w:rFonts w:ascii="Times New Roman" w:hAnsi="Times New Roman"/>
                <w:noProof/>
                <w:sz w:val="24"/>
                <w:szCs w:val="24"/>
              </w:rPr>
              <w:t>……...</w:t>
            </w:r>
            <w:r w:rsidR="00D42D20" w:rsidRPr="001F14B5">
              <w:rPr>
                <w:noProof/>
                <w:webHidden/>
              </w:rPr>
              <w:tab/>
            </w:r>
            <w:r w:rsidR="00D42D20" w:rsidRPr="006770ED">
              <w:rPr>
                <w:rFonts w:ascii="Times New Roman" w:hAnsi="Times New Roman"/>
                <w:noProof/>
                <w:webHidden/>
                <w:sz w:val="24"/>
                <w:szCs w:val="24"/>
              </w:rPr>
              <w:fldChar w:fldCharType="begin"/>
            </w:r>
            <w:r w:rsidR="00D42D20" w:rsidRPr="006770ED">
              <w:rPr>
                <w:rFonts w:ascii="Times New Roman" w:hAnsi="Times New Roman"/>
                <w:noProof/>
                <w:webHidden/>
                <w:sz w:val="24"/>
                <w:szCs w:val="24"/>
              </w:rPr>
              <w:instrText xml:space="preserve"> PAGEREF _Toc164862646 \h </w:instrText>
            </w:r>
            <w:r w:rsidR="00D42D20" w:rsidRPr="006770ED">
              <w:rPr>
                <w:rFonts w:ascii="Times New Roman" w:hAnsi="Times New Roman"/>
                <w:noProof/>
                <w:webHidden/>
                <w:sz w:val="24"/>
                <w:szCs w:val="24"/>
              </w:rPr>
            </w:r>
            <w:r w:rsidR="00D42D20" w:rsidRPr="006770ED">
              <w:rPr>
                <w:rFonts w:ascii="Times New Roman" w:hAnsi="Times New Roman"/>
                <w:noProof/>
                <w:webHidden/>
                <w:sz w:val="24"/>
                <w:szCs w:val="24"/>
              </w:rPr>
              <w:fldChar w:fldCharType="separate"/>
            </w:r>
            <w:r w:rsidR="00D42D20" w:rsidRPr="006770ED">
              <w:rPr>
                <w:rFonts w:ascii="Times New Roman" w:hAnsi="Times New Roman"/>
                <w:noProof/>
                <w:webHidden/>
                <w:sz w:val="24"/>
                <w:szCs w:val="24"/>
              </w:rPr>
              <w:t>6</w:t>
            </w:r>
            <w:r w:rsidR="00D42D20" w:rsidRPr="006770ED">
              <w:rPr>
                <w:rFonts w:ascii="Times New Roman" w:hAnsi="Times New Roman"/>
                <w:noProof/>
                <w:webHidden/>
                <w:sz w:val="24"/>
                <w:szCs w:val="24"/>
              </w:rPr>
              <w:fldChar w:fldCharType="end"/>
            </w:r>
          </w:hyperlink>
        </w:p>
        <w:p w14:paraId="085DFC6C" w14:textId="2101282C" w:rsidR="001F14B5" w:rsidRPr="001F14B5" w:rsidRDefault="00F5358D" w:rsidP="001F14B5">
          <w:pPr>
            <w:pStyle w:val="TOC3"/>
            <w:rPr>
              <w:noProof/>
              <w:kern w:val="2"/>
              <w14:ligatures w14:val="standardContextual"/>
            </w:rPr>
          </w:pPr>
          <w:hyperlink w:anchor="_Toc164862647" w:history="1">
            <w:r w:rsidR="00D42D20" w:rsidRPr="001F14B5">
              <w:rPr>
                <w:rStyle w:val="Hyperlink"/>
                <w:rFonts w:ascii="Times New Roman" w:hAnsi="Times New Roman"/>
                <w:noProof/>
                <w:sz w:val="24"/>
                <w:szCs w:val="24"/>
              </w:rPr>
              <w:t>2.</w:t>
            </w:r>
            <w:r w:rsidR="00D42D20" w:rsidRPr="001F14B5">
              <w:rPr>
                <w:noProof/>
                <w:kern w:val="2"/>
                <w14:ligatures w14:val="standardContextual"/>
              </w:rPr>
              <w:tab/>
            </w:r>
            <w:r w:rsidR="00D42D20" w:rsidRPr="001F14B5">
              <w:rPr>
                <w:rStyle w:val="Hyperlink"/>
                <w:rFonts w:ascii="Times New Roman" w:hAnsi="Times New Roman"/>
                <w:noProof/>
                <w:sz w:val="24"/>
                <w:szCs w:val="24"/>
              </w:rPr>
              <w:t>If the PUCO approves the TCRR Tariff it should also include language making it subject to refund pending FERC’s reactive power proceedings</w:t>
            </w:r>
            <w:r w:rsidR="003B4BF0">
              <w:rPr>
                <w:rStyle w:val="Hyperlink"/>
                <w:rFonts w:ascii="Times New Roman" w:hAnsi="Times New Roman"/>
                <w:noProof/>
                <w:sz w:val="24"/>
                <w:szCs w:val="24"/>
              </w:rPr>
              <w:t>……………………………………………….</w:t>
            </w:r>
            <w:r w:rsidR="00D42D20" w:rsidRPr="001F14B5">
              <w:rPr>
                <w:noProof/>
                <w:webHidden/>
              </w:rPr>
              <w:tab/>
            </w:r>
            <w:r w:rsidR="00D42D20" w:rsidRPr="00620C86">
              <w:rPr>
                <w:rFonts w:ascii="Times New Roman" w:hAnsi="Times New Roman"/>
                <w:noProof/>
                <w:webHidden/>
                <w:sz w:val="24"/>
                <w:szCs w:val="24"/>
              </w:rPr>
              <w:fldChar w:fldCharType="begin"/>
            </w:r>
            <w:r w:rsidR="00D42D20" w:rsidRPr="00620C86">
              <w:rPr>
                <w:rFonts w:ascii="Times New Roman" w:hAnsi="Times New Roman"/>
                <w:noProof/>
                <w:webHidden/>
                <w:sz w:val="24"/>
                <w:szCs w:val="24"/>
              </w:rPr>
              <w:instrText xml:space="preserve"> PAGEREF _Toc164862647 \h </w:instrText>
            </w:r>
            <w:r w:rsidR="00D42D20" w:rsidRPr="00620C86">
              <w:rPr>
                <w:rFonts w:ascii="Times New Roman" w:hAnsi="Times New Roman"/>
                <w:noProof/>
                <w:webHidden/>
                <w:sz w:val="24"/>
                <w:szCs w:val="24"/>
              </w:rPr>
            </w:r>
            <w:r w:rsidR="00D42D20" w:rsidRPr="00620C86">
              <w:rPr>
                <w:rFonts w:ascii="Times New Roman" w:hAnsi="Times New Roman"/>
                <w:noProof/>
                <w:webHidden/>
                <w:sz w:val="24"/>
                <w:szCs w:val="24"/>
              </w:rPr>
              <w:fldChar w:fldCharType="separate"/>
            </w:r>
            <w:r w:rsidR="00D42D20" w:rsidRPr="00620C86">
              <w:rPr>
                <w:rFonts w:ascii="Times New Roman" w:hAnsi="Times New Roman"/>
                <w:noProof/>
                <w:webHidden/>
                <w:sz w:val="24"/>
                <w:szCs w:val="24"/>
              </w:rPr>
              <w:t>11</w:t>
            </w:r>
            <w:r w:rsidR="00D42D20" w:rsidRPr="00620C86">
              <w:rPr>
                <w:rFonts w:ascii="Times New Roman" w:hAnsi="Times New Roman"/>
                <w:noProof/>
                <w:webHidden/>
                <w:sz w:val="24"/>
                <w:szCs w:val="24"/>
              </w:rPr>
              <w:fldChar w:fldCharType="end"/>
            </w:r>
          </w:hyperlink>
        </w:p>
        <w:p w14:paraId="18A96246" w14:textId="71D47954" w:rsidR="001F14B5" w:rsidRPr="001F14B5" w:rsidRDefault="00F5358D">
          <w:pPr>
            <w:pStyle w:val="TOC1"/>
            <w:rPr>
              <w:rFonts w:ascii="Times New Roman" w:hAnsi="Times New Roman"/>
              <w:noProof/>
              <w:kern w:val="2"/>
              <w:sz w:val="24"/>
              <w:szCs w:val="24"/>
              <w14:ligatures w14:val="standardContextual"/>
            </w:rPr>
          </w:pPr>
          <w:hyperlink w:anchor="_Toc164862648" w:history="1">
            <w:r w:rsidR="00D42D20" w:rsidRPr="001F14B5">
              <w:rPr>
                <w:rStyle w:val="Hyperlink"/>
                <w:rFonts w:ascii="Times New Roman" w:hAnsi="Times New Roman"/>
                <w:noProof/>
                <w:sz w:val="24"/>
                <w:szCs w:val="24"/>
              </w:rPr>
              <w:t>III.</w:t>
            </w:r>
            <w:r w:rsidR="00D42D20" w:rsidRPr="001F14B5">
              <w:rPr>
                <w:rFonts w:ascii="Times New Roman" w:hAnsi="Times New Roman"/>
                <w:noProof/>
                <w:kern w:val="2"/>
                <w:sz w:val="24"/>
                <w:szCs w:val="24"/>
                <w14:ligatures w14:val="standardContextual"/>
              </w:rPr>
              <w:tab/>
            </w:r>
            <w:r w:rsidR="00D42D20" w:rsidRPr="001F14B5">
              <w:rPr>
                <w:rStyle w:val="Hyperlink"/>
                <w:rFonts w:ascii="Times New Roman" w:hAnsi="Times New Roman"/>
                <w:noProof/>
                <w:sz w:val="24"/>
                <w:szCs w:val="24"/>
              </w:rPr>
              <w:t>CONCLUSION</w:t>
            </w:r>
            <w:r w:rsidR="00D42D20" w:rsidRPr="001F14B5">
              <w:rPr>
                <w:rFonts w:ascii="Times New Roman" w:hAnsi="Times New Roman"/>
                <w:noProof/>
                <w:webHidden/>
                <w:sz w:val="24"/>
                <w:szCs w:val="24"/>
              </w:rPr>
              <w:tab/>
            </w:r>
            <w:r w:rsidR="00D42D20" w:rsidRPr="001F14B5">
              <w:rPr>
                <w:rFonts w:ascii="Times New Roman" w:hAnsi="Times New Roman"/>
                <w:noProof/>
                <w:webHidden/>
                <w:sz w:val="24"/>
                <w:szCs w:val="24"/>
              </w:rPr>
              <w:fldChar w:fldCharType="begin"/>
            </w:r>
            <w:r w:rsidR="00D42D20" w:rsidRPr="001F14B5">
              <w:rPr>
                <w:rFonts w:ascii="Times New Roman" w:hAnsi="Times New Roman"/>
                <w:noProof/>
                <w:webHidden/>
                <w:sz w:val="24"/>
                <w:szCs w:val="24"/>
              </w:rPr>
              <w:instrText xml:space="preserve"> PAGEREF _Toc164862648 \h </w:instrText>
            </w:r>
            <w:r w:rsidR="00D42D20" w:rsidRPr="001F14B5">
              <w:rPr>
                <w:rFonts w:ascii="Times New Roman" w:hAnsi="Times New Roman"/>
                <w:noProof/>
                <w:webHidden/>
                <w:sz w:val="24"/>
                <w:szCs w:val="24"/>
              </w:rPr>
            </w:r>
            <w:r w:rsidR="00D42D20" w:rsidRPr="001F14B5">
              <w:rPr>
                <w:rFonts w:ascii="Times New Roman" w:hAnsi="Times New Roman"/>
                <w:noProof/>
                <w:webHidden/>
                <w:sz w:val="24"/>
                <w:szCs w:val="24"/>
              </w:rPr>
              <w:fldChar w:fldCharType="separate"/>
            </w:r>
            <w:r w:rsidR="00D42D20" w:rsidRPr="001F14B5">
              <w:rPr>
                <w:rFonts w:ascii="Times New Roman" w:hAnsi="Times New Roman"/>
                <w:noProof/>
                <w:webHidden/>
                <w:sz w:val="24"/>
                <w:szCs w:val="24"/>
              </w:rPr>
              <w:t>12</w:t>
            </w:r>
            <w:r w:rsidR="00D42D20" w:rsidRPr="001F14B5">
              <w:rPr>
                <w:rFonts w:ascii="Times New Roman" w:hAnsi="Times New Roman"/>
                <w:noProof/>
                <w:webHidden/>
                <w:sz w:val="24"/>
                <w:szCs w:val="24"/>
              </w:rPr>
              <w:fldChar w:fldCharType="end"/>
            </w:r>
          </w:hyperlink>
        </w:p>
        <w:p w14:paraId="352BE342" w14:textId="27418D89" w:rsidR="001F14B5" w:rsidRDefault="001F14B5">
          <w:pPr>
            <w:pStyle w:val="TOC1"/>
            <w:rPr>
              <w:rFonts w:cstheme="minorBidi"/>
              <w:noProof/>
              <w:kern w:val="2"/>
              <w:sz w:val="24"/>
              <w:szCs w:val="24"/>
              <w14:ligatures w14:val="standardContextual"/>
            </w:rPr>
          </w:pPr>
        </w:p>
        <w:p w14:paraId="6FBA2DEB" w14:textId="01A80E84" w:rsidR="001F14B5" w:rsidRDefault="001F14B5">
          <w:pPr>
            <w:pStyle w:val="TOC1"/>
            <w:rPr>
              <w:rFonts w:cstheme="minorBidi"/>
              <w:noProof/>
              <w:kern w:val="2"/>
              <w:sz w:val="24"/>
              <w:szCs w:val="24"/>
              <w14:ligatures w14:val="standardContextual"/>
            </w:rPr>
          </w:pPr>
        </w:p>
        <w:p w14:paraId="5480937F" w14:textId="6F5A98E2" w:rsidR="001F14B5" w:rsidRDefault="001F14B5">
          <w:pPr>
            <w:pStyle w:val="TOC1"/>
            <w:rPr>
              <w:rFonts w:cstheme="minorBidi"/>
              <w:noProof/>
              <w:kern w:val="2"/>
              <w:sz w:val="24"/>
              <w:szCs w:val="24"/>
              <w14:ligatures w14:val="standardContextual"/>
            </w:rPr>
          </w:pPr>
        </w:p>
        <w:p w14:paraId="5DC40E86" w14:textId="63A7442E" w:rsidR="001A1607" w:rsidRPr="001A1607" w:rsidRDefault="00F5358D">
          <w:r w:rsidRPr="00FF6552">
            <w:rPr>
              <w:b/>
              <w:bCs/>
              <w:noProof/>
            </w:rPr>
            <w:fldChar w:fldCharType="end"/>
          </w:r>
        </w:p>
      </w:sdtContent>
    </w:sdt>
    <w:p w14:paraId="69587C69" w14:textId="77777777" w:rsidR="0002717F" w:rsidRDefault="0002717F" w:rsidP="001A1607">
      <w:pPr>
        <w:tabs>
          <w:tab w:val="left" w:pos="495"/>
        </w:tabs>
        <w:rPr>
          <w:b/>
          <w:bCs/>
        </w:rPr>
        <w:sectPr w:rsidR="0002717F" w:rsidSect="0002717F">
          <w:footerReference w:type="first" r:id="rId16"/>
          <w:pgSz w:w="12240" w:h="15840"/>
          <w:pgMar w:top="1440" w:right="1800" w:bottom="1440" w:left="1800" w:header="720" w:footer="720" w:gutter="0"/>
          <w:pgNumType w:fmt="lowerRoman" w:start="1"/>
          <w:cols w:space="720"/>
          <w:titlePg/>
          <w:docGrid w:linePitch="360"/>
        </w:sectPr>
      </w:pPr>
    </w:p>
    <w:p w14:paraId="62DBD4A1" w14:textId="13C7DDA5" w:rsidR="00B81E9D" w:rsidRPr="00DC517F" w:rsidRDefault="00F5358D" w:rsidP="00B81E9D">
      <w:pPr>
        <w:pStyle w:val="HTMLPreformatted"/>
        <w:jc w:val="center"/>
        <w:rPr>
          <w:rFonts w:ascii="Times New Roman" w:hAnsi="Times New Roman" w:cs="Times New Roman"/>
          <w:b/>
          <w:bCs/>
          <w:sz w:val="24"/>
          <w:szCs w:val="24"/>
        </w:rPr>
      </w:pPr>
      <w:bookmarkStart w:id="6" w:name="_Hlk164852791"/>
      <w:r w:rsidRPr="00DC517F">
        <w:rPr>
          <w:rFonts w:ascii="Times New Roman" w:hAnsi="Times New Roman" w:cs="Times New Roman"/>
          <w:b/>
          <w:bCs/>
          <w:sz w:val="24"/>
          <w:szCs w:val="24"/>
        </w:rPr>
        <w:lastRenderedPageBreak/>
        <w:t>BEFORE</w:t>
      </w:r>
    </w:p>
    <w:p w14:paraId="26792105" w14:textId="77777777" w:rsidR="00B81E9D" w:rsidRPr="00DC517F" w:rsidRDefault="00F5358D" w:rsidP="00B81E9D">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THE PUBLIC UTILITIES COMMISSION OF OHIO</w:t>
      </w:r>
    </w:p>
    <w:p w14:paraId="0FF49250" w14:textId="77777777" w:rsidR="00B81E9D" w:rsidRPr="00DC517F" w:rsidRDefault="00B81E9D" w:rsidP="00B81E9D">
      <w:pPr>
        <w:pStyle w:val="HTMLPreformatted"/>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E2142D" w14:paraId="095733CF" w14:textId="77777777" w:rsidTr="006B5CA4">
        <w:trPr>
          <w:trHeight w:val="807"/>
        </w:trPr>
        <w:tc>
          <w:tcPr>
            <w:tcW w:w="4230" w:type="dxa"/>
            <w:shd w:val="clear" w:color="auto" w:fill="auto"/>
          </w:tcPr>
          <w:p w14:paraId="349DC434" w14:textId="77777777" w:rsidR="00B81E9D" w:rsidRPr="00DC517F" w:rsidRDefault="00F5358D" w:rsidP="006B5CA4">
            <w:pPr>
              <w:autoSpaceDE w:val="0"/>
              <w:autoSpaceDN w:val="0"/>
              <w:adjustRightInd w:val="0"/>
            </w:pPr>
            <w:r>
              <w:t xml:space="preserve">In the Matter of the Application of The Dayton Power and Light Company d/b/a AES Ohio to Update its Transmission Cost </w:t>
            </w:r>
            <w:r>
              <w:t>Recovery Rider.</w:t>
            </w:r>
          </w:p>
        </w:tc>
        <w:tc>
          <w:tcPr>
            <w:tcW w:w="630" w:type="dxa"/>
            <w:shd w:val="clear" w:color="auto" w:fill="auto"/>
          </w:tcPr>
          <w:p w14:paraId="237CE120" w14:textId="77777777" w:rsidR="00B81E9D" w:rsidRPr="00DC517F" w:rsidRDefault="00F5358D" w:rsidP="006B5CA4">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08D54120" w14:textId="77777777" w:rsidR="00B81E9D" w:rsidRPr="00DC517F" w:rsidRDefault="00F5358D" w:rsidP="006B5CA4">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16E72E35" w14:textId="77777777" w:rsidR="00B81E9D" w:rsidRDefault="00F5358D" w:rsidP="006B5CA4">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78301A73" w14:textId="1077A7FC" w:rsidR="00124773" w:rsidRPr="00DC517F" w:rsidRDefault="00F5358D" w:rsidP="006B5CA4">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6873A5F6" w14:textId="77777777" w:rsidR="00B81E9D" w:rsidRPr="00DC517F" w:rsidRDefault="00B81E9D" w:rsidP="006B5CA4">
            <w:pPr>
              <w:pStyle w:val="HTMLPreformatted"/>
              <w:rPr>
                <w:rFonts w:ascii="Times New Roman" w:hAnsi="Times New Roman" w:cs="Times New Roman"/>
                <w:sz w:val="24"/>
                <w:szCs w:val="24"/>
              </w:rPr>
            </w:pPr>
          </w:p>
          <w:p w14:paraId="37B2B5B2" w14:textId="77777777" w:rsidR="00B81E9D" w:rsidRPr="00DC517F" w:rsidRDefault="00F5358D" w:rsidP="006B5CA4">
            <w:pPr>
              <w:pStyle w:val="HTMLPreformatted"/>
              <w:rPr>
                <w:rFonts w:ascii="Times New Roman" w:hAnsi="Times New Roman" w:cs="Times New Roman"/>
                <w:sz w:val="24"/>
                <w:szCs w:val="24"/>
              </w:rPr>
            </w:pPr>
            <w:r w:rsidRPr="00DC517F">
              <w:rPr>
                <w:rFonts w:ascii="Times New Roman" w:hAnsi="Times New Roman" w:cs="Times New Roman"/>
                <w:sz w:val="24"/>
                <w:szCs w:val="24"/>
              </w:rPr>
              <w:t>Case No. 24-</w:t>
            </w:r>
            <w:r>
              <w:rPr>
                <w:rFonts w:ascii="Times New Roman" w:hAnsi="Times New Roman" w:cs="Times New Roman"/>
                <w:sz w:val="24"/>
                <w:szCs w:val="24"/>
              </w:rPr>
              <w:t>196</w:t>
            </w:r>
            <w:r w:rsidRPr="00DC517F">
              <w:rPr>
                <w:rFonts w:ascii="Times New Roman" w:hAnsi="Times New Roman" w:cs="Times New Roman"/>
                <w:sz w:val="24"/>
                <w:szCs w:val="24"/>
              </w:rPr>
              <w:t>-EL-RDR</w:t>
            </w:r>
          </w:p>
          <w:p w14:paraId="5DF133A5" w14:textId="77777777" w:rsidR="00B81E9D" w:rsidRPr="00DC517F" w:rsidRDefault="00B81E9D" w:rsidP="006B5CA4">
            <w:pPr>
              <w:pStyle w:val="HTMLPreformatted"/>
              <w:rPr>
                <w:rFonts w:ascii="Times New Roman" w:hAnsi="Times New Roman" w:cs="Times New Roman"/>
                <w:sz w:val="24"/>
                <w:szCs w:val="24"/>
              </w:rPr>
            </w:pPr>
          </w:p>
        </w:tc>
      </w:tr>
    </w:tbl>
    <w:p w14:paraId="15412A71" w14:textId="77777777" w:rsidR="00A5637F" w:rsidRPr="004C74BD" w:rsidRDefault="00A5637F">
      <w:pPr>
        <w:pStyle w:val="InsideAddress"/>
        <w:pBdr>
          <w:bottom w:val="single" w:sz="12" w:space="1" w:color="auto"/>
        </w:pBdr>
        <w:rPr>
          <w:rFonts w:ascii="Times New Roman" w:eastAsia="Times New Roman" w:hAnsi="Times New Roman"/>
          <w:szCs w:val="24"/>
        </w:rPr>
      </w:pPr>
    </w:p>
    <w:p w14:paraId="0005FD1B" w14:textId="77777777" w:rsidR="00A5637F" w:rsidRPr="004C74BD" w:rsidRDefault="00A5637F">
      <w:pPr>
        <w:pStyle w:val="InsideAddress"/>
        <w:rPr>
          <w:rFonts w:ascii="Times New Roman" w:eastAsia="Times New Roman" w:hAnsi="Times New Roman"/>
          <w:szCs w:val="24"/>
        </w:rPr>
      </w:pPr>
    </w:p>
    <w:p w14:paraId="6550B41C" w14:textId="77777777" w:rsidR="00EB5FAF" w:rsidRPr="004C74BD" w:rsidRDefault="00F5358D">
      <w:pPr>
        <w:pStyle w:val="Footer"/>
        <w:tabs>
          <w:tab w:val="clear" w:pos="4320"/>
          <w:tab w:val="clear" w:pos="8640"/>
        </w:tabs>
        <w:spacing w:line="240" w:lineRule="auto"/>
        <w:jc w:val="center"/>
        <w:rPr>
          <w:b/>
        </w:rPr>
      </w:pPr>
      <w:r w:rsidRPr="004C74BD">
        <w:rPr>
          <w:b/>
        </w:rPr>
        <w:t>CONSUMER PROTECTION COMMENTS</w:t>
      </w:r>
    </w:p>
    <w:p w14:paraId="221D5203" w14:textId="74F4904C" w:rsidR="00A5637F" w:rsidRPr="004C74BD" w:rsidRDefault="00F5358D">
      <w:pPr>
        <w:pStyle w:val="Footer"/>
        <w:tabs>
          <w:tab w:val="clear" w:pos="4320"/>
          <w:tab w:val="clear" w:pos="8640"/>
        </w:tabs>
        <w:spacing w:line="240" w:lineRule="auto"/>
        <w:jc w:val="center"/>
        <w:rPr>
          <w:b/>
        </w:rPr>
      </w:pPr>
      <w:r w:rsidRPr="004C74BD">
        <w:rPr>
          <w:b/>
        </w:rPr>
        <w:t>BY</w:t>
      </w:r>
    </w:p>
    <w:p w14:paraId="59DFFA66" w14:textId="5C8BF1EF" w:rsidR="002C7D60" w:rsidRPr="004C74BD" w:rsidRDefault="00F5358D" w:rsidP="002C7D60">
      <w:pPr>
        <w:jc w:val="center"/>
        <w:rPr>
          <w:b/>
          <w:bCs/>
        </w:rPr>
      </w:pPr>
      <w:r w:rsidRPr="004C74BD">
        <w:rPr>
          <w:b/>
          <w:bCs/>
        </w:rPr>
        <w:t>OFFICE OF THE OHIO CONSUMERS</w:t>
      </w:r>
      <w:r w:rsidR="004C74BD">
        <w:rPr>
          <w:b/>
          <w:bCs/>
        </w:rPr>
        <w:t>’</w:t>
      </w:r>
      <w:r w:rsidRPr="004C74BD">
        <w:rPr>
          <w:b/>
          <w:bCs/>
        </w:rPr>
        <w:t xml:space="preserve"> COUNSEL</w:t>
      </w:r>
    </w:p>
    <w:p w14:paraId="0095FDA1" w14:textId="77777777" w:rsidR="00A5637F" w:rsidRPr="004C74BD" w:rsidRDefault="00A5637F">
      <w:pPr>
        <w:pStyle w:val="Footer"/>
        <w:pBdr>
          <w:bottom w:val="single" w:sz="12" w:space="1" w:color="auto"/>
        </w:pBdr>
        <w:tabs>
          <w:tab w:val="clear" w:pos="4320"/>
          <w:tab w:val="clear" w:pos="8640"/>
        </w:tabs>
        <w:spacing w:line="240" w:lineRule="auto"/>
        <w:rPr>
          <w:b/>
        </w:rPr>
      </w:pPr>
    </w:p>
    <w:bookmarkEnd w:id="6"/>
    <w:p w14:paraId="152FA7C3" w14:textId="77777777" w:rsidR="00A5637F" w:rsidRPr="004C74BD" w:rsidRDefault="00A5637F">
      <w:pPr>
        <w:pStyle w:val="Footer"/>
        <w:tabs>
          <w:tab w:val="clear" w:pos="4320"/>
          <w:tab w:val="clear" w:pos="8640"/>
        </w:tabs>
        <w:spacing w:line="240" w:lineRule="auto"/>
        <w:jc w:val="center"/>
        <w:rPr>
          <w:b/>
        </w:rPr>
      </w:pPr>
    </w:p>
    <w:p w14:paraId="44EE58D7" w14:textId="211C511E" w:rsidR="00AA1778" w:rsidRPr="004C74BD" w:rsidRDefault="00F5358D" w:rsidP="003B0A35">
      <w:pPr>
        <w:pStyle w:val="Heading1"/>
      </w:pPr>
      <w:bookmarkStart w:id="7" w:name="_Toc164862641"/>
      <w:r w:rsidRPr="004C74BD">
        <w:t>INTRODUCTION</w:t>
      </w:r>
      <w:bookmarkEnd w:id="7"/>
    </w:p>
    <w:p w14:paraId="2ED671EF" w14:textId="4D98212A" w:rsidR="00A2658C" w:rsidRPr="004C74BD" w:rsidRDefault="00F5358D" w:rsidP="00A858A6">
      <w:pPr>
        <w:pStyle w:val="BodyTextIndent3"/>
        <w:widowControl w:val="0"/>
        <w:spacing w:line="480" w:lineRule="auto"/>
        <w:rPr>
          <w:szCs w:val="24"/>
        </w:rPr>
      </w:pPr>
      <w:r w:rsidRPr="004C74BD">
        <w:rPr>
          <w:szCs w:val="24"/>
        </w:rPr>
        <w:t xml:space="preserve">Beginning </w:t>
      </w:r>
      <w:r w:rsidR="00E84E53">
        <w:rPr>
          <w:szCs w:val="24"/>
        </w:rPr>
        <w:t>June 1,</w:t>
      </w:r>
      <w:r w:rsidRPr="004C74BD">
        <w:rPr>
          <w:szCs w:val="24"/>
        </w:rPr>
        <w:t xml:space="preserve"> 2024, </w:t>
      </w:r>
      <w:r w:rsidR="00E84E53">
        <w:rPr>
          <w:szCs w:val="24"/>
        </w:rPr>
        <w:t xml:space="preserve">Dayton Power and Light Company d/b/a AES Ohio (“AES Ohio”) seeks a massive 53% increase in </w:t>
      </w:r>
      <w:r w:rsidRPr="004C74BD">
        <w:rPr>
          <w:szCs w:val="24"/>
        </w:rPr>
        <w:t xml:space="preserve">the rates it charges to residential electricity consumers </w:t>
      </w:r>
      <w:r w:rsidR="00E84E53">
        <w:rPr>
          <w:szCs w:val="24"/>
        </w:rPr>
        <w:t>t</w:t>
      </w:r>
      <w:r w:rsidRPr="004C74BD">
        <w:rPr>
          <w:szCs w:val="24"/>
        </w:rPr>
        <w:t xml:space="preserve">hrough its </w:t>
      </w:r>
      <w:r w:rsidR="00E84E53">
        <w:rPr>
          <w:szCs w:val="24"/>
        </w:rPr>
        <w:t>Transmission Cost Recovery Rider (“TCRR”).</w:t>
      </w:r>
      <w:r>
        <w:rPr>
          <w:rStyle w:val="FootnoteReference"/>
          <w:szCs w:val="24"/>
        </w:rPr>
        <w:footnoteReference w:id="1"/>
      </w:r>
      <w:r w:rsidR="00911453" w:rsidRPr="004C74BD">
        <w:rPr>
          <w:szCs w:val="24"/>
        </w:rPr>
        <w:t xml:space="preserve"> </w:t>
      </w:r>
      <w:r w:rsidR="00E84E53" w:rsidRPr="00DC517F">
        <w:rPr>
          <w:szCs w:val="24"/>
        </w:rPr>
        <w:t xml:space="preserve">The </w:t>
      </w:r>
      <w:r w:rsidR="00E84E53">
        <w:rPr>
          <w:szCs w:val="24"/>
        </w:rPr>
        <w:t>TCRR</w:t>
      </w:r>
      <w:r w:rsidR="00E84E53" w:rsidRPr="00DC517F">
        <w:rPr>
          <w:szCs w:val="24"/>
        </w:rPr>
        <w:t xml:space="preserve"> </w:t>
      </w:r>
      <w:r w:rsidR="00DC1414">
        <w:rPr>
          <w:szCs w:val="24"/>
        </w:rPr>
        <w:t>is a non-</w:t>
      </w:r>
      <w:proofErr w:type="spellStart"/>
      <w:r w:rsidR="00DC1414">
        <w:rPr>
          <w:szCs w:val="24"/>
        </w:rPr>
        <w:t>bypassable</w:t>
      </w:r>
      <w:proofErr w:type="spellEnd"/>
      <w:r w:rsidR="00DC1414">
        <w:rPr>
          <w:szCs w:val="24"/>
        </w:rPr>
        <w:t xml:space="preserve"> rider that </w:t>
      </w:r>
      <w:r w:rsidR="00E84E53" w:rsidRPr="00DC517F">
        <w:rPr>
          <w:szCs w:val="24"/>
        </w:rPr>
        <w:t xml:space="preserve">allows </w:t>
      </w:r>
      <w:r w:rsidR="00E84E53">
        <w:rPr>
          <w:szCs w:val="24"/>
        </w:rPr>
        <w:t>AES</w:t>
      </w:r>
      <w:r w:rsidR="00E84E53" w:rsidRPr="00DC517F">
        <w:rPr>
          <w:szCs w:val="24"/>
        </w:rPr>
        <w:t xml:space="preserve"> </w:t>
      </w:r>
      <w:r w:rsidR="00C3612B">
        <w:rPr>
          <w:szCs w:val="24"/>
        </w:rPr>
        <w:t xml:space="preserve">Ohio </w:t>
      </w:r>
      <w:r w:rsidR="00E84E53" w:rsidRPr="00DC517F">
        <w:rPr>
          <w:szCs w:val="24"/>
        </w:rPr>
        <w:t xml:space="preserve">to collect </w:t>
      </w:r>
      <w:r w:rsidR="00034C9F">
        <w:rPr>
          <w:szCs w:val="24"/>
        </w:rPr>
        <w:t xml:space="preserve">tens of millions of dollars </w:t>
      </w:r>
      <w:r w:rsidR="00E84E53" w:rsidRPr="00DC517F">
        <w:rPr>
          <w:szCs w:val="24"/>
        </w:rPr>
        <w:t xml:space="preserve">from </w:t>
      </w:r>
      <w:r w:rsidR="00A5271A">
        <w:rPr>
          <w:szCs w:val="24"/>
        </w:rPr>
        <w:t xml:space="preserve">its 519,000 </w:t>
      </w:r>
      <w:r w:rsidR="00E84E53" w:rsidRPr="00DC517F">
        <w:rPr>
          <w:szCs w:val="24"/>
        </w:rPr>
        <w:t xml:space="preserve">consumers </w:t>
      </w:r>
      <w:r w:rsidR="00034C9F">
        <w:rPr>
          <w:szCs w:val="24"/>
        </w:rPr>
        <w:t xml:space="preserve">for </w:t>
      </w:r>
      <w:r w:rsidR="00E84E53" w:rsidRPr="00DC517F">
        <w:rPr>
          <w:szCs w:val="24"/>
        </w:rPr>
        <w:t>transmission-related costs</w:t>
      </w:r>
      <w:r w:rsidR="00C865E0">
        <w:rPr>
          <w:szCs w:val="24"/>
        </w:rPr>
        <w:t>.</w:t>
      </w:r>
      <w:r>
        <w:rPr>
          <w:rStyle w:val="FootnoteReference"/>
          <w:szCs w:val="24"/>
        </w:rPr>
        <w:footnoteReference w:id="2"/>
      </w:r>
      <w:r w:rsidR="009C7E76">
        <w:rPr>
          <w:szCs w:val="24"/>
        </w:rPr>
        <w:t xml:space="preserve"> </w:t>
      </w:r>
      <w:bookmarkStart w:id="8" w:name="_Hlk159502689"/>
      <w:r w:rsidR="008F5F3E">
        <w:rPr>
          <w:szCs w:val="24"/>
        </w:rPr>
        <w:t xml:space="preserve">OCC has filed a complaint with FERC regarding </w:t>
      </w:r>
      <w:r w:rsidR="007F324D">
        <w:rPr>
          <w:szCs w:val="24"/>
        </w:rPr>
        <w:t xml:space="preserve">these </w:t>
      </w:r>
      <w:r w:rsidRPr="004C74BD">
        <w:rPr>
          <w:szCs w:val="24"/>
        </w:rPr>
        <w:t>supplemental</w:t>
      </w:r>
      <w:r w:rsidR="008F5F3E">
        <w:rPr>
          <w:szCs w:val="24"/>
        </w:rPr>
        <w:t xml:space="preserve"> transmission</w:t>
      </w:r>
      <w:r w:rsidRPr="004C74BD">
        <w:rPr>
          <w:szCs w:val="24"/>
        </w:rPr>
        <w:t xml:space="preserve"> projects</w:t>
      </w:r>
      <w:r w:rsidR="008F5F3E">
        <w:rPr>
          <w:szCs w:val="24"/>
        </w:rPr>
        <w:t>,</w:t>
      </w:r>
      <w:r w:rsidR="00FF3EDD">
        <w:rPr>
          <w:szCs w:val="24"/>
        </w:rPr>
        <w:t xml:space="preserve"> </w:t>
      </w:r>
      <w:r w:rsidR="007F324D">
        <w:rPr>
          <w:szCs w:val="24"/>
        </w:rPr>
        <w:t>asking FERC to step in to regulate</w:t>
      </w:r>
      <w:r w:rsidR="00FF3EDD">
        <w:rPr>
          <w:szCs w:val="24"/>
        </w:rPr>
        <w:t xml:space="preserve"> </w:t>
      </w:r>
      <w:r w:rsidRPr="004C74BD">
        <w:rPr>
          <w:szCs w:val="24"/>
        </w:rPr>
        <w:t xml:space="preserve">the projects </w:t>
      </w:r>
      <w:r w:rsidR="007F324D">
        <w:rPr>
          <w:szCs w:val="24"/>
        </w:rPr>
        <w:t xml:space="preserve">since they </w:t>
      </w:r>
      <w:r w:rsidRPr="004C74BD">
        <w:rPr>
          <w:szCs w:val="24"/>
        </w:rPr>
        <w:t xml:space="preserve">receive no review by the state or PJM </w:t>
      </w:r>
      <w:r w:rsidR="008F5F3E">
        <w:rPr>
          <w:szCs w:val="24"/>
        </w:rPr>
        <w:t>for</w:t>
      </w:r>
      <w:r w:rsidRPr="004C74BD">
        <w:rPr>
          <w:szCs w:val="24"/>
        </w:rPr>
        <w:t xml:space="preserve"> their reasonableness or prudence.</w:t>
      </w:r>
      <w:r>
        <w:rPr>
          <w:rStyle w:val="FootnoteReference"/>
          <w:szCs w:val="24"/>
        </w:rPr>
        <w:footnoteReference w:id="3"/>
      </w:r>
      <w:r w:rsidR="00FF3EDD">
        <w:rPr>
          <w:szCs w:val="24"/>
        </w:rPr>
        <w:t xml:space="preserve"> </w:t>
      </w:r>
      <w:r w:rsidR="007F324D">
        <w:rPr>
          <w:szCs w:val="24"/>
        </w:rPr>
        <w:t>That complaint is pending.</w:t>
      </w:r>
      <w:r w:rsidR="00FF3EDD">
        <w:rPr>
          <w:szCs w:val="24"/>
        </w:rPr>
        <w:t xml:space="preserve"> </w:t>
      </w:r>
    </w:p>
    <w:p w14:paraId="5BD0E730" w14:textId="2620B5EF" w:rsidR="00A5271A" w:rsidRPr="004C74BD" w:rsidRDefault="00F5358D" w:rsidP="00A5271A">
      <w:pPr>
        <w:pStyle w:val="BodyTextIndent3"/>
        <w:widowControl w:val="0"/>
        <w:spacing w:line="480" w:lineRule="auto"/>
        <w:rPr>
          <w:szCs w:val="24"/>
        </w:rPr>
      </w:pPr>
      <w:r w:rsidRPr="004C74BD">
        <w:rPr>
          <w:szCs w:val="24"/>
        </w:rPr>
        <w:t xml:space="preserve">Despite the </w:t>
      </w:r>
      <w:r w:rsidR="00EA3E72" w:rsidRPr="004C74BD">
        <w:rPr>
          <w:szCs w:val="24"/>
        </w:rPr>
        <w:t xml:space="preserve">Ohio </w:t>
      </w:r>
      <w:r w:rsidRPr="004C74BD">
        <w:rPr>
          <w:szCs w:val="24"/>
        </w:rPr>
        <w:t xml:space="preserve">regulatory gap </w:t>
      </w:r>
      <w:r w:rsidR="00EA3E72" w:rsidRPr="004C74BD">
        <w:rPr>
          <w:szCs w:val="24"/>
        </w:rPr>
        <w:t xml:space="preserve">where consumers are left unprotected, </w:t>
      </w:r>
      <w:r w:rsidRPr="004C74BD">
        <w:rPr>
          <w:szCs w:val="24"/>
        </w:rPr>
        <w:t>AE</w:t>
      </w:r>
      <w:r w:rsidR="00034C9F">
        <w:rPr>
          <w:szCs w:val="24"/>
        </w:rPr>
        <w:t>S</w:t>
      </w:r>
      <w:r w:rsidRPr="004C74BD">
        <w:rPr>
          <w:szCs w:val="24"/>
        </w:rPr>
        <w:t xml:space="preserve"> </w:t>
      </w:r>
      <w:r w:rsidR="00C3612B">
        <w:rPr>
          <w:szCs w:val="24"/>
        </w:rPr>
        <w:t>Ohio</w:t>
      </w:r>
      <w:r w:rsidR="00FF3EDD">
        <w:rPr>
          <w:szCs w:val="24"/>
        </w:rPr>
        <w:t xml:space="preserve"> </w:t>
      </w:r>
      <w:r w:rsidR="007F324D">
        <w:rPr>
          <w:szCs w:val="24"/>
        </w:rPr>
        <w:t>has asked</w:t>
      </w:r>
      <w:r w:rsidR="00034C9F">
        <w:rPr>
          <w:szCs w:val="24"/>
        </w:rPr>
        <w:t xml:space="preserve"> to increase </w:t>
      </w:r>
      <w:r w:rsidR="0065520F">
        <w:rPr>
          <w:szCs w:val="24"/>
        </w:rPr>
        <w:t>the unreviewed</w:t>
      </w:r>
      <w:r w:rsidR="00FF3EDD">
        <w:rPr>
          <w:szCs w:val="24"/>
        </w:rPr>
        <w:t xml:space="preserve"> </w:t>
      </w:r>
      <w:r w:rsidR="0065520F">
        <w:rPr>
          <w:szCs w:val="24"/>
        </w:rPr>
        <w:t>transmission charges that are collected</w:t>
      </w:r>
      <w:r w:rsidR="00FF3EDD">
        <w:rPr>
          <w:szCs w:val="24"/>
        </w:rPr>
        <w:t xml:space="preserve"> </w:t>
      </w:r>
      <w:r w:rsidR="00034C9F">
        <w:rPr>
          <w:szCs w:val="24"/>
        </w:rPr>
        <w:t>from residential consumers</w:t>
      </w:r>
      <w:r w:rsidR="007F324D">
        <w:rPr>
          <w:szCs w:val="24"/>
        </w:rPr>
        <w:t>. If AES</w:t>
      </w:r>
      <w:r w:rsidR="00D208C5">
        <w:rPr>
          <w:szCs w:val="24"/>
        </w:rPr>
        <w:t xml:space="preserve"> Ohio</w:t>
      </w:r>
      <w:r w:rsidR="007F324D">
        <w:rPr>
          <w:szCs w:val="24"/>
        </w:rPr>
        <w:t xml:space="preserve">’s application is approved, </w:t>
      </w:r>
      <w:r w:rsidR="0065520F">
        <w:rPr>
          <w:szCs w:val="24"/>
        </w:rPr>
        <w:t xml:space="preserve">residential </w:t>
      </w:r>
      <w:r w:rsidR="007F324D">
        <w:rPr>
          <w:szCs w:val="24"/>
        </w:rPr>
        <w:t>consumer</w:t>
      </w:r>
      <w:r w:rsidR="0065520F">
        <w:rPr>
          <w:szCs w:val="24"/>
        </w:rPr>
        <w:t xml:space="preserve">s </w:t>
      </w:r>
      <w:r w:rsidR="007F324D">
        <w:rPr>
          <w:szCs w:val="24"/>
        </w:rPr>
        <w:t xml:space="preserve">will </w:t>
      </w:r>
      <w:r w:rsidR="007F324D">
        <w:rPr>
          <w:szCs w:val="24"/>
        </w:rPr>
        <w:lastRenderedPageBreak/>
        <w:t xml:space="preserve">be paying </w:t>
      </w:r>
      <w:r w:rsidR="00034C9F">
        <w:rPr>
          <w:szCs w:val="24"/>
        </w:rPr>
        <w:t xml:space="preserve">$55 million </w:t>
      </w:r>
      <w:r w:rsidR="00CE2FC3">
        <w:rPr>
          <w:szCs w:val="24"/>
        </w:rPr>
        <w:t>per</w:t>
      </w:r>
      <w:r w:rsidR="007F324D">
        <w:rPr>
          <w:szCs w:val="24"/>
        </w:rPr>
        <w:t xml:space="preserve"> year</w:t>
      </w:r>
      <w:r w:rsidR="00FF3EDD">
        <w:rPr>
          <w:szCs w:val="24"/>
        </w:rPr>
        <w:t xml:space="preserve"> </w:t>
      </w:r>
      <w:r w:rsidR="00CE2FC3">
        <w:rPr>
          <w:szCs w:val="24"/>
        </w:rPr>
        <w:t>f</w:t>
      </w:r>
      <w:r w:rsidR="007F324D">
        <w:rPr>
          <w:szCs w:val="24"/>
        </w:rPr>
        <w:t>or transmission charges.</w:t>
      </w:r>
      <w:r w:rsidR="00FF3EDD">
        <w:rPr>
          <w:szCs w:val="24"/>
        </w:rPr>
        <w:t xml:space="preserve"> </w:t>
      </w:r>
      <w:r w:rsidR="007F324D">
        <w:rPr>
          <w:szCs w:val="24"/>
        </w:rPr>
        <w:t xml:space="preserve">This represents a </w:t>
      </w:r>
      <w:r w:rsidR="00034C9F">
        <w:rPr>
          <w:szCs w:val="24"/>
        </w:rPr>
        <w:t xml:space="preserve">massive </w:t>
      </w:r>
      <w:r w:rsidR="007F324D">
        <w:rPr>
          <w:szCs w:val="24"/>
        </w:rPr>
        <w:t>(</w:t>
      </w:r>
      <w:r w:rsidR="00034C9F">
        <w:rPr>
          <w:szCs w:val="24"/>
        </w:rPr>
        <w:t>53%</w:t>
      </w:r>
      <w:r w:rsidR="007F324D">
        <w:rPr>
          <w:szCs w:val="24"/>
        </w:rPr>
        <w:t>)</w:t>
      </w:r>
      <w:r w:rsidR="00FF3EDD">
        <w:rPr>
          <w:szCs w:val="24"/>
        </w:rPr>
        <w:t xml:space="preserve"> </w:t>
      </w:r>
      <w:r w:rsidR="00034C9F">
        <w:rPr>
          <w:szCs w:val="24"/>
        </w:rPr>
        <w:t>increase</w:t>
      </w:r>
      <w:r w:rsidR="007F324D">
        <w:rPr>
          <w:szCs w:val="24"/>
        </w:rPr>
        <w:t xml:space="preserve"> in transmission rates charged to consumers</w:t>
      </w:r>
      <w:r w:rsidR="00034C9F">
        <w:rPr>
          <w:szCs w:val="24"/>
        </w:rPr>
        <w:t>.</w:t>
      </w:r>
      <w:r>
        <w:rPr>
          <w:rStyle w:val="FootnoteReference"/>
          <w:szCs w:val="24"/>
        </w:rPr>
        <w:footnoteReference w:id="4"/>
      </w:r>
      <w:r w:rsidR="009C7E76">
        <w:rPr>
          <w:szCs w:val="24"/>
        </w:rPr>
        <w:t xml:space="preserve"> </w:t>
      </w:r>
      <w:r w:rsidR="009E625E" w:rsidRPr="004C74BD">
        <w:rPr>
          <w:szCs w:val="24"/>
        </w:rPr>
        <w:t>A 1,000 k</w:t>
      </w:r>
      <w:r w:rsidR="00D208C5">
        <w:rPr>
          <w:szCs w:val="24"/>
        </w:rPr>
        <w:t>W</w:t>
      </w:r>
      <w:r w:rsidR="009E625E" w:rsidRPr="004C74BD">
        <w:rPr>
          <w:szCs w:val="24"/>
        </w:rPr>
        <w:t xml:space="preserve">h per month residential </w:t>
      </w:r>
      <w:r w:rsidR="00C445DD" w:rsidRPr="004C74BD">
        <w:rPr>
          <w:szCs w:val="24"/>
        </w:rPr>
        <w:t>consumer</w:t>
      </w:r>
      <w:r w:rsidR="009E625E" w:rsidRPr="004C74BD">
        <w:rPr>
          <w:szCs w:val="24"/>
        </w:rPr>
        <w:t xml:space="preserve"> is currently paying $</w:t>
      </w:r>
      <w:r w:rsidR="00DC1414">
        <w:rPr>
          <w:szCs w:val="24"/>
        </w:rPr>
        <w:t>6.61</w:t>
      </w:r>
      <w:r w:rsidR="009E625E" w:rsidRPr="004C74BD">
        <w:rPr>
          <w:szCs w:val="24"/>
        </w:rPr>
        <w:t xml:space="preserve"> per </w:t>
      </w:r>
      <w:r w:rsidR="00DC1414">
        <w:rPr>
          <w:szCs w:val="24"/>
        </w:rPr>
        <w:t>m</w:t>
      </w:r>
      <w:r w:rsidRPr="004C74BD">
        <w:rPr>
          <w:szCs w:val="24"/>
        </w:rPr>
        <w:t xml:space="preserve">onth for </w:t>
      </w:r>
      <w:r w:rsidR="00DC1414">
        <w:rPr>
          <w:szCs w:val="24"/>
        </w:rPr>
        <w:t>Rider TCRR</w:t>
      </w:r>
      <w:r w:rsidRPr="004C74BD">
        <w:rPr>
          <w:szCs w:val="24"/>
        </w:rPr>
        <w:t xml:space="preserve">. That will jump to </w:t>
      </w:r>
      <w:r w:rsidR="00DC1414">
        <w:rPr>
          <w:szCs w:val="24"/>
        </w:rPr>
        <w:t xml:space="preserve">$10.11 </w:t>
      </w:r>
      <w:r w:rsidRPr="004C74BD">
        <w:rPr>
          <w:szCs w:val="24"/>
        </w:rPr>
        <w:t xml:space="preserve">under the proposed Rider </w:t>
      </w:r>
      <w:r w:rsidR="00DC1414">
        <w:rPr>
          <w:szCs w:val="24"/>
        </w:rPr>
        <w:t>TC</w:t>
      </w:r>
      <w:r w:rsidR="00D208C5">
        <w:rPr>
          <w:szCs w:val="24"/>
        </w:rPr>
        <w:t>R</w:t>
      </w:r>
      <w:r w:rsidR="00DC1414">
        <w:rPr>
          <w:szCs w:val="24"/>
        </w:rPr>
        <w:t>R</w:t>
      </w:r>
      <w:r w:rsidRPr="004C74BD">
        <w:rPr>
          <w:szCs w:val="24"/>
        </w:rPr>
        <w:t>.</w:t>
      </w:r>
      <w:r>
        <w:rPr>
          <w:rStyle w:val="FootnoteReference"/>
          <w:szCs w:val="24"/>
        </w:rPr>
        <w:footnoteReference w:id="5"/>
      </w:r>
      <w:r w:rsidR="009C7E76">
        <w:rPr>
          <w:szCs w:val="24"/>
        </w:rPr>
        <w:t xml:space="preserve"> </w:t>
      </w:r>
    </w:p>
    <w:p w14:paraId="572DA671" w14:textId="7E9810E8" w:rsidR="00A5271A" w:rsidRDefault="00F5358D" w:rsidP="00A5271A">
      <w:pPr>
        <w:pStyle w:val="BodyTextIndent3"/>
        <w:widowControl w:val="0"/>
        <w:spacing w:line="480" w:lineRule="auto"/>
        <w:rPr>
          <w:szCs w:val="24"/>
        </w:rPr>
      </w:pPr>
      <w:r>
        <w:rPr>
          <w:szCs w:val="24"/>
        </w:rPr>
        <w:t xml:space="preserve">Part of the increase in transmission charges to residential consumers is a consequence of </w:t>
      </w:r>
      <w:r w:rsidRPr="004C74BD">
        <w:rPr>
          <w:szCs w:val="24"/>
        </w:rPr>
        <w:t>AE</w:t>
      </w:r>
      <w:r>
        <w:rPr>
          <w:szCs w:val="24"/>
        </w:rPr>
        <w:t>S</w:t>
      </w:r>
      <w:r w:rsidR="00401F62">
        <w:rPr>
          <w:szCs w:val="24"/>
        </w:rPr>
        <w:t xml:space="preserve"> Ohio</w:t>
      </w:r>
      <w:r>
        <w:rPr>
          <w:szCs w:val="24"/>
        </w:rPr>
        <w:t xml:space="preserve"> reducing the charges to other consumers.</w:t>
      </w:r>
      <w:r w:rsidR="00FF3EDD">
        <w:rPr>
          <w:szCs w:val="24"/>
        </w:rPr>
        <w:t xml:space="preserve"> </w:t>
      </w:r>
      <w:r>
        <w:rPr>
          <w:szCs w:val="24"/>
        </w:rPr>
        <w:t xml:space="preserve">But AES </w:t>
      </w:r>
      <w:r w:rsidR="00401F62">
        <w:rPr>
          <w:szCs w:val="24"/>
        </w:rPr>
        <w:t xml:space="preserve">Ohio </w:t>
      </w:r>
      <w:r w:rsidRPr="004C74BD">
        <w:rPr>
          <w:szCs w:val="24"/>
        </w:rPr>
        <w:t xml:space="preserve">provides no explanation whatsoever as to why residential consumers should be burdened with this significantly higher </w:t>
      </w:r>
      <w:r>
        <w:rPr>
          <w:szCs w:val="24"/>
        </w:rPr>
        <w:t xml:space="preserve">allocation </w:t>
      </w:r>
      <w:r w:rsidRPr="004C74BD">
        <w:rPr>
          <w:szCs w:val="24"/>
        </w:rPr>
        <w:t xml:space="preserve">of </w:t>
      </w:r>
      <w:r>
        <w:rPr>
          <w:szCs w:val="24"/>
        </w:rPr>
        <w:t>transmission charges under the TCRR rider.</w:t>
      </w:r>
    </w:p>
    <w:p w14:paraId="7EEA2C24" w14:textId="4F1923F5" w:rsidR="0065520F" w:rsidRPr="004C74BD" w:rsidRDefault="00F5358D" w:rsidP="00A5271A">
      <w:pPr>
        <w:pStyle w:val="BodyTextIndent3"/>
        <w:widowControl w:val="0"/>
        <w:spacing w:line="480" w:lineRule="auto"/>
        <w:rPr>
          <w:szCs w:val="24"/>
        </w:rPr>
      </w:pPr>
      <w:r>
        <w:rPr>
          <w:szCs w:val="24"/>
        </w:rPr>
        <w:t>This</w:t>
      </w:r>
      <w:r w:rsidR="005959CA" w:rsidRPr="004C74BD">
        <w:rPr>
          <w:szCs w:val="24"/>
        </w:rPr>
        <w:t xml:space="preserve"> </w:t>
      </w:r>
      <w:r w:rsidR="00C445DD" w:rsidRPr="004C74BD">
        <w:rPr>
          <w:szCs w:val="24"/>
        </w:rPr>
        <w:t xml:space="preserve">large increase in </w:t>
      </w:r>
      <w:r w:rsidR="00DC1414">
        <w:rPr>
          <w:szCs w:val="24"/>
        </w:rPr>
        <w:t>TCRR</w:t>
      </w:r>
      <w:r w:rsidR="00C445DD" w:rsidRPr="004C74BD">
        <w:rPr>
          <w:szCs w:val="24"/>
        </w:rPr>
        <w:t xml:space="preserve"> charges to </w:t>
      </w:r>
      <w:r w:rsidR="005959CA" w:rsidRPr="004C74BD">
        <w:rPr>
          <w:szCs w:val="24"/>
        </w:rPr>
        <w:t>residential consumer</w:t>
      </w:r>
      <w:r w:rsidR="00C445DD" w:rsidRPr="004C74BD">
        <w:rPr>
          <w:szCs w:val="24"/>
        </w:rPr>
        <w:t xml:space="preserve">s is </w:t>
      </w:r>
      <w:r w:rsidR="00893A84" w:rsidRPr="004C74BD">
        <w:rPr>
          <w:szCs w:val="24"/>
        </w:rPr>
        <w:t>unfair</w:t>
      </w:r>
      <w:r w:rsidR="005B2C2F" w:rsidRPr="004C74BD">
        <w:rPr>
          <w:szCs w:val="24"/>
        </w:rPr>
        <w:t xml:space="preserve">, </w:t>
      </w:r>
      <w:proofErr w:type="gramStart"/>
      <w:r w:rsidR="005B2C2F" w:rsidRPr="004C74BD">
        <w:rPr>
          <w:szCs w:val="24"/>
        </w:rPr>
        <w:t>unjust</w:t>
      </w:r>
      <w:proofErr w:type="gramEnd"/>
      <w:r w:rsidR="005B2C2F" w:rsidRPr="004C74BD">
        <w:rPr>
          <w:szCs w:val="24"/>
        </w:rPr>
        <w:t xml:space="preserve"> and unreasonable </w:t>
      </w:r>
      <w:r w:rsidR="00893A84" w:rsidRPr="004C74BD">
        <w:rPr>
          <w:szCs w:val="24"/>
        </w:rPr>
        <w:t>to residential consumers</w:t>
      </w:r>
      <w:r>
        <w:rPr>
          <w:szCs w:val="24"/>
        </w:rPr>
        <w:t>. T</w:t>
      </w:r>
      <w:r w:rsidRPr="004C74BD">
        <w:rPr>
          <w:szCs w:val="24"/>
        </w:rPr>
        <w:t xml:space="preserve">his is </w:t>
      </w:r>
      <w:r w:rsidR="00B02692">
        <w:rPr>
          <w:szCs w:val="24"/>
        </w:rPr>
        <w:t xml:space="preserve">on top of </w:t>
      </w:r>
      <w:r>
        <w:rPr>
          <w:szCs w:val="24"/>
        </w:rPr>
        <w:t xml:space="preserve">the rate increases </w:t>
      </w:r>
      <w:r w:rsidRPr="004C74BD">
        <w:rPr>
          <w:szCs w:val="24"/>
        </w:rPr>
        <w:t>under AE</w:t>
      </w:r>
      <w:r>
        <w:rPr>
          <w:szCs w:val="24"/>
        </w:rPr>
        <w:t>S Ohio’</w:t>
      </w:r>
      <w:r w:rsidRPr="004C74BD">
        <w:rPr>
          <w:szCs w:val="24"/>
        </w:rPr>
        <w:t>s most recent electric security plan</w:t>
      </w:r>
      <w:r>
        <w:rPr>
          <w:szCs w:val="24"/>
        </w:rPr>
        <w:t xml:space="preserve">, which </w:t>
      </w:r>
      <w:r w:rsidR="00B02692">
        <w:rPr>
          <w:szCs w:val="24"/>
        </w:rPr>
        <w:t xml:space="preserve">in total will </w:t>
      </w:r>
      <w:r>
        <w:rPr>
          <w:szCs w:val="24"/>
        </w:rPr>
        <w:t xml:space="preserve">lead to </w:t>
      </w:r>
      <w:r w:rsidR="00B02692">
        <w:rPr>
          <w:szCs w:val="24"/>
        </w:rPr>
        <w:t>a</w:t>
      </w:r>
      <w:r>
        <w:rPr>
          <w:szCs w:val="24"/>
        </w:rPr>
        <w:t xml:space="preserve"> $385 million rate increase</w:t>
      </w:r>
      <w:r w:rsidR="00B02692">
        <w:rPr>
          <w:szCs w:val="24"/>
        </w:rPr>
        <w:t xml:space="preserve"> </w:t>
      </w:r>
      <w:r>
        <w:rPr>
          <w:szCs w:val="24"/>
        </w:rPr>
        <w:t>for consumers.</w:t>
      </w:r>
      <w:r>
        <w:rPr>
          <w:rStyle w:val="FootnoteReference"/>
          <w:szCs w:val="24"/>
        </w:rPr>
        <w:footnoteReference w:id="6"/>
      </w:r>
      <w:r w:rsidRPr="00A5271A">
        <w:rPr>
          <w:szCs w:val="24"/>
        </w:rPr>
        <w:t xml:space="preserve"> </w:t>
      </w:r>
      <w:r>
        <w:rPr>
          <w:szCs w:val="24"/>
        </w:rPr>
        <w:t xml:space="preserve">The </w:t>
      </w:r>
      <w:r w:rsidRPr="004C74BD">
        <w:rPr>
          <w:szCs w:val="24"/>
        </w:rPr>
        <w:t>PUCO should outright reject AE</w:t>
      </w:r>
      <w:r>
        <w:rPr>
          <w:szCs w:val="24"/>
        </w:rPr>
        <w:t>S Ohio’s</w:t>
      </w:r>
      <w:r w:rsidRPr="004C74BD">
        <w:rPr>
          <w:szCs w:val="24"/>
        </w:rPr>
        <w:t xml:space="preserve"> proposal.</w:t>
      </w:r>
    </w:p>
    <w:p w14:paraId="426A3F30" w14:textId="73E439A5" w:rsidR="00380BE8" w:rsidRPr="004C74BD" w:rsidRDefault="00F5358D" w:rsidP="00643DA2">
      <w:pPr>
        <w:pStyle w:val="Heading1"/>
      </w:pPr>
      <w:bookmarkStart w:id="9" w:name="_Toc164862642"/>
      <w:bookmarkEnd w:id="8"/>
      <w:r w:rsidRPr="004C74BD">
        <w:t>RECOMMENDATIONS</w:t>
      </w:r>
      <w:bookmarkEnd w:id="9"/>
    </w:p>
    <w:p w14:paraId="0AF3574E" w14:textId="7F444A5D" w:rsidR="00EA20C9" w:rsidRPr="004C74BD" w:rsidRDefault="00F5358D" w:rsidP="00643DA2">
      <w:pPr>
        <w:pStyle w:val="Heading2"/>
      </w:pPr>
      <w:bookmarkStart w:id="10" w:name="_Toc164862643"/>
      <w:r w:rsidRPr="004C74BD">
        <w:t xml:space="preserve">The PUCO should reject </w:t>
      </w:r>
      <w:r w:rsidR="00E45C97" w:rsidRPr="004C74BD">
        <w:t>AE</w:t>
      </w:r>
      <w:r w:rsidR="005762ED">
        <w:t>S</w:t>
      </w:r>
      <w:r w:rsidR="00124773">
        <w:t xml:space="preserve"> Ohio</w:t>
      </w:r>
      <w:r w:rsidR="004C74BD">
        <w:t>’</w:t>
      </w:r>
      <w:r w:rsidR="00124773">
        <w:t>s</w:t>
      </w:r>
      <w:r w:rsidR="00E45C97" w:rsidRPr="004C74BD">
        <w:t xml:space="preserve"> </w:t>
      </w:r>
      <w:r w:rsidR="005762ED">
        <w:t xml:space="preserve">massive 53% increase in </w:t>
      </w:r>
      <w:r w:rsidR="00B02692">
        <w:t xml:space="preserve">transmission rates to </w:t>
      </w:r>
      <w:r w:rsidR="005762ED">
        <w:t>residential</w:t>
      </w:r>
      <w:r w:rsidR="00B02692">
        <w:t xml:space="preserve"> consumers </w:t>
      </w:r>
      <w:r w:rsidR="005762ED">
        <w:t>a</w:t>
      </w:r>
      <w:r w:rsidR="006B4B14" w:rsidRPr="004C74BD">
        <w:t xml:space="preserve">s </w:t>
      </w:r>
      <w:r w:rsidR="005762ED">
        <w:t xml:space="preserve">unfair, </w:t>
      </w:r>
      <w:r w:rsidR="006B4B14" w:rsidRPr="004C74BD">
        <w:t xml:space="preserve">unjust, </w:t>
      </w:r>
      <w:r w:rsidR="005762ED">
        <w:t xml:space="preserve">and </w:t>
      </w:r>
      <w:r w:rsidR="006B4B14" w:rsidRPr="004C74BD">
        <w:t>unreasonable</w:t>
      </w:r>
      <w:r w:rsidR="00124773">
        <w:t>.</w:t>
      </w:r>
      <w:bookmarkEnd w:id="10"/>
    </w:p>
    <w:p w14:paraId="0275D9F1" w14:textId="5D08288C" w:rsidR="007F324D" w:rsidRDefault="00F5358D" w:rsidP="00D15A89">
      <w:pPr>
        <w:pStyle w:val="BodyTextIndent3"/>
        <w:widowControl w:val="0"/>
        <w:spacing w:line="480" w:lineRule="auto"/>
        <w:ind w:right="-24"/>
      </w:pPr>
      <w:r w:rsidRPr="004C74BD">
        <w:rPr>
          <w:szCs w:val="24"/>
        </w:rPr>
        <w:t xml:space="preserve">The </w:t>
      </w:r>
      <w:r w:rsidR="00B7732F">
        <w:rPr>
          <w:szCs w:val="24"/>
        </w:rPr>
        <w:t>TCRR</w:t>
      </w:r>
      <w:r w:rsidRPr="004C74BD">
        <w:rPr>
          <w:szCs w:val="24"/>
        </w:rPr>
        <w:t xml:space="preserve"> allows AE</w:t>
      </w:r>
      <w:r w:rsidR="00B7732F">
        <w:rPr>
          <w:szCs w:val="24"/>
        </w:rPr>
        <w:t>S</w:t>
      </w:r>
      <w:r w:rsidRPr="004C74BD">
        <w:rPr>
          <w:szCs w:val="24"/>
        </w:rPr>
        <w:t xml:space="preserve"> </w:t>
      </w:r>
      <w:r w:rsidR="00C3612B">
        <w:rPr>
          <w:szCs w:val="24"/>
        </w:rPr>
        <w:t xml:space="preserve">Ohio </w:t>
      </w:r>
      <w:r w:rsidRPr="004C74BD">
        <w:rPr>
          <w:szCs w:val="24"/>
        </w:rPr>
        <w:t xml:space="preserve">to collect from consumers transmission-related costs, imposed by FERC or PJM. These charges include </w:t>
      </w:r>
      <w:r>
        <w:rPr>
          <w:szCs w:val="24"/>
        </w:rPr>
        <w:t>tens</w:t>
      </w:r>
      <w:r w:rsidR="00B7732F">
        <w:rPr>
          <w:szCs w:val="24"/>
        </w:rPr>
        <w:t xml:space="preserve"> of millions </w:t>
      </w:r>
      <w:r w:rsidRPr="004C74BD">
        <w:rPr>
          <w:szCs w:val="24"/>
        </w:rPr>
        <w:t>of dollars for AE</w:t>
      </w:r>
      <w:r w:rsidR="00B7732F">
        <w:rPr>
          <w:szCs w:val="24"/>
        </w:rPr>
        <w:t>S</w:t>
      </w:r>
      <w:r w:rsidR="00C3612B">
        <w:rPr>
          <w:szCs w:val="24"/>
        </w:rPr>
        <w:t xml:space="preserve"> Ohio’s</w:t>
      </w:r>
      <w:r w:rsidR="00FF3EDD">
        <w:rPr>
          <w:szCs w:val="24"/>
        </w:rPr>
        <w:t xml:space="preserve"> </w:t>
      </w:r>
      <w:r w:rsidRPr="004C74BD">
        <w:rPr>
          <w:szCs w:val="24"/>
        </w:rPr>
        <w:t>Supplemental Transmission Projects</w:t>
      </w:r>
      <w:r w:rsidR="0065520F">
        <w:rPr>
          <w:szCs w:val="24"/>
        </w:rPr>
        <w:t>.</w:t>
      </w:r>
      <w:r w:rsidR="00FF3EDD">
        <w:rPr>
          <w:szCs w:val="24"/>
        </w:rPr>
        <w:t xml:space="preserve"> </w:t>
      </w:r>
      <w:r w:rsidR="0065520F">
        <w:rPr>
          <w:szCs w:val="24"/>
        </w:rPr>
        <w:t>These are project</w:t>
      </w:r>
      <w:r w:rsidR="00A5271A">
        <w:rPr>
          <w:szCs w:val="24"/>
        </w:rPr>
        <w:t xml:space="preserve">s </w:t>
      </w:r>
      <w:r w:rsidR="0065520F">
        <w:rPr>
          <w:szCs w:val="24"/>
        </w:rPr>
        <w:t>that</w:t>
      </w:r>
      <w:r w:rsidR="00FF3EDD">
        <w:rPr>
          <w:szCs w:val="24"/>
        </w:rPr>
        <w:t xml:space="preserve"> </w:t>
      </w:r>
      <w:r w:rsidRPr="004C74BD">
        <w:rPr>
          <w:szCs w:val="24"/>
        </w:rPr>
        <w:t xml:space="preserve">largely escape regulatory review by the PUCO or FERC for </w:t>
      </w:r>
      <w:r w:rsidR="0065520F">
        <w:rPr>
          <w:szCs w:val="24"/>
        </w:rPr>
        <w:t xml:space="preserve">reasonableness or </w:t>
      </w:r>
      <w:r w:rsidRPr="004C74BD">
        <w:rPr>
          <w:szCs w:val="24"/>
        </w:rPr>
        <w:t>prudence.</w:t>
      </w:r>
      <w:r>
        <w:rPr>
          <w:rStyle w:val="FootnoteReference"/>
          <w:szCs w:val="24"/>
        </w:rPr>
        <w:footnoteReference w:id="7"/>
      </w:r>
      <w:r w:rsidRPr="004C74BD">
        <w:rPr>
          <w:szCs w:val="24"/>
        </w:rPr>
        <w:t>AE</w:t>
      </w:r>
      <w:r w:rsidR="00B7732F">
        <w:rPr>
          <w:szCs w:val="24"/>
        </w:rPr>
        <w:t>S</w:t>
      </w:r>
      <w:r w:rsidR="00124773">
        <w:rPr>
          <w:szCs w:val="24"/>
        </w:rPr>
        <w:t xml:space="preserve"> Ohio</w:t>
      </w:r>
      <w:r w:rsidR="004C74BD">
        <w:rPr>
          <w:szCs w:val="24"/>
        </w:rPr>
        <w:t>’</w:t>
      </w:r>
      <w:r w:rsidR="00124773">
        <w:rPr>
          <w:szCs w:val="24"/>
        </w:rPr>
        <w:t>s</w:t>
      </w:r>
      <w:r w:rsidRPr="004C74BD">
        <w:rPr>
          <w:szCs w:val="24"/>
        </w:rPr>
        <w:t xml:space="preserve"> </w:t>
      </w:r>
      <w:r w:rsidRPr="004C74BD">
        <w:rPr>
          <w:szCs w:val="24"/>
        </w:rPr>
        <w:lastRenderedPageBreak/>
        <w:t>residential consumers have no choice but to pay what AE</w:t>
      </w:r>
      <w:r w:rsidR="00B7732F">
        <w:rPr>
          <w:szCs w:val="24"/>
        </w:rPr>
        <w:t>S</w:t>
      </w:r>
      <w:r w:rsidRPr="004C74BD">
        <w:rPr>
          <w:szCs w:val="24"/>
        </w:rPr>
        <w:t xml:space="preserve"> </w:t>
      </w:r>
      <w:r w:rsidR="00C3612B">
        <w:rPr>
          <w:szCs w:val="24"/>
        </w:rPr>
        <w:t xml:space="preserve">Ohio </w:t>
      </w:r>
      <w:r w:rsidR="0065520F">
        <w:rPr>
          <w:szCs w:val="24"/>
        </w:rPr>
        <w:t xml:space="preserve">charges </w:t>
      </w:r>
      <w:r>
        <w:rPr>
          <w:szCs w:val="24"/>
        </w:rPr>
        <w:t xml:space="preserve">them for </w:t>
      </w:r>
      <w:r w:rsidR="009A3AE3">
        <w:rPr>
          <w:szCs w:val="24"/>
        </w:rPr>
        <w:t xml:space="preserve">these supplemental </w:t>
      </w:r>
      <w:r>
        <w:rPr>
          <w:szCs w:val="24"/>
        </w:rPr>
        <w:t>transmission</w:t>
      </w:r>
      <w:r w:rsidR="009A3AE3">
        <w:rPr>
          <w:szCs w:val="24"/>
        </w:rPr>
        <w:t xml:space="preserve"> projects</w:t>
      </w:r>
      <w:r>
        <w:rPr>
          <w:szCs w:val="24"/>
        </w:rPr>
        <w:t>. Residential consumers do not have any opportunity to opt out of these charges.</w:t>
      </w:r>
    </w:p>
    <w:p w14:paraId="7CDEFAAD" w14:textId="1273E7E9" w:rsidR="00F2025C" w:rsidRDefault="00F5358D" w:rsidP="000510F0">
      <w:pPr>
        <w:pStyle w:val="BodyTextIndent3"/>
        <w:widowControl w:val="0"/>
        <w:spacing w:line="480" w:lineRule="auto"/>
        <w:ind w:right="-24"/>
      </w:pPr>
      <w:r w:rsidRPr="004C74BD">
        <w:rPr>
          <w:szCs w:val="24"/>
        </w:rPr>
        <w:t xml:space="preserve">Certain </w:t>
      </w:r>
      <w:r w:rsidR="00B7732F">
        <w:rPr>
          <w:szCs w:val="24"/>
        </w:rPr>
        <w:t xml:space="preserve">larger </w:t>
      </w:r>
      <w:r w:rsidRPr="004C74BD">
        <w:rPr>
          <w:szCs w:val="24"/>
        </w:rPr>
        <w:t>AE</w:t>
      </w:r>
      <w:r w:rsidR="00B7732F">
        <w:rPr>
          <w:szCs w:val="24"/>
        </w:rPr>
        <w:t>S</w:t>
      </w:r>
      <w:r w:rsidR="00C3612B">
        <w:rPr>
          <w:szCs w:val="24"/>
        </w:rPr>
        <w:t xml:space="preserve"> Ohio</w:t>
      </w:r>
      <w:r w:rsidRPr="004C74BD">
        <w:rPr>
          <w:szCs w:val="24"/>
        </w:rPr>
        <w:t xml:space="preserve"> consumers, however,</w:t>
      </w:r>
      <w:r w:rsidR="00C3168F" w:rsidRPr="004C74BD">
        <w:rPr>
          <w:szCs w:val="24"/>
        </w:rPr>
        <w:t xml:space="preserve"> don</w:t>
      </w:r>
      <w:r w:rsidR="004C74BD">
        <w:rPr>
          <w:szCs w:val="24"/>
        </w:rPr>
        <w:t>’</w:t>
      </w:r>
      <w:r w:rsidR="00C3168F" w:rsidRPr="004C74BD">
        <w:rPr>
          <w:szCs w:val="24"/>
        </w:rPr>
        <w:t>t have to pay because they</w:t>
      </w:r>
      <w:r w:rsidRPr="004C74BD">
        <w:rPr>
          <w:szCs w:val="24"/>
        </w:rPr>
        <w:t xml:space="preserve"> can </w:t>
      </w:r>
      <w:r w:rsidR="004C74BD">
        <w:rPr>
          <w:szCs w:val="24"/>
        </w:rPr>
        <w:t>“</w:t>
      </w:r>
      <w:r w:rsidRPr="004C74BD">
        <w:rPr>
          <w:szCs w:val="24"/>
        </w:rPr>
        <w:t>opt out</w:t>
      </w:r>
      <w:r w:rsidR="004C74BD">
        <w:rPr>
          <w:szCs w:val="24"/>
        </w:rPr>
        <w:t>”</w:t>
      </w:r>
      <w:r w:rsidRPr="004C74BD">
        <w:rPr>
          <w:szCs w:val="24"/>
        </w:rPr>
        <w:t xml:space="preserve"> of paying </w:t>
      </w:r>
      <w:r w:rsidR="007F324D">
        <w:rPr>
          <w:szCs w:val="24"/>
        </w:rPr>
        <w:t xml:space="preserve">the </w:t>
      </w:r>
      <w:r w:rsidR="00B7732F">
        <w:rPr>
          <w:szCs w:val="24"/>
        </w:rPr>
        <w:t>TCRR</w:t>
      </w:r>
      <w:r w:rsidRPr="004C74BD">
        <w:rPr>
          <w:szCs w:val="24"/>
        </w:rPr>
        <w:t xml:space="preserve"> rate</w:t>
      </w:r>
      <w:r w:rsidR="007F324D">
        <w:rPr>
          <w:szCs w:val="24"/>
        </w:rPr>
        <w:t xml:space="preserve"> </w:t>
      </w:r>
      <w:r w:rsidRPr="004C74BD">
        <w:rPr>
          <w:szCs w:val="24"/>
        </w:rPr>
        <w:t>under a pilot program.</w:t>
      </w:r>
      <w:r>
        <w:rPr>
          <w:rStyle w:val="FootnoteReference"/>
          <w:szCs w:val="24"/>
        </w:rPr>
        <w:footnoteReference w:id="8"/>
      </w:r>
      <w:r w:rsidR="009C7E76">
        <w:rPr>
          <w:szCs w:val="24"/>
        </w:rPr>
        <w:t xml:space="preserve"> </w:t>
      </w:r>
      <w:r w:rsidR="00C3168F" w:rsidRPr="004C74BD">
        <w:rPr>
          <w:szCs w:val="24"/>
        </w:rPr>
        <w:t>A PUCO</w:t>
      </w:r>
      <w:r w:rsidR="00E45C97" w:rsidRPr="004C74BD">
        <w:rPr>
          <w:szCs w:val="24"/>
        </w:rPr>
        <w:t xml:space="preserve"> audit of</w:t>
      </w:r>
      <w:r w:rsidR="00C3168F" w:rsidRPr="004C74BD">
        <w:rPr>
          <w:szCs w:val="24"/>
        </w:rPr>
        <w:t xml:space="preserve"> FirstEnergy</w:t>
      </w:r>
      <w:r w:rsidR="004C74BD">
        <w:rPr>
          <w:szCs w:val="24"/>
        </w:rPr>
        <w:t>’</w:t>
      </w:r>
      <w:r w:rsidR="00C3168F" w:rsidRPr="004C74BD">
        <w:rPr>
          <w:szCs w:val="24"/>
        </w:rPr>
        <w:t>s similar</w:t>
      </w:r>
      <w:r w:rsidR="00E45C97" w:rsidRPr="004C74BD">
        <w:rPr>
          <w:szCs w:val="24"/>
        </w:rPr>
        <w:t xml:space="preserve"> </w:t>
      </w:r>
      <w:r w:rsidR="00C3168F" w:rsidRPr="004C74BD">
        <w:rPr>
          <w:szCs w:val="24"/>
        </w:rPr>
        <w:t>transmission rider (</w:t>
      </w:r>
      <w:r w:rsidR="00737012">
        <w:rPr>
          <w:szCs w:val="24"/>
        </w:rPr>
        <w:t>“</w:t>
      </w:r>
      <w:r w:rsidR="00C3168F" w:rsidRPr="004C74BD">
        <w:rPr>
          <w:szCs w:val="24"/>
        </w:rPr>
        <w:t>Rider NMB</w:t>
      </w:r>
      <w:r w:rsidR="00737012">
        <w:rPr>
          <w:szCs w:val="24"/>
        </w:rPr>
        <w:t>”</w:t>
      </w:r>
      <w:r w:rsidR="00C3168F" w:rsidRPr="004C74BD">
        <w:rPr>
          <w:szCs w:val="24"/>
        </w:rPr>
        <w:t xml:space="preserve">) charged to consumers confirmed that allowing large industrial and commercial </w:t>
      </w:r>
      <w:r w:rsidR="00156DA4">
        <w:rPr>
          <w:szCs w:val="24"/>
        </w:rPr>
        <w:t xml:space="preserve">consumers </w:t>
      </w:r>
      <w:r w:rsidR="00C3168F" w:rsidRPr="004C74BD">
        <w:rPr>
          <w:szCs w:val="24"/>
        </w:rPr>
        <w:t xml:space="preserve">to opt out </w:t>
      </w:r>
      <w:r w:rsidR="00C3168F" w:rsidRPr="004C74BD">
        <w:t xml:space="preserve">of paying </w:t>
      </w:r>
      <w:r w:rsidR="007F324D">
        <w:t>the rider</w:t>
      </w:r>
      <w:r w:rsidR="00FF3EDD">
        <w:t xml:space="preserve"> </w:t>
      </w:r>
      <w:r w:rsidR="00C3168F" w:rsidRPr="004C74BD">
        <w:t>improperly shifted costs to residential utility consumers.</w:t>
      </w:r>
      <w:r>
        <w:rPr>
          <w:rStyle w:val="FootnoteReference"/>
        </w:rPr>
        <w:footnoteReference w:id="9"/>
      </w:r>
      <w:r w:rsidR="009C7E76">
        <w:t xml:space="preserve"> </w:t>
      </w:r>
    </w:p>
    <w:p w14:paraId="3084A118" w14:textId="32D9715E" w:rsidR="0065520F" w:rsidRDefault="00F5358D" w:rsidP="00CE75B8">
      <w:pPr>
        <w:pStyle w:val="BodyTextIndent3"/>
        <w:widowControl w:val="0"/>
        <w:spacing w:line="480" w:lineRule="auto"/>
        <w:ind w:right="-24"/>
        <w:rPr>
          <w:szCs w:val="24"/>
        </w:rPr>
      </w:pPr>
      <w:r w:rsidRPr="004C74BD">
        <w:rPr>
          <w:szCs w:val="24"/>
        </w:rPr>
        <w:t>Here, AE</w:t>
      </w:r>
      <w:r w:rsidR="00156DA4">
        <w:rPr>
          <w:szCs w:val="24"/>
        </w:rPr>
        <w:t>S</w:t>
      </w:r>
      <w:r w:rsidRPr="004C74BD">
        <w:rPr>
          <w:szCs w:val="24"/>
        </w:rPr>
        <w:t xml:space="preserve"> </w:t>
      </w:r>
      <w:r w:rsidR="00C3612B">
        <w:rPr>
          <w:szCs w:val="24"/>
        </w:rPr>
        <w:t xml:space="preserve">Ohio </w:t>
      </w:r>
      <w:r w:rsidRPr="004C74BD">
        <w:rPr>
          <w:szCs w:val="24"/>
        </w:rPr>
        <w:t xml:space="preserve">proposes to dramatically increase </w:t>
      </w:r>
      <w:r w:rsidR="00504B6D" w:rsidRPr="004C74BD">
        <w:rPr>
          <w:szCs w:val="24"/>
        </w:rPr>
        <w:t xml:space="preserve">what </w:t>
      </w:r>
      <w:r w:rsidRPr="004C74BD">
        <w:rPr>
          <w:szCs w:val="24"/>
        </w:rPr>
        <w:t xml:space="preserve">residential consumers </w:t>
      </w:r>
      <w:r w:rsidR="00504B6D" w:rsidRPr="004C74BD">
        <w:rPr>
          <w:szCs w:val="24"/>
        </w:rPr>
        <w:t xml:space="preserve">will pay under the </w:t>
      </w:r>
      <w:r w:rsidR="00156DA4">
        <w:rPr>
          <w:szCs w:val="24"/>
        </w:rPr>
        <w:t>TCRR</w:t>
      </w:r>
      <w:r w:rsidR="00504B6D" w:rsidRPr="004C74BD">
        <w:rPr>
          <w:szCs w:val="24"/>
        </w:rPr>
        <w:t xml:space="preserve"> </w:t>
      </w:r>
      <w:r w:rsidRPr="004C74BD">
        <w:rPr>
          <w:szCs w:val="24"/>
        </w:rPr>
        <w:t xml:space="preserve">by an enormous </w:t>
      </w:r>
      <w:r w:rsidR="00156DA4">
        <w:rPr>
          <w:szCs w:val="24"/>
        </w:rPr>
        <w:t>53</w:t>
      </w:r>
      <w:r w:rsidRPr="00D15A89">
        <w:rPr>
          <w:szCs w:val="24"/>
        </w:rPr>
        <w:t>%</w:t>
      </w:r>
      <w:r w:rsidRPr="004C74BD">
        <w:rPr>
          <w:b/>
          <w:bCs/>
          <w:szCs w:val="24"/>
        </w:rPr>
        <w:t xml:space="preserve"> </w:t>
      </w:r>
      <w:r w:rsidRPr="004C74BD">
        <w:rPr>
          <w:szCs w:val="24"/>
        </w:rPr>
        <w:t>over what they currently pay.</w:t>
      </w:r>
      <w:r>
        <w:rPr>
          <w:rStyle w:val="FootnoteReference"/>
          <w:szCs w:val="24"/>
        </w:rPr>
        <w:footnoteReference w:id="10"/>
      </w:r>
      <w:r w:rsidR="00911453" w:rsidRPr="004C74BD">
        <w:rPr>
          <w:szCs w:val="24"/>
        </w:rPr>
        <w:t xml:space="preserve"> </w:t>
      </w:r>
      <w:r>
        <w:rPr>
          <w:szCs w:val="24"/>
        </w:rPr>
        <w:t>It appears that part of</w:t>
      </w:r>
      <w:r w:rsidR="00FF3EDD">
        <w:rPr>
          <w:szCs w:val="24"/>
        </w:rPr>
        <w:t xml:space="preserve"> </w:t>
      </w:r>
      <w:r>
        <w:rPr>
          <w:szCs w:val="24"/>
        </w:rPr>
        <w:t>the dramatic increase to</w:t>
      </w:r>
      <w:r w:rsidR="00FF3EDD">
        <w:rPr>
          <w:szCs w:val="24"/>
        </w:rPr>
        <w:t xml:space="preserve"> </w:t>
      </w:r>
      <w:r>
        <w:rPr>
          <w:szCs w:val="24"/>
        </w:rPr>
        <w:t xml:space="preserve">residential consumers is attributable to </w:t>
      </w:r>
      <w:r w:rsidR="00504B6D" w:rsidRPr="004C74BD">
        <w:rPr>
          <w:szCs w:val="24"/>
        </w:rPr>
        <w:t>AE</w:t>
      </w:r>
      <w:r w:rsidR="00156DA4">
        <w:rPr>
          <w:szCs w:val="24"/>
        </w:rPr>
        <w:t>S</w:t>
      </w:r>
      <w:r w:rsidR="00504B6D" w:rsidRPr="004C74BD">
        <w:rPr>
          <w:szCs w:val="24"/>
        </w:rPr>
        <w:t xml:space="preserve"> </w:t>
      </w:r>
      <w:r w:rsidR="00C3612B">
        <w:rPr>
          <w:szCs w:val="24"/>
        </w:rPr>
        <w:t xml:space="preserve">Ohio </w:t>
      </w:r>
      <w:r>
        <w:rPr>
          <w:szCs w:val="24"/>
        </w:rPr>
        <w:t xml:space="preserve">reducing the transmission charges to </w:t>
      </w:r>
      <w:r w:rsidR="00156DA4">
        <w:rPr>
          <w:szCs w:val="24"/>
        </w:rPr>
        <w:t>smaller</w:t>
      </w:r>
      <w:r w:rsidR="00FF3EDD">
        <w:rPr>
          <w:szCs w:val="24"/>
        </w:rPr>
        <w:t xml:space="preserve"> </w:t>
      </w:r>
      <w:r w:rsidR="00124773">
        <w:rPr>
          <w:szCs w:val="24"/>
        </w:rPr>
        <w:t>non-residential consumers</w:t>
      </w:r>
      <w:r w:rsidR="00156DA4">
        <w:rPr>
          <w:szCs w:val="24"/>
        </w:rPr>
        <w:t xml:space="preserve"> by almost 22%.</w:t>
      </w:r>
      <w:r>
        <w:rPr>
          <w:rStyle w:val="FootnoteReference"/>
          <w:szCs w:val="24"/>
        </w:rPr>
        <w:footnoteReference w:id="11"/>
      </w:r>
      <w:r w:rsidR="009C7E76">
        <w:rPr>
          <w:szCs w:val="24"/>
        </w:rPr>
        <w:t xml:space="preserve"> </w:t>
      </w:r>
    </w:p>
    <w:p w14:paraId="3D4B7E46" w14:textId="4D5EC59D" w:rsidR="00DF328F" w:rsidRDefault="00F5358D" w:rsidP="00CE75B8">
      <w:pPr>
        <w:pStyle w:val="BodyTextIndent3"/>
        <w:widowControl w:val="0"/>
        <w:spacing w:line="480" w:lineRule="auto"/>
        <w:ind w:right="-24"/>
        <w:rPr>
          <w:szCs w:val="24"/>
        </w:rPr>
      </w:pPr>
      <w:r>
        <w:rPr>
          <w:szCs w:val="24"/>
        </w:rPr>
        <w:t xml:space="preserve">DP&amp;L’s </w:t>
      </w:r>
      <w:r w:rsidR="0065520F">
        <w:rPr>
          <w:szCs w:val="24"/>
        </w:rPr>
        <w:t>propos</w:t>
      </w:r>
      <w:r>
        <w:rPr>
          <w:szCs w:val="24"/>
        </w:rPr>
        <w:t>al to shift transmission costs from non-residential consumers to residential consumers</w:t>
      </w:r>
      <w:r w:rsidR="00FF3EDD">
        <w:rPr>
          <w:szCs w:val="24"/>
        </w:rPr>
        <w:t xml:space="preserve"> </w:t>
      </w:r>
      <w:r>
        <w:rPr>
          <w:szCs w:val="24"/>
        </w:rPr>
        <w:t xml:space="preserve">appears to be unjust, unreasonable, unjustly discriminatory, unjustly preferential and </w:t>
      </w:r>
      <w:r w:rsidR="00A5271A">
        <w:rPr>
          <w:szCs w:val="24"/>
        </w:rPr>
        <w:t xml:space="preserve">in violation of </w:t>
      </w:r>
      <w:r>
        <w:rPr>
          <w:szCs w:val="24"/>
        </w:rPr>
        <w:t>Ohio law (</w:t>
      </w:r>
      <w:r w:rsidR="00A5271A">
        <w:rPr>
          <w:szCs w:val="24"/>
        </w:rPr>
        <w:t xml:space="preserve">R.C. 4905. 33 and </w:t>
      </w:r>
      <w:r w:rsidR="00401F62">
        <w:rPr>
          <w:szCs w:val="24"/>
        </w:rPr>
        <w:t>4905</w:t>
      </w:r>
      <w:r w:rsidR="00A5271A">
        <w:rPr>
          <w:szCs w:val="24"/>
        </w:rPr>
        <w:t>.35</w:t>
      </w:r>
      <w:r w:rsidR="00401F62">
        <w:rPr>
          <w:szCs w:val="24"/>
        </w:rPr>
        <w:t>)</w:t>
      </w:r>
      <w:r>
        <w:rPr>
          <w:szCs w:val="24"/>
        </w:rPr>
        <w:t>.</w:t>
      </w:r>
      <w:r w:rsidR="00FF3EDD">
        <w:rPr>
          <w:szCs w:val="24"/>
        </w:rPr>
        <w:t xml:space="preserve"> </w:t>
      </w:r>
      <w:r w:rsidR="005B2C2F" w:rsidRPr="004C74BD">
        <w:rPr>
          <w:szCs w:val="24"/>
        </w:rPr>
        <w:t>AE</w:t>
      </w:r>
      <w:r w:rsidR="00156DA4">
        <w:rPr>
          <w:szCs w:val="24"/>
        </w:rPr>
        <w:t>S</w:t>
      </w:r>
      <w:r w:rsidR="00C3612B">
        <w:rPr>
          <w:szCs w:val="24"/>
        </w:rPr>
        <w:t xml:space="preserve"> Ohio’s</w:t>
      </w:r>
      <w:r w:rsidR="005B2C2F" w:rsidRPr="004C74BD">
        <w:rPr>
          <w:szCs w:val="24"/>
        </w:rPr>
        <w:t xml:space="preserve"> proposal</w:t>
      </w:r>
      <w:r w:rsidR="00504B6D" w:rsidRPr="004C74BD">
        <w:rPr>
          <w:szCs w:val="24"/>
        </w:rPr>
        <w:t xml:space="preserve"> is on top of </w:t>
      </w:r>
      <w:r w:rsidR="005B2C2F" w:rsidRPr="004C74BD">
        <w:rPr>
          <w:szCs w:val="24"/>
        </w:rPr>
        <w:t>AE</w:t>
      </w:r>
      <w:r w:rsidR="00156DA4">
        <w:rPr>
          <w:szCs w:val="24"/>
        </w:rPr>
        <w:t>S</w:t>
      </w:r>
      <w:r w:rsidR="005B2C2F" w:rsidRPr="004C74BD">
        <w:rPr>
          <w:szCs w:val="24"/>
        </w:rPr>
        <w:t xml:space="preserve"> </w:t>
      </w:r>
      <w:r w:rsidR="00C3612B">
        <w:rPr>
          <w:szCs w:val="24"/>
        </w:rPr>
        <w:t xml:space="preserve">Ohio </w:t>
      </w:r>
      <w:r w:rsidR="00504B6D" w:rsidRPr="004C74BD">
        <w:rPr>
          <w:szCs w:val="24"/>
        </w:rPr>
        <w:t xml:space="preserve">already allowing </w:t>
      </w:r>
      <w:r w:rsidR="005B2C2F" w:rsidRPr="004C74BD">
        <w:rPr>
          <w:szCs w:val="24"/>
        </w:rPr>
        <w:t>certain</w:t>
      </w:r>
      <w:r w:rsidR="004C74BD">
        <w:rPr>
          <w:szCs w:val="24"/>
        </w:rPr>
        <w:t xml:space="preserve"> </w:t>
      </w:r>
      <w:r w:rsidR="00504B6D" w:rsidRPr="004C74BD">
        <w:rPr>
          <w:szCs w:val="24"/>
        </w:rPr>
        <w:t xml:space="preserve">large industrial and commercial consumers to opt out from paying </w:t>
      </w:r>
      <w:r w:rsidR="00504B6D" w:rsidRPr="004C74BD">
        <w:rPr>
          <w:i/>
          <w:iCs/>
          <w:szCs w:val="24"/>
        </w:rPr>
        <w:t>any</w:t>
      </w:r>
      <w:r w:rsidR="000D234F" w:rsidRPr="004C74BD">
        <w:rPr>
          <w:szCs w:val="24"/>
        </w:rPr>
        <w:t xml:space="preserve"> </w:t>
      </w:r>
      <w:r w:rsidR="00156DA4">
        <w:rPr>
          <w:szCs w:val="24"/>
        </w:rPr>
        <w:t>TCRR</w:t>
      </w:r>
      <w:r w:rsidR="000D234F" w:rsidRPr="004C74BD">
        <w:rPr>
          <w:szCs w:val="24"/>
        </w:rPr>
        <w:t xml:space="preserve"> charges through AE</w:t>
      </w:r>
      <w:r w:rsidR="00156DA4">
        <w:rPr>
          <w:szCs w:val="24"/>
        </w:rPr>
        <w:t>S</w:t>
      </w:r>
      <w:r w:rsidR="00C3612B">
        <w:rPr>
          <w:szCs w:val="24"/>
        </w:rPr>
        <w:t xml:space="preserve"> Ohio’s</w:t>
      </w:r>
      <w:r w:rsidR="000D234F" w:rsidRPr="004C74BD">
        <w:rPr>
          <w:szCs w:val="24"/>
        </w:rPr>
        <w:t xml:space="preserve"> </w:t>
      </w:r>
      <w:r w:rsidR="00156DA4">
        <w:rPr>
          <w:szCs w:val="24"/>
        </w:rPr>
        <w:t>TCRR</w:t>
      </w:r>
      <w:r w:rsidR="000D234F" w:rsidRPr="004C74BD">
        <w:rPr>
          <w:szCs w:val="24"/>
        </w:rPr>
        <w:t xml:space="preserve"> pilot program.</w:t>
      </w:r>
      <w:r w:rsidR="00504B6D" w:rsidRPr="004C74BD">
        <w:rPr>
          <w:szCs w:val="24"/>
        </w:rPr>
        <w:t xml:space="preserve"> </w:t>
      </w:r>
    </w:p>
    <w:p w14:paraId="6FDD26B1" w14:textId="135505B4" w:rsidR="00B56727" w:rsidRPr="004C74BD" w:rsidRDefault="00F5358D" w:rsidP="00CE75B8">
      <w:pPr>
        <w:pStyle w:val="BodyTextIndent3"/>
        <w:widowControl w:val="0"/>
        <w:spacing w:line="480" w:lineRule="auto"/>
        <w:ind w:right="-24"/>
        <w:rPr>
          <w:szCs w:val="24"/>
        </w:rPr>
      </w:pPr>
      <w:r w:rsidRPr="004C74BD">
        <w:rPr>
          <w:szCs w:val="24"/>
        </w:rPr>
        <w:lastRenderedPageBreak/>
        <w:t>AE</w:t>
      </w:r>
      <w:r w:rsidR="00CE75B8">
        <w:rPr>
          <w:szCs w:val="24"/>
        </w:rPr>
        <w:t>S</w:t>
      </w:r>
      <w:r w:rsidRPr="004C74BD">
        <w:rPr>
          <w:szCs w:val="24"/>
        </w:rPr>
        <w:t xml:space="preserve"> </w:t>
      </w:r>
      <w:r w:rsidR="00C3612B">
        <w:rPr>
          <w:szCs w:val="24"/>
        </w:rPr>
        <w:t xml:space="preserve">Ohio </w:t>
      </w:r>
      <w:r w:rsidRPr="004C74BD">
        <w:rPr>
          <w:szCs w:val="24"/>
        </w:rPr>
        <w:t xml:space="preserve">provides </w:t>
      </w:r>
      <w:r w:rsidR="00DF328F">
        <w:rPr>
          <w:szCs w:val="24"/>
        </w:rPr>
        <w:t>little</w:t>
      </w:r>
      <w:r w:rsidR="00DF328F" w:rsidRPr="004C74BD">
        <w:rPr>
          <w:szCs w:val="24"/>
        </w:rPr>
        <w:t xml:space="preserve"> </w:t>
      </w:r>
      <w:r w:rsidRPr="004C74BD">
        <w:rPr>
          <w:szCs w:val="24"/>
        </w:rPr>
        <w:t xml:space="preserve">evidence to support </w:t>
      </w:r>
      <w:r w:rsidR="00CE75B8">
        <w:rPr>
          <w:szCs w:val="24"/>
        </w:rPr>
        <w:t xml:space="preserve">this burdensome </w:t>
      </w:r>
      <w:r w:rsidR="00DF328F">
        <w:rPr>
          <w:szCs w:val="24"/>
        </w:rPr>
        <w:t xml:space="preserve">53% </w:t>
      </w:r>
      <w:r w:rsidRPr="004C74BD">
        <w:rPr>
          <w:szCs w:val="24"/>
        </w:rPr>
        <w:t>increas</w:t>
      </w:r>
      <w:r w:rsidR="00CE75B8">
        <w:rPr>
          <w:szCs w:val="24"/>
        </w:rPr>
        <w:t xml:space="preserve">e </w:t>
      </w:r>
      <w:r w:rsidR="00DF328F">
        <w:rPr>
          <w:szCs w:val="24"/>
        </w:rPr>
        <w:t>to</w:t>
      </w:r>
      <w:r w:rsidR="00FF3EDD">
        <w:rPr>
          <w:szCs w:val="24"/>
        </w:rPr>
        <w:t xml:space="preserve"> </w:t>
      </w:r>
      <w:r w:rsidRPr="004C74BD">
        <w:rPr>
          <w:szCs w:val="24"/>
        </w:rPr>
        <w:t xml:space="preserve">residential consumers. </w:t>
      </w:r>
      <w:r w:rsidR="000D234F" w:rsidRPr="004C74BD">
        <w:rPr>
          <w:szCs w:val="24"/>
        </w:rPr>
        <w:t>The PUCO should say no.</w:t>
      </w:r>
    </w:p>
    <w:p w14:paraId="3E1B6A4D" w14:textId="0C743E16" w:rsidR="00194841" w:rsidRPr="004C74BD" w:rsidRDefault="00F5358D" w:rsidP="00AE32AB">
      <w:pPr>
        <w:pStyle w:val="Heading2"/>
      </w:pPr>
      <w:bookmarkStart w:id="11" w:name="_Toc164862644"/>
      <w:r w:rsidRPr="004C74BD">
        <w:t xml:space="preserve">The PUCO should </w:t>
      </w:r>
      <w:r w:rsidR="000D148C" w:rsidRPr="004C74BD">
        <w:t>order an audit of AE</w:t>
      </w:r>
      <w:r w:rsidR="00E77798">
        <w:t>S</w:t>
      </w:r>
      <w:r w:rsidR="00C3612B">
        <w:t xml:space="preserve"> Ohio</w:t>
      </w:r>
      <w:r w:rsidR="00E77798">
        <w:t>’</w:t>
      </w:r>
      <w:r w:rsidR="00C3612B">
        <w:t>s</w:t>
      </w:r>
      <w:r w:rsidR="000D148C" w:rsidRPr="004C74BD">
        <w:t xml:space="preserve"> Pilot Program</w:t>
      </w:r>
      <w:r w:rsidR="00FF3EDD">
        <w:t xml:space="preserve"> </w:t>
      </w:r>
      <w:r w:rsidR="00563CF8">
        <w:t>and make Tariff T</w:t>
      </w:r>
      <w:r w:rsidR="00613C0A">
        <w:t>CRR subject to refund based on the auditor’s findings regarding cost shifting</w:t>
      </w:r>
      <w:r w:rsidR="00AE32AB">
        <w:t>.</w:t>
      </w:r>
      <w:bookmarkEnd w:id="11"/>
    </w:p>
    <w:p w14:paraId="56C4607D" w14:textId="0BD51E2D" w:rsidR="00732101" w:rsidRDefault="00F5358D" w:rsidP="00F2025C">
      <w:pPr>
        <w:spacing w:line="480" w:lineRule="auto"/>
        <w:ind w:firstLine="720"/>
      </w:pPr>
      <w:r>
        <w:t>T</w:t>
      </w:r>
      <w:r w:rsidR="007F7FAA" w:rsidRPr="004C74BD">
        <w:t xml:space="preserve">he PUCO </w:t>
      </w:r>
      <w:r>
        <w:t xml:space="preserve">should </w:t>
      </w:r>
      <w:r w:rsidR="007F7FAA" w:rsidRPr="004C74BD">
        <w:t>order an independent audit of AE</w:t>
      </w:r>
      <w:r w:rsidR="001C7615">
        <w:t>S</w:t>
      </w:r>
      <w:r w:rsidR="00C3612B">
        <w:t xml:space="preserve"> Ohio</w:t>
      </w:r>
      <w:r w:rsidR="001C7615">
        <w:t>’</w:t>
      </w:r>
      <w:r w:rsidR="00C3612B">
        <w:t>s</w:t>
      </w:r>
      <w:r w:rsidR="007F7FAA" w:rsidRPr="004C74BD">
        <w:t xml:space="preserve"> pilot program</w:t>
      </w:r>
      <w:r w:rsidR="00B904B1" w:rsidRPr="004C74BD">
        <w:t xml:space="preserve"> to determine </w:t>
      </w:r>
      <w:r>
        <w:t xml:space="preserve">the extent of </w:t>
      </w:r>
      <w:r w:rsidR="00B904B1" w:rsidRPr="004C74BD">
        <w:t xml:space="preserve">cost-shifting to residential consumers </w:t>
      </w:r>
      <w:proofErr w:type="gramStart"/>
      <w:r w:rsidR="00B904B1" w:rsidRPr="004C74BD">
        <w:t>as a result of</w:t>
      </w:r>
      <w:proofErr w:type="gramEnd"/>
      <w:r w:rsidR="00B904B1" w:rsidRPr="004C74BD">
        <w:t xml:space="preserve"> the pilot</w:t>
      </w:r>
      <w:r w:rsidR="007F7FAA" w:rsidRPr="004C74BD">
        <w:t xml:space="preserve">. </w:t>
      </w:r>
      <w:r>
        <w:t xml:space="preserve">This is especially important given </w:t>
      </w:r>
      <w:r w:rsidRPr="004C74BD">
        <w:t xml:space="preserve">the audit of </w:t>
      </w:r>
      <w:r w:rsidR="00BF6156">
        <w:t>FirstEnergy’s</w:t>
      </w:r>
      <w:r w:rsidRPr="004C74BD">
        <w:t xml:space="preserve"> similar Rider NMB disclosed improper </w:t>
      </w:r>
      <w:r w:rsidR="00B02692">
        <w:t xml:space="preserve">cost shifting to consumers who could not participate in the pilot, including </w:t>
      </w:r>
      <w:r w:rsidRPr="004C74BD">
        <w:t>residential consumers.</w:t>
      </w:r>
      <w:r>
        <w:rPr>
          <w:rStyle w:val="FootnoteReference"/>
        </w:rPr>
        <w:footnoteReference w:id="12"/>
      </w:r>
    </w:p>
    <w:p w14:paraId="0E1BE91B" w14:textId="75C9A16C" w:rsidR="00132599" w:rsidRDefault="00F5358D" w:rsidP="00F2025C">
      <w:pPr>
        <w:spacing w:line="480" w:lineRule="auto"/>
        <w:ind w:firstLine="720"/>
      </w:pPr>
      <w:r>
        <w:t xml:space="preserve">Further, an independent audit becomes critical </w:t>
      </w:r>
      <w:r w:rsidR="00DF328F">
        <w:t>because the PUCO has</w:t>
      </w:r>
      <w:r w:rsidR="00FF3EDD">
        <w:t xml:space="preserve"> </w:t>
      </w:r>
      <w:r w:rsidR="00DF328F">
        <w:t>turned the</w:t>
      </w:r>
      <w:r w:rsidR="00FF3EDD">
        <w:t xml:space="preserve"> </w:t>
      </w:r>
      <w:r w:rsidR="009A3AE3">
        <w:t>pilot into a permanent</w:t>
      </w:r>
      <w:r w:rsidR="00DF328F">
        <w:t>,</w:t>
      </w:r>
      <w:r w:rsidR="009A3AE3">
        <w:t xml:space="preserve"> ongoing </w:t>
      </w:r>
      <w:r w:rsidR="00DF328F">
        <w:t xml:space="preserve">preferential </w:t>
      </w:r>
      <w:r w:rsidR="009A3AE3">
        <w:t>tariffed rate</w:t>
      </w:r>
      <w:r w:rsidR="00DF328F">
        <w:t xml:space="preserve"> to non-</w:t>
      </w:r>
      <w:r w:rsidR="003F5A34">
        <w:t>residential</w:t>
      </w:r>
      <w:r w:rsidR="00DF328F">
        <w:t xml:space="preserve"> consumers.</w:t>
      </w:r>
      <w:r w:rsidR="00FF3EDD">
        <w:t xml:space="preserve"> </w:t>
      </w:r>
      <w:r w:rsidR="009A3AE3">
        <w:t xml:space="preserve">Even though the </w:t>
      </w:r>
      <w:r w:rsidR="00DF328F">
        <w:t xml:space="preserve">opt out </w:t>
      </w:r>
      <w:r w:rsidR="009A3AE3">
        <w:t xml:space="preserve">pilot is scheduled to end, </w:t>
      </w:r>
      <w:r>
        <w:t>AES Ohio will bill all “non-residential customers taking service at primary voltage and above, and any non-residential customers taking service at secondary voltage that opt-in, for all Transmission Cost Recovery Rider (TCRR) demand charges on the basis of their Network Service Peak Load (NSPL).”</w:t>
      </w:r>
      <w:r>
        <w:rPr>
          <w:rStyle w:val="FootnoteReference"/>
        </w:rPr>
        <w:footnoteReference w:id="13"/>
      </w:r>
      <w:r w:rsidR="009C7E76">
        <w:t xml:space="preserve"> </w:t>
      </w:r>
      <w:r>
        <w:t>The Pilot Opt-Out Program will end once the NSPL billing is effective.</w:t>
      </w:r>
      <w:r>
        <w:rPr>
          <w:rStyle w:val="FootnoteReference"/>
        </w:rPr>
        <w:footnoteReference w:id="14"/>
      </w:r>
      <w:r w:rsidR="00FF3EDD">
        <w:t xml:space="preserve"> </w:t>
      </w:r>
      <w:r w:rsidR="00B02692">
        <w:t>In other words</w:t>
      </w:r>
      <w:r w:rsidR="00C865E0">
        <w:t>, even though the pilot is ending,</w:t>
      </w:r>
      <w:r w:rsidR="00FF3EDD">
        <w:t xml:space="preserve"> </w:t>
      </w:r>
      <w:r w:rsidR="00B02692">
        <w:t xml:space="preserve">AES </w:t>
      </w:r>
      <w:r w:rsidR="00401F62">
        <w:t xml:space="preserve">Ohio </w:t>
      </w:r>
      <w:r w:rsidR="00B02692">
        <w:t>will be allowed to separately bill</w:t>
      </w:r>
      <w:r w:rsidR="00FF3EDD">
        <w:t xml:space="preserve"> </w:t>
      </w:r>
      <w:r w:rsidR="00B02692">
        <w:t xml:space="preserve">all non-residential consumers based on their own load, as opposed to billing them under the transmission rider. </w:t>
      </w:r>
      <w:r w:rsidR="00454E97">
        <w:t>This accomplishes the same objective as the pilot.</w:t>
      </w:r>
      <w:r w:rsidR="00FF3EDD">
        <w:t xml:space="preserve"> </w:t>
      </w:r>
    </w:p>
    <w:p w14:paraId="2F99BC01" w14:textId="01F0B936" w:rsidR="009A3AE3" w:rsidRDefault="00F5358D" w:rsidP="00FA7AD1">
      <w:pPr>
        <w:spacing w:line="480" w:lineRule="auto"/>
        <w:ind w:firstLine="720"/>
      </w:pPr>
      <w:r>
        <w:lastRenderedPageBreak/>
        <w:t>Although the PUCO has directed that “(t)his change in transmission billing shall not shift any transmission costs to residential customers</w:t>
      </w:r>
      <w:r w:rsidR="00BF6156">
        <w:t>,</w:t>
      </w:r>
      <w:r>
        <w:t>”</w:t>
      </w:r>
      <w:r>
        <w:rPr>
          <w:rStyle w:val="FootnoteReference"/>
        </w:rPr>
        <w:footnoteReference w:id="15"/>
      </w:r>
      <w:r>
        <w:t xml:space="preserve"> t</w:t>
      </w:r>
      <w:r w:rsidR="00C865E0">
        <w:t xml:space="preserve">he </w:t>
      </w:r>
      <w:r>
        <w:t xml:space="preserve">FirstEnergy audit </w:t>
      </w:r>
      <w:r w:rsidR="00B02692">
        <w:t>shows just how much cost shifting can occur</w:t>
      </w:r>
      <w:r>
        <w:t xml:space="preserve"> when non-residential consumers are able to secure transmission based on their unique load</w:t>
      </w:r>
      <w:r w:rsidR="00B02692">
        <w:t>.</w:t>
      </w:r>
      <w:r w:rsidR="00FF3EDD">
        <w:t xml:space="preserve"> </w:t>
      </w:r>
      <w:r w:rsidR="00C865E0">
        <w:t xml:space="preserve">And if no cost shifting is supposed to occur, then why is DP&amp;L </w:t>
      </w:r>
      <w:r w:rsidR="00DF328F">
        <w:t xml:space="preserve">seeking </w:t>
      </w:r>
      <w:r w:rsidR="00C865E0">
        <w:t>to increase the allocation of transmission costs to residential consumers?</w:t>
      </w:r>
      <w:r w:rsidR="00FF3EDD">
        <w:t xml:space="preserve"> </w:t>
      </w:r>
      <w:r w:rsidR="00C865E0">
        <w:t xml:space="preserve">This effectively undermines the protection residential consumers thought they had when the PUCO said there will not be </w:t>
      </w:r>
      <w:r>
        <w:t>shifting</w:t>
      </w:r>
      <w:r w:rsidR="00C865E0">
        <w:t xml:space="preserve"> of transmission costs to residential consumers</w:t>
      </w:r>
      <w:r w:rsidR="00454E97">
        <w:t xml:space="preserve"> under the new transmission </w:t>
      </w:r>
      <w:r w:rsidR="00DF328F">
        <w:t xml:space="preserve">NPSL </w:t>
      </w:r>
      <w:r w:rsidR="00914B25">
        <w:t>billing</w:t>
      </w:r>
      <w:r w:rsidR="00DF328F">
        <w:t>.</w:t>
      </w:r>
    </w:p>
    <w:p w14:paraId="249BB1F1" w14:textId="22645460" w:rsidR="000D148C" w:rsidRDefault="00F5358D" w:rsidP="009A3AE3">
      <w:pPr>
        <w:spacing w:line="480" w:lineRule="auto"/>
        <w:ind w:firstLine="720"/>
      </w:pPr>
      <w:r>
        <w:t>T</w:t>
      </w:r>
      <w:r w:rsidR="007F7FAA" w:rsidRPr="004C74BD">
        <w:t xml:space="preserve">he PUCO should solicit bids </w:t>
      </w:r>
      <w:r w:rsidR="000963F5" w:rsidRPr="004C74BD">
        <w:t xml:space="preserve">to secure an independent auditor to </w:t>
      </w:r>
      <w:r w:rsidR="007F7FAA" w:rsidRPr="004C74BD">
        <w:t>audit</w:t>
      </w:r>
      <w:r w:rsidR="009A44B9" w:rsidRPr="004C74BD">
        <w:t xml:space="preserve"> </w:t>
      </w:r>
      <w:r w:rsidR="000963F5" w:rsidRPr="004C74BD">
        <w:t xml:space="preserve">the pilot </w:t>
      </w:r>
      <w:r w:rsidR="00FA7AD1">
        <w:t>program</w:t>
      </w:r>
      <w:r>
        <w:t>.</w:t>
      </w:r>
      <w:r w:rsidR="00FF3EDD">
        <w:t xml:space="preserve"> </w:t>
      </w:r>
      <w:r>
        <w:t xml:space="preserve">The Auditor should also be exploring the impact of allowing all </w:t>
      </w:r>
      <w:r w:rsidR="00454E97">
        <w:t>non-residential consumers to be billed for transmission</w:t>
      </w:r>
      <w:r w:rsidR="00FF3EDD">
        <w:t xml:space="preserve"> </w:t>
      </w:r>
      <w:r>
        <w:t xml:space="preserve">based on </w:t>
      </w:r>
      <w:r w:rsidR="00454E97">
        <w:t>their</w:t>
      </w:r>
      <w:r w:rsidR="00FF3EDD">
        <w:t xml:space="preserve"> </w:t>
      </w:r>
      <w:r>
        <w:t>own unique load</w:t>
      </w:r>
      <w:r w:rsidR="007F7FAA" w:rsidRPr="004C74BD">
        <w:t xml:space="preserve">. </w:t>
      </w:r>
      <w:r w:rsidR="00914B25">
        <w:t xml:space="preserve">Once complete, the PUCO should consider the audit findings and determine whether billing non-residential consumers under their own NSPL is </w:t>
      </w:r>
      <w:r w:rsidR="00DF328F">
        <w:t>in any respect unjust, unreasonable, unjustly discriminatory, unjustly preferential or in violation of Ohio law.</w:t>
      </w:r>
      <w:r w:rsidR="00FF3EDD">
        <w:t xml:space="preserve"> </w:t>
      </w:r>
      <w:r w:rsidR="00613C0A">
        <w:t>In addition, the TCRR Tariff should be collected subject to refund if the auditor finds that cost-shifting has occurred.</w:t>
      </w:r>
    </w:p>
    <w:p w14:paraId="409F9920" w14:textId="47CFEB94" w:rsidR="00493BA4" w:rsidRDefault="00F5358D" w:rsidP="00493BA4">
      <w:pPr>
        <w:pStyle w:val="Heading2"/>
      </w:pPr>
      <w:bookmarkStart w:id="12" w:name="_Toc164862645"/>
      <w:r>
        <w:t xml:space="preserve">If the PUCO approves the TCRR, then </w:t>
      </w:r>
      <w:r w:rsidR="00BE579A">
        <w:t>the PUCO</w:t>
      </w:r>
      <w:r>
        <w:t xml:space="preserve"> should </w:t>
      </w:r>
      <w:r w:rsidR="00901FC0">
        <w:t xml:space="preserve">protect consumers by ordering the TCRR be collected subject to refund </w:t>
      </w:r>
      <w:r w:rsidR="00401F62">
        <w:t xml:space="preserve">pending two FERC rulings regarding </w:t>
      </w:r>
      <w:r w:rsidR="00237B18">
        <w:t xml:space="preserve">possible </w:t>
      </w:r>
      <w:r w:rsidR="00401F62">
        <w:t>improper charges to consumers</w:t>
      </w:r>
      <w:bookmarkEnd w:id="12"/>
    </w:p>
    <w:p w14:paraId="49431995" w14:textId="114FBA46" w:rsidR="00493BA4" w:rsidRDefault="00F5358D" w:rsidP="00493BA4">
      <w:pPr>
        <w:spacing w:line="480" w:lineRule="auto"/>
        <w:ind w:firstLine="720"/>
      </w:pPr>
      <w:r>
        <w:t>If the PUCO approves the TCRR, then it should order AES</w:t>
      </w:r>
      <w:r w:rsidR="00C3612B">
        <w:t xml:space="preserve"> Ohio</w:t>
      </w:r>
      <w:r>
        <w:t xml:space="preserve"> to collect the </w:t>
      </w:r>
      <w:r w:rsidR="00901FC0">
        <w:t xml:space="preserve">TCRR </w:t>
      </w:r>
      <w:r>
        <w:t>rates subject to refund.</w:t>
      </w:r>
      <w:r w:rsidR="009C7E76">
        <w:t xml:space="preserve"> </w:t>
      </w:r>
      <w:r>
        <w:t xml:space="preserve">The need for refund language </w:t>
      </w:r>
      <w:r w:rsidR="00DF328F">
        <w:t>in AES</w:t>
      </w:r>
      <w:r w:rsidR="00401F62">
        <w:t xml:space="preserve"> Ohio</w:t>
      </w:r>
      <w:r w:rsidR="00DF328F">
        <w:t xml:space="preserve">’s tariff </w:t>
      </w:r>
      <w:r>
        <w:t xml:space="preserve">arises </w:t>
      </w:r>
      <w:r>
        <w:lastRenderedPageBreak/>
        <w:t xml:space="preserve">from </w:t>
      </w:r>
      <w:r w:rsidR="00CC01DB">
        <w:t xml:space="preserve">both </w:t>
      </w:r>
      <w:r w:rsidR="00454E97">
        <w:t>OCC’s complaint pending</w:t>
      </w:r>
      <w:r w:rsidR="00FF3EDD">
        <w:t xml:space="preserve"> </w:t>
      </w:r>
      <w:r w:rsidR="00CC01DB">
        <w:t>before FERC</w:t>
      </w:r>
      <w:r>
        <w:rPr>
          <w:rStyle w:val="FootnoteReference"/>
        </w:rPr>
        <w:footnoteReference w:id="16"/>
      </w:r>
      <w:r w:rsidR="00CC01DB">
        <w:t xml:space="preserve"> and a</w:t>
      </w:r>
      <w:r>
        <w:t xml:space="preserve"> new FERC rulemaking</w:t>
      </w:r>
      <w:r w:rsidR="00BE579A">
        <w:t xml:space="preserve"> on reactive power</w:t>
      </w:r>
      <w:r>
        <w:t>.</w:t>
      </w:r>
      <w:r>
        <w:rPr>
          <w:rStyle w:val="FootnoteReference"/>
        </w:rPr>
        <w:footnoteReference w:id="17"/>
      </w:r>
      <w:r w:rsidR="009C7E76">
        <w:t xml:space="preserve"> </w:t>
      </w:r>
    </w:p>
    <w:p w14:paraId="59404A22" w14:textId="2265CC28" w:rsidR="00CC01DB" w:rsidRPr="00D250E5" w:rsidRDefault="00F5358D" w:rsidP="00AD08AD">
      <w:pPr>
        <w:pStyle w:val="Heading3"/>
        <w:numPr>
          <w:ilvl w:val="0"/>
          <w:numId w:val="27"/>
        </w:numPr>
        <w:ind w:left="2160" w:hanging="720"/>
        <w:rPr>
          <w:b/>
          <w:bCs/>
        </w:rPr>
      </w:pPr>
      <w:bookmarkStart w:id="13" w:name="_Toc164862646"/>
      <w:r w:rsidRPr="00D250E5">
        <w:rPr>
          <w:b/>
          <w:bCs/>
        </w:rPr>
        <w:t>If the PUCO approves the TCRR it should be made subject to refund pending the outcome of OCC’s Complaint at FERC</w:t>
      </w:r>
      <w:r w:rsidR="001B7182" w:rsidRPr="00D250E5">
        <w:rPr>
          <w:b/>
          <w:bCs/>
        </w:rPr>
        <w:t>.</w:t>
      </w:r>
      <w:bookmarkEnd w:id="13"/>
    </w:p>
    <w:p w14:paraId="0920FF36" w14:textId="4035A0BB" w:rsidR="00901FC0" w:rsidRDefault="00F5358D" w:rsidP="00901FC0">
      <w:pPr>
        <w:spacing w:line="480" w:lineRule="auto"/>
        <w:ind w:firstLine="720"/>
      </w:pPr>
      <w:r w:rsidRPr="009E339E">
        <w:t>Ohio utility consumers face an immediate risk of substantial harm. OCC has long warned of the harm to consumers from utility charges for costly and unnecessary supplemental transmission projects.</w:t>
      </w:r>
      <w:r>
        <w:rPr>
          <w:vertAlign w:val="superscript"/>
        </w:rPr>
        <w:footnoteReference w:id="18"/>
      </w:r>
      <w:r w:rsidRPr="009E339E">
        <w:t xml:space="preserve"> There is little to no regulatory oversight of the necessity or prudence of supplemental transmission project</w:t>
      </w:r>
      <w:r>
        <w:t xml:space="preserve"> cost</w:t>
      </w:r>
      <w:r w:rsidRPr="009E339E">
        <w:t>s at the state or federal level. The PUCO</w:t>
      </w:r>
      <w:r>
        <w:t xml:space="preserve"> recently</w:t>
      </w:r>
      <w:r w:rsidRPr="009E339E">
        <w:t xml:space="preserve"> acknowledged this “regulatory gap” in </w:t>
      </w:r>
      <w:r>
        <w:t>First Energy’s annual Rider NMB update case.</w:t>
      </w:r>
      <w:r>
        <w:rPr>
          <w:rStyle w:val="FootnoteReference"/>
        </w:rPr>
        <w:footnoteReference w:id="19"/>
      </w:r>
      <w:r w:rsidRPr="009E339E">
        <w:t xml:space="preserve"> </w:t>
      </w:r>
      <w:r>
        <w:t>Consistent with the PUCO’s recognition of this “regulatory gap” and to protect consumers by addressing these supplemental transmission cost issues, OCC in September 2023 filed a complaint regarding supplemental transmission projects at FERC.</w:t>
      </w:r>
      <w:r>
        <w:rPr>
          <w:rStyle w:val="FootnoteReference"/>
        </w:rPr>
        <w:footnoteReference w:id="20"/>
      </w:r>
      <w:r w:rsidR="00AA3CA3" w:rsidRPr="00AA3CA3">
        <w:t xml:space="preserve"> In response to the complaint, the PUCO’s Office of the Federal Energy Advocate agreed that there is a “regulatory gap” regarding supplemental transmission projects.</w:t>
      </w:r>
      <w:r>
        <w:rPr>
          <w:vertAlign w:val="superscript"/>
        </w:rPr>
        <w:footnoteReference w:id="21"/>
      </w:r>
    </w:p>
    <w:p w14:paraId="7E128193" w14:textId="77777777" w:rsidR="00901FC0" w:rsidRPr="00901FC0" w:rsidRDefault="00F5358D" w:rsidP="00901FC0">
      <w:pPr>
        <w:spacing w:line="480" w:lineRule="auto"/>
        <w:ind w:firstLine="720"/>
      </w:pPr>
      <w:r w:rsidRPr="00901FC0">
        <w:lastRenderedPageBreak/>
        <w:t>PUCO Chair French, in remarks before the General Assembly, testified that to the extent the law allows, the PUCO can and has allowed for consumer refunds.</w:t>
      </w:r>
      <w:r>
        <w:rPr>
          <w:vertAlign w:val="superscript"/>
        </w:rPr>
        <w:footnoteReference w:id="22"/>
      </w:r>
      <w:r w:rsidRPr="00901FC0">
        <w:t xml:space="preserve"> And she testified she intends to continue that practice. </w:t>
      </w:r>
    </w:p>
    <w:p w14:paraId="2701EF8C" w14:textId="5D4FB41A" w:rsidR="00901FC0" w:rsidRPr="00901FC0" w:rsidRDefault="00F5358D" w:rsidP="00901FC0">
      <w:pPr>
        <w:spacing w:line="480" w:lineRule="auto"/>
        <w:ind w:firstLine="720"/>
      </w:pPr>
      <w:r w:rsidRPr="00901FC0">
        <w:t>Consistent with Chair French’s remarks, and to prevent injury to the public and avoid irreparable harm to consumers, the PUCO should exercise its discretionary power under Ohio law to protect AE</w:t>
      </w:r>
      <w:r>
        <w:t>S Ohio</w:t>
      </w:r>
      <w:r w:rsidRPr="00901FC0">
        <w:t xml:space="preserve"> consumers.</w:t>
      </w:r>
      <w:r>
        <w:rPr>
          <w:vertAlign w:val="superscript"/>
        </w:rPr>
        <w:footnoteReference w:id="23"/>
      </w:r>
      <w:r w:rsidRPr="00901FC0">
        <w:t xml:space="preserve"> </w:t>
      </w:r>
      <w:bookmarkStart w:id="15" w:name="_Hlk164434575"/>
      <w:r w:rsidRPr="00901FC0">
        <w:t>The PUCO should require that AE</w:t>
      </w:r>
      <w:r w:rsidR="00AA3CA3">
        <w:t xml:space="preserve">S Ohio </w:t>
      </w:r>
      <w:r w:rsidRPr="00901FC0">
        <w:t xml:space="preserve">include in its tariffs language providing for refunds to consumers if FERC determines, </w:t>
      </w:r>
      <w:proofErr w:type="gramStart"/>
      <w:r w:rsidRPr="00901FC0">
        <w:t>as a result of</w:t>
      </w:r>
      <w:proofErr w:type="gramEnd"/>
      <w:r w:rsidRPr="00901FC0">
        <w:t xml:space="preserve"> OCC’s Complaint, that supplemental transmission project costs charged to consumers are improper and unreasonable. </w:t>
      </w:r>
    </w:p>
    <w:bookmarkEnd w:id="15"/>
    <w:p w14:paraId="45DA9113" w14:textId="438911C0" w:rsidR="00CC01DB" w:rsidRPr="009E339E" w:rsidRDefault="00F5358D" w:rsidP="00CC01DB">
      <w:pPr>
        <w:spacing w:line="480" w:lineRule="auto"/>
        <w:ind w:firstLine="720"/>
      </w:pPr>
      <w:r w:rsidRPr="009E339E">
        <w:t>The PUCO’s authority can be found under various statutes (including R.C. 4905.04 and R.C. 4905.06) and case precedent.</w:t>
      </w:r>
      <w:r>
        <w:rPr>
          <w:vertAlign w:val="superscript"/>
        </w:rPr>
        <w:footnoteReference w:id="24"/>
      </w:r>
      <w:r w:rsidRPr="009E339E">
        <w:t xml:space="preserve"> </w:t>
      </w:r>
    </w:p>
    <w:p w14:paraId="6CFC6835" w14:textId="336BC369" w:rsidR="00CC01DB" w:rsidRPr="009E339E" w:rsidRDefault="00F5358D" w:rsidP="000837CE">
      <w:pPr>
        <w:spacing w:line="480" w:lineRule="auto"/>
        <w:ind w:firstLine="720"/>
      </w:pPr>
      <w:r w:rsidRPr="009E339E">
        <w:t>Indeed, the Ohio Supreme Court recognized there is an apparent unfairness when a decision is determined to be unlawful, yet consumers get no refund of charges that were unlawful from the get-go.</w:t>
      </w:r>
      <w:r>
        <w:rPr>
          <w:vertAlign w:val="superscript"/>
        </w:rPr>
        <w:footnoteReference w:id="25"/>
      </w:r>
      <w:r w:rsidRPr="009E339E">
        <w:t xml:space="preserve"> Here, to avoid that unfairness, and consistent with the PUCO’s own recognition of the supplemental transmission cost issues, the PUCO should clearly direct that </w:t>
      </w:r>
      <w:r w:rsidR="00401F62">
        <w:t xml:space="preserve">the </w:t>
      </w:r>
      <w:r w:rsidR="00717A46">
        <w:t>TCRR</w:t>
      </w:r>
      <w:r w:rsidRPr="009E339E">
        <w:t xml:space="preserve"> be collected subject to refund pending FERC’s decision in the OCC Complaint action. </w:t>
      </w:r>
    </w:p>
    <w:p w14:paraId="2A369F15" w14:textId="77777777" w:rsidR="00CC01DB" w:rsidRPr="009E339E" w:rsidRDefault="00F5358D" w:rsidP="00CC01DB">
      <w:pPr>
        <w:spacing w:line="480" w:lineRule="auto"/>
        <w:ind w:firstLine="720"/>
      </w:pPr>
      <w:r w:rsidRPr="009E339E">
        <w:lastRenderedPageBreak/>
        <w:t>The PUCO has acted to prevent harm from occurring to consumers by ordering utilities</w:t>
      </w:r>
      <w:r>
        <w:t>, on an ongoing basis,</w:t>
      </w:r>
      <w:r w:rsidRPr="009E339E">
        <w:t xml:space="preserve"> to collect an existing rate increase subject to refund and subject to appropriate interest charges. The PUCO has used this approach to permit it to explore the reasonableness of rates </w:t>
      </w:r>
      <w:proofErr w:type="gramStart"/>
      <w:r w:rsidRPr="009E339E">
        <w:t>in light of</w:t>
      </w:r>
      <w:proofErr w:type="gramEnd"/>
      <w:r w:rsidRPr="009E339E">
        <w:t xml:space="preserve"> events that occurred after the issuance of its orders. For instance, the PUCO granted rehearing and ordered rates to be collected subject to refund in a rate case filed by the Columbus &amp; Southern Ohio Electric Company.</w:t>
      </w:r>
      <w:r>
        <w:rPr>
          <w:vertAlign w:val="superscript"/>
        </w:rPr>
        <w:footnoteReference w:id="26"/>
      </w:r>
      <w:r w:rsidRPr="009E339E">
        <w:t xml:space="preserve"> In that rate case, one week after the issuance of the PUCO’s rate order, the Nuclear Regulatory Commission issued an Order that suspended construction at the Zimmer Nuclear Power Plant (“Zimmer”). The original Opinion and Order included a rate base allowance for construction work in progress (“CWIP”) for Zimmer.</w:t>
      </w:r>
      <w:r>
        <w:rPr>
          <w:vertAlign w:val="superscript"/>
        </w:rPr>
        <w:footnoteReference w:id="27"/>
      </w:r>
      <w:r w:rsidRPr="009E339E">
        <w:t xml:space="preserve"> </w:t>
      </w:r>
    </w:p>
    <w:p w14:paraId="0C81BCC7" w14:textId="77777777" w:rsidR="00CC01DB" w:rsidRPr="009E339E" w:rsidRDefault="00F5358D" w:rsidP="00CC01DB">
      <w:pPr>
        <w:spacing w:line="480" w:lineRule="auto"/>
        <w:ind w:firstLine="720"/>
      </w:pPr>
      <w:r w:rsidRPr="009E339E">
        <w:t xml:space="preserve">In its order setting the rehearing, the PUCO approved the utility’s filed tariffs but expressly found the portion of the increase granted </w:t>
      </w:r>
      <w:r w:rsidRPr="009E339E">
        <w:t>attributable to Zimmer CWIP “should be made subject to refund, pending a rehearing on the CWIP issue.”</w:t>
      </w:r>
      <w:r>
        <w:rPr>
          <w:vertAlign w:val="superscript"/>
        </w:rPr>
        <w:footnoteReference w:id="28"/>
      </w:r>
      <w:r w:rsidRPr="009E339E">
        <w:t xml:space="preserve"> A rehearing was held, and the PUCO ordered that </w:t>
      </w:r>
      <w:proofErr w:type="gramStart"/>
      <w:r w:rsidRPr="009E339E">
        <w:t>all of</w:t>
      </w:r>
      <w:proofErr w:type="gramEnd"/>
      <w:r w:rsidRPr="009E339E">
        <w:t xml:space="preserve"> the Zimmer costs should be excluded from CWIP. The PUCO ordered the utility to file tariffs reducing the total revenue requirements by approximately $13 million.</w:t>
      </w:r>
      <w:r>
        <w:rPr>
          <w:vertAlign w:val="superscript"/>
        </w:rPr>
        <w:footnoteReference w:id="29"/>
      </w:r>
      <w:r w:rsidRPr="009E339E">
        <w:t xml:space="preserve"> The utility appealed and sought a stay of the PUCO’s Order on Rehearing from the Supreme Court of Ohio. The Court granted the stay but subsequently affirmed the PUCO’s denial of a CWIP allowance.</w:t>
      </w:r>
      <w:r>
        <w:rPr>
          <w:vertAlign w:val="superscript"/>
        </w:rPr>
        <w:footnoteReference w:id="30"/>
      </w:r>
      <w:r w:rsidRPr="009E339E">
        <w:t xml:space="preserve"> After the PUCO’s </w:t>
      </w:r>
      <w:r w:rsidRPr="009E339E">
        <w:lastRenderedPageBreak/>
        <w:t>action was upheld on appeal,</w:t>
      </w:r>
      <w:r>
        <w:rPr>
          <w:vertAlign w:val="superscript"/>
        </w:rPr>
        <w:footnoteReference w:id="31"/>
      </w:r>
      <w:r w:rsidRPr="009E339E">
        <w:t xml:space="preserve"> the PUCO ordered the utility to refund approximately $4.5 million to its customers.</w:t>
      </w:r>
      <w:r>
        <w:rPr>
          <w:vertAlign w:val="superscript"/>
        </w:rPr>
        <w:footnoteReference w:id="32"/>
      </w:r>
      <w:r w:rsidRPr="009E339E">
        <w:t xml:space="preserve"> The PUCO ordered the collection, subject to refund to protect customers in the event of a later decision that the utility was collecting more from customers than warranted by law, rule, or reason. </w:t>
      </w:r>
    </w:p>
    <w:p w14:paraId="6833D118" w14:textId="77777777" w:rsidR="00CC01DB" w:rsidRPr="009E339E" w:rsidRDefault="00F5358D" w:rsidP="00CC01DB">
      <w:pPr>
        <w:spacing w:line="480" w:lineRule="auto"/>
        <w:ind w:firstLine="720"/>
      </w:pPr>
      <w:r w:rsidRPr="009E339E">
        <w:t>Another example where the PUCO has collected rates subject to refund involved the Ohio Utilities Company.</w:t>
      </w:r>
      <w:r>
        <w:rPr>
          <w:vertAlign w:val="superscript"/>
        </w:rPr>
        <w:footnoteReference w:id="33"/>
      </w:r>
      <w:r w:rsidRPr="009E339E">
        <w:t xml:space="preserve"> After a rate order was issued,</w:t>
      </w:r>
      <w:r>
        <w:rPr>
          <w:vertAlign w:val="superscript"/>
        </w:rPr>
        <w:footnoteReference w:id="34"/>
      </w:r>
      <w:r w:rsidRPr="009E339E">
        <w:t xml:space="preserve"> legislation was enacted that changed Ohio’s ratemaking formula. The PUCO opened an investigation to determine if the previously-established rates were still reasonable in light of the new law.</w:t>
      </w:r>
      <w:r>
        <w:rPr>
          <w:vertAlign w:val="superscript"/>
        </w:rPr>
        <w:footnoteReference w:id="35"/>
      </w:r>
      <w:r w:rsidRPr="009E339E">
        <w:t xml:space="preserve"> The PUCO determined that the rates were excessive, taking into account the new law, and ordered the utility to withdraw its tariffs and file new lower rates consistent with the PUCO’s findings.</w:t>
      </w:r>
      <w:r>
        <w:rPr>
          <w:vertAlign w:val="superscript"/>
        </w:rPr>
        <w:footnoteReference w:id="36"/>
      </w:r>
      <w:r w:rsidRPr="009E339E">
        <w:t xml:space="preserve"> The utility sought a stay of the PUCO’s order, pending further review, which was granted with the condition that the utility was required to collect rates subject to refund.</w:t>
      </w:r>
      <w:r>
        <w:rPr>
          <w:vertAlign w:val="superscript"/>
        </w:rPr>
        <w:footnoteReference w:id="37"/>
      </w:r>
      <w:r w:rsidRPr="009E339E">
        <w:t xml:space="preserve"> </w:t>
      </w:r>
    </w:p>
    <w:p w14:paraId="26E96567" w14:textId="1C1E3E55" w:rsidR="00CC01DB" w:rsidRDefault="00F5358D" w:rsidP="00CC01DB">
      <w:pPr>
        <w:spacing w:line="480" w:lineRule="auto"/>
        <w:ind w:firstLine="720"/>
      </w:pPr>
      <w:r w:rsidRPr="009E339E">
        <w:lastRenderedPageBreak/>
        <w:t xml:space="preserve">In </w:t>
      </w:r>
      <w:r w:rsidR="00E426A6">
        <w:t xml:space="preserve">a </w:t>
      </w:r>
      <w:r w:rsidRPr="009E339E">
        <w:t>case involving AEP</w:t>
      </w:r>
      <w:r w:rsidR="00E426A6">
        <w:t xml:space="preserve">’s </w:t>
      </w:r>
      <w:r w:rsidRPr="009E339E">
        <w:t>Rate Stability Rider (“RSR”), the PUCO ordered that the RSR be collected subject to refund after the case was remanded by the Court.</w:t>
      </w:r>
      <w:r>
        <w:rPr>
          <w:vertAlign w:val="superscript"/>
        </w:rPr>
        <w:footnoteReference w:id="38"/>
      </w:r>
      <w:r w:rsidRPr="009E339E">
        <w:t xml:space="preserve"> The PUCO “direct[ed] AEP Ohio to file revised tariffs that provide that the RSR is being collected subject to refund” in order to protect consumers from irreparable harm – continuing to pay the RSR without the potential of getting a refund.</w:t>
      </w:r>
      <w:r>
        <w:rPr>
          <w:vertAlign w:val="superscript"/>
        </w:rPr>
        <w:footnoteReference w:id="39"/>
      </w:r>
      <w:r w:rsidRPr="009E339E">
        <w:t xml:space="preserve"> </w:t>
      </w:r>
      <w:r w:rsidR="00E426A6">
        <w:t xml:space="preserve">And in a case involving </w:t>
      </w:r>
      <w:r w:rsidRPr="009E339E">
        <w:t>Dayton Power &amp; Light’s Rate Stability Charge (“RSC”), the PUCO said that it did “not seek to evade Supreme Court review of [its] decisions” and made collection from consumers of charges under the RSC subject to refund.</w:t>
      </w:r>
      <w:r>
        <w:rPr>
          <w:vertAlign w:val="superscript"/>
        </w:rPr>
        <w:footnoteReference w:id="40"/>
      </w:r>
    </w:p>
    <w:p w14:paraId="62E3F888" w14:textId="5DFBBDDC" w:rsidR="00CC01DB" w:rsidRPr="009E339E" w:rsidRDefault="00F5358D" w:rsidP="00CC01DB">
      <w:pPr>
        <w:spacing w:line="480" w:lineRule="auto"/>
        <w:ind w:firstLine="720"/>
      </w:pPr>
      <w:r>
        <w:t>In the present action, AE</w:t>
      </w:r>
      <w:r w:rsidR="00717A46">
        <w:t>S</w:t>
      </w:r>
      <w:r w:rsidR="00C3612B">
        <w:t xml:space="preserve"> Ohio</w:t>
      </w:r>
      <w:r w:rsidR="00717A46">
        <w:t>’</w:t>
      </w:r>
      <w:r w:rsidR="00C3612B">
        <w:t>s</w:t>
      </w:r>
      <w:r w:rsidR="00717A46">
        <w:t xml:space="preserve"> proposed TCRR </w:t>
      </w:r>
      <w:r>
        <w:t xml:space="preserve">Tariff includes a </w:t>
      </w:r>
      <w:r w:rsidR="00717A46">
        <w:t xml:space="preserve">narrow </w:t>
      </w:r>
      <w:r>
        <w:t>reconciliation provision</w:t>
      </w:r>
      <w:r w:rsidR="00563CF8">
        <w:t>.</w:t>
      </w:r>
      <w:r w:rsidR="00FF3EDD">
        <w:t xml:space="preserve"> </w:t>
      </w:r>
      <w:r w:rsidR="00563CF8">
        <w:t>The provision states that the TCRR Tariff “is subject to reconciliation, including but not limited to, refunds to customers, based upon the results of audits as approved and ordered by the Commission.”</w:t>
      </w:r>
      <w:r>
        <w:rPr>
          <w:rStyle w:val="FootnoteReference"/>
        </w:rPr>
        <w:footnoteReference w:id="41"/>
      </w:r>
      <w:r w:rsidR="00563CF8">
        <w:t xml:space="preserve"> </w:t>
      </w:r>
      <w:r w:rsidR="00613C0A">
        <w:t xml:space="preserve">The current language fails to incorporate any refunds that should result if FERC finds </w:t>
      </w:r>
      <w:proofErr w:type="gramStart"/>
      <w:r w:rsidR="00613C0A">
        <w:t>as a result of</w:t>
      </w:r>
      <w:proofErr w:type="gramEnd"/>
      <w:r w:rsidR="00613C0A">
        <w:t xml:space="preserve"> the OCC Complaint Action that supplemental transmission costs have been improperly charged to consumers.</w:t>
      </w:r>
      <w:r w:rsidR="00FF3EDD">
        <w:t xml:space="preserve"> </w:t>
      </w:r>
      <w:r w:rsidR="00613C0A">
        <w:t>To provide a remedy if FERC does determine there to be improper charges</w:t>
      </w:r>
      <w:r w:rsidR="00563CF8">
        <w:t>, OCC specifically recommends the following additional language be added</w:t>
      </w:r>
      <w:r w:rsidR="00613C0A">
        <w:t xml:space="preserve"> to the TCRR Tariff</w:t>
      </w:r>
      <w:r w:rsidR="00563CF8">
        <w:t>:</w:t>
      </w:r>
      <w:r w:rsidR="00FF3EDD">
        <w:t xml:space="preserve"> </w:t>
      </w:r>
      <w:r w:rsidR="00563CF8">
        <w:t xml:space="preserve">“Further, the TCRR Tariff is subject to refund if FERC determines as a result of </w:t>
      </w:r>
      <w:r w:rsidR="00563CF8" w:rsidRPr="00563CF8">
        <w:rPr>
          <w:i/>
          <w:iCs/>
        </w:rPr>
        <w:t xml:space="preserve">The Office of the Ohio Consumers’ Counsel v. PJM Interconnection, L.L.C., et al., </w:t>
      </w:r>
      <w:r w:rsidR="00563CF8" w:rsidRPr="00563CF8">
        <w:lastRenderedPageBreak/>
        <w:t>Docket No. EL23-105-000, Complaint (Sept. 28, 2023)</w:t>
      </w:r>
      <w:r>
        <w:t xml:space="preserve"> that supplemental transmission costs have been improperly charged to consumers.</w:t>
      </w:r>
      <w:r w:rsidR="00563CF8">
        <w:t>”</w:t>
      </w:r>
    </w:p>
    <w:p w14:paraId="0241E645" w14:textId="77777777" w:rsidR="00401F62" w:rsidRDefault="00F5358D" w:rsidP="000439FA">
      <w:pPr>
        <w:spacing w:line="480" w:lineRule="auto"/>
        <w:ind w:firstLine="720"/>
      </w:pPr>
      <w:r w:rsidRPr="009E339E">
        <w:t>The PUCO can act now to prevent harm to consumers from supplemental transmission projects. It should do so. The PUCO should order that Rider</w:t>
      </w:r>
      <w:r w:rsidR="00711AEA">
        <w:t xml:space="preserve"> TCRR</w:t>
      </w:r>
      <w:r w:rsidRPr="009E339E">
        <w:t xml:space="preserve"> charges be collected subject to refund if FERC determines that any supplemental transmission costs have been improperly charged to consumers.</w:t>
      </w:r>
      <w:r w:rsidR="009C7E76">
        <w:t xml:space="preserve"> </w:t>
      </w:r>
      <w:r>
        <w:t>Failing to do so results in a TCRR Tariff that is unjust and unreasonable for residential consumers.</w:t>
      </w:r>
      <w:r w:rsidR="009C7E76">
        <w:t xml:space="preserve"> </w:t>
      </w:r>
    </w:p>
    <w:p w14:paraId="4CE6BD69" w14:textId="1D3E5E82" w:rsidR="00401F62" w:rsidRPr="001F47AC" w:rsidRDefault="00F5358D" w:rsidP="00964E1D">
      <w:pPr>
        <w:pStyle w:val="Heading3"/>
        <w:numPr>
          <w:ilvl w:val="0"/>
          <w:numId w:val="27"/>
        </w:numPr>
        <w:ind w:left="2160" w:hanging="720"/>
        <w:rPr>
          <w:b/>
          <w:bCs/>
        </w:rPr>
      </w:pPr>
      <w:bookmarkStart w:id="16" w:name="_Toc164862647"/>
      <w:r w:rsidRPr="001F47AC">
        <w:rPr>
          <w:b/>
          <w:bCs/>
        </w:rPr>
        <w:t>If the PUCO approves the TCRR Tariff it should also include language making it subject to refund pending FERC’s reactive power proceedings.</w:t>
      </w:r>
      <w:bookmarkEnd w:id="16"/>
    </w:p>
    <w:p w14:paraId="7437996F" w14:textId="447B86B0" w:rsidR="00BE579A" w:rsidRDefault="00F5358D" w:rsidP="00493BA4">
      <w:pPr>
        <w:spacing w:line="480" w:lineRule="auto"/>
        <w:ind w:firstLine="720"/>
        <w:rPr>
          <w:color w:val="000000"/>
        </w:rPr>
      </w:pPr>
      <w:r>
        <w:rPr>
          <w:color w:val="000000"/>
        </w:rPr>
        <w:t>In th</w:t>
      </w:r>
      <w:r w:rsidR="00711AEA">
        <w:rPr>
          <w:color w:val="000000"/>
        </w:rPr>
        <w:t>e reactive power</w:t>
      </w:r>
      <w:r>
        <w:rPr>
          <w:color w:val="000000"/>
        </w:rPr>
        <w:t xml:space="preserve"> rulemaking, FERC will decide whether to prohibit, within the open-access transmission tariff of regional transmission operators like PJM, the inclusion in transmission rates of unjust and unreasonable charges related to the provision of reactive power within the standard power factor range by generating facilities.</w:t>
      </w:r>
      <w:r>
        <w:rPr>
          <w:rStyle w:val="FootnoteReference"/>
          <w:color w:val="000000"/>
        </w:rPr>
        <w:footnoteReference w:id="42"/>
      </w:r>
      <w:r w:rsidR="009C7E76">
        <w:rPr>
          <w:color w:val="000000"/>
        </w:rPr>
        <w:t xml:space="preserve"> </w:t>
      </w:r>
      <w:r>
        <w:rPr>
          <w:color w:val="000000"/>
        </w:rPr>
        <w:t>AES</w:t>
      </w:r>
      <w:r w:rsidR="00C3612B">
        <w:rPr>
          <w:color w:val="000000"/>
        </w:rPr>
        <w:t xml:space="preserve"> Ohio </w:t>
      </w:r>
      <w:r>
        <w:rPr>
          <w:color w:val="000000"/>
        </w:rPr>
        <w:t xml:space="preserve">proposes to charge residential consumers approximately $1 million dollars for reactive power through the </w:t>
      </w:r>
      <w:r w:rsidR="00DD1F05">
        <w:rPr>
          <w:color w:val="000000"/>
        </w:rPr>
        <w:t>TCRR</w:t>
      </w:r>
      <w:r>
        <w:rPr>
          <w:color w:val="000000"/>
        </w:rPr>
        <w:t>, or approximately $1.89 per residential consumer.</w:t>
      </w:r>
      <w:r>
        <w:rPr>
          <w:rStyle w:val="FootnoteReference"/>
          <w:color w:val="000000"/>
        </w:rPr>
        <w:footnoteReference w:id="43"/>
      </w:r>
      <w:r w:rsidR="009C7E76">
        <w:rPr>
          <w:color w:val="000000"/>
        </w:rPr>
        <w:t xml:space="preserve"> </w:t>
      </w:r>
    </w:p>
    <w:p w14:paraId="5BD77E8A" w14:textId="70391A2E" w:rsidR="00ED7027" w:rsidRDefault="00F5358D" w:rsidP="00493BA4">
      <w:pPr>
        <w:spacing w:line="480" w:lineRule="auto"/>
        <w:ind w:firstLine="720"/>
        <w:rPr>
          <w:color w:val="000000"/>
        </w:rPr>
      </w:pPr>
      <w:r>
        <w:rPr>
          <w:color w:val="000000"/>
        </w:rPr>
        <w:t>Reactive power is supplied by generating units.</w:t>
      </w:r>
      <w:r>
        <w:rPr>
          <w:rStyle w:val="FootnoteReference"/>
          <w:color w:val="000000"/>
        </w:rPr>
        <w:footnoteReference w:id="44"/>
      </w:r>
      <w:r w:rsidR="009C7E76">
        <w:rPr>
          <w:color w:val="000000"/>
        </w:rPr>
        <w:t xml:space="preserve"> </w:t>
      </w:r>
      <w:r>
        <w:rPr>
          <w:color w:val="000000"/>
        </w:rPr>
        <w:t>The current PJM open access transmission tariff allows generators to be compensated for reactive power as a separate charge in addition to the normal capacity and energy charge.</w:t>
      </w:r>
      <w:r>
        <w:rPr>
          <w:rStyle w:val="FootnoteReference"/>
          <w:color w:val="000000"/>
        </w:rPr>
        <w:footnoteReference w:id="45"/>
      </w:r>
      <w:r w:rsidR="009C7E76">
        <w:rPr>
          <w:color w:val="000000"/>
        </w:rPr>
        <w:t xml:space="preserve"> </w:t>
      </w:r>
      <w:r>
        <w:rPr>
          <w:color w:val="000000"/>
        </w:rPr>
        <w:t xml:space="preserve">The question to be decided </w:t>
      </w:r>
      <w:r>
        <w:rPr>
          <w:color w:val="000000"/>
        </w:rPr>
        <w:lastRenderedPageBreak/>
        <w:t>by FERC is whether this provides generators with a double recovery.</w:t>
      </w:r>
      <w:r>
        <w:rPr>
          <w:rStyle w:val="FootnoteReference"/>
          <w:color w:val="000000"/>
        </w:rPr>
        <w:footnoteReference w:id="46"/>
      </w:r>
      <w:r>
        <w:rPr>
          <w:color w:val="000000"/>
        </w:rPr>
        <w:t xml:space="preserve"> MISO and certain other regional transmission operators have eliminated the reactive power charge. </w:t>
      </w:r>
      <w:r>
        <w:rPr>
          <w:rStyle w:val="FootnoteReference"/>
          <w:color w:val="000000"/>
        </w:rPr>
        <w:footnoteReference w:id="47"/>
      </w:r>
      <w:r>
        <w:rPr>
          <w:color w:val="000000"/>
        </w:rPr>
        <w:t xml:space="preserve"> It is possible that PJM will be required to eliminate this charge </w:t>
      </w:r>
      <w:proofErr w:type="gramStart"/>
      <w:r>
        <w:rPr>
          <w:color w:val="000000"/>
        </w:rPr>
        <w:t>as a result of</w:t>
      </w:r>
      <w:proofErr w:type="gramEnd"/>
      <w:r>
        <w:rPr>
          <w:color w:val="000000"/>
        </w:rPr>
        <w:t xml:space="preserve"> the rulemaking.</w:t>
      </w:r>
      <w:r w:rsidR="009C7E76">
        <w:rPr>
          <w:color w:val="000000"/>
        </w:rPr>
        <w:t xml:space="preserve"> </w:t>
      </w:r>
      <w:r>
        <w:rPr>
          <w:color w:val="000000"/>
        </w:rPr>
        <w:t>Hence</w:t>
      </w:r>
      <w:r w:rsidR="003677F3">
        <w:rPr>
          <w:color w:val="000000"/>
        </w:rPr>
        <w:t>,</w:t>
      </w:r>
      <w:r>
        <w:rPr>
          <w:color w:val="000000"/>
        </w:rPr>
        <w:t xml:space="preserve"> </w:t>
      </w:r>
      <w:r w:rsidR="00613C0A">
        <w:rPr>
          <w:color w:val="000000"/>
        </w:rPr>
        <w:t>to protect consumers</w:t>
      </w:r>
      <w:r w:rsidR="003677F3">
        <w:rPr>
          <w:color w:val="000000"/>
        </w:rPr>
        <w:t>,</w:t>
      </w:r>
      <w:r w:rsidR="00613C0A">
        <w:rPr>
          <w:color w:val="000000"/>
        </w:rPr>
        <w:t xml:space="preserve"> </w:t>
      </w:r>
      <w:r>
        <w:rPr>
          <w:color w:val="000000"/>
        </w:rPr>
        <w:t xml:space="preserve">the PUCO should </w:t>
      </w:r>
      <w:r w:rsidR="00613C0A">
        <w:rPr>
          <w:color w:val="000000"/>
        </w:rPr>
        <w:t>include the following language in the TCRR Tariff:</w:t>
      </w:r>
      <w:r w:rsidR="00FF3EDD">
        <w:rPr>
          <w:color w:val="000000"/>
        </w:rPr>
        <w:t xml:space="preserve"> </w:t>
      </w:r>
      <w:r w:rsidR="003677F3">
        <w:rPr>
          <w:color w:val="000000"/>
        </w:rPr>
        <w:t>“If FERC in the Reactive Power Action finds any charges made to consumers are improper then to the extent such charges have been included in the TCRR Tariff they are subject to refund.”</w:t>
      </w:r>
      <w:r w:rsidR="00613C0A">
        <w:rPr>
          <w:color w:val="000000"/>
        </w:rPr>
        <w:t xml:space="preserve"> </w:t>
      </w:r>
    </w:p>
    <w:p w14:paraId="4B17FC4F" w14:textId="50A81FDF" w:rsidR="00EA20C9" w:rsidRPr="004C74BD" w:rsidRDefault="00F5358D" w:rsidP="00443F67">
      <w:pPr>
        <w:pStyle w:val="Heading1"/>
      </w:pPr>
      <w:bookmarkStart w:id="17" w:name="_Toc93504276"/>
      <w:bookmarkStart w:id="18" w:name="_Toc164862648"/>
      <w:r w:rsidRPr="004C74BD">
        <w:t>CONCLUSION</w:t>
      </w:r>
      <w:bookmarkEnd w:id="17"/>
      <w:bookmarkEnd w:id="18"/>
    </w:p>
    <w:p w14:paraId="1D4DCF0F" w14:textId="77777777" w:rsidR="00A5271A" w:rsidRDefault="00F5358D" w:rsidP="00443F67">
      <w:pPr>
        <w:spacing w:line="480" w:lineRule="auto"/>
        <w:ind w:firstLine="720"/>
      </w:pPr>
      <w:r w:rsidRPr="004C74BD">
        <w:t>The PUCO should protect consumers from unjust and unreasonable charges through AE</w:t>
      </w:r>
      <w:r w:rsidR="00FA7AD1">
        <w:t>S</w:t>
      </w:r>
      <w:r w:rsidR="00C3612B">
        <w:t xml:space="preserve"> Ohio</w:t>
      </w:r>
      <w:r w:rsidR="004C74BD">
        <w:t>’</w:t>
      </w:r>
      <w:r w:rsidR="00C3612B">
        <w:t>s</w:t>
      </w:r>
      <w:r w:rsidRPr="004C74BD">
        <w:t xml:space="preserve"> </w:t>
      </w:r>
      <w:r w:rsidR="00FA7AD1">
        <w:t xml:space="preserve">TCRR </w:t>
      </w:r>
      <w:r w:rsidRPr="004C74BD">
        <w:t>rates.</w:t>
      </w:r>
      <w:r w:rsidR="00600C8E" w:rsidRPr="004C74BD">
        <w:t xml:space="preserve"> </w:t>
      </w:r>
      <w:r w:rsidRPr="004C74BD">
        <w:t>Consistent with OCC</w:t>
      </w:r>
      <w:r w:rsidR="004C74BD">
        <w:t>’</w:t>
      </w:r>
      <w:r w:rsidRPr="004C74BD">
        <w:t>s recommendations,</w:t>
      </w:r>
      <w:r w:rsidR="00D332D0" w:rsidRPr="004C74BD">
        <w:t xml:space="preserve"> the PUCO should reject</w:t>
      </w:r>
      <w:r w:rsidRPr="004C74BD">
        <w:t xml:space="preserve"> </w:t>
      </w:r>
      <w:r w:rsidR="00D332D0" w:rsidRPr="004C74BD">
        <w:t>AE</w:t>
      </w:r>
      <w:r w:rsidR="00FA7AD1">
        <w:t>S</w:t>
      </w:r>
      <w:r w:rsidR="00C3612B">
        <w:t xml:space="preserve"> Ohio</w:t>
      </w:r>
      <w:r w:rsidR="00FA7AD1">
        <w:t>’</w:t>
      </w:r>
      <w:r w:rsidR="00C3612B">
        <w:t>s</w:t>
      </w:r>
      <w:r w:rsidR="00D332D0" w:rsidRPr="004C74BD">
        <w:t xml:space="preserve"> Application</w:t>
      </w:r>
      <w:r w:rsidR="00ED7027">
        <w:t>,</w:t>
      </w:r>
      <w:r w:rsidR="00D332D0" w:rsidRPr="004C74BD">
        <w:t xml:space="preserve"> which </w:t>
      </w:r>
      <w:r w:rsidR="00ED7027">
        <w:t>would</w:t>
      </w:r>
      <w:r w:rsidR="00D332D0" w:rsidRPr="004C74BD">
        <w:t xml:space="preserve"> unnecessarily force residential utility consumers to pay more than they should for transmission costs. </w:t>
      </w:r>
    </w:p>
    <w:p w14:paraId="56EFF5D9" w14:textId="599AECD4" w:rsidR="00A5271A" w:rsidRDefault="00F5358D" w:rsidP="00443F67">
      <w:pPr>
        <w:spacing w:line="480" w:lineRule="auto"/>
        <w:ind w:firstLine="720"/>
      </w:pPr>
      <w:r w:rsidRPr="004C74BD">
        <w:t>The PUCO should also order an audit of AE</w:t>
      </w:r>
      <w:r w:rsidR="00FA7AD1">
        <w:t>S</w:t>
      </w:r>
      <w:r w:rsidR="00C3612B">
        <w:t xml:space="preserve"> Ohio</w:t>
      </w:r>
      <w:r w:rsidR="00FA7AD1">
        <w:t>’</w:t>
      </w:r>
      <w:r w:rsidR="00C3612B">
        <w:t>s</w:t>
      </w:r>
      <w:r w:rsidR="00FA7AD1">
        <w:t xml:space="preserve"> TCRR</w:t>
      </w:r>
      <w:r w:rsidRPr="004C74BD">
        <w:t xml:space="preserve"> pilot program to examine whether the opt</w:t>
      </w:r>
      <w:r w:rsidR="00FA7AD1">
        <w:t>-</w:t>
      </w:r>
      <w:r w:rsidRPr="004C74BD">
        <w:t xml:space="preserve">out is </w:t>
      </w:r>
      <w:r w:rsidR="00470E5F" w:rsidRPr="004C74BD">
        <w:t xml:space="preserve">shifting transmission costs to </w:t>
      </w:r>
      <w:r w:rsidRPr="004C74BD">
        <w:t xml:space="preserve">residential </w:t>
      </w:r>
      <w:r w:rsidR="00470E5F" w:rsidRPr="004C74BD">
        <w:t>consumers</w:t>
      </w:r>
      <w:r w:rsidRPr="004C74BD">
        <w:t xml:space="preserve"> who</w:t>
      </w:r>
      <w:r w:rsidR="00FA7AD1">
        <w:t xml:space="preserve"> cannot opt-out of paying </w:t>
      </w:r>
      <w:r w:rsidRPr="004C74BD">
        <w:t xml:space="preserve">the </w:t>
      </w:r>
      <w:r w:rsidR="00FA7AD1">
        <w:t>TCRR</w:t>
      </w:r>
      <w:r w:rsidRPr="004C74BD">
        <w:t xml:space="preserve"> rider</w:t>
      </w:r>
      <w:r w:rsidR="008C681A">
        <w:t>.</w:t>
      </w:r>
      <w:r w:rsidR="004C74BD">
        <w:t xml:space="preserve"> </w:t>
      </w:r>
      <w:r>
        <w:t>As part of the audit, the Auditor should determine</w:t>
      </w:r>
      <w:r w:rsidR="00ED7027">
        <w:t xml:space="preserve"> whether AES</w:t>
      </w:r>
      <w:r w:rsidR="00C3612B">
        <w:t xml:space="preserve"> Ohio</w:t>
      </w:r>
      <w:r w:rsidR="00ED7027">
        <w:t>’</w:t>
      </w:r>
      <w:r w:rsidR="00C3612B">
        <w:t>s</w:t>
      </w:r>
      <w:r w:rsidR="00ED7027">
        <w:t xml:space="preserve"> revised allocation for smaller secondary and primary</w:t>
      </w:r>
      <w:r w:rsidR="00BF48C9">
        <w:t xml:space="preserve"> non-residential</w:t>
      </w:r>
      <w:r w:rsidR="00ED7027">
        <w:t xml:space="preserve"> customers unfairly shifts costs to residential consumers.</w:t>
      </w:r>
      <w:r w:rsidR="009C7E76">
        <w:t xml:space="preserve"> </w:t>
      </w:r>
      <w:r>
        <w:t>The auditor should also explore</w:t>
      </w:r>
      <w:r w:rsidR="00FF3EDD">
        <w:t xml:space="preserve"> </w:t>
      </w:r>
      <w:r>
        <w:t>the impact of allowing all non-residential consumers to be billed for transmission</w:t>
      </w:r>
      <w:r w:rsidR="00FF3EDD">
        <w:t xml:space="preserve"> </w:t>
      </w:r>
      <w:r>
        <w:t>based on their</w:t>
      </w:r>
      <w:r w:rsidR="00FF3EDD">
        <w:t xml:space="preserve"> </w:t>
      </w:r>
      <w:r>
        <w:t>own</w:t>
      </w:r>
      <w:r>
        <w:t xml:space="preserve"> unique load.</w:t>
      </w:r>
      <w:r w:rsidR="00FF3EDD">
        <w:t xml:space="preserve"> </w:t>
      </w:r>
      <w:r>
        <w:t>Does doing so under the new billing cause cost</w:t>
      </w:r>
      <w:r w:rsidR="003677F3">
        <w:t>-</w:t>
      </w:r>
      <w:r>
        <w:t>shifting to residential consumers?</w:t>
      </w:r>
      <w:r w:rsidR="00FF3EDD">
        <w:t xml:space="preserve"> </w:t>
      </w:r>
      <w:r>
        <w:t>If so, how much is shifted?</w:t>
      </w:r>
      <w:r w:rsidR="00FF3EDD">
        <w:t xml:space="preserve"> </w:t>
      </w:r>
      <w:r w:rsidR="00DF328F">
        <w:t>After the audit, t</w:t>
      </w:r>
      <w:r w:rsidR="00DF328F" w:rsidRPr="004C74BD">
        <w:t xml:space="preserve">he PUCO should </w:t>
      </w:r>
      <w:r w:rsidR="00DF328F">
        <w:t xml:space="preserve">examine whether billing non-residential consumers based on their unique </w:t>
      </w:r>
      <w:r w:rsidR="00DF328F">
        <w:lastRenderedPageBreak/>
        <w:t>load is in any respect unjust, unreasonable, unjustly discriminatory, unjustly preferential or in violation of law</w:t>
      </w:r>
      <w:r w:rsidR="00DF328F" w:rsidRPr="004C74BD">
        <w:t>.</w:t>
      </w:r>
    </w:p>
    <w:p w14:paraId="062415F0" w14:textId="2DDB5DFC" w:rsidR="00146561" w:rsidRPr="004C74BD" w:rsidRDefault="00F5358D" w:rsidP="00443F67">
      <w:pPr>
        <w:spacing w:line="480" w:lineRule="auto"/>
        <w:ind w:firstLine="720"/>
      </w:pPr>
      <w:r>
        <w:t>I</w:t>
      </w:r>
      <w:r w:rsidR="00ED7027">
        <w:t>f the PUCO approves the TCRR, then the PUCO should order AES</w:t>
      </w:r>
      <w:r w:rsidR="00C3612B">
        <w:t xml:space="preserve"> Ohio</w:t>
      </w:r>
      <w:r w:rsidR="00ED7027">
        <w:t xml:space="preserve"> to include refund language in the tariff</w:t>
      </w:r>
      <w:r w:rsidR="00711AEA">
        <w:t xml:space="preserve"> specifically addressing the pending FERC proceedings</w:t>
      </w:r>
      <w:r w:rsidR="003677F3">
        <w:t xml:space="preserve"> as well as the refund of any improper cost-shifting discovered through the audit</w:t>
      </w:r>
      <w:r w:rsidR="00FF3EDD">
        <w:t xml:space="preserve"> </w:t>
      </w:r>
      <w:r>
        <w:t>discussed above</w:t>
      </w:r>
      <w:r w:rsidR="00ED7027">
        <w:t>.</w:t>
      </w:r>
      <w:r w:rsidR="009C7E76">
        <w:t xml:space="preserve"> </w:t>
      </w:r>
    </w:p>
    <w:p w14:paraId="0B2C0BAD" w14:textId="36B7E261" w:rsidR="00E84E53" w:rsidRPr="00DC517F" w:rsidRDefault="00F5358D" w:rsidP="00FD18CE">
      <w:pPr>
        <w:ind w:left="3600" w:firstLine="720"/>
      </w:pPr>
      <w:r w:rsidRPr="00DC517F">
        <w:t>Respectfully submitted,</w:t>
      </w:r>
    </w:p>
    <w:p w14:paraId="33C8A8D8" w14:textId="77777777" w:rsidR="00E84E53" w:rsidRPr="00DC517F" w:rsidRDefault="00E84E53" w:rsidP="00E84E53">
      <w:pPr>
        <w:ind w:left="4320"/>
      </w:pPr>
    </w:p>
    <w:p w14:paraId="34022B65" w14:textId="77777777" w:rsidR="00E84E53" w:rsidRPr="00DC517F" w:rsidRDefault="00F5358D" w:rsidP="00E84E5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rPr>
          <w:rFonts w:eastAsia="Courier New"/>
        </w:rPr>
        <w:t>Maureen R. Willis (0020847)</w:t>
      </w:r>
    </w:p>
    <w:p w14:paraId="5247907A" w14:textId="77777777" w:rsidR="00E84E53" w:rsidRPr="00DC517F" w:rsidRDefault="00F5358D" w:rsidP="00E84E5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t>Ohio Consumers</w:t>
      </w:r>
      <w:r>
        <w:t>’</w:t>
      </w:r>
      <w:r w:rsidRPr="00DC517F">
        <w:t xml:space="preserve"> Counsel</w:t>
      </w:r>
    </w:p>
    <w:p w14:paraId="1E7E8528" w14:textId="77777777" w:rsidR="00E84E53" w:rsidRPr="00DC517F" w:rsidRDefault="00E84E53" w:rsidP="00E84E53">
      <w:pPr>
        <w:tabs>
          <w:tab w:val="left" w:pos="4320"/>
        </w:tabs>
        <w:ind w:left="4320"/>
      </w:pPr>
    </w:p>
    <w:p w14:paraId="76C70FD1" w14:textId="77777777" w:rsidR="00E84E53" w:rsidRPr="00DC517F" w:rsidRDefault="00F5358D" w:rsidP="00E84E53">
      <w:pPr>
        <w:tabs>
          <w:tab w:val="left" w:pos="4320"/>
        </w:tabs>
        <w:ind w:left="4320"/>
      </w:pPr>
      <w:r w:rsidRPr="00DC517F">
        <w:rPr>
          <w:i/>
          <w:u w:val="single"/>
        </w:rPr>
        <w:t xml:space="preserve">/s/ </w:t>
      </w:r>
      <w:r>
        <w:rPr>
          <w:i/>
          <w:u w:val="single"/>
        </w:rPr>
        <w:t>John Finnigan</w:t>
      </w:r>
      <w:r>
        <w:rPr>
          <w:i/>
          <w:u w:val="single"/>
        </w:rPr>
        <w:tab/>
      </w:r>
      <w:r>
        <w:rPr>
          <w:i/>
          <w:u w:val="single"/>
        </w:rPr>
        <w:tab/>
      </w:r>
    </w:p>
    <w:p w14:paraId="4DB6BF48" w14:textId="77777777" w:rsidR="00E84E53" w:rsidRDefault="00F5358D" w:rsidP="00E84E53">
      <w:pPr>
        <w:tabs>
          <w:tab w:val="left" w:pos="4320"/>
        </w:tabs>
        <w:ind w:left="4320"/>
      </w:pPr>
      <w:r>
        <w:t>John Finnigan (0018689)</w:t>
      </w:r>
    </w:p>
    <w:p w14:paraId="76D51ED2" w14:textId="77777777" w:rsidR="00E84E53" w:rsidRPr="00DC517F" w:rsidRDefault="00F5358D" w:rsidP="00E84E53">
      <w:pPr>
        <w:tabs>
          <w:tab w:val="left" w:pos="4320"/>
        </w:tabs>
        <w:ind w:left="4320"/>
      </w:pPr>
      <w:r w:rsidRPr="00DC517F">
        <w:t>Counsel of Record</w:t>
      </w:r>
    </w:p>
    <w:p w14:paraId="690C4D2E" w14:textId="77777777" w:rsidR="00E84E53" w:rsidRPr="00DC517F" w:rsidRDefault="00F5358D" w:rsidP="00E84E53">
      <w:pPr>
        <w:tabs>
          <w:tab w:val="left" w:pos="4320"/>
        </w:tabs>
        <w:ind w:left="4320"/>
      </w:pPr>
      <w:r w:rsidRPr="00DC517F">
        <w:t xml:space="preserve">Donald J. Kral </w:t>
      </w:r>
      <w:r w:rsidRPr="00DC517F">
        <w:t>(0042091)</w:t>
      </w:r>
    </w:p>
    <w:p w14:paraId="17F9D753" w14:textId="77777777" w:rsidR="00E84E53" w:rsidRPr="00DC517F" w:rsidRDefault="00F5358D" w:rsidP="00E84E53">
      <w:pPr>
        <w:tabs>
          <w:tab w:val="left" w:pos="4320"/>
        </w:tabs>
        <w:ind w:left="4320"/>
      </w:pPr>
      <w:r w:rsidRPr="00DC517F">
        <w:t>Assistant Consumers</w:t>
      </w:r>
      <w:r>
        <w:t>’</w:t>
      </w:r>
      <w:r w:rsidRPr="00DC517F">
        <w:t xml:space="preserve"> Counsel</w:t>
      </w:r>
    </w:p>
    <w:p w14:paraId="66C6370F" w14:textId="77777777" w:rsidR="00E84E53" w:rsidRPr="00DC517F" w:rsidRDefault="00E84E53" w:rsidP="00E84E53">
      <w:pPr>
        <w:tabs>
          <w:tab w:val="left" w:pos="4320"/>
        </w:tabs>
        <w:ind w:left="4320"/>
      </w:pPr>
    </w:p>
    <w:p w14:paraId="5D3B2538" w14:textId="77777777" w:rsidR="00E84E53" w:rsidRPr="00DC517F" w:rsidRDefault="00F5358D" w:rsidP="00E84E53">
      <w:pPr>
        <w:keepNext/>
        <w:ind w:left="4320" w:right="-648"/>
        <w:outlineLvl w:val="0"/>
        <w:rPr>
          <w:b/>
        </w:rPr>
      </w:pPr>
      <w:bookmarkStart w:id="19" w:name="_Toc164852983"/>
      <w:bookmarkStart w:id="20" w:name="_Toc164862649"/>
      <w:r w:rsidRPr="00DC517F">
        <w:rPr>
          <w:b/>
        </w:rPr>
        <w:t>Office of the Ohio Consumers</w:t>
      </w:r>
      <w:r>
        <w:rPr>
          <w:b/>
        </w:rPr>
        <w:t>’</w:t>
      </w:r>
      <w:r w:rsidRPr="00DC517F">
        <w:rPr>
          <w:b/>
        </w:rPr>
        <w:t xml:space="preserve"> Counsel</w:t>
      </w:r>
      <w:bookmarkEnd w:id="19"/>
      <w:bookmarkEnd w:id="20"/>
    </w:p>
    <w:p w14:paraId="410FCF54" w14:textId="77777777" w:rsidR="00E84E53" w:rsidRPr="00DC517F" w:rsidRDefault="00F5358D" w:rsidP="00E84E53">
      <w:pPr>
        <w:keepNext/>
        <w:ind w:left="4320" w:right="-648"/>
        <w:outlineLvl w:val="0"/>
      </w:pPr>
      <w:bookmarkStart w:id="21" w:name="_Toc164852984"/>
      <w:bookmarkStart w:id="22" w:name="_Toc164862650"/>
      <w:r w:rsidRPr="00DC517F">
        <w:t>65 East State Street, Suite 700</w:t>
      </w:r>
      <w:bookmarkEnd w:id="21"/>
      <w:bookmarkEnd w:id="22"/>
    </w:p>
    <w:p w14:paraId="16919845" w14:textId="77777777" w:rsidR="00E84E53" w:rsidRDefault="00F5358D" w:rsidP="00E84E53">
      <w:pPr>
        <w:keepNext/>
        <w:ind w:left="4320" w:right="-648"/>
        <w:outlineLvl w:val="0"/>
      </w:pPr>
      <w:bookmarkStart w:id="23" w:name="_Toc164852985"/>
      <w:bookmarkStart w:id="24" w:name="_Toc164862651"/>
      <w:r w:rsidRPr="00DC517F">
        <w:t>Columbus, Ohio 43215</w:t>
      </w:r>
      <w:bookmarkEnd w:id="23"/>
      <w:bookmarkEnd w:id="24"/>
    </w:p>
    <w:p w14:paraId="6A8B3EDE" w14:textId="77777777" w:rsidR="00E84E53" w:rsidRPr="00DC517F" w:rsidRDefault="00F5358D" w:rsidP="00E84E53">
      <w:pPr>
        <w:autoSpaceDE w:val="0"/>
        <w:autoSpaceDN w:val="0"/>
        <w:adjustRightInd w:val="0"/>
        <w:ind w:left="4320"/>
      </w:pPr>
      <w:r w:rsidRPr="00DC517F">
        <w:t>Telephone [</w:t>
      </w:r>
      <w:r>
        <w:t>Finnigan</w:t>
      </w:r>
      <w:r w:rsidRPr="00DC517F">
        <w:t>]: (614) 466-9565</w:t>
      </w:r>
    </w:p>
    <w:p w14:paraId="7AF7C680" w14:textId="77777777" w:rsidR="00E84E53" w:rsidRDefault="00F5358D" w:rsidP="00E84E53">
      <w:pPr>
        <w:autoSpaceDE w:val="0"/>
        <w:autoSpaceDN w:val="0"/>
        <w:adjustRightInd w:val="0"/>
        <w:ind w:left="4320"/>
      </w:pPr>
      <w:r w:rsidRPr="00DC517F">
        <w:t>Telephone [Kral]: (614) 466-9571</w:t>
      </w:r>
    </w:p>
    <w:p w14:paraId="0E87265F" w14:textId="77777777" w:rsidR="00E84E53" w:rsidRDefault="00F5358D" w:rsidP="00E84E53">
      <w:pPr>
        <w:autoSpaceDE w:val="0"/>
        <w:autoSpaceDN w:val="0"/>
        <w:adjustRightInd w:val="0"/>
        <w:ind w:left="4320"/>
      </w:pPr>
      <w:hyperlink r:id="rId17" w:history="1">
        <w:r w:rsidR="008668D5" w:rsidRPr="00022A4B">
          <w:rPr>
            <w:rStyle w:val="Hyperlink"/>
          </w:rPr>
          <w:t>John.finnigan@occ.ohio.gov</w:t>
        </w:r>
      </w:hyperlink>
    </w:p>
    <w:p w14:paraId="71D7C660" w14:textId="77777777" w:rsidR="00E84E53" w:rsidRPr="00DC517F" w:rsidRDefault="00F5358D" w:rsidP="00E84E53">
      <w:pPr>
        <w:autoSpaceDE w:val="0"/>
        <w:autoSpaceDN w:val="0"/>
        <w:adjustRightInd w:val="0"/>
        <w:ind w:left="4320"/>
      </w:pPr>
      <w:hyperlink r:id="rId18" w:history="1">
        <w:r w:rsidR="008668D5" w:rsidRPr="00DC517F">
          <w:rPr>
            <w:rFonts w:eastAsia="Courier New"/>
            <w:color w:val="0000FF"/>
            <w:u w:val="single"/>
          </w:rPr>
          <w:t>donald.kral@occ.ohio.gov</w:t>
        </w:r>
      </w:hyperlink>
    </w:p>
    <w:p w14:paraId="7DE25618" w14:textId="73EEE0F5" w:rsidR="00E84E53" w:rsidRPr="00DC517F" w:rsidRDefault="00F5358D" w:rsidP="00E84E53">
      <w:pPr>
        <w:tabs>
          <w:tab w:val="left" w:pos="3870"/>
          <w:tab w:val="left" w:pos="4320"/>
        </w:tabs>
        <w:ind w:left="4320"/>
      </w:pPr>
      <w:r w:rsidRPr="00DC517F">
        <w:t>(</w:t>
      </w:r>
      <w:r>
        <w:t>W</w:t>
      </w:r>
      <w:r w:rsidRPr="00DC517F">
        <w:t>ill accept service via email)</w:t>
      </w:r>
    </w:p>
    <w:p w14:paraId="6F0DD56C" w14:textId="77777777" w:rsidR="00E84E53" w:rsidRPr="00DC517F" w:rsidRDefault="00F5358D" w:rsidP="00E84E53">
      <w:pPr>
        <w:rPr>
          <w:b/>
          <w:u w:val="single"/>
        </w:rPr>
      </w:pPr>
      <w:r w:rsidRPr="00DC517F">
        <w:rPr>
          <w:b/>
          <w:u w:val="single"/>
        </w:rPr>
        <w:br w:type="page"/>
      </w:r>
    </w:p>
    <w:p w14:paraId="00C17012" w14:textId="77777777" w:rsidR="00E84E53" w:rsidRPr="00DC517F" w:rsidRDefault="00F5358D" w:rsidP="00E84E53">
      <w:pPr>
        <w:pStyle w:val="ANSWER"/>
        <w:ind w:left="720"/>
        <w:jc w:val="center"/>
        <w:rPr>
          <w:b/>
          <w:szCs w:val="24"/>
          <w:u w:val="single"/>
        </w:rPr>
      </w:pPr>
      <w:r w:rsidRPr="00DC517F">
        <w:rPr>
          <w:b/>
          <w:szCs w:val="24"/>
          <w:u w:val="single"/>
        </w:rPr>
        <w:lastRenderedPageBreak/>
        <w:t>CERTIFICATE OF SERVICE</w:t>
      </w:r>
    </w:p>
    <w:p w14:paraId="17F5224E" w14:textId="40D2A93B" w:rsidR="00E84E53" w:rsidRPr="00DC517F" w:rsidRDefault="00F5358D" w:rsidP="00E84E53">
      <w:pPr>
        <w:spacing w:line="480" w:lineRule="auto"/>
      </w:pPr>
      <w:r w:rsidRPr="00DC517F">
        <w:tab/>
        <w:t xml:space="preserve">I hereby certify that a </w:t>
      </w:r>
      <w:r w:rsidRPr="00DC517F">
        <w:t>copy of the foregoing Motion to Intervene has been served electronically upon those persons listed below this</w:t>
      </w:r>
      <w:r>
        <w:t xml:space="preserve"> 24</w:t>
      </w:r>
      <w:r w:rsidRPr="00E84E53">
        <w:rPr>
          <w:vertAlign w:val="superscript"/>
        </w:rPr>
        <w:t>th</w:t>
      </w:r>
      <w:r>
        <w:t xml:space="preserve"> </w:t>
      </w:r>
      <w:r w:rsidRPr="00DC517F">
        <w:t xml:space="preserve">day of </w:t>
      </w:r>
      <w:r>
        <w:t>April</w:t>
      </w:r>
      <w:r w:rsidRPr="00DC517F">
        <w:t xml:space="preserve"> 2024.</w:t>
      </w:r>
    </w:p>
    <w:p w14:paraId="3231D3EB" w14:textId="77777777" w:rsidR="00E84E53" w:rsidRPr="00DC517F" w:rsidRDefault="00F5358D" w:rsidP="00E84E53">
      <w:pPr>
        <w:tabs>
          <w:tab w:val="left" w:pos="4320"/>
        </w:tabs>
      </w:pPr>
      <w:r w:rsidRPr="00DC517F">
        <w:tab/>
      </w:r>
      <w:r w:rsidRPr="00DC517F">
        <w:rPr>
          <w:i/>
          <w:iCs/>
          <w:u w:val="single"/>
        </w:rPr>
        <w:t xml:space="preserve">/s/ </w:t>
      </w:r>
      <w:r>
        <w:rPr>
          <w:i/>
          <w:iCs/>
          <w:u w:val="single"/>
        </w:rPr>
        <w:t>John Finnigan</w:t>
      </w:r>
      <w:r>
        <w:rPr>
          <w:i/>
          <w:iCs/>
          <w:u w:val="single"/>
        </w:rPr>
        <w:tab/>
      </w:r>
    </w:p>
    <w:p w14:paraId="3C9BAB96" w14:textId="77777777" w:rsidR="00E84E53" w:rsidRPr="00DC517F" w:rsidRDefault="00F5358D" w:rsidP="00E84E53">
      <w:pPr>
        <w:tabs>
          <w:tab w:val="left" w:pos="4320"/>
        </w:tabs>
      </w:pPr>
      <w:r w:rsidRPr="00DC517F">
        <w:tab/>
      </w:r>
      <w:r>
        <w:t>John Finnigan</w:t>
      </w:r>
    </w:p>
    <w:p w14:paraId="3B126715" w14:textId="77777777" w:rsidR="00E84E53" w:rsidRPr="00DC517F" w:rsidRDefault="00F5358D" w:rsidP="00E84E53">
      <w:pPr>
        <w:tabs>
          <w:tab w:val="left" w:pos="4320"/>
        </w:tabs>
      </w:pPr>
      <w:r w:rsidRPr="00DC517F">
        <w:tab/>
        <w:t>Assistant Consumers</w:t>
      </w:r>
      <w:r>
        <w:t>’</w:t>
      </w:r>
      <w:r w:rsidRPr="00DC517F">
        <w:t xml:space="preserve"> Counsel</w:t>
      </w:r>
    </w:p>
    <w:p w14:paraId="4C095AA8" w14:textId="77777777" w:rsidR="00E84E53" w:rsidRPr="00DC517F" w:rsidRDefault="00E84E53" w:rsidP="00E84E53">
      <w:pPr>
        <w:tabs>
          <w:tab w:val="left" w:pos="4320"/>
        </w:tabs>
      </w:pPr>
    </w:p>
    <w:p w14:paraId="1DE7CA8E" w14:textId="77777777" w:rsidR="00E84E53" w:rsidRPr="00DC517F" w:rsidRDefault="00F5358D" w:rsidP="00E84E53">
      <w:pPr>
        <w:pStyle w:val="CommentText"/>
      </w:pPr>
      <w:r w:rsidRPr="00DC517F">
        <w:t>The PUCO</w:t>
      </w:r>
      <w:r>
        <w:t>’</w:t>
      </w:r>
      <w:r w:rsidRPr="00DC517F">
        <w:t>s e-filing system will electronically serve notice of the filing of this document on the following parties:</w:t>
      </w:r>
    </w:p>
    <w:p w14:paraId="60527629" w14:textId="77777777" w:rsidR="00E84E53" w:rsidRPr="00DC517F" w:rsidRDefault="00E84E53" w:rsidP="00E84E53">
      <w:pPr>
        <w:tabs>
          <w:tab w:val="left" w:pos="4320"/>
        </w:tabs>
      </w:pPr>
    </w:p>
    <w:p w14:paraId="568BF529" w14:textId="77777777" w:rsidR="00E84E53" w:rsidRPr="00DC517F" w:rsidRDefault="00F5358D" w:rsidP="00E84E53">
      <w:pPr>
        <w:pStyle w:val="CommentText"/>
        <w:jc w:val="center"/>
        <w:rPr>
          <w:b/>
          <w:u w:val="single"/>
        </w:rPr>
      </w:pPr>
      <w:r w:rsidRPr="00DC517F">
        <w:rPr>
          <w:b/>
          <w:u w:val="single"/>
        </w:rPr>
        <w:t>SERVICE LIST</w:t>
      </w:r>
    </w:p>
    <w:tbl>
      <w:tblPr>
        <w:tblW w:w="8856" w:type="dxa"/>
        <w:tblLook w:val="04A0" w:firstRow="1" w:lastRow="0" w:firstColumn="1" w:lastColumn="0" w:noHBand="0" w:noVBand="1"/>
      </w:tblPr>
      <w:tblGrid>
        <w:gridCol w:w="4320"/>
        <w:gridCol w:w="108"/>
        <w:gridCol w:w="4212"/>
        <w:gridCol w:w="216"/>
      </w:tblGrid>
      <w:tr w:rsidR="00E2142D" w14:paraId="3D7D8D60" w14:textId="77777777" w:rsidTr="006B5CA4">
        <w:trPr>
          <w:gridAfter w:val="1"/>
          <w:wAfter w:w="216" w:type="dxa"/>
        </w:trPr>
        <w:tc>
          <w:tcPr>
            <w:tcW w:w="4320" w:type="dxa"/>
            <w:shd w:val="clear" w:color="auto" w:fill="auto"/>
          </w:tcPr>
          <w:p w14:paraId="5248FFCF" w14:textId="77777777" w:rsidR="00E84E53" w:rsidRPr="00DC517F" w:rsidRDefault="00E84E53" w:rsidP="006B5CA4">
            <w:pPr>
              <w:rPr>
                <w:bCs/>
              </w:rPr>
            </w:pPr>
          </w:p>
        </w:tc>
        <w:tc>
          <w:tcPr>
            <w:tcW w:w="4320" w:type="dxa"/>
            <w:gridSpan w:val="2"/>
            <w:shd w:val="clear" w:color="auto" w:fill="auto"/>
          </w:tcPr>
          <w:p w14:paraId="558A80D7" w14:textId="77777777" w:rsidR="00E84E53" w:rsidRPr="00DC517F" w:rsidRDefault="00E84E53" w:rsidP="006B5CA4">
            <w:pPr>
              <w:rPr>
                <w:bCs/>
              </w:rPr>
            </w:pPr>
          </w:p>
        </w:tc>
      </w:tr>
      <w:tr w:rsidR="00E2142D" w14:paraId="0A78DF34" w14:textId="77777777" w:rsidTr="006B5CA4">
        <w:tc>
          <w:tcPr>
            <w:tcW w:w="4428" w:type="dxa"/>
            <w:gridSpan w:val="2"/>
            <w:shd w:val="clear" w:color="auto" w:fill="auto"/>
          </w:tcPr>
          <w:p w14:paraId="14A56A7A" w14:textId="77777777" w:rsidR="00E84E53" w:rsidRPr="00DC517F" w:rsidRDefault="00F5358D" w:rsidP="006B5CA4">
            <w:pPr>
              <w:ind w:left="-113"/>
              <w:jc w:val="both"/>
              <w:rPr>
                <w:color w:val="0000FF"/>
                <w:u w:val="single"/>
              </w:rPr>
            </w:pPr>
            <w:hyperlink r:id="rId19" w:history="1">
              <w:r w:rsidR="008668D5" w:rsidRPr="00DC517F">
                <w:rPr>
                  <w:color w:val="0000FF"/>
                  <w:u w:val="single"/>
                </w:rPr>
                <w:t>john.jones@ohioago.gov</w:t>
              </w:r>
            </w:hyperlink>
          </w:p>
          <w:p w14:paraId="28F2928E" w14:textId="77777777" w:rsidR="00E84E53" w:rsidRPr="00DC517F" w:rsidRDefault="00E84E53" w:rsidP="006B5CA4">
            <w:pPr>
              <w:ind w:left="-113"/>
              <w:jc w:val="both"/>
            </w:pPr>
          </w:p>
          <w:p w14:paraId="7CED08F4" w14:textId="77777777" w:rsidR="00E84E53" w:rsidRPr="00DC517F" w:rsidRDefault="00E84E53" w:rsidP="006B5CA4">
            <w:pPr>
              <w:ind w:left="-113"/>
              <w:jc w:val="both"/>
            </w:pPr>
          </w:p>
        </w:tc>
        <w:tc>
          <w:tcPr>
            <w:tcW w:w="4428" w:type="dxa"/>
            <w:gridSpan w:val="2"/>
            <w:shd w:val="clear" w:color="auto" w:fill="auto"/>
          </w:tcPr>
          <w:p w14:paraId="2C7D81C3" w14:textId="77777777" w:rsidR="00E84E53" w:rsidRDefault="00F5358D" w:rsidP="006B5CA4">
            <w:pPr>
              <w:jc w:val="both"/>
            </w:pPr>
            <w:hyperlink r:id="rId20" w:history="1">
              <w:r w:rsidR="008668D5" w:rsidRPr="00022A4B">
                <w:rPr>
                  <w:rStyle w:val="Hyperlink"/>
                </w:rPr>
                <w:t>Christopher.hollon@aes.com</w:t>
              </w:r>
            </w:hyperlink>
          </w:p>
          <w:p w14:paraId="65E7D8E6" w14:textId="77777777" w:rsidR="00E84E53" w:rsidRPr="00DC517F" w:rsidRDefault="00E84E53" w:rsidP="006B5CA4">
            <w:pPr>
              <w:jc w:val="both"/>
            </w:pPr>
          </w:p>
        </w:tc>
      </w:tr>
    </w:tbl>
    <w:p w14:paraId="00A354A7" w14:textId="77777777" w:rsidR="00A5637F" w:rsidRPr="004C74BD" w:rsidRDefault="00A5637F" w:rsidP="00E84E53"/>
    <w:sectPr w:rsidR="00A5637F" w:rsidRPr="004C74BD" w:rsidSect="00AF037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D778" w14:textId="77777777" w:rsidR="00F5358D" w:rsidRDefault="00F5358D">
      <w:r>
        <w:separator/>
      </w:r>
    </w:p>
  </w:endnote>
  <w:endnote w:type="continuationSeparator" w:id="0">
    <w:p w14:paraId="06D420FB" w14:textId="77777777" w:rsidR="00F5358D" w:rsidRDefault="00F5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FC6D" w14:textId="77777777" w:rsidR="009C5EAC" w:rsidRDefault="009C5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200103"/>
      <w:docPartObj>
        <w:docPartGallery w:val="Page Numbers (Bottom of Page)"/>
        <w:docPartUnique/>
      </w:docPartObj>
    </w:sdtPr>
    <w:sdtEndPr>
      <w:rPr>
        <w:noProof/>
      </w:rPr>
    </w:sdtEndPr>
    <w:sdtContent>
      <w:p w14:paraId="6408A4FF" w14:textId="26E281BD" w:rsidR="00411D7A" w:rsidRDefault="00F535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2D1F4" w14:textId="03CE68DF" w:rsidR="00983F12" w:rsidRDefault="00983F12" w:rsidP="00AE2BF5">
    <w:pPr>
      <w:pStyle w:val="Footer"/>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A431" w14:textId="54CD5687" w:rsidR="00E55F27" w:rsidRDefault="00E55F27">
    <w:pPr>
      <w:pStyle w:val="Footer"/>
      <w:jc w:val="center"/>
    </w:pPr>
  </w:p>
  <w:p w14:paraId="745D7C2C" w14:textId="42960809" w:rsidR="00813A2A" w:rsidRDefault="00813A2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746103"/>
      <w:docPartObj>
        <w:docPartGallery w:val="Page Numbers (Bottom of Page)"/>
        <w:docPartUnique/>
      </w:docPartObj>
    </w:sdtPr>
    <w:sdtEndPr>
      <w:rPr>
        <w:noProof/>
      </w:rPr>
    </w:sdtEndPr>
    <w:sdtContent>
      <w:p w14:paraId="178DC18A" w14:textId="77777777" w:rsidR="001D3EAA" w:rsidRDefault="00F535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67804" w14:textId="77777777" w:rsidR="001D3EAA" w:rsidRDefault="001D3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3645F" w14:textId="77777777" w:rsidR="00AF0372" w:rsidRDefault="00F5358D">
      <w:r>
        <w:separator/>
      </w:r>
    </w:p>
  </w:footnote>
  <w:footnote w:type="continuationSeparator" w:id="0">
    <w:p w14:paraId="561982B7" w14:textId="77777777" w:rsidR="00AF0372" w:rsidRDefault="00F5358D">
      <w:r>
        <w:continuationSeparator/>
      </w:r>
    </w:p>
  </w:footnote>
  <w:footnote w:id="1">
    <w:p w14:paraId="4EF2C168" w14:textId="00345E36" w:rsidR="00EB5FAF" w:rsidRDefault="00F5358D" w:rsidP="00DC1414">
      <w:pPr>
        <w:pStyle w:val="FootnoteText"/>
        <w:spacing w:before="0"/>
      </w:pPr>
      <w:r>
        <w:rPr>
          <w:rStyle w:val="FootnoteReference"/>
        </w:rPr>
        <w:footnoteRef/>
      </w:r>
      <w:r>
        <w:t xml:space="preserve"> </w:t>
      </w:r>
      <w:r>
        <w:rPr>
          <w:i/>
          <w:iCs/>
        </w:rPr>
        <w:t xml:space="preserve">In the Matter of the Application of </w:t>
      </w:r>
      <w:r w:rsidR="00E84E53">
        <w:rPr>
          <w:i/>
          <w:iCs/>
        </w:rPr>
        <w:t xml:space="preserve">The Dayton </w:t>
      </w:r>
      <w:r w:rsidR="00DC1414">
        <w:rPr>
          <w:i/>
          <w:iCs/>
        </w:rPr>
        <w:t>P</w:t>
      </w:r>
      <w:r w:rsidR="00E84E53">
        <w:rPr>
          <w:i/>
          <w:iCs/>
        </w:rPr>
        <w:t xml:space="preserve">ower and Light Company d/b/a AES Ohio to Update its Transmission Cost Recovery Rider, </w:t>
      </w:r>
      <w:r>
        <w:t>Case No. 24-</w:t>
      </w:r>
      <w:r w:rsidR="00E84E53">
        <w:t>196</w:t>
      </w:r>
      <w:r>
        <w:t>-EL-RDR, Application at Schedule B-2 (</w:t>
      </w:r>
      <w:r w:rsidR="00E84E53">
        <w:t>March 15, 2024)</w:t>
      </w:r>
      <w:r>
        <w:t>.</w:t>
      </w:r>
    </w:p>
  </w:footnote>
  <w:footnote w:id="2">
    <w:p w14:paraId="2DA98229" w14:textId="5AF31AFC" w:rsidR="00DC1414" w:rsidRPr="00DC1414" w:rsidRDefault="00F5358D" w:rsidP="00DC1414">
      <w:pPr>
        <w:pStyle w:val="FootnoteText"/>
        <w:spacing w:after="120"/>
        <w:rPr>
          <w:i/>
          <w:iCs/>
        </w:rPr>
      </w:pPr>
      <w:r>
        <w:rPr>
          <w:rStyle w:val="FootnoteReference"/>
        </w:rPr>
        <w:footnoteRef/>
      </w:r>
      <w:r>
        <w:t xml:space="preserve"> </w:t>
      </w:r>
      <w:r>
        <w:rPr>
          <w:i/>
          <w:iCs/>
        </w:rPr>
        <w:t>Id. at ⁋ 3.</w:t>
      </w:r>
    </w:p>
  </w:footnote>
  <w:footnote w:id="3">
    <w:p w14:paraId="2C067EE7" w14:textId="74E2AFBC" w:rsidR="00034C9F" w:rsidRDefault="00F5358D" w:rsidP="00034C9F">
      <w:pPr>
        <w:pStyle w:val="FootnoteText"/>
        <w:spacing w:before="0" w:after="120"/>
      </w:pPr>
      <w:r>
        <w:rPr>
          <w:rStyle w:val="FootnoteReference"/>
        </w:rPr>
        <w:footnoteRef/>
      </w:r>
      <w:r>
        <w:t xml:space="preserve"> </w:t>
      </w:r>
      <w:r>
        <w:rPr>
          <w:i/>
          <w:iCs/>
        </w:rPr>
        <w:t xml:space="preserve">The Office of the Ohio Consumers’ Counsel v. PJM Interconnection, L.L.C., et al., </w:t>
      </w:r>
      <w:r w:rsidRPr="00E95B80">
        <w:t>Docket No. EL23-105-000</w:t>
      </w:r>
      <w:r>
        <w:t>, Complaint (Sept</w:t>
      </w:r>
      <w:r w:rsidR="00B845D4">
        <w:t>.</w:t>
      </w:r>
      <w:r>
        <w:t xml:space="preserve"> 28, 2023) (“OCC Complaint Action”).</w:t>
      </w:r>
    </w:p>
  </w:footnote>
  <w:footnote w:id="4">
    <w:p w14:paraId="40ED396D" w14:textId="3F95951D" w:rsidR="0094355D" w:rsidRDefault="00F5358D" w:rsidP="004C74BD">
      <w:pPr>
        <w:pStyle w:val="FootnoteText"/>
        <w:spacing w:before="0" w:after="120"/>
      </w:pPr>
      <w:r>
        <w:rPr>
          <w:rStyle w:val="FootnoteReference"/>
        </w:rPr>
        <w:footnoteRef/>
      </w:r>
      <w:r>
        <w:t xml:space="preserve"> Application at Schedule B-2.</w:t>
      </w:r>
    </w:p>
  </w:footnote>
  <w:footnote w:id="5">
    <w:p w14:paraId="08B58146" w14:textId="0571C797" w:rsidR="009E625E" w:rsidRPr="00BA5213" w:rsidRDefault="00F5358D" w:rsidP="00216979">
      <w:pPr>
        <w:pStyle w:val="FootnoteText"/>
        <w:spacing w:before="0" w:after="120"/>
      </w:pPr>
      <w:r>
        <w:rPr>
          <w:rStyle w:val="FootnoteReference"/>
        </w:rPr>
        <w:footnoteRef/>
      </w:r>
      <w:r>
        <w:t xml:space="preserve"> </w:t>
      </w:r>
      <w:r>
        <w:rPr>
          <w:i/>
          <w:iCs/>
        </w:rPr>
        <w:t xml:space="preserve">Id. </w:t>
      </w:r>
      <w:r>
        <w:t xml:space="preserve">at Schedule </w:t>
      </w:r>
      <w:r w:rsidR="00DC1414">
        <w:t>B-3</w:t>
      </w:r>
      <w:r>
        <w:t xml:space="preserve"> (</w:t>
      </w:r>
      <w:r w:rsidR="00F63B51">
        <w:t>c</w:t>
      </w:r>
      <w:r>
        <w:t>urrent rate of $.0</w:t>
      </w:r>
      <w:r w:rsidR="00DC1414">
        <w:t>066108</w:t>
      </w:r>
      <w:r>
        <w:t xml:space="preserve"> per kWh increasing to $.0</w:t>
      </w:r>
      <w:r w:rsidR="00DC1414">
        <w:t>101098</w:t>
      </w:r>
      <w:r>
        <w:t xml:space="preserve"> per kWh).</w:t>
      </w:r>
    </w:p>
  </w:footnote>
  <w:footnote w:id="6">
    <w:p w14:paraId="01C06E34" w14:textId="77777777" w:rsidR="0065520F" w:rsidRPr="00F16396" w:rsidRDefault="00F5358D" w:rsidP="0065520F">
      <w:pPr>
        <w:pStyle w:val="FootnoteText"/>
        <w:spacing w:before="0" w:after="120"/>
      </w:pPr>
      <w:r>
        <w:rPr>
          <w:rStyle w:val="FootnoteReference"/>
        </w:rPr>
        <w:footnoteRef/>
      </w:r>
      <w:r>
        <w:t xml:space="preserve"> </w:t>
      </w:r>
      <w:r>
        <w:rPr>
          <w:i/>
          <w:iCs/>
        </w:rPr>
        <w:t xml:space="preserve">In the Matter of the Application of The Dayton Power and Light Company d/b/a AES Ohio for Approval of its Electric Security Plan, </w:t>
      </w:r>
      <w:r>
        <w:t xml:space="preserve">Case No. 22-900-EL-SSO, </w:t>
      </w:r>
      <w:r w:rsidRPr="00296419">
        <w:rPr>
          <w:i/>
          <w:iCs/>
        </w:rPr>
        <w:t>et al</w:t>
      </w:r>
      <w:r>
        <w:t>., Opinion and Order (Aug. 9, 2023).</w:t>
      </w:r>
    </w:p>
  </w:footnote>
  <w:footnote w:id="7">
    <w:p w14:paraId="6500875E" w14:textId="59D411B3" w:rsidR="00EA20C9" w:rsidRPr="00EA20C9" w:rsidRDefault="00F5358D" w:rsidP="00216979">
      <w:pPr>
        <w:pStyle w:val="FootnoteText"/>
        <w:spacing w:before="0" w:after="120"/>
      </w:pPr>
      <w:r>
        <w:rPr>
          <w:rStyle w:val="FootnoteReference"/>
        </w:rPr>
        <w:footnoteRef/>
      </w:r>
      <w:r>
        <w:t xml:space="preserve"> </w:t>
      </w:r>
      <w:r>
        <w:rPr>
          <w:i/>
          <w:iCs/>
        </w:rPr>
        <w:t xml:space="preserve">See </w:t>
      </w:r>
      <w:r>
        <w:t>the 2017</w:t>
      </w:r>
      <w:r w:rsidR="007807B8">
        <w:t>-</w:t>
      </w:r>
      <w:r>
        <w:t>2021 PJM Ohio State Infrastructure Report.</w:t>
      </w:r>
      <w:r w:rsidR="00911453">
        <w:t xml:space="preserve"> </w:t>
      </w:r>
      <w:r>
        <w:t>This data includes only projects that exceed $5 million.</w:t>
      </w:r>
    </w:p>
  </w:footnote>
  <w:footnote w:id="8">
    <w:p w14:paraId="7E87315C" w14:textId="74F4B2F3" w:rsidR="00B7732F" w:rsidRPr="00B7732F" w:rsidRDefault="00F5358D" w:rsidP="000510F0">
      <w:pPr>
        <w:pStyle w:val="FootnoteText"/>
        <w:spacing w:before="0" w:after="120"/>
      </w:pPr>
      <w:r>
        <w:rPr>
          <w:rStyle w:val="FootnoteReference"/>
        </w:rPr>
        <w:footnoteRef/>
      </w:r>
      <w:r>
        <w:t xml:space="preserve"> </w:t>
      </w:r>
      <w:r w:rsidR="00EC3B28">
        <w:t>Application at ⁋ 5 (noting that t</w:t>
      </w:r>
      <w:r>
        <w:t xml:space="preserve">he </w:t>
      </w:r>
      <w:r w:rsidR="00EC3B28">
        <w:t xml:space="preserve">Opt-Out </w:t>
      </w:r>
      <w:r>
        <w:t xml:space="preserve">Pilot Program </w:t>
      </w:r>
      <w:r w:rsidR="00EC3B28">
        <w:t xml:space="preserve">for the TCRR </w:t>
      </w:r>
      <w:r>
        <w:t xml:space="preserve">was originally approved by the PUCO in Case No. 16-395-EL-SSO, </w:t>
      </w:r>
      <w:r>
        <w:rPr>
          <w:i/>
          <w:iCs/>
        </w:rPr>
        <w:t xml:space="preserve">et al., </w:t>
      </w:r>
      <w:r>
        <w:t>Opinion and Order (Oct</w:t>
      </w:r>
      <w:r w:rsidR="002E446C">
        <w:t>.</w:t>
      </w:r>
      <w:r>
        <w:t xml:space="preserve"> 20, 2017)</w:t>
      </w:r>
      <w:r w:rsidR="00EC3B28">
        <w:t>)</w:t>
      </w:r>
      <w:r>
        <w:t xml:space="preserve">.  </w:t>
      </w:r>
    </w:p>
  </w:footnote>
  <w:footnote w:id="9">
    <w:p w14:paraId="5305759E" w14:textId="37B7DEE3" w:rsidR="008D51EB" w:rsidRPr="008D51EB" w:rsidRDefault="00F5358D" w:rsidP="000510F0">
      <w:pPr>
        <w:pStyle w:val="FootnoteText"/>
        <w:spacing w:before="0" w:after="120"/>
      </w:pPr>
      <w:r>
        <w:rPr>
          <w:rStyle w:val="FootnoteReference"/>
        </w:rPr>
        <w:footnoteRef/>
      </w:r>
      <w:r>
        <w:t xml:space="preserve"> </w:t>
      </w:r>
      <w:r>
        <w:rPr>
          <w:i/>
          <w:iCs/>
        </w:rPr>
        <w:t xml:space="preserve">In the Matter of the Review of the Non-Market-Based Services Rider Pilot Program Established by Ohio Edison Company, the Cleveland Electric Illuminating Company and the Toledo Edison Company, </w:t>
      </w:r>
      <w:r>
        <w:t>Case No. 22-391-EL-RDR, Exeter Associates, Inc., Review of the Non-Market Based Services Riders Established by Ohio Edison Company, the Cleveland Electric Illuminating Company, and the Toledo Edison Company (July 17, 2023)</w:t>
      </w:r>
      <w:r w:rsidR="007807B8">
        <w:t xml:space="preserve"> </w:t>
      </w:r>
      <w:r>
        <w:t>(</w:t>
      </w:r>
      <w:r w:rsidR="004C74BD">
        <w:t>“</w:t>
      </w:r>
      <w:r>
        <w:t>Audit Report</w:t>
      </w:r>
      <w:r w:rsidR="004C74BD">
        <w:t>”</w:t>
      </w:r>
      <w:r>
        <w:t>) at 20.</w:t>
      </w:r>
    </w:p>
  </w:footnote>
  <w:footnote w:id="10">
    <w:p w14:paraId="2E0E1751" w14:textId="3C1590DF" w:rsidR="00B56727" w:rsidRDefault="00F5358D" w:rsidP="000510F0">
      <w:pPr>
        <w:pStyle w:val="FootnoteText"/>
        <w:spacing w:before="0" w:after="120"/>
      </w:pPr>
      <w:r>
        <w:rPr>
          <w:rStyle w:val="FootnoteReference"/>
        </w:rPr>
        <w:footnoteRef/>
      </w:r>
      <w:r>
        <w:t xml:space="preserve"> Application at Schedule B-2</w:t>
      </w:r>
      <w:r w:rsidR="00792FAB">
        <w:t>, B-3</w:t>
      </w:r>
      <w:r>
        <w:t>.</w:t>
      </w:r>
    </w:p>
  </w:footnote>
  <w:footnote w:id="11">
    <w:p w14:paraId="50F820DA" w14:textId="37369F84" w:rsidR="00C12555" w:rsidRDefault="00F5358D" w:rsidP="000510F0">
      <w:pPr>
        <w:pStyle w:val="FootnoteText"/>
        <w:spacing w:before="0" w:after="120"/>
      </w:pPr>
      <w:r>
        <w:rPr>
          <w:rStyle w:val="FootnoteReference"/>
        </w:rPr>
        <w:footnoteRef/>
      </w:r>
      <w:r>
        <w:t xml:space="preserve"> Application at Schedule B-3.</w:t>
      </w:r>
    </w:p>
  </w:footnote>
  <w:footnote w:id="12">
    <w:p w14:paraId="3DC49D8F" w14:textId="77777777" w:rsidR="00732101" w:rsidRPr="008D51EB" w:rsidRDefault="00F5358D" w:rsidP="003150C8">
      <w:pPr>
        <w:pStyle w:val="FootnoteText"/>
        <w:spacing w:before="0" w:after="120"/>
      </w:pPr>
      <w:r>
        <w:rPr>
          <w:rStyle w:val="FootnoteReference"/>
        </w:rPr>
        <w:footnoteRef/>
      </w:r>
      <w:r>
        <w:t xml:space="preserve"> Audit Report at 20.</w:t>
      </w:r>
    </w:p>
  </w:footnote>
  <w:footnote w:id="13">
    <w:p w14:paraId="18C62DC2" w14:textId="1CED0467" w:rsidR="00132599" w:rsidRDefault="00F5358D" w:rsidP="003150C8">
      <w:pPr>
        <w:pStyle w:val="FootnoteText"/>
        <w:spacing w:before="0" w:after="120"/>
      </w:pPr>
      <w:r>
        <w:rPr>
          <w:rStyle w:val="FootnoteReference"/>
        </w:rPr>
        <w:footnoteRef/>
      </w:r>
      <w:r>
        <w:t xml:space="preserve"> </w:t>
      </w:r>
      <w:r>
        <w:rPr>
          <w:i/>
          <w:iCs/>
        </w:rPr>
        <w:t xml:space="preserve">In the Matter of the Application of The Dayton Power and Light Company d/b/a AES Ohio for Approval of its Electric Security Plan, </w:t>
      </w:r>
      <w:r>
        <w:t xml:space="preserve">Case No. 22-900-EL-SSO, </w:t>
      </w:r>
      <w:r w:rsidRPr="00296419">
        <w:rPr>
          <w:i/>
          <w:iCs/>
        </w:rPr>
        <w:t>et al</w:t>
      </w:r>
      <w:r>
        <w:t>., Opinion and Order (Aug. 9, 2023) at p. 40.</w:t>
      </w:r>
    </w:p>
  </w:footnote>
  <w:footnote w:id="14">
    <w:p w14:paraId="2044447B" w14:textId="4ECCEAAA" w:rsidR="00132599" w:rsidRPr="00132599" w:rsidRDefault="00F5358D" w:rsidP="003150C8">
      <w:pPr>
        <w:pStyle w:val="FootnoteText"/>
        <w:spacing w:before="0" w:after="120"/>
        <w:rPr>
          <w:i/>
          <w:iCs/>
        </w:rPr>
      </w:pPr>
      <w:r>
        <w:rPr>
          <w:rStyle w:val="FootnoteReference"/>
        </w:rPr>
        <w:footnoteRef/>
      </w:r>
      <w:r>
        <w:t xml:space="preserve"> </w:t>
      </w:r>
      <w:r>
        <w:rPr>
          <w:i/>
          <w:iCs/>
        </w:rPr>
        <w:t>Id.</w:t>
      </w:r>
    </w:p>
  </w:footnote>
  <w:footnote w:id="15">
    <w:p w14:paraId="6DF20B2F" w14:textId="213B11F3" w:rsidR="00132599" w:rsidRPr="00132599" w:rsidRDefault="00F5358D" w:rsidP="003150C8">
      <w:pPr>
        <w:pStyle w:val="FootnoteText"/>
        <w:spacing w:before="0" w:after="120"/>
        <w:rPr>
          <w:i/>
          <w:iCs/>
        </w:rPr>
      </w:pPr>
      <w:r>
        <w:rPr>
          <w:rStyle w:val="FootnoteReference"/>
        </w:rPr>
        <w:footnoteRef/>
      </w:r>
      <w:r>
        <w:t xml:space="preserve"> </w:t>
      </w:r>
      <w:r>
        <w:rPr>
          <w:i/>
          <w:iCs/>
        </w:rPr>
        <w:t>Id.</w:t>
      </w:r>
    </w:p>
  </w:footnote>
  <w:footnote w:id="16">
    <w:p w14:paraId="624A045B" w14:textId="11B6BA6C" w:rsidR="00901FC0" w:rsidRDefault="00F5358D" w:rsidP="0094049A">
      <w:pPr>
        <w:pStyle w:val="FootnoteText"/>
        <w:spacing w:before="0" w:after="120"/>
      </w:pPr>
      <w:r>
        <w:rPr>
          <w:rStyle w:val="FootnoteReference"/>
        </w:rPr>
        <w:footnoteRef/>
      </w:r>
      <w:r>
        <w:t xml:space="preserve"> </w:t>
      </w:r>
      <w:r w:rsidRPr="00901FC0">
        <w:rPr>
          <w:i/>
          <w:iCs/>
        </w:rPr>
        <w:t xml:space="preserve">The Office of the Ohio Consumers’ Counsel v. PJM Interconnection, L.L.C., et al., </w:t>
      </w:r>
      <w:r w:rsidRPr="00901FC0">
        <w:t>Docket No. EL23-105-000, Complaint (Sept. 28, 2023) (“OCC Complaint Action”).</w:t>
      </w:r>
    </w:p>
  </w:footnote>
  <w:footnote w:id="17">
    <w:p w14:paraId="62037AB4" w14:textId="1CD8C96D" w:rsidR="00493BA4" w:rsidRPr="00493BA4" w:rsidRDefault="00F5358D" w:rsidP="0094049A">
      <w:pPr>
        <w:pStyle w:val="FootnoteText"/>
        <w:spacing w:before="0" w:after="120"/>
      </w:pPr>
      <w:r>
        <w:rPr>
          <w:rStyle w:val="FootnoteReference"/>
        </w:rPr>
        <w:footnoteRef/>
      </w:r>
      <w:r>
        <w:t xml:space="preserve"> </w:t>
      </w:r>
      <w:r>
        <w:rPr>
          <w:i/>
          <w:iCs/>
        </w:rPr>
        <w:t xml:space="preserve">Compensation for Reactive Power within the Standard Power Factor Range, </w:t>
      </w:r>
      <w:r>
        <w:t>Docket No. RM22-2-000, 186 FERC ¶ 61,203 (Mar</w:t>
      </w:r>
      <w:r w:rsidR="00541533">
        <w:t>ch</w:t>
      </w:r>
      <w:r>
        <w:t xml:space="preserve"> 21, 2024)</w:t>
      </w:r>
      <w:r w:rsidR="00613C0A">
        <w:t>(the “Reactive Power Action”)</w:t>
      </w:r>
      <w:r>
        <w:t>.</w:t>
      </w:r>
    </w:p>
  </w:footnote>
  <w:footnote w:id="18">
    <w:p w14:paraId="63814135" w14:textId="5DCFFB89" w:rsidR="00CC01DB" w:rsidRPr="008B5155" w:rsidRDefault="00F5358D" w:rsidP="00CD6513">
      <w:pPr>
        <w:pStyle w:val="FootnoteText"/>
        <w:spacing w:before="0" w:after="120"/>
      </w:pPr>
      <w:r>
        <w:rPr>
          <w:rStyle w:val="FootnoteReference"/>
        </w:rPr>
        <w:footnoteRef/>
      </w:r>
      <w:r>
        <w:t xml:space="preserve"> </w:t>
      </w:r>
      <w:r>
        <w:rPr>
          <w:i/>
          <w:iCs/>
        </w:rPr>
        <w:t xml:space="preserve">See, e.g., In the Matter of The Ohio Power Company Application to Update Its Basic Transmission Cost Rider, </w:t>
      </w:r>
      <w:r>
        <w:t>Case No. 23-57-EL-RDR, OCC’s Consumer Protection Comments (Feb</w:t>
      </w:r>
      <w:r w:rsidR="00541533">
        <w:t>.</w:t>
      </w:r>
      <w:r>
        <w:t xml:space="preserve"> 27, 2023).</w:t>
      </w:r>
    </w:p>
  </w:footnote>
  <w:footnote w:id="19">
    <w:p w14:paraId="303BDB43" w14:textId="5405AA34" w:rsidR="00901FC0" w:rsidRDefault="00F5358D" w:rsidP="00F7401D">
      <w:pPr>
        <w:pStyle w:val="FootnoteText"/>
        <w:spacing w:before="0" w:after="120"/>
      </w:pPr>
      <w:r>
        <w:rPr>
          <w:rStyle w:val="FootnoteReference"/>
        </w:rPr>
        <w:footnoteRef/>
      </w:r>
      <w:r>
        <w:t xml:space="preserve"> </w:t>
      </w:r>
      <w:r w:rsidRPr="00901FC0">
        <w:rPr>
          <w:i/>
          <w:iCs/>
        </w:rPr>
        <w:t>See In the Matter of the Review of the Non-Market Based Services Rider Contained in the Tariffs of Ohio Edison Co., The Cleveland Elec. Illum. Co., and The Toledo Edison Co</w:t>
      </w:r>
      <w:r w:rsidRPr="00901FC0">
        <w:t>., Case No. 23-51-EL-RDR, Finding and Order ¶ 14 (March 22, 2023).</w:t>
      </w:r>
    </w:p>
  </w:footnote>
  <w:footnote w:id="20">
    <w:p w14:paraId="16493BFC" w14:textId="785F7DBB" w:rsidR="00901FC0" w:rsidRDefault="00F5358D" w:rsidP="00F7401D">
      <w:pPr>
        <w:pStyle w:val="FootnoteText"/>
        <w:spacing w:before="0" w:after="120"/>
      </w:pPr>
      <w:r>
        <w:rPr>
          <w:rStyle w:val="FootnoteReference"/>
        </w:rPr>
        <w:footnoteRef/>
      </w:r>
      <w:r>
        <w:t xml:space="preserve"> </w:t>
      </w:r>
      <w:bookmarkStart w:id="14" w:name="_Hlk164849984"/>
      <w:r w:rsidRPr="00901FC0">
        <w:rPr>
          <w:i/>
          <w:iCs/>
        </w:rPr>
        <w:t xml:space="preserve">The Office of the Ohio Consumers’ Counsel v. PJM Interconnection, L.L.C., et al., </w:t>
      </w:r>
      <w:r w:rsidRPr="00901FC0">
        <w:t>Docket No. EL23-105-000, Complaint (Sept. 28, 2023) (“OCC Complaint Action”).</w:t>
      </w:r>
      <w:bookmarkEnd w:id="14"/>
    </w:p>
  </w:footnote>
  <w:footnote w:id="21">
    <w:p w14:paraId="19D4FA9B" w14:textId="77777777" w:rsidR="00AA3CA3" w:rsidRPr="0049680F" w:rsidRDefault="00F5358D" w:rsidP="00AA3CA3">
      <w:pPr>
        <w:pStyle w:val="FootnoteText"/>
        <w:spacing w:before="0" w:after="120"/>
      </w:pPr>
      <w:r>
        <w:rPr>
          <w:rStyle w:val="FootnoteReference"/>
        </w:rPr>
        <w:footnoteRef/>
      </w:r>
      <w:r>
        <w:t xml:space="preserve"> </w:t>
      </w:r>
      <w:r>
        <w:rPr>
          <w:i/>
          <w:iCs/>
        </w:rPr>
        <w:t xml:space="preserve">Id., </w:t>
      </w:r>
      <w:r>
        <w:t>Comments of the Public Utilities Commission of Ohio’s Office of the Federal Energy Advocate (Nov. 17, 2023) at 3-5.</w:t>
      </w:r>
    </w:p>
  </w:footnote>
  <w:footnote w:id="22">
    <w:p w14:paraId="104F8D2D" w14:textId="77777777" w:rsidR="00901FC0" w:rsidRPr="007E1D7C" w:rsidRDefault="00F5358D" w:rsidP="00901FC0">
      <w:pPr>
        <w:pStyle w:val="FootnoteText"/>
        <w:spacing w:before="0" w:after="120"/>
      </w:pPr>
      <w:r w:rsidRPr="007E1D7C">
        <w:rPr>
          <w:rStyle w:val="FootnoteReference"/>
        </w:rPr>
        <w:footnoteRef/>
      </w:r>
      <w:r w:rsidRPr="007E1D7C">
        <w:t xml:space="preserve"> Confirmation Hearing, Ohio Senate Energy and Public Utilities Committee (April 9, 2024), </w:t>
      </w:r>
      <w:hyperlink r:id="rId1" w:history="1">
        <w:r w:rsidRPr="007E1D7C">
          <w:rPr>
            <w:rStyle w:val="Hyperlink"/>
          </w:rPr>
          <w:t>https://ohiochannel.org/video/ohio-senate-energy-and-public-utilities-committee-4-9-2024</w:t>
        </w:r>
      </w:hyperlink>
      <w:r w:rsidRPr="007E1D7C">
        <w:t>.</w:t>
      </w:r>
    </w:p>
  </w:footnote>
  <w:footnote w:id="23">
    <w:p w14:paraId="56E7BD7B" w14:textId="77777777" w:rsidR="00901FC0" w:rsidRPr="007E1D7C" w:rsidRDefault="00F5358D" w:rsidP="00901FC0">
      <w:pPr>
        <w:pStyle w:val="FootnoteText"/>
        <w:spacing w:before="0" w:after="120"/>
      </w:pPr>
      <w:r w:rsidRPr="007E1D7C">
        <w:rPr>
          <w:rStyle w:val="FootnoteReference"/>
        </w:rPr>
        <w:footnoteRef/>
      </w:r>
      <w:r w:rsidRPr="007E1D7C">
        <w:t xml:space="preserve"> The reconciliation/refund language contained in the BTCR Tariff should expressly reference and include the availability of refunds pending FERC’s decision in </w:t>
      </w:r>
      <w:r w:rsidRPr="007E1D7C">
        <w:rPr>
          <w:i/>
          <w:iCs/>
        </w:rPr>
        <w:t xml:space="preserve">The Office of the Ohio Consumers’ Counsel v. PJM Interconnection, L.L.C., et al., </w:t>
      </w:r>
      <w:r w:rsidRPr="007E1D7C">
        <w:t>Docket No. EL23-105-000, Complaint (Sept</w:t>
      </w:r>
      <w:r>
        <w:t>.</w:t>
      </w:r>
      <w:r w:rsidRPr="007E1D7C">
        <w:t xml:space="preserve"> 28, 2023).</w:t>
      </w:r>
    </w:p>
  </w:footnote>
  <w:footnote w:id="24">
    <w:p w14:paraId="492C3295" w14:textId="0BE0851A" w:rsidR="00CC01DB" w:rsidRDefault="00F5358D" w:rsidP="00CC01DB">
      <w:pPr>
        <w:pStyle w:val="FootnoteText"/>
        <w:spacing w:before="0" w:after="120"/>
      </w:pPr>
      <w:r>
        <w:rPr>
          <w:rStyle w:val="FootnoteReference"/>
        </w:rPr>
        <w:footnoteRef/>
      </w:r>
      <w:r>
        <w:t xml:space="preserve"> </w:t>
      </w:r>
      <w:r>
        <w:rPr>
          <w:i/>
          <w:iCs/>
        </w:rPr>
        <w:t>See, e.g.</w:t>
      </w:r>
      <w:r w:rsidRPr="00E95B80">
        <w:t xml:space="preserve">, </w:t>
      </w:r>
      <w:r w:rsidRPr="00E95B80">
        <w:rPr>
          <w:i/>
          <w:iCs/>
        </w:rPr>
        <w:t>In re Columbus &amp; Southern Ohio Electric Co.</w:t>
      </w:r>
      <w:r w:rsidRPr="00E95B80">
        <w:t>, Case No. 83-1058-EL-AIR, Entry (Nov</w:t>
      </w:r>
      <w:r w:rsidR="000E37B1">
        <w:t>.</w:t>
      </w:r>
      <w:r w:rsidRPr="00E95B80">
        <w:t xml:space="preserve"> 17, 1982); </w:t>
      </w:r>
      <w:r w:rsidRPr="00E95B80">
        <w:rPr>
          <w:i/>
          <w:iCs/>
        </w:rPr>
        <w:t>Cinnamon Lake Utilit</w:t>
      </w:r>
      <w:r>
        <w:rPr>
          <w:i/>
          <w:iCs/>
        </w:rPr>
        <w:t>y</w:t>
      </w:r>
      <w:r w:rsidRPr="00E95B80">
        <w:rPr>
          <w:i/>
          <w:iCs/>
        </w:rPr>
        <w:t xml:space="preserve"> Co. v. Pub</w:t>
      </w:r>
      <w:r>
        <w:rPr>
          <w:i/>
          <w:iCs/>
        </w:rPr>
        <w:t>lic</w:t>
      </w:r>
      <w:r w:rsidRPr="00E95B80">
        <w:rPr>
          <w:i/>
          <w:iCs/>
        </w:rPr>
        <w:t>. Util</w:t>
      </w:r>
      <w:r>
        <w:rPr>
          <w:i/>
          <w:iCs/>
        </w:rPr>
        <w:t>.</w:t>
      </w:r>
      <w:r w:rsidRPr="00E95B80">
        <w:rPr>
          <w:i/>
          <w:iCs/>
        </w:rPr>
        <w:t xml:space="preserve"> Com</w:t>
      </w:r>
      <w:r>
        <w:rPr>
          <w:i/>
          <w:iCs/>
        </w:rPr>
        <w:t>m</w:t>
      </w:r>
      <w:r w:rsidRPr="00E95B80">
        <w:t>.</w:t>
      </w:r>
      <w:r>
        <w:t xml:space="preserve"> (1975)</w:t>
      </w:r>
      <w:r w:rsidRPr="00E95B80">
        <w:t xml:space="preserve">, 42 Ohio St.2d 259 </w:t>
      </w:r>
      <w:r>
        <w:t>(</w:t>
      </w:r>
      <w:r w:rsidRPr="00E95B80">
        <w:t>where the Ohio Supreme Court noted that R.C. 4909.16 exists to protect the public interest as well as the interests of the public utility</w:t>
      </w:r>
      <w:r>
        <w:t>)</w:t>
      </w:r>
      <w:r w:rsidRPr="00E95B80">
        <w:t>.</w:t>
      </w:r>
    </w:p>
  </w:footnote>
  <w:footnote w:id="25">
    <w:p w14:paraId="3F9D57F8"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6B1C1F">
        <w:rPr>
          <w:i/>
          <w:iCs/>
        </w:rPr>
        <w:t>See</w:t>
      </w:r>
      <w:r w:rsidRPr="00E95B80">
        <w:t xml:space="preserve"> </w:t>
      </w:r>
      <w:r w:rsidRPr="00E95B80">
        <w:rPr>
          <w:i/>
        </w:rPr>
        <w:t>In re Columbus S. Power Co.</w:t>
      </w:r>
      <w:r w:rsidRPr="00E95B80">
        <w:t>, 128 Ohio St.3d 512, 2011-Ohio-1788</w:t>
      </w:r>
      <w:r>
        <w:t xml:space="preserve"> at</w:t>
      </w:r>
      <w:r w:rsidRPr="00E95B80">
        <w:t xml:space="preserve"> ¶</w:t>
      </w:r>
      <w:r>
        <w:t xml:space="preserve"> </w:t>
      </w:r>
      <w:r w:rsidRPr="00E95B80">
        <w:t>1</w:t>
      </w:r>
      <w:r>
        <w:t>7</w:t>
      </w:r>
      <w:r w:rsidRPr="00E95B80">
        <w:t>.</w:t>
      </w:r>
    </w:p>
  </w:footnote>
  <w:footnote w:id="26">
    <w:p w14:paraId="124496C5" w14:textId="6B82E4F2"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re Columbus &amp; Southern Ohio Electric Co</w:t>
      </w:r>
      <w:r w:rsidRPr="00E95B80">
        <w:t>., Case No. 83-1058-EL-AIR, Entry (Nov</w:t>
      </w:r>
      <w:r w:rsidR="00B12919">
        <w:t>.</w:t>
      </w:r>
      <w:r w:rsidRPr="00E95B80">
        <w:t xml:space="preserve"> 17, 1982).</w:t>
      </w:r>
    </w:p>
  </w:footnote>
  <w:footnote w:id="27">
    <w:p w14:paraId="6C58B697" w14:textId="67CC7FE2"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Id</w:t>
      </w:r>
      <w:r w:rsidRPr="00E95B80">
        <w:t>., Opinion and Order</w:t>
      </w:r>
      <w:r>
        <w:t xml:space="preserve"> at 8-14</w:t>
      </w:r>
      <w:r w:rsidRPr="00E95B80">
        <w:t xml:space="preserve"> (Nov</w:t>
      </w:r>
      <w:r w:rsidR="00B12919">
        <w:t>.</w:t>
      </w:r>
      <w:r w:rsidRPr="00E95B80">
        <w:t xml:space="preserve"> 5, 1982).</w:t>
      </w:r>
    </w:p>
  </w:footnote>
  <w:footnote w:id="28">
    <w:p w14:paraId="2261B372" w14:textId="03691073"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Id</w:t>
      </w:r>
      <w:r w:rsidRPr="00E95B80">
        <w:t xml:space="preserve">., Entry </w:t>
      </w:r>
      <w:r>
        <w:t xml:space="preserve">at 1 </w:t>
      </w:r>
      <w:r w:rsidRPr="00E95B80">
        <w:t>(Nov</w:t>
      </w:r>
      <w:r w:rsidR="00B12919">
        <w:t>.</w:t>
      </w:r>
      <w:r w:rsidRPr="00E95B80">
        <w:t xml:space="preserve"> 17, 1982).</w:t>
      </w:r>
    </w:p>
  </w:footnote>
  <w:footnote w:id="29">
    <w:p w14:paraId="192DE82B"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Id</w:t>
      </w:r>
      <w:r w:rsidRPr="00E95B80">
        <w:t>., Order on Rehearing (March 16, 1983).</w:t>
      </w:r>
    </w:p>
  </w:footnote>
  <w:footnote w:id="30">
    <w:p w14:paraId="1130859A"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Columbus &amp; Southern Ohio Electric Co. v. Pub. Util. Comm</w:t>
      </w:r>
      <w:r w:rsidRPr="00E95B80">
        <w:t>., (1984) 10 Ohio St.3d 12.</w:t>
      </w:r>
    </w:p>
  </w:footnote>
  <w:footnote w:id="31">
    <w:p w14:paraId="0D821F78" w14:textId="77777777" w:rsidR="00CC01DB" w:rsidRPr="00E95B80" w:rsidRDefault="00F5358D" w:rsidP="00CC01DB">
      <w:pPr>
        <w:pStyle w:val="FootnoteText"/>
        <w:spacing w:before="0" w:after="120"/>
        <w:rPr>
          <w:i/>
          <w:iCs/>
        </w:rPr>
      </w:pPr>
      <w:r w:rsidRPr="00E95B80">
        <w:rPr>
          <w:rStyle w:val="FootnoteReference"/>
        </w:rPr>
        <w:footnoteRef/>
      </w:r>
      <w:r w:rsidRPr="00E95B80">
        <w:t xml:space="preserve"> </w:t>
      </w:r>
      <w:r w:rsidRPr="00E95B80">
        <w:rPr>
          <w:i/>
          <w:iCs/>
        </w:rPr>
        <w:t>Id.</w:t>
      </w:r>
    </w:p>
  </w:footnote>
  <w:footnote w:id="32">
    <w:p w14:paraId="53FDECC0"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 xml:space="preserve">In re Columbus &amp; Southern Ohio </w:t>
      </w:r>
      <w:r w:rsidRPr="00E95B80">
        <w:rPr>
          <w:i/>
          <w:iCs/>
        </w:rPr>
        <w:t>Electric Co.</w:t>
      </w:r>
      <w:r w:rsidRPr="00E95B80">
        <w:t>, Case No. 81-1058-EL-AIR, Order on Rehearing (May 1, 1984).</w:t>
      </w:r>
    </w:p>
  </w:footnote>
  <w:footnote w:id="33">
    <w:p w14:paraId="4F705764"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the Matter of the Commission</w:t>
      </w:r>
      <w:r>
        <w:rPr>
          <w:i/>
          <w:iCs/>
        </w:rPr>
        <w:t>’</w:t>
      </w:r>
      <w:r w:rsidRPr="00E95B80">
        <w:rPr>
          <w:i/>
          <w:iCs/>
        </w:rPr>
        <w:t>s Investigation of the Current Rates, Revenues, Rate Base, and Rate of Return of the Ohio Utilities Company</w:t>
      </w:r>
      <w:r w:rsidRPr="00E95B80">
        <w:t>, Case No. 77-1073-WS-COI, Entry at 2 (June 7, 1978).</w:t>
      </w:r>
    </w:p>
  </w:footnote>
  <w:footnote w:id="34">
    <w:p w14:paraId="23D588C6" w14:textId="10177E53"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the Matter of the Ohio Utilities Co. Application for an Increase in Rates</w:t>
      </w:r>
      <w:r w:rsidRPr="00E95B80">
        <w:t>, Case No. 79-529-WS-AIR, Opinion and Order (Jan</w:t>
      </w:r>
      <w:r w:rsidR="002928FA">
        <w:t>.</w:t>
      </w:r>
      <w:r w:rsidRPr="00E95B80">
        <w:t xml:space="preserve"> 18, 1977).</w:t>
      </w:r>
    </w:p>
  </w:footnote>
  <w:footnote w:id="35">
    <w:p w14:paraId="51ECC78E" w14:textId="6577FD26"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the Matter of the Commission</w:t>
      </w:r>
      <w:r>
        <w:rPr>
          <w:i/>
          <w:iCs/>
        </w:rPr>
        <w:t>’</w:t>
      </w:r>
      <w:r w:rsidRPr="00E95B80">
        <w:rPr>
          <w:i/>
          <w:iCs/>
        </w:rPr>
        <w:t>s Investigation of the Current Rates, Revenues, Rate Base, and Rate of Return of the Ohio Utilities Company</w:t>
      </w:r>
      <w:r w:rsidRPr="00E95B80">
        <w:t>, Case No. 77-1073-WS-COI, Entry (Sept</w:t>
      </w:r>
      <w:r w:rsidR="002928FA">
        <w:t>.</w:t>
      </w:r>
      <w:r w:rsidRPr="00E95B80">
        <w:t xml:space="preserve"> 7, 1977).</w:t>
      </w:r>
    </w:p>
  </w:footnote>
  <w:footnote w:id="36">
    <w:p w14:paraId="03B07233"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the Matter of the Commission</w:t>
      </w:r>
      <w:r>
        <w:rPr>
          <w:i/>
          <w:iCs/>
        </w:rPr>
        <w:t>’</w:t>
      </w:r>
      <w:r w:rsidRPr="00E95B80">
        <w:rPr>
          <w:i/>
          <w:iCs/>
        </w:rPr>
        <w:t>s Investigation of the Current Rates, Revenues, Rate Base, and Rate of Return of the Ohio Utilities Company</w:t>
      </w:r>
      <w:r w:rsidRPr="00E95B80">
        <w:t>, Case No. 77-1073-WS-COI, Opinion and Order (May 18, 1978).</w:t>
      </w:r>
    </w:p>
  </w:footnote>
  <w:footnote w:id="37">
    <w:p w14:paraId="2319B950" w14:textId="77777777" w:rsidR="00CC01DB" w:rsidRPr="00E95B80" w:rsidRDefault="00F5358D" w:rsidP="00CC01DB">
      <w:pPr>
        <w:pStyle w:val="FootnoteText"/>
        <w:spacing w:before="0" w:after="120"/>
      </w:pPr>
      <w:r w:rsidRPr="00E95B80">
        <w:rPr>
          <w:rStyle w:val="FootnoteReference"/>
        </w:rPr>
        <w:footnoteRef/>
      </w:r>
      <w:r w:rsidRPr="00E95B80">
        <w:t xml:space="preserve"> </w:t>
      </w:r>
      <w:r w:rsidRPr="00E95B80">
        <w:rPr>
          <w:i/>
          <w:iCs/>
        </w:rPr>
        <w:t>In the Matter of the Commission</w:t>
      </w:r>
      <w:r>
        <w:rPr>
          <w:i/>
          <w:iCs/>
        </w:rPr>
        <w:t>’</w:t>
      </w:r>
      <w:r w:rsidRPr="00E95B80">
        <w:rPr>
          <w:i/>
          <w:iCs/>
        </w:rPr>
        <w:t>s Investigation of the Current Rates, Revenues, Rate Base, and Rate of Return of the Ohio Utilities Company</w:t>
      </w:r>
      <w:r w:rsidRPr="00E95B80">
        <w:t xml:space="preserve">, Case No. 77-1073-WS-COI, Entry (June 7, 1978). The utility was also required to file an </w:t>
      </w:r>
      <w:r>
        <w:t>“</w:t>
      </w:r>
      <w:r w:rsidRPr="00E95B80">
        <w:t>undertaking</w:t>
      </w:r>
      <w:r>
        <w:t>”</w:t>
      </w:r>
      <w:r w:rsidRPr="00E95B80">
        <w:t xml:space="preserve"> consisting of a promise to refund any amount collected for service rendered after the date of the Entry by a method later determined by the Commission (either cash refund or as a credit to future bills). The undertaking was required to be under oath by an officer of t</w:t>
      </w:r>
      <w:r w:rsidRPr="00E95B80">
        <w:t xml:space="preserve">he company and was to include a promise to include interest. The amount ordered for refund was the amount collected for service in excess of those rates ultimately determined to be lawful. </w:t>
      </w:r>
      <w:r w:rsidRPr="00E95B80">
        <w:rPr>
          <w:i/>
          <w:iCs/>
        </w:rPr>
        <w:t>Id</w:t>
      </w:r>
      <w:r w:rsidRPr="00E95B80">
        <w:t>.</w:t>
      </w:r>
    </w:p>
  </w:footnote>
  <w:footnote w:id="38">
    <w:p w14:paraId="2CE7010A" w14:textId="77777777" w:rsidR="00CC01DB" w:rsidRPr="00C86CE3" w:rsidRDefault="00F5358D" w:rsidP="00CC01DB">
      <w:pPr>
        <w:pStyle w:val="FootnoteText"/>
        <w:spacing w:before="0" w:after="120"/>
      </w:pPr>
      <w:r w:rsidRPr="00C86CE3">
        <w:rPr>
          <w:rStyle w:val="FootnoteReference"/>
        </w:rPr>
        <w:footnoteRef/>
      </w:r>
      <w:r w:rsidRPr="00C86CE3">
        <w:t xml:space="preserve"> </w:t>
      </w:r>
      <w:r w:rsidRPr="00C86CE3">
        <w:rPr>
          <w:i/>
          <w:iCs/>
        </w:rPr>
        <w:t xml:space="preserve">In the Matter of the </w:t>
      </w:r>
      <w:r w:rsidRPr="00C86CE3">
        <w:rPr>
          <w:i/>
          <w:iCs/>
        </w:rPr>
        <w:t>Commission Review of the Capacity Charges of Ohio Power Company and Columbus Southern Power Company</w:t>
      </w:r>
      <w:r w:rsidRPr="00C86CE3">
        <w:t>, Case No. 10-2929-EL-UNC, et al. (May 18, 2016).</w:t>
      </w:r>
    </w:p>
  </w:footnote>
  <w:footnote w:id="39">
    <w:p w14:paraId="351FA158" w14:textId="77777777" w:rsidR="00CC01DB" w:rsidRPr="00C86CE3" w:rsidRDefault="00F5358D" w:rsidP="00CC01DB">
      <w:pPr>
        <w:pStyle w:val="FootnoteText"/>
        <w:spacing w:before="0" w:after="120"/>
      </w:pPr>
      <w:r w:rsidRPr="00C86CE3">
        <w:rPr>
          <w:rStyle w:val="FootnoteReference"/>
        </w:rPr>
        <w:footnoteRef/>
      </w:r>
      <w:r w:rsidRPr="00C86CE3">
        <w:t xml:space="preserve"> </w:t>
      </w:r>
      <w:r w:rsidRPr="00C86CE3">
        <w:rPr>
          <w:i/>
          <w:iCs/>
        </w:rPr>
        <w:t>Id.</w:t>
      </w:r>
      <w:r w:rsidRPr="00C86CE3">
        <w:t xml:space="preserve"> at 4.</w:t>
      </w:r>
    </w:p>
  </w:footnote>
  <w:footnote w:id="40">
    <w:p w14:paraId="197D761A" w14:textId="77777777" w:rsidR="00CC01DB" w:rsidRPr="00C86CE3" w:rsidRDefault="00F5358D" w:rsidP="002E5C8F">
      <w:pPr>
        <w:pStyle w:val="FootnoteText"/>
        <w:spacing w:before="0" w:after="120"/>
      </w:pPr>
      <w:r w:rsidRPr="00C86CE3">
        <w:rPr>
          <w:rStyle w:val="FootnoteReference"/>
        </w:rPr>
        <w:footnoteRef/>
      </w:r>
      <w:r w:rsidRPr="00C86CE3">
        <w:t xml:space="preserve"> </w:t>
      </w:r>
      <w:r w:rsidRPr="00C86CE3">
        <w:rPr>
          <w:i/>
          <w:iCs/>
        </w:rPr>
        <w:t>I</w:t>
      </w:r>
      <w:r>
        <w:rPr>
          <w:i/>
          <w:iCs/>
        </w:rPr>
        <w:t>n</w:t>
      </w:r>
      <w:r w:rsidRPr="00C86CE3">
        <w:rPr>
          <w:i/>
          <w:iCs/>
        </w:rPr>
        <w:t xml:space="preserve"> the Matter of the Application of </w:t>
      </w:r>
      <w:r>
        <w:rPr>
          <w:i/>
          <w:iCs/>
        </w:rPr>
        <w:t>T</w:t>
      </w:r>
      <w:r w:rsidRPr="00C86CE3">
        <w:rPr>
          <w:i/>
          <w:iCs/>
        </w:rPr>
        <w:t>he Dayton Power and Light Company to Establish a Standard Service Off</w:t>
      </w:r>
      <w:r>
        <w:rPr>
          <w:i/>
          <w:iCs/>
        </w:rPr>
        <w:t>er</w:t>
      </w:r>
      <w:r w:rsidRPr="00C86CE3">
        <w:rPr>
          <w:i/>
          <w:iCs/>
        </w:rPr>
        <w:t xml:space="preserve"> in the Form of an Electric Security Plan, </w:t>
      </w:r>
      <w:r w:rsidRPr="00C86CE3">
        <w:t>Case No. 08-1094-EL-SSO, Fifth Entry on Rehearing</w:t>
      </w:r>
      <w:r>
        <w:t xml:space="preserve"> </w:t>
      </w:r>
      <w:r w:rsidRPr="00C86CE3">
        <w:t>at ¶ 64 (June 16, 2021)</w:t>
      </w:r>
      <w:r>
        <w:t>.</w:t>
      </w:r>
    </w:p>
  </w:footnote>
  <w:footnote w:id="41">
    <w:p w14:paraId="7D2881B5" w14:textId="286CF53A" w:rsidR="00CC01DB" w:rsidRDefault="00F5358D" w:rsidP="002E5C8F">
      <w:pPr>
        <w:pStyle w:val="FootnoteText"/>
        <w:spacing w:before="0" w:after="120"/>
      </w:pPr>
      <w:r>
        <w:rPr>
          <w:rStyle w:val="FootnoteReference"/>
        </w:rPr>
        <w:footnoteRef/>
      </w:r>
      <w:r>
        <w:t xml:space="preserve"> </w:t>
      </w:r>
      <w:r w:rsidR="00AB376E">
        <w:t>Application (March 15, 2024), Schedule A-1 Copy of Proposed Tariff Schedules, P.U.C.O. Electric Transmission Service Cost Recovery Rider (TCRR), Twenty-Third Revised Sheet No. T8, at p. 4 of 5.</w:t>
      </w:r>
    </w:p>
  </w:footnote>
  <w:footnote w:id="42">
    <w:p w14:paraId="45F9867B" w14:textId="007DE85D" w:rsidR="00BE579A" w:rsidRPr="00AD08AD" w:rsidRDefault="00F5358D" w:rsidP="00AF7821">
      <w:pPr>
        <w:pStyle w:val="FootnoteText"/>
        <w:spacing w:before="0" w:after="120"/>
        <w:rPr>
          <w:i/>
          <w:iCs/>
        </w:rPr>
      </w:pPr>
      <w:r>
        <w:rPr>
          <w:rStyle w:val="FootnoteReference"/>
        </w:rPr>
        <w:footnoteRef/>
      </w:r>
      <w:r>
        <w:t xml:space="preserve"> </w:t>
      </w:r>
      <w:r w:rsidR="00711AEA">
        <w:rPr>
          <w:i/>
          <w:iCs/>
        </w:rPr>
        <w:t xml:space="preserve">Compensation for Reactive Power within the Standard Power Factor Range, </w:t>
      </w:r>
      <w:r w:rsidR="00711AEA">
        <w:t>Docket No. RM22-2-000, 186 FERC ¶ 61,203 (Mar</w:t>
      </w:r>
      <w:r w:rsidR="00984B51">
        <w:t>ch</w:t>
      </w:r>
      <w:r w:rsidR="00711AEA">
        <w:t xml:space="preserve"> 21, 2024).</w:t>
      </w:r>
    </w:p>
  </w:footnote>
  <w:footnote w:id="43">
    <w:p w14:paraId="148082A1" w14:textId="3060B451" w:rsidR="00BE579A" w:rsidRDefault="00F5358D" w:rsidP="00AF7821">
      <w:pPr>
        <w:pStyle w:val="FootnoteText"/>
        <w:spacing w:before="0" w:after="120"/>
      </w:pPr>
      <w:r>
        <w:rPr>
          <w:rStyle w:val="FootnoteReference"/>
        </w:rPr>
        <w:footnoteRef/>
      </w:r>
      <w:r>
        <w:t xml:space="preserve"> Application at 44.</w:t>
      </w:r>
    </w:p>
  </w:footnote>
  <w:footnote w:id="44">
    <w:p w14:paraId="204DF051" w14:textId="07B0837C" w:rsidR="00ED7027" w:rsidRDefault="00F5358D" w:rsidP="00D251B3">
      <w:pPr>
        <w:pStyle w:val="FootnoteText"/>
        <w:spacing w:before="0" w:after="120"/>
      </w:pPr>
      <w:r>
        <w:rPr>
          <w:rStyle w:val="FootnoteReference"/>
        </w:rPr>
        <w:footnoteRef/>
      </w:r>
      <w:r>
        <w:t xml:space="preserve"> </w:t>
      </w:r>
      <w:r>
        <w:rPr>
          <w:i/>
          <w:iCs/>
        </w:rPr>
        <w:t xml:space="preserve">Compensation for Reactive Power within the Standard Power Factor Range, </w:t>
      </w:r>
      <w:r>
        <w:t>Docket No. RM22-2-000, 186 FERC ¶ 61,203 (Mar</w:t>
      </w:r>
      <w:r w:rsidR="00984B51">
        <w:t>ch</w:t>
      </w:r>
      <w:r>
        <w:t xml:space="preserve"> 21, 2024).</w:t>
      </w:r>
    </w:p>
  </w:footnote>
  <w:footnote w:id="45">
    <w:p w14:paraId="4F0BACF7" w14:textId="6DDDBA19" w:rsidR="00ED7027" w:rsidRPr="00AD08AD" w:rsidRDefault="00F5358D" w:rsidP="00D251B3">
      <w:pPr>
        <w:pStyle w:val="FootnoteText"/>
        <w:spacing w:before="0" w:after="120"/>
        <w:rPr>
          <w:i/>
          <w:iCs/>
        </w:rPr>
      </w:pPr>
      <w:r>
        <w:rPr>
          <w:rStyle w:val="FootnoteReference"/>
        </w:rPr>
        <w:footnoteRef/>
      </w:r>
      <w:r>
        <w:t xml:space="preserve"> </w:t>
      </w:r>
      <w:r>
        <w:rPr>
          <w:i/>
          <w:iCs/>
        </w:rPr>
        <w:t>Id.</w:t>
      </w:r>
    </w:p>
  </w:footnote>
  <w:footnote w:id="46">
    <w:p w14:paraId="27553412" w14:textId="2A9109A9" w:rsidR="00ED7027" w:rsidRPr="00AD08AD" w:rsidRDefault="00F5358D">
      <w:pPr>
        <w:pStyle w:val="FootnoteText"/>
        <w:rPr>
          <w:i/>
          <w:iCs/>
        </w:rPr>
      </w:pPr>
      <w:r>
        <w:rPr>
          <w:rStyle w:val="FootnoteReference"/>
        </w:rPr>
        <w:footnoteRef/>
      </w:r>
      <w:r>
        <w:t xml:space="preserve"> </w:t>
      </w:r>
      <w:r>
        <w:rPr>
          <w:i/>
          <w:iCs/>
        </w:rPr>
        <w:t>Id.</w:t>
      </w:r>
    </w:p>
  </w:footnote>
  <w:footnote w:id="47">
    <w:p w14:paraId="046F033C" w14:textId="3F663B31" w:rsidR="00ED7027" w:rsidRPr="00AD08AD" w:rsidRDefault="00F5358D">
      <w:pPr>
        <w:pStyle w:val="FootnoteText"/>
        <w:rPr>
          <w:i/>
          <w:iCs/>
        </w:rPr>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69C1" w14:textId="77777777" w:rsidR="009C5EAC" w:rsidRDefault="009C5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9829" w14:textId="77777777" w:rsidR="009C5EAC" w:rsidRDefault="009C5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167B" w14:textId="77777777" w:rsidR="009C5EAC" w:rsidRDefault="009C5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3B8"/>
    <w:multiLevelType w:val="hybridMultilevel"/>
    <w:tmpl w:val="CE24F0FC"/>
    <w:lvl w:ilvl="0" w:tplc="17462E5E">
      <w:start w:val="1"/>
      <w:numFmt w:val="upperLetter"/>
      <w:lvlText w:val="%1."/>
      <w:lvlJc w:val="left"/>
      <w:pPr>
        <w:tabs>
          <w:tab w:val="num" w:pos="1440"/>
        </w:tabs>
        <w:ind w:left="1440" w:hanging="720"/>
      </w:pPr>
      <w:rPr>
        <w:rFonts w:hint="default"/>
      </w:rPr>
    </w:lvl>
    <w:lvl w:ilvl="1" w:tplc="3D22A60A" w:tentative="1">
      <w:start w:val="1"/>
      <w:numFmt w:val="lowerLetter"/>
      <w:lvlText w:val="%2."/>
      <w:lvlJc w:val="left"/>
      <w:pPr>
        <w:tabs>
          <w:tab w:val="num" w:pos="1800"/>
        </w:tabs>
        <w:ind w:left="1800" w:hanging="360"/>
      </w:pPr>
    </w:lvl>
    <w:lvl w:ilvl="2" w:tplc="5920A9B8" w:tentative="1">
      <w:start w:val="1"/>
      <w:numFmt w:val="lowerRoman"/>
      <w:lvlText w:val="%3."/>
      <w:lvlJc w:val="right"/>
      <w:pPr>
        <w:tabs>
          <w:tab w:val="num" w:pos="2520"/>
        </w:tabs>
        <w:ind w:left="2520" w:hanging="180"/>
      </w:pPr>
    </w:lvl>
    <w:lvl w:ilvl="3" w:tplc="66DEEF16" w:tentative="1">
      <w:start w:val="1"/>
      <w:numFmt w:val="decimal"/>
      <w:lvlText w:val="%4."/>
      <w:lvlJc w:val="left"/>
      <w:pPr>
        <w:tabs>
          <w:tab w:val="num" w:pos="3240"/>
        </w:tabs>
        <w:ind w:left="3240" w:hanging="360"/>
      </w:pPr>
    </w:lvl>
    <w:lvl w:ilvl="4" w:tplc="CE98252C" w:tentative="1">
      <w:start w:val="1"/>
      <w:numFmt w:val="lowerLetter"/>
      <w:lvlText w:val="%5."/>
      <w:lvlJc w:val="left"/>
      <w:pPr>
        <w:tabs>
          <w:tab w:val="num" w:pos="3960"/>
        </w:tabs>
        <w:ind w:left="3960" w:hanging="360"/>
      </w:pPr>
    </w:lvl>
    <w:lvl w:ilvl="5" w:tplc="762A8EFC" w:tentative="1">
      <w:start w:val="1"/>
      <w:numFmt w:val="lowerRoman"/>
      <w:lvlText w:val="%6."/>
      <w:lvlJc w:val="right"/>
      <w:pPr>
        <w:tabs>
          <w:tab w:val="num" w:pos="4680"/>
        </w:tabs>
        <w:ind w:left="4680" w:hanging="180"/>
      </w:pPr>
    </w:lvl>
    <w:lvl w:ilvl="6" w:tplc="FB00EDAE" w:tentative="1">
      <w:start w:val="1"/>
      <w:numFmt w:val="decimal"/>
      <w:lvlText w:val="%7."/>
      <w:lvlJc w:val="left"/>
      <w:pPr>
        <w:tabs>
          <w:tab w:val="num" w:pos="5400"/>
        </w:tabs>
        <w:ind w:left="5400" w:hanging="360"/>
      </w:pPr>
    </w:lvl>
    <w:lvl w:ilvl="7" w:tplc="D6701510" w:tentative="1">
      <w:start w:val="1"/>
      <w:numFmt w:val="lowerLetter"/>
      <w:lvlText w:val="%8."/>
      <w:lvlJc w:val="left"/>
      <w:pPr>
        <w:tabs>
          <w:tab w:val="num" w:pos="6120"/>
        </w:tabs>
        <w:ind w:left="6120" w:hanging="360"/>
      </w:pPr>
    </w:lvl>
    <w:lvl w:ilvl="8" w:tplc="847C0A7C" w:tentative="1">
      <w:start w:val="1"/>
      <w:numFmt w:val="lowerRoman"/>
      <w:lvlText w:val="%9."/>
      <w:lvlJc w:val="right"/>
      <w:pPr>
        <w:tabs>
          <w:tab w:val="num" w:pos="6840"/>
        </w:tabs>
        <w:ind w:left="6840" w:hanging="180"/>
      </w:pPr>
    </w:lvl>
  </w:abstractNum>
  <w:abstractNum w:abstractNumId="1" w15:restartNumberingAfterBreak="0">
    <w:nsid w:val="0DA5265E"/>
    <w:multiLevelType w:val="hybridMultilevel"/>
    <w:tmpl w:val="F9D04498"/>
    <w:lvl w:ilvl="0" w:tplc="8E50FD00">
      <w:start w:val="1"/>
      <w:numFmt w:val="upperLetter"/>
      <w:lvlText w:val="%1)"/>
      <w:lvlJc w:val="left"/>
      <w:pPr>
        <w:tabs>
          <w:tab w:val="num" w:pos="1080"/>
        </w:tabs>
        <w:ind w:left="1080" w:hanging="360"/>
      </w:pPr>
      <w:rPr>
        <w:rFonts w:hint="default"/>
      </w:rPr>
    </w:lvl>
    <w:lvl w:ilvl="1" w:tplc="7CBA5D56" w:tentative="1">
      <w:start w:val="1"/>
      <w:numFmt w:val="lowerLetter"/>
      <w:lvlText w:val="%2."/>
      <w:lvlJc w:val="left"/>
      <w:pPr>
        <w:tabs>
          <w:tab w:val="num" w:pos="1800"/>
        </w:tabs>
        <w:ind w:left="1800" w:hanging="360"/>
      </w:pPr>
    </w:lvl>
    <w:lvl w:ilvl="2" w:tplc="21146DD8" w:tentative="1">
      <w:start w:val="1"/>
      <w:numFmt w:val="lowerRoman"/>
      <w:lvlText w:val="%3."/>
      <w:lvlJc w:val="right"/>
      <w:pPr>
        <w:tabs>
          <w:tab w:val="num" w:pos="2520"/>
        </w:tabs>
        <w:ind w:left="2520" w:hanging="180"/>
      </w:pPr>
    </w:lvl>
    <w:lvl w:ilvl="3" w:tplc="865C1618" w:tentative="1">
      <w:start w:val="1"/>
      <w:numFmt w:val="decimal"/>
      <w:lvlText w:val="%4."/>
      <w:lvlJc w:val="left"/>
      <w:pPr>
        <w:tabs>
          <w:tab w:val="num" w:pos="3240"/>
        </w:tabs>
        <w:ind w:left="3240" w:hanging="360"/>
      </w:pPr>
    </w:lvl>
    <w:lvl w:ilvl="4" w:tplc="026C429A" w:tentative="1">
      <w:start w:val="1"/>
      <w:numFmt w:val="lowerLetter"/>
      <w:lvlText w:val="%5."/>
      <w:lvlJc w:val="left"/>
      <w:pPr>
        <w:tabs>
          <w:tab w:val="num" w:pos="3960"/>
        </w:tabs>
        <w:ind w:left="3960" w:hanging="360"/>
      </w:pPr>
    </w:lvl>
    <w:lvl w:ilvl="5" w:tplc="885E0F02" w:tentative="1">
      <w:start w:val="1"/>
      <w:numFmt w:val="lowerRoman"/>
      <w:lvlText w:val="%6."/>
      <w:lvlJc w:val="right"/>
      <w:pPr>
        <w:tabs>
          <w:tab w:val="num" w:pos="4680"/>
        </w:tabs>
        <w:ind w:left="4680" w:hanging="180"/>
      </w:pPr>
    </w:lvl>
    <w:lvl w:ilvl="6" w:tplc="289EB02E" w:tentative="1">
      <w:start w:val="1"/>
      <w:numFmt w:val="decimal"/>
      <w:lvlText w:val="%7."/>
      <w:lvlJc w:val="left"/>
      <w:pPr>
        <w:tabs>
          <w:tab w:val="num" w:pos="5400"/>
        </w:tabs>
        <w:ind w:left="5400" w:hanging="360"/>
      </w:pPr>
    </w:lvl>
    <w:lvl w:ilvl="7" w:tplc="7DACB674" w:tentative="1">
      <w:start w:val="1"/>
      <w:numFmt w:val="lowerLetter"/>
      <w:lvlText w:val="%8."/>
      <w:lvlJc w:val="left"/>
      <w:pPr>
        <w:tabs>
          <w:tab w:val="num" w:pos="6120"/>
        </w:tabs>
        <w:ind w:left="6120" w:hanging="360"/>
      </w:pPr>
    </w:lvl>
    <w:lvl w:ilvl="8" w:tplc="09848CDA" w:tentative="1">
      <w:start w:val="1"/>
      <w:numFmt w:val="lowerRoman"/>
      <w:lvlText w:val="%9."/>
      <w:lvlJc w:val="right"/>
      <w:pPr>
        <w:tabs>
          <w:tab w:val="num" w:pos="6840"/>
        </w:tabs>
        <w:ind w:left="6840" w:hanging="180"/>
      </w:pPr>
    </w:lvl>
  </w:abstractNum>
  <w:abstractNum w:abstractNumId="2" w15:restartNumberingAfterBreak="0">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35A1FF3"/>
    <w:multiLevelType w:val="hybridMultilevel"/>
    <w:tmpl w:val="42BA4E04"/>
    <w:lvl w:ilvl="0" w:tplc="5248E804">
      <w:start w:val="1"/>
      <w:numFmt w:val="upperRoman"/>
      <w:pStyle w:val="Heading1"/>
      <w:lvlText w:val="%1."/>
      <w:lvlJc w:val="left"/>
      <w:pPr>
        <w:ind w:left="1080" w:hanging="720"/>
      </w:pPr>
      <w:rPr>
        <w:rFonts w:hint="default"/>
      </w:rPr>
    </w:lvl>
    <w:lvl w:ilvl="1" w:tplc="9D404C6C" w:tentative="1">
      <w:start w:val="1"/>
      <w:numFmt w:val="lowerLetter"/>
      <w:lvlText w:val="%2."/>
      <w:lvlJc w:val="left"/>
      <w:pPr>
        <w:ind w:left="1440" w:hanging="360"/>
      </w:pPr>
    </w:lvl>
    <w:lvl w:ilvl="2" w:tplc="4460A43C" w:tentative="1">
      <w:start w:val="1"/>
      <w:numFmt w:val="lowerRoman"/>
      <w:lvlText w:val="%3."/>
      <w:lvlJc w:val="right"/>
      <w:pPr>
        <w:ind w:left="2160" w:hanging="180"/>
      </w:pPr>
    </w:lvl>
    <w:lvl w:ilvl="3" w:tplc="3BAA748A" w:tentative="1">
      <w:start w:val="1"/>
      <w:numFmt w:val="decimal"/>
      <w:lvlText w:val="%4."/>
      <w:lvlJc w:val="left"/>
      <w:pPr>
        <w:ind w:left="2880" w:hanging="360"/>
      </w:pPr>
    </w:lvl>
    <w:lvl w:ilvl="4" w:tplc="6908D67A" w:tentative="1">
      <w:start w:val="1"/>
      <w:numFmt w:val="lowerLetter"/>
      <w:lvlText w:val="%5."/>
      <w:lvlJc w:val="left"/>
      <w:pPr>
        <w:ind w:left="3600" w:hanging="360"/>
      </w:pPr>
    </w:lvl>
    <w:lvl w:ilvl="5" w:tplc="8B1AD4DE" w:tentative="1">
      <w:start w:val="1"/>
      <w:numFmt w:val="lowerRoman"/>
      <w:lvlText w:val="%6."/>
      <w:lvlJc w:val="right"/>
      <w:pPr>
        <w:ind w:left="4320" w:hanging="180"/>
      </w:pPr>
    </w:lvl>
    <w:lvl w:ilvl="6" w:tplc="FF667B6E" w:tentative="1">
      <w:start w:val="1"/>
      <w:numFmt w:val="decimal"/>
      <w:lvlText w:val="%7."/>
      <w:lvlJc w:val="left"/>
      <w:pPr>
        <w:ind w:left="5040" w:hanging="360"/>
      </w:pPr>
    </w:lvl>
    <w:lvl w:ilvl="7" w:tplc="C2140DE6" w:tentative="1">
      <w:start w:val="1"/>
      <w:numFmt w:val="lowerLetter"/>
      <w:lvlText w:val="%8."/>
      <w:lvlJc w:val="left"/>
      <w:pPr>
        <w:ind w:left="5760" w:hanging="360"/>
      </w:pPr>
    </w:lvl>
    <w:lvl w:ilvl="8" w:tplc="7FB26FB8" w:tentative="1">
      <w:start w:val="1"/>
      <w:numFmt w:val="lowerRoman"/>
      <w:lvlText w:val="%9."/>
      <w:lvlJc w:val="right"/>
      <w:pPr>
        <w:ind w:left="6480" w:hanging="180"/>
      </w:pPr>
    </w:lvl>
  </w:abstractNum>
  <w:abstractNum w:abstractNumId="4" w15:restartNumberingAfterBreak="0">
    <w:nsid w:val="1B2178CF"/>
    <w:multiLevelType w:val="hybridMultilevel"/>
    <w:tmpl w:val="FF04E494"/>
    <w:lvl w:ilvl="0" w:tplc="AF4EB740">
      <w:start w:val="1"/>
      <w:numFmt w:val="upperLetter"/>
      <w:lvlText w:val="%1."/>
      <w:lvlJc w:val="left"/>
      <w:pPr>
        <w:ind w:left="720" w:hanging="360"/>
      </w:pPr>
      <w:rPr>
        <w:rFonts w:hint="default"/>
      </w:rPr>
    </w:lvl>
    <w:lvl w:ilvl="1" w:tplc="C10A4B66" w:tentative="1">
      <w:start w:val="1"/>
      <w:numFmt w:val="lowerLetter"/>
      <w:lvlText w:val="%2."/>
      <w:lvlJc w:val="left"/>
      <w:pPr>
        <w:ind w:left="1440" w:hanging="360"/>
      </w:pPr>
    </w:lvl>
    <w:lvl w:ilvl="2" w:tplc="126033E6" w:tentative="1">
      <w:start w:val="1"/>
      <w:numFmt w:val="lowerRoman"/>
      <w:lvlText w:val="%3."/>
      <w:lvlJc w:val="right"/>
      <w:pPr>
        <w:ind w:left="2160" w:hanging="180"/>
      </w:pPr>
    </w:lvl>
    <w:lvl w:ilvl="3" w:tplc="8B281FE2" w:tentative="1">
      <w:start w:val="1"/>
      <w:numFmt w:val="decimal"/>
      <w:lvlText w:val="%4."/>
      <w:lvlJc w:val="left"/>
      <w:pPr>
        <w:ind w:left="2880" w:hanging="360"/>
      </w:pPr>
    </w:lvl>
    <w:lvl w:ilvl="4" w:tplc="9712FFDA" w:tentative="1">
      <w:start w:val="1"/>
      <w:numFmt w:val="lowerLetter"/>
      <w:lvlText w:val="%5."/>
      <w:lvlJc w:val="left"/>
      <w:pPr>
        <w:ind w:left="3600" w:hanging="360"/>
      </w:pPr>
    </w:lvl>
    <w:lvl w:ilvl="5" w:tplc="13E0F286" w:tentative="1">
      <w:start w:val="1"/>
      <w:numFmt w:val="lowerRoman"/>
      <w:lvlText w:val="%6."/>
      <w:lvlJc w:val="right"/>
      <w:pPr>
        <w:ind w:left="4320" w:hanging="180"/>
      </w:pPr>
    </w:lvl>
    <w:lvl w:ilvl="6" w:tplc="8A5429A0" w:tentative="1">
      <w:start w:val="1"/>
      <w:numFmt w:val="decimal"/>
      <w:lvlText w:val="%7."/>
      <w:lvlJc w:val="left"/>
      <w:pPr>
        <w:ind w:left="5040" w:hanging="360"/>
      </w:pPr>
    </w:lvl>
    <w:lvl w:ilvl="7" w:tplc="4FB42410" w:tentative="1">
      <w:start w:val="1"/>
      <w:numFmt w:val="lowerLetter"/>
      <w:lvlText w:val="%8."/>
      <w:lvlJc w:val="left"/>
      <w:pPr>
        <w:ind w:left="5760" w:hanging="360"/>
      </w:pPr>
    </w:lvl>
    <w:lvl w:ilvl="8" w:tplc="E4AE6222" w:tentative="1">
      <w:start w:val="1"/>
      <w:numFmt w:val="lowerRoman"/>
      <w:lvlText w:val="%9."/>
      <w:lvlJc w:val="right"/>
      <w:pPr>
        <w:ind w:left="6480" w:hanging="180"/>
      </w:pPr>
    </w:lvl>
  </w:abstractNum>
  <w:abstractNum w:abstractNumId="5" w15:restartNumberingAfterBreak="0">
    <w:nsid w:val="1E5B4443"/>
    <w:multiLevelType w:val="hybridMultilevel"/>
    <w:tmpl w:val="EBA26562"/>
    <w:lvl w:ilvl="0" w:tplc="BAA862DA">
      <w:start w:val="1"/>
      <w:numFmt w:val="decimal"/>
      <w:lvlText w:val="%1."/>
      <w:lvlJc w:val="left"/>
      <w:pPr>
        <w:tabs>
          <w:tab w:val="num" w:pos="1440"/>
        </w:tabs>
        <w:ind w:left="1440" w:hanging="360"/>
      </w:pPr>
    </w:lvl>
    <w:lvl w:ilvl="1" w:tplc="AB546A82" w:tentative="1">
      <w:start w:val="1"/>
      <w:numFmt w:val="lowerLetter"/>
      <w:lvlText w:val="%2."/>
      <w:lvlJc w:val="left"/>
      <w:pPr>
        <w:tabs>
          <w:tab w:val="num" w:pos="2160"/>
        </w:tabs>
        <w:ind w:left="2160" w:hanging="360"/>
      </w:pPr>
    </w:lvl>
    <w:lvl w:ilvl="2" w:tplc="7D4A0914" w:tentative="1">
      <w:start w:val="1"/>
      <w:numFmt w:val="lowerRoman"/>
      <w:lvlText w:val="%3."/>
      <w:lvlJc w:val="right"/>
      <w:pPr>
        <w:tabs>
          <w:tab w:val="num" w:pos="2880"/>
        </w:tabs>
        <w:ind w:left="2880" w:hanging="180"/>
      </w:pPr>
    </w:lvl>
    <w:lvl w:ilvl="3" w:tplc="83A4BE1E" w:tentative="1">
      <w:start w:val="1"/>
      <w:numFmt w:val="decimal"/>
      <w:lvlText w:val="%4."/>
      <w:lvlJc w:val="left"/>
      <w:pPr>
        <w:tabs>
          <w:tab w:val="num" w:pos="3600"/>
        </w:tabs>
        <w:ind w:left="3600" w:hanging="360"/>
      </w:pPr>
    </w:lvl>
    <w:lvl w:ilvl="4" w:tplc="FE769988" w:tentative="1">
      <w:start w:val="1"/>
      <w:numFmt w:val="lowerLetter"/>
      <w:lvlText w:val="%5."/>
      <w:lvlJc w:val="left"/>
      <w:pPr>
        <w:tabs>
          <w:tab w:val="num" w:pos="4320"/>
        </w:tabs>
        <w:ind w:left="4320" w:hanging="360"/>
      </w:pPr>
    </w:lvl>
    <w:lvl w:ilvl="5" w:tplc="7B9C6FD0" w:tentative="1">
      <w:start w:val="1"/>
      <w:numFmt w:val="lowerRoman"/>
      <w:lvlText w:val="%6."/>
      <w:lvlJc w:val="right"/>
      <w:pPr>
        <w:tabs>
          <w:tab w:val="num" w:pos="5040"/>
        </w:tabs>
        <w:ind w:left="5040" w:hanging="180"/>
      </w:pPr>
    </w:lvl>
    <w:lvl w:ilvl="6" w:tplc="D84C79B0" w:tentative="1">
      <w:start w:val="1"/>
      <w:numFmt w:val="decimal"/>
      <w:lvlText w:val="%7."/>
      <w:lvlJc w:val="left"/>
      <w:pPr>
        <w:tabs>
          <w:tab w:val="num" w:pos="5760"/>
        </w:tabs>
        <w:ind w:left="5760" w:hanging="360"/>
      </w:pPr>
    </w:lvl>
    <w:lvl w:ilvl="7" w:tplc="EBA22BFC" w:tentative="1">
      <w:start w:val="1"/>
      <w:numFmt w:val="lowerLetter"/>
      <w:lvlText w:val="%8."/>
      <w:lvlJc w:val="left"/>
      <w:pPr>
        <w:tabs>
          <w:tab w:val="num" w:pos="6480"/>
        </w:tabs>
        <w:ind w:left="6480" w:hanging="360"/>
      </w:pPr>
    </w:lvl>
    <w:lvl w:ilvl="8" w:tplc="C72A2070" w:tentative="1">
      <w:start w:val="1"/>
      <w:numFmt w:val="lowerRoman"/>
      <w:lvlText w:val="%9."/>
      <w:lvlJc w:val="right"/>
      <w:pPr>
        <w:tabs>
          <w:tab w:val="num" w:pos="7200"/>
        </w:tabs>
        <w:ind w:left="7200" w:hanging="180"/>
      </w:pPr>
    </w:lvl>
  </w:abstractNum>
  <w:abstractNum w:abstractNumId="6" w15:restartNumberingAfterBreak="0">
    <w:nsid w:val="22F00834"/>
    <w:multiLevelType w:val="hybridMultilevel"/>
    <w:tmpl w:val="48CC0796"/>
    <w:lvl w:ilvl="0" w:tplc="F0A45054">
      <w:start w:val="4"/>
      <w:numFmt w:val="upperRoman"/>
      <w:lvlText w:val="%1."/>
      <w:lvlJc w:val="left"/>
      <w:pPr>
        <w:tabs>
          <w:tab w:val="num" w:pos="1080"/>
        </w:tabs>
        <w:ind w:left="1080" w:hanging="720"/>
      </w:pPr>
      <w:rPr>
        <w:rFonts w:hint="default"/>
      </w:rPr>
    </w:lvl>
    <w:lvl w:ilvl="1" w:tplc="0F081C6C" w:tentative="1">
      <w:start w:val="1"/>
      <w:numFmt w:val="lowerLetter"/>
      <w:lvlText w:val="%2."/>
      <w:lvlJc w:val="left"/>
      <w:pPr>
        <w:tabs>
          <w:tab w:val="num" w:pos="1440"/>
        </w:tabs>
        <w:ind w:left="1440" w:hanging="360"/>
      </w:pPr>
    </w:lvl>
    <w:lvl w:ilvl="2" w:tplc="CFEE8682" w:tentative="1">
      <w:start w:val="1"/>
      <w:numFmt w:val="lowerRoman"/>
      <w:lvlText w:val="%3."/>
      <w:lvlJc w:val="right"/>
      <w:pPr>
        <w:tabs>
          <w:tab w:val="num" w:pos="2160"/>
        </w:tabs>
        <w:ind w:left="2160" w:hanging="180"/>
      </w:pPr>
    </w:lvl>
    <w:lvl w:ilvl="3" w:tplc="8D8EFA1A" w:tentative="1">
      <w:start w:val="1"/>
      <w:numFmt w:val="decimal"/>
      <w:lvlText w:val="%4."/>
      <w:lvlJc w:val="left"/>
      <w:pPr>
        <w:tabs>
          <w:tab w:val="num" w:pos="2880"/>
        </w:tabs>
        <w:ind w:left="2880" w:hanging="360"/>
      </w:pPr>
    </w:lvl>
    <w:lvl w:ilvl="4" w:tplc="5790C47C" w:tentative="1">
      <w:start w:val="1"/>
      <w:numFmt w:val="lowerLetter"/>
      <w:lvlText w:val="%5."/>
      <w:lvlJc w:val="left"/>
      <w:pPr>
        <w:tabs>
          <w:tab w:val="num" w:pos="3600"/>
        </w:tabs>
        <w:ind w:left="3600" w:hanging="360"/>
      </w:pPr>
    </w:lvl>
    <w:lvl w:ilvl="5" w:tplc="6FC41D6C" w:tentative="1">
      <w:start w:val="1"/>
      <w:numFmt w:val="lowerRoman"/>
      <w:lvlText w:val="%6."/>
      <w:lvlJc w:val="right"/>
      <w:pPr>
        <w:tabs>
          <w:tab w:val="num" w:pos="4320"/>
        </w:tabs>
        <w:ind w:left="4320" w:hanging="180"/>
      </w:pPr>
    </w:lvl>
    <w:lvl w:ilvl="6" w:tplc="40740FBC" w:tentative="1">
      <w:start w:val="1"/>
      <w:numFmt w:val="decimal"/>
      <w:lvlText w:val="%7."/>
      <w:lvlJc w:val="left"/>
      <w:pPr>
        <w:tabs>
          <w:tab w:val="num" w:pos="5040"/>
        </w:tabs>
        <w:ind w:left="5040" w:hanging="360"/>
      </w:pPr>
    </w:lvl>
    <w:lvl w:ilvl="7" w:tplc="2628401C" w:tentative="1">
      <w:start w:val="1"/>
      <w:numFmt w:val="lowerLetter"/>
      <w:lvlText w:val="%8."/>
      <w:lvlJc w:val="left"/>
      <w:pPr>
        <w:tabs>
          <w:tab w:val="num" w:pos="5760"/>
        </w:tabs>
        <w:ind w:left="5760" w:hanging="360"/>
      </w:pPr>
    </w:lvl>
    <w:lvl w:ilvl="8" w:tplc="F4504DB2" w:tentative="1">
      <w:start w:val="1"/>
      <w:numFmt w:val="lowerRoman"/>
      <w:lvlText w:val="%9."/>
      <w:lvlJc w:val="right"/>
      <w:pPr>
        <w:tabs>
          <w:tab w:val="num" w:pos="6480"/>
        </w:tabs>
        <w:ind w:left="6480" w:hanging="180"/>
      </w:pPr>
    </w:lvl>
  </w:abstractNum>
  <w:abstractNum w:abstractNumId="7" w15:restartNumberingAfterBreak="0">
    <w:nsid w:val="247C5BE3"/>
    <w:multiLevelType w:val="hybridMultilevel"/>
    <w:tmpl w:val="C3D2DADA"/>
    <w:lvl w:ilvl="0" w:tplc="D430C58E">
      <w:start w:val="1"/>
      <w:numFmt w:val="decimal"/>
      <w:lvlText w:val="%1."/>
      <w:lvlJc w:val="left"/>
      <w:pPr>
        <w:tabs>
          <w:tab w:val="num" w:pos="1800"/>
        </w:tabs>
        <w:ind w:left="1800" w:hanging="360"/>
      </w:pPr>
    </w:lvl>
    <w:lvl w:ilvl="1" w:tplc="88465B90" w:tentative="1">
      <w:start w:val="1"/>
      <w:numFmt w:val="lowerLetter"/>
      <w:lvlText w:val="%2."/>
      <w:lvlJc w:val="left"/>
      <w:pPr>
        <w:tabs>
          <w:tab w:val="num" w:pos="2520"/>
        </w:tabs>
        <w:ind w:left="2520" w:hanging="360"/>
      </w:pPr>
    </w:lvl>
    <w:lvl w:ilvl="2" w:tplc="00562160" w:tentative="1">
      <w:start w:val="1"/>
      <w:numFmt w:val="lowerRoman"/>
      <w:lvlText w:val="%3."/>
      <w:lvlJc w:val="right"/>
      <w:pPr>
        <w:tabs>
          <w:tab w:val="num" w:pos="3240"/>
        </w:tabs>
        <w:ind w:left="3240" w:hanging="180"/>
      </w:pPr>
    </w:lvl>
    <w:lvl w:ilvl="3" w:tplc="AAF4E43C" w:tentative="1">
      <w:start w:val="1"/>
      <w:numFmt w:val="decimal"/>
      <w:lvlText w:val="%4."/>
      <w:lvlJc w:val="left"/>
      <w:pPr>
        <w:tabs>
          <w:tab w:val="num" w:pos="3960"/>
        </w:tabs>
        <w:ind w:left="3960" w:hanging="360"/>
      </w:pPr>
    </w:lvl>
    <w:lvl w:ilvl="4" w:tplc="93022408" w:tentative="1">
      <w:start w:val="1"/>
      <w:numFmt w:val="lowerLetter"/>
      <w:lvlText w:val="%5."/>
      <w:lvlJc w:val="left"/>
      <w:pPr>
        <w:tabs>
          <w:tab w:val="num" w:pos="4680"/>
        </w:tabs>
        <w:ind w:left="4680" w:hanging="360"/>
      </w:pPr>
    </w:lvl>
    <w:lvl w:ilvl="5" w:tplc="985A5106" w:tentative="1">
      <w:start w:val="1"/>
      <w:numFmt w:val="lowerRoman"/>
      <w:lvlText w:val="%6."/>
      <w:lvlJc w:val="right"/>
      <w:pPr>
        <w:tabs>
          <w:tab w:val="num" w:pos="5400"/>
        </w:tabs>
        <w:ind w:left="5400" w:hanging="180"/>
      </w:pPr>
    </w:lvl>
    <w:lvl w:ilvl="6" w:tplc="D2824D2C" w:tentative="1">
      <w:start w:val="1"/>
      <w:numFmt w:val="decimal"/>
      <w:lvlText w:val="%7."/>
      <w:lvlJc w:val="left"/>
      <w:pPr>
        <w:tabs>
          <w:tab w:val="num" w:pos="6120"/>
        </w:tabs>
        <w:ind w:left="6120" w:hanging="360"/>
      </w:pPr>
    </w:lvl>
    <w:lvl w:ilvl="7" w:tplc="E53477AC" w:tentative="1">
      <w:start w:val="1"/>
      <w:numFmt w:val="lowerLetter"/>
      <w:lvlText w:val="%8."/>
      <w:lvlJc w:val="left"/>
      <w:pPr>
        <w:tabs>
          <w:tab w:val="num" w:pos="6840"/>
        </w:tabs>
        <w:ind w:left="6840" w:hanging="360"/>
      </w:pPr>
    </w:lvl>
    <w:lvl w:ilvl="8" w:tplc="A776EB94" w:tentative="1">
      <w:start w:val="1"/>
      <w:numFmt w:val="lowerRoman"/>
      <w:lvlText w:val="%9."/>
      <w:lvlJc w:val="right"/>
      <w:pPr>
        <w:tabs>
          <w:tab w:val="num" w:pos="7560"/>
        </w:tabs>
        <w:ind w:left="7560" w:hanging="180"/>
      </w:pPr>
    </w:lvl>
  </w:abstractNum>
  <w:abstractNum w:abstractNumId="8" w15:restartNumberingAfterBreak="0">
    <w:nsid w:val="263C0DE9"/>
    <w:multiLevelType w:val="hybridMultilevel"/>
    <w:tmpl w:val="6CE2BB48"/>
    <w:lvl w:ilvl="0" w:tplc="DF348ED2">
      <w:start w:val="1"/>
      <w:numFmt w:val="upperRoman"/>
      <w:lvlText w:val="%1."/>
      <w:lvlJc w:val="left"/>
      <w:pPr>
        <w:ind w:left="1080" w:hanging="720"/>
      </w:pPr>
      <w:rPr>
        <w:rFonts w:hint="default"/>
      </w:rPr>
    </w:lvl>
    <w:lvl w:ilvl="1" w:tplc="92962752" w:tentative="1">
      <w:start w:val="1"/>
      <w:numFmt w:val="lowerLetter"/>
      <w:lvlText w:val="%2."/>
      <w:lvlJc w:val="left"/>
      <w:pPr>
        <w:ind w:left="1440" w:hanging="360"/>
      </w:pPr>
    </w:lvl>
    <w:lvl w:ilvl="2" w:tplc="DF0A2334" w:tentative="1">
      <w:start w:val="1"/>
      <w:numFmt w:val="lowerRoman"/>
      <w:lvlText w:val="%3."/>
      <w:lvlJc w:val="right"/>
      <w:pPr>
        <w:ind w:left="2160" w:hanging="180"/>
      </w:pPr>
    </w:lvl>
    <w:lvl w:ilvl="3" w:tplc="00CCED7A" w:tentative="1">
      <w:start w:val="1"/>
      <w:numFmt w:val="decimal"/>
      <w:lvlText w:val="%4."/>
      <w:lvlJc w:val="left"/>
      <w:pPr>
        <w:ind w:left="2880" w:hanging="360"/>
      </w:pPr>
    </w:lvl>
    <w:lvl w:ilvl="4" w:tplc="1BB09FB4" w:tentative="1">
      <w:start w:val="1"/>
      <w:numFmt w:val="lowerLetter"/>
      <w:lvlText w:val="%5."/>
      <w:lvlJc w:val="left"/>
      <w:pPr>
        <w:ind w:left="3600" w:hanging="360"/>
      </w:pPr>
    </w:lvl>
    <w:lvl w:ilvl="5" w:tplc="657A916A" w:tentative="1">
      <w:start w:val="1"/>
      <w:numFmt w:val="lowerRoman"/>
      <w:lvlText w:val="%6."/>
      <w:lvlJc w:val="right"/>
      <w:pPr>
        <w:ind w:left="4320" w:hanging="180"/>
      </w:pPr>
    </w:lvl>
    <w:lvl w:ilvl="6" w:tplc="F26E314C" w:tentative="1">
      <w:start w:val="1"/>
      <w:numFmt w:val="decimal"/>
      <w:lvlText w:val="%7."/>
      <w:lvlJc w:val="left"/>
      <w:pPr>
        <w:ind w:left="5040" w:hanging="360"/>
      </w:pPr>
    </w:lvl>
    <w:lvl w:ilvl="7" w:tplc="8138DB7E" w:tentative="1">
      <w:start w:val="1"/>
      <w:numFmt w:val="lowerLetter"/>
      <w:lvlText w:val="%8."/>
      <w:lvlJc w:val="left"/>
      <w:pPr>
        <w:ind w:left="5760" w:hanging="360"/>
      </w:pPr>
    </w:lvl>
    <w:lvl w:ilvl="8" w:tplc="31BC6A52" w:tentative="1">
      <w:start w:val="1"/>
      <w:numFmt w:val="lowerRoman"/>
      <w:lvlText w:val="%9."/>
      <w:lvlJc w:val="right"/>
      <w:pPr>
        <w:ind w:left="6480" w:hanging="180"/>
      </w:pPr>
    </w:lvl>
  </w:abstractNum>
  <w:abstractNum w:abstractNumId="9" w15:restartNumberingAfterBreak="0">
    <w:nsid w:val="26681F74"/>
    <w:multiLevelType w:val="hybridMultilevel"/>
    <w:tmpl w:val="6CA8080A"/>
    <w:lvl w:ilvl="0" w:tplc="41EA06C2">
      <w:start w:val="1"/>
      <w:numFmt w:val="upperLetter"/>
      <w:lvlText w:val="%1."/>
      <w:lvlJc w:val="left"/>
      <w:pPr>
        <w:ind w:left="1440" w:hanging="720"/>
      </w:pPr>
      <w:rPr>
        <w:rFonts w:hint="default"/>
      </w:rPr>
    </w:lvl>
    <w:lvl w:ilvl="1" w:tplc="8F68331C" w:tentative="1">
      <w:start w:val="1"/>
      <w:numFmt w:val="lowerLetter"/>
      <w:lvlText w:val="%2."/>
      <w:lvlJc w:val="left"/>
      <w:pPr>
        <w:ind w:left="1800" w:hanging="360"/>
      </w:pPr>
    </w:lvl>
    <w:lvl w:ilvl="2" w:tplc="21EA84A6" w:tentative="1">
      <w:start w:val="1"/>
      <w:numFmt w:val="lowerRoman"/>
      <w:lvlText w:val="%3."/>
      <w:lvlJc w:val="right"/>
      <w:pPr>
        <w:ind w:left="2520" w:hanging="180"/>
      </w:pPr>
    </w:lvl>
    <w:lvl w:ilvl="3" w:tplc="4E404138" w:tentative="1">
      <w:start w:val="1"/>
      <w:numFmt w:val="decimal"/>
      <w:lvlText w:val="%4."/>
      <w:lvlJc w:val="left"/>
      <w:pPr>
        <w:ind w:left="3240" w:hanging="360"/>
      </w:pPr>
    </w:lvl>
    <w:lvl w:ilvl="4" w:tplc="72B649E8" w:tentative="1">
      <w:start w:val="1"/>
      <w:numFmt w:val="lowerLetter"/>
      <w:lvlText w:val="%5."/>
      <w:lvlJc w:val="left"/>
      <w:pPr>
        <w:ind w:left="3960" w:hanging="360"/>
      </w:pPr>
    </w:lvl>
    <w:lvl w:ilvl="5" w:tplc="D35E54EE" w:tentative="1">
      <w:start w:val="1"/>
      <w:numFmt w:val="lowerRoman"/>
      <w:lvlText w:val="%6."/>
      <w:lvlJc w:val="right"/>
      <w:pPr>
        <w:ind w:left="4680" w:hanging="180"/>
      </w:pPr>
    </w:lvl>
    <w:lvl w:ilvl="6" w:tplc="A510DCE0" w:tentative="1">
      <w:start w:val="1"/>
      <w:numFmt w:val="decimal"/>
      <w:lvlText w:val="%7."/>
      <w:lvlJc w:val="left"/>
      <w:pPr>
        <w:ind w:left="5400" w:hanging="360"/>
      </w:pPr>
    </w:lvl>
    <w:lvl w:ilvl="7" w:tplc="2FE27416" w:tentative="1">
      <w:start w:val="1"/>
      <w:numFmt w:val="lowerLetter"/>
      <w:lvlText w:val="%8."/>
      <w:lvlJc w:val="left"/>
      <w:pPr>
        <w:ind w:left="6120" w:hanging="360"/>
      </w:pPr>
    </w:lvl>
    <w:lvl w:ilvl="8" w:tplc="CD20FE46" w:tentative="1">
      <w:start w:val="1"/>
      <w:numFmt w:val="lowerRoman"/>
      <w:lvlText w:val="%9."/>
      <w:lvlJc w:val="right"/>
      <w:pPr>
        <w:ind w:left="6840" w:hanging="180"/>
      </w:pPr>
    </w:lvl>
  </w:abstractNum>
  <w:abstractNum w:abstractNumId="10" w15:restartNumberingAfterBreak="0">
    <w:nsid w:val="2BDD7EEB"/>
    <w:multiLevelType w:val="hybridMultilevel"/>
    <w:tmpl w:val="8E5490F6"/>
    <w:lvl w:ilvl="0" w:tplc="8160BCE6">
      <w:start w:val="1"/>
      <w:numFmt w:val="bullet"/>
      <w:lvlText w:val=""/>
      <w:lvlJc w:val="left"/>
      <w:pPr>
        <w:tabs>
          <w:tab w:val="num" w:pos="1440"/>
        </w:tabs>
        <w:ind w:left="1440" w:hanging="360"/>
      </w:pPr>
      <w:rPr>
        <w:rFonts w:ascii="Symbol" w:hAnsi="Symbol" w:hint="default"/>
      </w:rPr>
    </w:lvl>
    <w:lvl w:ilvl="1" w:tplc="763C5318" w:tentative="1">
      <w:start w:val="1"/>
      <w:numFmt w:val="bullet"/>
      <w:lvlText w:val="o"/>
      <w:lvlJc w:val="left"/>
      <w:pPr>
        <w:tabs>
          <w:tab w:val="num" w:pos="2160"/>
        </w:tabs>
        <w:ind w:left="2160" w:hanging="360"/>
      </w:pPr>
      <w:rPr>
        <w:rFonts w:ascii="Courier New" w:hAnsi="Courier New" w:cs="Microsoft Sans Serif" w:hint="default"/>
      </w:rPr>
    </w:lvl>
    <w:lvl w:ilvl="2" w:tplc="4FF4A258" w:tentative="1">
      <w:start w:val="1"/>
      <w:numFmt w:val="bullet"/>
      <w:lvlText w:val=""/>
      <w:lvlJc w:val="left"/>
      <w:pPr>
        <w:tabs>
          <w:tab w:val="num" w:pos="2880"/>
        </w:tabs>
        <w:ind w:left="2880" w:hanging="360"/>
      </w:pPr>
      <w:rPr>
        <w:rFonts w:ascii="Wingdings" w:hAnsi="Wingdings" w:hint="default"/>
      </w:rPr>
    </w:lvl>
    <w:lvl w:ilvl="3" w:tplc="AAD08A60" w:tentative="1">
      <w:start w:val="1"/>
      <w:numFmt w:val="bullet"/>
      <w:lvlText w:val=""/>
      <w:lvlJc w:val="left"/>
      <w:pPr>
        <w:tabs>
          <w:tab w:val="num" w:pos="3600"/>
        </w:tabs>
        <w:ind w:left="3600" w:hanging="360"/>
      </w:pPr>
      <w:rPr>
        <w:rFonts w:ascii="Symbol" w:hAnsi="Symbol" w:hint="default"/>
      </w:rPr>
    </w:lvl>
    <w:lvl w:ilvl="4" w:tplc="1D0A6E68" w:tentative="1">
      <w:start w:val="1"/>
      <w:numFmt w:val="bullet"/>
      <w:lvlText w:val="o"/>
      <w:lvlJc w:val="left"/>
      <w:pPr>
        <w:tabs>
          <w:tab w:val="num" w:pos="4320"/>
        </w:tabs>
        <w:ind w:left="4320" w:hanging="360"/>
      </w:pPr>
      <w:rPr>
        <w:rFonts w:ascii="Courier New" w:hAnsi="Courier New" w:cs="Microsoft Sans Serif" w:hint="default"/>
      </w:rPr>
    </w:lvl>
    <w:lvl w:ilvl="5" w:tplc="02E0BB30" w:tentative="1">
      <w:start w:val="1"/>
      <w:numFmt w:val="bullet"/>
      <w:lvlText w:val=""/>
      <w:lvlJc w:val="left"/>
      <w:pPr>
        <w:tabs>
          <w:tab w:val="num" w:pos="5040"/>
        </w:tabs>
        <w:ind w:left="5040" w:hanging="360"/>
      </w:pPr>
      <w:rPr>
        <w:rFonts w:ascii="Wingdings" w:hAnsi="Wingdings" w:hint="default"/>
      </w:rPr>
    </w:lvl>
    <w:lvl w:ilvl="6" w:tplc="CA56EB00" w:tentative="1">
      <w:start w:val="1"/>
      <w:numFmt w:val="bullet"/>
      <w:lvlText w:val=""/>
      <w:lvlJc w:val="left"/>
      <w:pPr>
        <w:tabs>
          <w:tab w:val="num" w:pos="5760"/>
        </w:tabs>
        <w:ind w:left="5760" w:hanging="360"/>
      </w:pPr>
      <w:rPr>
        <w:rFonts w:ascii="Symbol" w:hAnsi="Symbol" w:hint="default"/>
      </w:rPr>
    </w:lvl>
    <w:lvl w:ilvl="7" w:tplc="DD767F48" w:tentative="1">
      <w:start w:val="1"/>
      <w:numFmt w:val="bullet"/>
      <w:lvlText w:val="o"/>
      <w:lvlJc w:val="left"/>
      <w:pPr>
        <w:tabs>
          <w:tab w:val="num" w:pos="6480"/>
        </w:tabs>
        <w:ind w:left="6480" w:hanging="360"/>
      </w:pPr>
      <w:rPr>
        <w:rFonts w:ascii="Courier New" w:hAnsi="Courier New" w:cs="Microsoft Sans Serif" w:hint="default"/>
      </w:rPr>
    </w:lvl>
    <w:lvl w:ilvl="8" w:tplc="826E2A6C"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8055A1"/>
    <w:multiLevelType w:val="hybridMultilevel"/>
    <w:tmpl w:val="FB72E85E"/>
    <w:lvl w:ilvl="0" w:tplc="6BDA085A">
      <w:start w:val="1"/>
      <w:numFmt w:val="upperLetter"/>
      <w:lvlText w:val="%1."/>
      <w:lvlJc w:val="left"/>
      <w:pPr>
        <w:tabs>
          <w:tab w:val="num" w:pos="1080"/>
        </w:tabs>
        <w:ind w:left="1080" w:hanging="360"/>
      </w:pPr>
      <w:rPr>
        <w:rFonts w:hint="default"/>
      </w:rPr>
    </w:lvl>
    <w:lvl w:ilvl="1" w:tplc="E5C40EEC">
      <w:start w:val="1"/>
      <w:numFmt w:val="lowerLetter"/>
      <w:lvlText w:val="%2."/>
      <w:lvlJc w:val="left"/>
      <w:pPr>
        <w:tabs>
          <w:tab w:val="num" w:pos="1800"/>
        </w:tabs>
        <w:ind w:left="1800" w:hanging="360"/>
      </w:pPr>
    </w:lvl>
    <w:lvl w:ilvl="2" w:tplc="C302D066" w:tentative="1">
      <w:start w:val="1"/>
      <w:numFmt w:val="lowerRoman"/>
      <w:lvlText w:val="%3."/>
      <w:lvlJc w:val="right"/>
      <w:pPr>
        <w:tabs>
          <w:tab w:val="num" w:pos="2520"/>
        </w:tabs>
        <w:ind w:left="2520" w:hanging="180"/>
      </w:pPr>
    </w:lvl>
    <w:lvl w:ilvl="3" w:tplc="72023FEC" w:tentative="1">
      <w:start w:val="1"/>
      <w:numFmt w:val="decimal"/>
      <w:lvlText w:val="%4."/>
      <w:lvlJc w:val="left"/>
      <w:pPr>
        <w:tabs>
          <w:tab w:val="num" w:pos="3240"/>
        </w:tabs>
        <w:ind w:left="3240" w:hanging="360"/>
      </w:pPr>
    </w:lvl>
    <w:lvl w:ilvl="4" w:tplc="C19E5660" w:tentative="1">
      <w:start w:val="1"/>
      <w:numFmt w:val="lowerLetter"/>
      <w:lvlText w:val="%5."/>
      <w:lvlJc w:val="left"/>
      <w:pPr>
        <w:tabs>
          <w:tab w:val="num" w:pos="3960"/>
        </w:tabs>
        <w:ind w:left="3960" w:hanging="360"/>
      </w:pPr>
    </w:lvl>
    <w:lvl w:ilvl="5" w:tplc="F9CA554C" w:tentative="1">
      <w:start w:val="1"/>
      <w:numFmt w:val="lowerRoman"/>
      <w:lvlText w:val="%6."/>
      <w:lvlJc w:val="right"/>
      <w:pPr>
        <w:tabs>
          <w:tab w:val="num" w:pos="4680"/>
        </w:tabs>
        <w:ind w:left="4680" w:hanging="180"/>
      </w:pPr>
    </w:lvl>
    <w:lvl w:ilvl="6" w:tplc="CC0431C4" w:tentative="1">
      <w:start w:val="1"/>
      <w:numFmt w:val="decimal"/>
      <w:lvlText w:val="%7."/>
      <w:lvlJc w:val="left"/>
      <w:pPr>
        <w:tabs>
          <w:tab w:val="num" w:pos="5400"/>
        </w:tabs>
        <w:ind w:left="5400" w:hanging="360"/>
      </w:pPr>
    </w:lvl>
    <w:lvl w:ilvl="7" w:tplc="B6B265FC" w:tentative="1">
      <w:start w:val="1"/>
      <w:numFmt w:val="lowerLetter"/>
      <w:lvlText w:val="%8."/>
      <w:lvlJc w:val="left"/>
      <w:pPr>
        <w:tabs>
          <w:tab w:val="num" w:pos="6120"/>
        </w:tabs>
        <w:ind w:left="6120" w:hanging="360"/>
      </w:pPr>
    </w:lvl>
    <w:lvl w:ilvl="8" w:tplc="14DC79F2" w:tentative="1">
      <w:start w:val="1"/>
      <w:numFmt w:val="lowerRoman"/>
      <w:lvlText w:val="%9."/>
      <w:lvlJc w:val="right"/>
      <w:pPr>
        <w:tabs>
          <w:tab w:val="num" w:pos="6840"/>
        </w:tabs>
        <w:ind w:left="6840" w:hanging="180"/>
      </w:pPr>
    </w:lvl>
  </w:abstractNum>
  <w:abstractNum w:abstractNumId="12" w15:restartNumberingAfterBreak="0">
    <w:nsid w:val="37B72D01"/>
    <w:multiLevelType w:val="hybridMultilevel"/>
    <w:tmpl w:val="69DA3EF2"/>
    <w:lvl w:ilvl="0" w:tplc="E2B4A81E">
      <w:start w:val="4"/>
      <w:numFmt w:val="upperRoman"/>
      <w:lvlText w:val="%1."/>
      <w:lvlJc w:val="left"/>
      <w:pPr>
        <w:tabs>
          <w:tab w:val="num" w:pos="1080"/>
        </w:tabs>
        <w:ind w:left="1080" w:hanging="720"/>
      </w:pPr>
      <w:rPr>
        <w:rFonts w:hint="default"/>
      </w:rPr>
    </w:lvl>
    <w:lvl w:ilvl="1" w:tplc="01E63F06">
      <w:start w:val="1"/>
      <w:numFmt w:val="bullet"/>
      <w:lvlText w:val=""/>
      <w:lvlJc w:val="left"/>
      <w:pPr>
        <w:tabs>
          <w:tab w:val="num" w:pos="1440"/>
        </w:tabs>
        <w:ind w:left="1440" w:hanging="360"/>
      </w:pPr>
      <w:rPr>
        <w:rFonts w:ascii="Symbol" w:hAnsi="Symbol" w:hint="default"/>
      </w:rPr>
    </w:lvl>
    <w:lvl w:ilvl="2" w:tplc="42F4DD0A" w:tentative="1">
      <w:start w:val="1"/>
      <w:numFmt w:val="lowerRoman"/>
      <w:lvlText w:val="%3."/>
      <w:lvlJc w:val="right"/>
      <w:pPr>
        <w:tabs>
          <w:tab w:val="num" w:pos="2160"/>
        </w:tabs>
        <w:ind w:left="2160" w:hanging="180"/>
      </w:pPr>
    </w:lvl>
    <w:lvl w:ilvl="3" w:tplc="5AC6C7CC" w:tentative="1">
      <w:start w:val="1"/>
      <w:numFmt w:val="decimal"/>
      <w:lvlText w:val="%4."/>
      <w:lvlJc w:val="left"/>
      <w:pPr>
        <w:tabs>
          <w:tab w:val="num" w:pos="2880"/>
        </w:tabs>
        <w:ind w:left="2880" w:hanging="360"/>
      </w:pPr>
    </w:lvl>
    <w:lvl w:ilvl="4" w:tplc="64904B82" w:tentative="1">
      <w:start w:val="1"/>
      <w:numFmt w:val="lowerLetter"/>
      <w:lvlText w:val="%5."/>
      <w:lvlJc w:val="left"/>
      <w:pPr>
        <w:tabs>
          <w:tab w:val="num" w:pos="3600"/>
        </w:tabs>
        <w:ind w:left="3600" w:hanging="360"/>
      </w:pPr>
    </w:lvl>
    <w:lvl w:ilvl="5" w:tplc="24D0C164" w:tentative="1">
      <w:start w:val="1"/>
      <w:numFmt w:val="lowerRoman"/>
      <w:lvlText w:val="%6."/>
      <w:lvlJc w:val="right"/>
      <w:pPr>
        <w:tabs>
          <w:tab w:val="num" w:pos="4320"/>
        </w:tabs>
        <w:ind w:left="4320" w:hanging="180"/>
      </w:pPr>
    </w:lvl>
    <w:lvl w:ilvl="6" w:tplc="B2FCF43E" w:tentative="1">
      <w:start w:val="1"/>
      <w:numFmt w:val="decimal"/>
      <w:lvlText w:val="%7."/>
      <w:lvlJc w:val="left"/>
      <w:pPr>
        <w:tabs>
          <w:tab w:val="num" w:pos="5040"/>
        </w:tabs>
        <w:ind w:left="5040" w:hanging="360"/>
      </w:pPr>
    </w:lvl>
    <w:lvl w:ilvl="7" w:tplc="AFF86EBE" w:tentative="1">
      <w:start w:val="1"/>
      <w:numFmt w:val="lowerLetter"/>
      <w:lvlText w:val="%8."/>
      <w:lvlJc w:val="left"/>
      <w:pPr>
        <w:tabs>
          <w:tab w:val="num" w:pos="5760"/>
        </w:tabs>
        <w:ind w:left="5760" w:hanging="360"/>
      </w:pPr>
    </w:lvl>
    <w:lvl w:ilvl="8" w:tplc="FA042CA8" w:tentative="1">
      <w:start w:val="1"/>
      <w:numFmt w:val="lowerRoman"/>
      <w:lvlText w:val="%9."/>
      <w:lvlJc w:val="right"/>
      <w:pPr>
        <w:tabs>
          <w:tab w:val="num" w:pos="6480"/>
        </w:tabs>
        <w:ind w:left="6480" w:hanging="180"/>
      </w:pPr>
    </w:lvl>
  </w:abstractNum>
  <w:abstractNum w:abstractNumId="13" w15:restartNumberingAfterBreak="0">
    <w:nsid w:val="488F51B5"/>
    <w:multiLevelType w:val="hybridMultilevel"/>
    <w:tmpl w:val="9892C3C4"/>
    <w:lvl w:ilvl="0" w:tplc="8AE87F7A">
      <w:start w:val="1"/>
      <w:numFmt w:val="upperRoman"/>
      <w:lvlText w:val="%1."/>
      <w:lvlJc w:val="left"/>
      <w:pPr>
        <w:ind w:left="1080" w:hanging="720"/>
      </w:pPr>
      <w:rPr>
        <w:rFonts w:hint="default"/>
      </w:rPr>
    </w:lvl>
    <w:lvl w:ilvl="1" w:tplc="E9285456" w:tentative="1">
      <w:start w:val="1"/>
      <w:numFmt w:val="lowerLetter"/>
      <w:lvlText w:val="%2."/>
      <w:lvlJc w:val="left"/>
      <w:pPr>
        <w:ind w:left="1440" w:hanging="360"/>
      </w:pPr>
    </w:lvl>
    <w:lvl w:ilvl="2" w:tplc="EB188E32" w:tentative="1">
      <w:start w:val="1"/>
      <w:numFmt w:val="lowerRoman"/>
      <w:lvlText w:val="%3."/>
      <w:lvlJc w:val="right"/>
      <w:pPr>
        <w:ind w:left="2160" w:hanging="180"/>
      </w:pPr>
    </w:lvl>
    <w:lvl w:ilvl="3" w:tplc="B1046D02" w:tentative="1">
      <w:start w:val="1"/>
      <w:numFmt w:val="decimal"/>
      <w:lvlText w:val="%4."/>
      <w:lvlJc w:val="left"/>
      <w:pPr>
        <w:ind w:left="2880" w:hanging="360"/>
      </w:pPr>
    </w:lvl>
    <w:lvl w:ilvl="4" w:tplc="69820B50" w:tentative="1">
      <w:start w:val="1"/>
      <w:numFmt w:val="lowerLetter"/>
      <w:lvlText w:val="%5."/>
      <w:lvlJc w:val="left"/>
      <w:pPr>
        <w:ind w:left="3600" w:hanging="360"/>
      </w:pPr>
    </w:lvl>
    <w:lvl w:ilvl="5" w:tplc="39CCAC74" w:tentative="1">
      <w:start w:val="1"/>
      <w:numFmt w:val="lowerRoman"/>
      <w:lvlText w:val="%6."/>
      <w:lvlJc w:val="right"/>
      <w:pPr>
        <w:ind w:left="4320" w:hanging="180"/>
      </w:pPr>
    </w:lvl>
    <w:lvl w:ilvl="6" w:tplc="745688B6" w:tentative="1">
      <w:start w:val="1"/>
      <w:numFmt w:val="decimal"/>
      <w:lvlText w:val="%7."/>
      <w:lvlJc w:val="left"/>
      <w:pPr>
        <w:ind w:left="5040" w:hanging="360"/>
      </w:pPr>
    </w:lvl>
    <w:lvl w:ilvl="7" w:tplc="2B2EF0A2" w:tentative="1">
      <w:start w:val="1"/>
      <w:numFmt w:val="lowerLetter"/>
      <w:lvlText w:val="%8."/>
      <w:lvlJc w:val="left"/>
      <w:pPr>
        <w:ind w:left="5760" w:hanging="360"/>
      </w:pPr>
    </w:lvl>
    <w:lvl w:ilvl="8" w:tplc="2C9E0A38" w:tentative="1">
      <w:start w:val="1"/>
      <w:numFmt w:val="lowerRoman"/>
      <w:lvlText w:val="%9."/>
      <w:lvlJc w:val="right"/>
      <w:pPr>
        <w:ind w:left="6480" w:hanging="180"/>
      </w:pPr>
    </w:lvl>
  </w:abstractNum>
  <w:abstractNum w:abstractNumId="14" w15:restartNumberingAfterBreak="0">
    <w:nsid w:val="49B32278"/>
    <w:multiLevelType w:val="hybridMultilevel"/>
    <w:tmpl w:val="53CE7B0C"/>
    <w:lvl w:ilvl="0" w:tplc="F42E344E">
      <w:start w:val="4"/>
      <w:numFmt w:val="upperLetter"/>
      <w:lvlText w:val="%1)"/>
      <w:lvlJc w:val="left"/>
      <w:pPr>
        <w:tabs>
          <w:tab w:val="num" w:pos="1080"/>
        </w:tabs>
        <w:ind w:left="1080" w:hanging="360"/>
      </w:pPr>
      <w:rPr>
        <w:rFonts w:hint="default"/>
      </w:rPr>
    </w:lvl>
    <w:lvl w:ilvl="1" w:tplc="E7AA1E34" w:tentative="1">
      <w:start w:val="1"/>
      <w:numFmt w:val="lowerLetter"/>
      <w:lvlText w:val="%2."/>
      <w:lvlJc w:val="left"/>
      <w:pPr>
        <w:tabs>
          <w:tab w:val="num" w:pos="1800"/>
        </w:tabs>
        <w:ind w:left="1800" w:hanging="360"/>
      </w:pPr>
    </w:lvl>
    <w:lvl w:ilvl="2" w:tplc="F71238BA" w:tentative="1">
      <w:start w:val="1"/>
      <w:numFmt w:val="lowerRoman"/>
      <w:lvlText w:val="%3."/>
      <w:lvlJc w:val="right"/>
      <w:pPr>
        <w:tabs>
          <w:tab w:val="num" w:pos="2520"/>
        </w:tabs>
        <w:ind w:left="2520" w:hanging="180"/>
      </w:pPr>
    </w:lvl>
    <w:lvl w:ilvl="3" w:tplc="C6B6BC0E" w:tentative="1">
      <w:start w:val="1"/>
      <w:numFmt w:val="decimal"/>
      <w:lvlText w:val="%4."/>
      <w:lvlJc w:val="left"/>
      <w:pPr>
        <w:tabs>
          <w:tab w:val="num" w:pos="3240"/>
        </w:tabs>
        <w:ind w:left="3240" w:hanging="360"/>
      </w:pPr>
    </w:lvl>
    <w:lvl w:ilvl="4" w:tplc="EFD2D0A2" w:tentative="1">
      <w:start w:val="1"/>
      <w:numFmt w:val="lowerLetter"/>
      <w:lvlText w:val="%5."/>
      <w:lvlJc w:val="left"/>
      <w:pPr>
        <w:tabs>
          <w:tab w:val="num" w:pos="3960"/>
        </w:tabs>
        <w:ind w:left="3960" w:hanging="360"/>
      </w:pPr>
    </w:lvl>
    <w:lvl w:ilvl="5" w:tplc="7646F8F2" w:tentative="1">
      <w:start w:val="1"/>
      <w:numFmt w:val="lowerRoman"/>
      <w:lvlText w:val="%6."/>
      <w:lvlJc w:val="right"/>
      <w:pPr>
        <w:tabs>
          <w:tab w:val="num" w:pos="4680"/>
        </w:tabs>
        <w:ind w:left="4680" w:hanging="180"/>
      </w:pPr>
    </w:lvl>
    <w:lvl w:ilvl="6" w:tplc="E9BEB51E" w:tentative="1">
      <w:start w:val="1"/>
      <w:numFmt w:val="decimal"/>
      <w:lvlText w:val="%7."/>
      <w:lvlJc w:val="left"/>
      <w:pPr>
        <w:tabs>
          <w:tab w:val="num" w:pos="5400"/>
        </w:tabs>
        <w:ind w:left="5400" w:hanging="360"/>
      </w:pPr>
    </w:lvl>
    <w:lvl w:ilvl="7" w:tplc="C12AE680" w:tentative="1">
      <w:start w:val="1"/>
      <w:numFmt w:val="lowerLetter"/>
      <w:lvlText w:val="%8."/>
      <w:lvlJc w:val="left"/>
      <w:pPr>
        <w:tabs>
          <w:tab w:val="num" w:pos="6120"/>
        </w:tabs>
        <w:ind w:left="6120" w:hanging="360"/>
      </w:pPr>
    </w:lvl>
    <w:lvl w:ilvl="8" w:tplc="3AA40412" w:tentative="1">
      <w:start w:val="1"/>
      <w:numFmt w:val="lowerRoman"/>
      <w:lvlText w:val="%9."/>
      <w:lvlJc w:val="right"/>
      <w:pPr>
        <w:tabs>
          <w:tab w:val="num" w:pos="6840"/>
        </w:tabs>
        <w:ind w:left="6840" w:hanging="180"/>
      </w:pPr>
    </w:lvl>
  </w:abstractNum>
  <w:abstractNum w:abstractNumId="15" w15:restartNumberingAfterBreak="0">
    <w:nsid w:val="4B8616F9"/>
    <w:multiLevelType w:val="hybridMultilevel"/>
    <w:tmpl w:val="C598D7F6"/>
    <w:lvl w:ilvl="0" w:tplc="4EA6A94C">
      <w:start w:val="7"/>
      <w:numFmt w:val="lowerLetter"/>
      <w:lvlText w:val="%1."/>
      <w:lvlJc w:val="left"/>
      <w:pPr>
        <w:tabs>
          <w:tab w:val="num" w:pos="1080"/>
        </w:tabs>
        <w:ind w:left="1080" w:hanging="360"/>
      </w:pPr>
      <w:rPr>
        <w:rFonts w:hint="default"/>
      </w:rPr>
    </w:lvl>
    <w:lvl w:ilvl="1" w:tplc="76E81BA0" w:tentative="1">
      <w:start w:val="1"/>
      <w:numFmt w:val="lowerLetter"/>
      <w:lvlText w:val="%2."/>
      <w:lvlJc w:val="left"/>
      <w:pPr>
        <w:tabs>
          <w:tab w:val="num" w:pos="1800"/>
        </w:tabs>
        <w:ind w:left="1800" w:hanging="360"/>
      </w:pPr>
    </w:lvl>
    <w:lvl w:ilvl="2" w:tplc="0BAC3A32" w:tentative="1">
      <w:start w:val="1"/>
      <w:numFmt w:val="lowerRoman"/>
      <w:lvlText w:val="%3."/>
      <w:lvlJc w:val="right"/>
      <w:pPr>
        <w:tabs>
          <w:tab w:val="num" w:pos="2520"/>
        </w:tabs>
        <w:ind w:left="2520" w:hanging="180"/>
      </w:pPr>
    </w:lvl>
    <w:lvl w:ilvl="3" w:tplc="0EAC4AC8" w:tentative="1">
      <w:start w:val="1"/>
      <w:numFmt w:val="decimal"/>
      <w:lvlText w:val="%4."/>
      <w:lvlJc w:val="left"/>
      <w:pPr>
        <w:tabs>
          <w:tab w:val="num" w:pos="3240"/>
        </w:tabs>
        <w:ind w:left="3240" w:hanging="360"/>
      </w:pPr>
    </w:lvl>
    <w:lvl w:ilvl="4" w:tplc="4FFA9806" w:tentative="1">
      <w:start w:val="1"/>
      <w:numFmt w:val="lowerLetter"/>
      <w:lvlText w:val="%5."/>
      <w:lvlJc w:val="left"/>
      <w:pPr>
        <w:tabs>
          <w:tab w:val="num" w:pos="3960"/>
        </w:tabs>
        <w:ind w:left="3960" w:hanging="360"/>
      </w:pPr>
    </w:lvl>
    <w:lvl w:ilvl="5" w:tplc="BB9602AE" w:tentative="1">
      <w:start w:val="1"/>
      <w:numFmt w:val="lowerRoman"/>
      <w:lvlText w:val="%6."/>
      <w:lvlJc w:val="right"/>
      <w:pPr>
        <w:tabs>
          <w:tab w:val="num" w:pos="4680"/>
        </w:tabs>
        <w:ind w:left="4680" w:hanging="180"/>
      </w:pPr>
    </w:lvl>
    <w:lvl w:ilvl="6" w:tplc="06FA1CA6" w:tentative="1">
      <w:start w:val="1"/>
      <w:numFmt w:val="decimal"/>
      <w:lvlText w:val="%7."/>
      <w:lvlJc w:val="left"/>
      <w:pPr>
        <w:tabs>
          <w:tab w:val="num" w:pos="5400"/>
        </w:tabs>
        <w:ind w:left="5400" w:hanging="360"/>
      </w:pPr>
    </w:lvl>
    <w:lvl w:ilvl="7" w:tplc="86DE845A" w:tentative="1">
      <w:start w:val="1"/>
      <w:numFmt w:val="lowerLetter"/>
      <w:lvlText w:val="%8."/>
      <w:lvlJc w:val="left"/>
      <w:pPr>
        <w:tabs>
          <w:tab w:val="num" w:pos="6120"/>
        </w:tabs>
        <w:ind w:left="6120" w:hanging="360"/>
      </w:pPr>
    </w:lvl>
    <w:lvl w:ilvl="8" w:tplc="E34099D2" w:tentative="1">
      <w:start w:val="1"/>
      <w:numFmt w:val="lowerRoman"/>
      <w:lvlText w:val="%9."/>
      <w:lvlJc w:val="right"/>
      <w:pPr>
        <w:tabs>
          <w:tab w:val="num" w:pos="6840"/>
        </w:tabs>
        <w:ind w:left="6840" w:hanging="180"/>
      </w:pPr>
    </w:lvl>
  </w:abstractNum>
  <w:abstractNum w:abstractNumId="16" w15:restartNumberingAfterBreak="0">
    <w:nsid w:val="4EEA2B4A"/>
    <w:multiLevelType w:val="hybridMultilevel"/>
    <w:tmpl w:val="0868E874"/>
    <w:lvl w:ilvl="0" w:tplc="5FE2FA78">
      <w:start w:val="1"/>
      <w:numFmt w:val="upperLetter"/>
      <w:lvlText w:val="%1."/>
      <w:lvlJc w:val="left"/>
      <w:pPr>
        <w:tabs>
          <w:tab w:val="num" w:pos="720"/>
        </w:tabs>
        <w:ind w:left="720" w:hanging="360"/>
      </w:pPr>
      <w:rPr>
        <w:rFonts w:hint="default"/>
      </w:rPr>
    </w:lvl>
    <w:lvl w:ilvl="1" w:tplc="98DCC6BE" w:tentative="1">
      <w:start w:val="1"/>
      <w:numFmt w:val="lowerLetter"/>
      <w:lvlText w:val="%2."/>
      <w:lvlJc w:val="left"/>
      <w:pPr>
        <w:tabs>
          <w:tab w:val="num" w:pos="1440"/>
        </w:tabs>
        <w:ind w:left="1440" w:hanging="360"/>
      </w:pPr>
    </w:lvl>
    <w:lvl w:ilvl="2" w:tplc="F41EE5AE" w:tentative="1">
      <w:start w:val="1"/>
      <w:numFmt w:val="lowerRoman"/>
      <w:lvlText w:val="%3."/>
      <w:lvlJc w:val="right"/>
      <w:pPr>
        <w:tabs>
          <w:tab w:val="num" w:pos="2160"/>
        </w:tabs>
        <w:ind w:left="2160" w:hanging="180"/>
      </w:pPr>
    </w:lvl>
    <w:lvl w:ilvl="3" w:tplc="CFDE1C48" w:tentative="1">
      <w:start w:val="1"/>
      <w:numFmt w:val="decimal"/>
      <w:lvlText w:val="%4."/>
      <w:lvlJc w:val="left"/>
      <w:pPr>
        <w:tabs>
          <w:tab w:val="num" w:pos="2880"/>
        </w:tabs>
        <w:ind w:left="2880" w:hanging="360"/>
      </w:pPr>
    </w:lvl>
    <w:lvl w:ilvl="4" w:tplc="791E0A0E" w:tentative="1">
      <w:start w:val="1"/>
      <w:numFmt w:val="lowerLetter"/>
      <w:lvlText w:val="%5."/>
      <w:lvlJc w:val="left"/>
      <w:pPr>
        <w:tabs>
          <w:tab w:val="num" w:pos="3600"/>
        </w:tabs>
        <w:ind w:left="3600" w:hanging="360"/>
      </w:pPr>
    </w:lvl>
    <w:lvl w:ilvl="5" w:tplc="1668D664" w:tentative="1">
      <w:start w:val="1"/>
      <w:numFmt w:val="lowerRoman"/>
      <w:lvlText w:val="%6."/>
      <w:lvlJc w:val="right"/>
      <w:pPr>
        <w:tabs>
          <w:tab w:val="num" w:pos="4320"/>
        </w:tabs>
        <w:ind w:left="4320" w:hanging="180"/>
      </w:pPr>
    </w:lvl>
    <w:lvl w:ilvl="6" w:tplc="7BA4E50C" w:tentative="1">
      <w:start w:val="1"/>
      <w:numFmt w:val="decimal"/>
      <w:lvlText w:val="%7."/>
      <w:lvlJc w:val="left"/>
      <w:pPr>
        <w:tabs>
          <w:tab w:val="num" w:pos="5040"/>
        </w:tabs>
        <w:ind w:left="5040" w:hanging="360"/>
      </w:pPr>
    </w:lvl>
    <w:lvl w:ilvl="7" w:tplc="A9906332" w:tentative="1">
      <w:start w:val="1"/>
      <w:numFmt w:val="lowerLetter"/>
      <w:lvlText w:val="%8."/>
      <w:lvlJc w:val="left"/>
      <w:pPr>
        <w:tabs>
          <w:tab w:val="num" w:pos="5760"/>
        </w:tabs>
        <w:ind w:left="5760" w:hanging="360"/>
      </w:pPr>
    </w:lvl>
    <w:lvl w:ilvl="8" w:tplc="07824722" w:tentative="1">
      <w:start w:val="1"/>
      <w:numFmt w:val="lowerRoman"/>
      <w:lvlText w:val="%9."/>
      <w:lvlJc w:val="right"/>
      <w:pPr>
        <w:tabs>
          <w:tab w:val="num" w:pos="6480"/>
        </w:tabs>
        <w:ind w:left="6480" w:hanging="180"/>
      </w:pPr>
    </w:lvl>
  </w:abstractNum>
  <w:abstractNum w:abstractNumId="17" w15:restartNumberingAfterBreak="0">
    <w:nsid w:val="58B67818"/>
    <w:multiLevelType w:val="hybridMultilevel"/>
    <w:tmpl w:val="E6ACE070"/>
    <w:lvl w:ilvl="0" w:tplc="11426F9C">
      <w:start w:val="1"/>
      <w:numFmt w:val="upperLetter"/>
      <w:pStyle w:val="Heading2"/>
      <w:lvlText w:val="%1."/>
      <w:lvlJc w:val="left"/>
      <w:pPr>
        <w:ind w:left="360" w:hanging="360"/>
      </w:pPr>
      <w:rPr>
        <w:rFonts w:hint="default"/>
      </w:rPr>
    </w:lvl>
    <w:lvl w:ilvl="1" w:tplc="30547AE8" w:tentative="1">
      <w:start w:val="1"/>
      <w:numFmt w:val="lowerLetter"/>
      <w:lvlText w:val="%2."/>
      <w:lvlJc w:val="left"/>
      <w:pPr>
        <w:ind w:left="1080" w:hanging="360"/>
      </w:pPr>
    </w:lvl>
    <w:lvl w:ilvl="2" w:tplc="7C2AE7AC" w:tentative="1">
      <w:start w:val="1"/>
      <w:numFmt w:val="lowerRoman"/>
      <w:lvlText w:val="%3."/>
      <w:lvlJc w:val="right"/>
      <w:pPr>
        <w:ind w:left="1800" w:hanging="180"/>
      </w:pPr>
    </w:lvl>
    <w:lvl w:ilvl="3" w:tplc="35BE446A" w:tentative="1">
      <w:start w:val="1"/>
      <w:numFmt w:val="decimal"/>
      <w:lvlText w:val="%4."/>
      <w:lvlJc w:val="left"/>
      <w:pPr>
        <w:ind w:left="2520" w:hanging="360"/>
      </w:pPr>
    </w:lvl>
    <w:lvl w:ilvl="4" w:tplc="2B522FAC" w:tentative="1">
      <w:start w:val="1"/>
      <w:numFmt w:val="lowerLetter"/>
      <w:lvlText w:val="%5."/>
      <w:lvlJc w:val="left"/>
      <w:pPr>
        <w:ind w:left="3240" w:hanging="360"/>
      </w:pPr>
    </w:lvl>
    <w:lvl w:ilvl="5" w:tplc="6570D5A6" w:tentative="1">
      <w:start w:val="1"/>
      <w:numFmt w:val="lowerRoman"/>
      <w:lvlText w:val="%6."/>
      <w:lvlJc w:val="right"/>
      <w:pPr>
        <w:ind w:left="3960" w:hanging="180"/>
      </w:pPr>
    </w:lvl>
    <w:lvl w:ilvl="6" w:tplc="F7CAAD80" w:tentative="1">
      <w:start w:val="1"/>
      <w:numFmt w:val="decimal"/>
      <w:lvlText w:val="%7."/>
      <w:lvlJc w:val="left"/>
      <w:pPr>
        <w:ind w:left="4680" w:hanging="360"/>
      </w:pPr>
    </w:lvl>
    <w:lvl w:ilvl="7" w:tplc="9FCCDEF0" w:tentative="1">
      <w:start w:val="1"/>
      <w:numFmt w:val="lowerLetter"/>
      <w:lvlText w:val="%8."/>
      <w:lvlJc w:val="left"/>
      <w:pPr>
        <w:ind w:left="5400" w:hanging="360"/>
      </w:pPr>
    </w:lvl>
    <w:lvl w:ilvl="8" w:tplc="55423A2A" w:tentative="1">
      <w:start w:val="1"/>
      <w:numFmt w:val="lowerRoman"/>
      <w:lvlText w:val="%9."/>
      <w:lvlJc w:val="right"/>
      <w:pPr>
        <w:ind w:left="6120" w:hanging="180"/>
      </w:pPr>
    </w:lvl>
  </w:abstractNum>
  <w:abstractNum w:abstractNumId="18" w15:restartNumberingAfterBreak="0">
    <w:nsid w:val="591118F4"/>
    <w:multiLevelType w:val="hybridMultilevel"/>
    <w:tmpl w:val="F5B4C048"/>
    <w:lvl w:ilvl="0" w:tplc="FFF64B5A">
      <w:start w:val="1"/>
      <w:numFmt w:val="decimal"/>
      <w:lvlText w:val="%1."/>
      <w:lvlJc w:val="left"/>
      <w:pPr>
        <w:ind w:left="1800" w:hanging="360"/>
      </w:pPr>
      <w:rPr>
        <w:rFonts w:hint="default"/>
      </w:rPr>
    </w:lvl>
    <w:lvl w:ilvl="1" w:tplc="35FEA6F2" w:tentative="1">
      <w:start w:val="1"/>
      <w:numFmt w:val="lowerLetter"/>
      <w:lvlText w:val="%2."/>
      <w:lvlJc w:val="left"/>
      <w:pPr>
        <w:ind w:left="2520" w:hanging="360"/>
      </w:pPr>
    </w:lvl>
    <w:lvl w:ilvl="2" w:tplc="234465C4" w:tentative="1">
      <w:start w:val="1"/>
      <w:numFmt w:val="lowerRoman"/>
      <w:lvlText w:val="%3."/>
      <w:lvlJc w:val="right"/>
      <w:pPr>
        <w:ind w:left="3240" w:hanging="180"/>
      </w:pPr>
    </w:lvl>
    <w:lvl w:ilvl="3" w:tplc="75C4784A" w:tentative="1">
      <w:start w:val="1"/>
      <w:numFmt w:val="decimal"/>
      <w:lvlText w:val="%4."/>
      <w:lvlJc w:val="left"/>
      <w:pPr>
        <w:ind w:left="3960" w:hanging="360"/>
      </w:pPr>
    </w:lvl>
    <w:lvl w:ilvl="4" w:tplc="30B4F3F8" w:tentative="1">
      <w:start w:val="1"/>
      <w:numFmt w:val="lowerLetter"/>
      <w:lvlText w:val="%5."/>
      <w:lvlJc w:val="left"/>
      <w:pPr>
        <w:ind w:left="4680" w:hanging="360"/>
      </w:pPr>
    </w:lvl>
    <w:lvl w:ilvl="5" w:tplc="FCCA9752" w:tentative="1">
      <w:start w:val="1"/>
      <w:numFmt w:val="lowerRoman"/>
      <w:lvlText w:val="%6."/>
      <w:lvlJc w:val="right"/>
      <w:pPr>
        <w:ind w:left="5400" w:hanging="180"/>
      </w:pPr>
    </w:lvl>
    <w:lvl w:ilvl="6" w:tplc="9DD8DB7E" w:tentative="1">
      <w:start w:val="1"/>
      <w:numFmt w:val="decimal"/>
      <w:lvlText w:val="%7."/>
      <w:lvlJc w:val="left"/>
      <w:pPr>
        <w:ind w:left="6120" w:hanging="360"/>
      </w:pPr>
    </w:lvl>
    <w:lvl w:ilvl="7" w:tplc="EEFAB2E8" w:tentative="1">
      <w:start w:val="1"/>
      <w:numFmt w:val="lowerLetter"/>
      <w:lvlText w:val="%8."/>
      <w:lvlJc w:val="left"/>
      <w:pPr>
        <w:ind w:left="6840" w:hanging="360"/>
      </w:pPr>
    </w:lvl>
    <w:lvl w:ilvl="8" w:tplc="10CE24A4" w:tentative="1">
      <w:start w:val="1"/>
      <w:numFmt w:val="lowerRoman"/>
      <w:lvlText w:val="%9."/>
      <w:lvlJc w:val="right"/>
      <w:pPr>
        <w:ind w:left="7560" w:hanging="180"/>
      </w:pPr>
    </w:lvl>
  </w:abstractNum>
  <w:abstractNum w:abstractNumId="19" w15:restartNumberingAfterBreak="0">
    <w:nsid w:val="61636F23"/>
    <w:multiLevelType w:val="hybridMultilevel"/>
    <w:tmpl w:val="C2F00220"/>
    <w:lvl w:ilvl="0" w:tplc="688C279C">
      <w:start w:val="2"/>
      <w:numFmt w:val="upperRoman"/>
      <w:lvlText w:val="%1."/>
      <w:lvlJc w:val="left"/>
      <w:pPr>
        <w:tabs>
          <w:tab w:val="num" w:pos="1080"/>
        </w:tabs>
        <w:ind w:left="1080" w:hanging="720"/>
      </w:pPr>
      <w:rPr>
        <w:rFonts w:hint="default"/>
      </w:rPr>
    </w:lvl>
    <w:lvl w:ilvl="1" w:tplc="069A8CDE" w:tentative="1">
      <w:start w:val="1"/>
      <w:numFmt w:val="lowerLetter"/>
      <w:lvlText w:val="%2."/>
      <w:lvlJc w:val="left"/>
      <w:pPr>
        <w:tabs>
          <w:tab w:val="num" w:pos="1440"/>
        </w:tabs>
        <w:ind w:left="1440" w:hanging="360"/>
      </w:pPr>
    </w:lvl>
    <w:lvl w:ilvl="2" w:tplc="C04826C6" w:tentative="1">
      <w:start w:val="1"/>
      <w:numFmt w:val="lowerRoman"/>
      <w:lvlText w:val="%3."/>
      <w:lvlJc w:val="right"/>
      <w:pPr>
        <w:tabs>
          <w:tab w:val="num" w:pos="2160"/>
        </w:tabs>
        <w:ind w:left="2160" w:hanging="180"/>
      </w:pPr>
    </w:lvl>
    <w:lvl w:ilvl="3" w:tplc="E208E12C" w:tentative="1">
      <w:start w:val="1"/>
      <w:numFmt w:val="decimal"/>
      <w:lvlText w:val="%4."/>
      <w:lvlJc w:val="left"/>
      <w:pPr>
        <w:tabs>
          <w:tab w:val="num" w:pos="2880"/>
        </w:tabs>
        <w:ind w:left="2880" w:hanging="360"/>
      </w:pPr>
    </w:lvl>
    <w:lvl w:ilvl="4" w:tplc="D7C2D418" w:tentative="1">
      <w:start w:val="1"/>
      <w:numFmt w:val="lowerLetter"/>
      <w:lvlText w:val="%5."/>
      <w:lvlJc w:val="left"/>
      <w:pPr>
        <w:tabs>
          <w:tab w:val="num" w:pos="3600"/>
        </w:tabs>
        <w:ind w:left="3600" w:hanging="360"/>
      </w:pPr>
    </w:lvl>
    <w:lvl w:ilvl="5" w:tplc="5278451E" w:tentative="1">
      <w:start w:val="1"/>
      <w:numFmt w:val="lowerRoman"/>
      <w:lvlText w:val="%6."/>
      <w:lvlJc w:val="right"/>
      <w:pPr>
        <w:tabs>
          <w:tab w:val="num" w:pos="4320"/>
        </w:tabs>
        <w:ind w:left="4320" w:hanging="180"/>
      </w:pPr>
    </w:lvl>
    <w:lvl w:ilvl="6" w:tplc="E6804732" w:tentative="1">
      <w:start w:val="1"/>
      <w:numFmt w:val="decimal"/>
      <w:lvlText w:val="%7."/>
      <w:lvlJc w:val="left"/>
      <w:pPr>
        <w:tabs>
          <w:tab w:val="num" w:pos="5040"/>
        </w:tabs>
        <w:ind w:left="5040" w:hanging="360"/>
      </w:pPr>
    </w:lvl>
    <w:lvl w:ilvl="7" w:tplc="BE1E0776" w:tentative="1">
      <w:start w:val="1"/>
      <w:numFmt w:val="lowerLetter"/>
      <w:lvlText w:val="%8."/>
      <w:lvlJc w:val="left"/>
      <w:pPr>
        <w:tabs>
          <w:tab w:val="num" w:pos="5760"/>
        </w:tabs>
        <w:ind w:left="5760" w:hanging="360"/>
      </w:pPr>
    </w:lvl>
    <w:lvl w:ilvl="8" w:tplc="83F281F4" w:tentative="1">
      <w:start w:val="1"/>
      <w:numFmt w:val="lowerRoman"/>
      <w:lvlText w:val="%9."/>
      <w:lvlJc w:val="right"/>
      <w:pPr>
        <w:tabs>
          <w:tab w:val="num" w:pos="6480"/>
        </w:tabs>
        <w:ind w:left="6480" w:hanging="180"/>
      </w:pPr>
    </w:lvl>
  </w:abstractNum>
  <w:abstractNum w:abstractNumId="20" w15:restartNumberingAfterBreak="0">
    <w:nsid w:val="65077CD2"/>
    <w:multiLevelType w:val="hybridMultilevel"/>
    <w:tmpl w:val="1DFA6CC2"/>
    <w:lvl w:ilvl="0" w:tplc="54EA0158">
      <w:start w:val="1"/>
      <w:numFmt w:val="lowerLetter"/>
      <w:lvlText w:val="%1."/>
      <w:lvlJc w:val="left"/>
      <w:pPr>
        <w:ind w:left="1440" w:hanging="360"/>
      </w:pPr>
      <w:rPr>
        <w:rFonts w:hint="default"/>
      </w:rPr>
    </w:lvl>
    <w:lvl w:ilvl="1" w:tplc="C646FC26" w:tentative="1">
      <w:start w:val="1"/>
      <w:numFmt w:val="lowerLetter"/>
      <w:lvlText w:val="%2."/>
      <w:lvlJc w:val="left"/>
      <w:pPr>
        <w:ind w:left="2160" w:hanging="360"/>
      </w:pPr>
    </w:lvl>
    <w:lvl w:ilvl="2" w:tplc="C3C868CE" w:tentative="1">
      <w:start w:val="1"/>
      <w:numFmt w:val="lowerRoman"/>
      <w:lvlText w:val="%3."/>
      <w:lvlJc w:val="right"/>
      <w:pPr>
        <w:ind w:left="2880" w:hanging="180"/>
      </w:pPr>
    </w:lvl>
    <w:lvl w:ilvl="3" w:tplc="07D024A4" w:tentative="1">
      <w:start w:val="1"/>
      <w:numFmt w:val="decimal"/>
      <w:lvlText w:val="%4."/>
      <w:lvlJc w:val="left"/>
      <w:pPr>
        <w:ind w:left="3600" w:hanging="360"/>
      </w:pPr>
    </w:lvl>
    <w:lvl w:ilvl="4" w:tplc="27D09B24" w:tentative="1">
      <w:start w:val="1"/>
      <w:numFmt w:val="lowerLetter"/>
      <w:lvlText w:val="%5."/>
      <w:lvlJc w:val="left"/>
      <w:pPr>
        <w:ind w:left="4320" w:hanging="360"/>
      </w:pPr>
    </w:lvl>
    <w:lvl w:ilvl="5" w:tplc="327E65AE" w:tentative="1">
      <w:start w:val="1"/>
      <w:numFmt w:val="lowerRoman"/>
      <w:lvlText w:val="%6."/>
      <w:lvlJc w:val="right"/>
      <w:pPr>
        <w:ind w:left="5040" w:hanging="180"/>
      </w:pPr>
    </w:lvl>
    <w:lvl w:ilvl="6" w:tplc="636450BE" w:tentative="1">
      <w:start w:val="1"/>
      <w:numFmt w:val="decimal"/>
      <w:lvlText w:val="%7."/>
      <w:lvlJc w:val="left"/>
      <w:pPr>
        <w:ind w:left="5760" w:hanging="360"/>
      </w:pPr>
    </w:lvl>
    <w:lvl w:ilvl="7" w:tplc="1C72A218" w:tentative="1">
      <w:start w:val="1"/>
      <w:numFmt w:val="lowerLetter"/>
      <w:lvlText w:val="%8."/>
      <w:lvlJc w:val="left"/>
      <w:pPr>
        <w:ind w:left="6480" w:hanging="360"/>
      </w:pPr>
    </w:lvl>
    <w:lvl w:ilvl="8" w:tplc="1D1E56B8" w:tentative="1">
      <w:start w:val="1"/>
      <w:numFmt w:val="lowerRoman"/>
      <w:lvlText w:val="%9."/>
      <w:lvlJc w:val="right"/>
      <w:pPr>
        <w:ind w:left="7200" w:hanging="180"/>
      </w:pPr>
    </w:lvl>
  </w:abstractNum>
  <w:abstractNum w:abstractNumId="21" w15:restartNumberingAfterBreak="0">
    <w:nsid w:val="66547110"/>
    <w:multiLevelType w:val="hybridMultilevel"/>
    <w:tmpl w:val="872E8934"/>
    <w:lvl w:ilvl="0" w:tplc="D228C780">
      <w:start w:val="1"/>
      <w:numFmt w:val="upperLetter"/>
      <w:lvlText w:val="%1)"/>
      <w:lvlJc w:val="left"/>
      <w:pPr>
        <w:tabs>
          <w:tab w:val="num" w:pos="1080"/>
        </w:tabs>
        <w:ind w:left="1080" w:hanging="360"/>
      </w:pPr>
      <w:rPr>
        <w:rFonts w:hint="default"/>
      </w:rPr>
    </w:lvl>
    <w:lvl w:ilvl="1" w:tplc="F9025FA2" w:tentative="1">
      <w:start w:val="1"/>
      <w:numFmt w:val="lowerLetter"/>
      <w:lvlText w:val="%2."/>
      <w:lvlJc w:val="left"/>
      <w:pPr>
        <w:tabs>
          <w:tab w:val="num" w:pos="1800"/>
        </w:tabs>
        <w:ind w:left="1800" w:hanging="360"/>
      </w:pPr>
    </w:lvl>
    <w:lvl w:ilvl="2" w:tplc="5C1040C8" w:tentative="1">
      <w:start w:val="1"/>
      <w:numFmt w:val="lowerRoman"/>
      <w:lvlText w:val="%3."/>
      <w:lvlJc w:val="right"/>
      <w:pPr>
        <w:tabs>
          <w:tab w:val="num" w:pos="2520"/>
        </w:tabs>
        <w:ind w:left="2520" w:hanging="180"/>
      </w:pPr>
    </w:lvl>
    <w:lvl w:ilvl="3" w:tplc="AFDE6DE4" w:tentative="1">
      <w:start w:val="1"/>
      <w:numFmt w:val="decimal"/>
      <w:lvlText w:val="%4."/>
      <w:lvlJc w:val="left"/>
      <w:pPr>
        <w:tabs>
          <w:tab w:val="num" w:pos="3240"/>
        </w:tabs>
        <w:ind w:left="3240" w:hanging="360"/>
      </w:pPr>
    </w:lvl>
    <w:lvl w:ilvl="4" w:tplc="33DCE1FE" w:tentative="1">
      <w:start w:val="1"/>
      <w:numFmt w:val="lowerLetter"/>
      <w:lvlText w:val="%5."/>
      <w:lvlJc w:val="left"/>
      <w:pPr>
        <w:tabs>
          <w:tab w:val="num" w:pos="3960"/>
        </w:tabs>
        <w:ind w:left="3960" w:hanging="360"/>
      </w:pPr>
    </w:lvl>
    <w:lvl w:ilvl="5" w:tplc="90FC8120" w:tentative="1">
      <w:start w:val="1"/>
      <w:numFmt w:val="lowerRoman"/>
      <w:lvlText w:val="%6."/>
      <w:lvlJc w:val="right"/>
      <w:pPr>
        <w:tabs>
          <w:tab w:val="num" w:pos="4680"/>
        </w:tabs>
        <w:ind w:left="4680" w:hanging="180"/>
      </w:pPr>
    </w:lvl>
    <w:lvl w:ilvl="6" w:tplc="3CA045B4" w:tentative="1">
      <w:start w:val="1"/>
      <w:numFmt w:val="decimal"/>
      <w:lvlText w:val="%7."/>
      <w:lvlJc w:val="left"/>
      <w:pPr>
        <w:tabs>
          <w:tab w:val="num" w:pos="5400"/>
        </w:tabs>
        <w:ind w:left="5400" w:hanging="360"/>
      </w:pPr>
    </w:lvl>
    <w:lvl w:ilvl="7" w:tplc="6E4E308A" w:tentative="1">
      <w:start w:val="1"/>
      <w:numFmt w:val="lowerLetter"/>
      <w:lvlText w:val="%8."/>
      <w:lvlJc w:val="left"/>
      <w:pPr>
        <w:tabs>
          <w:tab w:val="num" w:pos="6120"/>
        </w:tabs>
        <w:ind w:left="6120" w:hanging="360"/>
      </w:pPr>
    </w:lvl>
    <w:lvl w:ilvl="8" w:tplc="82FA57D2" w:tentative="1">
      <w:start w:val="1"/>
      <w:numFmt w:val="lowerRoman"/>
      <w:lvlText w:val="%9."/>
      <w:lvlJc w:val="right"/>
      <w:pPr>
        <w:tabs>
          <w:tab w:val="num" w:pos="6840"/>
        </w:tabs>
        <w:ind w:left="6840" w:hanging="180"/>
      </w:pPr>
    </w:lvl>
  </w:abstractNum>
  <w:abstractNum w:abstractNumId="22" w15:restartNumberingAfterBreak="0">
    <w:nsid w:val="6DE40FB8"/>
    <w:multiLevelType w:val="hybridMultilevel"/>
    <w:tmpl w:val="2758E93C"/>
    <w:lvl w:ilvl="0" w:tplc="2EE09ECC">
      <w:start w:val="1"/>
      <w:numFmt w:val="decimal"/>
      <w:lvlText w:val="%1)"/>
      <w:lvlJc w:val="left"/>
      <w:pPr>
        <w:ind w:left="1080" w:hanging="360"/>
      </w:pPr>
      <w:rPr>
        <w:rFonts w:hint="default"/>
      </w:rPr>
    </w:lvl>
    <w:lvl w:ilvl="1" w:tplc="919A444C" w:tentative="1">
      <w:start w:val="1"/>
      <w:numFmt w:val="lowerLetter"/>
      <w:lvlText w:val="%2."/>
      <w:lvlJc w:val="left"/>
      <w:pPr>
        <w:ind w:left="1800" w:hanging="360"/>
      </w:pPr>
    </w:lvl>
    <w:lvl w:ilvl="2" w:tplc="6B727B3C" w:tentative="1">
      <w:start w:val="1"/>
      <w:numFmt w:val="lowerRoman"/>
      <w:lvlText w:val="%3."/>
      <w:lvlJc w:val="right"/>
      <w:pPr>
        <w:ind w:left="2520" w:hanging="180"/>
      </w:pPr>
    </w:lvl>
    <w:lvl w:ilvl="3" w:tplc="32369230" w:tentative="1">
      <w:start w:val="1"/>
      <w:numFmt w:val="decimal"/>
      <w:lvlText w:val="%4."/>
      <w:lvlJc w:val="left"/>
      <w:pPr>
        <w:ind w:left="3240" w:hanging="360"/>
      </w:pPr>
    </w:lvl>
    <w:lvl w:ilvl="4" w:tplc="B1D23484" w:tentative="1">
      <w:start w:val="1"/>
      <w:numFmt w:val="lowerLetter"/>
      <w:lvlText w:val="%5."/>
      <w:lvlJc w:val="left"/>
      <w:pPr>
        <w:ind w:left="3960" w:hanging="360"/>
      </w:pPr>
    </w:lvl>
    <w:lvl w:ilvl="5" w:tplc="18C6DF62" w:tentative="1">
      <w:start w:val="1"/>
      <w:numFmt w:val="lowerRoman"/>
      <w:lvlText w:val="%6."/>
      <w:lvlJc w:val="right"/>
      <w:pPr>
        <w:ind w:left="4680" w:hanging="180"/>
      </w:pPr>
    </w:lvl>
    <w:lvl w:ilvl="6" w:tplc="734A40DA" w:tentative="1">
      <w:start w:val="1"/>
      <w:numFmt w:val="decimal"/>
      <w:lvlText w:val="%7."/>
      <w:lvlJc w:val="left"/>
      <w:pPr>
        <w:ind w:left="5400" w:hanging="360"/>
      </w:pPr>
    </w:lvl>
    <w:lvl w:ilvl="7" w:tplc="4B4E6106" w:tentative="1">
      <w:start w:val="1"/>
      <w:numFmt w:val="lowerLetter"/>
      <w:lvlText w:val="%8."/>
      <w:lvlJc w:val="left"/>
      <w:pPr>
        <w:ind w:left="6120" w:hanging="360"/>
      </w:pPr>
    </w:lvl>
    <w:lvl w:ilvl="8" w:tplc="908E3D2A" w:tentative="1">
      <w:start w:val="1"/>
      <w:numFmt w:val="lowerRoman"/>
      <w:lvlText w:val="%9."/>
      <w:lvlJc w:val="right"/>
      <w:pPr>
        <w:ind w:left="6840" w:hanging="180"/>
      </w:pPr>
    </w:lvl>
  </w:abstractNum>
  <w:abstractNum w:abstractNumId="23" w15:restartNumberingAfterBreak="0">
    <w:nsid w:val="7035615A"/>
    <w:multiLevelType w:val="hybridMultilevel"/>
    <w:tmpl w:val="2B84AE2E"/>
    <w:lvl w:ilvl="0" w:tplc="0336A680">
      <w:start w:val="1"/>
      <w:numFmt w:val="bullet"/>
      <w:lvlText w:val=""/>
      <w:lvlJc w:val="left"/>
      <w:pPr>
        <w:tabs>
          <w:tab w:val="num" w:pos="1560"/>
        </w:tabs>
        <w:ind w:left="1560" w:hanging="360"/>
      </w:pPr>
      <w:rPr>
        <w:rFonts w:ascii="Symbol" w:hAnsi="Symbol" w:hint="default"/>
      </w:rPr>
    </w:lvl>
    <w:lvl w:ilvl="1" w:tplc="F5EE6EEC" w:tentative="1">
      <w:start w:val="1"/>
      <w:numFmt w:val="bullet"/>
      <w:lvlText w:val="o"/>
      <w:lvlJc w:val="left"/>
      <w:pPr>
        <w:tabs>
          <w:tab w:val="num" w:pos="2280"/>
        </w:tabs>
        <w:ind w:left="2280" w:hanging="360"/>
      </w:pPr>
      <w:rPr>
        <w:rFonts w:ascii="Courier New" w:hAnsi="Courier New" w:cs="Microsoft Sans Serif" w:hint="default"/>
      </w:rPr>
    </w:lvl>
    <w:lvl w:ilvl="2" w:tplc="B7DC2906" w:tentative="1">
      <w:start w:val="1"/>
      <w:numFmt w:val="bullet"/>
      <w:lvlText w:val=""/>
      <w:lvlJc w:val="left"/>
      <w:pPr>
        <w:tabs>
          <w:tab w:val="num" w:pos="3000"/>
        </w:tabs>
        <w:ind w:left="3000" w:hanging="360"/>
      </w:pPr>
      <w:rPr>
        <w:rFonts w:ascii="Wingdings" w:hAnsi="Wingdings" w:hint="default"/>
      </w:rPr>
    </w:lvl>
    <w:lvl w:ilvl="3" w:tplc="32C2CC24" w:tentative="1">
      <w:start w:val="1"/>
      <w:numFmt w:val="bullet"/>
      <w:lvlText w:val=""/>
      <w:lvlJc w:val="left"/>
      <w:pPr>
        <w:tabs>
          <w:tab w:val="num" w:pos="3720"/>
        </w:tabs>
        <w:ind w:left="3720" w:hanging="360"/>
      </w:pPr>
      <w:rPr>
        <w:rFonts w:ascii="Symbol" w:hAnsi="Symbol" w:hint="default"/>
      </w:rPr>
    </w:lvl>
    <w:lvl w:ilvl="4" w:tplc="2042E552" w:tentative="1">
      <w:start w:val="1"/>
      <w:numFmt w:val="bullet"/>
      <w:lvlText w:val="o"/>
      <w:lvlJc w:val="left"/>
      <w:pPr>
        <w:tabs>
          <w:tab w:val="num" w:pos="4440"/>
        </w:tabs>
        <w:ind w:left="4440" w:hanging="360"/>
      </w:pPr>
      <w:rPr>
        <w:rFonts w:ascii="Courier New" w:hAnsi="Courier New" w:cs="Microsoft Sans Serif" w:hint="default"/>
      </w:rPr>
    </w:lvl>
    <w:lvl w:ilvl="5" w:tplc="110444C6" w:tentative="1">
      <w:start w:val="1"/>
      <w:numFmt w:val="bullet"/>
      <w:lvlText w:val=""/>
      <w:lvlJc w:val="left"/>
      <w:pPr>
        <w:tabs>
          <w:tab w:val="num" w:pos="5160"/>
        </w:tabs>
        <w:ind w:left="5160" w:hanging="360"/>
      </w:pPr>
      <w:rPr>
        <w:rFonts w:ascii="Wingdings" w:hAnsi="Wingdings" w:hint="default"/>
      </w:rPr>
    </w:lvl>
    <w:lvl w:ilvl="6" w:tplc="B046109A" w:tentative="1">
      <w:start w:val="1"/>
      <w:numFmt w:val="bullet"/>
      <w:lvlText w:val=""/>
      <w:lvlJc w:val="left"/>
      <w:pPr>
        <w:tabs>
          <w:tab w:val="num" w:pos="5880"/>
        </w:tabs>
        <w:ind w:left="5880" w:hanging="360"/>
      </w:pPr>
      <w:rPr>
        <w:rFonts w:ascii="Symbol" w:hAnsi="Symbol" w:hint="default"/>
      </w:rPr>
    </w:lvl>
    <w:lvl w:ilvl="7" w:tplc="4D229B4C" w:tentative="1">
      <w:start w:val="1"/>
      <w:numFmt w:val="bullet"/>
      <w:lvlText w:val="o"/>
      <w:lvlJc w:val="left"/>
      <w:pPr>
        <w:tabs>
          <w:tab w:val="num" w:pos="6600"/>
        </w:tabs>
        <w:ind w:left="6600" w:hanging="360"/>
      </w:pPr>
      <w:rPr>
        <w:rFonts w:ascii="Courier New" w:hAnsi="Courier New" w:cs="Microsoft Sans Serif" w:hint="default"/>
      </w:rPr>
    </w:lvl>
    <w:lvl w:ilvl="8" w:tplc="4DD8D6E8"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7A1307C2"/>
    <w:multiLevelType w:val="hybridMultilevel"/>
    <w:tmpl w:val="C0D2ADD4"/>
    <w:lvl w:ilvl="0" w:tplc="472A65D2">
      <w:start w:val="1"/>
      <w:numFmt w:val="bullet"/>
      <w:lvlText w:val=""/>
      <w:lvlJc w:val="left"/>
      <w:pPr>
        <w:tabs>
          <w:tab w:val="num" w:pos="1440"/>
        </w:tabs>
        <w:ind w:left="1440" w:hanging="360"/>
      </w:pPr>
      <w:rPr>
        <w:rFonts w:ascii="Symbol" w:hAnsi="Symbol" w:hint="default"/>
      </w:rPr>
    </w:lvl>
    <w:lvl w:ilvl="1" w:tplc="C1BA6CBE" w:tentative="1">
      <w:start w:val="1"/>
      <w:numFmt w:val="bullet"/>
      <w:lvlText w:val="o"/>
      <w:lvlJc w:val="left"/>
      <w:pPr>
        <w:tabs>
          <w:tab w:val="num" w:pos="2160"/>
        </w:tabs>
        <w:ind w:left="2160" w:hanging="360"/>
      </w:pPr>
      <w:rPr>
        <w:rFonts w:ascii="Courier New" w:hAnsi="Courier New" w:cs="Microsoft Sans Serif" w:hint="default"/>
      </w:rPr>
    </w:lvl>
    <w:lvl w:ilvl="2" w:tplc="2118DB34" w:tentative="1">
      <w:start w:val="1"/>
      <w:numFmt w:val="bullet"/>
      <w:lvlText w:val=""/>
      <w:lvlJc w:val="left"/>
      <w:pPr>
        <w:tabs>
          <w:tab w:val="num" w:pos="2880"/>
        </w:tabs>
        <w:ind w:left="2880" w:hanging="360"/>
      </w:pPr>
      <w:rPr>
        <w:rFonts w:ascii="Wingdings" w:hAnsi="Wingdings" w:hint="default"/>
      </w:rPr>
    </w:lvl>
    <w:lvl w:ilvl="3" w:tplc="F6DE5A4E" w:tentative="1">
      <w:start w:val="1"/>
      <w:numFmt w:val="bullet"/>
      <w:lvlText w:val=""/>
      <w:lvlJc w:val="left"/>
      <w:pPr>
        <w:tabs>
          <w:tab w:val="num" w:pos="3600"/>
        </w:tabs>
        <w:ind w:left="3600" w:hanging="360"/>
      </w:pPr>
      <w:rPr>
        <w:rFonts w:ascii="Symbol" w:hAnsi="Symbol" w:hint="default"/>
      </w:rPr>
    </w:lvl>
    <w:lvl w:ilvl="4" w:tplc="D538738A" w:tentative="1">
      <w:start w:val="1"/>
      <w:numFmt w:val="bullet"/>
      <w:lvlText w:val="o"/>
      <w:lvlJc w:val="left"/>
      <w:pPr>
        <w:tabs>
          <w:tab w:val="num" w:pos="4320"/>
        </w:tabs>
        <w:ind w:left="4320" w:hanging="360"/>
      </w:pPr>
      <w:rPr>
        <w:rFonts w:ascii="Courier New" w:hAnsi="Courier New" w:cs="Microsoft Sans Serif" w:hint="default"/>
      </w:rPr>
    </w:lvl>
    <w:lvl w:ilvl="5" w:tplc="DE749186" w:tentative="1">
      <w:start w:val="1"/>
      <w:numFmt w:val="bullet"/>
      <w:lvlText w:val=""/>
      <w:lvlJc w:val="left"/>
      <w:pPr>
        <w:tabs>
          <w:tab w:val="num" w:pos="5040"/>
        </w:tabs>
        <w:ind w:left="5040" w:hanging="360"/>
      </w:pPr>
      <w:rPr>
        <w:rFonts w:ascii="Wingdings" w:hAnsi="Wingdings" w:hint="default"/>
      </w:rPr>
    </w:lvl>
    <w:lvl w:ilvl="6" w:tplc="3A12184C" w:tentative="1">
      <w:start w:val="1"/>
      <w:numFmt w:val="bullet"/>
      <w:lvlText w:val=""/>
      <w:lvlJc w:val="left"/>
      <w:pPr>
        <w:tabs>
          <w:tab w:val="num" w:pos="5760"/>
        </w:tabs>
        <w:ind w:left="5760" w:hanging="360"/>
      </w:pPr>
      <w:rPr>
        <w:rFonts w:ascii="Symbol" w:hAnsi="Symbol" w:hint="default"/>
      </w:rPr>
    </w:lvl>
    <w:lvl w:ilvl="7" w:tplc="6E82044A" w:tentative="1">
      <w:start w:val="1"/>
      <w:numFmt w:val="bullet"/>
      <w:lvlText w:val="o"/>
      <w:lvlJc w:val="left"/>
      <w:pPr>
        <w:tabs>
          <w:tab w:val="num" w:pos="6480"/>
        </w:tabs>
        <w:ind w:left="6480" w:hanging="360"/>
      </w:pPr>
      <w:rPr>
        <w:rFonts w:ascii="Courier New" w:hAnsi="Courier New" w:cs="Microsoft Sans Serif" w:hint="default"/>
      </w:rPr>
    </w:lvl>
    <w:lvl w:ilvl="8" w:tplc="FABCACD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A90344E"/>
    <w:multiLevelType w:val="hybridMultilevel"/>
    <w:tmpl w:val="6C5ED91C"/>
    <w:lvl w:ilvl="0" w:tplc="D0E0CBB2">
      <w:start w:val="1"/>
      <w:numFmt w:val="decimal"/>
      <w:lvlText w:val="%1."/>
      <w:lvlJc w:val="left"/>
      <w:pPr>
        <w:ind w:left="1800" w:hanging="360"/>
      </w:pPr>
      <w:rPr>
        <w:rFonts w:hint="default"/>
      </w:rPr>
    </w:lvl>
    <w:lvl w:ilvl="1" w:tplc="1C10D7AA" w:tentative="1">
      <w:start w:val="1"/>
      <w:numFmt w:val="lowerLetter"/>
      <w:lvlText w:val="%2."/>
      <w:lvlJc w:val="left"/>
      <w:pPr>
        <w:ind w:left="2520" w:hanging="360"/>
      </w:pPr>
    </w:lvl>
    <w:lvl w:ilvl="2" w:tplc="367A4954" w:tentative="1">
      <w:start w:val="1"/>
      <w:numFmt w:val="lowerRoman"/>
      <w:lvlText w:val="%3."/>
      <w:lvlJc w:val="right"/>
      <w:pPr>
        <w:ind w:left="3240" w:hanging="180"/>
      </w:pPr>
    </w:lvl>
    <w:lvl w:ilvl="3" w:tplc="82EC1938" w:tentative="1">
      <w:start w:val="1"/>
      <w:numFmt w:val="decimal"/>
      <w:lvlText w:val="%4."/>
      <w:lvlJc w:val="left"/>
      <w:pPr>
        <w:ind w:left="3960" w:hanging="360"/>
      </w:pPr>
    </w:lvl>
    <w:lvl w:ilvl="4" w:tplc="C55AA304" w:tentative="1">
      <w:start w:val="1"/>
      <w:numFmt w:val="lowerLetter"/>
      <w:lvlText w:val="%5."/>
      <w:lvlJc w:val="left"/>
      <w:pPr>
        <w:ind w:left="4680" w:hanging="360"/>
      </w:pPr>
    </w:lvl>
    <w:lvl w:ilvl="5" w:tplc="38CC70E4" w:tentative="1">
      <w:start w:val="1"/>
      <w:numFmt w:val="lowerRoman"/>
      <w:lvlText w:val="%6."/>
      <w:lvlJc w:val="right"/>
      <w:pPr>
        <w:ind w:left="5400" w:hanging="180"/>
      </w:pPr>
    </w:lvl>
    <w:lvl w:ilvl="6" w:tplc="3AE4C4A6" w:tentative="1">
      <w:start w:val="1"/>
      <w:numFmt w:val="decimal"/>
      <w:lvlText w:val="%7."/>
      <w:lvlJc w:val="left"/>
      <w:pPr>
        <w:ind w:left="6120" w:hanging="360"/>
      </w:pPr>
    </w:lvl>
    <w:lvl w:ilvl="7" w:tplc="89FAAD20" w:tentative="1">
      <w:start w:val="1"/>
      <w:numFmt w:val="lowerLetter"/>
      <w:lvlText w:val="%8."/>
      <w:lvlJc w:val="left"/>
      <w:pPr>
        <w:ind w:left="6840" w:hanging="360"/>
      </w:pPr>
    </w:lvl>
    <w:lvl w:ilvl="8" w:tplc="2612E2C8" w:tentative="1">
      <w:start w:val="1"/>
      <w:numFmt w:val="lowerRoman"/>
      <w:lvlText w:val="%9."/>
      <w:lvlJc w:val="right"/>
      <w:pPr>
        <w:ind w:left="7560" w:hanging="180"/>
      </w:pPr>
    </w:lvl>
  </w:abstractNum>
  <w:abstractNum w:abstractNumId="26" w15:restartNumberingAfterBreak="0">
    <w:nsid w:val="7D394F2C"/>
    <w:multiLevelType w:val="hybridMultilevel"/>
    <w:tmpl w:val="7B82BC94"/>
    <w:lvl w:ilvl="0" w:tplc="C53E9778">
      <w:start w:val="3"/>
      <w:numFmt w:val="upperRoman"/>
      <w:lvlText w:val="%1."/>
      <w:lvlJc w:val="left"/>
      <w:pPr>
        <w:tabs>
          <w:tab w:val="num" w:pos="1080"/>
        </w:tabs>
        <w:ind w:left="1080" w:hanging="720"/>
      </w:pPr>
      <w:rPr>
        <w:rFonts w:hint="default"/>
      </w:rPr>
    </w:lvl>
    <w:lvl w:ilvl="1" w:tplc="479C77B2">
      <w:start w:val="1"/>
      <w:numFmt w:val="bullet"/>
      <w:lvlText w:val=""/>
      <w:lvlJc w:val="left"/>
      <w:pPr>
        <w:tabs>
          <w:tab w:val="num" w:pos="1440"/>
        </w:tabs>
        <w:ind w:left="1440" w:hanging="360"/>
      </w:pPr>
      <w:rPr>
        <w:rFonts w:ascii="Symbol" w:hAnsi="Symbol" w:hint="default"/>
      </w:rPr>
    </w:lvl>
    <w:lvl w:ilvl="2" w:tplc="5860C2F4" w:tentative="1">
      <w:start w:val="1"/>
      <w:numFmt w:val="lowerRoman"/>
      <w:lvlText w:val="%3."/>
      <w:lvlJc w:val="right"/>
      <w:pPr>
        <w:tabs>
          <w:tab w:val="num" w:pos="2160"/>
        </w:tabs>
        <w:ind w:left="2160" w:hanging="180"/>
      </w:pPr>
    </w:lvl>
    <w:lvl w:ilvl="3" w:tplc="9C8A0B6C" w:tentative="1">
      <w:start w:val="1"/>
      <w:numFmt w:val="decimal"/>
      <w:lvlText w:val="%4."/>
      <w:lvlJc w:val="left"/>
      <w:pPr>
        <w:tabs>
          <w:tab w:val="num" w:pos="2880"/>
        </w:tabs>
        <w:ind w:left="2880" w:hanging="360"/>
      </w:pPr>
    </w:lvl>
    <w:lvl w:ilvl="4" w:tplc="792E41A8" w:tentative="1">
      <w:start w:val="1"/>
      <w:numFmt w:val="lowerLetter"/>
      <w:lvlText w:val="%5."/>
      <w:lvlJc w:val="left"/>
      <w:pPr>
        <w:tabs>
          <w:tab w:val="num" w:pos="3600"/>
        </w:tabs>
        <w:ind w:left="3600" w:hanging="360"/>
      </w:pPr>
    </w:lvl>
    <w:lvl w:ilvl="5" w:tplc="59347D0A" w:tentative="1">
      <w:start w:val="1"/>
      <w:numFmt w:val="lowerRoman"/>
      <w:lvlText w:val="%6."/>
      <w:lvlJc w:val="right"/>
      <w:pPr>
        <w:tabs>
          <w:tab w:val="num" w:pos="4320"/>
        </w:tabs>
        <w:ind w:left="4320" w:hanging="180"/>
      </w:pPr>
    </w:lvl>
    <w:lvl w:ilvl="6" w:tplc="6E46E6D2" w:tentative="1">
      <w:start w:val="1"/>
      <w:numFmt w:val="decimal"/>
      <w:lvlText w:val="%7."/>
      <w:lvlJc w:val="left"/>
      <w:pPr>
        <w:tabs>
          <w:tab w:val="num" w:pos="5040"/>
        </w:tabs>
        <w:ind w:left="5040" w:hanging="360"/>
      </w:pPr>
    </w:lvl>
    <w:lvl w:ilvl="7" w:tplc="892A7C40" w:tentative="1">
      <w:start w:val="1"/>
      <w:numFmt w:val="lowerLetter"/>
      <w:lvlText w:val="%8."/>
      <w:lvlJc w:val="left"/>
      <w:pPr>
        <w:tabs>
          <w:tab w:val="num" w:pos="5760"/>
        </w:tabs>
        <w:ind w:left="5760" w:hanging="360"/>
      </w:pPr>
    </w:lvl>
    <w:lvl w:ilvl="8" w:tplc="1FE4F91A" w:tentative="1">
      <w:start w:val="1"/>
      <w:numFmt w:val="lowerRoman"/>
      <w:lvlText w:val="%9."/>
      <w:lvlJc w:val="right"/>
      <w:pPr>
        <w:tabs>
          <w:tab w:val="num" w:pos="6480"/>
        </w:tabs>
        <w:ind w:left="6480" w:hanging="180"/>
      </w:pPr>
    </w:lvl>
  </w:abstractNum>
  <w:num w:numId="1" w16cid:durableId="602807751">
    <w:abstractNumId w:val="11"/>
  </w:num>
  <w:num w:numId="2" w16cid:durableId="832061190">
    <w:abstractNumId w:val="16"/>
  </w:num>
  <w:num w:numId="3" w16cid:durableId="1954512137">
    <w:abstractNumId w:val="6"/>
  </w:num>
  <w:num w:numId="4" w16cid:durableId="1848671207">
    <w:abstractNumId w:val="1"/>
  </w:num>
  <w:num w:numId="5" w16cid:durableId="548498317">
    <w:abstractNumId w:val="15"/>
  </w:num>
  <w:num w:numId="6" w16cid:durableId="420179510">
    <w:abstractNumId w:val="14"/>
  </w:num>
  <w:num w:numId="7" w16cid:durableId="1588923899">
    <w:abstractNumId w:val="2"/>
  </w:num>
  <w:num w:numId="8" w16cid:durableId="438457156">
    <w:abstractNumId w:val="7"/>
  </w:num>
  <w:num w:numId="9" w16cid:durableId="1147628455">
    <w:abstractNumId w:val="5"/>
  </w:num>
  <w:num w:numId="10" w16cid:durableId="523712336">
    <w:abstractNumId w:val="21"/>
  </w:num>
  <w:num w:numId="11" w16cid:durableId="755325934">
    <w:abstractNumId w:val="0"/>
  </w:num>
  <w:num w:numId="12" w16cid:durableId="1033967059">
    <w:abstractNumId w:val="19"/>
  </w:num>
  <w:num w:numId="13" w16cid:durableId="554051280">
    <w:abstractNumId w:val="26"/>
  </w:num>
  <w:num w:numId="14" w16cid:durableId="790319792">
    <w:abstractNumId w:val="12"/>
  </w:num>
  <w:num w:numId="15" w16cid:durableId="1489634410">
    <w:abstractNumId w:val="23"/>
  </w:num>
  <w:num w:numId="16" w16cid:durableId="243494011">
    <w:abstractNumId w:val="24"/>
  </w:num>
  <w:num w:numId="17" w16cid:durableId="713426596">
    <w:abstractNumId w:val="10"/>
  </w:num>
  <w:num w:numId="18" w16cid:durableId="1130319880">
    <w:abstractNumId w:val="13"/>
  </w:num>
  <w:num w:numId="19" w16cid:durableId="520968941">
    <w:abstractNumId w:val="20"/>
  </w:num>
  <w:num w:numId="20" w16cid:durableId="299923298">
    <w:abstractNumId w:val="4"/>
  </w:num>
  <w:num w:numId="21" w16cid:durableId="1300843442">
    <w:abstractNumId w:val="3"/>
  </w:num>
  <w:num w:numId="22" w16cid:durableId="1565679977">
    <w:abstractNumId w:val="8"/>
  </w:num>
  <w:num w:numId="23" w16cid:durableId="1604071780">
    <w:abstractNumId w:val="9"/>
  </w:num>
  <w:num w:numId="24" w16cid:durableId="277488613">
    <w:abstractNumId w:val="17"/>
  </w:num>
  <w:num w:numId="25" w16cid:durableId="1001273822">
    <w:abstractNumId w:val="22"/>
  </w:num>
  <w:num w:numId="26" w16cid:durableId="918371768">
    <w:abstractNumId w:val="18"/>
  </w:num>
  <w:num w:numId="27" w16cid:durableId="1034500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22A4B"/>
    <w:rsid w:val="0002340B"/>
    <w:rsid w:val="0002717F"/>
    <w:rsid w:val="000277A9"/>
    <w:rsid w:val="000330D3"/>
    <w:rsid w:val="00034C9F"/>
    <w:rsid w:val="000439FA"/>
    <w:rsid w:val="000457B7"/>
    <w:rsid w:val="0005101E"/>
    <w:rsid w:val="000510F0"/>
    <w:rsid w:val="000511D6"/>
    <w:rsid w:val="00054998"/>
    <w:rsid w:val="00067A34"/>
    <w:rsid w:val="000837CE"/>
    <w:rsid w:val="00087A0A"/>
    <w:rsid w:val="00090C9A"/>
    <w:rsid w:val="000916E1"/>
    <w:rsid w:val="00094959"/>
    <w:rsid w:val="000963F5"/>
    <w:rsid w:val="000976C2"/>
    <w:rsid w:val="000A1059"/>
    <w:rsid w:val="000A35C6"/>
    <w:rsid w:val="000B0D10"/>
    <w:rsid w:val="000B5470"/>
    <w:rsid w:val="000C201D"/>
    <w:rsid w:val="000C20F7"/>
    <w:rsid w:val="000C34A8"/>
    <w:rsid w:val="000C4282"/>
    <w:rsid w:val="000D148C"/>
    <w:rsid w:val="000D15A6"/>
    <w:rsid w:val="000D1CEB"/>
    <w:rsid w:val="000D234F"/>
    <w:rsid w:val="000D587F"/>
    <w:rsid w:val="000E0D5C"/>
    <w:rsid w:val="000E37B1"/>
    <w:rsid w:val="000E576D"/>
    <w:rsid w:val="000F0BE9"/>
    <w:rsid w:val="000F4273"/>
    <w:rsid w:val="001075A8"/>
    <w:rsid w:val="001107BE"/>
    <w:rsid w:val="0011134C"/>
    <w:rsid w:val="00112E29"/>
    <w:rsid w:val="00114B63"/>
    <w:rsid w:val="00124773"/>
    <w:rsid w:val="001269FC"/>
    <w:rsid w:val="00132599"/>
    <w:rsid w:val="00133319"/>
    <w:rsid w:val="00136CD8"/>
    <w:rsid w:val="00136E3A"/>
    <w:rsid w:val="00146561"/>
    <w:rsid w:val="00151D3D"/>
    <w:rsid w:val="0015655A"/>
    <w:rsid w:val="00156DA4"/>
    <w:rsid w:val="00165484"/>
    <w:rsid w:val="0016730B"/>
    <w:rsid w:val="00180197"/>
    <w:rsid w:val="001804C3"/>
    <w:rsid w:val="00194841"/>
    <w:rsid w:val="0019554F"/>
    <w:rsid w:val="001A1607"/>
    <w:rsid w:val="001B4F98"/>
    <w:rsid w:val="001B7182"/>
    <w:rsid w:val="001C0912"/>
    <w:rsid w:val="001C7615"/>
    <w:rsid w:val="001D36B3"/>
    <w:rsid w:val="001D3EAA"/>
    <w:rsid w:val="001D645A"/>
    <w:rsid w:val="001D6BA8"/>
    <w:rsid w:val="001E637A"/>
    <w:rsid w:val="001F14B5"/>
    <w:rsid w:val="001F46B8"/>
    <w:rsid w:val="001F47AC"/>
    <w:rsid w:val="001F5C86"/>
    <w:rsid w:val="00216979"/>
    <w:rsid w:val="00236255"/>
    <w:rsid w:val="00237B18"/>
    <w:rsid w:val="00240F08"/>
    <w:rsid w:val="002423F2"/>
    <w:rsid w:val="00242417"/>
    <w:rsid w:val="0024284C"/>
    <w:rsid w:val="00251300"/>
    <w:rsid w:val="00255A79"/>
    <w:rsid w:val="0027171F"/>
    <w:rsid w:val="00273CEA"/>
    <w:rsid w:val="00282DD0"/>
    <w:rsid w:val="0028384C"/>
    <w:rsid w:val="00284C77"/>
    <w:rsid w:val="00292131"/>
    <w:rsid w:val="002928FA"/>
    <w:rsid w:val="00292B26"/>
    <w:rsid w:val="0029473A"/>
    <w:rsid w:val="00295427"/>
    <w:rsid w:val="00296419"/>
    <w:rsid w:val="002C20F3"/>
    <w:rsid w:val="002C48DC"/>
    <w:rsid w:val="002C5312"/>
    <w:rsid w:val="002C7D60"/>
    <w:rsid w:val="002D1902"/>
    <w:rsid w:val="002D29C3"/>
    <w:rsid w:val="002D3482"/>
    <w:rsid w:val="002E21B0"/>
    <w:rsid w:val="002E446C"/>
    <w:rsid w:val="002E4AC5"/>
    <w:rsid w:val="002E5C8F"/>
    <w:rsid w:val="002E61B7"/>
    <w:rsid w:val="002F2F59"/>
    <w:rsid w:val="003026A8"/>
    <w:rsid w:val="00311285"/>
    <w:rsid w:val="003150C8"/>
    <w:rsid w:val="00315283"/>
    <w:rsid w:val="00315C60"/>
    <w:rsid w:val="00317BF1"/>
    <w:rsid w:val="00320F5D"/>
    <w:rsid w:val="003258C2"/>
    <w:rsid w:val="003418A8"/>
    <w:rsid w:val="00343FD2"/>
    <w:rsid w:val="003558EF"/>
    <w:rsid w:val="0036236F"/>
    <w:rsid w:val="003677F3"/>
    <w:rsid w:val="00372776"/>
    <w:rsid w:val="0037614B"/>
    <w:rsid w:val="003801D3"/>
    <w:rsid w:val="003803CE"/>
    <w:rsid w:val="00380BE8"/>
    <w:rsid w:val="0038311C"/>
    <w:rsid w:val="00383619"/>
    <w:rsid w:val="00387C2C"/>
    <w:rsid w:val="00392196"/>
    <w:rsid w:val="003943B4"/>
    <w:rsid w:val="00397C34"/>
    <w:rsid w:val="003A2BCE"/>
    <w:rsid w:val="003A5B9B"/>
    <w:rsid w:val="003B0A35"/>
    <w:rsid w:val="003B2653"/>
    <w:rsid w:val="003B2790"/>
    <w:rsid w:val="003B3BA0"/>
    <w:rsid w:val="003B4BF0"/>
    <w:rsid w:val="003B5A65"/>
    <w:rsid w:val="003C1DCE"/>
    <w:rsid w:val="003D1A04"/>
    <w:rsid w:val="003D23A5"/>
    <w:rsid w:val="003D4F9A"/>
    <w:rsid w:val="003D76EF"/>
    <w:rsid w:val="003D7A0C"/>
    <w:rsid w:val="003E0B03"/>
    <w:rsid w:val="003E41D6"/>
    <w:rsid w:val="003E6509"/>
    <w:rsid w:val="003E6D05"/>
    <w:rsid w:val="003F52E7"/>
    <w:rsid w:val="003F5A34"/>
    <w:rsid w:val="003F6E1A"/>
    <w:rsid w:val="004015F8"/>
    <w:rsid w:val="00401F62"/>
    <w:rsid w:val="00402986"/>
    <w:rsid w:val="00411D7A"/>
    <w:rsid w:val="0041544A"/>
    <w:rsid w:val="00415A83"/>
    <w:rsid w:val="004306B9"/>
    <w:rsid w:val="00437A5C"/>
    <w:rsid w:val="004417B3"/>
    <w:rsid w:val="00443F67"/>
    <w:rsid w:val="00454E97"/>
    <w:rsid w:val="004569A0"/>
    <w:rsid w:val="0046268B"/>
    <w:rsid w:val="00464D38"/>
    <w:rsid w:val="00465278"/>
    <w:rsid w:val="00470E5F"/>
    <w:rsid w:val="0047251D"/>
    <w:rsid w:val="00484FB4"/>
    <w:rsid w:val="00492D19"/>
    <w:rsid w:val="00493B5B"/>
    <w:rsid w:val="00493BA4"/>
    <w:rsid w:val="0049680F"/>
    <w:rsid w:val="00496E1F"/>
    <w:rsid w:val="00497B9F"/>
    <w:rsid w:val="004A330E"/>
    <w:rsid w:val="004A3C94"/>
    <w:rsid w:val="004A7AF2"/>
    <w:rsid w:val="004B7158"/>
    <w:rsid w:val="004C5420"/>
    <w:rsid w:val="004C5A66"/>
    <w:rsid w:val="004C74BD"/>
    <w:rsid w:val="004D0EEC"/>
    <w:rsid w:val="004D14D4"/>
    <w:rsid w:val="004D2087"/>
    <w:rsid w:val="004E40A2"/>
    <w:rsid w:val="004E78F9"/>
    <w:rsid w:val="004F20DA"/>
    <w:rsid w:val="004F2E70"/>
    <w:rsid w:val="004F76F9"/>
    <w:rsid w:val="00502946"/>
    <w:rsid w:val="00502B03"/>
    <w:rsid w:val="00504B6D"/>
    <w:rsid w:val="00504C2E"/>
    <w:rsid w:val="005075C1"/>
    <w:rsid w:val="00514E2C"/>
    <w:rsid w:val="0051573A"/>
    <w:rsid w:val="005234CD"/>
    <w:rsid w:val="00526491"/>
    <w:rsid w:val="00526A48"/>
    <w:rsid w:val="00527999"/>
    <w:rsid w:val="00534756"/>
    <w:rsid w:val="00541533"/>
    <w:rsid w:val="00546956"/>
    <w:rsid w:val="0055143F"/>
    <w:rsid w:val="00555315"/>
    <w:rsid w:val="00557F89"/>
    <w:rsid w:val="00561894"/>
    <w:rsid w:val="00563CF8"/>
    <w:rsid w:val="00573DE6"/>
    <w:rsid w:val="005762ED"/>
    <w:rsid w:val="00576439"/>
    <w:rsid w:val="00580E1B"/>
    <w:rsid w:val="00591383"/>
    <w:rsid w:val="00594009"/>
    <w:rsid w:val="0059543B"/>
    <w:rsid w:val="005959CA"/>
    <w:rsid w:val="005A6D15"/>
    <w:rsid w:val="005B209C"/>
    <w:rsid w:val="005B2C2F"/>
    <w:rsid w:val="005B4B0A"/>
    <w:rsid w:val="005C33FF"/>
    <w:rsid w:val="005E4AA8"/>
    <w:rsid w:val="005F1D3B"/>
    <w:rsid w:val="005F7781"/>
    <w:rsid w:val="00600468"/>
    <w:rsid w:val="00600C8E"/>
    <w:rsid w:val="00601A67"/>
    <w:rsid w:val="00604F8E"/>
    <w:rsid w:val="00613C0A"/>
    <w:rsid w:val="00620C86"/>
    <w:rsid w:val="00624184"/>
    <w:rsid w:val="0063027F"/>
    <w:rsid w:val="00631CC7"/>
    <w:rsid w:val="00633A6B"/>
    <w:rsid w:val="00634750"/>
    <w:rsid w:val="00637ED7"/>
    <w:rsid w:val="00640DF7"/>
    <w:rsid w:val="00641BAF"/>
    <w:rsid w:val="0064211D"/>
    <w:rsid w:val="00643DA2"/>
    <w:rsid w:val="00644835"/>
    <w:rsid w:val="00650CFA"/>
    <w:rsid w:val="0065217E"/>
    <w:rsid w:val="00652CC3"/>
    <w:rsid w:val="0065520F"/>
    <w:rsid w:val="00660174"/>
    <w:rsid w:val="0066433D"/>
    <w:rsid w:val="00665EE2"/>
    <w:rsid w:val="00673F54"/>
    <w:rsid w:val="006755BB"/>
    <w:rsid w:val="006770ED"/>
    <w:rsid w:val="00692036"/>
    <w:rsid w:val="0069241E"/>
    <w:rsid w:val="00697F3E"/>
    <w:rsid w:val="006B1C1F"/>
    <w:rsid w:val="006B3D4D"/>
    <w:rsid w:val="006B4A4A"/>
    <w:rsid w:val="006B4B14"/>
    <w:rsid w:val="006B5CA4"/>
    <w:rsid w:val="006C26D9"/>
    <w:rsid w:val="006C522E"/>
    <w:rsid w:val="006C5A50"/>
    <w:rsid w:val="006D2F15"/>
    <w:rsid w:val="006D6DBB"/>
    <w:rsid w:val="006E1293"/>
    <w:rsid w:val="006E33DE"/>
    <w:rsid w:val="006E3A5C"/>
    <w:rsid w:val="006E6967"/>
    <w:rsid w:val="006E7561"/>
    <w:rsid w:val="006F6268"/>
    <w:rsid w:val="0070147D"/>
    <w:rsid w:val="00705DD2"/>
    <w:rsid w:val="00711444"/>
    <w:rsid w:val="00711AEA"/>
    <w:rsid w:val="00714F95"/>
    <w:rsid w:val="00716FA7"/>
    <w:rsid w:val="00717A46"/>
    <w:rsid w:val="0072721B"/>
    <w:rsid w:val="00732101"/>
    <w:rsid w:val="00737012"/>
    <w:rsid w:val="00746702"/>
    <w:rsid w:val="00751552"/>
    <w:rsid w:val="00764DB5"/>
    <w:rsid w:val="0076652C"/>
    <w:rsid w:val="00767523"/>
    <w:rsid w:val="007807B8"/>
    <w:rsid w:val="00783CE2"/>
    <w:rsid w:val="00784859"/>
    <w:rsid w:val="00784D8A"/>
    <w:rsid w:val="0078718F"/>
    <w:rsid w:val="007924DD"/>
    <w:rsid w:val="00792FAB"/>
    <w:rsid w:val="007B6430"/>
    <w:rsid w:val="007C5DF4"/>
    <w:rsid w:val="007D076D"/>
    <w:rsid w:val="007D219C"/>
    <w:rsid w:val="007E000E"/>
    <w:rsid w:val="007E0B3F"/>
    <w:rsid w:val="007E1D7C"/>
    <w:rsid w:val="007E7AB8"/>
    <w:rsid w:val="007F18AC"/>
    <w:rsid w:val="007F324D"/>
    <w:rsid w:val="007F7FAA"/>
    <w:rsid w:val="00801B53"/>
    <w:rsid w:val="00806351"/>
    <w:rsid w:val="00806B12"/>
    <w:rsid w:val="00813A2A"/>
    <w:rsid w:val="00830862"/>
    <w:rsid w:val="008318BD"/>
    <w:rsid w:val="0083578A"/>
    <w:rsid w:val="00837736"/>
    <w:rsid w:val="00837FCB"/>
    <w:rsid w:val="0084217B"/>
    <w:rsid w:val="00843D9A"/>
    <w:rsid w:val="00845A5D"/>
    <w:rsid w:val="008471F8"/>
    <w:rsid w:val="00852654"/>
    <w:rsid w:val="00857EE9"/>
    <w:rsid w:val="00865A5D"/>
    <w:rsid w:val="00865E16"/>
    <w:rsid w:val="008663A9"/>
    <w:rsid w:val="008668D5"/>
    <w:rsid w:val="00883C27"/>
    <w:rsid w:val="00891076"/>
    <w:rsid w:val="008915C3"/>
    <w:rsid w:val="00891DF4"/>
    <w:rsid w:val="008936C2"/>
    <w:rsid w:val="00893A84"/>
    <w:rsid w:val="008A1894"/>
    <w:rsid w:val="008A7BF2"/>
    <w:rsid w:val="008B0351"/>
    <w:rsid w:val="008B08EA"/>
    <w:rsid w:val="008B0AFF"/>
    <w:rsid w:val="008B1879"/>
    <w:rsid w:val="008B1FAA"/>
    <w:rsid w:val="008B5155"/>
    <w:rsid w:val="008B571A"/>
    <w:rsid w:val="008B5EEF"/>
    <w:rsid w:val="008C3DAE"/>
    <w:rsid w:val="008C681A"/>
    <w:rsid w:val="008D33C8"/>
    <w:rsid w:val="008D51EB"/>
    <w:rsid w:val="008E5CF6"/>
    <w:rsid w:val="008E6262"/>
    <w:rsid w:val="008F2320"/>
    <w:rsid w:val="008F2C24"/>
    <w:rsid w:val="008F5F3E"/>
    <w:rsid w:val="00901FC0"/>
    <w:rsid w:val="00903D28"/>
    <w:rsid w:val="00910860"/>
    <w:rsid w:val="00911453"/>
    <w:rsid w:val="009119FC"/>
    <w:rsid w:val="00914B25"/>
    <w:rsid w:val="00925488"/>
    <w:rsid w:val="00931325"/>
    <w:rsid w:val="00933D87"/>
    <w:rsid w:val="00934A3F"/>
    <w:rsid w:val="00936A26"/>
    <w:rsid w:val="0094049A"/>
    <w:rsid w:val="0094355D"/>
    <w:rsid w:val="00943AF2"/>
    <w:rsid w:val="00945421"/>
    <w:rsid w:val="009533F8"/>
    <w:rsid w:val="00955E5E"/>
    <w:rsid w:val="00956600"/>
    <w:rsid w:val="00961D96"/>
    <w:rsid w:val="00964E1D"/>
    <w:rsid w:val="00971D8D"/>
    <w:rsid w:val="00982990"/>
    <w:rsid w:val="00982CEF"/>
    <w:rsid w:val="00983F12"/>
    <w:rsid w:val="00984355"/>
    <w:rsid w:val="00984B51"/>
    <w:rsid w:val="0099127C"/>
    <w:rsid w:val="009916EB"/>
    <w:rsid w:val="00991C3B"/>
    <w:rsid w:val="00992355"/>
    <w:rsid w:val="009949D8"/>
    <w:rsid w:val="009A3AE3"/>
    <w:rsid w:val="009A44B9"/>
    <w:rsid w:val="009A775D"/>
    <w:rsid w:val="009B246C"/>
    <w:rsid w:val="009C3DA4"/>
    <w:rsid w:val="009C40B1"/>
    <w:rsid w:val="009C5EAC"/>
    <w:rsid w:val="009C6E4E"/>
    <w:rsid w:val="009C7E76"/>
    <w:rsid w:val="009D31FF"/>
    <w:rsid w:val="009D468C"/>
    <w:rsid w:val="009E1BA3"/>
    <w:rsid w:val="009E339E"/>
    <w:rsid w:val="009E625E"/>
    <w:rsid w:val="009E706C"/>
    <w:rsid w:val="009F144B"/>
    <w:rsid w:val="009F553E"/>
    <w:rsid w:val="00A0539E"/>
    <w:rsid w:val="00A0729B"/>
    <w:rsid w:val="00A12ADC"/>
    <w:rsid w:val="00A12B35"/>
    <w:rsid w:val="00A13D5B"/>
    <w:rsid w:val="00A14281"/>
    <w:rsid w:val="00A2658C"/>
    <w:rsid w:val="00A333B1"/>
    <w:rsid w:val="00A345AD"/>
    <w:rsid w:val="00A367E7"/>
    <w:rsid w:val="00A410DE"/>
    <w:rsid w:val="00A46DBC"/>
    <w:rsid w:val="00A501F7"/>
    <w:rsid w:val="00A51347"/>
    <w:rsid w:val="00A5231A"/>
    <w:rsid w:val="00A5271A"/>
    <w:rsid w:val="00A555B5"/>
    <w:rsid w:val="00A5637F"/>
    <w:rsid w:val="00A62965"/>
    <w:rsid w:val="00A6630F"/>
    <w:rsid w:val="00A71D9C"/>
    <w:rsid w:val="00A72885"/>
    <w:rsid w:val="00A72984"/>
    <w:rsid w:val="00A858A6"/>
    <w:rsid w:val="00A92D24"/>
    <w:rsid w:val="00AA1778"/>
    <w:rsid w:val="00AA3729"/>
    <w:rsid w:val="00AA3CA3"/>
    <w:rsid w:val="00AA7682"/>
    <w:rsid w:val="00AB376E"/>
    <w:rsid w:val="00AB5851"/>
    <w:rsid w:val="00AB76EC"/>
    <w:rsid w:val="00AC05F4"/>
    <w:rsid w:val="00AC29E2"/>
    <w:rsid w:val="00AD08AD"/>
    <w:rsid w:val="00AE0747"/>
    <w:rsid w:val="00AE2BF5"/>
    <w:rsid w:val="00AE32AB"/>
    <w:rsid w:val="00AE575F"/>
    <w:rsid w:val="00AF0372"/>
    <w:rsid w:val="00AF1AAA"/>
    <w:rsid w:val="00AF7821"/>
    <w:rsid w:val="00AF7881"/>
    <w:rsid w:val="00B00F18"/>
    <w:rsid w:val="00B02598"/>
    <w:rsid w:val="00B02692"/>
    <w:rsid w:val="00B1108C"/>
    <w:rsid w:val="00B126DE"/>
    <w:rsid w:val="00B12919"/>
    <w:rsid w:val="00B15F56"/>
    <w:rsid w:val="00B178E3"/>
    <w:rsid w:val="00B25418"/>
    <w:rsid w:val="00B345A4"/>
    <w:rsid w:val="00B41BAE"/>
    <w:rsid w:val="00B422EA"/>
    <w:rsid w:val="00B446B3"/>
    <w:rsid w:val="00B5044A"/>
    <w:rsid w:val="00B560F2"/>
    <w:rsid w:val="00B56727"/>
    <w:rsid w:val="00B56EF6"/>
    <w:rsid w:val="00B64BA9"/>
    <w:rsid w:val="00B7380A"/>
    <w:rsid w:val="00B742C1"/>
    <w:rsid w:val="00B75F55"/>
    <w:rsid w:val="00B7732F"/>
    <w:rsid w:val="00B773D6"/>
    <w:rsid w:val="00B77B93"/>
    <w:rsid w:val="00B81E9D"/>
    <w:rsid w:val="00B845D4"/>
    <w:rsid w:val="00B863EF"/>
    <w:rsid w:val="00B904B1"/>
    <w:rsid w:val="00B9127F"/>
    <w:rsid w:val="00B96A88"/>
    <w:rsid w:val="00BA5213"/>
    <w:rsid w:val="00BB208D"/>
    <w:rsid w:val="00BB2454"/>
    <w:rsid w:val="00BB4C86"/>
    <w:rsid w:val="00BB77DD"/>
    <w:rsid w:val="00BC08B2"/>
    <w:rsid w:val="00BC0B1E"/>
    <w:rsid w:val="00BC7237"/>
    <w:rsid w:val="00BC7A39"/>
    <w:rsid w:val="00BD41FA"/>
    <w:rsid w:val="00BD44FE"/>
    <w:rsid w:val="00BD6C32"/>
    <w:rsid w:val="00BE209C"/>
    <w:rsid w:val="00BE579A"/>
    <w:rsid w:val="00BF0449"/>
    <w:rsid w:val="00BF1719"/>
    <w:rsid w:val="00BF3D44"/>
    <w:rsid w:val="00BF48C9"/>
    <w:rsid w:val="00BF6156"/>
    <w:rsid w:val="00C12555"/>
    <w:rsid w:val="00C14D59"/>
    <w:rsid w:val="00C24520"/>
    <w:rsid w:val="00C3168F"/>
    <w:rsid w:val="00C3282B"/>
    <w:rsid w:val="00C35B89"/>
    <w:rsid w:val="00C3612B"/>
    <w:rsid w:val="00C371CD"/>
    <w:rsid w:val="00C377D2"/>
    <w:rsid w:val="00C37973"/>
    <w:rsid w:val="00C40359"/>
    <w:rsid w:val="00C4142F"/>
    <w:rsid w:val="00C417A5"/>
    <w:rsid w:val="00C445DD"/>
    <w:rsid w:val="00C4744B"/>
    <w:rsid w:val="00C52461"/>
    <w:rsid w:val="00C55795"/>
    <w:rsid w:val="00C66DB7"/>
    <w:rsid w:val="00C7131E"/>
    <w:rsid w:val="00C7183B"/>
    <w:rsid w:val="00C80F09"/>
    <w:rsid w:val="00C85D4D"/>
    <w:rsid w:val="00C864EE"/>
    <w:rsid w:val="00C865E0"/>
    <w:rsid w:val="00C86CE3"/>
    <w:rsid w:val="00C90305"/>
    <w:rsid w:val="00CA16E1"/>
    <w:rsid w:val="00CA4649"/>
    <w:rsid w:val="00CB0B4C"/>
    <w:rsid w:val="00CB48FC"/>
    <w:rsid w:val="00CB53BB"/>
    <w:rsid w:val="00CB5C31"/>
    <w:rsid w:val="00CB7047"/>
    <w:rsid w:val="00CC01DB"/>
    <w:rsid w:val="00CC42A4"/>
    <w:rsid w:val="00CD40A1"/>
    <w:rsid w:val="00CD6513"/>
    <w:rsid w:val="00CE04EA"/>
    <w:rsid w:val="00CE0EBD"/>
    <w:rsid w:val="00CE2C72"/>
    <w:rsid w:val="00CE2FC3"/>
    <w:rsid w:val="00CE3699"/>
    <w:rsid w:val="00CE38C7"/>
    <w:rsid w:val="00CE75B8"/>
    <w:rsid w:val="00CF2632"/>
    <w:rsid w:val="00CF2964"/>
    <w:rsid w:val="00CF4480"/>
    <w:rsid w:val="00D0222B"/>
    <w:rsid w:val="00D037AC"/>
    <w:rsid w:val="00D1405D"/>
    <w:rsid w:val="00D14189"/>
    <w:rsid w:val="00D14B97"/>
    <w:rsid w:val="00D15A89"/>
    <w:rsid w:val="00D208C5"/>
    <w:rsid w:val="00D21A48"/>
    <w:rsid w:val="00D23A6B"/>
    <w:rsid w:val="00D250E5"/>
    <w:rsid w:val="00D251B3"/>
    <w:rsid w:val="00D264A9"/>
    <w:rsid w:val="00D3131D"/>
    <w:rsid w:val="00D332D0"/>
    <w:rsid w:val="00D343D8"/>
    <w:rsid w:val="00D35BC4"/>
    <w:rsid w:val="00D412F3"/>
    <w:rsid w:val="00D417AA"/>
    <w:rsid w:val="00D4181A"/>
    <w:rsid w:val="00D42952"/>
    <w:rsid w:val="00D42D20"/>
    <w:rsid w:val="00D6423D"/>
    <w:rsid w:val="00D71790"/>
    <w:rsid w:val="00D71D52"/>
    <w:rsid w:val="00D7279C"/>
    <w:rsid w:val="00D73160"/>
    <w:rsid w:val="00D74838"/>
    <w:rsid w:val="00D761A4"/>
    <w:rsid w:val="00D867B4"/>
    <w:rsid w:val="00D93D5B"/>
    <w:rsid w:val="00DA489A"/>
    <w:rsid w:val="00DA6AE4"/>
    <w:rsid w:val="00DC1414"/>
    <w:rsid w:val="00DC517F"/>
    <w:rsid w:val="00DD1F05"/>
    <w:rsid w:val="00DD72A3"/>
    <w:rsid w:val="00DE2B27"/>
    <w:rsid w:val="00DE336C"/>
    <w:rsid w:val="00DE7702"/>
    <w:rsid w:val="00DF2D72"/>
    <w:rsid w:val="00DF328F"/>
    <w:rsid w:val="00E01D3A"/>
    <w:rsid w:val="00E03228"/>
    <w:rsid w:val="00E149D7"/>
    <w:rsid w:val="00E2102F"/>
    <w:rsid w:val="00E2142D"/>
    <w:rsid w:val="00E236BD"/>
    <w:rsid w:val="00E33698"/>
    <w:rsid w:val="00E336D8"/>
    <w:rsid w:val="00E372F2"/>
    <w:rsid w:val="00E426A6"/>
    <w:rsid w:val="00E4538D"/>
    <w:rsid w:val="00E45C97"/>
    <w:rsid w:val="00E47615"/>
    <w:rsid w:val="00E50AD8"/>
    <w:rsid w:val="00E55F27"/>
    <w:rsid w:val="00E571C5"/>
    <w:rsid w:val="00E668F3"/>
    <w:rsid w:val="00E71735"/>
    <w:rsid w:val="00E71EB8"/>
    <w:rsid w:val="00E77798"/>
    <w:rsid w:val="00E805DD"/>
    <w:rsid w:val="00E80601"/>
    <w:rsid w:val="00E80BA6"/>
    <w:rsid w:val="00E84E53"/>
    <w:rsid w:val="00E85227"/>
    <w:rsid w:val="00E91E1E"/>
    <w:rsid w:val="00E93A2E"/>
    <w:rsid w:val="00E94038"/>
    <w:rsid w:val="00E95B80"/>
    <w:rsid w:val="00E96157"/>
    <w:rsid w:val="00EA2056"/>
    <w:rsid w:val="00EA20C9"/>
    <w:rsid w:val="00EA3E72"/>
    <w:rsid w:val="00EA7F2D"/>
    <w:rsid w:val="00EB5FAF"/>
    <w:rsid w:val="00EB7689"/>
    <w:rsid w:val="00EC32C2"/>
    <w:rsid w:val="00EC368A"/>
    <w:rsid w:val="00EC3B28"/>
    <w:rsid w:val="00EC4963"/>
    <w:rsid w:val="00ED4464"/>
    <w:rsid w:val="00ED4A50"/>
    <w:rsid w:val="00ED5C36"/>
    <w:rsid w:val="00ED606A"/>
    <w:rsid w:val="00ED7027"/>
    <w:rsid w:val="00ED79DB"/>
    <w:rsid w:val="00EE0768"/>
    <w:rsid w:val="00EF0215"/>
    <w:rsid w:val="00F02C6C"/>
    <w:rsid w:val="00F036E7"/>
    <w:rsid w:val="00F0404C"/>
    <w:rsid w:val="00F0417E"/>
    <w:rsid w:val="00F04FC3"/>
    <w:rsid w:val="00F1450F"/>
    <w:rsid w:val="00F1503F"/>
    <w:rsid w:val="00F16396"/>
    <w:rsid w:val="00F16812"/>
    <w:rsid w:val="00F2025C"/>
    <w:rsid w:val="00F21D4C"/>
    <w:rsid w:val="00F24D02"/>
    <w:rsid w:val="00F2634C"/>
    <w:rsid w:val="00F27AEE"/>
    <w:rsid w:val="00F348AA"/>
    <w:rsid w:val="00F3717B"/>
    <w:rsid w:val="00F4032A"/>
    <w:rsid w:val="00F46148"/>
    <w:rsid w:val="00F47DA3"/>
    <w:rsid w:val="00F523BB"/>
    <w:rsid w:val="00F5358D"/>
    <w:rsid w:val="00F56D26"/>
    <w:rsid w:val="00F620D7"/>
    <w:rsid w:val="00F63B51"/>
    <w:rsid w:val="00F67A33"/>
    <w:rsid w:val="00F71A2A"/>
    <w:rsid w:val="00F7401D"/>
    <w:rsid w:val="00F7751E"/>
    <w:rsid w:val="00F83F48"/>
    <w:rsid w:val="00F8420C"/>
    <w:rsid w:val="00F92877"/>
    <w:rsid w:val="00F95917"/>
    <w:rsid w:val="00FA0B06"/>
    <w:rsid w:val="00FA5B9C"/>
    <w:rsid w:val="00FA757C"/>
    <w:rsid w:val="00FA7AD1"/>
    <w:rsid w:val="00FB03A9"/>
    <w:rsid w:val="00FB5C69"/>
    <w:rsid w:val="00FC1A7D"/>
    <w:rsid w:val="00FD18CE"/>
    <w:rsid w:val="00FE0E8B"/>
    <w:rsid w:val="00FE6454"/>
    <w:rsid w:val="00FF3EDD"/>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3B7A3D93-BD0B-41BB-8577-ACFE1DEF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A"/>
    <w:rPr>
      <w:sz w:val="24"/>
      <w:szCs w:val="24"/>
    </w:rPr>
  </w:style>
  <w:style w:type="paragraph" w:styleId="Heading1">
    <w:name w:val="heading 1"/>
    <w:basedOn w:val="BodyTextIndent3"/>
    <w:next w:val="Normal"/>
    <w:qFormat/>
    <w:rsid w:val="003B0A35"/>
    <w:pPr>
      <w:widowControl w:val="0"/>
      <w:numPr>
        <w:numId w:val="21"/>
      </w:numPr>
      <w:spacing w:after="240" w:line="240" w:lineRule="auto"/>
      <w:ind w:left="720"/>
      <w:outlineLvl w:val="0"/>
    </w:pPr>
    <w:rPr>
      <w:b/>
      <w:bCs/>
      <w:szCs w:val="24"/>
    </w:rPr>
  </w:style>
  <w:style w:type="paragraph" w:styleId="Heading2">
    <w:name w:val="heading 2"/>
    <w:basedOn w:val="BodyTextIndent3"/>
    <w:next w:val="Normal"/>
    <w:qFormat/>
    <w:rsid w:val="00643DA2"/>
    <w:pPr>
      <w:widowControl w:val="0"/>
      <w:numPr>
        <w:numId w:val="24"/>
      </w:numPr>
      <w:spacing w:after="240" w:line="240" w:lineRule="auto"/>
      <w:ind w:left="1440" w:hanging="720"/>
      <w:outlineLvl w:val="1"/>
    </w:pPr>
    <w:rPr>
      <w:b/>
      <w:bCs/>
      <w:szCs w:val="24"/>
    </w:rPr>
  </w:style>
  <w:style w:type="paragraph" w:styleId="Heading3">
    <w:name w:val="heading 3"/>
    <w:basedOn w:val="Normal"/>
    <w:next w:val="Normal"/>
    <w:qFormat/>
    <w:rsid w:val="00964E1D"/>
    <w:pPr>
      <w:keepNext/>
      <w:tabs>
        <w:tab w:val="left" w:pos="0"/>
        <w:tab w:val="left" w:pos="720"/>
      </w:tabs>
      <w:spacing w:after="240"/>
      <w:ind w:lef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aliases w:val="ALTS FOOTNOTE,Car,Footnote Text Char Char,Footnote Text Char Char Char Char,Footnote Text Char1,Footnote Text Char1 Char Char1,Footnote Text Char1 Char Char1 Char Char Char,Footnote Text Char2 Char Char Char Char1,fn"/>
    <w:basedOn w:val="Normal"/>
    <w:link w:val="FootnoteTextChar"/>
    <w:uiPriority w:val="99"/>
    <w:qFormat/>
    <w:pPr>
      <w:spacing w:before="120"/>
    </w:pPr>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aliases w:val="ALTS FOOTNOTE Char,Car Char,Footnote Text Char Char Char,Footnote Text Char Char Char Char Char,Footnote Text Char1 Char,Footnote Text Char1 Char Char1 Char,Footnote Text Char1 Char Char1 Char Char Char Char,fn Char"/>
    <w:basedOn w:val="DefaultParagraphFont"/>
    <w:link w:val="FootnoteText"/>
    <w:semiHidden/>
    <w:rsid w:val="00BC7A39"/>
  </w:style>
  <w:style w:type="paragraph" w:customStyle="1" w:styleId="WW-BodyTextIndent3">
    <w:name w:val="WW-Body Text Indent 3"/>
    <w:basedOn w:val="Normal"/>
    <w:rsid w:val="004D14D4"/>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71"/>
    <w:rsid w:val="006755BB"/>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character" w:styleId="FollowedHyperlink">
    <w:name w:val="FollowedHyperlink"/>
    <w:basedOn w:val="DefaultParagraphFont"/>
    <w:rsid w:val="00A12B35"/>
    <w:rPr>
      <w:color w:val="954F72" w:themeColor="followedHyperlink"/>
      <w:u w:val="single"/>
    </w:rPr>
  </w:style>
  <w:style w:type="paragraph" w:styleId="TOCHeading">
    <w:name w:val="TOC Heading"/>
    <w:basedOn w:val="Heading1"/>
    <w:next w:val="Normal"/>
    <w:uiPriority w:val="39"/>
    <w:unhideWhenUsed/>
    <w:qFormat/>
    <w:rsid w:val="001A1607"/>
    <w:pPr>
      <w:keepNext/>
      <w:keepLines/>
      <w:widowControl/>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401F62"/>
    <w:pPr>
      <w:tabs>
        <w:tab w:val="left" w:pos="1440"/>
        <w:tab w:val="right" w:leader="dot" w:pos="8630"/>
      </w:tabs>
      <w:spacing w:after="100" w:line="259" w:lineRule="auto"/>
      <w:ind w:left="1440" w:hanging="720"/>
    </w:pPr>
    <w:rPr>
      <w:rFonts w:asciiTheme="minorHAnsi" w:eastAsiaTheme="minorEastAsia" w:hAnsiTheme="minorHAnsi"/>
      <w:sz w:val="22"/>
      <w:szCs w:val="22"/>
    </w:rPr>
  </w:style>
  <w:style w:type="paragraph" w:styleId="TOC1">
    <w:name w:val="toc 1"/>
    <w:basedOn w:val="Normal"/>
    <w:next w:val="Normal"/>
    <w:autoRedefine/>
    <w:uiPriority w:val="39"/>
    <w:unhideWhenUsed/>
    <w:rsid w:val="00673F54"/>
    <w:pPr>
      <w:tabs>
        <w:tab w:val="right" w:leader="dot" w:pos="8630"/>
      </w:tabs>
      <w:spacing w:after="100" w:line="259" w:lineRule="auto"/>
      <w:ind w:left="720" w:hanging="720"/>
    </w:pPr>
    <w:rPr>
      <w:rFonts w:asciiTheme="minorHAnsi" w:eastAsiaTheme="minorEastAsia" w:hAnsiTheme="minorHAnsi"/>
      <w:sz w:val="22"/>
      <w:szCs w:val="22"/>
    </w:rPr>
  </w:style>
  <w:style w:type="paragraph" w:styleId="TOC3">
    <w:name w:val="toc 3"/>
    <w:basedOn w:val="Normal"/>
    <w:next w:val="Normal"/>
    <w:autoRedefine/>
    <w:uiPriority w:val="39"/>
    <w:unhideWhenUsed/>
    <w:rsid w:val="001F14B5"/>
    <w:pPr>
      <w:tabs>
        <w:tab w:val="right" w:pos="8630"/>
      </w:tabs>
      <w:spacing w:after="100" w:line="259" w:lineRule="auto"/>
      <w:ind w:left="2160" w:hanging="63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hn.finnigan@occ.ohio.gov" TargetMode="External"/><Relationship Id="rId13" Type="http://schemas.openxmlformats.org/officeDocument/2006/relationships/footer" Target="footer2.xml"/><Relationship Id="rId18" Type="http://schemas.openxmlformats.org/officeDocument/2006/relationships/hyperlink" Target="mailto:donald.kral@occ.ohio.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hn.finnigan@occ.ohio.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hristopher.hollon@a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john.jones@ohioago.gov" TargetMode="External"/><Relationship Id="rId4" Type="http://schemas.openxmlformats.org/officeDocument/2006/relationships/settings" Target="settings.xml"/><Relationship Id="rId9" Type="http://schemas.openxmlformats.org/officeDocument/2006/relationships/hyperlink" Target="mailto:donald.kral@occ.ohio.gov"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hiochannel.org/video/ohio-senate-energy-and-public-utilities-committee-4-9-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2979</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2024-04-24T19:35:00Z</dcterms:created>
  <dcterms:modified xsi:type="dcterms:W3CDTF">2024-04-24T19:35:00Z</dcterms:modified>
</cp:coreProperties>
</file>