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7C5BFF" w:rsidRPr="007169EC" w:rsidP="007C5BFF" w14:paraId="3E766A86" w14:textId="77777777">
      <w:pPr>
        <w:pStyle w:val="HTMLPreformatted"/>
        <w:jc w:val="center"/>
        <w:rPr>
          <w:rFonts w:ascii="Times New Roman" w:hAnsi="Times New Roman" w:cs="Times New Roman"/>
          <w:b/>
          <w:bCs/>
          <w:sz w:val="24"/>
          <w:szCs w:val="24"/>
        </w:rPr>
      </w:pPr>
      <w:r w:rsidRPr="007169EC">
        <w:rPr>
          <w:rFonts w:ascii="Times New Roman" w:hAnsi="Times New Roman" w:cs="Times New Roman"/>
          <w:b/>
          <w:bCs/>
          <w:sz w:val="24"/>
          <w:szCs w:val="24"/>
        </w:rPr>
        <w:t>BEFORE</w:t>
      </w:r>
    </w:p>
    <w:p w:rsidR="007C5BFF" w:rsidRPr="007169EC" w:rsidP="007C5BFF" w14:paraId="5FE17C5B" w14:textId="77777777">
      <w:pPr>
        <w:pStyle w:val="HTMLPreformatted"/>
        <w:jc w:val="center"/>
        <w:rPr>
          <w:rFonts w:ascii="Times New Roman" w:hAnsi="Times New Roman" w:cs="Times New Roman"/>
          <w:b/>
          <w:bCs/>
          <w:sz w:val="24"/>
          <w:szCs w:val="24"/>
        </w:rPr>
      </w:pPr>
      <w:r w:rsidRPr="007169EC">
        <w:rPr>
          <w:rFonts w:ascii="Times New Roman" w:hAnsi="Times New Roman" w:cs="Times New Roman"/>
          <w:b/>
          <w:bCs/>
          <w:sz w:val="24"/>
          <w:szCs w:val="24"/>
        </w:rPr>
        <w:t>THE PUBLIC UTILITIES COMMISSION OF OHIO</w:t>
      </w:r>
    </w:p>
    <w:p w:rsidR="007C5BFF" w:rsidRPr="007169EC" w:rsidP="007C5BFF" w14:paraId="686C9B8D" w14:textId="77777777">
      <w:pPr>
        <w:pStyle w:val="HTMLPreformatted"/>
        <w:rPr>
          <w:rFonts w:ascii="Times New Roman" w:hAnsi="Times New Roman" w:cs="Times New Roman"/>
          <w:sz w:val="24"/>
          <w:szCs w:val="24"/>
        </w:rPr>
      </w:pPr>
    </w:p>
    <w:tbl>
      <w:tblPr>
        <w:tblW w:w="9092" w:type="dxa"/>
        <w:tblInd w:w="-90" w:type="dxa"/>
        <w:tblLook w:val="01E0"/>
      </w:tblPr>
      <w:tblGrid>
        <w:gridCol w:w="4230"/>
        <w:gridCol w:w="630"/>
        <w:gridCol w:w="4232"/>
      </w:tblGrid>
      <w:tr w14:paraId="0433A699" w14:textId="77777777" w:rsidTr="00A02B10">
        <w:tblPrEx>
          <w:tblW w:w="9092" w:type="dxa"/>
          <w:tblInd w:w="-90" w:type="dxa"/>
          <w:tblLook w:val="01E0"/>
        </w:tblPrEx>
        <w:trPr>
          <w:trHeight w:val="807"/>
        </w:trPr>
        <w:tc>
          <w:tcPr>
            <w:tcW w:w="4230" w:type="dxa"/>
            <w:shd w:val="clear" w:color="auto" w:fill="auto"/>
          </w:tcPr>
          <w:p w:rsidR="007C5BFF" w:rsidRPr="007169EC" w:rsidP="00A02B10" w14:paraId="29987107" w14:textId="77777777">
            <w:pPr>
              <w:pStyle w:val="HTMLPreformatted"/>
              <w:ind w:right="156"/>
              <w:rPr>
                <w:rFonts w:ascii="Times New Roman" w:hAnsi="Times New Roman" w:cs="Times New Roman"/>
                <w:sz w:val="24"/>
                <w:szCs w:val="24"/>
              </w:rPr>
            </w:pPr>
            <w:r w:rsidRPr="007169EC">
              <w:rPr>
                <w:rFonts w:ascii="Times New Roman" w:hAnsi="Times New Roman" w:cs="Times New Roman"/>
                <w:sz w:val="24"/>
                <w:szCs w:val="24"/>
              </w:rPr>
              <w:t>In the Matter of the OVEC Generation Purchase Rider Audits Required by R.C. 4928.148 for Duke Energy Ohio, Inc., the Dayton Power and Light Company, and AEP Ohio.</w:t>
            </w:r>
          </w:p>
        </w:tc>
        <w:tc>
          <w:tcPr>
            <w:tcW w:w="630" w:type="dxa"/>
            <w:shd w:val="clear" w:color="auto" w:fill="auto"/>
          </w:tcPr>
          <w:p w:rsidR="007C5BFF" w:rsidRPr="007169EC" w:rsidP="00A02B10" w14:paraId="5834D63C" w14:textId="77777777">
            <w:pPr>
              <w:pStyle w:val="HTMLPreformatted"/>
              <w:rPr>
                <w:rFonts w:ascii="Times New Roman" w:hAnsi="Times New Roman" w:cs="Times New Roman"/>
                <w:sz w:val="24"/>
                <w:szCs w:val="24"/>
              </w:rPr>
            </w:pPr>
            <w:r w:rsidRPr="007169EC">
              <w:rPr>
                <w:rFonts w:ascii="Times New Roman" w:hAnsi="Times New Roman" w:cs="Times New Roman"/>
                <w:sz w:val="24"/>
                <w:szCs w:val="24"/>
              </w:rPr>
              <w:t>)</w:t>
            </w:r>
          </w:p>
          <w:p w:rsidR="007C5BFF" w:rsidRPr="007169EC" w:rsidP="00A02B10" w14:paraId="7E0B9A94" w14:textId="77777777">
            <w:pPr>
              <w:pStyle w:val="HTMLPreformatted"/>
              <w:rPr>
                <w:rFonts w:ascii="Times New Roman" w:hAnsi="Times New Roman" w:cs="Times New Roman"/>
                <w:sz w:val="24"/>
                <w:szCs w:val="24"/>
              </w:rPr>
            </w:pPr>
            <w:r w:rsidRPr="007169EC">
              <w:rPr>
                <w:rFonts w:ascii="Times New Roman" w:hAnsi="Times New Roman" w:cs="Times New Roman"/>
                <w:sz w:val="24"/>
                <w:szCs w:val="24"/>
              </w:rPr>
              <w:t>)</w:t>
            </w:r>
          </w:p>
          <w:p w:rsidR="007C5BFF" w:rsidRPr="007169EC" w:rsidP="00A02B10" w14:paraId="1E36175B" w14:textId="77777777">
            <w:pPr>
              <w:pStyle w:val="HTMLPreformatted"/>
              <w:rPr>
                <w:rFonts w:ascii="Times New Roman" w:hAnsi="Times New Roman" w:cs="Times New Roman"/>
                <w:sz w:val="24"/>
                <w:szCs w:val="24"/>
              </w:rPr>
            </w:pPr>
            <w:r w:rsidRPr="007169EC">
              <w:rPr>
                <w:rFonts w:ascii="Times New Roman" w:hAnsi="Times New Roman" w:cs="Times New Roman"/>
                <w:sz w:val="24"/>
                <w:szCs w:val="24"/>
              </w:rPr>
              <w:t>)</w:t>
            </w:r>
          </w:p>
          <w:p w:rsidR="007C5BFF" w:rsidRPr="007169EC" w:rsidP="00A02B10" w14:paraId="1C2AADA4" w14:textId="77777777">
            <w:pPr>
              <w:pStyle w:val="HTMLPreformatted"/>
              <w:rPr>
                <w:rFonts w:ascii="Times New Roman" w:hAnsi="Times New Roman" w:cs="Times New Roman"/>
                <w:sz w:val="24"/>
                <w:szCs w:val="24"/>
              </w:rPr>
            </w:pPr>
            <w:r w:rsidRPr="007169EC">
              <w:rPr>
                <w:rFonts w:ascii="Times New Roman" w:hAnsi="Times New Roman" w:cs="Times New Roman"/>
                <w:sz w:val="24"/>
                <w:szCs w:val="24"/>
              </w:rPr>
              <w:t>)</w:t>
            </w:r>
          </w:p>
          <w:p w:rsidR="007C5BFF" w:rsidRPr="007169EC" w:rsidP="00A02B10" w14:paraId="2C542D2B" w14:textId="77777777">
            <w:pPr>
              <w:pStyle w:val="HTMLPreformatted"/>
              <w:rPr>
                <w:rFonts w:ascii="Times New Roman" w:hAnsi="Times New Roman" w:cs="Times New Roman"/>
                <w:sz w:val="24"/>
                <w:szCs w:val="24"/>
              </w:rPr>
            </w:pPr>
            <w:r w:rsidRPr="007169EC">
              <w:rPr>
                <w:rFonts w:ascii="Times New Roman" w:hAnsi="Times New Roman" w:cs="Times New Roman"/>
                <w:sz w:val="24"/>
                <w:szCs w:val="24"/>
              </w:rPr>
              <w:t>)</w:t>
            </w:r>
          </w:p>
        </w:tc>
        <w:tc>
          <w:tcPr>
            <w:tcW w:w="4232" w:type="dxa"/>
            <w:shd w:val="clear" w:color="auto" w:fill="auto"/>
          </w:tcPr>
          <w:p w:rsidR="007C5BFF" w:rsidRPr="007169EC" w:rsidP="00A02B10" w14:paraId="34559420" w14:textId="77777777">
            <w:pPr>
              <w:pStyle w:val="HTMLPreformatted"/>
              <w:rPr>
                <w:rFonts w:ascii="Times New Roman" w:hAnsi="Times New Roman" w:cs="Times New Roman"/>
                <w:sz w:val="24"/>
                <w:szCs w:val="24"/>
              </w:rPr>
            </w:pPr>
          </w:p>
          <w:p w:rsidR="007C5BFF" w:rsidRPr="007169EC" w:rsidP="00A02B10" w14:paraId="522070BB" w14:textId="77777777">
            <w:pPr>
              <w:pStyle w:val="HTMLPreformatted"/>
              <w:rPr>
                <w:rFonts w:ascii="Times New Roman" w:hAnsi="Times New Roman" w:cs="Times New Roman"/>
                <w:sz w:val="24"/>
                <w:szCs w:val="24"/>
              </w:rPr>
            </w:pPr>
            <w:r w:rsidRPr="007169EC">
              <w:rPr>
                <w:rFonts w:ascii="Times New Roman" w:hAnsi="Times New Roman" w:cs="Times New Roman"/>
                <w:sz w:val="24"/>
                <w:szCs w:val="24"/>
              </w:rPr>
              <w:t>Case No. 21-477-EL-RDR</w:t>
            </w:r>
          </w:p>
          <w:p w:rsidR="007C5BFF" w:rsidRPr="007169EC" w:rsidP="00A02B10" w14:paraId="41919F5C" w14:textId="77777777">
            <w:pPr>
              <w:pStyle w:val="HTMLPreformatted"/>
              <w:rPr>
                <w:rFonts w:ascii="Times New Roman" w:hAnsi="Times New Roman" w:cs="Times New Roman"/>
                <w:sz w:val="24"/>
                <w:szCs w:val="24"/>
              </w:rPr>
            </w:pPr>
          </w:p>
          <w:p w:rsidR="007C5BFF" w:rsidRPr="007169EC" w:rsidP="00A02B10" w14:paraId="0A9B55B5" w14:textId="77777777">
            <w:pPr>
              <w:pStyle w:val="HTMLPreformatted"/>
              <w:rPr>
                <w:rFonts w:ascii="Times New Roman" w:hAnsi="Times New Roman" w:cs="Times New Roman"/>
                <w:sz w:val="24"/>
                <w:szCs w:val="24"/>
              </w:rPr>
            </w:pPr>
          </w:p>
        </w:tc>
      </w:tr>
    </w:tbl>
    <w:p w:rsidR="007C5BFF" w:rsidRPr="007169EC" w:rsidP="007C5BFF" w14:paraId="4C8AE4A4" w14:textId="77777777">
      <w:pPr>
        <w:pStyle w:val="HTMLPreformatted"/>
        <w:rPr>
          <w:rFonts w:ascii="Times New Roman" w:hAnsi="Times New Roman" w:cs="Times New Roman"/>
          <w:sz w:val="24"/>
          <w:szCs w:val="24"/>
        </w:rPr>
      </w:pPr>
      <w:r w:rsidRPr="007169EC">
        <w:rPr>
          <w:rFonts w:ascii="Times New Roman" w:hAnsi="Times New Roman" w:cs="Times New Roman"/>
          <w:sz w:val="24"/>
          <w:szCs w:val="24"/>
        </w:rPr>
        <w:tab/>
      </w:r>
    </w:p>
    <w:p w:rsidR="007C5BFF" w:rsidRPr="007169EC" w:rsidP="007C5BFF" w14:paraId="0772561A" w14:textId="77777777">
      <w:pPr>
        <w:pStyle w:val="HTMLPreformatted"/>
        <w:pBdr>
          <w:top w:val="single" w:sz="12" w:space="1" w:color="auto"/>
        </w:pBdr>
        <w:rPr>
          <w:rFonts w:ascii="Times New Roman" w:hAnsi="Times New Roman" w:cs="Times New Roman"/>
          <w:sz w:val="24"/>
          <w:szCs w:val="24"/>
        </w:rPr>
      </w:pPr>
    </w:p>
    <w:p w:rsidR="007C5BFF" w:rsidRPr="007169EC" w:rsidP="007C5BFF" w14:paraId="156AF501" w14:textId="4345E854">
      <w:pPr>
        <w:jc w:val="center"/>
        <w:rPr>
          <w:b/>
          <w:sz w:val="24"/>
          <w:szCs w:val="24"/>
        </w:rPr>
      </w:pPr>
      <w:r w:rsidRPr="007169EC">
        <w:rPr>
          <w:b/>
          <w:sz w:val="24"/>
          <w:szCs w:val="24"/>
        </w:rPr>
        <w:t>INITIAL COMMENTS</w:t>
      </w:r>
    </w:p>
    <w:p w:rsidR="00741A06" w:rsidRPr="007169EC" w:rsidP="007C5BFF" w14:paraId="7CA5B060" w14:textId="6F907F27">
      <w:pPr>
        <w:jc w:val="center"/>
        <w:rPr>
          <w:b/>
          <w:sz w:val="24"/>
          <w:szCs w:val="24"/>
        </w:rPr>
      </w:pPr>
      <w:r w:rsidRPr="007169EC">
        <w:rPr>
          <w:b/>
          <w:sz w:val="24"/>
          <w:szCs w:val="24"/>
        </w:rPr>
        <w:t>BY</w:t>
      </w:r>
    </w:p>
    <w:p w:rsidR="007C5BFF" w:rsidRPr="007169EC" w:rsidP="007C5BFF" w14:paraId="70718740" w14:textId="7622C331">
      <w:pPr>
        <w:jc w:val="center"/>
        <w:rPr>
          <w:b/>
          <w:sz w:val="24"/>
          <w:szCs w:val="24"/>
        </w:rPr>
      </w:pPr>
      <w:r w:rsidRPr="007169EC">
        <w:rPr>
          <w:b/>
          <w:sz w:val="24"/>
          <w:szCs w:val="24"/>
        </w:rPr>
        <w:t>OFFICE OF THE OHIO CONSUMERS’ COUNSEL</w:t>
      </w:r>
    </w:p>
    <w:p w:rsidR="007C5BFF" w:rsidRPr="007169EC" w:rsidP="007C5BFF" w14:paraId="18E53F19" w14:textId="77777777">
      <w:pPr>
        <w:pBdr>
          <w:bottom w:val="single" w:sz="12" w:space="1" w:color="auto"/>
        </w:pBdr>
        <w:tabs>
          <w:tab w:val="left" w:pos="4320"/>
        </w:tabs>
        <w:rPr>
          <w:sz w:val="24"/>
          <w:szCs w:val="24"/>
        </w:rPr>
      </w:pPr>
    </w:p>
    <w:p w:rsidR="007C5BFF" w:rsidRPr="007169EC" w:rsidP="007C5BFF" w14:paraId="2DB2684B" w14:textId="77777777">
      <w:pPr>
        <w:rPr>
          <w:sz w:val="24"/>
          <w:szCs w:val="24"/>
        </w:rPr>
      </w:pPr>
    </w:p>
    <w:p w:rsidR="007C5BFF" w:rsidRPr="007169EC" w:rsidP="007C5BFF" w14:paraId="3057C04A" w14:textId="77777777">
      <w:pPr>
        <w:rPr>
          <w:sz w:val="24"/>
          <w:szCs w:val="24"/>
        </w:rPr>
      </w:pPr>
    </w:p>
    <w:p w:rsidR="007C5BFF" w:rsidRPr="007169EC" w:rsidP="007C5BFF" w14:paraId="3178B5D1" w14:textId="77777777">
      <w:pPr>
        <w:ind w:left="3960"/>
        <w:rPr>
          <w:sz w:val="24"/>
          <w:szCs w:val="24"/>
        </w:rPr>
      </w:pPr>
      <w:r w:rsidRPr="007169EC">
        <w:rPr>
          <w:sz w:val="24"/>
          <w:szCs w:val="24"/>
        </w:rPr>
        <w:t>Bruce Weston (0016973)</w:t>
      </w:r>
    </w:p>
    <w:p w:rsidR="007C5BFF" w:rsidRPr="007169EC" w:rsidP="007C5BFF" w14:paraId="7EE3F215" w14:textId="77777777">
      <w:pPr>
        <w:ind w:left="3960"/>
        <w:rPr>
          <w:sz w:val="24"/>
          <w:szCs w:val="24"/>
        </w:rPr>
      </w:pPr>
      <w:r w:rsidRPr="007169EC">
        <w:rPr>
          <w:sz w:val="24"/>
          <w:szCs w:val="24"/>
        </w:rPr>
        <w:t>Ohio Consumers’ Counsel</w:t>
      </w:r>
    </w:p>
    <w:p w:rsidR="007C5BFF" w:rsidRPr="007169EC" w:rsidP="007C5BFF" w14:paraId="09CB03B2" w14:textId="77777777">
      <w:pPr>
        <w:rPr>
          <w:i/>
          <w:sz w:val="24"/>
          <w:szCs w:val="24"/>
          <w:u w:val="single"/>
        </w:rPr>
      </w:pPr>
    </w:p>
    <w:p w:rsidR="007C5BFF" w:rsidRPr="007169EC" w:rsidP="007C5BFF" w14:paraId="4C598513" w14:textId="77777777">
      <w:pPr>
        <w:ind w:left="3960"/>
        <w:rPr>
          <w:sz w:val="24"/>
          <w:szCs w:val="24"/>
        </w:rPr>
      </w:pPr>
      <w:r w:rsidRPr="007169EC">
        <w:rPr>
          <w:sz w:val="24"/>
          <w:szCs w:val="24"/>
        </w:rPr>
        <w:t>John Finnigan (0018689)</w:t>
      </w:r>
    </w:p>
    <w:p w:rsidR="007C5BFF" w:rsidRPr="007169EC" w:rsidP="007C5BFF" w14:paraId="215319B3" w14:textId="77777777">
      <w:pPr>
        <w:ind w:left="3960"/>
        <w:rPr>
          <w:sz w:val="24"/>
          <w:szCs w:val="24"/>
        </w:rPr>
      </w:pPr>
      <w:r w:rsidRPr="007169EC">
        <w:rPr>
          <w:sz w:val="24"/>
          <w:szCs w:val="24"/>
        </w:rPr>
        <w:t>Counsel of Record</w:t>
      </w:r>
    </w:p>
    <w:p w:rsidR="007C5BFF" w:rsidRPr="007169EC" w:rsidP="007C5BFF" w14:paraId="0C0D9BCE" w14:textId="77777777">
      <w:pPr>
        <w:ind w:left="3960"/>
        <w:rPr>
          <w:sz w:val="24"/>
          <w:szCs w:val="24"/>
        </w:rPr>
      </w:pPr>
      <w:r w:rsidRPr="007169EC">
        <w:rPr>
          <w:sz w:val="24"/>
          <w:szCs w:val="24"/>
        </w:rPr>
        <w:t>William J. Michael (0070921)</w:t>
      </w:r>
    </w:p>
    <w:p w:rsidR="007C5BFF" w:rsidRPr="007169EC" w:rsidP="007C5BFF" w14:paraId="011EF506" w14:textId="77777777">
      <w:pPr>
        <w:ind w:left="3960"/>
        <w:rPr>
          <w:sz w:val="24"/>
          <w:szCs w:val="24"/>
        </w:rPr>
      </w:pPr>
      <w:r w:rsidRPr="007169EC">
        <w:rPr>
          <w:sz w:val="24"/>
          <w:szCs w:val="24"/>
        </w:rPr>
        <w:t>Assistant Consumers’ Counsel</w:t>
      </w:r>
    </w:p>
    <w:p w:rsidR="007C5BFF" w:rsidRPr="007169EC" w:rsidP="007C5BFF" w14:paraId="1BAA89B9" w14:textId="77777777">
      <w:pPr>
        <w:ind w:left="3960"/>
        <w:rPr>
          <w:sz w:val="24"/>
          <w:szCs w:val="24"/>
        </w:rPr>
      </w:pPr>
    </w:p>
    <w:p w:rsidR="007C5BFF" w:rsidRPr="007169EC" w:rsidP="007C5BFF" w14:paraId="78724DEE" w14:textId="77777777">
      <w:pPr>
        <w:ind w:left="3960"/>
        <w:rPr>
          <w:b/>
          <w:bCs/>
          <w:sz w:val="24"/>
          <w:szCs w:val="24"/>
        </w:rPr>
      </w:pPr>
      <w:r w:rsidRPr="007169EC">
        <w:rPr>
          <w:b/>
          <w:bCs/>
          <w:sz w:val="24"/>
          <w:szCs w:val="24"/>
        </w:rPr>
        <w:t>Office of the Ohio Consumers’ Counsel</w:t>
      </w:r>
    </w:p>
    <w:p w:rsidR="007C5BFF" w:rsidRPr="007169EC" w:rsidP="007C5BFF" w14:paraId="542492FE" w14:textId="77777777">
      <w:pPr>
        <w:ind w:left="3960"/>
        <w:rPr>
          <w:bCs/>
          <w:sz w:val="24"/>
          <w:szCs w:val="24"/>
        </w:rPr>
      </w:pPr>
      <w:r w:rsidRPr="007169EC">
        <w:rPr>
          <w:bCs/>
          <w:sz w:val="24"/>
          <w:szCs w:val="24"/>
        </w:rPr>
        <w:t>65 East State Street, Suite 700</w:t>
      </w:r>
    </w:p>
    <w:p w:rsidR="007C5BFF" w:rsidRPr="007169EC" w:rsidP="007C5BFF" w14:paraId="1A27EF52" w14:textId="77777777">
      <w:pPr>
        <w:ind w:left="3960"/>
        <w:rPr>
          <w:bCs/>
          <w:sz w:val="24"/>
          <w:szCs w:val="24"/>
        </w:rPr>
      </w:pPr>
      <w:r w:rsidRPr="007169EC">
        <w:rPr>
          <w:bCs/>
          <w:sz w:val="24"/>
          <w:szCs w:val="24"/>
        </w:rPr>
        <w:t>Columbus, Ohio 43215</w:t>
      </w:r>
    </w:p>
    <w:p w:rsidR="007C5BFF" w:rsidRPr="007169EC" w:rsidP="007C5BFF" w14:paraId="0914D67D" w14:textId="77777777">
      <w:pPr>
        <w:adjustRightInd w:val="0"/>
        <w:ind w:left="3960"/>
        <w:rPr>
          <w:sz w:val="24"/>
          <w:szCs w:val="24"/>
        </w:rPr>
      </w:pPr>
      <w:r w:rsidRPr="007169EC">
        <w:rPr>
          <w:sz w:val="24"/>
          <w:szCs w:val="24"/>
        </w:rPr>
        <w:t>Telephone [Finnigan] (614) 466-9585</w:t>
      </w:r>
    </w:p>
    <w:p w:rsidR="007C5BFF" w:rsidRPr="007169EC" w:rsidP="007C5BFF" w14:paraId="7F7527A3" w14:textId="77777777">
      <w:pPr>
        <w:adjustRightInd w:val="0"/>
        <w:ind w:left="3960"/>
        <w:rPr>
          <w:sz w:val="24"/>
          <w:szCs w:val="24"/>
        </w:rPr>
      </w:pPr>
      <w:r w:rsidRPr="007169EC">
        <w:rPr>
          <w:sz w:val="24"/>
          <w:szCs w:val="24"/>
        </w:rPr>
        <w:t>Telephone [Michael]: (614) 466-1291</w:t>
      </w:r>
    </w:p>
    <w:p w:rsidR="007C5BFF" w:rsidRPr="007169EC" w:rsidP="007C5BFF" w14:paraId="4C7E9B30" w14:textId="77777777">
      <w:pPr>
        <w:ind w:left="3960"/>
        <w:rPr>
          <w:sz w:val="24"/>
          <w:szCs w:val="24"/>
        </w:rPr>
      </w:pPr>
      <w:hyperlink r:id="rId6" w:history="1">
        <w:r w:rsidRPr="007169EC">
          <w:rPr>
            <w:rStyle w:val="Hyperlink"/>
            <w:sz w:val="24"/>
            <w:szCs w:val="24"/>
          </w:rPr>
          <w:t>john.finnigan@occ.ohio.gov</w:t>
        </w:r>
      </w:hyperlink>
    </w:p>
    <w:p w:rsidR="007C5BFF" w:rsidRPr="007169EC" w:rsidP="007C5BFF" w14:paraId="30146DC2" w14:textId="77777777">
      <w:pPr>
        <w:ind w:left="3960"/>
        <w:rPr>
          <w:sz w:val="24"/>
          <w:szCs w:val="24"/>
        </w:rPr>
      </w:pPr>
      <w:hyperlink r:id="rId7" w:history="1">
        <w:r w:rsidRPr="007169EC">
          <w:rPr>
            <w:rStyle w:val="Hyperlink"/>
            <w:sz w:val="24"/>
            <w:szCs w:val="24"/>
          </w:rPr>
          <w:t>william.michael@occ.ohio.gov</w:t>
        </w:r>
      </w:hyperlink>
    </w:p>
    <w:p w:rsidR="007C5BFF" w:rsidRPr="007169EC" w:rsidP="007C5BFF" w14:paraId="1AC385D8" w14:textId="0D74A1E8">
      <w:pPr>
        <w:ind w:left="3960" w:hanging="3960"/>
        <w:contextualSpacing/>
        <w:rPr>
          <w:sz w:val="24"/>
          <w:szCs w:val="24"/>
        </w:rPr>
      </w:pPr>
      <w:r w:rsidRPr="007169EC">
        <w:rPr>
          <w:sz w:val="24"/>
          <w:szCs w:val="24"/>
        </w:rPr>
        <w:t>May 8</w:t>
      </w:r>
      <w:r w:rsidRPr="007169EC">
        <w:rPr>
          <w:sz w:val="24"/>
          <w:szCs w:val="24"/>
        </w:rPr>
        <w:t>, 2023</w:t>
      </w:r>
      <w:r w:rsidRPr="007169EC">
        <w:rPr>
          <w:sz w:val="24"/>
          <w:szCs w:val="24"/>
        </w:rPr>
        <w:tab/>
        <w:t>(willing to accept service by e-mail)</w:t>
      </w:r>
    </w:p>
    <w:p w:rsidR="007C5BFF" w:rsidRPr="007169EC" w:rsidP="007C5BFF" w14:paraId="2073E357" w14:textId="77777777">
      <w:pPr>
        <w:ind w:right="2073"/>
        <w:rPr>
          <w:b/>
          <w:sz w:val="24"/>
          <w:szCs w:val="24"/>
        </w:rPr>
      </w:pPr>
    </w:p>
    <w:p w:rsidR="00741A06" w:rsidRPr="007169EC" w:rsidP="00FA46F7" w14:paraId="02AE1B31" w14:textId="77777777">
      <w:pPr>
        <w:pStyle w:val="BodyText"/>
        <w:jc w:val="both"/>
        <w:rPr>
          <w:b/>
        </w:rPr>
      </w:pPr>
    </w:p>
    <w:p w:rsidR="00741A06" w:rsidRPr="007169EC" w:rsidP="007C5BFF" w14:paraId="5E22125A" w14:textId="312E1D68">
      <w:pPr>
        <w:pStyle w:val="BodyText"/>
        <w:spacing w:before="7"/>
        <w:jc w:val="both"/>
      </w:pPr>
    </w:p>
    <w:p w:rsidR="007C5BFF" w:rsidRPr="007169EC" w:rsidP="007C5BFF" w14:paraId="5B91CD27" w14:textId="77777777">
      <w:pPr>
        <w:ind w:firstLine="720"/>
        <w:rPr>
          <w:sz w:val="24"/>
          <w:szCs w:val="24"/>
        </w:rPr>
      </w:pPr>
    </w:p>
    <w:p w:rsidR="007C5BFF" w:rsidRPr="007169EC" w:rsidP="007C5BFF" w14:paraId="3897698A" w14:textId="77777777">
      <w:pPr>
        <w:rPr>
          <w:sz w:val="24"/>
          <w:szCs w:val="24"/>
        </w:rPr>
      </w:pPr>
    </w:p>
    <w:p w:rsidR="007C5BFF" w:rsidRPr="007169EC" w:rsidP="007C5BFF" w14:paraId="0AF82FB2" w14:textId="24E8267C">
      <w:pPr>
        <w:rPr>
          <w:sz w:val="24"/>
          <w:szCs w:val="24"/>
        </w:rPr>
        <w:sectPr w:rsidSect="007C5BFF">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800" w:bottom="1440" w:left="1800" w:header="720" w:footer="720" w:gutter="0"/>
          <w:cols w:space="720"/>
          <w:docGrid w:linePitch="299"/>
        </w:sectPr>
      </w:pPr>
    </w:p>
    <w:p w:rsidR="00F6433D" w:rsidRPr="007169EC" w:rsidP="00F6433D" w14:paraId="0050C565" w14:textId="77777777">
      <w:pPr>
        <w:widowControl/>
        <w:autoSpaceDE/>
        <w:autoSpaceDN/>
        <w:jc w:val="center"/>
        <w:rPr>
          <w:b/>
          <w:bCs/>
          <w:sz w:val="24"/>
          <w:szCs w:val="24"/>
          <w:u w:val="single"/>
        </w:rPr>
      </w:pPr>
      <w:r w:rsidRPr="007169EC">
        <w:rPr>
          <w:b/>
          <w:bCs/>
          <w:sz w:val="24"/>
          <w:szCs w:val="24"/>
          <w:u w:val="single"/>
        </w:rPr>
        <w:t>TABLE OF CONTENTS</w:t>
      </w:r>
    </w:p>
    <w:p w:rsidR="00F6433D" w:rsidRPr="007169EC" w:rsidP="00F6433D" w14:paraId="35B16B70" w14:textId="77777777">
      <w:pPr>
        <w:widowControl/>
        <w:autoSpaceDE/>
        <w:autoSpaceDN/>
        <w:jc w:val="right"/>
        <w:rPr>
          <w:b/>
          <w:bCs/>
          <w:sz w:val="24"/>
          <w:szCs w:val="24"/>
        </w:rPr>
      </w:pPr>
      <w:r w:rsidRPr="007169EC">
        <w:rPr>
          <w:sz w:val="24"/>
          <w:szCs w:val="24"/>
        </w:rPr>
        <w:tab/>
      </w:r>
      <w:r w:rsidRPr="007169EC">
        <w:rPr>
          <w:sz w:val="24"/>
          <w:szCs w:val="24"/>
        </w:rPr>
        <w:tab/>
      </w:r>
      <w:r w:rsidRPr="007169EC">
        <w:rPr>
          <w:sz w:val="24"/>
          <w:szCs w:val="24"/>
        </w:rPr>
        <w:tab/>
      </w:r>
      <w:r w:rsidRPr="007169EC">
        <w:rPr>
          <w:sz w:val="24"/>
          <w:szCs w:val="24"/>
        </w:rPr>
        <w:tab/>
      </w:r>
      <w:r w:rsidRPr="007169EC">
        <w:rPr>
          <w:sz w:val="24"/>
          <w:szCs w:val="24"/>
        </w:rPr>
        <w:tab/>
      </w:r>
      <w:r w:rsidRPr="007169EC">
        <w:rPr>
          <w:sz w:val="24"/>
          <w:szCs w:val="24"/>
        </w:rPr>
        <w:tab/>
      </w:r>
      <w:r w:rsidRPr="007169EC">
        <w:rPr>
          <w:sz w:val="24"/>
          <w:szCs w:val="24"/>
        </w:rPr>
        <w:tab/>
      </w:r>
      <w:r w:rsidRPr="007169EC">
        <w:rPr>
          <w:sz w:val="24"/>
          <w:szCs w:val="24"/>
        </w:rPr>
        <w:tab/>
      </w:r>
      <w:r w:rsidRPr="007169EC">
        <w:rPr>
          <w:sz w:val="24"/>
          <w:szCs w:val="24"/>
        </w:rPr>
        <w:tab/>
      </w:r>
      <w:r w:rsidRPr="007169EC">
        <w:rPr>
          <w:sz w:val="24"/>
          <w:szCs w:val="24"/>
        </w:rPr>
        <w:tab/>
      </w:r>
      <w:r w:rsidRPr="007169EC">
        <w:rPr>
          <w:sz w:val="24"/>
          <w:szCs w:val="24"/>
        </w:rPr>
        <w:tab/>
      </w:r>
      <w:r w:rsidRPr="007169EC">
        <w:rPr>
          <w:sz w:val="24"/>
          <w:szCs w:val="24"/>
        </w:rPr>
        <w:tab/>
      </w:r>
      <w:r w:rsidRPr="007169EC">
        <w:rPr>
          <w:b/>
          <w:bCs/>
          <w:sz w:val="24"/>
          <w:szCs w:val="24"/>
        </w:rPr>
        <w:t>PAGE</w:t>
      </w:r>
    </w:p>
    <w:p w:rsidR="00F6433D" w:rsidRPr="007169EC" w:rsidP="00F6433D" w14:paraId="727386EC" w14:textId="77777777">
      <w:pPr>
        <w:widowControl/>
        <w:autoSpaceDE/>
        <w:autoSpaceDN/>
        <w:jc w:val="center"/>
        <w:rPr>
          <w:b/>
          <w:bCs/>
          <w:sz w:val="24"/>
          <w:szCs w:val="24"/>
        </w:rPr>
      </w:pPr>
    </w:p>
    <w:p w:rsidR="00504C4C" w14:paraId="2125E0F3" w14:textId="48779B47">
      <w:pPr>
        <w:pStyle w:val="TOC1"/>
        <w:rPr>
          <w:rFonts w:asciiTheme="minorHAnsi" w:eastAsiaTheme="minorEastAsia" w:hAnsiTheme="minorHAnsi" w:cstheme="minorBidi"/>
          <w:noProof/>
          <w:kern w:val="2"/>
          <w:sz w:val="22"/>
          <w:szCs w:val="22"/>
          <w14:ligatures w14:val="standardContextual"/>
        </w:rPr>
      </w:pPr>
      <w:r w:rsidRPr="007169EC">
        <w:rPr>
          <w:b/>
          <w:bCs/>
        </w:rPr>
        <w:fldChar w:fldCharType="begin"/>
      </w:r>
      <w:r w:rsidRPr="007169EC">
        <w:rPr>
          <w:b/>
          <w:bCs/>
        </w:rPr>
        <w:instrText xml:space="preserve"> TOC \o "1-3" \h \z \u </w:instrText>
      </w:r>
      <w:r w:rsidRPr="007169EC">
        <w:rPr>
          <w:b/>
          <w:bCs/>
        </w:rPr>
        <w:fldChar w:fldCharType="separate"/>
      </w:r>
      <w:hyperlink w:anchor="_Toc134454156" w:history="1">
        <w:r w:rsidRPr="006A0A0D">
          <w:rPr>
            <w:rStyle w:val="Hyperlink"/>
            <w:noProof/>
          </w:rPr>
          <w:t>I.</w:t>
        </w:r>
        <w:r>
          <w:rPr>
            <w:rFonts w:asciiTheme="minorHAnsi" w:eastAsiaTheme="minorEastAsia" w:hAnsiTheme="minorHAnsi" w:cstheme="minorBidi"/>
            <w:noProof/>
            <w:kern w:val="2"/>
            <w:sz w:val="22"/>
            <w:szCs w:val="22"/>
            <w14:ligatures w14:val="standardContextual"/>
          </w:rPr>
          <w:tab/>
        </w:r>
        <w:r w:rsidRPr="006A0A0D">
          <w:rPr>
            <w:rStyle w:val="Hyperlink"/>
            <w:noProof/>
          </w:rPr>
          <w:t>INTRODUCTION</w:t>
        </w:r>
        <w:r>
          <w:rPr>
            <w:noProof/>
            <w:webHidden/>
          </w:rPr>
          <w:tab/>
        </w:r>
        <w:r>
          <w:rPr>
            <w:noProof/>
            <w:webHidden/>
          </w:rPr>
          <w:fldChar w:fldCharType="begin"/>
        </w:r>
        <w:r>
          <w:rPr>
            <w:noProof/>
            <w:webHidden/>
          </w:rPr>
          <w:instrText xml:space="preserve"> PAGEREF _Toc134454156 \h </w:instrText>
        </w:r>
        <w:r>
          <w:rPr>
            <w:noProof/>
            <w:webHidden/>
          </w:rPr>
          <w:fldChar w:fldCharType="separate"/>
        </w:r>
        <w:r>
          <w:rPr>
            <w:noProof/>
            <w:webHidden/>
          </w:rPr>
          <w:t>1</w:t>
        </w:r>
        <w:r>
          <w:rPr>
            <w:noProof/>
            <w:webHidden/>
          </w:rPr>
          <w:fldChar w:fldCharType="end"/>
        </w:r>
      </w:hyperlink>
    </w:p>
    <w:p w:rsidR="00504C4C" w14:paraId="453395F4" w14:textId="0F054FC2">
      <w:pPr>
        <w:pStyle w:val="TOC1"/>
        <w:rPr>
          <w:rFonts w:asciiTheme="minorHAnsi" w:eastAsiaTheme="minorEastAsia" w:hAnsiTheme="minorHAnsi" w:cstheme="minorBidi"/>
          <w:noProof/>
          <w:kern w:val="2"/>
          <w:sz w:val="22"/>
          <w:szCs w:val="22"/>
          <w14:ligatures w14:val="standardContextual"/>
        </w:rPr>
      </w:pPr>
      <w:hyperlink w:anchor="_Toc134454157" w:history="1">
        <w:r w:rsidRPr="006A0A0D">
          <w:rPr>
            <w:rStyle w:val="Hyperlink"/>
            <w:noProof/>
          </w:rPr>
          <w:t>II.</w:t>
        </w:r>
        <w:r>
          <w:rPr>
            <w:rFonts w:asciiTheme="minorHAnsi" w:eastAsiaTheme="minorEastAsia" w:hAnsiTheme="minorHAnsi" w:cstheme="minorBidi"/>
            <w:noProof/>
            <w:kern w:val="2"/>
            <w:sz w:val="22"/>
            <w:szCs w:val="22"/>
            <w14:ligatures w14:val="standardContextual"/>
          </w:rPr>
          <w:tab/>
        </w:r>
        <w:r w:rsidRPr="006A0A0D">
          <w:rPr>
            <w:rStyle w:val="Hyperlink"/>
            <w:noProof/>
          </w:rPr>
          <w:t>STATEMENT OF FACTS</w:t>
        </w:r>
        <w:r>
          <w:rPr>
            <w:noProof/>
            <w:webHidden/>
          </w:rPr>
          <w:tab/>
        </w:r>
        <w:r>
          <w:rPr>
            <w:noProof/>
            <w:webHidden/>
          </w:rPr>
          <w:fldChar w:fldCharType="begin"/>
        </w:r>
        <w:r>
          <w:rPr>
            <w:noProof/>
            <w:webHidden/>
          </w:rPr>
          <w:instrText xml:space="preserve"> PAGEREF _Toc134454157 \h </w:instrText>
        </w:r>
        <w:r>
          <w:rPr>
            <w:noProof/>
            <w:webHidden/>
          </w:rPr>
          <w:fldChar w:fldCharType="separate"/>
        </w:r>
        <w:r>
          <w:rPr>
            <w:noProof/>
            <w:webHidden/>
          </w:rPr>
          <w:t>2</w:t>
        </w:r>
        <w:r>
          <w:rPr>
            <w:noProof/>
            <w:webHidden/>
          </w:rPr>
          <w:fldChar w:fldCharType="end"/>
        </w:r>
      </w:hyperlink>
    </w:p>
    <w:p w:rsidR="00504C4C" w14:paraId="670C9D03" w14:textId="4C52C7D9">
      <w:pPr>
        <w:pStyle w:val="TOC1"/>
        <w:rPr>
          <w:rFonts w:asciiTheme="minorHAnsi" w:eastAsiaTheme="minorEastAsia" w:hAnsiTheme="minorHAnsi" w:cstheme="minorBidi"/>
          <w:noProof/>
          <w:kern w:val="2"/>
          <w:sz w:val="22"/>
          <w:szCs w:val="22"/>
          <w14:ligatures w14:val="standardContextual"/>
        </w:rPr>
      </w:pPr>
      <w:hyperlink w:anchor="_Toc134454158" w:history="1">
        <w:r w:rsidRPr="006A0A0D">
          <w:rPr>
            <w:rStyle w:val="Hyperlink"/>
            <w:noProof/>
          </w:rPr>
          <w:t>III.</w:t>
        </w:r>
        <w:r>
          <w:rPr>
            <w:rFonts w:asciiTheme="minorHAnsi" w:eastAsiaTheme="minorEastAsia" w:hAnsiTheme="minorHAnsi" w:cstheme="minorBidi"/>
            <w:noProof/>
            <w:kern w:val="2"/>
            <w:sz w:val="22"/>
            <w:szCs w:val="22"/>
            <w14:ligatures w14:val="standardContextual"/>
          </w:rPr>
          <w:tab/>
        </w:r>
        <w:r w:rsidRPr="006A0A0D">
          <w:rPr>
            <w:rStyle w:val="Hyperlink"/>
            <w:noProof/>
          </w:rPr>
          <w:t>STANDARD OF REVIEW</w:t>
        </w:r>
        <w:r>
          <w:rPr>
            <w:noProof/>
            <w:webHidden/>
          </w:rPr>
          <w:tab/>
        </w:r>
        <w:r>
          <w:rPr>
            <w:noProof/>
            <w:webHidden/>
          </w:rPr>
          <w:fldChar w:fldCharType="begin"/>
        </w:r>
        <w:r>
          <w:rPr>
            <w:noProof/>
            <w:webHidden/>
          </w:rPr>
          <w:instrText xml:space="preserve"> PAGEREF _Toc134454158 \h </w:instrText>
        </w:r>
        <w:r>
          <w:rPr>
            <w:noProof/>
            <w:webHidden/>
          </w:rPr>
          <w:fldChar w:fldCharType="separate"/>
        </w:r>
        <w:r>
          <w:rPr>
            <w:noProof/>
            <w:webHidden/>
          </w:rPr>
          <w:t>3</w:t>
        </w:r>
        <w:r>
          <w:rPr>
            <w:noProof/>
            <w:webHidden/>
          </w:rPr>
          <w:fldChar w:fldCharType="end"/>
        </w:r>
      </w:hyperlink>
    </w:p>
    <w:p w:rsidR="00504C4C" w14:paraId="69F06117" w14:textId="71B378D1">
      <w:pPr>
        <w:pStyle w:val="TOC1"/>
        <w:rPr>
          <w:rFonts w:asciiTheme="minorHAnsi" w:eastAsiaTheme="minorEastAsia" w:hAnsiTheme="minorHAnsi" w:cstheme="minorBidi"/>
          <w:noProof/>
          <w:kern w:val="2"/>
          <w:sz w:val="22"/>
          <w:szCs w:val="22"/>
          <w14:ligatures w14:val="standardContextual"/>
        </w:rPr>
      </w:pPr>
      <w:hyperlink w:anchor="_Toc134454159" w:history="1">
        <w:r w:rsidRPr="006A0A0D">
          <w:rPr>
            <w:rStyle w:val="Hyperlink"/>
            <w:noProof/>
          </w:rPr>
          <w:t>IV.</w:t>
        </w:r>
        <w:r>
          <w:rPr>
            <w:rFonts w:asciiTheme="minorHAnsi" w:eastAsiaTheme="minorEastAsia" w:hAnsiTheme="minorHAnsi" w:cstheme="minorBidi"/>
            <w:noProof/>
            <w:kern w:val="2"/>
            <w:sz w:val="22"/>
            <w:szCs w:val="22"/>
            <w14:ligatures w14:val="standardContextual"/>
          </w:rPr>
          <w:tab/>
        </w:r>
        <w:r w:rsidRPr="006A0A0D">
          <w:rPr>
            <w:rStyle w:val="Hyperlink"/>
            <w:noProof/>
          </w:rPr>
          <w:t>CONSUMER PROTECTION RECOMMENDATIONS</w:t>
        </w:r>
        <w:r>
          <w:rPr>
            <w:noProof/>
            <w:webHidden/>
          </w:rPr>
          <w:tab/>
        </w:r>
        <w:r>
          <w:rPr>
            <w:noProof/>
            <w:webHidden/>
          </w:rPr>
          <w:fldChar w:fldCharType="begin"/>
        </w:r>
        <w:r>
          <w:rPr>
            <w:noProof/>
            <w:webHidden/>
          </w:rPr>
          <w:instrText xml:space="preserve"> PAGEREF _Toc134454159 \h </w:instrText>
        </w:r>
        <w:r>
          <w:rPr>
            <w:noProof/>
            <w:webHidden/>
          </w:rPr>
          <w:fldChar w:fldCharType="separate"/>
        </w:r>
        <w:r>
          <w:rPr>
            <w:noProof/>
            <w:webHidden/>
          </w:rPr>
          <w:t>4</w:t>
        </w:r>
        <w:r>
          <w:rPr>
            <w:noProof/>
            <w:webHidden/>
          </w:rPr>
          <w:fldChar w:fldCharType="end"/>
        </w:r>
      </w:hyperlink>
    </w:p>
    <w:p w:rsidR="00504C4C" w14:paraId="45C9A9DD" w14:textId="6D8E83BD">
      <w:pPr>
        <w:pStyle w:val="TOC2"/>
        <w:tabs>
          <w:tab w:val="left" w:pos="1440"/>
        </w:tabs>
        <w:rPr>
          <w:rFonts w:asciiTheme="minorHAnsi" w:eastAsiaTheme="minorEastAsia" w:hAnsiTheme="minorHAnsi" w:cstheme="minorBidi"/>
          <w:noProof/>
          <w:kern w:val="2"/>
          <w:sz w:val="22"/>
          <w:szCs w:val="22"/>
          <w14:ligatures w14:val="standardContextual"/>
        </w:rPr>
      </w:pPr>
      <w:hyperlink w:anchor="_Toc134454160" w:history="1">
        <w:r w:rsidRPr="006A0A0D">
          <w:rPr>
            <w:rStyle w:val="Hyperlink"/>
            <w:noProof/>
            <w:spacing w:val="-1"/>
            <w:w w:val="99"/>
          </w:rPr>
          <w:t>A.</w:t>
        </w:r>
        <w:r>
          <w:rPr>
            <w:rFonts w:asciiTheme="minorHAnsi" w:eastAsiaTheme="minorEastAsia" w:hAnsiTheme="minorHAnsi" w:cstheme="minorBidi"/>
            <w:noProof/>
            <w:kern w:val="2"/>
            <w:sz w:val="22"/>
            <w:szCs w:val="22"/>
            <w14:ligatures w14:val="standardContextual"/>
          </w:rPr>
          <w:tab/>
        </w:r>
        <w:r w:rsidRPr="006A0A0D">
          <w:rPr>
            <w:rStyle w:val="Hyperlink"/>
            <w:noProof/>
          </w:rPr>
          <w:t xml:space="preserve">The PUCO should disallow AES, AEP and Duke’s above-market </w:t>
        </w:r>
        <w:r w:rsidR="006B7A72">
          <w:rPr>
            <w:rStyle w:val="Hyperlink"/>
            <w:noProof/>
          </w:rPr>
          <w:br/>
        </w:r>
        <w:r w:rsidRPr="006A0A0D">
          <w:rPr>
            <w:rStyle w:val="Hyperlink"/>
            <w:noProof/>
          </w:rPr>
          <w:t xml:space="preserve">coal plant subsidy charges which the PUCO-approved auditor </w:t>
        </w:r>
        <w:r w:rsidR="006B7A72">
          <w:rPr>
            <w:rStyle w:val="Hyperlink"/>
            <w:noProof/>
          </w:rPr>
          <w:br/>
        </w:r>
        <w:r w:rsidRPr="006A0A0D">
          <w:rPr>
            <w:rStyle w:val="Hyperlink"/>
            <w:noProof/>
          </w:rPr>
          <w:t>should identify through an hour-by-hour dispatch analysis</w:t>
        </w:r>
        <w:r w:rsidR="006B7A72">
          <w:rPr>
            <w:rStyle w:val="Hyperlink"/>
            <w:noProof/>
          </w:rPr>
          <w:br/>
        </w:r>
        <w:r w:rsidRPr="006A0A0D">
          <w:rPr>
            <w:rStyle w:val="Hyperlink"/>
            <w:noProof/>
          </w:rPr>
          <w:t xml:space="preserve"> because OVEC’s commitment of the plants into PJM as must-</w:t>
        </w:r>
        <w:r w:rsidR="006B7A72">
          <w:rPr>
            <w:rStyle w:val="Hyperlink"/>
            <w:noProof/>
          </w:rPr>
          <w:br/>
        </w:r>
        <w:r w:rsidRPr="006A0A0D">
          <w:rPr>
            <w:rStyle w:val="Hyperlink"/>
            <w:noProof/>
          </w:rPr>
          <w:t>run units was not prudent and added needless costs to customers.</w:t>
        </w:r>
        <w:r>
          <w:rPr>
            <w:noProof/>
            <w:webHidden/>
          </w:rPr>
          <w:tab/>
        </w:r>
        <w:r>
          <w:rPr>
            <w:noProof/>
            <w:webHidden/>
          </w:rPr>
          <w:fldChar w:fldCharType="begin"/>
        </w:r>
        <w:r>
          <w:rPr>
            <w:noProof/>
            <w:webHidden/>
          </w:rPr>
          <w:instrText xml:space="preserve"> PAGEREF _Toc134454160 \h </w:instrText>
        </w:r>
        <w:r>
          <w:rPr>
            <w:noProof/>
            <w:webHidden/>
          </w:rPr>
          <w:fldChar w:fldCharType="separate"/>
        </w:r>
        <w:r>
          <w:rPr>
            <w:noProof/>
            <w:webHidden/>
          </w:rPr>
          <w:t>4</w:t>
        </w:r>
        <w:r>
          <w:rPr>
            <w:noProof/>
            <w:webHidden/>
          </w:rPr>
          <w:fldChar w:fldCharType="end"/>
        </w:r>
      </w:hyperlink>
    </w:p>
    <w:p w:rsidR="00504C4C" w14:paraId="64865C73" w14:textId="036DA64D">
      <w:pPr>
        <w:pStyle w:val="TOC2"/>
        <w:tabs>
          <w:tab w:val="left" w:pos="1440"/>
        </w:tabs>
        <w:rPr>
          <w:rFonts w:asciiTheme="minorHAnsi" w:eastAsiaTheme="minorEastAsia" w:hAnsiTheme="minorHAnsi" w:cstheme="minorBidi"/>
          <w:noProof/>
          <w:kern w:val="2"/>
          <w:sz w:val="22"/>
          <w:szCs w:val="22"/>
          <w14:ligatures w14:val="standardContextual"/>
        </w:rPr>
      </w:pPr>
      <w:hyperlink w:anchor="_Toc134454161" w:history="1">
        <w:r w:rsidRPr="006A0A0D">
          <w:rPr>
            <w:rStyle w:val="Hyperlink"/>
            <w:noProof/>
            <w:spacing w:val="-1"/>
            <w:w w:val="99"/>
          </w:rPr>
          <w:t>B.</w:t>
        </w:r>
        <w:r>
          <w:rPr>
            <w:rFonts w:asciiTheme="minorHAnsi" w:eastAsiaTheme="minorEastAsia" w:hAnsiTheme="minorHAnsi" w:cstheme="minorBidi"/>
            <w:noProof/>
            <w:kern w:val="2"/>
            <w:sz w:val="22"/>
            <w:szCs w:val="22"/>
            <w14:ligatures w14:val="standardContextual"/>
          </w:rPr>
          <w:tab/>
        </w:r>
        <w:r w:rsidRPr="006A0A0D">
          <w:rPr>
            <w:rStyle w:val="Hyperlink"/>
            <w:noProof/>
          </w:rPr>
          <w:t xml:space="preserve">To protect consumers, the PUCO should disallow unreasonable </w:t>
        </w:r>
        <w:r w:rsidR="006B7A72">
          <w:rPr>
            <w:rStyle w:val="Hyperlink"/>
            <w:noProof/>
          </w:rPr>
          <w:br/>
        </w:r>
        <w:r w:rsidRPr="006A0A0D">
          <w:rPr>
            <w:rStyle w:val="Hyperlink"/>
            <w:noProof/>
          </w:rPr>
          <w:t xml:space="preserve">and imprudent above-market coal costs and require AES, AEP </w:t>
        </w:r>
        <w:r w:rsidR="006B7A72">
          <w:rPr>
            <w:rStyle w:val="Hyperlink"/>
            <w:noProof/>
          </w:rPr>
          <w:br/>
        </w:r>
        <w:r w:rsidRPr="006A0A0D">
          <w:rPr>
            <w:rStyle w:val="Hyperlink"/>
            <w:noProof/>
          </w:rPr>
          <w:t>and Duke to credit consumers $12.6 million for such above-</w:t>
        </w:r>
        <w:r w:rsidR="006B7A72">
          <w:rPr>
            <w:rStyle w:val="Hyperlink"/>
            <w:noProof/>
          </w:rPr>
          <w:br/>
        </w:r>
        <w:r w:rsidRPr="006A0A0D">
          <w:rPr>
            <w:rStyle w:val="Hyperlink"/>
            <w:noProof/>
          </w:rPr>
          <w:t>market coal costs.</w:t>
        </w:r>
        <w:r>
          <w:rPr>
            <w:noProof/>
            <w:webHidden/>
          </w:rPr>
          <w:tab/>
        </w:r>
        <w:r>
          <w:rPr>
            <w:noProof/>
            <w:webHidden/>
          </w:rPr>
          <w:fldChar w:fldCharType="begin"/>
        </w:r>
        <w:r>
          <w:rPr>
            <w:noProof/>
            <w:webHidden/>
          </w:rPr>
          <w:instrText xml:space="preserve"> PAGEREF _Toc134454161 \h </w:instrText>
        </w:r>
        <w:r>
          <w:rPr>
            <w:noProof/>
            <w:webHidden/>
          </w:rPr>
          <w:fldChar w:fldCharType="separate"/>
        </w:r>
        <w:r>
          <w:rPr>
            <w:noProof/>
            <w:webHidden/>
          </w:rPr>
          <w:t>11</w:t>
        </w:r>
        <w:r>
          <w:rPr>
            <w:noProof/>
            <w:webHidden/>
          </w:rPr>
          <w:fldChar w:fldCharType="end"/>
        </w:r>
      </w:hyperlink>
    </w:p>
    <w:p w:rsidR="00504C4C" w14:paraId="11958777" w14:textId="75FA3483">
      <w:pPr>
        <w:pStyle w:val="TOC2"/>
        <w:tabs>
          <w:tab w:val="left" w:pos="1440"/>
        </w:tabs>
        <w:rPr>
          <w:rFonts w:asciiTheme="minorHAnsi" w:eastAsiaTheme="minorEastAsia" w:hAnsiTheme="minorHAnsi" w:cstheme="minorBidi"/>
          <w:noProof/>
          <w:kern w:val="2"/>
          <w:sz w:val="22"/>
          <w:szCs w:val="22"/>
          <w14:ligatures w14:val="standardContextual"/>
        </w:rPr>
      </w:pPr>
      <w:hyperlink w:anchor="_Toc134454162" w:history="1">
        <w:r w:rsidRPr="006A0A0D">
          <w:rPr>
            <w:rStyle w:val="Hyperlink"/>
            <w:noProof/>
            <w:spacing w:val="-1"/>
            <w:w w:val="99"/>
          </w:rPr>
          <w:t>C.</w:t>
        </w:r>
        <w:r>
          <w:rPr>
            <w:rFonts w:asciiTheme="minorHAnsi" w:eastAsiaTheme="minorEastAsia" w:hAnsiTheme="minorHAnsi" w:cstheme="minorBidi"/>
            <w:noProof/>
            <w:kern w:val="2"/>
            <w:sz w:val="22"/>
            <w:szCs w:val="22"/>
            <w14:ligatures w14:val="standardContextual"/>
          </w:rPr>
          <w:tab/>
        </w:r>
        <w:r w:rsidRPr="006A0A0D">
          <w:rPr>
            <w:rStyle w:val="Hyperlink"/>
            <w:noProof/>
          </w:rPr>
          <w:t xml:space="preserve">The PUCO should disallow any costs related to the Clifty </w:t>
        </w:r>
        <w:r w:rsidR="006B7A72">
          <w:rPr>
            <w:rStyle w:val="Hyperlink"/>
            <w:noProof/>
          </w:rPr>
          <w:br/>
        </w:r>
        <w:r w:rsidRPr="006A0A0D">
          <w:rPr>
            <w:rStyle w:val="Hyperlink"/>
            <w:noProof/>
          </w:rPr>
          <w:t xml:space="preserve">Creek plant which were incurred after the U.S. EPA proposed </w:t>
        </w:r>
        <w:r w:rsidR="006B7A72">
          <w:rPr>
            <w:rStyle w:val="Hyperlink"/>
            <w:noProof/>
          </w:rPr>
          <w:br/>
        </w:r>
        <w:r w:rsidRPr="006A0A0D">
          <w:rPr>
            <w:rStyle w:val="Hyperlink"/>
            <w:noProof/>
          </w:rPr>
          <w:t xml:space="preserve">decision to deny any extensions for coal ash pond permits and </w:t>
        </w:r>
        <w:r w:rsidR="006B7A72">
          <w:rPr>
            <w:rStyle w:val="Hyperlink"/>
            <w:noProof/>
          </w:rPr>
          <w:br/>
        </w:r>
        <w:r w:rsidRPr="006A0A0D">
          <w:rPr>
            <w:rStyle w:val="Hyperlink"/>
            <w:noProof/>
          </w:rPr>
          <w:t xml:space="preserve">require AES, AEP and Duke to credit consumers for these </w:t>
        </w:r>
        <w:r w:rsidR="006B7A72">
          <w:rPr>
            <w:rStyle w:val="Hyperlink"/>
            <w:noProof/>
          </w:rPr>
          <w:br/>
        </w:r>
        <w:r w:rsidRPr="006A0A0D">
          <w:rPr>
            <w:rStyle w:val="Hyperlink"/>
            <w:noProof/>
          </w:rPr>
          <w:t>amounts.</w:t>
        </w:r>
        <w:r>
          <w:rPr>
            <w:noProof/>
            <w:webHidden/>
          </w:rPr>
          <w:tab/>
        </w:r>
        <w:r>
          <w:rPr>
            <w:noProof/>
            <w:webHidden/>
          </w:rPr>
          <w:fldChar w:fldCharType="begin"/>
        </w:r>
        <w:r>
          <w:rPr>
            <w:noProof/>
            <w:webHidden/>
          </w:rPr>
          <w:instrText xml:space="preserve"> PAGEREF _Toc134454162 \h </w:instrText>
        </w:r>
        <w:r>
          <w:rPr>
            <w:noProof/>
            <w:webHidden/>
          </w:rPr>
          <w:fldChar w:fldCharType="separate"/>
        </w:r>
        <w:r>
          <w:rPr>
            <w:noProof/>
            <w:webHidden/>
          </w:rPr>
          <w:t>13</w:t>
        </w:r>
        <w:r>
          <w:rPr>
            <w:noProof/>
            <w:webHidden/>
          </w:rPr>
          <w:fldChar w:fldCharType="end"/>
        </w:r>
      </w:hyperlink>
    </w:p>
    <w:p w:rsidR="00504C4C" w14:paraId="307A91FC" w14:textId="005EE3D1">
      <w:pPr>
        <w:pStyle w:val="TOC2"/>
        <w:tabs>
          <w:tab w:val="left" w:pos="1440"/>
        </w:tabs>
        <w:rPr>
          <w:rFonts w:asciiTheme="minorHAnsi" w:eastAsiaTheme="minorEastAsia" w:hAnsiTheme="minorHAnsi" w:cstheme="minorBidi"/>
          <w:noProof/>
          <w:kern w:val="2"/>
          <w:sz w:val="22"/>
          <w:szCs w:val="22"/>
          <w14:ligatures w14:val="standardContextual"/>
        </w:rPr>
      </w:pPr>
      <w:hyperlink w:anchor="_Toc134454163" w:history="1">
        <w:r w:rsidRPr="006A0A0D">
          <w:rPr>
            <w:rStyle w:val="Hyperlink"/>
            <w:noProof/>
          </w:rPr>
          <w:t>D.</w:t>
        </w:r>
        <w:r>
          <w:rPr>
            <w:rFonts w:asciiTheme="minorHAnsi" w:eastAsiaTheme="minorEastAsia" w:hAnsiTheme="minorHAnsi" w:cstheme="minorBidi"/>
            <w:noProof/>
            <w:kern w:val="2"/>
            <w:sz w:val="22"/>
            <w:szCs w:val="22"/>
            <w14:ligatures w14:val="standardContextual"/>
          </w:rPr>
          <w:tab/>
        </w:r>
        <w:r w:rsidRPr="006A0A0D">
          <w:rPr>
            <w:rStyle w:val="Hyperlink"/>
            <w:noProof/>
          </w:rPr>
          <w:t xml:space="preserve">If consumers are going to be made to pay AES, Duke, and AEP </w:t>
        </w:r>
        <w:r w:rsidR="006B7A72">
          <w:rPr>
            <w:rStyle w:val="Hyperlink"/>
            <w:noProof/>
          </w:rPr>
          <w:br/>
        </w:r>
        <w:r w:rsidRPr="006A0A0D">
          <w:rPr>
            <w:rStyle w:val="Hyperlink"/>
            <w:noProof/>
          </w:rPr>
          <w:t xml:space="preserve">related to OVEC plants (and they should not), then the subsidy </w:t>
        </w:r>
        <w:r w:rsidR="006B7A72">
          <w:rPr>
            <w:rStyle w:val="Hyperlink"/>
            <w:noProof/>
          </w:rPr>
          <w:br/>
        </w:r>
        <w:r w:rsidRPr="006A0A0D">
          <w:rPr>
            <w:rStyle w:val="Hyperlink"/>
            <w:noProof/>
          </w:rPr>
          <w:t xml:space="preserve">should be for current operational costs and not for future </w:t>
        </w:r>
        <w:r w:rsidR="006B7A72">
          <w:rPr>
            <w:rStyle w:val="Hyperlink"/>
            <w:noProof/>
          </w:rPr>
          <w:br/>
        </w:r>
        <w:r w:rsidRPr="006A0A0D">
          <w:rPr>
            <w:rStyle w:val="Hyperlink"/>
            <w:noProof/>
          </w:rPr>
          <w:t>decommissioning costs.</w:t>
        </w:r>
        <w:r>
          <w:rPr>
            <w:noProof/>
            <w:webHidden/>
          </w:rPr>
          <w:tab/>
        </w:r>
        <w:r>
          <w:rPr>
            <w:noProof/>
            <w:webHidden/>
          </w:rPr>
          <w:fldChar w:fldCharType="begin"/>
        </w:r>
        <w:r>
          <w:rPr>
            <w:noProof/>
            <w:webHidden/>
          </w:rPr>
          <w:instrText xml:space="preserve"> PAGEREF _Toc134454163 \h </w:instrText>
        </w:r>
        <w:r>
          <w:rPr>
            <w:noProof/>
            <w:webHidden/>
          </w:rPr>
          <w:fldChar w:fldCharType="separate"/>
        </w:r>
        <w:r>
          <w:rPr>
            <w:noProof/>
            <w:webHidden/>
          </w:rPr>
          <w:t>14</w:t>
        </w:r>
        <w:r>
          <w:rPr>
            <w:noProof/>
            <w:webHidden/>
          </w:rPr>
          <w:fldChar w:fldCharType="end"/>
        </w:r>
      </w:hyperlink>
    </w:p>
    <w:p w:rsidR="00504C4C" w14:paraId="693F3B66" w14:textId="5F51FE90">
      <w:pPr>
        <w:pStyle w:val="TOC1"/>
        <w:rPr>
          <w:rFonts w:asciiTheme="minorHAnsi" w:eastAsiaTheme="minorEastAsia" w:hAnsiTheme="minorHAnsi" w:cstheme="minorBidi"/>
          <w:noProof/>
          <w:kern w:val="2"/>
          <w:sz w:val="22"/>
          <w:szCs w:val="22"/>
          <w14:ligatures w14:val="standardContextual"/>
        </w:rPr>
      </w:pPr>
      <w:hyperlink w:anchor="_Toc134454164" w:history="1">
        <w:r w:rsidRPr="006A0A0D">
          <w:rPr>
            <w:rStyle w:val="Hyperlink"/>
            <w:noProof/>
          </w:rPr>
          <w:t>V.</w:t>
        </w:r>
        <w:r>
          <w:rPr>
            <w:rFonts w:asciiTheme="minorHAnsi" w:eastAsiaTheme="minorEastAsia" w:hAnsiTheme="minorHAnsi" w:cstheme="minorBidi"/>
            <w:noProof/>
            <w:kern w:val="2"/>
            <w:sz w:val="22"/>
            <w:szCs w:val="22"/>
            <w14:ligatures w14:val="standardContextual"/>
          </w:rPr>
          <w:tab/>
        </w:r>
        <w:r w:rsidRPr="006A0A0D">
          <w:rPr>
            <w:rStyle w:val="Hyperlink"/>
            <w:noProof/>
          </w:rPr>
          <w:t>CONCLUSION</w:t>
        </w:r>
        <w:r>
          <w:rPr>
            <w:noProof/>
            <w:webHidden/>
          </w:rPr>
          <w:tab/>
        </w:r>
        <w:r>
          <w:rPr>
            <w:noProof/>
            <w:webHidden/>
          </w:rPr>
          <w:fldChar w:fldCharType="begin"/>
        </w:r>
        <w:r>
          <w:rPr>
            <w:noProof/>
            <w:webHidden/>
          </w:rPr>
          <w:instrText xml:space="preserve"> PAGEREF _Toc134454164 \h </w:instrText>
        </w:r>
        <w:r>
          <w:rPr>
            <w:noProof/>
            <w:webHidden/>
          </w:rPr>
          <w:fldChar w:fldCharType="separate"/>
        </w:r>
        <w:r>
          <w:rPr>
            <w:noProof/>
            <w:webHidden/>
          </w:rPr>
          <w:t>15</w:t>
        </w:r>
        <w:r>
          <w:rPr>
            <w:noProof/>
            <w:webHidden/>
          </w:rPr>
          <w:fldChar w:fldCharType="end"/>
        </w:r>
      </w:hyperlink>
    </w:p>
    <w:p w:rsidR="00741A06" w:rsidRPr="007169EC" w:rsidP="00FA46F7" w14:paraId="35356E95" w14:textId="0DAB0B9D">
      <w:pPr>
        <w:pStyle w:val="BodyText"/>
        <w:jc w:val="both"/>
      </w:pPr>
      <w:r w:rsidRPr="007169EC">
        <w:rPr>
          <w:b/>
          <w:bCs/>
        </w:rPr>
        <w:fldChar w:fldCharType="end"/>
      </w:r>
    </w:p>
    <w:p w:rsidR="00741A06" w:rsidRPr="007169EC" w:rsidP="00FA46F7" w14:paraId="5DE00F70" w14:textId="77777777">
      <w:pPr>
        <w:pStyle w:val="BodyText"/>
        <w:jc w:val="both"/>
      </w:pPr>
    </w:p>
    <w:p w:rsidR="00741A06" w:rsidRPr="007169EC" w:rsidP="00FA46F7" w14:paraId="77BD1633" w14:textId="77777777">
      <w:pPr>
        <w:pStyle w:val="BodyText"/>
        <w:jc w:val="both"/>
      </w:pPr>
    </w:p>
    <w:p w:rsidR="00741A06" w:rsidRPr="007169EC" w:rsidP="00FA46F7" w14:paraId="0561D7F7" w14:textId="77777777">
      <w:pPr>
        <w:jc w:val="both"/>
        <w:rPr>
          <w:sz w:val="24"/>
          <w:szCs w:val="24"/>
        </w:rPr>
        <w:sectPr w:rsidSect="007C5BFF">
          <w:footerReference w:type="default" r:id="rId14"/>
          <w:pgSz w:w="12240" w:h="15840"/>
          <w:pgMar w:top="1440" w:right="1800" w:bottom="1440" w:left="1800" w:header="720" w:footer="720" w:gutter="0"/>
          <w:pgNumType w:fmt="lowerRoman" w:start="1"/>
          <w:cols w:space="720"/>
          <w:docGrid w:linePitch="299"/>
        </w:sectPr>
      </w:pPr>
    </w:p>
    <w:p w:rsidR="001206EF" w:rsidRPr="007169EC" w:rsidP="001206EF" w14:paraId="0381439F" w14:textId="77777777">
      <w:pPr>
        <w:pStyle w:val="HTMLPreformatted"/>
        <w:jc w:val="center"/>
        <w:rPr>
          <w:rFonts w:ascii="Times New Roman" w:hAnsi="Times New Roman" w:cs="Times New Roman"/>
          <w:b/>
          <w:bCs/>
          <w:sz w:val="24"/>
          <w:szCs w:val="24"/>
        </w:rPr>
      </w:pPr>
      <w:r w:rsidRPr="007169EC">
        <w:rPr>
          <w:rFonts w:ascii="Times New Roman" w:hAnsi="Times New Roman" w:cs="Times New Roman"/>
          <w:b/>
          <w:bCs/>
          <w:sz w:val="24"/>
          <w:szCs w:val="24"/>
        </w:rPr>
        <w:t>BEFORE</w:t>
      </w:r>
    </w:p>
    <w:p w:rsidR="001206EF" w:rsidRPr="007169EC" w:rsidP="001206EF" w14:paraId="110BCBA9" w14:textId="77777777">
      <w:pPr>
        <w:pStyle w:val="HTMLPreformatted"/>
        <w:jc w:val="center"/>
        <w:rPr>
          <w:rFonts w:ascii="Times New Roman" w:hAnsi="Times New Roman" w:cs="Times New Roman"/>
          <w:b/>
          <w:bCs/>
          <w:sz w:val="24"/>
          <w:szCs w:val="24"/>
        </w:rPr>
      </w:pPr>
      <w:r w:rsidRPr="007169EC">
        <w:rPr>
          <w:rFonts w:ascii="Times New Roman" w:hAnsi="Times New Roman" w:cs="Times New Roman"/>
          <w:b/>
          <w:bCs/>
          <w:sz w:val="24"/>
          <w:szCs w:val="24"/>
        </w:rPr>
        <w:t>THE PUBLIC UTILITIES COMMISSION OF OHIO</w:t>
      </w:r>
    </w:p>
    <w:p w:rsidR="001206EF" w:rsidRPr="007169EC" w:rsidP="001206EF" w14:paraId="0C90BBE9" w14:textId="77777777">
      <w:pPr>
        <w:pStyle w:val="HTMLPreformatted"/>
        <w:rPr>
          <w:rFonts w:ascii="Times New Roman" w:hAnsi="Times New Roman" w:cs="Times New Roman"/>
          <w:sz w:val="24"/>
          <w:szCs w:val="24"/>
        </w:rPr>
      </w:pPr>
    </w:p>
    <w:tbl>
      <w:tblPr>
        <w:tblW w:w="9092" w:type="dxa"/>
        <w:tblInd w:w="-90" w:type="dxa"/>
        <w:tblLook w:val="01E0"/>
      </w:tblPr>
      <w:tblGrid>
        <w:gridCol w:w="4230"/>
        <w:gridCol w:w="630"/>
        <w:gridCol w:w="4232"/>
      </w:tblGrid>
      <w:tr w14:paraId="32AA8A63" w14:textId="77777777" w:rsidTr="00A02B10">
        <w:tblPrEx>
          <w:tblW w:w="9092" w:type="dxa"/>
          <w:tblInd w:w="-90" w:type="dxa"/>
          <w:tblLook w:val="01E0"/>
        </w:tblPrEx>
        <w:trPr>
          <w:trHeight w:val="807"/>
        </w:trPr>
        <w:tc>
          <w:tcPr>
            <w:tcW w:w="4230" w:type="dxa"/>
            <w:shd w:val="clear" w:color="auto" w:fill="auto"/>
          </w:tcPr>
          <w:p w:rsidR="001206EF" w:rsidRPr="007169EC" w:rsidP="00A02B10" w14:paraId="27857EE3" w14:textId="77777777">
            <w:pPr>
              <w:pStyle w:val="HTMLPreformatted"/>
              <w:ind w:right="156"/>
              <w:rPr>
                <w:rFonts w:ascii="Times New Roman" w:hAnsi="Times New Roman" w:cs="Times New Roman"/>
                <w:sz w:val="24"/>
                <w:szCs w:val="24"/>
              </w:rPr>
            </w:pPr>
            <w:r w:rsidRPr="007169EC">
              <w:rPr>
                <w:rFonts w:ascii="Times New Roman" w:hAnsi="Times New Roman" w:cs="Times New Roman"/>
                <w:sz w:val="24"/>
                <w:szCs w:val="24"/>
              </w:rPr>
              <w:t>In the Matter of the OVEC Generation Purchase Rider Audits Required by R.C. 4928.148 for Duke Energy Ohio, Inc., the Dayton Power and Light Company, and AEP Ohio.</w:t>
            </w:r>
          </w:p>
        </w:tc>
        <w:tc>
          <w:tcPr>
            <w:tcW w:w="630" w:type="dxa"/>
            <w:shd w:val="clear" w:color="auto" w:fill="auto"/>
          </w:tcPr>
          <w:p w:rsidR="001206EF" w:rsidRPr="007169EC" w:rsidP="00A02B10" w14:paraId="47618881" w14:textId="77777777">
            <w:pPr>
              <w:pStyle w:val="HTMLPreformatted"/>
              <w:rPr>
                <w:rFonts w:ascii="Times New Roman" w:hAnsi="Times New Roman" w:cs="Times New Roman"/>
                <w:sz w:val="24"/>
                <w:szCs w:val="24"/>
              </w:rPr>
            </w:pPr>
            <w:r w:rsidRPr="007169EC">
              <w:rPr>
                <w:rFonts w:ascii="Times New Roman" w:hAnsi="Times New Roman" w:cs="Times New Roman"/>
                <w:sz w:val="24"/>
                <w:szCs w:val="24"/>
              </w:rPr>
              <w:t>)</w:t>
            </w:r>
          </w:p>
          <w:p w:rsidR="001206EF" w:rsidRPr="007169EC" w:rsidP="00A02B10" w14:paraId="03BEA5FE" w14:textId="77777777">
            <w:pPr>
              <w:pStyle w:val="HTMLPreformatted"/>
              <w:rPr>
                <w:rFonts w:ascii="Times New Roman" w:hAnsi="Times New Roman" w:cs="Times New Roman"/>
                <w:sz w:val="24"/>
                <w:szCs w:val="24"/>
              </w:rPr>
            </w:pPr>
            <w:r w:rsidRPr="007169EC">
              <w:rPr>
                <w:rFonts w:ascii="Times New Roman" w:hAnsi="Times New Roman" w:cs="Times New Roman"/>
                <w:sz w:val="24"/>
                <w:szCs w:val="24"/>
              </w:rPr>
              <w:t>)</w:t>
            </w:r>
          </w:p>
          <w:p w:rsidR="001206EF" w:rsidRPr="007169EC" w:rsidP="00A02B10" w14:paraId="43F2AEAE" w14:textId="77777777">
            <w:pPr>
              <w:pStyle w:val="HTMLPreformatted"/>
              <w:rPr>
                <w:rFonts w:ascii="Times New Roman" w:hAnsi="Times New Roman" w:cs="Times New Roman"/>
                <w:sz w:val="24"/>
                <w:szCs w:val="24"/>
              </w:rPr>
            </w:pPr>
            <w:r w:rsidRPr="007169EC">
              <w:rPr>
                <w:rFonts w:ascii="Times New Roman" w:hAnsi="Times New Roman" w:cs="Times New Roman"/>
                <w:sz w:val="24"/>
                <w:szCs w:val="24"/>
              </w:rPr>
              <w:t>)</w:t>
            </w:r>
          </w:p>
          <w:p w:rsidR="001206EF" w:rsidRPr="007169EC" w:rsidP="00A02B10" w14:paraId="502425E6" w14:textId="77777777">
            <w:pPr>
              <w:pStyle w:val="HTMLPreformatted"/>
              <w:rPr>
                <w:rFonts w:ascii="Times New Roman" w:hAnsi="Times New Roman" w:cs="Times New Roman"/>
                <w:sz w:val="24"/>
                <w:szCs w:val="24"/>
              </w:rPr>
            </w:pPr>
            <w:r w:rsidRPr="007169EC">
              <w:rPr>
                <w:rFonts w:ascii="Times New Roman" w:hAnsi="Times New Roman" w:cs="Times New Roman"/>
                <w:sz w:val="24"/>
                <w:szCs w:val="24"/>
              </w:rPr>
              <w:t>)</w:t>
            </w:r>
          </w:p>
          <w:p w:rsidR="001206EF" w:rsidRPr="007169EC" w:rsidP="00A02B10" w14:paraId="15CEB67C" w14:textId="77777777">
            <w:pPr>
              <w:pStyle w:val="HTMLPreformatted"/>
              <w:rPr>
                <w:rFonts w:ascii="Times New Roman" w:hAnsi="Times New Roman" w:cs="Times New Roman"/>
                <w:sz w:val="24"/>
                <w:szCs w:val="24"/>
              </w:rPr>
            </w:pPr>
            <w:r w:rsidRPr="007169EC">
              <w:rPr>
                <w:rFonts w:ascii="Times New Roman" w:hAnsi="Times New Roman" w:cs="Times New Roman"/>
                <w:sz w:val="24"/>
                <w:szCs w:val="24"/>
              </w:rPr>
              <w:t>)</w:t>
            </w:r>
          </w:p>
        </w:tc>
        <w:tc>
          <w:tcPr>
            <w:tcW w:w="4232" w:type="dxa"/>
            <w:shd w:val="clear" w:color="auto" w:fill="auto"/>
          </w:tcPr>
          <w:p w:rsidR="001206EF" w:rsidRPr="007169EC" w:rsidP="00A02B10" w14:paraId="363B62ED" w14:textId="77777777">
            <w:pPr>
              <w:pStyle w:val="HTMLPreformatted"/>
              <w:rPr>
                <w:rFonts w:ascii="Times New Roman" w:hAnsi="Times New Roman" w:cs="Times New Roman"/>
                <w:sz w:val="24"/>
                <w:szCs w:val="24"/>
              </w:rPr>
            </w:pPr>
          </w:p>
          <w:p w:rsidR="001206EF" w:rsidRPr="007169EC" w:rsidP="00A02B10" w14:paraId="1F4EFA90" w14:textId="77777777">
            <w:pPr>
              <w:pStyle w:val="HTMLPreformatted"/>
              <w:rPr>
                <w:rFonts w:ascii="Times New Roman" w:hAnsi="Times New Roman" w:cs="Times New Roman"/>
                <w:sz w:val="24"/>
                <w:szCs w:val="24"/>
              </w:rPr>
            </w:pPr>
            <w:r w:rsidRPr="007169EC">
              <w:rPr>
                <w:rFonts w:ascii="Times New Roman" w:hAnsi="Times New Roman" w:cs="Times New Roman"/>
                <w:sz w:val="24"/>
                <w:szCs w:val="24"/>
              </w:rPr>
              <w:t>Case No. 21-477-EL-RDR</w:t>
            </w:r>
          </w:p>
          <w:p w:rsidR="001206EF" w:rsidRPr="007169EC" w:rsidP="00A02B10" w14:paraId="33EF1F56" w14:textId="77777777">
            <w:pPr>
              <w:pStyle w:val="HTMLPreformatted"/>
              <w:rPr>
                <w:rFonts w:ascii="Times New Roman" w:hAnsi="Times New Roman" w:cs="Times New Roman"/>
                <w:sz w:val="24"/>
                <w:szCs w:val="24"/>
              </w:rPr>
            </w:pPr>
          </w:p>
          <w:p w:rsidR="001206EF" w:rsidRPr="007169EC" w:rsidP="00A02B10" w14:paraId="7791E27B" w14:textId="77777777">
            <w:pPr>
              <w:pStyle w:val="HTMLPreformatted"/>
              <w:rPr>
                <w:rFonts w:ascii="Times New Roman" w:hAnsi="Times New Roman" w:cs="Times New Roman"/>
                <w:sz w:val="24"/>
                <w:szCs w:val="24"/>
              </w:rPr>
            </w:pPr>
          </w:p>
        </w:tc>
      </w:tr>
    </w:tbl>
    <w:p w:rsidR="001206EF" w:rsidRPr="007169EC" w:rsidP="001206EF" w14:paraId="538BBBA0" w14:textId="77777777">
      <w:pPr>
        <w:pStyle w:val="HTMLPreformatted"/>
        <w:rPr>
          <w:rFonts w:ascii="Times New Roman" w:hAnsi="Times New Roman" w:cs="Times New Roman"/>
          <w:sz w:val="24"/>
          <w:szCs w:val="24"/>
        </w:rPr>
      </w:pPr>
      <w:r w:rsidRPr="007169EC">
        <w:rPr>
          <w:rFonts w:ascii="Times New Roman" w:hAnsi="Times New Roman" w:cs="Times New Roman"/>
          <w:sz w:val="24"/>
          <w:szCs w:val="24"/>
        </w:rPr>
        <w:tab/>
      </w:r>
    </w:p>
    <w:p w:rsidR="001206EF" w:rsidRPr="007169EC" w:rsidP="001206EF" w14:paraId="32A9C3CA" w14:textId="77777777">
      <w:pPr>
        <w:pStyle w:val="HTMLPreformatted"/>
        <w:pBdr>
          <w:top w:val="single" w:sz="12" w:space="1" w:color="auto"/>
        </w:pBdr>
        <w:rPr>
          <w:rFonts w:ascii="Times New Roman" w:hAnsi="Times New Roman" w:cs="Times New Roman"/>
          <w:sz w:val="24"/>
          <w:szCs w:val="24"/>
        </w:rPr>
      </w:pPr>
    </w:p>
    <w:p w:rsidR="001206EF" w:rsidRPr="007169EC" w:rsidP="001206EF" w14:paraId="35C8EDFB" w14:textId="77777777">
      <w:pPr>
        <w:jc w:val="center"/>
        <w:rPr>
          <w:b/>
          <w:sz w:val="24"/>
          <w:szCs w:val="24"/>
        </w:rPr>
      </w:pPr>
      <w:r w:rsidRPr="007169EC">
        <w:rPr>
          <w:b/>
          <w:sz w:val="24"/>
          <w:szCs w:val="24"/>
        </w:rPr>
        <w:t>INITIAL COMMENTS</w:t>
      </w:r>
    </w:p>
    <w:p w:rsidR="001206EF" w:rsidRPr="007169EC" w:rsidP="001206EF" w14:paraId="785E889A" w14:textId="77777777">
      <w:pPr>
        <w:jc w:val="center"/>
        <w:rPr>
          <w:b/>
          <w:sz w:val="24"/>
          <w:szCs w:val="24"/>
        </w:rPr>
      </w:pPr>
      <w:r w:rsidRPr="007169EC">
        <w:rPr>
          <w:b/>
          <w:sz w:val="24"/>
          <w:szCs w:val="24"/>
        </w:rPr>
        <w:t>BY</w:t>
      </w:r>
    </w:p>
    <w:p w:rsidR="001206EF" w:rsidRPr="007169EC" w:rsidP="001206EF" w14:paraId="5DAB74A7" w14:textId="77777777">
      <w:pPr>
        <w:jc w:val="center"/>
        <w:rPr>
          <w:b/>
          <w:sz w:val="24"/>
          <w:szCs w:val="24"/>
        </w:rPr>
      </w:pPr>
      <w:r w:rsidRPr="007169EC">
        <w:rPr>
          <w:b/>
          <w:sz w:val="24"/>
          <w:szCs w:val="24"/>
        </w:rPr>
        <w:t>OFFICE OF THE OHIO CONSUMERS’ COUNSEL</w:t>
      </w:r>
    </w:p>
    <w:p w:rsidR="001206EF" w:rsidRPr="007169EC" w:rsidP="001206EF" w14:paraId="15A71C7D" w14:textId="77777777">
      <w:pPr>
        <w:pBdr>
          <w:bottom w:val="single" w:sz="12" w:space="1" w:color="auto"/>
        </w:pBdr>
        <w:tabs>
          <w:tab w:val="left" w:pos="4320"/>
        </w:tabs>
        <w:rPr>
          <w:sz w:val="24"/>
          <w:szCs w:val="24"/>
        </w:rPr>
      </w:pPr>
    </w:p>
    <w:p w:rsidR="001206EF" w:rsidRPr="007169EC" w:rsidP="001206EF" w14:paraId="46FC9784" w14:textId="77777777">
      <w:pPr>
        <w:rPr>
          <w:sz w:val="24"/>
          <w:szCs w:val="24"/>
        </w:rPr>
      </w:pPr>
    </w:p>
    <w:p w:rsidR="00741A06" w:rsidRPr="007169EC" w:rsidP="00564E14" w14:paraId="6459F468" w14:textId="041D794E">
      <w:pPr>
        <w:pStyle w:val="Heading1"/>
        <w:numPr>
          <w:ilvl w:val="0"/>
          <w:numId w:val="0"/>
        </w:numPr>
        <w:tabs>
          <w:tab w:val="clear" w:pos="1259"/>
          <w:tab w:val="clear" w:pos="1260"/>
        </w:tabs>
        <w:rPr>
          <w:spacing w:val="0"/>
        </w:rPr>
      </w:pPr>
      <w:bookmarkStart w:id="0" w:name="_Toc133585178"/>
      <w:bookmarkStart w:id="1" w:name="_Toc134454156"/>
      <w:r w:rsidRPr="007169EC">
        <w:rPr>
          <w:spacing w:val="0"/>
        </w:rPr>
        <w:t>I.</w:t>
      </w:r>
      <w:r w:rsidRPr="007169EC">
        <w:rPr>
          <w:spacing w:val="0"/>
        </w:rPr>
        <w:tab/>
      </w:r>
      <w:r w:rsidRPr="007169EC" w:rsidR="005F4525">
        <w:rPr>
          <w:spacing w:val="0"/>
        </w:rPr>
        <w:t>INTRODUCTION</w:t>
      </w:r>
      <w:bookmarkEnd w:id="0"/>
      <w:bookmarkEnd w:id="1"/>
    </w:p>
    <w:p w:rsidR="0099575B" w:rsidRPr="007169EC" w:rsidP="00564E14" w14:paraId="5413ED62" w14:textId="69A75B78">
      <w:pPr>
        <w:pStyle w:val="BodyText"/>
        <w:spacing w:line="480" w:lineRule="auto"/>
        <w:ind w:firstLine="720"/>
      </w:pPr>
      <w:r w:rsidRPr="007169EC">
        <w:t>Tainted House Bill 6 allow</w:t>
      </w:r>
      <w:r w:rsidRPr="007169EC" w:rsidR="003034E6">
        <w:t xml:space="preserve"> AES, AEP and Duke</w:t>
      </w:r>
      <w:r w:rsidR="007169EC">
        <w:t xml:space="preserve"> </w:t>
      </w:r>
      <w:r w:rsidRPr="007169EC">
        <w:t xml:space="preserve">to collect coal plant subsidy charges </w:t>
      </w:r>
      <w:r w:rsidRPr="007169EC" w:rsidR="00B908AB">
        <w:t xml:space="preserve">from consumers </w:t>
      </w:r>
      <w:r w:rsidRPr="007169EC" w:rsidR="003034E6">
        <w:t>related to</w:t>
      </w:r>
      <w:r w:rsidR="007169EC">
        <w:t xml:space="preserve"> </w:t>
      </w:r>
      <w:r w:rsidRPr="007169EC">
        <w:t>old Ohio Valley Electric Corporation (“OVEC”) coal plants</w:t>
      </w:r>
      <w:r w:rsidRPr="007169EC" w:rsidR="003034E6">
        <w:t>.</w:t>
      </w:r>
      <w:r w:rsidR="007169EC">
        <w:t xml:space="preserve"> </w:t>
      </w:r>
      <w:r w:rsidRPr="007169EC" w:rsidR="003034E6">
        <w:t>Under H.B. 6</w:t>
      </w:r>
      <w:r w:rsidR="000D1158">
        <w:t>,</w:t>
      </w:r>
      <w:r w:rsidRPr="007169EC" w:rsidR="003034E6">
        <w:t xml:space="preserve"> consumers are stuck paying AES, AEP and Duke </w:t>
      </w:r>
      <w:r w:rsidRPr="007169EC">
        <w:t>for a ten-year period through 2030, subject to a prudence review by t</w:t>
      </w:r>
      <w:r w:rsidRPr="007169EC" w:rsidR="008152B4">
        <w:t>he Public Utilities Commission of Ohio (“PUCO”)</w:t>
      </w:r>
      <w:r w:rsidRPr="007169EC">
        <w:t>.</w:t>
      </w:r>
      <w:r>
        <w:rPr>
          <w:rStyle w:val="FootnoteReference"/>
        </w:rPr>
        <w:footnoteReference w:id="2"/>
      </w:r>
      <w:r w:rsidRPr="007169EC" w:rsidR="00681DF2">
        <w:t xml:space="preserve"> </w:t>
      </w:r>
    </w:p>
    <w:p w:rsidR="002B5BCB" w:rsidRPr="007169EC" w:rsidP="00564E14" w14:paraId="75158DA9" w14:textId="66BA2A83">
      <w:pPr>
        <w:pStyle w:val="BodyText"/>
        <w:spacing w:line="480" w:lineRule="auto"/>
        <w:ind w:firstLine="720"/>
      </w:pPr>
      <w:r w:rsidRPr="007169EC">
        <w:t xml:space="preserve">The </w:t>
      </w:r>
      <w:r w:rsidRPr="007169EC" w:rsidR="000526AC">
        <w:t xml:space="preserve">OVEC-related </w:t>
      </w:r>
      <w:r w:rsidRPr="007169EC" w:rsidR="003034E6">
        <w:t xml:space="preserve">subsidies paid to AES, </w:t>
      </w:r>
      <w:r w:rsidRPr="007169EC" w:rsidR="000526AC">
        <w:t xml:space="preserve">AEP </w:t>
      </w:r>
      <w:r w:rsidRPr="007169EC" w:rsidR="003034E6">
        <w:t xml:space="preserve">and Duke </w:t>
      </w:r>
      <w:r w:rsidRPr="007169EC">
        <w:t xml:space="preserve">have </w:t>
      </w:r>
      <w:r w:rsidRPr="007169EC" w:rsidR="004C2C69">
        <w:t>cost</w:t>
      </w:r>
      <w:r w:rsidRPr="007169EC">
        <w:t xml:space="preserve"> consumers </w:t>
      </w:r>
      <w:r w:rsidRPr="007169EC" w:rsidR="00B908AB">
        <w:t>hundreds of millions of dollars</w:t>
      </w:r>
      <w:r w:rsidR="000D1158">
        <w:t xml:space="preserve"> in</w:t>
      </w:r>
      <w:r w:rsidRPr="007169EC" w:rsidR="00B908AB">
        <w:t xml:space="preserve"> the past and are </w:t>
      </w:r>
      <w:r w:rsidRPr="007169EC" w:rsidR="0089277D">
        <w:t xml:space="preserve">estimated to </w:t>
      </w:r>
      <w:r w:rsidRPr="007169EC" w:rsidR="00B908AB">
        <w:t xml:space="preserve">cost consumers </w:t>
      </w:r>
      <w:r w:rsidRPr="007169EC" w:rsidR="0089277D">
        <w:t xml:space="preserve">hundreds of millions of dollars </w:t>
      </w:r>
      <w:r w:rsidRPr="007169EC" w:rsidR="00B908AB">
        <w:t>more in the</w:t>
      </w:r>
      <w:r w:rsidRPr="007169EC" w:rsidR="0089277D">
        <w:t xml:space="preserve"> future. We know of the past costs through</w:t>
      </w:r>
      <w:r w:rsidRPr="007169EC" w:rsidR="00681DF2">
        <w:t xml:space="preserve"> </w:t>
      </w:r>
      <w:r w:rsidRPr="007169EC" w:rsidR="0089277D">
        <w:t xml:space="preserve">a </w:t>
      </w:r>
      <w:r w:rsidRPr="007169EC">
        <w:t xml:space="preserve">pending case </w:t>
      </w:r>
      <w:r w:rsidRPr="007169EC" w:rsidR="0089277D">
        <w:t xml:space="preserve">where AES </w:t>
      </w:r>
      <w:r w:rsidRPr="007169EC">
        <w:t>see</w:t>
      </w:r>
      <w:r w:rsidRPr="007169EC" w:rsidR="0089277D">
        <w:t xml:space="preserve">ks </w:t>
      </w:r>
      <w:r w:rsidRPr="007169EC">
        <w:t xml:space="preserve">to collect $28.9 million in OVEC coal </w:t>
      </w:r>
      <w:r w:rsidRPr="007169EC" w:rsidR="00FB578C">
        <w:t xml:space="preserve">plant </w:t>
      </w:r>
      <w:r w:rsidRPr="007169EC" w:rsidR="00431D6F">
        <w:t>subsidy</w:t>
      </w:r>
      <w:r w:rsidRPr="007169EC">
        <w:t xml:space="preserve"> charges for 2014-2017.</w:t>
      </w:r>
      <w:r>
        <w:rPr>
          <w:rStyle w:val="FootnoteReference"/>
        </w:rPr>
        <w:footnoteReference w:id="3"/>
      </w:r>
      <w:r w:rsidRPr="007169EC" w:rsidR="00681DF2">
        <w:t xml:space="preserve"> </w:t>
      </w:r>
      <w:r w:rsidRPr="007169EC" w:rsidR="0089277D">
        <w:t xml:space="preserve">With AES’s </w:t>
      </w:r>
      <w:r w:rsidRPr="007169EC">
        <w:t xml:space="preserve">4.9% share in OVEC, </w:t>
      </w:r>
      <w:r w:rsidRPr="007169EC" w:rsidR="0089277D">
        <w:t xml:space="preserve">this </w:t>
      </w:r>
      <w:r w:rsidRPr="007169EC">
        <w:t xml:space="preserve">means that the </w:t>
      </w:r>
      <w:r w:rsidRPr="007169EC" w:rsidR="000526AC">
        <w:t>total OVEC losses during this period were about $600 million.</w:t>
      </w:r>
      <w:r w:rsidR="007169EC">
        <w:t xml:space="preserve"> </w:t>
      </w:r>
      <w:r w:rsidRPr="007169EC" w:rsidR="000526AC">
        <w:t xml:space="preserve">AEP’s </w:t>
      </w:r>
      <w:r w:rsidRPr="007169EC" w:rsidR="002F50C3">
        <w:t xml:space="preserve">19.93% </w:t>
      </w:r>
      <w:r w:rsidRPr="007169EC" w:rsidR="000526AC">
        <w:t xml:space="preserve">share </w:t>
      </w:r>
      <w:r w:rsidRPr="007169EC" w:rsidR="002F50C3">
        <w:t>for 2014-2017 resulted in about $360 million in losses</w:t>
      </w:r>
      <w:r w:rsidR="007169EC">
        <w:t xml:space="preserve"> </w:t>
      </w:r>
      <w:r w:rsidRPr="007169EC" w:rsidR="001F70E4">
        <w:t>paid to AES, AEP and Duke</w:t>
      </w:r>
      <w:r w:rsidRPr="007169EC" w:rsidR="002F50C3">
        <w:t>’s 9% share equated to losses of about $54 million</w:t>
      </w:r>
      <w:r w:rsidR="007169EC">
        <w:t xml:space="preserve"> </w:t>
      </w:r>
      <w:r w:rsidRPr="007169EC" w:rsidR="002F50C3">
        <w:t xml:space="preserve">for </w:t>
      </w:r>
      <w:r w:rsidRPr="007169EC">
        <w:t>2014-2017.</w:t>
      </w:r>
      <w:r w:rsidRPr="007169EC" w:rsidR="00681DF2">
        <w:t xml:space="preserve"> </w:t>
      </w:r>
      <w:r w:rsidRPr="007169EC" w:rsidR="0089277D">
        <w:t>It has also been reported that t</w:t>
      </w:r>
      <w:r w:rsidRPr="007169EC" w:rsidR="00310A11">
        <w:t>he coal plant subsidy charge</w:t>
      </w:r>
      <w:r w:rsidRPr="007169EC" w:rsidR="0089277D">
        <w:t xml:space="preserve"> to consumers</w:t>
      </w:r>
      <w:r w:rsidRPr="007169EC" w:rsidR="00310A11">
        <w:t xml:space="preserve"> was $400 million from 2017 through mid-2023.</w:t>
      </w:r>
      <w:r>
        <w:rPr>
          <w:rStyle w:val="FootnoteReference"/>
        </w:rPr>
        <w:footnoteReference w:id="4"/>
      </w:r>
      <w:r w:rsidRPr="007169EC" w:rsidR="00681DF2">
        <w:t xml:space="preserve"> </w:t>
      </w:r>
      <w:r w:rsidRPr="007169EC" w:rsidR="0089277D">
        <w:t>Project</w:t>
      </w:r>
      <w:r w:rsidR="000D1158">
        <w:t>ed</w:t>
      </w:r>
      <w:r w:rsidRPr="007169EC" w:rsidR="0089277D">
        <w:t xml:space="preserve"> cost</w:t>
      </w:r>
      <w:r w:rsidR="000D1158">
        <w:t>s</w:t>
      </w:r>
      <w:r w:rsidRPr="007169EC" w:rsidR="0089277D">
        <w:t xml:space="preserve"> to consumers </w:t>
      </w:r>
      <w:r w:rsidRPr="007169EC" w:rsidR="002F50C3">
        <w:t>t</w:t>
      </w:r>
      <w:r w:rsidRPr="007169EC" w:rsidR="00310A11">
        <w:t xml:space="preserve">hrough 2030 </w:t>
      </w:r>
      <w:r w:rsidRPr="007169EC" w:rsidR="0089277D">
        <w:t>show</w:t>
      </w:r>
      <w:r w:rsidR="000D1158">
        <w:t>s</w:t>
      </w:r>
      <w:r w:rsidRPr="007169EC" w:rsidR="0089277D">
        <w:t xml:space="preserve"> that consumers can be expected to pay</w:t>
      </w:r>
      <w:r w:rsidR="007169EC">
        <w:t xml:space="preserve"> </w:t>
      </w:r>
      <w:r w:rsidRPr="007169EC" w:rsidR="00310A11">
        <w:t xml:space="preserve">$450 </w:t>
      </w:r>
      <w:r w:rsidRPr="007169EC" w:rsidR="001F70E4">
        <w:t>million</w:t>
      </w:r>
      <w:r w:rsidRPr="007169EC" w:rsidR="0089277D">
        <w:t xml:space="preserve"> more</w:t>
      </w:r>
      <w:r w:rsidR="007169EC">
        <w:t xml:space="preserve"> </w:t>
      </w:r>
      <w:r w:rsidRPr="007169EC" w:rsidR="00310A11">
        <w:t>by 2030.</w:t>
      </w:r>
      <w:r>
        <w:rPr>
          <w:rStyle w:val="FootnoteReference"/>
        </w:rPr>
        <w:footnoteReference w:id="5"/>
      </w:r>
      <w:r w:rsidRPr="007169EC" w:rsidR="00310A11">
        <w:t xml:space="preserve"> The total coal plant subsidy charge </w:t>
      </w:r>
      <w:r w:rsidRPr="007169EC" w:rsidR="001F70E4">
        <w:t xml:space="preserve">paid to AES, AEP and Duke by </w:t>
      </w:r>
      <w:r w:rsidRPr="007169EC" w:rsidR="0089277D">
        <w:t xml:space="preserve">consumers for </w:t>
      </w:r>
      <w:r w:rsidRPr="007169EC" w:rsidR="003034E6">
        <w:t>approximately</w:t>
      </w:r>
      <w:r w:rsidRPr="007169EC" w:rsidR="0089277D">
        <w:t xml:space="preserve"> 16 years </w:t>
      </w:r>
      <w:r w:rsidRPr="007169EC" w:rsidR="00FB578C">
        <w:t xml:space="preserve">would </w:t>
      </w:r>
      <w:r w:rsidRPr="007169EC" w:rsidR="0089277D">
        <w:t xml:space="preserve">then amount to an astounding </w:t>
      </w:r>
      <w:r w:rsidRPr="007169EC" w:rsidR="00310A11">
        <w:t>$1.</w:t>
      </w:r>
      <w:r w:rsidRPr="007169EC" w:rsidR="002F50C3">
        <w:t>293</w:t>
      </w:r>
      <w:r w:rsidRPr="007169EC" w:rsidR="00310A11">
        <w:t xml:space="preserve"> billion</w:t>
      </w:r>
      <w:r w:rsidRPr="007169EC" w:rsidR="0089277D">
        <w:t>.</w:t>
      </w:r>
      <w:r w:rsidR="007169EC">
        <w:t xml:space="preserve"> </w:t>
      </w:r>
    </w:p>
    <w:p w:rsidR="00A41C05" w:rsidRPr="007169EC" w:rsidP="00D57E8D" w14:paraId="7A5670CC" w14:textId="77777777">
      <w:pPr>
        <w:pStyle w:val="BodyText"/>
        <w:ind w:left="539" w:right="116" w:firstLine="720"/>
        <w:jc w:val="both"/>
      </w:pPr>
    </w:p>
    <w:p w:rsidR="00A41C05" w:rsidRPr="007169EC" w:rsidP="00D57E8D" w14:paraId="44F12CA0" w14:textId="23C5124B">
      <w:pPr>
        <w:pStyle w:val="Heading1"/>
        <w:numPr>
          <w:ilvl w:val="0"/>
          <w:numId w:val="0"/>
        </w:numPr>
        <w:ind w:left="720" w:hanging="720"/>
        <w:rPr>
          <w:spacing w:val="0"/>
        </w:rPr>
      </w:pPr>
      <w:bookmarkStart w:id="2" w:name="_Toc134454157"/>
      <w:r w:rsidRPr="007169EC">
        <w:rPr>
          <w:spacing w:val="0"/>
        </w:rPr>
        <w:t>II.</w:t>
      </w:r>
      <w:r w:rsidRPr="007169EC">
        <w:rPr>
          <w:spacing w:val="0"/>
        </w:rPr>
        <w:tab/>
      </w:r>
      <w:r w:rsidRPr="007169EC">
        <w:rPr>
          <w:spacing w:val="0"/>
        </w:rPr>
        <w:t>STATEMENT OF FACTS</w:t>
      </w:r>
      <w:bookmarkEnd w:id="2"/>
    </w:p>
    <w:p w:rsidR="003A7C0E" w:rsidRPr="007169EC" w:rsidP="009616B4" w14:paraId="5256DF2B" w14:textId="1D495BA8">
      <w:pPr>
        <w:pStyle w:val="BodyText"/>
        <w:spacing w:line="480" w:lineRule="auto"/>
        <w:ind w:firstLine="720"/>
      </w:pPr>
      <w:r w:rsidRPr="007169EC">
        <w:t xml:space="preserve">The present case involves the Coal Plant Subsidy Charge </w:t>
      </w:r>
      <w:r w:rsidRPr="007169EC" w:rsidR="00352659">
        <w:t xml:space="preserve">to consumers </w:t>
      </w:r>
      <w:r w:rsidRPr="007169EC">
        <w:t>for calendar year 2020.</w:t>
      </w:r>
      <w:r w:rsidRPr="007169EC" w:rsidR="00681DF2">
        <w:t xml:space="preserve"> </w:t>
      </w:r>
      <w:r w:rsidRPr="007169EC" w:rsidR="001940B6">
        <w:t xml:space="preserve">In </w:t>
      </w:r>
      <w:r w:rsidRPr="007169EC" w:rsidR="00584733">
        <w:t xml:space="preserve">2021, </w:t>
      </w:r>
      <w:r w:rsidRPr="007169EC">
        <w:t>t</w:t>
      </w:r>
      <w:r w:rsidRPr="007169EC" w:rsidR="001940B6">
        <w:t xml:space="preserve">he </w:t>
      </w:r>
      <w:r w:rsidRPr="007169EC">
        <w:t>PUCO</w:t>
      </w:r>
      <w:r w:rsidRPr="007169EC" w:rsidR="001940B6">
        <w:t xml:space="preserve"> </w:t>
      </w:r>
      <w:r w:rsidRPr="007169EC" w:rsidR="00584733">
        <w:t>engaged</w:t>
      </w:r>
      <w:r w:rsidRPr="007169EC" w:rsidR="001940B6">
        <w:t xml:space="preserve"> London Economics International</w:t>
      </w:r>
      <w:r w:rsidRPr="007169EC" w:rsidR="00584733">
        <w:t xml:space="preserve"> LLC</w:t>
      </w:r>
      <w:r w:rsidR="007169EC">
        <w:t xml:space="preserve"> </w:t>
      </w:r>
      <w:r w:rsidRPr="007169EC" w:rsidR="001940B6">
        <w:t xml:space="preserve">as </w:t>
      </w:r>
      <w:r w:rsidRPr="007169EC">
        <w:t>an independent</w:t>
      </w:r>
      <w:r w:rsidRPr="007169EC" w:rsidR="001940B6">
        <w:t xml:space="preserve"> auditor to assist with the prudency and reasonableness audit</w:t>
      </w:r>
      <w:r w:rsidRPr="007169EC">
        <w:t>.</w:t>
      </w:r>
      <w:r w:rsidRPr="007169EC" w:rsidR="00681DF2">
        <w:t xml:space="preserve"> </w:t>
      </w:r>
      <w:r w:rsidRPr="007169EC" w:rsidR="00592655">
        <w:t>The PUCO-approved auditor</w:t>
      </w:r>
      <w:r w:rsidRPr="007169EC">
        <w:t xml:space="preserve"> filed a separate audit report for </w:t>
      </w:r>
      <w:r w:rsidRPr="007169EC" w:rsidR="00592655">
        <w:t xml:space="preserve">AES, AEP and Duke </w:t>
      </w:r>
      <w:r w:rsidRPr="007169EC" w:rsidR="001940B6">
        <w:t>in December 2021.</w:t>
      </w:r>
      <w:r w:rsidRPr="007169EC" w:rsidR="00584733">
        <w:t xml:space="preserve"> </w:t>
      </w:r>
      <w:r w:rsidRPr="007169EC" w:rsidR="00EF1713">
        <w:t>T</w:t>
      </w:r>
      <w:r w:rsidRPr="007169EC" w:rsidR="00584733">
        <w:t xml:space="preserve">he purpose of the audit </w:t>
      </w:r>
      <w:r w:rsidRPr="007169EC" w:rsidR="00EF1713">
        <w:t>was</w:t>
      </w:r>
      <w:r w:rsidRPr="007169EC" w:rsidR="00584733">
        <w:t xml:space="preserve"> to “</w:t>
      </w:r>
      <w:r w:rsidRPr="007169EC" w:rsidR="00616512">
        <w:t xml:space="preserve">to establish the prudency of all the costs and sales flowing through the LGR Rider, and to investigate whether </w:t>
      </w:r>
      <w:r w:rsidRPr="007169EC" w:rsidR="004B7D63">
        <w:t>[</w:t>
      </w:r>
      <w:r w:rsidRPr="007169EC" w:rsidR="00592655">
        <w:t>AES, AEP and Duke’s</w:t>
      </w:r>
      <w:r w:rsidRPr="007169EC" w:rsidR="004B7D63">
        <w:t>]</w:t>
      </w:r>
      <w:r w:rsidRPr="007169EC" w:rsidR="00494616">
        <w:t xml:space="preserve"> </w:t>
      </w:r>
      <w:r w:rsidRPr="007169EC" w:rsidR="00616512">
        <w:t xml:space="preserve">actions were in the best interest of its retail </w:t>
      </w:r>
      <w:r w:rsidRPr="007169EC" w:rsidR="009D193B">
        <w:t>consumers</w:t>
      </w:r>
      <w:r w:rsidRPr="007169EC" w:rsidR="00584733">
        <w:t>.”</w:t>
      </w:r>
      <w:r>
        <w:rPr>
          <w:rStyle w:val="FootnoteReference"/>
        </w:rPr>
        <w:footnoteReference w:id="6"/>
      </w:r>
      <w:r w:rsidRPr="007169EC" w:rsidR="009D0E9D">
        <w:t xml:space="preserve"> The Attorney Examiner allowed parties to provide comments on the Audit Report</w:t>
      </w:r>
      <w:r w:rsidRPr="007169EC" w:rsidR="002B5E7B">
        <w:t>s</w:t>
      </w:r>
      <w:r w:rsidRPr="007169EC" w:rsidR="009D0E9D">
        <w:t>.</w:t>
      </w:r>
    </w:p>
    <w:p w:rsidR="005801C1" w:rsidP="009616B4" w14:paraId="56069327" w14:textId="77777777">
      <w:pPr>
        <w:spacing w:line="480" w:lineRule="auto"/>
        <w:ind w:firstLine="720"/>
        <w:rPr>
          <w:sz w:val="24"/>
          <w:szCs w:val="24"/>
        </w:rPr>
      </w:pPr>
      <w:r w:rsidRPr="007169EC">
        <w:rPr>
          <w:sz w:val="24"/>
          <w:szCs w:val="24"/>
        </w:rPr>
        <w:t>The P</w:t>
      </w:r>
      <w:r w:rsidRPr="007169EC" w:rsidR="00BB02C0">
        <w:rPr>
          <w:sz w:val="24"/>
          <w:szCs w:val="24"/>
        </w:rPr>
        <w:t xml:space="preserve">UCO should disallow </w:t>
      </w:r>
      <w:r w:rsidRPr="007169EC" w:rsidR="00592655">
        <w:rPr>
          <w:sz w:val="24"/>
          <w:szCs w:val="24"/>
        </w:rPr>
        <w:t>AES, AEP and Duke’s</w:t>
      </w:r>
      <w:r w:rsidRPr="007169EC" w:rsidR="007261C8">
        <w:rPr>
          <w:sz w:val="24"/>
          <w:szCs w:val="24"/>
        </w:rPr>
        <w:t xml:space="preserve"> </w:t>
      </w:r>
      <w:r w:rsidRPr="007169EC" w:rsidR="00FB578C">
        <w:rPr>
          <w:sz w:val="24"/>
          <w:szCs w:val="24"/>
        </w:rPr>
        <w:t>coal plant subsidy charges</w:t>
      </w:r>
      <w:r w:rsidRPr="007169EC" w:rsidR="00BB02C0">
        <w:rPr>
          <w:sz w:val="24"/>
          <w:szCs w:val="24"/>
        </w:rPr>
        <w:t xml:space="preserve"> </w:t>
      </w:r>
      <w:r w:rsidRPr="007169EC" w:rsidR="00494616">
        <w:rPr>
          <w:sz w:val="24"/>
          <w:szCs w:val="24"/>
        </w:rPr>
        <w:t>that are deemed imprudent</w:t>
      </w:r>
      <w:r w:rsidRPr="007169EC" w:rsidR="00FB578C">
        <w:rPr>
          <w:sz w:val="24"/>
          <w:szCs w:val="24"/>
        </w:rPr>
        <w:t xml:space="preserve"> and require AES, AEP and Duke to credit consumers for all amounts deemed imprudent</w:t>
      </w:r>
      <w:r w:rsidRPr="007169EC" w:rsidR="00592655">
        <w:rPr>
          <w:sz w:val="24"/>
          <w:szCs w:val="24"/>
        </w:rPr>
        <w:t>.</w:t>
      </w:r>
      <w:r w:rsidR="007169EC">
        <w:rPr>
          <w:sz w:val="24"/>
          <w:szCs w:val="24"/>
        </w:rPr>
        <w:t xml:space="preserve"> </w:t>
      </w:r>
      <w:r w:rsidRPr="007169EC" w:rsidR="00592655">
        <w:rPr>
          <w:sz w:val="24"/>
          <w:szCs w:val="24"/>
        </w:rPr>
        <w:t>This includes</w:t>
      </w:r>
      <w:r w:rsidRPr="007169EC" w:rsidR="00F524B7">
        <w:rPr>
          <w:sz w:val="24"/>
          <w:szCs w:val="24"/>
        </w:rPr>
        <w:t xml:space="preserve"> the added cost associated with</w:t>
      </w:r>
      <w:r w:rsidRPr="007169EC" w:rsidR="00BB02C0">
        <w:rPr>
          <w:sz w:val="24"/>
          <w:szCs w:val="24"/>
        </w:rPr>
        <w:t xml:space="preserve"> </w:t>
      </w:r>
      <w:r w:rsidRPr="007169EC" w:rsidR="00F524B7">
        <w:rPr>
          <w:sz w:val="24"/>
          <w:szCs w:val="24"/>
        </w:rPr>
        <w:t xml:space="preserve">committing the </w:t>
      </w:r>
      <w:r w:rsidRPr="007169EC" w:rsidR="00BB02C0">
        <w:rPr>
          <w:sz w:val="24"/>
          <w:szCs w:val="24"/>
        </w:rPr>
        <w:t xml:space="preserve">plants as must-run units, paying </w:t>
      </w:r>
      <w:r w:rsidRPr="007169EC" w:rsidR="00592655">
        <w:rPr>
          <w:sz w:val="24"/>
          <w:szCs w:val="24"/>
        </w:rPr>
        <w:t>above-</w:t>
      </w:r>
      <w:r w:rsidRPr="007169EC" w:rsidR="00BB02C0">
        <w:rPr>
          <w:sz w:val="24"/>
          <w:szCs w:val="24"/>
        </w:rPr>
        <w:t>market price</w:t>
      </w:r>
      <w:r w:rsidRPr="007169EC" w:rsidR="00592655">
        <w:rPr>
          <w:sz w:val="24"/>
          <w:szCs w:val="24"/>
        </w:rPr>
        <w:t>s</w:t>
      </w:r>
      <w:r w:rsidRPr="007169EC" w:rsidR="00BB02C0">
        <w:rPr>
          <w:sz w:val="24"/>
          <w:szCs w:val="24"/>
        </w:rPr>
        <w:t xml:space="preserve"> for coal purchases, and</w:t>
      </w:r>
      <w:r w:rsidRPr="007169EC" w:rsidR="00F524B7">
        <w:rPr>
          <w:sz w:val="24"/>
          <w:szCs w:val="24"/>
        </w:rPr>
        <w:t xml:space="preserve"> failure to comply with the </w:t>
      </w:r>
      <w:r w:rsidRPr="007169EC" w:rsidR="00FB578C">
        <w:rPr>
          <w:sz w:val="24"/>
          <w:szCs w:val="24"/>
        </w:rPr>
        <w:t>Coal Combustion Residuals</w:t>
      </w:r>
      <w:r w:rsidRPr="007169EC" w:rsidR="00F524B7">
        <w:rPr>
          <w:sz w:val="24"/>
          <w:szCs w:val="24"/>
        </w:rPr>
        <w:t xml:space="preserve"> rule following the EPA’s proposed decision </w:t>
      </w:r>
    </w:p>
    <w:p w:rsidR="005801C1" w14:paraId="491F7CF8" w14:textId="77777777">
      <w:pPr>
        <w:rPr>
          <w:sz w:val="24"/>
          <w:szCs w:val="24"/>
        </w:rPr>
      </w:pPr>
      <w:r>
        <w:rPr>
          <w:sz w:val="24"/>
          <w:szCs w:val="24"/>
        </w:rPr>
        <w:br w:type="page"/>
      </w:r>
    </w:p>
    <w:p w:rsidR="00BB02C0" w:rsidRPr="007169EC" w:rsidP="005801C1" w14:paraId="020B7BC1" w14:textId="55481376">
      <w:pPr>
        <w:spacing w:line="480" w:lineRule="auto"/>
        <w:rPr>
          <w:sz w:val="24"/>
          <w:szCs w:val="24"/>
        </w:rPr>
      </w:pPr>
      <w:r w:rsidRPr="007169EC">
        <w:rPr>
          <w:sz w:val="24"/>
          <w:szCs w:val="24"/>
        </w:rPr>
        <w:t xml:space="preserve">to deny the request to continue coal ash waste disposal </w:t>
      </w:r>
      <w:r w:rsidR="000D1158">
        <w:rPr>
          <w:sz w:val="24"/>
          <w:szCs w:val="24"/>
        </w:rPr>
        <w:t xml:space="preserve">permit </w:t>
      </w:r>
      <w:r w:rsidRPr="007169EC">
        <w:rPr>
          <w:sz w:val="24"/>
          <w:szCs w:val="24"/>
        </w:rPr>
        <w:t xml:space="preserve">from OVEC’s Clifty Creek plant at two unlined surface impoundment sites. </w:t>
      </w:r>
    </w:p>
    <w:p w:rsidR="00AB28F0" w:rsidRPr="007169EC" w:rsidP="00AB28F0" w14:paraId="6147CB5C" w14:textId="6428994D">
      <w:pPr>
        <w:ind w:firstLine="720"/>
        <w:rPr>
          <w:sz w:val="24"/>
          <w:szCs w:val="24"/>
        </w:rPr>
      </w:pPr>
    </w:p>
    <w:p w:rsidR="00D550BC" w:rsidP="00D550BC" w14:paraId="61A47484" w14:textId="2C9EED7B">
      <w:pPr>
        <w:pStyle w:val="Heading1"/>
        <w:numPr>
          <w:ilvl w:val="0"/>
          <w:numId w:val="0"/>
        </w:numPr>
        <w:tabs>
          <w:tab w:val="clear" w:pos="1259"/>
          <w:tab w:val="clear" w:pos="1260"/>
        </w:tabs>
        <w:ind w:left="720" w:hanging="720"/>
      </w:pPr>
      <w:bookmarkStart w:id="3" w:name="_Toc134454158"/>
      <w:r>
        <w:t>III.</w:t>
      </w:r>
      <w:r>
        <w:tab/>
      </w:r>
      <w:r w:rsidRPr="007169EC" w:rsidR="00EF1713">
        <w:t>STANDARD OF REVIEW</w:t>
      </w:r>
      <w:bookmarkEnd w:id="3"/>
    </w:p>
    <w:p w:rsidR="00741A06" w:rsidRPr="007169EC" w:rsidP="00FB578C" w14:paraId="0447BB40" w14:textId="54805102">
      <w:pPr>
        <w:pStyle w:val="BodyText"/>
        <w:spacing w:line="480" w:lineRule="auto"/>
        <w:ind w:firstLine="720"/>
      </w:pPr>
      <w:r w:rsidRPr="007169EC">
        <w:t xml:space="preserve">The PUCO should follow the same type of prudence review as used prior to House Bill 6. When the PUCO approved the Settlement that </w:t>
      </w:r>
      <w:r w:rsidRPr="007169EC" w:rsidR="000D25F0">
        <w:t xml:space="preserve">initially </w:t>
      </w:r>
      <w:r w:rsidRPr="007169EC">
        <w:t>established Duke’s Coal Plant Subsidy Charge, it ordered that the rider would be subject to an annual prudency review.</w:t>
      </w:r>
      <w:r>
        <w:rPr>
          <w:rStyle w:val="FootnoteReference"/>
        </w:rPr>
        <w:footnoteReference w:id="7"/>
      </w:r>
      <w:r w:rsidRPr="007169EC" w:rsidR="007261C8">
        <w:t xml:space="preserve"> T</w:t>
      </w:r>
      <w:r w:rsidRPr="007169EC">
        <w:t>h</w:t>
      </w:r>
      <w:r w:rsidRPr="007169EC" w:rsidR="005600CB">
        <w:t>e</w:t>
      </w:r>
      <w:r w:rsidRPr="007169EC">
        <w:t xml:space="preserve"> Settlement does not describe the prudency review process in detail. Instead, the Settlement notes that</w:t>
      </w:r>
      <w:r w:rsidR="007169EC">
        <w:t xml:space="preserve"> </w:t>
      </w:r>
      <w:r w:rsidRPr="007169EC" w:rsidR="00FB578C">
        <w:t xml:space="preserve">AES and AEP </w:t>
      </w:r>
      <w:r w:rsidRPr="007169EC">
        <w:t xml:space="preserve">have a similar OVEC </w:t>
      </w:r>
      <w:r w:rsidRPr="007169EC" w:rsidR="0084429E">
        <w:t>rider,</w:t>
      </w:r>
      <w:r w:rsidRPr="007169EC">
        <w:t xml:space="preserve"> and that the PUCO would approach the prudency determination for </w:t>
      </w:r>
      <w:r w:rsidRPr="007169EC" w:rsidR="00FB578C">
        <w:t xml:space="preserve">AES, AEP and Duke </w:t>
      </w:r>
      <w:r w:rsidRPr="007169EC">
        <w:t>in a similar manner. The Settlement states:</w:t>
      </w:r>
    </w:p>
    <w:p w:rsidR="00741A06" w:rsidRPr="007169EC" w:rsidP="00AB28F0" w14:paraId="4EE7426B" w14:textId="28576CBF">
      <w:pPr>
        <w:pStyle w:val="BodyText"/>
        <w:ind w:left="1440" w:right="1440"/>
      </w:pPr>
      <w:r w:rsidRPr="007169EC">
        <w:t>The Stipulating Parties acknowledge that two other Ohio electric distribution utilities are Sponsoring Parties pursuant to the ICPA</w:t>
      </w:r>
      <w:r w:rsidRPr="007169EC" w:rsidR="00EF7214">
        <w:t xml:space="preserve"> [OVEC agreement]</w:t>
      </w:r>
      <w:r w:rsidR="007169EC">
        <w:t xml:space="preserve"> </w:t>
      </w:r>
      <w:r w:rsidRPr="007169EC">
        <w:t>and, as such, the Signatory Parties recommend that the Commission approach the determination of prudently incurred costs and the reasonableness of the generation revenue for all three jurisdictional electric distribution utilities in a uniform manner, pursuant to controlling law, which affords parties of interest with due process.</w:t>
      </w:r>
      <w:r>
        <w:rPr>
          <w:rStyle w:val="FootnoteReference"/>
        </w:rPr>
        <w:footnoteReference w:id="8"/>
      </w:r>
    </w:p>
    <w:p w:rsidR="00741A06" w:rsidRPr="007169EC" w:rsidP="00FA46F7" w14:paraId="18EBD73E" w14:textId="77777777">
      <w:pPr>
        <w:pStyle w:val="BodyText"/>
        <w:spacing w:before="1"/>
        <w:jc w:val="both"/>
      </w:pPr>
    </w:p>
    <w:p w:rsidR="00FB578C" w:rsidRPr="007169EC" w:rsidP="00FB578C" w14:paraId="72DA59CA" w14:textId="77777777">
      <w:pPr>
        <w:spacing w:line="480" w:lineRule="auto"/>
        <w:ind w:firstLine="720"/>
        <w:rPr>
          <w:sz w:val="24"/>
          <w:szCs w:val="24"/>
        </w:rPr>
      </w:pPr>
      <w:r w:rsidRPr="007169EC">
        <w:rPr>
          <w:rStyle w:val="markedcontent"/>
          <w:sz w:val="24"/>
          <w:szCs w:val="24"/>
        </w:rPr>
        <w:t>T</w:t>
      </w:r>
      <w:r w:rsidRPr="007169EC">
        <w:rPr>
          <w:sz w:val="24"/>
          <w:szCs w:val="24"/>
        </w:rPr>
        <w:t>hen-PUCO Chairman Asim Haque also stated in a concurring opinion, “This [approval of mechanism to collect OVEC costs] should not be perceived as a blank check, and consumers should not be treated like a trust account.”</w:t>
      </w:r>
      <w:r>
        <w:rPr>
          <w:rStyle w:val="FootnoteReference"/>
          <w:sz w:val="24"/>
          <w:szCs w:val="24"/>
        </w:rPr>
        <w:footnoteReference w:id="9"/>
      </w:r>
      <w:r w:rsidRPr="007169EC">
        <w:rPr>
          <w:sz w:val="24"/>
          <w:szCs w:val="24"/>
        </w:rPr>
        <w:t xml:space="preserve"> </w:t>
      </w:r>
    </w:p>
    <w:p w:rsidR="00741A06" w:rsidRPr="007169EC" w:rsidP="00AF2F8D" w14:paraId="5DA90588" w14:textId="622C40F1">
      <w:pPr>
        <w:pStyle w:val="BodyText"/>
        <w:spacing w:line="480" w:lineRule="auto"/>
        <w:ind w:firstLine="720"/>
      </w:pPr>
      <w:r w:rsidRPr="007169EC">
        <w:t xml:space="preserve">The first utility </w:t>
      </w:r>
      <w:r w:rsidRPr="007169EC" w:rsidR="00EF1713">
        <w:t>Coal Plant Subsidy Charge to undergo PUCO review</w:t>
      </w:r>
      <w:r w:rsidRPr="007169EC">
        <w:t xml:space="preserve"> was AEP’s. The PUCO’s order in AEP’s </w:t>
      </w:r>
      <w:r w:rsidRPr="007169EC" w:rsidR="00CE2FFA">
        <w:t xml:space="preserve">Energy Security Plan </w:t>
      </w:r>
      <w:r w:rsidRPr="007169EC">
        <w:t>case ruled tha</w:t>
      </w:r>
      <w:r w:rsidRPr="007169EC" w:rsidR="00CE2FFA">
        <w:t xml:space="preserve">t </w:t>
      </w:r>
      <w:r w:rsidRPr="007169EC">
        <w:t>the utility has the burden of proof in the annual prudence reviews. The PUCO declared that: “</w:t>
      </w:r>
      <w:r w:rsidRPr="007169EC" w:rsidR="009D193B">
        <w:t>AEP</w:t>
      </w:r>
      <w:r w:rsidRPr="007169EC">
        <w:t xml:space="preserve"> will bear the burden of proof in demonstrating the prudency of all costs and sales during the review, as well as that such actions were in the best interest of retail </w:t>
      </w:r>
      <w:r w:rsidRPr="007169EC" w:rsidR="009D193B">
        <w:t>consumers</w:t>
      </w:r>
      <w:r w:rsidRPr="007169EC">
        <w:t>.”</w:t>
      </w:r>
      <w:r>
        <w:rPr>
          <w:rStyle w:val="FootnoteReference"/>
        </w:rPr>
        <w:footnoteReference w:id="10"/>
      </w:r>
      <w:r w:rsidRPr="007169EC">
        <w:t xml:space="preserve"> Likewise, the PUCO ruled that “[r]etail cost recovery may be disallowed as a result of the annual prudency review if the output from the units was not bid in a manner that is consistent with participation in a broader competitive marketplace comprised of sellers attempting to maximize revenues.”</w:t>
      </w:r>
      <w:r>
        <w:rPr>
          <w:rStyle w:val="FootnoteReference"/>
        </w:rPr>
        <w:footnoteReference w:id="11"/>
      </w:r>
    </w:p>
    <w:p w:rsidR="00741A06" w:rsidRPr="007169EC" w:rsidP="00AF2F8D" w14:paraId="38462B0B" w14:textId="716C4D5B">
      <w:pPr>
        <w:pStyle w:val="BodyText"/>
        <w:spacing w:line="480" w:lineRule="auto"/>
        <w:ind w:firstLine="720"/>
      </w:pPr>
      <w:r w:rsidRPr="007169EC">
        <w:t xml:space="preserve">Accordingly, consistent with the PUCO ruling that the standards for the prudence review shall be the same for all three utilities, </w:t>
      </w:r>
      <w:r w:rsidRPr="007169EC" w:rsidR="009D193B">
        <w:t>AEP</w:t>
      </w:r>
      <w:r w:rsidRPr="007169EC" w:rsidR="002B5E7B">
        <w:t xml:space="preserve">, </w:t>
      </w:r>
      <w:r w:rsidRPr="007169EC">
        <w:t>Duke</w:t>
      </w:r>
      <w:r w:rsidRPr="007169EC" w:rsidR="00BF70F5">
        <w:t xml:space="preserve"> </w:t>
      </w:r>
      <w:r w:rsidRPr="007169EC" w:rsidR="002B5E7B">
        <w:t>and AES</w:t>
      </w:r>
      <w:r w:rsidR="00DB498A">
        <w:t xml:space="preserve"> </w:t>
      </w:r>
      <w:r w:rsidRPr="007169EC" w:rsidR="002B5E7B">
        <w:t xml:space="preserve">each have </w:t>
      </w:r>
      <w:r w:rsidRPr="007169EC">
        <w:t>the burden of proof to show that all actions related to the OVEC plants were prudent and in consumers’ best interests.</w:t>
      </w:r>
    </w:p>
    <w:p w:rsidR="00B615D3" w:rsidRPr="007169EC" w:rsidP="00B615D3" w14:paraId="513807A3" w14:textId="77777777">
      <w:pPr>
        <w:pStyle w:val="BodyText"/>
        <w:ind w:firstLine="720"/>
      </w:pPr>
    </w:p>
    <w:p w:rsidR="00741A06" w:rsidRPr="007169EC" w:rsidP="00A66E43" w14:paraId="24EBAE67" w14:textId="7D2BF08A">
      <w:pPr>
        <w:pStyle w:val="Heading1"/>
        <w:numPr>
          <w:ilvl w:val="0"/>
          <w:numId w:val="0"/>
        </w:numPr>
        <w:ind w:left="720" w:hanging="720"/>
        <w:rPr>
          <w:spacing w:val="0"/>
        </w:rPr>
      </w:pPr>
      <w:bookmarkStart w:id="4" w:name="_Toc133585180"/>
      <w:bookmarkStart w:id="5" w:name="_Toc134454159"/>
      <w:r w:rsidRPr="007169EC">
        <w:rPr>
          <w:spacing w:val="0"/>
        </w:rPr>
        <w:t>IV.</w:t>
      </w:r>
      <w:r w:rsidRPr="007169EC">
        <w:rPr>
          <w:spacing w:val="0"/>
        </w:rPr>
        <w:tab/>
      </w:r>
      <w:r w:rsidRPr="007169EC" w:rsidR="005F4525">
        <w:rPr>
          <w:spacing w:val="0"/>
        </w:rPr>
        <w:t>CONSUMER PROTECTION RECOMMENDATIONS</w:t>
      </w:r>
      <w:bookmarkEnd w:id="4"/>
      <w:bookmarkEnd w:id="5"/>
    </w:p>
    <w:p w:rsidR="00D21774" w:rsidRPr="007169EC" w:rsidP="00AE7865" w14:paraId="3DD68244" w14:textId="47545B8A">
      <w:pPr>
        <w:pStyle w:val="Heading2"/>
        <w:numPr>
          <w:ilvl w:val="1"/>
          <w:numId w:val="2"/>
        </w:numPr>
        <w:ind w:left="1440"/>
      </w:pPr>
      <w:bookmarkStart w:id="6" w:name="_Toc133585181"/>
      <w:bookmarkStart w:id="7" w:name="_Toc134454160"/>
      <w:r w:rsidRPr="007169EC">
        <w:t xml:space="preserve">The PUCO should disallow </w:t>
      </w:r>
      <w:r w:rsidRPr="007169EC" w:rsidR="009975E1">
        <w:t xml:space="preserve">AES, AEP and Duke’s above-market coal plant subsidy charges which the PUCO-approved auditor should identify through an hour-by-hour dispatch analysis </w:t>
      </w:r>
      <w:r w:rsidRPr="007169EC">
        <w:t>because OVEC’s commitment of the plants into PJM as must-run units was not prudent and added needless costs to customers</w:t>
      </w:r>
      <w:r w:rsidRPr="007169EC" w:rsidR="005600CB">
        <w:t>.</w:t>
      </w:r>
      <w:bookmarkEnd w:id="6"/>
      <w:bookmarkEnd w:id="7"/>
      <w:r w:rsidRPr="007169EC">
        <w:t xml:space="preserve"> </w:t>
      </w:r>
    </w:p>
    <w:p w:rsidR="00D21774" w:rsidRPr="007169EC" w:rsidP="00AE7865" w14:paraId="69504AFC" w14:textId="77777777">
      <w:pPr>
        <w:widowControl/>
        <w:adjustRightInd w:val="0"/>
        <w:spacing w:line="480" w:lineRule="auto"/>
        <w:ind w:firstLine="720"/>
        <w:rPr>
          <w:rFonts w:eastAsiaTheme="minorHAnsi"/>
          <w:sz w:val="24"/>
          <w:szCs w:val="24"/>
        </w:rPr>
      </w:pPr>
      <w:r w:rsidRPr="007169EC">
        <w:rPr>
          <w:rFonts w:eastAsiaTheme="minorHAnsi"/>
          <w:sz w:val="24"/>
          <w:szCs w:val="24"/>
        </w:rPr>
        <w:t>A prudent decision is defined as:</w:t>
      </w:r>
    </w:p>
    <w:p w:rsidR="00D21774" w:rsidRPr="007169EC" w:rsidP="00AE7865" w14:paraId="387F1BC1" w14:textId="3853B194">
      <w:pPr>
        <w:pStyle w:val="Quote"/>
        <w:ind w:right="1440"/>
        <w:rPr>
          <w:rFonts w:ascii="Times New Roman" w:hAnsi="Times New Roman" w:cs="Times New Roman"/>
        </w:rPr>
      </w:pPr>
      <w:r w:rsidRPr="007169EC">
        <w:rPr>
          <w:rFonts w:ascii="Times New Roman" w:hAnsi="Times New Roman" w:cs="Times New Roman"/>
        </w:rPr>
        <w:t>One which reflects what a reasonable person would have done in light of conditions and circumstances which were known or reasonably should have been known at the time the decision was made. The standard contemplates a retrospective, factual inquiry, without the use of hindsight judgment, into the decisionmaking process of the utility's management.</w:t>
      </w:r>
      <w:r>
        <w:rPr>
          <w:rStyle w:val="FootnoteReference"/>
          <w:rFonts w:ascii="Times New Roman" w:hAnsi="Times New Roman" w:cs="Times New Roman"/>
        </w:rPr>
        <w:footnoteReference w:id="12"/>
      </w:r>
    </w:p>
    <w:p w:rsidR="00D21774" w:rsidRPr="007169EC" w:rsidP="00AE7865" w14:paraId="658A371A" w14:textId="218EFB6D">
      <w:pPr>
        <w:widowControl/>
        <w:adjustRightInd w:val="0"/>
        <w:spacing w:line="480" w:lineRule="auto"/>
        <w:ind w:firstLine="720"/>
        <w:rPr>
          <w:sz w:val="24"/>
          <w:szCs w:val="24"/>
        </w:rPr>
      </w:pPr>
      <w:r w:rsidRPr="007169EC">
        <w:rPr>
          <w:rFonts w:eastAsiaTheme="minorHAnsi"/>
          <w:sz w:val="24"/>
          <w:szCs w:val="24"/>
        </w:rPr>
        <w:t xml:space="preserve">The PUCO adopted an even higher standard for the prudence review in the </w:t>
      </w:r>
      <w:r w:rsidRPr="007169EC" w:rsidR="009975E1">
        <w:rPr>
          <w:rFonts w:eastAsiaTheme="minorHAnsi"/>
          <w:sz w:val="24"/>
          <w:szCs w:val="24"/>
        </w:rPr>
        <w:t xml:space="preserve">coal plant subsidy charge </w:t>
      </w:r>
      <w:r w:rsidRPr="007169EC" w:rsidR="00CE2FFA">
        <w:rPr>
          <w:rFonts w:eastAsiaTheme="minorHAnsi"/>
          <w:sz w:val="24"/>
          <w:szCs w:val="24"/>
        </w:rPr>
        <w:t>c</w:t>
      </w:r>
      <w:r w:rsidRPr="007169EC">
        <w:rPr>
          <w:rFonts w:eastAsiaTheme="minorHAnsi"/>
          <w:sz w:val="24"/>
          <w:szCs w:val="24"/>
        </w:rPr>
        <w:t>ases</w:t>
      </w:r>
      <w:r w:rsidRPr="007169EC" w:rsidR="00F41E4F">
        <w:rPr>
          <w:rFonts w:eastAsiaTheme="minorHAnsi"/>
          <w:sz w:val="24"/>
          <w:szCs w:val="24"/>
        </w:rPr>
        <w:t>—</w:t>
      </w:r>
      <w:r w:rsidRPr="007169EC" w:rsidR="009975E1">
        <w:rPr>
          <w:rFonts w:eastAsiaTheme="minorHAnsi"/>
          <w:sz w:val="24"/>
          <w:szCs w:val="24"/>
        </w:rPr>
        <w:t xml:space="preserve">AES, AEP and Duke have </w:t>
      </w:r>
      <w:r w:rsidRPr="007169EC">
        <w:rPr>
          <w:rFonts w:eastAsiaTheme="minorHAnsi"/>
          <w:sz w:val="24"/>
          <w:szCs w:val="24"/>
        </w:rPr>
        <w:t>the burden of proof to establish that the plants were operated “in the best</w:t>
      </w:r>
      <w:r w:rsidRPr="007169EC" w:rsidR="00AE7865">
        <w:rPr>
          <w:rFonts w:eastAsiaTheme="minorHAnsi"/>
          <w:sz w:val="24"/>
          <w:szCs w:val="24"/>
        </w:rPr>
        <w:t xml:space="preserve"> </w:t>
      </w:r>
      <w:r w:rsidRPr="007169EC">
        <w:rPr>
          <w:rFonts w:eastAsiaTheme="minorHAnsi"/>
          <w:sz w:val="24"/>
          <w:szCs w:val="24"/>
        </w:rPr>
        <w:t xml:space="preserve">interest of retail </w:t>
      </w:r>
      <w:r w:rsidRPr="007169EC" w:rsidR="009D193B">
        <w:rPr>
          <w:rFonts w:eastAsiaTheme="minorHAnsi"/>
          <w:sz w:val="24"/>
          <w:szCs w:val="24"/>
        </w:rPr>
        <w:t>consumers</w:t>
      </w:r>
      <w:r w:rsidRPr="007169EC">
        <w:rPr>
          <w:rFonts w:eastAsiaTheme="minorHAnsi"/>
          <w:sz w:val="24"/>
          <w:szCs w:val="24"/>
        </w:rPr>
        <w:t>.”</w:t>
      </w:r>
      <w:r>
        <w:rPr>
          <w:rStyle w:val="FootnoteReference"/>
          <w:rFonts w:eastAsiaTheme="minorHAnsi"/>
          <w:sz w:val="24"/>
          <w:szCs w:val="24"/>
        </w:rPr>
        <w:footnoteReference w:id="13"/>
      </w:r>
    </w:p>
    <w:p w:rsidR="00EC3DE0" w:rsidP="00AE7865" w14:paraId="0270C934" w14:textId="1B751452">
      <w:pPr>
        <w:pStyle w:val="BodyText"/>
        <w:spacing w:line="480" w:lineRule="auto"/>
        <w:ind w:firstLine="720"/>
      </w:pPr>
      <w:r w:rsidRPr="007169EC">
        <w:t>In 2020</w:t>
      </w:r>
      <w:r w:rsidRPr="007169EC" w:rsidR="00EF1713">
        <w:t>,</w:t>
      </w:r>
      <w:r w:rsidRPr="007169EC">
        <w:t xml:space="preserve"> the OVEC units were mostly self-scheduled (also referred to as “must run”) rather than committed economically by PJM. This means that the units’ operations were dictated by OVEC</w:t>
      </w:r>
      <w:r w:rsidRPr="007169EC" w:rsidR="009975E1">
        <w:t xml:space="preserve"> on behalf of AES, AEP and Duke</w:t>
      </w:r>
      <w:r w:rsidRPr="007169EC">
        <w:t xml:space="preserve">, regardless of whether it made economic sense to operate at the time. </w:t>
      </w:r>
      <w:r w:rsidRPr="007169EC" w:rsidR="00CD13FF">
        <w:t xml:space="preserve">(In contrast, the practice of “economic </w:t>
      </w:r>
      <w:r w:rsidRPr="007169EC" w:rsidR="00A51418">
        <w:t>commitment</w:t>
      </w:r>
      <w:r w:rsidRPr="007169EC" w:rsidR="00CD13FF">
        <w:t xml:space="preserve">” calls units to run strictly on the basis of minimizing </w:t>
      </w:r>
      <w:r w:rsidRPr="007169EC" w:rsidR="00CE2FFA">
        <w:t xml:space="preserve">system </w:t>
      </w:r>
      <w:r w:rsidRPr="007169EC" w:rsidR="00CD13FF">
        <w:t xml:space="preserve">costs: calling the least expensive units to </w:t>
      </w:r>
      <w:r w:rsidRPr="007169EC" w:rsidR="00A51418">
        <w:t xml:space="preserve">run and be available for further dispatch if needed while </w:t>
      </w:r>
      <w:r w:rsidRPr="007169EC" w:rsidR="00CD13FF">
        <w:t>letting more expensive units sit idle</w:t>
      </w:r>
      <w:r w:rsidRPr="007169EC" w:rsidR="00A51418">
        <w:t xml:space="preserve"> if not needed</w:t>
      </w:r>
      <w:r w:rsidRPr="007169EC" w:rsidR="00CD13FF">
        <w:t xml:space="preserve">.) </w:t>
      </w:r>
      <w:r w:rsidRPr="007169EC" w:rsidR="00F41E4F">
        <w:t>The more the OVEC units operate</w:t>
      </w:r>
      <w:r w:rsidRPr="007169EC" w:rsidR="00EF1713">
        <w:t>d in 2020</w:t>
      </w:r>
      <w:r w:rsidRPr="007169EC" w:rsidR="00F41E4F">
        <w:t xml:space="preserve">, the </w:t>
      </w:r>
      <w:r w:rsidRPr="007169EC" w:rsidR="00EF1713">
        <w:t>greater the above-market electricity prices</w:t>
      </w:r>
      <w:r w:rsidRPr="007169EC" w:rsidR="00F41E4F">
        <w:t xml:space="preserve"> </w:t>
      </w:r>
      <w:r w:rsidRPr="007169EC" w:rsidR="009975E1">
        <w:t xml:space="preserve">AES, AEP and Duke’s </w:t>
      </w:r>
      <w:r w:rsidRPr="007169EC" w:rsidR="009D193B">
        <w:t>consumers</w:t>
      </w:r>
      <w:r w:rsidRPr="007169EC">
        <w:t xml:space="preserve"> </w:t>
      </w:r>
      <w:r w:rsidRPr="007169EC" w:rsidR="00EF1713">
        <w:t>had to pay</w:t>
      </w:r>
      <w:r w:rsidRPr="007169EC">
        <w:t>. While c</w:t>
      </w:r>
      <w:r w:rsidRPr="007169EC" w:rsidR="00EF1713">
        <w:t>onsumers were</w:t>
      </w:r>
      <w:r w:rsidRPr="007169EC">
        <w:t xml:space="preserve"> credited with the PJM energy revenue from the</w:t>
      </w:r>
      <w:r w:rsidRPr="007169EC" w:rsidR="00EF1713">
        <w:t xml:space="preserve"> OVEC</w:t>
      </w:r>
      <w:r w:rsidRPr="007169EC">
        <w:t xml:space="preserve"> units, </w:t>
      </w:r>
      <w:r w:rsidRPr="007169EC" w:rsidR="00F41E4F">
        <w:t>this</w:t>
      </w:r>
      <w:r w:rsidRPr="007169EC">
        <w:t xml:space="preserve"> only </w:t>
      </w:r>
      <w:r w:rsidRPr="007169EC" w:rsidR="00F41E4F">
        <w:t xml:space="preserve">results in </w:t>
      </w:r>
      <w:r w:rsidRPr="007169EC">
        <w:t xml:space="preserve">a net energy benefit </w:t>
      </w:r>
      <w:r w:rsidRPr="007169EC" w:rsidR="00F41E4F">
        <w:t xml:space="preserve">to customers </w:t>
      </w:r>
      <w:r w:rsidRPr="007169EC">
        <w:t xml:space="preserve">if those energy revenues exceed the energy costs. </w:t>
      </w:r>
      <w:r w:rsidRPr="007169EC" w:rsidR="009975E1">
        <w:t xml:space="preserve">This </w:t>
      </w:r>
      <w:r w:rsidRPr="007169EC">
        <w:t>self-scheduling of its unit</w:t>
      </w:r>
      <w:r w:rsidRPr="007169EC" w:rsidR="00F41E4F">
        <w:t>s—bypassing PJM economic commitment process—</w:t>
      </w:r>
      <w:r w:rsidRPr="007169EC" w:rsidR="000F1983">
        <w:t>harmed</w:t>
      </w:r>
      <w:r w:rsidRPr="007169EC">
        <w:t xml:space="preserve"> </w:t>
      </w:r>
      <w:r w:rsidRPr="007169EC" w:rsidR="009975E1">
        <w:t>AES, AEP and Duke’s consumers</w:t>
      </w:r>
      <w:r w:rsidRPr="007169EC" w:rsidR="000F1983">
        <w:t xml:space="preserve"> because the plants </w:t>
      </w:r>
      <w:r w:rsidRPr="007169EC" w:rsidR="009975E1">
        <w:t xml:space="preserve">remained in operation </w:t>
      </w:r>
      <w:r w:rsidRPr="007169EC" w:rsidR="000F1983">
        <w:t xml:space="preserve">throughout the year during </w:t>
      </w:r>
      <w:r w:rsidRPr="007169EC" w:rsidR="009975E1">
        <w:t xml:space="preserve">lengthy </w:t>
      </w:r>
      <w:r w:rsidRPr="007169EC" w:rsidR="000F1983">
        <w:t xml:space="preserve">time periods when much less costly electricity </w:t>
      </w:r>
      <w:r w:rsidRPr="007169EC" w:rsidR="009975E1">
        <w:t xml:space="preserve">could have been purchased </w:t>
      </w:r>
      <w:r w:rsidRPr="007169EC" w:rsidR="000F1983">
        <w:t>from the PJM wholesale market.</w:t>
      </w:r>
    </w:p>
    <w:p w:rsidR="00EC3DE0" w14:paraId="759960F5" w14:textId="77777777">
      <w:pPr>
        <w:rPr>
          <w:sz w:val="24"/>
          <w:szCs w:val="24"/>
        </w:rPr>
      </w:pPr>
      <w:r>
        <w:br w:type="page"/>
      </w:r>
    </w:p>
    <w:p w:rsidR="003E4FB8" w:rsidRPr="007169EC" w:rsidP="00AE7865" w14:paraId="40312F2F" w14:textId="5D00C710">
      <w:pPr>
        <w:pStyle w:val="BodyText"/>
        <w:spacing w:line="480" w:lineRule="auto"/>
        <w:ind w:firstLine="720"/>
      </w:pPr>
      <w:r w:rsidRPr="007169EC">
        <w:t>PJM receives bids from generators</w:t>
      </w:r>
      <w:r w:rsidRPr="007169EC" w:rsidR="000F1983">
        <w:t xml:space="preserve"> </w:t>
      </w:r>
      <w:r w:rsidRPr="007169EC">
        <w:t>for their energy costs to run at different levels of capacity at each hour of the day. PJM then commits and dispatches the units based on these bids in an optimal manner: “generation is economically dispatched to meet the demand across the entire RTO at the lowest cost.”</w:t>
      </w:r>
      <w:r>
        <w:rPr>
          <w:rStyle w:val="FootnoteReference"/>
        </w:rPr>
        <w:footnoteReference w:id="14"/>
      </w:r>
      <w:r w:rsidRPr="007169EC">
        <w:t xml:space="preserve"> Self-scheduled</w:t>
      </w:r>
      <w:r w:rsidRPr="007169EC" w:rsidR="000F1983">
        <w:t xml:space="preserve"> (“must run”)</w:t>
      </w:r>
      <w:r w:rsidRPr="007169EC">
        <w:t xml:space="preserve"> units</w:t>
      </w:r>
      <w:r w:rsidRPr="007169EC" w:rsidR="000F1983">
        <w:t xml:space="preserve"> like OVEC</w:t>
      </w:r>
      <w:r w:rsidRPr="007169EC">
        <w:t>, however, indicate to PJM when they are going to operate</w:t>
      </w:r>
      <w:r w:rsidRPr="007169EC" w:rsidR="000F1983">
        <w:t xml:space="preserve"> regardless of the market price</w:t>
      </w:r>
      <w:r w:rsidRPr="007169EC">
        <w:t xml:space="preserve"> and </w:t>
      </w:r>
      <w:r w:rsidRPr="007169EC" w:rsidR="000F1983">
        <w:t xml:space="preserve">thus choose to bypass </w:t>
      </w:r>
      <w:r w:rsidRPr="007169EC">
        <w:t xml:space="preserve">the </w:t>
      </w:r>
      <w:r w:rsidRPr="007169EC" w:rsidR="000F1983">
        <w:t xml:space="preserve">economically efficient </w:t>
      </w:r>
      <w:r w:rsidRPr="007169EC">
        <w:t>optimization process.</w:t>
      </w:r>
      <w:r>
        <w:rPr>
          <w:rStyle w:val="FootnoteReference"/>
        </w:rPr>
        <w:footnoteReference w:id="15"/>
      </w:r>
      <w:r w:rsidRPr="007169EC">
        <w:t xml:space="preserve"> As a practice, self-scheduling is highly problematic for c</w:t>
      </w:r>
      <w:r w:rsidRPr="007169EC" w:rsidR="000F1983">
        <w:t>onsumers</w:t>
      </w:r>
      <w:r w:rsidRPr="007169EC">
        <w:t xml:space="preserve"> for two key reasons: </w:t>
      </w:r>
    </w:p>
    <w:p w:rsidR="003E4FB8" w:rsidRPr="007169EC" w:rsidP="00D25096" w14:paraId="2B3C8D12" w14:textId="02688679">
      <w:pPr>
        <w:pStyle w:val="BodyText"/>
        <w:spacing w:line="480" w:lineRule="auto"/>
        <w:ind w:left="1440" w:hanging="720"/>
      </w:pPr>
      <w:r w:rsidRPr="007169EC">
        <w:t xml:space="preserve">1) </w:t>
      </w:r>
      <w:r w:rsidRPr="007169EC" w:rsidR="00D25096">
        <w:tab/>
      </w:r>
      <w:r w:rsidR="00DE4C06">
        <w:t>I</w:t>
      </w:r>
      <w:r w:rsidRPr="007169EC">
        <w:t xml:space="preserve">f the units are operating when the energy price (or </w:t>
      </w:r>
      <w:r w:rsidRPr="007169EC">
        <w:t>locational marginal price (</w:t>
      </w:r>
      <w:r w:rsidRPr="007169EC">
        <w:t>LMP</w:t>
      </w:r>
      <w:r w:rsidRPr="007169EC">
        <w:t>)</w:t>
      </w:r>
      <w:r w:rsidRPr="007169EC">
        <w:t xml:space="preserve"> is lower than the units’ energy costs then </w:t>
      </w:r>
      <w:r w:rsidRPr="007169EC" w:rsidR="009D193B">
        <w:t>consumers</w:t>
      </w:r>
      <w:r w:rsidRPr="007169EC">
        <w:t xml:space="preserve"> are paying</w:t>
      </w:r>
      <w:r w:rsidRPr="007169EC" w:rsidR="000F1983">
        <w:t xml:space="preserve"> OVEC</w:t>
      </w:r>
      <w:r w:rsidRPr="007169EC">
        <w:t xml:space="preserve"> a</w:t>
      </w:r>
      <w:r w:rsidRPr="007169EC" w:rsidR="000F1983">
        <w:t>n unnecessary above-market</w:t>
      </w:r>
      <w:r w:rsidRPr="007169EC">
        <w:t xml:space="preserve"> premium</w:t>
      </w:r>
      <w:r w:rsidRPr="007169EC" w:rsidR="009975E1">
        <w:t xml:space="preserve"> subsidy for the benefit of AES, AEP and Duke</w:t>
      </w:r>
      <w:r w:rsidRPr="007169EC">
        <w:t xml:space="preserve">; and </w:t>
      </w:r>
    </w:p>
    <w:p w:rsidR="00776A30" w:rsidRPr="007169EC" w:rsidP="004F583E" w14:paraId="7C849685" w14:textId="0F394A2B">
      <w:pPr>
        <w:pStyle w:val="BodyText"/>
        <w:spacing w:line="480" w:lineRule="auto"/>
        <w:ind w:left="1440" w:hanging="720"/>
      </w:pPr>
      <w:r w:rsidRPr="007169EC">
        <w:t xml:space="preserve">2) </w:t>
      </w:r>
      <w:r w:rsidRPr="007169EC" w:rsidR="00D25096">
        <w:tab/>
      </w:r>
      <w:r w:rsidR="00DE4C06">
        <w:t>B</w:t>
      </w:r>
      <w:r w:rsidRPr="007169EC">
        <w:t>y opting out of economic commitment from PJM, the</w:t>
      </w:r>
      <w:r w:rsidRPr="007169EC" w:rsidR="000F1983">
        <w:t xml:space="preserve"> OVEC</w:t>
      </w:r>
      <w:r w:rsidRPr="007169EC">
        <w:t xml:space="preserve"> units forgo the collection of “make whole” payments that would compensate them if </w:t>
      </w:r>
    </w:p>
    <w:p w:rsidR="00F2716A" w:rsidP="00776A30" w14:paraId="455BFA89" w14:textId="4E260F3F">
      <w:pPr>
        <w:pStyle w:val="BodyText"/>
        <w:spacing w:line="480" w:lineRule="auto"/>
        <w:ind w:left="1440"/>
      </w:pPr>
      <w:r w:rsidRPr="007169EC">
        <w:t xml:space="preserve">they were market-committed by PJM and did not recover their </w:t>
      </w:r>
      <w:r w:rsidRPr="007169EC" w:rsidR="001A05B1">
        <w:t xml:space="preserve">energy </w:t>
      </w:r>
      <w:r w:rsidRPr="007169EC">
        <w:t>costs for th</w:t>
      </w:r>
      <w:r w:rsidRPr="007169EC" w:rsidR="001A05B1">
        <w:t>at</w:t>
      </w:r>
      <w:r w:rsidRPr="007169EC">
        <w:t xml:space="preserve"> day</w:t>
      </w:r>
      <w:r w:rsidRPr="007169EC" w:rsidR="009975E1">
        <w:t>, thus foregoing revenue which could have been earned for AES, AEP and Duke to offset the amount of the coal plant subsidy charge</w:t>
      </w:r>
      <w:r w:rsidRPr="007169EC">
        <w:t>.</w:t>
      </w:r>
      <w:r>
        <w:rPr>
          <w:rStyle w:val="FootnoteReference"/>
        </w:rPr>
        <w:footnoteReference w:id="16"/>
      </w:r>
      <w:r w:rsidRPr="007169EC">
        <w:t xml:space="preserve"> </w:t>
      </w:r>
    </w:p>
    <w:p w:rsidR="00F2716A" w14:paraId="2523B496" w14:textId="77777777">
      <w:pPr>
        <w:rPr>
          <w:sz w:val="24"/>
          <w:szCs w:val="24"/>
        </w:rPr>
      </w:pPr>
      <w:r>
        <w:br w:type="page"/>
      </w:r>
    </w:p>
    <w:p w:rsidR="008965B2" w:rsidRPr="007169EC" w:rsidP="00542952" w14:paraId="34ED01B8" w14:textId="799B7F09">
      <w:pPr>
        <w:spacing w:line="480" w:lineRule="auto"/>
        <w:ind w:firstLine="720"/>
        <w:rPr>
          <w:sz w:val="24"/>
          <w:szCs w:val="24"/>
        </w:rPr>
      </w:pPr>
      <w:r w:rsidRPr="007169EC">
        <w:rPr>
          <w:sz w:val="24"/>
          <w:szCs w:val="24"/>
        </w:rPr>
        <w:t xml:space="preserve">The OVEC units exemplify the problems with self-scheduling because in most hours that they operate, they are uneconomic. As stated in the </w:t>
      </w:r>
      <w:r w:rsidRPr="007169EC" w:rsidR="009975E1">
        <w:rPr>
          <w:sz w:val="24"/>
          <w:szCs w:val="24"/>
        </w:rPr>
        <w:t xml:space="preserve">PUCO-approved </w:t>
      </w:r>
      <w:r w:rsidRPr="007169EC">
        <w:rPr>
          <w:sz w:val="24"/>
          <w:szCs w:val="24"/>
        </w:rPr>
        <w:t>Audit Report</w:t>
      </w:r>
      <w:r w:rsidRPr="007169EC" w:rsidR="00B525BC">
        <w:rPr>
          <w:sz w:val="24"/>
          <w:szCs w:val="24"/>
        </w:rPr>
        <w:t xml:space="preserve"> for Duke Ohio</w:t>
      </w:r>
      <w:r w:rsidRPr="007169EC">
        <w:rPr>
          <w:sz w:val="24"/>
          <w:szCs w:val="24"/>
        </w:rPr>
        <w:t>, the energy cost of the OVEC units w</w:t>
      </w:r>
      <w:r w:rsidRPr="007169EC" w:rsidR="00376802">
        <w:rPr>
          <w:sz w:val="24"/>
          <w:szCs w:val="24"/>
        </w:rPr>
        <w:t>as</w:t>
      </w:r>
      <w:r w:rsidRPr="007169EC">
        <w:rPr>
          <w:sz w:val="24"/>
          <w:szCs w:val="24"/>
        </w:rPr>
        <w:t xml:space="preserve"> $25.61 per MWh in 2020, whereas the PJM energy price for the Duke Ohio PJM hub w</w:t>
      </w:r>
      <w:r w:rsidRPr="007169EC" w:rsidR="00376802">
        <w:rPr>
          <w:sz w:val="24"/>
          <w:szCs w:val="24"/>
        </w:rPr>
        <w:t>as</w:t>
      </w:r>
      <w:r w:rsidRPr="007169EC">
        <w:rPr>
          <w:sz w:val="24"/>
          <w:szCs w:val="24"/>
        </w:rPr>
        <w:t xml:space="preserve"> $21.35 per MWh on average—thus the OVEC units were 20 percent more costly than the market energy price (i.e. the marginal cost of generating energy).</w:t>
      </w:r>
      <w:r>
        <w:rPr>
          <w:rStyle w:val="FootnoteReference"/>
          <w:sz w:val="24"/>
          <w:szCs w:val="24"/>
        </w:rPr>
        <w:footnoteReference w:id="17"/>
      </w:r>
      <w:r w:rsidRPr="007169EC">
        <w:rPr>
          <w:sz w:val="24"/>
          <w:szCs w:val="24"/>
        </w:rPr>
        <w:t xml:space="preserve"> </w:t>
      </w:r>
      <w:r w:rsidRPr="007169EC" w:rsidR="009975E1">
        <w:rPr>
          <w:sz w:val="24"/>
          <w:szCs w:val="24"/>
        </w:rPr>
        <w:t>The PUCO-approved auditor</w:t>
      </w:r>
      <w:r w:rsidRPr="007169EC">
        <w:rPr>
          <w:sz w:val="24"/>
          <w:szCs w:val="24"/>
        </w:rPr>
        <w:t xml:space="preserve"> also found that the OVEC energy charge was higher than the Duke hub LMP “for most months in 2020.”</w:t>
      </w:r>
      <w:r>
        <w:rPr>
          <w:rStyle w:val="FootnoteReference"/>
          <w:sz w:val="24"/>
          <w:szCs w:val="24"/>
        </w:rPr>
        <w:footnoteReference w:id="18"/>
      </w:r>
      <w:r w:rsidRPr="007169EC">
        <w:rPr>
          <w:sz w:val="24"/>
          <w:szCs w:val="24"/>
        </w:rPr>
        <w:t xml:space="preserve"> </w:t>
      </w:r>
    </w:p>
    <w:p w:rsidR="00D85B5C" w:rsidRPr="007169EC" w:rsidP="00767835" w14:paraId="1A38B1EF" w14:textId="0F6F7F94">
      <w:pPr>
        <w:spacing w:line="480" w:lineRule="auto"/>
        <w:ind w:firstLine="720"/>
        <w:rPr>
          <w:sz w:val="24"/>
          <w:szCs w:val="24"/>
        </w:rPr>
      </w:pPr>
      <w:r w:rsidRPr="007169EC">
        <w:rPr>
          <w:sz w:val="24"/>
          <w:szCs w:val="24"/>
        </w:rPr>
        <w:t>Similarly, the</w:t>
      </w:r>
      <w:r w:rsidRPr="007169EC" w:rsidR="008965B2">
        <w:rPr>
          <w:sz w:val="24"/>
          <w:szCs w:val="24"/>
        </w:rPr>
        <w:t xml:space="preserve"> PJM energy price for the </w:t>
      </w:r>
      <w:r w:rsidRPr="007169EC" w:rsidR="009D193B">
        <w:rPr>
          <w:sz w:val="24"/>
          <w:szCs w:val="24"/>
        </w:rPr>
        <w:t>AEP</w:t>
      </w:r>
      <w:r w:rsidRPr="007169EC" w:rsidR="008965B2">
        <w:rPr>
          <w:sz w:val="24"/>
          <w:szCs w:val="24"/>
        </w:rPr>
        <w:t xml:space="preserve"> PJM zone w</w:t>
      </w:r>
      <w:r w:rsidRPr="007169EC">
        <w:rPr>
          <w:sz w:val="24"/>
          <w:szCs w:val="24"/>
        </w:rPr>
        <w:t>as</w:t>
      </w:r>
      <w:r w:rsidRPr="007169EC" w:rsidR="008965B2">
        <w:rPr>
          <w:sz w:val="24"/>
          <w:szCs w:val="24"/>
        </w:rPr>
        <w:t xml:space="preserve"> $20.92 per MWh on average—thus the OVEC units were 22 percent more costly than </w:t>
      </w:r>
      <w:r w:rsidRPr="007169EC" w:rsidR="0004761E">
        <w:rPr>
          <w:sz w:val="24"/>
          <w:szCs w:val="24"/>
        </w:rPr>
        <w:t>that zone’s energy</w:t>
      </w:r>
      <w:r w:rsidRPr="007169EC" w:rsidR="008965B2">
        <w:rPr>
          <w:sz w:val="24"/>
          <w:szCs w:val="24"/>
        </w:rPr>
        <w:t>.</w:t>
      </w:r>
      <w:r>
        <w:rPr>
          <w:rStyle w:val="FootnoteReference"/>
          <w:sz w:val="24"/>
          <w:szCs w:val="24"/>
        </w:rPr>
        <w:footnoteReference w:id="19"/>
      </w:r>
      <w:r w:rsidRPr="007169EC" w:rsidR="008965B2">
        <w:rPr>
          <w:sz w:val="24"/>
          <w:szCs w:val="24"/>
        </w:rPr>
        <w:t xml:space="preserve"> </w:t>
      </w:r>
      <w:r w:rsidRPr="007169EC" w:rsidR="00A14407">
        <w:rPr>
          <w:sz w:val="24"/>
          <w:szCs w:val="24"/>
        </w:rPr>
        <w:t>The PUCO-approved auditor</w:t>
      </w:r>
      <w:r w:rsidRPr="007169EC" w:rsidR="008965B2">
        <w:rPr>
          <w:sz w:val="24"/>
          <w:szCs w:val="24"/>
        </w:rPr>
        <w:t xml:space="preserve"> also found that the OVEC energy charge was higher than the </w:t>
      </w:r>
      <w:r w:rsidRPr="007169EC" w:rsidR="009D193B">
        <w:rPr>
          <w:sz w:val="24"/>
          <w:szCs w:val="24"/>
        </w:rPr>
        <w:t>AEP</w:t>
      </w:r>
      <w:r w:rsidRPr="007169EC" w:rsidR="008965B2">
        <w:rPr>
          <w:sz w:val="24"/>
          <w:szCs w:val="24"/>
        </w:rPr>
        <w:t xml:space="preserve"> LMP “for all months in 2020.”</w:t>
      </w:r>
      <w:r>
        <w:rPr>
          <w:rStyle w:val="FootnoteReference"/>
          <w:sz w:val="24"/>
          <w:szCs w:val="24"/>
        </w:rPr>
        <w:footnoteReference w:id="20"/>
      </w:r>
      <w:r w:rsidRPr="007169EC" w:rsidR="008965B2">
        <w:rPr>
          <w:sz w:val="24"/>
          <w:szCs w:val="24"/>
        </w:rPr>
        <w:t xml:space="preserve"> The PJM energy price for the AES Ohio PJM zone w</w:t>
      </w:r>
      <w:r w:rsidRPr="007169EC">
        <w:rPr>
          <w:sz w:val="24"/>
          <w:szCs w:val="24"/>
        </w:rPr>
        <w:t>as</w:t>
      </w:r>
      <w:r w:rsidRPr="007169EC" w:rsidR="008965B2">
        <w:rPr>
          <w:sz w:val="24"/>
          <w:szCs w:val="24"/>
        </w:rPr>
        <w:t xml:space="preserve"> $</w:t>
      </w:r>
      <w:r w:rsidRPr="007169EC" w:rsidR="0004761E">
        <w:rPr>
          <w:sz w:val="24"/>
          <w:szCs w:val="24"/>
        </w:rPr>
        <w:t>19.55</w:t>
      </w:r>
      <w:r w:rsidRPr="007169EC" w:rsidR="008965B2">
        <w:rPr>
          <w:sz w:val="24"/>
          <w:szCs w:val="24"/>
        </w:rPr>
        <w:t xml:space="preserve"> per MWh on averag</w:t>
      </w:r>
      <w:r w:rsidRPr="007169EC" w:rsidR="0004761E">
        <w:rPr>
          <w:sz w:val="24"/>
          <w:szCs w:val="24"/>
        </w:rPr>
        <w:t xml:space="preserve">e which was 31 </w:t>
      </w:r>
      <w:r w:rsidRPr="007169EC" w:rsidR="008965B2">
        <w:rPr>
          <w:sz w:val="24"/>
          <w:szCs w:val="24"/>
        </w:rPr>
        <w:t xml:space="preserve">percent </w:t>
      </w:r>
      <w:r w:rsidRPr="007169EC" w:rsidR="0004761E">
        <w:rPr>
          <w:sz w:val="24"/>
          <w:szCs w:val="24"/>
        </w:rPr>
        <w:t>higher than</w:t>
      </w:r>
      <w:r w:rsidRPr="007169EC" w:rsidR="008965B2">
        <w:rPr>
          <w:sz w:val="24"/>
          <w:szCs w:val="24"/>
        </w:rPr>
        <w:t xml:space="preserve"> </w:t>
      </w:r>
      <w:r w:rsidRPr="007169EC" w:rsidR="0004761E">
        <w:rPr>
          <w:sz w:val="24"/>
          <w:szCs w:val="24"/>
        </w:rPr>
        <w:t>that</w:t>
      </w:r>
      <w:r w:rsidRPr="007169EC" w:rsidR="008965B2">
        <w:rPr>
          <w:sz w:val="24"/>
          <w:szCs w:val="24"/>
        </w:rPr>
        <w:t xml:space="preserve"> </w:t>
      </w:r>
      <w:r w:rsidRPr="007169EC" w:rsidR="0004761E">
        <w:rPr>
          <w:sz w:val="24"/>
          <w:szCs w:val="24"/>
        </w:rPr>
        <w:t>zone’s</w:t>
      </w:r>
      <w:r w:rsidRPr="007169EC" w:rsidR="008965B2">
        <w:rPr>
          <w:sz w:val="24"/>
          <w:szCs w:val="24"/>
        </w:rPr>
        <w:t xml:space="preserve"> energy.</w:t>
      </w:r>
      <w:r>
        <w:rPr>
          <w:rStyle w:val="FootnoteReference"/>
          <w:sz w:val="24"/>
          <w:szCs w:val="24"/>
        </w:rPr>
        <w:footnoteReference w:id="21"/>
      </w:r>
      <w:r w:rsidRPr="007169EC" w:rsidR="008965B2">
        <w:rPr>
          <w:sz w:val="24"/>
          <w:szCs w:val="24"/>
        </w:rPr>
        <w:t xml:space="preserve"> </w:t>
      </w:r>
      <w:r w:rsidRPr="007169EC" w:rsidR="000E30C5">
        <w:rPr>
          <w:sz w:val="24"/>
          <w:szCs w:val="24"/>
        </w:rPr>
        <w:t>Thus,</w:t>
      </w:r>
      <w:r w:rsidRPr="007169EC" w:rsidR="000F1983">
        <w:rPr>
          <w:sz w:val="24"/>
          <w:szCs w:val="24"/>
        </w:rPr>
        <w:t xml:space="preserve"> OVEC did not operate the plants economically or efficiently.</w:t>
      </w:r>
      <w:r w:rsidRPr="007169EC" w:rsidR="00681DF2">
        <w:rPr>
          <w:sz w:val="24"/>
          <w:szCs w:val="24"/>
        </w:rPr>
        <w:t xml:space="preserve"> </w:t>
      </w:r>
      <w:r w:rsidRPr="007169EC" w:rsidR="002D3934">
        <w:rPr>
          <w:sz w:val="24"/>
          <w:szCs w:val="24"/>
        </w:rPr>
        <w:t>Consumers would have been much better off if OVEC had not operated its plants at all in 2020.</w:t>
      </w:r>
    </w:p>
    <w:p w:rsidR="00B33C89" w:rsidRPr="007169EC" w:rsidP="00542952" w14:paraId="727CBE98" w14:textId="1CAF1BB8">
      <w:pPr>
        <w:spacing w:line="480" w:lineRule="auto"/>
        <w:ind w:firstLine="720"/>
        <w:rPr>
          <w:sz w:val="24"/>
          <w:szCs w:val="24"/>
        </w:rPr>
      </w:pPr>
      <w:r w:rsidRPr="007169EC">
        <w:rPr>
          <w:sz w:val="24"/>
          <w:szCs w:val="24"/>
        </w:rPr>
        <w:t>A review</w:t>
      </w:r>
      <w:r w:rsidRPr="007169EC" w:rsidR="00BF70F5">
        <w:rPr>
          <w:sz w:val="24"/>
          <w:szCs w:val="24"/>
        </w:rPr>
        <w:t xml:space="preserve"> of the </w:t>
      </w:r>
      <w:r w:rsidRPr="007169EC" w:rsidR="00A14407">
        <w:rPr>
          <w:sz w:val="24"/>
          <w:szCs w:val="24"/>
        </w:rPr>
        <w:t>AES, AEP and Duke’s</w:t>
      </w:r>
      <w:r w:rsidRPr="007169EC" w:rsidR="00D21774">
        <w:rPr>
          <w:sz w:val="24"/>
          <w:szCs w:val="24"/>
        </w:rPr>
        <w:t xml:space="preserve"> LMPs, on a plant-wide basis, </w:t>
      </w:r>
      <w:r w:rsidRPr="007169EC">
        <w:rPr>
          <w:sz w:val="24"/>
          <w:szCs w:val="24"/>
        </w:rPr>
        <w:t>shows</w:t>
      </w:r>
      <w:r w:rsidRPr="007169EC" w:rsidR="00D21774">
        <w:rPr>
          <w:sz w:val="24"/>
          <w:szCs w:val="24"/>
        </w:rPr>
        <w:t xml:space="preserve"> that the Clifty Creek and Kyger Creek were operating for 98 and 97 percent of all hours in 2020, respectively.</w:t>
      </w:r>
      <w:r>
        <w:rPr>
          <w:rStyle w:val="FootnoteReference"/>
          <w:sz w:val="24"/>
          <w:szCs w:val="24"/>
        </w:rPr>
        <w:footnoteReference w:id="22"/>
      </w:r>
      <w:r w:rsidRPr="007169EC" w:rsidR="00D21774">
        <w:rPr>
          <w:sz w:val="24"/>
          <w:szCs w:val="24"/>
        </w:rPr>
        <w:t xml:space="preserve"> </w:t>
      </w:r>
      <w:r w:rsidRPr="007169EC" w:rsidR="00BF70F5">
        <w:rPr>
          <w:sz w:val="24"/>
          <w:szCs w:val="24"/>
        </w:rPr>
        <w:t>During</w:t>
      </w:r>
      <w:r w:rsidRPr="007169EC" w:rsidR="00D21774">
        <w:rPr>
          <w:sz w:val="24"/>
          <w:szCs w:val="24"/>
        </w:rPr>
        <w:t xml:space="preserve"> 84</w:t>
      </w:r>
      <w:r w:rsidRPr="007169EC" w:rsidR="00BF70F5">
        <w:rPr>
          <w:sz w:val="24"/>
          <w:szCs w:val="24"/>
        </w:rPr>
        <w:t xml:space="preserve"> to </w:t>
      </w:r>
      <w:r w:rsidRPr="007169EC" w:rsidR="00F32142">
        <w:rPr>
          <w:sz w:val="24"/>
          <w:szCs w:val="24"/>
        </w:rPr>
        <w:t xml:space="preserve">88 </w:t>
      </w:r>
      <w:r w:rsidRPr="007169EC" w:rsidR="00D21774">
        <w:rPr>
          <w:sz w:val="24"/>
          <w:szCs w:val="24"/>
        </w:rPr>
        <w:t xml:space="preserve">percent of those operating hours, the units’ energy costs were higher than </w:t>
      </w:r>
      <w:r w:rsidRPr="007169EC" w:rsidR="00A14407">
        <w:rPr>
          <w:sz w:val="24"/>
          <w:szCs w:val="24"/>
        </w:rPr>
        <w:t xml:space="preserve">AES, AEP and Duke’s </w:t>
      </w:r>
      <w:r w:rsidRPr="007169EC" w:rsidR="00F32142">
        <w:rPr>
          <w:sz w:val="24"/>
          <w:szCs w:val="24"/>
        </w:rPr>
        <w:t xml:space="preserve">zonal </w:t>
      </w:r>
      <w:r w:rsidRPr="007169EC" w:rsidR="001A05B1">
        <w:rPr>
          <w:sz w:val="24"/>
          <w:szCs w:val="24"/>
        </w:rPr>
        <w:t>energy price</w:t>
      </w:r>
      <w:r w:rsidRPr="007169EC" w:rsidR="00BF70F5">
        <w:rPr>
          <w:sz w:val="24"/>
          <w:szCs w:val="24"/>
        </w:rPr>
        <w:t>s</w:t>
      </w:r>
      <w:r w:rsidRPr="007169EC" w:rsidR="00D21774">
        <w:rPr>
          <w:sz w:val="24"/>
          <w:szCs w:val="24"/>
        </w:rPr>
        <w:t>.</w:t>
      </w:r>
      <w:r>
        <w:rPr>
          <w:rStyle w:val="FootnoteReference"/>
          <w:sz w:val="24"/>
          <w:szCs w:val="24"/>
        </w:rPr>
        <w:footnoteReference w:id="23"/>
      </w:r>
      <w:r w:rsidRPr="007169EC" w:rsidR="00D21774">
        <w:rPr>
          <w:sz w:val="24"/>
          <w:szCs w:val="24"/>
        </w:rPr>
        <w:t xml:space="preserve"> Despite this, the units were still self-scheduled </w:t>
      </w:r>
      <w:r w:rsidRPr="007169EC" w:rsidR="009D3C41">
        <w:rPr>
          <w:sz w:val="24"/>
          <w:szCs w:val="24"/>
        </w:rPr>
        <w:t>for nearly the entire year, with</w:t>
      </w:r>
      <w:r w:rsidRPr="007169EC" w:rsidR="00D21774">
        <w:rPr>
          <w:sz w:val="24"/>
          <w:szCs w:val="24"/>
        </w:rPr>
        <w:t xml:space="preserve"> the exception a brief period of </w:t>
      </w:r>
      <w:r w:rsidRPr="007169EC" w:rsidR="009D3C41">
        <w:rPr>
          <w:sz w:val="24"/>
          <w:szCs w:val="24"/>
        </w:rPr>
        <w:t xml:space="preserve">extremely </w:t>
      </w:r>
      <w:r w:rsidRPr="007169EC" w:rsidR="00D21774">
        <w:rPr>
          <w:sz w:val="24"/>
          <w:szCs w:val="24"/>
        </w:rPr>
        <w:t>low energy prices</w:t>
      </w:r>
      <w:r w:rsidRPr="007169EC">
        <w:rPr>
          <w:sz w:val="24"/>
          <w:szCs w:val="24"/>
        </w:rPr>
        <w:t xml:space="preserve"> at the height of the Covid-19 pandemic – </w:t>
      </w:r>
      <w:r w:rsidRPr="007169EC" w:rsidR="00D21774">
        <w:rPr>
          <w:sz w:val="24"/>
          <w:szCs w:val="24"/>
        </w:rPr>
        <w:t xml:space="preserve">as reported by </w:t>
      </w:r>
      <w:r w:rsidRPr="007169EC" w:rsidR="00A14407">
        <w:rPr>
          <w:sz w:val="24"/>
          <w:szCs w:val="24"/>
        </w:rPr>
        <w:t>the PUCO-approved auditor</w:t>
      </w:r>
      <w:r w:rsidRPr="007169EC" w:rsidR="00D21774">
        <w:rPr>
          <w:sz w:val="24"/>
          <w:szCs w:val="24"/>
        </w:rPr>
        <w:t>.</w:t>
      </w:r>
      <w:r>
        <w:rPr>
          <w:rStyle w:val="FootnoteReference"/>
          <w:sz w:val="24"/>
          <w:szCs w:val="24"/>
        </w:rPr>
        <w:footnoteReference w:id="24"/>
      </w:r>
      <w:r w:rsidRPr="007169EC" w:rsidR="00D21774">
        <w:rPr>
          <w:sz w:val="24"/>
          <w:szCs w:val="24"/>
        </w:rPr>
        <w:t xml:space="preserve"> Ultimately, </w:t>
      </w:r>
      <w:r w:rsidRPr="007169EC" w:rsidR="00A14407">
        <w:rPr>
          <w:sz w:val="24"/>
          <w:szCs w:val="24"/>
        </w:rPr>
        <w:t>the PUCO-approved auditor</w:t>
      </w:r>
      <w:r w:rsidRPr="007169EC" w:rsidR="00D21774">
        <w:rPr>
          <w:sz w:val="24"/>
          <w:szCs w:val="24"/>
        </w:rPr>
        <w:t xml:space="preserve"> recommends that “ideally” the units should be “committed based on economics all or most of the time.”</w:t>
      </w:r>
      <w:r>
        <w:rPr>
          <w:rStyle w:val="FootnoteReference"/>
          <w:sz w:val="24"/>
          <w:szCs w:val="24"/>
        </w:rPr>
        <w:footnoteReference w:id="25"/>
      </w:r>
      <w:r w:rsidRPr="007169EC" w:rsidR="00681DF2">
        <w:rPr>
          <w:sz w:val="24"/>
          <w:szCs w:val="24"/>
        </w:rPr>
        <w:t xml:space="preserve"> </w:t>
      </w:r>
      <w:r w:rsidRPr="007169EC" w:rsidR="009D3C41">
        <w:rPr>
          <w:sz w:val="24"/>
          <w:szCs w:val="24"/>
        </w:rPr>
        <w:t>OVEC did not follow this recommendation in its operation of the plants.</w:t>
      </w:r>
    </w:p>
    <w:p w:rsidR="002C4AC2" w:rsidP="0088128B" w14:paraId="1F847DBC" w14:textId="666D2C07">
      <w:pPr>
        <w:spacing w:line="480" w:lineRule="auto"/>
        <w:ind w:firstLine="720"/>
        <w:rPr>
          <w:sz w:val="24"/>
          <w:szCs w:val="24"/>
        </w:rPr>
      </w:pPr>
      <w:r w:rsidRPr="007169EC">
        <w:rPr>
          <w:sz w:val="24"/>
          <w:szCs w:val="24"/>
        </w:rPr>
        <w:t>The PUCO-approved auditor</w:t>
      </w:r>
      <w:r w:rsidRPr="007169EC" w:rsidR="00D21774">
        <w:rPr>
          <w:sz w:val="24"/>
          <w:szCs w:val="24"/>
        </w:rPr>
        <w:t xml:space="preserve"> hedge</w:t>
      </w:r>
      <w:r w:rsidRPr="007169EC">
        <w:rPr>
          <w:sz w:val="24"/>
          <w:szCs w:val="24"/>
        </w:rPr>
        <w:t>d</w:t>
      </w:r>
      <w:r w:rsidRPr="007169EC" w:rsidR="00D21774">
        <w:rPr>
          <w:sz w:val="24"/>
          <w:szCs w:val="24"/>
        </w:rPr>
        <w:t xml:space="preserve"> this recommendation by stating that “coal plants are not designed” for economic commitment by discussing the potential risks of turning on and off frequently.</w:t>
      </w:r>
      <w:r>
        <w:rPr>
          <w:rStyle w:val="FootnoteReference"/>
          <w:sz w:val="24"/>
          <w:szCs w:val="24"/>
        </w:rPr>
        <w:footnoteReference w:id="26"/>
      </w:r>
      <w:r w:rsidRPr="007169EC" w:rsidR="00D21774">
        <w:rPr>
          <w:sz w:val="24"/>
          <w:szCs w:val="24"/>
        </w:rPr>
        <w:t xml:space="preserve"> But coal unit owners can </w:t>
      </w:r>
      <w:r w:rsidRPr="007169EC" w:rsidR="00C80851">
        <w:rPr>
          <w:sz w:val="24"/>
          <w:szCs w:val="24"/>
        </w:rPr>
        <w:t xml:space="preserve">include </w:t>
      </w:r>
      <w:r w:rsidRPr="007169EC" w:rsidR="00D21774">
        <w:rPr>
          <w:sz w:val="24"/>
          <w:szCs w:val="24"/>
        </w:rPr>
        <w:t xml:space="preserve">such costs into their bids and allow PJM to consider those costs when making the commitment decision. If for some reason the units must run for safety </w:t>
      </w:r>
      <w:r w:rsidRPr="007169EC" w:rsidR="00B33C89">
        <w:rPr>
          <w:sz w:val="24"/>
          <w:szCs w:val="24"/>
        </w:rPr>
        <w:t>issues</w:t>
      </w:r>
      <w:r w:rsidRPr="007169EC" w:rsidR="00D21774">
        <w:rPr>
          <w:sz w:val="24"/>
          <w:szCs w:val="24"/>
        </w:rPr>
        <w:t xml:space="preserve">, then they can do so for a brief period; but the default for OVEC has been to force its units to operate regardless of their economics—which </w:t>
      </w:r>
      <w:r w:rsidRPr="007169EC" w:rsidR="00B33C89">
        <w:rPr>
          <w:sz w:val="24"/>
          <w:szCs w:val="24"/>
        </w:rPr>
        <w:t>has a direct and unjustified impact on c</w:t>
      </w:r>
      <w:r w:rsidRPr="007169EC" w:rsidR="009D3C41">
        <w:rPr>
          <w:sz w:val="24"/>
          <w:szCs w:val="24"/>
        </w:rPr>
        <w:t>onsumer</w:t>
      </w:r>
      <w:r w:rsidRPr="007169EC" w:rsidR="00B33C89">
        <w:rPr>
          <w:sz w:val="24"/>
          <w:szCs w:val="24"/>
        </w:rPr>
        <w:t xml:space="preserve"> bills</w:t>
      </w:r>
      <w:r w:rsidRPr="007169EC" w:rsidR="00D21774">
        <w:rPr>
          <w:sz w:val="24"/>
          <w:szCs w:val="24"/>
        </w:rPr>
        <w:t xml:space="preserve">. If OVEC is to conduct any self-scheduling going forward, </w:t>
      </w:r>
      <w:r w:rsidRPr="007169EC" w:rsidR="009D3C41">
        <w:rPr>
          <w:sz w:val="24"/>
          <w:szCs w:val="24"/>
        </w:rPr>
        <w:t>the PUCO should require</w:t>
      </w:r>
      <w:r w:rsidRPr="007169EC" w:rsidR="00D21774">
        <w:rPr>
          <w:sz w:val="24"/>
          <w:szCs w:val="24"/>
        </w:rPr>
        <w:t xml:space="preserve"> </w:t>
      </w:r>
      <w:r w:rsidRPr="007169EC" w:rsidR="009D3C41">
        <w:rPr>
          <w:sz w:val="24"/>
          <w:szCs w:val="24"/>
        </w:rPr>
        <w:t xml:space="preserve">written </w:t>
      </w:r>
      <w:r w:rsidRPr="007169EC" w:rsidR="00D21774">
        <w:rPr>
          <w:sz w:val="24"/>
          <w:szCs w:val="24"/>
        </w:rPr>
        <w:t>document</w:t>
      </w:r>
      <w:r w:rsidRPr="007169EC" w:rsidR="009D3C41">
        <w:rPr>
          <w:sz w:val="24"/>
          <w:szCs w:val="24"/>
        </w:rPr>
        <w:t>ation of</w:t>
      </w:r>
      <w:r w:rsidRPr="007169EC" w:rsidR="00D21774">
        <w:rPr>
          <w:sz w:val="24"/>
          <w:szCs w:val="24"/>
        </w:rPr>
        <w:t xml:space="preserve"> the reasoning, so that stakeholders can review the merits of those decisions. For purposes of this case, </w:t>
      </w:r>
      <w:r w:rsidRPr="007169EC">
        <w:rPr>
          <w:sz w:val="24"/>
          <w:szCs w:val="24"/>
        </w:rPr>
        <w:t xml:space="preserve">AES, AEP and Duke’s </w:t>
      </w:r>
      <w:r w:rsidRPr="007169EC" w:rsidR="009D193B">
        <w:rPr>
          <w:sz w:val="24"/>
          <w:szCs w:val="24"/>
        </w:rPr>
        <w:t>consumers</w:t>
      </w:r>
      <w:r w:rsidRPr="007169EC" w:rsidR="00D21774">
        <w:rPr>
          <w:sz w:val="24"/>
          <w:szCs w:val="24"/>
        </w:rPr>
        <w:t xml:space="preserve"> should not pay for </w:t>
      </w:r>
      <w:r w:rsidRPr="007169EC" w:rsidR="00B33C89">
        <w:rPr>
          <w:sz w:val="24"/>
          <w:szCs w:val="24"/>
        </w:rPr>
        <w:t>any</w:t>
      </w:r>
      <w:r w:rsidRPr="007169EC" w:rsidR="00D21774">
        <w:rPr>
          <w:sz w:val="24"/>
          <w:szCs w:val="24"/>
        </w:rPr>
        <w:t xml:space="preserve"> excess costs associated with the </w:t>
      </w:r>
      <w:r w:rsidRPr="007169EC" w:rsidR="009D3C41">
        <w:rPr>
          <w:sz w:val="24"/>
          <w:szCs w:val="24"/>
        </w:rPr>
        <w:t xml:space="preserve">imprudent </w:t>
      </w:r>
      <w:r w:rsidRPr="007169EC" w:rsidR="00D21774">
        <w:rPr>
          <w:sz w:val="24"/>
          <w:szCs w:val="24"/>
        </w:rPr>
        <w:t>self-scheduling of these units</w:t>
      </w:r>
      <w:r w:rsidRPr="007169EC">
        <w:rPr>
          <w:sz w:val="24"/>
          <w:szCs w:val="24"/>
        </w:rPr>
        <w:t>, which could be demonstrated by requiring the PUCO-approved auditor to perform an hour-by-hour dispatch analysis for the entire year</w:t>
      </w:r>
      <w:r w:rsidRPr="007169EC" w:rsidR="00D21774">
        <w:rPr>
          <w:sz w:val="24"/>
          <w:szCs w:val="24"/>
        </w:rPr>
        <w:t>.</w:t>
      </w:r>
    </w:p>
    <w:p w:rsidR="002C4AC2" w14:paraId="2E1F50E9" w14:textId="77777777">
      <w:pPr>
        <w:rPr>
          <w:sz w:val="24"/>
          <w:szCs w:val="24"/>
        </w:rPr>
      </w:pPr>
      <w:r>
        <w:rPr>
          <w:sz w:val="24"/>
          <w:szCs w:val="24"/>
        </w:rPr>
        <w:br w:type="page"/>
      </w:r>
    </w:p>
    <w:p w:rsidR="00A14407" w:rsidRPr="007169EC" w:rsidP="00542952" w14:paraId="6299A01D" w14:textId="20BFC74D">
      <w:pPr>
        <w:pStyle w:val="BodyText"/>
        <w:spacing w:line="480" w:lineRule="auto"/>
        <w:ind w:firstLine="720"/>
      </w:pPr>
      <w:r w:rsidRPr="007169EC">
        <w:t>The imprudency of AES, AEP and Duke’s coal plant subsidy charges is also indicated in a recent ruling by</w:t>
      </w:r>
      <w:r w:rsidRPr="007169EC" w:rsidR="00D21774">
        <w:t xml:space="preserve"> the Michigan Public Service Commission (</w:t>
      </w:r>
      <w:r w:rsidR="000D1158">
        <w:t>“</w:t>
      </w:r>
      <w:r w:rsidRPr="007169EC" w:rsidR="00D21774">
        <w:t>MPSC</w:t>
      </w:r>
      <w:r w:rsidR="000D1158">
        <w:t>”</w:t>
      </w:r>
      <w:r w:rsidRPr="007169EC" w:rsidR="00D21774">
        <w:t>)</w:t>
      </w:r>
      <w:r w:rsidRPr="007169EC">
        <w:t>.</w:t>
      </w:r>
      <w:r w:rsidR="007169EC">
        <w:t xml:space="preserve"> </w:t>
      </w:r>
      <w:r w:rsidRPr="007169EC">
        <w:t>In that case, the MPSC</w:t>
      </w:r>
      <w:r w:rsidRPr="007169EC" w:rsidR="00D21774">
        <w:t xml:space="preserve"> disallowed $1.347 million in 2020 power supply costs associated with the OVEC units that Indiana Michigan Power (I&amp;M), a subsidiary of AEP, was requesting.</w:t>
      </w:r>
      <w:r>
        <w:rPr>
          <w:rStyle w:val="FootnoteReference"/>
        </w:rPr>
        <w:footnoteReference w:id="27"/>
      </w:r>
      <w:r w:rsidRPr="007169EC" w:rsidR="00D21774">
        <w:t xml:space="preserve"> This disallowance level was developed from the Attorney General comparing the costs of the OVEC contract ($65.46 per MWh) that were incurred with two other long-term power transactions in Michigan that were </w:t>
      </w:r>
      <w:r w:rsidRPr="007169EC" w:rsidR="00504A72">
        <w:t>lower cost</w:t>
      </w:r>
      <w:r w:rsidRPr="007169EC" w:rsidR="00D21774">
        <w:t>.</w:t>
      </w:r>
      <w:r>
        <w:rPr>
          <w:rStyle w:val="FootnoteReference"/>
        </w:rPr>
        <w:footnoteReference w:id="28"/>
      </w:r>
      <w:r w:rsidRPr="007169EC" w:rsidR="00D21774">
        <w:t xml:space="preserve"> </w:t>
      </w:r>
    </w:p>
    <w:p w:rsidR="00D21774" w:rsidRPr="007169EC" w:rsidP="00542952" w14:paraId="38D852D0" w14:textId="1212497B">
      <w:pPr>
        <w:pStyle w:val="BodyText"/>
        <w:spacing w:line="480" w:lineRule="auto"/>
        <w:ind w:firstLine="720"/>
      </w:pPr>
      <w:r w:rsidRPr="007169EC">
        <w:t xml:space="preserve">The MPSC ultimately agreed with this comparison, admonishing I&amp;M because it “stubbornly refused to provide any other meaningful basis for comparison” to support </w:t>
      </w:r>
      <w:r w:rsidRPr="007169EC" w:rsidR="009D3C41">
        <w:t>collection</w:t>
      </w:r>
      <w:r w:rsidRPr="007169EC">
        <w:t xml:space="preserve"> of the OVEC units’ costs.</w:t>
      </w:r>
      <w:r>
        <w:rPr>
          <w:rStyle w:val="FootnoteReference"/>
        </w:rPr>
        <w:footnoteReference w:id="29"/>
      </w:r>
      <w:r w:rsidRPr="007169EC">
        <w:t xml:space="preserve"> I&amp;M also </w:t>
      </w:r>
      <w:r w:rsidRPr="007169EC" w:rsidR="00B30843">
        <w:t>“does not challenge”</w:t>
      </w:r>
      <w:r w:rsidRPr="007169EC">
        <w:t xml:space="preserve"> the accuracy of the Attorney General’s cost comparison.</w:t>
      </w:r>
      <w:r>
        <w:rPr>
          <w:rStyle w:val="FootnoteReference"/>
        </w:rPr>
        <w:footnoteReference w:id="30"/>
      </w:r>
      <w:r w:rsidRPr="007169EC">
        <w:t xml:space="preserve"> The MPSC had previously stated its position that long-term contracts need to be re-evaluated after signing because </w:t>
      </w:r>
      <w:r w:rsidRPr="007169EC" w:rsidR="00B33C89">
        <w:t>the existence of the contract</w:t>
      </w:r>
      <w:r w:rsidRPr="007169EC">
        <w:t xml:space="preserve"> d</w:t>
      </w:r>
      <w:r w:rsidRPr="007169EC" w:rsidR="00B33C89">
        <w:t>oes</w:t>
      </w:r>
      <w:r w:rsidRPr="007169EC">
        <w:t xml:space="preserve"> not “absolve a utility from monitoring and responding to market conditions</w:t>
      </w:r>
      <w:r w:rsidRPr="007169EC" w:rsidR="009D3C41">
        <w:t>.</w:t>
      </w:r>
      <w:r w:rsidRPr="007169EC">
        <w:t>”</w:t>
      </w:r>
      <w:r>
        <w:rPr>
          <w:rStyle w:val="FootnoteReference"/>
        </w:rPr>
        <w:footnoteReference w:id="31"/>
      </w:r>
      <w:r w:rsidRPr="007169EC">
        <w:t xml:space="preserve"> </w:t>
      </w:r>
    </w:p>
    <w:p w:rsidR="008C0BDF" w:rsidRPr="007169EC" w:rsidP="00574323" w14:paraId="0588797D" w14:textId="38E6C627">
      <w:pPr>
        <w:pStyle w:val="BodyText"/>
        <w:spacing w:line="480" w:lineRule="auto"/>
        <w:ind w:firstLine="720"/>
      </w:pPr>
      <w:r w:rsidRPr="007169EC">
        <w:t>The costs at issue in the Michigan case were the same costs at issue in the present case – OVEC costs for calendar year 2020.</w:t>
      </w:r>
      <w:r w:rsidRPr="007169EC" w:rsidR="00681DF2">
        <w:t xml:space="preserve"> </w:t>
      </w:r>
      <w:r w:rsidRPr="007169EC">
        <w:t>I&amp;M is AEP’s Indiana and Michigan affiliate, which owns a share of OVEC.</w:t>
      </w:r>
      <w:r w:rsidRPr="007169EC" w:rsidR="00681DF2">
        <w:t xml:space="preserve"> </w:t>
      </w:r>
      <w:r w:rsidRPr="007169EC">
        <w:t>It would be unjust if the PUCO would find the OVEC</w:t>
      </w:r>
    </w:p>
    <w:p w:rsidR="009D3C41" w:rsidRPr="007169EC" w:rsidP="008C0BDF" w14:paraId="49D0BA66" w14:textId="77441BE7">
      <w:pPr>
        <w:pStyle w:val="BodyText"/>
        <w:spacing w:line="480" w:lineRule="auto"/>
      </w:pPr>
      <w:r w:rsidRPr="007169EC">
        <w:t xml:space="preserve">costs prudent for </w:t>
      </w:r>
      <w:r w:rsidRPr="007169EC" w:rsidR="00A14407">
        <w:t xml:space="preserve">AES, </w:t>
      </w:r>
      <w:r w:rsidRPr="007169EC">
        <w:t>AEP</w:t>
      </w:r>
      <w:r w:rsidRPr="007169EC" w:rsidR="00A14407">
        <w:t xml:space="preserve"> and </w:t>
      </w:r>
      <w:r w:rsidR="00C57073">
        <w:t>Duke</w:t>
      </w:r>
      <w:r w:rsidRPr="007169EC">
        <w:t xml:space="preserve"> in the present case, given that MPSC found the same OVEC costs imprudent</w:t>
      </w:r>
      <w:r w:rsidR="00504A72">
        <w:t xml:space="preserve"> </w:t>
      </w:r>
      <w:r w:rsidRPr="007169EC" w:rsidR="00A14407">
        <w:t>for the same time period – calendar year 2020</w:t>
      </w:r>
      <w:r w:rsidRPr="007169EC">
        <w:t>.</w:t>
      </w:r>
    </w:p>
    <w:p w:rsidR="00B33C89" w:rsidRPr="007169EC" w:rsidP="00542952" w14:paraId="0F5B6327" w14:textId="073120E6">
      <w:pPr>
        <w:pStyle w:val="BodyText"/>
        <w:spacing w:line="480" w:lineRule="auto"/>
        <w:ind w:firstLine="720"/>
      </w:pPr>
      <w:r w:rsidRPr="007169EC">
        <w:t>The PUCO-approved auditor</w:t>
      </w:r>
      <w:r w:rsidRPr="007169EC" w:rsidR="00D21774">
        <w:t xml:space="preserve"> also estimate</w:t>
      </w:r>
      <w:r w:rsidRPr="007169EC" w:rsidR="009D3C41">
        <w:t>d</w:t>
      </w:r>
      <w:r w:rsidRPr="007169EC" w:rsidR="00D21774">
        <w:t xml:space="preserve"> that the all-in cost of the OVEC plants is substantially higher than the costs of building and operating a new combined cycle gas turbine (</w:t>
      </w:r>
      <w:r w:rsidRPr="007169EC" w:rsidR="009D3C41">
        <w:t>“</w:t>
      </w:r>
      <w:r w:rsidRPr="007169EC" w:rsidR="00D21774">
        <w:t>CCGT</w:t>
      </w:r>
      <w:r w:rsidRPr="007169EC" w:rsidR="009D3C41">
        <w:t>”</w:t>
      </w:r>
      <w:r w:rsidRPr="007169EC" w:rsidR="00D21774">
        <w:t>) in PJM. The costs reported by OVEC are $67 per MWh, compared to a range of between $35.90 and $42.20 per MWh for building and operating a new CCGT.</w:t>
      </w:r>
      <w:r>
        <w:rPr>
          <w:rStyle w:val="FootnoteReference"/>
        </w:rPr>
        <w:footnoteReference w:id="32"/>
      </w:r>
      <w:r w:rsidRPr="007169EC" w:rsidR="00D21774">
        <w:t xml:space="preserve"> </w:t>
      </w:r>
      <w:r w:rsidRPr="007169EC">
        <w:t>The PUCO-approved auditor’s</w:t>
      </w:r>
      <w:r w:rsidRPr="007169EC" w:rsidR="00D21774">
        <w:t xml:space="preserve"> own estimate of OVEC units’ costs </w:t>
      </w:r>
      <w:r w:rsidRPr="007169EC">
        <w:t>is</w:t>
      </w:r>
      <w:r w:rsidRPr="007169EC" w:rsidR="00D21774">
        <w:t xml:space="preserve"> $65.19 per MWh for the audit period ($39.59 per MWh in demand charges and $25.61 per MWh in energy charges).</w:t>
      </w:r>
      <w:r>
        <w:rPr>
          <w:rStyle w:val="FootnoteReference"/>
        </w:rPr>
        <w:footnoteReference w:id="33"/>
      </w:r>
      <w:r w:rsidRPr="007169EC" w:rsidR="00D21774">
        <w:t xml:space="preserve"> </w:t>
      </w:r>
      <w:r w:rsidRPr="007169EC" w:rsidR="00B30843">
        <w:t>It would be cheaper to b</w:t>
      </w:r>
      <w:r w:rsidRPr="007169EC">
        <w:t xml:space="preserve">uild nearly twice as much </w:t>
      </w:r>
      <w:r w:rsidRPr="007169EC" w:rsidR="002D16D5">
        <w:t xml:space="preserve">efficient, low-cost </w:t>
      </w:r>
      <w:r w:rsidRPr="007169EC">
        <w:t xml:space="preserve">new gas capacity than </w:t>
      </w:r>
      <w:r w:rsidRPr="007169EC" w:rsidR="009D3C41">
        <w:t>to</w:t>
      </w:r>
      <w:r w:rsidRPr="007169EC" w:rsidR="002D16D5">
        <w:t xml:space="preserve"> </w:t>
      </w:r>
      <w:r w:rsidRPr="007169EC">
        <w:t xml:space="preserve">continue </w:t>
      </w:r>
      <w:r w:rsidRPr="007169EC" w:rsidR="002D16D5">
        <w:t>forcing consumers to pay</w:t>
      </w:r>
      <w:r w:rsidRPr="007169EC">
        <w:t xml:space="preserve"> </w:t>
      </w:r>
      <w:r w:rsidRPr="007169EC" w:rsidR="002D16D5">
        <w:t xml:space="preserve">above-market prices </w:t>
      </w:r>
      <w:r w:rsidRPr="007169EC">
        <w:t>for the</w:t>
      </w:r>
      <w:r w:rsidRPr="007169EC">
        <w:t xml:space="preserve"> old and</w:t>
      </w:r>
      <w:r w:rsidRPr="007169EC">
        <w:t xml:space="preserve"> </w:t>
      </w:r>
      <w:r w:rsidRPr="007169EC" w:rsidR="002D16D5">
        <w:t xml:space="preserve">inefficient </w:t>
      </w:r>
      <w:r w:rsidRPr="007169EC">
        <w:t>OVEC units</w:t>
      </w:r>
      <w:r w:rsidRPr="007169EC" w:rsidR="00F32142">
        <w:t>.</w:t>
      </w:r>
    </w:p>
    <w:p w:rsidR="00B33C89" w:rsidRPr="007169EC" w:rsidP="00542952" w14:paraId="5B3B5FDD" w14:textId="04BF5A9F">
      <w:pPr>
        <w:pStyle w:val="BodyText"/>
        <w:spacing w:line="480" w:lineRule="auto"/>
        <w:ind w:firstLine="720"/>
      </w:pPr>
      <w:r w:rsidRPr="007169EC">
        <w:t xml:space="preserve">Despite these exorbitant costs, </w:t>
      </w:r>
      <w:r w:rsidRPr="007169EC" w:rsidR="00A14407">
        <w:t>the PUCO-approved auditor</w:t>
      </w:r>
      <w:r w:rsidRPr="007169EC">
        <w:t xml:space="preserve"> offers an ambivalent recommendation for OVEC’s continued operation</w:t>
      </w:r>
      <w:r w:rsidRPr="007169EC" w:rsidR="00F32142">
        <w:t xml:space="preserve"> for </w:t>
      </w:r>
      <w:r w:rsidRPr="007169EC" w:rsidR="00A14407">
        <w:t>AES, AEP and Duke</w:t>
      </w:r>
      <w:r w:rsidRPr="007169EC">
        <w:t>:</w:t>
      </w:r>
    </w:p>
    <w:p w:rsidR="000526DE" w:rsidRPr="007169EC" w:rsidP="00542952" w14:paraId="0EF66189" w14:textId="16B3B403">
      <w:pPr>
        <w:pStyle w:val="Quote"/>
        <w:spacing w:after="0"/>
        <w:ind w:right="1440"/>
        <w:rPr>
          <w:rFonts w:ascii="Times New Roman" w:hAnsi="Times New Roman" w:cs="Times New Roman"/>
          <w:vertAlign w:val="superscript"/>
        </w:rPr>
      </w:pPr>
      <w:r w:rsidRPr="007169EC">
        <w:rPr>
          <w:rFonts w:ascii="Times New Roman" w:hAnsi="Times New Roman" w:cs="Times New Roman"/>
        </w:rPr>
        <w:t xml:space="preserve">The current ICPA does not expire until June 30, 2040. </w:t>
      </w:r>
      <w:r w:rsidRPr="007169EC" w:rsidR="009D193B">
        <w:rPr>
          <w:rFonts w:ascii="Times New Roman" w:hAnsi="Times New Roman" w:cs="Times New Roman"/>
        </w:rPr>
        <w:t>AEP</w:t>
      </w:r>
      <w:r w:rsidRPr="007169EC">
        <w:rPr>
          <w:rFonts w:ascii="Times New Roman" w:hAnsi="Times New Roman" w:cs="Times New Roman"/>
        </w:rPr>
        <w:t xml:space="preserve"> customers could be locked into paying a premium for energy and capacity from the OVEC plants for up to another 20 years, though market prices could change in the future, and the premium could become a discount.</w:t>
      </w:r>
      <w:r>
        <w:rPr>
          <w:rFonts w:ascii="Times New Roman" w:hAnsi="Times New Roman" w:cs="Times New Roman"/>
          <w:vertAlign w:val="superscript"/>
        </w:rPr>
        <w:footnoteReference w:id="34"/>
      </w:r>
      <w:r w:rsidRPr="007169EC">
        <w:rPr>
          <w:rFonts w:ascii="Times New Roman" w:hAnsi="Times New Roman" w:cs="Times New Roman"/>
          <w:vertAlign w:val="superscript"/>
        </w:rPr>
        <w:t xml:space="preserve"> </w:t>
      </w:r>
    </w:p>
    <w:p w:rsidR="00542952" w:rsidRPr="007169EC" w:rsidP="00542952" w14:paraId="43C561CD" w14:textId="77777777">
      <w:pPr>
        <w:ind w:left="1440" w:right="1440"/>
        <w:rPr>
          <w:sz w:val="24"/>
          <w:szCs w:val="24"/>
        </w:rPr>
      </w:pPr>
    </w:p>
    <w:p w:rsidR="000526DE" w:rsidRPr="007169EC" w:rsidP="00542952" w14:paraId="41D72D01" w14:textId="08260751">
      <w:pPr>
        <w:ind w:left="1440" w:right="1440"/>
        <w:rPr>
          <w:sz w:val="24"/>
          <w:szCs w:val="24"/>
        </w:rPr>
      </w:pPr>
      <w:r w:rsidRPr="007169EC">
        <w:rPr>
          <w:sz w:val="24"/>
          <w:szCs w:val="24"/>
        </w:rPr>
        <w:t>The current ICPA does not expire until June 30, 2040. AES Ohio’s customers could be locked into</w:t>
      </w:r>
      <w:r w:rsidRPr="007169EC" w:rsidR="00542952">
        <w:rPr>
          <w:sz w:val="24"/>
          <w:szCs w:val="24"/>
        </w:rPr>
        <w:t xml:space="preserve"> </w:t>
      </w:r>
      <w:r w:rsidRPr="007169EC">
        <w:rPr>
          <w:sz w:val="24"/>
          <w:szCs w:val="24"/>
        </w:rPr>
        <w:t>paying a premium for energy and capacity from the OVEC plants in future years, though market</w:t>
      </w:r>
      <w:r w:rsidRPr="007169EC" w:rsidR="00542952">
        <w:rPr>
          <w:sz w:val="24"/>
          <w:szCs w:val="24"/>
        </w:rPr>
        <w:t xml:space="preserve"> </w:t>
      </w:r>
      <w:r w:rsidRPr="007169EC">
        <w:rPr>
          <w:sz w:val="24"/>
          <w:szCs w:val="24"/>
        </w:rPr>
        <w:t>prices could change in the future, so it is possible that the premium could become a discount.</w:t>
      </w:r>
    </w:p>
    <w:p w:rsidR="000526DE" w:rsidRPr="007169EC" w:rsidP="00542952" w14:paraId="5929D059" w14:textId="070D8D31">
      <w:pPr>
        <w:ind w:left="1440" w:right="1440"/>
        <w:rPr>
          <w:sz w:val="24"/>
          <w:szCs w:val="24"/>
        </w:rPr>
      </w:pPr>
      <w:r w:rsidRPr="007169EC">
        <w:rPr>
          <w:sz w:val="24"/>
          <w:szCs w:val="24"/>
        </w:rPr>
        <w:t>Commission may wish to re-examine the role of</w:t>
      </w:r>
      <w:r w:rsidRPr="007169EC" w:rsidR="00542952">
        <w:rPr>
          <w:sz w:val="24"/>
          <w:szCs w:val="24"/>
        </w:rPr>
        <w:t xml:space="preserve"> </w:t>
      </w:r>
      <w:r w:rsidRPr="007169EC">
        <w:rPr>
          <w:sz w:val="24"/>
          <w:szCs w:val="24"/>
        </w:rPr>
        <w:t>Component D, which appears to LEI to be a</w:t>
      </w:r>
      <w:r w:rsidRPr="007169EC" w:rsidR="00542952">
        <w:rPr>
          <w:sz w:val="24"/>
          <w:szCs w:val="24"/>
        </w:rPr>
        <w:t xml:space="preserve"> </w:t>
      </w:r>
      <w:r w:rsidRPr="007169EC">
        <w:rPr>
          <w:sz w:val="24"/>
          <w:szCs w:val="24"/>
        </w:rPr>
        <w:t>return to capital.</w:t>
      </w:r>
      <w:r>
        <w:rPr>
          <w:rStyle w:val="FootnoteReference"/>
          <w:sz w:val="24"/>
          <w:szCs w:val="24"/>
        </w:rPr>
        <w:footnoteReference w:id="35"/>
      </w:r>
    </w:p>
    <w:p w:rsidR="000F7A68" w:rsidRPr="007169EC" w:rsidP="00542952" w14:paraId="3CC75D33" w14:textId="77777777">
      <w:pPr>
        <w:ind w:left="1440" w:right="1440"/>
        <w:rPr>
          <w:sz w:val="24"/>
          <w:szCs w:val="24"/>
        </w:rPr>
      </w:pPr>
    </w:p>
    <w:p w:rsidR="000526DE" w:rsidRPr="007169EC" w:rsidP="00542952" w14:paraId="56D35206" w14:textId="2992DFE5">
      <w:pPr>
        <w:pStyle w:val="Quote"/>
        <w:spacing w:after="0"/>
        <w:ind w:right="1440"/>
        <w:rPr>
          <w:rFonts w:ascii="Times New Roman" w:hAnsi="Times New Roman" w:cs="Times New Roman"/>
          <w:vertAlign w:val="superscript"/>
        </w:rPr>
      </w:pPr>
      <w:r w:rsidRPr="007169EC">
        <w:rPr>
          <w:rFonts w:ascii="Times New Roman" w:hAnsi="Times New Roman" w:cs="Times New Roman"/>
        </w:rPr>
        <w:t>DEO’s customers could be locked into paying a premium for energy and capacity from the OVEC plants in future years, though market prices could change in the future, so it is possible that the premium could become a discount.</w:t>
      </w:r>
      <w:r>
        <w:rPr>
          <w:rFonts w:ascii="Times New Roman" w:hAnsi="Times New Roman" w:cs="Times New Roman"/>
          <w:vertAlign w:val="superscript"/>
        </w:rPr>
        <w:footnoteReference w:id="36"/>
      </w:r>
      <w:r w:rsidRPr="007169EC">
        <w:rPr>
          <w:rFonts w:ascii="Times New Roman" w:hAnsi="Times New Roman" w:cs="Times New Roman"/>
          <w:vertAlign w:val="superscript"/>
        </w:rPr>
        <w:t xml:space="preserve"> </w:t>
      </w:r>
    </w:p>
    <w:p w:rsidR="000F7A68" w:rsidRPr="007169EC" w:rsidP="000F7A68" w14:paraId="47FE8C7C" w14:textId="77777777">
      <w:pPr>
        <w:rPr>
          <w:sz w:val="24"/>
          <w:szCs w:val="24"/>
        </w:rPr>
      </w:pPr>
    </w:p>
    <w:p w:rsidR="00741A06" w:rsidRPr="007169EC" w:rsidP="002111CA" w14:paraId="0C970768" w14:textId="05C594DB">
      <w:pPr>
        <w:pStyle w:val="BodyText"/>
        <w:spacing w:line="480" w:lineRule="auto"/>
        <w:ind w:firstLine="720"/>
      </w:pPr>
      <w:r w:rsidRPr="007169EC">
        <w:t>The PUCO-approved auditor’s</w:t>
      </w:r>
      <w:r w:rsidR="007169EC">
        <w:t xml:space="preserve"> </w:t>
      </w:r>
      <w:r w:rsidRPr="007169EC" w:rsidR="0053478B">
        <w:t>recommendation</w:t>
      </w:r>
      <w:r w:rsidRPr="007169EC" w:rsidR="00F32142">
        <w:t>s</w:t>
      </w:r>
      <w:r w:rsidRPr="007169EC" w:rsidR="0053478B">
        <w:t xml:space="preserve"> </w:t>
      </w:r>
      <w:r w:rsidRPr="007169EC" w:rsidR="00842C5A">
        <w:t xml:space="preserve">are somewhat meaningless in that they </w:t>
      </w:r>
      <w:r w:rsidRPr="007169EC" w:rsidR="0053478B">
        <w:t xml:space="preserve">describe all power supply contracts made in a wholesale market. </w:t>
      </w:r>
      <w:r w:rsidRPr="007169EC" w:rsidR="00842C5A">
        <w:t>These</w:t>
      </w:r>
      <w:r w:rsidRPr="007169EC" w:rsidR="002D16D5">
        <w:t xml:space="preserve"> comments are</w:t>
      </w:r>
      <w:r w:rsidRPr="007169EC" w:rsidR="00842C5A">
        <w:t xml:space="preserve"> therefore</w:t>
      </w:r>
      <w:r w:rsidRPr="007169EC" w:rsidR="002D16D5">
        <w:t xml:space="preserve"> irrelevant</w:t>
      </w:r>
      <w:r w:rsidRPr="007169EC" w:rsidR="0053478B">
        <w:t xml:space="preserve"> in determining</w:t>
      </w:r>
      <w:r w:rsidRPr="007169EC" w:rsidR="002D16D5">
        <w:t xml:space="preserve"> whether it is prudent for OVEC to continue operating the plants</w:t>
      </w:r>
      <w:r w:rsidRPr="007169EC" w:rsidR="0053478B">
        <w:t xml:space="preserve">. </w:t>
      </w:r>
      <w:r w:rsidRPr="007169EC" w:rsidR="00D21774">
        <w:t xml:space="preserve">Moreover, </w:t>
      </w:r>
      <w:r w:rsidRPr="007169EC" w:rsidR="0053478B">
        <w:t>OCC</w:t>
      </w:r>
      <w:r w:rsidRPr="007169EC" w:rsidR="00D21774">
        <w:t xml:space="preserve"> ha</w:t>
      </w:r>
      <w:r w:rsidRPr="007169EC" w:rsidR="0053478B">
        <w:t>s</w:t>
      </w:r>
      <w:r w:rsidRPr="007169EC" w:rsidR="00D21774">
        <w:t xml:space="preserve"> seen no recent evidence </w:t>
      </w:r>
      <w:r w:rsidRPr="007169EC" w:rsidR="0053478B">
        <w:t>that the OVEC</w:t>
      </w:r>
      <w:r w:rsidRPr="007169EC" w:rsidR="00D21774">
        <w:t xml:space="preserve"> units provid</w:t>
      </w:r>
      <w:r w:rsidRPr="007169EC" w:rsidR="002D16D5">
        <w:t>e</w:t>
      </w:r>
      <w:r w:rsidRPr="007169EC" w:rsidR="00D21774">
        <w:t xml:space="preserve"> a discount of any sort</w:t>
      </w:r>
      <w:r w:rsidRPr="007169EC" w:rsidR="0053478B">
        <w:t xml:space="preserve"> to</w:t>
      </w:r>
      <w:r w:rsidR="007169EC">
        <w:t xml:space="preserve"> </w:t>
      </w:r>
      <w:r w:rsidRPr="007169EC" w:rsidR="00842C5A">
        <w:t>AES, AEP and Duke’s</w:t>
      </w:r>
      <w:r w:rsidRPr="007169EC" w:rsidR="00F32142">
        <w:t xml:space="preserve"> </w:t>
      </w:r>
      <w:r w:rsidRPr="007169EC" w:rsidR="0053478B">
        <w:t>c</w:t>
      </w:r>
      <w:r w:rsidRPr="007169EC" w:rsidR="002D16D5">
        <w:t>onsumers</w:t>
      </w:r>
      <w:r w:rsidRPr="007169EC" w:rsidR="0053478B">
        <w:t>; rather, the OVEC units increase c</w:t>
      </w:r>
      <w:r w:rsidRPr="007169EC" w:rsidR="002D16D5">
        <w:t>onsumer</w:t>
      </w:r>
      <w:r w:rsidRPr="007169EC" w:rsidR="0053478B">
        <w:t xml:space="preserve"> costs.</w:t>
      </w:r>
      <w:r w:rsidR="007169EC">
        <w:t xml:space="preserve"> </w:t>
      </w:r>
      <w:r w:rsidRPr="007169EC" w:rsidR="00842C5A">
        <w:t>OCC recommends that the PUCO order its auditor to perform an hour-by-hour dispatch analysis for 2020, and require AES, AEP and Duke to credit consumers for the full amount that the coal plant subsidy charge was above market prices.</w:t>
      </w:r>
    </w:p>
    <w:p w:rsidR="00D21774" w:rsidRPr="007169EC" w:rsidP="002111CA" w14:paraId="0141B148" w14:textId="2A5F8CD3">
      <w:pPr>
        <w:pStyle w:val="Heading2"/>
        <w:numPr>
          <w:ilvl w:val="1"/>
          <w:numId w:val="2"/>
        </w:numPr>
        <w:ind w:left="1440" w:right="563"/>
      </w:pPr>
      <w:bookmarkStart w:id="8" w:name="_Toc133585182"/>
      <w:bookmarkStart w:id="9" w:name="_Toc134454161"/>
      <w:r w:rsidRPr="007169EC">
        <w:t>To protect consumers, the PUCO should disallow unreasonable and imprudent</w:t>
      </w:r>
      <w:r w:rsidRPr="007169EC" w:rsidR="002D16D5">
        <w:t xml:space="preserve"> above-market coal</w:t>
      </w:r>
      <w:r w:rsidRPr="007169EC">
        <w:t xml:space="preserve"> costs</w:t>
      </w:r>
      <w:r w:rsidRPr="007169EC" w:rsidR="00842C5A">
        <w:t xml:space="preserve"> and require AES, AEP and Duke to credit consumers $12.6 million for such above-market coal costs</w:t>
      </w:r>
      <w:r w:rsidRPr="007169EC">
        <w:t>.</w:t>
      </w:r>
      <w:bookmarkEnd w:id="8"/>
      <w:bookmarkEnd w:id="9"/>
    </w:p>
    <w:p w:rsidR="00C537D9" w:rsidP="00215145" w14:paraId="570272F1" w14:textId="5CFF49FF">
      <w:pPr>
        <w:pStyle w:val="BodyText"/>
        <w:spacing w:line="480" w:lineRule="auto"/>
        <w:ind w:firstLine="720"/>
      </w:pPr>
      <w:r w:rsidRPr="007169EC">
        <w:t>The PUCO-approved auditor’s</w:t>
      </w:r>
      <w:r w:rsidRPr="007169EC" w:rsidR="007D6EDA">
        <w:t xml:space="preserve"> 2021 Audit Report</w:t>
      </w:r>
      <w:r w:rsidRPr="007169EC" w:rsidR="00F32142">
        <w:t>s</w:t>
      </w:r>
      <w:r w:rsidRPr="007169EC" w:rsidR="007D6EDA">
        <w:t xml:space="preserve"> noted that Clifty Creek was paying above</w:t>
      </w:r>
      <w:r w:rsidRPr="007169EC" w:rsidR="002D16D5">
        <w:t>-</w:t>
      </w:r>
      <w:r w:rsidRPr="007169EC" w:rsidR="007D6EDA">
        <w:t>market prices for coal.</w:t>
      </w:r>
      <w:r>
        <w:rPr>
          <w:vertAlign w:val="superscript"/>
        </w:rPr>
        <w:footnoteReference w:id="37"/>
      </w:r>
      <w:r w:rsidRPr="007169EC" w:rsidR="007D6EDA">
        <w:t xml:space="preserve"> </w:t>
      </w:r>
      <w:r w:rsidRPr="007169EC" w:rsidR="002D16D5">
        <w:t>In fact,</w:t>
      </w:r>
      <w:r w:rsidRPr="007169EC" w:rsidR="007D6EDA">
        <w:t xml:space="preserve"> </w:t>
      </w:r>
      <w:r w:rsidRPr="007169EC" w:rsidR="00D21774">
        <w:t>OVEC</w:t>
      </w:r>
      <w:r w:rsidRPr="007169EC" w:rsidR="007D6EDA">
        <w:t xml:space="preserve"> </w:t>
      </w:r>
      <w:r w:rsidRPr="007169EC" w:rsidR="00D21774">
        <w:t xml:space="preserve">paid substantially higher prices for coal purchased for the Clifty Creek unit that was supplied from Resource Fuels compared to other coal suppliers. The evidence in this case </w:t>
      </w:r>
      <w:r w:rsidRPr="007169EC" w:rsidR="008005F1">
        <w:t>suggests</w:t>
      </w:r>
      <w:r w:rsidRPr="007169EC" w:rsidR="00D21774">
        <w:t xml:space="preserve"> that OVEC’s $12.6 million in above-market charges to consumers through the Coal Plant </w:t>
      </w:r>
      <w:r w:rsidRPr="007169EC" w:rsidR="002D16D5">
        <w:t xml:space="preserve">Subsidy </w:t>
      </w:r>
      <w:r w:rsidRPr="007169EC" w:rsidR="00D21774">
        <w:t>Charge in 2020 were imprudent</w:t>
      </w:r>
      <w:r w:rsidRPr="007169EC" w:rsidR="0053478B">
        <w:t>ly incurred</w:t>
      </w:r>
      <w:r w:rsidRPr="007169EC" w:rsidR="00D21774">
        <w:t xml:space="preserve"> and should be disallowed. </w:t>
      </w:r>
      <w:r w:rsidRPr="007169EC" w:rsidR="008005F1">
        <w:t xml:space="preserve">Further examination of contract terms would be necessary to determine </w:t>
      </w:r>
      <w:r w:rsidRPr="007169EC" w:rsidR="002D16D5">
        <w:t>the full extent of OVEC’s im</w:t>
      </w:r>
      <w:r w:rsidRPr="007169EC" w:rsidR="008005F1">
        <w:t>prudency.</w:t>
      </w:r>
    </w:p>
    <w:p w:rsidR="00C537D9" w14:paraId="48C6B146" w14:textId="77777777">
      <w:pPr>
        <w:rPr>
          <w:sz w:val="24"/>
          <w:szCs w:val="24"/>
        </w:rPr>
      </w:pPr>
      <w:r>
        <w:br w:type="page"/>
      </w:r>
    </w:p>
    <w:p w:rsidR="00A362E3" w:rsidRPr="007169EC" w:rsidP="00E51906" w14:paraId="6FC037FD" w14:textId="2F8D385E">
      <w:pPr>
        <w:pStyle w:val="BodyText"/>
        <w:spacing w:line="480" w:lineRule="auto"/>
        <w:ind w:firstLine="720"/>
      </w:pPr>
      <w:r w:rsidRPr="007169EC">
        <w:t>According to 2020 EIA-Form 923, OVEC purchased coal sourced from River View Mine in Kentucky for the Clifty Creek unit through two separate suppliers: Resource Fuels and Alliance Coal. The coal purchased through Resource Fuels was at a higher price than the coal purchased through Alliance Coal, despite having the same average heat content</w:t>
      </w:r>
      <w:r w:rsidRPr="007169EC" w:rsidR="00E85196">
        <w:t xml:space="preserve"> and coming from the same mine</w:t>
      </w:r>
      <w:r w:rsidRPr="007169EC">
        <w:t>. Specifically, Resource Fuels supplied 1,016,071 short tons of coal to the Clifty Creek Unit for $60.1 million</w:t>
      </w:r>
      <w:r w:rsidRPr="007169EC" w:rsidR="0053478B">
        <w:t xml:space="preserve"> ($2.</w:t>
      </w:r>
      <w:r w:rsidRPr="007169EC" w:rsidR="00B30843">
        <w:t>57</w:t>
      </w:r>
      <w:r w:rsidRPr="007169EC" w:rsidR="0053478B">
        <w:t xml:space="preserve"> per MMBtu)</w:t>
      </w:r>
      <w:r w:rsidRPr="007169EC">
        <w:t xml:space="preserve"> and, in contrast, Alliance Fuels supplied 1,249,160 short tons of coal for $59 million</w:t>
      </w:r>
      <w:r w:rsidRPr="007169EC" w:rsidR="0053478B">
        <w:t xml:space="preserve"> ($2.0</w:t>
      </w:r>
      <w:r w:rsidRPr="007169EC" w:rsidR="00B30843">
        <w:t>3</w:t>
      </w:r>
      <w:r w:rsidRPr="007169EC" w:rsidR="0053478B">
        <w:t xml:space="preserve"> per MMBtu).</w:t>
      </w:r>
      <w:r w:rsidRPr="007169EC">
        <w:t xml:space="preserve"> On a per MMBtu basis, OVEC paid $0.</w:t>
      </w:r>
      <w:r w:rsidRPr="007169EC" w:rsidR="00B30843">
        <w:t>54</w:t>
      </w:r>
      <w:r w:rsidRPr="007169EC">
        <w:t xml:space="preserve"> more </w:t>
      </w:r>
      <w:r w:rsidRPr="007169EC" w:rsidR="0053478B">
        <w:t xml:space="preserve">per MMBtu </w:t>
      </w:r>
      <w:r w:rsidRPr="007169EC">
        <w:t xml:space="preserve">for coal purchased from Resource Fuels </w:t>
      </w:r>
      <w:r w:rsidRPr="007169EC" w:rsidR="00E85196">
        <w:t>as compared to</w:t>
      </w:r>
      <w:r w:rsidRPr="007169EC">
        <w:t xml:space="preserve"> coal from the </w:t>
      </w:r>
      <w:r w:rsidRPr="007169EC">
        <w:rPr>
          <w:u w:val="single"/>
        </w:rPr>
        <w:t>same mine</w:t>
      </w:r>
      <w:r w:rsidRPr="007169EC">
        <w:t xml:space="preserve"> </w:t>
      </w:r>
      <w:r w:rsidRPr="007169EC" w:rsidR="0053478B">
        <w:t xml:space="preserve">with the </w:t>
      </w:r>
      <w:r w:rsidRPr="007169EC" w:rsidR="0053478B">
        <w:rPr>
          <w:u w:val="single"/>
        </w:rPr>
        <w:t>same heat content</w:t>
      </w:r>
      <w:r w:rsidRPr="007169EC" w:rsidR="0053478B">
        <w:t xml:space="preserve"> </w:t>
      </w:r>
      <w:r w:rsidRPr="007169EC">
        <w:t>purchased from Alliance Coal (</w:t>
      </w:r>
      <w:r w:rsidRPr="007169EC">
        <w:rPr>
          <w:i/>
          <w:iCs/>
        </w:rPr>
        <w:t>see</w:t>
      </w:r>
      <w:r w:rsidRPr="007169EC">
        <w:t xml:space="preserve"> </w:t>
      </w:r>
      <w:r w:rsidRPr="007169EC">
        <w:fldChar w:fldCharType="begin"/>
      </w:r>
      <w:r w:rsidRPr="007169EC">
        <w:instrText xml:space="preserve"> REF _Ref132873248 \h  \* MERGEFORMAT </w:instrText>
      </w:r>
      <w:r w:rsidRPr="007169EC">
        <w:fldChar w:fldCharType="separate"/>
      </w:r>
      <w:r w:rsidRPr="007169EC">
        <w:t>Table 1</w:t>
      </w:r>
      <w:r w:rsidRPr="007169EC">
        <w:fldChar w:fldCharType="end"/>
      </w:r>
      <w:r w:rsidRPr="007169EC">
        <w:t xml:space="preserve">). </w:t>
      </w:r>
    </w:p>
    <w:p w:rsidR="00D21774" w:rsidRPr="007169EC" w:rsidP="00036A3A" w14:paraId="31FC9EF7" w14:textId="77777777">
      <w:pPr>
        <w:pStyle w:val="Caption"/>
        <w:ind w:left="0"/>
        <w:jc w:val="center"/>
        <w:rPr>
          <w:sz w:val="24"/>
          <w:szCs w:val="24"/>
        </w:rPr>
      </w:pPr>
      <w:bookmarkStart w:id="10" w:name="_Ref132873248"/>
      <w:r w:rsidRPr="007169EC">
        <w:rPr>
          <w:sz w:val="24"/>
          <w:szCs w:val="24"/>
        </w:rPr>
        <w:t xml:space="preserve">Table </w:t>
      </w:r>
      <w:r w:rsidRPr="007169EC" w:rsidR="005F4525">
        <w:rPr>
          <w:sz w:val="24"/>
          <w:szCs w:val="24"/>
        </w:rPr>
        <w:fldChar w:fldCharType="begin"/>
      </w:r>
      <w:r w:rsidRPr="007169EC" w:rsidR="005F4525">
        <w:rPr>
          <w:sz w:val="24"/>
          <w:szCs w:val="24"/>
        </w:rPr>
        <w:instrText xml:space="preserve"> SEQ Table \* ARABIC </w:instrText>
      </w:r>
      <w:r w:rsidRPr="007169EC" w:rsidR="005F4525">
        <w:rPr>
          <w:sz w:val="24"/>
          <w:szCs w:val="24"/>
        </w:rPr>
        <w:fldChar w:fldCharType="separate"/>
      </w:r>
      <w:r w:rsidRPr="007169EC">
        <w:rPr>
          <w:sz w:val="24"/>
          <w:szCs w:val="24"/>
        </w:rPr>
        <w:t>1</w:t>
      </w:r>
      <w:r w:rsidRPr="007169EC" w:rsidR="005F4525">
        <w:rPr>
          <w:sz w:val="24"/>
          <w:szCs w:val="24"/>
        </w:rPr>
        <w:fldChar w:fldCharType="end"/>
      </w:r>
      <w:bookmarkEnd w:id="10"/>
      <w:r w:rsidRPr="007169EC">
        <w:rPr>
          <w:sz w:val="24"/>
          <w:szCs w:val="24"/>
        </w:rPr>
        <w:t>. 2020 Clifty Creek coal purchases</w:t>
      </w:r>
    </w:p>
    <w:p w:rsidR="00D21774" w:rsidRPr="007169EC" w:rsidP="00215145" w14:paraId="03E6D6E8" w14:textId="51BD8424">
      <w:pPr>
        <w:pStyle w:val="NoSpacing"/>
        <w:keepNext/>
        <w:widowControl/>
        <w:jc w:val="center"/>
        <w:rPr>
          <w:i/>
          <w:iCs/>
          <w:color w:val="000000"/>
          <w:sz w:val="24"/>
          <w:szCs w:val="24"/>
        </w:rPr>
      </w:pPr>
      <w:r w:rsidRPr="007169EC">
        <w:rPr>
          <w:noProof/>
          <w:sz w:val="24"/>
          <w:szCs w:val="24"/>
        </w:rPr>
        <w:drawing>
          <wp:inline distT="0" distB="0" distL="0" distR="0">
            <wp:extent cx="5943600" cy="1500903"/>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500903"/>
                    </a:xfrm>
                    <a:prstGeom prst="rect">
                      <a:avLst/>
                    </a:prstGeom>
                    <a:noFill/>
                    <a:ln>
                      <a:noFill/>
                    </a:ln>
                  </pic:spPr>
                </pic:pic>
              </a:graphicData>
            </a:graphic>
          </wp:inline>
        </w:drawing>
      </w:r>
      <w:r w:rsidRPr="007169EC">
        <w:rPr>
          <w:i/>
          <w:iCs/>
          <w:color w:val="000000"/>
          <w:sz w:val="24"/>
          <w:szCs w:val="24"/>
        </w:rPr>
        <w:br/>
      </w:r>
      <w:r w:rsidRPr="007169EC">
        <w:rPr>
          <w:i/>
          <w:iCs/>
          <w:color w:val="000000"/>
          <w:sz w:val="24"/>
          <w:szCs w:val="24"/>
        </w:rPr>
        <w:t>Data Source: U.S. EIA. 2020. EIA Form-923 [Page 5. Fuel Receipts and Costs].</w:t>
      </w:r>
    </w:p>
    <w:p w:rsidR="00215145" w:rsidRPr="007169EC" w:rsidP="00215145" w14:paraId="558DC666" w14:textId="77777777">
      <w:pPr>
        <w:pStyle w:val="NoSpacing"/>
        <w:keepNext/>
        <w:widowControl/>
        <w:jc w:val="center"/>
        <w:rPr>
          <w:i/>
          <w:iCs/>
          <w:color w:val="000000"/>
          <w:sz w:val="24"/>
          <w:szCs w:val="24"/>
        </w:rPr>
      </w:pPr>
    </w:p>
    <w:p w:rsidR="00FB67EF" w:rsidP="00215145" w14:paraId="09433B7E" w14:textId="2912B0E3">
      <w:pPr>
        <w:pStyle w:val="BodyText"/>
        <w:spacing w:line="480" w:lineRule="auto"/>
        <w:ind w:firstLine="720"/>
      </w:pPr>
      <w:r w:rsidRPr="007169EC">
        <w:t xml:space="preserve">If OVEC had paid the same per MMBtu price for coal from Resource Fuels as </w:t>
      </w:r>
      <w:r w:rsidRPr="007169EC" w:rsidR="00E85196">
        <w:t>it did</w:t>
      </w:r>
      <w:r w:rsidRPr="007169EC">
        <w:t xml:space="preserve"> for Alliance Coal in 2020, the total cost for coal supplied from Resource Fuels would have been $47.5 million compared to $60.1 million (a difference of $12.6 million).</w:t>
      </w:r>
      <w:r w:rsidR="007169EC">
        <w:t xml:space="preserve"> </w:t>
      </w:r>
      <w:r w:rsidRPr="007169EC" w:rsidR="00842C5A">
        <w:t>The PUCO should require AES, AEP and Duke to credit consumers for this full $12.6 million amount for paying above-market coal costs.</w:t>
      </w:r>
    </w:p>
    <w:p w:rsidR="00FB67EF" w14:paraId="4D18BD25" w14:textId="77777777">
      <w:pPr>
        <w:rPr>
          <w:sz w:val="24"/>
          <w:szCs w:val="24"/>
        </w:rPr>
      </w:pPr>
      <w:r>
        <w:br w:type="page"/>
      </w:r>
    </w:p>
    <w:p w:rsidR="00D21774" w:rsidRPr="007169EC" w:rsidP="00A91A3E" w14:paraId="2A01BE95" w14:textId="5FAFC42A">
      <w:pPr>
        <w:pStyle w:val="Heading2"/>
        <w:numPr>
          <w:ilvl w:val="0"/>
          <w:numId w:val="1"/>
        </w:numPr>
        <w:spacing w:before="39"/>
        <w:ind w:left="1440"/>
      </w:pPr>
      <w:bookmarkStart w:id="11" w:name="_Hlk132892475"/>
      <w:bookmarkStart w:id="12" w:name="_Toc133585183"/>
      <w:bookmarkStart w:id="13" w:name="_Toc134454162"/>
      <w:r w:rsidRPr="007169EC">
        <w:t>The PUCO should disallow any costs related to the Clifty Creek plant which were incurred after</w:t>
      </w:r>
      <w:r w:rsidR="007169EC">
        <w:t xml:space="preserve"> </w:t>
      </w:r>
      <w:r w:rsidRPr="007169EC">
        <w:t xml:space="preserve">the U.S. EPA proposed decision to deny any extensions for coal ash </w:t>
      </w:r>
      <w:r w:rsidRPr="007169EC" w:rsidR="00E85196">
        <w:t xml:space="preserve">pond </w:t>
      </w:r>
      <w:r w:rsidRPr="007169EC">
        <w:t>permits</w:t>
      </w:r>
      <w:bookmarkEnd w:id="11"/>
      <w:r w:rsidRPr="007169EC">
        <w:t xml:space="preserve"> and require AES, AEP and Duke to credit consumers for these amounts</w:t>
      </w:r>
      <w:r w:rsidRPr="007169EC" w:rsidR="00F91275">
        <w:t>.</w:t>
      </w:r>
      <w:bookmarkEnd w:id="12"/>
      <w:bookmarkEnd w:id="13"/>
    </w:p>
    <w:p w:rsidR="008C3D11" w:rsidRPr="007169EC" w:rsidP="00D36E95" w14:paraId="7105647D" w14:textId="278F3F58">
      <w:pPr>
        <w:pStyle w:val="BodyText"/>
        <w:spacing w:line="480" w:lineRule="auto"/>
        <w:ind w:firstLine="720"/>
      </w:pPr>
      <w:r w:rsidRPr="007169EC">
        <w:t>The</w:t>
      </w:r>
      <w:r w:rsidRPr="007169EC" w:rsidR="00842C5A">
        <w:t xml:space="preserve"> PUCO should disallow any further costs related to the</w:t>
      </w:r>
      <w:r w:rsidRPr="007169EC">
        <w:t xml:space="preserve"> Clifty Creek plant due to</w:t>
      </w:r>
      <w:r w:rsidRPr="007169EC" w:rsidR="00E85196">
        <w:t xml:space="preserve"> the circumstances of</w:t>
      </w:r>
      <w:r w:rsidRPr="007169EC">
        <w:t xml:space="preserve"> its </w:t>
      </w:r>
      <w:r w:rsidRPr="007169EC" w:rsidR="00842C5A">
        <w:t xml:space="preserve">imprudent </w:t>
      </w:r>
      <w:r w:rsidRPr="007169EC">
        <w:t xml:space="preserve">coal ash handling practices. </w:t>
      </w:r>
      <w:r w:rsidRPr="007169EC" w:rsidR="00E85196">
        <w:t>I</w:t>
      </w:r>
      <w:r w:rsidRPr="007169EC" w:rsidR="00D21774">
        <w:t xml:space="preserve">n August 2020, the U.S. EPA published the Coal Combustion Residuals Part A Final Rule </w:t>
      </w:r>
      <w:r w:rsidRPr="007169EC" w:rsidR="00B30843">
        <w:t>that</w:t>
      </w:r>
      <w:r w:rsidRPr="007169EC" w:rsidR="0078329B">
        <w:t xml:space="preserve"> establishes a closure date of April 11, </w:t>
      </w:r>
      <w:r w:rsidRPr="007169EC" w:rsidR="005B4109">
        <w:t>2021</w:t>
      </w:r>
      <w:r w:rsidRPr="007169EC" w:rsidR="0078329B">
        <w:t xml:space="preserve"> for unlined surface impoundments receiving coal ash. </w:t>
      </w:r>
    </w:p>
    <w:p w:rsidR="00F91275" w:rsidRPr="007169EC" w:rsidP="00D36E95" w14:paraId="3F960027" w14:textId="24C99CEC">
      <w:pPr>
        <w:pStyle w:val="BodyText"/>
        <w:spacing w:line="480" w:lineRule="auto"/>
        <w:ind w:firstLine="720"/>
      </w:pPr>
      <w:r w:rsidRPr="007169EC">
        <w:t>Coal Combustion Residuals</w:t>
      </w:r>
      <w:r w:rsidR="007169EC">
        <w:t xml:space="preserve"> </w:t>
      </w:r>
      <w:r w:rsidRPr="007169EC" w:rsidR="0078329B">
        <w:t>Part A</w:t>
      </w:r>
      <w:r w:rsidRPr="007169EC" w:rsidR="00D21774">
        <w:t xml:space="preserve"> allows facilities to request an extension</w:t>
      </w:r>
      <w:r w:rsidRPr="007169EC" w:rsidR="005B4109">
        <w:t xml:space="preserve"> </w:t>
      </w:r>
      <w:r w:rsidRPr="007169EC" w:rsidR="00D21774">
        <w:t xml:space="preserve">for unlined </w:t>
      </w:r>
      <w:r w:rsidRPr="007169EC">
        <w:t>Coal Combustion Residuals</w:t>
      </w:r>
      <w:r w:rsidRPr="007169EC" w:rsidR="00D21774">
        <w:t xml:space="preserve"> surface impoundments to stop receiving coal waste</w:t>
      </w:r>
      <w:r w:rsidRPr="007169EC" w:rsidR="005B4109">
        <w:t xml:space="preserve">, but the request must </w:t>
      </w:r>
      <w:r w:rsidRPr="007169EC" w:rsidR="00034094">
        <w:t xml:space="preserve">have </w:t>
      </w:r>
      <w:r w:rsidRPr="007169EC" w:rsidR="005B4109">
        <w:t>be</w:t>
      </w:r>
      <w:r w:rsidRPr="007169EC" w:rsidR="00034094">
        <w:t>en</w:t>
      </w:r>
      <w:r w:rsidRPr="007169EC" w:rsidR="005B4109">
        <w:t xml:space="preserve"> submitted by November 30, 2020</w:t>
      </w:r>
      <w:r w:rsidRPr="007169EC" w:rsidR="00D21774">
        <w:t>.</w:t>
      </w:r>
      <w:r>
        <w:rPr>
          <w:rStyle w:val="FootnoteReference"/>
        </w:rPr>
        <w:footnoteReference w:id="38"/>
      </w:r>
      <w:r w:rsidRPr="007169EC" w:rsidR="000A690A">
        <w:t xml:space="preserve"> </w:t>
      </w:r>
      <w:r w:rsidRPr="007169EC" w:rsidR="007340FA">
        <w:t xml:space="preserve">As part of this request, facilities must demonstrate that there is no alternative capacity for their coal disposal at this time. </w:t>
      </w:r>
      <w:r w:rsidRPr="007169EC" w:rsidR="005B4109">
        <w:t>In total</w:t>
      </w:r>
      <w:r w:rsidRPr="007169EC" w:rsidR="000A690A">
        <w:t>,</w:t>
      </w:r>
      <w:r w:rsidRPr="007169EC" w:rsidR="005B4109">
        <w:t xml:space="preserve"> the EPA reviewed demonstrations from 57</w:t>
      </w:r>
      <w:r w:rsidRPr="007169EC" w:rsidR="000A690A">
        <w:t xml:space="preserve"> facili</w:t>
      </w:r>
      <w:r w:rsidRPr="007169EC" w:rsidR="005B4109">
        <w:t xml:space="preserve">ties, including </w:t>
      </w:r>
      <w:r w:rsidRPr="007169EC" w:rsidR="00D21774">
        <w:t>Clifty Creek Power Station</w:t>
      </w:r>
      <w:r w:rsidRPr="007169EC" w:rsidR="00B30843">
        <w:t>,</w:t>
      </w:r>
      <w:r w:rsidRPr="007169EC" w:rsidR="00D21774">
        <w:t xml:space="preserve"> </w:t>
      </w:r>
      <w:r w:rsidRPr="007169EC" w:rsidR="005B4109">
        <w:t xml:space="preserve">which </w:t>
      </w:r>
      <w:r w:rsidRPr="007169EC" w:rsidR="00D21774">
        <w:t>submitted a demonstration</w:t>
      </w:r>
      <w:r w:rsidRPr="007169EC" w:rsidR="000A690A">
        <w:t xml:space="preserve"> </w:t>
      </w:r>
      <w:r w:rsidRPr="007169EC" w:rsidR="00D21774">
        <w:t xml:space="preserve">to </w:t>
      </w:r>
      <w:r w:rsidRPr="007169EC" w:rsidR="005B4109">
        <w:t>continue receipt of coal ash at</w:t>
      </w:r>
      <w:r w:rsidRPr="007169EC" w:rsidR="00D21774">
        <w:t xml:space="preserve"> two </w:t>
      </w:r>
      <w:r w:rsidRPr="007169EC">
        <w:t>Coal Combustion Residuals</w:t>
      </w:r>
      <w:r w:rsidRPr="007169EC" w:rsidR="00D21774">
        <w:t xml:space="preserve"> surface impoundments, the West Boiler Slag Pond (</w:t>
      </w:r>
      <w:r w:rsidRPr="007169EC" w:rsidR="00E85196">
        <w:t>“</w:t>
      </w:r>
      <w:r w:rsidRPr="007169EC" w:rsidR="00D21774">
        <w:t>WBSP</w:t>
      </w:r>
      <w:r w:rsidRPr="007169EC" w:rsidR="00E85196">
        <w:t>”</w:t>
      </w:r>
      <w:r w:rsidRPr="007169EC" w:rsidR="00D21774">
        <w:t>) and the Landfill Runoff Collection Pond (</w:t>
      </w:r>
      <w:r w:rsidRPr="007169EC" w:rsidR="00E85196">
        <w:t>“</w:t>
      </w:r>
      <w:r w:rsidRPr="007169EC" w:rsidR="00D21774">
        <w:t>LRCP</w:t>
      </w:r>
      <w:r w:rsidRPr="007169EC" w:rsidR="00E85196">
        <w:t>”</w:t>
      </w:r>
      <w:r w:rsidRPr="007169EC" w:rsidR="00D21774">
        <w:t xml:space="preserve">), past the April 11, 2021 closure deadline set forth in </w:t>
      </w:r>
      <w:r w:rsidRPr="007169EC">
        <w:t>Coal Combustion Residuals</w:t>
      </w:r>
      <w:r w:rsidRPr="007169EC" w:rsidR="00D21774">
        <w:t xml:space="preserve"> Part A Final Rule.</w:t>
      </w:r>
      <w:r>
        <w:rPr>
          <w:rStyle w:val="FootnoteReference"/>
        </w:rPr>
        <w:footnoteReference w:id="39"/>
      </w:r>
      <w:r w:rsidRPr="007169EC" w:rsidR="00D21774">
        <w:t xml:space="preserve"> </w:t>
      </w:r>
    </w:p>
    <w:p w:rsidR="00FA46F7" w:rsidRPr="007169EC" w:rsidP="00D36E95" w14:paraId="17797F03" w14:textId="76AAD405">
      <w:pPr>
        <w:pStyle w:val="BodyText"/>
        <w:spacing w:line="480" w:lineRule="auto"/>
        <w:ind w:firstLine="720"/>
      </w:pPr>
      <w:r w:rsidRPr="007169EC">
        <w:t xml:space="preserve">On January 25, 2022, the U.S. EPA issued a proposed denial of alternative closure deadlines for the Clifty Creek </w:t>
      </w:r>
      <w:r w:rsidRPr="007169EC" w:rsidR="00842C5A">
        <w:t>Coal Combustion Residuals</w:t>
      </w:r>
      <w:r w:rsidRPr="007169EC">
        <w:t xml:space="preserve"> surface impoundments due to a lack of evidence demonstrating that there is no off-site capacity available and</w:t>
      </w:r>
      <w:r w:rsidRPr="007169EC" w:rsidR="00E85196">
        <w:t>:</w:t>
      </w:r>
    </w:p>
    <w:p w:rsidR="00FA46F7" w:rsidRPr="007169EC" w:rsidP="00D36E95" w14:paraId="62C867D9" w14:textId="4CA39E47">
      <w:pPr>
        <w:pStyle w:val="Quote"/>
        <w:ind w:right="1440"/>
        <w:rPr>
          <w:rFonts w:ascii="Times New Roman" w:hAnsi="Times New Roman" w:cs="Times New Roman"/>
        </w:rPr>
      </w:pPr>
      <w:r w:rsidRPr="007169EC">
        <w:rPr>
          <w:rFonts w:ascii="Times New Roman" w:hAnsi="Times New Roman" w:cs="Times New Roman"/>
        </w:rPr>
        <w:t>[A]</w:t>
      </w:r>
      <w:r w:rsidRPr="007169EC" w:rsidR="00D21774">
        <w:rPr>
          <w:rFonts w:ascii="Times New Roman" w:hAnsi="Times New Roman" w:cs="Times New Roman"/>
        </w:rPr>
        <w:t xml:space="preserve"> failure to meet groundwater monitoring requirements at the facility, failure to meet corrective action requirements, failure of the plans to construct a concrete settling tank to obtain alternative capacity to meet the design requirements in the CCR regulations, and failure to prepare closure plans for the WBSP and LRCP that will ensure closure activities will meet the closure performance standards in the CCR regulations.</w:t>
      </w:r>
      <w:r>
        <w:rPr>
          <w:rStyle w:val="FootnoteReference"/>
          <w:rFonts w:ascii="Times New Roman" w:hAnsi="Times New Roman" w:cs="Times New Roman"/>
        </w:rPr>
        <w:footnoteReference w:id="40"/>
      </w:r>
      <w:r w:rsidRPr="007169EC" w:rsidR="00D21774">
        <w:rPr>
          <w:rFonts w:ascii="Times New Roman" w:hAnsi="Times New Roman" w:cs="Times New Roman"/>
        </w:rPr>
        <w:t xml:space="preserve"> </w:t>
      </w:r>
    </w:p>
    <w:p w:rsidR="00FA46F7" w:rsidRPr="007169EC" w:rsidP="00D36E95" w14:paraId="3C89586A" w14:textId="332EE211">
      <w:pPr>
        <w:pStyle w:val="BodyText"/>
        <w:spacing w:line="480" w:lineRule="auto"/>
        <w:ind w:firstLine="720"/>
      </w:pPr>
      <w:r w:rsidRPr="007169EC">
        <w:t>According to Indiana-Kentucky Electric Corporation</w:t>
      </w:r>
      <w:r w:rsidRPr="007169EC">
        <w:t xml:space="preserve"> (IKEC)</w:t>
      </w:r>
      <w:r w:rsidRPr="007169EC">
        <w:t>,</w:t>
      </w:r>
      <w:r w:rsidRPr="007169EC" w:rsidR="0078329B">
        <w:t xml:space="preserve"> an owned subsidiary of OVEC,</w:t>
      </w:r>
      <w:r w:rsidRPr="007169EC">
        <w:t xml:space="preserve"> the closure of the Clifty Creek surface impoundments would require the facility to shut down</w:t>
      </w:r>
      <w:r w:rsidRPr="007169EC">
        <w:t>:</w:t>
      </w:r>
      <w:r w:rsidRPr="007169EC" w:rsidR="0078329B">
        <w:t xml:space="preserve"> </w:t>
      </w:r>
    </w:p>
    <w:p w:rsidR="00FA46F7" w:rsidRPr="007169EC" w:rsidP="008715C3" w14:paraId="79128B49" w14:textId="584E203E">
      <w:pPr>
        <w:pStyle w:val="Quote"/>
        <w:ind w:right="1440"/>
        <w:rPr>
          <w:rFonts w:ascii="Times New Roman" w:hAnsi="Times New Roman" w:cs="Times New Roman"/>
        </w:rPr>
      </w:pPr>
      <w:r w:rsidRPr="007169EC">
        <w:rPr>
          <w:rFonts w:ascii="Times New Roman" w:hAnsi="Times New Roman" w:cs="Times New Roman"/>
        </w:rPr>
        <w:t>IKEC then concluded that in order to continue to operate, generate electricity, and ultimately comply with the CCR rule, the ELGs, and the facility’s NPDES permit conditions, the Clifty Creek Power Station must continue to use both the WBSP and the LRCP</w:t>
      </w:r>
      <w:r w:rsidRPr="007169EC" w:rsidR="00D21774">
        <w:rPr>
          <w:rFonts w:ascii="Times New Roman" w:hAnsi="Times New Roman" w:cs="Times New Roman"/>
        </w:rPr>
        <w:t>.</w:t>
      </w:r>
      <w:r>
        <w:rPr>
          <w:rStyle w:val="FootnoteReference"/>
          <w:rFonts w:ascii="Times New Roman" w:hAnsi="Times New Roman" w:cs="Times New Roman"/>
        </w:rPr>
        <w:footnoteReference w:id="41"/>
      </w:r>
      <w:r w:rsidRPr="007169EC" w:rsidR="00D21774">
        <w:rPr>
          <w:rFonts w:ascii="Times New Roman" w:hAnsi="Times New Roman" w:cs="Times New Roman"/>
        </w:rPr>
        <w:t xml:space="preserve"> </w:t>
      </w:r>
    </w:p>
    <w:p w:rsidR="00705E8C" w:rsidRPr="007169EC" w:rsidP="00D36E95" w14:paraId="7974D0A7" w14:textId="3458B248">
      <w:pPr>
        <w:pStyle w:val="BodyText"/>
        <w:spacing w:line="480" w:lineRule="auto"/>
        <w:ind w:firstLine="720"/>
      </w:pPr>
      <w:r w:rsidRPr="007169EC">
        <w:t xml:space="preserve">OCC recommends that </w:t>
      </w:r>
      <w:r w:rsidRPr="007169EC" w:rsidR="008C3D11">
        <w:t xml:space="preserve">the PUCO disallow any costs related to the </w:t>
      </w:r>
      <w:r w:rsidRPr="007169EC">
        <w:t>Clifty Creek</w:t>
      </w:r>
      <w:r w:rsidRPr="007169EC" w:rsidR="008C3D11">
        <w:t xml:space="preserve"> plant incurred since the date of the EPA’s proposed decision denying the coal ash pond permits, and AES, AEP and Duke should credit consumers with costs collected for the Clifty Creek plant after that date</w:t>
      </w:r>
      <w:r w:rsidRPr="007169EC" w:rsidR="00E85196">
        <w:t>.</w:t>
      </w:r>
    </w:p>
    <w:p w:rsidR="002A25F9" w:rsidRPr="007169EC" w:rsidP="00F7077C" w14:paraId="174E06F6" w14:textId="28A8FE0D">
      <w:pPr>
        <w:pStyle w:val="Heading2"/>
        <w:spacing w:before="39"/>
        <w:ind w:right="491"/>
      </w:pPr>
      <w:bookmarkStart w:id="14" w:name="_Toc133585184"/>
      <w:bookmarkStart w:id="15" w:name="_Toc134454163"/>
      <w:r w:rsidRPr="007169EC">
        <w:t>D</w:t>
      </w:r>
      <w:r w:rsidR="00DB5F74">
        <w:t>.</w:t>
      </w:r>
      <w:r w:rsidRPr="007169EC">
        <w:tab/>
      </w:r>
      <w:r w:rsidRPr="007169EC" w:rsidR="00510B2D">
        <w:t>If consumers are going to be made to pay AES, Duke, and AEP</w:t>
      </w:r>
      <w:r w:rsidR="007169EC">
        <w:t xml:space="preserve"> </w:t>
      </w:r>
      <w:r w:rsidRPr="007169EC" w:rsidR="00510B2D">
        <w:t>related to OVEC plants (and they should not), then the subsidy should be for current operational costs and not for future decommissioning costs.</w:t>
      </w:r>
      <w:bookmarkEnd w:id="14"/>
      <w:bookmarkEnd w:id="15"/>
    </w:p>
    <w:p w:rsidR="00F91275" w:rsidRPr="007169EC" w:rsidP="00F476AF" w14:paraId="42F791E8" w14:textId="2E8EEAB1">
      <w:pPr>
        <w:spacing w:line="480" w:lineRule="auto"/>
        <w:ind w:firstLine="720"/>
        <w:rPr>
          <w:color w:val="212121"/>
          <w:sz w:val="24"/>
          <w:szCs w:val="24"/>
          <w:shd w:val="clear" w:color="auto" w:fill="FFFFFF"/>
        </w:rPr>
      </w:pPr>
      <w:r w:rsidRPr="007169EC">
        <w:rPr>
          <w:sz w:val="24"/>
          <w:szCs w:val="24"/>
        </w:rPr>
        <w:t>AES</w:t>
      </w:r>
      <w:r w:rsidRPr="007169EC" w:rsidR="008C3D11">
        <w:rPr>
          <w:sz w:val="24"/>
          <w:szCs w:val="24"/>
        </w:rPr>
        <w:t>,</w:t>
      </w:r>
      <w:r w:rsidR="007169EC">
        <w:rPr>
          <w:sz w:val="24"/>
          <w:szCs w:val="24"/>
        </w:rPr>
        <w:t xml:space="preserve"> </w:t>
      </w:r>
      <w:r w:rsidRPr="007169EC" w:rsidR="009D193B">
        <w:rPr>
          <w:sz w:val="24"/>
          <w:szCs w:val="24"/>
        </w:rPr>
        <w:t>AEP</w:t>
      </w:r>
      <w:r w:rsidRPr="007169EC" w:rsidR="008C3D11">
        <w:rPr>
          <w:sz w:val="24"/>
          <w:szCs w:val="24"/>
        </w:rPr>
        <w:t xml:space="preserve"> and Duke</w:t>
      </w:r>
      <w:r w:rsidRPr="007169EC">
        <w:rPr>
          <w:sz w:val="24"/>
          <w:szCs w:val="24"/>
        </w:rPr>
        <w:t xml:space="preserve"> c</w:t>
      </w:r>
      <w:r w:rsidRPr="007169EC" w:rsidR="00E85196">
        <w:rPr>
          <w:sz w:val="24"/>
          <w:szCs w:val="24"/>
        </w:rPr>
        <w:t>onsumers</w:t>
      </w:r>
      <w:r w:rsidRPr="007169EC">
        <w:rPr>
          <w:sz w:val="24"/>
          <w:szCs w:val="24"/>
        </w:rPr>
        <w:t xml:space="preserve"> should </w:t>
      </w:r>
      <w:r w:rsidRPr="007169EC" w:rsidR="008C3D11">
        <w:rPr>
          <w:sz w:val="24"/>
          <w:szCs w:val="24"/>
        </w:rPr>
        <w:t xml:space="preserve">not have been required to pay </w:t>
      </w:r>
      <w:r w:rsidRPr="007169EC" w:rsidR="00D62D8D">
        <w:rPr>
          <w:sz w:val="24"/>
          <w:szCs w:val="24"/>
        </w:rPr>
        <w:t xml:space="preserve">costs for </w:t>
      </w:r>
      <w:r w:rsidRPr="007169EC">
        <w:rPr>
          <w:sz w:val="24"/>
          <w:szCs w:val="24"/>
        </w:rPr>
        <w:t>funding a reserve for eventual plant decommissioning. Cost</w:t>
      </w:r>
      <w:r w:rsidRPr="007169EC" w:rsidR="00E85196">
        <w:rPr>
          <w:sz w:val="24"/>
          <w:szCs w:val="24"/>
        </w:rPr>
        <w:t>s</w:t>
      </w:r>
      <w:r w:rsidRPr="007169EC">
        <w:rPr>
          <w:sz w:val="24"/>
          <w:szCs w:val="24"/>
        </w:rPr>
        <w:t xml:space="preserve"> related to depreciation should be included only after a depreciation study is conducted and its methodology and findings made available to stakeholders and the PUCO.</w:t>
      </w:r>
      <w:r w:rsidR="007169EC">
        <w:rPr>
          <w:sz w:val="24"/>
          <w:szCs w:val="24"/>
        </w:rPr>
        <w:t xml:space="preserve"> </w:t>
      </w:r>
      <w:r w:rsidRPr="007169EC" w:rsidR="00637C5F">
        <w:rPr>
          <w:sz w:val="24"/>
          <w:szCs w:val="24"/>
        </w:rPr>
        <w:t>The Ohio Supreme Court has stated that “</w:t>
      </w:r>
      <w:r w:rsidRPr="007169EC" w:rsidR="00637C5F">
        <w:rPr>
          <w:color w:val="212121"/>
          <w:sz w:val="24"/>
          <w:szCs w:val="24"/>
          <w:shd w:val="clear" w:color="auto" w:fill="FFFFFF"/>
        </w:rPr>
        <w:t>the proper annual rate of </w:t>
      </w:r>
      <w:r w:rsidRPr="007169EC" w:rsidR="00637C5F">
        <w:rPr>
          <w:sz w:val="24"/>
          <w:szCs w:val="24"/>
          <w:shd w:val="clear" w:color="auto" w:fill="FFFFFF"/>
        </w:rPr>
        <w:t>depreciation</w:t>
      </w:r>
      <w:r w:rsidRPr="007169EC" w:rsidR="00637C5F">
        <w:rPr>
          <w:color w:val="212121"/>
          <w:sz w:val="24"/>
          <w:szCs w:val="24"/>
          <w:shd w:val="clear" w:color="auto" w:fill="FFFFFF"/>
        </w:rPr>
        <w:t> for each class of property will necessarily be based upon the testimony of qualified experts as to the probable length of its useful life.”</w:t>
      </w:r>
      <w:r>
        <w:rPr>
          <w:rStyle w:val="FootnoteReference"/>
          <w:color w:val="212121"/>
          <w:sz w:val="24"/>
          <w:szCs w:val="24"/>
          <w:shd w:val="clear" w:color="auto" w:fill="FFFFFF"/>
        </w:rPr>
        <w:footnoteReference w:id="42"/>
      </w:r>
      <w:r w:rsidR="007169EC">
        <w:rPr>
          <w:color w:val="212121"/>
          <w:sz w:val="24"/>
          <w:szCs w:val="24"/>
          <w:shd w:val="clear" w:color="auto" w:fill="FFFFFF"/>
        </w:rPr>
        <w:t xml:space="preserve"> </w:t>
      </w:r>
    </w:p>
    <w:p w:rsidR="00F50E95" w:rsidP="00F7077C" w14:paraId="4F7A355E" w14:textId="505C9686">
      <w:pPr>
        <w:spacing w:line="480" w:lineRule="auto"/>
        <w:ind w:firstLine="720"/>
        <w:rPr>
          <w:sz w:val="24"/>
          <w:szCs w:val="24"/>
        </w:rPr>
      </w:pPr>
      <w:r w:rsidRPr="007169EC">
        <w:rPr>
          <w:sz w:val="24"/>
          <w:szCs w:val="24"/>
        </w:rPr>
        <w:t>The</w:t>
      </w:r>
      <w:r w:rsidRPr="007169EC" w:rsidR="00E85196">
        <w:rPr>
          <w:sz w:val="24"/>
          <w:szCs w:val="24"/>
        </w:rPr>
        <w:t>se</w:t>
      </w:r>
      <w:r w:rsidRPr="007169EC">
        <w:rPr>
          <w:sz w:val="24"/>
          <w:szCs w:val="24"/>
        </w:rPr>
        <w:t xml:space="preserve"> costs are an ongoing issue that should be addressed continually as long as </w:t>
      </w:r>
      <w:r w:rsidRPr="007169EC" w:rsidR="008C3D11">
        <w:rPr>
          <w:sz w:val="24"/>
          <w:szCs w:val="24"/>
        </w:rPr>
        <w:t>AES, AEP and Duke’s</w:t>
      </w:r>
      <w:r w:rsidRPr="007169EC" w:rsidR="00C75C28">
        <w:rPr>
          <w:sz w:val="24"/>
          <w:szCs w:val="24"/>
        </w:rPr>
        <w:t xml:space="preserve"> </w:t>
      </w:r>
      <w:r w:rsidRPr="007169EC">
        <w:rPr>
          <w:sz w:val="24"/>
          <w:szCs w:val="24"/>
        </w:rPr>
        <w:t>c</w:t>
      </w:r>
      <w:r w:rsidRPr="007169EC" w:rsidR="00E85196">
        <w:rPr>
          <w:sz w:val="24"/>
          <w:szCs w:val="24"/>
        </w:rPr>
        <w:t>onsumers are required to pay for</w:t>
      </w:r>
      <w:r w:rsidRPr="007169EC">
        <w:rPr>
          <w:sz w:val="24"/>
          <w:szCs w:val="24"/>
        </w:rPr>
        <w:t xml:space="preserve"> the OVEC units. It is indeed troubling that </w:t>
      </w:r>
      <w:r w:rsidRPr="007169EC" w:rsidR="008C3D11">
        <w:rPr>
          <w:sz w:val="24"/>
          <w:szCs w:val="24"/>
        </w:rPr>
        <w:t xml:space="preserve">AES, AEP and Duke’s </w:t>
      </w:r>
      <w:r w:rsidRPr="007169EC">
        <w:rPr>
          <w:sz w:val="24"/>
          <w:szCs w:val="24"/>
        </w:rPr>
        <w:t xml:space="preserve">contract with OVEC expires in 2040 and, while the units have no set retirement date, they are unlikely to last another 17 years. The plants began operation in 1955, during the Eisenhower Administration, making them currently the oldest coal units in PJM and among the oldest in the </w:t>
      </w:r>
      <w:r w:rsidRPr="007169EC" w:rsidR="00F91275">
        <w:rPr>
          <w:sz w:val="24"/>
          <w:szCs w:val="24"/>
        </w:rPr>
        <w:t>United States</w:t>
      </w:r>
      <w:r w:rsidRPr="007169EC">
        <w:rPr>
          <w:sz w:val="24"/>
          <w:szCs w:val="24"/>
        </w:rPr>
        <w:t>.</w:t>
      </w:r>
      <w:r>
        <w:rPr>
          <w:rStyle w:val="FootnoteReference"/>
          <w:sz w:val="24"/>
          <w:szCs w:val="24"/>
        </w:rPr>
        <w:footnoteReference w:id="43"/>
      </w:r>
      <w:r w:rsidRPr="007169EC">
        <w:rPr>
          <w:sz w:val="24"/>
          <w:szCs w:val="24"/>
        </w:rPr>
        <w:t xml:space="preserve"> </w:t>
      </w:r>
      <w:bookmarkStart w:id="16" w:name="_Toc133585185"/>
    </w:p>
    <w:p w:rsidR="00E954E3" w:rsidRPr="007169EC" w:rsidP="00E954E3" w14:paraId="4F565D0D" w14:textId="77777777">
      <w:pPr>
        <w:ind w:firstLine="720"/>
        <w:rPr>
          <w:b/>
          <w:bCs/>
          <w:sz w:val="24"/>
          <w:szCs w:val="24"/>
        </w:rPr>
      </w:pPr>
    </w:p>
    <w:p w:rsidR="00741A06" w:rsidRPr="007169EC" w:rsidP="00DC6D48" w14:paraId="241E9003" w14:textId="4860E872">
      <w:pPr>
        <w:pStyle w:val="Heading1"/>
        <w:numPr>
          <w:ilvl w:val="0"/>
          <w:numId w:val="0"/>
        </w:numPr>
        <w:ind w:left="720" w:hanging="720"/>
        <w:rPr>
          <w:spacing w:val="0"/>
        </w:rPr>
      </w:pPr>
      <w:bookmarkStart w:id="17" w:name="_Toc134454164"/>
      <w:r w:rsidRPr="007169EC">
        <w:rPr>
          <w:spacing w:val="0"/>
        </w:rPr>
        <w:t>V.</w:t>
      </w:r>
      <w:r w:rsidRPr="007169EC">
        <w:rPr>
          <w:spacing w:val="0"/>
        </w:rPr>
        <w:tab/>
      </w:r>
      <w:r w:rsidRPr="007169EC" w:rsidR="005F4525">
        <w:rPr>
          <w:spacing w:val="0"/>
        </w:rPr>
        <w:t>CONCLUSION</w:t>
      </w:r>
      <w:bookmarkEnd w:id="16"/>
      <w:bookmarkEnd w:id="17"/>
    </w:p>
    <w:p w:rsidR="008C3D11" w:rsidRPr="007169EC" w:rsidP="008C3D11" w14:paraId="037BA55B" w14:textId="3B7871E7">
      <w:pPr>
        <w:spacing w:line="480" w:lineRule="auto"/>
        <w:ind w:firstLine="720"/>
        <w:rPr>
          <w:sz w:val="24"/>
          <w:szCs w:val="24"/>
        </w:rPr>
      </w:pPr>
      <w:r w:rsidRPr="007169EC">
        <w:rPr>
          <w:rStyle w:val="markedcontent"/>
          <w:sz w:val="24"/>
          <w:szCs w:val="24"/>
        </w:rPr>
        <w:t>T</w:t>
      </w:r>
      <w:r w:rsidRPr="007169EC">
        <w:rPr>
          <w:sz w:val="24"/>
          <w:szCs w:val="24"/>
        </w:rPr>
        <w:t>hen-PUCO Chairman Asim Haque has stated that “This [approval of mechanism to collect OVEC costs] should not be perceived as a blank check, and consumers should not be treated like a trust account.”</w:t>
      </w:r>
      <w:r>
        <w:rPr>
          <w:rStyle w:val="FootnoteReference"/>
          <w:sz w:val="24"/>
          <w:szCs w:val="24"/>
        </w:rPr>
        <w:footnoteReference w:id="44"/>
      </w:r>
      <w:r w:rsidRPr="007169EC">
        <w:rPr>
          <w:sz w:val="24"/>
          <w:szCs w:val="24"/>
        </w:rPr>
        <w:t xml:space="preserve"> </w:t>
      </w:r>
    </w:p>
    <w:p w:rsidR="00D327D0" w:rsidRPr="007169EC" w:rsidP="002A2A00" w14:paraId="13378839" w14:textId="7FF95F3C">
      <w:pPr>
        <w:pStyle w:val="BodyText"/>
        <w:spacing w:line="480" w:lineRule="auto"/>
        <w:ind w:firstLine="720"/>
      </w:pPr>
      <w:r w:rsidRPr="007169EC">
        <w:t>The</w:t>
      </w:r>
      <w:r w:rsidR="007169EC">
        <w:t xml:space="preserve"> </w:t>
      </w:r>
      <w:r w:rsidRPr="007169EC">
        <w:t>PUCO has said that it will</w:t>
      </w:r>
      <w:r w:rsidR="007169EC">
        <w:t xml:space="preserve"> </w:t>
      </w:r>
      <w:r w:rsidRPr="007169EC" w:rsidR="005F4525">
        <w:t>closely scrutinize all subsidy charges to Ohio consumers for the plants.</w:t>
      </w:r>
      <w:r w:rsidR="007169EC">
        <w:t xml:space="preserve"> </w:t>
      </w:r>
      <w:r w:rsidRPr="007169EC">
        <w:t xml:space="preserve">As noted earlier, the PUCO has required that </w:t>
      </w:r>
      <w:r w:rsidRPr="007169EC" w:rsidR="008C3D11">
        <w:t>AES, AEP and Duke</w:t>
      </w:r>
      <w:r w:rsidRPr="007169EC">
        <w:t xml:space="preserve"> “will bear the burden of proof in demonstrating the prudency of all costs and sales during the review, as well as that such actions were in the best interest of retail consumers.”</w:t>
      </w:r>
      <w:r>
        <w:rPr>
          <w:rStyle w:val="FootnoteReference"/>
        </w:rPr>
        <w:footnoteReference w:id="45"/>
      </w:r>
    </w:p>
    <w:p w:rsidR="00741A06" w:rsidRPr="007169EC" w:rsidP="002A2A00" w14:paraId="240E9220" w14:textId="06F5E172">
      <w:pPr>
        <w:pStyle w:val="BodyText"/>
        <w:spacing w:line="480" w:lineRule="auto"/>
        <w:ind w:firstLine="720"/>
      </w:pPr>
      <w:r w:rsidRPr="007169EC">
        <w:t xml:space="preserve">AES, AEP and Duke </w:t>
      </w:r>
      <w:r w:rsidRPr="007169EC" w:rsidR="005C531F">
        <w:t>must</w:t>
      </w:r>
      <w:r w:rsidRPr="007169EC" w:rsidR="005F4525">
        <w:t xml:space="preserve"> prove in this case that the </w:t>
      </w:r>
      <w:r w:rsidRPr="007169EC">
        <w:t xml:space="preserve">coal plant </w:t>
      </w:r>
      <w:r w:rsidRPr="007169EC" w:rsidR="005F4525">
        <w:t xml:space="preserve">subsidy charges were prudent, that </w:t>
      </w:r>
      <w:r w:rsidRPr="007169EC" w:rsidR="005C531F">
        <w:t>their</w:t>
      </w:r>
      <w:r w:rsidRPr="007169EC" w:rsidR="005F4525">
        <w:t xml:space="preserve"> actions were in the best interests of c</w:t>
      </w:r>
      <w:r w:rsidRPr="007169EC" w:rsidR="005C531F">
        <w:t>onsumers</w:t>
      </w:r>
      <w:r w:rsidRPr="007169EC" w:rsidR="005F4525">
        <w:t xml:space="preserve">, and that all charges comply with the various limitations set forth in the PUCO Orders approving the </w:t>
      </w:r>
      <w:r w:rsidRPr="007169EC">
        <w:t>c</w:t>
      </w:r>
      <w:r w:rsidRPr="007169EC" w:rsidR="005C531F">
        <w:t xml:space="preserve">oal </w:t>
      </w:r>
      <w:r w:rsidRPr="007169EC">
        <w:t>p</w:t>
      </w:r>
      <w:r w:rsidRPr="007169EC" w:rsidR="005C531F">
        <w:t>lant</w:t>
      </w:r>
      <w:r w:rsidRPr="007169EC" w:rsidR="005F4525">
        <w:t xml:space="preserve"> </w:t>
      </w:r>
      <w:r w:rsidRPr="007169EC">
        <w:t>s</w:t>
      </w:r>
      <w:r w:rsidRPr="007169EC" w:rsidR="005F4525">
        <w:t>ubsidy charge</w:t>
      </w:r>
      <w:r w:rsidRPr="007169EC" w:rsidR="005C531F">
        <w:t>s</w:t>
      </w:r>
      <w:r w:rsidRPr="007169EC" w:rsidR="005F4525">
        <w:t>. As explained above,</w:t>
      </w:r>
      <w:r w:rsidR="007169EC">
        <w:t xml:space="preserve"> </w:t>
      </w:r>
      <w:r w:rsidRPr="007169EC">
        <w:t xml:space="preserve">AES, AEP and Duke </w:t>
      </w:r>
      <w:r w:rsidRPr="007169EC" w:rsidR="005F4525">
        <w:t xml:space="preserve">did not meet </w:t>
      </w:r>
      <w:r w:rsidRPr="007169EC" w:rsidR="005C531F">
        <w:t>their</w:t>
      </w:r>
      <w:r w:rsidRPr="007169EC" w:rsidR="005F4525">
        <w:t xml:space="preserve"> burden of proof in several respects. </w:t>
      </w:r>
      <w:r w:rsidRPr="007169EC" w:rsidR="001D7FD3">
        <w:t>The</w:t>
      </w:r>
      <w:r w:rsidR="007169EC">
        <w:t xml:space="preserve"> </w:t>
      </w:r>
      <w:r w:rsidRPr="007169EC" w:rsidR="005F4525">
        <w:t xml:space="preserve">PUCO </w:t>
      </w:r>
      <w:r w:rsidRPr="007169EC" w:rsidR="001D7FD3">
        <w:t xml:space="preserve">should protect consumers by </w:t>
      </w:r>
      <w:r w:rsidRPr="007169EC" w:rsidR="005F4525">
        <w:t>disallow</w:t>
      </w:r>
      <w:r w:rsidRPr="007169EC" w:rsidR="001D7FD3">
        <w:t xml:space="preserve">ing </w:t>
      </w:r>
      <w:r w:rsidRPr="007169EC" w:rsidR="004F16DB">
        <w:t>subsidies</w:t>
      </w:r>
      <w:r w:rsidRPr="007169EC">
        <w:t xml:space="preserve"> paid</w:t>
      </w:r>
      <w:r w:rsidRPr="007169EC" w:rsidR="001D7FD3">
        <w:t xml:space="preserve"> to AES, A</w:t>
      </w:r>
      <w:r w:rsidRPr="007169EC">
        <w:t>EP a</w:t>
      </w:r>
      <w:r w:rsidRPr="007169EC" w:rsidR="001D7FD3">
        <w:t>nd Duke at consumer expense.</w:t>
      </w:r>
    </w:p>
    <w:p w:rsidR="002A2A00" w:rsidRPr="007169EC" w:rsidP="002A2A00" w14:paraId="0CE9D4B8" w14:textId="77777777">
      <w:pPr>
        <w:widowControl/>
        <w:adjustRightInd w:val="0"/>
        <w:ind w:left="3960"/>
        <w:rPr>
          <w:sz w:val="24"/>
          <w:szCs w:val="24"/>
        </w:rPr>
      </w:pPr>
      <w:r w:rsidRPr="007169EC">
        <w:rPr>
          <w:sz w:val="24"/>
          <w:szCs w:val="24"/>
        </w:rPr>
        <w:t>Respectfully submitted,</w:t>
      </w:r>
    </w:p>
    <w:p w:rsidR="002A2A00" w:rsidRPr="007169EC" w:rsidP="002A2A00" w14:paraId="019250EB" w14:textId="77777777">
      <w:pPr>
        <w:widowControl/>
        <w:adjustRightInd w:val="0"/>
        <w:ind w:left="3960"/>
        <w:rPr>
          <w:sz w:val="24"/>
          <w:szCs w:val="24"/>
        </w:rPr>
      </w:pPr>
    </w:p>
    <w:p w:rsidR="002A2A00" w:rsidRPr="007169EC" w:rsidP="002A2A00" w14:paraId="6536F214" w14:textId="77777777">
      <w:pPr>
        <w:widowControl/>
        <w:autoSpaceDE/>
        <w:autoSpaceDN/>
        <w:ind w:left="3960"/>
        <w:rPr>
          <w:sz w:val="24"/>
          <w:szCs w:val="24"/>
        </w:rPr>
      </w:pPr>
      <w:r w:rsidRPr="007169EC">
        <w:rPr>
          <w:sz w:val="24"/>
          <w:szCs w:val="24"/>
        </w:rPr>
        <w:t>Bruce Weston (0016973)</w:t>
      </w:r>
    </w:p>
    <w:p w:rsidR="002A2A00" w:rsidRPr="007169EC" w:rsidP="002A2A00" w14:paraId="07F1D7A4" w14:textId="77777777">
      <w:pPr>
        <w:widowControl/>
        <w:autoSpaceDE/>
        <w:autoSpaceDN/>
        <w:ind w:left="3960"/>
        <w:rPr>
          <w:sz w:val="24"/>
          <w:szCs w:val="24"/>
        </w:rPr>
      </w:pPr>
      <w:r w:rsidRPr="007169EC">
        <w:rPr>
          <w:sz w:val="24"/>
          <w:szCs w:val="24"/>
        </w:rPr>
        <w:t>Ohio Consumers’ Counsel</w:t>
      </w:r>
    </w:p>
    <w:p w:rsidR="002A2A00" w:rsidRPr="007169EC" w:rsidP="002A2A00" w14:paraId="63EA5C82" w14:textId="77777777">
      <w:pPr>
        <w:widowControl/>
        <w:tabs>
          <w:tab w:val="left" w:pos="4320"/>
        </w:tabs>
        <w:autoSpaceDE/>
        <w:autoSpaceDN/>
        <w:ind w:left="3960"/>
        <w:rPr>
          <w:sz w:val="24"/>
          <w:szCs w:val="24"/>
        </w:rPr>
      </w:pPr>
    </w:p>
    <w:p w:rsidR="002A2A00" w:rsidRPr="007169EC" w:rsidP="002A2A00" w14:paraId="30EBCE54" w14:textId="77777777">
      <w:pPr>
        <w:widowControl/>
        <w:autoSpaceDE/>
        <w:autoSpaceDN/>
        <w:ind w:left="3960"/>
        <w:rPr>
          <w:i/>
          <w:sz w:val="24"/>
          <w:szCs w:val="24"/>
          <w:u w:val="single"/>
        </w:rPr>
      </w:pPr>
      <w:r w:rsidRPr="007169EC">
        <w:rPr>
          <w:i/>
          <w:sz w:val="24"/>
          <w:szCs w:val="24"/>
          <w:u w:val="single"/>
        </w:rPr>
        <w:t>/s/ John Finnigan</w:t>
      </w:r>
    </w:p>
    <w:p w:rsidR="002A2A00" w:rsidRPr="007169EC" w:rsidP="002A2A00" w14:paraId="615743F5" w14:textId="77777777">
      <w:pPr>
        <w:widowControl/>
        <w:autoSpaceDE/>
        <w:autoSpaceDN/>
        <w:ind w:left="3960"/>
        <w:rPr>
          <w:sz w:val="24"/>
          <w:szCs w:val="24"/>
        </w:rPr>
      </w:pPr>
      <w:r w:rsidRPr="007169EC">
        <w:rPr>
          <w:sz w:val="24"/>
          <w:szCs w:val="24"/>
        </w:rPr>
        <w:t>John Finnigan (0018689)</w:t>
      </w:r>
    </w:p>
    <w:p w:rsidR="002A2A00" w:rsidRPr="007169EC" w:rsidP="002A2A00" w14:paraId="6BD6E6DE" w14:textId="77777777">
      <w:pPr>
        <w:widowControl/>
        <w:autoSpaceDE/>
        <w:autoSpaceDN/>
        <w:ind w:left="3960"/>
        <w:rPr>
          <w:sz w:val="24"/>
          <w:szCs w:val="24"/>
        </w:rPr>
      </w:pPr>
      <w:r w:rsidRPr="007169EC">
        <w:rPr>
          <w:sz w:val="24"/>
          <w:szCs w:val="24"/>
        </w:rPr>
        <w:t>Counsel of Record</w:t>
      </w:r>
    </w:p>
    <w:p w:rsidR="002A2A00" w:rsidRPr="007169EC" w:rsidP="002A2A00" w14:paraId="2E63BCD3" w14:textId="77777777">
      <w:pPr>
        <w:widowControl/>
        <w:autoSpaceDE/>
        <w:autoSpaceDN/>
        <w:ind w:left="3960"/>
        <w:rPr>
          <w:sz w:val="24"/>
          <w:szCs w:val="24"/>
        </w:rPr>
      </w:pPr>
      <w:r w:rsidRPr="007169EC">
        <w:rPr>
          <w:sz w:val="24"/>
          <w:szCs w:val="24"/>
        </w:rPr>
        <w:t>William J. Michael (0070921)</w:t>
      </w:r>
    </w:p>
    <w:p w:rsidR="002A2A00" w:rsidRPr="007169EC" w:rsidP="002A2A00" w14:paraId="434FACF7" w14:textId="77777777">
      <w:pPr>
        <w:widowControl/>
        <w:autoSpaceDE/>
        <w:autoSpaceDN/>
        <w:ind w:left="3960"/>
        <w:rPr>
          <w:sz w:val="24"/>
          <w:szCs w:val="24"/>
        </w:rPr>
      </w:pPr>
      <w:r w:rsidRPr="007169EC">
        <w:rPr>
          <w:sz w:val="24"/>
          <w:szCs w:val="24"/>
        </w:rPr>
        <w:t>Assistant Consumers’ Counsel</w:t>
      </w:r>
    </w:p>
    <w:p w:rsidR="002A2A00" w:rsidRPr="007169EC" w:rsidP="002A2A00" w14:paraId="62AB500D" w14:textId="77777777">
      <w:pPr>
        <w:widowControl/>
        <w:autoSpaceDE/>
        <w:autoSpaceDN/>
        <w:ind w:left="3960"/>
        <w:rPr>
          <w:sz w:val="24"/>
          <w:szCs w:val="24"/>
        </w:rPr>
      </w:pPr>
    </w:p>
    <w:p w:rsidR="002A2A00" w:rsidRPr="007169EC" w:rsidP="002A2A00" w14:paraId="612AF822" w14:textId="77777777">
      <w:pPr>
        <w:widowControl/>
        <w:autoSpaceDE/>
        <w:autoSpaceDN/>
        <w:ind w:left="3960"/>
        <w:rPr>
          <w:b/>
          <w:bCs/>
          <w:sz w:val="24"/>
          <w:szCs w:val="24"/>
        </w:rPr>
      </w:pPr>
      <w:r w:rsidRPr="007169EC">
        <w:rPr>
          <w:b/>
          <w:bCs/>
          <w:sz w:val="24"/>
          <w:szCs w:val="24"/>
        </w:rPr>
        <w:t>Office of the Ohio Consumers’ Counsel</w:t>
      </w:r>
    </w:p>
    <w:p w:rsidR="002A2A00" w:rsidRPr="007169EC" w:rsidP="002A2A00" w14:paraId="487E2264" w14:textId="77777777">
      <w:pPr>
        <w:widowControl/>
        <w:autoSpaceDE/>
        <w:autoSpaceDN/>
        <w:ind w:left="3960"/>
        <w:rPr>
          <w:bCs/>
          <w:sz w:val="24"/>
          <w:szCs w:val="24"/>
        </w:rPr>
      </w:pPr>
      <w:r w:rsidRPr="007169EC">
        <w:rPr>
          <w:bCs/>
          <w:sz w:val="24"/>
          <w:szCs w:val="24"/>
        </w:rPr>
        <w:t>65 East State Street, Suite 700</w:t>
      </w:r>
    </w:p>
    <w:p w:rsidR="002A2A00" w:rsidRPr="007169EC" w:rsidP="002A2A00" w14:paraId="29FA41B4" w14:textId="77777777">
      <w:pPr>
        <w:widowControl/>
        <w:autoSpaceDE/>
        <w:autoSpaceDN/>
        <w:ind w:left="3960"/>
        <w:rPr>
          <w:bCs/>
          <w:sz w:val="24"/>
          <w:szCs w:val="24"/>
        </w:rPr>
      </w:pPr>
      <w:r w:rsidRPr="007169EC">
        <w:rPr>
          <w:bCs/>
          <w:sz w:val="24"/>
          <w:szCs w:val="24"/>
        </w:rPr>
        <w:t>Columbus, Ohio 43215</w:t>
      </w:r>
    </w:p>
    <w:p w:rsidR="002A2A00" w:rsidRPr="007169EC" w:rsidP="002A2A00" w14:paraId="00B75509" w14:textId="77777777">
      <w:pPr>
        <w:widowControl/>
        <w:adjustRightInd w:val="0"/>
        <w:ind w:left="3960"/>
        <w:rPr>
          <w:sz w:val="24"/>
          <w:szCs w:val="24"/>
        </w:rPr>
      </w:pPr>
      <w:r w:rsidRPr="007169EC">
        <w:rPr>
          <w:sz w:val="24"/>
          <w:szCs w:val="24"/>
        </w:rPr>
        <w:t>Telephone [Finnigan] (614) 466-9585</w:t>
      </w:r>
    </w:p>
    <w:p w:rsidR="002A2A00" w:rsidRPr="007169EC" w:rsidP="002A2A00" w14:paraId="1445E80E" w14:textId="77777777">
      <w:pPr>
        <w:widowControl/>
        <w:adjustRightInd w:val="0"/>
        <w:ind w:left="3960"/>
        <w:rPr>
          <w:sz w:val="24"/>
          <w:szCs w:val="24"/>
        </w:rPr>
      </w:pPr>
      <w:r w:rsidRPr="007169EC">
        <w:rPr>
          <w:sz w:val="24"/>
          <w:szCs w:val="24"/>
        </w:rPr>
        <w:t>Telephone [Michael]: (614) 466-1291</w:t>
      </w:r>
    </w:p>
    <w:p w:rsidR="002A2A00" w:rsidRPr="007169EC" w:rsidP="002A2A00" w14:paraId="58E413E3" w14:textId="77777777">
      <w:pPr>
        <w:widowControl/>
        <w:autoSpaceDE/>
        <w:autoSpaceDN/>
        <w:ind w:left="3960"/>
        <w:rPr>
          <w:sz w:val="24"/>
          <w:szCs w:val="24"/>
        </w:rPr>
      </w:pPr>
      <w:hyperlink r:id="rId6" w:history="1">
        <w:r w:rsidRPr="007169EC">
          <w:rPr>
            <w:color w:val="0000FF"/>
            <w:sz w:val="24"/>
            <w:szCs w:val="24"/>
            <w:u w:val="single"/>
          </w:rPr>
          <w:t>john.finnigan@occ.ohio.gov</w:t>
        </w:r>
      </w:hyperlink>
    </w:p>
    <w:p w:rsidR="002A2A00" w:rsidRPr="007169EC" w:rsidP="002A2A00" w14:paraId="40DBD6A6" w14:textId="77777777">
      <w:pPr>
        <w:widowControl/>
        <w:autoSpaceDE/>
        <w:autoSpaceDN/>
        <w:ind w:left="3960"/>
        <w:rPr>
          <w:sz w:val="24"/>
          <w:szCs w:val="24"/>
        </w:rPr>
      </w:pPr>
      <w:hyperlink r:id="rId7" w:history="1">
        <w:r w:rsidRPr="007169EC">
          <w:rPr>
            <w:color w:val="0000FF"/>
            <w:sz w:val="24"/>
            <w:szCs w:val="24"/>
            <w:u w:val="single"/>
          </w:rPr>
          <w:t>william.michael@occ.ohio.gov</w:t>
        </w:r>
      </w:hyperlink>
    </w:p>
    <w:p w:rsidR="002A2A00" w:rsidRPr="007169EC" w:rsidP="002A2A00" w14:paraId="4CC6851B" w14:textId="77777777">
      <w:pPr>
        <w:widowControl/>
        <w:autoSpaceDE/>
        <w:autoSpaceDN/>
        <w:ind w:left="3960"/>
        <w:rPr>
          <w:sz w:val="24"/>
          <w:szCs w:val="24"/>
        </w:rPr>
      </w:pPr>
      <w:r w:rsidRPr="007169EC">
        <w:rPr>
          <w:sz w:val="24"/>
          <w:szCs w:val="24"/>
        </w:rPr>
        <w:t>(willing to accept service by e-mail)</w:t>
      </w:r>
    </w:p>
    <w:p w:rsidR="002A2A00" w:rsidRPr="007169EC" w14:paraId="178EDD6E" w14:textId="24FDC060">
      <w:pPr>
        <w:rPr>
          <w:sz w:val="24"/>
          <w:szCs w:val="24"/>
        </w:rPr>
      </w:pPr>
      <w:r w:rsidRPr="007169EC">
        <w:rPr>
          <w:sz w:val="24"/>
          <w:szCs w:val="24"/>
        </w:rPr>
        <w:br w:type="page"/>
      </w:r>
    </w:p>
    <w:p w:rsidR="002A2A00" w:rsidRPr="007169EC" w:rsidP="002A2A00" w14:paraId="1AF1B15D" w14:textId="77777777">
      <w:pPr>
        <w:widowControl/>
        <w:autoSpaceDE/>
        <w:autoSpaceDN/>
        <w:jc w:val="center"/>
        <w:rPr>
          <w:b/>
          <w:bCs/>
          <w:sz w:val="24"/>
          <w:szCs w:val="24"/>
          <w:u w:val="single"/>
        </w:rPr>
      </w:pPr>
      <w:r w:rsidRPr="007169EC">
        <w:rPr>
          <w:b/>
          <w:bCs/>
          <w:sz w:val="24"/>
          <w:szCs w:val="24"/>
          <w:u w:val="single"/>
        </w:rPr>
        <w:t>CERTIFICATE OF SERVICE</w:t>
      </w:r>
    </w:p>
    <w:p w:rsidR="002A2A00" w:rsidRPr="007169EC" w:rsidP="002A2A00" w14:paraId="452DF0A3" w14:textId="6D743BEB">
      <w:pPr>
        <w:widowControl/>
        <w:autoSpaceDE/>
        <w:autoSpaceDN/>
        <w:spacing w:line="480" w:lineRule="atLeast"/>
        <w:rPr>
          <w:sz w:val="24"/>
          <w:szCs w:val="24"/>
        </w:rPr>
      </w:pPr>
      <w:r w:rsidRPr="007169EC">
        <w:rPr>
          <w:sz w:val="24"/>
          <w:szCs w:val="24"/>
        </w:rPr>
        <w:tab/>
        <w:t>I hereby certify that a copy of these Initial Comments was served on the persons stated below via electronic transmission, this 8</w:t>
      </w:r>
      <w:r w:rsidRPr="007169EC">
        <w:rPr>
          <w:sz w:val="24"/>
          <w:szCs w:val="24"/>
          <w:vertAlign w:val="superscript"/>
        </w:rPr>
        <w:t>th</w:t>
      </w:r>
      <w:r w:rsidRPr="007169EC">
        <w:rPr>
          <w:sz w:val="24"/>
          <w:szCs w:val="24"/>
        </w:rPr>
        <w:t xml:space="preserve"> day of May 2023.</w:t>
      </w:r>
    </w:p>
    <w:p w:rsidR="002A2A00" w:rsidRPr="007169EC" w:rsidP="002A2A00" w14:paraId="0E756B5E" w14:textId="77777777">
      <w:pPr>
        <w:widowControl/>
        <w:autoSpaceDE/>
        <w:autoSpaceDN/>
        <w:rPr>
          <w:sz w:val="24"/>
          <w:szCs w:val="24"/>
        </w:rPr>
      </w:pPr>
    </w:p>
    <w:p w:rsidR="002A2A00" w:rsidRPr="007169EC" w:rsidP="002A2A00" w14:paraId="49A4B9EF" w14:textId="77777777">
      <w:pPr>
        <w:widowControl/>
        <w:tabs>
          <w:tab w:val="left" w:pos="4320"/>
        </w:tabs>
        <w:autoSpaceDE/>
        <w:autoSpaceDN/>
        <w:rPr>
          <w:sz w:val="24"/>
          <w:szCs w:val="24"/>
        </w:rPr>
      </w:pPr>
      <w:r w:rsidRPr="007169EC">
        <w:rPr>
          <w:sz w:val="24"/>
          <w:szCs w:val="24"/>
        </w:rPr>
        <w:tab/>
      </w:r>
      <w:r w:rsidRPr="007169EC">
        <w:rPr>
          <w:i/>
          <w:sz w:val="24"/>
          <w:szCs w:val="24"/>
          <w:u w:val="single"/>
        </w:rPr>
        <w:t>/s/ John Finnigan</w:t>
      </w:r>
      <w:r w:rsidRPr="007169EC">
        <w:rPr>
          <w:sz w:val="24"/>
          <w:szCs w:val="24"/>
        </w:rPr>
        <w:tab/>
      </w:r>
      <w:r w:rsidRPr="007169EC">
        <w:rPr>
          <w:sz w:val="24"/>
          <w:szCs w:val="24"/>
        </w:rPr>
        <w:tab/>
      </w:r>
      <w:r w:rsidRPr="007169EC">
        <w:rPr>
          <w:sz w:val="24"/>
          <w:szCs w:val="24"/>
        </w:rPr>
        <w:tab/>
      </w:r>
    </w:p>
    <w:p w:rsidR="002A2A00" w:rsidRPr="007169EC" w:rsidP="002A2A00" w14:paraId="4F7DD5EC" w14:textId="77777777">
      <w:pPr>
        <w:widowControl/>
        <w:tabs>
          <w:tab w:val="left" w:pos="4320"/>
        </w:tabs>
        <w:autoSpaceDE/>
        <w:autoSpaceDN/>
        <w:rPr>
          <w:sz w:val="24"/>
          <w:szCs w:val="24"/>
        </w:rPr>
      </w:pPr>
      <w:r w:rsidRPr="007169EC">
        <w:rPr>
          <w:sz w:val="24"/>
          <w:szCs w:val="24"/>
        </w:rPr>
        <w:tab/>
        <w:t>John Finnigan</w:t>
      </w:r>
    </w:p>
    <w:p w:rsidR="002A2A00" w:rsidRPr="007169EC" w:rsidP="002A2A00" w14:paraId="29849F3E" w14:textId="77777777">
      <w:pPr>
        <w:widowControl/>
        <w:tabs>
          <w:tab w:val="left" w:pos="4320"/>
        </w:tabs>
        <w:autoSpaceDE/>
        <w:autoSpaceDN/>
        <w:rPr>
          <w:sz w:val="24"/>
          <w:szCs w:val="24"/>
        </w:rPr>
      </w:pPr>
      <w:r w:rsidRPr="007169EC">
        <w:rPr>
          <w:sz w:val="24"/>
          <w:szCs w:val="24"/>
        </w:rPr>
        <w:tab/>
        <w:t>Assistant Consumers’ Counsel</w:t>
      </w:r>
    </w:p>
    <w:p w:rsidR="002A2A00" w:rsidRPr="007169EC" w:rsidP="002A2A00" w14:paraId="5FDDE590" w14:textId="77777777">
      <w:pPr>
        <w:widowControl/>
        <w:tabs>
          <w:tab w:val="left" w:pos="4320"/>
        </w:tabs>
        <w:autoSpaceDE/>
        <w:autoSpaceDN/>
        <w:rPr>
          <w:sz w:val="24"/>
          <w:szCs w:val="24"/>
        </w:rPr>
      </w:pPr>
    </w:p>
    <w:p w:rsidR="002A2A00" w:rsidRPr="007169EC" w:rsidP="002A2A00" w14:paraId="5EBCAF8F" w14:textId="77777777">
      <w:pPr>
        <w:widowControl/>
        <w:autoSpaceDE/>
        <w:autoSpaceDN/>
        <w:rPr>
          <w:sz w:val="24"/>
          <w:szCs w:val="24"/>
        </w:rPr>
      </w:pPr>
      <w:r w:rsidRPr="007169EC">
        <w:rPr>
          <w:sz w:val="24"/>
          <w:szCs w:val="24"/>
        </w:rPr>
        <w:t>The PUCO’s e-filing system will electronically serve notice of the filing of this document on the following parties:</w:t>
      </w:r>
    </w:p>
    <w:p w:rsidR="002A2A00" w:rsidRPr="007169EC" w:rsidP="002A2A00" w14:paraId="07A7F085" w14:textId="77777777">
      <w:pPr>
        <w:widowControl/>
        <w:autoSpaceDE/>
        <w:autoSpaceDN/>
        <w:rPr>
          <w:sz w:val="24"/>
          <w:szCs w:val="24"/>
        </w:rPr>
      </w:pPr>
    </w:p>
    <w:p w:rsidR="002A2A00" w:rsidRPr="007169EC" w:rsidP="002A2A00" w14:paraId="50C2E38D" w14:textId="77777777">
      <w:pPr>
        <w:widowControl/>
        <w:autoSpaceDE/>
        <w:autoSpaceDN/>
        <w:jc w:val="center"/>
        <w:rPr>
          <w:b/>
          <w:bCs/>
          <w:sz w:val="24"/>
          <w:szCs w:val="24"/>
          <w:u w:val="single"/>
        </w:rPr>
      </w:pPr>
      <w:r w:rsidRPr="007169EC">
        <w:rPr>
          <w:b/>
          <w:bCs/>
          <w:sz w:val="24"/>
          <w:szCs w:val="24"/>
          <w:u w:val="single"/>
        </w:rPr>
        <w:t>SERVICE LIST</w:t>
      </w:r>
    </w:p>
    <w:p w:rsidR="002A2A00" w:rsidRPr="007169EC" w:rsidP="002A2A00" w14:paraId="5FA06BC4" w14:textId="77777777">
      <w:pPr>
        <w:widowControl/>
        <w:autoSpaceDE/>
        <w:autoSpaceDN/>
        <w:jc w:val="center"/>
        <w:rPr>
          <w:b/>
          <w:bCs/>
          <w:sz w:val="24"/>
          <w:szCs w:val="24"/>
          <w:u w:val="single"/>
        </w:rPr>
      </w:pPr>
    </w:p>
    <w:tbl>
      <w:tblPr>
        <w:tblW w:w="0" w:type="auto"/>
        <w:tblLook w:val="01E0"/>
      </w:tblPr>
      <w:tblGrid>
        <w:gridCol w:w="4325"/>
        <w:gridCol w:w="4315"/>
      </w:tblGrid>
      <w:tr w14:paraId="18C310B3" w14:textId="77777777" w:rsidTr="00A02B10">
        <w:tblPrEx>
          <w:tblW w:w="0" w:type="auto"/>
          <w:tblLook w:val="01E0"/>
        </w:tblPrEx>
        <w:tc>
          <w:tcPr>
            <w:tcW w:w="4428" w:type="dxa"/>
            <w:shd w:val="clear" w:color="auto" w:fill="auto"/>
          </w:tcPr>
          <w:p w:rsidR="002A2A00" w:rsidRPr="007169EC" w:rsidP="002A2A00" w14:paraId="28532C59" w14:textId="77777777">
            <w:pPr>
              <w:widowControl/>
              <w:adjustRightInd w:val="0"/>
              <w:rPr>
                <w:bCs/>
                <w:color w:val="0000FF"/>
                <w:sz w:val="24"/>
                <w:szCs w:val="24"/>
                <w:u w:val="single"/>
              </w:rPr>
            </w:pPr>
            <w:hyperlink r:id="rId16" w:history="1">
              <w:r w:rsidRPr="007169EC">
                <w:rPr>
                  <w:color w:val="0000FF"/>
                  <w:sz w:val="24"/>
                  <w:szCs w:val="24"/>
                  <w:u w:val="single"/>
                </w:rPr>
                <w:t>thomas.lindgren@ohioAGO.gov</w:t>
              </w:r>
            </w:hyperlink>
          </w:p>
          <w:p w:rsidR="002A2A00" w:rsidRPr="007169EC" w:rsidP="002A2A00" w14:paraId="19D92CA0" w14:textId="77777777">
            <w:pPr>
              <w:widowControl/>
              <w:adjustRightInd w:val="0"/>
              <w:rPr>
                <w:sz w:val="24"/>
                <w:szCs w:val="24"/>
              </w:rPr>
            </w:pPr>
            <w:hyperlink r:id="rId17" w:history="1">
              <w:r w:rsidRPr="007169EC">
                <w:rPr>
                  <w:color w:val="0000FF"/>
                  <w:sz w:val="24"/>
                  <w:szCs w:val="24"/>
                  <w:u w:val="single"/>
                </w:rPr>
                <w:t>Rocco.dascenzo@duke-energy.com</w:t>
              </w:r>
            </w:hyperlink>
          </w:p>
          <w:p w:rsidR="002A2A00" w:rsidRPr="007169EC" w:rsidP="002A2A00" w14:paraId="3B91A4E1" w14:textId="77777777">
            <w:pPr>
              <w:widowControl/>
              <w:adjustRightInd w:val="0"/>
              <w:rPr>
                <w:sz w:val="24"/>
                <w:szCs w:val="24"/>
              </w:rPr>
            </w:pPr>
            <w:hyperlink r:id="rId18" w:history="1">
              <w:r w:rsidRPr="007169EC">
                <w:rPr>
                  <w:color w:val="0000FF"/>
                  <w:sz w:val="24"/>
                  <w:szCs w:val="24"/>
                  <w:u w:val="single"/>
                </w:rPr>
                <w:t>Jeanne.kingery@duke-energy.com</w:t>
              </w:r>
            </w:hyperlink>
          </w:p>
          <w:p w:rsidR="002A2A00" w:rsidRPr="007169EC" w:rsidP="002A2A00" w14:paraId="5D6F32C3" w14:textId="77777777">
            <w:pPr>
              <w:widowControl/>
              <w:adjustRightInd w:val="0"/>
              <w:rPr>
                <w:sz w:val="24"/>
                <w:szCs w:val="24"/>
              </w:rPr>
            </w:pPr>
            <w:hyperlink r:id="rId19" w:history="1">
              <w:r w:rsidRPr="007169EC">
                <w:rPr>
                  <w:color w:val="0000FF"/>
                  <w:sz w:val="24"/>
                  <w:szCs w:val="24"/>
                  <w:u w:val="single"/>
                </w:rPr>
                <w:t>Larisa.vaysman@duke-energy.com</w:t>
              </w:r>
            </w:hyperlink>
          </w:p>
          <w:p w:rsidR="002A2A00" w:rsidRPr="007169EC" w:rsidP="002A2A00" w14:paraId="0DFB59AE" w14:textId="77777777">
            <w:pPr>
              <w:widowControl/>
              <w:adjustRightInd w:val="0"/>
              <w:rPr>
                <w:color w:val="0000FF"/>
                <w:sz w:val="24"/>
                <w:szCs w:val="24"/>
                <w:u w:val="single"/>
              </w:rPr>
            </w:pPr>
            <w:hyperlink r:id="rId20" w:history="1">
              <w:r w:rsidRPr="007169EC">
                <w:rPr>
                  <w:color w:val="0000FF"/>
                  <w:sz w:val="24"/>
                  <w:szCs w:val="24"/>
                  <w:u w:val="single"/>
                </w:rPr>
                <w:t>elyse.akhbari@duke-energy.com</w:t>
              </w:r>
            </w:hyperlink>
          </w:p>
          <w:p w:rsidR="002A2A00" w:rsidRPr="007169EC" w:rsidP="002A2A00" w14:paraId="7EAC1ED5" w14:textId="77777777">
            <w:pPr>
              <w:widowControl/>
              <w:adjustRightInd w:val="0"/>
              <w:rPr>
                <w:color w:val="0000FF"/>
                <w:sz w:val="24"/>
                <w:szCs w:val="24"/>
                <w:u w:val="single"/>
              </w:rPr>
            </w:pPr>
          </w:p>
          <w:p w:rsidR="002A2A00" w:rsidRPr="007169EC" w:rsidP="002A2A00" w14:paraId="2C27BB2E" w14:textId="77777777">
            <w:pPr>
              <w:widowControl/>
              <w:adjustRightInd w:val="0"/>
              <w:rPr>
                <w:sz w:val="24"/>
                <w:szCs w:val="24"/>
              </w:rPr>
            </w:pPr>
            <w:r w:rsidRPr="007169EC">
              <w:rPr>
                <w:sz w:val="24"/>
                <w:szCs w:val="24"/>
              </w:rPr>
              <w:t>Attorney Examiners:</w:t>
            </w:r>
          </w:p>
          <w:p w:rsidR="002A2A00" w:rsidRPr="007169EC" w:rsidP="002A2A00" w14:paraId="0B449979" w14:textId="77777777">
            <w:pPr>
              <w:widowControl/>
              <w:adjustRightInd w:val="0"/>
              <w:rPr>
                <w:sz w:val="24"/>
                <w:szCs w:val="24"/>
              </w:rPr>
            </w:pPr>
            <w:hyperlink r:id="rId21" w:history="1">
              <w:r w:rsidRPr="007169EC">
                <w:rPr>
                  <w:color w:val="0000FF"/>
                  <w:sz w:val="24"/>
                  <w:szCs w:val="24"/>
                  <w:u w:val="single"/>
                </w:rPr>
                <w:t>megan.addison@puco.ohio.gov</w:t>
              </w:r>
            </w:hyperlink>
          </w:p>
          <w:p w:rsidR="002A2A00" w:rsidRPr="007169EC" w:rsidP="002A2A00" w14:paraId="61C06E8D" w14:textId="77777777">
            <w:pPr>
              <w:widowControl/>
              <w:adjustRightInd w:val="0"/>
              <w:rPr>
                <w:sz w:val="24"/>
                <w:szCs w:val="24"/>
              </w:rPr>
            </w:pPr>
            <w:hyperlink r:id="rId22" w:history="1">
              <w:r w:rsidRPr="007169EC">
                <w:rPr>
                  <w:color w:val="0000FF"/>
                  <w:sz w:val="24"/>
                  <w:szCs w:val="24"/>
                  <w:u w:val="single"/>
                </w:rPr>
                <w:t>jesse.davis@puco.ohio.gov</w:t>
              </w:r>
            </w:hyperlink>
          </w:p>
          <w:p w:rsidR="002A2A00" w:rsidRPr="007169EC" w:rsidP="002A2A00" w14:paraId="2E5E0EE2" w14:textId="77777777">
            <w:pPr>
              <w:widowControl/>
              <w:adjustRightInd w:val="0"/>
              <w:rPr>
                <w:bCs/>
                <w:sz w:val="24"/>
                <w:szCs w:val="24"/>
              </w:rPr>
            </w:pPr>
          </w:p>
        </w:tc>
        <w:tc>
          <w:tcPr>
            <w:tcW w:w="4428" w:type="dxa"/>
            <w:shd w:val="clear" w:color="auto" w:fill="auto"/>
          </w:tcPr>
          <w:p w:rsidR="002A2A00" w:rsidRPr="007169EC" w:rsidP="002A2A00" w14:paraId="696DD103" w14:textId="77777777">
            <w:pPr>
              <w:widowControl/>
              <w:autoSpaceDE/>
              <w:autoSpaceDN/>
              <w:jc w:val="both"/>
              <w:rPr>
                <w:bCs/>
                <w:sz w:val="24"/>
                <w:szCs w:val="24"/>
              </w:rPr>
            </w:pPr>
            <w:hyperlink r:id="rId23" w:history="1">
              <w:r w:rsidRPr="007169EC">
                <w:rPr>
                  <w:color w:val="0000FF"/>
                  <w:sz w:val="24"/>
                  <w:szCs w:val="24"/>
                  <w:u w:val="single"/>
                </w:rPr>
                <w:t>rdove@keglerbrown.com</w:t>
              </w:r>
            </w:hyperlink>
          </w:p>
          <w:p w:rsidR="002A2A00" w:rsidRPr="007169EC" w:rsidP="002A2A00" w14:paraId="34F842EC" w14:textId="77777777">
            <w:pPr>
              <w:widowControl/>
              <w:autoSpaceDE/>
              <w:autoSpaceDN/>
              <w:jc w:val="both"/>
              <w:rPr>
                <w:bCs/>
                <w:sz w:val="24"/>
                <w:szCs w:val="24"/>
              </w:rPr>
            </w:pPr>
            <w:hyperlink r:id="rId24" w:history="1">
              <w:r w:rsidRPr="007169EC">
                <w:rPr>
                  <w:color w:val="0000FF"/>
                  <w:sz w:val="24"/>
                  <w:szCs w:val="24"/>
                  <w:u w:val="single"/>
                </w:rPr>
                <w:t>stnourse@aep.com</w:t>
              </w:r>
            </w:hyperlink>
          </w:p>
          <w:p w:rsidR="002A2A00" w:rsidRPr="007169EC" w:rsidP="002A2A00" w14:paraId="332C219D" w14:textId="77777777">
            <w:pPr>
              <w:widowControl/>
              <w:autoSpaceDE/>
              <w:autoSpaceDN/>
              <w:jc w:val="both"/>
              <w:rPr>
                <w:bCs/>
                <w:sz w:val="24"/>
                <w:szCs w:val="24"/>
              </w:rPr>
            </w:pPr>
            <w:hyperlink r:id="rId25" w:history="1">
              <w:r w:rsidRPr="007169EC">
                <w:rPr>
                  <w:color w:val="0000FF"/>
                  <w:sz w:val="24"/>
                  <w:szCs w:val="24"/>
                  <w:u w:val="single"/>
                </w:rPr>
                <w:t>trent@hubaydougherty.com</w:t>
              </w:r>
            </w:hyperlink>
          </w:p>
          <w:p w:rsidR="002A2A00" w:rsidRPr="007169EC" w:rsidP="002A2A00" w14:paraId="3F12619F" w14:textId="77777777">
            <w:pPr>
              <w:widowControl/>
              <w:autoSpaceDE/>
              <w:autoSpaceDN/>
              <w:jc w:val="both"/>
              <w:rPr>
                <w:bCs/>
                <w:sz w:val="24"/>
                <w:szCs w:val="24"/>
              </w:rPr>
            </w:pPr>
            <w:hyperlink r:id="rId26" w:history="1">
              <w:r w:rsidRPr="007169EC">
                <w:rPr>
                  <w:color w:val="0000FF"/>
                  <w:sz w:val="24"/>
                  <w:szCs w:val="24"/>
                  <w:u w:val="single"/>
                </w:rPr>
                <w:t>talexander@beneschlaw.com</w:t>
              </w:r>
            </w:hyperlink>
          </w:p>
          <w:p w:rsidR="002A2A00" w:rsidRPr="007169EC" w:rsidP="002A2A00" w14:paraId="3F37E595" w14:textId="77777777">
            <w:pPr>
              <w:widowControl/>
              <w:autoSpaceDE/>
              <w:autoSpaceDN/>
              <w:jc w:val="both"/>
              <w:rPr>
                <w:color w:val="0000FF"/>
                <w:sz w:val="24"/>
                <w:szCs w:val="24"/>
                <w:u w:val="single"/>
              </w:rPr>
            </w:pPr>
            <w:hyperlink r:id="rId27" w:history="1">
              <w:r w:rsidRPr="007169EC">
                <w:rPr>
                  <w:color w:val="0000FF"/>
                  <w:sz w:val="24"/>
                  <w:szCs w:val="24"/>
                  <w:u w:val="single"/>
                </w:rPr>
                <w:t>Bojko@carpenterlipps.com</w:t>
              </w:r>
            </w:hyperlink>
          </w:p>
          <w:p w:rsidR="00F248C2" w:rsidRPr="007169EC" w:rsidP="002A2A00" w14:paraId="1A3A871B" w14:textId="6A733055">
            <w:pPr>
              <w:widowControl/>
              <w:autoSpaceDE/>
              <w:autoSpaceDN/>
              <w:jc w:val="both"/>
              <w:rPr>
                <w:bCs/>
                <w:sz w:val="24"/>
                <w:szCs w:val="24"/>
              </w:rPr>
            </w:pPr>
            <w:hyperlink r:id="rId28" w:history="1">
              <w:r w:rsidRPr="007169EC">
                <w:rPr>
                  <w:rStyle w:val="Hyperlink"/>
                  <w:bCs/>
                  <w:sz w:val="24"/>
                  <w:szCs w:val="24"/>
                </w:rPr>
                <w:t>Wygonski@carpenterlipps.com</w:t>
              </w:r>
            </w:hyperlink>
          </w:p>
          <w:p w:rsidR="002A2A00" w:rsidRPr="007169EC" w:rsidP="002A2A00" w14:paraId="5E6F5048" w14:textId="77777777">
            <w:pPr>
              <w:widowControl/>
              <w:autoSpaceDE/>
              <w:autoSpaceDN/>
              <w:jc w:val="both"/>
              <w:rPr>
                <w:bCs/>
                <w:sz w:val="24"/>
                <w:szCs w:val="24"/>
              </w:rPr>
            </w:pPr>
            <w:hyperlink r:id="rId29" w:history="1">
              <w:r w:rsidRPr="007169EC">
                <w:rPr>
                  <w:color w:val="0000FF"/>
                  <w:sz w:val="24"/>
                  <w:szCs w:val="24"/>
                  <w:u w:val="single"/>
                </w:rPr>
                <w:t>Paul@carpenterlipps.com</w:t>
              </w:r>
            </w:hyperlink>
          </w:p>
          <w:p w:rsidR="002A2A00" w:rsidRPr="007169EC" w:rsidP="002A2A00" w14:paraId="6F67BB1C" w14:textId="77777777">
            <w:pPr>
              <w:widowControl/>
              <w:autoSpaceDE/>
              <w:autoSpaceDN/>
              <w:jc w:val="both"/>
              <w:rPr>
                <w:bCs/>
                <w:sz w:val="24"/>
                <w:szCs w:val="24"/>
              </w:rPr>
            </w:pPr>
            <w:hyperlink r:id="rId30" w:history="1">
              <w:r w:rsidRPr="007169EC">
                <w:rPr>
                  <w:color w:val="0000FF"/>
                  <w:sz w:val="24"/>
                  <w:szCs w:val="24"/>
                  <w:u w:val="single"/>
                </w:rPr>
                <w:t>randall.griffin@aes.com</w:t>
              </w:r>
            </w:hyperlink>
          </w:p>
          <w:p w:rsidR="002A2A00" w:rsidRPr="007169EC" w:rsidP="002A2A00" w14:paraId="79822305" w14:textId="77777777">
            <w:pPr>
              <w:widowControl/>
              <w:autoSpaceDE/>
              <w:autoSpaceDN/>
              <w:jc w:val="both"/>
              <w:rPr>
                <w:color w:val="0000FF"/>
                <w:sz w:val="24"/>
                <w:szCs w:val="24"/>
                <w:u w:val="single"/>
              </w:rPr>
            </w:pPr>
            <w:hyperlink r:id="rId31" w:history="1">
              <w:r w:rsidRPr="007169EC">
                <w:rPr>
                  <w:color w:val="0000FF"/>
                  <w:sz w:val="24"/>
                  <w:szCs w:val="24"/>
                  <w:u w:val="single"/>
                </w:rPr>
                <w:t>ctavenor@theoec.org</w:t>
              </w:r>
            </w:hyperlink>
          </w:p>
          <w:p w:rsidR="002A2A00" w:rsidRPr="007169EC" w:rsidP="002A2A00" w14:paraId="10866EC8" w14:textId="77777777">
            <w:pPr>
              <w:widowControl/>
              <w:autoSpaceDE/>
              <w:autoSpaceDN/>
              <w:jc w:val="both"/>
              <w:rPr>
                <w:sz w:val="24"/>
                <w:szCs w:val="24"/>
              </w:rPr>
            </w:pPr>
            <w:hyperlink r:id="rId30" w:history="1">
              <w:r w:rsidRPr="007169EC">
                <w:rPr>
                  <w:color w:val="0000FF"/>
                  <w:sz w:val="24"/>
                  <w:szCs w:val="24"/>
                  <w:u w:val="single"/>
                </w:rPr>
                <w:t>randall.griffin@aes.com</w:t>
              </w:r>
            </w:hyperlink>
          </w:p>
          <w:p w:rsidR="002A2A00" w:rsidRPr="007169EC" w:rsidP="002A2A00" w14:paraId="10549ACB" w14:textId="77777777">
            <w:pPr>
              <w:widowControl/>
              <w:autoSpaceDE/>
              <w:autoSpaceDN/>
              <w:jc w:val="both"/>
              <w:rPr>
                <w:sz w:val="24"/>
                <w:szCs w:val="24"/>
              </w:rPr>
            </w:pPr>
            <w:hyperlink r:id="rId32" w:history="1">
              <w:r w:rsidRPr="007169EC">
                <w:rPr>
                  <w:color w:val="0000FF"/>
                  <w:sz w:val="24"/>
                  <w:szCs w:val="24"/>
                  <w:u w:val="single"/>
                </w:rPr>
                <w:t>christopher.hollon@aes.com</w:t>
              </w:r>
            </w:hyperlink>
          </w:p>
        </w:tc>
      </w:tr>
    </w:tbl>
    <w:p w:rsidR="002A2A00" w:rsidRPr="007169EC" w:rsidP="002A2A00" w14:paraId="35C9D66D" w14:textId="77777777">
      <w:pPr>
        <w:pStyle w:val="BodyText"/>
        <w:spacing w:line="480" w:lineRule="auto"/>
      </w:pPr>
    </w:p>
    <w:sectPr w:rsidSect="006E5591">
      <w:footerReference w:type="default" r:id="rId33"/>
      <w:pgSz w:w="12240" w:h="15840"/>
      <w:pgMar w:top="1440" w:right="1800" w:bottom="1440" w:left="180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204D" w14:paraId="013CF02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092D" w:rsidP="001C092D" w14:paraId="3DBCA4E0" w14:textId="6FFA4E4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204D" w14:paraId="4C8C06C0"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47258619"/>
      <w:docPartObj>
        <w:docPartGallery w:val="Page Numbers (Bottom of Page)"/>
        <w:docPartUnique/>
      </w:docPartObj>
    </w:sdtPr>
    <w:sdtEndPr>
      <w:rPr>
        <w:noProof/>
        <w:sz w:val="24"/>
        <w:szCs w:val="24"/>
      </w:rPr>
    </w:sdtEndPr>
    <w:sdtContent>
      <w:p w:rsidR="001C092D" w:rsidRPr="006E5591" w:rsidP="001C092D" w14:paraId="60A0ECB8" w14:textId="77777777">
        <w:pPr>
          <w:pStyle w:val="Footer"/>
          <w:jc w:val="center"/>
          <w:rPr>
            <w:sz w:val="24"/>
            <w:szCs w:val="24"/>
          </w:rPr>
        </w:pPr>
        <w:r w:rsidRPr="006E5591">
          <w:rPr>
            <w:sz w:val="24"/>
            <w:szCs w:val="24"/>
          </w:rPr>
          <w:fldChar w:fldCharType="begin"/>
        </w:r>
        <w:r w:rsidRPr="006E5591">
          <w:rPr>
            <w:sz w:val="24"/>
            <w:szCs w:val="24"/>
          </w:rPr>
          <w:instrText xml:space="preserve"> PAGE   \* MERGEFORMAT </w:instrText>
        </w:r>
        <w:r w:rsidRPr="006E5591">
          <w:rPr>
            <w:sz w:val="24"/>
            <w:szCs w:val="24"/>
          </w:rPr>
          <w:fldChar w:fldCharType="separate"/>
        </w:r>
        <w:r w:rsidRPr="006E5591">
          <w:rPr>
            <w:noProof/>
            <w:sz w:val="24"/>
            <w:szCs w:val="24"/>
          </w:rPr>
          <w:t>2</w:t>
        </w:r>
        <w:r w:rsidRPr="006E5591">
          <w:rPr>
            <w:noProof/>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62878334"/>
      <w:docPartObj>
        <w:docPartGallery w:val="Page Numbers (Bottom of Page)"/>
        <w:docPartUnique/>
      </w:docPartObj>
    </w:sdtPr>
    <w:sdtEndPr>
      <w:rPr>
        <w:noProof/>
        <w:sz w:val="24"/>
        <w:szCs w:val="24"/>
      </w:rPr>
    </w:sdtEndPr>
    <w:sdtContent>
      <w:p w:rsidR="006E5591" w:rsidRPr="006E5591" w14:paraId="7C4BB00C" w14:textId="7551A677">
        <w:pPr>
          <w:pStyle w:val="Footer"/>
          <w:jc w:val="center"/>
          <w:rPr>
            <w:sz w:val="24"/>
            <w:szCs w:val="24"/>
          </w:rPr>
        </w:pPr>
        <w:r w:rsidRPr="006E5591">
          <w:rPr>
            <w:sz w:val="24"/>
            <w:szCs w:val="24"/>
          </w:rPr>
          <w:fldChar w:fldCharType="begin"/>
        </w:r>
        <w:r w:rsidRPr="006E5591">
          <w:rPr>
            <w:sz w:val="24"/>
            <w:szCs w:val="24"/>
          </w:rPr>
          <w:instrText xml:space="preserve"> PAGE   \* MERGEFORMAT </w:instrText>
        </w:r>
        <w:r w:rsidRPr="006E5591">
          <w:rPr>
            <w:sz w:val="24"/>
            <w:szCs w:val="24"/>
          </w:rPr>
          <w:fldChar w:fldCharType="separate"/>
        </w:r>
        <w:r w:rsidRPr="006E5591">
          <w:rPr>
            <w:noProof/>
            <w:sz w:val="24"/>
            <w:szCs w:val="24"/>
          </w:rPr>
          <w:t>2</w:t>
        </w:r>
        <w:r w:rsidRPr="006E5591">
          <w:rPr>
            <w:noProof/>
            <w:sz w:val="24"/>
            <w:szCs w:val="24"/>
          </w:rPr>
          <w:fldChar w:fldCharType="end"/>
        </w:r>
      </w:p>
    </w:sdtContent>
  </w:sdt>
  <w:p w:rsidR="00741A06" w14:paraId="513622FE" w14:textId="7777777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936C3" w14:paraId="03CA653A" w14:textId="77777777">
      <w:r>
        <w:separator/>
      </w:r>
    </w:p>
  </w:footnote>
  <w:footnote w:type="continuationSeparator" w:id="1">
    <w:p w:rsidR="00D936C3" w14:paraId="5EB83EDC" w14:textId="77777777">
      <w:r>
        <w:continuationSeparator/>
      </w:r>
    </w:p>
  </w:footnote>
  <w:footnote w:id="2">
    <w:p w:rsidR="00310A11" w:rsidRPr="00AF01B9" w:rsidP="00AF01B9" w14:paraId="55AE7DDF" w14:textId="55234C1E">
      <w:pPr>
        <w:pStyle w:val="FootnoteText"/>
        <w:spacing w:after="120"/>
      </w:pPr>
      <w:r w:rsidRPr="00AF01B9">
        <w:rPr>
          <w:rStyle w:val="FootnoteReference"/>
        </w:rPr>
        <w:footnoteRef/>
      </w:r>
      <w:r w:rsidRPr="00AF01B9">
        <w:t xml:space="preserve"> R.C. 4928.148</w:t>
      </w:r>
      <w:r w:rsidRPr="00AF01B9" w:rsidR="00C36805">
        <w:t>.</w:t>
      </w:r>
    </w:p>
  </w:footnote>
  <w:footnote w:id="3">
    <w:p w:rsidR="002B5BCB" w:rsidRPr="00AF01B9" w:rsidP="00AF01B9" w14:paraId="135952AB" w14:textId="6CB0D6A8">
      <w:pPr>
        <w:pStyle w:val="FootnoteText"/>
        <w:spacing w:after="120"/>
      </w:pPr>
      <w:r w:rsidRPr="00AF01B9">
        <w:rPr>
          <w:rStyle w:val="FootnoteReference"/>
        </w:rPr>
        <w:footnoteRef/>
      </w:r>
      <w:r w:rsidRPr="00AF01B9">
        <w:t xml:space="preserve"> </w:t>
      </w:r>
      <w:r w:rsidRPr="00AF01B9">
        <w:rPr>
          <w:i/>
          <w:iCs/>
        </w:rPr>
        <w:t xml:space="preserve">In re AES Ohio ESP IV, </w:t>
      </w:r>
      <w:r w:rsidRPr="00AF01B9">
        <w:t>Case No. 22-900-EL-SSO, Stipulation and Recommendation (Apr</w:t>
      </w:r>
      <w:r w:rsidRPr="00AF01B9" w:rsidR="004F4204">
        <w:t>il</w:t>
      </w:r>
      <w:r w:rsidRPr="00AF01B9">
        <w:t xml:space="preserve"> 10, 2023)</w:t>
      </w:r>
      <w:r w:rsidRPr="00AF01B9" w:rsidR="009836EB">
        <w:t xml:space="preserve"> at 15</w:t>
      </w:r>
      <w:r w:rsidRPr="00AF01B9" w:rsidR="004F4204">
        <w:t>.</w:t>
      </w:r>
    </w:p>
  </w:footnote>
  <w:footnote w:id="4">
    <w:p w:rsidR="00310A11" w:rsidRPr="00AF01B9" w:rsidP="00AF01B9" w14:paraId="4F42741E" w14:textId="3C786477">
      <w:pPr>
        <w:pStyle w:val="FootnoteText"/>
        <w:spacing w:after="120"/>
      </w:pPr>
      <w:r w:rsidRPr="00AF01B9">
        <w:rPr>
          <w:rStyle w:val="FootnoteReference"/>
        </w:rPr>
        <w:footnoteRef/>
      </w:r>
      <w:r w:rsidRPr="00AF01B9">
        <w:t xml:space="preserve"> Runnerstone LLC, </w:t>
      </w:r>
      <w:r w:rsidRPr="00AF01B9">
        <w:rPr>
          <w:i/>
          <w:iCs/>
        </w:rPr>
        <w:t>House Bill 6’s Legacy: Utility Power Plant Subsidies Poised to Cost Ohioans Millions More</w:t>
      </w:r>
      <w:r w:rsidRPr="00AF01B9">
        <w:t xml:space="preserve"> (Mar</w:t>
      </w:r>
      <w:r w:rsidRPr="00AF01B9" w:rsidR="00E965B5">
        <w:t>ch</w:t>
      </w:r>
      <w:r w:rsidRPr="00AF01B9">
        <w:t xml:space="preserve"> 24, 2023)</w:t>
      </w:r>
      <w:r w:rsidRPr="00AF01B9" w:rsidR="00E965B5">
        <w:t xml:space="preserve"> at 5</w:t>
      </w:r>
      <w:r w:rsidRPr="00AF01B9">
        <w:t>.</w:t>
      </w:r>
    </w:p>
  </w:footnote>
  <w:footnote w:id="5">
    <w:p w:rsidR="00310A11" w:rsidRPr="00AF01B9" w:rsidP="00AF01B9" w14:paraId="24FA67E0" w14:textId="4DBD9A28">
      <w:pPr>
        <w:pStyle w:val="FootnoteText"/>
        <w:spacing w:after="120"/>
        <w:rPr>
          <w:i/>
          <w:iCs/>
        </w:rPr>
      </w:pPr>
      <w:r w:rsidRPr="00AF01B9">
        <w:rPr>
          <w:rStyle w:val="FootnoteReference"/>
        </w:rPr>
        <w:footnoteRef/>
      </w:r>
      <w:r w:rsidRPr="00AF01B9">
        <w:t xml:space="preserve"> </w:t>
      </w:r>
      <w:r w:rsidRPr="00AF01B9">
        <w:rPr>
          <w:i/>
          <w:iCs/>
        </w:rPr>
        <w:t>Id.</w:t>
      </w:r>
    </w:p>
  </w:footnote>
  <w:footnote w:id="6">
    <w:p w:rsidR="00616512" w:rsidRPr="00AF01B9" w:rsidP="00AF01B9" w14:paraId="658ECFF4" w14:textId="5A4CDD39">
      <w:pPr>
        <w:pStyle w:val="FootnoteText"/>
        <w:spacing w:after="120"/>
      </w:pPr>
      <w:r w:rsidRPr="00AF01B9">
        <w:rPr>
          <w:rStyle w:val="FootnoteReference"/>
        </w:rPr>
        <w:footnoteRef/>
      </w:r>
      <w:r w:rsidRPr="00AF01B9">
        <w:t xml:space="preserve"> LEI Audit Repor</w:t>
      </w:r>
      <w:r w:rsidRPr="00AF01B9" w:rsidR="004B7D63">
        <w:t>ts</w:t>
      </w:r>
      <w:r w:rsidRPr="00AF01B9">
        <w:t>, p. 7</w:t>
      </w:r>
      <w:r w:rsidRPr="00AF01B9" w:rsidR="00F90E79">
        <w:t>.</w:t>
      </w:r>
    </w:p>
  </w:footnote>
  <w:footnote w:id="7">
    <w:p w:rsidR="007261C8" w:rsidRPr="00AF01B9" w:rsidP="00AF01B9" w14:paraId="371752A3" w14:textId="4792557C">
      <w:pPr>
        <w:pStyle w:val="FootnoteText"/>
        <w:spacing w:after="120"/>
      </w:pPr>
      <w:r w:rsidRPr="00AF01B9">
        <w:rPr>
          <w:rStyle w:val="FootnoteReference"/>
        </w:rPr>
        <w:footnoteRef/>
      </w:r>
      <w:r w:rsidRPr="00AF01B9">
        <w:t xml:space="preserve"> </w:t>
      </w:r>
      <w:r w:rsidRPr="00AF01B9" w:rsidR="00642F53">
        <w:rPr>
          <w:i/>
          <w:iCs/>
        </w:rPr>
        <w:t>In the Matter of the Application of Duke</w:t>
      </w:r>
      <w:r w:rsidRPr="00AF01B9" w:rsidR="00972749">
        <w:rPr>
          <w:i/>
          <w:iCs/>
        </w:rPr>
        <w:t xml:space="preserve"> </w:t>
      </w:r>
      <w:r w:rsidRPr="00AF01B9" w:rsidR="00642F53">
        <w:rPr>
          <w:i/>
          <w:iCs/>
        </w:rPr>
        <w:t>Energy Ohio, Inc. for Authority to Establish</w:t>
      </w:r>
      <w:r w:rsidRPr="00AF01B9" w:rsidR="00972749">
        <w:rPr>
          <w:i/>
          <w:iCs/>
        </w:rPr>
        <w:t xml:space="preserve"> </w:t>
      </w:r>
      <w:r w:rsidRPr="00AF01B9" w:rsidR="00642F53">
        <w:rPr>
          <w:i/>
          <w:iCs/>
        </w:rPr>
        <w:t>a Standard Service Offer Pursuant to Section</w:t>
      </w:r>
      <w:r w:rsidRPr="00AF01B9" w:rsidR="00972749">
        <w:rPr>
          <w:i/>
          <w:iCs/>
        </w:rPr>
        <w:t xml:space="preserve"> </w:t>
      </w:r>
      <w:r w:rsidRPr="00AF01B9" w:rsidR="00642F53">
        <w:rPr>
          <w:i/>
          <w:iCs/>
        </w:rPr>
        <w:t>4928.143, Revised Code, in the Form of an</w:t>
      </w:r>
      <w:r w:rsidRPr="00AF01B9" w:rsidR="00972749">
        <w:rPr>
          <w:i/>
          <w:iCs/>
        </w:rPr>
        <w:t xml:space="preserve"> </w:t>
      </w:r>
      <w:r w:rsidRPr="00AF01B9" w:rsidR="00642F53">
        <w:rPr>
          <w:i/>
          <w:iCs/>
        </w:rPr>
        <w:t>Electric Security Plan, Accounting Modifications and Tariffs for Generatio</w:t>
      </w:r>
      <w:r w:rsidRPr="00AF01B9" w:rsidR="00972749">
        <w:rPr>
          <w:i/>
          <w:iCs/>
        </w:rPr>
        <w:t xml:space="preserve">n </w:t>
      </w:r>
      <w:r w:rsidRPr="00AF01B9" w:rsidR="00642F53">
        <w:rPr>
          <w:i/>
          <w:iCs/>
        </w:rPr>
        <w:t>Service</w:t>
      </w:r>
      <w:r w:rsidRPr="00AF01B9" w:rsidR="00972749">
        <w:t>,</w:t>
      </w:r>
      <w:r w:rsidR="006854B0">
        <w:t xml:space="preserve"> </w:t>
      </w:r>
      <w:r w:rsidRPr="00AF01B9" w:rsidR="009D6AA7">
        <w:t>Case No. 17-1263-EL-SSO</w:t>
      </w:r>
      <w:r w:rsidRPr="00AF01B9" w:rsidR="00950B32">
        <w:t>, et al., Stipulation and Recommendation (April 13, 2018).</w:t>
      </w:r>
      <w:r w:rsidRPr="00AF01B9" w:rsidR="009D6AA7">
        <w:t xml:space="preserve"> </w:t>
      </w:r>
    </w:p>
  </w:footnote>
  <w:footnote w:id="8">
    <w:p w:rsidR="009D6AA7" w:rsidRPr="00AF01B9" w:rsidP="00AF01B9" w14:paraId="77E07EF3" w14:textId="070973A9">
      <w:pPr>
        <w:pStyle w:val="FootnoteText"/>
        <w:spacing w:after="120"/>
      </w:pPr>
      <w:r w:rsidRPr="00AF01B9">
        <w:rPr>
          <w:rStyle w:val="FootnoteReference"/>
        </w:rPr>
        <w:footnoteRef/>
      </w:r>
      <w:r w:rsidRPr="00AF01B9">
        <w:t xml:space="preserve"> </w:t>
      </w:r>
      <w:r w:rsidRPr="00AF01B9" w:rsidR="00950B32">
        <w:rPr>
          <w:i/>
          <w:iCs/>
        </w:rPr>
        <w:t>Id</w:t>
      </w:r>
      <w:r w:rsidRPr="00AF01B9" w:rsidR="00950B32">
        <w:t xml:space="preserve">. </w:t>
      </w:r>
      <w:r w:rsidRPr="00AF01B9" w:rsidR="00892E31">
        <w:t xml:space="preserve">at </w:t>
      </w:r>
      <w:r w:rsidRPr="00AF01B9" w:rsidR="00950B32">
        <w:t>p</w:t>
      </w:r>
      <w:r w:rsidRPr="00AF01B9" w:rsidR="00E808E0">
        <w:t>. 19</w:t>
      </w:r>
      <w:r w:rsidRPr="00AF01B9" w:rsidR="00950B32">
        <w:t>.</w:t>
      </w:r>
    </w:p>
  </w:footnote>
  <w:footnote w:id="9">
    <w:p w:rsidR="00FB578C" w:rsidRPr="00AF01B9" w:rsidP="00AF01B9" w14:paraId="3DB390FF" w14:textId="2C735D67">
      <w:pPr>
        <w:pStyle w:val="FootnoteText"/>
        <w:spacing w:after="120"/>
      </w:pPr>
      <w:r w:rsidRPr="00AF01B9">
        <w:rPr>
          <w:rStyle w:val="FootnoteReference"/>
        </w:rPr>
        <w:footnoteRef/>
      </w:r>
      <w:r w:rsidRPr="00AF01B9">
        <w:t xml:space="preserve"> </w:t>
      </w:r>
      <w:r w:rsidRPr="00AF01B9">
        <w:rPr>
          <w:i/>
          <w:iCs/>
        </w:rPr>
        <w:t>In the Matter of the Application Seeking Approval of Ohio Power Company’s Proposal to Enter into an Affiliate Purchase Power Agreement</w:t>
      </w:r>
      <w:r w:rsidRPr="00AF01B9">
        <w:t>, PUCO Case 14-1693-EL-RDR, Opinion and Order, Concurring Opinion of Chairman Haque at p.</w:t>
      </w:r>
      <w:r w:rsidR="00113D66">
        <w:t xml:space="preserve"> </w:t>
      </w:r>
      <w:r w:rsidRPr="00AF01B9">
        <w:t>5 (March 31, 2016).</w:t>
      </w:r>
    </w:p>
  </w:footnote>
  <w:footnote w:id="10">
    <w:p w:rsidR="009D6AA7" w:rsidRPr="00AF01B9" w:rsidP="00AF01B9" w14:paraId="2A2BEDC1" w14:textId="072883FF">
      <w:pPr>
        <w:pStyle w:val="FootnoteText"/>
        <w:spacing w:after="120"/>
      </w:pPr>
      <w:r w:rsidRPr="00AF01B9">
        <w:rPr>
          <w:rStyle w:val="FootnoteReference"/>
        </w:rPr>
        <w:footnoteRef/>
      </w:r>
      <w:r w:rsidRPr="00AF01B9">
        <w:t xml:space="preserve"> </w:t>
      </w:r>
      <w:r w:rsidRPr="00AF01B9" w:rsidR="002B5E7B">
        <w:rPr>
          <w:i/>
          <w:iCs/>
        </w:rPr>
        <w:t>In re Ohio Power PPA Rider</w:t>
      </w:r>
      <w:r w:rsidRPr="00AF01B9" w:rsidR="002B5E7B">
        <w:t>, Case No. 14-1693-EL-RDR</w:t>
      </w:r>
      <w:r w:rsidRPr="00AF01B9" w:rsidR="00260052">
        <w:t xml:space="preserve">, </w:t>
      </w:r>
      <w:r w:rsidRPr="00AF01B9" w:rsidR="002B5E7B">
        <w:t>Opinion &amp; Order (Mar</w:t>
      </w:r>
      <w:r w:rsidRPr="00AF01B9" w:rsidR="003A793F">
        <w:t>ch</w:t>
      </w:r>
      <w:r w:rsidRPr="00AF01B9" w:rsidR="002B5E7B">
        <w:t xml:space="preserve"> 31, 2016)</w:t>
      </w:r>
      <w:r w:rsidRPr="00AF01B9" w:rsidR="003A793F">
        <w:t xml:space="preserve"> at 89</w:t>
      </w:r>
      <w:r w:rsidRPr="00AF01B9" w:rsidR="002B5E7B">
        <w:t xml:space="preserve"> (the “OVEC</w:t>
      </w:r>
      <w:r w:rsidRPr="00AF01B9" w:rsidR="002C039D">
        <w:t xml:space="preserve"> </w:t>
      </w:r>
      <w:r w:rsidRPr="00AF01B9" w:rsidR="002B5E7B">
        <w:t>Order”) (also stating, “</w:t>
      </w:r>
      <w:r w:rsidRPr="00AF01B9" w:rsidR="009D193B">
        <w:t>AEP</w:t>
      </w:r>
      <w:r w:rsidRPr="00AF01B9" w:rsidR="002B5E7B">
        <w:t xml:space="preserve"> will bear the burden of proof in demonstrating that bidding behavior is prudent and</w:t>
      </w:r>
      <w:r w:rsidRPr="00AF01B9" w:rsidR="002C039D">
        <w:t xml:space="preserve"> </w:t>
      </w:r>
      <w:r w:rsidRPr="00AF01B9" w:rsidR="002B5E7B">
        <w:t xml:space="preserve">in the best interest of retail </w:t>
      </w:r>
      <w:r w:rsidRPr="00AF01B9" w:rsidR="009D193B">
        <w:t>consumers</w:t>
      </w:r>
      <w:r w:rsidRPr="00AF01B9" w:rsidR="0041485D">
        <w:t>.</w:t>
      </w:r>
      <w:r w:rsidRPr="00AF01B9" w:rsidR="002B5E7B">
        <w:t>”) This March 31, 2016 Order related to AEP’s PPA Rider, which, at the</w:t>
      </w:r>
      <w:r w:rsidRPr="00AF01B9" w:rsidR="002C039D">
        <w:t xml:space="preserve"> </w:t>
      </w:r>
      <w:r w:rsidRPr="00AF01B9" w:rsidR="002B5E7B">
        <w:t xml:space="preserve">time, included more than just OVEC. The rider was subsequently modified to be for OVEC only. </w:t>
      </w:r>
      <w:r w:rsidRPr="00AF01B9" w:rsidR="002B5E7B">
        <w:rPr>
          <w:i/>
          <w:iCs/>
        </w:rPr>
        <w:t>See</w:t>
      </w:r>
      <w:r w:rsidRPr="00AF01B9" w:rsidR="002B5E7B">
        <w:t xml:space="preserve"> Case No. 14-1693-EL-RDR</w:t>
      </w:r>
      <w:r w:rsidRPr="00AF01B9" w:rsidR="001E60FC">
        <w:t xml:space="preserve">, </w:t>
      </w:r>
      <w:r w:rsidRPr="00AF01B9" w:rsidR="002B5E7B">
        <w:t>Second Entry on Rehearing (Nov. 3, 2016). This modification does not impact the burden of proof</w:t>
      </w:r>
      <w:r w:rsidRPr="00AF01B9" w:rsidR="002C039D">
        <w:t xml:space="preserve"> </w:t>
      </w:r>
      <w:r w:rsidRPr="00AF01B9" w:rsidR="002B5E7B">
        <w:t>in this audit proceeding.</w:t>
      </w:r>
    </w:p>
  </w:footnote>
  <w:footnote w:id="11">
    <w:p w:rsidR="009D6AA7" w:rsidRPr="00AF01B9" w:rsidP="00AF01B9" w14:paraId="6F9D7E49" w14:textId="163F2BDC">
      <w:pPr>
        <w:pStyle w:val="FootnoteText"/>
        <w:spacing w:after="120"/>
      </w:pPr>
      <w:r w:rsidRPr="00AF01B9">
        <w:rPr>
          <w:rStyle w:val="FootnoteReference"/>
        </w:rPr>
        <w:footnoteRef/>
      </w:r>
      <w:r w:rsidRPr="00AF01B9">
        <w:t xml:space="preserve"> </w:t>
      </w:r>
      <w:r w:rsidRPr="00AF01B9" w:rsidR="002B5E7B">
        <w:rPr>
          <w:i/>
          <w:iCs/>
        </w:rPr>
        <w:t>Id</w:t>
      </w:r>
      <w:r w:rsidRPr="00AF01B9" w:rsidR="002B5E7B">
        <w:t>.</w:t>
      </w:r>
    </w:p>
  </w:footnote>
  <w:footnote w:id="12">
    <w:p w:rsidR="00D21774" w:rsidRPr="00AF01B9" w:rsidP="00AF01B9" w14:paraId="7523C1C5" w14:textId="182725DA">
      <w:pPr>
        <w:pStyle w:val="FootnoteText"/>
        <w:spacing w:after="120"/>
      </w:pPr>
      <w:r w:rsidRPr="00AF01B9">
        <w:rPr>
          <w:rStyle w:val="FootnoteReference"/>
        </w:rPr>
        <w:footnoteRef/>
      </w:r>
      <w:r w:rsidRPr="00AF01B9">
        <w:t xml:space="preserve"> </w:t>
      </w:r>
      <w:r w:rsidRPr="00AF01B9">
        <w:rPr>
          <w:i/>
          <w:iCs/>
        </w:rPr>
        <w:t>Cincinnati v. Pub. Util. Comm</w:t>
      </w:r>
      <w:r w:rsidRPr="00AF01B9">
        <w:t>., 67 Ohio St.3d 523, 530, 620 N.E.2d 826, 830 (1993).</w:t>
      </w:r>
    </w:p>
  </w:footnote>
  <w:footnote w:id="13">
    <w:p w:rsidR="00D21774" w:rsidRPr="00AF01B9" w:rsidP="00AF01B9" w14:paraId="32F0C1CE" w14:textId="5BA7570D">
      <w:pPr>
        <w:widowControl/>
        <w:adjustRightInd w:val="0"/>
        <w:spacing w:after="120"/>
        <w:rPr>
          <w:sz w:val="20"/>
          <w:szCs w:val="20"/>
        </w:rPr>
      </w:pPr>
      <w:r w:rsidRPr="00AF01B9">
        <w:rPr>
          <w:rStyle w:val="FootnoteReference"/>
          <w:sz w:val="20"/>
          <w:szCs w:val="20"/>
        </w:rPr>
        <w:footnoteRef/>
      </w:r>
      <w:r w:rsidRPr="00AF01B9">
        <w:rPr>
          <w:sz w:val="20"/>
          <w:szCs w:val="20"/>
        </w:rPr>
        <w:t xml:space="preserve"> </w:t>
      </w:r>
      <w:r w:rsidRPr="00AF01B9" w:rsidR="00EE7E20">
        <w:rPr>
          <w:sz w:val="20"/>
          <w:szCs w:val="20"/>
        </w:rPr>
        <w:t>OVEC Order</w:t>
      </w:r>
      <w:r w:rsidRPr="00AF01B9" w:rsidR="0009636A">
        <w:rPr>
          <w:rFonts w:eastAsiaTheme="minorHAnsi"/>
          <w:sz w:val="20"/>
          <w:szCs w:val="20"/>
        </w:rPr>
        <w:t xml:space="preserve"> at 89</w:t>
      </w:r>
      <w:r w:rsidRPr="00AF01B9">
        <w:rPr>
          <w:rFonts w:eastAsiaTheme="minorHAnsi"/>
          <w:sz w:val="20"/>
          <w:szCs w:val="20"/>
        </w:rPr>
        <w:t xml:space="preserve"> (also stating, “</w:t>
      </w:r>
      <w:r w:rsidRPr="00AF01B9" w:rsidR="009D193B">
        <w:rPr>
          <w:rFonts w:eastAsiaTheme="minorHAnsi"/>
          <w:sz w:val="20"/>
          <w:szCs w:val="20"/>
        </w:rPr>
        <w:t>AEP</w:t>
      </w:r>
      <w:r w:rsidRPr="00AF01B9">
        <w:rPr>
          <w:rFonts w:eastAsiaTheme="minorHAnsi"/>
          <w:sz w:val="20"/>
          <w:szCs w:val="20"/>
        </w:rPr>
        <w:t xml:space="preserve"> will bear the burden of proof in demonstrating that bidding behavior is prudent and</w:t>
      </w:r>
      <w:r w:rsidRPr="00AF01B9" w:rsidR="002C039D">
        <w:rPr>
          <w:rFonts w:eastAsiaTheme="minorHAnsi"/>
          <w:sz w:val="20"/>
          <w:szCs w:val="20"/>
        </w:rPr>
        <w:t xml:space="preserve"> </w:t>
      </w:r>
      <w:r w:rsidRPr="00AF01B9">
        <w:rPr>
          <w:sz w:val="20"/>
          <w:szCs w:val="20"/>
        </w:rPr>
        <w:t xml:space="preserve">in the best interest of retail </w:t>
      </w:r>
      <w:r w:rsidRPr="00AF01B9" w:rsidR="009D193B">
        <w:rPr>
          <w:sz w:val="20"/>
          <w:szCs w:val="20"/>
        </w:rPr>
        <w:t>consumers</w:t>
      </w:r>
      <w:r w:rsidRPr="00AF01B9" w:rsidR="00BA245B">
        <w:rPr>
          <w:sz w:val="20"/>
          <w:szCs w:val="20"/>
        </w:rPr>
        <w:t>.</w:t>
      </w:r>
      <w:r w:rsidRPr="00AF01B9">
        <w:rPr>
          <w:sz w:val="20"/>
          <w:szCs w:val="20"/>
        </w:rPr>
        <w:t>”)</w:t>
      </w:r>
    </w:p>
  </w:footnote>
  <w:footnote w:id="14">
    <w:p w:rsidR="00D21774" w:rsidRPr="00AF01B9" w:rsidP="00AF01B9" w14:paraId="5947BED2" w14:textId="58D85761">
      <w:pPr>
        <w:pStyle w:val="FootnoteText"/>
        <w:spacing w:after="120"/>
      </w:pPr>
      <w:r w:rsidRPr="00AF01B9">
        <w:rPr>
          <w:rStyle w:val="FootnoteReference"/>
        </w:rPr>
        <w:footnoteRef/>
      </w:r>
      <w:r w:rsidRPr="00AF01B9">
        <w:t xml:space="preserve"> PJM, </w:t>
      </w:r>
      <w:r w:rsidRPr="00AF01B9">
        <w:rPr>
          <w:i/>
          <w:iCs/>
        </w:rPr>
        <w:t>Unit Commitment and Dispatch</w:t>
      </w:r>
      <w:r w:rsidRPr="00AF01B9">
        <w:t>, Dec</w:t>
      </w:r>
      <w:r w:rsidRPr="00AF01B9" w:rsidR="00866400">
        <w:t>.</w:t>
      </w:r>
      <w:r w:rsidRPr="00AF01B9">
        <w:t xml:space="preserve"> 6, 2016, slide 12. Available at: </w:t>
      </w:r>
      <w:hyperlink r:id="rId1" w:history="1">
        <w:r w:rsidRPr="00AF01B9" w:rsidR="00B525BC">
          <w:rPr>
            <w:rStyle w:val="Hyperlink"/>
          </w:rPr>
          <w:t>https://www.pjm.com/-/media/training/nerc-certifications/markets-exam-materials/mkt-optimization-wkshp/unit-commitment-and-dispatch.ashx</w:t>
        </w:r>
      </w:hyperlink>
      <w:r w:rsidRPr="00AF01B9" w:rsidR="00B5752B">
        <w:rPr>
          <w:rStyle w:val="Hyperlink"/>
        </w:rPr>
        <w:t>.</w:t>
      </w:r>
    </w:p>
  </w:footnote>
  <w:footnote w:id="15">
    <w:p w:rsidR="00D21774" w:rsidRPr="00AF01B9" w:rsidP="00AF01B9" w14:paraId="307066F7" w14:textId="7D0F9EEA">
      <w:pPr>
        <w:pStyle w:val="FootnoteText"/>
        <w:spacing w:after="120"/>
      </w:pPr>
      <w:r w:rsidRPr="00AF01B9">
        <w:rPr>
          <w:rStyle w:val="FootnoteReference"/>
        </w:rPr>
        <w:footnoteRef/>
      </w:r>
      <w:r w:rsidRPr="00AF01B9">
        <w:t xml:space="preserve"> LEI Audit Report</w:t>
      </w:r>
      <w:r w:rsidRPr="00AF01B9" w:rsidR="00B525BC">
        <w:t xml:space="preserve"> on </w:t>
      </w:r>
      <w:r w:rsidRPr="00AF01B9" w:rsidR="009D193B">
        <w:t>AEP</w:t>
      </w:r>
      <w:r w:rsidRPr="00AF01B9">
        <w:t>, p. 4</w:t>
      </w:r>
      <w:r w:rsidRPr="00AF01B9" w:rsidR="00B525BC">
        <w:t>1</w:t>
      </w:r>
      <w:r w:rsidRPr="00AF01B9" w:rsidR="00B5752B">
        <w:t>.</w:t>
      </w:r>
    </w:p>
  </w:footnote>
  <w:footnote w:id="16">
    <w:p w:rsidR="00D21774" w:rsidRPr="00AF01B9" w:rsidP="00AF01B9" w14:paraId="632AE20D" w14:textId="27F17A24">
      <w:pPr>
        <w:pStyle w:val="FootnoteText"/>
        <w:spacing w:after="120"/>
      </w:pPr>
      <w:r w:rsidRPr="00AF01B9">
        <w:rPr>
          <w:rStyle w:val="FootnoteReference"/>
        </w:rPr>
        <w:footnoteRef/>
      </w:r>
      <w:r w:rsidRPr="00AF01B9">
        <w:t xml:space="preserve"> PJM, </w:t>
      </w:r>
      <w:r w:rsidRPr="00AF01B9">
        <w:rPr>
          <w:i/>
          <w:iCs/>
        </w:rPr>
        <w:t>LMP Calculation and Uplift</w:t>
      </w:r>
      <w:r w:rsidRPr="00AF01B9">
        <w:t>, Jan</w:t>
      </w:r>
      <w:r w:rsidRPr="00AF01B9" w:rsidR="00BD2505">
        <w:t>.</w:t>
      </w:r>
      <w:r w:rsidRPr="00AF01B9">
        <w:t xml:space="preserve"> 29, 2018. Available at: </w:t>
      </w:r>
      <w:hyperlink r:id="rId2" w:history="1">
        <w:r w:rsidRPr="00AF01B9">
          <w:rPr>
            <w:rStyle w:val="Hyperlink"/>
          </w:rPr>
          <w:t>https://www.pjm.com/-/media/committees-groups/task-forces/epfstf/20180129/20180129-item-07b-lmp-calculation-and-uplift.ashx#:~:text=Make-whole%20payments%3A%20Occur%20when,and%20no-load%20costs).&amp;text=Lost%20opportunity%20cost%3A%20Occurs%20when,point%20is%20not%20profit%20maximizing</w:t>
        </w:r>
      </w:hyperlink>
      <w:r w:rsidRPr="00AF01B9">
        <w:t>.</w:t>
      </w:r>
    </w:p>
  </w:footnote>
  <w:footnote w:id="17">
    <w:p w:rsidR="00D21774" w:rsidRPr="00AF01B9" w:rsidP="00AF01B9" w14:paraId="7F2F0222" w14:textId="7C45C4BB">
      <w:pPr>
        <w:pStyle w:val="FootnoteText"/>
        <w:spacing w:after="120"/>
      </w:pPr>
      <w:r w:rsidRPr="00AF01B9">
        <w:rPr>
          <w:rStyle w:val="FootnoteReference"/>
        </w:rPr>
        <w:footnoteRef/>
      </w:r>
      <w:r w:rsidRPr="00AF01B9">
        <w:t xml:space="preserve"> LEI 2020 Audit</w:t>
      </w:r>
      <w:r w:rsidRPr="00AF01B9" w:rsidR="00B525BC">
        <w:t xml:space="preserve"> on Duke Ohio</w:t>
      </w:r>
      <w:r w:rsidRPr="00AF01B9">
        <w:t>, p.</w:t>
      </w:r>
      <w:r w:rsidRPr="00AF01B9" w:rsidR="00127706">
        <w:t xml:space="preserve"> </w:t>
      </w:r>
      <w:r w:rsidRPr="00AF01B9">
        <w:t>17.</w:t>
      </w:r>
    </w:p>
  </w:footnote>
  <w:footnote w:id="18">
    <w:p w:rsidR="00D21774" w:rsidRPr="00AF01B9" w:rsidP="00AF01B9" w14:paraId="4971C464" w14:textId="3344840F">
      <w:pPr>
        <w:pStyle w:val="FootnoteText"/>
        <w:spacing w:after="120"/>
      </w:pPr>
      <w:r w:rsidRPr="00AF01B9">
        <w:rPr>
          <w:rStyle w:val="FootnoteReference"/>
        </w:rPr>
        <w:footnoteRef/>
      </w:r>
      <w:r w:rsidRPr="00AF01B9">
        <w:t xml:space="preserve"> </w:t>
      </w:r>
      <w:r w:rsidRPr="00AF01B9">
        <w:rPr>
          <w:i/>
          <w:iCs/>
        </w:rPr>
        <w:t>Id</w:t>
      </w:r>
      <w:r w:rsidRPr="00AF01B9">
        <w:t xml:space="preserve">. </w:t>
      </w:r>
      <w:r w:rsidRPr="00AF01B9" w:rsidR="003B7A24">
        <w:t xml:space="preserve">at </w:t>
      </w:r>
      <w:r w:rsidRPr="00AF01B9">
        <w:t>p. 49.</w:t>
      </w:r>
    </w:p>
  </w:footnote>
  <w:footnote w:id="19">
    <w:p w:rsidR="008965B2" w:rsidRPr="00AF01B9" w:rsidP="00AF01B9" w14:paraId="49D02F7D" w14:textId="668AF7A2">
      <w:pPr>
        <w:pStyle w:val="FootnoteText"/>
        <w:spacing w:after="120"/>
      </w:pPr>
      <w:r w:rsidRPr="00AF01B9">
        <w:rPr>
          <w:rStyle w:val="FootnoteReference"/>
        </w:rPr>
        <w:footnoteRef/>
      </w:r>
      <w:r w:rsidRPr="00AF01B9">
        <w:t xml:space="preserve"> LEI 2020 Audit</w:t>
      </w:r>
      <w:r w:rsidRPr="00AF01B9" w:rsidR="00B525BC">
        <w:t xml:space="preserve"> on </w:t>
      </w:r>
      <w:r w:rsidRPr="00AF01B9" w:rsidR="009D193B">
        <w:t>AEP</w:t>
      </w:r>
      <w:r w:rsidRPr="00AF01B9">
        <w:t>, p</w:t>
      </w:r>
      <w:r w:rsidRPr="00AF01B9" w:rsidR="00CD3A77">
        <w:t>p</w:t>
      </w:r>
      <w:r w:rsidRPr="00AF01B9">
        <w:t>.</w:t>
      </w:r>
      <w:r w:rsidRPr="00AF01B9" w:rsidR="00CD3A77">
        <w:t xml:space="preserve"> </w:t>
      </w:r>
      <w:r w:rsidRPr="00AF01B9">
        <w:t>18, 31</w:t>
      </w:r>
      <w:r w:rsidRPr="00AF01B9" w:rsidR="003B7A24">
        <w:t>.</w:t>
      </w:r>
    </w:p>
  </w:footnote>
  <w:footnote w:id="20">
    <w:p w:rsidR="008965B2" w:rsidRPr="00AF01B9" w:rsidP="00AF01B9" w14:paraId="52BABC41" w14:textId="2C1DC373">
      <w:pPr>
        <w:pStyle w:val="FootnoteText"/>
        <w:spacing w:after="120"/>
      </w:pPr>
      <w:r w:rsidRPr="00AF01B9">
        <w:rPr>
          <w:rStyle w:val="FootnoteReference"/>
        </w:rPr>
        <w:footnoteRef/>
      </w:r>
      <w:r w:rsidRPr="00AF01B9">
        <w:t xml:space="preserve"> </w:t>
      </w:r>
      <w:r w:rsidRPr="00AF01B9">
        <w:rPr>
          <w:i/>
          <w:iCs/>
        </w:rPr>
        <w:t>Id</w:t>
      </w:r>
      <w:r w:rsidRPr="00AF01B9">
        <w:t xml:space="preserve">. </w:t>
      </w:r>
      <w:r w:rsidRPr="00AF01B9" w:rsidR="003B7A24">
        <w:t xml:space="preserve">at </w:t>
      </w:r>
      <w:r w:rsidRPr="00AF01B9">
        <w:t>p. 47.</w:t>
      </w:r>
    </w:p>
  </w:footnote>
  <w:footnote w:id="21">
    <w:p w:rsidR="008965B2" w:rsidRPr="00AF01B9" w:rsidP="00AF01B9" w14:paraId="0DDE84A1" w14:textId="279625DC">
      <w:pPr>
        <w:pStyle w:val="FootnoteText"/>
        <w:spacing w:after="120"/>
      </w:pPr>
      <w:r w:rsidRPr="00AF01B9">
        <w:rPr>
          <w:rStyle w:val="FootnoteReference"/>
        </w:rPr>
        <w:footnoteRef/>
      </w:r>
      <w:r w:rsidRPr="00AF01B9" w:rsidR="002C039D">
        <w:t xml:space="preserve"> </w:t>
      </w:r>
      <w:r w:rsidRPr="00AF01B9" w:rsidR="00D065FA">
        <w:t>LEI 2020 Audit on AES Ohio, p.</w:t>
      </w:r>
      <w:r w:rsidRPr="00AF01B9" w:rsidR="00697B4A">
        <w:t xml:space="preserve"> </w:t>
      </w:r>
      <w:r w:rsidRPr="00AF01B9" w:rsidR="00D065FA">
        <w:t>17.</w:t>
      </w:r>
    </w:p>
  </w:footnote>
  <w:footnote w:id="22">
    <w:p w:rsidR="00D21774" w:rsidRPr="00AF01B9" w:rsidP="00AF01B9" w14:paraId="2C881BDA" w14:textId="10888FB3">
      <w:pPr>
        <w:pStyle w:val="FootnoteText"/>
        <w:spacing w:after="120"/>
      </w:pPr>
      <w:r w:rsidRPr="00AF01B9">
        <w:rPr>
          <w:rStyle w:val="FootnoteReference"/>
        </w:rPr>
        <w:footnoteRef/>
      </w:r>
      <w:r w:rsidRPr="00AF01B9">
        <w:t xml:space="preserve"> EPA Clean Air Markets Program Data (</w:t>
      </w:r>
      <w:r w:rsidRPr="00AF01B9" w:rsidR="00386EBF">
        <w:t>“</w:t>
      </w:r>
      <w:r w:rsidRPr="00AF01B9">
        <w:t>CAMPD</w:t>
      </w:r>
      <w:r w:rsidRPr="00AF01B9" w:rsidR="00386EBF">
        <w:t>”</w:t>
      </w:r>
      <w:r w:rsidRPr="00AF01B9">
        <w:t>) for hourly generation for OVEC units in 2020 (</w:t>
      </w:r>
      <w:hyperlink r:id="rId3" w:history="1">
        <w:r w:rsidRPr="00AF01B9" w:rsidR="00F968D1">
          <w:rPr>
            <w:rStyle w:val="Hyperlink"/>
          </w:rPr>
          <w:t>https://campd.epa.gov/</w:t>
        </w:r>
      </w:hyperlink>
      <w:r w:rsidRPr="00AF01B9">
        <w:t>)</w:t>
      </w:r>
      <w:r w:rsidRPr="00AF01B9" w:rsidR="00F968D1">
        <w:t>.</w:t>
      </w:r>
    </w:p>
  </w:footnote>
  <w:footnote w:id="23">
    <w:p w:rsidR="00F32142" w:rsidRPr="00AF01B9" w:rsidP="00AF01B9" w14:paraId="20FA789F" w14:textId="513E329D">
      <w:pPr>
        <w:pStyle w:val="FootnoteText"/>
        <w:spacing w:after="120"/>
      </w:pPr>
      <w:r w:rsidRPr="00AF01B9">
        <w:rPr>
          <w:rStyle w:val="FootnoteReference"/>
        </w:rPr>
        <w:footnoteRef/>
      </w:r>
      <w:r w:rsidRPr="00AF01B9">
        <w:t xml:space="preserve"> </w:t>
      </w:r>
      <w:r w:rsidRPr="00AF01B9">
        <w:rPr>
          <w:i/>
          <w:iCs/>
        </w:rPr>
        <w:t>Id</w:t>
      </w:r>
      <w:r w:rsidRPr="00AF01B9">
        <w:t>; 2020 hourly Duke Ohio</w:t>
      </w:r>
      <w:r w:rsidRPr="00AF01B9" w:rsidR="00D065FA">
        <w:t xml:space="preserve">, </w:t>
      </w:r>
      <w:r w:rsidRPr="00AF01B9" w:rsidR="009D193B">
        <w:t>AEP</w:t>
      </w:r>
      <w:r w:rsidRPr="00AF01B9" w:rsidR="00D065FA">
        <w:t>, and AES Ohio</w:t>
      </w:r>
      <w:r w:rsidRPr="00AF01B9">
        <w:t xml:space="preserve"> LMPs from PJM Data miner (</w:t>
      </w:r>
      <w:hyperlink r:id="rId4" w:history="1">
        <w:r w:rsidRPr="00AF01B9" w:rsidR="001A05B1">
          <w:rPr>
            <w:rStyle w:val="Hyperlink"/>
          </w:rPr>
          <w:t>https://dataminer2.pjm.com/</w:t>
        </w:r>
      </w:hyperlink>
      <w:r w:rsidRPr="00AF01B9">
        <w:t>).</w:t>
      </w:r>
      <w:r w:rsidRPr="00AF01B9" w:rsidR="001A05B1">
        <w:t xml:space="preserve"> </w:t>
      </w:r>
      <w:r w:rsidRPr="00AF01B9">
        <w:t xml:space="preserve">The OVEC zonal LMPs were very similar to the </w:t>
      </w:r>
      <w:r w:rsidRPr="00AF01B9" w:rsidR="00A41C05">
        <w:t>Utilities</w:t>
      </w:r>
      <w:r w:rsidRPr="00AF01B9">
        <w:t xml:space="preserve">’ zonal prices. </w:t>
      </w:r>
    </w:p>
  </w:footnote>
  <w:footnote w:id="24">
    <w:p w:rsidR="00D21774" w:rsidRPr="00AF01B9" w:rsidP="00AF01B9" w14:paraId="5224E5D5" w14:textId="7BD3EE9D">
      <w:pPr>
        <w:pStyle w:val="FootnoteText"/>
        <w:spacing w:after="120"/>
      </w:pPr>
      <w:r w:rsidRPr="00AF01B9">
        <w:rPr>
          <w:rStyle w:val="FootnoteReference"/>
        </w:rPr>
        <w:footnoteRef/>
      </w:r>
      <w:r w:rsidRPr="00AF01B9">
        <w:t xml:space="preserve"> LEI 2020 Audit</w:t>
      </w:r>
      <w:r w:rsidRPr="00AF01B9" w:rsidR="004721D4">
        <w:t>,</w:t>
      </w:r>
      <w:r w:rsidRPr="00AF01B9">
        <w:t xml:space="preserve"> p. 41</w:t>
      </w:r>
      <w:r w:rsidRPr="00AF01B9" w:rsidR="00ED016C">
        <w:t>.</w:t>
      </w:r>
    </w:p>
  </w:footnote>
  <w:footnote w:id="25">
    <w:p w:rsidR="00D21774" w:rsidRPr="00AF01B9" w:rsidP="00AF01B9" w14:paraId="6C91F65E" w14:textId="174862D5">
      <w:pPr>
        <w:pStyle w:val="FootnoteText"/>
        <w:spacing w:after="120"/>
      </w:pPr>
      <w:r w:rsidRPr="00AF01B9">
        <w:rPr>
          <w:rStyle w:val="FootnoteReference"/>
        </w:rPr>
        <w:footnoteRef/>
      </w:r>
      <w:r w:rsidRPr="00AF01B9">
        <w:t xml:space="preserve"> </w:t>
      </w:r>
      <w:r w:rsidRPr="00AF01B9">
        <w:rPr>
          <w:i/>
          <w:iCs/>
        </w:rPr>
        <w:t>Id</w:t>
      </w:r>
      <w:r w:rsidRPr="00AF01B9">
        <w:t xml:space="preserve">. </w:t>
      </w:r>
      <w:r w:rsidRPr="00AF01B9" w:rsidR="00A27EE7">
        <w:t xml:space="preserve">at </w:t>
      </w:r>
      <w:r w:rsidRPr="00AF01B9">
        <w:t>p. 10</w:t>
      </w:r>
      <w:r w:rsidRPr="00AF01B9" w:rsidR="00ED016C">
        <w:t>.</w:t>
      </w:r>
    </w:p>
  </w:footnote>
  <w:footnote w:id="26">
    <w:p w:rsidR="00D21774" w:rsidRPr="00AF01B9" w:rsidP="00AF01B9" w14:paraId="36A553C2" w14:textId="4DC5EB6C">
      <w:pPr>
        <w:pStyle w:val="FootnoteText"/>
        <w:spacing w:after="120"/>
      </w:pPr>
      <w:r w:rsidRPr="00AF01B9">
        <w:rPr>
          <w:rStyle w:val="FootnoteReference"/>
        </w:rPr>
        <w:footnoteRef/>
      </w:r>
      <w:r w:rsidRPr="00AF01B9">
        <w:rPr>
          <w:i/>
          <w:iCs/>
        </w:rPr>
        <w:t xml:space="preserve"> Id</w:t>
      </w:r>
      <w:r w:rsidRPr="00AF01B9">
        <w:t xml:space="preserve">. </w:t>
      </w:r>
      <w:r w:rsidRPr="00AF01B9" w:rsidR="00A27EE7">
        <w:t xml:space="preserve">at </w:t>
      </w:r>
      <w:r w:rsidRPr="00AF01B9">
        <w:t>p. 42</w:t>
      </w:r>
      <w:r w:rsidRPr="00AF01B9" w:rsidR="00ED016C">
        <w:t>.</w:t>
      </w:r>
    </w:p>
  </w:footnote>
  <w:footnote w:id="27">
    <w:p w:rsidR="00D21774" w:rsidRPr="00AF01B9" w:rsidP="00AF01B9" w14:paraId="7F8B0A9F" w14:textId="5BE8A90D">
      <w:pPr>
        <w:pStyle w:val="FootnoteText"/>
        <w:spacing w:after="120"/>
      </w:pPr>
      <w:r w:rsidRPr="00AF01B9">
        <w:rPr>
          <w:rStyle w:val="FootnoteReference"/>
        </w:rPr>
        <w:footnoteRef/>
      </w:r>
      <w:r w:rsidRPr="00AF01B9">
        <w:t xml:space="preserve"> MI PSC Order, Case No. U-20530, p.</w:t>
      </w:r>
      <w:r w:rsidRPr="00AF01B9" w:rsidR="0071173A">
        <w:t xml:space="preserve"> </w:t>
      </w:r>
      <w:r w:rsidRPr="00AF01B9">
        <w:t xml:space="preserve">12. Available at: </w:t>
      </w:r>
      <w:hyperlink r:id="rId5" w:history="1">
        <w:r w:rsidRPr="00AF01B9" w:rsidR="00803288">
          <w:rPr>
            <w:rStyle w:val="Hyperlink"/>
          </w:rPr>
          <w:t>https://mi-psc.force.com/sfc/servlet.shepherd/version/download/0688y000006ctmIAAQ</w:t>
        </w:r>
      </w:hyperlink>
      <w:r w:rsidRPr="00AF01B9" w:rsidR="008644B5">
        <w:t>.</w:t>
      </w:r>
    </w:p>
  </w:footnote>
  <w:footnote w:id="28">
    <w:p w:rsidR="00D21774" w:rsidRPr="00AF01B9" w:rsidP="00AF01B9" w14:paraId="14236B1A" w14:textId="1B77BA94">
      <w:pPr>
        <w:pStyle w:val="FootnoteText"/>
        <w:spacing w:after="120"/>
      </w:pPr>
      <w:r w:rsidRPr="00AF01B9">
        <w:rPr>
          <w:rStyle w:val="FootnoteReference"/>
        </w:rPr>
        <w:footnoteRef/>
      </w:r>
      <w:r w:rsidRPr="00AF01B9">
        <w:t xml:space="preserve"> </w:t>
      </w:r>
      <w:r w:rsidRPr="00AF01B9">
        <w:rPr>
          <w:i/>
          <w:iCs/>
        </w:rPr>
        <w:t>Id</w:t>
      </w:r>
      <w:r w:rsidRPr="00AF01B9">
        <w:t xml:space="preserve">. </w:t>
      </w:r>
      <w:r w:rsidRPr="00AF01B9" w:rsidR="001000AA">
        <w:t xml:space="preserve">at </w:t>
      </w:r>
      <w:r w:rsidRPr="00AF01B9">
        <w:t>p. 8</w:t>
      </w:r>
      <w:r w:rsidRPr="00AF01B9" w:rsidR="00ED016C">
        <w:t>.</w:t>
      </w:r>
    </w:p>
  </w:footnote>
  <w:footnote w:id="29">
    <w:p w:rsidR="00D21774" w:rsidRPr="00AF01B9" w:rsidP="00AF01B9" w14:paraId="2DD0894E" w14:textId="605F9D0C">
      <w:pPr>
        <w:pStyle w:val="FootnoteText"/>
        <w:spacing w:after="120"/>
      </w:pPr>
      <w:r w:rsidRPr="00AF01B9">
        <w:rPr>
          <w:rStyle w:val="FootnoteReference"/>
        </w:rPr>
        <w:footnoteRef/>
      </w:r>
      <w:r w:rsidRPr="00AF01B9">
        <w:t xml:space="preserve"> </w:t>
      </w:r>
      <w:r w:rsidRPr="00AF01B9">
        <w:rPr>
          <w:i/>
          <w:iCs/>
        </w:rPr>
        <w:t>Id</w:t>
      </w:r>
      <w:r w:rsidRPr="00AF01B9">
        <w:t xml:space="preserve">. </w:t>
      </w:r>
      <w:r w:rsidRPr="00AF01B9" w:rsidR="001000AA">
        <w:t xml:space="preserve">at </w:t>
      </w:r>
      <w:r w:rsidRPr="00AF01B9">
        <w:t>p.</w:t>
      </w:r>
      <w:r w:rsidRPr="00AF01B9" w:rsidR="00ED016C">
        <w:t xml:space="preserve"> </w:t>
      </w:r>
      <w:r w:rsidRPr="00AF01B9">
        <w:t>12</w:t>
      </w:r>
      <w:r w:rsidRPr="00AF01B9" w:rsidR="00ED016C">
        <w:t>.</w:t>
      </w:r>
    </w:p>
  </w:footnote>
  <w:footnote w:id="30">
    <w:p w:rsidR="00D21774" w:rsidRPr="00AF01B9" w:rsidP="00AF01B9" w14:paraId="34304C67" w14:textId="77777777">
      <w:pPr>
        <w:pStyle w:val="FootnoteText"/>
        <w:spacing w:after="120"/>
      </w:pPr>
      <w:r w:rsidRPr="00AF01B9">
        <w:rPr>
          <w:rStyle w:val="FootnoteReference"/>
        </w:rPr>
        <w:footnoteRef/>
      </w:r>
      <w:r w:rsidRPr="00AF01B9">
        <w:t xml:space="preserve"> </w:t>
      </w:r>
      <w:r w:rsidRPr="00AF01B9">
        <w:rPr>
          <w:i/>
          <w:iCs/>
        </w:rPr>
        <w:t>Id</w:t>
      </w:r>
      <w:r w:rsidRPr="00AF01B9">
        <w:t>.</w:t>
      </w:r>
    </w:p>
  </w:footnote>
  <w:footnote w:id="31">
    <w:p w:rsidR="00D21774" w:rsidRPr="00AF01B9" w:rsidP="00AF01B9" w14:paraId="3BEFE7CE" w14:textId="22CDBA76">
      <w:pPr>
        <w:pStyle w:val="FootnoteText"/>
        <w:spacing w:after="120"/>
      </w:pPr>
      <w:r w:rsidRPr="00AF01B9">
        <w:rPr>
          <w:rStyle w:val="FootnoteReference"/>
        </w:rPr>
        <w:footnoteRef/>
      </w:r>
      <w:r w:rsidRPr="00AF01B9">
        <w:t xml:space="preserve"> MI PSC Order, p.</w:t>
      </w:r>
      <w:r w:rsidRPr="00AF01B9" w:rsidR="001000AA">
        <w:t xml:space="preserve"> </w:t>
      </w:r>
      <w:r w:rsidRPr="00AF01B9">
        <w:t>26.</w:t>
      </w:r>
    </w:p>
  </w:footnote>
  <w:footnote w:id="32">
    <w:p w:rsidR="00D21774" w:rsidRPr="00AF01B9" w:rsidP="00AF01B9" w14:paraId="7D9CA23F" w14:textId="40048279">
      <w:pPr>
        <w:pStyle w:val="FootnoteText"/>
        <w:spacing w:after="120"/>
      </w:pPr>
      <w:r w:rsidRPr="00AF01B9">
        <w:rPr>
          <w:rStyle w:val="FootnoteReference"/>
        </w:rPr>
        <w:footnoteRef/>
      </w:r>
      <w:r w:rsidRPr="00AF01B9">
        <w:t xml:space="preserve"> </w:t>
      </w:r>
      <w:r w:rsidRPr="00AF01B9" w:rsidR="00B945E8">
        <w:t>LEI Audit Report</w:t>
      </w:r>
      <w:r w:rsidRPr="00AF01B9" w:rsidR="002D65B9">
        <w:t>,</w:t>
      </w:r>
      <w:r w:rsidRPr="00AF01B9">
        <w:t xml:space="preserve"> p</w:t>
      </w:r>
      <w:r w:rsidRPr="00AF01B9" w:rsidR="00ED016C">
        <w:t>p</w:t>
      </w:r>
      <w:r w:rsidRPr="00AF01B9">
        <w:t>. 21-22.</w:t>
      </w:r>
    </w:p>
  </w:footnote>
  <w:footnote w:id="33">
    <w:p w:rsidR="00D21774" w:rsidRPr="00AF01B9" w:rsidP="00AF01B9" w14:paraId="7D0957F9" w14:textId="609D2A32">
      <w:pPr>
        <w:pStyle w:val="FootnoteText"/>
        <w:spacing w:after="120"/>
      </w:pPr>
      <w:r w:rsidRPr="00AF01B9">
        <w:rPr>
          <w:rStyle w:val="FootnoteReference"/>
        </w:rPr>
        <w:footnoteRef/>
      </w:r>
      <w:r w:rsidRPr="00AF01B9">
        <w:t xml:space="preserve"> </w:t>
      </w:r>
      <w:r w:rsidRPr="00AF01B9">
        <w:rPr>
          <w:i/>
          <w:iCs/>
        </w:rPr>
        <w:t>Id</w:t>
      </w:r>
      <w:r w:rsidRPr="00AF01B9">
        <w:t>.</w:t>
      </w:r>
      <w:r w:rsidRPr="00AF01B9" w:rsidR="009E68B3">
        <w:t xml:space="preserve"> at</w:t>
      </w:r>
      <w:r w:rsidRPr="00AF01B9">
        <w:t xml:space="preserve"> p.</w:t>
      </w:r>
      <w:r w:rsidRPr="00AF01B9" w:rsidR="00ED016C">
        <w:t xml:space="preserve"> </w:t>
      </w:r>
      <w:r w:rsidRPr="00AF01B9">
        <w:t>29.</w:t>
      </w:r>
    </w:p>
  </w:footnote>
  <w:footnote w:id="34">
    <w:p w:rsidR="000526DE" w:rsidRPr="00AF01B9" w:rsidP="00AF01B9" w14:paraId="26D57483" w14:textId="7D7C7DED">
      <w:pPr>
        <w:pStyle w:val="FootnoteText"/>
        <w:spacing w:after="120"/>
      </w:pPr>
      <w:r w:rsidRPr="00AF01B9">
        <w:rPr>
          <w:rStyle w:val="FootnoteReference"/>
        </w:rPr>
        <w:footnoteRef/>
      </w:r>
      <w:r w:rsidRPr="00AF01B9">
        <w:t xml:space="preserve"> </w:t>
      </w:r>
      <w:r w:rsidRPr="00AF01B9">
        <w:rPr>
          <w:i/>
          <w:iCs/>
        </w:rPr>
        <w:t>Id</w:t>
      </w:r>
      <w:r w:rsidRPr="00AF01B9">
        <w:t xml:space="preserve">. </w:t>
      </w:r>
      <w:r w:rsidRPr="00AF01B9" w:rsidR="009E68B3">
        <w:t xml:space="preserve">at </w:t>
      </w:r>
      <w:r w:rsidRPr="00AF01B9">
        <w:t>p.</w:t>
      </w:r>
      <w:r w:rsidRPr="00AF01B9" w:rsidR="00ED016C">
        <w:t xml:space="preserve"> </w:t>
      </w:r>
      <w:r w:rsidRPr="00AF01B9">
        <w:t>33.</w:t>
      </w:r>
    </w:p>
  </w:footnote>
  <w:footnote w:id="35">
    <w:p w:rsidR="000526DE" w:rsidRPr="00AF01B9" w:rsidP="00AF01B9" w14:paraId="095FC551" w14:textId="2A1A207D">
      <w:pPr>
        <w:pStyle w:val="FootnoteText"/>
        <w:spacing w:after="120"/>
      </w:pPr>
      <w:r w:rsidRPr="00AF01B9">
        <w:rPr>
          <w:rStyle w:val="FootnoteReference"/>
        </w:rPr>
        <w:footnoteRef/>
      </w:r>
      <w:r w:rsidRPr="00AF01B9">
        <w:t xml:space="preserve"> </w:t>
      </w:r>
      <w:r w:rsidRPr="00AF01B9">
        <w:rPr>
          <w:i/>
          <w:iCs/>
        </w:rPr>
        <w:t>Id</w:t>
      </w:r>
      <w:r w:rsidRPr="00AF01B9">
        <w:t xml:space="preserve">. </w:t>
      </w:r>
      <w:r w:rsidRPr="00AF01B9" w:rsidR="009E68B3">
        <w:t xml:space="preserve">at </w:t>
      </w:r>
      <w:r w:rsidRPr="00AF01B9" w:rsidR="00ED016C">
        <w:t>p</w:t>
      </w:r>
      <w:r w:rsidRPr="00AF01B9">
        <w:t>. 29</w:t>
      </w:r>
    </w:p>
  </w:footnote>
  <w:footnote w:id="36">
    <w:p w:rsidR="00D21774" w:rsidRPr="00AF01B9" w:rsidP="00AF01B9" w14:paraId="6A80ECDB" w14:textId="3943A57E">
      <w:pPr>
        <w:pStyle w:val="FootnoteText"/>
        <w:spacing w:after="120"/>
      </w:pPr>
      <w:r w:rsidRPr="00AF01B9">
        <w:rPr>
          <w:rStyle w:val="FootnoteReference"/>
        </w:rPr>
        <w:footnoteRef/>
      </w:r>
      <w:r w:rsidRPr="00AF01B9">
        <w:t xml:space="preserve"> </w:t>
      </w:r>
      <w:r w:rsidRPr="00AF01B9">
        <w:rPr>
          <w:i/>
          <w:iCs/>
        </w:rPr>
        <w:t>Id</w:t>
      </w:r>
      <w:r w:rsidRPr="00AF01B9">
        <w:t xml:space="preserve">. </w:t>
      </w:r>
      <w:r w:rsidRPr="00AF01B9" w:rsidR="009E68B3">
        <w:t xml:space="preserve">at </w:t>
      </w:r>
      <w:r w:rsidRPr="00AF01B9">
        <w:t>p.</w:t>
      </w:r>
      <w:r w:rsidRPr="00AF01B9" w:rsidR="00ED016C">
        <w:t xml:space="preserve"> </w:t>
      </w:r>
      <w:r w:rsidRPr="00AF01B9">
        <w:t>30.</w:t>
      </w:r>
    </w:p>
  </w:footnote>
  <w:footnote w:id="37">
    <w:p w:rsidR="007D6EDA" w:rsidRPr="00AF01B9" w:rsidP="00AF01B9" w14:paraId="4D032FB4" w14:textId="37B5EB49">
      <w:pPr>
        <w:pStyle w:val="FootnoteText"/>
        <w:spacing w:after="120"/>
      </w:pPr>
      <w:r w:rsidRPr="00AF01B9">
        <w:rPr>
          <w:rStyle w:val="FootnoteReference"/>
        </w:rPr>
        <w:footnoteRef/>
      </w:r>
      <w:r w:rsidRPr="00AF01B9">
        <w:t xml:space="preserve"> </w:t>
      </w:r>
      <w:r w:rsidRPr="00AF01B9" w:rsidR="008005F1">
        <w:t>(1) LEI</w:t>
      </w:r>
      <w:r w:rsidRPr="00AF01B9" w:rsidR="00313CA4">
        <w:t xml:space="preserve"> Audit of the Legacy Generation Resource Rider of Duke Energy Ohio Final Report, Case No. 21-477-EL-RDR, p. 66 (</w:t>
      </w:r>
      <w:r w:rsidRPr="00AF01B9" w:rsidR="008005F1">
        <w:t>Dec</w:t>
      </w:r>
      <w:r w:rsidRPr="00AF01B9" w:rsidR="003760F7">
        <w:t>.</w:t>
      </w:r>
      <w:r w:rsidRPr="00AF01B9" w:rsidR="008005F1">
        <w:t xml:space="preserve"> 15, 2021</w:t>
      </w:r>
      <w:r w:rsidRPr="00AF01B9" w:rsidR="00313CA4">
        <w:t>);</w:t>
      </w:r>
      <w:r w:rsidRPr="00AF01B9" w:rsidR="008005F1">
        <w:t xml:space="preserve"> (2) </w:t>
      </w:r>
      <w:r w:rsidRPr="00AF01B9" w:rsidR="00313CA4">
        <w:rPr>
          <w:i/>
          <w:iCs/>
        </w:rPr>
        <w:t>Id</w:t>
      </w:r>
      <w:r w:rsidRPr="00AF01B9" w:rsidR="00313CA4">
        <w:t>.</w:t>
      </w:r>
      <w:r w:rsidRPr="00AF01B9" w:rsidR="00947EA4">
        <w:t xml:space="preserve"> at</w:t>
      </w:r>
      <w:r w:rsidRPr="00AF01B9" w:rsidR="00313CA4">
        <w:t xml:space="preserve"> p. 57</w:t>
      </w:r>
      <w:r w:rsidRPr="00AF01B9" w:rsidR="008005F1">
        <w:t xml:space="preserve">; (3) </w:t>
      </w:r>
      <w:r w:rsidRPr="00AF01B9" w:rsidR="00313CA4">
        <w:rPr>
          <w:i/>
          <w:iCs/>
        </w:rPr>
        <w:t>Id</w:t>
      </w:r>
      <w:r w:rsidRPr="00AF01B9" w:rsidR="00313CA4">
        <w:t>.</w:t>
      </w:r>
      <w:r w:rsidRPr="00AF01B9" w:rsidR="00947EA4">
        <w:t xml:space="preserve"> at</w:t>
      </w:r>
      <w:r w:rsidRPr="00AF01B9" w:rsidR="00313CA4">
        <w:t xml:space="preserve"> </w:t>
      </w:r>
      <w:r w:rsidRPr="00AF01B9" w:rsidR="008005F1">
        <w:t>p. 54</w:t>
      </w:r>
      <w:r w:rsidRPr="00AF01B9" w:rsidR="00826AEE">
        <w:t>.</w:t>
      </w:r>
    </w:p>
  </w:footnote>
  <w:footnote w:id="38">
    <w:p w:rsidR="005B4109" w:rsidRPr="00AF01B9" w:rsidP="00AF01B9" w14:paraId="6A591EE7" w14:textId="366AA049">
      <w:pPr>
        <w:spacing w:after="120"/>
        <w:rPr>
          <w:i/>
          <w:iCs/>
          <w:sz w:val="20"/>
          <w:szCs w:val="20"/>
        </w:rPr>
      </w:pPr>
      <w:r w:rsidRPr="00AF01B9">
        <w:rPr>
          <w:rStyle w:val="FootnoteReference"/>
          <w:sz w:val="20"/>
          <w:szCs w:val="20"/>
        </w:rPr>
        <w:footnoteRef/>
      </w:r>
      <w:r w:rsidRPr="00AF01B9">
        <w:rPr>
          <w:sz w:val="20"/>
          <w:szCs w:val="20"/>
        </w:rPr>
        <w:t xml:space="preserve"> U.S. EPA 85 FR 53516</w:t>
      </w:r>
      <w:r w:rsidR="00C1639A">
        <w:rPr>
          <w:sz w:val="20"/>
          <w:szCs w:val="20"/>
        </w:rPr>
        <w:t>,</w:t>
      </w:r>
      <w:r w:rsidRPr="00AF01B9">
        <w:rPr>
          <w:sz w:val="20"/>
          <w:szCs w:val="20"/>
        </w:rPr>
        <w:t xml:space="preserve"> </w:t>
      </w:r>
      <w:r w:rsidRPr="00AF01B9">
        <w:rPr>
          <w:i/>
          <w:iCs/>
          <w:sz w:val="20"/>
          <w:szCs w:val="20"/>
        </w:rPr>
        <w:t xml:space="preserve">Hazardous and Solid Waste Management System: Disposal of Coal Combustion Residuals </w:t>
      </w:r>
      <w:r w:rsidRPr="00AF01B9" w:rsidR="00491D27">
        <w:rPr>
          <w:i/>
          <w:iCs/>
          <w:sz w:val="20"/>
          <w:szCs w:val="20"/>
        </w:rPr>
        <w:t>f</w:t>
      </w:r>
      <w:r w:rsidRPr="00AF01B9">
        <w:rPr>
          <w:i/>
          <w:iCs/>
          <w:sz w:val="20"/>
          <w:szCs w:val="20"/>
        </w:rPr>
        <w:t xml:space="preserve">rom Electric Utilities; A Holistic Approach to Closure Part A: Deadline </w:t>
      </w:r>
      <w:r w:rsidRPr="00AF01B9" w:rsidR="00491D27">
        <w:rPr>
          <w:i/>
          <w:iCs/>
          <w:sz w:val="20"/>
          <w:szCs w:val="20"/>
        </w:rPr>
        <w:t>t</w:t>
      </w:r>
      <w:r w:rsidRPr="00AF01B9">
        <w:rPr>
          <w:i/>
          <w:iCs/>
          <w:sz w:val="20"/>
          <w:szCs w:val="20"/>
        </w:rPr>
        <w:t>o Initiate Closure</w:t>
      </w:r>
      <w:r w:rsidR="00C1639A">
        <w:rPr>
          <w:i/>
          <w:iCs/>
          <w:sz w:val="20"/>
          <w:szCs w:val="20"/>
        </w:rPr>
        <w:t xml:space="preserve"> (</w:t>
      </w:r>
      <w:r w:rsidRPr="00AF01B9" w:rsidR="00C1639A">
        <w:rPr>
          <w:sz w:val="20"/>
          <w:szCs w:val="20"/>
        </w:rPr>
        <w:t>August 2020</w:t>
      </w:r>
      <w:r w:rsidR="00C1639A">
        <w:rPr>
          <w:sz w:val="20"/>
          <w:szCs w:val="20"/>
        </w:rPr>
        <w:t>)</w:t>
      </w:r>
      <w:r w:rsidRPr="00AF01B9">
        <w:rPr>
          <w:sz w:val="20"/>
          <w:szCs w:val="20"/>
        </w:rPr>
        <w:t>. EPA-HQ-OLEM-2019-0172 and EPA-HQ-OLEM-2018-052, FRL-10013-20-OLEM. Available at:</w:t>
      </w:r>
      <w:r w:rsidRPr="00AF01B9">
        <w:rPr>
          <w:i/>
          <w:iCs/>
          <w:sz w:val="20"/>
          <w:szCs w:val="20"/>
        </w:rPr>
        <w:t xml:space="preserve"> </w:t>
      </w:r>
      <w:hyperlink r:id="rId6" w:history="1">
        <w:r w:rsidRPr="00AF01B9">
          <w:rPr>
            <w:rStyle w:val="Hyperlink"/>
            <w:sz w:val="20"/>
            <w:szCs w:val="20"/>
          </w:rPr>
          <w:t>https://www.federalregister.gov/documents/2020/08/28/2020-16872/hazardous-and-solid-waste-management-system-disposal-of-coal-combustion-residuals-from-electric</w:t>
        </w:r>
      </w:hyperlink>
      <w:r w:rsidRPr="00AF01B9" w:rsidR="00491D27">
        <w:rPr>
          <w:sz w:val="20"/>
          <w:szCs w:val="20"/>
        </w:rPr>
        <w:t>.</w:t>
      </w:r>
    </w:p>
  </w:footnote>
  <w:footnote w:id="39">
    <w:p w:rsidR="00D21774" w:rsidRPr="00AF01B9" w:rsidP="00AF01B9" w14:paraId="43150EC1" w14:textId="406A96A8">
      <w:pPr>
        <w:spacing w:after="120"/>
        <w:rPr>
          <w:i/>
          <w:iCs/>
          <w:sz w:val="20"/>
          <w:szCs w:val="20"/>
        </w:rPr>
      </w:pPr>
      <w:r w:rsidRPr="00AF01B9">
        <w:rPr>
          <w:rStyle w:val="FootnoteReference"/>
          <w:sz w:val="20"/>
          <w:szCs w:val="20"/>
        </w:rPr>
        <w:footnoteRef/>
      </w:r>
      <w:r w:rsidRPr="00AF01B9" w:rsidR="000A690A">
        <w:rPr>
          <w:sz w:val="20"/>
          <w:szCs w:val="20"/>
        </w:rPr>
        <w:t xml:space="preserve"> U.S. EPA. 2023</w:t>
      </w:r>
      <w:r w:rsidR="00A57591">
        <w:rPr>
          <w:sz w:val="20"/>
          <w:szCs w:val="20"/>
        </w:rPr>
        <w:t>,</w:t>
      </w:r>
      <w:r w:rsidRPr="00AF01B9" w:rsidR="000A690A">
        <w:rPr>
          <w:sz w:val="20"/>
          <w:szCs w:val="20"/>
        </w:rPr>
        <w:t xml:space="preserve"> “Coal Combustion Residuals (CCR) Part A Implementation.” Available at: </w:t>
      </w:r>
      <w:hyperlink r:id="rId7" w:anchor="review" w:history="1">
        <w:r w:rsidRPr="00AF01B9" w:rsidR="000A690A">
          <w:rPr>
            <w:rStyle w:val="Hyperlink"/>
            <w:sz w:val="20"/>
            <w:szCs w:val="20"/>
          </w:rPr>
          <w:t>https://www.epa.gov/coalash/coal-combustion-residuals-ccr-part-implementation#review</w:t>
        </w:r>
      </w:hyperlink>
      <w:r w:rsidRPr="00AF01B9" w:rsidR="00710CB2">
        <w:rPr>
          <w:sz w:val="20"/>
          <w:szCs w:val="20"/>
        </w:rPr>
        <w:t>.</w:t>
      </w:r>
    </w:p>
  </w:footnote>
  <w:footnote w:id="40">
    <w:p w:rsidR="00D21774" w:rsidRPr="00AF01B9" w:rsidP="00AF01B9" w14:paraId="19E3DC68" w14:textId="7D6AB390">
      <w:pPr>
        <w:pStyle w:val="FootnoteText"/>
        <w:spacing w:after="120"/>
      </w:pPr>
      <w:r w:rsidRPr="00AF01B9">
        <w:rPr>
          <w:rStyle w:val="FootnoteReference"/>
        </w:rPr>
        <w:footnoteRef/>
      </w:r>
      <w:r w:rsidRPr="00AF01B9">
        <w:t xml:space="preserve"> EPA-HQ-OLEM-2021-0587</w:t>
      </w:r>
      <w:r w:rsidRPr="00AF01B9" w:rsidR="00D54B51">
        <w:t>,</w:t>
      </w:r>
      <w:r w:rsidRPr="00AF01B9">
        <w:t xml:space="preserve"> </w:t>
      </w:r>
      <w:r w:rsidRPr="00AF01B9" w:rsidR="00D54B51">
        <w:t>p</w:t>
      </w:r>
      <w:r w:rsidRPr="00AF01B9">
        <w:t>. 11</w:t>
      </w:r>
      <w:r w:rsidRPr="00AF01B9" w:rsidR="00D54B51">
        <w:t>.</w:t>
      </w:r>
    </w:p>
  </w:footnote>
  <w:footnote w:id="41">
    <w:p w:rsidR="00D21774" w:rsidRPr="00AF01B9" w:rsidP="00AF01B9" w14:paraId="558B3089" w14:textId="27FCB2B8">
      <w:pPr>
        <w:pStyle w:val="FootnoteText"/>
        <w:spacing w:after="120"/>
      </w:pPr>
      <w:r w:rsidRPr="00AF01B9">
        <w:rPr>
          <w:rStyle w:val="FootnoteReference"/>
        </w:rPr>
        <w:footnoteRef/>
      </w:r>
      <w:r w:rsidRPr="00AF01B9">
        <w:t xml:space="preserve"> EPA-HQ-OLEM-2021-0587</w:t>
      </w:r>
      <w:r w:rsidRPr="00AF01B9" w:rsidR="00D54B51">
        <w:t>, p</w:t>
      </w:r>
      <w:r w:rsidRPr="00AF01B9">
        <w:t>. 19</w:t>
      </w:r>
      <w:r w:rsidRPr="00AF01B9" w:rsidR="00D54B51">
        <w:t>.</w:t>
      </w:r>
    </w:p>
  </w:footnote>
  <w:footnote w:id="42">
    <w:p w:rsidR="00637C5F" w:rsidRPr="00AF01B9" w:rsidP="00AF01B9" w14:paraId="554EA6E4" w14:textId="4964BD53">
      <w:pPr>
        <w:pStyle w:val="FootnoteText"/>
        <w:spacing w:after="120"/>
      </w:pPr>
      <w:r w:rsidRPr="00AF01B9">
        <w:rPr>
          <w:rStyle w:val="FootnoteReference"/>
        </w:rPr>
        <w:footnoteRef/>
      </w:r>
      <w:r w:rsidRPr="00AF01B9">
        <w:t xml:space="preserve"> </w:t>
      </w:r>
      <w:r w:rsidRPr="00AF01B9">
        <w:rPr>
          <w:i/>
          <w:iCs/>
        </w:rPr>
        <w:t xml:space="preserve">Mt. Vernon Tel. Corp. v. Public Utilities Com., </w:t>
      </w:r>
      <w:r w:rsidRPr="00AF01B9">
        <w:t>163 Ohio St. 381, 389 (1955).</w:t>
      </w:r>
    </w:p>
  </w:footnote>
  <w:footnote w:id="43">
    <w:p w:rsidR="00D21774" w:rsidRPr="00AF01B9" w:rsidP="00AF01B9" w14:paraId="5602FBA7" w14:textId="5D8F5345">
      <w:pPr>
        <w:pStyle w:val="FootnoteText"/>
        <w:spacing w:after="120"/>
      </w:pPr>
      <w:r w:rsidRPr="00AF01B9">
        <w:rPr>
          <w:rStyle w:val="FootnoteReference"/>
        </w:rPr>
        <w:footnoteRef/>
      </w:r>
      <w:r w:rsidRPr="00AF01B9">
        <w:t xml:space="preserve"> EIA 860M, Preliminary Monthly Electric Generator Inventory (based on Form EIA-860M as a supplement to Form EIA-860), Available at: </w:t>
      </w:r>
      <w:hyperlink r:id="rId8" w:history="1">
        <w:r w:rsidRPr="00AF01B9">
          <w:rPr>
            <w:rStyle w:val="Hyperlink"/>
          </w:rPr>
          <w:t>https://www.eia.gov/electricity/data/eia860m/</w:t>
        </w:r>
      </w:hyperlink>
      <w:r w:rsidRPr="00AF01B9" w:rsidR="005F4525">
        <w:rPr>
          <w:rStyle w:val="Hyperlink"/>
          <w:u w:val="none"/>
        </w:rPr>
        <w:t>.</w:t>
      </w:r>
    </w:p>
  </w:footnote>
  <w:footnote w:id="44">
    <w:p w:rsidR="008C3D11" w:rsidRPr="00AF01B9" w:rsidP="00AF01B9" w14:paraId="39834D61" w14:textId="19A6079F">
      <w:pPr>
        <w:pStyle w:val="FootnoteText"/>
        <w:spacing w:after="120"/>
      </w:pPr>
      <w:r w:rsidRPr="00AF01B9">
        <w:rPr>
          <w:rStyle w:val="FootnoteReference"/>
        </w:rPr>
        <w:footnoteRef/>
      </w:r>
      <w:r w:rsidRPr="00AF01B9">
        <w:t xml:space="preserve"> </w:t>
      </w:r>
      <w:r w:rsidRPr="00AF01B9">
        <w:rPr>
          <w:i/>
          <w:iCs/>
        </w:rPr>
        <w:t>In the Matter of the Application Seeking Approval of Ohio Power Company’s Proposal to Enter into an Affiliate Purchase Power Agreement</w:t>
      </w:r>
      <w:r w:rsidRPr="00AF01B9">
        <w:t>, PUCO Case 14-1693-EL-RDR, Opinion and Order, Concurring Opinion of Chairman Haque at p.</w:t>
      </w:r>
      <w:r w:rsidR="00E72491">
        <w:t xml:space="preserve"> </w:t>
      </w:r>
      <w:r w:rsidRPr="00AF01B9">
        <w:t>5 (March 31, 2016).</w:t>
      </w:r>
    </w:p>
  </w:footnote>
  <w:footnote w:id="45">
    <w:p w:rsidR="00D327D0" w:rsidRPr="00AF01B9" w:rsidP="00AF01B9" w14:paraId="4751221F" w14:textId="77777777">
      <w:pPr>
        <w:pStyle w:val="FootnoteText"/>
        <w:spacing w:after="120"/>
      </w:pPr>
      <w:r w:rsidRPr="00AF01B9">
        <w:rPr>
          <w:rStyle w:val="FootnoteReference"/>
        </w:rPr>
        <w:footnoteRef/>
      </w:r>
      <w:r w:rsidRPr="00AF01B9">
        <w:t xml:space="preserve"> </w:t>
      </w:r>
      <w:r w:rsidRPr="00AF01B9">
        <w:rPr>
          <w:i/>
          <w:iCs/>
        </w:rPr>
        <w:t>In re Ohio Power PPA Rider</w:t>
      </w:r>
      <w:r w:rsidRPr="00AF01B9">
        <w:t xml:space="preserve">, Case No. 14-1693-EL-RDR, Opinion &amp; Order (March 31, 2016) at 89 (the “OVEC Order”) (also stating, “AEP will bear the burden of proof in demonstrating that bidding behavior is prudent and in the best interest of retail consumers.”) This March 31, 2016 Order related to AEP’s PPA Rider, which, at the time, included more than just OVEC. The rider was subsequently modified to be for OVEC only. </w:t>
      </w:r>
      <w:r w:rsidRPr="00AF01B9">
        <w:rPr>
          <w:i/>
          <w:iCs/>
        </w:rPr>
        <w:t>See</w:t>
      </w:r>
      <w:r w:rsidRPr="00AF01B9">
        <w:t xml:space="preserve"> Case No. 14-1693-EL-RDR, Second Entry on Rehearing (Nov. 3, 2016). This modification does not impact the burden of proof in this audit proceeding.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204D" w14:paraId="21A169F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204D" w14:paraId="575DCD5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204D" w14:paraId="6103FD0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A7E0B"/>
    <w:multiLevelType w:val="hybridMultilevel"/>
    <w:tmpl w:val="A524FD18"/>
    <w:lvl w:ilvl="0">
      <w:start w:val="1"/>
      <w:numFmt w:val="bullet"/>
      <w:lvlText w:val=""/>
      <w:lvlJc w:val="left"/>
      <w:pPr>
        <w:ind w:left="1440" w:hanging="360"/>
      </w:pPr>
      <w:rPr>
        <w:rFonts w:ascii="Symbol" w:hAnsi="Symbol"/>
      </w:rPr>
    </w:lvl>
    <w:lvl w:ilvl="1">
      <w:start w:val="1"/>
      <w:numFmt w:val="bullet"/>
      <w:lvlText w:val=""/>
      <w:lvlJc w:val="left"/>
      <w:pPr>
        <w:ind w:left="1440" w:hanging="360"/>
      </w:pPr>
      <w:rPr>
        <w:rFonts w:ascii="Symbol" w:hAnsi="Symbol"/>
      </w:rPr>
    </w:lvl>
    <w:lvl w:ilvl="2">
      <w:start w:val="1"/>
      <w:numFmt w:val="bullet"/>
      <w:lvlText w:val=""/>
      <w:lvlJc w:val="left"/>
      <w:pPr>
        <w:ind w:left="1440" w:hanging="360"/>
      </w:pPr>
      <w:rPr>
        <w:rFonts w:ascii="Symbol" w:hAnsi="Symbol"/>
      </w:rPr>
    </w:lvl>
    <w:lvl w:ilvl="3">
      <w:start w:val="1"/>
      <w:numFmt w:val="bullet"/>
      <w:lvlText w:val=""/>
      <w:lvlJc w:val="left"/>
      <w:pPr>
        <w:ind w:left="1440" w:hanging="360"/>
      </w:pPr>
      <w:rPr>
        <w:rFonts w:ascii="Symbol" w:hAnsi="Symbol"/>
      </w:rPr>
    </w:lvl>
    <w:lvl w:ilvl="4">
      <w:start w:val="1"/>
      <w:numFmt w:val="bullet"/>
      <w:lvlText w:val=""/>
      <w:lvlJc w:val="left"/>
      <w:pPr>
        <w:ind w:left="1440" w:hanging="360"/>
      </w:pPr>
      <w:rPr>
        <w:rFonts w:ascii="Symbol" w:hAnsi="Symbol"/>
      </w:rPr>
    </w:lvl>
    <w:lvl w:ilvl="5">
      <w:start w:val="1"/>
      <w:numFmt w:val="bullet"/>
      <w:lvlText w:val=""/>
      <w:lvlJc w:val="left"/>
      <w:pPr>
        <w:ind w:left="1440" w:hanging="360"/>
      </w:pPr>
      <w:rPr>
        <w:rFonts w:ascii="Symbol" w:hAnsi="Symbol"/>
      </w:rPr>
    </w:lvl>
    <w:lvl w:ilvl="6">
      <w:start w:val="1"/>
      <w:numFmt w:val="bullet"/>
      <w:lvlText w:val=""/>
      <w:lvlJc w:val="left"/>
      <w:pPr>
        <w:ind w:left="1440" w:hanging="360"/>
      </w:pPr>
      <w:rPr>
        <w:rFonts w:ascii="Symbol" w:hAnsi="Symbol"/>
      </w:rPr>
    </w:lvl>
    <w:lvl w:ilvl="7">
      <w:start w:val="1"/>
      <w:numFmt w:val="bullet"/>
      <w:lvlText w:val=""/>
      <w:lvlJc w:val="left"/>
      <w:pPr>
        <w:ind w:left="1440" w:hanging="360"/>
      </w:pPr>
      <w:rPr>
        <w:rFonts w:ascii="Symbol" w:hAnsi="Symbol"/>
      </w:rPr>
    </w:lvl>
    <w:lvl w:ilvl="8">
      <w:start w:val="1"/>
      <w:numFmt w:val="bullet"/>
      <w:lvlText w:val=""/>
      <w:lvlJc w:val="left"/>
      <w:pPr>
        <w:ind w:left="1440" w:hanging="360"/>
      </w:pPr>
      <w:rPr>
        <w:rFonts w:ascii="Symbol" w:hAnsi="Symbol"/>
      </w:rPr>
    </w:lvl>
  </w:abstractNum>
  <w:abstractNum w:abstractNumId="1">
    <w:nsid w:val="158B1793"/>
    <w:multiLevelType w:val="hybridMultilevel"/>
    <w:tmpl w:val="241A5F26"/>
    <w:lvl w:ilvl="0">
      <w:start w:val="1"/>
      <w:numFmt w:val="bullet"/>
      <w:lvlText w:val=""/>
      <w:lvlJc w:val="left"/>
      <w:pPr>
        <w:ind w:left="1080" w:hanging="360"/>
      </w:pPr>
      <w:rPr>
        <w:rFonts w:ascii="Symbol" w:hAnsi="Symbol"/>
      </w:rPr>
    </w:lvl>
    <w:lvl w:ilvl="1">
      <w:start w:val="1"/>
      <w:numFmt w:val="bullet"/>
      <w:lvlText w:val=""/>
      <w:lvlJc w:val="left"/>
      <w:pPr>
        <w:ind w:left="1080" w:hanging="360"/>
      </w:pPr>
      <w:rPr>
        <w:rFonts w:ascii="Symbol" w:hAnsi="Symbol"/>
      </w:rPr>
    </w:lvl>
    <w:lvl w:ilvl="2">
      <w:start w:val="1"/>
      <w:numFmt w:val="bullet"/>
      <w:lvlText w:val=""/>
      <w:lvlJc w:val="left"/>
      <w:pPr>
        <w:ind w:left="1080" w:hanging="360"/>
      </w:pPr>
      <w:rPr>
        <w:rFonts w:ascii="Symbol" w:hAnsi="Symbol"/>
      </w:rPr>
    </w:lvl>
    <w:lvl w:ilvl="3">
      <w:start w:val="1"/>
      <w:numFmt w:val="bullet"/>
      <w:lvlText w:val=""/>
      <w:lvlJc w:val="left"/>
      <w:pPr>
        <w:ind w:left="1080" w:hanging="360"/>
      </w:pPr>
      <w:rPr>
        <w:rFonts w:ascii="Symbol" w:hAnsi="Symbol"/>
      </w:rPr>
    </w:lvl>
    <w:lvl w:ilvl="4">
      <w:start w:val="1"/>
      <w:numFmt w:val="bullet"/>
      <w:lvlText w:val=""/>
      <w:lvlJc w:val="left"/>
      <w:pPr>
        <w:ind w:left="1080" w:hanging="360"/>
      </w:pPr>
      <w:rPr>
        <w:rFonts w:ascii="Symbol" w:hAnsi="Symbol"/>
      </w:rPr>
    </w:lvl>
    <w:lvl w:ilvl="5">
      <w:start w:val="1"/>
      <w:numFmt w:val="bullet"/>
      <w:lvlText w:val=""/>
      <w:lvlJc w:val="left"/>
      <w:pPr>
        <w:ind w:left="1080" w:hanging="360"/>
      </w:pPr>
      <w:rPr>
        <w:rFonts w:ascii="Symbol" w:hAnsi="Symbol"/>
      </w:rPr>
    </w:lvl>
    <w:lvl w:ilvl="6">
      <w:start w:val="1"/>
      <w:numFmt w:val="bullet"/>
      <w:lvlText w:val=""/>
      <w:lvlJc w:val="left"/>
      <w:pPr>
        <w:ind w:left="1080" w:hanging="360"/>
      </w:pPr>
      <w:rPr>
        <w:rFonts w:ascii="Symbol" w:hAnsi="Symbol"/>
      </w:rPr>
    </w:lvl>
    <w:lvl w:ilvl="7">
      <w:start w:val="1"/>
      <w:numFmt w:val="bullet"/>
      <w:lvlText w:val=""/>
      <w:lvlJc w:val="left"/>
      <w:pPr>
        <w:ind w:left="1080" w:hanging="360"/>
      </w:pPr>
      <w:rPr>
        <w:rFonts w:ascii="Symbol" w:hAnsi="Symbol"/>
      </w:rPr>
    </w:lvl>
    <w:lvl w:ilvl="8">
      <w:start w:val="1"/>
      <w:numFmt w:val="bullet"/>
      <w:lvlText w:val=""/>
      <w:lvlJc w:val="left"/>
      <w:pPr>
        <w:ind w:left="1080" w:hanging="360"/>
      </w:pPr>
      <w:rPr>
        <w:rFonts w:ascii="Symbol" w:hAnsi="Symbol"/>
      </w:rPr>
    </w:lvl>
  </w:abstractNum>
  <w:abstractNum w:abstractNumId="2">
    <w:nsid w:val="1BC45CC2"/>
    <w:multiLevelType w:val="hybridMultilevel"/>
    <w:tmpl w:val="94A042BA"/>
    <w:lvl w:ilvl="0">
      <w:start w:val="1"/>
      <w:numFmt w:val="bullet"/>
      <w:lvlText w:val=""/>
      <w:lvlJc w:val="left"/>
      <w:pPr>
        <w:ind w:left="1440" w:hanging="360"/>
      </w:pPr>
      <w:rPr>
        <w:rFonts w:ascii="Symbol" w:hAnsi="Symbol"/>
      </w:rPr>
    </w:lvl>
    <w:lvl w:ilvl="1">
      <w:start w:val="1"/>
      <w:numFmt w:val="bullet"/>
      <w:lvlText w:val=""/>
      <w:lvlJc w:val="left"/>
      <w:pPr>
        <w:ind w:left="1440" w:hanging="360"/>
      </w:pPr>
      <w:rPr>
        <w:rFonts w:ascii="Symbol" w:hAnsi="Symbol"/>
      </w:rPr>
    </w:lvl>
    <w:lvl w:ilvl="2">
      <w:start w:val="1"/>
      <w:numFmt w:val="bullet"/>
      <w:lvlText w:val=""/>
      <w:lvlJc w:val="left"/>
      <w:pPr>
        <w:ind w:left="1440" w:hanging="360"/>
      </w:pPr>
      <w:rPr>
        <w:rFonts w:ascii="Symbol" w:hAnsi="Symbol"/>
      </w:rPr>
    </w:lvl>
    <w:lvl w:ilvl="3">
      <w:start w:val="1"/>
      <w:numFmt w:val="bullet"/>
      <w:lvlText w:val=""/>
      <w:lvlJc w:val="left"/>
      <w:pPr>
        <w:ind w:left="1440" w:hanging="360"/>
      </w:pPr>
      <w:rPr>
        <w:rFonts w:ascii="Symbol" w:hAnsi="Symbol"/>
      </w:rPr>
    </w:lvl>
    <w:lvl w:ilvl="4">
      <w:start w:val="1"/>
      <w:numFmt w:val="bullet"/>
      <w:lvlText w:val=""/>
      <w:lvlJc w:val="left"/>
      <w:pPr>
        <w:ind w:left="1440" w:hanging="360"/>
      </w:pPr>
      <w:rPr>
        <w:rFonts w:ascii="Symbol" w:hAnsi="Symbol"/>
      </w:rPr>
    </w:lvl>
    <w:lvl w:ilvl="5">
      <w:start w:val="1"/>
      <w:numFmt w:val="bullet"/>
      <w:lvlText w:val=""/>
      <w:lvlJc w:val="left"/>
      <w:pPr>
        <w:ind w:left="1440" w:hanging="360"/>
      </w:pPr>
      <w:rPr>
        <w:rFonts w:ascii="Symbol" w:hAnsi="Symbol"/>
      </w:rPr>
    </w:lvl>
    <w:lvl w:ilvl="6">
      <w:start w:val="1"/>
      <w:numFmt w:val="bullet"/>
      <w:lvlText w:val=""/>
      <w:lvlJc w:val="left"/>
      <w:pPr>
        <w:ind w:left="1440" w:hanging="360"/>
      </w:pPr>
      <w:rPr>
        <w:rFonts w:ascii="Symbol" w:hAnsi="Symbol"/>
      </w:rPr>
    </w:lvl>
    <w:lvl w:ilvl="7">
      <w:start w:val="1"/>
      <w:numFmt w:val="bullet"/>
      <w:lvlText w:val=""/>
      <w:lvlJc w:val="left"/>
      <w:pPr>
        <w:ind w:left="1440" w:hanging="360"/>
      </w:pPr>
      <w:rPr>
        <w:rFonts w:ascii="Symbol" w:hAnsi="Symbol"/>
      </w:rPr>
    </w:lvl>
    <w:lvl w:ilvl="8">
      <w:start w:val="1"/>
      <w:numFmt w:val="bullet"/>
      <w:lvlText w:val=""/>
      <w:lvlJc w:val="left"/>
      <w:pPr>
        <w:ind w:left="1440" w:hanging="360"/>
      </w:pPr>
      <w:rPr>
        <w:rFonts w:ascii="Symbol" w:hAnsi="Symbol"/>
      </w:rPr>
    </w:lvl>
  </w:abstractNum>
  <w:abstractNum w:abstractNumId="3">
    <w:nsid w:val="246275D8"/>
    <w:multiLevelType w:val="hybridMultilevel"/>
    <w:tmpl w:val="4E2C70B0"/>
    <w:lvl w:ilvl="0">
      <w:start w:val="1"/>
      <w:numFmt w:val="bullet"/>
      <w:lvlText w:val=""/>
      <w:lvlJc w:val="left"/>
      <w:pPr>
        <w:ind w:left="1440" w:hanging="360"/>
      </w:pPr>
      <w:rPr>
        <w:rFonts w:ascii="Symbol" w:hAnsi="Symbol"/>
      </w:rPr>
    </w:lvl>
    <w:lvl w:ilvl="1">
      <w:start w:val="1"/>
      <w:numFmt w:val="bullet"/>
      <w:lvlText w:val=""/>
      <w:lvlJc w:val="left"/>
      <w:pPr>
        <w:ind w:left="1440" w:hanging="360"/>
      </w:pPr>
      <w:rPr>
        <w:rFonts w:ascii="Symbol" w:hAnsi="Symbol"/>
      </w:rPr>
    </w:lvl>
    <w:lvl w:ilvl="2">
      <w:start w:val="1"/>
      <w:numFmt w:val="bullet"/>
      <w:lvlText w:val=""/>
      <w:lvlJc w:val="left"/>
      <w:pPr>
        <w:ind w:left="1440" w:hanging="360"/>
      </w:pPr>
      <w:rPr>
        <w:rFonts w:ascii="Symbol" w:hAnsi="Symbol"/>
      </w:rPr>
    </w:lvl>
    <w:lvl w:ilvl="3">
      <w:start w:val="1"/>
      <w:numFmt w:val="bullet"/>
      <w:lvlText w:val=""/>
      <w:lvlJc w:val="left"/>
      <w:pPr>
        <w:ind w:left="1440" w:hanging="360"/>
      </w:pPr>
      <w:rPr>
        <w:rFonts w:ascii="Symbol" w:hAnsi="Symbol"/>
      </w:rPr>
    </w:lvl>
    <w:lvl w:ilvl="4">
      <w:start w:val="1"/>
      <w:numFmt w:val="bullet"/>
      <w:lvlText w:val=""/>
      <w:lvlJc w:val="left"/>
      <w:pPr>
        <w:ind w:left="1440" w:hanging="360"/>
      </w:pPr>
      <w:rPr>
        <w:rFonts w:ascii="Symbol" w:hAnsi="Symbol"/>
      </w:rPr>
    </w:lvl>
    <w:lvl w:ilvl="5">
      <w:start w:val="1"/>
      <w:numFmt w:val="bullet"/>
      <w:lvlText w:val=""/>
      <w:lvlJc w:val="left"/>
      <w:pPr>
        <w:ind w:left="1440" w:hanging="360"/>
      </w:pPr>
      <w:rPr>
        <w:rFonts w:ascii="Symbol" w:hAnsi="Symbol"/>
      </w:rPr>
    </w:lvl>
    <w:lvl w:ilvl="6">
      <w:start w:val="1"/>
      <w:numFmt w:val="bullet"/>
      <w:lvlText w:val=""/>
      <w:lvlJc w:val="left"/>
      <w:pPr>
        <w:ind w:left="1440" w:hanging="360"/>
      </w:pPr>
      <w:rPr>
        <w:rFonts w:ascii="Symbol" w:hAnsi="Symbol"/>
      </w:rPr>
    </w:lvl>
    <w:lvl w:ilvl="7">
      <w:start w:val="1"/>
      <w:numFmt w:val="bullet"/>
      <w:lvlText w:val=""/>
      <w:lvlJc w:val="left"/>
      <w:pPr>
        <w:ind w:left="1440" w:hanging="360"/>
      </w:pPr>
      <w:rPr>
        <w:rFonts w:ascii="Symbol" w:hAnsi="Symbol"/>
      </w:rPr>
    </w:lvl>
    <w:lvl w:ilvl="8">
      <w:start w:val="1"/>
      <w:numFmt w:val="bullet"/>
      <w:lvlText w:val=""/>
      <w:lvlJc w:val="left"/>
      <w:pPr>
        <w:ind w:left="1440" w:hanging="360"/>
      </w:pPr>
      <w:rPr>
        <w:rFonts w:ascii="Symbol" w:hAnsi="Symbol"/>
      </w:rPr>
    </w:lvl>
  </w:abstractNum>
  <w:abstractNum w:abstractNumId="4">
    <w:nsid w:val="43235A83"/>
    <w:multiLevelType w:val="hybridMultilevel"/>
    <w:tmpl w:val="2B1C1C60"/>
    <w:lvl w:ilvl="0">
      <w:start w:val="1"/>
      <w:numFmt w:val="bullet"/>
      <w:lvlText w:val=""/>
      <w:lvlJc w:val="left"/>
      <w:pPr>
        <w:ind w:left="1080" w:hanging="360"/>
      </w:pPr>
      <w:rPr>
        <w:rFonts w:ascii="Symbol" w:hAnsi="Symbol"/>
      </w:rPr>
    </w:lvl>
    <w:lvl w:ilvl="1">
      <w:start w:val="1"/>
      <w:numFmt w:val="bullet"/>
      <w:lvlText w:val=""/>
      <w:lvlJc w:val="left"/>
      <w:pPr>
        <w:ind w:left="1080" w:hanging="360"/>
      </w:pPr>
      <w:rPr>
        <w:rFonts w:ascii="Symbol" w:hAnsi="Symbol"/>
      </w:rPr>
    </w:lvl>
    <w:lvl w:ilvl="2">
      <w:start w:val="1"/>
      <w:numFmt w:val="bullet"/>
      <w:lvlText w:val=""/>
      <w:lvlJc w:val="left"/>
      <w:pPr>
        <w:ind w:left="1080" w:hanging="360"/>
      </w:pPr>
      <w:rPr>
        <w:rFonts w:ascii="Symbol" w:hAnsi="Symbol"/>
      </w:rPr>
    </w:lvl>
    <w:lvl w:ilvl="3">
      <w:start w:val="1"/>
      <w:numFmt w:val="bullet"/>
      <w:lvlText w:val=""/>
      <w:lvlJc w:val="left"/>
      <w:pPr>
        <w:ind w:left="1080" w:hanging="360"/>
      </w:pPr>
      <w:rPr>
        <w:rFonts w:ascii="Symbol" w:hAnsi="Symbol"/>
      </w:rPr>
    </w:lvl>
    <w:lvl w:ilvl="4">
      <w:start w:val="1"/>
      <w:numFmt w:val="bullet"/>
      <w:lvlText w:val=""/>
      <w:lvlJc w:val="left"/>
      <w:pPr>
        <w:ind w:left="1080" w:hanging="360"/>
      </w:pPr>
      <w:rPr>
        <w:rFonts w:ascii="Symbol" w:hAnsi="Symbol"/>
      </w:rPr>
    </w:lvl>
    <w:lvl w:ilvl="5">
      <w:start w:val="1"/>
      <w:numFmt w:val="bullet"/>
      <w:lvlText w:val=""/>
      <w:lvlJc w:val="left"/>
      <w:pPr>
        <w:ind w:left="1080" w:hanging="360"/>
      </w:pPr>
      <w:rPr>
        <w:rFonts w:ascii="Symbol" w:hAnsi="Symbol"/>
      </w:rPr>
    </w:lvl>
    <w:lvl w:ilvl="6">
      <w:start w:val="1"/>
      <w:numFmt w:val="bullet"/>
      <w:lvlText w:val=""/>
      <w:lvlJc w:val="left"/>
      <w:pPr>
        <w:ind w:left="1080" w:hanging="360"/>
      </w:pPr>
      <w:rPr>
        <w:rFonts w:ascii="Symbol" w:hAnsi="Symbol"/>
      </w:rPr>
    </w:lvl>
    <w:lvl w:ilvl="7">
      <w:start w:val="1"/>
      <w:numFmt w:val="bullet"/>
      <w:lvlText w:val=""/>
      <w:lvlJc w:val="left"/>
      <w:pPr>
        <w:ind w:left="1080" w:hanging="360"/>
      </w:pPr>
      <w:rPr>
        <w:rFonts w:ascii="Symbol" w:hAnsi="Symbol"/>
      </w:rPr>
    </w:lvl>
    <w:lvl w:ilvl="8">
      <w:start w:val="1"/>
      <w:numFmt w:val="bullet"/>
      <w:lvlText w:val=""/>
      <w:lvlJc w:val="left"/>
      <w:pPr>
        <w:ind w:left="1080" w:hanging="360"/>
      </w:pPr>
      <w:rPr>
        <w:rFonts w:ascii="Symbol" w:hAnsi="Symbol"/>
      </w:rPr>
    </w:lvl>
  </w:abstractNum>
  <w:abstractNum w:abstractNumId="5">
    <w:nsid w:val="4C220685"/>
    <w:multiLevelType w:val="hybridMultilevel"/>
    <w:tmpl w:val="72FC9338"/>
    <w:lvl w:ilvl="0">
      <w:start w:val="1"/>
      <w:numFmt w:val="upperRoman"/>
      <w:pStyle w:val="Heading1"/>
      <w:lvlText w:val="%1."/>
      <w:lvlJc w:val="left"/>
      <w:pPr>
        <w:ind w:left="1260" w:hanging="720"/>
      </w:pPr>
      <w:rPr>
        <w:rFonts w:ascii="Times New Roman" w:eastAsia="Times New Roman" w:hAnsi="Times New Roman" w:cs="Times New Roman" w:hint="default"/>
        <w:b/>
        <w:bCs/>
        <w:i w:val="0"/>
        <w:iCs w:val="0"/>
        <w:w w:val="99"/>
        <w:sz w:val="24"/>
        <w:szCs w:val="24"/>
        <w:lang w:val="en-US" w:eastAsia="en-US" w:bidi="ar-SA"/>
      </w:rPr>
    </w:lvl>
    <w:lvl w:ilvl="1">
      <w:start w:val="1"/>
      <w:numFmt w:val="upperLetter"/>
      <w:lvlText w:val="%2."/>
      <w:lvlJc w:val="left"/>
      <w:pPr>
        <w:ind w:left="1980" w:hanging="720"/>
      </w:pPr>
      <w:rPr>
        <w:rFonts w:ascii="Times New Roman" w:eastAsia="Times New Roman" w:hAnsi="Times New Roman" w:cs="Times New Roman" w:hint="default"/>
        <w:b/>
        <w:bCs/>
        <w:i w:val="0"/>
        <w:iCs w:val="0"/>
        <w:spacing w:val="-1"/>
        <w:w w:val="99"/>
        <w:sz w:val="24"/>
        <w:szCs w:val="24"/>
        <w:lang w:val="en-US" w:eastAsia="en-US" w:bidi="ar-SA"/>
      </w:rPr>
    </w:lvl>
    <w:lvl w:ilvl="2">
      <w:start w:val="0"/>
      <w:numFmt w:val="bullet"/>
      <w:lvlText w:val="•"/>
      <w:lvlJc w:val="left"/>
      <w:pPr>
        <w:ind w:left="2904" w:hanging="720"/>
      </w:pPr>
      <w:rPr>
        <w:rFonts w:hint="default"/>
        <w:lang w:val="en-US" w:eastAsia="en-US" w:bidi="ar-SA"/>
      </w:rPr>
    </w:lvl>
    <w:lvl w:ilvl="3">
      <w:start w:val="0"/>
      <w:numFmt w:val="bullet"/>
      <w:lvlText w:val="•"/>
      <w:lvlJc w:val="left"/>
      <w:pPr>
        <w:ind w:left="3828" w:hanging="720"/>
      </w:pPr>
      <w:rPr>
        <w:rFonts w:hint="default"/>
        <w:lang w:val="en-US" w:eastAsia="en-US" w:bidi="ar-SA"/>
      </w:rPr>
    </w:lvl>
    <w:lvl w:ilvl="4">
      <w:start w:val="0"/>
      <w:numFmt w:val="bullet"/>
      <w:lvlText w:val="•"/>
      <w:lvlJc w:val="left"/>
      <w:pPr>
        <w:ind w:left="4753" w:hanging="720"/>
      </w:pPr>
      <w:rPr>
        <w:rFonts w:hint="default"/>
        <w:lang w:val="en-US" w:eastAsia="en-US" w:bidi="ar-SA"/>
      </w:rPr>
    </w:lvl>
    <w:lvl w:ilvl="5">
      <w:start w:val="0"/>
      <w:numFmt w:val="bullet"/>
      <w:lvlText w:val="•"/>
      <w:lvlJc w:val="left"/>
      <w:pPr>
        <w:ind w:left="5677" w:hanging="720"/>
      </w:pPr>
      <w:rPr>
        <w:rFonts w:hint="default"/>
        <w:lang w:val="en-US" w:eastAsia="en-US" w:bidi="ar-SA"/>
      </w:rPr>
    </w:lvl>
    <w:lvl w:ilvl="6">
      <w:start w:val="0"/>
      <w:numFmt w:val="bullet"/>
      <w:lvlText w:val="•"/>
      <w:lvlJc w:val="left"/>
      <w:pPr>
        <w:ind w:left="6602" w:hanging="720"/>
      </w:pPr>
      <w:rPr>
        <w:rFonts w:hint="default"/>
        <w:lang w:val="en-US" w:eastAsia="en-US" w:bidi="ar-SA"/>
      </w:rPr>
    </w:lvl>
    <w:lvl w:ilvl="7">
      <w:start w:val="0"/>
      <w:numFmt w:val="bullet"/>
      <w:lvlText w:val="•"/>
      <w:lvlJc w:val="left"/>
      <w:pPr>
        <w:ind w:left="7526" w:hanging="720"/>
      </w:pPr>
      <w:rPr>
        <w:rFonts w:hint="default"/>
        <w:lang w:val="en-US" w:eastAsia="en-US" w:bidi="ar-SA"/>
      </w:rPr>
    </w:lvl>
    <w:lvl w:ilvl="8">
      <w:start w:val="0"/>
      <w:numFmt w:val="bullet"/>
      <w:lvlText w:val="•"/>
      <w:lvlJc w:val="left"/>
      <w:pPr>
        <w:ind w:left="8451" w:hanging="720"/>
      </w:pPr>
      <w:rPr>
        <w:rFonts w:hint="default"/>
        <w:lang w:val="en-US" w:eastAsia="en-US" w:bidi="ar-SA"/>
      </w:rPr>
    </w:lvl>
  </w:abstractNum>
  <w:abstractNum w:abstractNumId="6">
    <w:nsid w:val="4F9967C2"/>
    <w:multiLevelType w:val="hybridMultilevel"/>
    <w:tmpl w:val="990CF202"/>
    <w:lvl w:ilvl="0">
      <w:start w:val="1"/>
      <w:numFmt w:val="bullet"/>
      <w:lvlText w:val=""/>
      <w:lvlJc w:val="left"/>
      <w:pPr>
        <w:ind w:left="1080" w:hanging="360"/>
      </w:pPr>
      <w:rPr>
        <w:rFonts w:ascii="Symbol" w:hAnsi="Symbol"/>
      </w:rPr>
    </w:lvl>
    <w:lvl w:ilvl="1">
      <w:start w:val="1"/>
      <w:numFmt w:val="bullet"/>
      <w:lvlText w:val=""/>
      <w:lvlJc w:val="left"/>
      <w:pPr>
        <w:ind w:left="1080" w:hanging="360"/>
      </w:pPr>
      <w:rPr>
        <w:rFonts w:ascii="Symbol" w:hAnsi="Symbol"/>
      </w:rPr>
    </w:lvl>
    <w:lvl w:ilvl="2">
      <w:start w:val="1"/>
      <w:numFmt w:val="bullet"/>
      <w:lvlText w:val=""/>
      <w:lvlJc w:val="left"/>
      <w:pPr>
        <w:ind w:left="1080" w:hanging="360"/>
      </w:pPr>
      <w:rPr>
        <w:rFonts w:ascii="Symbol" w:hAnsi="Symbol"/>
      </w:rPr>
    </w:lvl>
    <w:lvl w:ilvl="3">
      <w:start w:val="1"/>
      <w:numFmt w:val="bullet"/>
      <w:lvlText w:val=""/>
      <w:lvlJc w:val="left"/>
      <w:pPr>
        <w:ind w:left="1080" w:hanging="360"/>
      </w:pPr>
      <w:rPr>
        <w:rFonts w:ascii="Symbol" w:hAnsi="Symbol"/>
      </w:rPr>
    </w:lvl>
    <w:lvl w:ilvl="4">
      <w:start w:val="1"/>
      <w:numFmt w:val="bullet"/>
      <w:lvlText w:val=""/>
      <w:lvlJc w:val="left"/>
      <w:pPr>
        <w:ind w:left="1080" w:hanging="360"/>
      </w:pPr>
      <w:rPr>
        <w:rFonts w:ascii="Symbol" w:hAnsi="Symbol"/>
      </w:rPr>
    </w:lvl>
    <w:lvl w:ilvl="5">
      <w:start w:val="1"/>
      <w:numFmt w:val="bullet"/>
      <w:lvlText w:val=""/>
      <w:lvlJc w:val="left"/>
      <w:pPr>
        <w:ind w:left="1080" w:hanging="360"/>
      </w:pPr>
      <w:rPr>
        <w:rFonts w:ascii="Symbol" w:hAnsi="Symbol"/>
      </w:rPr>
    </w:lvl>
    <w:lvl w:ilvl="6">
      <w:start w:val="1"/>
      <w:numFmt w:val="bullet"/>
      <w:lvlText w:val=""/>
      <w:lvlJc w:val="left"/>
      <w:pPr>
        <w:ind w:left="1080" w:hanging="360"/>
      </w:pPr>
      <w:rPr>
        <w:rFonts w:ascii="Symbol" w:hAnsi="Symbol"/>
      </w:rPr>
    </w:lvl>
    <w:lvl w:ilvl="7">
      <w:start w:val="1"/>
      <w:numFmt w:val="bullet"/>
      <w:lvlText w:val=""/>
      <w:lvlJc w:val="left"/>
      <w:pPr>
        <w:ind w:left="1080" w:hanging="360"/>
      </w:pPr>
      <w:rPr>
        <w:rFonts w:ascii="Symbol" w:hAnsi="Symbol"/>
      </w:rPr>
    </w:lvl>
    <w:lvl w:ilvl="8">
      <w:start w:val="1"/>
      <w:numFmt w:val="bullet"/>
      <w:lvlText w:val=""/>
      <w:lvlJc w:val="left"/>
      <w:pPr>
        <w:ind w:left="1080" w:hanging="360"/>
      </w:pPr>
      <w:rPr>
        <w:rFonts w:ascii="Symbol" w:hAnsi="Symbol"/>
      </w:rPr>
    </w:lvl>
  </w:abstractNum>
  <w:abstractNum w:abstractNumId="7">
    <w:nsid w:val="6144336D"/>
    <w:multiLevelType w:val="hybridMultilevel"/>
    <w:tmpl w:val="2A0C9294"/>
    <w:lvl w:ilvl="0">
      <w:start w:val="1"/>
      <w:numFmt w:val="bullet"/>
      <w:lvlText w:val=""/>
      <w:lvlJc w:val="left"/>
      <w:pPr>
        <w:ind w:left="1080" w:hanging="360"/>
      </w:pPr>
      <w:rPr>
        <w:rFonts w:ascii="Symbol" w:hAnsi="Symbol"/>
      </w:rPr>
    </w:lvl>
    <w:lvl w:ilvl="1">
      <w:start w:val="1"/>
      <w:numFmt w:val="bullet"/>
      <w:lvlText w:val=""/>
      <w:lvlJc w:val="left"/>
      <w:pPr>
        <w:ind w:left="1080" w:hanging="360"/>
      </w:pPr>
      <w:rPr>
        <w:rFonts w:ascii="Symbol" w:hAnsi="Symbol"/>
      </w:rPr>
    </w:lvl>
    <w:lvl w:ilvl="2">
      <w:start w:val="1"/>
      <w:numFmt w:val="bullet"/>
      <w:lvlText w:val=""/>
      <w:lvlJc w:val="left"/>
      <w:pPr>
        <w:ind w:left="1080" w:hanging="360"/>
      </w:pPr>
      <w:rPr>
        <w:rFonts w:ascii="Symbol" w:hAnsi="Symbol"/>
      </w:rPr>
    </w:lvl>
    <w:lvl w:ilvl="3">
      <w:start w:val="1"/>
      <w:numFmt w:val="bullet"/>
      <w:lvlText w:val=""/>
      <w:lvlJc w:val="left"/>
      <w:pPr>
        <w:ind w:left="1080" w:hanging="360"/>
      </w:pPr>
      <w:rPr>
        <w:rFonts w:ascii="Symbol" w:hAnsi="Symbol"/>
      </w:rPr>
    </w:lvl>
    <w:lvl w:ilvl="4">
      <w:start w:val="1"/>
      <w:numFmt w:val="bullet"/>
      <w:lvlText w:val=""/>
      <w:lvlJc w:val="left"/>
      <w:pPr>
        <w:ind w:left="1080" w:hanging="360"/>
      </w:pPr>
      <w:rPr>
        <w:rFonts w:ascii="Symbol" w:hAnsi="Symbol"/>
      </w:rPr>
    </w:lvl>
    <w:lvl w:ilvl="5">
      <w:start w:val="1"/>
      <w:numFmt w:val="bullet"/>
      <w:lvlText w:val=""/>
      <w:lvlJc w:val="left"/>
      <w:pPr>
        <w:ind w:left="1080" w:hanging="360"/>
      </w:pPr>
      <w:rPr>
        <w:rFonts w:ascii="Symbol" w:hAnsi="Symbol"/>
      </w:rPr>
    </w:lvl>
    <w:lvl w:ilvl="6">
      <w:start w:val="1"/>
      <w:numFmt w:val="bullet"/>
      <w:lvlText w:val=""/>
      <w:lvlJc w:val="left"/>
      <w:pPr>
        <w:ind w:left="1080" w:hanging="360"/>
      </w:pPr>
      <w:rPr>
        <w:rFonts w:ascii="Symbol" w:hAnsi="Symbol"/>
      </w:rPr>
    </w:lvl>
    <w:lvl w:ilvl="7">
      <w:start w:val="1"/>
      <w:numFmt w:val="bullet"/>
      <w:lvlText w:val=""/>
      <w:lvlJc w:val="left"/>
      <w:pPr>
        <w:ind w:left="1080" w:hanging="360"/>
      </w:pPr>
      <w:rPr>
        <w:rFonts w:ascii="Symbol" w:hAnsi="Symbol"/>
      </w:rPr>
    </w:lvl>
    <w:lvl w:ilvl="8">
      <w:start w:val="1"/>
      <w:numFmt w:val="bullet"/>
      <w:lvlText w:val=""/>
      <w:lvlJc w:val="left"/>
      <w:pPr>
        <w:ind w:left="1080" w:hanging="360"/>
      </w:pPr>
      <w:rPr>
        <w:rFonts w:ascii="Symbol" w:hAnsi="Symbol"/>
      </w:rPr>
    </w:lvl>
  </w:abstractNum>
  <w:abstractNum w:abstractNumId="8">
    <w:nsid w:val="61553500"/>
    <w:multiLevelType w:val="hybridMultilevel"/>
    <w:tmpl w:val="0DE0CE16"/>
    <w:lvl w:ilvl="0">
      <w:start w:val="1"/>
      <w:numFmt w:val="bullet"/>
      <w:lvlText w:val=""/>
      <w:lvlJc w:val="left"/>
      <w:pPr>
        <w:ind w:left="1440" w:hanging="360"/>
      </w:pPr>
      <w:rPr>
        <w:rFonts w:ascii="Symbol" w:hAnsi="Symbol"/>
      </w:rPr>
    </w:lvl>
    <w:lvl w:ilvl="1">
      <w:start w:val="1"/>
      <w:numFmt w:val="bullet"/>
      <w:lvlText w:val=""/>
      <w:lvlJc w:val="left"/>
      <w:pPr>
        <w:ind w:left="1440" w:hanging="360"/>
      </w:pPr>
      <w:rPr>
        <w:rFonts w:ascii="Symbol" w:hAnsi="Symbol"/>
      </w:rPr>
    </w:lvl>
    <w:lvl w:ilvl="2">
      <w:start w:val="1"/>
      <w:numFmt w:val="bullet"/>
      <w:lvlText w:val=""/>
      <w:lvlJc w:val="left"/>
      <w:pPr>
        <w:ind w:left="1440" w:hanging="360"/>
      </w:pPr>
      <w:rPr>
        <w:rFonts w:ascii="Symbol" w:hAnsi="Symbol"/>
      </w:rPr>
    </w:lvl>
    <w:lvl w:ilvl="3">
      <w:start w:val="1"/>
      <w:numFmt w:val="bullet"/>
      <w:lvlText w:val=""/>
      <w:lvlJc w:val="left"/>
      <w:pPr>
        <w:ind w:left="1440" w:hanging="360"/>
      </w:pPr>
      <w:rPr>
        <w:rFonts w:ascii="Symbol" w:hAnsi="Symbol"/>
      </w:rPr>
    </w:lvl>
    <w:lvl w:ilvl="4">
      <w:start w:val="1"/>
      <w:numFmt w:val="bullet"/>
      <w:lvlText w:val=""/>
      <w:lvlJc w:val="left"/>
      <w:pPr>
        <w:ind w:left="1440" w:hanging="360"/>
      </w:pPr>
      <w:rPr>
        <w:rFonts w:ascii="Symbol" w:hAnsi="Symbol"/>
      </w:rPr>
    </w:lvl>
    <w:lvl w:ilvl="5">
      <w:start w:val="1"/>
      <w:numFmt w:val="bullet"/>
      <w:lvlText w:val=""/>
      <w:lvlJc w:val="left"/>
      <w:pPr>
        <w:ind w:left="1440" w:hanging="360"/>
      </w:pPr>
      <w:rPr>
        <w:rFonts w:ascii="Symbol" w:hAnsi="Symbol"/>
      </w:rPr>
    </w:lvl>
    <w:lvl w:ilvl="6">
      <w:start w:val="1"/>
      <w:numFmt w:val="bullet"/>
      <w:lvlText w:val=""/>
      <w:lvlJc w:val="left"/>
      <w:pPr>
        <w:ind w:left="1440" w:hanging="360"/>
      </w:pPr>
      <w:rPr>
        <w:rFonts w:ascii="Symbol" w:hAnsi="Symbol"/>
      </w:rPr>
    </w:lvl>
    <w:lvl w:ilvl="7">
      <w:start w:val="1"/>
      <w:numFmt w:val="bullet"/>
      <w:lvlText w:val=""/>
      <w:lvlJc w:val="left"/>
      <w:pPr>
        <w:ind w:left="1440" w:hanging="360"/>
      </w:pPr>
      <w:rPr>
        <w:rFonts w:ascii="Symbol" w:hAnsi="Symbol"/>
      </w:rPr>
    </w:lvl>
    <w:lvl w:ilvl="8">
      <w:start w:val="1"/>
      <w:numFmt w:val="bullet"/>
      <w:lvlText w:val=""/>
      <w:lvlJc w:val="left"/>
      <w:pPr>
        <w:ind w:left="1440" w:hanging="360"/>
      </w:pPr>
      <w:rPr>
        <w:rFonts w:ascii="Symbol" w:hAnsi="Symbol"/>
      </w:rPr>
    </w:lvl>
  </w:abstractNum>
  <w:abstractNum w:abstractNumId="9">
    <w:nsid w:val="6DF77EBF"/>
    <w:multiLevelType w:val="hybridMultilevel"/>
    <w:tmpl w:val="6C94CCEA"/>
    <w:lvl w:ilvl="0">
      <w:start w:val="1"/>
      <w:numFmt w:val="bullet"/>
      <w:lvlText w:val=""/>
      <w:lvlJc w:val="left"/>
      <w:pPr>
        <w:ind w:left="1440" w:hanging="360"/>
      </w:pPr>
      <w:rPr>
        <w:rFonts w:ascii="Symbol" w:hAnsi="Symbol"/>
      </w:rPr>
    </w:lvl>
    <w:lvl w:ilvl="1">
      <w:start w:val="1"/>
      <w:numFmt w:val="bullet"/>
      <w:lvlText w:val=""/>
      <w:lvlJc w:val="left"/>
      <w:pPr>
        <w:ind w:left="1440" w:hanging="360"/>
      </w:pPr>
      <w:rPr>
        <w:rFonts w:ascii="Symbol" w:hAnsi="Symbol"/>
      </w:rPr>
    </w:lvl>
    <w:lvl w:ilvl="2">
      <w:start w:val="1"/>
      <w:numFmt w:val="bullet"/>
      <w:lvlText w:val=""/>
      <w:lvlJc w:val="left"/>
      <w:pPr>
        <w:ind w:left="1440" w:hanging="360"/>
      </w:pPr>
      <w:rPr>
        <w:rFonts w:ascii="Symbol" w:hAnsi="Symbol"/>
      </w:rPr>
    </w:lvl>
    <w:lvl w:ilvl="3">
      <w:start w:val="1"/>
      <w:numFmt w:val="bullet"/>
      <w:lvlText w:val=""/>
      <w:lvlJc w:val="left"/>
      <w:pPr>
        <w:ind w:left="1440" w:hanging="360"/>
      </w:pPr>
      <w:rPr>
        <w:rFonts w:ascii="Symbol" w:hAnsi="Symbol"/>
      </w:rPr>
    </w:lvl>
    <w:lvl w:ilvl="4">
      <w:start w:val="1"/>
      <w:numFmt w:val="bullet"/>
      <w:lvlText w:val=""/>
      <w:lvlJc w:val="left"/>
      <w:pPr>
        <w:ind w:left="1440" w:hanging="360"/>
      </w:pPr>
      <w:rPr>
        <w:rFonts w:ascii="Symbol" w:hAnsi="Symbol"/>
      </w:rPr>
    </w:lvl>
    <w:lvl w:ilvl="5">
      <w:start w:val="1"/>
      <w:numFmt w:val="bullet"/>
      <w:lvlText w:val=""/>
      <w:lvlJc w:val="left"/>
      <w:pPr>
        <w:ind w:left="1440" w:hanging="360"/>
      </w:pPr>
      <w:rPr>
        <w:rFonts w:ascii="Symbol" w:hAnsi="Symbol"/>
      </w:rPr>
    </w:lvl>
    <w:lvl w:ilvl="6">
      <w:start w:val="1"/>
      <w:numFmt w:val="bullet"/>
      <w:lvlText w:val=""/>
      <w:lvlJc w:val="left"/>
      <w:pPr>
        <w:ind w:left="1440" w:hanging="360"/>
      </w:pPr>
      <w:rPr>
        <w:rFonts w:ascii="Symbol" w:hAnsi="Symbol"/>
      </w:rPr>
    </w:lvl>
    <w:lvl w:ilvl="7">
      <w:start w:val="1"/>
      <w:numFmt w:val="bullet"/>
      <w:lvlText w:val=""/>
      <w:lvlJc w:val="left"/>
      <w:pPr>
        <w:ind w:left="1440" w:hanging="360"/>
      </w:pPr>
      <w:rPr>
        <w:rFonts w:ascii="Symbol" w:hAnsi="Symbol"/>
      </w:rPr>
    </w:lvl>
    <w:lvl w:ilvl="8">
      <w:start w:val="1"/>
      <w:numFmt w:val="bullet"/>
      <w:lvlText w:val=""/>
      <w:lvlJc w:val="left"/>
      <w:pPr>
        <w:ind w:left="1440" w:hanging="360"/>
      </w:pPr>
      <w:rPr>
        <w:rFonts w:ascii="Symbol" w:hAnsi="Symbol"/>
      </w:rPr>
    </w:lvl>
  </w:abstractNum>
  <w:abstractNum w:abstractNumId="10">
    <w:nsid w:val="730E4391"/>
    <w:multiLevelType w:val="hybridMultilevel"/>
    <w:tmpl w:val="CE226DF0"/>
    <w:lvl w:ilvl="0">
      <w:start w:val="3"/>
      <w:numFmt w:val="upperLetter"/>
      <w:lvlText w:val="%1."/>
      <w:lvlJc w:val="left"/>
      <w:pPr>
        <w:ind w:left="1980" w:hanging="720"/>
      </w:pPr>
      <w:rPr>
        <w:rFonts w:ascii="Times New Roman" w:eastAsia="Times New Roman" w:hAnsi="Times New Roman" w:cs="Times New Roman" w:hint="default"/>
        <w:b/>
        <w:bCs/>
        <w:i w:val="0"/>
        <w:iCs w:val="0"/>
        <w:spacing w:val="-1"/>
        <w:w w:val="99"/>
        <w:sz w:val="24"/>
        <w:szCs w:val="24"/>
        <w:lang w:val="en-US" w:eastAsia="en-US" w:bidi="ar-SA"/>
      </w:rPr>
    </w:lvl>
    <w:lvl w:ilvl="1">
      <w:start w:val="0"/>
      <w:numFmt w:val="bullet"/>
      <w:lvlText w:val="•"/>
      <w:lvlJc w:val="left"/>
      <w:pPr>
        <w:ind w:left="2812" w:hanging="720"/>
      </w:pPr>
      <w:rPr>
        <w:rFonts w:hint="default"/>
        <w:lang w:val="en-US" w:eastAsia="en-US" w:bidi="ar-SA"/>
      </w:rPr>
    </w:lvl>
    <w:lvl w:ilvl="2">
      <w:start w:val="0"/>
      <w:numFmt w:val="bullet"/>
      <w:lvlText w:val="•"/>
      <w:lvlJc w:val="left"/>
      <w:pPr>
        <w:ind w:left="3644" w:hanging="720"/>
      </w:pPr>
      <w:rPr>
        <w:rFonts w:hint="default"/>
        <w:lang w:val="en-US" w:eastAsia="en-US" w:bidi="ar-SA"/>
      </w:rPr>
    </w:lvl>
    <w:lvl w:ilvl="3">
      <w:start w:val="0"/>
      <w:numFmt w:val="bullet"/>
      <w:lvlText w:val="•"/>
      <w:lvlJc w:val="left"/>
      <w:pPr>
        <w:ind w:left="4476" w:hanging="720"/>
      </w:pPr>
      <w:rPr>
        <w:rFonts w:hint="default"/>
        <w:lang w:val="en-US" w:eastAsia="en-US" w:bidi="ar-SA"/>
      </w:rPr>
    </w:lvl>
    <w:lvl w:ilvl="4">
      <w:start w:val="0"/>
      <w:numFmt w:val="bullet"/>
      <w:lvlText w:val="•"/>
      <w:lvlJc w:val="left"/>
      <w:pPr>
        <w:ind w:left="5308" w:hanging="720"/>
      </w:pPr>
      <w:rPr>
        <w:rFonts w:hint="default"/>
        <w:lang w:val="en-US" w:eastAsia="en-US" w:bidi="ar-SA"/>
      </w:rPr>
    </w:lvl>
    <w:lvl w:ilvl="5">
      <w:start w:val="0"/>
      <w:numFmt w:val="bullet"/>
      <w:lvlText w:val="•"/>
      <w:lvlJc w:val="left"/>
      <w:pPr>
        <w:ind w:left="6140" w:hanging="720"/>
      </w:pPr>
      <w:rPr>
        <w:rFonts w:hint="default"/>
        <w:lang w:val="en-US" w:eastAsia="en-US" w:bidi="ar-SA"/>
      </w:rPr>
    </w:lvl>
    <w:lvl w:ilvl="6">
      <w:start w:val="0"/>
      <w:numFmt w:val="bullet"/>
      <w:lvlText w:val="•"/>
      <w:lvlJc w:val="left"/>
      <w:pPr>
        <w:ind w:left="6972" w:hanging="720"/>
      </w:pPr>
      <w:rPr>
        <w:rFonts w:hint="default"/>
        <w:lang w:val="en-US" w:eastAsia="en-US" w:bidi="ar-SA"/>
      </w:rPr>
    </w:lvl>
    <w:lvl w:ilvl="7">
      <w:start w:val="0"/>
      <w:numFmt w:val="bullet"/>
      <w:lvlText w:val="•"/>
      <w:lvlJc w:val="left"/>
      <w:pPr>
        <w:ind w:left="7804" w:hanging="720"/>
      </w:pPr>
      <w:rPr>
        <w:rFonts w:hint="default"/>
        <w:lang w:val="en-US" w:eastAsia="en-US" w:bidi="ar-SA"/>
      </w:rPr>
    </w:lvl>
    <w:lvl w:ilvl="8">
      <w:start w:val="0"/>
      <w:numFmt w:val="bullet"/>
      <w:lvlText w:val="•"/>
      <w:lvlJc w:val="left"/>
      <w:pPr>
        <w:ind w:left="8636" w:hanging="720"/>
      </w:pPr>
      <w:rPr>
        <w:rFonts w:hint="default"/>
        <w:lang w:val="en-US" w:eastAsia="en-US" w:bidi="ar-SA"/>
      </w:rPr>
    </w:lvl>
  </w:abstractNum>
  <w:abstractNum w:abstractNumId="11">
    <w:nsid w:val="744D7A99"/>
    <w:multiLevelType w:val="hybridMultilevel"/>
    <w:tmpl w:val="3F68F3D8"/>
    <w:lvl w:ilvl="0">
      <w:start w:val="1"/>
      <w:numFmt w:val="bullet"/>
      <w:lvlText w:val=""/>
      <w:lvlJc w:val="left"/>
      <w:pPr>
        <w:ind w:left="1440" w:hanging="360"/>
      </w:pPr>
      <w:rPr>
        <w:rFonts w:ascii="Symbol" w:hAnsi="Symbol"/>
      </w:rPr>
    </w:lvl>
    <w:lvl w:ilvl="1">
      <w:start w:val="1"/>
      <w:numFmt w:val="bullet"/>
      <w:lvlText w:val=""/>
      <w:lvlJc w:val="left"/>
      <w:pPr>
        <w:ind w:left="1440" w:hanging="360"/>
      </w:pPr>
      <w:rPr>
        <w:rFonts w:ascii="Symbol" w:hAnsi="Symbol"/>
      </w:rPr>
    </w:lvl>
    <w:lvl w:ilvl="2">
      <w:start w:val="1"/>
      <w:numFmt w:val="bullet"/>
      <w:lvlText w:val=""/>
      <w:lvlJc w:val="left"/>
      <w:pPr>
        <w:ind w:left="1440" w:hanging="360"/>
      </w:pPr>
      <w:rPr>
        <w:rFonts w:ascii="Symbol" w:hAnsi="Symbol"/>
      </w:rPr>
    </w:lvl>
    <w:lvl w:ilvl="3">
      <w:start w:val="1"/>
      <w:numFmt w:val="bullet"/>
      <w:lvlText w:val=""/>
      <w:lvlJc w:val="left"/>
      <w:pPr>
        <w:ind w:left="1440" w:hanging="360"/>
      </w:pPr>
      <w:rPr>
        <w:rFonts w:ascii="Symbol" w:hAnsi="Symbol"/>
      </w:rPr>
    </w:lvl>
    <w:lvl w:ilvl="4">
      <w:start w:val="1"/>
      <w:numFmt w:val="bullet"/>
      <w:lvlText w:val=""/>
      <w:lvlJc w:val="left"/>
      <w:pPr>
        <w:ind w:left="1440" w:hanging="360"/>
      </w:pPr>
      <w:rPr>
        <w:rFonts w:ascii="Symbol" w:hAnsi="Symbol"/>
      </w:rPr>
    </w:lvl>
    <w:lvl w:ilvl="5">
      <w:start w:val="1"/>
      <w:numFmt w:val="bullet"/>
      <w:lvlText w:val=""/>
      <w:lvlJc w:val="left"/>
      <w:pPr>
        <w:ind w:left="1440" w:hanging="360"/>
      </w:pPr>
      <w:rPr>
        <w:rFonts w:ascii="Symbol" w:hAnsi="Symbol"/>
      </w:rPr>
    </w:lvl>
    <w:lvl w:ilvl="6">
      <w:start w:val="1"/>
      <w:numFmt w:val="bullet"/>
      <w:lvlText w:val=""/>
      <w:lvlJc w:val="left"/>
      <w:pPr>
        <w:ind w:left="1440" w:hanging="360"/>
      </w:pPr>
      <w:rPr>
        <w:rFonts w:ascii="Symbol" w:hAnsi="Symbol"/>
      </w:rPr>
    </w:lvl>
    <w:lvl w:ilvl="7">
      <w:start w:val="1"/>
      <w:numFmt w:val="bullet"/>
      <w:lvlText w:val=""/>
      <w:lvlJc w:val="left"/>
      <w:pPr>
        <w:ind w:left="1440" w:hanging="360"/>
      </w:pPr>
      <w:rPr>
        <w:rFonts w:ascii="Symbol" w:hAnsi="Symbol"/>
      </w:rPr>
    </w:lvl>
    <w:lvl w:ilvl="8">
      <w:start w:val="1"/>
      <w:numFmt w:val="bullet"/>
      <w:lvlText w:val=""/>
      <w:lvlJc w:val="left"/>
      <w:pPr>
        <w:ind w:left="1440" w:hanging="360"/>
      </w:pPr>
      <w:rPr>
        <w:rFonts w:ascii="Symbol" w:hAnsi="Symbol"/>
      </w:rPr>
    </w:lvl>
  </w:abstractNum>
  <w:abstractNum w:abstractNumId="12">
    <w:nsid w:val="7BDB4902"/>
    <w:multiLevelType w:val="hybridMultilevel"/>
    <w:tmpl w:val="4252B290"/>
    <w:lvl w:ilvl="0">
      <w:start w:val="1"/>
      <w:numFmt w:val="upperRoman"/>
      <w:lvlText w:val="%1."/>
      <w:lvlJc w:val="left"/>
      <w:pPr>
        <w:ind w:left="1260" w:hanging="720"/>
      </w:pPr>
      <w:rPr>
        <w:rFonts w:ascii="Times New Roman" w:eastAsia="Times New Roman" w:hAnsi="Times New Roman" w:cs="Times New Roman" w:hint="default"/>
        <w:b w:val="0"/>
        <w:bCs w:val="0"/>
        <w:i w:val="0"/>
        <w:iCs w:val="0"/>
        <w:spacing w:val="-3"/>
        <w:w w:val="99"/>
        <w:sz w:val="24"/>
        <w:szCs w:val="24"/>
        <w:lang w:val="en-US" w:eastAsia="en-US" w:bidi="ar-SA"/>
      </w:rPr>
    </w:lvl>
    <w:lvl w:ilvl="1">
      <w:start w:val="1"/>
      <w:numFmt w:val="upperLetter"/>
      <w:lvlText w:val="%2."/>
      <w:lvlJc w:val="left"/>
      <w:pPr>
        <w:ind w:left="1980" w:hanging="720"/>
      </w:pPr>
      <w:rPr>
        <w:rFonts w:ascii="Times New Roman" w:eastAsia="Times New Roman" w:hAnsi="Times New Roman" w:cs="Times New Roman" w:hint="default"/>
        <w:b w:val="0"/>
        <w:bCs w:val="0"/>
        <w:i w:val="0"/>
        <w:iCs w:val="0"/>
        <w:spacing w:val="-1"/>
        <w:w w:val="99"/>
        <w:sz w:val="24"/>
        <w:szCs w:val="24"/>
        <w:lang w:val="en-US" w:eastAsia="en-US" w:bidi="ar-SA"/>
      </w:rPr>
    </w:lvl>
    <w:lvl w:ilvl="2">
      <w:start w:val="0"/>
      <w:numFmt w:val="bullet"/>
      <w:lvlText w:val="•"/>
      <w:lvlJc w:val="left"/>
      <w:pPr>
        <w:ind w:left="2904" w:hanging="720"/>
      </w:pPr>
      <w:rPr>
        <w:rFonts w:hint="default"/>
        <w:lang w:val="en-US" w:eastAsia="en-US" w:bidi="ar-SA"/>
      </w:rPr>
    </w:lvl>
    <w:lvl w:ilvl="3">
      <w:start w:val="0"/>
      <w:numFmt w:val="bullet"/>
      <w:lvlText w:val="•"/>
      <w:lvlJc w:val="left"/>
      <w:pPr>
        <w:ind w:left="3828" w:hanging="720"/>
      </w:pPr>
      <w:rPr>
        <w:rFonts w:hint="default"/>
        <w:lang w:val="en-US" w:eastAsia="en-US" w:bidi="ar-SA"/>
      </w:rPr>
    </w:lvl>
    <w:lvl w:ilvl="4">
      <w:start w:val="0"/>
      <w:numFmt w:val="bullet"/>
      <w:lvlText w:val="•"/>
      <w:lvlJc w:val="left"/>
      <w:pPr>
        <w:ind w:left="4753" w:hanging="720"/>
      </w:pPr>
      <w:rPr>
        <w:rFonts w:hint="default"/>
        <w:lang w:val="en-US" w:eastAsia="en-US" w:bidi="ar-SA"/>
      </w:rPr>
    </w:lvl>
    <w:lvl w:ilvl="5">
      <w:start w:val="0"/>
      <w:numFmt w:val="bullet"/>
      <w:lvlText w:val="•"/>
      <w:lvlJc w:val="left"/>
      <w:pPr>
        <w:ind w:left="5677" w:hanging="720"/>
      </w:pPr>
      <w:rPr>
        <w:rFonts w:hint="default"/>
        <w:lang w:val="en-US" w:eastAsia="en-US" w:bidi="ar-SA"/>
      </w:rPr>
    </w:lvl>
    <w:lvl w:ilvl="6">
      <w:start w:val="0"/>
      <w:numFmt w:val="bullet"/>
      <w:lvlText w:val="•"/>
      <w:lvlJc w:val="left"/>
      <w:pPr>
        <w:ind w:left="6602" w:hanging="720"/>
      </w:pPr>
      <w:rPr>
        <w:rFonts w:hint="default"/>
        <w:lang w:val="en-US" w:eastAsia="en-US" w:bidi="ar-SA"/>
      </w:rPr>
    </w:lvl>
    <w:lvl w:ilvl="7">
      <w:start w:val="0"/>
      <w:numFmt w:val="bullet"/>
      <w:lvlText w:val="•"/>
      <w:lvlJc w:val="left"/>
      <w:pPr>
        <w:ind w:left="7526" w:hanging="720"/>
      </w:pPr>
      <w:rPr>
        <w:rFonts w:hint="default"/>
        <w:lang w:val="en-US" w:eastAsia="en-US" w:bidi="ar-SA"/>
      </w:rPr>
    </w:lvl>
    <w:lvl w:ilvl="8">
      <w:start w:val="0"/>
      <w:numFmt w:val="bullet"/>
      <w:lvlText w:val="•"/>
      <w:lvlJc w:val="left"/>
      <w:pPr>
        <w:ind w:left="8451" w:hanging="720"/>
      </w:pPr>
      <w:rPr>
        <w:rFonts w:hint="default"/>
        <w:lang w:val="en-US" w:eastAsia="en-US" w:bidi="ar-SA"/>
      </w:rPr>
    </w:lvl>
  </w:abstractNum>
  <w:num w:numId="1">
    <w:abstractNumId w:val="10"/>
  </w:num>
  <w:num w:numId="2">
    <w:abstractNumId w:val="5"/>
  </w:num>
  <w:num w:numId="3">
    <w:abstractNumId w:val="12"/>
  </w:num>
  <w:num w:numId="4">
    <w:abstractNumId w:val="6"/>
  </w:num>
  <w:num w:numId="5">
    <w:abstractNumId w:val="11"/>
  </w:num>
  <w:num w:numId="6">
    <w:abstractNumId w:val="3"/>
  </w:num>
  <w:num w:numId="7">
    <w:abstractNumId w:val="9"/>
  </w:num>
  <w:num w:numId="8">
    <w:abstractNumId w:val="4"/>
  </w:num>
  <w:num w:numId="9">
    <w:abstractNumId w:val="1"/>
  </w:num>
  <w:num w:numId="10">
    <w:abstractNumId w:val="7"/>
  </w:num>
  <w:num w:numId="11">
    <w:abstractNumId w:val="8"/>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drawingGridHorizontalSpacing w:val="110"/>
  <w:displayHorizontalDrawingGridEvery w:val="2"/>
  <w:characterSpacingControl w:val="doNotCompress"/>
  <w:footnotePr>
    <w:footnote w:id="0"/>
    <w:footnote w:id="1"/>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A06"/>
    <w:rsid w:val="00001496"/>
    <w:rsid w:val="0001218E"/>
    <w:rsid w:val="00015744"/>
    <w:rsid w:val="000219C6"/>
    <w:rsid w:val="000221A3"/>
    <w:rsid w:val="00034094"/>
    <w:rsid w:val="00036A3A"/>
    <w:rsid w:val="0004761E"/>
    <w:rsid w:val="000526AC"/>
    <w:rsid w:val="000526DE"/>
    <w:rsid w:val="0006508F"/>
    <w:rsid w:val="00092F71"/>
    <w:rsid w:val="0009326E"/>
    <w:rsid w:val="0009636A"/>
    <w:rsid w:val="000A690A"/>
    <w:rsid w:val="000C7EB6"/>
    <w:rsid w:val="000D1158"/>
    <w:rsid w:val="000D25F0"/>
    <w:rsid w:val="000E30C5"/>
    <w:rsid w:val="000E3C71"/>
    <w:rsid w:val="000E6B37"/>
    <w:rsid w:val="000F1983"/>
    <w:rsid w:val="000F7A68"/>
    <w:rsid w:val="001000AA"/>
    <w:rsid w:val="00106057"/>
    <w:rsid w:val="00110601"/>
    <w:rsid w:val="00113D66"/>
    <w:rsid w:val="001206EF"/>
    <w:rsid w:val="00127706"/>
    <w:rsid w:val="00180DE7"/>
    <w:rsid w:val="001940B6"/>
    <w:rsid w:val="001A05B1"/>
    <w:rsid w:val="001A1736"/>
    <w:rsid w:val="001C092D"/>
    <w:rsid w:val="001C18F6"/>
    <w:rsid w:val="001D4965"/>
    <w:rsid w:val="001D7FD3"/>
    <w:rsid w:val="001E60FC"/>
    <w:rsid w:val="001F70E4"/>
    <w:rsid w:val="002111CA"/>
    <w:rsid w:val="00215145"/>
    <w:rsid w:val="00260052"/>
    <w:rsid w:val="002A25F9"/>
    <w:rsid w:val="002A2A00"/>
    <w:rsid w:val="002A375D"/>
    <w:rsid w:val="002B5BCB"/>
    <w:rsid w:val="002B5E7B"/>
    <w:rsid w:val="002C039D"/>
    <w:rsid w:val="002C4AC2"/>
    <w:rsid w:val="002D16D5"/>
    <w:rsid w:val="002D3934"/>
    <w:rsid w:val="002D404C"/>
    <w:rsid w:val="002D65B9"/>
    <w:rsid w:val="002F50C3"/>
    <w:rsid w:val="003034E6"/>
    <w:rsid w:val="00310A11"/>
    <w:rsid w:val="00313CA4"/>
    <w:rsid w:val="003143F6"/>
    <w:rsid w:val="0033340A"/>
    <w:rsid w:val="0035056C"/>
    <w:rsid w:val="00352659"/>
    <w:rsid w:val="0036558A"/>
    <w:rsid w:val="003760F7"/>
    <w:rsid w:val="00376802"/>
    <w:rsid w:val="00386EBF"/>
    <w:rsid w:val="003916CF"/>
    <w:rsid w:val="00393909"/>
    <w:rsid w:val="003954FE"/>
    <w:rsid w:val="003A06D0"/>
    <w:rsid w:val="003A793F"/>
    <w:rsid w:val="003A7C0E"/>
    <w:rsid w:val="003B77B1"/>
    <w:rsid w:val="003B7A24"/>
    <w:rsid w:val="003E4FB8"/>
    <w:rsid w:val="003F4A0E"/>
    <w:rsid w:val="003F5B12"/>
    <w:rsid w:val="0041204D"/>
    <w:rsid w:val="0041485D"/>
    <w:rsid w:val="00417C36"/>
    <w:rsid w:val="00431D6F"/>
    <w:rsid w:val="00443D57"/>
    <w:rsid w:val="00464224"/>
    <w:rsid w:val="00465400"/>
    <w:rsid w:val="004721D4"/>
    <w:rsid w:val="004737A0"/>
    <w:rsid w:val="00491D27"/>
    <w:rsid w:val="00494616"/>
    <w:rsid w:val="00496A1F"/>
    <w:rsid w:val="004A0289"/>
    <w:rsid w:val="004B2E25"/>
    <w:rsid w:val="004B50B4"/>
    <w:rsid w:val="004B7D63"/>
    <w:rsid w:val="004C2C69"/>
    <w:rsid w:val="004C3713"/>
    <w:rsid w:val="004D4092"/>
    <w:rsid w:val="004F16DB"/>
    <w:rsid w:val="004F4204"/>
    <w:rsid w:val="004F583E"/>
    <w:rsid w:val="004F6EE7"/>
    <w:rsid w:val="00504A72"/>
    <w:rsid w:val="00504C4C"/>
    <w:rsid w:val="00510B2D"/>
    <w:rsid w:val="0052013E"/>
    <w:rsid w:val="00521925"/>
    <w:rsid w:val="0053478B"/>
    <w:rsid w:val="00542952"/>
    <w:rsid w:val="005531A0"/>
    <w:rsid w:val="00557691"/>
    <w:rsid w:val="005600CB"/>
    <w:rsid w:val="005621E4"/>
    <w:rsid w:val="00564E14"/>
    <w:rsid w:val="00574323"/>
    <w:rsid w:val="005801C1"/>
    <w:rsid w:val="00584733"/>
    <w:rsid w:val="0058618B"/>
    <w:rsid w:val="00590998"/>
    <w:rsid w:val="00592655"/>
    <w:rsid w:val="005A3D51"/>
    <w:rsid w:val="005A4302"/>
    <w:rsid w:val="005A5068"/>
    <w:rsid w:val="005B1EDF"/>
    <w:rsid w:val="005B4109"/>
    <w:rsid w:val="005C2B96"/>
    <w:rsid w:val="005C531F"/>
    <w:rsid w:val="005C6CFA"/>
    <w:rsid w:val="005D2BB7"/>
    <w:rsid w:val="005F2152"/>
    <w:rsid w:val="005F27D6"/>
    <w:rsid w:val="005F4525"/>
    <w:rsid w:val="00613171"/>
    <w:rsid w:val="00616512"/>
    <w:rsid w:val="00637C5F"/>
    <w:rsid w:val="00642F53"/>
    <w:rsid w:val="00666A64"/>
    <w:rsid w:val="00666CD1"/>
    <w:rsid w:val="0067346F"/>
    <w:rsid w:val="00681DF2"/>
    <w:rsid w:val="006854B0"/>
    <w:rsid w:val="00697B4A"/>
    <w:rsid w:val="006A0A0D"/>
    <w:rsid w:val="006B125C"/>
    <w:rsid w:val="006B7A72"/>
    <w:rsid w:val="006C435E"/>
    <w:rsid w:val="006D4F62"/>
    <w:rsid w:val="006E19D6"/>
    <w:rsid w:val="006E5591"/>
    <w:rsid w:val="00705E8C"/>
    <w:rsid w:val="00707E1D"/>
    <w:rsid w:val="00710C27"/>
    <w:rsid w:val="00710CB2"/>
    <w:rsid w:val="0071173A"/>
    <w:rsid w:val="00714179"/>
    <w:rsid w:val="007169EC"/>
    <w:rsid w:val="00716C45"/>
    <w:rsid w:val="007176FF"/>
    <w:rsid w:val="007202C2"/>
    <w:rsid w:val="007261C8"/>
    <w:rsid w:val="007340FA"/>
    <w:rsid w:val="00741A06"/>
    <w:rsid w:val="00755BC0"/>
    <w:rsid w:val="00767835"/>
    <w:rsid w:val="0076797A"/>
    <w:rsid w:val="00776A30"/>
    <w:rsid w:val="0078329B"/>
    <w:rsid w:val="00783736"/>
    <w:rsid w:val="00792E0C"/>
    <w:rsid w:val="00794271"/>
    <w:rsid w:val="007A1ACE"/>
    <w:rsid w:val="007B7443"/>
    <w:rsid w:val="007C5BFF"/>
    <w:rsid w:val="007D6EDA"/>
    <w:rsid w:val="007F34CB"/>
    <w:rsid w:val="008005F1"/>
    <w:rsid w:val="00803288"/>
    <w:rsid w:val="008152B4"/>
    <w:rsid w:val="00826AEE"/>
    <w:rsid w:val="00835761"/>
    <w:rsid w:val="00836AE2"/>
    <w:rsid w:val="00842C5A"/>
    <w:rsid w:val="0084429E"/>
    <w:rsid w:val="00845096"/>
    <w:rsid w:val="008644B5"/>
    <w:rsid w:val="00866400"/>
    <w:rsid w:val="008678EE"/>
    <w:rsid w:val="008715C3"/>
    <w:rsid w:val="0088128B"/>
    <w:rsid w:val="00881909"/>
    <w:rsid w:val="0089077B"/>
    <w:rsid w:val="0089277D"/>
    <w:rsid w:val="00892E31"/>
    <w:rsid w:val="008965B2"/>
    <w:rsid w:val="008C0BDF"/>
    <w:rsid w:val="008C3D11"/>
    <w:rsid w:val="008D1D34"/>
    <w:rsid w:val="008D338F"/>
    <w:rsid w:val="008D5C8D"/>
    <w:rsid w:val="00900B22"/>
    <w:rsid w:val="00930EE7"/>
    <w:rsid w:val="00934BE4"/>
    <w:rsid w:val="00936F1D"/>
    <w:rsid w:val="009473B9"/>
    <w:rsid w:val="00947EA4"/>
    <w:rsid w:val="00950B32"/>
    <w:rsid w:val="00952C93"/>
    <w:rsid w:val="009616B4"/>
    <w:rsid w:val="00972749"/>
    <w:rsid w:val="009836EB"/>
    <w:rsid w:val="0098749C"/>
    <w:rsid w:val="0099575B"/>
    <w:rsid w:val="009975E1"/>
    <w:rsid w:val="009D0E9D"/>
    <w:rsid w:val="009D193B"/>
    <w:rsid w:val="009D3C41"/>
    <w:rsid w:val="009D6AA7"/>
    <w:rsid w:val="009E68B3"/>
    <w:rsid w:val="009F6E66"/>
    <w:rsid w:val="00A02B10"/>
    <w:rsid w:val="00A14407"/>
    <w:rsid w:val="00A21158"/>
    <w:rsid w:val="00A27EE7"/>
    <w:rsid w:val="00A362E3"/>
    <w:rsid w:val="00A41C05"/>
    <w:rsid w:val="00A51418"/>
    <w:rsid w:val="00A57591"/>
    <w:rsid w:val="00A65CD0"/>
    <w:rsid w:val="00A66E43"/>
    <w:rsid w:val="00A72DCE"/>
    <w:rsid w:val="00A73EFC"/>
    <w:rsid w:val="00A91269"/>
    <w:rsid w:val="00A91A3E"/>
    <w:rsid w:val="00A936E8"/>
    <w:rsid w:val="00A9593E"/>
    <w:rsid w:val="00AA1377"/>
    <w:rsid w:val="00AA4D0B"/>
    <w:rsid w:val="00AB28F0"/>
    <w:rsid w:val="00AB7294"/>
    <w:rsid w:val="00AC4F03"/>
    <w:rsid w:val="00AC4F0F"/>
    <w:rsid w:val="00AE3988"/>
    <w:rsid w:val="00AE7865"/>
    <w:rsid w:val="00AF01B9"/>
    <w:rsid w:val="00AF2F8D"/>
    <w:rsid w:val="00B129F8"/>
    <w:rsid w:val="00B27D62"/>
    <w:rsid w:val="00B30843"/>
    <w:rsid w:val="00B3156A"/>
    <w:rsid w:val="00B33C89"/>
    <w:rsid w:val="00B51AAD"/>
    <w:rsid w:val="00B525BC"/>
    <w:rsid w:val="00B5752B"/>
    <w:rsid w:val="00B615D3"/>
    <w:rsid w:val="00B66A58"/>
    <w:rsid w:val="00B7393E"/>
    <w:rsid w:val="00B84503"/>
    <w:rsid w:val="00B908AB"/>
    <w:rsid w:val="00B945E8"/>
    <w:rsid w:val="00B96119"/>
    <w:rsid w:val="00BA245B"/>
    <w:rsid w:val="00BB02C0"/>
    <w:rsid w:val="00BD2505"/>
    <w:rsid w:val="00BD302B"/>
    <w:rsid w:val="00BD70D5"/>
    <w:rsid w:val="00BE6056"/>
    <w:rsid w:val="00BF05C6"/>
    <w:rsid w:val="00BF70F5"/>
    <w:rsid w:val="00C04646"/>
    <w:rsid w:val="00C04E2A"/>
    <w:rsid w:val="00C1639A"/>
    <w:rsid w:val="00C204A7"/>
    <w:rsid w:val="00C36805"/>
    <w:rsid w:val="00C537D9"/>
    <w:rsid w:val="00C57073"/>
    <w:rsid w:val="00C75C28"/>
    <w:rsid w:val="00C80851"/>
    <w:rsid w:val="00CB54C0"/>
    <w:rsid w:val="00CB5503"/>
    <w:rsid w:val="00CC7F68"/>
    <w:rsid w:val="00CD13FF"/>
    <w:rsid w:val="00CD3A77"/>
    <w:rsid w:val="00CE2FFA"/>
    <w:rsid w:val="00D065FA"/>
    <w:rsid w:val="00D1229D"/>
    <w:rsid w:val="00D142C3"/>
    <w:rsid w:val="00D21774"/>
    <w:rsid w:val="00D25096"/>
    <w:rsid w:val="00D250D6"/>
    <w:rsid w:val="00D327D0"/>
    <w:rsid w:val="00D36E95"/>
    <w:rsid w:val="00D517D6"/>
    <w:rsid w:val="00D54B51"/>
    <w:rsid w:val="00D550BC"/>
    <w:rsid w:val="00D57E8D"/>
    <w:rsid w:val="00D57F4A"/>
    <w:rsid w:val="00D62D8D"/>
    <w:rsid w:val="00D672FA"/>
    <w:rsid w:val="00D85B5C"/>
    <w:rsid w:val="00D936C3"/>
    <w:rsid w:val="00DA5C2C"/>
    <w:rsid w:val="00DB498A"/>
    <w:rsid w:val="00DB5F74"/>
    <w:rsid w:val="00DB7D1D"/>
    <w:rsid w:val="00DC6D48"/>
    <w:rsid w:val="00DE4C06"/>
    <w:rsid w:val="00E11045"/>
    <w:rsid w:val="00E47005"/>
    <w:rsid w:val="00E51906"/>
    <w:rsid w:val="00E72491"/>
    <w:rsid w:val="00E738FF"/>
    <w:rsid w:val="00E808E0"/>
    <w:rsid w:val="00E81DC0"/>
    <w:rsid w:val="00E85196"/>
    <w:rsid w:val="00E94DCB"/>
    <w:rsid w:val="00E954E3"/>
    <w:rsid w:val="00E965B5"/>
    <w:rsid w:val="00EC32BF"/>
    <w:rsid w:val="00EC3DE0"/>
    <w:rsid w:val="00ED016C"/>
    <w:rsid w:val="00ED5F11"/>
    <w:rsid w:val="00EE7E20"/>
    <w:rsid w:val="00EF1713"/>
    <w:rsid w:val="00EF5BF5"/>
    <w:rsid w:val="00EF7214"/>
    <w:rsid w:val="00F10B4A"/>
    <w:rsid w:val="00F11538"/>
    <w:rsid w:val="00F248C2"/>
    <w:rsid w:val="00F2716A"/>
    <w:rsid w:val="00F32142"/>
    <w:rsid w:val="00F348DE"/>
    <w:rsid w:val="00F41E4F"/>
    <w:rsid w:val="00F44C6B"/>
    <w:rsid w:val="00F476AF"/>
    <w:rsid w:val="00F50E95"/>
    <w:rsid w:val="00F524B7"/>
    <w:rsid w:val="00F6433D"/>
    <w:rsid w:val="00F658B0"/>
    <w:rsid w:val="00F7077C"/>
    <w:rsid w:val="00F90E79"/>
    <w:rsid w:val="00F91275"/>
    <w:rsid w:val="00F968D1"/>
    <w:rsid w:val="00FA36E9"/>
    <w:rsid w:val="00FA46F7"/>
    <w:rsid w:val="00FB578C"/>
    <w:rsid w:val="00FB67EF"/>
    <w:rsid w:val="00FC6725"/>
    <w:rsid w:val="00FD6F44"/>
    <w:rsid w:val="00FE47A2"/>
    <w:rsid w:val="00FF36D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0055804"/>
  <w15:docId w15:val="{DC4BAD2B-B54F-4A6D-93F9-FEE7FBFB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6EF"/>
    <w:rPr>
      <w:rFonts w:ascii="Times New Roman" w:eastAsia="Times New Roman" w:hAnsi="Times New Roman" w:cs="Times New Roman"/>
    </w:rPr>
  </w:style>
  <w:style w:type="paragraph" w:styleId="Heading1">
    <w:name w:val="heading 1"/>
    <w:basedOn w:val="Normal"/>
    <w:uiPriority w:val="9"/>
    <w:qFormat/>
    <w:rsid w:val="00B84503"/>
    <w:pPr>
      <w:numPr>
        <w:numId w:val="2"/>
      </w:numPr>
      <w:tabs>
        <w:tab w:val="left" w:pos="1259"/>
        <w:tab w:val="left" w:pos="1260"/>
      </w:tabs>
      <w:spacing w:after="240"/>
      <w:ind w:left="720"/>
      <w:outlineLvl w:val="0"/>
    </w:pPr>
    <w:rPr>
      <w:b/>
      <w:bCs/>
      <w:spacing w:val="-2"/>
      <w:sz w:val="24"/>
      <w:szCs w:val="24"/>
    </w:rPr>
  </w:style>
  <w:style w:type="paragraph" w:styleId="Heading2">
    <w:name w:val="heading 2"/>
    <w:basedOn w:val="Normal"/>
    <w:link w:val="Heading2Char"/>
    <w:uiPriority w:val="9"/>
    <w:unhideWhenUsed/>
    <w:qFormat/>
    <w:rsid w:val="00A21158"/>
    <w:pPr>
      <w:spacing w:after="240"/>
      <w:ind w:left="1440" w:hanging="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431D6F"/>
    <w:pPr>
      <w:tabs>
        <w:tab w:val="decimal" w:leader="dot" w:pos="9360"/>
      </w:tabs>
      <w:spacing w:after="240"/>
      <w:ind w:left="720" w:hanging="720"/>
    </w:pPr>
    <w:rPr>
      <w:sz w:val="24"/>
      <w:szCs w:val="24"/>
    </w:rPr>
  </w:style>
  <w:style w:type="paragraph" w:styleId="TOC2">
    <w:name w:val="toc 2"/>
    <w:basedOn w:val="Normal"/>
    <w:uiPriority w:val="39"/>
    <w:qFormat/>
    <w:rsid w:val="00431D6F"/>
    <w:pPr>
      <w:tabs>
        <w:tab w:val="decimal" w:leader="dot" w:pos="9360"/>
      </w:tabs>
      <w:spacing w:after="240"/>
      <w:ind w:left="1440" w:hanging="720"/>
    </w:pPr>
    <w:rPr>
      <w:sz w:val="24"/>
      <w:szCs w:val="24"/>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240"/>
      <w:ind w:left="1979" w:hanging="72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unhideWhenUsed/>
    <w:rsid w:val="001C092D"/>
    <w:rPr>
      <w:sz w:val="16"/>
      <w:szCs w:val="16"/>
    </w:rPr>
  </w:style>
  <w:style w:type="paragraph" w:styleId="CommentText">
    <w:name w:val="annotation text"/>
    <w:basedOn w:val="Normal"/>
    <w:link w:val="CommentTextChar"/>
    <w:uiPriority w:val="99"/>
    <w:unhideWhenUsed/>
    <w:rsid w:val="001C092D"/>
    <w:rPr>
      <w:sz w:val="20"/>
      <w:szCs w:val="20"/>
    </w:rPr>
  </w:style>
  <w:style w:type="character" w:customStyle="1" w:styleId="CommentTextChar">
    <w:name w:val="Comment Text Char"/>
    <w:basedOn w:val="DefaultParagraphFont"/>
    <w:link w:val="CommentText"/>
    <w:uiPriority w:val="99"/>
    <w:rsid w:val="001C09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092D"/>
    <w:rPr>
      <w:b/>
      <w:bCs/>
    </w:rPr>
  </w:style>
  <w:style w:type="character" w:customStyle="1" w:styleId="CommentSubjectChar">
    <w:name w:val="Comment Subject Char"/>
    <w:basedOn w:val="CommentTextChar"/>
    <w:link w:val="CommentSubject"/>
    <w:uiPriority w:val="99"/>
    <w:semiHidden/>
    <w:rsid w:val="001C092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C092D"/>
    <w:pPr>
      <w:tabs>
        <w:tab w:val="center" w:pos="4680"/>
        <w:tab w:val="right" w:pos="9360"/>
      </w:tabs>
    </w:pPr>
  </w:style>
  <w:style w:type="character" w:customStyle="1" w:styleId="HeaderChar">
    <w:name w:val="Header Char"/>
    <w:basedOn w:val="DefaultParagraphFont"/>
    <w:link w:val="Header"/>
    <w:uiPriority w:val="99"/>
    <w:rsid w:val="001C092D"/>
    <w:rPr>
      <w:rFonts w:ascii="Times New Roman" w:eastAsia="Times New Roman" w:hAnsi="Times New Roman" w:cs="Times New Roman"/>
    </w:rPr>
  </w:style>
  <w:style w:type="paragraph" w:styleId="Footer">
    <w:name w:val="footer"/>
    <w:basedOn w:val="Normal"/>
    <w:link w:val="FooterChar"/>
    <w:uiPriority w:val="99"/>
    <w:unhideWhenUsed/>
    <w:rsid w:val="001C092D"/>
    <w:pPr>
      <w:tabs>
        <w:tab w:val="center" w:pos="4680"/>
        <w:tab w:val="right" w:pos="9360"/>
      </w:tabs>
    </w:pPr>
  </w:style>
  <w:style w:type="character" w:customStyle="1" w:styleId="FooterChar">
    <w:name w:val="Footer Char"/>
    <w:basedOn w:val="DefaultParagraphFont"/>
    <w:link w:val="Footer"/>
    <w:uiPriority w:val="99"/>
    <w:rsid w:val="001C092D"/>
    <w:rPr>
      <w:rFonts w:ascii="Times New Roman" w:eastAsia="Times New Roman" w:hAnsi="Times New Roman" w:cs="Times New Roman"/>
    </w:rPr>
  </w:style>
  <w:style w:type="character" w:styleId="Hyperlink">
    <w:name w:val="Hyperlink"/>
    <w:basedOn w:val="DefaultParagraphFont"/>
    <w:uiPriority w:val="99"/>
    <w:unhideWhenUsed/>
    <w:rsid w:val="009D0E9D"/>
    <w:rPr>
      <w:color w:val="0000FF" w:themeColor="hyperlink"/>
      <w:u w:val="single"/>
    </w:rPr>
  </w:style>
  <w:style w:type="character" w:customStyle="1" w:styleId="UnresolvedMention">
    <w:name w:val="Unresolved Mention"/>
    <w:basedOn w:val="DefaultParagraphFont"/>
    <w:uiPriority w:val="99"/>
    <w:semiHidden/>
    <w:unhideWhenUsed/>
    <w:rsid w:val="009D0E9D"/>
    <w:rPr>
      <w:color w:val="605E5C"/>
      <w:shd w:val="clear" w:color="auto" w:fill="E1DFDD"/>
    </w:rPr>
  </w:style>
  <w:style w:type="character" w:customStyle="1" w:styleId="Heading2Char">
    <w:name w:val="Heading 2 Char"/>
    <w:basedOn w:val="DefaultParagraphFont"/>
    <w:link w:val="Heading2"/>
    <w:uiPriority w:val="9"/>
    <w:rsid w:val="00A21158"/>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D21774"/>
    <w:rPr>
      <w:rFonts w:ascii="Times New Roman" w:eastAsia="Times New Roman" w:hAnsi="Times New Roman" w:cs="Times New Roman"/>
      <w:sz w:val="24"/>
      <w:szCs w:val="24"/>
    </w:rPr>
  </w:style>
  <w:style w:type="paragraph" w:styleId="FootnoteText">
    <w:name w:val="footnote text"/>
    <w:aliases w:val="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rsid w:val="00D21774"/>
    <w:rPr>
      <w:sz w:val="20"/>
      <w:szCs w:val="20"/>
    </w:rPr>
  </w:style>
  <w:style w:type="character" w:customStyle="1" w:styleId="FootnoteTextChar">
    <w:name w:val="Footnote Text Char"/>
    <w:aliases w:val="Footnote Text Char Char Char,Footnote Text Char Char Char Char Char,Footnote Text Char Char Char1 Char,Footnote Text Char Char1 Char,Footnote Text Char1 Char Char Char,Footnote Text Char1 Char1 Char,Footnote Text Char2 Char,fn Char"/>
    <w:basedOn w:val="DefaultParagraphFont"/>
    <w:link w:val="FootnoteText"/>
    <w:uiPriority w:val="99"/>
    <w:rsid w:val="00D21774"/>
    <w:rPr>
      <w:rFonts w:ascii="Times New Roman" w:eastAsia="Times New Roman" w:hAnsi="Times New Roman" w:cs="Times New Roman"/>
      <w:sz w:val="20"/>
      <w:szCs w:val="20"/>
    </w:rPr>
  </w:style>
  <w:style w:type="character" w:styleId="FootnoteReference">
    <w:name w:val="footnote reference"/>
    <w:aliases w:val="(NECG) Footnote Reference,Appel note de bas de p,SR FR,Style 11,Style 12,Style 124,Style 13,Style 15,Style 17,Style 18,Style 19,Style 20,Style 21,Style 28,Style 3,Style 4,Style 42,Style 7,Style 8,Style 9,fnr,fr,fr1,fr2,fr3,o,o1,o2,o3"/>
    <w:basedOn w:val="DefaultParagraphFont"/>
    <w:uiPriority w:val="99"/>
    <w:unhideWhenUsed/>
    <w:qFormat/>
    <w:rsid w:val="00D21774"/>
    <w:rPr>
      <w:vertAlign w:val="superscript"/>
    </w:rPr>
  </w:style>
  <w:style w:type="paragraph" w:styleId="Caption">
    <w:name w:val="caption"/>
    <w:basedOn w:val="Normal"/>
    <w:next w:val="Normal"/>
    <w:uiPriority w:val="35"/>
    <w:unhideWhenUsed/>
    <w:qFormat/>
    <w:rsid w:val="002A25F9"/>
    <w:pPr>
      <w:keepNext/>
      <w:ind w:left="547"/>
      <w:jc w:val="both"/>
    </w:pPr>
    <w:rPr>
      <w:b/>
      <w:bCs/>
      <w:color w:val="000000" w:themeColor="text1"/>
    </w:rPr>
  </w:style>
  <w:style w:type="paragraph" w:styleId="NoSpacing">
    <w:name w:val="No Spacing"/>
    <w:uiPriority w:val="1"/>
    <w:qFormat/>
    <w:rsid w:val="00D21774"/>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D21774"/>
    <w:rPr>
      <w:color w:val="800080" w:themeColor="followedHyperlink"/>
      <w:u w:val="single"/>
    </w:rPr>
  </w:style>
  <w:style w:type="character" w:customStyle="1" w:styleId="FootnoteTextChar1">
    <w:name w:val="Footnote Text Char1"/>
    <w:basedOn w:val="DefaultParagraphFont"/>
    <w:uiPriority w:val="99"/>
    <w:rsid w:val="00D21774"/>
    <w:rPr>
      <w:sz w:val="20"/>
      <w:szCs w:val="20"/>
    </w:rPr>
  </w:style>
  <w:style w:type="paragraph" w:styleId="Quote">
    <w:name w:val="Quote"/>
    <w:basedOn w:val="Normal"/>
    <w:next w:val="Normal"/>
    <w:link w:val="QuoteChar"/>
    <w:uiPriority w:val="29"/>
    <w:qFormat/>
    <w:rsid w:val="0053478B"/>
    <w:pPr>
      <w:widowControl/>
      <w:adjustRightInd w:val="0"/>
      <w:spacing w:after="240"/>
      <w:ind w:left="1440" w:right="1656"/>
    </w:pPr>
    <w:rPr>
      <w:rFonts w:ascii="Times-Roman" w:hAnsi="Times-Roman" w:eastAsiaTheme="minorHAnsi" w:cs="Times-Roman"/>
      <w:sz w:val="24"/>
      <w:szCs w:val="24"/>
    </w:rPr>
  </w:style>
  <w:style w:type="character" w:customStyle="1" w:styleId="QuoteChar">
    <w:name w:val="Quote Char"/>
    <w:basedOn w:val="DefaultParagraphFont"/>
    <w:link w:val="Quote"/>
    <w:uiPriority w:val="29"/>
    <w:rsid w:val="0053478B"/>
    <w:rPr>
      <w:rFonts w:ascii="Times-Roman" w:hAnsi="Times-Roman" w:cs="Times-Roman"/>
      <w:sz w:val="24"/>
      <w:szCs w:val="24"/>
    </w:rPr>
  </w:style>
  <w:style w:type="paragraph" w:styleId="Revision">
    <w:name w:val="Revision"/>
    <w:hidden/>
    <w:uiPriority w:val="99"/>
    <w:semiHidden/>
    <w:rsid w:val="00616512"/>
    <w:pPr>
      <w:widowControl/>
      <w:autoSpaceDE/>
      <w:autoSpaceDN/>
    </w:pPr>
    <w:rPr>
      <w:rFonts w:ascii="Times New Roman" w:eastAsia="Times New Roman" w:hAnsi="Times New Roman" w:cs="Times New Roman"/>
    </w:rPr>
  </w:style>
  <w:style w:type="character" w:customStyle="1" w:styleId="markedcontent">
    <w:name w:val="markedcontent"/>
    <w:basedOn w:val="DefaultParagraphFont"/>
    <w:rsid w:val="00BD70D5"/>
  </w:style>
  <w:style w:type="paragraph" w:styleId="HTMLPreformatted">
    <w:name w:val="HTML Preformatted"/>
    <w:aliases w:val=" Char,Char"/>
    <w:basedOn w:val="Normal"/>
    <w:link w:val="HTMLPreformattedChar"/>
    <w:rsid w:val="007C5B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cs="Courier New"/>
      <w:sz w:val="20"/>
      <w:szCs w:val="20"/>
    </w:rPr>
  </w:style>
  <w:style w:type="character" w:customStyle="1" w:styleId="HTMLPreformattedChar">
    <w:name w:val="HTML Preformatted Char"/>
    <w:aliases w:val=" Char Char,Char Char"/>
    <w:basedOn w:val="DefaultParagraphFont"/>
    <w:link w:val="HTMLPreformatted"/>
    <w:rsid w:val="007C5BFF"/>
    <w:rPr>
      <w:rFonts w:ascii="Courier New" w:eastAsia="Courier New" w:hAnsi="Courier New" w:cs="Courier New"/>
      <w:sz w:val="20"/>
      <w:szCs w:val="20"/>
    </w:rPr>
  </w:style>
  <w:style w:type="character" w:customStyle="1" w:styleId="sssh">
    <w:name w:val="ss_sh"/>
    <w:basedOn w:val="DefaultParagraphFont"/>
    <w:rsid w:val="00637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oter" Target="footer4.xml" /><Relationship Id="rId15" Type="http://schemas.openxmlformats.org/officeDocument/2006/relationships/image" Target="media/image1.emf" /><Relationship Id="rId16" Type="http://schemas.openxmlformats.org/officeDocument/2006/relationships/hyperlink" Target="mailto:thomas.lindgren@ohioAGO.gov" TargetMode="External" /><Relationship Id="rId17" Type="http://schemas.openxmlformats.org/officeDocument/2006/relationships/hyperlink" Target="mailto:Rocco.dascenzo@duke-energy.com" TargetMode="External" /><Relationship Id="rId18" Type="http://schemas.openxmlformats.org/officeDocument/2006/relationships/hyperlink" Target="mailto:Jeanne.kingery@duke-energy.com" TargetMode="External" /><Relationship Id="rId19" Type="http://schemas.openxmlformats.org/officeDocument/2006/relationships/hyperlink" Target="mailto:Larisa.vaysman@duke-energy.com" TargetMode="External" /><Relationship Id="rId2" Type="http://schemas.openxmlformats.org/officeDocument/2006/relationships/settings" Target="settings.xml" /><Relationship Id="rId20" Type="http://schemas.openxmlformats.org/officeDocument/2006/relationships/hyperlink" Target="mailto:elyse.akhbari@duke-energy.com" TargetMode="External" /><Relationship Id="rId21" Type="http://schemas.openxmlformats.org/officeDocument/2006/relationships/hyperlink" Target="mailto:megan.addison@puco.ohio.gov" TargetMode="External" /><Relationship Id="rId22" Type="http://schemas.openxmlformats.org/officeDocument/2006/relationships/hyperlink" Target="mailto:jesse.davis@puco.ohio.gov" TargetMode="External" /><Relationship Id="rId23" Type="http://schemas.openxmlformats.org/officeDocument/2006/relationships/hyperlink" Target="mailto:rdove@keglerbrown.com" TargetMode="External" /><Relationship Id="rId24" Type="http://schemas.openxmlformats.org/officeDocument/2006/relationships/hyperlink" Target="mailto:stnourse@aep.com" TargetMode="External" /><Relationship Id="rId25" Type="http://schemas.openxmlformats.org/officeDocument/2006/relationships/hyperlink" Target="mailto:trent@hubaydougherty.com" TargetMode="External" /><Relationship Id="rId26" Type="http://schemas.openxmlformats.org/officeDocument/2006/relationships/hyperlink" Target="mailto:talexander@beneschlaw.com" TargetMode="External" /><Relationship Id="rId27" Type="http://schemas.openxmlformats.org/officeDocument/2006/relationships/hyperlink" Target="mailto:Bojko@carpenterlipps.com" TargetMode="External" /><Relationship Id="rId28" Type="http://schemas.openxmlformats.org/officeDocument/2006/relationships/hyperlink" Target="mailto:Wygonski@carpenterlipps.com" TargetMode="External" /><Relationship Id="rId29" Type="http://schemas.openxmlformats.org/officeDocument/2006/relationships/hyperlink" Target="mailto:Paul@carpenterlipps.com" TargetMode="External" /><Relationship Id="rId3" Type="http://schemas.openxmlformats.org/officeDocument/2006/relationships/webSettings" Target="webSettings.xml" /><Relationship Id="rId30" Type="http://schemas.openxmlformats.org/officeDocument/2006/relationships/hyperlink" Target="mailto:randall.griffin@aes.com" TargetMode="External" /><Relationship Id="rId31" Type="http://schemas.openxmlformats.org/officeDocument/2006/relationships/hyperlink" Target="mailto:ctavenor@theoec.org" TargetMode="External" /><Relationship Id="rId32" Type="http://schemas.openxmlformats.org/officeDocument/2006/relationships/hyperlink" Target="mailto:christopher.hollon@aes.com" TargetMode="External" /><Relationship Id="rId33" Type="http://schemas.openxmlformats.org/officeDocument/2006/relationships/footer" Target="footer5.xml" /><Relationship Id="rId34" Type="http://schemas.openxmlformats.org/officeDocument/2006/relationships/theme" Target="theme/theme1.xml" /><Relationship Id="rId35" Type="http://schemas.openxmlformats.org/officeDocument/2006/relationships/numbering" Target="numbering.xml" /><Relationship Id="rId36"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john.finnigan@occ.ohio.gov" TargetMode="External" /><Relationship Id="rId7" Type="http://schemas.openxmlformats.org/officeDocument/2006/relationships/hyperlink" Target="mailto:william.michael@occ.ohio.gov" TargetMode="External" /><Relationship Id="rId8" Type="http://schemas.openxmlformats.org/officeDocument/2006/relationships/header" Target="header1.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pjm.com/-/media/training/nerc-certifications/markets-exam-materials/mkt-optimization-wkshp/unit-commitment-and-dispatch.ashx" TargetMode="External" /><Relationship Id="rId2" Type="http://schemas.openxmlformats.org/officeDocument/2006/relationships/hyperlink" Target="https://www.pjm.com/-/media/committees-groups/task-forces/epfstf/20180129/20180129-item-07b-lmp-calculation-and-uplift.ashx%23:~:text=Make-whole%20payments%3A%20Occur%20when,and%20no-load%20costs).&amp;text=Lost%20opportunity%20cost%3A%20Occurs%20when,point%20is%20not%20profit%20maximizing" TargetMode="External" /><Relationship Id="rId3" Type="http://schemas.openxmlformats.org/officeDocument/2006/relationships/hyperlink" Target="https://campd.epa.gov/" TargetMode="External" /><Relationship Id="rId4" Type="http://schemas.openxmlformats.org/officeDocument/2006/relationships/hyperlink" Target="https://dataminer2.pjm.com/" TargetMode="External" /><Relationship Id="rId5" Type="http://schemas.openxmlformats.org/officeDocument/2006/relationships/hyperlink" Target="https://mi-psc.force.com/sfc/servlet.shepherd/version/download/0688y000006ctmIAAQ" TargetMode="External" /><Relationship Id="rId6" Type="http://schemas.openxmlformats.org/officeDocument/2006/relationships/hyperlink" Target="https://www.federalregister.gov/documents/2020/08/28/2020-16872/hazardous-and-solid-waste-management-system-disposal-of-coal-combustion-residuals-from-electric" TargetMode="External" /><Relationship Id="rId7" Type="http://schemas.openxmlformats.org/officeDocument/2006/relationships/hyperlink" Target="https://www.epa.gov/coalash/coal-combustion-residuals-ccr-part-implementation" TargetMode="External" /><Relationship Id="rId8" Type="http://schemas.openxmlformats.org/officeDocument/2006/relationships/hyperlink" Target="https://www.eia.gov/electricity/data/eia860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3CB45-16D5-4CBE-ADA3-95AACFC39E9C}">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17</ap:TotalTime>
  <ap:Pages>2</ap:Pages>
  <ap:Words>4086</ap:Words>
  <ap:Characters>23291</ap:Characters>
  <ap:Application>Microsoft Office Word</ap:Application>
  <ap:DocSecurity>0</ap:DocSecurity>
  <ap:Lines>194</ap:Lines>
  <ap:Paragraphs>54</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27323</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2023-05-08T20:26:41Z</dcterms:created>
  <dcterms:modified xsi:type="dcterms:W3CDTF">2023-05-08T20:26:41Z</dcterms:modified>
</cp:coreProperties>
</file>