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A1" w:rsidRPr="00F97E6F" w:rsidRDefault="004B40A1" w:rsidP="004B40A1">
      <w:pPr>
        <w:jc w:val="center"/>
        <w:rPr>
          <w:rFonts w:ascii="Times New Roman" w:hAnsi="Times New Roman"/>
          <w:b/>
          <w:bCs/>
          <w:szCs w:val="24"/>
        </w:rPr>
      </w:pPr>
      <w:r w:rsidRPr="00F97E6F">
        <w:rPr>
          <w:rFonts w:ascii="Times New Roman" w:hAnsi="Times New Roman"/>
          <w:b/>
          <w:bCs/>
          <w:szCs w:val="24"/>
        </w:rPr>
        <w:t>BEFORE THE</w:t>
      </w:r>
    </w:p>
    <w:p w:rsidR="004B40A1" w:rsidRPr="00F97E6F" w:rsidRDefault="004B40A1" w:rsidP="004B40A1">
      <w:pPr>
        <w:jc w:val="center"/>
        <w:rPr>
          <w:rFonts w:ascii="Times New Roman" w:hAnsi="Times New Roman"/>
          <w:b/>
          <w:bCs/>
          <w:szCs w:val="24"/>
        </w:rPr>
      </w:pPr>
    </w:p>
    <w:p w:rsidR="004B40A1" w:rsidRPr="00F97E6F" w:rsidRDefault="004B40A1" w:rsidP="004B40A1">
      <w:pPr>
        <w:jc w:val="center"/>
        <w:rPr>
          <w:rFonts w:ascii="Times New Roman" w:hAnsi="Times New Roman"/>
          <w:b/>
          <w:bCs/>
          <w:szCs w:val="24"/>
        </w:rPr>
      </w:pPr>
      <w:r w:rsidRPr="00F97E6F">
        <w:rPr>
          <w:rFonts w:ascii="Times New Roman" w:hAnsi="Times New Roman"/>
          <w:b/>
          <w:bCs/>
          <w:szCs w:val="24"/>
        </w:rPr>
        <w:t>PUBLIC UTILITIES COMMISSION OF OHIO</w:t>
      </w:r>
    </w:p>
    <w:p w:rsidR="004B40A1" w:rsidRPr="00F97E6F" w:rsidRDefault="004B40A1" w:rsidP="004B40A1">
      <w:pPr>
        <w:rPr>
          <w:rFonts w:ascii="Times New Roman" w:hAnsi="Times New Roman"/>
          <w:b/>
          <w:szCs w:val="24"/>
        </w:rPr>
      </w:pPr>
    </w:p>
    <w:p w:rsidR="004B40A1" w:rsidRPr="00F97E6F" w:rsidRDefault="004B40A1" w:rsidP="004B40A1">
      <w:pPr>
        <w:rPr>
          <w:rFonts w:ascii="Times New Roman" w:hAnsi="Times New Roman"/>
          <w:b/>
          <w:szCs w:val="24"/>
        </w:rPr>
      </w:pPr>
    </w:p>
    <w:tbl>
      <w:tblPr>
        <w:tblW w:w="0" w:type="auto"/>
        <w:tblLook w:val="01E0"/>
      </w:tblPr>
      <w:tblGrid>
        <w:gridCol w:w="4518"/>
        <w:gridCol w:w="630"/>
        <w:gridCol w:w="3708"/>
      </w:tblGrid>
      <w:tr w:rsidR="004B40A1" w:rsidRPr="00F97E6F" w:rsidTr="00D0021F">
        <w:tc>
          <w:tcPr>
            <w:tcW w:w="4518" w:type="dxa"/>
          </w:tcPr>
          <w:p w:rsidR="004B40A1" w:rsidRPr="00F97E6F" w:rsidRDefault="004B40A1" w:rsidP="00D0021F">
            <w:pPr>
              <w:pStyle w:val="BodyText2"/>
              <w:ind w:right="252"/>
              <w:jc w:val="both"/>
              <w:rPr>
                <w:rFonts w:ascii="Times New Roman" w:hAnsi="Times New Roman"/>
                <w:b w:val="0"/>
                <w:bCs/>
                <w:szCs w:val="24"/>
              </w:rPr>
            </w:pPr>
            <w:r w:rsidRPr="00F97E6F">
              <w:rPr>
                <w:rFonts w:ascii="Times New Roman" w:hAnsi="Times New Roman"/>
                <w:b w:val="0"/>
                <w:bCs/>
                <w:szCs w:val="24"/>
              </w:rPr>
              <w:t>In the Matter of the Application of Duke Energy Ohio, Inc., for Approval of Pilot Tariff Rates TD 2012 and PTR 3.0.</w:t>
            </w:r>
          </w:p>
          <w:p w:rsidR="004B40A1" w:rsidRPr="00F97E6F" w:rsidRDefault="004B40A1" w:rsidP="00D0021F">
            <w:pPr>
              <w:pStyle w:val="BodyText2"/>
              <w:ind w:right="252"/>
              <w:jc w:val="both"/>
              <w:rPr>
                <w:rFonts w:ascii="Times New Roman" w:hAnsi="Times New Roman"/>
                <w:b w:val="0"/>
                <w:bCs/>
                <w:szCs w:val="24"/>
              </w:rPr>
            </w:pPr>
          </w:p>
          <w:p w:rsidR="004B40A1" w:rsidRPr="00F97E6F" w:rsidRDefault="004B40A1" w:rsidP="00D0021F">
            <w:pPr>
              <w:pStyle w:val="BodyText2"/>
              <w:ind w:right="252"/>
              <w:jc w:val="both"/>
              <w:rPr>
                <w:rFonts w:ascii="Times New Roman" w:hAnsi="Times New Roman"/>
                <w:b w:val="0"/>
                <w:bCs/>
                <w:szCs w:val="24"/>
              </w:rPr>
            </w:pPr>
          </w:p>
        </w:tc>
        <w:tc>
          <w:tcPr>
            <w:tcW w:w="630" w:type="dxa"/>
          </w:tcPr>
          <w:p w:rsidR="004B40A1" w:rsidRPr="00F97E6F" w:rsidRDefault="004B40A1" w:rsidP="00D0021F">
            <w:pPr>
              <w:pStyle w:val="BodyText2"/>
              <w:rPr>
                <w:rFonts w:ascii="Times New Roman" w:hAnsi="Times New Roman"/>
                <w:bCs/>
                <w:szCs w:val="24"/>
              </w:rPr>
            </w:pPr>
            <w:r w:rsidRPr="00F97E6F">
              <w:rPr>
                <w:rFonts w:ascii="Times New Roman" w:hAnsi="Times New Roman"/>
                <w:bCs/>
                <w:szCs w:val="24"/>
              </w:rPr>
              <w:t>)</w:t>
            </w:r>
          </w:p>
          <w:p w:rsidR="004B40A1" w:rsidRPr="00F97E6F" w:rsidRDefault="004B40A1" w:rsidP="00D0021F">
            <w:pPr>
              <w:pStyle w:val="BodyText2"/>
              <w:rPr>
                <w:rFonts w:ascii="Times New Roman" w:hAnsi="Times New Roman"/>
                <w:bCs/>
                <w:szCs w:val="24"/>
              </w:rPr>
            </w:pPr>
            <w:r w:rsidRPr="00F97E6F">
              <w:rPr>
                <w:rFonts w:ascii="Times New Roman" w:hAnsi="Times New Roman"/>
                <w:bCs/>
                <w:szCs w:val="24"/>
              </w:rPr>
              <w:t>)</w:t>
            </w:r>
          </w:p>
          <w:p w:rsidR="004B40A1" w:rsidRPr="00F97E6F" w:rsidRDefault="004B40A1" w:rsidP="00D0021F">
            <w:pPr>
              <w:pStyle w:val="BodyText2"/>
              <w:rPr>
                <w:rFonts w:ascii="Times New Roman" w:hAnsi="Times New Roman"/>
                <w:bCs/>
                <w:szCs w:val="24"/>
              </w:rPr>
            </w:pPr>
            <w:r w:rsidRPr="00F97E6F">
              <w:rPr>
                <w:rFonts w:ascii="Times New Roman" w:hAnsi="Times New Roman"/>
                <w:bCs/>
                <w:szCs w:val="24"/>
              </w:rPr>
              <w:t>)</w:t>
            </w:r>
          </w:p>
          <w:p w:rsidR="004B40A1" w:rsidRPr="00F97E6F" w:rsidRDefault="004B40A1" w:rsidP="00D0021F">
            <w:pPr>
              <w:pStyle w:val="BodyText2"/>
              <w:rPr>
                <w:rFonts w:ascii="Times New Roman" w:hAnsi="Times New Roman"/>
                <w:bCs/>
                <w:szCs w:val="24"/>
              </w:rPr>
            </w:pPr>
          </w:p>
          <w:p w:rsidR="004B40A1" w:rsidRPr="00F97E6F" w:rsidRDefault="004B40A1" w:rsidP="00D0021F">
            <w:pPr>
              <w:pStyle w:val="BodyText2"/>
              <w:rPr>
                <w:rFonts w:ascii="Times New Roman" w:hAnsi="Times New Roman"/>
                <w:b w:val="0"/>
                <w:bCs/>
                <w:szCs w:val="24"/>
              </w:rPr>
            </w:pPr>
          </w:p>
        </w:tc>
        <w:tc>
          <w:tcPr>
            <w:tcW w:w="3708" w:type="dxa"/>
          </w:tcPr>
          <w:p w:rsidR="004B40A1" w:rsidRPr="00F97E6F" w:rsidRDefault="004B40A1" w:rsidP="00D0021F">
            <w:pPr>
              <w:pStyle w:val="BodyText2"/>
              <w:rPr>
                <w:rFonts w:ascii="Times New Roman" w:hAnsi="Times New Roman"/>
                <w:b w:val="0"/>
                <w:bCs/>
                <w:szCs w:val="24"/>
              </w:rPr>
            </w:pPr>
          </w:p>
          <w:p w:rsidR="004B40A1" w:rsidRPr="00F97E6F" w:rsidRDefault="004B40A1" w:rsidP="00D0021F">
            <w:pPr>
              <w:pStyle w:val="BodyText2"/>
              <w:rPr>
                <w:rFonts w:ascii="Times New Roman" w:hAnsi="Times New Roman"/>
                <w:b w:val="0"/>
                <w:bCs/>
                <w:szCs w:val="24"/>
              </w:rPr>
            </w:pPr>
            <w:r w:rsidRPr="00F97E6F">
              <w:rPr>
                <w:rFonts w:ascii="Times New Roman" w:hAnsi="Times New Roman"/>
                <w:b w:val="0"/>
                <w:bCs/>
                <w:szCs w:val="24"/>
              </w:rPr>
              <w:t>Case No. 12-</w:t>
            </w:r>
            <w:r w:rsidR="00F97E6F" w:rsidRPr="00F97E6F">
              <w:rPr>
                <w:rFonts w:ascii="Times New Roman" w:hAnsi="Times New Roman"/>
                <w:b w:val="0"/>
                <w:bCs/>
                <w:szCs w:val="24"/>
              </w:rPr>
              <w:t>609</w:t>
            </w:r>
            <w:r w:rsidRPr="00F97E6F">
              <w:rPr>
                <w:rFonts w:ascii="Times New Roman" w:hAnsi="Times New Roman"/>
                <w:b w:val="0"/>
                <w:bCs/>
                <w:szCs w:val="24"/>
              </w:rPr>
              <w:t xml:space="preserve"> -EL-ATA</w:t>
            </w:r>
          </w:p>
          <w:p w:rsidR="004B40A1" w:rsidRPr="00F97E6F" w:rsidRDefault="004B40A1" w:rsidP="00D0021F">
            <w:pPr>
              <w:pStyle w:val="BodyText2"/>
              <w:rPr>
                <w:rFonts w:ascii="Times New Roman" w:hAnsi="Times New Roman"/>
                <w:b w:val="0"/>
                <w:bCs/>
                <w:szCs w:val="24"/>
              </w:rPr>
            </w:pPr>
          </w:p>
          <w:p w:rsidR="004B40A1" w:rsidRPr="00F97E6F" w:rsidRDefault="004B40A1" w:rsidP="00D0021F">
            <w:pPr>
              <w:rPr>
                <w:rFonts w:ascii="Times New Roman" w:hAnsi="Times New Roman"/>
                <w:szCs w:val="24"/>
              </w:rPr>
            </w:pPr>
          </w:p>
        </w:tc>
      </w:tr>
    </w:tbl>
    <w:p w:rsidR="004B40A1" w:rsidRPr="00F97E6F" w:rsidRDefault="004B40A1" w:rsidP="004B40A1">
      <w:pPr>
        <w:tabs>
          <w:tab w:val="left" w:pos="720"/>
          <w:tab w:val="left" w:pos="5670"/>
          <w:tab w:val="left" w:pos="6030"/>
        </w:tabs>
        <w:rPr>
          <w:rFonts w:ascii="Times New Roman" w:hAnsi="Times New Roman"/>
          <w:szCs w:val="24"/>
        </w:rPr>
      </w:pPr>
      <w:r w:rsidRPr="00F97E6F">
        <w:rPr>
          <w:rFonts w:ascii="Times New Roman" w:hAnsi="Times New Roman"/>
          <w:szCs w:val="24"/>
        </w:rPr>
        <w:tab/>
      </w:r>
    </w:p>
    <w:p w:rsidR="004B40A1" w:rsidRPr="00F97E6F" w:rsidRDefault="004B40A1" w:rsidP="004B40A1">
      <w:pPr>
        <w:pBdr>
          <w:top w:val="single" w:sz="4" w:space="1" w:color="auto"/>
          <w:bottom w:val="single" w:sz="4" w:space="1" w:color="auto"/>
        </w:pBdr>
        <w:tabs>
          <w:tab w:val="left" w:pos="720"/>
          <w:tab w:val="left" w:pos="5670"/>
          <w:tab w:val="left" w:pos="6030"/>
        </w:tabs>
        <w:jc w:val="center"/>
        <w:outlineLvl w:val="0"/>
        <w:rPr>
          <w:rFonts w:ascii="Times New Roman" w:hAnsi="Times New Roman"/>
          <w:b/>
          <w:szCs w:val="24"/>
        </w:rPr>
      </w:pPr>
    </w:p>
    <w:p w:rsidR="004B40A1" w:rsidRPr="00F97E6F" w:rsidRDefault="004B40A1" w:rsidP="004B40A1">
      <w:pPr>
        <w:pBdr>
          <w:top w:val="single" w:sz="4" w:space="1" w:color="auto"/>
          <w:bottom w:val="single" w:sz="4" w:space="1" w:color="auto"/>
        </w:pBdr>
        <w:tabs>
          <w:tab w:val="left" w:pos="720"/>
          <w:tab w:val="left" w:pos="5670"/>
          <w:tab w:val="left" w:pos="6030"/>
        </w:tabs>
        <w:jc w:val="center"/>
        <w:outlineLvl w:val="0"/>
        <w:rPr>
          <w:rFonts w:ascii="Times New Roman" w:hAnsi="Times New Roman"/>
          <w:b/>
          <w:szCs w:val="24"/>
        </w:rPr>
      </w:pPr>
      <w:r w:rsidRPr="00F97E6F">
        <w:rPr>
          <w:rFonts w:ascii="Times New Roman" w:hAnsi="Times New Roman"/>
          <w:b/>
          <w:szCs w:val="24"/>
        </w:rPr>
        <w:t xml:space="preserve">DUKE ENERGY OHIO, INC.’S </w:t>
      </w:r>
      <w:r w:rsidR="0051168A" w:rsidRPr="00F97E6F">
        <w:rPr>
          <w:rFonts w:ascii="Times New Roman" w:hAnsi="Times New Roman"/>
          <w:b/>
          <w:szCs w:val="24"/>
        </w:rPr>
        <w:t xml:space="preserve">AMENDED </w:t>
      </w:r>
      <w:r w:rsidRPr="00F97E6F">
        <w:rPr>
          <w:rFonts w:ascii="Times New Roman" w:hAnsi="Times New Roman"/>
          <w:b/>
          <w:szCs w:val="24"/>
        </w:rPr>
        <w:t xml:space="preserve">APPLICATION </w:t>
      </w:r>
    </w:p>
    <w:p w:rsidR="004B40A1" w:rsidRPr="00F97E6F" w:rsidRDefault="0051168A" w:rsidP="004B40A1">
      <w:pPr>
        <w:pBdr>
          <w:top w:val="single" w:sz="4" w:space="1" w:color="auto"/>
          <w:bottom w:val="single" w:sz="4" w:space="1" w:color="auto"/>
        </w:pBdr>
        <w:tabs>
          <w:tab w:val="left" w:pos="720"/>
          <w:tab w:val="left" w:pos="5670"/>
          <w:tab w:val="left" w:pos="6030"/>
        </w:tabs>
        <w:jc w:val="center"/>
        <w:outlineLvl w:val="0"/>
        <w:rPr>
          <w:rFonts w:ascii="Times New Roman" w:hAnsi="Times New Roman"/>
          <w:b/>
          <w:szCs w:val="24"/>
        </w:rPr>
      </w:pPr>
      <w:r w:rsidRPr="00F97E6F">
        <w:rPr>
          <w:rFonts w:ascii="Times New Roman" w:hAnsi="Times New Roman"/>
          <w:b/>
          <w:szCs w:val="24"/>
        </w:rPr>
        <w:t>FOR APPROVAL OF PILOT TARIFF RATES TD 2012 AND PTR 3.0</w:t>
      </w:r>
    </w:p>
    <w:p w:rsidR="0051168A" w:rsidRPr="00F97E6F" w:rsidRDefault="0051168A" w:rsidP="004B40A1">
      <w:pPr>
        <w:pBdr>
          <w:top w:val="single" w:sz="4" w:space="1" w:color="auto"/>
          <w:bottom w:val="single" w:sz="4" w:space="1" w:color="auto"/>
        </w:pBdr>
        <w:tabs>
          <w:tab w:val="left" w:pos="720"/>
          <w:tab w:val="left" w:pos="5670"/>
          <w:tab w:val="left" w:pos="6030"/>
        </w:tabs>
        <w:jc w:val="center"/>
        <w:outlineLvl w:val="0"/>
        <w:rPr>
          <w:rFonts w:ascii="Times New Roman" w:hAnsi="Times New Roman"/>
          <w:b/>
          <w:szCs w:val="24"/>
        </w:rPr>
      </w:pPr>
      <w:r w:rsidRPr="00F97E6F">
        <w:rPr>
          <w:rFonts w:ascii="Times New Roman" w:hAnsi="Times New Roman"/>
          <w:b/>
          <w:szCs w:val="24"/>
        </w:rPr>
        <w:t>AND REQUEST FOR EXPEDITED APPROVAL</w:t>
      </w:r>
    </w:p>
    <w:p w:rsidR="004B40A1" w:rsidRPr="00F97E6F" w:rsidRDefault="004B40A1" w:rsidP="004B40A1">
      <w:pPr>
        <w:pBdr>
          <w:top w:val="single" w:sz="4" w:space="1" w:color="auto"/>
          <w:bottom w:val="single" w:sz="4" w:space="1" w:color="auto"/>
        </w:pBdr>
        <w:tabs>
          <w:tab w:val="left" w:pos="720"/>
          <w:tab w:val="left" w:pos="5670"/>
          <w:tab w:val="left" w:pos="6030"/>
        </w:tabs>
        <w:jc w:val="center"/>
        <w:outlineLvl w:val="0"/>
        <w:rPr>
          <w:rFonts w:ascii="Times New Roman" w:hAnsi="Times New Roman"/>
          <w:b/>
          <w:szCs w:val="24"/>
        </w:rPr>
      </w:pPr>
    </w:p>
    <w:p w:rsidR="004B40A1" w:rsidRPr="00F97E6F" w:rsidRDefault="004B40A1" w:rsidP="004B40A1">
      <w:pPr>
        <w:ind w:left="720"/>
        <w:jc w:val="both"/>
        <w:rPr>
          <w:rFonts w:ascii="Times New Roman" w:hAnsi="Times New Roman"/>
          <w:b/>
          <w:szCs w:val="24"/>
        </w:rPr>
      </w:pPr>
    </w:p>
    <w:p w:rsidR="004B40A1" w:rsidRPr="00F97E6F" w:rsidRDefault="004B40A1" w:rsidP="004B40A1">
      <w:pPr>
        <w:pStyle w:val="ListParagraph"/>
        <w:numPr>
          <w:ilvl w:val="0"/>
          <w:numId w:val="1"/>
        </w:numPr>
        <w:tabs>
          <w:tab w:val="left" w:pos="9270"/>
        </w:tabs>
        <w:autoSpaceDE w:val="0"/>
        <w:autoSpaceDN w:val="0"/>
        <w:adjustRightInd w:val="0"/>
        <w:spacing w:line="480" w:lineRule="auto"/>
        <w:jc w:val="both"/>
        <w:rPr>
          <w:rFonts w:ascii="Times New Roman" w:hAnsi="Times New Roman"/>
          <w:szCs w:val="24"/>
        </w:rPr>
      </w:pPr>
      <w:r w:rsidRPr="00F97E6F">
        <w:rPr>
          <w:rFonts w:ascii="Times New Roman" w:hAnsi="Times New Roman"/>
          <w:b/>
          <w:szCs w:val="24"/>
        </w:rPr>
        <w:t xml:space="preserve"> Introduction</w:t>
      </w:r>
    </w:p>
    <w:p w:rsidR="0051168A" w:rsidRPr="00F97E6F" w:rsidRDefault="004B40A1" w:rsidP="0051168A">
      <w:pPr>
        <w:tabs>
          <w:tab w:val="left" w:pos="9270"/>
        </w:tabs>
        <w:autoSpaceDE w:val="0"/>
        <w:autoSpaceDN w:val="0"/>
        <w:adjustRightInd w:val="0"/>
        <w:spacing w:line="480" w:lineRule="auto"/>
        <w:ind w:firstLine="720"/>
        <w:jc w:val="both"/>
        <w:rPr>
          <w:rFonts w:ascii="Times New Roman" w:hAnsi="Times New Roman"/>
          <w:szCs w:val="24"/>
        </w:rPr>
      </w:pPr>
      <w:r w:rsidRPr="00F97E6F">
        <w:rPr>
          <w:rFonts w:ascii="Times New Roman" w:hAnsi="Times New Roman"/>
          <w:szCs w:val="24"/>
        </w:rPr>
        <w:t xml:space="preserve">Duke Energy Ohio, Inc., (Duke Energy Ohio) </w:t>
      </w:r>
      <w:r w:rsidR="0051168A" w:rsidRPr="00F97E6F">
        <w:rPr>
          <w:rFonts w:ascii="Times New Roman" w:hAnsi="Times New Roman"/>
          <w:szCs w:val="24"/>
        </w:rPr>
        <w:t xml:space="preserve">submitted its initial application in this proceeding on February 9, 2012, seeking approval of two new pilot tariff rates.   Duke Energy Ohio is deploying smart utility meters across its service territory.  In order to learn what rates can be accepted by customers for use in conserving energy, Duke Energy Ohio has actively </w:t>
      </w:r>
      <w:r w:rsidR="006A14F3" w:rsidRPr="00F97E6F">
        <w:rPr>
          <w:rFonts w:ascii="Times New Roman" w:hAnsi="Times New Roman"/>
          <w:szCs w:val="24"/>
        </w:rPr>
        <w:t xml:space="preserve">engaged customers in a number of pilot rate programs.  In doing so, the Company has learned a great deal and has shared all of that learning with the Duke Energy SmartGrid Collaborative.  This most recent Application represents an additional two tariff offerings that must be piloted in order to refine the understandings and gain clarity around customer choices.  These two pilots will replace three rate pilots offered by the Company in 2011, including Rate   </w:t>
      </w:r>
      <w:r w:rsidR="006157F3" w:rsidRPr="00F97E6F">
        <w:rPr>
          <w:rFonts w:ascii="Times New Roman" w:hAnsi="Times New Roman"/>
          <w:szCs w:val="24"/>
        </w:rPr>
        <w:t>TD Lite</w:t>
      </w:r>
      <w:r w:rsidR="006A14F3" w:rsidRPr="00F97E6F">
        <w:rPr>
          <w:rFonts w:ascii="Times New Roman" w:hAnsi="Times New Roman"/>
          <w:szCs w:val="24"/>
        </w:rPr>
        <w:t xml:space="preserve">, </w:t>
      </w:r>
      <w:r w:rsidR="006157F3" w:rsidRPr="00F97E6F">
        <w:rPr>
          <w:rFonts w:ascii="Times New Roman" w:hAnsi="Times New Roman"/>
          <w:szCs w:val="24"/>
        </w:rPr>
        <w:t xml:space="preserve">CPP Lite </w:t>
      </w:r>
      <w:r w:rsidR="006A14F3" w:rsidRPr="00F97E6F">
        <w:rPr>
          <w:rFonts w:ascii="Times New Roman" w:hAnsi="Times New Roman"/>
          <w:szCs w:val="24"/>
        </w:rPr>
        <w:t xml:space="preserve"> and </w:t>
      </w:r>
      <w:r w:rsidR="006157F3" w:rsidRPr="00F97E6F">
        <w:rPr>
          <w:rFonts w:ascii="Times New Roman" w:hAnsi="Times New Roman"/>
          <w:szCs w:val="24"/>
        </w:rPr>
        <w:t>PTR 2.0</w:t>
      </w:r>
      <w:r w:rsidR="006A14F3" w:rsidRPr="00F97E6F">
        <w:rPr>
          <w:rFonts w:ascii="Times New Roman" w:hAnsi="Times New Roman"/>
          <w:szCs w:val="24"/>
        </w:rPr>
        <w:t>.</w:t>
      </w:r>
    </w:p>
    <w:p w:rsidR="006A14F3" w:rsidRPr="00F97E6F" w:rsidRDefault="006A14F3" w:rsidP="006A14F3">
      <w:pPr>
        <w:tabs>
          <w:tab w:val="left" w:pos="9270"/>
        </w:tabs>
        <w:autoSpaceDE w:val="0"/>
        <w:autoSpaceDN w:val="0"/>
        <w:adjustRightInd w:val="0"/>
        <w:spacing w:line="480" w:lineRule="auto"/>
        <w:ind w:firstLine="720"/>
        <w:jc w:val="both"/>
        <w:rPr>
          <w:rFonts w:ascii="Times New Roman" w:hAnsi="Times New Roman"/>
          <w:szCs w:val="24"/>
        </w:rPr>
      </w:pPr>
      <w:r w:rsidRPr="00F97E6F">
        <w:rPr>
          <w:rFonts w:ascii="Times New Roman" w:hAnsi="Times New Roman"/>
          <w:szCs w:val="24"/>
        </w:rPr>
        <w:t xml:space="preserve">While the Company’s Application in this proceeding has been pending, additional information has developed and in order to supplement the original filing, Duke Energy Ohio </w:t>
      </w:r>
      <w:r w:rsidRPr="00F97E6F">
        <w:rPr>
          <w:rFonts w:ascii="Times New Roman" w:hAnsi="Times New Roman"/>
          <w:szCs w:val="24"/>
        </w:rPr>
        <w:lastRenderedPageBreak/>
        <w:t>submits this Amended Application to include additional information that may assist the Commission in determining whether or not to approve these pilot tariffs.</w:t>
      </w:r>
    </w:p>
    <w:p w:rsidR="006A14F3" w:rsidRPr="00F97E6F" w:rsidRDefault="006A14F3" w:rsidP="006A14F3">
      <w:pPr>
        <w:pStyle w:val="ListParagraph"/>
        <w:numPr>
          <w:ilvl w:val="0"/>
          <w:numId w:val="2"/>
        </w:numPr>
        <w:tabs>
          <w:tab w:val="left" w:pos="9270"/>
        </w:tabs>
        <w:autoSpaceDE w:val="0"/>
        <w:autoSpaceDN w:val="0"/>
        <w:adjustRightInd w:val="0"/>
        <w:spacing w:line="480" w:lineRule="auto"/>
        <w:jc w:val="both"/>
        <w:rPr>
          <w:rFonts w:ascii="Times New Roman" w:hAnsi="Times New Roman"/>
          <w:szCs w:val="24"/>
        </w:rPr>
      </w:pPr>
      <w:r w:rsidRPr="00F97E6F">
        <w:rPr>
          <w:rFonts w:ascii="Times New Roman" w:hAnsi="Times New Roman"/>
          <w:b/>
          <w:szCs w:val="24"/>
        </w:rPr>
        <w:t>Supplemental Information</w:t>
      </w:r>
      <w:r w:rsidR="00696722" w:rsidRPr="00F97E6F">
        <w:rPr>
          <w:rFonts w:ascii="Times New Roman" w:hAnsi="Times New Roman"/>
          <w:b/>
          <w:szCs w:val="24"/>
        </w:rPr>
        <w:t xml:space="preserve"> Pilot TD 2012</w:t>
      </w:r>
    </w:p>
    <w:p w:rsidR="00696722" w:rsidRPr="00F97E6F" w:rsidRDefault="006A14F3" w:rsidP="006A14F3">
      <w:pPr>
        <w:spacing w:line="480" w:lineRule="auto"/>
        <w:ind w:firstLine="720"/>
        <w:jc w:val="both"/>
        <w:rPr>
          <w:rFonts w:ascii="Times New Roman" w:hAnsi="Times New Roman"/>
        </w:rPr>
      </w:pPr>
      <w:r w:rsidRPr="00F97E6F">
        <w:rPr>
          <w:rFonts w:ascii="Times New Roman" w:hAnsi="Times New Roman"/>
        </w:rPr>
        <w:t xml:space="preserve">Duke Energy Ohio is proposing two separate pilot rates in this filing.  The first, pilot tariff TD 2012 is a time-of-use rate structure.  </w:t>
      </w:r>
      <w:r w:rsidR="00117683" w:rsidRPr="00F97E6F">
        <w:rPr>
          <w:rFonts w:ascii="Times New Roman" w:hAnsi="Times New Roman"/>
        </w:rPr>
        <w:t>This time</w:t>
      </w:r>
      <w:r w:rsidR="00604F1C" w:rsidRPr="00F97E6F">
        <w:rPr>
          <w:rFonts w:ascii="Times New Roman" w:hAnsi="Times New Roman"/>
        </w:rPr>
        <w:t xml:space="preserve">-of-use structure will modify </w:t>
      </w:r>
      <w:r w:rsidR="00117683" w:rsidRPr="00F97E6F">
        <w:rPr>
          <w:rFonts w:ascii="Times New Roman" w:hAnsi="Times New Roman"/>
        </w:rPr>
        <w:t xml:space="preserve">the </w:t>
      </w:r>
      <w:r w:rsidR="00266A5F" w:rsidRPr="00F97E6F">
        <w:rPr>
          <w:rFonts w:ascii="Times New Roman" w:hAnsi="Times New Roman"/>
        </w:rPr>
        <w:t xml:space="preserve">three </w:t>
      </w:r>
      <w:r w:rsidR="00117683" w:rsidRPr="00F97E6F">
        <w:rPr>
          <w:rFonts w:ascii="Times New Roman" w:hAnsi="Times New Roman"/>
        </w:rPr>
        <w:t xml:space="preserve">generation related riders that </w:t>
      </w:r>
      <w:r w:rsidR="00266A5F" w:rsidRPr="00F97E6F">
        <w:rPr>
          <w:rFonts w:ascii="Times New Roman" w:hAnsi="Times New Roman"/>
        </w:rPr>
        <w:t xml:space="preserve">make up </w:t>
      </w:r>
      <w:r w:rsidR="00117683" w:rsidRPr="00F97E6F">
        <w:rPr>
          <w:rFonts w:ascii="Times New Roman" w:hAnsi="Times New Roman"/>
        </w:rPr>
        <w:t>Duke E</w:t>
      </w:r>
      <w:r w:rsidR="00604F1C" w:rsidRPr="00F97E6F">
        <w:rPr>
          <w:rFonts w:ascii="Times New Roman" w:hAnsi="Times New Roman"/>
        </w:rPr>
        <w:t>nergy Ohio</w:t>
      </w:r>
      <w:r w:rsidR="00266A5F" w:rsidRPr="00F97E6F">
        <w:rPr>
          <w:rFonts w:ascii="Times New Roman" w:hAnsi="Times New Roman"/>
        </w:rPr>
        <w:t>’s</w:t>
      </w:r>
      <w:r w:rsidR="00604F1C" w:rsidRPr="00F97E6F">
        <w:rPr>
          <w:rFonts w:ascii="Times New Roman" w:hAnsi="Times New Roman"/>
        </w:rPr>
        <w:t xml:space="preserve"> standard service offer</w:t>
      </w:r>
      <w:r w:rsidR="00266A5F" w:rsidRPr="00F97E6F">
        <w:rPr>
          <w:rFonts w:ascii="Times New Roman" w:hAnsi="Times New Roman"/>
        </w:rPr>
        <w:t xml:space="preserve"> for generation customers;</w:t>
      </w:r>
      <w:r w:rsidR="00604F1C" w:rsidRPr="00F97E6F">
        <w:rPr>
          <w:rFonts w:ascii="Times New Roman" w:hAnsi="Times New Roman"/>
        </w:rPr>
        <w:t xml:space="preserve"> Rider RC, Rider RE and Rider ESSC</w:t>
      </w:r>
      <w:r w:rsidR="00266A5F" w:rsidRPr="00F97E6F">
        <w:rPr>
          <w:rFonts w:ascii="Times New Roman" w:hAnsi="Times New Roman"/>
        </w:rPr>
        <w:t>.</w:t>
      </w:r>
      <w:r w:rsidR="00604F1C" w:rsidRPr="00F97E6F">
        <w:rPr>
          <w:rFonts w:ascii="Times New Roman" w:hAnsi="Times New Roman"/>
        </w:rPr>
        <w:t xml:space="preserve"> </w:t>
      </w:r>
      <w:r w:rsidRPr="00F97E6F">
        <w:rPr>
          <w:rFonts w:ascii="Times New Roman" w:hAnsi="Times New Roman"/>
        </w:rPr>
        <w:t>The</w:t>
      </w:r>
      <w:r w:rsidR="00266A5F" w:rsidRPr="00F97E6F">
        <w:rPr>
          <w:rFonts w:ascii="Times New Roman" w:hAnsi="Times New Roman"/>
        </w:rPr>
        <w:t>se modifications are</w:t>
      </w:r>
      <w:r w:rsidRPr="00F97E6F">
        <w:rPr>
          <w:rFonts w:ascii="Times New Roman" w:hAnsi="Times New Roman"/>
        </w:rPr>
        <w:t xml:space="preserve"> designed around three seasons; Summer, Winter and Off-Peak.  Summer is defined as the period of time covering June 1</w:t>
      </w:r>
      <w:r w:rsidRPr="00F97E6F">
        <w:rPr>
          <w:rFonts w:ascii="Times New Roman" w:hAnsi="Times New Roman"/>
          <w:vertAlign w:val="superscript"/>
        </w:rPr>
        <w:t>st</w:t>
      </w:r>
      <w:r w:rsidRPr="00F97E6F">
        <w:rPr>
          <w:rFonts w:ascii="Times New Roman" w:hAnsi="Times New Roman"/>
        </w:rPr>
        <w:t xml:space="preserve"> thru August 31</w:t>
      </w:r>
      <w:r w:rsidRPr="00F97E6F">
        <w:rPr>
          <w:rFonts w:ascii="Times New Roman" w:hAnsi="Times New Roman"/>
          <w:vertAlign w:val="superscript"/>
        </w:rPr>
        <w:t>st</w:t>
      </w:r>
      <w:r w:rsidRPr="00F97E6F">
        <w:rPr>
          <w:rFonts w:ascii="Times New Roman" w:hAnsi="Times New Roman"/>
        </w:rPr>
        <w:t xml:space="preserve"> and features a five-hour peak period covering 2:00 PM to 7:00 PM for all non-holiday weekdays, Monday through Friday.  Winter is defined as December 1</w:t>
      </w:r>
      <w:r w:rsidRPr="00F97E6F">
        <w:rPr>
          <w:rFonts w:ascii="Times New Roman" w:hAnsi="Times New Roman"/>
          <w:vertAlign w:val="superscript"/>
        </w:rPr>
        <w:t>st</w:t>
      </w:r>
      <w:r w:rsidRPr="00F97E6F">
        <w:rPr>
          <w:rFonts w:ascii="Times New Roman" w:hAnsi="Times New Roman"/>
        </w:rPr>
        <w:t xml:space="preserve"> thru February 28</w:t>
      </w:r>
      <w:r w:rsidRPr="00F97E6F">
        <w:rPr>
          <w:rFonts w:ascii="Times New Roman" w:hAnsi="Times New Roman"/>
          <w:vertAlign w:val="superscript"/>
        </w:rPr>
        <w:t>th</w:t>
      </w:r>
      <w:r w:rsidRPr="00F97E6F">
        <w:rPr>
          <w:rFonts w:ascii="Times New Roman" w:hAnsi="Times New Roman"/>
        </w:rPr>
        <w:t xml:space="preserve"> and features a six hour peak period covering 7:00 AM to 1:00 PM for all non-holiday weekdays Monday through Friday.   Within this structure, the Company is proposing to offer three separate pricing options that have a varying degree of offset between the peak and off-peak price.  </w:t>
      </w:r>
    </w:p>
    <w:p w:rsidR="00696722" w:rsidRPr="00F97E6F" w:rsidRDefault="006A14F3" w:rsidP="006A14F3">
      <w:pPr>
        <w:spacing w:line="480" w:lineRule="auto"/>
        <w:ind w:firstLine="720"/>
        <w:jc w:val="both"/>
        <w:rPr>
          <w:rFonts w:ascii="Times New Roman" w:hAnsi="Times New Roman"/>
        </w:rPr>
      </w:pPr>
      <w:r w:rsidRPr="00F97E6F">
        <w:rPr>
          <w:rFonts w:ascii="Times New Roman" w:hAnsi="Times New Roman"/>
        </w:rPr>
        <w:t xml:space="preserve">The pricing option under TD 2012 that the Company is </w:t>
      </w:r>
      <w:r w:rsidR="00696722" w:rsidRPr="00F97E6F">
        <w:rPr>
          <w:rFonts w:ascii="Times New Roman" w:hAnsi="Times New Roman"/>
        </w:rPr>
        <w:t xml:space="preserve">refers to as </w:t>
      </w:r>
      <w:r w:rsidRPr="00F97E6F">
        <w:rPr>
          <w:rFonts w:ascii="Times New Roman" w:hAnsi="Times New Roman"/>
        </w:rPr>
        <w:t xml:space="preserve">TD 2012 Max is designed with the highest peak price, </w:t>
      </w:r>
      <w:r w:rsidR="00696722" w:rsidRPr="00F97E6F">
        <w:rPr>
          <w:rFonts w:ascii="Times New Roman" w:hAnsi="Times New Roman"/>
        </w:rPr>
        <w:t>and</w:t>
      </w:r>
      <w:r w:rsidRPr="00F97E6F">
        <w:rPr>
          <w:rFonts w:ascii="Times New Roman" w:hAnsi="Times New Roman"/>
        </w:rPr>
        <w:t xml:space="preserve"> is designed to be 450% of the base standard service offer price for generation (Rider RC, Rider RE, and Rider ESSC) and also features the lowest off-peak prices</w:t>
      </w:r>
      <w:r w:rsidR="00696722" w:rsidRPr="00F97E6F">
        <w:rPr>
          <w:rFonts w:ascii="Times New Roman" w:hAnsi="Times New Roman"/>
        </w:rPr>
        <w:t>.  The off-peak prices for this rate</w:t>
      </w:r>
      <w:r w:rsidRPr="00F97E6F">
        <w:rPr>
          <w:rFonts w:ascii="Times New Roman" w:hAnsi="Times New Roman"/>
        </w:rPr>
        <w:t xml:space="preserve"> are less than 65% of the base standard service offer price for generation.  </w:t>
      </w:r>
    </w:p>
    <w:p w:rsidR="00696722" w:rsidRPr="00F97E6F" w:rsidRDefault="006A14F3" w:rsidP="006A14F3">
      <w:pPr>
        <w:spacing w:line="480" w:lineRule="auto"/>
        <w:ind w:firstLine="720"/>
        <w:jc w:val="both"/>
        <w:rPr>
          <w:rFonts w:ascii="Times New Roman" w:hAnsi="Times New Roman"/>
        </w:rPr>
      </w:pPr>
      <w:r w:rsidRPr="00F97E6F">
        <w:rPr>
          <w:rFonts w:ascii="Times New Roman" w:hAnsi="Times New Roman"/>
        </w:rPr>
        <w:t xml:space="preserve">The pricing option under TD 2012 that the Company is calling TD 2012 Plus is designed with the a modest peak price, which is designed to be 350% of the base standard service offer </w:t>
      </w:r>
      <w:r w:rsidRPr="00F97E6F">
        <w:rPr>
          <w:rFonts w:ascii="Times New Roman" w:hAnsi="Times New Roman"/>
        </w:rPr>
        <w:lastRenderedPageBreak/>
        <w:t xml:space="preserve">price for generation (Rider RC, Rider RE, and Rider ESSC) and also features mid-level off-peak prices that are less than 75% of the base standard service offer price for generation.  </w:t>
      </w:r>
    </w:p>
    <w:p w:rsidR="006A14F3" w:rsidRPr="00F97E6F" w:rsidRDefault="006A14F3" w:rsidP="006A14F3">
      <w:pPr>
        <w:spacing w:line="480" w:lineRule="auto"/>
        <w:ind w:firstLine="720"/>
        <w:jc w:val="both"/>
        <w:rPr>
          <w:rFonts w:ascii="Times New Roman" w:hAnsi="Times New Roman"/>
        </w:rPr>
      </w:pPr>
      <w:r w:rsidRPr="00F97E6F">
        <w:rPr>
          <w:rFonts w:ascii="Times New Roman" w:hAnsi="Times New Roman"/>
        </w:rPr>
        <w:t>The pricing option under TD 2012 that the Company is calling TD 2012 Base is designed with the lowest peak price, which is designed to be 250% of the base standard service offer price for generation (Rider RC, Rider RE, and Rider ESSC) and also features the highest off-peak prices that are less than 85% of the base standard service offer price for generation.  The underlying assumptions for each of the three pricing structures are detailed in the three attachments to this filing.</w:t>
      </w:r>
    </w:p>
    <w:p w:rsidR="006A14F3" w:rsidRPr="00F97E6F" w:rsidRDefault="006A14F3" w:rsidP="00696722">
      <w:pPr>
        <w:spacing w:line="480" w:lineRule="auto"/>
        <w:ind w:firstLine="720"/>
        <w:jc w:val="both"/>
        <w:rPr>
          <w:rFonts w:ascii="Times New Roman" w:hAnsi="Times New Roman"/>
        </w:rPr>
      </w:pPr>
      <w:r w:rsidRPr="00F97E6F">
        <w:rPr>
          <w:rFonts w:ascii="Times New Roman" w:hAnsi="Times New Roman"/>
        </w:rPr>
        <w:t>The Company has designed</w:t>
      </w:r>
      <w:r w:rsidR="00696722" w:rsidRPr="00F97E6F">
        <w:rPr>
          <w:rFonts w:ascii="Times New Roman" w:hAnsi="Times New Roman"/>
        </w:rPr>
        <w:t xml:space="preserve"> pilot tariff TD 2012 in the manner described above</w:t>
      </w:r>
      <w:r w:rsidRPr="00F97E6F">
        <w:rPr>
          <w:rFonts w:ascii="Times New Roman" w:hAnsi="Times New Roman"/>
        </w:rPr>
        <w:t xml:space="preserve"> in order to gain insight into how a customer’s individual risk tolerance impacts the desirability of a rate.  By keeping the structure of the rate constant, yet allowing customers to choose a pricing mechanism that is most appealing</w:t>
      </w:r>
      <w:r w:rsidR="00696722" w:rsidRPr="00F97E6F">
        <w:rPr>
          <w:rFonts w:ascii="Times New Roman" w:hAnsi="Times New Roman"/>
        </w:rPr>
        <w:t>,</w:t>
      </w:r>
      <w:r w:rsidRPr="00F97E6F">
        <w:rPr>
          <w:rFonts w:ascii="Times New Roman" w:hAnsi="Times New Roman"/>
        </w:rPr>
        <w:t xml:space="preserve"> the Company and Collaborative will learn the value that customers place on the amount of potential savings can be achieved</w:t>
      </w:r>
      <w:r w:rsidR="00696722" w:rsidRPr="00F97E6F">
        <w:rPr>
          <w:rFonts w:ascii="Times New Roman" w:hAnsi="Times New Roman"/>
        </w:rPr>
        <w:t>,</w:t>
      </w:r>
      <w:r w:rsidRPr="00F97E6F">
        <w:rPr>
          <w:rFonts w:ascii="Times New Roman" w:hAnsi="Times New Roman"/>
        </w:rPr>
        <w:t xml:space="preserve"> versus the risk of higher bills due to consuming during peak periods.   Additionally, this proposed pilot will b</w:t>
      </w:r>
      <w:r w:rsidR="00696722" w:rsidRPr="00F97E6F">
        <w:rPr>
          <w:rFonts w:ascii="Times New Roman" w:hAnsi="Times New Roman"/>
        </w:rPr>
        <w:t>e</w:t>
      </w:r>
      <w:r w:rsidRPr="00F97E6F">
        <w:rPr>
          <w:rFonts w:ascii="Times New Roman" w:hAnsi="Times New Roman"/>
        </w:rPr>
        <w:t xml:space="preserve"> the first time that customers will have a choice in the rate </w:t>
      </w:r>
      <w:r w:rsidR="00696722" w:rsidRPr="00F97E6F">
        <w:rPr>
          <w:rFonts w:ascii="Times New Roman" w:hAnsi="Times New Roman"/>
        </w:rPr>
        <w:t xml:space="preserve">under which </w:t>
      </w:r>
      <w:r w:rsidRPr="00F97E6F">
        <w:rPr>
          <w:rFonts w:ascii="Times New Roman" w:hAnsi="Times New Roman"/>
        </w:rPr>
        <w:t xml:space="preserve">they </w:t>
      </w:r>
      <w:r w:rsidR="00696722" w:rsidRPr="00F97E6F">
        <w:rPr>
          <w:rFonts w:ascii="Times New Roman" w:hAnsi="Times New Roman"/>
        </w:rPr>
        <w:t>receive</w:t>
      </w:r>
      <w:r w:rsidRPr="00F97E6F">
        <w:rPr>
          <w:rFonts w:ascii="Times New Roman" w:hAnsi="Times New Roman"/>
        </w:rPr>
        <w:t xml:space="preserve"> service, so </w:t>
      </w:r>
      <w:r w:rsidR="00696722" w:rsidRPr="00F97E6F">
        <w:rPr>
          <w:rFonts w:ascii="Times New Roman" w:hAnsi="Times New Roman"/>
        </w:rPr>
        <w:t xml:space="preserve">that </w:t>
      </w:r>
      <w:r w:rsidRPr="00F97E6F">
        <w:rPr>
          <w:rFonts w:ascii="Times New Roman" w:hAnsi="Times New Roman"/>
        </w:rPr>
        <w:t xml:space="preserve">the Company </w:t>
      </w:r>
      <w:r w:rsidR="00696722" w:rsidRPr="00F97E6F">
        <w:rPr>
          <w:rFonts w:ascii="Times New Roman" w:hAnsi="Times New Roman"/>
        </w:rPr>
        <w:t>may</w:t>
      </w:r>
      <w:r w:rsidRPr="00F97E6F">
        <w:rPr>
          <w:rFonts w:ascii="Times New Roman" w:hAnsi="Times New Roman"/>
        </w:rPr>
        <w:t xml:space="preserve"> assess if the ability to choose enhances acquisition results.  These learning will be critical as the Company moves closer to designing rates for full commercialization.  </w:t>
      </w:r>
    </w:p>
    <w:p w:rsidR="00696722" w:rsidRPr="00F97E6F" w:rsidRDefault="00696722" w:rsidP="006A14F3">
      <w:pPr>
        <w:pStyle w:val="ListParagraph"/>
        <w:numPr>
          <w:ilvl w:val="0"/>
          <w:numId w:val="2"/>
        </w:numPr>
        <w:spacing w:line="480" w:lineRule="auto"/>
        <w:ind w:left="0" w:firstLine="360"/>
        <w:jc w:val="both"/>
        <w:rPr>
          <w:rFonts w:ascii="Times New Roman" w:hAnsi="Times New Roman"/>
          <w:b/>
        </w:rPr>
      </w:pPr>
      <w:r w:rsidRPr="00F97E6F">
        <w:rPr>
          <w:rFonts w:ascii="Times New Roman" w:hAnsi="Times New Roman"/>
          <w:b/>
        </w:rPr>
        <w:t>Supplemental Information Pilot PTR 3.0</w:t>
      </w:r>
    </w:p>
    <w:p w:rsidR="0051168A" w:rsidRPr="00F97E6F" w:rsidRDefault="006A14F3" w:rsidP="00696722">
      <w:pPr>
        <w:spacing w:line="480" w:lineRule="auto"/>
        <w:ind w:firstLine="360"/>
        <w:jc w:val="both"/>
        <w:rPr>
          <w:rFonts w:ascii="Times New Roman" w:hAnsi="Times New Roman"/>
        </w:rPr>
      </w:pPr>
      <w:r w:rsidRPr="00F97E6F">
        <w:rPr>
          <w:rFonts w:ascii="Times New Roman" w:hAnsi="Times New Roman"/>
        </w:rPr>
        <w:t xml:space="preserve">The </w:t>
      </w:r>
      <w:r w:rsidR="00696722" w:rsidRPr="00F97E6F">
        <w:rPr>
          <w:rFonts w:ascii="Times New Roman" w:hAnsi="Times New Roman"/>
        </w:rPr>
        <w:t>second</w:t>
      </w:r>
      <w:r w:rsidRPr="00F97E6F">
        <w:rPr>
          <w:rFonts w:ascii="Times New Roman" w:hAnsi="Times New Roman"/>
        </w:rPr>
        <w:t xml:space="preserve"> pilot that the Company propos</w:t>
      </w:r>
      <w:r w:rsidR="00696722" w:rsidRPr="00F97E6F">
        <w:rPr>
          <w:rFonts w:ascii="Times New Roman" w:hAnsi="Times New Roman"/>
        </w:rPr>
        <w:t>es herein</w:t>
      </w:r>
      <w:r w:rsidRPr="00F97E6F">
        <w:rPr>
          <w:rFonts w:ascii="Times New Roman" w:hAnsi="Times New Roman"/>
        </w:rPr>
        <w:t xml:space="preserve"> is </w:t>
      </w:r>
      <w:r w:rsidR="00696722" w:rsidRPr="00F97E6F">
        <w:rPr>
          <w:rFonts w:ascii="Times New Roman" w:hAnsi="Times New Roman"/>
        </w:rPr>
        <w:t>an additional</w:t>
      </w:r>
      <w:r w:rsidRPr="00F97E6F">
        <w:rPr>
          <w:rFonts w:ascii="Times New Roman" w:hAnsi="Times New Roman"/>
        </w:rPr>
        <w:t xml:space="preserve"> iteration of a peak time rebate that it </w:t>
      </w:r>
      <w:r w:rsidR="00696722" w:rsidRPr="00F97E6F">
        <w:rPr>
          <w:rFonts w:ascii="Times New Roman" w:hAnsi="Times New Roman"/>
        </w:rPr>
        <w:t>is called</w:t>
      </w:r>
      <w:r w:rsidRPr="00F97E6F">
        <w:rPr>
          <w:rFonts w:ascii="Times New Roman" w:hAnsi="Times New Roman"/>
        </w:rPr>
        <w:t xml:space="preserve"> PTR 3.0.   Duke</w:t>
      </w:r>
      <w:r w:rsidR="00696722" w:rsidRPr="00F97E6F">
        <w:rPr>
          <w:rFonts w:ascii="Times New Roman" w:hAnsi="Times New Roman"/>
        </w:rPr>
        <w:t xml:space="preserve"> Energy Ohio</w:t>
      </w:r>
      <w:r w:rsidRPr="00F97E6F">
        <w:rPr>
          <w:rFonts w:ascii="Times New Roman" w:hAnsi="Times New Roman"/>
        </w:rPr>
        <w:t xml:space="preserve"> is proposing to add 500 customers to the pilot in 2012, as well as offering </w:t>
      </w:r>
      <w:r w:rsidR="00696722" w:rsidRPr="00F97E6F">
        <w:rPr>
          <w:rFonts w:ascii="Times New Roman" w:hAnsi="Times New Roman"/>
        </w:rPr>
        <w:t xml:space="preserve">this pilot </w:t>
      </w:r>
      <w:r w:rsidRPr="00F97E6F">
        <w:rPr>
          <w:rFonts w:ascii="Times New Roman" w:hAnsi="Times New Roman"/>
        </w:rPr>
        <w:t>to customers who have participated under past time-differentiated rate offerings in</w:t>
      </w:r>
      <w:r w:rsidR="00696722" w:rsidRPr="00F97E6F">
        <w:rPr>
          <w:rFonts w:ascii="Times New Roman" w:hAnsi="Times New Roman"/>
        </w:rPr>
        <w:t xml:space="preserve"> 2011.  The peak time rebate</w:t>
      </w:r>
      <w:r w:rsidRPr="00F97E6F">
        <w:rPr>
          <w:rFonts w:ascii="Times New Roman" w:hAnsi="Times New Roman"/>
        </w:rPr>
        <w:t xml:space="preserve"> will be structured in the same manner </w:t>
      </w:r>
      <w:r w:rsidRPr="00F97E6F">
        <w:rPr>
          <w:rFonts w:ascii="Times New Roman" w:hAnsi="Times New Roman"/>
        </w:rPr>
        <w:lastRenderedPageBreak/>
        <w:t>as PTR 2.0, with a $0.28 per kWh credit for any reduction in usage during the five hour peak window from 2:00</w:t>
      </w:r>
      <w:r w:rsidR="00696722" w:rsidRPr="00F97E6F">
        <w:rPr>
          <w:rFonts w:ascii="Times New Roman" w:hAnsi="Times New Roman"/>
        </w:rPr>
        <w:t xml:space="preserve"> </w:t>
      </w:r>
      <w:r w:rsidRPr="00F97E6F">
        <w:rPr>
          <w:rFonts w:ascii="Times New Roman" w:hAnsi="Times New Roman"/>
        </w:rPr>
        <w:t>P</w:t>
      </w:r>
      <w:r w:rsidR="00696722" w:rsidRPr="00F97E6F">
        <w:rPr>
          <w:rFonts w:ascii="Times New Roman" w:hAnsi="Times New Roman"/>
        </w:rPr>
        <w:t>M</w:t>
      </w:r>
      <w:r w:rsidRPr="00F97E6F">
        <w:rPr>
          <w:rFonts w:ascii="Times New Roman" w:hAnsi="Times New Roman"/>
        </w:rPr>
        <w:t xml:space="preserve"> to 7:00</w:t>
      </w:r>
      <w:r w:rsidR="00696722" w:rsidRPr="00F97E6F">
        <w:rPr>
          <w:rFonts w:ascii="Times New Roman" w:hAnsi="Times New Roman"/>
        </w:rPr>
        <w:t xml:space="preserve"> </w:t>
      </w:r>
      <w:r w:rsidRPr="00F97E6F">
        <w:rPr>
          <w:rFonts w:ascii="Times New Roman" w:hAnsi="Times New Roman"/>
        </w:rPr>
        <w:t xml:space="preserve">PM on event days.  The only difference in PTR 3.0 is that the Company is proposing that a maximum of fifteen events </w:t>
      </w:r>
      <w:r w:rsidR="00696722" w:rsidRPr="00F97E6F">
        <w:rPr>
          <w:rFonts w:ascii="Times New Roman" w:hAnsi="Times New Roman"/>
        </w:rPr>
        <w:t>may</w:t>
      </w:r>
      <w:r w:rsidRPr="00F97E6F">
        <w:rPr>
          <w:rFonts w:ascii="Times New Roman" w:hAnsi="Times New Roman"/>
        </w:rPr>
        <w:t xml:space="preserve"> be called</w:t>
      </w:r>
      <w:r w:rsidR="00696722" w:rsidRPr="00F97E6F">
        <w:rPr>
          <w:rFonts w:ascii="Times New Roman" w:hAnsi="Times New Roman"/>
        </w:rPr>
        <w:t>,</w:t>
      </w:r>
      <w:r w:rsidRPr="00F97E6F">
        <w:rPr>
          <w:rFonts w:ascii="Times New Roman" w:hAnsi="Times New Roman"/>
        </w:rPr>
        <w:t xml:space="preserve"> rather than the ten that </w:t>
      </w:r>
      <w:r w:rsidR="00696722" w:rsidRPr="00F97E6F">
        <w:rPr>
          <w:rFonts w:ascii="Times New Roman" w:hAnsi="Times New Roman"/>
        </w:rPr>
        <w:t xml:space="preserve">were approved </w:t>
      </w:r>
      <w:r w:rsidRPr="00F97E6F">
        <w:rPr>
          <w:rFonts w:ascii="Times New Roman" w:hAnsi="Times New Roman"/>
        </w:rPr>
        <w:t xml:space="preserve">under PTR 2.0.   The Company is hoping to learn from this pilot </w:t>
      </w:r>
      <w:r w:rsidR="00696722" w:rsidRPr="00F97E6F">
        <w:rPr>
          <w:rFonts w:ascii="Times New Roman" w:hAnsi="Times New Roman"/>
        </w:rPr>
        <w:t>what</w:t>
      </w:r>
      <w:r w:rsidRPr="00F97E6F">
        <w:rPr>
          <w:rFonts w:ascii="Times New Roman" w:hAnsi="Times New Roman"/>
        </w:rPr>
        <w:t xml:space="preserve"> impact the number of events has on customer acquisition, customer participation during events, and overall satisfaction with the program.  Additionally, the Company is proposing to </w:t>
      </w:r>
      <w:r w:rsidR="00117683" w:rsidRPr="00F97E6F">
        <w:rPr>
          <w:rFonts w:ascii="Times New Roman" w:hAnsi="Times New Roman"/>
        </w:rPr>
        <w:t xml:space="preserve">again </w:t>
      </w:r>
      <w:r w:rsidRPr="00F97E6F">
        <w:rPr>
          <w:rFonts w:ascii="Times New Roman" w:hAnsi="Times New Roman"/>
        </w:rPr>
        <w:t xml:space="preserve">employ a bifurcated acquisition strategy for the 500 new participants </w:t>
      </w:r>
      <w:r w:rsidR="00117683" w:rsidRPr="00F97E6F">
        <w:rPr>
          <w:rFonts w:ascii="Times New Roman" w:hAnsi="Times New Roman"/>
        </w:rPr>
        <w:t>with 250 customers being acquired</w:t>
      </w:r>
      <w:r w:rsidR="00786916" w:rsidRPr="00F97E6F">
        <w:rPr>
          <w:rFonts w:ascii="Times New Roman" w:hAnsi="Times New Roman"/>
        </w:rPr>
        <w:t xml:space="preserve"> through an opt-out campaign and</w:t>
      </w:r>
      <w:r w:rsidR="00117683" w:rsidRPr="00F97E6F">
        <w:rPr>
          <w:rFonts w:ascii="Times New Roman" w:hAnsi="Times New Roman"/>
        </w:rPr>
        <w:t xml:space="preserve"> </w:t>
      </w:r>
      <w:r w:rsidR="00786916" w:rsidRPr="00F97E6F">
        <w:rPr>
          <w:rFonts w:ascii="Times New Roman" w:hAnsi="Times New Roman"/>
        </w:rPr>
        <w:t xml:space="preserve">250 customers acquired through an opt-in campaign </w:t>
      </w:r>
      <w:r w:rsidRPr="00F97E6F">
        <w:rPr>
          <w:rFonts w:ascii="Times New Roman" w:hAnsi="Times New Roman"/>
        </w:rPr>
        <w:t>in attempts to validate some of the findings regarding savings potential from customers acquired through the opt-out segment of the acquisition.</w:t>
      </w:r>
      <w:r w:rsidR="00786916" w:rsidRPr="00F97E6F">
        <w:rPr>
          <w:rFonts w:ascii="Times New Roman" w:hAnsi="Times New Roman"/>
        </w:rPr>
        <w:t xml:space="preserve">  The Company believes that having two years worth of statistically significant sample data around a peak time rebate program and the different acquisition strategies will help it determine the commercially viable approach to </w:t>
      </w:r>
      <w:r w:rsidR="00604F1C" w:rsidRPr="00F97E6F">
        <w:rPr>
          <w:rFonts w:ascii="Times New Roman" w:hAnsi="Times New Roman"/>
        </w:rPr>
        <w:t xml:space="preserve">a </w:t>
      </w:r>
      <w:r w:rsidR="00786916" w:rsidRPr="00F97E6F">
        <w:rPr>
          <w:rFonts w:ascii="Times New Roman" w:hAnsi="Times New Roman"/>
        </w:rPr>
        <w:t>peak time rebate program.</w:t>
      </w:r>
    </w:p>
    <w:p w:rsidR="00696722" w:rsidRPr="00F97E6F" w:rsidRDefault="00696722" w:rsidP="00696722">
      <w:pPr>
        <w:spacing w:line="480" w:lineRule="auto"/>
        <w:ind w:firstLine="360"/>
        <w:jc w:val="both"/>
        <w:rPr>
          <w:rFonts w:ascii="Times New Roman" w:hAnsi="Times New Roman"/>
          <w:szCs w:val="24"/>
        </w:rPr>
      </w:pPr>
      <w:r w:rsidRPr="00F97E6F">
        <w:rPr>
          <w:rFonts w:ascii="Times New Roman" w:hAnsi="Times New Roman"/>
        </w:rPr>
        <w:t xml:space="preserve">It is anticipated that this supplemental information, along with the Company’s original application in this proceeding will sufficiently inform the Public Utilities Commission of Ohio with respect to the proposed tariffs so that they may be approved in time for customer acquisition in the next few weeks.  These pilot tariff programs were discussed at length, and in detail with Commission Staff, the Office of the Ohio Consumers’ Counsel and Ohio Partners for Affordable Energy in the Duke Energy SmartGrid Collaborative.  Every effort was made to develop appropriate pilot tariffs such that the Company and the Collaborative could develop needed information while at the same time, maintaining a positive experience for Duke Energy Ohio’s customers.   </w:t>
      </w:r>
    </w:p>
    <w:p w:rsidR="004B40A1" w:rsidRPr="00F97E6F" w:rsidRDefault="004B40A1" w:rsidP="006A14F3">
      <w:pPr>
        <w:pStyle w:val="ListParagraph"/>
        <w:numPr>
          <w:ilvl w:val="0"/>
          <w:numId w:val="2"/>
        </w:numPr>
        <w:spacing w:line="480" w:lineRule="auto"/>
        <w:jc w:val="both"/>
        <w:rPr>
          <w:rFonts w:ascii="Times New Roman" w:hAnsi="Times New Roman"/>
          <w:b/>
        </w:rPr>
      </w:pPr>
      <w:r w:rsidRPr="00F97E6F">
        <w:rPr>
          <w:rFonts w:ascii="Times New Roman" w:hAnsi="Times New Roman"/>
          <w:b/>
        </w:rPr>
        <w:lastRenderedPageBreak/>
        <w:t>Conclusion</w:t>
      </w:r>
    </w:p>
    <w:p w:rsidR="004B40A1" w:rsidRPr="00F97E6F" w:rsidRDefault="004B40A1" w:rsidP="0050691B">
      <w:pPr>
        <w:tabs>
          <w:tab w:val="left" w:pos="180"/>
        </w:tabs>
        <w:spacing w:line="480" w:lineRule="auto"/>
        <w:ind w:left="90" w:firstLine="990"/>
        <w:jc w:val="both"/>
        <w:rPr>
          <w:rFonts w:ascii="Times New Roman" w:hAnsi="Times New Roman"/>
        </w:rPr>
      </w:pPr>
      <w:r w:rsidRPr="00F97E6F">
        <w:rPr>
          <w:rFonts w:ascii="Times New Roman" w:hAnsi="Times New Roman"/>
        </w:rPr>
        <w:t xml:space="preserve">For the reasons set forth above, </w:t>
      </w:r>
      <w:r w:rsidR="00696722" w:rsidRPr="00F97E6F">
        <w:rPr>
          <w:rFonts w:ascii="Times New Roman" w:hAnsi="Times New Roman"/>
        </w:rPr>
        <w:t xml:space="preserve">and in the Company’s original application in this proceeding, </w:t>
      </w:r>
      <w:r w:rsidRPr="00F97E6F">
        <w:rPr>
          <w:rFonts w:ascii="Times New Roman" w:hAnsi="Times New Roman"/>
        </w:rPr>
        <w:t xml:space="preserve">and for the limited number of customers proposed, Duke Energy Ohio respectfully requests that the Commission accept and approve both Rate PTR 3.0 and Rate TD 2012.   Upon approval of the Application, Duke Energy Ohio will file a sufficient number of copies of its tariff sheets, as directed by the Commission.  </w:t>
      </w:r>
    </w:p>
    <w:p w:rsidR="0050691B" w:rsidRPr="00F97E6F" w:rsidRDefault="004B40A1" w:rsidP="004B40A1">
      <w:pPr>
        <w:spacing w:line="480" w:lineRule="auto"/>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p>
    <w:p w:rsidR="0050691B" w:rsidRPr="00F97E6F" w:rsidRDefault="0050691B" w:rsidP="004B40A1">
      <w:pPr>
        <w:spacing w:line="480" w:lineRule="auto"/>
        <w:ind w:left="720" w:firstLine="360"/>
        <w:jc w:val="both"/>
        <w:rPr>
          <w:rFonts w:ascii="Times New Roman" w:hAnsi="Times New Roman"/>
        </w:rPr>
      </w:pPr>
    </w:p>
    <w:p w:rsidR="0050691B" w:rsidRPr="00F97E6F" w:rsidRDefault="0050691B" w:rsidP="0050691B">
      <w:pPr>
        <w:spacing w:line="480" w:lineRule="auto"/>
        <w:ind w:left="3600" w:firstLine="720"/>
        <w:jc w:val="both"/>
        <w:rPr>
          <w:rFonts w:ascii="Times New Roman" w:hAnsi="Times New Roman"/>
        </w:rPr>
      </w:pPr>
    </w:p>
    <w:p w:rsidR="004B40A1" w:rsidRDefault="00841E88" w:rsidP="0050691B">
      <w:pPr>
        <w:spacing w:line="480" w:lineRule="auto"/>
        <w:ind w:left="3600" w:firstLine="720"/>
        <w:jc w:val="both"/>
        <w:rPr>
          <w:rFonts w:ascii="Times New Roman" w:hAnsi="Times New Roman"/>
        </w:rPr>
      </w:pPr>
      <w:r>
        <w:rPr>
          <w:rFonts w:ascii="Times New Roman" w:hAnsi="Times New Roman"/>
        </w:rPr>
        <w:t>Respectfully submitted,</w:t>
      </w:r>
    </w:p>
    <w:p w:rsidR="00841E88" w:rsidRPr="00F97E6F" w:rsidRDefault="00841E88" w:rsidP="0050691B">
      <w:pPr>
        <w:spacing w:line="480" w:lineRule="auto"/>
        <w:ind w:left="3600" w:firstLine="720"/>
        <w:jc w:val="both"/>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48895</wp:posOffset>
            </wp:positionV>
            <wp:extent cx="1952625" cy="699135"/>
            <wp:effectExtent l="19050" t="0" r="9525" b="0"/>
            <wp:wrapNone/>
            <wp:docPr id="2" name="Picture 1" descr="Wat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tsSignature"/>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952625" cy="699135"/>
                    </a:xfrm>
                    <a:prstGeom prst="rect">
                      <a:avLst/>
                    </a:prstGeom>
                    <a:noFill/>
                    <a:ln w="9525">
                      <a:noFill/>
                      <a:miter lim="800000"/>
                      <a:headEnd/>
                      <a:tailEnd/>
                    </a:ln>
                  </pic:spPr>
                </pic:pic>
              </a:graphicData>
            </a:graphic>
          </wp:anchor>
        </w:drawing>
      </w:r>
    </w:p>
    <w:p w:rsidR="00841E88" w:rsidRDefault="00841E88" w:rsidP="00841E88">
      <w:pPr>
        <w:spacing w:line="480" w:lineRule="auto"/>
        <w:ind w:left="720" w:firstLine="360"/>
        <w:jc w:val="center"/>
        <w:rPr>
          <w:rFonts w:ascii="Times New Roman" w:hAnsi="Times New Roman"/>
        </w:rPr>
      </w:pPr>
    </w:p>
    <w:p w:rsidR="004B40A1" w:rsidRPr="00F97E6F" w:rsidRDefault="004B40A1" w:rsidP="00841E88">
      <w:pPr>
        <w:spacing w:line="480" w:lineRule="auto"/>
        <w:ind w:left="2160" w:firstLine="720"/>
        <w:jc w:val="center"/>
        <w:rPr>
          <w:rFonts w:ascii="Times New Roman" w:hAnsi="Times New Roman"/>
        </w:rPr>
      </w:pPr>
      <w:r w:rsidRPr="00F97E6F">
        <w:rPr>
          <w:rFonts w:ascii="Times New Roman" w:hAnsi="Times New Roman"/>
        </w:rPr>
        <w:t>____________________________</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Amy B. Spiller</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Deputy General Counsel</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Elizabeth H. Watts</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Associate General Counsel</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Duke Energy Business Services, Inc.</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155 East Broad Street, Suite 2100</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Columbus, Ohio 43215</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t>(614) 222-1331</w:t>
      </w:r>
    </w:p>
    <w:p w:rsidR="004B40A1" w:rsidRPr="00F97E6F" w:rsidRDefault="004B40A1" w:rsidP="004B40A1">
      <w:pPr>
        <w:ind w:left="720" w:firstLine="360"/>
        <w:jc w:val="both"/>
        <w:rPr>
          <w:rFonts w:ascii="Times New Roman" w:hAnsi="Times New Roman"/>
        </w:rPr>
      </w:pP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r w:rsidRPr="00F97E6F">
        <w:rPr>
          <w:rFonts w:ascii="Times New Roman" w:hAnsi="Times New Roman"/>
        </w:rPr>
        <w:tab/>
      </w:r>
      <w:hyperlink r:id="rId9" w:history="1">
        <w:r w:rsidRPr="00F97E6F">
          <w:rPr>
            <w:rStyle w:val="Hyperlink"/>
            <w:rFonts w:ascii="Times New Roman" w:hAnsi="Times New Roman"/>
            <w:color w:val="auto"/>
          </w:rPr>
          <w:t>Elizabeth.Watts@Duke-Energy.com</w:t>
        </w:r>
      </w:hyperlink>
    </w:p>
    <w:p w:rsidR="004B40A1" w:rsidRPr="00F97E6F" w:rsidRDefault="004B40A1" w:rsidP="004B40A1">
      <w:pPr>
        <w:ind w:left="720" w:firstLine="360"/>
        <w:jc w:val="both"/>
        <w:rPr>
          <w:rFonts w:ascii="Times New Roman" w:hAnsi="Times New Roman"/>
        </w:rPr>
      </w:pPr>
    </w:p>
    <w:p w:rsidR="004B40A1" w:rsidRPr="00F97E6F" w:rsidRDefault="004B40A1" w:rsidP="004B40A1">
      <w:pPr>
        <w:tabs>
          <w:tab w:val="left" w:pos="9270"/>
        </w:tabs>
        <w:autoSpaceDE w:val="0"/>
        <w:autoSpaceDN w:val="0"/>
        <w:adjustRightInd w:val="0"/>
        <w:spacing w:line="480" w:lineRule="auto"/>
        <w:jc w:val="both"/>
        <w:rPr>
          <w:rFonts w:ascii="Times New Roman" w:hAnsi="Times New Roman"/>
          <w:szCs w:val="24"/>
        </w:rPr>
      </w:pPr>
    </w:p>
    <w:p w:rsidR="00841E88" w:rsidRDefault="00841E88">
      <w:pPr>
        <w:spacing w:after="200" w:line="276" w:lineRule="auto"/>
        <w:rPr>
          <w:szCs w:val="24"/>
        </w:rPr>
      </w:pPr>
      <w:r>
        <w:rPr>
          <w:szCs w:val="24"/>
        </w:rPr>
        <w:br w:type="page"/>
      </w:r>
    </w:p>
    <w:p w:rsidR="00841E88" w:rsidRDefault="00841E88" w:rsidP="00841E88">
      <w:pPr>
        <w:tabs>
          <w:tab w:val="left" w:pos="2880"/>
          <w:tab w:val="left" w:pos="4320"/>
          <w:tab w:val="left" w:pos="7920"/>
        </w:tabs>
        <w:jc w:val="center"/>
        <w:rPr>
          <w:rFonts w:ascii="Palatino Linotype" w:hAnsi="Palatino Linotype"/>
          <w:b/>
        </w:rPr>
      </w:pPr>
      <w:r>
        <w:rPr>
          <w:rFonts w:ascii="Palatino Linotype" w:hAnsi="Palatino Linotype"/>
          <w:b/>
        </w:rPr>
        <w:lastRenderedPageBreak/>
        <w:t>CERTIFICATE OF SERVICE</w:t>
      </w:r>
    </w:p>
    <w:p w:rsidR="00841E88" w:rsidRDefault="00841E88" w:rsidP="00841E88">
      <w:pPr>
        <w:rPr>
          <w:rFonts w:ascii="Palatino Linotype" w:hAnsi="Palatino Linotype"/>
        </w:rPr>
      </w:pPr>
    </w:p>
    <w:p w:rsidR="00841E88" w:rsidRDefault="00841E88" w:rsidP="00841E88">
      <w:pPr>
        <w:pStyle w:val="Header"/>
        <w:tabs>
          <w:tab w:val="left" w:pos="0"/>
        </w:tabs>
        <w:spacing w:line="480" w:lineRule="auto"/>
        <w:jc w:val="both"/>
        <w:rPr>
          <w:rFonts w:ascii="Palatino Linotype" w:hAnsi="Palatino Linotype"/>
        </w:rPr>
      </w:pPr>
      <w:r>
        <w:rPr>
          <w:rFonts w:ascii="Palatino Linotype" w:hAnsi="Palatino Linotype"/>
        </w:rPr>
        <w:t>I hereby certify that a true and accurate copy of the foregoing was delivered via U.S. mail (postage prepaid), personal, or electronic mail delivery on this the 27</w:t>
      </w:r>
      <w:r w:rsidRPr="00387A57">
        <w:rPr>
          <w:rFonts w:ascii="Palatino Linotype" w:hAnsi="Palatino Linotype"/>
        </w:rPr>
        <w:t xml:space="preserve">th </w:t>
      </w:r>
      <w:r>
        <w:rPr>
          <w:rFonts w:ascii="Palatino Linotype" w:hAnsi="Palatino Linotype"/>
        </w:rPr>
        <w:t>day of March, 2012, to the following:</w:t>
      </w:r>
    </w:p>
    <w:p w:rsidR="00841E88" w:rsidRDefault="00841E88" w:rsidP="00841E88">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04.9pt;margin-top:53.3pt;width:120.85pt;height:0;z-index:251660288" o:connectortype="straight"/>
        </w:pict>
      </w:r>
      <w:r>
        <w:tab/>
      </w:r>
      <w:r>
        <w:tab/>
      </w:r>
      <w:r>
        <w:tab/>
      </w:r>
      <w:r>
        <w:tab/>
      </w:r>
      <w:r>
        <w:tab/>
      </w:r>
      <w:r>
        <w:tab/>
      </w:r>
      <w:r>
        <w:tab/>
      </w:r>
      <w:r w:rsidRPr="00C564A4">
        <w:drawing>
          <wp:inline distT="0" distB="0" distL="0" distR="0">
            <wp:extent cx="1958606" cy="702746"/>
            <wp:effectExtent l="19050" t="0" r="3544" b="0"/>
            <wp:docPr id="3" name="Picture 1" descr="Wat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tsSignature"/>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957876" cy="702484"/>
                    </a:xfrm>
                    <a:prstGeom prst="rect">
                      <a:avLst/>
                    </a:prstGeom>
                    <a:noFill/>
                    <a:ln w="9525">
                      <a:noFill/>
                      <a:miter lim="800000"/>
                      <a:headEnd/>
                      <a:tailEnd/>
                    </a:ln>
                  </pic:spPr>
                </pic:pic>
              </a:graphicData>
            </a:graphic>
          </wp:inline>
        </w:drawing>
      </w:r>
    </w:p>
    <w:p w:rsidR="00841E88" w:rsidRDefault="00841E88" w:rsidP="00841E88">
      <w:pPr>
        <w:ind w:left="4320" w:firstLine="720"/>
        <w:jc w:val="center"/>
      </w:pPr>
      <w:r>
        <w:t>Elizabeth H. Watts</w:t>
      </w:r>
    </w:p>
    <w:p w:rsidR="00841E88" w:rsidRDefault="00841E88" w:rsidP="00841E88"/>
    <w:p w:rsidR="00841E88" w:rsidRDefault="00841E88" w:rsidP="00841E88"/>
    <w:p w:rsidR="00841E88" w:rsidRDefault="00841E88" w:rsidP="00841E88"/>
    <w:p w:rsidR="00841E88" w:rsidRDefault="00841E88" w:rsidP="00841E88"/>
    <w:tbl>
      <w:tblPr>
        <w:tblStyle w:val="TableGrid"/>
        <w:tblW w:w="8820"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4089"/>
        <w:gridCol w:w="270"/>
        <w:gridCol w:w="4461"/>
      </w:tblGrid>
      <w:tr w:rsidR="00841E88" w:rsidRPr="001916FE" w:rsidTr="005A35F9">
        <w:trPr>
          <w:cantSplit/>
        </w:trPr>
        <w:tc>
          <w:tcPr>
            <w:tcW w:w="4089" w:type="dxa"/>
          </w:tcPr>
          <w:p w:rsidR="00841E88" w:rsidRPr="001916FE" w:rsidRDefault="00841E88" w:rsidP="005A35F9">
            <w:pPr>
              <w:autoSpaceDE w:val="0"/>
              <w:autoSpaceDN w:val="0"/>
              <w:adjustRightInd w:val="0"/>
              <w:rPr>
                <w:sz w:val="24"/>
                <w:szCs w:val="24"/>
              </w:rPr>
            </w:pPr>
            <w:r w:rsidRPr="001916FE">
              <w:rPr>
                <w:sz w:val="24"/>
                <w:szCs w:val="24"/>
              </w:rPr>
              <w:t>Steven Beeler</w:t>
            </w:r>
          </w:p>
          <w:p w:rsidR="00841E88" w:rsidRPr="001916FE" w:rsidRDefault="00841E88" w:rsidP="005A35F9">
            <w:pPr>
              <w:autoSpaceDE w:val="0"/>
              <w:autoSpaceDN w:val="0"/>
              <w:adjustRightInd w:val="0"/>
              <w:rPr>
                <w:sz w:val="24"/>
                <w:szCs w:val="24"/>
              </w:rPr>
            </w:pPr>
            <w:r w:rsidRPr="001916FE">
              <w:rPr>
                <w:sz w:val="24"/>
                <w:szCs w:val="24"/>
              </w:rPr>
              <w:t>John Jones</w:t>
            </w:r>
          </w:p>
          <w:p w:rsidR="00841E88" w:rsidRPr="001916FE" w:rsidRDefault="00841E88" w:rsidP="005A35F9">
            <w:pPr>
              <w:autoSpaceDE w:val="0"/>
              <w:autoSpaceDN w:val="0"/>
              <w:adjustRightInd w:val="0"/>
              <w:rPr>
                <w:sz w:val="24"/>
                <w:szCs w:val="24"/>
              </w:rPr>
            </w:pPr>
            <w:r w:rsidRPr="001916FE">
              <w:rPr>
                <w:sz w:val="24"/>
                <w:szCs w:val="24"/>
              </w:rPr>
              <w:t>Assistant Attorneys General</w:t>
            </w:r>
          </w:p>
          <w:p w:rsidR="00841E88" w:rsidRPr="001916FE" w:rsidRDefault="00841E88" w:rsidP="005A35F9">
            <w:pPr>
              <w:autoSpaceDE w:val="0"/>
              <w:autoSpaceDN w:val="0"/>
              <w:adjustRightInd w:val="0"/>
              <w:rPr>
                <w:sz w:val="24"/>
                <w:szCs w:val="24"/>
              </w:rPr>
            </w:pPr>
            <w:r w:rsidRPr="001916FE">
              <w:rPr>
                <w:sz w:val="24"/>
                <w:szCs w:val="24"/>
              </w:rPr>
              <w:t>Public Utilities Commission of Ohio</w:t>
            </w:r>
          </w:p>
          <w:p w:rsidR="00841E88" w:rsidRPr="001916FE" w:rsidRDefault="00841E88" w:rsidP="005A35F9">
            <w:pPr>
              <w:autoSpaceDE w:val="0"/>
              <w:autoSpaceDN w:val="0"/>
              <w:adjustRightInd w:val="0"/>
              <w:rPr>
                <w:sz w:val="24"/>
                <w:szCs w:val="24"/>
              </w:rPr>
            </w:pPr>
            <w:r w:rsidRPr="001916FE">
              <w:rPr>
                <w:sz w:val="24"/>
                <w:szCs w:val="24"/>
              </w:rPr>
              <w:t>180 East Broad Street</w:t>
            </w:r>
          </w:p>
          <w:p w:rsidR="00841E88" w:rsidRPr="001916FE" w:rsidRDefault="00841E88" w:rsidP="005A35F9">
            <w:pPr>
              <w:autoSpaceDE w:val="0"/>
              <w:autoSpaceDN w:val="0"/>
              <w:adjustRightInd w:val="0"/>
              <w:rPr>
                <w:sz w:val="24"/>
                <w:szCs w:val="24"/>
              </w:rPr>
            </w:pPr>
            <w:r w:rsidRPr="001916FE">
              <w:rPr>
                <w:sz w:val="24"/>
                <w:szCs w:val="24"/>
              </w:rPr>
              <w:t>Columbus, Ohio 43215</w:t>
            </w:r>
          </w:p>
          <w:p w:rsidR="007A5518" w:rsidRPr="007A5518" w:rsidRDefault="007A5518" w:rsidP="005A35F9">
            <w:pPr>
              <w:autoSpaceDE w:val="0"/>
              <w:autoSpaceDN w:val="0"/>
              <w:adjustRightInd w:val="0"/>
              <w:rPr>
                <w:sz w:val="24"/>
                <w:szCs w:val="24"/>
                <w:u w:val="single"/>
              </w:rPr>
            </w:pPr>
            <w:hyperlink r:id="rId10" w:history="1">
              <w:r w:rsidRPr="005901AF">
                <w:rPr>
                  <w:rStyle w:val="Hyperlink"/>
                  <w:szCs w:val="24"/>
                </w:rPr>
                <w:t>Steven.beeler@puc.state.oh.us</w:t>
              </w:r>
            </w:hyperlink>
          </w:p>
          <w:p w:rsidR="00841E88" w:rsidRDefault="007A5518" w:rsidP="005A35F9">
            <w:pPr>
              <w:autoSpaceDE w:val="0"/>
              <w:autoSpaceDN w:val="0"/>
              <w:adjustRightInd w:val="0"/>
              <w:rPr>
                <w:sz w:val="24"/>
                <w:szCs w:val="24"/>
                <w:u w:val="single"/>
              </w:rPr>
            </w:pPr>
            <w:hyperlink r:id="rId11" w:history="1">
              <w:r w:rsidRPr="005901AF">
                <w:rPr>
                  <w:rStyle w:val="Hyperlink"/>
                  <w:szCs w:val="24"/>
                </w:rPr>
                <w:t>John.jones@puc.state.oh.us</w:t>
              </w:r>
            </w:hyperlink>
          </w:p>
          <w:p w:rsidR="007A5518" w:rsidRPr="007A5518" w:rsidRDefault="007A5518" w:rsidP="005A35F9">
            <w:pPr>
              <w:autoSpaceDE w:val="0"/>
              <w:autoSpaceDN w:val="0"/>
              <w:adjustRightInd w:val="0"/>
              <w:rPr>
                <w:sz w:val="24"/>
                <w:szCs w:val="24"/>
                <w:u w:val="single"/>
              </w:rPr>
            </w:pPr>
          </w:p>
          <w:p w:rsidR="00841E88" w:rsidRDefault="00841E88" w:rsidP="005A35F9">
            <w:pPr>
              <w:ind w:left="154" w:right="154"/>
              <w:rPr>
                <w:sz w:val="24"/>
                <w:szCs w:val="24"/>
              </w:rPr>
            </w:pPr>
          </w:p>
          <w:p w:rsidR="007A5518" w:rsidRPr="001916FE" w:rsidRDefault="007A5518" w:rsidP="005A35F9">
            <w:pPr>
              <w:ind w:left="154" w:right="154"/>
              <w:rPr>
                <w:sz w:val="24"/>
                <w:szCs w:val="24"/>
              </w:rPr>
            </w:pPr>
          </w:p>
        </w:tc>
        <w:tc>
          <w:tcPr>
            <w:tcW w:w="270" w:type="dxa"/>
          </w:tcPr>
          <w:p w:rsidR="00841E88" w:rsidRPr="001916FE" w:rsidRDefault="00841E88" w:rsidP="005A35F9">
            <w:pPr>
              <w:ind w:left="154" w:right="154"/>
              <w:rPr>
                <w:sz w:val="24"/>
                <w:szCs w:val="24"/>
              </w:rPr>
            </w:pPr>
          </w:p>
        </w:tc>
        <w:tc>
          <w:tcPr>
            <w:tcW w:w="4461" w:type="dxa"/>
          </w:tcPr>
          <w:p w:rsidR="00841E88" w:rsidRDefault="00841E88" w:rsidP="005A35F9">
            <w:pPr>
              <w:autoSpaceDE w:val="0"/>
              <w:autoSpaceDN w:val="0"/>
              <w:adjustRightInd w:val="0"/>
              <w:rPr>
                <w:sz w:val="24"/>
                <w:szCs w:val="24"/>
              </w:rPr>
            </w:pPr>
            <w:r>
              <w:rPr>
                <w:sz w:val="24"/>
                <w:szCs w:val="24"/>
              </w:rPr>
              <w:t>Deb Bingham</w:t>
            </w:r>
          </w:p>
          <w:p w:rsidR="00841E88" w:rsidRDefault="00841E88" w:rsidP="005A35F9">
            <w:pPr>
              <w:autoSpaceDE w:val="0"/>
              <w:autoSpaceDN w:val="0"/>
              <w:adjustRightInd w:val="0"/>
              <w:rPr>
                <w:sz w:val="24"/>
                <w:szCs w:val="24"/>
              </w:rPr>
            </w:pPr>
            <w:r>
              <w:rPr>
                <w:sz w:val="24"/>
                <w:szCs w:val="24"/>
              </w:rPr>
              <w:t>Larry Sauer</w:t>
            </w:r>
          </w:p>
          <w:p w:rsidR="00841E88" w:rsidRDefault="00841E88" w:rsidP="005A35F9">
            <w:pPr>
              <w:autoSpaceDE w:val="0"/>
              <w:autoSpaceDN w:val="0"/>
              <w:adjustRightInd w:val="0"/>
              <w:rPr>
                <w:sz w:val="24"/>
                <w:szCs w:val="24"/>
              </w:rPr>
            </w:pPr>
            <w:r>
              <w:rPr>
                <w:sz w:val="24"/>
                <w:szCs w:val="24"/>
              </w:rPr>
              <w:t>Terry Etter</w:t>
            </w:r>
          </w:p>
          <w:p w:rsidR="00841E88" w:rsidRDefault="00841E88" w:rsidP="005A35F9">
            <w:pPr>
              <w:autoSpaceDE w:val="0"/>
              <w:autoSpaceDN w:val="0"/>
              <w:adjustRightInd w:val="0"/>
              <w:rPr>
                <w:sz w:val="24"/>
                <w:szCs w:val="24"/>
              </w:rPr>
            </w:pPr>
            <w:r>
              <w:rPr>
                <w:sz w:val="24"/>
                <w:szCs w:val="24"/>
              </w:rPr>
              <w:t>Office of the Ohio Consumers’ Counsel</w:t>
            </w:r>
          </w:p>
          <w:p w:rsidR="00841E88" w:rsidRDefault="00841E88" w:rsidP="005A35F9">
            <w:pPr>
              <w:autoSpaceDE w:val="0"/>
              <w:autoSpaceDN w:val="0"/>
              <w:adjustRightInd w:val="0"/>
              <w:rPr>
                <w:sz w:val="24"/>
                <w:szCs w:val="24"/>
              </w:rPr>
            </w:pPr>
            <w:r>
              <w:rPr>
                <w:sz w:val="24"/>
                <w:szCs w:val="24"/>
              </w:rPr>
              <w:t>10 West Broad St, Suite 1800</w:t>
            </w:r>
          </w:p>
          <w:p w:rsidR="00841E88" w:rsidRDefault="00841E88" w:rsidP="005A35F9">
            <w:pPr>
              <w:autoSpaceDE w:val="0"/>
              <w:autoSpaceDN w:val="0"/>
              <w:adjustRightInd w:val="0"/>
              <w:rPr>
                <w:sz w:val="24"/>
                <w:szCs w:val="24"/>
              </w:rPr>
            </w:pPr>
            <w:r>
              <w:rPr>
                <w:sz w:val="24"/>
                <w:szCs w:val="24"/>
              </w:rPr>
              <w:t>Columbus, OH 43215</w:t>
            </w:r>
          </w:p>
          <w:p w:rsidR="007A5518" w:rsidRDefault="007A5518" w:rsidP="007A5518">
            <w:pPr>
              <w:autoSpaceDE w:val="0"/>
              <w:autoSpaceDN w:val="0"/>
              <w:adjustRightInd w:val="0"/>
              <w:rPr>
                <w:rFonts w:eastAsiaTheme="minorHAnsi"/>
                <w:color w:val="0000FF"/>
              </w:rPr>
            </w:pPr>
            <w:hyperlink r:id="rId12" w:history="1">
              <w:r w:rsidRPr="005901AF">
                <w:rPr>
                  <w:rStyle w:val="Hyperlink"/>
                  <w:rFonts w:eastAsiaTheme="minorHAnsi"/>
                </w:rPr>
                <w:t>etter@occ.state.oh.us</w:t>
              </w:r>
            </w:hyperlink>
          </w:p>
          <w:p w:rsidR="007A5518" w:rsidRDefault="007A5518" w:rsidP="007A5518">
            <w:pPr>
              <w:autoSpaceDE w:val="0"/>
              <w:autoSpaceDN w:val="0"/>
              <w:adjustRightInd w:val="0"/>
              <w:rPr>
                <w:rFonts w:eastAsiaTheme="minorHAnsi"/>
                <w:color w:val="0000FF"/>
              </w:rPr>
            </w:pPr>
          </w:p>
          <w:p w:rsidR="007A5518" w:rsidRPr="001916FE" w:rsidRDefault="007A5518" w:rsidP="005A35F9">
            <w:pPr>
              <w:autoSpaceDE w:val="0"/>
              <w:autoSpaceDN w:val="0"/>
              <w:adjustRightInd w:val="0"/>
              <w:rPr>
                <w:sz w:val="24"/>
                <w:szCs w:val="24"/>
              </w:rPr>
            </w:pPr>
          </w:p>
        </w:tc>
      </w:tr>
      <w:tr w:rsidR="007A5518" w:rsidRPr="001916FE" w:rsidTr="005A35F9">
        <w:trPr>
          <w:cantSplit/>
        </w:trPr>
        <w:tc>
          <w:tcPr>
            <w:tcW w:w="4089" w:type="dxa"/>
          </w:tcPr>
          <w:p w:rsidR="007A5518" w:rsidRPr="001916FE" w:rsidRDefault="007A5518" w:rsidP="005A35F9">
            <w:pPr>
              <w:autoSpaceDE w:val="0"/>
              <w:autoSpaceDN w:val="0"/>
              <w:adjustRightInd w:val="0"/>
              <w:rPr>
                <w:sz w:val="24"/>
                <w:szCs w:val="24"/>
              </w:rPr>
            </w:pPr>
          </w:p>
        </w:tc>
        <w:tc>
          <w:tcPr>
            <w:tcW w:w="270" w:type="dxa"/>
          </w:tcPr>
          <w:p w:rsidR="007A5518" w:rsidRPr="001916FE" w:rsidRDefault="007A5518" w:rsidP="005A35F9">
            <w:pPr>
              <w:ind w:left="154" w:right="154"/>
              <w:rPr>
                <w:sz w:val="24"/>
                <w:szCs w:val="24"/>
              </w:rPr>
            </w:pPr>
          </w:p>
        </w:tc>
        <w:tc>
          <w:tcPr>
            <w:tcW w:w="4461" w:type="dxa"/>
          </w:tcPr>
          <w:p w:rsidR="007A5518" w:rsidRPr="001916FE" w:rsidRDefault="007A5518" w:rsidP="005A35F9">
            <w:pPr>
              <w:autoSpaceDE w:val="0"/>
              <w:autoSpaceDN w:val="0"/>
              <w:adjustRightInd w:val="0"/>
              <w:rPr>
                <w:sz w:val="24"/>
                <w:szCs w:val="24"/>
              </w:rPr>
            </w:pPr>
          </w:p>
        </w:tc>
      </w:tr>
      <w:tr w:rsidR="007A5518" w:rsidRPr="001916FE" w:rsidTr="005A35F9">
        <w:trPr>
          <w:cantSplit/>
        </w:trPr>
        <w:tc>
          <w:tcPr>
            <w:tcW w:w="4089" w:type="dxa"/>
          </w:tcPr>
          <w:p w:rsidR="007A5518" w:rsidRPr="001916FE" w:rsidRDefault="007A5518" w:rsidP="005A35F9">
            <w:pPr>
              <w:autoSpaceDE w:val="0"/>
              <w:autoSpaceDN w:val="0"/>
              <w:adjustRightInd w:val="0"/>
              <w:rPr>
                <w:sz w:val="24"/>
                <w:szCs w:val="24"/>
              </w:rPr>
            </w:pPr>
          </w:p>
        </w:tc>
        <w:tc>
          <w:tcPr>
            <w:tcW w:w="270" w:type="dxa"/>
          </w:tcPr>
          <w:p w:rsidR="007A5518" w:rsidRPr="001916FE" w:rsidRDefault="007A5518" w:rsidP="005A35F9">
            <w:pPr>
              <w:ind w:left="154" w:right="154"/>
              <w:rPr>
                <w:sz w:val="24"/>
                <w:szCs w:val="24"/>
              </w:rPr>
            </w:pPr>
          </w:p>
        </w:tc>
        <w:tc>
          <w:tcPr>
            <w:tcW w:w="4461" w:type="dxa"/>
          </w:tcPr>
          <w:p w:rsidR="007A5518" w:rsidRPr="001916FE" w:rsidRDefault="007A5518" w:rsidP="005A35F9">
            <w:pPr>
              <w:autoSpaceDE w:val="0"/>
              <w:autoSpaceDN w:val="0"/>
              <w:adjustRightInd w:val="0"/>
              <w:rPr>
                <w:sz w:val="24"/>
                <w:szCs w:val="24"/>
              </w:rPr>
            </w:pPr>
          </w:p>
        </w:tc>
      </w:tr>
      <w:tr w:rsidR="007A5518" w:rsidRPr="001916FE" w:rsidTr="005A35F9">
        <w:trPr>
          <w:cantSplit/>
        </w:trPr>
        <w:tc>
          <w:tcPr>
            <w:tcW w:w="4089" w:type="dxa"/>
          </w:tcPr>
          <w:p w:rsidR="007A5518" w:rsidRPr="001916FE" w:rsidRDefault="007A5518" w:rsidP="005A35F9">
            <w:pPr>
              <w:autoSpaceDE w:val="0"/>
              <w:autoSpaceDN w:val="0"/>
              <w:adjustRightInd w:val="0"/>
              <w:rPr>
                <w:sz w:val="24"/>
                <w:szCs w:val="24"/>
              </w:rPr>
            </w:pPr>
          </w:p>
        </w:tc>
        <w:tc>
          <w:tcPr>
            <w:tcW w:w="270" w:type="dxa"/>
          </w:tcPr>
          <w:p w:rsidR="007A5518" w:rsidRPr="001916FE" w:rsidRDefault="007A5518" w:rsidP="005A35F9">
            <w:pPr>
              <w:ind w:left="154" w:right="154"/>
              <w:rPr>
                <w:sz w:val="24"/>
                <w:szCs w:val="24"/>
              </w:rPr>
            </w:pPr>
          </w:p>
        </w:tc>
        <w:tc>
          <w:tcPr>
            <w:tcW w:w="4461" w:type="dxa"/>
          </w:tcPr>
          <w:p w:rsidR="007A5518" w:rsidRPr="001916FE" w:rsidRDefault="007A5518" w:rsidP="005A35F9">
            <w:pPr>
              <w:autoSpaceDE w:val="0"/>
              <w:autoSpaceDN w:val="0"/>
              <w:adjustRightInd w:val="0"/>
              <w:rPr>
                <w:sz w:val="24"/>
                <w:szCs w:val="24"/>
              </w:rPr>
            </w:pPr>
          </w:p>
        </w:tc>
      </w:tr>
    </w:tbl>
    <w:p w:rsidR="00841E88" w:rsidRDefault="00841E88" w:rsidP="00841E88"/>
    <w:p w:rsidR="00DE28F5" w:rsidRPr="00F97E6F" w:rsidRDefault="00DE28F5" w:rsidP="004B40A1">
      <w:pPr>
        <w:rPr>
          <w:szCs w:val="24"/>
        </w:rPr>
      </w:pPr>
    </w:p>
    <w:sectPr w:rsidR="00DE28F5" w:rsidRPr="00F97E6F" w:rsidSect="00935213">
      <w:footerReference w:type="default" r:id="rId13"/>
      <w:footerReference w:type="first" r:id="rId14"/>
      <w:pgSz w:w="12240" w:h="15840" w:code="1"/>
      <w:pgMar w:top="1440" w:right="1440" w:bottom="1440" w:left="1440" w:header="720" w:footer="14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AF" w:rsidRDefault="00FF38AF" w:rsidP="00234957">
      <w:r>
        <w:separator/>
      </w:r>
    </w:p>
  </w:endnote>
  <w:endnote w:type="continuationSeparator" w:id="0">
    <w:p w:rsidR="00FF38AF" w:rsidRDefault="00FF38AF" w:rsidP="0023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2F" w:rsidRDefault="009A472F">
    <w:pPr>
      <w:pStyle w:val="Footer"/>
      <w:jc w:val="center"/>
      <w:rPr>
        <w:sz w:val="24"/>
        <w:szCs w:val="24"/>
      </w:rPr>
    </w:pPr>
  </w:p>
  <w:p w:rsidR="009A472F" w:rsidRDefault="009A472F">
    <w:pPr>
      <w:pStyle w:val="Footer"/>
      <w:jc w:val="center"/>
      <w:rPr>
        <w:sz w:val="24"/>
        <w:szCs w:val="24"/>
      </w:rPr>
    </w:pPr>
  </w:p>
  <w:p w:rsidR="009A472F" w:rsidRPr="000D367B" w:rsidRDefault="00FD2752" w:rsidP="009A472F">
    <w:pPr>
      <w:pStyle w:val="Footer"/>
      <w:jc w:val="center"/>
      <w:rPr>
        <w:sz w:val="24"/>
        <w:szCs w:val="24"/>
      </w:rPr>
    </w:pPr>
    <w:r w:rsidRPr="000D367B">
      <w:rPr>
        <w:sz w:val="24"/>
        <w:szCs w:val="24"/>
      </w:rPr>
      <w:fldChar w:fldCharType="begin"/>
    </w:r>
    <w:r w:rsidR="009A472F" w:rsidRPr="000D367B">
      <w:rPr>
        <w:sz w:val="24"/>
        <w:szCs w:val="24"/>
      </w:rPr>
      <w:instrText xml:space="preserve"> PAGE   \* MERGEFORMAT </w:instrText>
    </w:r>
    <w:r w:rsidRPr="000D367B">
      <w:rPr>
        <w:sz w:val="24"/>
        <w:szCs w:val="24"/>
      </w:rPr>
      <w:fldChar w:fldCharType="separate"/>
    </w:r>
    <w:r w:rsidR="007A5518">
      <w:rPr>
        <w:noProof/>
        <w:sz w:val="24"/>
        <w:szCs w:val="24"/>
      </w:rPr>
      <w:t>6</w:t>
    </w:r>
    <w:r w:rsidRPr="000D367B">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2F" w:rsidRDefault="009A472F" w:rsidP="009A472F">
    <w:pPr>
      <w:pStyle w:val="Footer"/>
    </w:pPr>
  </w:p>
  <w:p w:rsidR="009A472F" w:rsidRPr="00244590" w:rsidRDefault="009A472F" w:rsidP="009A472F">
    <w:pPr>
      <w:pStyle w:val="Footer"/>
      <w:rPr>
        <w:rFonts w:ascii="Palatino Linotype" w:hAnsi="Palatino Linotyp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AF" w:rsidRDefault="00FF38AF" w:rsidP="00234957">
      <w:r>
        <w:separator/>
      </w:r>
    </w:p>
  </w:footnote>
  <w:footnote w:type="continuationSeparator" w:id="0">
    <w:p w:rsidR="00FF38AF" w:rsidRDefault="00FF38AF" w:rsidP="0023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0A23"/>
    <w:multiLevelType w:val="hybridMultilevel"/>
    <w:tmpl w:val="F36051C4"/>
    <w:lvl w:ilvl="0" w:tplc="40EC13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242CC"/>
    <w:multiLevelType w:val="hybridMultilevel"/>
    <w:tmpl w:val="E23A853C"/>
    <w:lvl w:ilvl="0" w:tplc="32E25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B13BB2"/>
    <w:rsid w:val="0000161F"/>
    <w:rsid w:val="0000630F"/>
    <w:rsid w:val="000107BF"/>
    <w:rsid w:val="00023F84"/>
    <w:rsid w:val="00026822"/>
    <w:rsid w:val="000958C4"/>
    <w:rsid w:val="000B0C4E"/>
    <w:rsid w:val="000B612F"/>
    <w:rsid w:val="000C0F67"/>
    <w:rsid w:val="000E42FE"/>
    <w:rsid w:val="000F251B"/>
    <w:rsid w:val="00100405"/>
    <w:rsid w:val="001116AB"/>
    <w:rsid w:val="00117683"/>
    <w:rsid w:val="00117AB1"/>
    <w:rsid w:val="00126253"/>
    <w:rsid w:val="00143442"/>
    <w:rsid w:val="001447BB"/>
    <w:rsid w:val="00176972"/>
    <w:rsid w:val="0018615C"/>
    <w:rsid w:val="00191C65"/>
    <w:rsid w:val="001B0BC3"/>
    <w:rsid w:val="001B0C75"/>
    <w:rsid w:val="001C35CE"/>
    <w:rsid w:val="00210C0B"/>
    <w:rsid w:val="00234957"/>
    <w:rsid w:val="00242007"/>
    <w:rsid w:val="00247647"/>
    <w:rsid w:val="00260FB1"/>
    <w:rsid w:val="00266A5F"/>
    <w:rsid w:val="00287043"/>
    <w:rsid w:val="002A759C"/>
    <w:rsid w:val="002B389C"/>
    <w:rsid w:val="002B3EA6"/>
    <w:rsid w:val="002C698B"/>
    <w:rsid w:val="002D1F0D"/>
    <w:rsid w:val="002F013A"/>
    <w:rsid w:val="003008A5"/>
    <w:rsid w:val="00323907"/>
    <w:rsid w:val="00334459"/>
    <w:rsid w:val="00356738"/>
    <w:rsid w:val="003632E2"/>
    <w:rsid w:val="003633A4"/>
    <w:rsid w:val="003766C5"/>
    <w:rsid w:val="00381EF3"/>
    <w:rsid w:val="003C7EFC"/>
    <w:rsid w:val="003D72C3"/>
    <w:rsid w:val="003F560A"/>
    <w:rsid w:val="004013D5"/>
    <w:rsid w:val="00413242"/>
    <w:rsid w:val="00416B3E"/>
    <w:rsid w:val="00446B7C"/>
    <w:rsid w:val="0047291D"/>
    <w:rsid w:val="00474B99"/>
    <w:rsid w:val="00495806"/>
    <w:rsid w:val="004A1F8B"/>
    <w:rsid w:val="004A73EE"/>
    <w:rsid w:val="004B40A1"/>
    <w:rsid w:val="00500895"/>
    <w:rsid w:val="0050691B"/>
    <w:rsid w:val="0051168A"/>
    <w:rsid w:val="005154F1"/>
    <w:rsid w:val="00563BD8"/>
    <w:rsid w:val="00566165"/>
    <w:rsid w:val="00570007"/>
    <w:rsid w:val="00590F3F"/>
    <w:rsid w:val="005A49F0"/>
    <w:rsid w:val="005B2EA2"/>
    <w:rsid w:val="005C14D6"/>
    <w:rsid w:val="005C2AEF"/>
    <w:rsid w:val="00604F1C"/>
    <w:rsid w:val="00605BAB"/>
    <w:rsid w:val="0061487A"/>
    <w:rsid w:val="006157F3"/>
    <w:rsid w:val="006172F7"/>
    <w:rsid w:val="00634A93"/>
    <w:rsid w:val="00645A2B"/>
    <w:rsid w:val="00651B89"/>
    <w:rsid w:val="00671B52"/>
    <w:rsid w:val="00672F66"/>
    <w:rsid w:val="0069126F"/>
    <w:rsid w:val="00694930"/>
    <w:rsid w:val="00695ACB"/>
    <w:rsid w:val="00696722"/>
    <w:rsid w:val="006A14F3"/>
    <w:rsid w:val="006C5641"/>
    <w:rsid w:val="006C601F"/>
    <w:rsid w:val="006E1A5B"/>
    <w:rsid w:val="006F1CBF"/>
    <w:rsid w:val="00717026"/>
    <w:rsid w:val="007475CD"/>
    <w:rsid w:val="007657E8"/>
    <w:rsid w:val="00766C3E"/>
    <w:rsid w:val="007804DD"/>
    <w:rsid w:val="00786916"/>
    <w:rsid w:val="00787D0F"/>
    <w:rsid w:val="00795E8E"/>
    <w:rsid w:val="007A3299"/>
    <w:rsid w:val="007A5518"/>
    <w:rsid w:val="007D5B4C"/>
    <w:rsid w:val="007E0DB1"/>
    <w:rsid w:val="007E5420"/>
    <w:rsid w:val="007F2C33"/>
    <w:rsid w:val="0080360B"/>
    <w:rsid w:val="00825E7B"/>
    <w:rsid w:val="0083204F"/>
    <w:rsid w:val="00841E88"/>
    <w:rsid w:val="00845F5B"/>
    <w:rsid w:val="00851E17"/>
    <w:rsid w:val="00853921"/>
    <w:rsid w:val="008864AD"/>
    <w:rsid w:val="008B7700"/>
    <w:rsid w:val="008C0A5C"/>
    <w:rsid w:val="008D2A62"/>
    <w:rsid w:val="008D3395"/>
    <w:rsid w:val="008D5F8A"/>
    <w:rsid w:val="008E0B90"/>
    <w:rsid w:val="0090149E"/>
    <w:rsid w:val="0092183C"/>
    <w:rsid w:val="009223F5"/>
    <w:rsid w:val="00934ED8"/>
    <w:rsid w:val="00935213"/>
    <w:rsid w:val="0096418C"/>
    <w:rsid w:val="00967B9F"/>
    <w:rsid w:val="00970C06"/>
    <w:rsid w:val="00971E07"/>
    <w:rsid w:val="009A472F"/>
    <w:rsid w:val="009C2C89"/>
    <w:rsid w:val="009C42C9"/>
    <w:rsid w:val="009F2BEF"/>
    <w:rsid w:val="00A17529"/>
    <w:rsid w:val="00A305D3"/>
    <w:rsid w:val="00A36DC7"/>
    <w:rsid w:val="00A40F70"/>
    <w:rsid w:val="00A52AA3"/>
    <w:rsid w:val="00A708BC"/>
    <w:rsid w:val="00A70FAD"/>
    <w:rsid w:val="00AA5C01"/>
    <w:rsid w:val="00AA7C5F"/>
    <w:rsid w:val="00AB1F43"/>
    <w:rsid w:val="00AB20E7"/>
    <w:rsid w:val="00AB6880"/>
    <w:rsid w:val="00AD35AC"/>
    <w:rsid w:val="00B052CE"/>
    <w:rsid w:val="00B13BB2"/>
    <w:rsid w:val="00B3248E"/>
    <w:rsid w:val="00B51AE6"/>
    <w:rsid w:val="00B534AF"/>
    <w:rsid w:val="00B56177"/>
    <w:rsid w:val="00B956BA"/>
    <w:rsid w:val="00BA50CE"/>
    <w:rsid w:val="00BB5AF2"/>
    <w:rsid w:val="00BD0B10"/>
    <w:rsid w:val="00BD46C2"/>
    <w:rsid w:val="00BF58F7"/>
    <w:rsid w:val="00C812B3"/>
    <w:rsid w:val="00C9267E"/>
    <w:rsid w:val="00CB5572"/>
    <w:rsid w:val="00CC1C6A"/>
    <w:rsid w:val="00CC21B4"/>
    <w:rsid w:val="00CC5E48"/>
    <w:rsid w:val="00CD11DE"/>
    <w:rsid w:val="00CD217B"/>
    <w:rsid w:val="00CD3382"/>
    <w:rsid w:val="00CD3A26"/>
    <w:rsid w:val="00CD4CB9"/>
    <w:rsid w:val="00CD5875"/>
    <w:rsid w:val="00CE001F"/>
    <w:rsid w:val="00CF6C93"/>
    <w:rsid w:val="00D04406"/>
    <w:rsid w:val="00D13709"/>
    <w:rsid w:val="00D22606"/>
    <w:rsid w:val="00D3420C"/>
    <w:rsid w:val="00D5169E"/>
    <w:rsid w:val="00D7318B"/>
    <w:rsid w:val="00DA5B8A"/>
    <w:rsid w:val="00DA69F0"/>
    <w:rsid w:val="00DA6E12"/>
    <w:rsid w:val="00DB364A"/>
    <w:rsid w:val="00DB37BA"/>
    <w:rsid w:val="00DC0A6F"/>
    <w:rsid w:val="00DC310C"/>
    <w:rsid w:val="00DD0DC5"/>
    <w:rsid w:val="00DD437C"/>
    <w:rsid w:val="00DD4FA3"/>
    <w:rsid w:val="00DE28F5"/>
    <w:rsid w:val="00E43746"/>
    <w:rsid w:val="00E45454"/>
    <w:rsid w:val="00E519F7"/>
    <w:rsid w:val="00E53E4A"/>
    <w:rsid w:val="00E61993"/>
    <w:rsid w:val="00E73B58"/>
    <w:rsid w:val="00EA2BBC"/>
    <w:rsid w:val="00EB5060"/>
    <w:rsid w:val="00EC2CA4"/>
    <w:rsid w:val="00F26A7E"/>
    <w:rsid w:val="00F30867"/>
    <w:rsid w:val="00F740D5"/>
    <w:rsid w:val="00F95B50"/>
    <w:rsid w:val="00F97E6F"/>
    <w:rsid w:val="00FA0DD0"/>
    <w:rsid w:val="00FA7ECF"/>
    <w:rsid w:val="00FB659E"/>
    <w:rsid w:val="00FB7E29"/>
    <w:rsid w:val="00FC0A77"/>
    <w:rsid w:val="00FD2752"/>
    <w:rsid w:val="00FE23E3"/>
    <w:rsid w:val="00FF27E7"/>
    <w:rsid w:val="00FF3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B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BB2"/>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B13BB2"/>
    <w:rPr>
      <w:rFonts w:ascii="Times New Roman" w:eastAsia="Times New Roman" w:hAnsi="Times New Roman" w:cs="Times New Roman"/>
      <w:sz w:val="20"/>
      <w:szCs w:val="20"/>
    </w:rPr>
  </w:style>
  <w:style w:type="paragraph" w:styleId="Title">
    <w:name w:val="Title"/>
    <w:basedOn w:val="Normal"/>
    <w:link w:val="TitleChar"/>
    <w:qFormat/>
    <w:rsid w:val="00B13BB2"/>
    <w:pPr>
      <w:tabs>
        <w:tab w:val="left" w:pos="720"/>
        <w:tab w:val="left" w:pos="5670"/>
        <w:tab w:val="left" w:pos="6030"/>
      </w:tabs>
      <w:jc w:val="center"/>
    </w:pPr>
    <w:rPr>
      <w:b/>
    </w:rPr>
  </w:style>
  <w:style w:type="character" w:customStyle="1" w:styleId="TitleChar">
    <w:name w:val="Title Char"/>
    <w:basedOn w:val="DefaultParagraphFont"/>
    <w:link w:val="Title"/>
    <w:rsid w:val="00B13BB2"/>
    <w:rPr>
      <w:rFonts w:ascii="Bookman Old Style" w:eastAsia="Times New Roman" w:hAnsi="Bookman Old Style" w:cs="Times New Roman"/>
      <w:b/>
      <w:sz w:val="24"/>
      <w:szCs w:val="20"/>
    </w:rPr>
  </w:style>
  <w:style w:type="paragraph" w:styleId="Header">
    <w:name w:val="header"/>
    <w:basedOn w:val="Normal"/>
    <w:link w:val="HeaderChar"/>
    <w:rsid w:val="00B13BB2"/>
    <w:pPr>
      <w:tabs>
        <w:tab w:val="center" w:pos="4320"/>
        <w:tab w:val="right" w:pos="8640"/>
      </w:tabs>
    </w:pPr>
  </w:style>
  <w:style w:type="character" w:customStyle="1" w:styleId="HeaderChar">
    <w:name w:val="Header Char"/>
    <w:basedOn w:val="DefaultParagraphFont"/>
    <w:link w:val="Header"/>
    <w:rsid w:val="00B13BB2"/>
    <w:rPr>
      <w:rFonts w:ascii="Bookman Old Style" w:eastAsia="Times New Roman" w:hAnsi="Bookman Old Style" w:cs="Times New Roman"/>
      <w:sz w:val="24"/>
      <w:szCs w:val="20"/>
    </w:rPr>
  </w:style>
  <w:style w:type="character" w:styleId="Hyperlink">
    <w:name w:val="Hyperlink"/>
    <w:basedOn w:val="DefaultParagraphFont"/>
    <w:rsid w:val="00B13BB2"/>
    <w:rPr>
      <w:color w:val="0000FF"/>
      <w:u w:val="single"/>
    </w:rPr>
  </w:style>
  <w:style w:type="paragraph" w:styleId="BodyText2">
    <w:name w:val="Body Text 2"/>
    <w:basedOn w:val="Normal"/>
    <w:link w:val="BodyText2Char"/>
    <w:rsid w:val="00B13BB2"/>
    <w:rPr>
      <w:rFonts w:ascii="Arial" w:hAnsi="Arial"/>
      <w:b/>
    </w:rPr>
  </w:style>
  <w:style w:type="character" w:customStyle="1" w:styleId="BodyText2Char">
    <w:name w:val="Body Text 2 Char"/>
    <w:basedOn w:val="DefaultParagraphFont"/>
    <w:link w:val="BodyText2"/>
    <w:rsid w:val="00B13BB2"/>
    <w:rPr>
      <w:rFonts w:ascii="Arial" w:eastAsia="Times New Roman" w:hAnsi="Arial" w:cs="Times New Roman"/>
      <w:b/>
      <w:sz w:val="24"/>
      <w:szCs w:val="20"/>
    </w:rPr>
  </w:style>
  <w:style w:type="paragraph" w:styleId="FootnoteText">
    <w:name w:val="footnote text"/>
    <w:basedOn w:val="Normal"/>
    <w:link w:val="FootnoteTextChar"/>
    <w:semiHidden/>
    <w:rsid w:val="006E1A5B"/>
    <w:rPr>
      <w:rFonts w:ascii="Times New Roman" w:hAnsi="Times New Roman"/>
      <w:sz w:val="20"/>
    </w:rPr>
  </w:style>
  <w:style w:type="character" w:customStyle="1" w:styleId="FootnoteTextChar">
    <w:name w:val="Footnote Text Char"/>
    <w:basedOn w:val="DefaultParagraphFont"/>
    <w:link w:val="FootnoteText"/>
    <w:semiHidden/>
    <w:rsid w:val="006E1A5B"/>
    <w:rPr>
      <w:rFonts w:ascii="Times New Roman" w:eastAsia="Times New Roman" w:hAnsi="Times New Roman" w:cs="Times New Roman"/>
      <w:sz w:val="20"/>
      <w:szCs w:val="20"/>
    </w:rPr>
  </w:style>
  <w:style w:type="character" w:styleId="FootnoteReference">
    <w:name w:val="footnote reference"/>
    <w:basedOn w:val="DefaultParagraphFont"/>
    <w:semiHidden/>
    <w:rsid w:val="006E1A5B"/>
    <w:rPr>
      <w:vertAlign w:val="superscript"/>
    </w:rPr>
  </w:style>
  <w:style w:type="paragraph" w:styleId="BodyText">
    <w:name w:val="Body Text"/>
    <w:basedOn w:val="Normal"/>
    <w:link w:val="BodyTextChar"/>
    <w:uiPriority w:val="99"/>
    <w:semiHidden/>
    <w:unhideWhenUsed/>
    <w:rsid w:val="006E1A5B"/>
    <w:pPr>
      <w:spacing w:after="120"/>
    </w:pPr>
  </w:style>
  <w:style w:type="character" w:customStyle="1" w:styleId="BodyTextChar">
    <w:name w:val="Body Text Char"/>
    <w:basedOn w:val="DefaultParagraphFont"/>
    <w:link w:val="BodyText"/>
    <w:uiPriority w:val="99"/>
    <w:semiHidden/>
    <w:rsid w:val="006E1A5B"/>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2A759C"/>
    <w:rPr>
      <w:rFonts w:ascii="Tahoma" w:hAnsi="Tahoma" w:cs="Tahoma"/>
      <w:sz w:val="16"/>
      <w:szCs w:val="16"/>
    </w:rPr>
  </w:style>
  <w:style w:type="character" w:customStyle="1" w:styleId="BalloonTextChar">
    <w:name w:val="Balloon Text Char"/>
    <w:basedOn w:val="DefaultParagraphFont"/>
    <w:link w:val="BalloonText"/>
    <w:uiPriority w:val="99"/>
    <w:semiHidden/>
    <w:rsid w:val="002A759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A759C"/>
    <w:rPr>
      <w:sz w:val="16"/>
      <w:szCs w:val="16"/>
    </w:rPr>
  </w:style>
  <w:style w:type="paragraph" w:styleId="CommentText">
    <w:name w:val="annotation text"/>
    <w:basedOn w:val="Normal"/>
    <w:link w:val="CommentTextChar"/>
    <w:uiPriority w:val="99"/>
    <w:semiHidden/>
    <w:unhideWhenUsed/>
    <w:rsid w:val="002A759C"/>
    <w:rPr>
      <w:sz w:val="20"/>
    </w:rPr>
  </w:style>
  <w:style w:type="character" w:customStyle="1" w:styleId="CommentTextChar">
    <w:name w:val="Comment Text Char"/>
    <w:basedOn w:val="DefaultParagraphFont"/>
    <w:link w:val="CommentText"/>
    <w:uiPriority w:val="99"/>
    <w:semiHidden/>
    <w:rsid w:val="002A759C"/>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2A759C"/>
    <w:rPr>
      <w:b/>
      <w:bCs/>
    </w:rPr>
  </w:style>
  <w:style w:type="character" w:customStyle="1" w:styleId="CommentSubjectChar">
    <w:name w:val="Comment Subject Char"/>
    <w:basedOn w:val="CommentTextChar"/>
    <w:link w:val="CommentSubject"/>
    <w:uiPriority w:val="99"/>
    <w:semiHidden/>
    <w:rsid w:val="002A759C"/>
    <w:rPr>
      <w:b/>
      <w:bCs/>
    </w:rPr>
  </w:style>
  <w:style w:type="character" w:styleId="FollowedHyperlink">
    <w:name w:val="FollowedHyperlink"/>
    <w:basedOn w:val="DefaultParagraphFont"/>
    <w:uiPriority w:val="99"/>
    <w:semiHidden/>
    <w:unhideWhenUsed/>
    <w:rsid w:val="00260FB1"/>
    <w:rPr>
      <w:color w:val="800080" w:themeColor="followedHyperlink"/>
      <w:u w:val="single"/>
    </w:rPr>
  </w:style>
  <w:style w:type="paragraph" w:styleId="ListParagraph">
    <w:name w:val="List Paragraph"/>
    <w:basedOn w:val="Normal"/>
    <w:uiPriority w:val="34"/>
    <w:qFormat/>
    <w:rsid w:val="00DE28F5"/>
    <w:pPr>
      <w:ind w:left="720"/>
      <w:contextualSpacing/>
    </w:pPr>
  </w:style>
  <w:style w:type="table" w:styleId="TableGrid">
    <w:name w:val="Table Grid"/>
    <w:basedOn w:val="TableNormal"/>
    <w:uiPriority w:val="59"/>
    <w:rsid w:val="00841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ter@occ.state.oh.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jones@puc.state.oh.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ven.beeler@puc.state.oh.us" TargetMode="External"/><Relationship Id="rId4" Type="http://schemas.openxmlformats.org/officeDocument/2006/relationships/settings" Target="settings.xml"/><Relationship Id="rId9" Type="http://schemas.openxmlformats.org/officeDocument/2006/relationships/hyperlink" Target="mailto:Elizabeth.Watts@Duke-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6E8D-E904-4223-8ED1-C9A2A791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ehwatts</dc:creator>
  <cp:keywords/>
  <dc:description/>
  <cp:lastModifiedBy>Mickey</cp:lastModifiedBy>
  <cp:revision>2</cp:revision>
  <dcterms:created xsi:type="dcterms:W3CDTF">2012-03-27T18:13:00Z</dcterms:created>
  <dcterms:modified xsi:type="dcterms:W3CDTF">2012-03-27T18:13:00Z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norVersionNumber">
    <vt:lpwstr>0</vt:lpwstr>
  </property>
  <property fmtid="{D5CDD505-2E9C-101B-9397-08002B2CF9AE}" pid="3" name="Creator">
    <vt:lpwstr>Watts, Elizabeth H (EHWatts)</vt:lpwstr>
  </property>
  <property fmtid="{D5CDD505-2E9C-101B-9397-08002B2CF9AE}" pid="4" name="CurrentVersionDate">
    <vt:lpwstr>6/28/2011 17:10:10</vt:lpwstr>
  </property>
  <property fmtid="{D5CDD505-2E9C-101B-9397-08002B2CF9AE}" pid="5" name="DocClass">
    <vt:lpwstr>Legal Document</vt:lpwstr>
  </property>
  <property fmtid="{D5CDD505-2E9C-101B-9397-08002B2CF9AE}" pid="6" name="Author">
    <vt:lpwstr>Watts, Elizabeth H (EHWatts)</vt:lpwstr>
  </property>
  <property fmtid="{D5CDD505-2E9C-101B-9397-08002B2CF9AE}" pid="7" name="Document Owner">
    <vt:lpwstr>Watts, Elizabeth H (EHWatts)</vt:lpwstr>
  </property>
  <property fmtid="{D5CDD505-2E9C-101B-9397-08002B2CF9AE}" pid="8" name="Title">
    <vt:lpwstr>Motion for Protective Order 10-2326</vt:lpwstr>
  </property>
  <property fmtid="{D5CDD505-2E9C-101B-9397-08002B2CF9AE}" pid="9" name="Document Number">
    <vt:lpwstr>0000421802</vt:lpwstr>
  </property>
  <property fmtid="{D5CDD505-2E9C-101B-9397-08002B2CF9AE}" pid="10" name="Description">
    <vt:lpwstr/>
  </property>
  <property fmtid="{D5CDD505-2E9C-101B-9397-08002B2CF9AE}" pid="11" name="VersionSeries">
    <vt:lpwstr>{C4B65F54-04AE-4EF0-BDD0-F503968DBA34}</vt:lpwstr>
  </property>
  <property fmtid="{D5CDD505-2E9C-101B-9397-08002B2CF9AE}" pid="12" name="Document Title">
    <vt:lpwstr>Motion for Protective Order 10-2326</vt:lpwstr>
  </property>
  <property fmtid="{D5CDD505-2E9C-101B-9397-08002B2CF9AE}" pid="13" name="Library">
    <vt:lpwstr>Legal</vt:lpwstr>
  </property>
  <property fmtid="{D5CDD505-2E9C-101B-9397-08002B2CF9AE}" pid="14" name="Item ID">
    <vt:lpwstr>{CAEFA2D7-BDE1-482F-A3AF-587D1FE7DD44}</vt:lpwstr>
  </property>
  <property fmtid="{D5CDD505-2E9C-101B-9397-08002B2CF9AE}" pid="15" name="Document Type">
    <vt:lpwstr>Motion</vt:lpwstr>
  </property>
  <property fmtid="{D5CDD505-2E9C-101B-9397-08002B2CF9AE}" pid="16" name="MajorVersionNumber">
    <vt:lpwstr>1</vt:lpwstr>
  </property>
  <property fmtid="{D5CDD505-2E9C-101B-9397-08002B2CF9AE}" pid="17" name="Comments">
    <vt:lpwstr/>
  </property>
</Properties>
</file>