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E17C6" w:rsidRPr="00C80BFE" w:rsidP="00BE17C6" w14:paraId="7B6826F3" w14:textId="77777777">
      <w:pPr>
        <w:pStyle w:val="Title"/>
        <w:rPr>
          <w:sz w:val="24"/>
          <w:szCs w:val="24"/>
        </w:rPr>
      </w:pPr>
      <w:r w:rsidRPr="00C80BFE">
        <w:rPr>
          <w:sz w:val="24"/>
          <w:szCs w:val="24"/>
        </w:rPr>
        <w:t>BEFORE</w:t>
      </w:r>
    </w:p>
    <w:p w:rsidR="00BE17C6" w:rsidRPr="00C80BFE" w:rsidP="00BE17C6" w14:paraId="65AB442B" w14:textId="77777777">
      <w:pPr>
        <w:spacing w:after="0"/>
        <w:jc w:val="center"/>
        <w:rPr>
          <w:rFonts w:cs="Times New Roman"/>
          <w:b/>
          <w:szCs w:val="24"/>
        </w:rPr>
      </w:pPr>
      <w:r w:rsidRPr="00C80BFE">
        <w:rPr>
          <w:rFonts w:cs="Times New Roman"/>
          <w:b/>
          <w:szCs w:val="24"/>
        </w:rPr>
        <w:t>THE PUBLIC UTILITIES COMMISSION OF OHIO</w:t>
      </w:r>
    </w:p>
    <w:p w:rsidR="00BE17C6" w:rsidRPr="00C80BFE" w:rsidP="00BE17C6" w14:paraId="76630441" w14:textId="77777777">
      <w:pPr>
        <w:pStyle w:val="HTMLPreformatted"/>
        <w:rPr>
          <w:rFonts w:ascii="Times New Roman" w:hAnsi="Times New Roman" w:cs="Times New Roman"/>
          <w:sz w:val="24"/>
          <w:szCs w:val="24"/>
        </w:rPr>
      </w:pPr>
    </w:p>
    <w:tbl>
      <w:tblPr>
        <w:tblW w:w="8820" w:type="dxa"/>
        <w:tblLook w:val="01E0"/>
      </w:tblPr>
      <w:tblGrid>
        <w:gridCol w:w="4829"/>
        <w:gridCol w:w="301"/>
        <w:gridCol w:w="3690"/>
      </w:tblGrid>
      <w:tr w14:paraId="4B411510" w14:textId="77777777" w:rsidTr="00B72D0F">
        <w:tblPrEx>
          <w:tblW w:w="8820" w:type="dxa"/>
          <w:tblLook w:val="01E0"/>
        </w:tblPrEx>
        <w:trPr>
          <w:trHeight w:val="807"/>
        </w:trPr>
        <w:tc>
          <w:tcPr>
            <w:tcW w:w="4829" w:type="dxa"/>
            <w:shd w:val="clear" w:color="auto" w:fill="auto"/>
          </w:tcPr>
          <w:p w:rsidR="00BE17C6" w:rsidRPr="00C80BFE" w:rsidP="00B72D0F" w14:paraId="4FA71B43"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BE17C6" w:rsidRPr="00C80BFE" w:rsidP="00B72D0F" w14:paraId="58CDB7AC" w14:textId="77777777">
            <w:pPr>
              <w:pStyle w:val="HTMLPreformatted"/>
              <w:rPr>
                <w:rFonts w:ascii="Times New Roman" w:hAnsi="Times New Roman" w:cs="Times New Roman"/>
                <w:sz w:val="24"/>
                <w:szCs w:val="24"/>
              </w:rPr>
            </w:pPr>
          </w:p>
          <w:p w:rsidR="00BE17C6" w:rsidRPr="00C80BFE" w:rsidP="00B72D0F" w14:paraId="670C359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an Alternative Form of Regulation.</w:t>
            </w:r>
          </w:p>
          <w:p w:rsidR="00BE17C6" w:rsidRPr="00C80BFE" w:rsidP="00B72D0F" w14:paraId="5A72036E" w14:textId="77777777">
            <w:pPr>
              <w:pStyle w:val="HTMLPreformatted"/>
              <w:rPr>
                <w:rFonts w:ascii="Times New Roman" w:hAnsi="Times New Roman" w:cs="Times New Roman"/>
                <w:sz w:val="24"/>
                <w:szCs w:val="24"/>
              </w:rPr>
            </w:pPr>
          </w:p>
          <w:p w:rsidR="00BE17C6" w:rsidRPr="00C80BFE" w:rsidP="00B72D0F" w14:paraId="62FA77A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BE17C6" w:rsidRPr="00C80BFE" w:rsidP="00B72D0F" w14:paraId="3DCD9365" w14:textId="77777777">
            <w:pPr>
              <w:pStyle w:val="HTMLPreformatted"/>
              <w:rPr>
                <w:rFonts w:ascii="Times New Roman" w:hAnsi="Times New Roman" w:cs="Times New Roman"/>
                <w:sz w:val="24"/>
                <w:szCs w:val="24"/>
              </w:rPr>
            </w:pPr>
          </w:p>
          <w:p w:rsidR="00BE17C6" w:rsidRPr="00C80BFE" w:rsidP="00B72D0F" w14:paraId="129C4CF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to Change Accounting Methods.</w:t>
            </w:r>
          </w:p>
        </w:tc>
        <w:tc>
          <w:tcPr>
            <w:tcW w:w="301" w:type="dxa"/>
            <w:shd w:val="clear" w:color="auto" w:fill="auto"/>
          </w:tcPr>
          <w:p w:rsidR="00BE17C6" w:rsidRPr="00C80BFE" w:rsidP="00B72D0F" w14:paraId="1141F10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29C79991"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695B2039"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67F00EA9"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7F6F4F12" w14:textId="77777777">
            <w:pPr>
              <w:pStyle w:val="HTMLPreformatted"/>
              <w:rPr>
                <w:rFonts w:ascii="Times New Roman" w:hAnsi="Times New Roman" w:cs="Times New Roman"/>
                <w:sz w:val="24"/>
                <w:szCs w:val="24"/>
              </w:rPr>
            </w:pPr>
          </w:p>
          <w:p w:rsidR="00BE17C6" w:rsidRPr="00C80BFE" w:rsidP="00B72D0F" w14:paraId="6C395208"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6E0CFDB5"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036DEBE3"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2AFF22EE" w14:textId="77777777">
            <w:pPr>
              <w:pStyle w:val="HTMLPreformatted"/>
              <w:rPr>
                <w:rFonts w:ascii="Times New Roman" w:hAnsi="Times New Roman" w:cs="Times New Roman"/>
                <w:sz w:val="24"/>
                <w:szCs w:val="24"/>
              </w:rPr>
            </w:pPr>
          </w:p>
          <w:p w:rsidR="00BE17C6" w:rsidRPr="00C80BFE" w:rsidP="00B72D0F" w14:paraId="18EBD888"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2ADEAB9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3B6A16C0"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6FF79B7D"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0914FF27" w14:textId="77777777">
            <w:pPr>
              <w:pStyle w:val="HTMLPreformatted"/>
              <w:rPr>
                <w:rFonts w:ascii="Times New Roman" w:hAnsi="Times New Roman" w:cs="Times New Roman"/>
                <w:sz w:val="24"/>
                <w:szCs w:val="24"/>
              </w:rPr>
            </w:pPr>
          </w:p>
          <w:p w:rsidR="00BE17C6" w:rsidRPr="00C80BFE" w:rsidP="00B72D0F" w14:paraId="058D2EA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1443419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BE17C6" w:rsidRPr="00C80BFE" w:rsidP="00B72D0F" w14:paraId="7338FD6C"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tc>
        <w:tc>
          <w:tcPr>
            <w:tcW w:w="3690" w:type="dxa"/>
            <w:shd w:val="clear" w:color="auto" w:fill="auto"/>
          </w:tcPr>
          <w:p w:rsidR="00BE17C6" w:rsidRPr="00C80BFE" w:rsidP="00B72D0F" w14:paraId="6C5F0CD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21-637-GA-AIR</w:t>
            </w:r>
          </w:p>
          <w:p w:rsidR="00BE17C6" w:rsidRPr="00C80BFE" w:rsidP="00B72D0F" w14:paraId="157BC668" w14:textId="77777777">
            <w:pPr>
              <w:pStyle w:val="HTMLPreformatted"/>
              <w:rPr>
                <w:rFonts w:ascii="Times New Roman" w:hAnsi="Times New Roman" w:cs="Times New Roman"/>
                <w:sz w:val="24"/>
                <w:szCs w:val="24"/>
              </w:rPr>
            </w:pPr>
          </w:p>
          <w:p w:rsidR="00BE17C6" w:rsidRPr="00C80BFE" w:rsidP="00B72D0F" w14:paraId="48774FD5" w14:textId="77777777">
            <w:pPr>
              <w:pStyle w:val="HTMLPreformatted"/>
              <w:rPr>
                <w:rFonts w:ascii="Times New Roman" w:hAnsi="Times New Roman" w:cs="Times New Roman"/>
                <w:sz w:val="24"/>
                <w:szCs w:val="24"/>
              </w:rPr>
            </w:pPr>
          </w:p>
          <w:p w:rsidR="00BE17C6" w:rsidRPr="00C80BFE" w:rsidP="00B72D0F" w14:paraId="243E863B" w14:textId="77777777">
            <w:pPr>
              <w:pStyle w:val="HTMLPreformatted"/>
              <w:rPr>
                <w:rFonts w:ascii="Times New Roman" w:hAnsi="Times New Roman" w:cs="Times New Roman"/>
                <w:sz w:val="24"/>
                <w:szCs w:val="24"/>
              </w:rPr>
            </w:pPr>
          </w:p>
          <w:p w:rsidR="00BE17C6" w:rsidRPr="00C80BFE" w:rsidP="00B72D0F" w14:paraId="0DB055D6" w14:textId="77777777">
            <w:pPr>
              <w:pStyle w:val="HTMLPreformatted"/>
              <w:rPr>
                <w:rFonts w:ascii="Times New Roman" w:hAnsi="Times New Roman" w:cs="Times New Roman"/>
                <w:sz w:val="24"/>
                <w:szCs w:val="24"/>
              </w:rPr>
            </w:pPr>
          </w:p>
          <w:p w:rsidR="00BE17C6" w:rsidRPr="00C80BFE" w:rsidP="00B72D0F" w14:paraId="40D9A26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21-638-GA-ALT</w:t>
            </w:r>
          </w:p>
          <w:p w:rsidR="00BE17C6" w:rsidRPr="00C80BFE" w:rsidP="00B72D0F" w14:paraId="7837EA9C" w14:textId="77777777">
            <w:pPr>
              <w:pStyle w:val="HTMLPreformatted"/>
              <w:rPr>
                <w:rFonts w:ascii="Times New Roman" w:hAnsi="Times New Roman" w:cs="Times New Roman"/>
                <w:sz w:val="24"/>
                <w:szCs w:val="24"/>
              </w:rPr>
            </w:pPr>
          </w:p>
          <w:p w:rsidR="00BE17C6" w:rsidRPr="00C80BFE" w:rsidP="00B72D0F" w14:paraId="14304E6C" w14:textId="77777777">
            <w:pPr>
              <w:pStyle w:val="HTMLPreformatted"/>
              <w:rPr>
                <w:rFonts w:ascii="Times New Roman" w:hAnsi="Times New Roman" w:cs="Times New Roman"/>
                <w:sz w:val="24"/>
                <w:szCs w:val="24"/>
              </w:rPr>
            </w:pPr>
          </w:p>
          <w:p w:rsidR="00BE17C6" w:rsidRPr="00C80BFE" w:rsidP="00B72D0F" w14:paraId="1C3D4081" w14:textId="77777777">
            <w:pPr>
              <w:pStyle w:val="HTMLPreformatted"/>
              <w:rPr>
                <w:rFonts w:ascii="Times New Roman" w:hAnsi="Times New Roman" w:cs="Times New Roman"/>
                <w:sz w:val="24"/>
                <w:szCs w:val="24"/>
              </w:rPr>
            </w:pPr>
          </w:p>
          <w:p w:rsidR="00BE17C6" w:rsidRPr="00C80BFE" w:rsidP="00B72D0F" w14:paraId="74E0625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21-639-GA-UNC</w:t>
            </w:r>
          </w:p>
          <w:p w:rsidR="00BE17C6" w:rsidRPr="00C80BFE" w:rsidP="00B72D0F" w14:paraId="5F297666" w14:textId="77777777">
            <w:pPr>
              <w:pStyle w:val="HTMLPreformatted"/>
              <w:rPr>
                <w:rFonts w:ascii="Times New Roman" w:hAnsi="Times New Roman" w:cs="Times New Roman"/>
                <w:sz w:val="24"/>
                <w:szCs w:val="24"/>
              </w:rPr>
            </w:pPr>
          </w:p>
          <w:p w:rsidR="00BE17C6" w:rsidRPr="00C80BFE" w:rsidP="00B72D0F" w14:paraId="54B01C51" w14:textId="77777777">
            <w:pPr>
              <w:pStyle w:val="HTMLPreformatted"/>
              <w:rPr>
                <w:rFonts w:ascii="Times New Roman" w:hAnsi="Times New Roman" w:cs="Times New Roman"/>
                <w:sz w:val="24"/>
                <w:szCs w:val="24"/>
              </w:rPr>
            </w:pPr>
          </w:p>
          <w:p w:rsidR="00BE17C6" w:rsidRPr="00C80BFE" w:rsidP="00B72D0F" w14:paraId="033B3389" w14:textId="77777777">
            <w:pPr>
              <w:pStyle w:val="HTMLPreformatted"/>
              <w:rPr>
                <w:rFonts w:ascii="Times New Roman" w:hAnsi="Times New Roman" w:cs="Times New Roman"/>
                <w:sz w:val="24"/>
                <w:szCs w:val="24"/>
              </w:rPr>
            </w:pPr>
          </w:p>
          <w:p w:rsidR="00BE17C6" w:rsidRPr="00C80BFE" w:rsidP="00B72D0F" w14:paraId="1134B5A9" w14:textId="77777777">
            <w:pPr>
              <w:pStyle w:val="HTMLPreformatted"/>
              <w:rPr>
                <w:rFonts w:ascii="Times New Roman" w:hAnsi="Times New Roman" w:cs="Times New Roman"/>
                <w:sz w:val="24"/>
                <w:szCs w:val="24"/>
              </w:rPr>
            </w:pPr>
          </w:p>
          <w:p w:rsidR="00BE17C6" w:rsidRPr="00C80BFE" w:rsidP="00B72D0F" w14:paraId="2E29D24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21-640-GA-AAM</w:t>
            </w:r>
          </w:p>
          <w:p w:rsidR="00BE17C6" w:rsidRPr="00C80BFE" w:rsidP="00B72D0F" w14:paraId="15752CB7" w14:textId="77777777">
            <w:pPr>
              <w:pStyle w:val="HTMLPreformatted"/>
              <w:rPr>
                <w:rFonts w:ascii="Times New Roman" w:hAnsi="Times New Roman" w:cs="Times New Roman"/>
                <w:sz w:val="24"/>
                <w:szCs w:val="24"/>
              </w:rPr>
            </w:pPr>
          </w:p>
        </w:tc>
      </w:tr>
    </w:tbl>
    <w:p w:rsidR="00BE17C6" w:rsidRPr="00C80BFE" w:rsidP="00BE17C6" w14:paraId="1AD1E394" w14:textId="77777777">
      <w:pPr>
        <w:spacing w:after="0"/>
        <w:rPr>
          <w:rFonts w:cs="Times New Roman"/>
          <w:szCs w:val="24"/>
        </w:rPr>
      </w:pPr>
    </w:p>
    <w:p w:rsidR="00BE17C6" w:rsidRPr="00C80BFE" w:rsidP="00BE17C6" w14:paraId="0114534D" w14:textId="77777777">
      <w:pPr>
        <w:pBdr>
          <w:top w:val="single" w:sz="12" w:space="1" w:color="auto"/>
        </w:pBdr>
        <w:spacing w:after="0" w:line="240" w:lineRule="auto"/>
        <w:rPr>
          <w:rFonts w:cs="Times New Roman"/>
          <w:szCs w:val="24"/>
        </w:rPr>
      </w:pPr>
    </w:p>
    <w:p w:rsidR="00BE17C6" w:rsidP="00BE17C6" w14:paraId="03CC5CBC" w14:textId="77777777">
      <w:pPr>
        <w:spacing w:after="0"/>
        <w:jc w:val="center"/>
        <w:rPr>
          <w:rFonts w:cs="Times New Roman"/>
          <w:b/>
          <w:szCs w:val="24"/>
        </w:rPr>
      </w:pPr>
      <w:r>
        <w:rPr>
          <w:rFonts w:cs="Times New Roman"/>
          <w:b/>
          <w:szCs w:val="24"/>
        </w:rPr>
        <w:t>MEMORANDUM CONTRA THE APPLICATIONS FOR REHEARING OF</w:t>
      </w:r>
    </w:p>
    <w:p w:rsidR="00BE17C6" w:rsidRPr="00C80BFE" w:rsidP="00BE17C6" w14:paraId="520E4EC5" w14:textId="77777777">
      <w:pPr>
        <w:spacing w:after="0"/>
        <w:jc w:val="center"/>
        <w:rPr>
          <w:rFonts w:cs="Times New Roman"/>
          <w:b/>
          <w:szCs w:val="24"/>
        </w:rPr>
      </w:pPr>
      <w:r>
        <w:rPr>
          <w:rFonts w:cs="Times New Roman"/>
          <w:b/>
          <w:szCs w:val="24"/>
        </w:rPr>
        <w:t>THE ENVIRONMENTAL LAW AND POLICY CENTER, OHIO PARTNERS FOR AFFORDABLE ENERGY, AND CITIZENS’ UTILITY BOARD OHIO</w:t>
      </w:r>
    </w:p>
    <w:p w:rsidR="00BE17C6" w:rsidRPr="00C80BFE" w:rsidP="00BE17C6" w14:paraId="09F0C2EE" w14:textId="77777777">
      <w:pPr>
        <w:spacing w:after="0"/>
        <w:jc w:val="center"/>
        <w:rPr>
          <w:rFonts w:cs="Times New Roman"/>
          <w:b/>
          <w:szCs w:val="24"/>
        </w:rPr>
      </w:pPr>
      <w:r w:rsidRPr="00C80BFE">
        <w:rPr>
          <w:rFonts w:cs="Times New Roman"/>
          <w:b/>
          <w:szCs w:val="24"/>
        </w:rPr>
        <w:t>BY</w:t>
      </w:r>
    </w:p>
    <w:p w:rsidR="00BE17C6" w:rsidP="00BE17C6" w14:paraId="7472D323" w14:textId="7A778633">
      <w:pPr>
        <w:spacing w:after="0" w:line="240" w:lineRule="auto"/>
        <w:jc w:val="center"/>
        <w:rPr>
          <w:rFonts w:cs="Times New Roman"/>
          <w:b/>
          <w:szCs w:val="24"/>
        </w:rPr>
      </w:pPr>
      <w:r w:rsidRPr="00C80BFE">
        <w:rPr>
          <w:rFonts w:cs="Times New Roman"/>
          <w:b/>
          <w:szCs w:val="24"/>
        </w:rPr>
        <w:t>OFFICE OF THE OHIO CONSUMERS’ COUNSEL</w:t>
      </w:r>
    </w:p>
    <w:p w:rsidR="00BE17C6" w:rsidRPr="00C80BFE" w:rsidP="00BE17C6" w14:paraId="6084B02A" w14:textId="77777777">
      <w:pPr>
        <w:pBdr>
          <w:bottom w:val="single" w:sz="12" w:space="1" w:color="auto"/>
        </w:pBdr>
        <w:rPr>
          <w:rFonts w:cs="Times New Roman"/>
          <w:szCs w:val="24"/>
        </w:rPr>
      </w:pPr>
    </w:p>
    <w:p w:rsidR="00BE17C6" w:rsidP="00496468" w14:paraId="1B89B8D1" w14:textId="77777777">
      <w:pPr>
        <w:pStyle w:val="Title"/>
        <w:rPr>
          <w:sz w:val="24"/>
          <w:szCs w:val="24"/>
        </w:rPr>
      </w:pPr>
    </w:p>
    <w:p w:rsidR="00B81B85" w:rsidP="00BE17C6" w14:paraId="51246656" w14:textId="77777777">
      <w:pPr>
        <w:tabs>
          <w:tab w:val="right" w:pos="8640"/>
        </w:tabs>
        <w:spacing w:after="0" w:line="240" w:lineRule="auto"/>
        <w:ind w:left="4320"/>
        <w:rPr>
          <w:rFonts w:cs="Times New Roman"/>
          <w:szCs w:val="24"/>
        </w:rPr>
      </w:pPr>
    </w:p>
    <w:p w:rsidR="00BE17C6" w:rsidRPr="00C80BFE" w:rsidP="00BE17C6" w14:paraId="0D83EF9D" w14:textId="0E8CF875">
      <w:pPr>
        <w:tabs>
          <w:tab w:val="right" w:pos="8640"/>
        </w:tabs>
        <w:spacing w:after="0" w:line="240" w:lineRule="auto"/>
        <w:ind w:left="4320"/>
        <w:rPr>
          <w:rFonts w:cs="Times New Roman"/>
          <w:szCs w:val="24"/>
        </w:rPr>
      </w:pPr>
      <w:r w:rsidRPr="00C80BFE">
        <w:rPr>
          <w:rFonts w:cs="Times New Roman"/>
          <w:szCs w:val="24"/>
        </w:rPr>
        <w:t>Bruce Weston (0016973)</w:t>
      </w:r>
    </w:p>
    <w:p w:rsidR="00BE17C6" w:rsidRPr="00C80BFE" w:rsidP="00BE17C6" w14:paraId="198C0AAB" w14:textId="77777777">
      <w:pPr>
        <w:spacing w:after="0" w:line="240" w:lineRule="auto"/>
        <w:ind w:left="4320"/>
        <w:contextualSpacing/>
        <w:rPr>
          <w:rFonts w:eastAsia="Calibri" w:cs="Times New Roman"/>
          <w:szCs w:val="24"/>
        </w:rPr>
      </w:pPr>
      <w:r w:rsidRPr="00C80BFE">
        <w:rPr>
          <w:rFonts w:eastAsia="Calibri" w:cs="Times New Roman"/>
          <w:szCs w:val="24"/>
        </w:rPr>
        <w:t>Ohio Consumers’ Counsel</w:t>
      </w:r>
    </w:p>
    <w:p w:rsidR="00BE17C6" w:rsidRPr="00C80BFE" w:rsidP="00BE17C6" w14:paraId="2C81F12D" w14:textId="77777777">
      <w:pPr>
        <w:spacing w:line="240" w:lineRule="auto"/>
        <w:ind w:left="4320"/>
        <w:contextualSpacing/>
        <w:rPr>
          <w:rFonts w:eastAsia="Calibri" w:cs="Times New Roman"/>
          <w:szCs w:val="24"/>
        </w:rPr>
      </w:pPr>
    </w:p>
    <w:p w:rsidR="00BE17C6" w:rsidRPr="00C80BFE" w:rsidP="00BE17C6" w14:paraId="0A1CEF75" w14:textId="77777777">
      <w:pPr>
        <w:spacing w:after="0" w:line="240" w:lineRule="auto"/>
        <w:ind w:left="4320"/>
        <w:rPr>
          <w:rFonts w:cs="Times New Roman"/>
          <w:szCs w:val="24"/>
        </w:rPr>
      </w:pPr>
      <w:r w:rsidRPr="00C80BFE">
        <w:rPr>
          <w:rFonts w:cs="Times New Roman"/>
          <w:szCs w:val="24"/>
        </w:rPr>
        <w:t>Angela D. O’Brien (0097579)</w:t>
      </w:r>
    </w:p>
    <w:p w:rsidR="00BE17C6" w:rsidRPr="00C80BFE" w:rsidP="00BE17C6" w14:paraId="131B13A1" w14:textId="77777777">
      <w:pPr>
        <w:spacing w:after="0" w:line="240" w:lineRule="auto"/>
        <w:ind w:left="4320"/>
        <w:rPr>
          <w:rFonts w:cs="Times New Roman"/>
          <w:szCs w:val="24"/>
        </w:rPr>
      </w:pPr>
      <w:r w:rsidRPr="00C80BFE">
        <w:rPr>
          <w:rFonts w:cs="Times New Roman"/>
          <w:szCs w:val="24"/>
        </w:rPr>
        <w:t xml:space="preserve">Counsel of Record </w:t>
      </w:r>
    </w:p>
    <w:p w:rsidR="00BE17C6" w:rsidRPr="00C80BFE" w:rsidP="00BE17C6" w14:paraId="10CCBCD7" w14:textId="77777777">
      <w:pPr>
        <w:tabs>
          <w:tab w:val="left" w:pos="4320"/>
        </w:tabs>
        <w:spacing w:after="0" w:line="240" w:lineRule="auto"/>
        <w:ind w:left="4320"/>
        <w:rPr>
          <w:rFonts w:cs="Times New Roman"/>
          <w:szCs w:val="24"/>
        </w:rPr>
      </w:pPr>
      <w:r w:rsidRPr="00C80BFE">
        <w:rPr>
          <w:rFonts w:cs="Times New Roman"/>
          <w:szCs w:val="24"/>
        </w:rPr>
        <w:t>William J. Michael (0070921)</w:t>
      </w:r>
    </w:p>
    <w:p w:rsidR="00BE17C6" w:rsidRPr="00C80BFE" w:rsidP="00BE17C6" w14:paraId="1975442C" w14:textId="77777777">
      <w:pPr>
        <w:tabs>
          <w:tab w:val="left" w:pos="4320"/>
        </w:tabs>
        <w:spacing w:after="0" w:line="240" w:lineRule="auto"/>
        <w:ind w:left="4320"/>
        <w:rPr>
          <w:rFonts w:cs="Times New Roman"/>
          <w:szCs w:val="24"/>
        </w:rPr>
      </w:pPr>
      <w:r w:rsidRPr="00C80BFE">
        <w:rPr>
          <w:rFonts w:cs="Times New Roman"/>
          <w:szCs w:val="24"/>
        </w:rPr>
        <w:t>Connor D. Semple (0101102)</w:t>
      </w:r>
    </w:p>
    <w:p w:rsidR="00BE17C6" w:rsidRPr="00C80BFE" w:rsidP="00BE17C6" w14:paraId="42C50B13" w14:textId="77777777">
      <w:pPr>
        <w:spacing w:after="0" w:line="240" w:lineRule="auto"/>
        <w:ind w:left="4320"/>
        <w:rPr>
          <w:rFonts w:cs="Times New Roman"/>
          <w:szCs w:val="24"/>
        </w:rPr>
      </w:pPr>
      <w:r w:rsidRPr="00C80BFE">
        <w:rPr>
          <w:rFonts w:cs="Times New Roman"/>
          <w:szCs w:val="24"/>
        </w:rPr>
        <w:t>Assistant Consumers’ Counsel</w:t>
      </w:r>
    </w:p>
    <w:p w:rsidR="00BE17C6" w:rsidRPr="00C80BFE" w:rsidP="00BE17C6" w14:paraId="1C46AF7F" w14:textId="77777777">
      <w:pPr>
        <w:spacing w:after="0" w:line="240" w:lineRule="auto"/>
        <w:ind w:left="4320"/>
        <w:rPr>
          <w:rFonts w:cs="Times New Roman"/>
          <w:b/>
          <w:szCs w:val="24"/>
        </w:rPr>
      </w:pPr>
    </w:p>
    <w:p w:rsidR="00BE17C6" w:rsidRPr="00C80BFE" w:rsidP="00BE17C6" w14:paraId="5EC75B93" w14:textId="77777777">
      <w:pPr>
        <w:spacing w:after="0" w:line="240" w:lineRule="auto"/>
        <w:ind w:left="4320"/>
        <w:rPr>
          <w:rFonts w:cs="Times New Roman"/>
          <w:b/>
          <w:szCs w:val="24"/>
        </w:rPr>
      </w:pPr>
      <w:r w:rsidRPr="00C80BFE">
        <w:rPr>
          <w:rFonts w:cs="Times New Roman"/>
          <w:b/>
          <w:szCs w:val="24"/>
        </w:rPr>
        <w:t>Office of the Ohio Consumers’ Counsel</w:t>
      </w:r>
    </w:p>
    <w:p w:rsidR="00BE17C6" w:rsidRPr="00C80BFE" w:rsidP="00BE17C6" w14:paraId="2110F856" w14:textId="77777777">
      <w:pPr>
        <w:spacing w:after="0" w:line="240" w:lineRule="auto"/>
        <w:ind w:left="4320"/>
        <w:rPr>
          <w:rFonts w:cs="Times New Roman"/>
          <w:szCs w:val="24"/>
        </w:rPr>
      </w:pPr>
      <w:r w:rsidRPr="00C80BFE">
        <w:rPr>
          <w:rFonts w:cs="Times New Roman"/>
          <w:szCs w:val="24"/>
        </w:rPr>
        <w:t>65 East State Street, Suite 700</w:t>
      </w:r>
    </w:p>
    <w:p w:rsidR="00BE17C6" w:rsidRPr="00C80BFE" w:rsidP="00BE17C6" w14:paraId="2313BE3B" w14:textId="77777777">
      <w:pPr>
        <w:spacing w:after="0" w:line="240" w:lineRule="auto"/>
        <w:ind w:left="4320"/>
        <w:rPr>
          <w:rFonts w:cs="Times New Roman"/>
          <w:szCs w:val="24"/>
        </w:rPr>
      </w:pPr>
      <w:r w:rsidRPr="00C80BFE">
        <w:rPr>
          <w:rFonts w:cs="Times New Roman"/>
          <w:szCs w:val="24"/>
        </w:rPr>
        <w:t>Columbus, Ohio 43215</w:t>
      </w:r>
    </w:p>
    <w:p w:rsidR="00BE17C6" w:rsidRPr="00C80BFE" w:rsidP="00BE17C6" w14:paraId="47759FBF" w14:textId="77777777">
      <w:pPr>
        <w:spacing w:after="0" w:line="240" w:lineRule="auto"/>
        <w:ind w:left="4320"/>
        <w:rPr>
          <w:rFonts w:cs="Times New Roman"/>
          <w:szCs w:val="24"/>
        </w:rPr>
      </w:pPr>
      <w:r w:rsidRPr="00C80BFE">
        <w:rPr>
          <w:rFonts w:cs="Times New Roman"/>
          <w:color w:val="000000"/>
          <w:szCs w:val="24"/>
        </w:rPr>
        <w:t>Telephone [O’Brien]: (614) 499-9531</w:t>
      </w:r>
      <w:r w:rsidRPr="00C80BFE">
        <w:rPr>
          <w:rFonts w:cs="Times New Roman"/>
          <w:szCs w:val="24"/>
        </w:rPr>
        <w:tab/>
      </w:r>
    </w:p>
    <w:p w:rsidR="00BE17C6" w:rsidRPr="00C80BFE" w:rsidP="00BE17C6" w14:paraId="067E32B7" w14:textId="77777777">
      <w:pPr>
        <w:spacing w:after="0" w:line="240" w:lineRule="auto"/>
        <w:ind w:left="4320"/>
        <w:rPr>
          <w:rFonts w:cs="Times New Roman"/>
          <w:color w:val="000000"/>
          <w:szCs w:val="24"/>
        </w:rPr>
      </w:pPr>
      <w:r w:rsidRPr="00C80BFE">
        <w:rPr>
          <w:rFonts w:cs="Times New Roman"/>
          <w:szCs w:val="24"/>
        </w:rPr>
        <w:t>Telephone [Michael]: (</w:t>
      </w:r>
      <w:r w:rsidRPr="00C80BFE">
        <w:rPr>
          <w:rFonts w:cs="Times New Roman"/>
          <w:color w:val="000000"/>
          <w:szCs w:val="24"/>
        </w:rPr>
        <w:t>614) 466-1291</w:t>
      </w:r>
    </w:p>
    <w:p w:rsidR="00BE17C6" w:rsidRPr="00C80BFE" w:rsidP="00BE17C6" w14:paraId="326C3F2B" w14:textId="77777777">
      <w:pPr>
        <w:spacing w:after="0" w:line="240" w:lineRule="auto"/>
        <w:ind w:left="4320"/>
        <w:rPr>
          <w:rFonts w:cs="Times New Roman"/>
          <w:color w:val="000000"/>
          <w:szCs w:val="24"/>
        </w:rPr>
      </w:pPr>
      <w:r w:rsidRPr="00C80BFE">
        <w:rPr>
          <w:rFonts w:cs="Times New Roman"/>
          <w:color w:val="000000"/>
          <w:szCs w:val="24"/>
        </w:rPr>
        <w:t>Telephone [Semple]:</w:t>
      </w:r>
      <w:r w:rsidRPr="00C80BFE">
        <w:rPr>
          <w:rFonts w:cs="Times New Roman"/>
          <w:color w:val="000000"/>
          <w:szCs w:val="24"/>
        </w:rPr>
        <w:tab/>
        <w:t>(614) 466-9565</w:t>
      </w:r>
    </w:p>
    <w:p w:rsidR="00BE17C6" w:rsidRPr="00C80BFE" w:rsidP="00BE17C6" w14:paraId="7DC0204C" w14:textId="77777777">
      <w:pPr>
        <w:spacing w:after="0" w:line="240" w:lineRule="auto"/>
        <w:ind w:left="4320"/>
        <w:rPr>
          <w:rFonts w:cs="Times New Roman"/>
          <w:szCs w:val="24"/>
        </w:rPr>
      </w:pPr>
      <w:hyperlink r:id="rId6" w:history="1">
        <w:r w:rsidRPr="00C80BFE" w:rsidR="00CB5B54">
          <w:rPr>
            <w:rStyle w:val="Hyperlink"/>
            <w:rFonts w:cs="Times New Roman"/>
            <w:szCs w:val="24"/>
          </w:rPr>
          <w:t>angela.obrien@occ.ohio.gov</w:t>
        </w:r>
      </w:hyperlink>
    </w:p>
    <w:p w:rsidR="00BE17C6" w:rsidRPr="00C80BFE" w:rsidP="00BE17C6" w14:paraId="4EA3EEFB" w14:textId="77777777">
      <w:pPr>
        <w:spacing w:after="0" w:line="240" w:lineRule="auto"/>
        <w:ind w:left="4320"/>
        <w:rPr>
          <w:rStyle w:val="Hyperlink"/>
          <w:rFonts w:eastAsia="Courier New" w:cs="Times New Roman"/>
          <w:szCs w:val="24"/>
        </w:rPr>
      </w:pPr>
      <w:hyperlink r:id="rId7" w:history="1">
        <w:r w:rsidRPr="00C80BFE" w:rsidR="00CB5B54">
          <w:rPr>
            <w:rStyle w:val="Hyperlink"/>
            <w:rFonts w:eastAsia="Courier New" w:cs="Times New Roman"/>
            <w:szCs w:val="24"/>
          </w:rPr>
          <w:t>william.michael@occ.ohio.gov</w:t>
        </w:r>
      </w:hyperlink>
    </w:p>
    <w:p w:rsidR="00BE17C6" w:rsidRPr="00C80BFE" w:rsidP="00BE17C6" w14:paraId="0213F844" w14:textId="77777777">
      <w:pPr>
        <w:spacing w:after="0" w:line="240" w:lineRule="auto"/>
        <w:ind w:left="4320"/>
        <w:rPr>
          <w:rFonts w:eastAsia="Courier New" w:cs="Times New Roman"/>
          <w:szCs w:val="24"/>
        </w:rPr>
      </w:pPr>
      <w:r w:rsidRPr="00C80BFE">
        <w:rPr>
          <w:rStyle w:val="Hyperlink"/>
          <w:rFonts w:eastAsia="Courier New" w:cs="Times New Roman"/>
          <w:szCs w:val="24"/>
        </w:rPr>
        <w:t>connor.semple@occ.ohio.gov</w:t>
      </w:r>
    </w:p>
    <w:p w:rsidR="00BE17C6" w:rsidRPr="00C80BFE" w:rsidP="00BE17C6" w14:paraId="5327FD74" w14:textId="1306FFB8">
      <w:pPr>
        <w:spacing w:after="0" w:line="240" w:lineRule="auto"/>
        <w:rPr>
          <w:rFonts w:cs="Times New Roman"/>
          <w:szCs w:val="24"/>
        </w:rPr>
      </w:pPr>
      <w:r>
        <w:rPr>
          <w:rFonts w:cs="Times New Roman"/>
          <w:szCs w:val="24"/>
        </w:rPr>
        <w:t xml:space="preserve">March </w:t>
      </w:r>
      <w:r w:rsidR="00B81B85">
        <w:rPr>
          <w:rFonts w:cs="Times New Roman"/>
          <w:szCs w:val="24"/>
        </w:rPr>
        <w:t>9</w:t>
      </w:r>
      <w:r>
        <w:rPr>
          <w:rFonts w:cs="Times New Roman"/>
          <w:szCs w:val="24"/>
        </w:rPr>
        <w:t>, 2023</w:t>
      </w:r>
      <w:r>
        <w:rPr>
          <w:rFonts w:cs="Times New Roman"/>
          <w:szCs w:val="24"/>
        </w:rPr>
        <w:tab/>
      </w:r>
      <w:r>
        <w:rPr>
          <w:rFonts w:cs="Times New Roman"/>
          <w:szCs w:val="24"/>
        </w:rPr>
        <w:tab/>
      </w:r>
      <w:r>
        <w:rPr>
          <w:rFonts w:cs="Times New Roman"/>
          <w:szCs w:val="24"/>
        </w:rPr>
        <w:tab/>
      </w:r>
      <w:r>
        <w:rPr>
          <w:rFonts w:cs="Times New Roman"/>
          <w:szCs w:val="24"/>
        </w:rPr>
        <w:tab/>
      </w:r>
      <w:r w:rsidR="00B81B85">
        <w:rPr>
          <w:rFonts w:cs="Times New Roman"/>
          <w:szCs w:val="24"/>
        </w:rPr>
        <w:tab/>
      </w:r>
      <w:r w:rsidRPr="00C80BFE">
        <w:rPr>
          <w:rFonts w:cs="Times New Roman"/>
          <w:szCs w:val="24"/>
        </w:rPr>
        <w:t>(willing to accept service by e-mail)</w:t>
      </w:r>
    </w:p>
    <w:p w:rsidR="00BE17C6" w:rsidP="00496468" w14:paraId="42774435" w14:textId="77777777">
      <w:pPr>
        <w:pStyle w:val="Title"/>
        <w:rPr>
          <w:sz w:val="24"/>
          <w:szCs w:val="24"/>
        </w:rPr>
      </w:pPr>
    </w:p>
    <w:p w:rsidR="00200047" w:rsidP="00496468" w14:paraId="3BB96A95" w14:textId="539CD3D4">
      <w:pPr>
        <w:pStyle w:val="Title"/>
        <w:rPr>
          <w:sz w:val="24"/>
          <w:szCs w:val="24"/>
        </w:rPr>
        <w:sectPr w:rsidSect="00165096">
          <w:footerReference w:type="default" r:id="rId8"/>
          <w:footerReference w:type="first" r:id="rId9"/>
          <w:pgSz w:w="12240" w:h="15840"/>
          <w:pgMar w:top="1440" w:right="1800" w:bottom="1440" w:left="1800" w:header="720" w:footer="720" w:gutter="0"/>
          <w:pgNumType w:start="1"/>
          <w:cols w:space="720"/>
          <w:titlePg/>
          <w:docGrid w:linePitch="326"/>
        </w:sectPr>
      </w:pPr>
    </w:p>
    <w:p w:rsidR="00B81B85" w:rsidP="00496468" w14:paraId="3DD9D22E" w14:textId="77777777">
      <w:pPr>
        <w:pStyle w:val="Title"/>
        <w:rPr>
          <w:sz w:val="24"/>
          <w:szCs w:val="24"/>
          <w:u w:val="single"/>
        </w:rPr>
      </w:pPr>
      <w:r w:rsidRPr="00B81B85">
        <w:rPr>
          <w:sz w:val="24"/>
          <w:szCs w:val="24"/>
          <w:u w:val="single"/>
        </w:rPr>
        <w:t>TABLE OF CONTENTS</w:t>
      </w:r>
    </w:p>
    <w:p w:rsidR="00B81B85" w:rsidP="00496468" w14:paraId="6ED6AC47" w14:textId="5D8485E9">
      <w:pPr>
        <w:pStyle w:val="Title"/>
        <w:rPr>
          <w:sz w:val="24"/>
          <w:szCs w:val="24"/>
          <w:u w:val="single"/>
        </w:rPr>
      </w:pPr>
    </w:p>
    <w:p w:rsidR="00C808CE" w:rsidP="00C808CE" w14:paraId="40122A9D" w14:textId="62901632">
      <w:pPr>
        <w:pStyle w:val="Title"/>
        <w:jc w:val="right"/>
        <w:rPr>
          <w:sz w:val="24"/>
          <w:szCs w:val="24"/>
          <w:u w:val="single"/>
        </w:rPr>
      </w:pPr>
      <w:r w:rsidRPr="00B81B85">
        <w:rPr>
          <w:sz w:val="24"/>
          <w:szCs w:val="24"/>
        </w:rPr>
        <w:t>PAGE</w:t>
      </w:r>
    </w:p>
    <w:p w:rsidR="006631B7" w14:paraId="53860F4E" w14:textId="57CB4550">
      <w:pPr>
        <w:pStyle w:val="TOC1"/>
        <w:rPr>
          <w:rFonts w:asciiTheme="minorHAnsi" w:eastAsiaTheme="minorEastAsia" w:hAnsiTheme="minorHAnsi"/>
          <w:caps w:val="0"/>
          <w:noProof/>
          <w:sz w:val="22"/>
        </w:rPr>
      </w:pPr>
      <w:r>
        <w:rPr>
          <w:szCs w:val="24"/>
        </w:rPr>
        <w:fldChar w:fldCharType="begin"/>
      </w:r>
      <w:r>
        <w:rPr>
          <w:szCs w:val="24"/>
        </w:rPr>
        <w:instrText xml:space="preserve"> TOC \o "1-3" \h \z \u </w:instrText>
      </w:r>
      <w:r>
        <w:rPr>
          <w:szCs w:val="24"/>
        </w:rPr>
        <w:fldChar w:fldCharType="separate"/>
      </w:r>
      <w:hyperlink w:anchor="_Toc129271369" w:history="1">
        <w:r w:rsidRPr="00EA048F">
          <w:rPr>
            <w:rStyle w:val="Hyperlink"/>
            <w:noProof/>
          </w:rPr>
          <w:t>I.</w:t>
        </w:r>
        <w:r>
          <w:rPr>
            <w:rFonts w:asciiTheme="minorHAnsi" w:eastAsiaTheme="minorEastAsia" w:hAnsiTheme="minorHAnsi"/>
            <w:caps w:val="0"/>
            <w:noProof/>
            <w:sz w:val="22"/>
          </w:rPr>
          <w:tab/>
        </w:r>
        <w:r w:rsidRPr="00EA048F">
          <w:rPr>
            <w:rStyle w:val="Hyperlink"/>
            <w:noProof/>
          </w:rPr>
          <w:t>INTRODUCTION</w:t>
        </w:r>
        <w:r>
          <w:rPr>
            <w:noProof/>
            <w:webHidden/>
          </w:rPr>
          <w:tab/>
        </w:r>
        <w:r>
          <w:rPr>
            <w:noProof/>
            <w:webHidden/>
          </w:rPr>
          <w:fldChar w:fldCharType="begin"/>
        </w:r>
        <w:r>
          <w:rPr>
            <w:noProof/>
            <w:webHidden/>
          </w:rPr>
          <w:instrText xml:space="preserve"> PAGEREF _Toc129271369 \h </w:instrText>
        </w:r>
        <w:r>
          <w:rPr>
            <w:noProof/>
            <w:webHidden/>
          </w:rPr>
          <w:fldChar w:fldCharType="separate"/>
        </w:r>
        <w:r>
          <w:rPr>
            <w:noProof/>
            <w:webHidden/>
          </w:rPr>
          <w:t>1</w:t>
        </w:r>
        <w:r>
          <w:rPr>
            <w:noProof/>
            <w:webHidden/>
          </w:rPr>
          <w:fldChar w:fldCharType="end"/>
        </w:r>
      </w:hyperlink>
    </w:p>
    <w:p w:rsidR="006631B7" w14:paraId="5905FEE6" w14:textId="395C493F">
      <w:pPr>
        <w:pStyle w:val="TOC1"/>
        <w:rPr>
          <w:rFonts w:asciiTheme="minorHAnsi" w:eastAsiaTheme="minorEastAsia" w:hAnsiTheme="minorHAnsi"/>
          <w:caps w:val="0"/>
          <w:noProof/>
          <w:sz w:val="22"/>
        </w:rPr>
      </w:pPr>
      <w:hyperlink w:anchor="_Toc129271370" w:history="1">
        <w:r w:rsidRPr="00EA048F" w:rsidR="00CB5B54">
          <w:rPr>
            <w:rStyle w:val="Hyperlink"/>
            <w:noProof/>
          </w:rPr>
          <w:t>II.</w:t>
        </w:r>
        <w:r w:rsidR="00CB5B54">
          <w:rPr>
            <w:rFonts w:asciiTheme="minorHAnsi" w:eastAsiaTheme="minorEastAsia" w:hAnsiTheme="minorHAnsi"/>
            <w:caps w:val="0"/>
            <w:noProof/>
            <w:sz w:val="22"/>
          </w:rPr>
          <w:tab/>
        </w:r>
        <w:r w:rsidRPr="00EA048F" w:rsidR="00CB5B54">
          <w:rPr>
            <w:rStyle w:val="Hyperlink"/>
            <w:noProof/>
          </w:rPr>
          <w:t>RECOMMENDATIONS</w:t>
        </w:r>
        <w:r w:rsidR="00CB5B54">
          <w:rPr>
            <w:noProof/>
            <w:webHidden/>
          </w:rPr>
          <w:tab/>
        </w:r>
        <w:r w:rsidR="00CB5B54">
          <w:rPr>
            <w:noProof/>
            <w:webHidden/>
          </w:rPr>
          <w:fldChar w:fldCharType="begin"/>
        </w:r>
        <w:r w:rsidR="00CB5B54">
          <w:rPr>
            <w:noProof/>
            <w:webHidden/>
          </w:rPr>
          <w:instrText xml:space="preserve"> PAGEREF _Toc129271370 \h </w:instrText>
        </w:r>
        <w:r w:rsidR="00CB5B54">
          <w:rPr>
            <w:noProof/>
            <w:webHidden/>
          </w:rPr>
          <w:fldChar w:fldCharType="separate"/>
        </w:r>
        <w:r w:rsidR="00CB5B54">
          <w:rPr>
            <w:noProof/>
            <w:webHidden/>
          </w:rPr>
          <w:t>3</w:t>
        </w:r>
        <w:r w:rsidR="00CB5B54">
          <w:rPr>
            <w:noProof/>
            <w:webHidden/>
          </w:rPr>
          <w:fldChar w:fldCharType="end"/>
        </w:r>
      </w:hyperlink>
    </w:p>
    <w:p w:rsidR="006631B7" w14:paraId="5610960B" w14:textId="07079950">
      <w:pPr>
        <w:pStyle w:val="TOC2"/>
        <w:tabs>
          <w:tab w:val="left" w:pos="1440"/>
        </w:tabs>
        <w:rPr>
          <w:rFonts w:asciiTheme="minorHAnsi" w:eastAsiaTheme="minorEastAsia" w:hAnsiTheme="minorHAnsi"/>
          <w:noProof/>
          <w:sz w:val="22"/>
        </w:rPr>
      </w:pPr>
      <w:hyperlink w:anchor="_Toc129271371" w:history="1">
        <w:r w:rsidRPr="00EA048F" w:rsidR="00CB5B54">
          <w:rPr>
            <w:rStyle w:val="Hyperlink"/>
            <w:noProof/>
          </w:rPr>
          <w:t>A.</w:t>
        </w:r>
        <w:r w:rsidR="00CB5B54">
          <w:rPr>
            <w:rFonts w:asciiTheme="minorHAnsi" w:eastAsiaTheme="minorEastAsia" w:hAnsiTheme="minorHAnsi"/>
            <w:noProof/>
            <w:sz w:val="22"/>
          </w:rPr>
          <w:tab/>
        </w:r>
        <w:r w:rsidRPr="00EA048F" w:rsidR="00CB5B54">
          <w:rPr>
            <w:rStyle w:val="Hyperlink"/>
            <w:noProof/>
          </w:rPr>
          <w:t xml:space="preserve">The PUCO’s decision to approve the Settlement is fully explained in the Order, grounded in the evidentiary record, and consistent with prior </w:t>
        </w:r>
        <w:r w:rsidR="00CB5B54">
          <w:rPr>
            <w:rStyle w:val="Hyperlink"/>
            <w:noProof/>
          </w:rPr>
          <w:br/>
        </w:r>
        <w:r w:rsidRPr="00EA048F" w:rsidR="00CB5B54">
          <w:rPr>
            <w:rStyle w:val="Hyperlink"/>
            <w:noProof/>
          </w:rPr>
          <w:t>PUCO precedent. The PUCO should reject the Environmental Groups’ claims that the Order violates R.C. 4903.09.</w:t>
        </w:r>
        <w:r w:rsidR="00CB5B54">
          <w:rPr>
            <w:noProof/>
            <w:webHidden/>
          </w:rPr>
          <w:tab/>
        </w:r>
        <w:r w:rsidR="00CB5B54">
          <w:rPr>
            <w:noProof/>
            <w:webHidden/>
          </w:rPr>
          <w:fldChar w:fldCharType="begin"/>
        </w:r>
        <w:r w:rsidR="00CB5B54">
          <w:rPr>
            <w:noProof/>
            <w:webHidden/>
          </w:rPr>
          <w:instrText xml:space="preserve"> PAGEREF _Toc129271371 \h </w:instrText>
        </w:r>
        <w:r w:rsidR="00CB5B54">
          <w:rPr>
            <w:noProof/>
            <w:webHidden/>
          </w:rPr>
          <w:fldChar w:fldCharType="separate"/>
        </w:r>
        <w:r w:rsidR="00CB5B54">
          <w:rPr>
            <w:noProof/>
            <w:webHidden/>
          </w:rPr>
          <w:t>3</w:t>
        </w:r>
        <w:r w:rsidR="00CB5B54">
          <w:rPr>
            <w:noProof/>
            <w:webHidden/>
          </w:rPr>
          <w:fldChar w:fldCharType="end"/>
        </w:r>
      </w:hyperlink>
    </w:p>
    <w:p w:rsidR="006631B7" w14:paraId="555911B1" w14:textId="139922F7">
      <w:pPr>
        <w:pStyle w:val="TOC3"/>
        <w:tabs>
          <w:tab w:val="left" w:pos="2160"/>
        </w:tabs>
        <w:rPr>
          <w:rFonts w:asciiTheme="minorHAnsi" w:eastAsiaTheme="minorEastAsia" w:hAnsiTheme="minorHAnsi"/>
          <w:noProof/>
          <w:sz w:val="22"/>
        </w:rPr>
      </w:pPr>
      <w:hyperlink w:anchor="_Toc129271372" w:history="1">
        <w:r w:rsidRPr="00EA048F" w:rsidR="00CB5B54">
          <w:rPr>
            <w:rStyle w:val="Hyperlink"/>
            <w:noProof/>
          </w:rPr>
          <w:t>1.</w:t>
        </w:r>
        <w:r w:rsidR="00CB5B54">
          <w:rPr>
            <w:rFonts w:asciiTheme="minorHAnsi" w:eastAsiaTheme="minorEastAsia" w:hAnsiTheme="minorHAnsi"/>
            <w:noProof/>
            <w:sz w:val="22"/>
          </w:rPr>
          <w:tab/>
        </w:r>
        <w:r w:rsidRPr="00EA048F" w:rsidR="00CB5B54">
          <w:rPr>
            <w:rStyle w:val="Hyperlink"/>
            <w:noProof/>
          </w:rPr>
          <w:t>The PUCO’s findings that the Settlement benefits consumers and the public interest are supported by the evidentiary record</w:t>
        </w:r>
        <w:r w:rsidR="00CB5B54">
          <w:rPr>
            <w:noProof/>
            <w:webHidden/>
          </w:rPr>
          <w:tab/>
        </w:r>
        <w:r w:rsidR="00CB5B54">
          <w:rPr>
            <w:noProof/>
            <w:webHidden/>
          </w:rPr>
          <w:fldChar w:fldCharType="begin"/>
        </w:r>
        <w:r w:rsidR="00CB5B54">
          <w:rPr>
            <w:noProof/>
            <w:webHidden/>
          </w:rPr>
          <w:instrText xml:space="preserve"> PAGEREF _Toc129271372 \h </w:instrText>
        </w:r>
        <w:r w:rsidR="00CB5B54">
          <w:rPr>
            <w:noProof/>
            <w:webHidden/>
          </w:rPr>
          <w:fldChar w:fldCharType="separate"/>
        </w:r>
        <w:r w:rsidR="00CB5B54">
          <w:rPr>
            <w:noProof/>
            <w:webHidden/>
          </w:rPr>
          <w:t>4</w:t>
        </w:r>
        <w:r w:rsidR="00CB5B54">
          <w:rPr>
            <w:noProof/>
            <w:webHidden/>
          </w:rPr>
          <w:fldChar w:fldCharType="end"/>
        </w:r>
      </w:hyperlink>
    </w:p>
    <w:p w:rsidR="006631B7" w14:paraId="55088A24" w14:textId="499150ED">
      <w:pPr>
        <w:pStyle w:val="TOC3"/>
        <w:tabs>
          <w:tab w:val="left" w:pos="2160"/>
        </w:tabs>
        <w:rPr>
          <w:rFonts w:asciiTheme="minorHAnsi" w:eastAsiaTheme="minorEastAsia" w:hAnsiTheme="minorHAnsi"/>
          <w:noProof/>
          <w:sz w:val="22"/>
        </w:rPr>
      </w:pPr>
      <w:hyperlink w:anchor="_Toc129271373" w:history="1">
        <w:r w:rsidRPr="00EA048F" w:rsidR="00CB5B54">
          <w:rPr>
            <w:rStyle w:val="Hyperlink"/>
            <w:noProof/>
          </w:rPr>
          <w:t>2.</w:t>
        </w:r>
        <w:r w:rsidR="00CB5B54">
          <w:rPr>
            <w:rFonts w:asciiTheme="minorHAnsi" w:eastAsiaTheme="minorEastAsia" w:hAnsiTheme="minorHAnsi"/>
            <w:noProof/>
            <w:sz w:val="22"/>
          </w:rPr>
          <w:tab/>
        </w:r>
        <w:r w:rsidRPr="00EA048F" w:rsidR="00CB5B54">
          <w:rPr>
            <w:rStyle w:val="Hyperlink"/>
            <w:noProof/>
          </w:rPr>
          <w:t xml:space="preserve">The PUCO’s Order approving the Settlement’s removal of Columbia’s non-low-income DSM program is supported by </w:t>
        </w:r>
        <w:r w:rsidR="00CB5B54">
          <w:rPr>
            <w:rStyle w:val="Hyperlink"/>
            <w:noProof/>
          </w:rPr>
          <w:br/>
        </w:r>
        <w:r w:rsidRPr="00EA048F" w:rsidR="00CB5B54">
          <w:rPr>
            <w:rStyle w:val="Hyperlink"/>
            <w:noProof/>
          </w:rPr>
          <w:t>the evidentiary record and the PUCO’s past precedent.</w:t>
        </w:r>
        <w:r w:rsidR="00CB5B54">
          <w:rPr>
            <w:noProof/>
            <w:webHidden/>
          </w:rPr>
          <w:tab/>
        </w:r>
        <w:r w:rsidR="00CB5B54">
          <w:rPr>
            <w:noProof/>
            <w:webHidden/>
          </w:rPr>
          <w:fldChar w:fldCharType="begin"/>
        </w:r>
        <w:r w:rsidR="00CB5B54">
          <w:rPr>
            <w:noProof/>
            <w:webHidden/>
          </w:rPr>
          <w:instrText xml:space="preserve"> PAGEREF _Toc129271373 \h </w:instrText>
        </w:r>
        <w:r w:rsidR="00CB5B54">
          <w:rPr>
            <w:noProof/>
            <w:webHidden/>
          </w:rPr>
          <w:fldChar w:fldCharType="separate"/>
        </w:r>
        <w:r w:rsidR="00CB5B54">
          <w:rPr>
            <w:noProof/>
            <w:webHidden/>
          </w:rPr>
          <w:t>7</w:t>
        </w:r>
        <w:r w:rsidR="00CB5B54">
          <w:rPr>
            <w:noProof/>
            <w:webHidden/>
          </w:rPr>
          <w:fldChar w:fldCharType="end"/>
        </w:r>
      </w:hyperlink>
    </w:p>
    <w:p w:rsidR="006631B7" w14:paraId="43A874EC" w14:textId="2A54E787">
      <w:pPr>
        <w:pStyle w:val="TOC3"/>
        <w:tabs>
          <w:tab w:val="left" w:pos="2160"/>
        </w:tabs>
        <w:rPr>
          <w:rFonts w:asciiTheme="minorHAnsi" w:eastAsiaTheme="minorEastAsia" w:hAnsiTheme="minorHAnsi"/>
          <w:noProof/>
          <w:sz w:val="22"/>
        </w:rPr>
      </w:pPr>
      <w:hyperlink w:anchor="_Toc129271374" w:history="1">
        <w:r w:rsidRPr="00EA048F" w:rsidR="00CB5B54">
          <w:rPr>
            <w:rStyle w:val="Hyperlink"/>
            <w:noProof/>
          </w:rPr>
          <w:t>3.</w:t>
        </w:r>
        <w:r w:rsidR="00CB5B54">
          <w:rPr>
            <w:rFonts w:asciiTheme="minorHAnsi" w:eastAsiaTheme="minorEastAsia" w:hAnsiTheme="minorHAnsi"/>
            <w:noProof/>
            <w:sz w:val="22"/>
          </w:rPr>
          <w:tab/>
        </w:r>
        <w:r w:rsidRPr="00EA048F" w:rsidR="00CB5B54">
          <w:rPr>
            <w:rStyle w:val="Hyperlink"/>
            <w:noProof/>
          </w:rPr>
          <w:t>The PUCO’s approval of guardrails to prevent property owners from exploiting limited weatherization benefits does not violate R.C. 4903.09.</w:t>
        </w:r>
        <w:r w:rsidR="00CB5B54">
          <w:rPr>
            <w:noProof/>
            <w:webHidden/>
          </w:rPr>
          <w:tab/>
        </w:r>
        <w:r w:rsidR="00CB5B54">
          <w:rPr>
            <w:noProof/>
            <w:webHidden/>
          </w:rPr>
          <w:fldChar w:fldCharType="begin"/>
        </w:r>
        <w:r w:rsidR="00CB5B54">
          <w:rPr>
            <w:noProof/>
            <w:webHidden/>
          </w:rPr>
          <w:instrText xml:space="preserve"> PAGEREF _Toc129271374 \h </w:instrText>
        </w:r>
        <w:r w:rsidR="00CB5B54">
          <w:rPr>
            <w:noProof/>
            <w:webHidden/>
          </w:rPr>
          <w:fldChar w:fldCharType="separate"/>
        </w:r>
        <w:r w:rsidR="00CB5B54">
          <w:rPr>
            <w:noProof/>
            <w:webHidden/>
          </w:rPr>
          <w:t>13</w:t>
        </w:r>
        <w:r w:rsidR="00CB5B54">
          <w:rPr>
            <w:noProof/>
            <w:webHidden/>
          </w:rPr>
          <w:fldChar w:fldCharType="end"/>
        </w:r>
      </w:hyperlink>
    </w:p>
    <w:p w:rsidR="006631B7" w14:paraId="309A6684" w14:textId="66FFE79B">
      <w:pPr>
        <w:pStyle w:val="TOC2"/>
        <w:tabs>
          <w:tab w:val="left" w:pos="1440"/>
        </w:tabs>
        <w:rPr>
          <w:rFonts w:asciiTheme="minorHAnsi" w:eastAsiaTheme="minorEastAsia" w:hAnsiTheme="minorHAnsi"/>
          <w:noProof/>
          <w:sz w:val="22"/>
        </w:rPr>
      </w:pPr>
      <w:hyperlink w:anchor="_Toc129271375" w:history="1">
        <w:r w:rsidRPr="00EA048F" w:rsidR="00CB5B54">
          <w:rPr>
            <w:rStyle w:val="Hyperlink"/>
            <w:noProof/>
          </w:rPr>
          <w:t>B.</w:t>
        </w:r>
        <w:r w:rsidR="00CB5B54">
          <w:rPr>
            <w:rFonts w:asciiTheme="minorHAnsi" w:eastAsiaTheme="minorEastAsia" w:hAnsiTheme="minorHAnsi"/>
            <w:noProof/>
            <w:sz w:val="22"/>
          </w:rPr>
          <w:tab/>
        </w:r>
        <w:r w:rsidRPr="00EA048F" w:rsidR="00CB5B54">
          <w:rPr>
            <w:rStyle w:val="Hyperlink"/>
            <w:noProof/>
          </w:rPr>
          <w:t xml:space="preserve">CUB Ohio’s and ELPC’s claims that the Order violates R.C. 4905.70 </w:t>
        </w:r>
        <w:r w:rsidR="00CB5B54">
          <w:rPr>
            <w:rStyle w:val="Hyperlink"/>
            <w:noProof/>
          </w:rPr>
          <w:br/>
        </w:r>
        <w:r w:rsidRPr="00EA048F" w:rsidR="00CB5B54">
          <w:rPr>
            <w:rStyle w:val="Hyperlink"/>
            <w:noProof/>
          </w:rPr>
          <w:t xml:space="preserve">and policy in R.C. 4929.02 are baseless and should be rejected. Ohio </w:t>
        </w:r>
        <w:r w:rsidR="00CB5B54">
          <w:rPr>
            <w:rStyle w:val="Hyperlink"/>
            <w:noProof/>
          </w:rPr>
          <w:br/>
        </w:r>
        <w:r w:rsidRPr="00EA048F" w:rsidR="00CB5B54">
          <w:rPr>
            <w:rStyle w:val="Hyperlink"/>
            <w:noProof/>
          </w:rPr>
          <w:t>law does not require the PUCO to mandate a DSM program as part of Columbia’s rate case.</w:t>
        </w:r>
        <w:r w:rsidR="00CB5B54">
          <w:rPr>
            <w:noProof/>
            <w:webHidden/>
          </w:rPr>
          <w:tab/>
        </w:r>
        <w:r w:rsidR="00CB5B54">
          <w:rPr>
            <w:noProof/>
            <w:webHidden/>
          </w:rPr>
          <w:fldChar w:fldCharType="begin"/>
        </w:r>
        <w:r w:rsidR="00CB5B54">
          <w:rPr>
            <w:noProof/>
            <w:webHidden/>
          </w:rPr>
          <w:instrText xml:space="preserve"> PAGEREF _Toc129271375 \h </w:instrText>
        </w:r>
        <w:r w:rsidR="00CB5B54">
          <w:rPr>
            <w:noProof/>
            <w:webHidden/>
          </w:rPr>
          <w:fldChar w:fldCharType="separate"/>
        </w:r>
        <w:r w:rsidR="00CB5B54">
          <w:rPr>
            <w:noProof/>
            <w:webHidden/>
          </w:rPr>
          <w:t>15</w:t>
        </w:r>
        <w:r w:rsidR="00CB5B54">
          <w:rPr>
            <w:noProof/>
            <w:webHidden/>
          </w:rPr>
          <w:fldChar w:fldCharType="end"/>
        </w:r>
      </w:hyperlink>
    </w:p>
    <w:p w:rsidR="006631B7" w14:paraId="2E5B9532" w14:textId="288E5748">
      <w:pPr>
        <w:pStyle w:val="TOC1"/>
        <w:rPr>
          <w:rFonts w:asciiTheme="minorHAnsi" w:eastAsiaTheme="minorEastAsia" w:hAnsiTheme="minorHAnsi"/>
          <w:caps w:val="0"/>
          <w:noProof/>
          <w:sz w:val="22"/>
        </w:rPr>
      </w:pPr>
      <w:hyperlink w:anchor="_Toc129271376" w:history="1">
        <w:r w:rsidRPr="00EA048F" w:rsidR="00CB5B54">
          <w:rPr>
            <w:rStyle w:val="Hyperlink"/>
            <w:noProof/>
          </w:rPr>
          <w:t>III.</w:t>
        </w:r>
        <w:r w:rsidR="00CB5B54">
          <w:rPr>
            <w:rFonts w:asciiTheme="minorHAnsi" w:eastAsiaTheme="minorEastAsia" w:hAnsiTheme="minorHAnsi"/>
            <w:caps w:val="0"/>
            <w:noProof/>
            <w:sz w:val="22"/>
          </w:rPr>
          <w:tab/>
        </w:r>
        <w:r w:rsidRPr="00EA048F" w:rsidR="00CB5B54">
          <w:rPr>
            <w:rStyle w:val="Hyperlink"/>
            <w:noProof/>
          </w:rPr>
          <w:t>CONCLUSION</w:t>
        </w:r>
        <w:r w:rsidR="00CB5B54">
          <w:rPr>
            <w:noProof/>
            <w:webHidden/>
          </w:rPr>
          <w:tab/>
        </w:r>
        <w:r w:rsidR="00CB5B54">
          <w:rPr>
            <w:noProof/>
            <w:webHidden/>
          </w:rPr>
          <w:fldChar w:fldCharType="begin"/>
        </w:r>
        <w:r w:rsidR="00CB5B54">
          <w:rPr>
            <w:noProof/>
            <w:webHidden/>
          </w:rPr>
          <w:instrText xml:space="preserve"> PAGEREF _Toc129271376 \h </w:instrText>
        </w:r>
        <w:r w:rsidR="00CB5B54">
          <w:rPr>
            <w:noProof/>
            <w:webHidden/>
          </w:rPr>
          <w:fldChar w:fldCharType="separate"/>
        </w:r>
        <w:r w:rsidR="00CB5B54">
          <w:rPr>
            <w:noProof/>
            <w:webHidden/>
          </w:rPr>
          <w:t>17</w:t>
        </w:r>
        <w:r w:rsidR="00CB5B54">
          <w:rPr>
            <w:noProof/>
            <w:webHidden/>
          </w:rPr>
          <w:fldChar w:fldCharType="end"/>
        </w:r>
      </w:hyperlink>
    </w:p>
    <w:p w:rsidR="00B81B85" w:rsidRPr="00B81B85" w:rsidP="00B81B85" w14:paraId="7C76D62B" w14:textId="0A775E55">
      <w:pPr>
        <w:pStyle w:val="Title"/>
        <w:jc w:val="right"/>
        <w:rPr>
          <w:sz w:val="24"/>
          <w:szCs w:val="24"/>
        </w:rPr>
        <w:sectPr w:rsidSect="00B81B85">
          <w:footerReference w:type="first" r:id="rId10"/>
          <w:pgSz w:w="12240" w:h="15840"/>
          <w:pgMar w:top="1440" w:right="1800" w:bottom="1440" w:left="1800" w:header="720" w:footer="720" w:gutter="0"/>
          <w:pgNumType w:fmt="lowerRoman" w:start="1"/>
          <w:cols w:space="720"/>
          <w:titlePg/>
          <w:docGrid w:linePitch="326"/>
        </w:sectPr>
      </w:pPr>
      <w:r>
        <w:rPr>
          <w:sz w:val="24"/>
          <w:szCs w:val="24"/>
        </w:rPr>
        <w:fldChar w:fldCharType="end"/>
      </w:r>
    </w:p>
    <w:p w:rsidR="00496468" w:rsidRPr="00C80BFE" w:rsidP="00496468" w14:paraId="086764E7" w14:textId="77777777">
      <w:pPr>
        <w:pStyle w:val="Title"/>
        <w:rPr>
          <w:sz w:val="24"/>
          <w:szCs w:val="24"/>
        </w:rPr>
      </w:pPr>
      <w:r w:rsidRPr="00C80BFE">
        <w:rPr>
          <w:sz w:val="24"/>
          <w:szCs w:val="24"/>
        </w:rPr>
        <w:t>BEFORE</w:t>
      </w:r>
    </w:p>
    <w:p w:rsidR="00496468" w:rsidRPr="00C80BFE" w:rsidP="00326C85" w14:paraId="0196A506" w14:textId="77777777">
      <w:pPr>
        <w:spacing w:after="0"/>
        <w:jc w:val="center"/>
        <w:rPr>
          <w:rFonts w:cs="Times New Roman"/>
          <w:b/>
          <w:szCs w:val="24"/>
        </w:rPr>
      </w:pPr>
      <w:r w:rsidRPr="00C80BFE">
        <w:rPr>
          <w:rFonts w:cs="Times New Roman"/>
          <w:b/>
          <w:szCs w:val="24"/>
        </w:rPr>
        <w:t>THE PUBLIC UTILITIES COMMISSION OF OHIO</w:t>
      </w:r>
    </w:p>
    <w:p w:rsidR="00496468" w:rsidRPr="00C80BFE" w:rsidP="00496468" w14:paraId="0B458603" w14:textId="77777777">
      <w:pPr>
        <w:pStyle w:val="HTMLPreformatted"/>
        <w:rPr>
          <w:rFonts w:ascii="Times New Roman" w:hAnsi="Times New Roman" w:cs="Times New Roman"/>
          <w:sz w:val="24"/>
          <w:szCs w:val="24"/>
        </w:rPr>
      </w:pPr>
    </w:p>
    <w:tbl>
      <w:tblPr>
        <w:tblW w:w="8820" w:type="dxa"/>
        <w:tblLook w:val="01E0"/>
      </w:tblPr>
      <w:tblGrid>
        <w:gridCol w:w="4829"/>
        <w:gridCol w:w="301"/>
        <w:gridCol w:w="3690"/>
      </w:tblGrid>
      <w:tr w14:paraId="74D0C0BF" w14:textId="77777777" w:rsidTr="00E16426">
        <w:tblPrEx>
          <w:tblW w:w="8820" w:type="dxa"/>
          <w:tblLook w:val="01E0"/>
        </w:tblPrEx>
        <w:trPr>
          <w:trHeight w:val="807"/>
        </w:trPr>
        <w:tc>
          <w:tcPr>
            <w:tcW w:w="4829" w:type="dxa"/>
            <w:shd w:val="clear" w:color="auto" w:fill="auto"/>
          </w:tcPr>
          <w:p w:rsidR="00496468" w:rsidRPr="00C80BFE" w:rsidP="003C37F4" w14:paraId="0532E8B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496468" w:rsidRPr="00C80BFE" w:rsidP="003C37F4" w14:paraId="0D16D910" w14:textId="77777777">
            <w:pPr>
              <w:pStyle w:val="HTMLPreformatted"/>
              <w:rPr>
                <w:rFonts w:ascii="Times New Roman" w:hAnsi="Times New Roman" w:cs="Times New Roman"/>
                <w:sz w:val="24"/>
                <w:szCs w:val="24"/>
              </w:rPr>
            </w:pPr>
          </w:p>
          <w:p w:rsidR="00496468" w:rsidRPr="00C80BFE" w:rsidP="003C37F4" w14:paraId="40920075"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an Alternative Form of Regulation.</w:t>
            </w:r>
          </w:p>
          <w:p w:rsidR="00496468" w:rsidRPr="00C80BFE" w:rsidP="003C37F4" w14:paraId="3C286F32" w14:textId="77777777">
            <w:pPr>
              <w:pStyle w:val="HTMLPreformatted"/>
              <w:rPr>
                <w:rFonts w:ascii="Times New Roman" w:hAnsi="Times New Roman" w:cs="Times New Roman"/>
                <w:sz w:val="24"/>
                <w:szCs w:val="24"/>
              </w:rPr>
            </w:pPr>
          </w:p>
          <w:p w:rsidR="00496468" w:rsidRPr="00C80BFE" w:rsidP="003C37F4" w14:paraId="763E957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496468" w:rsidRPr="00C80BFE" w:rsidP="003C37F4" w14:paraId="59FA1C27" w14:textId="77777777">
            <w:pPr>
              <w:pStyle w:val="HTMLPreformatted"/>
              <w:rPr>
                <w:rFonts w:ascii="Times New Roman" w:hAnsi="Times New Roman" w:cs="Times New Roman"/>
                <w:sz w:val="24"/>
                <w:szCs w:val="24"/>
              </w:rPr>
            </w:pPr>
          </w:p>
          <w:p w:rsidR="00496468" w:rsidRPr="00C80BFE" w:rsidP="003C37F4" w14:paraId="6B16D71C"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to Change Accounting Methods.</w:t>
            </w:r>
          </w:p>
        </w:tc>
        <w:tc>
          <w:tcPr>
            <w:tcW w:w="301" w:type="dxa"/>
            <w:shd w:val="clear" w:color="auto" w:fill="auto"/>
          </w:tcPr>
          <w:p w:rsidR="00496468" w:rsidRPr="00C80BFE" w:rsidP="003C37F4" w14:paraId="6647504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8E048A7"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F500EB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5C589D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7646F6F7" w14:textId="77777777">
            <w:pPr>
              <w:pStyle w:val="HTMLPreformatted"/>
              <w:rPr>
                <w:rFonts w:ascii="Times New Roman" w:hAnsi="Times New Roman" w:cs="Times New Roman"/>
                <w:sz w:val="24"/>
                <w:szCs w:val="24"/>
              </w:rPr>
            </w:pPr>
          </w:p>
          <w:p w:rsidR="00496468" w:rsidRPr="00C80BFE" w:rsidP="003C37F4" w14:paraId="1B7D627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436FEB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CD78981"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3C2E278" w14:textId="77777777">
            <w:pPr>
              <w:pStyle w:val="HTMLPreformatted"/>
              <w:rPr>
                <w:rFonts w:ascii="Times New Roman" w:hAnsi="Times New Roman" w:cs="Times New Roman"/>
                <w:sz w:val="24"/>
                <w:szCs w:val="24"/>
              </w:rPr>
            </w:pPr>
          </w:p>
          <w:p w:rsidR="00496468" w:rsidRPr="00C80BFE" w:rsidP="003C37F4" w14:paraId="5676EFC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BDAA65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7E2C8F7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0E8931C9"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17C1512C" w14:textId="77777777">
            <w:pPr>
              <w:pStyle w:val="HTMLPreformatted"/>
              <w:rPr>
                <w:rFonts w:ascii="Times New Roman" w:hAnsi="Times New Roman" w:cs="Times New Roman"/>
                <w:sz w:val="24"/>
                <w:szCs w:val="24"/>
              </w:rPr>
            </w:pPr>
          </w:p>
          <w:p w:rsidR="00496468" w:rsidRPr="00C80BFE" w:rsidP="003C37F4" w14:paraId="6E53C4B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1EAFC355"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7E555BD"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tc>
        <w:tc>
          <w:tcPr>
            <w:tcW w:w="3690" w:type="dxa"/>
            <w:shd w:val="clear" w:color="auto" w:fill="auto"/>
          </w:tcPr>
          <w:p w:rsidR="00496468" w:rsidRPr="00C80BFE" w:rsidP="003C37F4" w14:paraId="3AA3DF4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21-637-GA-AIR</w:t>
            </w:r>
          </w:p>
          <w:p w:rsidR="00496468" w:rsidRPr="00C80BFE" w:rsidP="003C37F4" w14:paraId="3BBAB3D7" w14:textId="77777777">
            <w:pPr>
              <w:pStyle w:val="HTMLPreformatted"/>
              <w:rPr>
                <w:rFonts w:ascii="Times New Roman" w:hAnsi="Times New Roman" w:cs="Times New Roman"/>
                <w:sz w:val="24"/>
                <w:szCs w:val="24"/>
              </w:rPr>
            </w:pPr>
          </w:p>
          <w:p w:rsidR="00496468" w:rsidRPr="00C80BFE" w:rsidP="003C37F4" w14:paraId="5D05CE1B" w14:textId="2F52E554">
            <w:pPr>
              <w:pStyle w:val="HTMLPreformatted"/>
              <w:rPr>
                <w:rFonts w:ascii="Times New Roman" w:hAnsi="Times New Roman" w:cs="Times New Roman"/>
                <w:sz w:val="24"/>
                <w:szCs w:val="24"/>
              </w:rPr>
            </w:pPr>
          </w:p>
          <w:p w:rsidR="00E16426" w:rsidRPr="00C80BFE" w:rsidP="003C37F4" w14:paraId="1A34A1F5" w14:textId="7035F0B1">
            <w:pPr>
              <w:pStyle w:val="HTMLPreformatted"/>
              <w:rPr>
                <w:rFonts w:ascii="Times New Roman" w:hAnsi="Times New Roman" w:cs="Times New Roman"/>
                <w:sz w:val="24"/>
                <w:szCs w:val="24"/>
              </w:rPr>
            </w:pPr>
          </w:p>
          <w:p w:rsidR="00E16426" w:rsidRPr="00C80BFE" w:rsidP="003C37F4" w14:paraId="605FBB72" w14:textId="77777777">
            <w:pPr>
              <w:pStyle w:val="HTMLPreformatted"/>
              <w:rPr>
                <w:rFonts w:ascii="Times New Roman" w:hAnsi="Times New Roman" w:cs="Times New Roman"/>
                <w:sz w:val="24"/>
                <w:szCs w:val="24"/>
              </w:rPr>
            </w:pPr>
          </w:p>
          <w:p w:rsidR="00496468" w:rsidRPr="00C80BFE" w:rsidP="003C37F4" w14:paraId="42C0C5D7"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21-638-GA-ALT</w:t>
            </w:r>
          </w:p>
          <w:p w:rsidR="00496468" w:rsidRPr="00C80BFE" w:rsidP="003C37F4" w14:paraId="78728F63" w14:textId="31A80443">
            <w:pPr>
              <w:pStyle w:val="HTMLPreformatted"/>
              <w:rPr>
                <w:rFonts w:ascii="Times New Roman" w:hAnsi="Times New Roman" w:cs="Times New Roman"/>
                <w:sz w:val="24"/>
                <w:szCs w:val="24"/>
              </w:rPr>
            </w:pPr>
          </w:p>
          <w:p w:rsidR="00E16426" w:rsidRPr="00C80BFE" w:rsidP="003C37F4" w14:paraId="15B85E67" w14:textId="5D0A43A6">
            <w:pPr>
              <w:pStyle w:val="HTMLPreformatted"/>
              <w:rPr>
                <w:rFonts w:ascii="Times New Roman" w:hAnsi="Times New Roman" w:cs="Times New Roman"/>
                <w:sz w:val="24"/>
                <w:szCs w:val="24"/>
              </w:rPr>
            </w:pPr>
          </w:p>
          <w:p w:rsidR="00E16426" w:rsidRPr="00C80BFE" w:rsidP="003C37F4" w14:paraId="6DD213EA" w14:textId="77777777">
            <w:pPr>
              <w:pStyle w:val="HTMLPreformatted"/>
              <w:rPr>
                <w:rFonts w:ascii="Times New Roman" w:hAnsi="Times New Roman" w:cs="Times New Roman"/>
                <w:sz w:val="24"/>
                <w:szCs w:val="24"/>
              </w:rPr>
            </w:pPr>
          </w:p>
          <w:p w:rsidR="00496468" w:rsidRPr="00C80BFE" w:rsidP="003C37F4" w14:paraId="49058AD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21-639-GA-UNC</w:t>
            </w:r>
          </w:p>
          <w:p w:rsidR="00496468" w:rsidRPr="00C80BFE" w:rsidP="003C37F4" w14:paraId="74ACA0AA" w14:textId="0825A04D">
            <w:pPr>
              <w:pStyle w:val="HTMLPreformatted"/>
              <w:rPr>
                <w:rFonts w:ascii="Times New Roman" w:hAnsi="Times New Roman" w:cs="Times New Roman"/>
                <w:sz w:val="24"/>
                <w:szCs w:val="24"/>
              </w:rPr>
            </w:pPr>
          </w:p>
          <w:p w:rsidR="00E16426" w:rsidRPr="00C80BFE" w:rsidP="003C37F4" w14:paraId="268350DD" w14:textId="16C1EC2E">
            <w:pPr>
              <w:pStyle w:val="HTMLPreformatted"/>
              <w:rPr>
                <w:rFonts w:ascii="Times New Roman" w:hAnsi="Times New Roman" w:cs="Times New Roman"/>
                <w:sz w:val="24"/>
                <w:szCs w:val="24"/>
              </w:rPr>
            </w:pPr>
          </w:p>
          <w:p w:rsidR="00E16426" w:rsidRPr="00C80BFE" w:rsidP="003C37F4" w14:paraId="288E558A" w14:textId="777444C7">
            <w:pPr>
              <w:pStyle w:val="HTMLPreformatted"/>
              <w:rPr>
                <w:rFonts w:ascii="Times New Roman" w:hAnsi="Times New Roman" w:cs="Times New Roman"/>
                <w:sz w:val="24"/>
                <w:szCs w:val="24"/>
              </w:rPr>
            </w:pPr>
          </w:p>
          <w:p w:rsidR="00E16426" w:rsidRPr="00C80BFE" w:rsidP="003C37F4" w14:paraId="427F8898" w14:textId="77777777">
            <w:pPr>
              <w:pStyle w:val="HTMLPreformatted"/>
              <w:rPr>
                <w:rFonts w:ascii="Times New Roman" w:hAnsi="Times New Roman" w:cs="Times New Roman"/>
                <w:sz w:val="24"/>
                <w:szCs w:val="24"/>
              </w:rPr>
            </w:pPr>
          </w:p>
          <w:p w:rsidR="00496468" w:rsidRPr="00C80BFE" w:rsidP="003C37F4" w14:paraId="50FC339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21-640-GA-AAM</w:t>
            </w:r>
          </w:p>
          <w:p w:rsidR="00496468" w:rsidRPr="00C80BFE" w:rsidP="003C37F4" w14:paraId="76534D7E" w14:textId="77777777">
            <w:pPr>
              <w:pStyle w:val="HTMLPreformatted"/>
              <w:rPr>
                <w:rFonts w:ascii="Times New Roman" w:hAnsi="Times New Roman" w:cs="Times New Roman"/>
                <w:sz w:val="24"/>
                <w:szCs w:val="24"/>
              </w:rPr>
            </w:pPr>
          </w:p>
        </w:tc>
      </w:tr>
    </w:tbl>
    <w:p w:rsidR="00496468" w:rsidRPr="00C80BFE" w:rsidP="00E16426" w14:paraId="077F67D6" w14:textId="77777777">
      <w:pPr>
        <w:spacing w:after="0"/>
        <w:rPr>
          <w:rFonts w:cs="Times New Roman"/>
          <w:szCs w:val="24"/>
        </w:rPr>
      </w:pPr>
    </w:p>
    <w:p w:rsidR="00496468" w:rsidRPr="00C80BFE" w:rsidP="00E16426" w14:paraId="3DBF2760" w14:textId="77777777">
      <w:pPr>
        <w:pBdr>
          <w:top w:val="single" w:sz="12" w:space="1" w:color="auto"/>
        </w:pBdr>
        <w:spacing w:after="0" w:line="240" w:lineRule="auto"/>
        <w:rPr>
          <w:rFonts w:cs="Times New Roman"/>
          <w:szCs w:val="24"/>
        </w:rPr>
      </w:pPr>
    </w:p>
    <w:p w:rsidR="00496468" w:rsidP="00496468" w14:paraId="69567546" w14:textId="7B63A96D">
      <w:pPr>
        <w:spacing w:after="0"/>
        <w:jc w:val="center"/>
        <w:rPr>
          <w:rFonts w:cs="Times New Roman"/>
          <w:b/>
          <w:szCs w:val="24"/>
        </w:rPr>
      </w:pPr>
      <w:r>
        <w:rPr>
          <w:rFonts w:cs="Times New Roman"/>
          <w:b/>
          <w:szCs w:val="24"/>
        </w:rPr>
        <w:t>MEMORANDUM CONTRA THE APPLICATIONS FOR REHEARING OF</w:t>
      </w:r>
    </w:p>
    <w:p w:rsidR="00052474" w:rsidRPr="00C80BFE" w:rsidP="00496468" w14:paraId="3967AF7D" w14:textId="2BA79F3A">
      <w:pPr>
        <w:spacing w:after="0"/>
        <w:jc w:val="center"/>
        <w:rPr>
          <w:rFonts w:cs="Times New Roman"/>
          <w:b/>
          <w:szCs w:val="24"/>
        </w:rPr>
      </w:pPr>
      <w:r>
        <w:rPr>
          <w:rFonts w:cs="Times New Roman"/>
          <w:b/>
          <w:szCs w:val="24"/>
        </w:rPr>
        <w:t>THE ENVIRONMENTAL LAW AND POLICY CENTER, OHIO PARTNERS FOR AFFORDABLE ENERGY, AND CITIZENS</w:t>
      </w:r>
      <w:r w:rsidR="00034F6A">
        <w:rPr>
          <w:rFonts w:cs="Times New Roman"/>
          <w:b/>
          <w:szCs w:val="24"/>
        </w:rPr>
        <w:t>’</w:t>
      </w:r>
      <w:r>
        <w:rPr>
          <w:rFonts w:cs="Times New Roman"/>
          <w:b/>
          <w:szCs w:val="24"/>
        </w:rPr>
        <w:t xml:space="preserve"> UTILITY BOARD OHIO</w:t>
      </w:r>
    </w:p>
    <w:p w:rsidR="00496468" w:rsidRPr="00C80BFE" w:rsidP="00496468" w14:paraId="34DDF1BF" w14:textId="77777777">
      <w:pPr>
        <w:spacing w:after="0"/>
        <w:jc w:val="center"/>
        <w:rPr>
          <w:rFonts w:cs="Times New Roman"/>
          <w:b/>
          <w:szCs w:val="24"/>
        </w:rPr>
      </w:pPr>
      <w:r w:rsidRPr="00C80BFE">
        <w:rPr>
          <w:rFonts w:cs="Times New Roman"/>
          <w:b/>
          <w:szCs w:val="24"/>
        </w:rPr>
        <w:t>BY</w:t>
      </w:r>
    </w:p>
    <w:p w:rsidR="00496468" w:rsidRPr="00C80BFE" w:rsidP="00B81B85" w14:paraId="418FF4C5" w14:textId="77777777">
      <w:pPr>
        <w:spacing w:after="0" w:line="240" w:lineRule="auto"/>
        <w:jc w:val="center"/>
        <w:rPr>
          <w:rFonts w:cs="Times New Roman"/>
          <w:b/>
          <w:szCs w:val="24"/>
        </w:rPr>
      </w:pPr>
      <w:r w:rsidRPr="00C80BFE">
        <w:rPr>
          <w:rFonts w:cs="Times New Roman"/>
          <w:b/>
          <w:szCs w:val="24"/>
        </w:rPr>
        <w:t>OFFICE OF THE OHIO CONSUMERS’ COUNSEL</w:t>
      </w:r>
    </w:p>
    <w:p w:rsidR="00496468" w:rsidRPr="00C80BFE" w:rsidP="00496468" w14:paraId="4AADEEE0" w14:textId="77777777">
      <w:pPr>
        <w:pBdr>
          <w:bottom w:val="single" w:sz="12" w:space="1" w:color="auto"/>
        </w:pBdr>
        <w:rPr>
          <w:rFonts w:cs="Times New Roman"/>
          <w:szCs w:val="24"/>
        </w:rPr>
      </w:pPr>
    </w:p>
    <w:p w:rsidR="00CB0EBA" w:rsidRPr="00C80BFE" w:rsidP="00023B7F" w14:paraId="35414BB6" w14:textId="631E0AAE">
      <w:pPr>
        <w:pStyle w:val="Heading1"/>
        <w:rPr>
          <w:rStyle w:val="Heading1Char"/>
          <w:b/>
          <w:bCs/>
        </w:rPr>
      </w:pPr>
      <w:bookmarkStart w:id="0" w:name="_Toc123050539"/>
      <w:bookmarkStart w:id="1" w:name="_Toc129271369"/>
      <w:r>
        <w:rPr>
          <w:rStyle w:val="Heading1Char"/>
          <w:b/>
          <w:bCs/>
        </w:rPr>
        <w:t>I</w:t>
      </w:r>
      <w:r w:rsidRPr="00C80BFE" w:rsidR="00CE41D6">
        <w:rPr>
          <w:rStyle w:val="Heading1Char"/>
          <w:b/>
          <w:bCs/>
        </w:rPr>
        <w:t>NTRODUCTION</w:t>
      </w:r>
      <w:bookmarkEnd w:id="0"/>
      <w:bookmarkEnd w:id="1"/>
    </w:p>
    <w:p w:rsidR="00200047" w:rsidP="00D36658" w14:paraId="0873DAEC" w14:textId="77777777">
      <w:pPr>
        <w:spacing w:after="0" w:line="480" w:lineRule="auto"/>
        <w:ind w:firstLine="720"/>
        <w:rPr>
          <w:rFonts w:cs="Times New Roman"/>
          <w:szCs w:val="24"/>
        </w:rPr>
        <w:sectPr w:rsidSect="00165096">
          <w:footerReference w:type="default" r:id="rId11"/>
          <w:pgSz w:w="12240" w:h="15840"/>
          <w:pgMar w:top="1440" w:right="1800" w:bottom="1440" w:left="1800" w:header="720" w:footer="720" w:gutter="0"/>
          <w:pgNumType w:start="1"/>
          <w:cols w:space="720"/>
          <w:titlePg/>
          <w:docGrid w:linePitch="326"/>
        </w:sectPr>
      </w:pPr>
      <w:r>
        <w:rPr>
          <w:rFonts w:cs="Times New Roman"/>
          <w:szCs w:val="24"/>
        </w:rPr>
        <w:t>The Environmental Law and Policy Center</w:t>
      </w:r>
      <w:r>
        <w:rPr>
          <w:rStyle w:val="FootnoteReference"/>
          <w:rFonts w:cs="Times New Roman"/>
          <w:szCs w:val="24"/>
        </w:rPr>
        <w:footnoteReference w:id="2"/>
      </w:r>
      <w:r>
        <w:rPr>
          <w:rFonts w:cs="Times New Roman"/>
          <w:szCs w:val="24"/>
        </w:rPr>
        <w:t>, Ohio Partners for Affordable Energy</w:t>
      </w:r>
      <w:r>
        <w:rPr>
          <w:rStyle w:val="FootnoteReference"/>
          <w:rFonts w:cs="Times New Roman"/>
          <w:szCs w:val="24"/>
        </w:rPr>
        <w:footnoteReference w:id="3"/>
      </w:r>
      <w:r w:rsidR="00E249D6">
        <w:rPr>
          <w:rFonts w:cs="Times New Roman"/>
          <w:szCs w:val="24"/>
        </w:rPr>
        <w:t>,</w:t>
      </w:r>
      <w:r>
        <w:rPr>
          <w:rFonts w:cs="Times New Roman"/>
          <w:szCs w:val="24"/>
        </w:rPr>
        <w:t xml:space="preserve"> and</w:t>
      </w:r>
      <w:r w:rsidR="00E249D6">
        <w:rPr>
          <w:rFonts w:cs="Times New Roman"/>
          <w:szCs w:val="24"/>
        </w:rPr>
        <w:t xml:space="preserve"> Citizens</w:t>
      </w:r>
      <w:r w:rsidR="00034F6A">
        <w:rPr>
          <w:rFonts w:cs="Times New Roman"/>
          <w:szCs w:val="24"/>
        </w:rPr>
        <w:t>’</w:t>
      </w:r>
      <w:r w:rsidR="00E249D6">
        <w:rPr>
          <w:rFonts w:cs="Times New Roman"/>
          <w:szCs w:val="24"/>
        </w:rPr>
        <w:t xml:space="preserve"> Utility Board Ohio</w:t>
      </w:r>
      <w:r>
        <w:rPr>
          <w:rStyle w:val="FootnoteReference"/>
          <w:rFonts w:cs="Times New Roman"/>
          <w:szCs w:val="24"/>
        </w:rPr>
        <w:footnoteReference w:id="4"/>
      </w:r>
      <w:r w:rsidR="00E249D6">
        <w:rPr>
          <w:rFonts w:cs="Times New Roman"/>
          <w:szCs w:val="24"/>
        </w:rPr>
        <w:t xml:space="preserve"> (collectively “Environmental Groups”) seek rehearing of the PUCO</w:t>
      </w:r>
      <w:r w:rsidR="00D36658">
        <w:rPr>
          <w:rFonts w:cs="Times New Roman"/>
          <w:szCs w:val="24"/>
        </w:rPr>
        <w:t>’s January 26, 2023</w:t>
      </w:r>
      <w:r w:rsidR="00E249D6">
        <w:rPr>
          <w:rFonts w:cs="Times New Roman"/>
          <w:szCs w:val="24"/>
        </w:rPr>
        <w:t xml:space="preserve"> </w:t>
      </w:r>
      <w:r w:rsidR="00D36658">
        <w:rPr>
          <w:rFonts w:cs="Times New Roman"/>
          <w:szCs w:val="24"/>
        </w:rPr>
        <w:t>O</w:t>
      </w:r>
      <w:r w:rsidR="00E249D6">
        <w:rPr>
          <w:rFonts w:cs="Times New Roman"/>
          <w:szCs w:val="24"/>
        </w:rPr>
        <w:t xml:space="preserve">rder approving </w:t>
      </w:r>
      <w:r w:rsidR="00574DA5">
        <w:rPr>
          <w:rFonts w:cs="Times New Roman"/>
          <w:szCs w:val="24"/>
        </w:rPr>
        <w:t xml:space="preserve">a </w:t>
      </w:r>
      <w:r w:rsidR="00E249D6">
        <w:rPr>
          <w:rFonts w:cs="Times New Roman"/>
          <w:szCs w:val="24"/>
        </w:rPr>
        <w:t xml:space="preserve">Settlement </w:t>
      </w:r>
      <w:r w:rsidR="00C44117">
        <w:rPr>
          <w:rFonts w:cs="Times New Roman"/>
          <w:szCs w:val="24"/>
        </w:rPr>
        <w:t>that</w:t>
      </w:r>
      <w:r w:rsidR="00E249D6">
        <w:rPr>
          <w:rFonts w:cs="Times New Roman"/>
          <w:szCs w:val="24"/>
        </w:rPr>
        <w:t xml:space="preserve"> resolves the issues in Columbia’s</w:t>
      </w:r>
      <w:r w:rsidRPr="00C80BFE" w:rsidR="00E249D6">
        <w:rPr>
          <w:rFonts w:cs="Times New Roman"/>
          <w:szCs w:val="24"/>
        </w:rPr>
        <w:t xml:space="preserve"> ratemaking</w:t>
      </w:r>
      <w:r w:rsidR="00E249D6">
        <w:rPr>
          <w:rFonts w:cs="Times New Roman"/>
          <w:szCs w:val="24"/>
        </w:rPr>
        <w:t xml:space="preserve"> and alternative regulation</w:t>
      </w:r>
      <w:r w:rsidRPr="00C80BFE" w:rsidR="00E249D6">
        <w:rPr>
          <w:rFonts w:cs="Times New Roman"/>
          <w:szCs w:val="24"/>
        </w:rPr>
        <w:t xml:space="preserve"> cases.</w:t>
      </w:r>
      <w:r w:rsidR="00DD79D2">
        <w:rPr>
          <w:rFonts w:cs="Times New Roman"/>
          <w:szCs w:val="24"/>
        </w:rPr>
        <w:t xml:space="preserve"> </w:t>
      </w:r>
      <w:r w:rsidR="00526D1B">
        <w:rPr>
          <w:rFonts w:cs="Times New Roman"/>
          <w:szCs w:val="24"/>
        </w:rPr>
        <w:t>T</w:t>
      </w:r>
      <w:r w:rsidR="00DD79D2">
        <w:rPr>
          <w:rFonts w:cs="Times New Roman"/>
          <w:szCs w:val="24"/>
        </w:rPr>
        <w:t xml:space="preserve">he Environmental </w:t>
      </w:r>
    </w:p>
    <w:p w:rsidR="00526D1B" w:rsidP="00200047" w14:paraId="573190CD" w14:textId="669F03AE">
      <w:pPr>
        <w:spacing w:after="0" w:line="480" w:lineRule="auto"/>
        <w:rPr>
          <w:rFonts w:cs="Times New Roman"/>
          <w:szCs w:val="24"/>
        </w:rPr>
      </w:pPr>
      <w:r>
        <w:rPr>
          <w:rFonts w:cs="Times New Roman"/>
          <w:szCs w:val="24"/>
        </w:rPr>
        <w:t>Groups claim that the Order violates Ohio law and is not supported by record evidence. The Environmental Groups are wrong</w:t>
      </w:r>
      <w:r w:rsidR="007E724B">
        <w:rPr>
          <w:rFonts w:cs="Times New Roman"/>
          <w:szCs w:val="24"/>
        </w:rPr>
        <w:t>.</w:t>
      </w:r>
      <w:r>
        <w:rPr>
          <w:rFonts w:cs="Times New Roman"/>
          <w:szCs w:val="24"/>
        </w:rPr>
        <w:t xml:space="preserve"> </w:t>
      </w:r>
      <w:r w:rsidR="007E724B">
        <w:rPr>
          <w:rFonts w:cs="Times New Roman"/>
          <w:szCs w:val="24"/>
        </w:rPr>
        <w:t>The</w:t>
      </w:r>
      <w:r>
        <w:rPr>
          <w:rFonts w:cs="Times New Roman"/>
          <w:szCs w:val="24"/>
        </w:rPr>
        <w:t xml:space="preserve"> </w:t>
      </w:r>
      <w:r w:rsidRPr="0087048B">
        <w:rPr>
          <w:rFonts w:cs="Times New Roman"/>
          <w:szCs w:val="24"/>
        </w:rPr>
        <w:t>applications for rehearing</w:t>
      </w:r>
      <w:r>
        <w:rPr>
          <w:rFonts w:cs="Times New Roman"/>
          <w:szCs w:val="24"/>
        </w:rPr>
        <w:t xml:space="preserve"> should be denied</w:t>
      </w:r>
      <w:r w:rsidRPr="0087048B">
        <w:rPr>
          <w:rFonts w:cs="Times New Roman"/>
          <w:szCs w:val="24"/>
        </w:rPr>
        <w:t>.</w:t>
      </w:r>
    </w:p>
    <w:p w:rsidR="00EA675E" w:rsidP="00227608" w14:paraId="3B5B6D9B" w14:textId="6032550A">
      <w:pPr>
        <w:spacing w:after="0" w:line="480" w:lineRule="auto"/>
        <w:ind w:firstLine="720"/>
        <w:rPr>
          <w:rFonts w:cs="Times New Roman"/>
          <w:szCs w:val="24"/>
        </w:rPr>
      </w:pPr>
      <w:r>
        <w:rPr>
          <w:rFonts w:cs="Times New Roman"/>
          <w:szCs w:val="24"/>
        </w:rPr>
        <w:t>The Order is a just and reasonable resolution of the issues in this case.</w:t>
      </w:r>
      <w:r w:rsidR="004F28F4">
        <w:rPr>
          <w:rFonts w:cs="Times New Roman"/>
          <w:szCs w:val="24"/>
        </w:rPr>
        <w:t xml:space="preserve"> The Settlement provides numerous benefits to consumers, including</w:t>
      </w:r>
      <w:r>
        <w:rPr>
          <w:rFonts w:cs="Times New Roman"/>
          <w:szCs w:val="24"/>
        </w:rPr>
        <w:t xml:space="preserve"> a</w:t>
      </w:r>
      <w:r w:rsidR="004F28F4">
        <w:rPr>
          <w:rFonts w:cs="Times New Roman"/>
          <w:szCs w:val="24"/>
        </w:rPr>
        <w:t xml:space="preserve"> base distribution revenue increase for consumers that is </w:t>
      </w:r>
      <w:r w:rsidRPr="004F28F4" w:rsidR="004F28F4">
        <w:rPr>
          <w:rFonts w:cs="Times New Roman"/>
          <w:i/>
          <w:iCs/>
          <w:szCs w:val="24"/>
        </w:rPr>
        <w:t xml:space="preserve">$153.2 million </w:t>
      </w:r>
      <w:r w:rsidRPr="00C31F16" w:rsidR="004F28F4">
        <w:rPr>
          <w:rFonts w:cs="Times New Roman"/>
          <w:i/>
          <w:iCs/>
          <w:szCs w:val="24"/>
        </w:rPr>
        <w:t>less</w:t>
      </w:r>
      <w:r w:rsidR="004F28F4">
        <w:rPr>
          <w:rFonts w:cs="Times New Roman"/>
          <w:szCs w:val="24"/>
        </w:rPr>
        <w:t xml:space="preserve"> than the $221.4 million Columbia initially requested.</w:t>
      </w:r>
      <w:r>
        <w:rPr>
          <w:rStyle w:val="FootnoteReference"/>
          <w:rFonts w:cs="Times New Roman"/>
          <w:szCs w:val="24"/>
        </w:rPr>
        <w:footnoteReference w:id="5"/>
      </w:r>
      <w:r w:rsidR="004F28F4">
        <w:rPr>
          <w:rFonts w:cs="Times New Roman"/>
          <w:szCs w:val="24"/>
        </w:rPr>
        <w:t xml:space="preserve"> T</w:t>
      </w:r>
      <w:r w:rsidRPr="00C80BFE" w:rsidR="004F28F4">
        <w:rPr>
          <w:rFonts w:cs="Times New Roman"/>
          <w:szCs w:val="24"/>
        </w:rPr>
        <w:t>he Settlement helps</w:t>
      </w:r>
      <w:r w:rsidR="004F28F4">
        <w:rPr>
          <w:rFonts w:cs="Times New Roman"/>
          <w:szCs w:val="24"/>
        </w:rPr>
        <w:t xml:space="preserve"> to</w:t>
      </w:r>
      <w:r w:rsidRPr="00C80BFE" w:rsidR="004F28F4">
        <w:rPr>
          <w:rFonts w:cs="Times New Roman"/>
          <w:szCs w:val="24"/>
        </w:rPr>
        <w:t xml:space="preserve"> protect </w:t>
      </w:r>
      <w:r w:rsidR="004F28F4">
        <w:rPr>
          <w:rFonts w:cs="Times New Roman"/>
          <w:szCs w:val="24"/>
        </w:rPr>
        <w:t>consumers by providing</w:t>
      </w:r>
      <w:r w:rsidRPr="00C80BFE" w:rsidR="004F28F4">
        <w:rPr>
          <w:rFonts w:cs="Times New Roman"/>
          <w:szCs w:val="24"/>
        </w:rPr>
        <w:t xml:space="preserve"> $70 million in </w:t>
      </w:r>
      <w:r w:rsidRPr="00C80BFE" w:rsidR="004F28F4">
        <w:rPr>
          <w:rFonts w:cs="Times New Roman"/>
          <w:iCs/>
          <w:szCs w:val="24"/>
        </w:rPr>
        <w:t xml:space="preserve">weatherization services for low-income consumers. </w:t>
      </w:r>
      <w:r w:rsidR="004F28F4">
        <w:rPr>
          <w:rFonts w:cs="Times New Roman"/>
          <w:iCs/>
          <w:szCs w:val="24"/>
        </w:rPr>
        <w:t>The PUCO’s Order requires Columbia</w:t>
      </w:r>
      <w:r w:rsidRPr="00C80BFE" w:rsidR="004F28F4">
        <w:rPr>
          <w:rFonts w:cs="Times New Roman"/>
          <w:iCs/>
          <w:szCs w:val="24"/>
        </w:rPr>
        <w:t xml:space="preserve"> to provide</w:t>
      </w:r>
      <w:r w:rsidR="004F28F4">
        <w:rPr>
          <w:rFonts w:cs="Times New Roman"/>
          <w:iCs/>
          <w:szCs w:val="24"/>
        </w:rPr>
        <w:t xml:space="preserve"> (at </w:t>
      </w:r>
      <w:r w:rsidR="00034F6A">
        <w:rPr>
          <w:rFonts w:cs="Times New Roman"/>
          <w:iCs/>
          <w:szCs w:val="24"/>
        </w:rPr>
        <w:t>shareholder</w:t>
      </w:r>
      <w:r w:rsidR="004F28F4">
        <w:rPr>
          <w:rFonts w:cs="Times New Roman"/>
          <w:iCs/>
          <w:szCs w:val="24"/>
        </w:rPr>
        <w:t xml:space="preserve"> expense)</w:t>
      </w:r>
      <w:r w:rsidRPr="00C80BFE" w:rsidR="004F28F4">
        <w:rPr>
          <w:rFonts w:cs="Times New Roman"/>
          <w:iCs/>
          <w:szCs w:val="24"/>
        </w:rPr>
        <w:t xml:space="preserve"> $3.5 million for bill-payment assistance</w:t>
      </w:r>
      <w:r w:rsidR="004F28F4">
        <w:rPr>
          <w:rFonts w:cs="Times New Roman"/>
          <w:iCs/>
          <w:szCs w:val="24"/>
        </w:rPr>
        <w:t xml:space="preserve"> for </w:t>
      </w:r>
      <w:r w:rsidR="00C45662">
        <w:rPr>
          <w:rFonts w:cs="Times New Roman"/>
          <w:iCs/>
          <w:szCs w:val="24"/>
        </w:rPr>
        <w:t xml:space="preserve">at-risk </w:t>
      </w:r>
      <w:r w:rsidR="004F28F4">
        <w:rPr>
          <w:rFonts w:cs="Times New Roman"/>
          <w:iCs/>
          <w:szCs w:val="24"/>
        </w:rPr>
        <w:t>consumers</w:t>
      </w:r>
      <w:r w:rsidRPr="00C80BFE" w:rsidR="004F28F4">
        <w:rPr>
          <w:rFonts w:cs="Times New Roman"/>
          <w:iCs/>
          <w:szCs w:val="24"/>
        </w:rPr>
        <w:t>.</w:t>
      </w:r>
      <w:r>
        <w:rPr>
          <w:rStyle w:val="FootnoteReference"/>
          <w:rFonts w:cs="Times New Roman"/>
          <w:iCs/>
          <w:szCs w:val="24"/>
        </w:rPr>
        <w:footnoteReference w:id="6"/>
      </w:r>
      <w:r w:rsidR="004F28F4">
        <w:rPr>
          <w:rFonts w:cs="Times New Roman"/>
          <w:iCs/>
          <w:szCs w:val="24"/>
        </w:rPr>
        <w:t xml:space="preserve"> </w:t>
      </w:r>
      <w:r w:rsidR="004F28F4">
        <w:rPr>
          <w:rFonts w:cs="Times New Roman"/>
          <w:szCs w:val="24"/>
        </w:rPr>
        <w:t xml:space="preserve">The Settlement saves residential consumers </w:t>
      </w:r>
      <w:r>
        <w:rPr>
          <w:rFonts w:cs="Times New Roman"/>
          <w:szCs w:val="24"/>
        </w:rPr>
        <w:t>an additional</w:t>
      </w:r>
      <w:r w:rsidR="004F28F4">
        <w:rPr>
          <w:rFonts w:cs="Times New Roman"/>
          <w:szCs w:val="24"/>
        </w:rPr>
        <w:t xml:space="preserve"> $120 million in </w:t>
      </w:r>
      <w:r w:rsidR="00BB3834">
        <w:rPr>
          <w:rFonts w:cs="Times New Roman"/>
          <w:szCs w:val="24"/>
        </w:rPr>
        <w:t xml:space="preserve">charges for </w:t>
      </w:r>
      <w:r w:rsidR="004F28F4">
        <w:rPr>
          <w:rFonts w:cs="Times New Roman"/>
          <w:szCs w:val="24"/>
        </w:rPr>
        <w:t>utility program costs and shared savings</w:t>
      </w:r>
      <w:r w:rsidR="008F030E">
        <w:rPr>
          <w:rFonts w:cs="Times New Roman"/>
          <w:szCs w:val="24"/>
        </w:rPr>
        <w:t xml:space="preserve"> (Columbia profits)</w:t>
      </w:r>
      <w:r w:rsidR="004F28F4">
        <w:rPr>
          <w:rFonts w:cs="Times New Roman"/>
          <w:szCs w:val="24"/>
        </w:rPr>
        <w:t xml:space="preserve"> by removing Columbia’s demand side management (“DSM”) program for non-low-income consumers.</w:t>
      </w:r>
      <w:r>
        <w:rPr>
          <w:rStyle w:val="FootnoteReference"/>
          <w:rFonts w:cs="Times New Roman"/>
          <w:szCs w:val="24"/>
        </w:rPr>
        <w:footnoteReference w:id="7"/>
      </w:r>
      <w:r w:rsidR="004F28F4">
        <w:rPr>
          <w:rFonts w:cs="Times New Roman"/>
          <w:szCs w:val="24"/>
        </w:rPr>
        <w:t xml:space="preserve"> </w:t>
      </w:r>
      <w:r w:rsidR="00106C9A">
        <w:rPr>
          <w:rFonts w:cs="Times New Roman"/>
          <w:szCs w:val="24"/>
        </w:rPr>
        <w:t>These savings reduce</w:t>
      </w:r>
      <w:r>
        <w:rPr>
          <w:rFonts w:cs="Times New Roman"/>
          <w:szCs w:val="24"/>
        </w:rPr>
        <w:t xml:space="preserve"> monthly fixed charges all consumers pay for gas utility service. Environmental Groups’ </w:t>
      </w:r>
      <w:r w:rsidR="00106C9A">
        <w:rPr>
          <w:rFonts w:cs="Times New Roman"/>
          <w:szCs w:val="24"/>
        </w:rPr>
        <w:t>arguments</w:t>
      </w:r>
      <w:r>
        <w:rPr>
          <w:rFonts w:cs="Times New Roman"/>
          <w:szCs w:val="24"/>
        </w:rPr>
        <w:t xml:space="preserve"> that the Settlement does not bene</w:t>
      </w:r>
      <w:r w:rsidR="00227608">
        <w:rPr>
          <w:rFonts w:cs="Times New Roman"/>
          <w:szCs w:val="24"/>
        </w:rPr>
        <w:t>fit consumers and the public interest have no merit.</w:t>
      </w:r>
    </w:p>
    <w:p w:rsidR="00F111E0" w:rsidP="007E724B" w14:paraId="22431528" w14:textId="4D71381B">
      <w:pPr>
        <w:spacing w:after="0" w:line="480" w:lineRule="auto"/>
        <w:ind w:firstLine="720"/>
        <w:rPr>
          <w:rFonts w:cs="Times New Roman"/>
          <w:szCs w:val="24"/>
        </w:rPr>
      </w:pPr>
      <w:r>
        <w:rPr>
          <w:rFonts w:cs="Times New Roman"/>
          <w:szCs w:val="24"/>
        </w:rPr>
        <w:t xml:space="preserve">The </w:t>
      </w:r>
      <w:r w:rsidR="00106C9A">
        <w:rPr>
          <w:rFonts w:cs="Times New Roman"/>
          <w:szCs w:val="24"/>
        </w:rPr>
        <w:t xml:space="preserve">Order </w:t>
      </w:r>
      <w:r>
        <w:rPr>
          <w:rFonts w:cs="Times New Roman"/>
          <w:szCs w:val="24"/>
        </w:rPr>
        <w:t>fully explain</w:t>
      </w:r>
      <w:r w:rsidR="00106C9A">
        <w:rPr>
          <w:rFonts w:cs="Times New Roman"/>
          <w:szCs w:val="24"/>
        </w:rPr>
        <w:t>s</w:t>
      </w:r>
      <w:r>
        <w:rPr>
          <w:rFonts w:cs="Times New Roman"/>
          <w:szCs w:val="24"/>
        </w:rPr>
        <w:t xml:space="preserve"> the basis for </w:t>
      </w:r>
      <w:r w:rsidR="00106C9A">
        <w:rPr>
          <w:rFonts w:cs="Times New Roman"/>
          <w:szCs w:val="24"/>
        </w:rPr>
        <w:t>the PUCO’s</w:t>
      </w:r>
      <w:r>
        <w:rPr>
          <w:rFonts w:cs="Times New Roman"/>
          <w:szCs w:val="24"/>
        </w:rPr>
        <w:t xml:space="preserve"> </w:t>
      </w:r>
      <w:r w:rsidR="004F28F4">
        <w:rPr>
          <w:rFonts w:cs="Times New Roman"/>
          <w:szCs w:val="24"/>
        </w:rPr>
        <w:t>decision to approve the Settlement</w:t>
      </w:r>
      <w:r>
        <w:rPr>
          <w:rFonts w:cs="Times New Roman"/>
          <w:szCs w:val="24"/>
        </w:rPr>
        <w:t xml:space="preserve"> and </w:t>
      </w:r>
      <w:r w:rsidR="007E724B">
        <w:rPr>
          <w:rFonts w:cs="Times New Roman"/>
          <w:szCs w:val="24"/>
        </w:rPr>
        <w:t>detail</w:t>
      </w:r>
      <w:r w:rsidR="00106C9A">
        <w:rPr>
          <w:rFonts w:cs="Times New Roman"/>
          <w:szCs w:val="24"/>
        </w:rPr>
        <w:t>s</w:t>
      </w:r>
      <w:r w:rsidR="007E724B">
        <w:rPr>
          <w:rFonts w:cs="Times New Roman"/>
          <w:szCs w:val="24"/>
        </w:rPr>
        <w:t xml:space="preserve"> the</w:t>
      </w:r>
      <w:r>
        <w:rPr>
          <w:rFonts w:cs="Times New Roman"/>
          <w:szCs w:val="24"/>
        </w:rPr>
        <w:t xml:space="preserve"> supporting record evidence. The PUCO</w:t>
      </w:r>
      <w:r w:rsidR="009C2B03">
        <w:rPr>
          <w:rFonts w:cs="Times New Roman"/>
          <w:szCs w:val="24"/>
        </w:rPr>
        <w:t xml:space="preserve"> e</w:t>
      </w:r>
      <w:r>
        <w:rPr>
          <w:rFonts w:cs="Times New Roman"/>
          <w:szCs w:val="24"/>
        </w:rPr>
        <w:t>xplained</w:t>
      </w:r>
      <w:r w:rsidR="003E03E3">
        <w:rPr>
          <w:rFonts w:cs="Times New Roman"/>
          <w:szCs w:val="24"/>
        </w:rPr>
        <w:t xml:space="preserve"> in the Order</w:t>
      </w:r>
      <w:r>
        <w:rPr>
          <w:rFonts w:cs="Times New Roman"/>
          <w:szCs w:val="24"/>
        </w:rPr>
        <w:t xml:space="preserve"> how its decisions are consistent with Ohio law, prior PUCO precedent, and regulatory principles. The </w:t>
      </w:r>
      <w:r w:rsidR="00E60A84">
        <w:rPr>
          <w:rFonts w:cs="Times New Roman"/>
          <w:szCs w:val="24"/>
        </w:rPr>
        <w:t>Environmental Groups’ attempt</w:t>
      </w:r>
      <w:r w:rsidR="0097341F">
        <w:rPr>
          <w:rFonts w:cs="Times New Roman"/>
          <w:szCs w:val="24"/>
        </w:rPr>
        <w:t>s</w:t>
      </w:r>
      <w:r w:rsidR="00E60A84">
        <w:rPr>
          <w:rFonts w:cs="Times New Roman"/>
          <w:szCs w:val="24"/>
        </w:rPr>
        <w:t xml:space="preserve"> to upen</w:t>
      </w:r>
      <w:r w:rsidR="003E03E3">
        <w:rPr>
          <w:rFonts w:cs="Times New Roman"/>
          <w:szCs w:val="24"/>
        </w:rPr>
        <w:t>d</w:t>
      </w:r>
      <w:r w:rsidR="00E60A84">
        <w:rPr>
          <w:rFonts w:cs="Times New Roman"/>
          <w:szCs w:val="24"/>
        </w:rPr>
        <w:t xml:space="preserve"> the Settlement by seeking rehearing of the Order </w:t>
      </w:r>
      <w:r w:rsidR="0097341F">
        <w:rPr>
          <w:rFonts w:cs="Times New Roman"/>
          <w:szCs w:val="24"/>
        </w:rPr>
        <w:t>are</w:t>
      </w:r>
      <w:r w:rsidR="007E724B">
        <w:rPr>
          <w:rFonts w:cs="Times New Roman"/>
          <w:szCs w:val="24"/>
        </w:rPr>
        <w:t xml:space="preserve"> baseless and should be rejected</w:t>
      </w:r>
      <w:r w:rsidR="00E60A84">
        <w:rPr>
          <w:rFonts w:cs="Times New Roman"/>
          <w:szCs w:val="24"/>
        </w:rPr>
        <w:t>.</w:t>
      </w:r>
      <w:r w:rsidR="00412F5E">
        <w:rPr>
          <w:rFonts w:cs="Times New Roman"/>
          <w:szCs w:val="24"/>
        </w:rPr>
        <w:t xml:space="preserve"> </w:t>
      </w:r>
    </w:p>
    <w:p w:rsidR="00F111E0" w14:paraId="4B294CBF" w14:textId="77777777">
      <w:pPr>
        <w:rPr>
          <w:rFonts w:cs="Times New Roman"/>
          <w:szCs w:val="24"/>
        </w:rPr>
      </w:pPr>
      <w:r>
        <w:rPr>
          <w:rFonts w:cs="Times New Roman"/>
          <w:szCs w:val="24"/>
        </w:rPr>
        <w:br w:type="page"/>
      </w:r>
    </w:p>
    <w:p w:rsidR="0040433D" w:rsidP="00023B7F" w14:paraId="41019308" w14:textId="7837D97C">
      <w:pPr>
        <w:pStyle w:val="Heading1"/>
      </w:pPr>
      <w:bookmarkStart w:id="2" w:name="_Toc129271370"/>
      <w:r>
        <w:t>RECOMMENDATIONS</w:t>
      </w:r>
      <w:bookmarkEnd w:id="2"/>
    </w:p>
    <w:p w:rsidR="0097341F" w:rsidP="00F111E0" w14:paraId="34065C86" w14:textId="22660C2F">
      <w:pPr>
        <w:pStyle w:val="Heading2"/>
      </w:pPr>
      <w:bookmarkStart w:id="3" w:name="_Toc129271371"/>
      <w:r w:rsidRPr="00975C93">
        <w:t>The PUCO’s d</w:t>
      </w:r>
      <w:r w:rsidRPr="00975C93" w:rsidR="00975C93">
        <w:t xml:space="preserve">ecision to </w:t>
      </w:r>
      <w:r w:rsidRPr="00975C93">
        <w:t>appro</w:t>
      </w:r>
      <w:r w:rsidRPr="00975C93" w:rsidR="00975C93">
        <w:t>ve</w:t>
      </w:r>
      <w:r w:rsidRPr="00975C93">
        <w:t xml:space="preserve"> the Settlement is</w:t>
      </w:r>
      <w:r w:rsidRPr="00975C93" w:rsidR="00975C93">
        <w:t xml:space="preserve"> fully explained in the Order,</w:t>
      </w:r>
      <w:r w:rsidRPr="00975C93">
        <w:t xml:space="preserve"> grounded in the evidentiary record</w:t>
      </w:r>
      <w:r w:rsidRPr="00975C93" w:rsidR="00975C93">
        <w:t>,</w:t>
      </w:r>
      <w:r w:rsidRPr="00975C93">
        <w:t xml:space="preserve"> and consistent with prior PUCO precedent</w:t>
      </w:r>
      <w:r w:rsidRPr="00975C93" w:rsidR="00975C93">
        <w:t xml:space="preserve">. </w:t>
      </w:r>
      <w:r w:rsidRPr="00975C93" w:rsidR="009C2B03">
        <w:t>The PUCO should reject the Environmental Groups’ claims that the Order violates R.C. 4903.09.</w:t>
      </w:r>
      <w:bookmarkEnd w:id="3"/>
    </w:p>
    <w:p w:rsidR="00F46ECA" w:rsidP="00F46ECA" w14:paraId="73AF8DC4" w14:textId="599949E0">
      <w:pPr>
        <w:spacing w:after="0" w:line="480" w:lineRule="auto"/>
        <w:ind w:firstLine="720"/>
        <w:rPr>
          <w:rFonts w:cs="Times New Roman"/>
          <w:szCs w:val="24"/>
        </w:rPr>
      </w:pPr>
      <w:r>
        <w:rPr>
          <w:rFonts w:cs="Times New Roman"/>
          <w:szCs w:val="24"/>
        </w:rPr>
        <w:t xml:space="preserve">The Environmental Groups </w:t>
      </w:r>
      <w:r w:rsidR="0097341F">
        <w:rPr>
          <w:rFonts w:cs="Times New Roman"/>
          <w:szCs w:val="24"/>
        </w:rPr>
        <w:t xml:space="preserve">seek rehearing of the Order </w:t>
      </w:r>
      <w:r>
        <w:rPr>
          <w:rFonts w:cs="Times New Roman"/>
          <w:szCs w:val="24"/>
        </w:rPr>
        <w:t>because the</w:t>
      </w:r>
      <w:r w:rsidR="00BB3834">
        <w:rPr>
          <w:rFonts w:cs="Times New Roman"/>
          <w:szCs w:val="24"/>
        </w:rPr>
        <w:t>y want the</w:t>
      </w:r>
      <w:r>
        <w:rPr>
          <w:rFonts w:cs="Times New Roman"/>
          <w:szCs w:val="24"/>
        </w:rPr>
        <w:t xml:space="preserve"> PUCO </w:t>
      </w:r>
      <w:r w:rsidR="00BB3834">
        <w:rPr>
          <w:rFonts w:cs="Times New Roman"/>
          <w:szCs w:val="24"/>
        </w:rPr>
        <w:t>to</w:t>
      </w:r>
      <w:r>
        <w:rPr>
          <w:rFonts w:cs="Times New Roman"/>
          <w:szCs w:val="24"/>
        </w:rPr>
        <w:t xml:space="preserve"> require Columbia to charge consumers for expensive energy efficiency and demand side management (“DSM”) programs</w:t>
      </w:r>
      <w:r w:rsidR="0097341F">
        <w:rPr>
          <w:rFonts w:cs="Times New Roman"/>
          <w:szCs w:val="24"/>
        </w:rPr>
        <w:t xml:space="preserve"> for non-low-income consumers</w:t>
      </w:r>
      <w:r>
        <w:rPr>
          <w:rFonts w:cs="Times New Roman"/>
          <w:szCs w:val="24"/>
        </w:rPr>
        <w:t>.</w:t>
      </w:r>
      <w:r>
        <w:rPr>
          <w:rStyle w:val="FootnoteReference"/>
          <w:rFonts w:cs="Times New Roman"/>
          <w:szCs w:val="24"/>
        </w:rPr>
        <w:footnoteReference w:id="8"/>
      </w:r>
      <w:r>
        <w:rPr>
          <w:rFonts w:cs="Times New Roman"/>
          <w:szCs w:val="24"/>
        </w:rPr>
        <w:t xml:space="preserve"> </w:t>
      </w:r>
      <w:r w:rsidR="005D69D1">
        <w:rPr>
          <w:rFonts w:cs="Times New Roman"/>
          <w:szCs w:val="24"/>
        </w:rPr>
        <w:t>T</w:t>
      </w:r>
      <w:r w:rsidR="00D63C80">
        <w:rPr>
          <w:rFonts w:cs="Times New Roman"/>
          <w:szCs w:val="24"/>
        </w:rPr>
        <w:t xml:space="preserve">he </w:t>
      </w:r>
      <w:r w:rsidR="009C2B03">
        <w:rPr>
          <w:rFonts w:cs="Times New Roman"/>
          <w:szCs w:val="24"/>
        </w:rPr>
        <w:t>Environmenta</w:t>
      </w:r>
      <w:r w:rsidR="00014307">
        <w:rPr>
          <w:rFonts w:cs="Times New Roman"/>
          <w:szCs w:val="24"/>
        </w:rPr>
        <w:t>l Groups</w:t>
      </w:r>
      <w:r w:rsidR="005D69D1">
        <w:rPr>
          <w:rFonts w:cs="Times New Roman"/>
          <w:szCs w:val="24"/>
        </w:rPr>
        <w:t xml:space="preserve"> assert that</w:t>
      </w:r>
      <w:r w:rsidR="00082A2E">
        <w:rPr>
          <w:rFonts w:cs="Times New Roman"/>
          <w:szCs w:val="24"/>
        </w:rPr>
        <w:t xml:space="preserve"> the PUCO’s</w:t>
      </w:r>
      <w:r w:rsidR="004A01E2">
        <w:rPr>
          <w:rFonts w:cs="Times New Roman"/>
          <w:szCs w:val="24"/>
        </w:rPr>
        <w:t xml:space="preserve"> Order is unsupported by</w:t>
      </w:r>
      <w:r w:rsidR="00014307">
        <w:rPr>
          <w:rFonts w:cs="Times New Roman"/>
          <w:szCs w:val="24"/>
        </w:rPr>
        <w:t xml:space="preserve"> record evidence,</w:t>
      </w:r>
      <w:r w:rsidR="00082A2E">
        <w:rPr>
          <w:rFonts w:cs="Times New Roman"/>
          <w:szCs w:val="24"/>
        </w:rPr>
        <w:t xml:space="preserve"> in violation of R.C. 4903.09.</w:t>
      </w:r>
      <w:r>
        <w:rPr>
          <w:rStyle w:val="FootnoteReference"/>
          <w:rFonts w:cs="Times New Roman"/>
          <w:szCs w:val="24"/>
        </w:rPr>
        <w:footnoteReference w:id="9"/>
      </w:r>
      <w:r w:rsidR="00082A2E">
        <w:rPr>
          <w:rFonts w:cs="Times New Roman"/>
          <w:szCs w:val="24"/>
        </w:rPr>
        <w:t xml:space="preserve"> </w:t>
      </w:r>
      <w:r>
        <w:rPr>
          <w:rFonts w:cs="Times New Roman"/>
          <w:szCs w:val="24"/>
        </w:rPr>
        <w:t>Those arguments should be rejected.</w:t>
      </w:r>
      <w:r w:rsidR="00BE17C6">
        <w:rPr>
          <w:rFonts w:cs="Times New Roman"/>
          <w:szCs w:val="24"/>
        </w:rPr>
        <w:t xml:space="preserve"> </w:t>
      </w:r>
    </w:p>
    <w:p w:rsidR="00D63C80" w:rsidP="00F46ECA" w14:paraId="0F12784C" w14:textId="6EA4F5FF">
      <w:pPr>
        <w:spacing w:after="0" w:line="480" w:lineRule="auto"/>
        <w:ind w:firstLine="720"/>
        <w:rPr>
          <w:rFonts w:cs="Times New Roman"/>
          <w:szCs w:val="24"/>
        </w:rPr>
      </w:pPr>
      <w:r>
        <w:rPr>
          <w:rFonts w:cs="Times New Roman"/>
          <w:szCs w:val="24"/>
        </w:rPr>
        <w:t xml:space="preserve">R.C. 4903.09 </w:t>
      </w:r>
      <w:r w:rsidR="00D9431F">
        <w:rPr>
          <w:rFonts w:cs="Times New Roman"/>
          <w:szCs w:val="24"/>
        </w:rPr>
        <w:t xml:space="preserve">states: </w:t>
      </w:r>
    </w:p>
    <w:p w:rsidR="00D9431F" w:rsidP="009A6B6B" w14:paraId="552DC4E8" w14:textId="64580142">
      <w:pPr>
        <w:spacing w:after="0" w:line="240" w:lineRule="auto"/>
        <w:ind w:left="720" w:right="720"/>
        <w:rPr>
          <w:rFonts w:eastAsia="Times New Roman" w:cs="Times New Roman"/>
          <w:szCs w:val="24"/>
        </w:rPr>
      </w:pPr>
      <w:r w:rsidRPr="00D9431F">
        <w:rPr>
          <w:rFonts w:eastAsia="Times New Roman" w:cs="Times New Roman"/>
          <w:szCs w:val="24"/>
        </w:rPr>
        <w:t>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r>
        <w:rPr>
          <w:rStyle w:val="FootnoteReference"/>
          <w:rFonts w:eastAsia="Times New Roman" w:cs="Times New Roman"/>
          <w:szCs w:val="24"/>
        </w:rPr>
        <w:footnoteReference w:id="10"/>
      </w:r>
    </w:p>
    <w:p w:rsidR="005F7662" w:rsidP="005F7662" w14:paraId="1F352B9A" w14:textId="55D678A1">
      <w:pPr>
        <w:spacing w:after="0" w:line="240" w:lineRule="auto"/>
        <w:ind w:right="720"/>
        <w:rPr>
          <w:rFonts w:eastAsia="Times New Roman" w:cs="Times New Roman"/>
          <w:szCs w:val="24"/>
        </w:rPr>
      </w:pPr>
    </w:p>
    <w:p w:rsidR="00F111E0" w:rsidP="00106C9A" w14:paraId="5807FF58" w14:textId="45215115">
      <w:pPr>
        <w:spacing w:after="0" w:line="480" w:lineRule="auto"/>
        <w:ind w:firstLine="720"/>
        <w:rPr>
          <w:rFonts w:cs="Times New Roman"/>
          <w:szCs w:val="24"/>
        </w:rPr>
      </w:pPr>
      <w:r>
        <w:rPr>
          <w:rFonts w:eastAsia="Times New Roman" w:cs="Times New Roman"/>
          <w:szCs w:val="24"/>
        </w:rPr>
        <w:t>T</w:t>
      </w:r>
      <w:r w:rsidR="005F7662">
        <w:rPr>
          <w:rFonts w:eastAsia="Times New Roman" w:cs="Times New Roman"/>
          <w:szCs w:val="24"/>
        </w:rPr>
        <w:t xml:space="preserve">he Ohio Supreme Court has </w:t>
      </w:r>
      <w:r w:rsidRPr="005F7662" w:rsidR="005F7662">
        <w:rPr>
          <w:rFonts w:cs="Times New Roman"/>
          <w:szCs w:val="24"/>
        </w:rPr>
        <w:t>explained</w:t>
      </w:r>
      <w:r>
        <w:rPr>
          <w:rFonts w:eastAsia="Times New Roman" w:cs="Times New Roman"/>
          <w:szCs w:val="24"/>
        </w:rPr>
        <w:t xml:space="preserve"> that</w:t>
      </w:r>
      <w:r w:rsidR="005F7662">
        <w:rPr>
          <w:rFonts w:eastAsia="Times New Roman" w:cs="Times New Roman"/>
          <w:szCs w:val="24"/>
        </w:rPr>
        <w:t xml:space="preserve"> R.C. 4903.09 </w:t>
      </w:r>
      <w:r w:rsidR="005F7662">
        <w:rPr>
          <w:rFonts w:cs="Times New Roman"/>
          <w:szCs w:val="24"/>
        </w:rPr>
        <w:t>“requires [the PUCO] to explain the reasoning and factual grounds for its decision”</w:t>
      </w:r>
      <w:r w:rsidR="0086296D">
        <w:rPr>
          <w:rFonts w:cs="Times New Roman"/>
          <w:szCs w:val="24"/>
        </w:rPr>
        <w:t xml:space="preserve"> so that the reviewing court has “enough information to know how the [PUCO] reached its result.”</w:t>
      </w:r>
      <w:r>
        <w:rPr>
          <w:rStyle w:val="FootnoteReference"/>
          <w:rFonts w:cs="Times New Roman"/>
          <w:szCs w:val="24"/>
        </w:rPr>
        <w:footnoteReference w:id="11"/>
      </w:r>
      <w:r w:rsidR="005F7662">
        <w:rPr>
          <w:rFonts w:cs="Times New Roman"/>
          <w:szCs w:val="24"/>
        </w:rPr>
        <w:t xml:space="preserve"> </w:t>
      </w:r>
      <w:r w:rsidR="005D69D1">
        <w:rPr>
          <w:rFonts w:eastAsia="Times New Roman" w:cs="Times New Roman"/>
          <w:szCs w:val="24"/>
        </w:rPr>
        <w:t>The PUCO’s Order</w:t>
      </w:r>
      <w:r w:rsidR="00CF53F9">
        <w:rPr>
          <w:rFonts w:eastAsia="Times New Roman" w:cs="Times New Roman"/>
          <w:szCs w:val="24"/>
        </w:rPr>
        <w:t xml:space="preserve"> satisfies th</w:t>
      </w:r>
      <w:r w:rsidR="00106C9A">
        <w:rPr>
          <w:rFonts w:eastAsia="Times New Roman" w:cs="Times New Roman"/>
          <w:szCs w:val="24"/>
        </w:rPr>
        <w:t>is</w:t>
      </w:r>
      <w:r w:rsidR="00CF53F9">
        <w:rPr>
          <w:rFonts w:eastAsia="Times New Roman" w:cs="Times New Roman"/>
          <w:szCs w:val="24"/>
        </w:rPr>
        <w:t xml:space="preserve"> requirement</w:t>
      </w:r>
      <w:r w:rsidR="005D69D1">
        <w:rPr>
          <w:rFonts w:eastAsia="Times New Roman" w:cs="Times New Roman"/>
          <w:szCs w:val="24"/>
        </w:rPr>
        <w:t xml:space="preserve">. </w:t>
      </w:r>
      <w:r w:rsidR="00CF53F9">
        <w:rPr>
          <w:rFonts w:cs="Times New Roman"/>
          <w:szCs w:val="24"/>
        </w:rPr>
        <w:t xml:space="preserve">Environmental Groups </w:t>
      </w:r>
      <w:r w:rsidR="00106C9A">
        <w:rPr>
          <w:rFonts w:cs="Times New Roman"/>
          <w:szCs w:val="24"/>
        </w:rPr>
        <w:t>clearly</w:t>
      </w:r>
      <w:r w:rsidR="004A01E2">
        <w:rPr>
          <w:rFonts w:cs="Times New Roman"/>
          <w:szCs w:val="24"/>
        </w:rPr>
        <w:t xml:space="preserve"> </w:t>
      </w:r>
      <w:r w:rsidR="00CF53F9">
        <w:rPr>
          <w:rFonts w:cs="Times New Roman"/>
          <w:szCs w:val="24"/>
        </w:rPr>
        <w:t xml:space="preserve">disagree with the PUCO’s approval of the Settlement, </w:t>
      </w:r>
      <w:r w:rsidR="00106C9A">
        <w:rPr>
          <w:rFonts w:cs="Times New Roman"/>
          <w:szCs w:val="24"/>
        </w:rPr>
        <w:t xml:space="preserve">but </w:t>
      </w:r>
      <w:r w:rsidR="00CF53F9">
        <w:rPr>
          <w:rFonts w:cs="Times New Roman"/>
          <w:szCs w:val="24"/>
        </w:rPr>
        <w:t>that does not mean the Order</w:t>
      </w:r>
      <w:r w:rsidR="00106C9A">
        <w:rPr>
          <w:rFonts w:cs="Times New Roman"/>
          <w:szCs w:val="24"/>
        </w:rPr>
        <w:t xml:space="preserve"> is unlawful under</w:t>
      </w:r>
      <w:r w:rsidR="00CF53F9">
        <w:rPr>
          <w:rFonts w:cs="Times New Roman"/>
          <w:szCs w:val="24"/>
        </w:rPr>
        <w:t xml:space="preserve"> R.C. 4903.09.</w:t>
      </w:r>
    </w:p>
    <w:p w:rsidR="00F111E0" w14:paraId="2A3077DC" w14:textId="77777777">
      <w:pPr>
        <w:rPr>
          <w:rFonts w:cs="Times New Roman"/>
          <w:szCs w:val="24"/>
        </w:rPr>
      </w:pPr>
      <w:r>
        <w:rPr>
          <w:rFonts w:cs="Times New Roman"/>
          <w:szCs w:val="24"/>
        </w:rPr>
        <w:br w:type="page"/>
      </w:r>
    </w:p>
    <w:p w:rsidR="002D0D79" w:rsidP="00F111E0" w14:paraId="583AAA03" w14:textId="174C7553">
      <w:pPr>
        <w:pStyle w:val="ListParagraph"/>
        <w:numPr>
          <w:ilvl w:val="0"/>
          <w:numId w:val="34"/>
        </w:numPr>
        <w:spacing w:after="0" w:line="240" w:lineRule="auto"/>
        <w:ind w:left="2160" w:hanging="720"/>
        <w:rPr>
          <w:rFonts w:ascii="Times New Roman" w:hAnsi="Times New Roman" w:cs="Times New Roman"/>
          <w:b/>
          <w:bCs/>
          <w:sz w:val="24"/>
          <w:szCs w:val="24"/>
        </w:rPr>
      </w:pPr>
      <w:bookmarkStart w:id="4" w:name="_Toc129271372"/>
      <w:r w:rsidRPr="00F111E0">
        <w:rPr>
          <w:rStyle w:val="Heading3Char"/>
        </w:rPr>
        <w:t xml:space="preserve">The PUCO’s </w:t>
      </w:r>
      <w:r w:rsidRPr="00F111E0" w:rsidR="004A01E2">
        <w:rPr>
          <w:rStyle w:val="Heading3Char"/>
        </w:rPr>
        <w:t>findings</w:t>
      </w:r>
      <w:r w:rsidRPr="00F111E0">
        <w:rPr>
          <w:rStyle w:val="Heading3Char"/>
        </w:rPr>
        <w:t xml:space="preserve"> that the Settlement benefits consumers and the public interest </w:t>
      </w:r>
      <w:r w:rsidRPr="00F111E0" w:rsidR="004A01E2">
        <w:rPr>
          <w:rStyle w:val="Heading3Char"/>
        </w:rPr>
        <w:t>are</w:t>
      </w:r>
      <w:r w:rsidRPr="00F111E0">
        <w:rPr>
          <w:rStyle w:val="Heading3Char"/>
        </w:rPr>
        <w:t xml:space="preserve"> supported by the evidentiary record</w:t>
      </w:r>
      <w:bookmarkEnd w:id="4"/>
      <w:r w:rsidRPr="002D0D79">
        <w:rPr>
          <w:rFonts w:ascii="Times New Roman" w:hAnsi="Times New Roman" w:cs="Times New Roman"/>
          <w:b/>
          <w:bCs/>
          <w:sz w:val="24"/>
          <w:szCs w:val="24"/>
        </w:rPr>
        <w:t>.</w:t>
      </w:r>
    </w:p>
    <w:p w:rsidR="002D0D79" w:rsidRPr="002D0D79" w:rsidP="002D0D79" w14:paraId="2EA387F0" w14:textId="77777777">
      <w:pPr>
        <w:pStyle w:val="ListParagraph"/>
        <w:spacing w:after="0" w:line="240" w:lineRule="auto"/>
        <w:ind w:left="1080"/>
        <w:rPr>
          <w:rFonts w:ascii="Times New Roman" w:hAnsi="Times New Roman" w:cs="Times New Roman"/>
          <w:b/>
          <w:bCs/>
          <w:sz w:val="24"/>
          <w:szCs w:val="24"/>
        </w:rPr>
      </w:pPr>
    </w:p>
    <w:p w:rsidR="00CF53F9" w:rsidP="006156F2" w14:paraId="47A10A49" w14:textId="1221D008">
      <w:pPr>
        <w:spacing w:after="0" w:line="480" w:lineRule="auto"/>
        <w:ind w:firstLine="720"/>
        <w:rPr>
          <w:rFonts w:cs="Times New Roman"/>
          <w:szCs w:val="24"/>
        </w:rPr>
      </w:pPr>
      <w:r>
        <w:rPr>
          <w:rFonts w:cs="Times New Roman"/>
          <w:szCs w:val="24"/>
        </w:rPr>
        <w:t>CUB Ohio</w:t>
      </w:r>
      <w:r w:rsidR="007E49E8">
        <w:rPr>
          <w:rFonts w:cs="Times New Roman"/>
          <w:szCs w:val="24"/>
        </w:rPr>
        <w:t xml:space="preserve"> argues in</w:t>
      </w:r>
      <w:r w:rsidR="00070591">
        <w:rPr>
          <w:rFonts w:cs="Times New Roman"/>
          <w:szCs w:val="24"/>
        </w:rPr>
        <w:t xml:space="preserve"> As</w:t>
      </w:r>
      <w:r>
        <w:rPr>
          <w:rFonts w:cs="Times New Roman"/>
          <w:szCs w:val="24"/>
        </w:rPr>
        <w:t>signment of Error No. 1</w:t>
      </w:r>
      <w:r w:rsidR="00E21EE9">
        <w:rPr>
          <w:rFonts w:cs="Times New Roman"/>
          <w:szCs w:val="24"/>
        </w:rPr>
        <w:t xml:space="preserve"> that “[t]he Order approving the Stipulation is unreasonable and unlawful because it fails to </w:t>
      </w:r>
      <w:r w:rsidR="00DC1E79">
        <w:rPr>
          <w:rFonts w:cs="Times New Roman"/>
          <w:szCs w:val="24"/>
        </w:rPr>
        <w:t>benefit neither [sic] ratepayers nor [sic] the public interest</w:t>
      </w:r>
      <w:r w:rsidR="005D16A6">
        <w:rPr>
          <w:rFonts w:cs="Times New Roman"/>
          <w:szCs w:val="24"/>
        </w:rPr>
        <w:t>.</w:t>
      </w:r>
      <w:r w:rsidR="00DC1E79">
        <w:rPr>
          <w:rFonts w:cs="Times New Roman"/>
          <w:szCs w:val="24"/>
        </w:rPr>
        <w:t>”</w:t>
      </w:r>
      <w:r>
        <w:rPr>
          <w:rStyle w:val="FootnoteReference"/>
          <w:rFonts w:cs="Times New Roman"/>
          <w:szCs w:val="24"/>
        </w:rPr>
        <w:footnoteReference w:id="12"/>
      </w:r>
      <w:r w:rsidR="005D16A6">
        <w:rPr>
          <w:rFonts w:cs="Times New Roman"/>
          <w:szCs w:val="24"/>
        </w:rPr>
        <w:t xml:space="preserve"> </w:t>
      </w:r>
      <w:r w:rsidR="00D304A7">
        <w:rPr>
          <w:rFonts w:cs="Times New Roman"/>
          <w:szCs w:val="24"/>
        </w:rPr>
        <w:t>CUB Ohio</w:t>
      </w:r>
      <w:r w:rsidR="006561DE">
        <w:rPr>
          <w:rFonts w:cs="Times New Roman"/>
          <w:szCs w:val="24"/>
        </w:rPr>
        <w:t xml:space="preserve"> </w:t>
      </w:r>
      <w:r w:rsidR="007E49E8">
        <w:rPr>
          <w:rFonts w:cs="Times New Roman"/>
          <w:szCs w:val="24"/>
        </w:rPr>
        <w:t>disagrees with the PUCO’s conclusion</w:t>
      </w:r>
      <w:r w:rsidR="006561DE">
        <w:rPr>
          <w:rFonts w:cs="Times New Roman"/>
          <w:szCs w:val="24"/>
        </w:rPr>
        <w:t xml:space="preserve"> that </w:t>
      </w:r>
      <w:r w:rsidR="005D16A6">
        <w:rPr>
          <w:rFonts w:cs="Times New Roman"/>
          <w:szCs w:val="24"/>
        </w:rPr>
        <w:t>the Settlement</w:t>
      </w:r>
      <w:r w:rsidR="006561DE">
        <w:rPr>
          <w:rFonts w:cs="Times New Roman"/>
          <w:szCs w:val="24"/>
        </w:rPr>
        <w:t>’s</w:t>
      </w:r>
      <w:r w:rsidR="005D16A6">
        <w:rPr>
          <w:rFonts w:cs="Times New Roman"/>
          <w:szCs w:val="24"/>
        </w:rPr>
        <w:t xml:space="preserve"> reduction </w:t>
      </w:r>
      <w:r w:rsidR="006A0827">
        <w:rPr>
          <w:rFonts w:cs="Times New Roman"/>
          <w:szCs w:val="24"/>
        </w:rPr>
        <w:t>in</w:t>
      </w:r>
      <w:r w:rsidR="005D16A6">
        <w:rPr>
          <w:rFonts w:cs="Times New Roman"/>
          <w:szCs w:val="24"/>
        </w:rPr>
        <w:t xml:space="preserve"> base rates</w:t>
      </w:r>
      <w:r w:rsidR="006561DE">
        <w:rPr>
          <w:rFonts w:cs="Times New Roman"/>
          <w:szCs w:val="24"/>
        </w:rPr>
        <w:t>, riders, and DSM charges</w:t>
      </w:r>
      <w:r w:rsidR="006A0827">
        <w:rPr>
          <w:rFonts w:cs="Times New Roman"/>
          <w:szCs w:val="24"/>
        </w:rPr>
        <w:t xml:space="preserve"> </w:t>
      </w:r>
      <w:r w:rsidR="006561DE">
        <w:rPr>
          <w:rFonts w:cs="Times New Roman"/>
          <w:szCs w:val="24"/>
        </w:rPr>
        <w:t xml:space="preserve">from what Columbia </w:t>
      </w:r>
      <w:r w:rsidR="00122C47">
        <w:rPr>
          <w:rFonts w:cs="Times New Roman"/>
          <w:szCs w:val="24"/>
        </w:rPr>
        <w:t>sought</w:t>
      </w:r>
      <w:r w:rsidR="006A0827">
        <w:rPr>
          <w:rFonts w:cs="Times New Roman"/>
          <w:szCs w:val="24"/>
        </w:rPr>
        <w:t xml:space="preserve"> in its application</w:t>
      </w:r>
      <w:r w:rsidR="007E49E8">
        <w:rPr>
          <w:rFonts w:cs="Times New Roman"/>
          <w:szCs w:val="24"/>
        </w:rPr>
        <w:t xml:space="preserve"> </w:t>
      </w:r>
      <w:r w:rsidR="006A0827">
        <w:rPr>
          <w:rFonts w:cs="Times New Roman"/>
          <w:szCs w:val="24"/>
        </w:rPr>
        <w:t>benefit</w:t>
      </w:r>
      <w:r w:rsidR="007E49E8">
        <w:rPr>
          <w:rFonts w:cs="Times New Roman"/>
          <w:szCs w:val="24"/>
        </w:rPr>
        <w:t>s</w:t>
      </w:r>
      <w:r w:rsidR="006A0827">
        <w:rPr>
          <w:rFonts w:cs="Times New Roman"/>
          <w:szCs w:val="24"/>
        </w:rPr>
        <w:t xml:space="preserve"> consumers</w:t>
      </w:r>
      <w:r w:rsidR="006561DE">
        <w:rPr>
          <w:rFonts w:cs="Times New Roman"/>
          <w:szCs w:val="24"/>
        </w:rPr>
        <w:t>.</w:t>
      </w:r>
      <w:r>
        <w:rPr>
          <w:rStyle w:val="FootnoteReference"/>
          <w:rFonts w:cs="Times New Roman"/>
          <w:szCs w:val="24"/>
        </w:rPr>
        <w:footnoteReference w:id="13"/>
      </w:r>
      <w:r w:rsidR="00070591">
        <w:rPr>
          <w:rFonts w:cs="Times New Roman"/>
          <w:szCs w:val="24"/>
        </w:rPr>
        <w:t xml:space="preserve"> </w:t>
      </w:r>
      <w:r w:rsidR="002D0D79">
        <w:rPr>
          <w:rFonts w:cs="Times New Roman"/>
          <w:szCs w:val="24"/>
        </w:rPr>
        <w:t xml:space="preserve">However, </w:t>
      </w:r>
      <w:r w:rsidR="007E49E8">
        <w:rPr>
          <w:rFonts w:cs="Times New Roman"/>
          <w:szCs w:val="24"/>
        </w:rPr>
        <w:t>the</w:t>
      </w:r>
      <w:r w:rsidR="006A0827">
        <w:rPr>
          <w:rFonts w:cs="Times New Roman"/>
          <w:szCs w:val="24"/>
        </w:rPr>
        <w:t xml:space="preserve"> PUCO</w:t>
      </w:r>
      <w:r w:rsidR="007E49E8">
        <w:rPr>
          <w:rFonts w:cs="Times New Roman"/>
          <w:szCs w:val="24"/>
        </w:rPr>
        <w:t xml:space="preserve">’s decision is supported by </w:t>
      </w:r>
      <w:r w:rsidR="006A0827">
        <w:rPr>
          <w:rFonts w:cs="Times New Roman"/>
          <w:szCs w:val="24"/>
        </w:rPr>
        <w:t>the testimony of OCC witness Adkins, Columbia witness Thompson, and PUCO Staff witness Lipthratt.</w:t>
      </w:r>
      <w:r>
        <w:rPr>
          <w:rStyle w:val="FootnoteReference"/>
          <w:rFonts w:cs="Times New Roman"/>
          <w:szCs w:val="24"/>
        </w:rPr>
        <w:footnoteReference w:id="14"/>
      </w:r>
      <w:r w:rsidR="006A0827">
        <w:rPr>
          <w:rFonts w:cs="Times New Roman"/>
          <w:szCs w:val="24"/>
        </w:rPr>
        <w:t xml:space="preserve"> </w:t>
      </w:r>
    </w:p>
    <w:p w:rsidR="001B450C" w:rsidP="006156F2" w14:paraId="319E0D54" w14:textId="77777777">
      <w:pPr>
        <w:spacing w:after="0" w:line="480" w:lineRule="auto"/>
        <w:ind w:firstLine="720"/>
        <w:rPr>
          <w:rFonts w:cs="Times New Roman"/>
          <w:szCs w:val="24"/>
        </w:rPr>
      </w:pPr>
      <w:r>
        <w:rPr>
          <w:rFonts w:cs="Times New Roman"/>
          <w:szCs w:val="24"/>
        </w:rPr>
        <w:t>F</w:t>
      </w:r>
      <w:r w:rsidR="00106C9A">
        <w:rPr>
          <w:rFonts w:cs="Times New Roman"/>
          <w:szCs w:val="24"/>
        </w:rPr>
        <w:t xml:space="preserve">or example, </w:t>
      </w:r>
      <w:r w:rsidR="00E749D8">
        <w:rPr>
          <w:rFonts w:cs="Times New Roman"/>
          <w:szCs w:val="24"/>
        </w:rPr>
        <w:t>OCC witness Adkins testified that under the</w:t>
      </w:r>
      <w:r w:rsidR="007E49E8">
        <w:rPr>
          <w:rFonts w:cs="Times New Roman"/>
          <w:szCs w:val="24"/>
        </w:rPr>
        <w:t xml:space="preserve"> Settlement</w:t>
      </w:r>
      <w:r w:rsidR="00E749D8">
        <w:rPr>
          <w:rFonts w:cs="Times New Roman"/>
          <w:szCs w:val="24"/>
        </w:rPr>
        <w:t>, Columbia’s</w:t>
      </w:r>
      <w:r w:rsidR="006561DE">
        <w:rPr>
          <w:rFonts w:cs="Times New Roman"/>
          <w:szCs w:val="24"/>
        </w:rPr>
        <w:t xml:space="preserve"> base distribution revenue increa</w:t>
      </w:r>
      <w:r w:rsidR="00E749D8">
        <w:rPr>
          <w:rFonts w:cs="Times New Roman"/>
          <w:szCs w:val="24"/>
        </w:rPr>
        <w:t xml:space="preserve">se is </w:t>
      </w:r>
      <w:r w:rsidRPr="00CE7679" w:rsidR="006561DE">
        <w:rPr>
          <w:rFonts w:cs="Times New Roman"/>
          <w:szCs w:val="24"/>
        </w:rPr>
        <w:t>$153.2 million</w:t>
      </w:r>
      <w:r w:rsidRPr="00C31F16" w:rsidR="006561DE">
        <w:rPr>
          <w:rFonts w:cs="Times New Roman"/>
          <w:i/>
          <w:iCs/>
          <w:szCs w:val="24"/>
        </w:rPr>
        <w:t xml:space="preserve"> less</w:t>
      </w:r>
      <w:r w:rsidR="006561DE">
        <w:rPr>
          <w:rFonts w:cs="Times New Roman"/>
          <w:szCs w:val="24"/>
        </w:rPr>
        <w:t xml:space="preserve"> than the $221.4 million Columbia initially requested.</w:t>
      </w:r>
      <w:r>
        <w:rPr>
          <w:rStyle w:val="FootnoteReference"/>
          <w:rFonts w:cs="Times New Roman"/>
          <w:szCs w:val="24"/>
        </w:rPr>
        <w:footnoteReference w:id="15"/>
      </w:r>
      <w:r w:rsidR="006561DE">
        <w:rPr>
          <w:rFonts w:cs="Times New Roman"/>
          <w:szCs w:val="24"/>
        </w:rPr>
        <w:t xml:space="preserve"> </w:t>
      </w:r>
      <w:r w:rsidR="00106C9A">
        <w:rPr>
          <w:rFonts w:cs="Times New Roman"/>
          <w:szCs w:val="24"/>
        </w:rPr>
        <w:t>T</w:t>
      </w:r>
      <w:r w:rsidR="00A813ED">
        <w:rPr>
          <w:rFonts w:cs="Times New Roman"/>
          <w:szCs w:val="24"/>
        </w:rPr>
        <w:t>his reduction is effective for each year until Columbia files its next rate case.</w:t>
      </w:r>
      <w:r>
        <w:rPr>
          <w:rStyle w:val="FootnoteReference"/>
          <w:rFonts w:cs="Times New Roman"/>
          <w:szCs w:val="24"/>
        </w:rPr>
        <w:footnoteReference w:id="16"/>
      </w:r>
      <w:r w:rsidR="00A813ED">
        <w:rPr>
          <w:rFonts w:cs="Times New Roman"/>
          <w:szCs w:val="24"/>
        </w:rPr>
        <w:t xml:space="preserve"> Thus, if Columbia’s next rate case is effective in five years, the benefit to consumers will total $766 million.</w:t>
      </w:r>
      <w:r>
        <w:rPr>
          <w:rStyle w:val="FootnoteReference"/>
          <w:rFonts w:cs="Times New Roman"/>
          <w:szCs w:val="24"/>
        </w:rPr>
        <w:footnoteReference w:id="17"/>
      </w:r>
      <w:r w:rsidR="006561DE">
        <w:rPr>
          <w:rFonts w:cs="Times New Roman"/>
          <w:szCs w:val="24"/>
        </w:rPr>
        <w:t xml:space="preserve"> </w:t>
      </w:r>
    </w:p>
    <w:p w:rsidR="006156F2" w:rsidP="006156F2" w14:paraId="67BB984B" w14:textId="14378961">
      <w:pPr>
        <w:spacing w:after="0" w:line="480" w:lineRule="auto"/>
        <w:ind w:firstLine="720"/>
        <w:rPr>
          <w:rFonts w:cs="Times New Roman"/>
          <w:szCs w:val="24"/>
        </w:rPr>
      </w:pPr>
      <w:r>
        <w:rPr>
          <w:rFonts w:cs="Times New Roman"/>
          <w:szCs w:val="24"/>
        </w:rPr>
        <w:t>OCC witness Adkins also described how the Settlement limits what Columbia can charge consumers under the Infrastructure Replacement Program (“IRP”) and Capital Expenditure Program (“CEP”) Riders.</w:t>
      </w:r>
      <w:r>
        <w:rPr>
          <w:rStyle w:val="FootnoteReference"/>
          <w:rFonts w:cs="Times New Roman"/>
          <w:szCs w:val="24"/>
        </w:rPr>
        <w:footnoteReference w:id="18"/>
      </w:r>
      <w:r>
        <w:rPr>
          <w:rFonts w:cs="Times New Roman"/>
          <w:szCs w:val="24"/>
        </w:rPr>
        <w:t xml:space="preserve"> </w:t>
      </w:r>
      <w:r w:rsidR="00D52B03">
        <w:rPr>
          <w:rFonts w:cs="Times New Roman"/>
          <w:szCs w:val="24"/>
        </w:rPr>
        <w:t>Mr. Adkins also testified that Columbia agreed in the Settlement to withdraw its proposed Federally Mandated Investment Rider charge, which could result in $320 million in savings to consumers through 2027.</w:t>
      </w:r>
      <w:r>
        <w:rPr>
          <w:rStyle w:val="FootnoteReference"/>
          <w:rFonts w:cs="Times New Roman"/>
          <w:szCs w:val="24"/>
        </w:rPr>
        <w:footnoteReference w:id="19"/>
      </w:r>
      <w:r w:rsidR="00D52B03">
        <w:rPr>
          <w:rFonts w:cs="Times New Roman"/>
          <w:szCs w:val="24"/>
        </w:rPr>
        <w:t xml:space="preserve"> Environmental Groups ignore the evidence of these benefits</w:t>
      </w:r>
      <w:r w:rsidR="00106C9A">
        <w:rPr>
          <w:rFonts w:cs="Times New Roman"/>
          <w:szCs w:val="24"/>
        </w:rPr>
        <w:t>, which reduce Columbia’s charges to consumers</w:t>
      </w:r>
      <w:r w:rsidR="00D52B03">
        <w:rPr>
          <w:rFonts w:cs="Times New Roman"/>
          <w:szCs w:val="24"/>
        </w:rPr>
        <w:t>.</w:t>
      </w:r>
    </w:p>
    <w:p w:rsidR="00BB3834" w:rsidP="006156F2" w14:paraId="39EF919A" w14:textId="77777777">
      <w:pPr>
        <w:spacing w:after="0" w:line="480" w:lineRule="auto"/>
        <w:ind w:firstLine="720"/>
        <w:rPr>
          <w:rFonts w:cs="Times New Roman"/>
          <w:szCs w:val="24"/>
        </w:rPr>
      </w:pPr>
      <w:r>
        <w:rPr>
          <w:rFonts w:cs="Times New Roman"/>
          <w:szCs w:val="24"/>
        </w:rPr>
        <w:t xml:space="preserve">CUB Ohio </w:t>
      </w:r>
      <w:r w:rsidR="00D52B03">
        <w:rPr>
          <w:rFonts w:cs="Times New Roman"/>
          <w:szCs w:val="24"/>
        </w:rPr>
        <w:t xml:space="preserve">argues </w:t>
      </w:r>
      <w:r>
        <w:rPr>
          <w:rFonts w:cs="Times New Roman"/>
          <w:szCs w:val="24"/>
        </w:rPr>
        <w:t xml:space="preserve">that the difference between Columbia’s initially requested increase ($221.4 million) and the </w:t>
      </w:r>
      <w:r w:rsidR="006371F6">
        <w:rPr>
          <w:rFonts w:cs="Times New Roman"/>
          <w:szCs w:val="24"/>
        </w:rPr>
        <w:t>increase agreed to in the Settlement ($68.2)</w:t>
      </w:r>
      <w:r w:rsidR="00EA288D">
        <w:rPr>
          <w:rFonts w:cs="Times New Roman"/>
          <w:szCs w:val="24"/>
        </w:rPr>
        <w:t xml:space="preserve"> does not </w:t>
      </w:r>
      <w:r w:rsidR="006371F6">
        <w:rPr>
          <w:rFonts w:cs="Times New Roman"/>
          <w:szCs w:val="24"/>
        </w:rPr>
        <w:t>benefit</w:t>
      </w:r>
      <w:r w:rsidR="00D52B03">
        <w:rPr>
          <w:rFonts w:cs="Times New Roman"/>
          <w:szCs w:val="24"/>
        </w:rPr>
        <w:t xml:space="preserve"> consumers</w:t>
      </w:r>
      <w:r w:rsidR="006371F6">
        <w:rPr>
          <w:rFonts w:cs="Times New Roman"/>
          <w:szCs w:val="24"/>
        </w:rPr>
        <w:t>.</w:t>
      </w:r>
      <w:r>
        <w:rPr>
          <w:rStyle w:val="FootnoteReference"/>
          <w:rFonts w:cs="Times New Roman"/>
          <w:szCs w:val="24"/>
        </w:rPr>
        <w:footnoteReference w:id="20"/>
      </w:r>
      <w:r w:rsidR="00D52B03">
        <w:rPr>
          <w:rFonts w:cs="Times New Roman"/>
          <w:szCs w:val="24"/>
        </w:rPr>
        <w:t xml:space="preserve"> </w:t>
      </w:r>
      <w:r w:rsidR="00EA288D">
        <w:rPr>
          <w:rFonts w:cs="Times New Roman"/>
          <w:szCs w:val="24"/>
        </w:rPr>
        <w:t xml:space="preserve">In </w:t>
      </w:r>
      <w:r w:rsidR="00D52B03">
        <w:rPr>
          <w:rFonts w:cs="Times New Roman"/>
          <w:szCs w:val="24"/>
        </w:rPr>
        <w:t>CUB Ohio</w:t>
      </w:r>
      <w:r w:rsidR="00EA288D">
        <w:rPr>
          <w:rFonts w:cs="Times New Roman"/>
          <w:szCs w:val="24"/>
        </w:rPr>
        <w:t>’s (erroneous) view, the increase Columbia requested in the application was unreasonable, so the $68.2 million agreed to in the Settlement is not a benefit.</w:t>
      </w:r>
      <w:r>
        <w:rPr>
          <w:rStyle w:val="FootnoteReference"/>
          <w:rFonts w:cs="Times New Roman"/>
          <w:szCs w:val="24"/>
        </w:rPr>
        <w:footnoteReference w:id="21"/>
      </w:r>
      <w:r w:rsidR="00EA288D">
        <w:rPr>
          <w:rFonts w:cs="Times New Roman"/>
          <w:szCs w:val="24"/>
        </w:rPr>
        <w:t xml:space="preserve"> </w:t>
      </w:r>
    </w:p>
    <w:p w:rsidR="002D0D79" w:rsidP="006156F2" w14:paraId="2AF5AE6C" w14:textId="56133546">
      <w:pPr>
        <w:spacing w:after="0" w:line="480" w:lineRule="auto"/>
        <w:ind w:firstLine="720"/>
        <w:rPr>
          <w:rFonts w:cs="Times New Roman"/>
          <w:szCs w:val="24"/>
        </w:rPr>
      </w:pPr>
      <w:r>
        <w:rPr>
          <w:rFonts w:cs="Times New Roman"/>
          <w:szCs w:val="24"/>
        </w:rPr>
        <w:t>T</w:t>
      </w:r>
      <w:r w:rsidR="006371F6">
        <w:rPr>
          <w:rFonts w:cs="Times New Roman"/>
          <w:szCs w:val="24"/>
        </w:rPr>
        <w:t xml:space="preserve">he PUCO </w:t>
      </w:r>
      <w:r w:rsidR="0019429E">
        <w:rPr>
          <w:rFonts w:cs="Times New Roman"/>
          <w:szCs w:val="24"/>
        </w:rPr>
        <w:t xml:space="preserve">fully </w:t>
      </w:r>
      <w:r w:rsidR="006371F6">
        <w:rPr>
          <w:rFonts w:cs="Times New Roman"/>
          <w:szCs w:val="24"/>
        </w:rPr>
        <w:t>addressed</w:t>
      </w:r>
      <w:r w:rsidR="009D1329">
        <w:rPr>
          <w:rFonts w:cs="Times New Roman"/>
          <w:szCs w:val="24"/>
        </w:rPr>
        <w:t xml:space="preserve"> – and rejected –</w:t>
      </w:r>
      <w:r w:rsidR="006371F6">
        <w:rPr>
          <w:rFonts w:cs="Times New Roman"/>
          <w:szCs w:val="24"/>
        </w:rPr>
        <w:t xml:space="preserve"> </w:t>
      </w:r>
      <w:r w:rsidR="00C10973">
        <w:rPr>
          <w:rFonts w:cs="Times New Roman"/>
          <w:szCs w:val="24"/>
        </w:rPr>
        <w:t>CUB Ohio’s</w:t>
      </w:r>
      <w:r w:rsidR="006371F6">
        <w:rPr>
          <w:rFonts w:cs="Times New Roman"/>
          <w:szCs w:val="24"/>
        </w:rPr>
        <w:t xml:space="preserve"> </w:t>
      </w:r>
      <w:r w:rsidR="00523884">
        <w:rPr>
          <w:rFonts w:cs="Times New Roman"/>
          <w:szCs w:val="24"/>
        </w:rPr>
        <w:t xml:space="preserve">claims </w:t>
      </w:r>
      <w:r w:rsidR="00EA288D">
        <w:rPr>
          <w:rFonts w:cs="Times New Roman"/>
          <w:szCs w:val="24"/>
        </w:rPr>
        <w:t xml:space="preserve">as required by </w:t>
      </w:r>
      <w:r w:rsidR="00C10973">
        <w:rPr>
          <w:rFonts w:cs="Times New Roman"/>
          <w:szCs w:val="24"/>
        </w:rPr>
        <w:t>R.C. 4903.09</w:t>
      </w:r>
      <w:r w:rsidR="0000207C">
        <w:rPr>
          <w:rFonts w:cs="Times New Roman"/>
          <w:szCs w:val="24"/>
        </w:rPr>
        <w:t>.</w:t>
      </w:r>
      <w:r>
        <w:rPr>
          <w:rStyle w:val="FootnoteReference"/>
          <w:rFonts w:cs="Times New Roman"/>
          <w:szCs w:val="24"/>
        </w:rPr>
        <w:footnoteReference w:id="22"/>
      </w:r>
      <w:r w:rsidR="006371F6">
        <w:rPr>
          <w:rFonts w:cs="Times New Roman"/>
          <w:szCs w:val="24"/>
        </w:rPr>
        <w:t xml:space="preserve"> </w:t>
      </w:r>
      <w:r>
        <w:rPr>
          <w:rFonts w:cs="Times New Roman"/>
          <w:szCs w:val="24"/>
        </w:rPr>
        <w:t>The PUCO explained that:</w:t>
      </w:r>
    </w:p>
    <w:p w:rsidR="002D0D79" w:rsidP="002D0D79" w14:paraId="0C95E4F3" w14:textId="3016C23E">
      <w:pPr>
        <w:spacing w:after="0" w:line="240" w:lineRule="auto"/>
        <w:ind w:left="720" w:right="720"/>
      </w:pPr>
      <w:r>
        <w:t xml:space="preserve">The </w:t>
      </w:r>
      <w:r w:rsidRPr="002D0D79">
        <w:rPr>
          <w:rFonts w:eastAsia="Times New Roman" w:cs="Times New Roman"/>
          <w:szCs w:val="24"/>
        </w:rPr>
        <w:t>Commission</w:t>
      </w:r>
      <w:r>
        <w:t xml:space="preserve"> </w:t>
      </w:r>
      <w:r w:rsidRPr="002D0D79">
        <w:rPr>
          <w:rFonts w:eastAsia="Times New Roman" w:cs="Times New Roman"/>
          <w:szCs w:val="24"/>
        </w:rPr>
        <w:t>finds</w:t>
      </w:r>
      <w:r>
        <w:t xml:space="preserve"> that evidence in the record demonstrates that the Stipulation, as a package, benefits ratepayers and the public interest. Company witness Thompson, OCC witness Adkins, and Staff witness Lipthratt each testified that the Stipulation, as a package, benefits ratepayers and the public interest, and each witness identified numerous provisions that benefit the public (Co. Ex. 35 at 3-4; OCC Ex. 1 at 5- 10; Staff Ex. 8 at 4-7). We note that the Stipulation in this case substantially reduces Columbia’s requested rate increase while providing Columbia with the opportunity to obtain a reasonable return on its investment (OCC Ex. 1 at 6; Staff Ex. 8 at 4-5). The Stipulation provides for important funding to promote the reliability and safety of natural gas service in Columbia’s service area (Columbia Ex. 35 at 4). The Stipulation also provides for significantly lower rider caps than proposed by Columbia and for the filing of a new rate case in 2027 (OCC Ex. 8 at 8-9; Staff Ex. 8 at 6-7).</w:t>
      </w:r>
      <w:r>
        <w:rPr>
          <w:rStyle w:val="FootnoteReference"/>
        </w:rPr>
        <w:footnoteReference w:id="23"/>
      </w:r>
    </w:p>
    <w:p w:rsidR="002D0D79" w:rsidP="00CC404F" w14:paraId="5F252C06" w14:textId="77777777">
      <w:pPr>
        <w:spacing w:after="0" w:line="240" w:lineRule="auto"/>
        <w:ind w:right="720"/>
        <w:rPr>
          <w:rFonts w:cs="Times New Roman"/>
          <w:szCs w:val="24"/>
        </w:rPr>
      </w:pPr>
    </w:p>
    <w:p w:rsidR="00FD1D3E" w:rsidP="0019429E" w14:paraId="399D3C86" w14:textId="00C16599">
      <w:pPr>
        <w:spacing w:after="0" w:line="480" w:lineRule="auto"/>
        <w:rPr>
          <w:rFonts w:cs="Times New Roman"/>
          <w:szCs w:val="24"/>
        </w:rPr>
      </w:pPr>
      <w:r>
        <w:rPr>
          <w:rFonts w:cs="Times New Roman"/>
          <w:szCs w:val="24"/>
        </w:rPr>
        <w:t xml:space="preserve">The PUCO also </w:t>
      </w:r>
      <w:r w:rsidR="00C10973">
        <w:rPr>
          <w:rFonts w:cs="Times New Roman"/>
          <w:szCs w:val="24"/>
        </w:rPr>
        <w:t>explained how its decision is consistent with longstanding PUCO precedent, stating</w:t>
      </w:r>
      <w:r w:rsidR="00CC404F">
        <w:rPr>
          <w:rFonts w:cs="Times New Roman"/>
          <w:szCs w:val="24"/>
        </w:rPr>
        <w:t>:</w:t>
      </w:r>
    </w:p>
    <w:p w:rsidR="00CC404F" w:rsidP="0019429E" w14:paraId="7B0F5408" w14:textId="72294A38">
      <w:pPr>
        <w:spacing w:after="0" w:line="240" w:lineRule="auto"/>
        <w:ind w:left="720" w:right="720"/>
        <w:rPr>
          <w:rFonts w:cs="Times New Roman"/>
          <w:szCs w:val="24"/>
        </w:rPr>
      </w:pPr>
      <w:r>
        <w:t xml:space="preserve">the second part of the three-part test is not whether there are different or additional provisions that would better benefit ratepayers and the public interest but whether the Stipulation, as a package, benefits ratepayers and the public interest. </w:t>
      </w:r>
      <w:r w:rsidRPr="00FD1D3E">
        <w:rPr>
          <w:i/>
          <w:iCs/>
        </w:rPr>
        <w:t>Ohio Power Co. Rate Case</w:t>
      </w:r>
      <w:r>
        <w:t xml:space="preserve">, Opinion and Order (Nov. 17, 2021) at ¶ 151, citing </w:t>
      </w:r>
      <w:r w:rsidRPr="00FD1D3E">
        <w:rPr>
          <w:i/>
          <w:iCs/>
        </w:rPr>
        <w:t>In re The East Ohio Gas Co. dba Dominion Energy Ohio</w:t>
      </w:r>
      <w:r>
        <w:t xml:space="preserve">, Case No. 19-468-GA-ALT, Opinion and Order (Dec. 30, 2020) at ¶ 73 and </w:t>
      </w:r>
      <w:r w:rsidRPr="00FD1D3E">
        <w:rPr>
          <w:i/>
          <w:iCs/>
        </w:rPr>
        <w:t>In re Duke Energy Ohio, Inc.</w:t>
      </w:r>
      <w:r>
        <w:t xml:space="preserve">, Case No. 19- 791-GA-ALT, Opinion and Order (Apr. 21, 2021) at ¶ 63. Further, the Stipulation must be viewed as a package for purposes of part two of the three-part test used to evaluate stipulations. </w:t>
      </w:r>
      <w:r w:rsidRPr="00CC404F">
        <w:rPr>
          <w:i/>
          <w:iCs/>
        </w:rPr>
        <w:t>See, e.g.,</w:t>
      </w:r>
      <w:r>
        <w:t xml:space="preserve"> </w:t>
      </w:r>
      <w:r w:rsidRPr="003C4572">
        <w:rPr>
          <w:i/>
          <w:iCs/>
        </w:rPr>
        <w:t>In re Ohio Power Co.</w:t>
      </w:r>
      <w:r>
        <w:t xml:space="preserve">, Case No. 94-996-EL-AIR, et al., Opinion and Order (Mar. 23, 1995) at 20-21; </w:t>
      </w:r>
      <w:r w:rsidRPr="003C4572">
        <w:rPr>
          <w:i/>
          <w:iCs/>
        </w:rPr>
        <w:t>In re Columbus Southern Power Co. and Ohio Power Co.</w:t>
      </w:r>
      <w:r>
        <w:t xml:space="preserve">, Case </w:t>
      </w:r>
      <w:r w:rsidR="003C4572">
        <w:t xml:space="preserve">No. 99-1729-EL-ETP, et al., Opinion and Order (Sept. 28, 2000) at 44. We have repeatedly found value in the parties’ resolution of pending matters through a stipulation package, as an efficient and cost-effective means of bringing the issues before the Commission, while also avoiding the considerable time and expense associated with the litigation of a fully contested case. </w:t>
      </w:r>
      <w:r w:rsidRPr="003C4572" w:rsidR="003C4572">
        <w:rPr>
          <w:i/>
          <w:iCs/>
        </w:rPr>
        <w:t>See, e.g., In re Ohio Edison Co., The Cleveland Elec. Illum. Co., and The Toledo Edison Co.</w:t>
      </w:r>
      <w:r w:rsidR="003C4572">
        <w:t xml:space="preserve">, Case No. 12-1230-EL-SSO, Opinion and Order (July 18, 2012) at 42; </w:t>
      </w:r>
      <w:r w:rsidRPr="003C4572" w:rsidR="003C4572">
        <w:rPr>
          <w:i/>
          <w:iCs/>
        </w:rPr>
        <w:t>In re Columbus Southern Power Co. and Ohio Power Co., Case No. 11-5568-EL-POR, et al.</w:t>
      </w:r>
      <w:r w:rsidR="003C4572">
        <w:t>, Opinion and Order (Mar. 21, 2012) at 17. We, therefore, reaffirm that the Stipulation offered by the Signatory Parties in these proceedings must be viewed as a whole.</w:t>
      </w:r>
      <w:r>
        <w:rPr>
          <w:rStyle w:val="FootnoteReference"/>
        </w:rPr>
        <w:footnoteReference w:id="24"/>
      </w:r>
      <w:r w:rsidR="00BE17C6">
        <w:t xml:space="preserve"> </w:t>
      </w:r>
    </w:p>
    <w:p w:rsidR="0019429E" w:rsidP="0019429E" w14:paraId="51A8586F" w14:textId="77777777">
      <w:pPr>
        <w:spacing w:after="0" w:line="240" w:lineRule="auto"/>
        <w:ind w:left="720" w:right="720"/>
        <w:rPr>
          <w:rFonts w:cs="Times New Roman"/>
          <w:szCs w:val="24"/>
        </w:rPr>
      </w:pPr>
    </w:p>
    <w:p w:rsidR="00C808CE" w:rsidP="00E143BF" w14:paraId="36B9D677" w14:textId="63FFC1F7">
      <w:pPr>
        <w:spacing w:after="0" w:line="480" w:lineRule="auto"/>
        <w:ind w:firstLine="720"/>
        <w:rPr>
          <w:rFonts w:cs="Times New Roman"/>
          <w:iCs/>
          <w:szCs w:val="24"/>
        </w:rPr>
      </w:pPr>
      <w:r>
        <w:rPr>
          <w:rFonts w:cs="Times New Roman"/>
          <w:szCs w:val="24"/>
        </w:rPr>
        <w:t>CUB Ohio</w:t>
      </w:r>
      <w:r w:rsidR="002D0D60">
        <w:rPr>
          <w:rFonts w:cs="Times New Roman"/>
          <w:szCs w:val="24"/>
        </w:rPr>
        <w:t xml:space="preserve"> </w:t>
      </w:r>
      <w:r>
        <w:rPr>
          <w:rFonts w:cs="Times New Roman"/>
          <w:szCs w:val="24"/>
        </w:rPr>
        <w:t xml:space="preserve">relies on the testimony of ELPC witness </w:t>
      </w:r>
      <w:r w:rsidRPr="00C80BFE" w:rsidR="00595D59">
        <w:rPr>
          <w:rFonts w:cs="Times New Roman"/>
          <w:szCs w:val="24"/>
        </w:rPr>
        <w:t>Rábago</w:t>
      </w:r>
      <w:r w:rsidR="00595D59">
        <w:rPr>
          <w:rFonts w:cs="Times New Roman"/>
          <w:szCs w:val="24"/>
        </w:rPr>
        <w:t xml:space="preserve"> that Columbia’s initial </w:t>
      </w:r>
      <w:r w:rsidR="00106C9A">
        <w:rPr>
          <w:rFonts w:cs="Times New Roman"/>
          <w:szCs w:val="24"/>
        </w:rPr>
        <w:t xml:space="preserve">rate increase </w:t>
      </w:r>
      <w:r w:rsidR="00595D59">
        <w:rPr>
          <w:rFonts w:cs="Times New Roman"/>
          <w:szCs w:val="24"/>
        </w:rPr>
        <w:t>request in the application was unreasonable.</w:t>
      </w:r>
      <w:r>
        <w:rPr>
          <w:rStyle w:val="FootnoteReference"/>
          <w:rFonts w:cs="Times New Roman"/>
          <w:szCs w:val="24"/>
        </w:rPr>
        <w:footnoteReference w:id="25"/>
      </w:r>
      <w:r>
        <w:rPr>
          <w:rFonts w:cs="Times New Roman"/>
          <w:szCs w:val="24"/>
        </w:rPr>
        <w:t xml:space="preserve"> </w:t>
      </w:r>
      <w:r w:rsidR="008B65AF">
        <w:rPr>
          <w:rFonts w:cs="Times New Roman"/>
          <w:szCs w:val="24"/>
        </w:rPr>
        <w:t>T</w:t>
      </w:r>
      <w:r w:rsidR="002D0D60">
        <w:rPr>
          <w:rFonts w:cs="Times New Roman"/>
          <w:szCs w:val="24"/>
        </w:rPr>
        <w:t xml:space="preserve">he </w:t>
      </w:r>
      <w:r w:rsidR="0019429E">
        <w:rPr>
          <w:rFonts w:cs="Times New Roman"/>
          <w:szCs w:val="24"/>
        </w:rPr>
        <w:t xml:space="preserve">PUCO </w:t>
      </w:r>
      <w:r w:rsidR="008B65AF">
        <w:rPr>
          <w:rFonts w:cs="Times New Roman"/>
          <w:szCs w:val="24"/>
        </w:rPr>
        <w:t xml:space="preserve">considered and </w:t>
      </w:r>
      <w:r w:rsidR="0019429E">
        <w:rPr>
          <w:rFonts w:cs="Times New Roman"/>
          <w:szCs w:val="24"/>
        </w:rPr>
        <w:t xml:space="preserve">rejected </w:t>
      </w:r>
      <w:r w:rsidR="002D0D60">
        <w:rPr>
          <w:rFonts w:cs="Times New Roman"/>
          <w:szCs w:val="24"/>
        </w:rPr>
        <w:t xml:space="preserve">Mr. </w:t>
      </w:r>
      <w:r w:rsidRPr="00C80BFE" w:rsidR="002D0D60">
        <w:rPr>
          <w:rFonts w:cs="Times New Roman"/>
          <w:szCs w:val="24"/>
        </w:rPr>
        <w:t>Rábago</w:t>
      </w:r>
      <w:r w:rsidR="002D0D60">
        <w:rPr>
          <w:rFonts w:cs="Times New Roman"/>
          <w:szCs w:val="24"/>
        </w:rPr>
        <w:t>’s</w:t>
      </w:r>
      <w:r w:rsidR="0019429E">
        <w:rPr>
          <w:rFonts w:cs="Times New Roman"/>
          <w:szCs w:val="24"/>
        </w:rPr>
        <w:t xml:space="preserve"> </w:t>
      </w:r>
      <w:r w:rsidR="002D0D60">
        <w:rPr>
          <w:rFonts w:cs="Times New Roman"/>
          <w:szCs w:val="24"/>
        </w:rPr>
        <w:t>testimony in the Order</w:t>
      </w:r>
      <w:r w:rsidR="008B65AF">
        <w:rPr>
          <w:rFonts w:cs="Times New Roman"/>
          <w:szCs w:val="24"/>
        </w:rPr>
        <w:t>.</w:t>
      </w:r>
      <w:r>
        <w:rPr>
          <w:rStyle w:val="FootnoteReference"/>
          <w:rFonts w:cs="Times New Roman"/>
          <w:szCs w:val="24"/>
        </w:rPr>
        <w:footnoteReference w:id="26"/>
      </w:r>
      <w:r w:rsidR="0019429E">
        <w:rPr>
          <w:rFonts w:cs="Times New Roman"/>
          <w:szCs w:val="24"/>
        </w:rPr>
        <w:t xml:space="preserve"> </w:t>
      </w:r>
      <w:r w:rsidR="008B65AF">
        <w:rPr>
          <w:rFonts w:cs="Times New Roman"/>
          <w:szCs w:val="24"/>
        </w:rPr>
        <w:t xml:space="preserve">The PUCO concluded </w:t>
      </w:r>
      <w:r w:rsidR="0019429E">
        <w:rPr>
          <w:rFonts w:cs="Times New Roman"/>
          <w:szCs w:val="24"/>
        </w:rPr>
        <w:t xml:space="preserve">that Columbia’s </w:t>
      </w:r>
      <w:r w:rsidR="005D69D1">
        <w:rPr>
          <w:rFonts w:cs="Times New Roman"/>
          <w:szCs w:val="24"/>
        </w:rPr>
        <w:t>application</w:t>
      </w:r>
      <w:r w:rsidR="0019429E">
        <w:t xml:space="preserve"> </w:t>
      </w:r>
      <w:r w:rsidR="005D69D1">
        <w:t>“</w:t>
      </w:r>
      <w:r w:rsidR="0019429E">
        <w:t xml:space="preserve">is certainly a legitimate comparison point for the </w:t>
      </w:r>
      <w:r w:rsidR="005D69D1">
        <w:t>[Settlement].”</w:t>
      </w:r>
      <w:r>
        <w:rPr>
          <w:rStyle w:val="FootnoteReference"/>
        </w:rPr>
        <w:footnoteReference w:id="27"/>
      </w:r>
      <w:r w:rsidR="002D0D79">
        <w:rPr>
          <w:rFonts w:cs="Times New Roman"/>
          <w:szCs w:val="24"/>
        </w:rPr>
        <w:t xml:space="preserve"> </w:t>
      </w:r>
      <w:r w:rsidR="002D0D60">
        <w:rPr>
          <w:rFonts w:cs="Times New Roman"/>
          <w:szCs w:val="24"/>
        </w:rPr>
        <w:t>CUB Ohio ignores the ample evidence of the Settlement’s</w:t>
      </w:r>
      <w:r w:rsidR="006561DE">
        <w:rPr>
          <w:rFonts w:cs="Times New Roman"/>
          <w:szCs w:val="24"/>
        </w:rPr>
        <w:t xml:space="preserve"> benefits to consumers</w:t>
      </w:r>
      <w:r w:rsidR="002D0D60">
        <w:rPr>
          <w:rFonts w:cs="Times New Roman"/>
          <w:szCs w:val="24"/>
        </w:rPr>
        <w:t>.</w:t>
      </w:r>
      <w:r w:rsidR="006561DE">
        <w:rPr>
          <w:rFonts w:cs="Times New Roman"/>
          <w:szCs w:val="24"/>
        </w:rPr>
        <w:t xml:space="preserve"> </w:t>
      </w:r>
      <w:r w:rsidR="006561DE">
        <w:rPr>
          <w:rFonts w:cs="Times New Roman"/>
          <w:iCs/>
          <w:szCs w:val="24"/>
        </w:rPr>
        <w:t xml:space="preserve">The PUCO should </w:t>
      </w:r>
      <w:r w:rsidR="00BB7CA6">
        <w:rPr>
          <w:rFonts w:cs="Times New Roman"/>
          <w:iCs/>
          <w:szCs w:val="24"/>
        </w:rPr>
        <w:t>reject CUB Ohio’s application for rehearing.</w:t>
      </w:r>
    </w:p>
    <w:p w:rsidR="008B65AF" w:rsidP="00C808CE" w14:paraId="25D49C0E" w14:textId="4AE49BBF">
      <w:pPr>
        <w:pStyle w:val="ListParagraph"/>
        <w:numPr>
          <w:ilvl w:val="0"/>
          <w:numId w:val="34"/>
        </w:numPr>
        <w:spacing w:after="0" w:line="240" w:lineRule="auto"/>
        <w:ind w:left="2160" w:hanging="720"/>
        <w:rPr>
          <w:rFonts w:ascii="Times New Roman" w:hAnsi="Times New Roman" w:cs="Times New Roman"/>
          <w:b/>
          <w:bCs/>
          <w:sz w:val="24"/>
          <w:szCs w:val="24"/>
        </w:rPr>
      </w:pPr>
      <w:bookmarkStart w:id="5" w:name="_Toc129271373"/>
      <w:r w:rsidRPr="00C808CE">
        <w:rPr>
          <w:rStyle w:val="Heading3Char"/>
        </w:rPr>
        <w:t>The PUCO’s Order approving the</w:t>
      </w:r>
      <w:r w:rsidRPr="00C808CE" w:rsidR="00DD1C17">
        <w:rPr>
          <w:rStyle w:val="Heading3Char"/>
        </w:rPr>
        <w:t xml:space="preserve"> Settlement</w:t>
      </w:r>
      <w:r w:rsidRPr="00C808CE" w:rsidR="009C3A74">
        <w:rPr>
          <w:rStyle w:val="Heading3Char"/>
        </w:rPr>
        <w:t>’s removal of</w:t>
      </w:r>
      <w:r w:rsidRPr="00C808CE">
        <w:rPr>
          <w:rStyle w:val="Heading3Char"/>
        </w:rPr>
        <w:t xml:space="preserve"> Columbia’s non-low-income DSM program is </w:t>
      </w:r>
      <w:r w:rsidRPr="00C808CE" w:rsidR="00DD1C17">
        <w:rPr>
          <w:rStyle w:val="Heading3Char"/>
        </w:rPr>
        <w:t>supported by the evidentiary record and the PUCO’s past precedent.</w:t>
      </w:r>
      <w:bookmarkEnd w:id="5"/>
    </w:p>
    <w:p w:rsidR="0097341F" w:rsidRPr="008B65AF" w:rsidP="008B65AF" w14:paraId="1963794F" w14:textId="01C5D032">
      <w:pPr>
        <w:pStyle w:val="ListParagraph"/>
        <w:spacing w:after="0" w:line="240" w:lineRule="auto"/>
        <w:ind w:left="1080"/>
        <w:rPr>
          <w:rFonts w:ascii="Times New Roman" w:hAnsi="Times New Roman" w:cs="Times New Roman"/>
          <w:b/>
          <w:bCs/>
          <w:sz w:val="24"/>
          <w:szCs w:val="24"/>
        </w:rPr>
      </w:pPr>
    </w:p>
    <w:p w:rsidR="008B65AF" w:rsidP="0097341F" w14:paraId="2B5D0CFF" w14:textId="066623C2">
      <w:pPr>
        <w:spacing w:after="0" w:line="480" w:lineRule="auto"/>
        <w:ind w:firstLine="720"/>
        <w:rPr>
          <w:rFonts w:cs="Times New Roman"/>
          <w:szCs w:val="24"/>
        </w:rPr>
      </w:pPr>
      <w:r>
        <w:rPr>
          <w:rFonts w:cs="Times New Roman"/>
          <w:szCs w:val="24"/>
        </w:rPr>
        <w:t>Environmental Groups argue that the Order violates R.C. 4903.09 because</w:t>
      </w:r>
      <w:r w:rsidR="00AB12FE">
        <w:rPr>
          <w:rFonts w:cs="Times New Roman"/>
          <w:szCs w:val="24"/>
        </w:rPr>
        <w:t xml:space="preserve">, </w:t>
      </w:r>
      <w:r w:rsidR="004F44C4">
        <w:rPr>
          <w:rFonts w:cs="Times New Roman"/>
          <w:szCs w:val="24"/>
        </w:rPr>
        <w:t>in their view</w:t>
      </w:r>
      <w:r w:rsidR="00AB12FE">
        <w:rPr>
          <w:rFonts w:cs="Times New Roman"/>
          <w:szCs w:val="24"/>
        </w:rPr>
        <w:t>,</w:t>
      </w:r>
      <w:r>
        <w:rPr>
          <w:rFonts w:cs="Times New Roman"/>
          <w:szCs w:val="24"/>
        </w:rPr>
        <w:t xml:space="preserve"> no evidence support</w:t>
      </w:r>
      <w:r w:rsidR="00AB12FE">
        <w:rPr>
          <w:rFonts w:cs="Times New Roman"/>
          <w:szCs w:val="24"/>
        </w:rPr>
        <w:t>s</w:t>
      </w:r>
      <w:r>
        <w:rPr>
          <w:rFonts w:cs="Times New Roman"/>
          <w:szCs w:val="24"/>
        </w:rPr>
        <w:t xml:space="preserve"> the PUCO’s decision to allow the removal of Columbia’s non-low-income DSM program.</w:t>
      </w:r>
      <w:r>
        <w:rPr>
          <w:rStyle w:val="FootnoteReference"/>
          <w:rFonts w:cs="Times New Roman"/>
          <w:szCs w:val="24"/>
        </w:rPr>
        <w:footnoteReference w:id="28"/>
      </w:r>
      <w:r w:rsidR="004F44C4">
        <w:rPr>
          <w:rFonts w:cs="Times New Roman"/>
          <w:szCs w:val="24"/>
        </w:rPr>
        <w:t xml:space="preserve"> Environmental Groups also claim that the PUCO has departed</w:t>
      </w:r>
      <w:r w:rsidR="007407FE">
        <w:rPr>
          <w:rFonts w:cs="Times New Roman"/>
          <w:szCs w:val="24"/>
        </w:rPr>
        <w:t xml:space="preserve"> from its prior precedent approving non-low-income D</w:t>
      </w:r>
      <w:r w:rsidR="00ED6C5D">
        <w:rPr>
          <w:rFonts w:cs="Times New Roman"/>
          <w:szCs w:val="24"/>
        </w:rPr>
        <w:t>SM</w:t>
      </w:r>
      <w:r w:rsidR="007407FE">
        <w:rPr>
          <w:rFonts w:cs="Times New Roman"/>
          <w:szCs w:val="24"/>
        </w:rPr>
        <w:t xml:space="preserve"> programs without sufficient</w:t>
      </w:r>
      <w:r w:rsidR="009C3A74">
        <w:rPr>
          <w:rFonts w:cs="Times New Roman"/>
          <w:szCs w:val="24"/>
        </w:rPr>
        <w:t>ly</w:t>
      </w:r>
      <w:r w:rsidR="007407FE">
        <w:rPr>
          <w:rFonts w:cs="Times New Roman"/>
          <w:szCs w:val="24"/>
        </w:rPr>
        <w:t xml:space="preserve"> expla</w:t>
      </w:r>
      <w:r w:rsidR="009C3A74">
        <w:rPr>
          <w:rFonts w:cs="Times New Roman"/>
          <w:szCs w:val="24"/>
        </w:rPr>
        <w:t>ining its rationale in violation of R.C. 4903.09</w:t>
      </w:r>
      <w:r w:rsidR="007407FE">
        <w:rPr>
          <w:rFonts w:cs="Times New Roman"/>
          <w:szCs w:val="24"/>
        </w:rPr>
        <w:t>. Environmental Groups are wrong on both counts.</w:t>
      </w:r>
    </w:p>
    <w:p w:rsidR="001B450C" w:rsidP="0097341F" w14:paraId="4B6E5D5E" w14:textId="5EA93F5A">
      <w:pPr>
        <w:spacing w:after="0" w:line="480" w:lineRule="auto"/>
        <w:ind w:firstLine="720"/>
        <w:rPr>
          <w:rFonts w:cs="Times New Roman"/>
          <w:szCs w:val="24"/>
        </w:rPr>
      </w:pPr>
      <w:r>
        <w:rPr>
          <w:rFonts w:cs="Times New Roman"/>
          <w:szCs w:val="24"/>
        </w:rPr>
        <w:t>To begin</w:t>
      </w:r>
      <w:r w:rsidR="007407FE">
        <w:rPr>
          <w:rFonts w:cs="Times New Roman"/>
          <w:szCs w:val="24"/>
        </w:rPr>
        <w:t xml:space="preserve">, </w:t>
      </w:r>
      <w:r w:rsidR="00ED6C5D">
        <w:rPr>
          <w:rFonts w:cs="Times New Roman"/>
          <w:szCs w:val="24"/>
        </w:rPr>
        <w:t>it is important to note that the PUCO is evaluating the removal of Columbia’s non-low-income DSM program within the context of the Settlement agreed</w:t>
      </w:r>
      <w:r>
        <w:rPr>
          <w:rFonts w:cs="Times New Roman"/>
          <w:szCs w:val="24"/>
        </w:rPr>
        <w:t xml:space="preserve"> </w:t>
      </w:r>
      <w:r w:rsidR="00ED6C5D">
        <w:rPr>
          <w:rFonts w:cs="Times New Roman"/>
          <w:szCs w:val="24"/>
        </w:rPr>
        <w:t xml:space="preserve">to by the parties. Environmental Groups </w:t>
      </w:r>
      <w:r>
        <w:rPr>
          <w:rFonts w:cs="Times New Roman"/>
          <w:szCs w:val="24"/>
        </w:rPr>
        <w:t>claim</w:t>
      </w:r>
      <w:r w:rsidR="00ED6C5D">
        <w:rPr>
          <w:rFonts w:cs="Times New Roman"/>
          <w:szCs w:val="24"/>
        </w:rPr>
        <w:t xml:space="preserve"> that the PUCO ignored evidence by Columbia witness Poe regarding the DSM program that </w:t>
      </w:r>
      <w:r w:rsidR="004E294C">
        <w:rPr>
          <w:rFonts w:cs="Times New Roman"/>
          <w:szCs w:val="24"/>
        </w:rPr>
        <w:t xml:space="preserve">Columbia initially proposed in </w:t>
      </w:r>
      <w:r>
        <w:rPr>
          <w:rFonts w:cs="Times New Roman"/>
          <w:szCs w:val="24"/>
        </w:rPr>
        <w:t>its</w:t>
      </w:r>
      <w:r w:rsidR="004E294C">
        <w:rPr>
          <w:rFonts w:cs="Times New Roman"/>
          <w:szCs w:val="24"/>
        </w:rPr>
        <w:t xml:space="preserve"> application.</w:t>
      </w:r>
      <w:r>
        <w:rPr>
          <w:rStyle w:val="FootnoteReference"/>
          <w:rFonts w:cs="Times New Roman"/>
          <w:szCs w:val="24"/>
        </w:rPr>
        <w:footnoteReference w:id="29"/>
      </w:r>
      <w:r w:rsidR="004E294C">
        <w:rPr>
          <w:rFonts w:cs="Times New Roman"/>
          <w:szCs w:val="24"/>
        </w:rPr>
        <w:t xml:space="preserve"> </w:t>
      </w:r>
      <w:r>
        <w:rPr>
          <w:rFonts w:cs="Times New Roman"/>
          <w:szCs w:val="24"/>
        </w:rPr>
        <w:t>But</w:t>
      </w:r>
      <w:r w:rsidR="004E294C">
        <w:rPr>
          <w:rFonts w:cs="Times New Roman"/>
          <w:szCs w:val="24"/>
        </w:rPr>
        <w:t xml:space="preserve"> the merits of the DSM program initially proposed by Columbia are no</w:t>
      </w:r>
      <w:r w:rsidR="00BB3834">
        <w:rPr>
          <w:rFonts w:cs="Times New Roman"/>
          <w:szCs w:val="24"/>
        </w:rPr>
        <w:t>w</w:t>
      </w:r>
      <w:r>
        <w:rPr>
          <w:rFonts w:cs="Times New Roman"/>
          <w:szCs w:val="24"/>
        </w:rPr>
        <w:t xml:space="preserve"> </w:t>
      </w:r>
      <w:r w:rsidR="00BB3834">
        <w:rPr>
          <w:rFonts w:cs="Times New Roman"/>
          <w:szCs w:val="24"/>
        </w:rPr>
        <w:t>subject to the PUCO’s settlement standard</w:t>
      </w:r>
      <w:r w:rsidR="005A26E2">
        <w:rPr>
          <w:rFonts w:cs="Times New Roman"/>
          <w:szCs w:val="24"/>
        </w:rPr>
        <w:t>s</w:t>
      </w:r>
      <w:r w:rsidR="004E294C">
        <w:rPr>
          <w:rFonts w:cs="Times New Roman"/>
          <w:szCs w:val="24"/>
        </w:rPr>
        <w:t xml:space="preserve">. </w:t>
      </w:r>
    </w:p>
    <w:p w:rsidR="007407FE" w:rsidP="0097341F" w14:paraId="461B2307" w14:textId="49C02902">
      <w:pPr>
        <w:spacing w:after="0" w:line="480" w:lineRule="auto"/>
        <w:ind w:firstLine="720"/>
        <w:rPr>
          <w:rFonts w:cs="Times New Roman"/>
          <w:szCs w:val="24"/>
        </w:rPr>
      </w:pPr>
      <w:r>
        <w:rPr>
          <w:rFonts w:cs="Times New Roman"/>
          <w:szCs w:val="24"/>
        </w:rPr>
        <w:t>A</w:t>
      </w:r>
      <w:r w:rsidR="004E294C">
        <w:rPr>
          <w:rFonts w:cs="Times New Roman"/>
          <w:szCs w:val="24"/>
        </w:rPr>
        <w:t xml:space="preserve">s noted above, the PUCO’s inquiry focuses on whether </w:t>
      </w:r>
      <w:r w:rsidRPr="004E294C" w:rsidR="004E294C">
        <w:rPr>
          <w:rFonts w:cs="Times New Roman"/>
          <w:szCs w:val="24"/>
        </w:rPr>
        <w:t>the Settlement</w:t>
      </w:r>
      <w:r w:rsidR="004E294C">
        <w:rPr>
          <w:rFonts w:cs="Times New Roman"/>
          <w:szCs w:val="24"/>
        </w:rPr>
        <w:t xml:space="preserve">, </w:t>
      </w:r>
      <w:r w:rsidRPr="00FF1B63" w:rsidR="004E294C">
        <w:rPr>
          <w:rFonts w:cs="Times New Roman"/>
          <w:i/>
          <w:iCs/>
          <w:szCs w:val="24"/>
        </w:rPr>
        <w:t>as a package</w:t>
      </w:r>
      <w:r w:rsidR="004E294C">
        <w:rPr>
          <w:rFonts w:cs="Times New Roman"/>
          <w:szCs w:val="24"/>
        </w:rPr>
        <w:t>, satisfies the PUCO’s three-part test for evaluating settlements.</w:t>
      </w:r>
      <w:r>
        <w:rPr>
          <w:rStyle w:val="FootnoteReference"/>
          <w:rFonts w:cs="Times New Roman"/>
          <w:szCs w:val="24"/>
        </w:rPr>
        <w:footnoteReference w:id="30"/>
      </w:r>
      <w:r w:rsidR="00ED6C5D">
        <w:rPr>
          <w:rFonts w:cs="Times New Roman"/>
          <w:szCs w:val="24"/>
        </w:rPr>
        <w:t xml:space="preserve"> </w:t>
      </w:r>
      <w:r w:rsidR="004E294C">
        <w:rPr>
          <w:rFonts w:cs="Times New Roman"/>
          <w:szCs w:val="24"/>
        </w:rPr>
        <w:t>T</w:t>
      </w:r>
      <w:r w:rsidR="009C3A74">
        <w:rPr>
          <w:rFonts w:cs="Times New Roman"/>
          <w:szCs w:val="24"/>
        </w:rPr>
        <w:t>he</w:t>
      </w:r>
      <w:r w:rsidR="004E294C">
        <w:rPr>
          <w:rFonts w:cs="Times New Roman"/>
          <w:szCs w:val="24"/>
        </w:rPr>
        <w:t xml:space="preserve"> PUCO does not consider “</w:t>
      </w:r>
      <w:r w:rsidR="004E294C">
        <w:t>whether there are different or additional provisions that would better benefit [consumers] and the public interest.”</w:t>
      </w:r>
      <w:r>
        <w:rPr>
          <w:rStyle w:val="FootnoteReference"/>
        </w:rPr>
        <w:footnoteReference w:id="31"/>
      </w:r>
      <w:r w:rsidR="00AB12FE">
        <w:t xml:space="preserve"> Thus, whether Columbia’s initial proposal for non-low-income DSM would benefit consumers</w:t>
      </w:r>
      <w:r w:rsidR="009C3A74">
        <w:t xml:space="preserve"> more</w:t>
      </w:r>
      <w:r w:rsidR="00AB12FE">
        <w:t xml:space="preserve"> is irrelevant to whether the PUCO appropriately approved the Settlement. </w:t>
      </w:r>
    </w:p>
    <w:p w:rsidR="00DB7D42" w:rsidP="007407FE" w14:paraId="5C28B138" w14:textId="365FD099">
      <w:pPr>
        <w:spacing w:after="0" w:line="480" w:lineRule="auto"/>
        <w:ind w:firstLine="720"/>
        <w:rPr>
          <w:rFonts w:cs="Times New Roman"/>
          <w:szCs w:val="24"/>
        </w:rPr>
      </w:pPr>
      <w:r>
        <w:rPr>
          <w:rFonts w:cs="Times New Roman"/>
          <w:szCs w:val="24"/>
        </w:rPr>
        <w:t>And here, t</w:t>
      </w:r>
      <w:r w:rsidR="007407FE">
        <w:rPr>
          <w:rFonts w:cs="Times New Roman"/>
          <w:szCs w:val="24"/>
        </w:rPr>
        <w:t xml:space="preserve">he evidence </w:t>
      </w:r>
      <w:r>
        <w:rPr>
          <w:rFonts w:cs="Times New Roman"/>
          <w:szCs w:val="24"/>
        </w:rPr>
        <w:t>demonstrates that</w:t>
      </w:r>
      <w:r w:rsidR="007407FE">
        <w:rPr>
          <w:rFonts w:cs="Times New Roman"/>
          <w:szCs w:val="24"/>
        </w:rPr>
        <w:t xml:space="preserve"> the elimination of</w:t>
      </w:r>
      <w:r>
        <w:rPr>
          <w:rFonts w:cs="Times New Roman"/>
          <w:szCs w:val="24"/>
        </w:rPr>
        <w:t xml:space="preserve"> Columbia’s</w:t>
      </w:r>
      <w:r w:rsidR="007407FE">
        <w:rPr>
          <w:rFonts w:cs="Times New Roman"/>
          <w:szCs w:val="24"/>
        </w:rPr>
        <w:t xml:space="preserve"> non-low-income DSM</w:t>
      </w:r>
      <w:r>
        <w:rPr>
          <w:rFonts w:cs="Times New Roman"/>
          <w:szCs w:val="24"/>
        </w:rPr>
        <w:t xml:space="preserve"> will benefit consumers</w:t>
      </w:r>
      <w:r w:rsidR="007407FE">
        <w:rPr>
          <w:rFonts w:cs="Times New Roman"/>
          <w:szCs w:val="24"/>
        </w:rPr>
        <w:t>. OCC witness Adkins testified that removal of Columbia’s non-low-income DSM program</w:t>
      </w:r>
      <w:r w:rsidR="00FD470E">
        <w:rPr>
          <w:rFonts w:cs="Times New Roman"/>
          <w:szCs w:val="24"/>
        </w:rPr>
        <w:t xml:space="preserve"> saves</w:t>
      </w:r>
      <w:r w:rsidR="007407FE">
        <w:rPr>
          <w:rFonts w:cs="Times New Roman"/>
          <w:szCs w:val="24"/>
        </w:rPr>
        <w:t xml:space="preserve"> residential consumers an additional $120 million in utility program costs and shared savings.</w:t>
      </w:r>
      <w:r>
        <w:rPr>
          <w:rStyle w:val="FootnoteReference"/>
          <w:rFonts w:cs="Times New Roman"/>
          <w:szCs w:val="24"/>
        </w:rPr>
        <w:footnoteReference w:id="32"/>
      </w:r>
      <w:r w:rsidR="007407FE">
        <w:rPr>
          <w:rFonts w:cs="Times New Roman"/>
          <w:szCs w:val="24"/>
        </w:rPr>
        <w:t xml:space="preserve"> </w:t>
      </w:r>
      <w:r w:rsidRPr="00C80BFE" w:rsidR="00906581">
        <w:rPr>
          <w:rFonts w:cs="Times New Roman"/>
          <w:szCs w:val="24"/>
        </w:rPr>
        <w:t>The Settlement package</w:t>
      </w:r>
      <w:r w:rsidR="00906581">
        <w:rPr>
          <w:rFonts w:cs="Times New Roman"/>
          <w:szCs w:val="24"/>
        </w:rPr>
        <w:t xml:space="preserve"> approved by the PUCO</w:t>
      </w:r>
      <w:r w:rsidRPr="00C80BFE" w:rsidR="00906581">
        <w:rPr>
          <w:rFonts w:cs="Times New Roman"/>
          <w:szCs w:val="24"/>
        </w:rPr>
        <w:t xml:space="preserve"> pre</w:t>
      </w:r>
      <w:r w:rsidR="009C3A74">
        <w:rPr>
          <w:rFonts w:cs="Times New Roman"/>
          <w:szCs w:val="24"/>
        </w:rPr>
        <w:t>cludes</w:t>
      </w:r>
      <w:r w:rsidRPr="00C80BFE" w:rsidR="00906581">
        <w:rPr>
          <w:rFonts w:cs="Times New Roman"/>
          <w:szCs w:val="24"/>
        </w:rPr>
        <w:t xml:space="preserve"> Columbia from charging consumers $10 million in shared savings (profits) from the DSM program.</w:t>
      </w:r>
      <w:r>
        <w:rPr>
          <w:rStyle w:val="FootnoteReference"/>
          <w:rFonts w:cs="Times New Roman"/>
          <w:szCs w:val="24"/>
        </w:rPr>
        <w:footnoteReference w:id="33"/>
      </w:r>
      <w:r w:rsidR="00906581">
        <w:rPr>
          <w:rFonts w:cs="Times New Roman"/>
          <w:szCs w:val="24"/>
        </w:rPr>
        <w:t xml:space="preserve"> </w:t>
      </w:r>
      <w:r w:rsidRPr="00C80BFE" w:rsidR="00906581">
        <w:rPr>
          <w:rFonts w:cs="Times New Roman"/>
          <w:szCs w:val="24"/>
        </w:rPr>
        <w:t>The elimination of these non-low-income programs</w:t>
      </w:r>
      <w:r w:rsidR="009C3A74">
        <w:rPr>
          <w:rFonts w:cs="Times New Roman"/>
          <w:szCs w:val="24"/>
        </w:rPr>
        <w:t xml:space="preserve"> (which </w:t>
      </w:r>
      <w:r w:rsidRPr="00C80BFE" w:rsidR="00906581">
        <w:rPr>
          <w:rFonts w:cs="Times New Roman"/>
          <w:szCs w:val="24"/>
        </w:rPr>
        <w:t>would otherwise be charged to Columbia consumers</w:t>
      </w:r>
      <w:r w:rsidR="009C3A74">
        <w:rPr>
          <w:rFonts w:cs="Times New Roman"/>
          <w:szCs w:val="24"/>
        </w:rPr>
        <w:t xml:space="preserve"> and increase the rates consumers pay)</w:t>
      </w:r>
      <w:r w:rsidRPr="00C80BFE" w:rsidR="00906581">
        <w:rPr>
          <w:rFonts w:cs="Times New Roman"/>
          <w:szCs w:val="24"/>
        </w:rPr>
        <w:t xml:space="preserve"> benefits consumers.</w:t>
      </w:r>
      <w:r w:rsidR="00412F5E">
        <w:rPr>
          <w:rFonts w:cs="Times New Roman"/>
          <w:szCs w:val="24"/>
        </w:rPr>
        <w:t xml:space="preserve"> </w:t>
      </w:r>
    </w:p>
    <w:p w:rsidR="00906581" w:rsidP="007407FE" w14:paraId="3E75EF91" w14:textId="64430807">
      <w:pPr>
        <w:spacing w:after="0" w:line="480" w:lineRule="auto"/>
        <w:ind w:firstLine="720"/>
        <w:rPr>
          <w:rFonts w:cs="Times New Roman"/>
          <w:szCs w:val="24"/>
        </w:rPr>
      </w:pPr>
      <w:r>
        <w:rPr>
          <w:rFonts w:cs="Times New Roman"/>
          <w:szCs w:val="24"/>
        </w:rPr>
        <w:t>Moreover, the PUCO noted that consumers have competitive choices available to them in the energy efficiency market.</w:t>
      </w:r>
      <w:r>
        <w:rPr>
          <w:rStyle w:val="FootnoteReference"/>
          <w:rFonts w:cs="Times New Roman"/>
          <w:szCs w:val="24"/>
        </w:rPr>
        <w:footnoteReference w:id="34"/>
      </w:r>
      <w:r>
        <w:rPr>
          <w:rFonts w:cs="Times New Roman"/>
          <w:szCs w:val="24"/>
        </w:rPr>
        <w:t xml:space="preserve"> Those choices are available without the involvement of monopoly utilities.</w:t>
      </w:r>
    </w:p>
    <w:p w:rsidR="00906581" w:rsidP="00C21D5F" w14:paraId="2A109266" w14:textId="314277CF">
      <w:pPr>
        <w:spacing w:after="0" w:line="480" w:lineRule="auto"/>
        <w:ind w:firstLine="720"/>
        <w:rPr>
          <w:rFonts w:cs="Times New Roman"/>
          <w:iCs/>
          <w:szCs w:val="24"/>
        </w:rPr>
      </w:pPr>
      <w:r>
        <w:rPr>
          <w:rFonts w:cs="Times New Roman"/>
          <w:szCs w:val="24"/>
        </w:rPr>
        <w:t xml:space="preserve">At the same time, the </w:t>
      </w:r>
      <w:r w:rsidR="007407FE">
        <w:rPr>
          <w:rFonts w:cs="Times New Roman"/>
          <w:szCs w:val="24"/>
        </w:rPr>
        <w:t>Order preserves</w:t>
      </w:r>
      <w:r w:rsidRPr="00C80BFE" w:rsidR="007407FE">
        <w:rPr>
          <w:rFonts w:cs="Times New Roman"/>
          <w:szCs w:val="24"/>
        </w:rPr>
        <w:t xml:space="preserve"> $70 million </w:t>
      </w:r>
      <w:r w:rsidR="007407FE">
        <w:rPr>
          <w:rFonts w:cs="Times New Roman"/>
          <w:szCs w:val="24"/>
        </w:rPr>
        <w:t>for</w:t>
      </w:r>
      <w:r w:rsidRPr="00C80BFE" w:rsidR="007407FE">
        <w:rPr>
          <w:rFonts w:cs="Times New Roman"/>
          <w:szCs w:val="24"/>
        </w:rPr>
        <w:t xml:space="preserve"> </w:t>
      </w:r>
      <w:r w:rsidRPr="00C80BFE" w:rsidR="007407FE">
        <w:rPr>
          <w:rFonts w:cs="Times New Roman"/>
          <w:iCs/>
          <w:szCs w:val="24"/>
        </w:rPr>
        <w:t>weatherization services for low-income consumers</w:t>
      </w:r>
      <w:r w:rsidR="007407FE">
        <w:rPr>
          <w:rFonts w:cs="Times New Roman"/>
          <w:iCs/>
          <w:szCs w:val="24"/>
        </w:rPr>
        <w:t xml:space="preserve"> through Columbia’s WarmChoice</w:t>
      </w:r>
      <w:r w:rsidRPr="00C80BFE" w:rsidR="007407FE">
        <w:rPr>
          <w:rFonts w:cs="Times New Roman"/>
          <w:szCs w:val="24"/>
        </w:rPr>
        <w:t>®</w:t>
      </w:r>
      <w:r w:rsidR="007407FE">
        <w:rPr>
          <w:rFonts w:cs="Times New Roman"/>
          <w:iCs/>
          <w:szCs w:val="24"/>
        </w:rPr>
        <w:t xml:space="preserve"> </w:t>
      </w:r>
      <w:r>
        <w:rPr>
          <w:rFonts w:cs="Times New Roman"/>
          <w:iCs/>
          <w:szCs w:val="24"/>
        </w:rPr>
        <w:t xml:space="preserve">DSM </w:t>
      </w:r>
      <w:r w:rsidR="007407FE">
        <w:rPr>
          <w:rFonts w:cs="Times New Roman"/>
          <w:iCs/>
          <w:szCs w:val="24"/>
        </w:rPr>
        <w:t>program</w:t>
      </w:r>
      <w:r w:rsidRPr="00C80BFE" w:rsidR="007407FE">
        <w:rPr>
          <w:rFonts w:cs="Times New Roman"/>
          <w:iCs/>
          <w:szCs w:val="24"/>
        </w:rPr>
        <w:t>.</w:t>
      </w:r>
      <w:r>
        <w:rPr>
          <w:rFonts w:cs="Times New Roman"/>
          <w:iCs/>
          <w:szCs w:val="24"/>
        </w:rPr>
        <w:t xml:space="preserve"> In addition, </w:t>
      </w:r>
      <w:r w:rsidR="00C21D5F">
        <w:rPr>
          <w:rFonts w:cs="Times New Roman"/>
          <w:iCs/>
          <w:szCs w:val="24"/>
        </w:rPr>
        <w:t xml:space="preserve">the </w:t>
      </w:r>
      <w:r>
        <w:rPr>
          <w:rFonts w:cs="Times New Roman"/>
          <w:iCs/>
          <w:szCs w:val="24"/>
        </w:rPr>
        <w:t xml:space="preserve">Order </w:t>
      </w:r>
      <w:r w:rsidRPr="00C80BFE">
        <w:rPr>
          <w:rFonts w:cs="Times New Roman"/>
          <w:iCs/>
          <w:szCs w:val="24"/>
        </w:rPr>
        <w:t>provides $3.5 million for bill-payment assistance for Columbia’s low-income consumers including at-risk populations</w:t>
      </w:r>
      <w:r w:rsidR="003800BC">
        <w:rPr>
          <w:rFonts w:cs="Times New Roman"/>
          <w:iCs/>
          <w:szCs w:val="24"/>
        </w:rPr>
        <w:t xml:space="preserve">, at </w:t>
      </w:r>
      <w:r w:rsidRPr="00C80BFE">
        <w:rPr>
          <w:rFonts w:cs="Times New Roman"/>
          <w:iCs/>
          <w:szCs w:val="24"/>
        </w:rPr>
        <w:t>shareholder expense.</w:t>
      </w:r>
      <w:r>
        <w:rPr>
          <w:rStyle w:val="FootnoteReference"/>
          <w:rFonts w:cs="Times New Roman"/>
          <w:iCs/>
          <w:szCs w:val="24"/>
        </w:rPr>
        <w:footnoteReference w:id="35"/>
      </w:r>
      <w:r w:rsidRPr="00C80BFE">
        <w:rPr>
          <w:rFonts w:cs="Times New Roman"/>
          <w:iCs/>
          <w:szCs w:val="24"/>
        </w:rPr>
        <w:t xml:space="preserve"> This will help Columbia’s most vulnerable and at-risk consumers, with up to $450 annually for consumers to avoid disconnection or obtain reconnection.</w:t>
      </w:r>
      <w:r>
        <w:rPr>
          <w:rStyle w:val="FootnoteReference"/>
          <w:rFonts w:cs="Times New Roman"/>
          <w:iCs/>
          <w:szCs w:val="24"/>
        </w:rPr>
        <w:footnoteReference w:id="36"/>
      </w:r>
      <w:r w:rsidRPr="00C80BFE">
        <w:rPr>
          <w:rFonts w:cs="Times New Roman"/>
          <w:iCs/>
          <w:szCs w:val="24"/>
        </w:rPr>
        <w:t xml:space="preserve"> </w:t>
      </w:r>
    </w:p>
    <w:p w:rsidR="007407FE" w:rsidP="00633904" w14:paraId="4253CB67" w14:textId="59DA62D8">
      <w:pPr>
        <w:spacing w:after="0" w:line="480" w:lineRule="auto"/>
        <w:ind w:firstLine="720"/>
        <w:rPr>
          <w:rFonts w:cs="Times New Roman"/>
          <w:iCs/>
          <w:szCs w:val="24"/>
        </w:rPr>
      </w:pPr>
      <w:r>
        <w:rPr>
          <w:rFonts w:cs="Times New Roman"/>
          <w:iCs/>
          <w:szCs w:val="24"/>
        </w:rPr>
        <w:t>In its application for rehearing, CUB Ohio criticizes</w:t>
      </w:r>
      <w:r w:rsidR="00AB12FE">
        <w:rPr>
          <w:rFonts w:cs="Times New Roman"/>
          <w:iCs/>
          <w:szCs w:val="24"/>
        </w:rPr>
        <w:t xml:space="preserve"> OCC witness Adkins’ testimony regarding the benefits</w:t>
      </w:r>
      <w:r>
        <w:rPr>
          <w:rFonts w:cs="Times New Roman"/>
          <w:iCs/>
          <w:szCs w:val="24"/>
        </w:rPr>
        <w:t xml:space="preserve"> and savings to consumers by eliminating the non-low-income DSM program</w:t>
      </w:r>
      <w:r w:rsidR="00AB12FE">
        <w:rPr>
          <w:rFonts w:cs="Times New Roman"/>
          <w:iCs/>
          <w:szCs w:val="24"/>
        </w:rPr>
        <w:t>.</w:t>
      </w:r>
      <w:r>
        <w:rPr>
          <w:rStyle w:val="FootnoteReference"/>
          <w:rFonts w:cs="Times New Roman"/>
          <w:iCs/>
          <w:szCs w:val="24"/>
        </w:rPr>
        <w:footnoteReference w:id="37"/>
      </w:r>
      <w:r>
        <w:rPr>
          <w:rFonts w:cs="Times New Roman"/>
          <w:iCs/>
          <w:szCs w:val="24"/>
        </w:rPr>
        <w:t xml:space="preserve"> </w:t>
      </w:r>
      <w:r w:rsidR="009C3A74">
        <w:rPr>
          <w:rFonts w:cs="Times New Roman"/>
          <w:iCs/>
          <w:szCs w:val="24"/>
        </w:rPr>
        <w:t>Notably</w:t>
      </w:r>
      <w:r>
        <w:rPr>
          <w:rFonts w:cs="Times New Roman"/>
          <w:iCs/>
          <w:szCs w:val="24"/>
        </w:rPr>
        <w:t>,</w:t>
      </w:r>
      <w:r w:rsidR="009C3A74">
        <w:rPr>
          <w:rFonts w:cs="Times New Roman"/>
          <w:iCs/>
          <w:szCs w:val="24"/>
        </w:rPr>
        <w:t xml:space="preserve"> however, Environmental Groups</w:t>
      </w:r>
      <w:r>
        <w:rPr>
          <w:rFonts w:cs="Times New Roman"/>
          <w:iCs/>
          <w:szCs w:val="24"/>
        </w:rPr>
        <w:t xml:space="preserve"> chose not to cross-examine Mr. Adkins on his testimony. Nor did the Environmental Groups offer </w:t>
      </w:r>
      <w:r w:rsidR="009C3A74">
        <w:rPr>
          <w:rFonts w:cs="Times New Roman"/>
          <w:iCs/>
          <w:szCs w:val="24"/>
        </w:rPr>
        <w:t xml:space="preserve">their own </w:t>
      </w:r>
      <w:r>
        <w:rPr>
          <w:rFonts w:cs="Times New Roman"/>
          <w:iCs/>
          <w:szCs w:val="24"/>
        </w:rPr>
        <w:t xml:space="preserve">testimony </w:t>
      </w:r>
      <w:r w:rsidR="007570D0">
        <w:rPr>
          <w:rFonts w:cs="Times New Roman"/>
          <w:iCs/>
          <w:szCs w:val="24"/>
        </w:rPr>
        <w:t xml:space="preserve">to </w:t>
      </w:r>
      <w:r w:rsidR="003F5144">
        <w:rPr>
          <w:rFonts w:cs="Times New Roman"/>
          <w:iCs/>
          <w:szCs w:val="24"/>
        </w:rPr>
        <w:t>specifically</w:t>
      </w:r>
      <w:r w:rsidR="009C3A74">
        <w:rPr>
          <w:rFonts w:cs="Times New Roman"/>
          <w:iCs/>
          <w:szCs w:val="24"/>
        </w:rPr>
        <w:t xml:space="preserve"> refut</w:t>
      </w:r>
      <w:r w:rsidR="007570D0">
        <w:rPr>
          <w:rFonts w:cs="Times New Roman"/>
          <w:iCs/>
          <w:szCs w:val="24"/>
        </w:rPr>
        <w:t>e</w:t>
      </w:r>
      <w:r>
        <w:rPr>
          <w:rFonts w:cs="Times New Roman"/>
          <w:iCs/>
          <w:szCs w:val="24"/>
        </w:rPr>
        <w:t xml:space="preserve"> Mr. Adkins’ testimony that the removal of non-low-income DSM will save consumers nearly $120 million. </w:t>
      </w:r>
      <w:r w:rsidR="00F67123">
        <w:rPr>
          <w:rFonts w:cs="Times New Roman"/>
          <w:iCs/>
          <w:szCs w:val="24"/>
        </w:rPr>
        <w:t>Contrary to Environmental Groups’ claims, the PUCO</w:t>
      </w:r>
      <w:r w:rsidR="009C3A74">
        <w:rPr>
          <w:rFonts w:cs="Times New Roman"/>
          <w:iCs/>
          <w:szCs w:val="24"/>
        </w:rPr>
        <w:t xml:space="preserve"> properly relied</w:t>
      </w:r>
      <w:r w:rsidR="00F67123">
        <w:rPr>
          <w:rFonts w:cs="Times New Roman"/>
          <w:iCs/>
          <w:szCs w:val="24"/>
        </w:rPr>
        <w:t xml:space="preserve"> on Mr. Adkins’ testimony to support approval of the Settlement’s provisions eliminating non-low-income DSM. The PUCO’s Order does not violate R.C. 4903.09.</w:t>
      </w:r>
    </w:p>
    <w:p w:rsidR="00F67123" w:rsidRPr="008B3D23" w:rsidP="008B3D23" w14:paraId="2085AED8" w14:textId="673E3191">
      <w:pPr>
        <w:spacing w:after="0" w:line="480" w:lineRule="auto"/>
        <w:ind w:firstLine="720"/>
        <w:rPr>
          <w:rFonts w:cs="Times New Roman"/>
          <w:szCs w:val="24"/>
        </w:rPr>
      </w:pPr>
      <w:r>
        <w:rPr>
          <w:rFonts w:cs="Times New Roman"/>
          <w:iCs/>
          <w:szCs w:val="24"/>
        </w:rPr>
        <w:t xml:space="preserve">OPAE </w:t>
      </w:r>
      <w:r w:rsidR="008F6988">
        <w:rPr>
          <w:rFonts w:cs="Times New Roman"/>
          <w:iCs/>
          <w:szCs w:val="24"/>
        </w:rPr>
        <w:t>(in</w:t>
      </w:r>
      <w:r w:rsidR="007570D0">
        <w:rPr>
          <w:rFonts w:cs="Times New Roman"/>
          <w:iCs/>
          <w:szCs w:val="24"/>
        </w:rPr>
        <w:t xml:space="preserve"> its</w:t>
      </w:r>
      <w:r w:rsidR="008F6988">
        <w:rPr>
          <w:rFonts w:cs="Times New Roman"/>
          <w:iCs/>
          <w:szCs w:val="24"/>
        </w:rPr>
        <w:t xml:space="preserve"> Assignment of Error B) </w:t>
      </w:r>
      <w:r>
        <w:rPr>
          <w:rFonts w:cs="Times New Roman"/>
          <w:iCs/>
          <w:szCs w:val="24"/>
        </w:rPr>
        <w:t xml:space="preserve">and ELPC further argue that the Order violates R.C. 4903.09 because the PUCO </w:t>
      </w:r>
      <w:r w:rsidR="008B3D23">
        <w:rPr>
          <w:rFonts w:cs="Times New Roman"/>
          <w:szCs w:val="24"/>
        </w:rPr>
        <w:t xml:space="preserve">failed to follow </w:t>
      </w:r>
      <w:r w:rsidR="007570D0">
        <w:rPr>
          <w:rFonts w:cs="Times New Roman"/>
          <w:szCs w:val="24"/>
        </w:rPr>
        <w:t xml:space="preserve">its </w:t>
      </w:r>
      <w:r w:rsidR="008B3D23">
        <w:rPr>
          <w:rFonts w:cs="Times New Roman"/>
          <w:szCs w:val="24"/>
        </w:rPr>
        <w:t>prior decisions approv</w:t>
      </w:r>
      <w:r w:rsidR="007570D0">
        <w:rPr>
          <w:rFonts w:cs="Times New Roman"/>
          <w:szCs w:val="24"/>
        </w:rPr>
        <w:t>ing</w:t>
      </w:r>
      <w:r w:rsidR="008B3D23">
        <w:rPr>
          <w:rFonts w:cs="Times New Roman"/>
          <w:szCs w:val="24"/>
        </w:rPr>
        <w:t xml:space="preserve"> non-low-income DSM programs</w:t>
      </w:r>
      <w:r>
        <w:rPr>
          <w:rFonts w:cs="Times New Roman"/>
          <w:iCs/>
          <w:szCs w:val="24"/>
        </w:rPr>
        <w:t>.</w:t>
      </w:r>
      <w:r>
        <w:rPr>
          <w:rStyle w:val="FootnoteReference"/>
          <w:rFonts w:cs="Times New Roman"/>
          <w:iCs/>
          <w:szCs w:val="24"/>
        </w:rPr>
        <w:footnoteReference w:id="38"/>
      </w:r>
      <w:r>
        <w:rPr>
          <w:rFonts w:cs="Times New Roman"/>
          <w:iCs/>
          <w:szCs w:val="24"/>
        </w:rPr>
        <w:t xml:space="preserve"> </w:t>
      </w:r>
      <w:r>
        <w:rPr>
          <w:rFonts w:cs="Times New Roman"/>
          <w:szCs w:val="24"/>
        </w:rPr>
        <w:t>According to OPAE, the PUCO’s Order is a “stark departure from its prior precedent” and the PUCO “is taking a position that it has repeatedly rejected the last five years, including as recently as January 2021, without adequately explaining why.”</w:t>
      </w:r>
      <w:r>
        <w:rPr>
          <w:rStyle w:val="FootnoteReference"/>
          <w:rFonts w:cs="Times New Roman"/>
          <w:szCs w:val="24"/>
        </w:rPr>
        <w:footnoteReference w:id="39"/>
      </w:r>
      <w:r>
        <w:rPr>
          <w:rFonts w:cs="Times New Roman"/>
          <w:szCs w:val="24"/>
        </w:rPr>
        <w:t xml:space="preserve"> </w:t>
      </w:r>
      <w:r w:rsidR="008B3D23">
        <w:rPr>
          <w:rFonts w:cs="Times New Roman"/>
          <w:szCs w:val="24"/>
        </w:rPr>
        <w:t>That is simply not true.</w:t>
      </w:r>
    </w:p>
    <w:p w:rsidR="001E2FA4" w:rsidRPr="00C80BFE" w:rsidP="001E2FA4" w14:paraId="6F3CF631" w14:textId="69733D37">
      <w:pPr>
        <w:spacing w:after="0" w:line="480" w:lineRule="auto"/>
        <w:ind w:firstLine="720"/>
        <w:rPr>
          <w:rFonts w:cs="Times New Roman"/>
          <w:szCs w:val="24"/>
        </w:rPr>
      </w:pPr>
      <w:r>
        <w:rPr>
          <w:rFonts w:cs="Times New Roman"/>
          <w:szCs w:val="24"/>
        </w:rPr>
        <w:t>Indeed, t</w:t>
      </w:r>
      <w:r w:rsidRPr="00C80BFE">
        <w:rPr>
          <w:rFonts w:cs="Times New Roman"/>
          <w:szCs w:val="24"/>
        </w:rPr>
        <w:t xml:space="preserve">he PUCO has rejected </w:t>
      </w:r>
      <w:r w:rsidRPr="008B3D23">
        <w:rPr>
          <w:rFonts w:cs="Times New Roman"/>
          <w:i/>
          <w:iCs/>
          <w:szCs w:val="24"/>
        </w:rPr>
        <w:t>virtually identical</w:t>
      </w:r>
      <w:r w:rsidRPr="00C80BFE">
        <w:rPr>
          <w:rFonts w:cs="Times New Roman"/>
          <w:szCs w:val="24"/>
        </w:rPr>
        <w:t xml:space="preserve"> claims by ELPC and OPAE in AEP’s most recent rate case.</w:t>
      </w:r>
      <w:r>
        <w:rPr>
          <w:rStyle w:val="FootnoteReference"/>
          <w:rFonts w:cs="Times New Roman"/>
          <w:szCs w:val="24"/>
        </w:rPr>
        <w:footnoteReference w:id="40"/>
      </w:r>
      <w:r w:rsidRPr="00C80BFE">
        <w:rPr>
          <w:rFonts w:cs="Times New Roman"/>
          <w:szCs w:val="24"/>
        </w:rPr>
        <w:t xml:space="preserve"> In </w:t>
      </w:r>
      <w:r w:rsidR="00DB7D42">
        <w:rPr>
          <w:rFonts w:cs="Times New Roman"/>
          <w:szCs w:val="24"/>
        </w:rPr>
        <w:t xml:space="preserve">a contested part of the </w:t>
      </w:r>
      <w:r w:rsidRPr="00C80BFE">
        <w:rPr>
          <w:rFonts w:cs="Times New Roman"/>
          <w:szCs w:val="24"/>
        </w:rPr>
        <w:t xml:space="preserve">AEP rate case, the PUCO approved </w:t>
      </w:r>
      <w:r w:rsidR="00AA02FF">
        <w:rPr>
          <w:rFonts w:cs="Times New Roman"/>
          <w:szCs w:val="24"/>
        </w:rPr>
        <w:t>– in</w:t>
      </w:r>
      <w:r>
        <w:rPr>
          <w:rFonts w:cs="Times New Roman"/>
          <w:szCs w:val="24"/>
        </w:rPr>
        <w:t xml:space="preserve"> November 2021</w:t>
      </w:r>
      <w:r w:rsidR="00AA02FF">
        <w:rPr>
          <w:rFonts w:cs="Times New Roman"/>
          <w:szCs w:val="24"/>
        </w:rPr>
        <w:t xml:space="preserve"> – a </w:t>
      </w:r>
      <w:r w:rsidRPr="00C80BFE">
        <w:rPr>
          <w:rFonts w:cs="Times New Roman"/>
          <w:szCs w:val="24"/>
        </w:rPr>
        <w:t xml:space="preserve">settlement that removed AEP’s initially proposed DSM program </w:t>
      </w:r>
      <w:r w:rsidRPr="00C80BFE">
        <w:rPr>
          <w:rFonts w:cs="Times New Roman"/>
          <w:i/>
          <w:iCs/>
          <w:szCs w:val="24"/>
        </w:rPr>
        <w:t>in its entirety</w:t>
      </w:r>
      <w:r w:rsidRPr="00C80BFE">
        <w:rPr>
          <w:rFonts w:cs="Times New Roman"/>
          <w:szCs w:val="24"/>
        </w:rPr>
        <w:t xml:space="preserve">. That </w:t>
      </w:r>
      <w:r w:rsidR="00AA02FF">
        <w:rPr>
          <w:rFonts w:cs="Times New Roman"/>
          <w:szCs w:val="24"/>
        </w:rPr>
        <w:t xml:space="preserve">is exactly what </w:t>
      </w:r>
      <w:r w:rsidRPr="00C80BFE">
        <w:rPr>
          <w:rFonts w:cs="Times New Roman"/>
          <w:szCs w:val="24"/>
        </w:rPr>
        <w:t>Columbia</w:t>
      </w:r>
      <w:r w:rsidR="00AA02FF">
        <w:rPr>
          <w:rFonts w:cs="Times New Roman"/>
          <w:szCs w:val="24"/>
        </w:rPr>
        <w:t xml:space="preserve"> did in this case (and what the PUCO approved), except that here, </w:t>
      </w:r>
      <w:r w:rsidRPr="00C80BFE">
        <w:rPr>
          <w:rFonts w:cs="Times New Roman"/>
          <w:szCs w:val="24"/>
        </w:rPr>
        <w:t xml:space="preserve">the Settlement </w:t>
      </w:r>
      <w:r w:rsidRPr="007570D0" w:rsidR="00AA02FF">
        <w:rPr>
          <w:rFonts w:cs="Times New Roman"/>
          <w:szCs w:val="24"/>
        </w:rPr>
        <w:t>include</w:t>
      </w:r>
      <w:r w:rsidR="007570D0">
        <w:rPr>
          <w:rFonts w:cs="Times New Roman"/>
          <w:szCs w:val="24"/>
        </w:rPr>
        <w:t>s</w:t>
      </w:r>
      <w:r w:rsidRPr="007570D0">
        <w:rPr>
          <w:rFonts w:cs="Times New Roman"/>
          <w:szCs w:val="24"/>
        </w:rPr>
        <w:t xml:space="preserve"> over $70 million in low-income weatherization</w:t>
      </w:r>
      <w:r w:rsidRPr="00AA02FF">
        <w:rPr>
          <w:rFonts w:cs="Times New Roman"/>
          <w:i/>
          <w:iCs/>
          <w:szCs w:val="24"/>
        </w:rPr>
        <w:t xml:space="preserve"> </w:t>
      </w:r>
      <w:r w:rsidRPr="00AA02FF">
        <w:rPr>
          <w:rFonts w:cs="Times New Roman"/>
          <w:szCs w:val="24"/>
        </w:rPr>
        <w:t>through the WarmChoice® program</w:t>
      </w:r>
      <w:r w:rsidRPr="00C80BFE">
        <w:rPr>
          <w:rFonts w:cs="Times New Roman"/>
          <w:szCs w:val="24"/>
        </w:rPr>
        <w:t xml:space="preserve">. </w:t>
      </w:r>
    </w:p>
    <w:p w:rsidR="001E2FA4" w:rsidRPr="00C80BFE" w:rsidP="001E2FA4" w14:paraId="10BDAF0A" w14:textId="77777777">
      <w:pPr>
        <w:spacing w:after="0" w:line="480" w:lineRule="auto"/>
        <w:ind w:firstLine="720"/>
        <w:rPr>
          <w:rFonts w:cs="Times New Roman"/>
          <w:szCs w:val="24"/>
        </w:rPr>
      </w:pPr>
      <w:r w:rsidRPr="00C80BFE">
        <w:rPr>
          <w:rFonts w:cs="Times New Roman"/>
          <w:szCs w:val="24"/>
        </w:rPr>
        <w:t>In the order approving the AEP rate case settlement, the PUCO found that:</w:t>
      </w:r>
    </w:p>
    <w:p w:rsidR="001E2FA4" w:rsidRPr="00C80BFE" w:rsidP="001E2FA4" w14:paraId="57F0C236" w14:textId="2F295031">
      <w:pPr>
        <w:spacing w:after="0" w:line="240" w:lineRule="auto"/>
        <w:ind w:left="720" w:right="720"/>
        <w:rPr>
          <w:rFonts w:cs="Times New Roman"/>
          <w:szCs w:val="24"/>
        </w:rPr>
      </w:pPr>
      <w:r w:rsidRPr="00C80BFE">
        <w:rPr>
          <w:rFonts w:cs="Times New Roman"/>
          <w:szCs w:val="24"/>
        </w:rPr>
        <w:t xml:space="preserve">OPAE and </w:t>
      </w:r>
      <w:r w:rsidR="007570D0">
        <w:rPr>
          <w:rFonts w:cs="Times New Roman"/>
          <w:szCs w:val="24"/>
        </w:rPr>
        <w:t>[ELPC]</w:t>
      </w:r>
      <w:r w:rsidRPr="00C80BFE">
        <w:rPr>
          <w:rFonts w:cs="Times New Roman"/>
          <w:szCs w:val="24"/>
        </w:rPr>
        <w:t xml:space="preserve"> have not shown that, by omitting a DSM plan from its provisions, the Stipulation fails to comply with the third part of the three part test. We agree with the Signatory Parties that there is no basis, under current Ohio law, to conclude that electric distribution rates are inherently unjust or unreasonable if they do not include a DSM component. </w:t>
      </w:r>
      <w:r w:rsidRPr="00C80BFE">
        <w:rPr>
          <w:rFonts w:cs="Times New Roman"/>
          <w:b/>
          <w:bCs/>
          <w:i/>
          <w:iCs/>
          <w:szCs w:val="24"/>
        </w:rPr>
        <w:t>Contrary to the position of OPAE and Environmental Advocates, no portion of R.C. 4905.70 requires the Commission to mandate the implementation of a DSM plan as part of a distribution rate case. Neither does R.C. 4928.02 dictate such an outcome.</w:t>
      </w:r>
      <w:r w:rsidRPr="00C80BFE">
        <w:rPr>
          <w:rFonts w:cs="Times New Roman"/>
          <w:szCs w:val="24"/>
        </w:rPr>
        <w:t xml:space="preserve"> Further, </w:t>
      </w:r>
      <w:r w:rsidR="007570D0">
        <w:rPr>
          <w:rFonts w:cs="Times New Roman"/>
          <w:szCs w:val="24"/>
        </w:rPr>
        <w:t>[ELPC has]</w:t>
      </w:r>
      <w:r w:rsidRPr="00C80BFE">
        <w:rPr>
          <w:rFonts w:cs="Times New Roman"/>
          <w:szCs w:val="24"/>
        </w:rPr>
        <w:t xml:space="preserve"> not supported their contention that the Stipulation will result in customers paying for electricity that they do not need. </w:t>
      </w:r>
      <w:r w:rsidRPr="00C80BFE">
        <w:rPr>
          <w:rFonts w:cs="Times New Roman"/>
          <w:b/>
          <w:bCs/>
          <w:i/>
          <w:iCs/>
          <w:szCs w:val="24"/>
        </w:rPr>
        <w:t>No part of the Stipulation precludes customers from undertaking energy efficiency measures on their own initiative through market-based products or services.</w:t>
      </w:r>
      <w:r w:rsidRPr="00C80BFE">
        <w:rPr>
          <w:rFonts w:cs="Times New Roman"/>
          <w:szCs w:val="24"/>
        </w:rPr>
        <w:t xml:space="preserve"> Although we find that OPAE and </w:t>
      </w:r>
      <w:r w:rsidR="007570D0">
        <w:rPr>
          <w:rFonts w:cs="Times New Roman"/>
          <w:szCs w:val="24"/>
        </w:rPr>
        <w:t>[ELPC]</w:t>
      </w:r>
      <w:r w:rsidRPr="00C80BFE">
        <w:rPr>
          <w:rFonts w:cs="Times New Roman"/>
          <w:szCs w:val="24"/>
        </w:rPr>
        <w:t xml:space="preserve"> have not sustained their position here, we note that the Commission has announced its intention to hold a series of energy efficiency workshops to solicit the views of interested stakeholders on whether cost-effective energy efficiency programs are an appropriate tool to manage electric generation costs and how such programs fit into Ohio’s competitive retail electric and natural gas markets. We, therefore, plan to fully consider these issues in a broader context than the distribution rate case of a single electric distribution utility.</w:t>
      </w:r>
      <w:r>
        <w:rPr>
          <w:rStyle w:val="FootnoteReference"/>
          <w:rFonts w:cs="Times New Roman"/>
          <w:szCs w:val="24"/>
        </w:rPr>
        <w:footnoteReference w:id="41"/>
      </w:r>
    </w:p>
    <w:p w:rsidR="001E2FA4" w:rsidRPr="00C80BFE" w:rsidP="001E2FA4" w14:paraId="4A577891" w14:textId="77777777">
      <w:pPr>
        <w:spacing w:after="0" w:line="240" w:lineRule="auto"/>
        <w:ind w:left="720" w:right="720"/>
        <w:rPr>
          <w:rFonts w:cs="Times New Roman"/>
          <w:szCs w:val="24"/>
        </w:rPr>
      </w:pPr>
    </w:p>
    <w:p w:rsidR="001B7E5A" w:rsidP="004A01E2" w14:paraId="0B7FC3A8" w14:textId="77777777">
      <w:pPr>
        <w:spacing w:after="0" w:line="480" w:lineRule="auto"/>
        <w:ind w:firstLine="720"/>
        <w:rPr>
          <w:rFonts w:cs="Times New Roman"/>
          <w:szCs w:val="24"/>
        </w:rPr>
      </w:pPr>
      <w:r>
        <w:rPr>
          <w:rFonts w:cs="Times New Roman"/>
          <w:szCs w:val="24"/>
        </w:rPr>
        <w:t>T</w:t>
      </w:r>
      <w:r w:rsidR="008B3D23">
        <w:rPr>
          <w:rFonts w:cs="Times New Roman"/>
          <w:szCs w:val="24"/>
        </w:rPr>
        <w:t xml:space="preserve">he PUCO’s Order approving the Settlement’s removal of non-low-income DSM is consistent with the PUCO’s more recent (November 2021) precedent in the AEP </w:t>
      </w:r>
      <w:r w:rsidR="007570D0">
        <w:rPr>
          <w:rFonts w:cs="Times New Roman"/>
          <w:szCs w:val="24"/>
        </w:rPr>
        <w:t>Rate Case Order</w:t>
      </w:r>
      <w:r w:rsidR="008B3D23">
        <w:rPr>
          <w:rFonts w:cs="Times New Roman"/>
          <w:szCs w:val="24"/>
        </w:rPr>
        <w:t xml:space="preserve">. </w:t>
      </w:r>
      <w:r w:rsidR="004A01E2">
        <w:rPr>
          <w:rFonts w:cs="Times New Roman"/>
          <w:szCs w:val="24"/>
        </w:rPr>
        <w:t>I</w:t>
      </w:r>
      <w:r w:rsidR="00170415">
        <w:rPr>
          <w:rFonts w:cs="Times New Roman"/>
          <w:szCs w:val="24"/>
        </w:rPr>
        <w:t>t is</w:t>
      </w:r>
      <w:r w:rsidR="004A01E2">
        <w:rPr>
          <w:rFonts w:cs="Times New Roman"/>
          <w:szCs w:val="24"/>
        </w:rPr>
        <w:t xml:space="preserve"> also</w:t>
      </w:r>
      <w:r w:rsidR="00170415">
        <w:rPr>
          <w:rFonts w:cs="Times New Roman"/>
          <w:szCs w:val="24"/>
        </w:rPr>
        <w:t xml:space="preserve"> worth noting </w:t>
      </w:r>
      <w:r w:rsidR="007570D0">
        <w:rPr>
          <w:rFonts w:cs="Times New Roman"/>
          <w:szCs w:val="24"/>
        </w:rPr>
        <w:t>that</w:t>
      </w:r>
      <w:r w:rsidR="00170415">
        <w:rPr>
          <w:rFonts w:cs="Times New Roman"/>
          <w:szCs w:val="24"/>
        </w:rPr>
        <w:t xml:space="preserve"> neither ELPC nor OPAE filed an application for rehearing of the </w:t>
      </w:r>
      <w:r w:rsidR="007570D0">
        <w:rPr>
          <w:rFonts w:cs="Times New Roman"/>
          <w:szCs w:val="24"/>
        </w:rPr>
        <w:t>AEP Rate Case Order</w:t>
      </w:r>
      <w:r w:rsidR="00170415">
        <w:rPr>
          <w:rFonts w:cs="Times New Roman"/>
          <w:szCs w:val="24"/>
        </w:rPr>
        <w:t xml:space="preserve"> removing the DSM program. </w:t>
      </w:r>
    </w:p>
    <w:p w:rsidR="00AA02FF" w:rsidP="004A01E2" w14:paraId="1B9051E5" w14:textId="3C1766DF">
      <w:pPr>
        <w:spacing w:after="0" w:line="480" w:lineRule="auto"/>
        <w:ind w:firstLine="720"/>
        <w:rPr>
          <w:rFonts w:cs="Times New Roman"/>
          <w:szCs w:val="24"/>
        </w:rPr>
      </w:pPr>
      <w:r>
        <w:rPr>
          <w:rFonts w:cs="Times New Roman"/>
          <w:szCs w:val="24"/>
        </w:rPr>
        <w:t xml:space="preserve">The Order is also consistent with the PUCO’s recent decision in AES Ohio’s rate case that </w:t>
      </w:r>
      <w:r>
        <w:t>“[a]t this time, we are unwilling to consider the broad DSM programming that the Company proposes in this distribution rate case.”</w:t>
      </w:r>
      <w:r>
        <w:rPr>
          <w:rStyle w:val="FootnoteReference"/>
        </w:rPr>
        <w:footnoteReference w:id="42"/>
      </w:r>
      <w:r>
        <w:t xml:space="preserve"> </w:t>
      </w:r>
      <w:r>
        <w:rPr>
          <w:rFonts w:cs="Times New Roman"/>
          <w:szCs w:val="24"/>
        </w:rPr>
        <w:t xml:space="preserve">OPAE’s and ELPC’s claims that the Order </w:t>
      </w:r>
      <w:r w:rsidR="00170415">
        <w:rPr>
          <w:rFonts w:cs="Times New Roman"/>
          <w:szCs w:val="24"/>
        </w:rPr>
        <w:t>approving the Settlement in this case</w:t>
      </w:r>
      <w:r w:rsidR="007570D0">
        <w:rPr>
          <w:rFonts w:cs="Times New Roman"/>
          <w:szCs w:val="24"/>
        </w:rPr>
        <w:t xml:space="preserve"> </w:t>
      </w:r>
      <w:r>
        <w:rPr>
          <w:rFonts w:cs="Times New Roman"/>
          <w:szCs w:val="24"/>
        </w:rPr>
        <w:t>somehow violates</w:t>
      </w:r>
      <w:r w:rsidR="007570D0">
        <w:rPr>
          <w:rFonts w:cs="Times New Roman"/>
          <w:szCs w:val="24"/>
        </w:rPr>
        <w:t xml:space="preserve"> the PUCO’s</w:t>
      </w:r>
      <w:r>
        <w:rPr>
          <w:rFonts w:cs="Times New Roman"/>
          <w:szCs w:val="24"/>
        </w:rPr>
        <w:t xml:space="preserve"> prior precedent or R.C. 4903.09 </w:t>
      </w:r>
      <w:r w:rsidR="00170415">
        <w:rPr>
          <w:rFonts w:cs="Times New Roman"/>
          <w:szCs w:val="24"/>
        </w:rPr>
        <w:t>should be rejected</w:t>
      </w:r>
      <w:r>
        <w:rPr>
          <w:rFonts w:cs="Times New Roman"/>
          <w:szCs w:val="24"/>
        </w:rPr>
        <w:t xml:space="preserve">. </w:t>
      </w:r>
    </w:p>
    <w:p w:rsidR="00B3245C" w:rsidP="00170415" w14:paraId="25977556" w14:textId="533C83BE">
      <w:pPr>
        <w:spacing w:after="0" w:line="480" w:lineRule="auto"/>
        <w:ind w:firstLine="720"/>
        <w:rPr>
          <w:rFonts w:cs="Times New Roman"/>
          <w:szCs w:val="24"/>
        </w:rPr>
      </w:pPr>
      <w:r>
        <w:rPr>
          <w:rFonts w:cs="Times New Roman"/>
          <w:szCs w:val="24"/>
        </w:rPr>
        <w:t>The PUCO should also reject</w:t>
      </w:r>
      <w:r w:rsidR="00047D59">
        <w:rPr>
          <w:rFonts w:cs="Times New Roman"/>
          <w:szCs w:val="24"/>
        </w:rPr>
        <w:t xml:space="preserve"> the</w:t>
      </w:r>
      <w:r>
        <w:rPr>
          <w:rFonts w:cs="Times New Roman"/>
          <w:szCs w:val="24"/>
        </w:rPr>
        <w:t xml:space="preserve"> </w:t>
      </w:r>
      <w:r w:rsidR="00176B0E">
        <w:rPr>
          <w:rFonts w:cs="Times New Roman"/>
          <w:szCs w:val="24"/>
        </w:rPr>
        <w:t>Environmental Groups’</w:t>
      </w:r>
      <w:r>
        <w:rPr>
          <w:rFonts w:cs="Times New Roman"/>
          <w:szCs w:val="24"/>
        </w:rPr>
        <w:t xml:space="preserve"> claims</w:t>
      </w:r>
      <w:r>
        <w:rPr>
          <w:rStyle w:val="FootnoteReference"/>
          <w:rFonts w:cs="Times New Roman"/>
          <w:szCs w:val="24"/>
        </w:rPr>
        <w:footnoteReference w:id="43"/>
      </w:r>
      <w:r>
        <w:rPr>
          <w:rFonts w:cs="Times New Roman"/>
          <w:szCs w:val="24"/>
        </w:rPr>
        <w:t xml:space="preserve"> that no evidence support</w:t>
      </w:r>
      <w:r w:rsidR="00047D59">
        <w:rPr>
          <w:rFonts w:cs="Times New Roman"/>
          <w:szCs w:val="24"/>
        </w:rPr>
        <w:t>s</w:t>
      </w:r>
      <w:r>
        <w:rPr>
          <w:rFonts w:cs="Times New Roman"/>
          <w:szCs w:val="24"/>
        </w:rPr>
        <w:t xml:space="preserve"> the PUCO’s </w:t>
      </w:r>
      <w:r w:rsidR="00047D59">
        <w:rPr>
          <w:rFonts w:cs="Times New Roman"/>
          <w:szCs w:val="24"/>
        </w:rPr>
        <w:t>determination</w:t>
      </w:r>
      <w:r>
        <w:rPr>
          <w:rFonts w:cs="Times New Roman"/>
          <w:szCs w:val="24"/>
        </w:rPr>
        <w:t xml:space="preserve"> that</w:t>
      </w:r>
      <w:r w:rsidR="00047D59">
        <w:rPr>
          <w:rFonts w:cs="Times New Roman"/>
          <w:szCs w:val="24"/>
        </w:rPr>
        <w:t xml:space="preserve"> </w:t>
      </w:r>
      <w:r w:rsidR="00047D59">
        <w:t>“[i]t is time to look to competitive markets to play a more significant role in the provision of energy efficiency services in this state.”</w:t>
      </w:r>
      <w:r>
        <w:rPr>
          <w:rStyle w:val="FootnoteReference"/>
        </w:rPr>
        <w:footnoteReference w:id="44"/>
      </w:r>
      <w:r w:rsidR="00176B0E">
        <w:rPr>
          <w:rFonts w:cs="Times New Roman"/>
          <w:szCs w:val="24"/>
        </w:rPr>
        <w:t xml:space="preserve"> </w:t>
      </w:r>
      <w:r w:rsidR="00957A19">
        <w:rPr>
          <w:rFonts w:cs="Times New Roman"/>
          <w:szCs w:val="24"/>
        </w:rPr>
        <w:t xml:space="preserve">Again, </w:t>
      </w:r>
      <w:r w:rsidR="00047D59">
        <w:rPr>
          <w:rFonts w:cs="Times New Roman"/>
          <w:szCs w:val="24"/>
        </w:rPr>
        <w:t>OPAE argues that the PUCO departed from prior precedent without explaining its opinion</w:t>
      </w:r>
      <w:r w:rsidR="00957A19">
        <w:rPr>
          <w:rFonts w:cs="Times New Roman"/>
          <w:szCs w:val="24"/>
        </w:rPr>
        <w:t>.</w:t>
      </w:r>
      <w:r>
        <w:rPr>
          <w:rStyle w:val="FootnoteReference"/>
          <w:rFonts w:cs="Times New Roman"/>
          <w:szCs w:val="24"/>
        </w:rPr>
        <w:footnoteReference w:id="45"/>
      </w:r>
      <w:r w:rsidR="00957A19">
        <w:rPr>
          <w:rFonts w:cs="Times New Roman"/>
          <w:szCs w:val="24"/>
        </w:rPr>
        <w:t xml:space="preserve"> </w:t>
      </w:r>
    </w:p>
    <w:p w:rsidR="008B3D23" w:rsidP="00170415" w14:paraId="1593DDC4" w14:textId="7A19FCEF">
      <w:pPr>
        <w:spacing w:after="0" w:line="480" w:lineRule="auto"/>
        <w:ind w:firstLine="720"/>
      </w:pPr>
      <w:r>
        <w:rPr>
          <w:rFonts w:cs="Times New Roman"/>
          <w:szCs w:val="24"/>
        </w:rPr>
        <w:t xml:space="preserve">However, the PUCO’s Order is consistent with the AEP </w:t>
      </w:r>
      <w:r w:rsidR="007570D0">
        <w:rPr>
          <w:rFonts w:cs="Times New Roman"/>
          <w:szCs w:val="24"/>
        </w:rPr>
        <w:t>R</w:t>
      </w:r>
      <w:r>
        <w:rPr>
          <w:rFonts w:cs="Times New Roman"/>
          <w:szCs w:val="24"/>
        </w:rPr>
        <w:t xml:space="preserve">ate </w:t>
      </w:r>
      <w:r w:rsidR="007570D0">
        <w:rPr>
          <w:rFonts w:cs="Times New Roman"/>
          <w:szCs w:val="24"/>
        </w:rPr>
        <w:t>C</w:t>
      </w:r>
      <w:r>
        <w:rPr>
          <w:rFonts w:cs="Times New Roman"/>
          <w:szCs w:val="24"/>
        </w:rPr>
        <w:t xml:space="preserve">ase </w:t>
      </w:r>
      <w:r w:rsidR="007570D0">
        <w:rPr>
          <w:rFonts w:cs="Times New Roman"/>
          <w:szCs w:val="24"/>
        </w:rPr>
        <w:t>O</w:t>
      </w:r>
      <w:r>
        <w:rPr>
          <w:rFonts w:cs="Times New Roman"/>
          <w:szCs w:val="24"/>
        </w:rPr>
        <w:t>rder. In addition, the PUCO specifically found that eliminating the non-low-income DSM program serves state policy in R.C. 4929.02 by “</w:t>
      </w:r>
      <w:r>
        <w:t>promot[ing] the competitive market by relying on competitive suppliers to provide energy efficiency services to customers.”</w:t>
      </w:r>
      <w:r>
        <w:rPr>
          <w:rStyle w:val="FootnoteReference"/>
        </w:rPr>
        <w:footnoteReference w:id="46"/>
      </w:r>
      <w:r>
        <w:t xml:space="preserve"> The PUCO further noted that the Settlement “provides for the continuation of the WarmChoice program for low-income customers in order to protect at-risk populations who may be unable to afford market-based services.”</w:t>
      </w:r>
      <w:r>
        <w:rPr>
          <w:rStyle w:val="FootnoteReference"/>
        </w:rPr>
        <w:footnoteReference w:id="47"/>
      </w:r>
      <w:r w:rsidR="00B3245C">
        <w:t xml:space="preserve"> So the PUCO followed the law</w:t>
      </w:r>
      <w:r w:rsidR="00973561">
        <w:t>.</w:t>
      </w:r>
    </w:p>
    <w:p w:rsidR="00DD3122" w:rsidP="00DD3122" w14:paraId="15BB8268" w14:textId="77777777">
      <w:pPr>
        <w:spacing w:after="0" w:line="480" w:lineRule="auto"/>
        <w:ind w:firstLine="720"/>
        <w:rPr>
          <w:rFonts w:cs="Times New Roman"/>
          <w:szCs w:val="24"/>
        </w:rPr>
      </w:pPr>
      <w:r>
        <w:rPr>
          <w:rFonts w:cs="Times New Roman"/>
          <w:szCs w:val="24"/>
        </w:rPr>
        <w:t xml:space="preserve">The PUCO also discussed the evidence that consumers will have alternative assistance for funding for non-low-income DSM (without charging utility consumers). </w:t>
      </w:r>
    </w:p>
    <w:p w:rsidR="00DD3122" w:rsidP="00DD3122" w14:paraId="55867CF6" w14:textId="77777777">
      <w:pPr>
        <w:spacing w:after="0" w:line="240" w:lineRule="auto"/>
        <w:ind w:left="720" w:right="720"/>
      </w:pPr>
      <w:r>
        <w:t xml:space="preserve">With respect to the funding for the WarmChoice program, we note that OPAE witness Peoples provided compelling testimony regarding the need for additional funding for weatherization efforts (OPAE Ex. 2). The Commission is mindful of the need for funding for weatherization, particularly with respect to at-risk populations, and we expect Columbia to diligently pursue additional, non-ratepayer funding for weatherization for low-income customers, as required by the Stipulation (Jt. Ex. 1 at 12). </w:t>
      </w:r>
      <w:r w:rsidRPr="0035328C">
        <w:rPr>
          <w:b/>
          <w:bCs/>
          <w:i/>
          <w:iCs/>
        </w:rPr>
        <w:t>However, the record is clear that the WarmChoice program is not the only source of funding for weatherization programs (Tr. 120-121), and the Commission must balance the need for additional weatherization resources with the impact upon the customers who fund such resources.</w:t>
      </w:r>
      <w:r>
        <w:t xml:space="preserve"> The Stipulation provides for WarmChoice funding in the amount of $14.9 million per year for five years. This represents a significant commitment of ratepayer funding.</w:t>
      </w:r>
      <w:r>
        <w:rPr>
          <w:rStyle w:val="FootnoteReference"/>
        </w:rPr>
        <w:footnoteReference w:id="48"/>
      </w:r>
    </w:p>
    <w:p w:rsidR="00DD3122" w:rsidP="00DD3122" w14:paraId="2374D784" w14:textId="77777777">
      <w:pPr>
        <w:spacing w:after="0" w:line="240" w:lineRule="auto"/>
        <w:ind w:right="720"/>
      </w:pPr>
    </w:p>
    <w:p w:rsidR="00DD3122" w:rsidP="00DD3122" w14:paraId="76542926" w14:textId="71883334">
      <w:pPr>
        <w:spacing w:after="0" w:line="480" w:lineRule="auto"/>
      </w:pPr>
      <w:r>
        <w:t>Regarding DSM funding, it is important to note that both the federal Inflation Reduction Act</w:t>
      </w:r>
      <w:r>
        <w:rPr>
          <w:rStyle w:val="FootnoteReference"/>
        </w:rPr>
        <w:footnoteReference w:id="49"/>
      </w:r>
      <w:r>
        <w:t xml:space="preserve"> and the Infrastructure Investment and Jobs Act</w:t>
      </w:r>
      <w:r>
        <w:rPr>
          <w:rStyle w:val="FootnoteReference"/>
        </w:rPr>
        <w:footnoteReference w:id="50"/>
      </w:r>
      <w:r>
        <w:t xml:space="preserve"> provide incentives for home weatherization DSM programs for Americans.</w:t>
      </w:r>
    </w:p>
    <w:p w:rsidR="003E729F" w:rsidP="00170415" w14:paraId="5C96EEA5" w14:textId="77777777">
      <w:pPr>
        <w:spacing w:after="0" w:line="480" w:lineRule="auto"/>
        <w:ind w:firstLine="720"/>
      </w:pPr>
      <w:r>
        <w:t>Environmental Groups argue that there is no evidence that competitive suppliers will provide the DSM services.</w:t>
      </w:r>
      <w:r>
        <w:rPr>
          <w:rStyle w:val="FootnoteReference"/>
        </w:rPr>
        <w:footnoteReference w:id="51"/>
      </w:r>
      <w:r w:rsidR="006024DA">
        <w:t xml:space="preserve"> However, CUB Ohio witness Bullock acknowledged during examination from the Attorney Examiner that “nothing in the [Settlement] precludes a customer from getting DSM services from a competitive natural gas supplier and that nothing in the [Settlement] precludes a competitive natural gas supplier from offering demand-side management services to their customers (Tr. at 107).”</w:t>
      </w:r>
      <w:r>
        <w:rPr>
          <w:rStyle w:val="FootnoteReference"/>
        </w:rPr>
        <w:footnoteReference w:id="52"/>
      </w:r>
      <w:r w:rsidR="006024DA">
        <w:t xml:space="preserve"> </w:t>
      </w:r>
    </w:p>
    <w:p w:rsidR="00CE7698" w:rsidP="00170415" w14:paraId="646114B3" w14:textId="5FD85CC7">
      <w:pPr>
        <w:spacing w:after="0" w:line="480" w:lineRule="auto"/>
        <w:ind w:firstLine="720"/>
      </w:pPr>
      <w:r>
        <w:t xml:space="preserve">In its application for rehearing, CUB Ohio </w:t>
      </w:r>
      <w:r w:rsidR="00A176C6">
        <w:t xml:space="preserve">attempts to </w:t>
      </w:r>
      <w:r w:rsidR="003E729F">
        <w:t>walk</w:t>
      </w:r>
      <w:r w:rsidR="00DF6807">
        <w:t>-</w:t>
      </w:r>
      <w:r w:rsidR="003E729F">
        <w:t>back</w:t>
      </w:r>
      <w:r>
        <w:t xml:space="preserve"> Mr. Bullock’s admission by arguing that </w:t>
      </w:r>
      <w:r w:rsidR="000714FA">
        <w:t>consumers, particularly at-risk and elderly consumers need “tailored utility programs” to help them navigate “a highly complex and technical field like energy.”</w:t>
      </w:r>
      <w:r>
        <w:rPr>
          <w:rStyle w:val="FootnoteReference"/>
        </w:rPr>
        <w:footnoteReference w:id="53"/>
      </w:r>
      <w:r w:rsidR="000714FA">
        <w:t xml:space="preserve"> CUB Ohio</w:t>
      </w:r>
      <w:r w:rsidR="00A176C6">
        <w:t xml:space="preserve"> cites no evidence to support its</w:t>
      </w:r>
      <w:r w:rsidR="000714FA">
        <w:t xml:space="preserve"> argument</w:t>
      </w:r>
      <w:r w:rsidR="00A176C6">
        <w:t xml:space="preserve"> that “tailored utility programs” are necessary</w:t>
      </w:r>
      <w:r w:rsidR="000714FA">
        <w:t xml:space="preserve">. </w:t>
      </w:r>
      <w:r w:rsidR="004A7243">
        <w:t xml:space="preserve">But </w:t>
      </w:r>
      <w:r w:rsidR="00A176C6">
        <w:t>regardless</w:t>
      </w:r>
      <w:r w:rsidR="000714FA">
        <w:t xml:space="preserve">, the PUCO explained how </w:t>
      </w:r>
      <w:r w:rsidR="00A176C6">
        <w:t xml:space="preserve">the </w:t>
      </w:r>
      <w:r w:rsidR="000714FA">
        <w:t xml:space="preserve">Settlement </w:t>
      </w:r>
      <w:r w:rsidR="00A176C6">
        <w:t xml:space="preserve">in fact </w:t>
      </w:r>
      <w:r w:rsidR="000714FA">
        <w:t xml:space="preserve">protects </w:t>
      </w:r>
      <w:r w:rsidR="003A6959">
        <w:t xml:space="preserve">such </w:t>
      </w:r>
      <w:r w:rsidR="000714FA">
        <w:t>at-risk consumers through providing $70 million for Columbia’s WarmChoice program.</w:t>
      </w:r>
      <w:r>
        <w:rPr>
          <w:rStyle w:val="FootnoteReference"/>
        </w:rPr>
        <w:footnoteReference w:id="54"/>
      </w:r>
      <w:r w:rsidR="000714FA">
        <w:t xml:space="preserve"> </w:t>
      </w:r>
    </w:p>
    <w:p w:rsidR="00957A19" w:rsidP="00170415" w14:paraId="10F3C159" w14:textId="2937E2E4">
      <w:pPr>
        <w:spacing w:after="0" w:line="480" w:lineRule="auto"/>
        <w:ind w:firstLine="720"/>
      </w:pPr>
      <w:r>
        <w:t>Finally, th</w:t>
      </w:r>
      <w:r w:rsidR="001C44B5">
        <w:t xml:space="preserve">e PUCO explained that the purpose of removing Columbia’s non-low-income DSM program is to </w:t>
      </w:r>
      <w:r w:rsidR="001C44B5">
        <w:rPr>
          <w:rFonts w:cs="Times New Roman"/>
          <w:szCs w:val="24"/>
        </w:rPr>
        <w:t>“</w:t>
      </w:r>
      <w:r w:rsidR="001C44B5">
        <w:t>promote” (</w:t>
      </w:r>
      <w:r w:rsidR="001C44B5">
        <w:rPr>
          <w:i/>
          <w:iCs/>
        </w:rPr>
        <w:t xml:space="preserve">i.e. </w:t>
      </w:r>
      <w:r w:rsidR="00A176C6">
        <w:t>encourage</w:t>
      </w:r>
      <w:r w:rsidR="001C44B5">
        <w:t>) competition consistent with state policy in R.C. 4929.02 by “relying on competitive suppliers to provide energy efficiency services to customers.”</w:t>
      </w:r>
      <w:r>
        <w:rPr>
          <w:rStyle w:val="FootnoteReference"/>
        </w:rPr>
        <w:footnoteReference w:id="55"/>
      </w:r>
      <w:r w:rsidR="001C44B5">
        <w:t xml:space="preserve"> </w:t>
      </w:r>
      <w:r w:rsidR="00A176C6">
        <w:t>Promoting energy efficiency by competitive suppliers will increase the programs available to non-low-income consumers. T</w:t>
      </w:r>
      <w:r w:rsidR="001C44B5">
        <w:t>he PUCO’s Order satisfies R.C. 4903.09. Environmental Groups’ applications for rehearing should be denied.</w:t>
      </w:r>
    </w:p>
    <w:p w:rsidR="00311069" w:rsidP="00C808CE" w14:paraId="73A0A1AF" w14:textId="638B4137">
      <w:pPr>
        <w:pStyle w:val="ListParagraph"/>
        <w:numPr>
          <w:ilvl w:val="0"/>
          <w:numId w:val="34"/>
        </w:numPr>
        <w:spacing w:after="0" w:line="240" w:lineRule="auto"/>
        <w:ind w:left="2160" w:hanging="720"/>
        <w:rPr>
          <w:rFonts w:ascii="Times New Roman" w:hAnsi="Times New Roman" w:cs="Times New Roman"/>
          <w:b/>
          <w:bCs/>
          <w:sz w:val="24"/>
          <w:szCs w:val="24"/>
        </w:rPr>
      </w:pPr>
      <w:bookmarkStart w:id="6" w:name="_Toc129271374"/>
      <w:r w:rsidRPr="00C808CE">
        <w:rPr>
          <w:rStyle w:val="Heading3Char"/>
        </w:rPr>
        <w:t xml:space="preserve">The PUCO’s approval of guardrails </w:t>
      </w:r>
      <w:r w:rsidRPr="00C808CE" w:rsidR="004A01E2">
        <w:rPr>
          <w:rStyle w:val="Heading3Char"/>
        </w:rPr>
        <w:t>to</w:t>
      </w:r>
      <w:r w:rsidRPr="00C808CE">
        <w:rPr>
          <w:rStyle w:val="Heading3Char"/>
        </w:rPr>
        <w:t xml:space="preserve"> prevent property owners from exploiting </w:t>
      </w:r>
      <w:r w:rsidRPr="00C808CE" w:rsidR="004A01E2">
        <w:rPr>
          <w:rStyle w:val="Heading3Char"/>
        </w:rPr>
        <w:t xml:space="preserve">limited </w:t>
      </w:r>
      <w:r w:rsidRPr="00C808CE">
        <w:rPr>
          <w:rStyle w:val="Heading3Char"/>
        </w:rPr>
        <w:t>weatherization benefits does not violate R.C. 4903.09.</w:t>
      </w:r>
      <w:bookmarkEnd w:id="6"/>
    </w:p>
    <w:p w:rsidR="004A7243" w:rsidRPr="00311069" w:rsidP="00311069" w14:paraId="25CF4C31" w14:textId="4FD32E36">
      <w:pPr>
        <w:pStyle w:val="ListParagraph"/>
        <w:spacing w:after="0" w:line="240" w:lineRule="auto"/>
        <w:ind w:left="1080"/>
        <w:rPr>
          <w:rFonts w:ascii="Times New Roman" w:hAnsi="Times New Roman" w:cs="Times New Roman"/>
          <w:b/>
          <w:bCs/>
          <w:sz w:val="24"/>
          <w:szCs w:val="24"/>
        </w:rPr>
      </w:pPr>
      <w:r w:rsidRPr="00311069">
        <w:rPr>
          <w:rFonts w:ascii="Times New Roman" w:hAnsi="Times New Roman" w:cs="Times New Roman"/>
          <w:b/>
          <w:bCs/>
          <w:sz w:val="24"/>
          <w:szCs w:val="24"/>
        </w:rPr>
        <w:t xml:space="preserve"> </w:t>
      </w:r>
    </w:p>
    <w:p w:rsidR="006D1CD8" w:rsidRPr="00311069" w:rsidP="006D1CD8" w14:paraId="2959DF41" w14:textId="7C73E37E">
      <w:pPr>
        <w:spacing w:after="0" w:line="480" w:lineRule="auto"/>
        <w:ind w:firstLine="720"/>
      </w:pPr>
      <w:r w:rsidRPr="00311069">
        <w:t xml:space="preserve">OPAE </w:t>
      </w:r>
      <w:r>
        <w:t xml:space="preserve">argues </w:t>
      </w:r>
      <w:r w:rsidR="008F6988">
        <w:t xml:space="preserve">(in Assignment of Error A) </w:t>
      </w:r>
      <w:r>
        <w:t>that the PUCO unlawfully approved the</w:t>
      </w:r>
      <w:r w:rsidRPr="00311069">
        <w:t xml:space="preserve"> Settlement’s provision that limits property owners to “receiving weatherization assistance for one rental premise per calendar year for the five-year term of the DSM program.”</w:t>
      </w:r>
      <w:r>
        <w:rPr>
          <w:rStyle w:val="FootnoteReference"/>
        </w:rPr>
        <w:footnoteReference w:id="56"/>
      </w:r>
      <w:r w:rsidRPr="00311069">
        <w:t xml:space="preserve"> </w:t>
      </w:r>
      <w:r w:rsidR="00970918">
        <w:t>According to OPAE, the PUCO failed to explain adequately its rationale for approving this provision of the Settlement in violation of R.C. 4903.09.</w:t>
      </w:r>
      <w:r>
        <w:rPr>
          <w:rStyle w:val="FootnoteReference"/>
        </w:rPr>
        <w:footnoteReference w:id="57"/>
      </w:r>
      <w:r w:rsidR="00BE17C6">
        <w:t xml:space="preserve"> </w:t>
      </w:r>
      <w:r w:rsidR="00970918">
        <w:t>OPAE’s arguments should be rejected.</w:t>
      </w:r>
    </w:p>
    <w:p w:rsidR="001B783C" w:rsidP="001B783C" w14:paraId="1015FE7F" w14:textId="53E9846F">
      <w:pPr>
        <w:spacing w:after="0" w:line="480" w:lineRule="auto"/>
        <w:ind w:firstLine="720"/>
      </w:pPr>
      <w:r>
        <w:t xml:space="preserve">OPAE </w:t>
      </w:r>
      <w:r w:rsidR="00113B9D">
        <w:t>believes that this provision of the Settlement</w:t>
      </w:r>
      <w:r>
        <w:t xml:space="preserve"> discriminat</w:t>
      </w:r>
      <w:r w:rsidR="00113B9D">
        <w:t>es</w:t>
      </w:r>
      <w:r>
        <w:t xml:space="preserve"> against renters</w:t>
      </w:r>
      <w:r w:rsidR="00113B9D">
        <w:t xml:space="preserve"> who share a landlord or property owner.</w:t>
      </w:r>
      <w:r>
        <w:rPr>
          <w:rStyle w:val="FootnoteReference"/>
        </w:rPr>
        <w:footnoteReference w:id="58"/>
      </w:r>
      <w:r w:rsidR="00113B9D">
        <w:t xml:space="preserve"> </w:t>
      </w:r>
      <w:r w:rsidRPr="00311069" w:rsidR="00311069">
        <w:t>However,</w:t>
      </w:r>
      <w:r w:rsidR="00113B9D">
        <w:t xml:space="preserve"> as OCC has </w:t>
      </w:r>
      <w:r w:rsidR="00117687">
        <w:t>argued</w:t>
      </w:r>
      <w:r w:rsidR="00113B9D">
        <w:t xml:space="preserve"> (and as the PUCO </w:t>
      </w:r>
      <w:r w:rsidR="00117687">
        <w:t>explained</w:t>
      </w:r>
      <w:r w:rsidR="00113B9D">
        <w:t xml:space="preserve"> in the Order),</w:t>
      </w:r>
      <w:r w:rsidRPr="00311069" w:rsidR="00311069">
        <w:t xml:space="preserve"> once a premise is weatherized, the benefits of that weatherization should continue for subsequent renters as well.</w:t>
      </w:r>
      <w:r>
        <w:rPr>
          <w:rStyle w:val="FootnoteReference"/>
        </w:rPr>
        <w:footnoteReference w:id="59"/>
      </w:r>
      <w:r w:rsidRPr="00311069" w:rsidR="00311069">
        <w:t xml:space="preserve"> </w:t>
      </w:r>
      <w:r w:rsidR="00113B9D">
        <w:t xml:space="preserve">The Order also describes </w:t>
      </w:r>
      <w:r w:rsidR="00847E9C">
        <w:t xml:space="preserve">the purpose of this provision is to </w:t>
      </w:r>
      <w:r w:rsidRPr="00311069" w:rsidR="00311069">
        <w:t>avoid concentrating multiple program benefits in individual property owners.</w:t>
      </w:r>
      <w:r>
        <w:rPr>
          <w:rStyle w:val="FootnoteReference"/>
        </w:rPr>
        <w:footnoteReference w:id="60"/>
      </w:r>
      <w:r w:rsidRPr="00311069" w:rsidR="00311069">
        <w:t xml:space="preserve"> </w:t>
      </w:r>
      <w:r w:rsidR="00117687">
        <w:t>T</w:t>
      </w:r>
      <w:r w:rsidR="00847E9C">
        <w:t xml:space="preserve">he </w:t>
      </w:r>
      <w:r w:rsidRPr="00311069" w:rsidR="00311069">
        <w:t>Settlement term would help diversify benefits to more rather than fewer property owners.</w:t>
      </w:r>
      <w:r>
        <w:rPr>
          <w:rStyle w:val="FootnoteReference"/>
        </w:rPr>
        <w:footnoteReference w:id="61"/>
      </w:r>
      <w:r w:rsidR="00117687">
        <w:t xml:space="preserve"> It is unclear how preventing a property owner from exploiting weatherization benefits would harm consumers.</w:t>
      </w:r>
      <w:r w:rsidR="00DF6807">
        <w:t xml:space="preserve"> What’s clear is that OPAE, which is an association of weatherization providers, has a different interest</w:t>
      </w:r>
      <w:r w:rsidR="00A03436">
        <w:t xml:space="preserve"> than the broader public interest; it has </w:t>
      </w:r>
      <w:r w:rsidR="00DF6807">
        <w:t>the interest of selling weatherization.</w:t>
      </w:r>
      <w:r w:rsidRPr="00311069" w:rsidR="00311069">
        <w:t xml:space="preserve"> </w:t>
      </w:r>
    </w:p>
    <w:p w:rsidR="00C01F6F" w:rsidP="004A01E2" w14:paraId="3AE33347" w14:textId="77777777">
      <w:pPr>
        <w:spacing w:after="0" w:line="480" w:lineRule="auto"/>
        <w:ind w:firstLine="720"/>
      </w:pPr>
      <w:r>
        <w:t>In approving this Settlement</w:t>
      </w:r>
      <w:r w:rsidR="00117687">
        <w:t xml:space="preserve"> provision</w:t>
      </w:r>
      <w:r>
        <w:t>, t</w:t>
      </w:r>
      <w:r w:rsidR="001B783C">
        <w:t>he PUCO de</w:t>
      </w:r>
      <w:r w:rsidR="00117687">
        <w:t>tailed</w:t>
      </w:r>
      <w:r w:rsidR="001B783C">
        <w:t xml:space="preserve"> OPAE’s and OCC’s positions on the issue.</w:t>
      </w:r>
      <w:r>
        <w:rPr>
          <w:rStyle w:val="FootnoteReference"/>
        </w:rPr>
        <w:footnoteReference w:id="62"/>
      </w:r>
      <w:r w:rsidR="001B783C">
        <w:t xml:space="preserve"> The PUCO re</w:t>
      </w:r>
      <w:r w:rsidR="00117687">
        <w:t>stated</w:t>
      </w:r>
      <w:r w:rsidR="001B783C">
        <w:t xml:space="preserve"> its precedent that “the second part of the three-part test is not whether there are different or additional provisions that would better benefit ratepayers and the public interest but whether the Stipulation, as a package, benefits ratepayers and the public interest.”</w:t>
      </w:r>
      <w:r>
        <w:rPr>
          <w:rStyle w:val="FootnoteReference"/>
        </w:rPr>
        <w:footnoteReference w:id="63"/>
      </w:r>
      <w:r>
        <w:t xml:space="preserve"> T</w:t>
      </w:r>
      <w:r w:rsidR="00117687">
        <w:t>hus, t</w:t>
      </w:r>
      <w:r>
        <w:t>he Order sufficiently identifies the facts and the PUCO’s rationale for its decision for a reviewing court on appeal as required by R.C. 4903.09. The PUCO should deny OPAE’s application for rehearing.</w:t>
      </w:r>
    </w:p>
    <w:p w:rsidR="00C01F6F" w14:paraId="72546E67" w14:textId="77777777">
      <w:r>
        <w:br w:type="page"/>
      </w:r>
    </w:p>
    <w:p w:rsidR="0023256D" w:rsidRPr="005369C3" w:rsidP="00C808CE" w14:paraId="6A85FDA9" w14:textId="73D85AFF">
      <w:pPr>
        <w:spacing w:after="0" w:line="240" w:lineRule="auto"/>
        <w:ind w:left="1440" w:hanging="720"/>
        <w:rPr>
          <w:rFonts w:cs="Times New Roman"/>
          <w:b/>
          <w:bCs/>
          <w:szCs w:val="24"/>
        </w:rPr>
      </w:pPr>
      <w:bookmarkStart w:id="7" w:name="_Toc129271375"/>
      <w:r w:rsidRPr="00C808CE">
        <w:rPr>
          <w:rStyle w:val="Heading2Char"/>
        </w:rPr>
        <w:t>B.</w:t>
      </w:r>
      <w:r w:rsidRPr="00C808CE">
        <w:rPr>
          <w:rStyle w:val="Heading2Char"/>
        </w:rPr>
        <w:tab/>
      </w:r>
      <w:r w:rsidRPr="00C808CE" w:rsidR="007F3A0A">
        <w:rPr>
          <w:rStyle w:val="Heading2Char"/>
        </w:rPr>
        <w:t>CUB Ohio’s and ELPC’s</w:t>
      </w:r>
      <w:r w:rsidRPr="00C808CE" w:rsidR="004C154D">
        <w:rPr>
          <w:rStyle w:val="Heading2Char"/>
        </w:rPr>
        <w:t xml:space="preserve"> claims that the Order violates R.C. 4905.70 and policy in R.C. 4929.02 are baseless and should be rejected. </w:t>
      </w:r>
      <w:r w:rsidRPr="00C808CE" w:rsidR="00906581">
        <w:rPr>
          <w:rStyle w:val="Heading2Char"/>
        </w:rPr>
        <w:t>Ohio law does not require the</w:t>
      </w:r>
      <w:r w:rsidRPr="00C808CE" w:rsidR="00EF2F37">
        <w:rPr>
          <w:rStyle w:val="Heading2Char"/>
        </w:rPr>
        <w:t xml:space="preserve"> PUCO </w:t>
      </w:r>
      <w:r w:rsidRPr="00C808CE" w:rsidR="00906581">
        <w:rPr>
          <w:rStyle w:val="Heading2Char"/>
        </w:rPr>
        <w:t>to mandate a DSM program as part of</w:t>
      </w:r>
      <w:r w:rsidRPr="00C808CE" w:rsidR="00EF2F37">
        <w:rPr>
          <w:rStyle w:val="Heading2Char"/>
        </w:rPr>
        <w:t xml:space="preserve"> Columbia</w:t>
      </w:r>
      <w:r w:rsidRPr="00C808CE" w:rsidR="00906581">
        <w:rPr>
          <w:rStyle w:val="Heading2Char"/>
        </w:rPr>
        <w:t>’s rate case</w:t>
      </w:r>
      <w:r w:rsidRPr="00C808CE" w:rsidR="00EF2F37">
        <w:rPr>
          <w:rStyle w:val="Heading2Char"/>
        </w:rPr>
        <w:t>.</w:t>
      </w:r>
      <w:bookmarkEnd w:id="7"/>
    </w:p>
    <w:p w:rsidR="0023256D" w:rsidRPr="00C80BFE" w:rsidP="0023256D" w14:paraId="587BC2A9" w14:textId="77777777">
      <w:pPr>
        <w:pStyle w:val="ListParagraph"/>
        <w:spacing w:after="0" w:line="240" w:lineRule="auto"/>
        <w:ind w:left="1800"/>
        <w:rPr>
          <w:rFonts w:ascii="Times New Roman" w:hAnsi="Times New Roman" w:cs="Times New Roman"/>
          <w:b/>
          <w:bCs/>
          <w:sz w:val="24"/>
          <w:szCs w:val="24"/>
        </w:rPr>
      </w:pPr>
    </w:p>
    <w:p w:rsidR="00C83FF9" w:rsidP="00C83FF9" w14:paraId="23BAB2CC" w14:textId="5205FAEE">
      <w:pPr>
        <w:spacing w:after="0" w:line="480" w:lineRule="auto"/>
        <w:ind w:firstLine="720"/>
        <w:rPr>
          <w:rFonts w:cs="Times New Roman"/>
          <w:szCs w:val="24"/>
        </w:rPr>
      </w:pPr>
      <w:r>
        <w:rPr>
          <w:rFonts w:cs="Times New Roman"/>
          <w:szCs w:val="24"/>
        </w:rPr>
        <w:t>CUB Ohio</w:t>
      </w:r>
      <w:r w:rsidR="00151F0F">
        <w:rPr>
          <w:rFonts w:cs="Times New Roman"/>
          <w:szCs w:val="24"/>
        </w:rPr>
        <w:t xml:space="preserve"> (Assignment of Error No. 2)</w:t>
      </w:r>
      <w:r>
        <w:rPr>
          <w:rFonts w:cs="Times New Roman"/>
          <w:szCs w:val="24"/>
        </w:rPr>
        <w:t xml:space="preserve"> and ELPC</w:t>
      </w:r>
      <w:r w:rsidR="005369C3">
        <w:rPr>
          <w:rFonts w:cs="Times New Roman"/>
          <w:szCs w:val="24"/>
        </w:rPr>
        <w:t xml:space="preserve"> claim that the PUCO </w:t>
      </w:r>
      <w:r>
        <w:rPr>
          <w:rFonts w:cs="Times New Roman"/>
          <w:szCs w:val="24"/>
        </w:rPr>
        <w:t xml:space="preserve">erroneously and </w:t>
      </w:r>
      <w:r w:rsidR="005369C3">
        <w:rPr>
          <w:rFonts w:cs="Times New Roman"/>
          <w:szCs w:val="24"/>
        </w:rPr>
        <w:t>unlawfully determined that the Settlement does not v</w:t>
      </w:r>
      <w:r w:rsidRPr="00C80BFE" w:rsidR="00502C71">
        <w:rPr>
          <w:rFonts w:cs="Times New Roman"/>
          <w:szCs w:val="24"/>
        </w:rPr>
        <w:t>iolate state energy policy</w:t>
      </w:r>
      <w:r w:rsidRPr="00C80BFE" w:rsidR="00BA70C6">
        <w:rPr>
          <w:rFonts w:cs="Times New Roman"/>
          <w:szCs w:val="24"/>
        </w:rPr>
        <w:t xml:space="preserve"> and regulatory principles</w:t>
      </w:r>
      <w:r w:rsidRPr="00C80BFE" w:rsidR="006F5708">
        <w:rPr>
          <w:rFonts w:cs="Times New Roman"/>
          <w:szCs w:val="24"/>
        </w:rPr>
        <w:t xml:space="preserve"> under R.C. 4929.02 and R.C. 4905.70</w:t>
      </w:r>
      <w:r w:rsidRPr="00C80BFE" w:rsidR="00BA70C6">
        <w:rPr>
          <w:rFonts w:cs="Times New Roman"/>
          <w:szCs w:val="24"/>
        </w:rPr>
        <w:t>.</w:t>
      </w:r>
      <w:r>
        <w:rPr>
          <w:rStyle w:val="FootnoteReference"/>
          <w:rFonts w:cs="Times New Roman"/>
          <w:szCs w:val="24"/>
        </w:rPr>
        <w:footnoteReference w:id="64"/>
      </w:r>
      <w:r w:rsidRPr="00C80BFE" w:rsidR="00C2541B">
        <w:rPr>
          <w:rFonts w:cs="Times New Roman"/>
          <w:szCs w:val="24"/>
        </w:rPr>
        <w:t xml:space="preserve"> </w:t>
      </w:r>
      <w:r w:rsidRPr="00C80BFE" w:rsidR="006F5708">
        <w:rPr>
          <w:rFonts w:cs="Times New Roman"/>
          <w:szCs w:val="24"/>
        </w:rPr>
        <w:t>Those arguments should be rejected</w:t>
      </w:r>
      <w:r>
        <w:rPr>
          <w:rFonts w:cs="Times New Roman"/>
          <w:szCs w:val="24"/>
        </w:rPr>
        <w:t xml:space="preserve"> and the applications for rehearing should be </w:t>
      </w:r>
      <w:r w:rsidR="00117687">
        <w:rPr>
          <w:rFonts w:cs="Times New Roman"/>
          <w:szCs w:val="24"/>
        </w:rPr>
        <w:t>denied</w:t>
      </w:r>
      <w:r>
        <w:rPr>
          <w:rFonts w:cs="Times New Roman"/>
          <w:szCs w:val="24"/>
        </w:rPr>
        <w:t xml:space="preserve">. </w:t>
      </w:r>
    </w:p>
    <w:p w:rsidR="007F3A0A" w:rsidP="00C83FF9" w14:paraId="552089ED" w14:textId="6C282798">
      <w:pPr>
        <w:spacing w:after="0" w:line="480" w:lineRule="auto"/>
        <w:ind w:firstLine="720"/>
        <w:rPr>
          <w:rFonts w:cs="Times New Roman"/>
          <w:szCs w:val="24"/>
        </w:rPr>
      </w:pPr>
      <w:r>
        <w:rPr>
          <w:rFonts w:cs="Times New Roman"/>
          <w:szCs w:val="24"/>
        </w:rPr>
        <w:t>As a</w:t>
      </w:r>
      <w:r w:rsidR="00EF75DB">
        <w:rPr>
          <w:rFonts w:cs="Times New Roman"/>
          <w:szCs w:val="24"/>
        </w:rPr>
        <w:t xml:space="preserve"> threshold</w:t>
      </w:r>
      <w:r>
        <w:rPr>
          <w:rFonts w:cs="Times New Roman"/>
          <w:szCs w:val="24"/>
        </w:rPr>
        <w:t xml:space="preserve"> matter,</w:t>
      </w:r>
      <w:r w:rsidR="00EF75DB">
        <w:rPr>
          <w:rFonts w:cs="Times New Roman"/>
          <w:szCs w:val="24"/>
        </w:rPr>
        <w:t xml:space="preserve"> </w:t>
      </w:r>
      <w:r w:rsidR="003430CD">
        <w:rPr>
          <w:rFonts w:cs="Times New Roman"/>
          <w:szCs w:val="24"/>
        </w:rPr>
        <w:t xml:space="preserve">and contrary to the Environmental Groups’ claims, </w:t>
      </w:r>
      <w:r w:rsidRPr="00C80BFE" w:rsidR="00232FD1">
        <w:rPr>
          <w:rFonts w:cs="Times New Roman"/>
          <w:szCs w:val="24"/>
        </w:rPr>
        <w:t>R.C. 4929.02 and R.C. 4905.70</w:t>
      </w:r>
      <w:r w:rsidR="00232FD1">
        <w:rPr>
          <w:rFonts w:cs="Times New Roman"/>
          <w:szCs w:val="24"/>
        </w:rPr>
        <w:t xml:space="preserve"> do </w:t>
      </w:r>
      <w:r w:rsidRPr="00117687" w:rsidR="00EF75DB">
        <w:rPr>
          <w:rFonts w:cs="Times New Roman"/>
          <w:szCs w:val="24"/>
        </w:rPr>
        <w:t>not require</w:t>
      </w:r>
      <w:r w:rsidR="00EF75DB">
        <w:rPr>
          <w:rFonts w:cs="Times New Roman"/>
          <w:szCs w:val="24"/>
        </w:rPr>
        <w:t xml:space="preserve"> Columbia to </w:t>
      </w:r>
      <w:r w:rsidR="003430CD">
        <w:rPr>
          <w:rFonts w:cs="Times New Roman"/>
          <w:szCs w:val="24"/>
        </w:rPr>
        <w:t xml:space="preserve">implement and charge consumers for energy efficiency and </w:t>
      </w:r>
      <w:r w:rsidR="00EF75DB">
        <w:rPr>
          <w:rFonts w:cs="Times New Roman"/>
          <w:szCs w:val="24"/>
        </w:rPr>
        <w:t>DSM</w:t>
      </w:r>
      <w:r w:rsidR="00117687">
        <w:rPr>
          <w:rFonts w:cs="Times New Roman"/>
          <w:szCs w:val="24"/>
        </w:rPr>
        <w:t xml:space="preserve"> programs</w:t>
      </w:r>
      <w:r w:rsidR="00EF75DB">
        <w:rPr>
          <w:rFonts w:cs="Times New Roman"/>
          <w:szCs w:val="24"/>
        </w:rPr>
        <w:t>.</w:t>
      </w:r>
      <w:r>
        <w:rPr>
          <w:rFonts w:cs="Times New Roman"/>
          <w:szCs w:val="24"/>
        </w:rPr>
        <w:t xml:space="preserve"> CUB Ohio and ELPC</w:t>
      </w:r>
      <w:r w:rsidR="00EF75DB">
        <w:rPr>
          <w:rFonts w:cs="Times New Roman"/>
          <w:szCs w:val="24"/>
        </w:rPr>
        <w:t xml:space="preserve"> </w:t>
      </w:r>
      <w:r>
        <w:rPr>
          <w:rFonts w:cs="Times New Roman"/>
          <w:szCs w:val="24"/>
        </w:rPr>
        <w:t xml:space="preserve">ignore the AEP </w:t>
      </w:r>
      <w:r w:rsidR="00EF75DB">
        <w:rPr>
          <w:rFonts w:cs="Times New Roman"/>
          <w:szCs w:val="24"/>
        </w:rPr>
        <w:t>R</w:t>
      </w:r>
      <w:r>
        <w:rPr>
          <w:rFonts w:cs="Times New Roman"/>
          <w:szCs w:val="24"/>
        </w:rPr>
        <w:t xml:space="preserve">ate </w:t>
      </w:r>
      <w:r w:rsidR="00EF75DB">
        <w:rPr>
          <w:rFonts w:cs="Times New Roman"/>
          <w:szCs w:val="24"/>
        </w:rPr>
        <w:t>C</w:t>
      </w:r>
      <w:r>
        <w:rPr>
          <w:rFonts w:cs="Times New Roman"/>
          <w:szCs w:val="24"/>
        </w:rPr>
        <w:t>ase</w:t>
      </w:r>
      <w:r w:rsidR="00EF75DB">
        <w:rPr>
          <w:rFonts w:cs="Times New Roman"/>
          <w:szCs w:val="24"/>
        </w:rPr>
        <w:t xml:space="preserve"> Order</w:t>
      </w:r>
      <w:r>
        <w:rPr>
          <w:rFonts w:cs="Times New Roman"/>
          <w:szCs w:val="24"/>
        </w:rPr>
        <w:t xml:space="preserve"> where the PUCO unequivocally stated:</w:t>
      </w:r>
    </w:p>
    <w:p w:rsidR="007F3A0A" w:rsidP="007F3A0A" w14:paraId="1920EB67" w14:textId="3B7D429C">
      <w:pPr>
        <w:spacing w:after="0" w:line="240" w:lineRule="auto"/>
        <w:ind w:left="720" w:right="720"/>
        <w:rPr>
          <w:rFonts w:cs="Times New Roman"/>
          <w:szCs w:val="24"/>
        </w:rPr>
      </w:pPr>
      <w:r w:rsidRPr="007F3A0A">
        <w:rPr>
          <w:rFonts w:cs="Times New Roman"/>
          <w:szCs w:val="24"/>
        </w:rPr>
        <w:t xml:space="preserve">Contrary to the position of OPAE and </w:t>
      </w:r>
      <w:r w:rsidR="00EF75DB">
        <w:rPr>
          <w:rFonts w:cs="Times New Roman"/>
          <w:szCs w:val="24"/>
        </w:rPr>
        <w:t>[ELPC]</w:t>
      </w:r>
      <w:r w:rsidRPr="007F3A0A">
        <w:rPr>
          <w:rFonts w:cs="Times New Roman"/>
          <w:szCs w:val="24"/>
        </w:rPr>
        <w:t>, no portion of R.C. 4905.70 requires the Commission to mandate the implementation of a DSM plan as part of a distribution rate case. Neither does R.C. 4928.02 dictate such an outcome.</w:t>
      </w:r>
      <w:r>
        <w:rPr>
          <w:rStyle w:val="FootnoteReference"/>
          <w:rFonts w:cs="Times New Roman"/>
          <w:szCs w:val="24"/>
        </w:rPr>
        <w:footnoteReference w:id="65"/>
      </w:r>
    </w:p>
    <w:p w:rsidR="00094950" w:rsidP="007F3A0A" w14:paraId="1E254D2B" w14:textId="180E1E53">
      <w:pPr>
        <w:spacing w:after="0" w:line="240" w:lineRule="auto"/>
        <w:ind w:left="720" w:right="720"/>
        <w:rPr>
          <w:rFonts w:cs="Times New Roman"/>
          <w:szCs w:val="24"/>
        </w:rPr>
      </w:pPr>
    </w:p>
    <w:p w:rsidR="00094950" w:rsidP="00094950" w14:paraId="70AE165D" w14:textId="549FD523">
      <w:pPr>
        <w:spacing w:after="0" w:line="480" w:lineRule="auto"/>
        <w:rPr>
          <w:rFonts w:cs="Times New Roman"/>
          <w:szCs w:val="24"/>
        </w:rPr>
      </w:pPr>
      <w:r>
        <w:rPr>
          <w:rFonts w:cs="Times New Roman"/>
          <w:szCs w:val="24"/>
        </w:rPr>
        <w:t xml:space="preserve">Plainly, </w:t>
      </w:r>
      <w:r w:rsidR="003430CD">
        <w:rPr>
          <w:rFonts w:cs="Times New Roman"/>
          <w:szCs w:val="24"/>
        </w:rPr>
        <w:t>i</w:t>
      </w:r>
      <w:r>
        <w:rPr>
          <w:rFonts w:cs="Times New Roman"/>
          <w:szCs w:val="24"/>
        </w:rPr>
        <w:t>f R.C. 4905.70 and R.C. 492</w:t>
      </w:r>
      <w:r w:rsidR="00D010EC">
        <w:rPr>
          <w:rFonts w:cs="Times New Roman"/>
          <w:szCs w:val="24"/>
        </w:rPr>
        <w:t>9</w:t>
      </w:r>
      <w:r>
        <w:rPr>
          <w:rFonts w:cs="Times New Roman"/>
          <w:szCs w:val="24"/>
        </w:rPr>
        <w:t>.02 do not require the PUCO to mandate a DSM p</w:t>
      </w:r>
      <w:r w:rsidR="003430CD">
        <w:rPr>
          <w:rFonts w:cs="Times New Roman"/>
          <w:szCs w:val="24"/>
        </w:rPr>
        <w:t>rogram</w:t>
      </w:r>
      <w:r>
        <w:rPr>
          <w:rFonts w:cs="Times New Roman"/>
          <w:szCs w:val="24"/>
        </w:rPr>
        <w:t xml:space="preserve"> in this rate case, the PUCO could not hav</w:t>
      </w:r>
      <w:r w:rsidR="003430CD">
        <w:rPr>
          <w:rFonts w:cs="Times New Roman"/>
          <w:szCs w:val="24"/>
        </w:rPr>
        <w:t xml:space="preserve">e violated those statues </w:t>
      </w:r>
      <w:r w:rsidR="00C47369">
        <w:rPr>
          <w:rFonts w:cs="Times New Roman"/>
          <w:szCs w:val="24"/>
        </w:rPr>
        <w:t>in</w:t>
      </w:r>
      <w:r w:rsidR="003430CD">
        <w:rPr>
          <w:rFonts w:cs="Times New Roman"/>
          <w:szCs w:val="24"/>
        </w:rPr>
        <w:t xml:space="preserve"> approving</w:t>
      </w:r>
      <w:r>
        <w:rPr>
          <w:rFonts w:cs="Times New Roman"/>
          <w:szCs w:val="24"/>
        </w:rPr>
        <w:t xml:space="preserve"> the Settlement’s </w:t>
      </w:r>
      <w:r w:rsidR="00117687">
        <w:rPr>
          <w:rFonts w:cs="Times New Roman"/>
          <w:szCs w:val="24"/>
        </w:rPr>
        <w:t>removal</w:t>
      </w:r>
      <w:r>
        <w:rPr>
          <w:rFonts w:cs="Times New Roman"/>
          <w:szCs w:val="24"/>
        </w:rPr>
        <w:t xml:space="preserve"> of non-low-income DSM.</w:t>
      </w:r>
      <w:r w:rsidR="003430CD">
        <w:rPr>
          <w:rFonts w:cs="Times New Roman"/>
          <w:szCs w:val="24"/>
        </w:rPr>
        <w:t xml:space="preserve"> </w:t>
      </w:r>
    </w:p>
    <w:p w:rsidR="005714DD" w:rsidP="00094950" w14:paraId="04CB2CF5" w14:textId="67ABF59A">
      <w:pPr>
        <w:spacing w:after="0" w:line="480" w:lineRule="auto"/>
        <w:rPr>
          <w:rFonts w:cs="Times New Roman"/>
          <w:szCs w:val="24"/>
        </w:rPr>
      </w:pPr>
      <w:r>
        <w:rPr>
          <w:rFonts w:cs="Times New Roman"/>
          <w:szCs w:val="24"/>
        </w:rPr>
        <w:tab/>
      </w:r>
      <w:r w:rsidR="00C47369">
        <w:rPr>
          <w:rFonts w:cs="Times New Roman"/>
          <w:szCs w:val="24"/>
        </w:rPr>
        <w:t xml:space="preserve">CUB Ohio’s and ELPC’s claims that the PUCO has not adequately explained its rationale for approving the elimination of non-low-income DSM in this case are equally unavailing. </w:t>
      </w:r>
      <w:r>
        <w:rPr>
          <w:rFonts w:cs="Times New Roman"/>
          <w:szCs w:val="24"/>
        </w:rPr>
        <w:t>The PUCO specifically explained how the Settlement’s provisions with respect to DSM and WarmChoice</w:t>
      </w:r>
      <w:r w:rsidRPr="00311069">
        <w:t>®</w:t>
      </w:r>
      <w:r>
        <w:rPr>
          <w:rFonts w:cs="Times New Roman"/>
          <w:szCs w:val="24"/>
        </w:rPr>
        <w:t xml:space="preserve"> are consistent with R.C. 4905.70 and R.C. 4929.02. </w:t>
      </w:r>
    </w:p>
    <w:p w:rsidR="005714DD" w:rsidP="005714DD" w14:paraId="33FFA4AB" w14:textId="1575D1B3">
      <w:pPr>
        <w:spacing w:after="0" w:line="480" w:lineRule="auto"/>
        <w:ind w:firstLine="720"/>
      </w:pPr>
      <w:r>
        <w:rPr>
          <w:rFonts w:cs="Times New Roman"/>
          <w:szCs w:val="24"/>
        </w:rPr>
        <w:t>Regarding R.C. 4905.70, the PUCO explained that “</w:t>
      </w:r>
      <w:r>
        <w:t>we have long recognized that energy efficiency and DSM programs that are cost-effective, produce demonstrable benefits, and produce a reasonable balance between reducing total costs and minimizing impacts on non-participants are consistent with this state’s economic and energy policy objectives.”</w:t>
      </w:r>
      <w:r>
        <w:rPr>
          <w:rStyle w:val="FootnoteReference"/>
        </w:rPr>
        <w:footnoteReference w:id="66"/>
      </w:r>
      <w:r>
        <w:t xml:space="preserve"> </w:t>
      </w:r>
      <w:r w:rsidRPr="00232FD1">
        <w:rPr>
          <w:i/>
          <w:iCs/>
        </w:rPr>
        <w:t>But</w:t>
      </w:r>
      <w:r w:rsidR="009A61B1">
        <w:t>,</w:t>
      </w:r>
      <w:r>
        <w:t xml:space="preserve"> the PUCO went on to explain that:</w:t>
      </w:r>
    </w:p>
    <w:p w:rsidR="005714DD" w:rsidP="005714DD" w14:paraId="564433B9" w14:textId="5C483206">
      <w:pPr>
        <w:spacing w:after="0" w:line="240" w:lineRule="auto"/>
        <w:ind w:left="720" w:right="720"/>
      </w:pPr>
      <w:r>
        <w:t>following the repeal of the mandatory energy efficiency programs for electric utilities previously codified at R.C. 4928.66, the Commission conducted a series of public workshops with interested stakeholders to discuss the future of energy efficiency programs implemented by both electric and natural gas utilities in this state; at the conclusion of the workshops, the Commission announced that future decisions regarding energy efficiency programs would be made, on a case-by-case basis, based upon the evidence in the record of each proceeding.</w:t>
      </w:r>
      <w:r>
        <w:rPr>
          <w:rStyle w:val="FootnoteReference"/>
        </w:rPr>
        <w:footnoteReference w:id="67"/>
      </w:r>
    </w:p>
    <w:p w:rsidR="005714DD" w:rsidP="005714DD" w14:paraId="48C1EDF1" w14:textId="52D21316">
      <w:pPr>
        <w:spacing w:after="0" w:line="240" w:lineRule="auto"/>
        <w:ind w:right="720"/>
      </w:pPr>
    </w:p>
    <w:p w:rsidR="005714DD" w:rsidP="009A61B1" w14:paraId="60331958" w14:textId="66278D79">
      <w:pPr>
        <w:spacing w:after="0" w:line="480" w:lineRule="auto"/>
        <w:rPr>
          <w:rFonts w:cs="Times New Roman"/>
          <w:szCs w:val="24"/>
        </w:rPr>
      </w:pPr>
      <w:r>
        <w:t xml:space="preserve">The PUCO properly considered the evidence in this case and determined that removal of the non-low-income DSM program </w:t>
      </w:r>
      <w:r w:rsidR="00A03D59">
        <w:t xml:space="preserve">(but continue the low-income program), </w:t>
      </w:r>
      <w:r>
        <w:t xml:space="preserve">was appropriate. </w:t>
      </w:r>
      <w:r w:rsidR="00C028AB">
        <w:t xml:space="preserve">R.C. 4905.70 does not distinguish between </w:t>
      </w:r>
      <w:r w:rsidR="000B7AFB">
        <w:t>a program that benefits low-income consumers and a program that benefits non-low-income consumers</w:t>
      </w:r>
      <w:r w:rsidR="00B442D7">
        <w:t xml:space="preserve">. Both meet the same objective, that is to </w:t>
      </w:r>
      <w:r w:rsidR="00411AF7">
        <w:t>encourage</w:t>
      </w:r>
      <w:r w:rsidR="00B442D7">
        <w:t xml:space="preserve"> the</w:t>
      </w:r>
      <w:r w:rsidR="00411AF7">
        <w:t xml:space="preserve"> conservation of energy and a reduction in the growth rate of energy consumption. </w:t>
      </w:r>
    </w:p>
    <w:p w:rsidR="00D010EC" w:rsidP="009A61B1" w14:paraId="26F24525" w14:textId="5CDE7BD8">
      <w:pPr>
        <w:spacing w:after="0" w:line="480" w:lineRule="auto"/>
        <w:ind w:firstLine="720"/>
        <w:rPr>
          <w:rFonts w:cs="Times New Roman"/>
          <w:szCs w:val="24"/>
        </w:rPr>
      </w:pPr>
      <w:r>
        <w:rPr>
          <w:rFonts w:cs="Times New Roman"/>
          <w:szCs w:val="24"/>
        </w:rPr>
        <w:t>And with respect to state policy codified in R.C. 4929.02, the PUCO explained</w:t>
      </w:r>
      <w:r w:rsidR="00C47369">
        <w:rPr>
          <w:rFonts w:cs="Times New Roman"/>
          <w:szCs w:val="24"/>
        </w:rPr>
        <w:t xml:space="preserve"> in the Order</w:t>
      </w:r>
      <w:r>
        <w:rPr>
          <w:rFonts w:cs="Times New Roman"/>
          <w:szCs w:val="24"/>
        </w:rPr>
        <w:t xml:space="preserve"> that:</w:t>
      </w:r>
    </w:p>
    <w:p w:rsidR="00094950" w:rsidRPr="007F3A0A" w:rsidP="00D010EC" w14:paraId="690A0ECE" w14:textId="40194BAE">
      <w:pPr>
        <w:spacing w:after="0" w:line="240" w:lineRule="auto"/>
        <w:ind w:left="720" w:right="720"/>
        <w:rPr>
          <w:rFonts w:cs="Times New Roman"/>
          <w:szCs w:val="24"/>
        </w:rPr>
      </w:pPr>
      <w:r>
        <w:t>[W]</w:t>
      </w:r>
      <w:r w:rsidR="00D010EC">
        <w:t xml:space="preserve">e find </w:t>
      </w:r>
      <w:r w:rsidRPr="00D010EC" w:rsidR="00D010EC">
        <w:rPr>
          <w:rFonts w:cs="Times New Roman"/>
          <w:szCs w:val="24"/>
        </w:rPr>
        <w:t>that</w:t>
      </w:r>
      <w:r w:rsidR="00D010EC">
        <w:t xml:space="preserve"> the Stipulation is consistent with the policy of this state as set forth in R.C. 4929.02. Under the terms of the Stipulation proposed in this case, Columbia will continue its DSM program, as proposed in its Application and modified by the Staff Report; but Columbia’s DSM program shall be limited, beginning on January 1, 2023, solely to Columbia’s low-income program, WarmChoice (Jt. Ex. 1 at 11-12). Pursuant to the terms of the Stipulation, the DSM program reduces impacts upon non-participating customers by reducing utility spending on energy efficiency by approximately $120 million (OCC Ex. 1 at 10) and promotes the competitive market by relying on competitive suppliers to offer energy efficiency services to non-low-income customers. At the same time, the WarmChoice program will provide over $70 million in weatherization service for low-income customers over five years, protecting at-risk populations who may be unable to afford market-based services. It is the policy of the state to promote the availability of unbundled and comparable natural gas services and goods that provide wholesale and retail consumers with the supplier, price, terms, conditions, and quality options they elect to meet their respective needs; promote diversity of natural gas supplies and suppliers, by giving consumers effective choices over the selection of those supplies and suppliers; and encourage innovation and market access for cost-effective supply- and demand-side natural gas services and goods. R.C. 4929.02(A)(2), (3) and (4).</w:t>
      </w:r>
      <w:r>
        <w:rPr>
          <w:rStyle w:val="FootnoteReference"/>
          <w:rFonts w:cs="Times New Roman"/>
          <w:szCs w:val="24"/>
        </w:rPr>
        <w:footnoteReference w:id="68"/>
      </w:r>
      <w:r w:rsidR="00D010EC">
        <w:rPr>
          <w:rFonts w:cs="Times New Roman"/>
          <w:szCs w:val="24"/>
        </w:rPr>
        <w:t xml:space="preserve"> </w:t>
      </w:r>
    </w:p>
    <w:p w:rsidR="007F3A0A" w:rsidRPr="00C80BFE" w:rsidP="007F3A0A" w14:paraId="49846101" w14:textId="77777777">
      <w:pPr>
        <w:spacing w:after="0" w:line="240" w:lineRule="auto"/>
        <w:ind w:left="720" w:right="720"/>
        <w:rPr>
          <w:rFonts w:cs="Times New Roman"/>
          <w:szCs w:val="24"/>
        </w:rPr>
      </w:pPr>
    </w:p>
    <w:p w:rsidR="0021220D" w:rsidP="0021220D" w14:paraId="32C65912" w14:textId="203E77A0">
      <w:pPr>
        <w:spacing w:after="0" w:line="480" w:lineRule="auto"/>
        <w:rPr>
          <w:rFonts w:cs="Times New Roman"/>
          <w:szCs w:val="24"/>
        </w:rPr>
      </w:pPr>
      <w:r>
        <w:rPr>
          <w:rFonts w:cs="Times New Roman"/>
          <w:szCs w:val="24"/>
        </w:rPr>
        <w:t>The PUCO also explained how the Order is not inconsistent with decisions in previous cases or with the recent energy efficiency workshops.</w:t>
      </w:r>
      <w:r>
        <w:rPr>
          <w:rStyle w:val="FootnoteReference"/>
          <w:rFonts w:cs="Times New Roman"/>
          <w:szCs w:val="24"/>
        </w:rPr>
        <w:footnoteReference w:id="69"/>
      </w:r>
      <w:r w:rsidR="009A61B1">
        <w:rPr>
          <w:rFonts w:cs="Times New Roman"/>
          <w:szCs w:val="24"/>
        </w:rPr>
        <w:t xml:space="preserve"> As noted, the PUCO clarified that its decisions regarding energy efficiency and DSM programs will be made on a case-by-case basis, based on the evidence in the proceeding.</w:t>
      </w:r>
      <w:r>
        <w:rPr>
          <w:rStyle w:val="FootnoteReference"/>
          <w:rFonts w:cs="Times New Roman"/>
          <w:szCs w:val="24"/>
        </w:rPr>
        <w:footnoteReference w:id="70"/>
      </w:r>
    </w:p>
    <w:p w:rsidR="00C47369" w:rsidP="0021220D" w14:paraId="0F170D60" w14:textId="0238CF5A">
      <w:pPr>
        <w:spacing w:after="0" w:line="480" w:lineRule="auto"/>
        <w:rPr>
          <w:rFonts w:cs="Times New Roman"/>
          <w:szCs w:val="24"/>
        </w:rPr>
      </w:pPr>
      <w:r>
        <w:rPr>
          <w:rFonts w:cs="Times New Roman"/>
          <w:szCs w:val="24"/>
        </w:rPr>
        <w:tab/>
        <w:t>In sum, there is no merit to CUB Ohio’s and ELPC’s assignments of error that the PUCO unlawfully approved the Settlement in violation of regulatory principles</w:t>
      </w:r>
      <w:r w:rsidR="009A61B1">
        <w:rPr>
          <w:rFonts w:cs="Times New Roman"/>
          <w:szCs w:val="24"/>
        </w:rPr>
        <w:t>, or that the PUCO did not support its decision</w:t>
      </w:r>
      <w:r>
        <w:rPr>
          <w:rFonts w:cs="Times New Roman"/>
          <w:szCs w:val="24"/>
        </w:rPr>
        <w:t>. The PUCO should reject CUB Ohio’s and ELPC’s applications for rehearing.</w:t>
      </w:r>
    </w:p>
    <w:p w:rsidR="00A96734" w:rsidRPr="00C80BFE" w:rsidP="00A96734" w14:paraId="2AE0B1E0" w14:textId="77777777">
      <w:pPr>
        <w:spacing w:after="0" w:line="240" w:lineRule="auto"/>
        <w:ind w:firstLine="720"/>
        <w:rPr>
          <w:rFonts w:cs="Times New Roman"/>
          <w:szCs w:val="24"/>
        </w:rPr>
      </w:pPr>
    </w:p>
    <w:p w:rsidR="009B419A" w:rsidRPr="00C80BFE" w:rsidP="00023B7F" w14:paraId="0E93362E" w14:textId="2A6674E0">
      <w:pPr>
        <w:pStyle w:val="Heading1"/>
        <w:rPr>
          <w:rStyle w:val="Heading1Char"/>
          <w:b/>
          <w:bCs/>
        </w:rPr>
      </w:pPr>
      <w:bookmarkStart w:id="8" w:name="_Toc496786176"/>
      <w:bookmarkStart w:id="9" w:name="_Toc511223240"/>
      <w:bookmarkStart w:id="10" w:name="_Toc522277280"/>
      <w:bookmarkStart w:id="11" w:name="_Toc522278753"/>
      <w:bookmarkStart w:id="12" w:name="_Toc74300289"/>
      <w:bookmarkStart w:id="13" w:name="_Toc74578032"/>
      <w:bookmarkStart w:id="14" w:name="_Toc120793952"/>
      <w:bookmarkStart w:id="15" w:name="_Toc123050554"/>
      <w:bookmarkStart w:id="16" w:name="_Toc129271376"/>
      <w:r w:rsidRPr="00C80BFE">
        <w:rPr>
          <w:rStyle w:val="Heading1Char"/>
          <w:b/>
          <w:bCs/>
        </w:rPr>
        <w:t>CONCLUSION</w:t>
      </w:r>
      <w:bookmarkEnd w:id="8"/>
      <w:bookmarkEnd w:id="9"/>
      <w:bookmarkEnd w:id="10"/>
      <w:bookmarkEnd w:id="11"/>
      <w:bookmarkEnd w:id="12"/>
      <w:bookmarkEnd w:id="13"/>
      <w:bookmarkEnd w:id="14"/>
      <w:bookmarkEnd w:id="15"/>
      <w:bookmarkEnd w:id="16"/>
    </w:p>
    <w:p w:rsidR="000C76D8" w:rsidRPr="00C80BFE" w:rsidP="00FF286D" w14:paraId="0A0CE556" w14:textId="2011DD19">
      <w:pPr>
        <w:spacing w:after="0" w:line="480" w:lineRule="auto"/>
        <w:ind w:firstLine="720"/>
        <w:rPr>
          <w:rFonts w:cs="Times New Roman"/>
          <w:szCs w:val="24"/>
        </w:rPr>
      </w:pPr>
      <w:r>
        <w:rPr>
          <w:rFonts w:cs="Times New Roman"/>
          <w:szCs w:val="24"/>
        </w:rPr>
        <w:t>The PUCO’s Order approving the Settlement is a just and reasonable resolution of the issues in this case. The evidentiary record demonstrates that the Settlement benefits consumers and the public interest and does not violate Ohio law or regulatory principles or practices. For the reasons explained above, the applications for rehearing of CUB Ohio, ELPC, and OPAE are baseless and should be denied</w:t>
      </w:r>
      <w:r w:rsidRPr="00C80BFE" w:rsidR="0072541D">
        <w:rPr>
          <w:rFonts w:cs="Times New Roman"/>
          <w:szCs w:val="24"/>
        </w:rPr>
        <w:t xml:space="preserve">. </w:t>
      </w:r>
    </w:p>
    <w:p w:rsidR="009B419A" w:rsidRPr="00C80BFE" w:rsidP="00BC1DD7" w14:paraId="2497294E" w14:textId="0A556B95">
      <w:pPr>
        <w:ind w:firstLine="4320"/>
        <w:rPr>
          <w:rFonts w:cs="Times New Roman"/>
          <w:szCs w:val="24"/>
        </w:rPr>
      </w:pPr>
      <w:r w:rsidRPr="00C80BFE">
        <w:rPr>
          <w:rFonts w:cs="Times New Roman"/>
          <w:szCs w:val="24"/>
        </w:rPr>
        <w:t>Respectfully submitted,</w:t>
      </w:r>
    </w:p>
    <w:p w:rsidR="00326C85" w:rsidRPr="00C80BFE" w:rsidP="00AB389A" w14:paraId="5ED22FF9" w14:textId="77777777">
      <w:pPr>
        <w:tabs>
          <w:tab w:val="right" w:pos="8640"/>
        </w:tabs>
        <w:spacing w:after="0" w:line="240" w:lineRule="auto"/>
        <w:ind w:left="4320"/>
        <w:rPr>
          <w:rFonts w:cs="Times New Roman"/>
          <w:szCs w:val="24"/>
        </w:rPr>
      </w:pPr>
      <w:r w:rsidRPr="00C80BFE">
        <w:rPr>
          <w:rFonts w:cs="Times New Roman"/>
          <w:szCs w:val="24"/>
        </w:rPr>
        <w:t>Bruce Weston (0016973)</w:t>
      </w:r>
    </w:p>
    <w:p w:rsidR="00326C85" w:rsidRPr="00C80BFE" w:rsidP="00AB389A" w14:paraId="4087477D" w14:textId="77777777">
      <w:pPr>
        <w:spacing w:after="0" w:line="240" w:lineRule="auto"/>
        <w:ind w:left="4320"/>
        <w:contextualSpacing/>
        <w:rPr>
          <w:rFonts w:eastAsia="Calibri" w:cs="Times New Roman"/>
          <w:szCs w:val="24"/>
        </w:rPr>
      </w:pPr>
      <w:r w:rsidRPr="00C80BFE">
        <w:rPr>
          <w:rFonts w:eastAsia="Calibri" w:cs="Times New Roman"/>
          <w:szCs w:val="24"/>
        </w:rPr>
        <w:t>Ohio Consumers’ Counsel</w:t>
      </w:r>
    </w:p>
    <w:p w:rsidR="00326C85" w:rsidRPr="00C80BFE" w:rsidP="00AB389A" w14:paraId="20CE4CB2" w14:textId="77777777">
      <w:pPr>
        <w:spacing w:line="240" w:lineRule="auto"/>
        <w:ind w:left="4320"/>
        <w:contextualSpacing/>
        <w:rPr>
          <w:rFonts w:eastAsia="Calibri" w:cs="Times New Roman"/>
          <w:szCs w:val="24"/>
        </w:rPr>
      </w:pPr>
    </w:p>
    <w:p w:rsidR="00326C85" w:rsidRPr="00C80BFE" w:rsidP="00AB389A" w14:paraId="25610AAE" w14:textId="77777777">
      <w:pPr>
        <w:spacing w:line="240" w:lineRule="auto"/>
        <w:ind w:left="4320"/>
        <w:contextualSpacing/>
        <w:rPr>
          <w:rFonts w:eastAsia="Calibri" w:cs="Times New Roman"/>
          <w:szCs w:val="24"/>
        </w:rPr>
      </w:pPr>
      <w:r w:rsidRPr="00C80BFE">
        <w:rPr>
          <w:rFonts w:eastAsia="Calibri" w:cs="Times New Roman"/>
          <w:i/>
          <w:iCs/>
          <w:szCs w:val="24"/>
          <w:u w:val="single"/>
        </w:rPr>
        <w:t>/s/ Angela D. O’Brien</w:t>
      </w:r>
      <w:r w:rsidRPr="00C80BFE">
        <w:rPr>
          <w:rFonts w:eastAsia="Calibri" w:cs="Times New Roman"/>
          <w:i/>
          <w:iCs/>
          <w:szCs w:val="24"/>
          <w:u w:val="single"/>
        </w:rPr>
        <w:tab/>
      </w:r>
      <w:r w:rsidRPr="00C80BFE">
        <w:rPr>
          <w:rFonts w:eastAsia="Calibri" w:cs="Times New Roman"/>
          <w:i/>
          <w:iCs/>
          <w:szCs w:val="24"/>
          <w:u w:val="single"/>
        </w:rPr>
        <w:tab/>
      </w:r>
      <w:r w:rsidRPr="00C80BFE">
        <w:rPr>
          <w:rFonts w:eastAsia="Calibri" w:cs="Times New Roman"/>
          <w:szCs w:val="24"/>
        </w:rPr>
        <w:tab/>
      </w:r>
    </w:p>
    <w:p w:rsidR="00326C85" w:rsidRPr="00C80BFE" w:rsidP="00AB389A" w14:paraId="16E369AA" w14:textId="77777777">
      <w:pPr>
        <w:spacing w:after="0" w:line="240" w:lineRule="auto"/>
        <w:ind w:left="4320"/>
        <w:rPr>
          <w:rFonts w:cs="Times New Roman"/>
          <w:szCs w:val="24"/>
        </w:rPr>
      </w:pPr>
      <w:r w:rsidRPr="00C80BFE">
        <w:rPr>
          <w:rFonts w:cs="Times New Roman"/>
          <w:szCs w:val="24"/>
        </w:rPr>
        <w:t>Angela D. O’Brien (0097579)</w:t>
      </w:r>
    </w:p>
    <w:p w:rsidR="00326C85" w:rsidRPr="00C80BFE" w:rsidP="00AB389A" w14:paraId="2D5957EE" w14:textId="77777777">
      <w:pPr>
        <w:spacing w:after="0" w:line="240" w:lineRule="auto"/>
        <w:ind w:left="4320"/>
        <w:rPr>
          <w:rFonts w:cs="Times New Roman"/>
          <w:szCs w:val="24"/>
        </w:rPr>
      </w:pPr>
      <w:r w:rsidRPr="00C80BFE">
        <w:rPr>
          <w:rFonts w:cs="Times New Roman"/>
          <w:szCs w:val="24"/>
        </w:rPr>
        <w:t xml:space="preserve">Counsel of Record </w:t>
      </w:r>
    </w:p>
    <w:p w:rsidR="00326C85" w:rsidRPr="00C80BFE" w:rsidP="00AB389A" w14:paraId="578F0FA4" w14:textId="77777777">
      <w:pPr>
        <w:tabs>
          <w:tab w:val="left" w:pos="4320"/>
        </w:tabs>
        <w:spacing w:after="0" w:line="240" w:lineRule="auto"/>
        <w:ind w:left="4320"/>
        <w:rPr>
          <w:rFonts w:cs="Times New Roman"/>
          <w:szCs w:val="24"/>
        </w:rPr>
      </w:pPr>
      <w:r w:rsidRPr="00C80BFE">
        <w:rPr>
          <w:rFonts w:cs="Times New Roman"/>
          <w:szCs w:val="24"/>
        </w:rPr>
        <w:t>William J. Michael (0070921)</w:t>
      </w:r>
    </w:p>
    <w:p w:rsidR="00326C85" w:rsidRPr="00C80BFE" w:rsidP="00AB389A" w14:paraId="2657D9AD" w14:textId="77777777">
      <w:pPr>
        <w:tabs>
          <w:tab w:val="left" w:pos="4320"/>
        </w:tabs>
        <w:spacing w:after="0" w:line="240" w:lineRule="auto"/>
        <w:ind w:left="4320"/>
        <w:rPr>
          <w:rFonts w:cs="Times New Roman"/>
          <w:szCs w:val="24"/>
        </w:rPr>
      </w:pPr>
      <w:r w:rsidRPr="00C80BFE">
        <w:rPr>
          <w:rFonts w:cs="Times New Roman"/>
          <w:szCs w:val="24"/>
        </w:rPr>
        <w:t>Connor D. Semple (0101102)</w:t>
      </w:r>
    </w:p>
    <w:p w:rsidR="00326C85" w:rsidRPr="00C80BFE" w:rsidP="00AB389A" w14:paraId="1346862F" w14:textId="77777777">
      <w:pPr>
        <w:spacing w:after="0" w:line="240" w:lineRule="auto"/>
        <w:ind w:left="4320"/>
        <w:rPr>
          <w:rFonts w:cs="Times New Roman"/>
          <w:szCs w:val="24"/>
        </w:rPr>
      </w:pPr>
      <w:r w:rsidRPr="00C80BFE">
        <w:rPr>
          <w:rFonts w:cs="Times New Roman"/>
          <w:szCs w:val="24"/>
        </w:rPr>
        <w:t>Assistant Consumers’ Counsel</w:t>
      </w:r>
    </w:p>
    <w:p w:rsidR="00444CD6" w:rsidRPr="00C80BFE" w:rsidP="00AB389A" w14:paraId="6627BCEC" w14:textId="77777777">
      <w:pPr>
        <w:spacing w:after="0" w:line="240" w:lineRule="auto"/>
        <w:ind w:left="4320"/>
        <w:rPr>
          <w:rFonts w:cs="Times New Roman"/>
          <w:b/>
          <w:szCs w:val="24"/>
        </w:rPr>
      </w:pPr>
    </w:p>
    <w:p w:rsidR="00326C85" w:rsidRPr="00C80BFE" w:rsidP="00AB389A" w14:paraId="10950372" w14:textId="412FE9C3">
      <w:pPr>
        <w:spacing w:after="0" w:line="240" w:lineRule="auto"/>
        <w:ind w:left="4320"/>
        <w:rPr>
          <w:rFonts w:cs="Times New Roman"/>
          <w:b/>
          <w:szCs w:val="24"/>
        </w:rPr>
      </w:pPr>
      <w:r w:rsidRPr="00C80BFE">
        <w:rPr>
          <w:rFonts w:cs="Times New Roman"/>
          <w:b/>
          <w:szCs w:val="24"/>
        </w:rPr>
        <w:t>Office of the Ohio Consumers’ Counsel</w:t>
      </w:r>
    </w:p>
    <w:p w:rsidR="00326C85" w:rsidRPr="00C80BFE" w:rsidP="00AB389A" w14:paraId="3FB1DBD8" w14:textId="77777777">
      <w:pPr>
        <w:spacing w:after="0" w:line="240" w:lineRule="auto"/>
        <w:ind w:left="4320"/>
        <w:rPr>
          <w:rFonts w:cs="Times New Roman"/>
          <w:szCs w:val="24"/>
        </w:rPr>
      </w:pPr>
      <w:r w:rsidRPr="00C80BFE">
        <w:rPr>
          <w:rFonts w:cs="Times New Roman"/>
          <w:szCs w:val="24"/>
        </w:rPr>
        <w:t>65 East State Street, Suite 700</w:t>
      </w:r>
    </w:p>
    <w:p w:rsidR="00326C85" w:rsidRPr="00C80BFE" w:rsidP="00AB389A" w14:paraId="254BC67C" w14:textId="77777777">
      <w:pPr>
        <w:spacing w:after="0" w:line="240" w:lineRule="auto"/>
        <w:ind w:left="4320"/>
        <w:rPr>
          <w:rFonts w:cs="Times New Roman"/>
          <w:szCs w:val="24"/>
        </w:rPr>
      </w:pPr>
      <w:r w:rsidRPr="00C80BFE">
        <w:rPr>
          <w:rFonts w:cs="Times New Roman"/>
          <w:szCs w:val="24"/>
        </w:rPr>
        <w:t>Columbus, Ohio 43215</w:t>
      </w:r>
    </w:p>
    <w:p w:rsidR="00326C85" w:rsidRPr="00C80BFE" w:rsidP="00AB389A" w14:paraId="670A54CB" w14:textId="77777777">
      <w:pPr>
        <w:spacing w:after="0" w:line="240" w:lineRule="auto"/>
        <w:ind w:left="4320"/>
        <w:rPr>
          <w:rFonts w:cs="Times New Roman"/>
          <w:szCs w:val="24"/>
        </w:rPr>
      </w:pPr>
      <w:r w:rsidRPr="00C80BFE">
        <w:rPr>
          <w:rFonts w:cs="Times New Roman"/>
          <w:color w:val="000000"/>
          <w:szCs w:val="24"/>
        </w:rPr>
        <w:t>Telephone [O’Brien]: (614) 499-9531</w:t>
      </w:r>
      <w:r w:rsidRPr="00C80BFE">
        <w:rPr>
          <w:rFonts w:cs="Times New Roman"/>
          <w:szCs w:val="24"/>
        </w:rPr>
        <w:tab/>
      </w:r>
    </w:p>
    <w:p w:rsidR="00326C85" w:rsidRPr="00C80BFE" w:rsidP="00AB389A" w14:paraId="1263D01B" w14:textId="77777777">
      <w:pPr>
        <w:spacing w:after="0" w:line="240" w:lineRule="auto"/>
        <w:ind w:left="4320"/>
        <w:rPr>
          <w:rFonts w:cs="Times New Roman"/>
          <w:color w:val="000000"/>
          <w:szCs w:val="24"/>
        </w:rPr>
      </w:pPr>
      <w:r w:rsidRPr="00C80BFE">
        <w:rPr>
          <w:rFonts w:cs="Times New Roman"/>
          <w:szCs w:val="24"/>
        </w:rPr>
        <w:t>Telephone [Michael]: (</w:t>
      </w:r>
      <w:r w:rsidRPr="00C80BFE">
        <w:rPr>
          <w:rFonts w:cs="Times New Roman"/>
          <w:color w:val="000000"/>
          <w:szCs w:val="24"/>
        </w:rPr>
        <w:t>614) 466-1291</w:t>
      </w:r>
    </w:p>
    <w:p w:rsidR="00326C85" w:rsidRPr="00C80BFE" w:rsidP="00AB389A" w14:paraId="1A3365EA" w14:textId="77777777">
      <w:pPr>
        <w:spacing w:after="0" w:line="240" w:lineRule="auto"/>
        <w:ind w:left="4320"/>
        <w:rPr>
          <w:rFonts w:cs="Times New Roman"/>
          <w:color w:val="000000"/>
          <w:szCs w:val="24"/>
        </w:rPr>
      </w:pPr>
      <w:r w:rsidRPr="00C80BFE">
        <w:rPr>
          <w:rFonts w:cs="Times New Roman"/>
          <w:color w:val="000000"/>
          <w:szCs w:val="24"/>
        </w:rPr>
        <w:t>Telephone [Semple]:</w:t>
      </w:r>
      <w:r w:rsidRPr="00C80BFE">
        <w:rPr>
          <w:rFonts w:cs="Times New Roman"/>
          <w:color w:val="000000"/>
          <w:szCs w:val="24"/>
        </w:rPr>
        <w:tab/>
        <w:t>(614) 466-9565</w:t>
      </w:r>
    </w:p>
    <w:p w:rsidR="00326C85" w:rsidRPr="00C80BFE" w:rsidP="00AB389A" w14:paraId="40D98E23" w14:textId="77777777">
      <w:pPr>
        <w:spacing w:after="0" w:line="240" w:lineRule="auto"/>
        <w:ind w:left="4320"/>
        <w:rPr>
          <w:rFonts w:cs="Times New Roman"/>
          <w:szCs w:val="24"/>
        </w:rPr>
      </w:pPr>
      <w:hyperlink r:id="rId6" w:history="1">
        <w:r w:rsidRPr="00C80BFE" w:rsidR="00CE41D6">
          <w:rPr>
            <w:rStyle w:val="Hyperlink"/>
            <w:rFonts w:cs="Times New Roman"/>
            <w:szCs w:val="24"/>
          </w:rPr>
          <w:t>angela.obrien@occ.ohio.gov</w:t>
        </w:r>
      </w:hyperlink>
    </w:p>
    <w:p w:rsidR="00326C85" w:rsidRPr="00C80BFE" w:rsidP="00AB389A" w14:paraId="752E9D2B" w14:textId="77777777">
      <w:pPr>
        <w:spacing w:after="0" w:line="240" w:lineRule="auto"/>
        <w:ind w:left="4320"/>
        <w:rPr>
          <w:rStyle w:val="Hyperlink"/>
          <w:rFonts w:eastAsia="Courier New" w:cs="Times New Roman"/>
          <w:szCs w:val="24"/>
        </w:rPr>
      </w:pPr>
      <w:hyperlink r:id="rId7" w:history="1">
        <w:r w:rsidRPr="00C80BFE" w:rsidR="00CE41D6">
          <w:rPr>
            <w:rStyle w:val="Hyperlink"/>
            <w:rFonts w:eastAsia="Courier New" w:cs="Times New Roman"/>
            <w:szCs w:val="24"/>
          </w:rPr>
          <w:t>william.michael@occ.ohio.gov</w:t>
        </w:r>
      </w:hyperlink>
    </w:p>
    <w:p w:rsidR="00326C85" w:rsidRPr="00C80BFE" w:rsidP="00AB389A" w14:paraId="18506D44" w14:textId="77777777">
      <w:pPr>
        <w:spacing w:after="0" w:line="240" w:lineRule="auto"/>
        <w:ind w:left="4320"/>
        <w:rPr>
          <w:rFonts w:eastAsia="Courier New" w:cs="Times New Roman"/>
          <w:szCs w:val="24"/>
        </w:rPr>
      </w:pPr>
      <w:r w:rsidRPr="00C80BFE">
        <w:rPr>
          <w:rStyle w:val="Hyperlink"/>
          <w:rFonts w:eastAsia="Courier New" w:cs="Times New Roman"/>
          <w:szCs w:val="24"/>
        </w:rPr>
        <w:t>connor.semple@occ.ohio.gov</w:t>
      </w:r>
    </w:p>
    <w:p w:rsidR="00326C85" w:rsidRPr="00C80BFE" w:rsidP="00AB389A" w14:paraId="607C79E1" w14:textId="77777777">
      <w:pPr>
        <w:spacing w:after="0" w:line="240" w:lineRule="auto"/>
        <w:ind w:left="4320"/>
        <w:rPr>
          <w:rFonts w:cs="Times New Roman"/>
          <w:szCs w:val="24"/>
        </w:rPr>
      </w:pPr>
      <w:r w:rsidRPr="00C80BFE">
        <w:rPr>
          <w:rFonts w:cs="Times New Roman"/>
          <w:szCs w:val="24"/>
        </w:rPr>
        <w:t>(willing to accept service by e-mail)</w:t>
      </w:r>
    </w:p>
    <w:p w:rsidR="00075DF7" w:rsidRPr="00C80BFE" w:rsidP="00075DF7" w14:paraId="3CB91B35" w14:textId="76BB442D">
      <w:pPr>
        <w:ind w:left="4320"/>
        <w:rPr>
          <w:rFonts w:cs="Times New Roman"/>
          <w:szCs w:val="24"/>
        </w:rPr>
      </w:pPr>
    </w:p>
    <w:p w:rsidR="00075DF7" w:rsidRPr="00C80BFE" w:rsidP="00075DF7" w14:paraId="24558A49" w14:textId="77777777">
      <w:pPr>
        <w:pStyle w:val="HTMLPreformatted"/>
        <w:jc w:val="center"/>
        <w:rPr>
          <w:rFonts w:ascii="Times New Roman" w:hAnsi="Times New Roman" w:cs="Times New Roman"/>
          <w:b/>
          <w:bCs/>
          <w:sz w:val="24"/>
          <w:szCs w:val="24"/>
        </w:rPr>
        <w:sectPr w:rsidSect="00200047">
          <w:footerReference w:type="first" r:id="rId12"/>
          <w:pgSz w:w="12240" w:h="15840"/>
          <w:pgMar w:top="1440" w:right="1800" w:bottom="1440" w:left="1800" w:header="720" w:footer="720" w:gutter="0"/>
          <w:pgNumType w:start="2"/>
          <w:cols w:space="720"/>
          <w:titlePg/>
          <w:docGrid w:linePitch="326"/>
        </w:sectPr>
      </w:pPr>
    </w:p>
    <w:p w:rsidR="009B419A" w:rsidRPr="00C80BFE" w:rsidP="00D77392" w14:paraId="1C484111" w14:textId="77777777">
      <w:pPr>
        <w:spacing w:after="0" w:line="480" w:lineRule="auto"/>
        <w:jc w:val="center"/>
        <w:rPr>
          <w:rFonts w:eastAsiaTheme="minorEastAsia" w:cs="Times New Roman"/>
          <w:b/>
          <w:szCs w:val="24"/>
          <w:u w:val="single"/>
        </w:rPr>
      </w:pPr>
      <w:r w:rsidRPr="00C80BFE">
        <w:rPr>
          <w:rFonts w:eastAsiaTheme="minorEastAsia" w:cs="Times New Roman"/>
          <w:b/>
          <w:szCs w:val="24"/>
          <w:u w:val="single"/>
        </w:rPr>
        <w:t>CERTIFICATE OF SERVICE</w:t>
      </w:r>
    </w:p>
    <w:p w:rsidR="009B419A" w:rsidRPr="00C80BFE" w:rsidP="00EC50A9" w14:paraId="1AF4F4A2" w14:textId="62E12FF0">
      <w:pPr>
        <w:spacing w:after="0" w:line="480" w:lineRule="auto"/>
        <w:ind w:firstLine="720"/>
        <w:rPr>
          <w:rFonts w:eastAsiaTheme="minorEastAsia" w:cs="Times New Roman"/>
          <w:szCs w:val="24"/>
        </w:rPr>
      </w:pPr>
      <w:r w:rsidRPr="00C80BFE">
        <w:rPr>
          <w:rFonts w:eastAsiaTheme="minorEastAsia" w:cs="Times New Roman"/>
          <w:szCs w:val="24"/>
        </w:rPr>
        <w:t xml:space="preserve">I hereby certify that a copy of this </w:t>
      </w:r>
      <w:r w:rsidR="0054122A">
        <w:rPr>
          <w:rFonts w:eastAsiaTheme="minorEastAsia" w:cs="Times New Roman"/>
          <w:szCs w:val="24"/>
        </w:rPr>
        <w:t>Memorandum Contra to the Applications for Rehearing</w:t>
      </w:r>
      <w:r w:rsidRPr="00C80BFE">
        <w:rPr>
          <w:rFonts w:eastAsiaTheme="minorEastAsia" w:cs="Times New Roman"/>
          <w:szCs w:val="24"/>
        </w:rPr>
        <w:t xml:space="preserve"> was served on the persons stated below via electronic transmission, this </w:t>
      </w:r>
      <w:r w:rsidR="0054122A">
        <w:rPr>
          <w:rFonts w:eastAsiaTheme="minorEastAsia" w:cs="Times New Roman"/>
          <w:szCs w:val="24"/>
        </w:rPr>
        <w:t>9</w:t>
      </w:r>
      <w:r w:rsidRPr="00C80BFE" w:rsidR="00B83E08">
        <w:rPr>
          <w:rFonts w:eastAsiaTheme="minorEastAsia" w:cs="Times New Roman"/>
          <w:szCs w:val="24"/>
          <w:vertAlign w:val="superscript"/>
        </w:rPr>
        <w:t>th</w:t>
      </w:r>
      <w:r w:rsidRPr="00C80BFE">
        <w:rPr>
          <w:rFonts w:eastAsiaTheme="minorEastAsia" w:cs="Times New Roman"/>
          <w:szCs w:val="24"/>
        </w:rPr>
        <w:t xml:space="preserve"> day of </w:t>
      </w:r>
      <w:r w:rsidR="0054122A">
        <w:rPr>
          <w:rFonts w:eastAsiaTheme="minorEastAsia" w:cs="Times New Roman"/>
          <w:szCs w:val="24"/>
        </w:rPr>
        <w:t>March</w:t>
      </w:r>
      <w:r w:rsidRPr="00C80BFE">
        <w:rPr>
          <w:rFonts w:eastAsiaTheme="minorEastAsia" w:cs="Times New Roman"/>
          <w:szCs w:val="24"/>
        </w:rPr>
        <w:t xml:space="preserve"> 20</w:t>
      </w:r>
      <w:r w:rsidRPr="00C80BFE" w:rsidR="0072541D">
        <w:rPr>
          <w:rFonts w:eastAsiaTheme="minorEastAsia" w:cs="Times New Roman"/>
          <w:szCs w:val="24"/>
        </w:rPr>
        <w:t>2</w:t>
      </w:r>
      <w:r w:rsidR="0054122A">
        <w:rPr>
          <w:rFonts w:eastAsiaTheme="minorEastAsia" w:cs="Times New Roman"/>
          <w:szCs w:val="24"/>
        </w:rPr>
        <w:t>3</w:t>
      </w:r>
      <w:r w:rsidRPr="00C80BFE">
        <w:rPr>
          <w:rFonts w:eastAsiaTheme="minorEastAsia" w:cs="Times New Roman"/>
          <w:szCs w:val="24"/>
        </w:rPr>
        <w:t>.</w:t>
      </w:r>
    </w:p>
    <w:p w:rsidR="009B419A" w:rsidRPr="00C80BFE" w:rsidP="00EC50A9" w14:paraId="42599AF5" w14:textId="553CE97E">
      <w:pPr>
        <w:spacing w:after="0" w:line="240" w:lineRule="auto"/>
        <w:ind w:firstLine="720"/>
        <w:rPr>
          <w:rFonts w:eastAsiaTheme="minorEastAsia" w:cs="Times New Roman"/>
          <w:i/>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i/>
          <w:szCs w:val="24"/>
          <w:u w:val="single"/>
        </w:rPr>
        <w:t xml:space="preserve">/s/ </w:t>
      </w:r>
      <w:r w:rsidRPr="00C80BFE" w:rsidR="0072541D">
        <w:rPr>
          <w:rFonts w:eastAsiaTheme="minorEastAsia" w:cs="Times New Roman"/>
          <w:i/>
          <w:szCs w:val="24"/>
          <w:u w:val="single"/>
        </w:rPr>
        <w:t>Angela D. O’Brien</w:t>
      </w:r>
      <w:r w:rsidRPr="00C80BFE">
        <w:rPr>
          <w:rFonts w:eastAsiaTheme="minorEastAsia" w:cs="Times New Roman"/>
          <w:i/>
          <w:szCs w:val="24"/>
          <w:u w:val="single"/>
        </w:rPr>
        <w:tab/>
      </w:r>
    </w:p>
    <w:p w:rsidR="009B419A" w:rsidRPr="00C80BFE" w:rsidP="00EC50A9" w14:paraId="029A7403" w14:textId="66F2475D">
      <w:pPr>
        <w:spacing w:after="0" w:line="240" w:lineRule="auto"/>
        <w:ind w:firstLine="720"/>
        <w:rPr>
          <w:rFonts w:eastAsiaTheme="minorEastAsia" w:cs="Times New Roman"/>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sidR="0072541D">
        <w:rPr>
          <w:rFonts w:eastAsiaTheme="minorEastAsia" w:cs="Times New Roman"/>
          <w:szCs w:val="24"/>
        </w:rPr>
        <w:t>Angela D. O’Brien</w:t>
      </w:r>
    </w:p>
    <w:p w:rsidR="002938B2" w:rsidP="005F71D8" w14:paraId="77A8CC59" w14:textId="1593D8CA">
      <w:pPr>
        <w:spacing w:after="0" w:line="240" w:lineRule="auto"/>
        <w:ind w:firstLine="720"/>
        <w:rPr>
          <w:rFonts w:eastAsiaTheme="minorEastAsia" w:cs="Times New Roman"/>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009071E6">
        <w:rPr>
          <w:rFonts w:eastAsiaTheme="minorEastAsia" w:cs="Times New Roman"/>
          <w:szCs w:val="24"/>
        </w:rPr>
        <w:t>Assistant Consumers’ Counsel</w:t>
      </w:r>
    </w:p>
    <w:p w:rsidR="005F71D8" w:rsidRPr="005F71D8" w:rsidP="005F71D8" w14:paraId="142EE4DA" w14:textId="77777777">
      <w:pPr>
        <w:spacing w:after="0" w:line="240" w:lineRule="auto"/>
        <w:ind w:firstLine="720"/>
        <w:rPr>
          <w:rFonts w:eastAsiaTheme="minorEastAsia" w:cs="Times New Roman"/>
          <w:szCs w:val="24"/>
        </w:rPr>
      </w:pPr>
    </w:p>
    <w:p w:rsidR="009B419A" w:rsidRPr="00C80BFE" w:rsidP="002938B2" w14:paraId="0070DA1F" w14:textId="1FC38450">
      <w:pPr>
        <w:suppressLineNumbers/>
        <w:rPr>
          <w:rFonts w:eastAsiaTheme="minorEastAsia" w:cs="Times New Roman"/>
          <w:szCs w:val="24"/>
        </w:rPr>
      </w:pPr>
      <w:r w:rsidRPr="00C80BFE">
        <w:rPr>
          <w:rFonts w:cs="Times New Roman"/>
          <w:szCs w:val="24"/>
        </w:rPr>
        <w:t>The PUCO’s e-filing system will electronically serve notice of the filing of this document on the following parties:</w:t>
      </w:r>
    </w:p>
    <w:p w:rsidR="002938B2" w:rsidRPr="00C80BFE" w:rsidP="002938B2" w14:paraId="0E0F8796" w14:textId="77777777">
      <w:pPr>
        <w:pStyle w:val="CommentText"/>
        <w:jc w:val="center"/>
        <w:rPr>
          <w:b/>
          <w:u w:val="single"/>
        </w:rPr>
      </w:pPr>
      <w:r w:rsidRPr="00C80BFE">
        <w:rPr>
          <w:b/>
          <w:u w:val="single"/>
        </w:rPr>
        <w:t>SERVICE LIST</w:t>
      </w:r>
    </w:p>
    <w:p w:rsidR="002938B2" w:rsidRPr="00C80BFE" w:rsidP="002938B2" w14:paraId="04D135AD" w14:textId="77777777">
      <w:pPr>
        <w:pStyle w:val="CommentText"/>
        <w:jc w:val="center"/>
        <w:rPr>
          <w:bCs/>
          <w:u w:val="single"/>
        </w:rPr>
      </w:pPr>
    </w:p>
    <w:tbl>
      <w:tblPr>
        <w:tblW w:w="0" w:type="auto"/>
        <w:tblLook w:val="01E0"/>
      </w:tblPr>
      <w:tblGrid>
        <w:gridCol w:w="4322"/>
        <w:gridCol w:w="4318"/>
      </w:tblGrid>
      <w:tr w14:paraId="2DB43FE9" w14:textId="77777777" w:rsidTr="003C37F4">
        <w:tblPrEx>
          <w:tblW w:w="0" w:type="auto"/>
          <w:tblLook w:val="01E0"/>
        </w:tblPrEx>
        <w:tc>
          <w:tcPr>
            <w:tcW w:w="4322" w:type="dxa"/>
            <w:shd w:val="clear" w:color="auto" w:fill="auto"/>
          </w:tcPr>
          <w:p w:rsidR="009E76F7" w:rsidRPr="00C80BFE" w:rsidP="009E76F7" w14:paraId="6E30E0D6" w14:textId="77777777">
            <w:pPr>
              <w:spacing w:after="0" w:line="240" w:lineRule="auto"/>
              <w:rPr>
                <w:rFonts w:cs="Times New Roman"/>
                <w:color w:val="0000FF"/>
                <w:szCs w:val="24"/>
                <w:u w:val="single"/>
              </w:rPr>
            </w:pPr>
            <w:hyperlink r:id="rId13" w:history="1">
              <w:r w:rsidRPr="00C80BFE" w:rsidR="00CE41D6">
                <w:rPr>
                  <w:rFonts w:cs="Times New Roman"/>
                  <w:color w:val="0000FF"/>
                  <w:szCs w:val="24"/>
                  <w:u w:val="single"/>
                </w:rPr>
                <w:t>werner.margard@OhioAGO.gov</w:t>
              </w:r>
            </w:hyperlink>
          </w:p>
          <w:p w:rsidR="009E76F7" w:rsidRPr="00C80BFE" w:rsidP="009E76F7" w14:paraId="642E5D7D" w14:textId="77777777">
            <w:pPr>
              <w:spacing w:after="0" w:line="240" w:lineRule="auto"/>
              <w:rPr>
                <w:rFonts w:cs="Times New Roman"/>
                <w:szCs w:val="24"/>
              </w:rPr>
            </w:pPr>
            <w:r w:rsidRPr="00C80BFE">
              <w:rPr>
                <w:rFonts w:cs="Times New Roman"/>
                <w:color w:val="0000FF"/>
                <w:szCs w:val="24"/>
                <w:u w:val="single"/>
              </w:rPr>
              <w:t>shaun.lyons@OhioAGO.gov</w:t>
            </w:r>
          </w:p>
          <w:bookmarkStart w:id="17" w:name="_Hlk76570769"/>
          <w:p w:rsidR="009E76F7" w:rsidRPr="00C80BFE" w:rsidP="009E76F7" w14:paraId="61C5660A" w14:textId="77777777">
            <w:pPr>
              <w:tabs>
                <w:tab w:val="left" w:pos="-720"/>
              </w:tabs>
              <w:suppressAutoHyphens/>
              <w:spacing w:after="0" w:line="240" w:lineRule="auto"/>
              <w:jc w:val="both"/>
              <w:rPr>
                <w:rFonts w:cs="Times New Roman"/>
                <w:bCs/>
                <w:color w:val="0000FF"/>
                <w:szCs w:val="24"/>
                <w:u w:val="single"/>
              </w:rPr>
            </w:pPr>
            <w:hyperlink r:id="rId14" w:history="1">
              <w:r w:rsidRPr="00C80BFE">
                <w:rPr>
                  <w:rFonts w:cs="Times New Roman"/>
                  <w:bCs/>
                  <w:color w:val="0000FF"/>
                  <w:szCs w:val="24"/>
                  <w:u w:val="single"/>
                </w:rPr>
                <w:t>mjsettineri@vorys.com</w:t>
              </w:r>
            </w:hyperlink>
          </w:p>
          <w:p w:rsidR="009E76F7" w:rsidRPr="00C80BFE" w:rsidP="009E76F7" w14:paraId="6CE88178" w14:textId="77777777">
            <w:pPr>
              <w:tabs>
                <w:tab w:val="left" w:pos="-720"/>
              </w:tabs>
              <w:suppressAutoHyphens/>
              <w:spacing w:after="0" w:line="240" w:lineRule="auto"/>
              <w:jc w:val="both"/>
              <w:rPr>
                <w:rFonts w:cs="Times New Roman"/>
                <w:color w:val="0000FF"/>
                <w:szCs w:val="24"/>
                <w:u w:val="single"/>
              </w:rPr>
            </w:pPr>
            <w:hyperlink r:id="rId15" w:history="1">
              <w:r w:rsidRPr="00C80BFE" w:rsidR="00CE41D6">
                <w:rPr>
                  <w:rFonts w:cs="Times New Roman"/>
                  <w:color w:val="0000FF"/>
                  <w:szCs w:val="24"/>
                  <w:u w:val="single"/>
                </w:rPr>
                <w:t>glpetrucci@vorys.com</w:t>
              </w:r>
            </w:hyperlink>
          </w:p>
          <w:p w:rsidR="009E76F7" w:rsidRPr="00C80BFE" w:rsidP="009E76F7" w14:paraId="2EBBD1C1" w14:textId="77777777">
            <w:pPr>
              <w:tabs>
                <w:tab w:val="left" w:pos="-720"/>
              </w:tabs>
              <w:suppressAutoHyphens/>
              <w:spacing w:after="0" w:line="240" w:lineRule="auto"/>
              <w:jc w:val="both"/>
              <w:rPr>
                <w:rFonts w:cs="Times New Roman"/>
                <w:color w:val="0000FF"/>
                <w:szCs w:val="24"/>
                <w:u w:val="single"/>
              </w:rPr>
            </w:pPr>
            <w:r w:rsidRPr="00C80BFE">
              <w:rPr>
                <w:rFonts w:cs="Times New Roman"/>
                <w:color w:val="0000FF"/>
                <w:szCs w:val="24"/>
                <w:u w:val="single"/>
              </w:rPr>
              <w:t>stacie.cathcart@igs.com</w:t>
            </w:r>
          </w:p>
          <w:p w:rsidR="009E76F7" w:rsidRPr="00C80BFE" w:rsidP="009E76F7" w14:paraId="766AA803" w14:textId="77777777">
            <w:pPr>
              <w:tabs>
                <w:tab w:val="left" w:pos="-720"/>
              </w:tabs>
              <w:suppressAutoHyphens/>
              <w:spacing w:after="0" w:line="240" w:lineRule="auto"/>
              <w:jc w:val="both"/>
              <w:rPr>
                <w:rFonts w:cs="Times New Roman"/>
                <w:color w:val="0000FF"/>
                <w:szCs w:val="24"/>
                <w:u w:val="single"/>
              </w:rPr>
            </w:pPr>
            <w:hyperlink r:id="rId16" w:history="1">
              <w:r w:rsidRPr="00C80BFE" w:rsidR="00CE41D6">
                <w:rPr>
                  <w:rFonts w:cs="Times New Roman"/>
                  <w:color w:val="0000FF"/>
                  <w:szCs w:val="24"/>
                  <w:u w:val="single"/>
                </w:rPr>
                <w:t>michael.nugent@igs.com</w:t>
              </w:r>
            </w:hyperlink>
          </w:p>
          <w:p w:rsidR="009E76F7" w:rsidRPr="00C80BFE" w:rsidP="009E76F7" w14:paraId="74BC5F31" w14:textId="77777777">
            <w:pPr>
              <w:tabs>
                <w:tab w:val="left" w:pos="-720"/>
              </w:tabs>
              <w:suppressAutoHyphens/>
              <w:spacing w:after="0" w:line="240" w:lineRule="auto"/>
              <w:jc w:val="both"/>
              <w:rPr>
                <w:rFonts w:cs="Times New Roman"/>
                <w:bCs/>
                <w:szCs w:val="24"/>
              </w:rPr>
            </w:pPr>
            <w:hyperlink r:id="rId17" w:history="1">
              <w:r w:rsidRPr="00C80BFE" w:rsidR="00CE41D6">
                <w:rPr>
                  <w:rFonts w:cs="Times New Roman"/>
                  <w:bCs/>
                  <w:color w:val="0000FF"/>
                  <w:szCs w:val="24"/>
                  <w:u w:val="single"/>
                </w:rPr>
                <w:t>evan.betterton@igs.com</w:t>
              </w:r>
            </w:hyperlink>
          </w:p>
          <w:p w:rsidR="009E76F7" w:rsidRPr="00C80BFE" w:rsidP="009E76F7" w14:paraId="799CCE69" w14:textId="77777777">
            <w:pPr>
              <w:tabs>
                <w:tab w:val="left" w:pos="-720"/>
              </w:tabs>
              <w:suppressAutoHyphens/>
              <w:spacing w:after="0" w:line="240" w:lineRule="auto"/>
              <w:jc w:val="both"/>
              <w:rPr>
                <w:rFonts w:cs="Times New Roman"/>
                <w:bCs/>
                <w:szCs w:val="24"/>
              </w:rPr>
            </w:pPr>
            <w:hyperlink r:id="rId18" w:history="1">
              <w:r w:rsidRPr="00C80BFE" w:rsidR="00CE41D6">
                <w:rPr>
                  <w:rFonts w:cs="Times New Roman"/>
                  <w:bCs/>
                  <w:color w:val="0000FF"/>
                  <w:szCs w:val="24"/>
                  <w:u w:val="single"/>
                </w:rPr>
                <w:t>joe.oliker@igs.com</w:t>
              </w:r>
            </w:hyperlink>
          </w:p>
          <w:p w:rsidR="009E76F7" w:rsidRPr="00C80BFE" w:rsidP="009E76F7" w14:paraId="0FA79CD7" w14:textId="77777777">
            <w:pPr>
              <w:tabs>
                <w:tab w:val="left" w:pos="-720"/>
              </w:tabs>
              <w:suppressAutoHyphens/>
              <w:spacing w:after="0" w:line="240" w:lineRule="auto"/>
              <w:jc w:val="both"/>
              <w:rPr>
                <w:rFonts w:cs="Times New Roman"/>
                <w:bCs/>
                <w:color w:val="0000FF"/>
                <w:szCs w:val="24"/>
                <w:u w:val="single"/>
              </w:rPr>
            </w:pPr>
            <w:hyperlink r:id="rId19" w:history="1">
              <w:r w:rsidRPr="00C80BFE" w:rsidR="00CE41D6">
                <w:rPr>
                  <w:rFonts w:cs="Times New Roman"/>
                  <w:bCs/>
                  <w:color w:val="0000FF"/>
                  <w:szCs w:val="24"/>
                  <w:u w:val="single"/>
                </w:rPr>
                <w:t>rdove@keglerbrown.com</w:t>
              </w:r>
            </w:hyperlink>
          </w:p>
          <w:p w:rsidR="009E76F7" w:rsidP="009E76F7" w14:paraId="2C389FFA" w14:textId="559A9774">
            <w:pPr>
              <w:tabs>
                <w:tab w:val="left" w:pos="-720"/>
              </w:tabs>
              <w:suppressAutoHyphens/>
              <w:spacing w:after="0" w:line="240" w:lineRule="auto"/>
              <w:jc w:val="both"/>
              <w:rPr>
                <w:rFonts w:cs="Times New Roman"/>
                <w:bCs/>
                <w:color w:val="0000FF"/>
                <w:szCs w:val="24"/>
                <w:u w:val="single"/>
              </w:rPr>
            </w:pPr>
            <w:hyperlink r:id="rId20" w:history="1">
              <w:r w:rsidRPr="006E75B8" w:rsidR="00374C28">
                <w:rPr>
                  <w:rStyle w:val="Hyperlink"/>
                  <w:rFonts w:cs="Times New Roman"/>
                  <w:bCs/>
                  <w:szCs w:val="24"/>
                </w:rPr>
                <w:t>jweber@elpc.org</w:t>
              </w:r>
            </w:hyperlink>
          </w:p>
          <w:p w:rsidR="00374C28" w:rsidRPr="00C80BFE" w:rsidP="009E76F7" w14:paraId="152A0298" w14:textId="6C1CCA59">
            <w:pPr>
              <w:tabs>
                <w:tab w:val="left" w:pos="-720"/>
              </w:tabs>
              <w:suppressAutoHyphens/>
              <w:spacing w:after="0" w:line="240" w:lineRule="auto"/>
              <w:jc w:val="both"/>
              <w:rPr>
                <w:rFonts w:cs="Times New Roman"/>
                <w:bCs/>
                <w:color w:val="0000FF"/>
                <w:szCs w:val="24"/>
                <w:u w:val="single"/>
              </w:rPr>
            </w:pPr>
            <w:r w:rsidRPr="00374C28">
              <w:rPr>
                <w:rFonts w:cs="Times New Roman"/>
                <w:bCs/>
                <w:color w:val="0000FF"/>
                <w:szCs w:val="24"/>
                <w:u w:val="single"/>
              </w:rPr>
              <w:t>tdougherty@theoec.org</w:t>
            </w:r>
          </w:p>
          <w:p w:rsidR="00C01F6F" w:rsidP="009E76F7" w14:paraId="267EBA27" w14:textId="4B980536">
            <w:pPr>
              <w:tabs>
                <w:tab w:val="left" w:pos="-720"/>
              </w:tabs>
              <w:suppressAutoHyphens/>
              <w:spacing w:after="0" w:line="240" w:lineRule="auto"/>
              <w:jc w:val="both"/>
              <w:rPr>
                <w:rFonts w:cs="Times New Roman"/>
                <w:bCs/>
                <w:color w:val="0000FF"/>
                <w:szCs w:val="24"/>
                <w:u w:val="single"/>
              </w:rPr>
            </w:pPr>
            <w:hyperlink r:id="rId21" w:history="1">
              <w:r w:rsidRPr="00577005" w:rsidR="00CB5B54">
                <w:rPr>
                  <w:rStyle w:val="Hyperlink"/>
                  <w:rFonts w:cs="Times New Roman"/>
                  <w:bCs/>
                  <w:szCs w:val="24"/>
                </w:rPr>
                <w:t>dproano@bakerlaw.com</w:t>
              </w:r>
            </w:hyperlink>
          </w:p>
          <w:p w:rsidR="00C01F6F" w:rsidP="009E76F7" w14:paraId="0A61ACD7" w14:textId="7E884F51">
            <w:pPr>
              <w:tabs>
                <w:tab w:val="left" w:pos="-720"/>
              </w:tabs>
              <w:suppressAutoHyphens/>
              <w:spacing w:after="0" w:line="240" w:lineRule="auto"/>
              <w:jc w:val="both"/>
              <w:rPr>
                <w:rFonts w:cs="Times New Roman"/>
                <w:bCs/>
                <w:color w:val="0000FF"/>
                <w:szCs w:val="24"/>
                <w:u w:val="single"/>
              </w:rPr>
            </w:pPr>
            <w:hyperlink r:id="rId22" w:history="1">
              <w:r w:rsidRPr="00577005" w:rsidR="00CB5B54">
                <w:rPr>
                  <w:rStyle w:val="Hyperlink"/>
                  <w:rFonts w:cs="Times New Roman"/>
                  <w:bCs/>
                  <w:szCs w:val="24"/>
                </w:rPr>
                <w:t>ahaque@bakerlaw.com</w:t>
              </w:r>
            </w:hyperlink>
          </w:p>
          <w:p w:rsidR="00C01F6F" w:rsidP="009E76F7" w14:paraId="544F5DB6" w14:textId="23C99275">
            <w:pPr>
              <w:tabs>
                <w:tab w:val="left" w:pos="-720"/>
              </w:tabs>
              <w:suppressAutoHyphens/>
              <w:spacing w:after="0" w:line="240" w:lineRule="auto"/>
              <w:jc w:val="both"/>
              <w:rPr>
                <w:rFonts w:cs="Times New Roman"/>
                <w:bCs/>
                <w:color w:val="0000FF"/>
                <w:szCs w:val="24"/>
                <w:u w:val="single"/>
              </w:rPr>
            </w:pPr>
            <w:hyperlink r:id="rId23" w:history="1">
              <w:r w:rsidRPr="00577005" w:rsidR="00CB5B54">
                <w:rPr>
                  <w:rStyle w:val="Hyperlink"/>
                  <w:rFonts w:cs="Times New Roman"/>
                  <w:bCs/>
                  <w:szCs w:val="24"/>
                </w:rPr>
                <w:t>eprouty@bakerlaw.com</w:t>
              </w:r>
            </w:hyperlink>
          </w:p>
          <w:p w:rsidR="00C01F6F" w:rsidRPr="00C80BFE" w:rsidP="009E76F7" w14:paraId="12C6B556" w14:textId="77777777">
            <w:pPr>
              <w:tabs>
                <w:tab w:val="left" w:pos="-720"/>
              </w:tabs>
              <w:suppressAutoHyphens/>
              <w:spacing w:after="0" w:line="240" w:lineRule="auto"/>
              <w:jc w:val="both"/>
              <w:rPr>
                <w:rFonts w:cs="Times New Roman"/>
                <w:bCs/>
                <w:color w:val="0000FF"/>
                <w:szCs w:val="24"/>
                <w:u w:val="single"/>
              </w:rPr>
            </w:pPr>
          </w:p>
          <w:p w:rsidR="009E76F7" w:rsidRPr="00C80BFE" w:rsidP="009E76F7" w14:paraId="46E6B038" w14:textId="77777777">
            <w:pPr>
              <w:tabs>
                <w:tab w:val="left" w:pos="-720"/>
              </w:tabs>
              <w:suppressAutoHyphens/>
              <w:spacing w:after="0" w:line="240" w:lineRule="auto"/>
              <w:jc w:val="both"/>
              <w:rPr>
                <w:rFonts w:cs="Times New Roman"/>
                <w:bCs/>
                <w:color w:val="0000FF"/>
                <w:szCs w:val="24"/>
                <w:u w:val="single"/>
              </w:rPr>
            </w:pPr>
          </w:p>
          <w:p w:rsidR="009E76F7" w:rsidRPr="00C80BFE" w:rsidP="009E76F7" w14:paraId="1B033BAC" w14:textId="77777777">
            <w:pPr>
              <w:tabs>
                <w:tab w:val="left" w:pos="-720"/>
              </w:tabs>
              <w:suppressAutoHyphens/>
              <w:spacing w:after="0" w:line="240" w:lineRule="auto"/>
              <w:jc w:val="both"/>
              <w:rPr>
                <w:rFonts w:cs="Times New Roman"/>
                <w:bCs/>
                <w:szCs w:val="24"/>
              </w:rPr>
            </w:pPr>
            <w:r w:rsidRPr="00C80BFE">
              <w:rPr>
                <w:rFonts w:cs="Times New Roman"/>
                <w:bCs/>
                <w:szCs w:val="24"/>
              </w:rPr>
              <w:t>Attorney Examiners:</w:t>
            </w:r>
          </w:p>
          <w:p w:rsidR="009E76F7" w:rsidRPr="00C80BFE" w:rsidP="009E76F7" w14:paraId="6614FB77" w14:textId="77777777">
            <w:pPr>
              <w:spacing w:after="0" w:line="240" w:lineRule="auto"/>
              <w:rPr>
                <w:rFonts w:cs="Times New Roman"/>
                <w:color w:val="0000FF"/>
                <w:szCs w:val="24"/>
                <w:u w:val="single"/>
              </w:rPr>
            </w:pPr>
            <w:hyperlink r:id="rId24" w:history="1">
              <w:r w:rsidRPr="00C80BFE" w:rsidR="00CE41D6">
                <w:rPr>
                  <w:rFonts w:cs="Times New Roman"/>
                  <w:color w:val="0000FF"/>
                  <w:szCs w:val="24"/>
                  <w:u w:val="single"/>
                </w:rPr>
                <w:t>jacqueline.st.john@puco.ohio.gov</w:t>
              </w:r>
            </w:hyperlink>
          </w:p>
          <w:p w:rsidR="009E76F7" w:rsidRPr="00C80BFE" w:rsidP="009E76F7" w14:paraId="4DFFF718" w14:textId="77777777">
            <w:pPr>
              <w:adjustRightInd w:val="0"/>
              <w:spacing w:after="0" w:line="240" w:lineRule="auto"/>
              <w:rPr>
                <w:rFonts w:cs="Times New Roman"/>
                <w:color w:val="0000FF"/>
                <w:szCs w:val="24"/>
                <w:u w:val="single"/>
              </w:rPr>
            </w:pPr>
            <w:hyperlink r:id="rId25" w:history="1">
              <w:r w:rsidRPr="00C80BFE" w:rsidR="00CE41D6">
                <w:rPr>
                  <w:rFonts w:cs="Times New Roman"/>
                  <w:color w:val="0000FF"/>
                  <w:szCs w:val="24"/>
                  <w:u w:val="single"/>
                </w:rPr>
                <w:t>gregory.price@puco.ohio.gov</w:t>
              </w:r>
            </w:hyperlink>
          </w:p>
          <w:p w:rsidR="009E76F7" w:rsidRPr="00C80BFE" w:rsidP="009E76F7" w14:paraId="6FB73F03" w14:textId="77777777">
            <w:pPr>
              <w:autoSpaceDE w:val="0"/>
              <w:autoSpaceDN w:val="0"/>
              <w:adjustRightInd w:val="0"/>
              <w:spacing w:after="0" w:line="240" w:lineRule="auto"/>
              <w:rPr>
                <w:rFonts w:cs="Times New Roman"/>
                <w:bCs/>
                <w:szCs w:val="24"/>
              </w:rPr>
            </w:pPr>
          </w:p>
          <w:p w:rsidR="009E76F7" w:rsidRPr="00C80BFE" w:rsidP="009E76F7" w14:paraId="63F95A7C" w14:textId="77777777">
            <w:pPr>
              <w:autoSpaceDE w:val="0"/>
              <w:autoSpaceDN w:val="0"/>
              <w:adjustRightInd w:val="0"/>
              <w:spacing w:after="0" w:line="240" w:lineRule="auto"/>
              <w:rPr>
                <w:rFonts w:cs="Times New Roman"/>
                <w:bCs/>
                <w:szCs w:val="24"/>
              </w:rPr>
            </w:pPr>
          </w:p>
          <w:bookmarkEnd w:id="17"/>
          <w:p w:rsidR="009E76F7" w:rsidRPr="00C80BFE" w:rsidP="009E76F7" w14:paraId="701145BF" w14:textId="77777777">
            <w:pPr>
              <w:autoSpaceDE w:val="0"/>
              <w:autoSpaceDN w:val="0"/>
              <w:adjustRightInd w:val="0"/>
              <w:spacing w:after="0" w:line="240" w:lineRule="auto"/>
              <w:rPr>
                <w:rFonts w:cs="Times New Roman"/>
                <w:bCs/>
                <w:szCs w:val="24"/>
              </w:rPr>
            </w:pPr>
          </w:p>
        </w:tc>
        <w:tc>
          <w:tcPr>
            <w:tcW w:w="4318" w:type="dxa"/>
            <w:shd w:val="clear" w:color="auto" w:fill="auto"/>
          </w:tcPr>
          <w:p w:rsidR="009E76F7" w:rsidRPr="00C80BFE" w:rsidP="009E76F7" w14:paraId="61ADB682" w14:textId="77777777">
            <w:pPr>
              <w:tabs>
                <w:tab w:val="left" w:pos="-720"/>
              </w:tabs>
              <w:suppressAutoHyphens/>
              <w:spacing w:after="0" w:line="240" w:lineRule="auto"/>
              <w:jc w:val="both"/>
              <w:rPr>
                <w:rFonts w:cs="Times New Roman"/>
                <w:bCs/>
                <w:szCs w:val="24"/>
              </w:rPr>
            </w:pPr>
            <w:hyperlink r:id="rId26" w:history="1">
              <w:r w:rsidRPr="00C80BFE" w:rsidR="00CE41D6">
                <w:rPr>
                  <w:rFonts w:cs="Times New Roman"/>
                  <w:bCs/>
                  <w:color w:val="0000FF"/>
                  <w:szCs w:val="24"/>
                  <w:u w:val="single"/>
                </w:rPr>
                <w:t>mkurtz@bkllawfirm.com</w:t>
              </w:r>
            </w:hyperlink>
          </w:p>
          <w:p w:rsidR="009E76F7" w:rsidRPr="00C80BFE" w:rsidP="009E76F7" w14:paraId="603F7875" w14:textId="77777777">
            <w:pPr>
              <w:tabs>
                <w:tab w:val="left" w:pos="-720"/>
              </w:tabs>
              <w:suppressAutoHyphens/>
              <w:spacing w:after="0" w:line="240" w:lineRule="auto"/>
              <w:jc w:val="both"/>
              <w:rPr>
                <w:rFonts w:cs="Times New Roman"/>
                <w:bCs/>
                <w:szCs w:val="24"/>
              </w:rPr>
            </w:pPr>
            <w:hyperlink r:id="rId27" w:history="1">
              <w:r w:rsidRPr="00C80BFE" w:rsidR="00CE41D6">
                <w:rPr>
                  <w:rFonts w:cs="Times New Roman"/>
                  <w:bCs/>
                  <w:color w:val="0000FF"/>
                  <w:szCs w:val="24"/>
                  <w:u w:val="single"/>
                </w:rPr>
                <w:t>kboehm@bkllawfirm.com</w:t>
              </w:r>
            </w:hyperlink>
          </w:p>
          <w:p w:rsidR="009E76F7" w:rsidRPr="00C80BFE" w:rsidP="009E76F7" w14:paraId="7DFD1B88" w14:textId="77777777">
            <w:pPr>
              <w:tabs>
                <w:tab w:val="left" w:pos="-720"/>
              </w:tabs>
              <w:suppressAutoHyphens/>
              <w:spacing w:after="0" w:line="240" w:lineRule="auto"/>
              <w:jc w:val="both"/>
              <w:rPr>
                <w:rFonts w:cs="Times New Roman"/>
                <w:bCs/>
                <w:szCs w:val="24"/>
              </w:rPr>
            </w:pPr>
            <w:hyperlink r:id="rId28" w:history="1">
              <w:r w:rsidRPr="00C80BFE" w:rsidR="00CE41D6">
                <w:rPr>
                  <w:rFonts w:cs="Times New Roman"/>
                  <w:bCs/>
                  <w:color w:val="0000FF"/>
                  <w:szCs w:val="24"/>
                  <w:u w:val="single"/>
                </w:rPr>
                <w:t>jkylercohn@bkllawfirm.com</w:t>
              </w:r>
            </w:hyperlink>
          </w:p>
          <w:p w:rsidR="009E76F7" w:rsidRPr="00C80BFE" w:rsidP="009E76F7" w14:paraId="72163A59" w14:textId="77777777">
            <w:pPr>
              <w:tabs>
                <w:tab w:val="left" w:pos="-720"/>
              </w:tabs>
              <w:suppressAutoHyphens/>
              <w:spacing w:after="0" w:line="240" w:lineRule="auto"/>
              <w:jc w:val="both"/>
              <w:rPr>
                <w:rFonts w:cs="Times New Roman"/>
                <w:bCs/>
                <w:szCs w:val="24"/>
              </w:rPr>
            </w:pPr>
            <w:hyperlink r:id="rId29" w:history="1">
              <w:r w:rsidRPr="00C80BFE" w:rsidR="00CE41D6">
                <w:rPr>
                  <w:rFonts w:cs="Times New Roman"/>
                  <w:bCs/>
                  <w:color w:val="0000FF"/>
                  <w:szCs w:val="24"/>
                  <w:u w:val="single"/>
                </w:rPr>
                <w:t>josephclark@nisource.com</w:t>
              </w:r>
            </w:hyperlink>
          </w:p>
          <w:p w:rsidR="009E76F7" w:rsidRPr="00C80BFE" w:rsidP="009E76F7" w14:paraId="59C9519B" w14:textId="77777777">
            <w:pPr>
              <w:tabs>
                <w:tab w:val="left" w:pos="-720"/>
              </w:tabs>
              <w:suppressAutoHyphens/>
              <w:spacing w:after="0" w:line="240" w:lineRule="auto"/>
              <w:jc w:val="both"/>
              <w:rPr>
                <w:rFonts w:cs="Times New Roman"/>
                <w:bCs/>
                <w:szCs w:val="24"/>
              </w:rPr>
            </w:pPr>
            <w:hyperlink r:id="rId30" w:history="1">
              <w:r w:rsidRPr="00C80BFE" w:rsidR="00CE41D6">
                <w:rPr>
                  <w:rFonts w:cs="Times New Roman"/>
                  <w:bCs/>
                  <w:color w:val="0000FF"/>
                  <w:szCs w:val="24"/>
                  <w:u w:val="single"/>
                </w:rPr>
                <w:t>mlthompson@nisource.com</w:t>
              </w:r>
            </w:hyperlink>
          </w:p>
          <w:p w:rsidR="009E76F7" w:rsidRPr="00C80BFE" w:rsidP="009E76F7" w14:paraId="1B4C8918" w14:textId="77777777">
            <w:pPr>
              <w:tabs>
                <w:tab w:val="left" w:pos="-720"/>
              </w:tabs>
              <w:suppressAutoHyphens/>
              <w:spacing w:after="0" w:line="240" w:lineRule="auto"/>
              <w:jc w:val="both"/>
              <w:rPr>
                <w:rFonts w:cs="Times New Roman"/>
                <w:bCs/>
                <w:szCs w:val="24"/>
              </w:rPr>
            </w:pPr>
            <w:hyperlink r:id="rId31" w:history="1">
              <w:r w:rsidRPr="00C80BFE" w:rsidR="00CE41D6">
                <w:rPr>
                  <w:rFonts w:cs="Times New Roman"/>
                  <w:bCs/>
                  <w:color w:val="0000FF"/>
                  <w:szCs w:val="24"/>
                  <w:u w:val="single"/>
                </w:rPr>
                <w:t>johnryan@nisource.com</w:t>
              </w:r>
            </w:hyperlink>
          </w:p>
          <w:p w:rsidR="009E76F7" w:rsidRPr="00C80BFE" w:rsidP="009E76F7" w14:paraId="623412C4" w14:textId="77777777">
            <w:pPr>
              <w:tabs>
                <w:tab w:val="left" w:pos="-720"/>
              </w:tabs>
              <w:suppressAutoHyphens/>
              <w:spacing w:after="0" w:line="240" w:lineRule="auto"/>
              <w:jc w:val="both"/>
              <w:rPr>
                <w:rFonts w:cs="Times New Roman"/>
                <w:bCs/>
                <w:szCs w:val="24"/>
              </w:rPr>
            </w:pPr>
            <w:hyperlink r:id="rId32" w:history="1">
              <w:r w:rsidRPr="00C80BFE" w:rsidR="00CE41D6">
                <w:rPr>
                  <w:rFonts w:cs="Times New Roman"/>
                  <w:bCs/>
                  <w:color w:val="0000FF"/>
                  <w:szCs w:val="24"/>
                  <w:u w:val="single"/>
                </w:rPr>
                <w:t>egallon@porterwright.com</w:t>
              </w:r>
            </w:hyperlink>
          </w:p>
          <w:p w:rsidR="009E76F7" w:rsidRPr="00C80BFE" w:rsidP="009E76F7" w14:paraId="02C0DA20" w14:textId="77777777">
            <w:pPr>
              <w:tabs>
                <w:tab w:val="left" w:pos="-720"/>
              </w:tabs>
              <w:suppressAutoHyphens/>
              <w:spacing w:after="0" w:line="240" w:lineRule="auto"/>
              <w:jc w:val="both"/>
              <w:rPr>
                <w:rFonts w:cs="Times New Roman"/>
                <w:bCs/>
                <w:szCs w:val="24"/>
              </w:rPr>
            </w:pPr>
            <w:hyperlink r:id="rId33" w:history="1">
              <w:r w:rsidRPr="00C80BFE" w:rsidR="00CE41D6">
                <w:rPr>
                  <w:rFonts w:cs="Times New Roman"/>
                  <w:bCs/>
                  <w:color w:val="0000FF"/>
                  <w:szCs w:val="24"/>
                  <w:u w:val="single"/>
                </w:rPr>
                <w:t>mstemm@porterwright.com</w:t>
              </w:r>
            </w:hyperlink>
          </w:p>
          <w:p w:rsidR="009E76F7" w:rsidRPr="00C80BFE" w:rsidP="009E76F7" w14:paraId="3B7CA6D6" w14:textId="77777777">
            <w:pPr>
              <w:tabs>
                <w:tab w:val="left" w:pos="-720"/>
              </w:tabs>
              <w:suppressAutoHyphens/>
              <w:spacing w:after="0" w:line="240" w:lineRule="auto"/>
              <w:jc w:val="both"/>
              <w:rPr>
                <w:rFonts w:cs="Times New Roman"/>
                <w:bCs/>
                <w:szCs w:val="24"/>
              </w:rPr>
            </w:pPr>
            <w:hyperlink r:id="rId34" w:history="1">
              <w:r w:rsidRPr="00C80BFE" w:rsidR="00CE41D6">
                <w:rPr>
                  <w:rFonts w:cs="Times New Roman"/>
                  <w:bCs/>
                  <w:color w:val="0000FF"/>
                  <w:szCs w:val="24"/>
                  <w:u w:val="single"/>
                </w:rPr>
                <w:t>bhughes@porterwright.com</w:t>
              </w:r>
            </w:hyperlink>
          </w:p>
          <w:p w:rsidR="009E76F7" w:rsidRPr="00C80BFE" w:rsidP="009E76F7" w14:paraId="381935D7" w14:textId="77777777">
            <w:pPr>
              <w:tabs>
                <w:tab w:val="left" w:pos="-720"/>
              </w:tabs>
              <w:suppressAutoHyphens/>
              <w:spacing w:after="0" w:line="240" w:lineRule="auto"/>
              <w:jc w:val="both"/>
              <w:rPr>
                <w:rFonts w:cs="Times New Roman"/>
                <w:bCs/>
                <w:color w:val="0000FF"/>
                <w:szCs w:val="24"/>
                <w:u w:val="single"/>
              </w:rPr>
            </w:pPr>
            <w:hyperlink r:id="rId35" w:history="1">
              <w:r w:rsidRPr="00C80BFE" w:rsidR="00CE41D6">
                <w:rPr>
                  <w:rFonts w:cs="Times New Roman"/>
                  <w:bCs/>
                  <w:color w:val="0000FF"/>
                  <w:szCs w:val="24"/>
                  <w:u w:val="single"/>
                </w:rPr>
                <w:t>dflahive@porterwright.com</w:t>
              </w:r>
            </w:hyperlink>
          </w:p>
          <w:p w:rsidR="009E76F7" w:rsidRPr="00C80BFE" w:rsidP="009E76F7" w14:paraId="3A333845" w14:textId="77777777">
            <w:pPr>
              <w:tabs>
                <w:tab w:val="left" w:pos="-720"/>
              </w:tabs>
              <w:suppressAutoHyphens/>
              <w:spacing w:after="0" w:line="240" w:lineRule="auto"/>
              <w:jc w:val="both"/>
              <w:rPr>
                <w:rFonts w:cs="Times New Roman"/>
                <w:bCs/>
                <w:szCs w:val="24"/>
              </w:rPr>
            </w:pPr>
            <w:hyperlink r:id="rId36" w:history="1">
              <w:r w:rsidRPr="00C80BFE" w:rsidR="00CE41D6">
                <w:rPr>
                  <w:rFonts w:cs="Times New Roman"/>
                  <w:bCs/>
                  <w:color w:val="0000FF"/>
                  <w:szCs w:val="24"/>
                  <w:u w:val="single"/>
                </w:rPr>
                <w:t>dparram@bricker.com</w:t>
              </w:r>
            </w:hyperlink>
          </w:p>
          <w:p w:rsidR="009E76F7" w:rsidRPr="00C80BFE" w:rsidP="009E76F7" w14:paraId="5A028DA0" w14:textId="77777777">
            <w:pPr>
              <w:tabs>
                <w:tab w:val="left" w:pos="-720"/>
              </w:tabs>
              <w:suppressAutoHyphens/>
              <w:spacing w:after="0" w:line="240" w:lineRule="auto"/>
              <w:jc w:val="both"/>
              <w:rPr>
                <w:rFonts w:cs="Times New Roman"/>
                <w:bCs/>
                <w:szCs w:val="24"/>
              </w:rPr>
            </w:pPr>
            <w:hyperlink r:id="rId37" w:history="1">
              <w:r w:rsidRPr="00C80BFE" w:rsidR="00CE41D6">
                <w:rPr>
                  <w:rFonts w:cs="Times New Roman"/>
                  <w:bCs/>
                  <w:color w:val="0000FF"/>
                  <w:szCs w:val="24"/>
                  <w:u w:val="single"/>
                </w:rPr>
                <w:t>gkrassen@nopec.org</w:t>
              </w:r>
            </w:hyperlink>
          </w:p>
          <w:p w:rsidR="009E76F7" w:rsidRPr="00C80BFE" w:rsidP="009E76F7" w14:paraId="2F0015CF" w14:textId="77777777">
            <w:pPr>
              <w:tabs>
                <w:tab w:val="left" w:pos="-720"/>
              </w:tabs>
              <w:suppressAutoHyphens/>
              <w:spacing w:after="0" w:line="240" w:lineRule="auto"/>
              <w:jc w:val="both"/>
              <w:rPr>
                <w:rFonts w:cs="Times New Roman"/>
                <w:bCs/>
                <w:color w:val="0000FF"/>
                <w:szCs w:val="24"/>
                <w:u w:val="single"/>
              </w:rPr>
            </w:pPr>
            <w:hyperlink r:id="rId38" w:history="1">
              <w:r w:rsidRPr="00C80BFE" w:rsidR="00CE41D6">
                <w:rPr>
                  <w:rFonts w:cs="Times New Roman"/>
                  <w:bCs/>
                  <w:color w:val="0000FF"/>
                  <w:szCs w:val="24"/>
                  <w:u w:val="single"/>
                </w:rPr>
                <w:t>dstinson@bricker.com</w:t>
              </w:r>
            </w:hyperlink>
          </w:p>
          <w:p w:rsidR="009E76F7" w:rsidRPr="00C80BFE" w:rsidP="009E76F7" w14:paraId="31516225" w14:textId="77777777">
            <w:pPr>
              <w:tabs>
                <w:tab w:val="left" w:pos="-720"/>
              </w:tabs>
              <w:suppressAutoHyphens/>
              <w:spacing w:after="0" w:line="240" w:lineRule="auto"/>
              <w:jc w:val="both"/>
              <w:rPr>
                <w:rFonts w:cs="Times New Roman"/>
                <w:bCs/>
                <w:szCs w:val="24"/>
              </w:rPr>
            </w:pPr>
            <w:r w:rsidRPr="00C80BFE">
              <w:rPr>
                <w:rFonts w:cs="Times New Roman"/>
                <w:bCs/>
                <w:color w:val="0000FF"/>
                <w:szCs w:val="24"/>
                <w:u w:val="single"/>
              </w:rPr>
              <w:t>rmains@bricker.com</w:t>
            </w:r>
          </w:p>
          <w:p w:rsidR="009E76F7" w:rsidRPr="00C80BFE" w:rsidP="009E76F7" w14:paraId="1A2EE4E9" w14:textId="77777777">
            <w:pPr>
              <w:tabs>
                <w:tab w:val="left" w:pos="-720"/>
              </w:tabs>
              <w:suppressAutoHyphens/>
              <w:spacing w:after="0" w:line="240" w:lineRule="auto"/>
              <w:jc w:val="both"/>
              <w:rPr>
                <w:rFonts w:cs="Times New Roman"/>
                <w:bCs/>
                <w:szCs w:val="24"/>
              </w:rPr>
            </w:pPr>
            <w:hyperlink r:id="rId37" w:history="1">
              <w:r w:rsidRPr="00C80BFE" w:rsidR="00CE41D6">
                <w:rPr>
                  <w:rStyle w:val="Hyperlink"/>
                  <w:rFonts w:cs="Times New Roman"/>
                  <w:bCs/>
                  <w:szCs w:val="24"/>
                </w:rPr>
                <w:t>gkrassen@nopec.org</w:t>
              </w:r>
            </w:hyperlink>
          </w:p>
          <w:p w:rsidR="009E76F7" w:rsidRPr="00C80BFE" w:rsidP="009E76F7" w14:paraId="14106C5B" w14:textId="77777777">
            <w:pPr>
              <w:tabs>
                <w:tab w:val="left" w:pos="-720"/>
              </w:tabs>
              <w:suppressAutoHyphens/>
              <w:spacing w:after="0" w:line="240" w:lineRule="auto"/>
              <w:jc w:val="both"/>
              <w:rPr>
                <w:rFonts w:cs="Times New Roman"/>
                <w:bCs/>
                <w:color w:val="0000FF"/>
                <w:szCs w:val="24"/>
                <w:u w:val="single"/>
              </w:rPr>
            </w:pPr>
            <w:hyperlink r:id="rId39" w:history="1">
              <w:r w:rsidRPr="00C80BFE" w:rsidR="00CE41D6">
                <w:rPr>
                  <w:rFonts w:cs="Times New Roman"/>
                  <w:bCs/>
                  <w:color w:val="0000FF"/>
                  <w:szCs w:val="24"/>
                  <w:u w:val="single"/>
                </w:rPr>
                <w:t>bojko@carpenterlipps.com</w:t>
              </w:r>
            </w:hyperlink>
          </w:p>
          <w:p w:rsidR="009E76F7" w:rsidRPr="00C80BFE" w:rsidP="009E76F7" w14:paraId="55198AE4" w14:textId="77777777">
            <w:pPr>
              <w:tabs>
                <w:tab w:val="left" w:pos="-720"/>
              </w:tabs>
              <w:suppressAutoHyphens/>
              <w:spacing w:after="0" w:line="240" w:lineRule="auto"/>
              <w:jc w:val="both"/>
              <w:rPr>
                <w:rFonts w:cs="Times New Roman"/>
                <w:bCs/>
                <w:szCs w:val="24"/>
              </w:rPr>
            </w:pPr>
            <w:hyperlink r:id="rId40" w:history="1">
              <w:r w:rsidRPr="00C80BFE" w:rsidR="00CE41D6">
                <w:rPr>
                  <w:rStyle w:val="Hyperlink"/>
                  <w:rFonts w:cs="Times New Roman"/>
                  <w:bCs/>
                  <w:szCs w:val="24"/>
                </w:rPr>
                <w:t>paul@carpenterlipps.com</w:t>
              </w:r>
            </w:hyperlink>
          </w:p>
          <w:p w:rsidR="009E76F7" w:rsidRPr="00C80BFE" w:rsidP="009E76F7" w14:paraId="4FF230A2" w14:textId="77777777">
            <w:pPr>
              <w:tabs>
                <w:tab w:val="left" w:pos="-720"/>
              </w:tabs>
              <w:suppressAutoHyphens/>
              <w:spacing w:after="0" w:line="240" w:lineRule="auto"/>
              <w:jc w:val="both"/>
              <w:rPr>
                <w:rFonts w:cs="Times New Roman"/>
                <w:bCs/>
                <w:szCs w:val="24"/>
              </w:rPr>
            </w:pPr>
            <w:hyperlink r:id="rId41" w:history="1">
              <w:r w:rsidRPr="00C80BFE" w:rsidR="00CE41D6">
                <w:rPr>
                  <w:rFonts w:cs="Times New Roman"/>
                  <w:bCs/>
                  <w:color w:val="0000FF"/>
                  <w:szCs w:val="24"/>
                  <w:u w:val="single"/>
                </w:rPr>
                <w:t>wygonski@carpenterlipps.com</w:t>
              </w:r>
            </w:hyperlink>
          </w:p>
          <w:p w:rsidR="009E76F7" w:rsidRPr="00C80BFE" w:rsidP="009E76F7" w14:paraId="19408E98" w14:textId="77777777">
            <w:pPr>
              <w:tabs>
                <w:tab w:val="left" w:pos="-720"/>
              </w:tabs>
              <w:suppressAutoHyphens/>
              <w:spacing w:after="0" w:line="240" w:lineRule="auto"/>
              <w:jc w:val="both"/>
              <w:rPr>
                <w:rFonts w:cs="Times New Roman"/>
                <w:bCs/>
                <w:szCs w:val="24"/>
              </w:rPr>
            </w:pPr>
            <w:hyperlink r:id="rId42" w:history="1">
              <w:r w:rsidRPr="00C80BFE" w:rsidR="00CE41D6">
                <w:rPr>
                  <w:rStyle w:val="Hyperlink"/>
                  <w:rFonts w:cs="Times New Roman"/>
                  <w:bCs/>
                  <w:szCs w:val="24"/>
                </w:rPr>
                <w:t>trent@hubaydougherty.com</w:t>
              </w:r>
            </w:hyperlink>
          </w:p>
          <w:p w:rsidR="009E76F7" w:rsidRPr="00C80BFE" w:rsidP="009E76F7" w14:paraId="5CAB2B98" w14:textId="77777777">
            <w:pPr>
              <w:tabs>
                <w:tab w:val="left" w:pos="-720"/>
              </w:tabs>
              <w:suppressAutoHyphens/>
              <w:spacing w:after="0" w:line="240" w:lineRule="auto"/>
              <w:jc w:val="both"/>
              <w:rPr>
                <w:rFonts w:cs="Times New Roman"/>
                <w:bCs/>
                <w:szCs w:val="24"/>
              </w:rPr>
            </w:pPr>
          </w:p>
        </w:tc>
      </w:tr>
    </w:tbl>
    <w:p w:rsidR="002938B2" w:rsidRPr="00C80BFE" w:rsidP="002938B2" w14:paraId="263D0229" w14:textId="77777777">
      <w:pPr>
        <w:jc w:val="center"/>
        <w:rPr>
          <w:rFonts w:cs="Times New Roman"/>
          <w:b/>
          <w:szCs w:val="24"/>
        </w:rPr>
      </w:pPr>
    </w:p>
    <w:sectPr w:rsidSect="002938B2">
      <w:footerReference w:type="default" r:id="rId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047" w14:paraId="410D5B1D" w14:textId="79EC93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2CC" w14:paraId="3DE8C52C" w14:textId="43003C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672915"/>
      <w:docPartObj>
        <w:docPartGallery w:val="Page Numbers (Bottom of Page)"/>
        <w:docPartUnique/>
      </w:docPartObj>
    </w:sdtPr>
    <w:sdtEndPr>
      <w:rPr>
        <w:noProof/>
      </w:rPr>
    </w:sdtEndPr>
    <w:sdtContent>
      <w:p w:rsidR="00B81B85" w14:paraId="503BA4DC" w14:textId="23291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216551"/>
      <w:docPartObj>
        <w:docPartGallery w:val="Page Numbers (Bottom of Page)"/>
        <w:docPartUnique/>
      </w:docPartObj>
    </w:sdtPr>
    <w:sdtEndPr>
      <w:rPr>
        <w:noProof/>
      </w:rPr>
    </w:sdtEndPr>
    <w:sdtContent>
      <w:p w:rsidR="00200047" w14:paraId="7B86AD65" w14:textId="20A61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0149922"/>
      <w:docPartObj>
        <w:docPartGallery w:val="Page Numbers (Bottom of Page)"/>
        <w:docPartUnique/>
      </w:docPartObj>
    </w:sdtPr>
    <w:sdtEndPr>
      <w:rPr>
        <w:noProof/>
      </w:rPr>
    </w:sdtEndPr>
    <w:sdtContent>
      <w:p w:rsidR="00200047" w14:paraId="32F53829" w14:textId="5EDAFB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1364418"/>
      <w:docPartObj>
        <w:docPartGallery w:val="Page Numbers (Bottom of Page)"/>
        <w:docPartUnique/>
      </w:docPartObj>
    </w:sdtPr>
    <w:sdtEndPr>
      <w:rPr>
        <w:noProof/>
      </w:rPr>
    </w:sdtEndPr>
    <w:sdtContent>
      <w:p w:rsidR="00A642CC" w14:paraId="56B023F2" w14:textId="7C49A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16B50" w:rsidP="009B419A" w14:paraId="29591214" w14:textId="77777777">
      <w:pPr>
        <w:spacing w:after="0" w:line="240" w:lineRule="auto"/>
      </w:pPr>
      <w:r>
        <w:separator/>
      </w:r>
    </w:p>
  </w:footnote>
  <w:footnote w:type="continuationSeparator" w:id="1">
    <w:p w:rsidR="00E16B50" w:rsidP="009B419A" w14:paraId="6E8FF384" w14:textId="77777777">
      <w:pPr>
        <w:spacing w:after="0" w:line="240" w:lineRule="auto"/>
      </w:pPr>
      <w:r>
        <w:continuationSeparator/>
      </w:r>
    </w:p>
  </w:footnote>
  <w:footnote w:id="2">
    <w:p w:rsidR="00E249D6" w:rsidRPr="008F0EA6" w:rsidP="008F0EA6" w14:paraId="21F76232" w14:textId="7E8057C8">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“ELPC”.</w:t>
      </w:r>
    </w:p>
  </w:footnote>
  <w:footnote w:id="3">
    <w:p w:rsidR="00E249D6" w:rsidRPr="008F0EA6" w:rsidP="008F0EA6" w14:paraId="5DB7E064" w14:textId="6B83B582">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“OPAE”.</w:t>
      </w:r>
    </w:p>
  </w:footnote>
  <w:footnote w:id="4">
    <w:p w:rsidR="00E249D6" w:rsidRPr="008F0EA6" w:rsidP="008F0EA6" w14:paraId="0B1A2A6D" w14:textId="738FB79B">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w:t>
      </w:r>
    </w:p>
  </w:footnote>
  <w:footnote w:id="5">
    <w:p w:rsidR="004F28F4" w:rsidRPr="008F0EA6" w:rsidP="008F0EA6" w14:paraId="7BF500CB"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6.</w:t>
      </w:r>
    </w:p>
  </w:footnote>
  <w:footnote w:id="6">
    <w:p w:rsidR="004F28F4" w:rsidRPr="008F0EA6" w:rsidP="008F0EA6" w14:paraId="7D3CF33F"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177.</w:t>
      </w:r>
    </w:p>
  </w:footnote>
  <w:footnote w:id="7">
    <w:p w:rsidR="004F28F4" w:rsidRPr="008F0EA6" w:rsidP="008F0EA6" w14:paraId="51F884E7"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10.</w:t>
      </w:r>
    </w:p>
  </w:footnote>
  <w:footnote w:id="8">
    <w:p w:rsidR="00BA280F" w:rsidRPr="008F0EA6" w:rsidP="008F0EA6" w14:paraId="00F4F36E" w14:textId="07E5DBBE">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See </w:t>
      </w:r>
      <w:r w:rsidRPr="008F0EA6">
        <w:rPr>
          <w:rFonts w:ascii="Times New Roman" w:hAnsi="Times New Roman" w:cs="Times New Roman"/>
        </w:rPr>
        <w:t>CUB Ohio AFR at 10-15</w:t>
      </w:r>
      <w:r w:rsidRPr="008F0EA6" w:rsidR="00345F15">
        <w:rPr>
          <w:rFonts w:ascii="Times New Roman" w:hAnsi="Times New Roman" w:cs="Times New Roman"/>
        </w:rPr>
        <w:t>; and ELPC AFR at 7-10.</w:t>
      </w:r>
    </w:p>
  </w:footnote>
  <w:footnote w:id="9">
    <w:p w:rsidR="00345F15" w:rsidRPr="008F0EA6" w:rsidP="008F0EA6" w14:paraId="5AD8F2D4" w14:textId="6F6566DD">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sidR="00D9431F">
        <w:rPr>
          <w:rFonts w:ascii="Times New Roman" w:hAnsi="Times New Roman" w:cs="Times New Roman"/>
          <w:i/>
          <w:iCs/>
        </w:rPr>
        <w:t>See</w:t>
      </w:r>
      <w:r w:rsidRPr="008F0EA6" w:rsidR="00D9431F">
        <w:rPr>
          <w:rFonts w:ascii="Times New Roman" w:hAnsi="Times New Roman" w:cs="Times New Roman"/>
        </w:rPr>
        <w:t xml:space="preserve"> CUB Ohio AFR at 13-15; OPAE AFR 7-11; ELPC AFR at 9-10. </w:t>
      </w:r>
    </w:p>
  </w:footnote>
  <w:footnote w:id="10">
    <w:p w:rsidR="009A6B6B" w:rsidRPr="008F0EA6" w:rsidP="008F0EA6" w14:paraId="4D32E17D" w14:textId="63D178CB">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R.C. 4903.09.</w:t>
      </w:r>
    </w:p>
  </w:footnote>
  <w:footnote w:id="11">
    <w:p w:rsidR="005F7662" w:rsidRPr="008F0EA6" w:rsidP="008F0EA6" w14:paraId="6E14D0FE" w14:textId="321B1E0D">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In re Suvon</w:t>
      </w:r>
      <w:r w:rsidRPr="008F0EA6">
        <w:rPr>
          <w:rFonts w:ascii="Times New Roman" w:hAnsi="Times New Roman" w:cs="Times New Roman"/>
        </w:rPr>
        <w:t>, LLC, 2021-Ohio-3630, ¶</w:t>
      </w:r>
      <w:r w:rsidRPr="008F0EA6" w:rsidR="0086296D">
        <w:rPr>
          <w:rFonts w:ascii="Times New Roman" w:hAnsi="Times New Roman" w:cs="Times New Roman"/>
        </w:rPr>
        <w:t>¶</w:t>
      </w:r>
      <w:r w:rsidRPr="008F0EA6">
        <w:rPr>
          <w:rFonts w:ascii="Times New Roman" w:hAnsi="Times New Roman" w:cs="Times New Roman"/>
        </w:rPr>
        <w:t xml:space="preserve"> 20</w:t>
      </w:r>
      <w:r w:rsidRPr="008F0EA6" w:rsidR="0086296D">
        <w:rPr>
          <w:rFonts w:ascii="Times New Roman" w:hAnsi="Times New Roman" w:cs="Times New Roman"/>
        </w:rPr>
        <w:t>-21</w:t>
      </w:r>
      <w:r w:rsidRPr="008F0EA6">
        <w:rPr>
          <w:rFonts w:ascii="Times New Roman" w:hAnsi="Times New Roman" w:cs="Times New Roman"/>
        </w:rPr>
        <w:t xml:space="preserve">. </w:t>
      </w:r>
    </w:p>
  </w:footnote>
  <w:footnote w:id="12">
    <w:p w:rsidR="009A2958" w:rsidRPr="008F0EA6" w:rsidP="008F0EA6" w14:paraId="0D56D3FD" w14:textId="435A6CDC">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5.</w:t>
      </w:r>
    </w:p>
  </w:footnote>
  <w:footnote w:id="13">
    <w:p w:rsidR="006561DE" w:rsidRPr="008F0EA6" w:rsidP="008F0EA6" w14:paraId="2EAD1E6D" w14:textId="7A6B97A5">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Id. </w:t>
      </w:r>
      <w:r w:rsidRPr="008F0EA6">
        <w:rPr>
          <w:rFonts w:ascii="Times New Roman" w:hAnsi="Times New Roman" w:cs="Times New Roman"/>
        </w:rPr>
        <w:t>at 6.</w:t>
      </w:r>
    </w:p>
  </w:footnote>
  <w:footnote w:id="14">
    <w:p w:rsidR="006A0827" w:rsidRPr="008F0EA6" w:rsidP="008F0EA6" w14:paraId="1E11B8F2" w14:textId="2A63C6F6">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sidR="005E54AB">
        <w:rPr>
          <w:rFonts w:ascii="Times New Roman" w:hAnsi="Times New Roman" w:cs="Times New Roman"/>
        </w:rPr>
        <w:t xml:space="preserve">Order at </w:t>
      </w:r>
      <w:r w:rsidRPr="008F0EA6" w:rsidR="000A092D">
        <w:rPr>
          <w:rFonts w:ascii="Times New Roman" w:hAnsi="Times New Roman" w:cs="Times New Roman"/>
        </w:rPr>
        <w:t>¶ 169.</w:t>
      </w:r>
    </w:p>
  </w:footnote>
  <w:footnote w:id="15">
    <w:p w:rsidR="00E749D8" w:rsidRPr="008F0EA6" w:rsidP="008F0EA6" w14:paraId="40C592A6" w14:textId="3554690E">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6.</w:t>
      </w:r>
    </w:p>
  </w:footnote>
  <w:footnote w:id="16">
    <w:p w:rsidR="00A813ED" w:rsidRPr="008F0EA6" w:rsidP="008F0EA6" w14:paraId="697C2C86"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6. </w:t>
      </w:r>
    </w:p>
  </w:footnote>
  <w:footnote w:id="17">
    <w:p w:rsidR="00A813ED" w:rsidRPr="008F0EA6" w:rsidP="008F0EA6" w14:paraId="5BC4F89B" w14:textId="77777777">
      <w:pPr>
        <w:pStyle w:val="FootnoteText"/>
        <w:spacing w:after="120"/>
        <w:rPr>
          <w:rFonts w:ascii="Times New Roman" w:hAnsi="Times New Roman" w:cs="Times New Roman"/>
          <w:i/>
          <w:iCs/>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p>
  </w:footnote>
  <w:footnote w:id="18">
    <w:p w:rsidR="00C10973" w:rsidRPr="008F0EA6" w:rsidP="008F0EA6" w14:paraId="07D6706D"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8-9.</w:t>
      </w:r>
    </w:p>
  </w:footnote>
  <w:footnote w:id="19">
    <w:p w:rsidR="00D52B03" w:rsidRPr="008F0EA6" w:rsidP="008F0EA6" w14:paraId="6BCB2830" w14:textId="5765D61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9.</w:t>
      </w:r>
    </w:p>
  </w:footnote>
  <w:footnote w:id="20">
    <w:p w:rsidR="006371F6" w:rsidRPr="008F0EA6" w:rsidP="008F0EA6" w14:paraId="7697EE66" w14:textId="6C2EE0AF">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5-7. </w:t>
      </w:r>
    </w:p>
  </w:footnote>
  <w:footnote w:id="21">
    <w:p w:rsidR="00EA288D" w:rsidRPr="008F0EA6" w:rsidP="008F0EA6" w14:paraId="703A513C" w14:textId="38E8C81D">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r w:rsidRPr="008F0EA6">
        <w:rPr>
          <w:rFonts w:ascii="Times New Roman" w:hAnsi="Times New Roman" w:cs="Times New Roman"/>
        </w:rPr>
        <w:t xml:space="preserve"> at 6-7.</w:t>
      </w:r>
    </w:p>
  </w:footnote>
  <w:footnote w:id="22">
    <w:p w:rsidR="0000207C" w:rsidRPr="008F0EA6" w:rsidP="008F0EA6" w14:paraId="53258578" w14:textId="7B146E2F">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w:t>
      </w:r>
      <w:r w:rsidRPr="008F0EA6" w:rsidR="000B2062">
        <w:rPr>
          <w:rFonts w:ascii="Times New Roman" w:hAnsi="Times New Roman" w:cs="Times New Roman"/>
        </w:rPr>
        <w:t>41</w:t>
      </w:r>
      <w:r w:rsidRPr="008F0EA6">
        <w:rPr>
          <w:rFonts w:ascii="Times New Roman" w:hAnsi="Times New Roman" w:cs="Times New Roman"/>
        </w:rPr>
        <w:t>,</w:t>
      </w:r>
      <w:r w:rsidRPr="008F0EA6" w:rsidR="000B2062">
        <w:rPr>
          <w:rFonts w:ascii="Times New Roman" w:hAnsi="Times New Roman" w:cs="Times New Roman"/>
        </w:rPr>
        <w:t xml:space="preserve"> 169-170.</w:t>
      </w:r>
      <w:r w:rsidRPr="008F0EA6">
        <w:rPr>
          <w:rFonts w:ascii="Times New Roman" w:hAnsi="Times New Roman" w:cs="Times New Roman"/>
        </w:rPr>
        <w:t xml:space="preserve"> </w:t>
      </w:r>
    </w:p>
  </w:footnote>
  <w:footnote w:id="23">
    <w:p w:rsidR="002D0D79" w:rsidRPr="008F0EA6" w:rsidP="008F0EA6" w14:paraId="742689C1" w14:textId="7401BFB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169.</w:t>
      </w:r>
    </w:p>
  </w:footnote>
  <w:footnote w:id="24">
    <w:p w:rsidR="00CC404F" w:rsidRPr="008F0EA6" w:rsidP="008F0EA6" w14:paraId="264305A5" w14:textId="528C952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170.</w:t>
      </w:r>
    </w:p>
  </w:footnote>
  <w:footnote w:id="25">
    <w:p w:rsidR="00595D59" w:rsidRPr="008F0EA6" w:rsidP="008F0EA6" w14:paraId="20D374C3" w14:textId="47E14C46">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6.</w:t>
      </w:r>
    </w:p>
  </w:footnote>
  <w:footnote w:id="26">
    <w:p w:rsidR="0019429E" w:rsidRPr="008F0EA6" w:rsidP="008F0EA6" w14:paraId="12724144" w14:textId="203BD312">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118, 127.</w:t>
      </w:r>
    </w:p>
  </w:footnote>
  <w:footnote w:id="27">
    <w:p w:rsidR="005D69D1" w:rsidRPr="008F0EA6" w:rsidP="008F0EA6" w14:paraId="43DBE8F9" w14:textId="4A552B32">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Id. </w:t>
      </w:r>
      <w:r w:rsidRPr="008F0EA6">
        <w:rPr>
          <w:rFonts w:ascii="Times New Roman" w:hAnsi="Times New Roman" w:cs="Times New Roman"/>
        </w:rPr>
        <w:t>at ¶ 127.</w:t>
      </w:r>
    </w:p>
  </w:footnote>
  <w:footnote w:id="28">
    <w:p w:rsidR="008B65AF" w:rsidRPr="008F0EA6" w:rsidP="008F0EA6" w14:paraId="5860618C" w14:textId="136E8163">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See </w:t>
      </w:r>
      <w:r w:rsidRPr="008F0EA6">
        <w:rPr>
          <w:rFonts w:ascii="Times New Roman" w:hAnsi="Times New Roman" w:cs="Times New Roman"/>
        </w:rPr>
        <w:t xml:space="preserve">CUB Ohio AFR at </w:t>
      </w:r>
      <w:r w:rsidRPr="008F0EA6" w:rsidR="004F44C4">
        <w:rPr>
          <w:rFonts w:ascii="Times New Roman" w:hAnsi="Times New Roman" w:cs="Times New Roman"/>
        </w:rPr>
        <w:t>10-15</w:t>
      </w:r>
      <w:r w:rsidRPr="008F0EA6" w:rsidR="005D1563">
        <w:rPr>
          <w:rFonts w:ascii="Times New Roman" w:hAnsi="Times New Roman" w:cs="Times New Roman"/>
        </w:rPr>
        <w:t>; ELPC AFR at 8-9;</w:t>
      </w:r>
      <w:r w:rsidRPr="008F0EA6" w:rsidR="004F44C4">
        <w:rPr>
          <w:rFonts w:ascii="Times New Roman" w:hAnsi="Times New Roman" w:cs="Times New Roman"/>
        </w:rPr>
        <w:t xml:space="preserve"> OPAE AFR at 7-11.</w:t>
      </w:r>
      <w:r w:rsidRPr="008F0EA6" w:rsidR="005D1563">
        <w:rPr>
          <w:rFonts w:ascii="Times New Roman" w:hAnsi="Times New Roman" w:cs="Times New Roman"/>
        </w:rPr>
        <w:t xml:space="preserve"> </w:t>
      </w:r>
    </w:p>
  </w:footnote>
  <w:footnote w:id="29">
    <w:p w:rsidR="004E294C" w:rsidRPr="008F0EA6" w:rsidP="008F0EA6" w14:paraId="08DA8F26" w14:textId="2873E94F">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10-12, 17-18; and ELPC AFR at 11-12. </w:t>
      </w:r>
    </w:p>
  </w:footnote>
  <w:footnote w:id="30">
    <w:p w:rsidR="004E294C" w:rsidRPr="008F0EA6" w:rsidP="008F0EA6" w14:paraId="391E6856" w14:textId="0CF1CE62">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170.</w:t>
      </w:r>
    </w:p>
  </w:footnote>
  <w:footnote w:id="31">
    <w:p w:rsidR="004E294C" w:rsidRPr="008F0EA6" w:rsidP="008F0EA6" w14:paraId="11A915B7" w14:textId="5A8AB67F">
      <w:pPr>
        <w:pStyle w:val="FootnoteText"/>
        <w:spacing w:after="120"/>
        <w:rPr>
          <w:rFonts w:ascii="Times New Roman" w:hAnsi="Times New Roman" w:cs="Times New Roman"/>
          <w:i/>
          <w:iCs/>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p>
  </w:footnote>
  <w:footnote w:id="32">
    <w:p w:rsidR="007407FE" w:rsidRPr="008F0EA6" w:rsidP="008F0EA6" w14:paraId="08C62B3F"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OCC Ex. 1 (Adkins Supplemental) at 10.</w:t>
      </w:r>
    </w:p>
  </w:footnote>
  <w:footnote w:id="33">
    <w:p w:rsidR="00906581" w:rsidRPr="008F0EA6" w:rsidP="008F0EA6" w14:paraId="1448B964"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Joint Ex. 1 (Settlement) at 12.</w:t>
      </w:r>
    </w:p>
  </w:footnote>
  <w:footnote w:id="34">
    <w:p w:rsidR="00213AC1" w:rsidRPr="008F0EA6" w:rsidP="008F0EA6" w14:paraId="7FB98867" w14:textId="0B2D7A44">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sidR="000A213D">
        <w:rPr>
          <w:rFonts w:ascii="Times New Roman" w:hAnsi="Times New Roman" w:cs="Times New Roman"/>
        </w:rPr>
        <w:t xml:space="preserve">Order at ¶ 56. </w:t>
      </w:r>
    </w:p>
  </w:footnote>
  <w:footnote w:id="35">
    <w:p w:rsidR="003800BC" w:rsidRPr="008F0EA6" w:rsidP="008F0EA6" w14:paraId="1F535D52" w14:textId="160D233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177.</w:t>
      </w:r>
    </w:p>
  </w:footnote>
  <w:footnote w:id="36">
    <w:p w:rsidR="00C21D5F" w:rsidRPr="008F0EA6" w:rsidP="008F0EA6" w14:paraId="5035F14B" w14:textId="0193D600">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98.</w:t>
      </w:r>
    </w:p>
  </w:footnote>
  <w:footnote w:id="37">
    <w:p w:rsidR="00AB12FE" w:rsidRPr="008F0EA6" w:rsidP="008F0EA6" w14:paraId="3A7BA35C" w14:textId="48DAF6BC">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See </w:t>
      </w:r>
      <w:r w:rsidRPr="008F0EA6">
        <w:rPr>
          <w:rFonts w:ascii="Times New Roman" w:hAnsi="Times New Roman" w:cs="Times New Roman"/>
        </w:rPr>
        <w:t xml:space="preserve">CUB Ohio AFR at </w:t>
      </w:r>
      <w:r w:rsidRPr="008F0EA6" w:rsidR="00633904">
        <w:rPr>
          <w:rFonts w:ascii="Times New Roman" w:hAnsi="Times New Roman" w:cs="Times New Roman"/>
        </w:rPr>
        <w:t>10-11.</w:t>
      </w:r>
    </w:p>
  </w:footnote>
  <w:footnote w:id="38">
    <w:p w:rsidR="00084E14" w:rsidRPr="008F0EA6" w:rsidP="008F0EA6" w14:paraId="2D2D2613" w14:textId="78A5C691">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sidR="00A44CCD">
        <w:rPr>
          <w:rFonts w:ascii="Times New Roman" w:hAnsi="Times New Roman" w:cs="Times New Roman"/>
        </w:rPr>
        <w:t>ELPC AFR at 6-7; and OPAE AFR at 9-11.</w:t>
      </w:r>
    </w:p>
  </w:footnote>
  <w:footnote w:id="39">
    <w:p w:rsidR="001E2FA4" w:rsidRPr="008F0EA6" w:rsidP="008F0EA6" w14:paraId="60706113"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OPAE AFR at 11. </w:t>
      </w:r>
    </w:p>
  </w:footnote>
  <w:footnote w:id="40">
    <w:p w:rsidR="001E2FA4" w:rsidRPr="008F0EA6" w:rsidP="008F0EA6" w14:paraId="163AAF9B" w14:textId="5E17F714">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In the Matter of the Application of Ohio Power Company for an Increase in Electric Distribution Rates</w:t>
      </w:r>
      <w:r w:rsidRPr="008F0EA6">
        <w:rPr>
          <w:rFonts w:ascii="Times New Roman" w:hAnsi="Times New Roman" w:cs="Times New Roman"/>
        </w:rPr>
        <w:t xml:space="preserve">, Case No. 20-585-EL-AIR, </w:t>
      </w:r>
      <w:r w:rsidRPr="008F0EA6">
        <w:rPr>
          <w:rFonts w:ascii="Times New Roman" w:hAnsi="Times New Roman" w:cs="Times New Roman"/>
          <w:i/>
          <w:iCs/>
        </w:rPr>
        <w:t>et al.</w:t>
      </w:r>
      <w:r w:rsidRPr="008F0EA6">
        <w:rPr>
          <w:rFonts w:ascii="Times New Roman" w:hAnsi="Times New Roman" w:cs="Times New Roman"/>
        </w:rPr>
        <w:t>, Opinion and Order (Nov. 17, 2021)</w:t>
      </w:r>
      <w:r w:rsidRPr="008F0EA6" w:rsidR="004E31E1">
        <w:rPr>
          <w:rFonts w:ascii="Times New Roman" w:hAnsi="Times New Roman" w:cs="Times New Roman"/>
        </w:rPr>
        <w:t xml:space="preserve"> (“AEP Rate Case Order”)</w:t>
      </w:r>
      <w:r w:rsidRPr="008F0EA6">
        <w:rPr>
          <w:rFonts w:ascii="Times New Roman" w:hAnsi="Times New Roman" w:cs="Times New Roman"/>
        </w:rPr>
        <w:t>, at ¶ 173.</w:t>
      </w:r>
    </w:p>
  </w:footnote>
  <w:footnote w:id="41">
    <w:p w:rsidR="001E2FA4" w:rsidRPr="008F0EA6" w:rsidP="008F0EA6" w14:paraId="646F905E"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Id. </w:t>
      </w:r>
      <w:r w:rsidRPr="008F0EA6">
        <w:rPr>
          <w:rFonts w:ascii="Times New Roman" w:hAnsi="Times New Roman" w:cs="Times New Roman"/>
        </w:rPr>
        <w:t>(Emphasis Added).</w:t>
      </w:r>
    </w:p>
  </w:footnote>
  <w:footnote w:id="42">
    <w:p w:rsidR="001B7E5A" w:rsidRPr="008F0EA6" w:rsidP="008F0EA6" w14:paraId="7A8B70AA" w14:textId="030831D8">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In the Matter of the Application of the Dayton Power and Light Company to Increase its Rates for Electric Distribution</w:t>
      </w:r>
      <w:r w:rsidRPr="008F0EA6">
        <w:rPr>
          <w:rFonts w:ascii="Times New Roman" w:hAnsi="Times New Roman" w:cs="Times New Roman"/>
        </w:rPr>
        <w:t xml:space="preserve">, Case No. 20-1651-EL-AIR, </w:t>
      </w:r>
      <w:r w:rsidRPr="008F0EA6">
        <w:rPr>
          <w:rFonts w:ascii="Times New Roman" w:hAnsi="Times New Roman" w:cs="Times New Roman"/>
          <w:i/>
          <w:iCs/>
        </w:rPr>
        <w:t>et al</w:t>
      </w:r>
      <w:r w:rsidRPr="008F0EA6">
        <w:rPr>
          <w:rFonts w:ascii="Times New Roman" w:hAnsi="Times New Roman" w:cs="Times New Roman"/>
        </w:rPr>
        <w:t xml:space="preserve">., Opinion and Order (Dec. 22, 2022), at ¶ 124. </w:t>
      </w:r>
    </w:p>
  </w:footnote>
  <w:footnote w:id="43">
    <w:p w:rsidR="00047D59" w:rsidRPr="008F0EA6" w:rsidP="008F0EA6" w14:paraId="486DB6AB" w14:textId="389A429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12-15; ELPC AFR at 9-10; OPAE AFR at 8-11.</w:t>
      </w:r>
    </w:p>
  </w:footnote>
  <w:footnote w:id="44">
    <w:p w:rsidR="00B0304F" w:rsidRPr="008F0EA6" w:rsidP="008F0EA6" w14:paraId="4DCF5571" w14:textId="6C6CE756">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See </w:t>
      </w:r>
      <w:r w:rsidRPr="008F0EA6">
        <w:rPr>
          <w:rFonts w:ascii="Times New Roman" w:hAnsi="Times New Roman" w:cs="Times New Roman"/>
        </w:rPr>
        <w:t>Order at ¶ 56.</w:t>
      </w:r>
    </w:p>
  </w:footnote>
  <w:footnote w:id="45">
    <w:p w:rsidR="00957A19" w:rsidRPr="008F0EA6" w:rsidP="008F0EA6" w14:paraId="23F4C6B5" w14:textId="323703BF">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OPAE AFR at 10-11.</w:t>
      </w:r>
    </w:p>
  </w:footnote>
  <w:footnote w:id="46">
    <w:p w:rsidR="00957A19" w:rsidRPr="008F0EA6" w:rsidP="008F0EA6" w14:paraId="159A86D7" w14:textId="26607CA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56.</w:t>
      </w:r>
    </w:p>
  </w:footnote>
  <w:footnote w:id="47">
    <w:p w:rsidR="00957A19" w:rsidRPr="008F0EA6" w:rsidP="008F0EA6" w14:paraId="6EC6F4D0" w14:textId="30F7E129">
      <w:pPr>
        <w:pStyle w:val="FootnoteText"/>
        <w:spacing w:after="120"/>
        <w:rPr>
          <w:rFonts w:ascii="Times New Roman" w:hAnsi="Times New Roman" w:cs="Times New Roman"/>
          <w:i/>
          <w:iCs/>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p>
  </w:footnote>
  <w:footnote w:id="48">
    <w:p w:rsidR="00DD3122" w:rsidRPr="008F0EA6" w:rsidP="008F0EA6" w14:paraId="1E6E5A96" w14:textId="4A067C4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176</w:t>
      </w:r>
      <w:r>
        <w:rPr>
          <w:rFonts w:ascii="Times New Roman" w:hAnsi="Times New Roman" w:cs="Times New Roman"/>
        </w:rPr>
        <w:t xml:space="preserve"> (emphasis added).</w:t>
      </w:r>
    </w:p>
  </w:footnote>
  <w:footnote w:id="49">
    <w:p w:rsidR="00C804F7" w:rsidRPr="008F0EA6" w:rsidP="008F0EA6" w14:paraId="2E2F4C64" w14:textId="2744ADB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P.L. 117-18.</w:t>
      </w:r>
    </w:p>
  </w:footnote>
  <w:footnote w:id="50">
    <w:p w:rsidR="00C804F7" w:rsidRPr="008F0EA6" w:rsidP="008F0EA6" w14:paraId="73840338" w14:textId="10C91535">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P.L. 117-58.</w:t>
      </w:r>
    </w:p>
  </w:footnote>
  <w:footnote w:id="51">
    <w:p w:rsidR="00957A19" w:rsidRPr="008F0EA6" w:rsidP="008F0EA6" w14:paraId="5388F36F" w14:textId="7F57C24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w:t>
      </w:r>
      <w:r w:rsidRPr="008F0EA6" w:rsidR="00527C64">
        <w:rPr>
          <w:rFonts w:ascii="Times New Roman" w:hAnsi="Times New Roman" w:cs="Times New Roman"/>
        </w:rPr>
        <w:t xml:space="preserve">14; ELPC AFR at 9-10; </w:t>
      </w:r>
      <w:r w:rsidRPr="008F0EA6">
        <w:rPr>
          <w:rFonts w:ascii="Times New Roman" w:hAnsi="Times New Roman" w:cs="Times New Roman"/>
        </w:rPr>
        <w:t>OPAE AFR at 8.</w:t>
      </w:r>
    </w:p>
  </w:footnote>
  <w:footnote w:id="52">
    <w:p w:rsidR="005549A6" w:rsidRPr="008F0EA6" w:rsidP="008F0EA6" w14:paraId="1AA5D238" w14:textId="16E249F0">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171.</w:t>
      </w:r>
    </w:p>
  </w:footnote>
  <w:footnote w:id="53">
    <w:p w:rsidR="000714FA" w:rsidRPr="008F0EA6" w:rsidP="008F0EA6" w14:paraId="3455A033" w14:textId="13935248">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CUB Ohio AFR at 14.</w:t>
      </w:r>
    </w:p>
  </w:footnote>
  <w:footnote w:id="54">
    <w:p w:rsidR="000714FA" w:rsidRPr="008F0EA6" w:rsidP="008F0EA6" w14:paraId="1CE9084D" w14:textId="2E06AFFA">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56.</w:t>
      </w:r>
    </w:p>
  </w:footnote>
  <w:footnote w:id="55">
    <w:p w:rsidR="001C44B5" w:rsidRPr="008F0EA6" w:rsidP="008F0EA6" w14:paraId="1A8936FE" w14:textId="77777777">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56.</w:t>
      </w:r>
    </w:p>
  </w:footnote>
  <w:footnote w:id="56">
    <w:p w:rsidR="00311069" w:rsidRPr="008F0EA6" w:rsidP="008F0EA6" w14:paraId="03BBF231" w14:textId="45A5D7F2">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OPAE AFR at </w:t>
      </w:r>
      <w:r w:rsidRPr="008F0EA6" w:rsidR="00970918">
        <w:rPr>
          <w:rFonts w:ascii="Times New Roman" w:hAnsi="Times New Roman" w:cs="Times New Roman"/>
        </w:rPr>
        <w:t>5-6.</w:t>
      </w:r>
    </w:p>
  </w:footnote>
  <w:footnote w:id="57">
    <w:p w:rsidR="00970918" w:rsidRPr="008F0EA6" w:rsidP="008F0EA6" w14:paraId="45C7929F" w14:textId="27E4935B">
      <w:pPr>
        <w:pStyle w:val="FootnoteText"/>
        <w:spacing w:after="120"/>
        <w:rPr>
          <w:rFonts w:ascii="Times New Roman" w:hAnsi="Times New Roman" w:cs="Times New Roman"/>
          <w:i/>
          <w:iCs/>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p>
  </w:footnote>
  <w:footnote w:id="58">
    <w:p w:rsidR="00113B9D" w:rsidRPr="008F0EA6" w:rsidP="008F0EA6" w14:paraId="172A75F3" w14:textId="117F19C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OPAE AFR at 6.</w:t>
      </w:r>
    </w:p>
  </w:footnote>
  <w:footnote w:id="59">
    <w:p w:rsidR="00113B9D" w:rsidRPr="008F0EA6" w:rsidP="008F0EA6" w14:paraId="0117984C" w14:textId="35702375">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167.</w:t>
      </w:r>
    </w:p>
  </w:footnote>
  <w:footnote w:id="60">
    <w:p w:rsidR="00847E9C" w:rsidRPr="008F0EA6" w:rsidP="008F0EA6" w14:paraId="320B530D" w14:textId="576F8119">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167.</w:t>
      </w:r>
    </w:p>
  </w:footnote>
  <w:footnote w:id="61">
    <w:p w:rsidR="00847E9C" w:rsidRPr="008F0EA6" w:rsidP="008F0EA6" w14:paraId="0B2F370A" w14:textId="037B2BD7">
      <w:pPr>
        <w:pStyle w:val="FootnoteText"/>
        <w:spacing w:after="120"/>
        <w:rPr>
          <w:rFonts w:ascii="Times New Roman" w:hAnsi="Times New Roman" w:cs="Times New Roman"/>
          <w:i/>
          <w:iCs/>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p>
  </w:footnote>
  <w:footnote w:id="62">
    <w:p w:rsidR="005A6B83" w:rsidRPr="008F0EA6" w:rsidP="008F0EA6" w14:paraId="17150DEB" w14:textId="3066CDF6">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166-167.</w:t>
      </w:r>
    </w:p>
  </w:footnote>
  <w:footnote w:id="63">
    <w:p w:rsidR="005A6B83" w:rsidRPr="008F0EA6" w:rsidP="008F0EA6" w14:paraId="3341F6C0" w14:textId="0761641C">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170.</w:t>
      </w:r>
    </w:p>
  </w:footnote>
  <w:footnote w:id="64">
    <w:p w:rsidR="00A642CC" w:rsidRPr="008F0EA6" w:rsidP="008F0EA6" w14:paraId="334B05E3" w14:textId="66F8C866">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 xml:space="preserve">See </w:t>
      </w:r>
      <w:r w:rsidRPr="008F0EA6" w:rsidR="005369C3">
        <w:rPr>
          <w:rFonts w:ascii="Times New Roman" w:hAnsi="Times New Roman" w:cs="Times New Roman"/>
        </w:rPr>
        <w:t xml:space="preserve">CUB Ohio AFR at 15-18; ELPC AFR at </w:t>
      </w:r>
      <w:r w:rsidRPr="008F0EA6" w:rsidR="007F3A0A">
        <w:rPr>
          <w:rFonts w:ascii="Times New Roman" w:hAnsi="Times New Roman" w:cs="Times New Roman"/>
        </w:rPr>
        <w:t>6-9.</w:t>
      </w:r>
    </w:p>
  </w:footnote>
  <w:footnote w:id="65">
    <w:p w:rsidR="004E31E1" w:rsidRPr="008F0EA6" w:rsidP="008F0EA6" w14:paraId="3C585A30" w14:textId="0644C0E3">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AEP Rate Case Order at ¶ 173.</w:t>
      </w:r>
    </w:p>
  </w:footnote>
  <w:footnote w:id="66">
    <w:p w:rsidR="005714DD" w:rsidRPr="008F0EA6" w:rsidP="008F0EA6" w14:paraId="6BDCA676" w14:textId="08145DBC">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53.</w:t>
      </w:r>
    </w:p>
  </w:footnote>
  <w:footnote w:id="67">
    <w:p w:rsidR="005714DD" w:rsidRPr="008F0EA6" w:rsidP="008F0EA6" w14:paraId="51ACAD34" w14:textId="7CA7F285">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54.</w:t>
      </w:r>
    </w:p>
  </w:footnote>
  <w:footnote w:id="68">
    <w:p w:rsidR="00D010EC" w:rsidRPr="008F0EA6" w:rsidP="008F0EA6" w14:paraId="3413327A" w14:textId="0265061F">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204.</w:t>
      </w:r>
    </w:p>
  </w:footnote>
  <w:footnote w:id="69">
    <w:p w:rsidR="00C47369" w:rsidRPr="008F0EA6" w:rsidP="008F0EA6" w14:paraId="0CD2DFBF" w14:textId="273BCC33">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w:t>
      </w:r>
      <w:r w:rsidRPr="008F0EA6">
        <w:rPr>
          <w:rFonts w:ascii="Times New Roman" w:hAnsi="Times New Roman" w:cs="Times New Roman"/>
          <w:i/>
          <w:iCs/>
        </w:rPr>
        <w:t>Id.</w:t>
      </w:r>
      <w:r w:rsidRPr="008F0EA6">
        <w:rPr>
          <w:rFonts w:ascii="Times New Roman" w:hAnsi="Times New Roman" w:cs="Times New Roman"/>
        </w:rPr>
        <w:t xml:space="preserve"> at 203, 205.</w:t>
      </w:r>
    </w:p>
  </w:footnote>
  <w:footnote w:id="70">
    <w:p w:rsidR="009A61B1" w:rsidRPr="008F0EA6" w:rsidP="008F0EA6" w14:paraId="158CDBE0" w14:textId="49754E38">
      <w:pPr>
        <w:pStyle w:val="FootnoteText"/>
        <w:spacing w:after="120"/>
        <w:rPr>
          <w:rFonts w:ascii="Times New Roman" w:hAnsi="Times New Roman" w:cs="Times New Roman"/>
        </w:rPr>
      </w:pPr>
      <w:r w:rsidRPr="008F0EA6">
        <w:rPr>
          <w:rStyle w:val="FootnoteReference"/>
          <w:rFonts w:ascii="Times New Roman" w:hAnsi="Times New Roman" w:cs="Times New Roman"/>
        </w:rPr>
        <w:footnoteRef/>
      </w:r>
      <w:r w:rsidRPr="008F0EA6">
        <w:rPr>
          <w:rFonts w:ascii="Times New Roman" w:hAnsi="Times New Roman" w:cs="Times New Roman"/>
        </w:rPr>
        <w:t xml:space="preserve"> Order at ¶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359E1"/>
    <w:multiLevelType w:val="hybridMultilevel"/>
    <w:tmpl w:val="A0CC51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531888"/>
    <w:multiLevelType w:val="hybridMultilevel"/>
    <w:tmpl w:val="3E6403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FBE75A7"/>
    <w:multiLevelType w:val="hybridMultilevel"/>
    <w:tmpl w:val="5B4CDECC"/>
    <w:lvl w:ilvl="0">
      <w:start w:val="1"/>
      <w:numFmt w:val="upperLetter"/>
      <w:pStyle w:val="Heading2"/>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DA0F23"/>
    <w:multiLevelType w:val="hybridMultilevel"/>
    <w:tmpl w:val="2FC4C97C"/>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2E1EE5"/>
    <w:multiLevelType w:val="hybridMultilevel"/>
    <w:tmpl w:val="5B7892A0"/>
    <w:lvl w:ilvl="0">
      <w:start w:val="1"/>
      <w:numFmt w:val="decimal"/>
      <w:lvlText w:val="%1."/>
      <w:lvlJc w:val="left"/>
      <w:pPr>
        <w:ind w:left="1800" w:hanging="360"/>
      </w:pPr>
      <w:rPr>
        <w:rFonts w:cs="Times New Roman"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2CC94FCD"/>
    <w:multiLevelType w:val="hybridMultilevel"/>
    <w:tmpl w:val="49968B8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1">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5605569"/>
    <w:multiLevelType w:val="hybridMultilevel"/>
    <w:tmpl w:val="D28CC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E434FDA"/>
    <w:multiLevelType w:val="hybridMultilevel"/>
    <w:tmpl w:val="3B28E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FD7D8A"/>
    <w:multiLevelType w:val="hybridMultilevel"/>
    <w:tmpl w:val="1C787F2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BD624C"/>
    <w:multiLevelType w:val="hybridMultilevel"/>
    <w:tmpl w:val="E87A5166"/>
    <w:lvl w:ilvl="0">
      <w:start w:val="1"/>
      <w:numFmt w:val="upperLetter"/>
      <w:lvlText w:val="%1."/>
      <w:lvlJc w:val="left"/>
      <w:pPr>
        <w:ind w:left="9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64E5E75"/>
    <w:multiLevelType w:val="hybridMultilevel"/>
    <w:tmpl w:val="570E21E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15E5970"/>
    <w:multiLevelType w:val="hybridMultilevel"/>
    <w:tmpl w:val="F7D423D8"/>
    <w:lvl w:ilvl="0">
      <w:start w:val="1"/>
      <w:numFmt w:val="upperLetter"/>
      <w:lvlText w:val="%1."/>
      <w:lvlJc w:val="left"/>
      <w:pPr>
        <w:ind w:left="108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3F304E"/>
    <w:multiLevelType w:val="hybridMultilevel"/>
    <w:tmpl w:val="E190F44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AE83163"/>
    <w:multiLevelType w:val="hybridMultilevel"/>
    <w:tmpl w:val="CC30DC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D5378C3"/>
    <w:multiLevelType w:val="hybridMultilevel"/>
    <w:tmpl w:val="BA3AEF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287D"/>
    <w:multiLevelType w:val="hybridMultilevel"/>
    <w:tmpl w:val="1760228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6">
    <w:nsid w:val="6509486F"/>
    <w:multiLevelType w:val="hybridMultilevel"/>
    <w:tmpl w:val="CDE0B5A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A725FA4"/>
    <w:multiLevelType w:val="hybridMultilevel"/>
    <w:tmpl w:val="9ADA27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E36518D"/>
    <w:multiLevelType w:val="hybridMultilevel"/>
    <w:tmpl w:val="A4C22F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55A4CAC"/>
    <w:multiLevelType w:val="hybridMultilevel"/>
    <w:tmpl w:val="1DB899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B29341A"/>
    <w:multiLevelType w:val="hybridMultilevel"/>
    <w:tmpl w:val="3A646A44"/>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7"/>
  </w:num>
  <w:num w:numId="4">
    <w:abstractNumId w:val="6"/>
  </w:num>
  <w:num w:numId="5">
    <w:abstractNumId w:val="11"/>
  </w:num>
  <w:num w:numId="6">
    <w:abstractNumId w:val="27"/>
  </w:num>
  <w:num w:numId="7">
    <w:abstractNumId w:val="32"/>
  </w:num>
  <w:num w:numId="8">
    <w:abstractNumId w:val="5"/>
  </w:num>
  <w:num w:numId="9">
    <w:abstractNumId w:val="13"/>
  </w:num>
  <w:num w:numId="10">
    <w:abstractNumId w:val="12"/>
  </w:num>
  <w:num w:numId="11">
    <w:abstractNumId w:val="3"/>
  </w:num>
  <w:num w:numId="12">
    <w:abstractNumId w:val="16"/>
  </w:num>
  <w:num w:numId="13">
    <w:abstractNumId w:val="25"/>
  </w:num>
  <w:num w:numId="14">
    <w:abstractNumId w:val="4"/>
  </w:num>
  <w:num w:numId="15">
    <w:abstractNumId w:val="23"/>
  </w:num>
  <w:num w:numId="16">
    <w:abstractNumId w:val="26"/>
  </w:num>
  <w:num w:numId="17">
    <w:abstractNumId w:val="15"/>
  </w:num>
  <w:num w:numId="18">
    <w:abstractNumId w:val="10"/>
  </w:num>
  <w:num w:numId="19">
    <w:abstractNumId w:val="24"/>
  </w:num>
  <w:num w:numId="20">
    <w:abstractNumId w:val="19"/>
  </w:num>
  <w:num w:numId="21">
    <w:abstractNumId w:val="20"/>
  </w:num>
  <w:num w:numId="22">
    <w:abstractNumId w:val="18"/>
  </w:num>
  <w:num w:numId="23">
    <w:abstractNumId w:val="7"/>
  </w:num>
  <w:num w:numId="24">
    <w:abstractNumId w:val="14"/>
  </w:num>
  <w:num w:numId="25">
    <w:abstractNumId w:val="31"/>
  </w:num>
  <w:num w:numId="26">
    <w:abstractNumId w:val="29"/>
  </w:num>
  <w:num w:numId="27">
    <w:abstractNumId w:val="28"/>
  </w:num>
  <w:num w:numId="28">
    <w:abstractNumId w:val="9"/>
  </w:num>
  <w:num w:numId="29">
    <w:abstractNumId w:val="0"/>
  </w:num>
  <w:num w:numId="30">
    <w:abstractNumId w:val="22"/>
  </w:num>
  <w:num w:numId="31">
    <w:abstractNumId w:val="19"/>
  </w:num>
  <w:num w:numId="32">
    <w:abstractNumId w:val="8"/>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6A"/>
    <w:rsid w:val="000001DA"/>
    <w:rsid w:val="0000207C"/>
    <w:rsid w:val="000044FD"/>
    <w:rsid w:val="000105C1"/>
    <w:rsid w:val="00010DE0"/>
    <w:rsid w:val="0001236B"/>
    <w:rsid w:val="00012862"/>
    <w:rsid w:val="00012F4E"/>
    <w:rsid w:val="00013BA0"/>
    <w:rsid w:val="00014307"/>
    <w:rsid w:val="0001493D"/>
    <w:rsid w:val="00015B35"/>
    <w:rsid w:val="00020E27"/>
    <w:rsid w:val="00021837"/>
    <w:rsid w:val="000237A9"/>
    <w:rsid w:val="00023B7F"/>
    <w:rsid w:val="00023D06"/>
    <w:rsid w:val="00026627"/>
    <w:rsid w:val="0002692A"/>
    <w:rsid w:val="00026DB2"/>
    <w:rsid w:val="00030034"/>
    <w:rsid w:val="00031845"/>
    <w:rsid w:val="000323C7"/>
    <w:rsid w:val="00034F6A"/>
    <w:rsid w:val="00036EC9"/>
    <w:rsid w:val="000371AE"/>
    <w:rsid w:val="0003720E"/>
    <w:rsid w:val="00037EC9"/>
    <w:rsid w:val="0004015D"/>
    <w:rsid w:val="000428A5"/>
    <w:rsid w:val="0004629A"/>
    <w:rsid w:val="00047D59"/>
    <w:rsid w:val="000500F4"/>
    <w:rsid w:val="00051971"/>
    <w:rsid w:val="00052474"/>
    <w:rsid w:val="0005385D"/>
    <w:rsid w:val="00053C5E"/>
    <w:rsid w:val="00053D02"/>
    <w:rsid w:val="00057028"/>
    <w:rsid w:val="0006013D"/>
    <w:rsid w:val="000613F2"/>
    <w:rsid w:val="00063561"/>
    <w:rsid w:val="00070591"/>
    <w:rsid w:val="000714FA"/>
    <w:rsid w:val="00073078"/>
    <w:rsid w:val="00073D2C"/>
    <w:rsid w:val="000747ED"/>
    <w:rsid w:val="000754BB"/>
    <w:rsid w:val="00075DF7"/>
    <w:rsid w:val="00076A35"/>
    <w:rsid w:val="00082A2E"/>
    <w:rsid w:val="00084E14"/>
    <w:rsid w:val="0008560E"/>
    <w:rsid w:val="0008755E"/>
    <w:rsid w:val="00087ED2"/>
    <w:rsid w:val="0009058C"/>
    <w:rsid w:val="0009240C"/>
    <w:rsid w:val="00092AF6"/>
    <w:rsid w:val="00094950"/>
    <w:rsid w:val="00094C34"/>
    <w:rsid w:val="000963BF"/>
    <w:rsid w:val="000978AD"/>
    <w:rsid w:val="000A092D"/>
    <w:rsid w:val="000A0F6D"/>
    <w:rsid w:val="000A16C2"/>
    <w:rsid w:val="000A182D"/>
    <w:rsid w:val="000A213D"/>
    <w:rsid w:val="000B2062"/>
    <w:rsid w:val="000B28B7"/>
    <w:rsid w:val="000B2DF1"/>
    <w:rsid w:val="000B5F4E"/>
    <w:rsid w:val="000B7AFB"/>
    <w:rsid w:val="000C35F1"/>
    <w:rsid w:val="000C3E21"/>
    <w:rsid w:val="000C4F08"/>
    <w:rsid w:val="000C554F"/>
    <w:rsid w:val="000C66A9"/>
    <w:rsid w:val="000C76D8"/>
    <w:rsid w:val="000C77B9"/>
    <w:rsid w:val="000D13AF"/>
    <w:rsid w:val="000D3C7E"/>
    <w:rsid w:val="000D79AC"/>
    <w:rsid w:val="000D79BD"/>
    <w:rsid w:val="000E7A75"/>
    <w:rsid w:val="000F1DA3"/>
    <w:rsid w:val="000F61CD"/>
    <w:rsid w:val="0010017A"/>
    <w:rsid w:val="00101B46"/>
    <w:rsid w:val="00101EAE"/>
    <w:rsid w:val="001049E4"/>
    <w:rsid w:val="00106C9A"/>
    <w:rsid w:val="00106CA4"/>
    <w:rsid w:val="00112614"/>
    <w:rsid w:val="00112CC9"/>
    <w:rsid w:val="00113098"/>
    <w:rsid w:val="00113B9D"/>
    <w:rsid w:val="001156C3"/>
    <w:rsid w:val="00117687"/>
    <w:rsid w:val="001214B6"/>
    <w:rsid w:val="00122B02"/>
    <w:rsid w:val="00122C47"/>
    <w:rsid w:val="0012371A"/>
    <w:rsid w:val="001250ED"/>
    <w:rsid w:val="00126549"/>
    <w:rsid w:val="00130FDB"/>
    <w:rsid w:val="00131952"/>
    <w:rsid w:val="00136078"/>
    <w:rsid w:val="00142A48"/>
    <w:rsid w:val="0014608F"/>
    <w:rsid w:val="001477DB"/>
    <w:rsid w:val="001507B4"/>
    <w:rsid w:val="00151165"/>
    <w:rsid w:val="0015192E"/>
    <w:rsid w:val="00151F0F"/>
    <w:rsid w:val="0015229E"/>
    <w:rsid w:val="00153B4C"/>
    <w:rsid w:val="00153D10"/>
    <w:rsid w:val="0016063C"/>
    <w:rsid w:val="00161568"/>
    <w:rsid w:val="00165096"/>
    <w:rsid w:val="00165E9C"/>
    <w:rsid w:val="001675EA"/>
    <w:rsid w:val="00167846"/>
    <w:rsid w:val="00167C0C"/>
    <w:rsid w:val="00167F83"/>
    <w:rsid w:val="00170415"/>
    <w:rsid w:val="001707D9"/>
    <w:rsid w:val="0017425C"/>
    <w:rsid w:val="00176B0E"/>
    <w:rsid w:val="001809F6"/>
    <w:rsid w:val="00184977"/>
    <w:rsid w:val="00190933"/>
    <w:rsid w:val="00191741"/>
    <w:rsid w:val="001937F2"/>
    <w:rsid w:val="0019429E"/>
    <w:rsid w:val="00197EF0"/>
    <w:rsid w:val="001A12CF"/>
    <w:rsid w:val="001A1E77"/>
    <w:rsid w:val="001A203A"/>
    <w:rsid w:val="001A3305"/>
    <w:rsid w:val="001A388C"/>
    <w:rsid w:val="001A4FC4"/>
    <w:rsid w:val="001A63DA"/>
    <w:rsid w:val="001A6E37"/>
    <w:rsid w:val="001B021D"/>
    <w:rsid w:val="001B382B"/>
    <w:rsid w:val="001B450C"/>
    <w:rsid w:val="001B746D"/>
    <w:rsid w:val="001B783C"/>
    <w:rsid w:val="001B7E5A"/>
    <w:rsid w:val="001C0B30"/>
    <w:rsid w:val="001C0DE2"/>
    <w:rsid w:val="001C13F0"/>
    <w:rsid w:val="001C16FF"/>
    <w:rsid w:val="001C2CD5"/>
    <w:rsid w:val="001C341E"/>
    <w:rsid w:val="001C3ECB"/>
    <w:rsid w:val="001C44B5"/>
    <w:rsid w:val="001C6CE9"/>
    <w:rsid w:val="001D2B29"/>
    <w:rsid w:val="001D365C"/>
    <w:rsid w:val="001D56C1"/>
    <w:rsid w:val="001D599C"/>
    <w:rsid w:val="001E064B"/>
    <w:rsid w:val="001E1D99"/>
    <w:rsid w:val="001E245D"/>
    <w:rsid w:val="001E2855"/>
    <w:rsid w:val="001E2FA4"/>
    <w:rsid w:val="001E5287"/>
    <w:rsid w:val="001E6F58"/>
    <w:rsid w:val="001F3B89"/>
    <w:rsid w:val="001F600A"/>
    <w:rsid w:val="00200047"/>
    <w:rsid w:val="002022AB"/>
    <w:rsid w:val="0020434A"/>
    <w:rsid w:val="0021069E"/>
    <w:rsid w:val="0021220D"/>
    <w:rsid w:val="00213AC1"/>
    <w:rsid w:val="00214F69"/>
    <w:rsid w:val="00222011"/>
    <w:rsid w:val="002241D1"/>
    <w:rsid w:val="0022500B"/>
    <w:rsid w:val="00226D48"/>
    <w:rsid w:val="00226E1A"/>
    <w:rsid w:val="00227608"/>
    <w:rsid w:val="0023163A"/>
    <w:rsid w:val="0023256D"/>
    <w:rsid w:val="00232FD1"/>
    <w:rsid w:val="002346C4"/>
    <w:rsid w:val="00235693"/>
    <w:rsid w:val="00236875"/>
    <w:rsid w:val="0024025D"/>
    <w:rsid w:val="00240AD7"/>
    <w:rsid w:val="002431E1"/>
    <w:rsid w:val="00243E65"/>
    <w:rsid w:val="002455FA"/>
    <w:rsid w:val="0024726A"/>
    <w:rsid w:val="00247902"/>
    <w:rsid w:val="00247C76"/>
    <w:rsid w:val="002508A8"/>
    <w:rsid w:val="00250D6C"/>
    <w:rsid w:val="00252A82"/>
    <w:rsid w:val="0025340E"/>
    <w:rsid w:val="00254BAA"/>
    <w:rsid w:val="0025547C"/>
    <w:rsid w:val="00255985"/>
    <w:rsid w:val="00260705"/>
    <w:rsid w:val="00260A3F"/>
    <w:rsid w:val="00264A2B"/>
    <w:rsid w:val="00266B99"/>
    <w:rsid w:val="00273A9E"/>
    <w:rsid w:val="00273D40"/>
    <w:rsid w:val="0027435C"/>
    <w:rsid w:val="00274D04"/>
    <w:rsid w:val="00275F81"/>
    <w:rsid w:val="00280EB1"/>
    <w:rsid w:val="00281C3D"/>
    <w:rsid w:val="00283A0D"/>
    <w:rsid w:val="002844D1"/>
    <w:rsid w:val="00285C48"/>
    <w:rsid w:val="00286D73"/>
    <w:rsid w:val="00291C59"/>
    <w:rsid w:val="00292416"/>
    <w:rsid w:val="002936ED"/>
    <w:rsid w:val="002938B2"/>
    <w:rsid w:val="00297913"/>
    <w:rsid w:val="002A2023"/>
    <w:rsid w:val="002A4989"/>
    <w:rsid w:val="002A7C14"/>
    <w:rsid w:val="002B1018"/>
    <w:rsid w:val="002B4A98"/>
    <w:rsid w:val="002B4DBA"/>
    <w:rsid w:val="002B5DFD"/>
    <w:rsid w:val="002C3909"/>
    <w:rsid w:val="002C50E6"/>
    <w:rsid w:val="002C6664"/>
    <w:rsid w:val="002C67B3"/>
    <w:rsid w:val="002C6BDA"/>
    <w:rsid w:val="002C6E5A"/>
    <w:rsid w:val="002C7720"/>
    <w:rsid w:val="002D00A2"/>
    <w:rsid w:val="002D0A99"/>
    <w:rsid w:val="002D0D60"/>
    <w:rsid w:val="002D0D79"/>
    <w:rsid w:val="002D1B6C"/>
    <w:rsid w:val="002D4D89"/>
    <w:rsid w:val="002D7934"/>
    <w:rsid w:val="002E4589"/>
    <w:rsid w:val="002E53F7"/>
    <w:rsid w:val="002F0E3B"/>
    <w:rsid w:val="002F2DD6"/>
    <w:rsid w:val="002F38EE"/>
    <w:rsid w:val="002F4CA0"/>
    <w:rsid w:val="002F50A7"/>
    <w:rsid w:val="002F6152"/>
    <w:rsid w:val="00300B47"/>
    <w:rsid w:val="003031B6"/>
    <w:rsid w:val="00304885"/>
    <w:rsid w:val="00307174"/>
    <w:rsid w:val="00310E1D"/>
    <w:rsid w:val="00311069"/>
    <w:rsid w:val="0031127C"/>
    <w:rsid w:val="00312335"/>
    <w:rsid w:val="00314CCD"/>
    <w:rsid w:val="00320FE8"/>
    <w:rsid w:val="0032118A"/>
    <w:rsid w:val="00321C29"/>
    <w:rsid w:val="003245D4"/>
    <w:rsid w:val="00324750"/>
    <w:rsid w:val="003269F9"/>
    <w:rsid w:val="00326C85"/>
    <w:rsid w:val="00330C50"/>
    <w:rsid w:val="00330D90"/>
    <w:rsid w:val="00334ED2"/>
    <w:rsid w:val="003369B6"/>
    <w:rsid w:val="00336AA7"/>
    <w:rsid w:val="00336FDE"/>
    <w:rsid w:val="003402CC"/>
    <w:rsid w:val="003411B2"/>
    <w:rsid w:val="003430CD"/>
    <w:rsid w:val="003437D1"/>
    <w:rsid w:val="00344BD4"/>
    <w:rsid w:val="003455A6"/>
    <w:rsid w:val="00345F15"/>
    <w:rsid w:val="00346A80"/>
    <w:rsid w:val="00347110"/>
    <w:rsid w:val="00350FE0"/>
    <w:rsid w:val="003511B5"/>
    <w:rsid w:val="0035328C"/>
    <w:rsid w:val="00354AE3"/>
    <w:rsid w:val="00354D0D"/>
    <w:rsid w:val="00355488"/>
    <w:rsid w:val="003558A8"/>
    <w:rsid w:val="00356D39"/>
    <w:rsid w:val="00357DEC"/>
    <w:rsid w:val="00357F68"/>
    <w:rsid w:val="003601C5"/>
    <w:rsid w:val="00366586"/>
    <w:rsid w:val="00372312"/>
    <w:rsid w:val="0037271E"/>
    <w:rsid w:val="0037302F"/>
    <w:rsid w:val="00373926"/>
    <w:rsid w:val="00374B2C"/>
    <w:rsid w:val="00374C28"/>
    <w:rsid w:val="00374C74"/>
    <w:rsid w:val="003753E9"/>
    <w:rsid w:val="00376E35"/>
    <w:rsid w:val="003800BC"/>
    <w:rsid w:val="003813F1"/>
    <w:rsid w:val="00381418"/>
    <w:rsid w:val="00381CF6"/>
    <w:rsid w:val="00385270"/>
    <w:rsid w:val="003925DF"/>
    <w:rsid w:val="00394858"/>
    <w:rsid w:val="0039642E"/>
    <w:rsid w:val="003977E7"/>
    <w:rsid w:val="003A21A6"/>
    <w:rsid w:val="003A386D"/>
    <w:rsid w:val="003A6959"/>
    <w:rsid w:val="003B0BCF"/>
    <w:rsid w:val="003B1E01"/>
    <w:rsid w:val="003B27A4"/>
    <w:rsid w:val="003B3DCF"/>
    <w:rsid w:val="003B4A23"/>
    <w:rsid w:val="003C37F4"/>
    <w:rsid w:val="003C4572"/>
    <w:rsid w:val="003C5507"/>
    <w:rsid w:val="003D2135"/>
    <w:rsid w:val="003D2F68"/>
    <w:rsid w:val="003D3400"/>
    <w:rsid w:val="003D4FE7"/>
    <w:rsid w:val="003D580F"/>
    <w:rsid w:val="003E03E3"/>
    <w:rsid w:val="003E2027"/>
    <w:rsid w:val="003E36B1"/>
    <w:rsid w:val="003E4FF1"/>
    <w:rsid w:val="003E5EA4"/>
    <w:rsid w:val="003E729F"/>
    <w:rsid w:val="003F0465"/>
    <w:rsid w:val="003F5144"/>
    <w:rsid w:val="003F69EB"/>
    <w:rsid w:val="003F760E"/>
    <w:rsid w:val="00400120"/>
    <w:rsid w:val="004009C1"/>
    <w:rsid w:val="004011C8"/>
    <w:rsid w:val="0040433D"/>
    <w:rsid w:val="004074BB"/>
    <w:rsid w:val="00410112"/>
    <w:rsid w:val="00411AF7"/>
    <w:rsid w:val="00412178"/>
    <w:rsid w:val="00412F5E"/>
    <w:rsid w:val="004148F1"/>
    <w:rsid w:val="00420308"/>
    <w:rsid w:val="0042065F"/>
    <w:rsid w:val="00427EB0"/>
    <w:rsid w:val="00430981"/>
    <w:rsid w:val="00432159"/>
    <w:rsid w:val="00433A3D"/>
    <w:rsid w:val="00433BB8"/>
    <w:rsid w:val="00435F23"/>
    <w:rsid w:val="00435F46"/>
    <w:rsid w:val="004368AD"/>
    <w:rsid w:val="00436CC3"/>
    <w:rsid w:val="00440139"/>
    <w:rsid w:val="00440BFB"/>
    <w:rsid w:val="00444919"/>
    <w:rsid w:val="00444A8C"/>
    <w:rsid w:val="00444CD6"/>
    <w:rsid w:val="00445692"/>
    <w:rsid w:val="004470A9"/>
    <w:rsid w:val="00447EB6"/>
    <w:rsid w:val="0045113E"/>
    <w:rsid w:val="00451A62"/>
    <w:rsid w:val="00454D42"/>
    <w:rsid w:val="0045752C"/>
    <w:rsid w:val="00460139"/>
    <w:rsid w:val="00461BB4"/>
    <w:rsid w:val="00461E70"/>
    <w:rsid w:val="004711A8"/>
    <w:rsid w:val="00473239"/>
    <w:rsid w:val="00475F00"/>
    <w:rsid w:val="00480DEB"/>
    <w:rsid w:val="004810D8"/>
    <w:rsid w:val="0048220C"/>
    <w:rsid w:val="00482F4A"/>
    <w:rsid w:val="00483849"/>
    <w:rsid w:val="00486C5C"/>
    <w:rsid w:val="0049023C"/>
    <w:rsid w:val="00493555"/>
    <w:rsid w:val="004935F4"/>
    <w:rsid w:val="004938CB"/>
    <w:rsid w:val="00495379"/>
    <w:rsid w:val="00496468"/>
    <w:rsid w:val="00496DD7"/>
    <w:rsid w:val="0049756D"/>
    <w:rsid w:val="00497B61"/>
    <w:rsid w:val="00497E56"/>
    <w:rsid w:val="004A01E2"/>
    <w:rsid w:val="004A1C93"/>
    <w:rsid w:val="004A1CA4"/>
    <w:rsid w:val="004A2403"/>
    <w:rsid w:val="004A2498"/>
    <w:rsid w:val="004A29CE"/>
    <w:rsid w:val="004A2D75"/>
    <w:rsid w:val="004A3BC1"/>
    <w:rsid w:val="004A500E"/>
    <w:rsid w:val="004A7243"/>
    <w:rsid w:val="004A791A"/>
    <w:rsid w:val="004A7ADC"/>
    <w:rsid w:val="004B1425"/>
    <w:rsid w:val="004B3604"/>
    <w:rsid w:val="004B7814"/>
    <w:rsid w:val="004C0534"/>
    <w:rsid w:val="004C154D"/>
    <w:rsid w:val="004C6A0D"/>
    <w:rsid w:val="004D3D5E"/>
    <w:rsid w:val="004D5706"/>
    <w:rsid w:val="004D70E8"/>
    <w:rsid w:val="004E294C"/>
    <w:rsid w:val="004E31E1"/>
    <w:rsid w:val="004E5410"/>
    <w:rsid w:val="004E7FCE"/>
    <w:rsid w:val="004F13A2"/>
    <w:rsid w:val="004F18E8"/>
    <w:rsid w:val="004F28F4"/>
    <w:rsid w:val="004F3D7C"/>
    <w:rsid w:val="004F41A2"/>
    <w:rsid w:val="004F423F"/>
    <w:rsid w:val="004F44C4"/>
    <w:rsid w:val="004F4584"/>
    <w:rsid w:val="004F46AB"/>
    <w:rsid w:val="004F5D4A"/>
    <w:rsid w:val="004F6F7F"/>
    <w:rsid w:val="004F7580"/>
    <w:rsid w:val="00500F36"/>
    <w:rsid w:val="00502C71"/>
    <w:rsid w:val="00503478"/>
    <w:rsid w:val="0050748E"/>
    <w:rsid w:val="005106FF"/>
    <w:rsid w:val="0051336B"/>
    <w:rsid w:val="00513B10"/>
    <w:rsid w:val="00513F26"/>
    <w:rsid w:val="00514DFA"/>
    <w:rsid w:val="00514E9F"/>
    <w:rsid w:val="00515865"/>
    <w:rsid w:val="00516EAF"/>
    <w:rsid w:val="005171F8"/>
    <w:rsid w:val="00517DFB"/>
    <w:rsid w:val="00520C02"/>
    <w:rsid w:val="005213C8"/>
    <w:rsid w:val="00521CD0"/>
    <w:rsid w:val="00523884"/>
    <w:rsid w:val="005248DE"/>
    <w:rsid w:val="00525283"/>
    <w:rsid w:val="00525946"/>
    <w:rsid w:val="00526D1B"/>
    <w:rsid w:val="00527521"/>
    <w:rsid w:val="00527AC3"/>
    <w:rsid w:val="00527C64"/>
    <w:rsid w:val="005303F2"/>
    <w:rsid w:val="00531489"/>
    <w:rsid w:val="005332EC"/>
    <w:rsid w:val="005369C3"/>
    <w:rsid w:val="00536DCD"/>
    <w:rsid w:val="0054122A"/>
    <w:rsid w:val="0054318D"/>
    <w:rsid w:val="0054358C"/>
    <w:rsid w:val="00543F09"/>
    <w:rsid w:val="00545302"/>
    <w:rsid w:val="005460DC"/>
    <w:rsid w:val="0054631F"/>
    <w:rsid w:val="00546324"/>
    <w:rsid w:val="00552DB3"/>
    <w:rsid w:val="00553343"/>
    <w:rsid w:val="005549A6"/>
    <w:rsid w:val="00561D09"/>
    <w:rsid w:val="00562D10"/>
    <w:rsid w:val="0056327C"/>
    <w:rsid w:val="00563B4E"/>
    <w:rsid w:val="00566780"/>
    <w:rsid w:val="0057061D"/>
    <w:rsid w:val="005714DD"/>
    <w:rsid w:val="00573F0E"/>
    <w:rsid w:val="00574093"/>
    <w:rsid w:val="00574DA5"/>
    <w:rsid w:val="00577005"/>
    <w:rsid w:val="005812DC"/>
    <w:rsid w:val="00581990"/>
    <w:rsid w:val="00586053"/>
    <w:rsid w:val="00590725"/>
    <w:rsid w:val="00593C6B"/>
    <w:rsid w:val="00594916"/>
    <w:rsid w:val="00595D59"/>
    <w:rsid w:val="005A18A5"/>
    <w:rsid w:val="005A20F7"/>
    <w:rsid w:val="005A26E2"/>
    <w:rsid w:val="005A6B83"/>
    <w:rsid w:val="005A7D12"/>
    <w:rsid w:val="005A7FB5"/>
    <w:rsid w:val="005B0284"/>
    <w:rsid w:val="005B0453"/>
    <w:rsid w:val="005B2BD7"/>
    <w:rsid w:val="005B3E57"/>
    <w:rsid w:val="005B795E"/>
    <w:rsid w:val="005C0AEE"/>
    <w:rsid w:val="005C121B"/>
    <w:rsid w:val="005C1257"/>
    <w:rsid w:val="005C16AA"/>
    <w:rsid w:val="005C3731"/>
    <w:rsid w:val="005C451D"/>
    <w:rsid w:val="005C650C"/>
    <w:rsid w:val="005C781C"/>
    <w:rsid w:val="005D034D"/>
    <w:rsid w:val="005D1563"/>
    <w:rsid w:val="005D16A6"/>
    <w:rsid w:val="005D69D1"/>
    <w:rsid w:val="005E0557"/>
    <w:rsid w:val="005E2E52"/>
    <w:rsid w:val="005E32B3"/>
    <w:rsid w:val="005E54AB"/>
    <w:rsid w:val="005E54F0"/>
    <w:rsid w:val="005E6B1C"/>
    <w:rsid w:val="005F0C73"/>
    <w:rsid w:val="005F2B7A"/>
    <w:rsid w:val="005F2FFC"/>
    <w:rsid w:val="005F6D71"/>
    <w:rsid w:val="005F71D8"/>
    <w:rsid w:val="005F7347"/>
    <w:rsid w:val="005F7662"/>
    <w:rsid w:val="00600743"/>
    <w:rsid w:val="006024DA"/>
    <w:rsid w:val="0060303F"/>
    <w:rsid w:val="006038AF"/>
    <w:rsid w:val="006113D4"/>
    <w:rsid w:val="006156F2"/>
    <w:rsid w:val="00617268"/>
    <w:rsid w:val="006172D6"/>
    <w:rsid w:val="00620EB2"/>
    <w:rsid w:val="00620EF3"/>
    <w:rsid w:val="00621A28"/>
    <w:rsid w:val="00622321"/>
    <w:rsid w:val="006226DE"/>
    <w:rsid w:val="006228C8"/>
    <w:rsid w:val="00626411"/>
    <w:rsid w:val="006268B9"/>
    <w:rsid w:val="00626C6A"/>
    <w:rsid w:val="00627D8A"/>
    <w:rsid w:val="00627F54"/>
    <w:rsid w:val="0063003F"/>
    <w:rsid w:val="00633904"/>
    <w:rsid w:val="00634491"/>
    <w:rsid w:val="006371F6"/>
    <w:rsid w:val="00640F47"/>
    <w:rsid w:val="00641AD3"/>
    <w:rsid w:val="00642450"/>
    <w:rsid w:val="00642787"/>
    <w:rsid w:val="00643A76"/>
    <w:rsid w:val="006442CD"/>
    <w:rsid w:val="00645D20"/>
    <w:rsid w:val="0065099E"/>
    <w:rsid w:val="006554B3"/>
    <w:rsid w:val="00655CCD"/>
    <w:rsid w:val="006561DE"/>
    <w:rsid w:val="00656B2E"/>
    <w:rsid w:val="00660806"/>
    <w:rsid w:val="006621F6"/>
    <w:rsid w:val="006631B7"/>
    <w:rsid w:val="006640AF"/>
    <w:rsid w:val="00672E11"/>
    <w:rsid w:val="006732B7"/>
    <w:rsid w:val="0067446A"/>
    <w:rsid w:val="006777AC"/>
    <w:rsid w:val="00680FCB"/>
    <w:rsid w:val="006838C2"/>
    <w:rsid w:val="00683B3A"/>
    <w:rsid w:val="00685470"/>
    <w:rsid w:val="00685F0B"/>
    <w:rsid w:val="00686331"/>
    <w:rsid w:val="00687ECC"/>
    <w:rsid w:val="00692043"/>
    <w:rsid w:val="006939C9"/>
    <w:rsid w:val="00695107"/>
    <w:rsid w:val="00695567"/>
    <w:rsid w:val="00695ECA"/>
    <w:rsid w:val="006A0827"/>
    <w:rsid w:val="006A371E"/>
    <w:rsid w:val="006A42E0"/>
    <w:rsid w:val="006A5484"/>
    <w:rsid w:val="006A5DCF"/>
    <w:rsid w:val="006A6666"/>
    <w:rsid w:val="006A68CF"/>
    <w:rsid w:val="006A7A58"/>
    <w:rsid w:val="006B15A8"/>
    <w:rsid w:val="006B20BE"/>
    <w:rsid w:val="006B2E37"/>
    <w:rsid w:val="006B406D"/>
    <w:rsid w:val="006B6204"/>
    <w:rsid w:val="006C0D8B"/>
    <w:rsid w:val="006C149F"/>
    <w:rsid w:val="006C1EAB"/>
    <w:rsid w:val="006D1CD8"/>
    <w:rsid w:val="006D323F"/>
    <w:rsid w:val="006D3490"/>
    <w:rsid w:val="006D4A7F"/>
    <w:rsid w:val="006D4E21"/>
    <w:rsid w:val="006D5296"/>
    <w:rsid w:val="006E0625"/>
    <w:rsid w:val="006E28E1"/>
    <w:rsid w:val="006E3C43"/>
    <w:rsid w:val="006E608F"/>
    <w:rsid w:val="006E75B8"/>
    <w:rsid w:val="006F276E"/>
    <w:rsid w:val="006F4280"/>
    <w:rsid w:val="006F5708"/>
    <w:rsid w:val="006F58FA"/>
    <w:rsid w:val="006F5A3C"/>
    <w:rsid w:val="006F783C"/>
    <w:rsid w:val="0070436C"/>
    <w:rsid w:val="00706978"/>
    <w:rsid w:val="00710562"/>
    <w:rsid w:val="00714AFE"/>
    <w:rsid w:val="00715D4A"/>
    <w:rsid w:val="0072541D"/>
    <w:rsid w:val="007358BD"/>
    <w:rsid w:val="007363ED"/>
    <w:rsid w:val="00736557"/>
    <w:rsid w:val="00740526"/>
    <w:rsid w:val="007407FE"/>
    <w:rsid w:val="00740A2A"/>
    <w:rsid w:val="00740C56"/>
    <w:rsid w:val="007420CE"/>
    <w:rsid w:val="0074220B"/>
    <w:rsid w:val="00744016"/>
    <w:rsid w:val="007447E9"/>
    <w:rsid w:val="00746981"/>
    <w:rsid w:val="00747FAC"/>
    <w:rsid w:val="00750821"/>
    <w:rsid w:val="00751A5A"/>
    <w:rsid w:val="007521D1"/>
    <w:rsid w:val="00752592"/>
    <w:rsid w:val="007545F0"/>
    <w:rsid w:val="00755C7C"/>
    <w:rsid w:val="0075677B"/>
    <w:rsid w:val="007570D0"/>
    <w:rsid w:val="00757D25"/>
    <w:rsid w:val="007618B3"/>
    <w:rsid w:val="007626A1"/>
    <w:rsid w:val="0076385F"/>
    <w:rsid w:val="00764A96"/>
    <w:rsid w:val="00764AEC"/>
    <w:rsid w:val="00765013"/>
    <w:rsid w:val="00773226"/>
    <w:rsid w:val="007740C9"/>
    <w:rsid w:val="007766A0"/>
    <w:rsid w:val="00782536"/>
    <w:rsid w:val="00787FA5"/>
    <w:rsid w:val="00791419"/>
    <w:rsid w:val="007929A4"/>
    <w:rsid w:val="007930DC"/>
    <w:rsid w:val="00794720"/>
    <w:rsid w:val="00796BA4"/>
    <w:rsid w:val="007A21ED"/>
    <w:rsid w:val="007A5C2C"/>
    <w:rsid w:val="007A5FD8"/>
    <w:rsid w:val="007A7078"/>
    <w:rsid w:val="007A7680"/>
    <w:rsid w:val="007B3CD1"/>
    <w:rsid w:val="007B4F88"/>
    <w:rsid w:val="007B54D0"/>
    <w:rsid w:val="007B69EC"/>
    <w:rsid w:val="007B6CA7"/>
    <w:rsid w:val="007C1B19"/>
    <w:rsid w:val="007C1FC5"/>
    <w:rsid w:val="007C4881"/>
    <w:rsid w:val="007C5287"/>
    <w:rsid w:val="007C6C8C"/>
    <w:rsid w:val="007D04C2"/>
    <w:rsid w:val="007D2173"/>
    <w:rsid w:val="007D3A77"/>
    <w:rsid w:val="007D7A9B"/>
    <w:rsid w:val="007E0E07"/>
    <w:rsid w:val="007E49E8"/>
    <w:rsid w:val="007E55B3"/>
    <w:rsid w:val="007E5EC7"/>
    <w:rsid w:val="007E724B"/>
    <w:rsid w:val="007F1986"/>
    <w:rsid w:val="007F3A0A"/>
    <w:rsid w:val="007F57AE"/>
    <w:rsid w:val="00800147"/>
    <w:rsid w:val="008050D2"/>
    <w:rsid w:val="00807924"/>
    <w:rsid w:val="008104CE"/>
    <w:rsid w:val="0081160F"/>
    <w:rsid w:val="00814AB0"/>
    <w:rsid w:val="0081526D"/>
    <w:rsid w:val="00815581"/>
    <w:rsid w:val="0082116D"/>
    <w:rsid w:val="0082237C"/>
    <w:rsid w:val="00822D23"/>
    <w:rsid w:val="00823AC8"/>
    <w:rsid w:val="008258CE"/>
    <w:rsid w:val="0082604F"/>
    <w:rsid w:val="00826506"/>
    <w:rsid w:val="0083124F"/>
    <w:rsid w:val="00832437"/>
    <w:rsid w:val="0083265B"/>
    <w:rsid w:val="00834B98"/>
    <w:rsid w:val="00837AB8"/>
    <w:rsid w:val="008404C6"/>
    <w:rsid w:val="008419F3"/>
    <w:rsid w:val="0084398A"/>
    <w:rsid w:val="008445AA"/>
    <w:rsid w:val="00847E9C"/>
    <w:rsid w:val="008520A8"/>
    <w:rsid w:val="00856EB5"/>
    <w:rsid w:val="00857092"/>
    <w:rsid w:val="00861310"/>
    <w:rsid w:val="008623D5"/>
    <w:rsid w:val="0086273C"/>
    <w:rsid w:val="0086296D"/>
    <w:rsid w:val="00862C5C"/>
    <w:rsid w:val="008660EF"/>
    <w:rsid w:val="0087048B"/>
    <w:rsid w:val="0087154F"/>
    <w:rsid w:val="00881B03"/>
    <w:rsid w:val="0088440A"/>
    <w:rsid w:val="00885FAE"/>
    <w:rsid w:val="00890052"/>
    <w:rsid w:val="008919AB"/>
    <w:rsid w:val="00893860"/>
    <w:rsid w:val="00894933"/>
    <w:rsid w:val="00894E08"/>
    <w:rsid w:val="008950FE"/>
    <w:rsid w:val="008A3396"/>
    <w:rsid w:val="008B20F2"/>
    <w:rsid w:val="008B3A58"/>
    <w:rsid w:val="008B3D23"/>
    <w:rsid w:val="008B65AF"/>
    <w:rsid w:val="008B765D"/>
    <w:rsid w:val="008C2EB9"/>
    <w:rsid w:val="008C3053"/>
    <w:rsid w:val="008C7F99"/>
    <w:rsid w:val="008D7414"/>
    <w:rsid w:val="008E1717"/>
    <w:rsid w:val="008E486D"/>
    <w:rsid w:val="008E6B54"/>
    <w:rsid w:val="008F030E"/>
    <w:rsid w:val="008F0BD8"/>
    <w:rsid w:val="008F0EA6"/>
    <w:rsid w:val="008F1E13"/>
    <w:rsid w:val="008F23C6"/>
    <w:rsid w:val="008F2710"/>
    <w:rsid w:val="008F3F49"/>
    <w:rsid w:val="008F48EB"/>
    <w:rsid w:val="008F5334"/>
    <w:rsid w:val="008F6988"/>
    <w:rsid w:val="0090614D"/>
    <w:rsid w:val="00906581"/>
    <w:rsid w:val="00906823"/>
    <w:rsid w:val="009071E6"/>
    <w:rsid w:val="0091059B"/>
    <w:rsid w:val="0091114F"/>
    <w:rsid w:val="00911AA7"/>
    <w:rsid w:val="00912CFA"/>
    <w:rsid w:val="009130CA"/>
    <w:rsid w:val="00914982"/>
    <w:rsid w:val="009151AD"/>
    <w:rsid w:val="00916305"/>
    <w:rsid w:val="00922489"/>
    <w:rsid w:val="00924F0E"/>
    <w:rsid w:val="00925361"/>
    <w:rsid w:val="009261E1"/>
    <w:rsid w:val="00926CFA"/>
    <w:rsid w:val="009316EB"/>
    <w:rsid w:val="00932BBB"/>
    <w:rsid w:val="0093368A"/>
    <w:rsid w:val="009374D7"/>
    <w:rsid w:val="0094410C"/>
    <w:rsid w:val="009513FB"/>
    <w:rsid w:val="0095147B"/>
    <w:rsid w:val="009529F9"/>
    <w:rsid w:val="00954BA1"/>
    <w:rsid w:val="00955952"/>
    <w:rsid w:val="00955F52"/>
    <w:rsid w:val="00956129"/>
    <w:rsid w:val="00957A19"/>
    <w:rsid w:val="009604DE"/>
    <w:rsid w:val="009630A8"/>
    <w:rsid w:val="009636DA"/>
    <w:rsid w:val="00970918"/>
    <w:rsid w:val="00972B5E"/>
    <w:rsid w:val="0097341F"/>
    <w:rsid w:val="00973561"/>
    <w:rsid w:val="00974CE3"/>
    <w:rsid w:val="0097535A"/>
    <w:rsid w:val="00975C93"/>
    <w:rsid w:val="009772EC"/>
    <w:rsid w:val="00981489"/>
    <w:rsid w:val="009818E0"/>
    <w:rsid w:val="0098225F"/>
    <w:rsid w:val="00983C08"/>
    <w:rsid w:val="009954C6"/>
    <w:rsid w:val="009979FE"/>
    <w:rsid w:val="009A2958"/>
    <w:rsid w:val="009A5BF2"/>
    <w:rsid w:val="009A5FD9"/>
    <w:rsid w:val="009A61B1"/>
    <w:rsid w:val="009A6B6B"/>
    <w:rsid w:val="009A6DD5"/>
    <w:rsid w:val="009B0FF1"/>
    <w:rsid w:val="009B1B05"/>
    <w:rsid w:val="009B1DFA"/>
    <w:rsid w:val="009B419A"/>
    <w:rsid w:val="009B41C9"/>
    <w:rsid w:val="009B43D7"/>
    <w:rsid w:val="009B7300"/>
    <w:rsid w:val="009B73D1"/>
    <w:rsid w:val="009C11C4"/>
    <w:rsid w:val="009C2B03"/>
    <w:rsid w:val="009C3A74"/>
    <w:rsid w:val="009C5CD0"/>
    <w:rsid w:val="009C6443"/>
    <w:rsid w:val="009C7EB2"/>
    <w:rsid w:val="009D06ED"/>
    <w:rsid w:val="009D08E1"/>
    <w:rsid w:val="009D1329"/>
    <w:rsid w:val="009D25E5"/>
    <w:rsid w:val="009D27A6"/>
    <w:rsid w:val="009D282B"/>
    <w:rsid w:val="009D3992"/>
    <w:rsid w:val="009D599F"/>
    <w:rsid w:val="009D60BC"/>
    <w:rsid w:val="009D6307"/>
    <w:rsid w:val="009D7166"/>
    <w:rsid w:val="009E76F7"/>
    <w:rsid w:val="009F5EF2"/>
    <w:rsid w:val="009F6446"/>
    <w:rsid w:val="009F683E"/>
    <w:rsid w:val="009F691B"/>
    <w:rsid w:val="009F6B8E"/>
    <w:rsid w:val="00A0006C"/>
    <w:rsid w:val="00A01B5C"/>
    <w:rsid w:val="00A03436"/>
    <w:rsid w:val="00A03D59"/>
    <w:rsid w:val="00A0593B"/>
    <w:rsid w:val="00A05E27"/>
    <w:rsid w:val="00A068AF"/>
    <w:rsid w:val="00A06963"/>
    <w:rsid w:val="00A10599"/>
    <w:rsid w:val="00A10F44"/>
    <w:rsid w:val="00A11576"/>
    <w:rsid w:val="00A12F96"/>
    <w:rsid w:val="00A15766"/>
    <w:rsid w:val="00A15A42"/>
    <w:rsid w:val="00A176C6"/>
    <w:rsid w:val="00A211F8"/>
    <w:rsid w:val="00A21827"/>
    <w:rsid w:val="00A23239"/>
    <w:rsid w:val="00A25F6D"/>
    <w:rsid w:val="00A300AD"/>
    <w:rsid w:val="00A35A37"/>
    <w:rsid w:val="00A36059"/>
    <w:rsid w:val="00A36D7B"/>
    <w:rsid w:val="00A37329"/>
    <w:rsid w:val="00A37DD6"/>
    <w:rsid w:val="00A4135E"/>
    <w:rsid w:val="00A44CCD"/>
    <w:rsid w:val="00A47C3D"/>
    <w:rsid w:val="00A47FCA"/>
    <w:rsid w:val="00A53C8F"/>
    <w:rsid w:val="00A54EA0"/>
    <w:rsid w:val="00A6159A"/>
    <w:rsid w:val="00A642CC"/>
    <w:rsid w:val="00A76041"/>
    <w:rsid w:val="00A760B8"/>
    <w:rsid w:val="00A813ED"/>
    <w:rsid w:val="00A838AA"/>
    <w:rsid w:val="00A84C6A"/>
    <w:rsid w:val="00A85643"/>
    <w:rsid w:val="00A864C8"/>
    <w:rsid w:val="00A87290"/>
    <w:rsid w:val="00A947CC"/>
    <w:rsid w:val="00A94CE6"/>
    <w:rsid w:val="00A94EF4"/>
    <w:rsid w:val="00A960A1"/>
    <w:rsid w:val="00A96734"/>
    <w:rsid w:val="00A97D2D"/>
    <w:rsid w:val="00A97E53"/>
    <w:rsid w:val="00AA02FF"/>
    <w:rsid w:val="00AA08F4"/>
    <w:rsid w:val="00AA1A20"/>
    <w:rsid w:val="00AA3DCE"/>
    <w:rsid w:val="00AA734A"/>
    <w:rsid w:val="00AB0A2A"/>
    <w:rsid w:val="00AB12FE"/>
    <w:rsid w:val="00AB27DC"/>
    <w:rsid w:val="00AB389A"/>
    <w:rsid w:val="00AB5D56"/>
    <w:rsid w:val="00AC0357"/>
    <w:rsid w:val="00AC2700"/>
    <w:rsid w:val="00AC4054"/>
    <w:rsid w:val="00AC4EF3"/>
    <w:rsid w:val="00AC5492"/>
    <w:rsid w:val="00AC54CE"/>
    <w:rsid w:val="00AC6FD3"/>
    <w:rsid w:val="00AC70E9"/>
    <w:rsid w:val="00AD16D2"/>
    <w:rsid w:val="00AD4FD7"/>
    <w:rsid w:val="00AD64A4"/>
    <w:rsid w:val="00AD6829"/>
    <w:rsid w:val="00AE0FF9"/>
    <w:rsid w:val="00AE1E60"/>
    <w:rsid w:val="00AE1ED7"/>
    <w:rsid w:val="00AE2105"/>
    <w:rsid w:val="00AE3478"/>
    <w:rsid w:val="00AE4AF9"/>
    <w:rsid w:val="00AE6A55"/>
    <w:rsid w:val="00AE7723"/>
    <w:rsid w:val="00AF1EF5"/>
    <w:rsid w:val="00AF3DA9"/>
    <w:rsid w:val="00AF43E0"/>
    <w:rsid w:val="00AF5284"/>
    <w:rsid w:val="00AF56EA"/>
    <w:rsid w:val="00AF67A8"/>
    <w:rsid w:val="00B023DD"/>
    <w:rsid w:val="00B0304F"/>
    <w:rsid w:val="00B0308F"/>
    <w:rsid w:val="00B0472A"/>
    <w:rsid w:val="00B064FA"/>
    <w:rsid w:val="00B10540"/>
    <w:rsid w:val="00B1069E"/>
    <w:rsid w:val="00B15130"/>
    <w:rsid w:val="00B17AAB"/>
    <w:rsid w:val="00B23864"/>
    <w:rsid w:val="00B250C0"/>
    <w:rsid w:val="00B256D8"/>
    <w:rsid w:val="00B26ADA"/>
    <w:rsid w:val="00B319FC"/>
    <w:rsid w:val="00B3245C"/>
    <w:rsid w:val="00B335DC"/>
    <w:rsid w:val="00B349D3"/>
    <w:rsid w:val="00B3766B"/>
    <w:rsid w:val="00B41517"/>
    <w:rsid w:val="00B44099"/>
    <w:rsid w:val="00B442D7"/>
    <w:rsid w:val="00B44DEF"/>
    <w:rsid w:val="00B4605C"/>
    <w:rsid w:val="00B47C06"/>
    <w:rsid w:val="00B5205C"/>
    <w:rsid w:val="00B549EC"/>
    <w:rsid w:val="00B56369"/>
    <w:rsid w:val="00B70392"/>
    <w:rsid w:val="00B72D0F"/>
    <w:rsid w:val="00B73132"/>
    <w:rsid w:val="00B74D9D"/>
    <w:rsid w:val="00B754FC"/>
    <w:rsid w:val="00B76C04"/>
    <w:rsid w:val="00B804EE"/>
    <w:rsid w:val="00B81B85"/>
    <w:rsid w:val="00B83A11"/>
    <w:rsid w:val="00B83A6E"/>
    <w:rsid w:val="00B83E08"/>
    <w:rsid w:val="00B957DF"/>
    <w:rsid w:val="00BA03B6"/>
    <w:rsid w:val="00BA0CDD"/>
    <w:rsid w:val="00BA205B"/>
    <w:rsid w:val="00BA280F"/>
    <w:rsid w:val="00BA371A"/>
    <w:rsid w:val="00BA5011"/>
    <w:rsid w:val="00BA5DA6"/>
    <w:rsid w:val="00BA6202"/>
    <w:rsid w:val="00BA66A5"/>
    <w:rsid w:val="00BA70C6"/>
    <w:rsid w:val="00BB3834"/>
    <w:rsid w:val="00BB470E"/>
    <w:rsid w:val="00BB4D52"/>
    <w:rsid w:val="00BB561F"/>
    <w:rsid w:val="00BB6FA3"/>
    <w:rsid w:val="00BB7CA6"/>
    <w:rsid w:val="00BC1A7C"/>
    <w:rsid w:val="00BC1BF4"/>
    <w:rsid w:val="00BC1DD7"/>
    <w:rsid w:val="00BC46C1"/>
    <w:rsid w:val="00BC5267"/>
    <w:rsid w:val="00BC66B0"/>
    <w:rsid w:val="00BD40E8"/>
    <w:rsid w:val="00BD4692"/>
    <w:rsid w:val="00BD68EE"/>
    <w:rsid w:val="00BD6B6A"/>
    <w:rsid w:val="00BE0A58"/>
    <w:rsid w:val="00BE17C6"/>
    <w:rsid w:val="00BE1B30"/>
    <w:rsid w:val="00BE4DF2"/>
    <w:rsid w:val="00BE73F9"/>
    <w:rsid w:val="00BF1712"/>
    <w:rsid w:val="00BF2E6D"/>
    <w:rsid w:val="00BF3AF5"/>
    <w:rsid w:val="00BF54C9"/>
    <w:rsid w:val="00BF615F"/>
    <w:rsid w:val="00BF6D36"/>
    <w:rsid w:val="00BF6E90"/>
    <w:rsid w:val="00C005C6"/>
    <w:rsid w:val="00C0066A"/>
    <w:rsid w:val="00C012ED"/>
    <w:rsid w:val="00C01F6F"/>
    <w:rsid w:val="00C028AB"/>
    <w:rsid w:val="00C028C7"/>
    <w:rsid w:val="00C02ACD"/>
    <w:rsid w:val="00C0592D"/>
    <w:rsid w:val="00C0657B"/>
    <w:rsid w:val="00C07802"/>
    <w:rsid w:val="00C10973"/>
    <w:rsid w:val="00C13474"/>
    <w:rsid w:val="00C147BE"/>
    <w:rsid w:val="00C14A9D"/>
    <w:rsid w:val="00C14ADB"/>
    <w:rsid w:val="00C17338"/>
    <w:rsid w:val="00C20D73"/>
    <w:rsid w:val="00C21D5F"/>
    <w:rsid w:val="00C2541B"/>
    <w:rsid w:val="00C25731"/>
    <w:rsid w:val="00C27A8C"/>
    <w:rsid w:val="00C304EF"/>
    <w:rsid w:val="00C31F16"/>
    <w:rsid w:val="00C332D6"/>
    <w:rsid w:val="00C3552B"/>
    <w:rsid w:val="00C41026"/>
    <w:rsid w:val="00C4288D"/>
    <w:rsid w:val="00C428BA"/>
    <w:rsid w:val="00C435CC"/>
    <w:rsid w:val="00C438EA"/>
    <w:rsid w:val="00C439CB"/>
    <w:rsid w:val="00C44117"/>
    <w:rsid w:val="00C44245"/>
    <w:rsid w:val="00C4534F"/>
    <w:rsid w:val="00C45662"/>
    <w:rsid w:val="00C47369"/>
    <w:rsid w:val="00C524CC"/>
    <w:rsid w:val="00C55B18"/>
    <w:rsid w:val="00C55B48"/>
    <w:rsid w:val="00C578FA"/>
    <w:rsid w:val="00C60172"/>
    <w:rsid w:val="00C61B88"/>
    <w:rsid w:val="00C633DB"/>
    <w:rsid w:val="00C6417A"/>
    <w:rsid w:val="00C65493"/>
    <w:rsid w:val="00C67B8B"/>
    <w:rsid w:val="00C70D51"/>
    <w:rsid w:val="00C710D3"/>
    <w:rsid w:val="00C7160E"/>
    <w:rsid w:val="00C7231A"/>
    <w:rsid w:val="00C77674"/>
    <w:rsid w:val="00C80354"/>
    <w:rsid w:val="00C804F7"/>
    <w:rsid w:val="00C808CE"/>
    <w:rsid w:val="00C80BFE"/>
    <w:rsid w:val="00C816DE"/>
    <w:rsid w:val="00C825CC"/>
    <w:rsid w:val="00C82E8B"/>
    <w:rsid w:val="00C83092"/>
    <w:rsid w:val="00C834D6"/>
    <w:rsid w:val="00C83FF9"/>
    <w:rsid w:val="00C85768"/>
    <w:rsid w:val="00C87218"/>
    <w:rsid w:val="00C93594"/>
    <w:rsid w:val="00C9598E"/>
    <w:rsid w:val="00C9664A"/>
    <w:rsid w:val="00C9780A"/>
    <w:rsid w:val="00CA03E3"/>
    <w:rsid w:val="00CA1563"/>
    <w:rsid w:val="00CA18F7"/>
    <w:rsid w:val="00CA2695"/>
    <w:rsid w:val="00CA54FD"/>
    <w:rsid w:val="00CA5612"/>
    <w:rsid w:val="00CA59F9"/>
    <w:rsid w:val="00CA72BF"/>
    <w:rsid w:val="00CA7491"/>
    <w:rsid w:val="00CB00E4"/>
    <w:rsid w:val="00CB0EBA"/>
    <w:rsid w:val="00CB24E5"/>
    <w:rsid w:val="00CB2FA0"/>
    <w:rsid w:val="00CB386A"/>
    <w:rsid w:val="00CB4907"/>
    <w:rsid w:val="00CB5B54"/>
    <w:rsid w:val="00CB6B31"/>
    <w:rsid w:val="00CC0E9E"/>
    <w:rsid w:val="00CC3D54"/>
    <w:rsid w:val="00CC404F"/>
    <w:rsid w:val="00CC4ED0"/>
    <w:rsid w:val="00CC5749"/>
    <w:rsid w:val="00CC6F06"/>
    <w:rsid w:val="00CD60C4"/>
    <w:rsid w:val="00CE15E7"/>
    <w:rsid w:val="00CE2B3F"/>
    <w:rsid w:val="00CE41D6"/>
    <w:rsid w:val="00CE43AB"/>
    <w:rsid w:val="00CE4BF1"/>
    <w:rsid w:val="00CE6D83"/>
    <w:rsid w:val="00CE7194"/>
    <w:rsid w:val="00CE7679"/>
    <w:rsid w:val="00CE7698"/>
    <w:rsid w:val="00CF389C"/>
    <w:rsid w:val="00CF4CB1"/>
    <w:rsid w:val="00CF4E3A"/>
    <w:rsid w:val="00CF53F9"/>
    <w:rsid w:val="00CF5E8D"/>
    <w:rsid w:val="00D00029"/>
    <w:rsid w:val="00D010EC"/>
    <w:rsid w:val="00D026A9"/>
    <w:rsid w:val="00D040DE"/>
    <w:rsid w:val="00D07FED"/>
    <w:rsid w:val="00D14433"/>
    <w:rsid w:val="00D147A1"/>
    <w:rsid w:val="00D14BD9"/>
    <w:rsid w:val="00D150A6"/>
    <w:rsid w:val="00D1584D"/>
    <w:rsid w:val="00D20897"/>
    <w:rsid w:val="00D20AE3"/>
    <w:rsid w:val="00D210AB"/>
    <w:rsid w:val="00D219C8"/>
    <w:rsid w:val="00D249D3"/>
    <w:rsid w:val="00D25580"/>
    <w:rsid w:val="00D2669F"/>
    <w:rsid w:val="00D2760B"/>
    <w:rsid w:val="00D304A7"/>
    <w:rsid w:val="00D33D38"/>
    <w:rsid w:val="00D36658"/>
    <w:rsid w:val="00D36A18"/>
    <w:rsid w:val="00D36C9C"/>
    <w:rsid w:val="00D37FCE"/>
    <w:rsid w:val="00D40899"/>
    <w:rsid w:val="00D445AA"/>
    <w:rsid w:val="00D445F7"/>
    <w:rsid w:val="00D45C92"/>
    <w:rsid w:val="00D46864"/>
    <w:rsid w:val="00D50291"/>
    <w:rsid w:val="00D515B7"/>
    <w:rsid w:val="00D51B4A"/>
    <w:rsid w:val="00D522D9"/>
    <w:rsid w:val="00D52B03"/>
    <w:rsid w:val="00D53190"/>
    <w:rsid w:val="00D54834"/>
    <w:rsid w:val="00D56BFB"/>
    <w:rsid w:val="00D57DE6"/>
    <w:rsid w:val="00D6019B"/>
    <w:rsid w:val="00D625D9"/>
    <w:rsid w:val="00D63C80"/>
    <w:rsid w:val="00D648EC"/>
    <w:rsid w:val="00D66A76"/>
    <w:rsid w:val="00D67627"/>
    <w:rsid w:val="00D67D06"/>
    <w:rsid w:val="00D71548"/>
    <w:rsid w:val="00D752F5"/>
    <w:rsid w:val="00D7674A"/>
    <w:rsid w:val="00D76EF8"/>
    <w:rsid w:val="00D771D3"/>
    <w:rsid w:val="00D77392"/>
    <w:rsid w:val="00D800F1"/>
    <w:rsid w:val="00D81A4D"/>
    <w:rsid w:val="00D83308"/>
    <w:rsid w:val="00D8344C"/>
    <w:rsid w:val="00D841BD"/>
    <w:rsid w:val="00D86E83"/>
    <w:rsid w:val="00D873FA"/>
    <w:rsid w:val="00D9288B"/>
    <w:rsid w:val="00D9345B"/>
    <w:rsid w:val="00D93895"/>
    <w:rsid w:val="00D93D11"/>
    <w:rsid w:val="00D93E6A"/>
    <w:rsid w:val="00D9431F"/>
    <w:rsid w:val="00D947E7"/>
    <w:rsid w:val="00DA040E"/>
    <w:rsid w:val="00DA0764"/>
    <w:rsid w:val="00DA1BD0"/>
    <w:rsid w:val="00DA2223"/>
    <w:rsid w:val="00DA57BE"/>
    <w:rsid w:val="00DB0348"/>
    <w:rsid w:val="00DB08F3"/>
    <w:rsid w:val="00DB4933"/>
    <w:rsid w:val="00DB5FDD"/>
    <w:rsid w:val="00DB7D42"/>
    <w:rsid w:val="00DC1E79"/>
    <w:rsid w:val="00DC6019"/>
    <w:rsid w:val="00DC6F42"/>
    <w:rsid w:val="00DC78E3"/>
    <w:rsid w:val="00DD0529"/>
    <w:rsid w:val="00DD1C17"/>
    <w:rsid w:val="00DD3122"/>
    <w:rsid w:val="00DD4504"/>
    <w:rsid w:val="00DD4B64"/>
    <w:rsid w:val="00DD65F9"/>
    <w:rsid w:val="00DD76C2"/>
    <w:rsid w:val="00DD79D2"/>
    <w:rsid w:val="00DD7AB5"/>
    <w:rsid w:val="00DE272B"/>
    <w:rsid w:val="00DE2FA2"/>
    <w:rsid w:val="00DE3723"/>
    <w:rsid w:val="00DE4C58"/>
    <w:rsid w:val="00DE6586"/>
    <w:rsid w:val="00DE6A1F"/>
    <w:rsid w:val="00DF0323"/>
    <w:rsid w:val="00DF294A"/>
    <w:rsid w:val="00DF3473"/>
    <w:rsid w:val="00DF4D4F"/>
    <w:rsid w:val="00DF64E7"/>
    <w:rsid w:val="00DF6807"/>
    <w:rsid w:val="00E065BF"/>
    <w:rsid w:val="00E10133"/>
    <w:rsid w:val="00E13038"/>
    <w:rsid w:val="00E140C7"/>
    <w:rsid w:val="00E143BF"/>
    <w:rsid w:val="00E14A78"/>
    <w:rsid w:val="00E16426"/>
    <w:rsid w:val="00E16B50"/>
    <w:rsid w:val="00E16FEB"/>
    <w:rsid w:val="00E17CDD"/>
    <w:rsid w:val="00E203DE"/>
    <w:rsid w:val="00E213C0"/>
    <w:rsid w:val="00E21CD1"/>
    <w:rsid w:val="00E21EE9"/>
    <w:rsid w:val="00E2267A"/>
    <w:rsid w:val="00E249D6"/>
    <w:rsid w:val="00E27B04"/>
    <w:rsid w:val="00E303AA"/>
    <w:rsid w:val="00E30655"/>
    <w:rsid w:val="00E32694"/>
    <w:rsid w:val="00E3274E"/>
    <w:rsid w:val="00E33F69"/>
    <w:rsid w:val="00E348AE"/>
    <w:rsid w:val="00E35C07"/>
    <w:rsid w:val="00E36793"/>
    <w:rsid w:val="00E407E3"/>
    <w:rsid w:val="00E40B92"/>
    <w:rsid w:val="00E430F3"/>
    <w:rsid w:val="00E44316"/>
    <w:rsid w:val="00E44928"/>
    <w:rsid w:val="00E44F88"/>
    <w:rsid w:val="00E45843"/>
    <w:rsid w:val="00E47EEE"/>
    <w:rsid w:val="00E5277E"/>
    <w:rsid w:val="00E52F84"/>
    <w:rsid w:val="00E545EC"/>
    <w:rsid w:val="00E5470E"/>
    <w:rsid w:val="00E55D9B"/>
    <w:rsid w:val="00E562C3"/>
    <w:rsid w:val="00E60A84"/>
    <w:rsid w:val="00E60FD4"/>
    <w:rsid w:val="00E62371"/>
    <w:rsid w:val="00E63FCA"/>
    <w:rsid w:val="00E67842"/>
    <w:rsid w:val="00E749D8"/>
    <w:rsid w:val="00E75FA0"/>
    <w:rsid w:val="00E764C4"/>
    <w:rsid w:val="00E76D9E"/>
    <w:rsid w:val="00E816C4"/>
    <w:rsid w:val="00E8357E"/>
    <w:rsid w:val="00E8475B"/>
    <w:rsid w:val="00E86E4E"/>
    <w:rsid w:val="00E94922"/>
    <w:rsid w:val="00E95B16"/>
    <w:rsid w:val="00E96C6B"/>
    <w:rsid w:val="00EA048F"/>
    <w:rsid w:val="00EA0DC9"/>
    <w:rsid w:val="00EA1410"/>
    <w:rsid w:val="00EA288D"/>
    <w:rsid w:val="00EA38F6"/>
    <w:rsid w:val="00EA3CD6"/>
    <w:rsid w:val="00EA5230"/>
    <w:rsid w:val="00EA6153"/>
    <w:rsid w:val="00EA675E"/>
    <w:rsid w:val="00EA7D2A"/>
    <w:rsid w:val="00EB0258"/>
    <w:rsid w:val="00EB2D3C"/>
    <w:rsid w:val="00EB430D"/>
    <w:rsid w:val="00EB4C00"/>
    <w:rsid w:val="00EB6FA2"/>
    <w:rsid w:val="00EC1C18"/>
    <w:rsid w:val="00EC2097"/>
    <w:rsid w:val="00EC2336"/>
    <w:rsid w:val="00EC50A9"/>
    <w:rsid w:val="00EC5B3A"/>
    <w:rsid w:val="00EC7D53"/>
    <w:rsid w:val="00ED280E"/>
    <w:rsid w:val="00ED6210"/>
    <w:rsid w:val="00ED6C5D"/>
    <w:rsid w:val="00EE0E48"/>
    <w:rsid w:val="00EE18E5"/>
    <w:rsid w:val="00EE6452"/>
    <w:rsid w:val="00EF0432"/>
    <w:rsid w:val="00EF04CF"/>
    <w:rsid w:val="00EF17FD"/>
    <w:rsid w:val="00EF24A6"/>
    <w:rsid w:val="00EF2F37"/>
    <w:rsid w:val="00EF3EE2"/>
    <w:rsid w:val="00EF565C"/>
    <w:rsid w:val="00EF75DB"/>
    <w:rsid w:val="00F00906"/>
    <w:rsid w:val="00F0179F"/>
    <w:rsid w:val="00F02A9D"/>
    <w:rsid w:val="00F02ECB"/>
    <w:rsid w:val="00F111E0"/>
    <w:rsid w:val="00F136CD"/>
    <w:rsid w:val="00F146B2"/>
    <w:rsid w:val="00F146FD"/>
    <w:rsid w:val="00F268E5"/>
    <w:rsid w:val="00F303B7"/>
    <w:rsid w:val="00F3615E"/>
    <w:rsid w:val="00F3774E"/>
    <w:rsid w:val="00F42FDF"/>
    <w:rsid w:val="00F45AB2"/>
    <w:rsid w:val="00F45E59"/>
    <w:rsid w:val="00F46ECA"/>
    <w:rsid w:val="00F4726E"/>
    <w:rsid w:val="00F4775D"/>
    <w:rsid w:val="00F522F5"/>
    <w:rsid w:val="00F53C34"/>
    <w:rsid w:val="00F56E6B"/>
    <w:rsid w:val="00F576E9"/>
    <w:rsid w:val="00F647C8"/>
    <w:rsid w:val="00F65873"/>
    <w:rsid w:val="00F65A9E"/>
    <w:rsid w:val="00F67123"/>
    <w:rsid w:val="00F67932"/>
    <w:rsid w:val="00F70316"/>
    <w:rsid w:val="00F70488"/>
    <w:rsid w:val="00F72888"/>
    <w:rsid w:val="00F7709F"/>
    <w:rsid w:val="00F77486"/>
    <w:rsid w:val="00F775CC"/>
    <w:rsid w:val="00F8690A"/>
    <w:rsid w:val="00F86946"/>
    <w:rsid w:val="00F8737E"/>
    <w:rsid w:val="00F91C69"/>
    <w:rsid w:val="00F96C32"/>
    <w:rsid w:val="00FA378C"/>
    <w:rsid w:val="00FA40FA"/>
    <w:rsid w:val="00FA42FC"/>
    <w:rsid w:val="00FA7890"/>
    <w:rsid w:val="00FA78F8"/>
    <w:rsid w:val="00FA7B1A"/>
    <w:rsid w:val="00FB0145"/>
    <w:rsid w:val="00FB5659"/>
    <w:rsid w:val="00FB5B76"/>
    <w:rsid w:val="00FB5CA8"/>
    <w:rsid w:val="00FC145E"/>
    <w:rsid w:val="00FC1912"/>
    <w:rsid w:val="00FC28B1"/>
    <w:rsid w:val="00FC4D36"/>
    <w:rsid w:val="00FC5CBA"/>
    <w:rsid w:val="00FC7A59"/>
    <w:rsid w:val="00FD0D3D"/>
    <w:rsid w:val="00FD1D3E"/>
    <w:rsid w:val="00FD3C60"/>
    <w:rsid w:val="00FD4318"/>
    <w:rsid w:val="00FD4666"/>
    <w:rsid w:val="00FD470E"/>
    <w:rsid w:val="00FD4AC2"/>
    <w:rsid w:val="00FE076C"/>
    <w:rsid w:val="00FE6F52"/>
    <w:rsid w:val="00FF1246"/>
    <w:rsid w:val="00FF1B63"/>
    <w:rsid w:val="00FF2744"/>
    <w:rsid w:val="00FF286D"/>
    <w:rsid w:val="00FF7C2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C6"/>
    <w:rPr>
      <w:rFonts w:ascii="Times New Roman" w:hAnsi="Times New Roman"/>
      <w:sz w:val="24"/>
    </w:rPr>
  </w:style>
  <w:style w:type="paragraph" w:styleId="Heading1">
    <w:name w:val="heading 1"/>
    <w:basedOn w:val="Normal"/>
    <w:next w:val="Normal"/>
    <w:link w:val="Heading1Char"/>
    <w:autoRedefine/>
    <w:uiPriority w:val="9"/>
    <w:qFormat/>
    <w:rsid w:val="00023B7F"/>
    <w:pPr>
      <w:keepNext/>
      <w:keepLines/>
      <w:numPr>
        <w:numId w:val="32"/>
      </w:numPr>
      <w:spacing w:after="240" w:line="240" w:lineRule="auto"/>
      <w:ind w:left="720"/>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C808CE"/>
    <w:pPr>
      <w:keepNext/>
      <w:keepLines/>
      <w:numPr>
        <w:numId w:val="23"/>
      </w:numPr>
      <w:spacing w:after="240" w:line="240" w:lineRule="auto"/>
      <w:ind w:left="1440" w:hanging="720"/>
      <w:outlineLvl w:val="1"/>
    </w:pPr>
    <w:rPr>
      <w:rFonts w:eastAsiaTheme="majorEastAsia" w:cs="Times New Roman"/>
      <w:b/>
      <w:bCs/>
      <w:iCs/>
      <w:szCs w:val="24"/>
    </w:rPr>
  </w:style>
  <w:style w:type="paragraph" w:styleId="Heading3">
    <w:name w:val="heading 3"/>
    <w:basedOn w:val="Normal"/>
    <w:next w:val="Normal"/>
    <w:link w:val="Heading3Char"/>
    <w:autoRedefine/>
    <w:uiPriority w:val="9"/>
    <w:unhideWhenUsed/>
    <w:qFormat/>
    <w:rsid w:val="00C27A8C"/>
    <w:pPr>
      <w:keepNext/>
      <w:numPr>
        <w:numId w:val="25"/>
      </w:numPr>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7A8C"/>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023B7F"/>
    <w:rPr>
      <w:rFonts w:ascii="Times New Roman" w:hAnsi="Times New Roman" w:eastAsiaTheme="majorEastAsia" w:cs="Times New Roman"/>
      <w:b/>
      <w:bCs/>
      <w:sz w:val="24"/>
      <w:szCs w:val="24"/>
    </w:rPr>
  </w:style>
  <w:style w:type="character" w:customStyle="1" w:styleId="Heading2Char">
    <w:name w:val="Heading 2 Char"/>
    <w:basedOn w:val="DefaultParagraphFont"/>
    <w:link w:val="Heading2"/>
    <w:uiPriority w:val="9"/>
    <w:rsid w:val="00C808CE"/>
    <w:rPr>
      <w:rFonts w:ascii="Times New Roman" w:hAnsi="Times New Roman" w:eastAsiaTheme="majorEastAsia" w:cs="Times New Roman"/>
      <w:b/>
      <w:bCs/>
      <w:i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uiPriority w:val="99"/>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C808CE"/>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C808CE"/>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rsid w:val="00C808CE"/>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 w:type="paragraph" w:styleId="NormalWeb">
    <w:name w:val="Normal (Web)"/>
    <w:basedOn w:val="Normal"/>
    <w:uiPriority w:val="99"/>
    <w:semiHidden/>
    <w:unhideWhenUsed/>
    <w:rsid w:val="00796DFB"/>
    <w:rPr>
      <w:rFonts w:cs="Times New Roman"/>
      <w:szCs w:val="24"/>
    </w:rPr>
  </w:style>
  <w:style w:type="character" w:customStyle="1" w:styleId="StyleCourier12pt">
    <w:name w:val="Style Courier 12 pt"/>
    <w:rsid w:val="002B4A98"/>
    <w:rPr>
      <w:rFonts w:ascii="Courier" w:hAnsi="Courier"/>
      <w:sz w:val="24"/>
    </w:rPr>
  </w:style>
  <w:style w:type="character" w:customStyle="1" w:styleId="UnresolvedMention2">
    <w:name w:val="Unresolved Mention2"/>
    <w:basedOn w:val="DefaultParagraphFont"/>
    <w:uiPriority w:val="99"/>
    <w:rsid w:val="002938B2"/>
    <w:rPr>
      <w:color w:val="605E5C"/>
      <w:shd w:val="clear" w:color="auto" w:fill="E1DFDD"/>
    </w:rPr>
  </w:style>
  <w:style w:type="paragraph" w:styleId="Title">
    <w:name w:val="Title"/>
    <w:basedOn w:val="Normal"/>
    <w:link w:val="TitleChar"/>
    <w:qFormat/>
    <w:rsid w:val="00496468"/>
    <w:pPr>
      <w:spacing w:after="0" w:line="240" w:lineRule="auto"/>
      <w:jc w:val="center"/>
    </w:pPr>
    <w:rPr>
      <w:rFonts w:eastAsia="Times New Roman" w:cs="Times New Roman"/>
      <w:b/>
      <w:sz w:val="22"/>
      <w:szCs w:val="20"/>
    </w:rPr>
  </w:style>
  <w:style w:type="character" w:customStyle="1" w:styleId="TitleChar">
    <w:name w:val="Title Char"/>
    <w:basedOn w:val="DefaultParagraphFont"/>
    <w:link w:val="Title"/>
    <w:rsid w:val="00496468"/>
    <w:rPr>
      <w:rFonts w:ascii="Times New Roman" w:eastAsia="Times New Roman" w:hAnsi="Times New Roman" w:cs="Times New Roman"/>
      <w:b/>
      <w:szCs w:val="20"/>
    </w:rPr>
  </w:style>
  <w:style w:type="paragraph" w:customStyle="1" w:styleId="pf0">
    <w:name w:val="pf0"/>
    <w:basedOn w:val="Normal"/>
    <w:rsid w:val="00DA040E"/>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A040E"/>
    <w:rPr>
      <w:rFonts w:ascii="Segoe UI" w:hAnsi="Segoe UI" w:cs="Segoe UI" w:hint="default"/>
      <w:sz w:val="18"/>
      <w:szCs w:val="18"/>
    </w:rPr>
  </w:style>
  <w:style w:type="character" w:customStyle="1" w:styleId="UnresolvedMention3">
    <w:name w:val="Unresolved Mention3"/>
    <w:basedOn w:val="DefaultParagraphFont"/>
    <w:uiPriority w:val="99"/>
    <w:rsid w:val="00374C28"/>
    <w:rPr>
      <w:color w:val="605E5C"/>
      <w:shd w:val="clear" w:color="auto" w:fill="E1DFDD"/>
    </w:rPr>
  </w:style>
  <w:style w:type="character" w:customStyle="1" w:styleId="UnresolvedMention4">
    <w:name w:val="Unresolved Mention4"/>
    <w:basedOn w:val="DefaultParagraphFont"/>
    <w:uiPriority w:val="99"/>
    <w:rsid w:val="00C0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yperlink" Target="mailto:werner.margard@OhioAGO.gov" TargetMode="External" /><Relationship Id="rId14" Type="http://schemas.openxmlformats.org/officeDocument/2006/relationships/hyperlink" Target="mailto:mjsettineri@vorys.com" TargetMode="External" /><Relationship Id="rId15" Type="http://schemas.openxmlformats.org/officeDocument/2006/relationships/hyperlink" Target="mailto:glpetrucci@vorys.com" TargetMode="External" /><Relationship Id="rId16" Type="http://schemas.openxmlformats.org/officeDocument/2006/relationships/hyperlink" Target="mailto:michael.nugent@igs.com" TargetMode="External" /><Relationship Id="rId17" Type="http://schemas.openxmlformats.org/officeDocument/2006/relationships/hyperlink" Target="mailto:evan.betterton@igs.com" TargetMode="External" /><Relationship Id="rId18" Type="http://schemas.openxmlformats.org/officeDocument/2006/relationships/hyperlink" Target="mailto:joe.oliker@igs.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jweber@elpc.org" TargetMode="External" /><Relationship Id="rId21" Type="http://schemas.openxmlformats.org/officeDocument/2006/relationships/hyperlink" Target="mailto:dproano@bakerlaw.com" TargetMode="External" /><Relationship Id="rId22" Type="http://schemas.openxmlformats.org/officeDocument/2006/relationships/hyperlink" Target="mailto:ahaque@bakerlaw.com" TargetMode="External" /><Relationship Id="rId23" Type="http://schemas.openxmlformats.org/officeDocument/2006/relationships/hyperlink" Target="mailto:eprouty@bakerlaw.com" TargetMode="External" /><Relationship Id="rId24" Type="http://schemas.openxmlformats.org/officeDocument/2006/relationships/hyperlink" Target="mailto:jacqueline.st.john@puco.ohio.gov" TargetMode="External" /><Relationship Id="rId25" Type="http://schemas.openxmlformats.org/officeDocument/2006/relationships/hyperlink" Target="mailto:gregory.price@puco.ohio.gov" TargetMode="External" /><Relationship Id="rId26" Type="http://schemas.openxmlformats.org/officeDocument/2006/relationships/hyperlink" Target="mailto:mkurtz@bkllawfirm.com" TargetMode="External" /><Relationship Id="rId27" Type="http://schemas.openxmlformats.org/officeDocument/2006/relationships/hyperlink" Target="mailto:kboehm@bkllawfirm.com" TargetMode="External" /><Relationship Id="rId28" Type="http://schemas.openxmlformats.org/officeDocument/2006/relationships/hyperlink" Target="mailto:jkylercohn@bkllawfirm.com" TargetMode="External" /><Relationship Id="rId29" Type="http://schemas.openxmlformats.org/officeDocument/2006/relationships/hyperlink" Target="mailto:josephclark@nisource.com" TargetMode="External" /><Relationship Id="rId3" Type="http://schemas.openxmlformats.org/officeDocument/2006/relationships/webSettings" Target="webSettings.xml" /><Relationship Id="rId30" Type="http://schemas.openxmlformats.org/officeDocument/2006/relationships/hyperlink" Target="mailto:mlthompson@nisource.com" TargetMode="External" /><Relationship Id="rId31" Type="http://schemas.openxmlformats.org/officeDocument/2006/relationships/hyperlink" Target="mailto:johnryan@nisource.com" TargetMode="External" /><Relationship Id="rId32" Type="http://schemas.openxmlformats.org/officeDocument/2006/relationships/hyperlink" Target="mailto:egallon@porterwright.com" TargetMode="External" /><Relationship Id="rId33" Type="http://schemas.openxmlformats.org/officeDocument/2006/relationships/hyperlink" Target="mailto:mstemm@porterwright.com" TargetMode="External" /><Relationship Id="rId34" Type="http://schemas.openxmlformats.org/officeDocument/2006/relationships/hyperlink" Target="mailto:bhughes@porterwright.com" TargetMode="External" /><Relationship Id="rId35" Type="http://schemas.openxmlformats.org/officeDocument/2006/relationships/hyperlink" Target="mailto:dflahive@porterwright.com" TargetMode="External" /><Relationship Id="rId36" Type="http://schemas.openxmlformats.org/officeDocument/2006/relationships/hyperlink" Target="mailto:dparram@bricker.com" TargetMode="External" /><Relationship Id="rId37" Type="http://schemas.openxmlformats.org/officeDocument/2006/relationships/hyperlink" Target="mailto:gkrassen@nopec.org" TargetMode="External" /><Relationship Id="rId38" Type="http://schemas.openxmlformats.org/officeDocument/2006/relationships/hyperlink" Target="mailto:dstinson@bricker.com" TargetMode="External" /><Relationship Id="rId39" Type="http://schemas.openxmlformats.org/officeDocument/2006/relationships/hyperlink" Target="mailto:bojko@carpenterlipps.com" TargetMode="External" /><Relationship Id="rId4" Type="http://schemas.openxmlformats.org/officeDocument/2006/relationships/fontTable" Target="fontTable.xml" /><Relationship Id="rId40" Type="http://schemas.openxmlformats.org/officeDocument/2006/relationships/hyperlink" Target="mailto:paul@carpenterlipps.com" TargetMode="External" /><Relationship Id="rId41" Type="http://schemas.openxmlformats.org/officeDocument/2006/relationships/hyperlink" Target="mailto:wygonski@carpenterlipps.com" TargetMode="External" /><Relationship Id="rId42" Type="http://schemas.openxmlformats.org/officeDocument/2006/relationships/hyperlink" Target="mailto:trent@hubaydougherty.com" TargetMode="External" /><Relationship Id="rId43" Type="http://schemas.openxmlformats.org/officeDocument/2006/relationships/footer" Target="footer6.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5F60-4AE1-4665-B0F5-599F4E5E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2023-03-09T21:44:23Z</dcterms:created>
  <dcterms:modified xsi:type="dcterms:W3CDTF">2023-03-09T21:44:23Z</dcterms:modified>
</cp:coreProperties>
</file>