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7A0A0A">
      <w:pPr>
        <w:pStyle w:val="BodyText"/>
        <w:spacing w:before="69"/>
      </w:pPr>
      <w:r>
        <w:rPr>
          <w:spacing w:val="-3"/>
        </w:rPr>
        <w:t>August 29</w:t>
      </w:r>
      <w:r w:rsidR="00693F47">
        <w:rPr>
          <w:spacing w:val="-3"/>
        </w:rPr>
        <w:t>, 2017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12-2637-GA-EXM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3859"/>
        <w:gridCol w:w="1142"/>
        <w:gridCol w:w="4360"/>
      </w:tblGrid>
      <w:tr w:rsidR="00BC6FB4" w:rsidTr="00FA6433">
        <w:trPr>
          <w:trHeight w:hRule="exact" w:val="594"/>
        </w:trPr>
        <w:tc>
          <w:tcPr>
            <w:tcW w:w="1146" w:type="dxa"/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859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 w:rsidTr="00FA6433">
        <w:trPr>
          <w:trHeight w:hRule="exact" w:val="552"/>
        </w:trPr>
        <w:tc>
          <w:tcPr>
            <w:tcW w:w="1146" w:type="dxa"/>
          </w:tcPr>
          <w:p w:rsidR="00BC6FB4" w:rsidRDefault="00BC6FB4"/>
        </w:tc>
        <w:tc>
          <w:tcPr>
            <w:tcW w:w="3859" w:type="dxa"/>
          </w:tcPr>
          <w:p w:rsidR="00BC6FB4" w:rsidRDefault="005420D7" w:rsidP="00A63F35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Two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Hundred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 w:rsidR="00921DEB">
              <w:rPr>
                <w:rFonts w:ascii="Times New Roman"/>
                <w:spacing w:val="-4"/>
                <w:sz w:val="24"/>
              </w:rPr>
              <w:t>Sixt</w:t>
            </w:r>
            <w:r w:rsidR="00A63F35">
              <w:rPr>
                <w:rFonts w:ascii="Times New Roman"/>
                <w:spacing w:val="-4"/>
                <w:sz w:val="24"/>
              </w:rPr>
              <w:t>y-First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Revised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Sheet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No.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1A</w:t>
            </w:r>
            <w:bookmarkStart w:id="0" w:name="_GoBack"/>
            <w:bookmarkEnd w:id="0"/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 w:rsidP="00FC4F25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A67198" w:rsidTr="00FA6433">
        <w:trPr>
          <w:trHeight w:hRule="exact" w:val="270"/>
        </w:trPr>
        <w:tc>
          <w:tcPr>
            <w:tcW w:w="1146" w:type="dxa"/>
          </w:tcPr>
          <w:p w:rsidR="00A67198" w:rsidRDefault="00A67198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A67198" w:rsidRDefault="00A67198" w:rsidP="00A63F35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Ninety-</w:t>
            </w:r>
            <w:r w:rsidR="00A63F35">
              <w:rPr>
                <w:rFonts w:ascii="Times New Roman"/>
                <w:spacing w:val="-5"/>
                <w:sz w:val="24"/>
              </w:rPr>
              <w:t>Eighth</w:t>
            </w:r>
            <w:r>
              <w:rPr>
                <w:rFonts w:ascii="Times New Roman"/>
                <w:spacing w:val="-5"/>
                <w:sz w:val="24"/>
              </w:rPr>
              <w:t xml:space="preserve"> Revised Sheet No. 22</w:t>
            </w:r>
          </w:p>
        </w:tc>
        <w:tc>
          <w:tcPr>
            <w:tcW w:w="1142" w:type="dxa"/>
          </w:tcPr>
          <w:p w:rsidR="00A67198" w:rsidRDefault="00A67198" w:rsidP="00A67198"/>
        </w:tc>
        <w:tc>
          <w:tcPr>
            <w:tcW w:w="4360" w:type="dxa"/>
          </w:tcPr>
          <w:p w:rsidR="00A67198" w:rsidRPr="00FC4F25" w:rsidRDefault="00A67198" w:rsidP="00A6719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Standard Choice Offer Rider (SCO)</w:t>
            </w: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57E9" w:rsidRDefault="00D357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0B24DE"/>
    <w:rsid w:val="000B7746"/>
    <w:rsid w:val="00175734"/>
    <w:rsid w:val="00285B1A"/>
    <w:rsid w:val="002A36C3"/>
    <w:rsid w:val="003836BA"/>
    <w:rsid w:val="00506380"/>
    <w:rsid w:val="005420D7"/>
    <w:rsid w:val="00693F47"/>
    <w:rsid w:val="00695CB7"/>
    <w:rsid w:val="006C48E2"/>
    <w:rsid w:val="007830B1"/>
    <w:rsid w:val="007A0A0A"/>
    <w:rsid w:val="00832D14"/>
    <w:rsid w:val="008B4166"/>
    <w:rsid w:val="00921DEB"/>
    <w:rsid w:val="00960415"/>
    <w:rsid w:val="009E0A53"/>
    <w:rsid w:val="00A3625C"/>
    <w:rsid w:val="00A565ED"/>
    <w:rsid w:val="00A63F35"/>
    <w:rsid w:val="00A67198"/>
    <w:rsid w:val="00BA709F"/>
    <w:rsid w:val="00BC6FB4"/>
    <w:rsid w:val="00D357E9"/>
    <w:rsid w:val="00E2567E"/>
    <w:rsid w:val="00E50A32"/>
    <w:rsid w:val="00EC58BA"/>
    <w:rsid w:val="00EF6E8C"/>
    <w:rsid w:val="00F444BE"/>
    <w:rsid w:val="00F46793"/>
    <w:rsid w:val="00FA6433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Bell \ Melissa \ J</cp:lastModifiedBy>
  <cp:revision>4</cp:revision>
  <dcterms:created xsi:type="dcterms:W3CDTF">2017-08-24T13:53:00Z</dcterms:created>
  <dcterms:modified xsi:type="dcterms:W3CDTF">2017-08-25T13:03:00Z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