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68C9" w14:textId="01BE1A3D" w:rsidR="00AF5C83" w:rsidRDefault="00D92EC9">
      <w:pPr>
        <w:pStyle w:val="BodyText"/>
        <w:spacing w:before="79"/>
        <w:ind w:left="100"/>
      </w:pPr>
      <w:r>
        <w:rPr>
          <w:spacing w:val="-4"/>
        </w:rPr>
        <w:t>VECTREN</w:t>
      </w:r>
      <w:r>
        <w:rPr>
          <w:spacing w:val="-2"/>
        </w:rPr>
        <w:t xml:space="preserve"> </w:t>
      </w:r>
      <w:r>
        <w:rPr>
          <w:spacing w:val="-4"/>
        </w:rPr>
        <w:t>ENERGY</w:t>
      </w:r>
      <w:r>
        <w:rPr>
          <w:spacing w:val="-2"/>
        </w:rPr>
        <w:t xml:space="preserve"> </w:t>
      </w:r>
      <w:r>
        <w:rPr>
          <w:spacing w:val="-4"/>
        </w:rPr>
        <w:t>DELIVERY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4"/>
        </w:rPr>
        <w:t>OHIO,</w:t>
      </w:r>
      <w:r>
        <w:rPr>
          <w:spacing w:val="1"/>
        </w:rPr>
        <w:t xml:space="preserve"> </w:t>
      </w:r>
      <w:r>
        <w:rPr>
          <w:spacing w:val="-4"/>
        </w:rPr>
        <w:t>LLC</w:t>
      </w:r>
    </w:p>
    <w:p w14:paraId="2739ADAE" w14:textId="77777777" w:rsidR="00AF5C83" w:rsidRDefault="00D92EC9">
      <w:pPr>
        <w:pStyle w:val="BodyText"/>
        <w:spacing w:before="1" w:line="229" w:lineRule="exact"/>
        <w:ind w:left="100"/>
      </w:pPr>
      <w:r>
        <w:t>Tariff</w:t>
      </w:r>
      <w:r>
        <w:rPr>
          <w:spacing w:val="-8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Gas</w:t>
      </w:r>
      <w:r>
        <w:rPr>
          <w:spacing w:val="-13"/>
        </w:rPr>
        <w:t xml:space="preserve"> </w:t>
      </w:r>
      <w:r>
        <w:rPr>
          <w:spacing w:val="-2"/>
        </w:rPr>
        <w:t>Service</w:t>
      </w:r>
    </w:p>
    <w:p w14:paraId="6AC8AAB3" w14:textId="77777777" w:rsidR="00AF5C83" w:rsidRDefault="00D92EC9">
      <w:pPr>
        <w:pStyle w:val="BodyText"/>
        <w:spacing w:line="229" w:lineRule="exact"/>
        <w:ind w:left="100"/>
      </w:pPr>
      <w:r>
        <w:rPr>
          <w:spacing w:val="-4"/>
        </w:rPr>
        <w:t>P.U.C.O. No.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2F49819A" w14:textId="77777777" w:rsidR="00AF5C83" w:rsidRDefault="00D92EC9">
      <w:pPr>
        <w:pStyle w:val="BodyText"/>
        <w:spacing w:before="79"/>
        <w:ind w:left="100"/>
      </w:pPr>
      <w:r>
        <w:br w:type="column"/>
      </w:r>
      <w:r>
        <w:rPr>
          <w:spacing w:val="-2"/>
        </w:rPr>
        <w:t>Sheet</w:t>
      </w:r>
      <w:r>
        <w:rPr>
          <w:spacing w:val="-12"/>
        </w:rPr>
        <w:t xml:space="preserve"> </w:t>
      </w:r>
      <w:r>
        <w:rPr>
          <w:spacing w:val="-2"/>
        </w:rPr>
        <w:t>No.</w:t>
      </w:r>
      <w:r>
        <w:rPr>
          <w:spacing w:val="-12"/>
        </w:rPr>
        <w:t xml:space="preserve"> </w:t>
      </w:r>
      <w:r>
        <w:rPr>
          <w:spacing w:val="-5"/>
        </w:rPr>
        <w:t>32</w:t>
      </w:r>
    </w:p>
    <w:p w14:paraId="31FDAC11" w14:textId="4EAEF5AA" w:rsidR="00AF5C83" w:rsidRDefault="00D92EC9">
      <w:pPr>
        <w:pStyle w:val="BodyText"/>
        <w:spacing w:before="1" w:line="229" w:lineRule="exact"/>
        <w:ind w:left="100"/>
      </w:pPr>
      <w:r>
        <w:rPr>
          <w:spacing w:val="-2"/>
        </w:rPr>
        <w:t>Fourth</w:t>
      </w:r>
      <w:r>
        <w:rPr>
          <w:spacing w:val="-11"/>
        </w:rPr>
        <w:t xml:space="preserve"> </w:t>
      </w:r>
      <w:r>
        <w:rPr>
          <w:spacing w:val="-2"/>
        </w:rPr>
        <w:t>Revised</w:t>
      </w:r>
      <w:r>
        <w:rPr>
          <w:spacing w:val="-10"/>
        </w:rPr>
        <w:t xml:space="preserve"> </w:t>
      </w:r>
      <w:r>
        <w:rPr>
          <w:spacing w:val="-2"/>
        </w:rPr>
        <w:t>Page</w:t>
      </w:r>
      <w:r>
        <w:rPr>
          <w:spacing w:val="-11"/>
        </w:rPr>
        <w:t xml:space="preserve"> </w:t>
      </w:r>
      <w:r>
        <w:rPr>
          <w:spacing w:val="-2"/>
        </w:rPr>
        <w:t>1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10"/>
        </w:rPr>
        <w:t>1</w:t>
      </w:r>
    </w:p>
    <w:p w14:paraId="6BBEC7B6" w14:textId="29134BE8" w:rsidR="00AF5C83" w:rsidRDefault="00D92EC9">
      <w:pPr>
        <w:pStyle w:val="BodyText"/>
        <w:spacing w:line="229" w:lineRule="exact"/>
        <w:ind w:left="100"/>
      </w:pPr>
      <w:r>
        <w:rPr>
          <w:spacing w:val="-4"/>
        </w:rPr>
        <w:t>Cancels</w:t>
      </w:r>
      <w:r>
        <w:rPr>
          <w:spacing w:val="-2"/>
        </w:rPr>
        <w:t xml:space="preserve"> </w:t>
      </w:r>
      <w:r>
        <w:rPr>
          <w:spacing w:val="-4"/>
        </w:rPr>
        <w:t>Third Revised</w:t>
      </w:r>
      <w:r>
        <w:rPr>
          <w:spacing w:val="-3"/>
        </w:rPr>
        <w:t xml:space="preserve"> </w:t>
      </w:r>
      <w:r>
        <w:rPr>
          <w:spacing w:val="-4"/>
        </w:rPr>
        <w:t>Page 1 of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11009286" w14:textId="77777777" w:rsidR="00AF5C83" w:rsidRDefault="00AF5C83">
      <w:pPr>
        <w:spacing w:line="229" w:lineRule="exact"/>
        <w:sectPr w:rsidR="00AF5C83">
          <w:type w:val="continuous"/>
          <w:pgSz w:w="12240" w:h="15840"/>
          <w:pgMar w:top="640" w:right="580" w:bottom="280" w:left="1340" w:header="720" w:footer="720" w:gutter="0"/>
          <w:cols w:num="2" w:space="720" w:equalWidth="0">
            <w:col w:w="4361" w:space="1400"/>
            <w:col w:w="4559"/>
          </w:cols>
        </w:sectPr>
      </w:pPr>
    </w:p>
    <w:p w14:paraId="5E01C677" w14:textId="77777777" w:rsidR="00AF5C83" w:rsidRDefault="00AF5C83">
      <w:pPr>
        <w:pStyle w:val="BodyText"/>
        <w:spacing w:before="4"/>
        <w:rPr>
          <w:sz w:val="12"/>
        </w:rPr>
      </w:pPr>
    </w:p>
    <w:p w14:paraId="0527AE62" w14:textId="77777777" w:rsidR="00AF5C83" w:rsidRDefault="00D92EC9">
      <w:pPr>
        <w:pStyle w:val="Title"/>
        <w:rPr>
          <w:u w:val="none"/>
        </w:rPr>
      </w:pPr>
      <w:r>
        <w:t>CAPITAL</w:t>
      </w:r>
      <w:r>
        <w:rPr>
          <w:spacing w:val="-17"/>
        </w:rPr>
        <w:t xml:space="preserve"> </w:t>
      </w:r>
      <w:r>
        <w:t>EXPENDITURE</w:t>
      </w:r>
      <w:r>
        <w:rPr>
          <w:spacing w:val="-14"/>
        </w:rPr>
        <w:t xml:space="preserve"> </w:t>
      </w:r>
      <w:r>
        <w:t>PROGRAM</w:t>
      </w:r>
      <w:r>
        <w:rPr>
          <w:spacing w:val="-17"/>
        </w:rPr>
        <w:t xml:space="preserve"> </w:t>
      </w:r>
      <w:r>
        <w:rPr>
          <w:spacing w:val="-2"/>
        </w:rPr>
        <w:t>RIDER</w:t>
      </w:r>
    </w:p>
    <w:p w14:paraId="5E598F56" w14:textId="77777777" w:rsidR="00AF5C83" w:rsidRDefault="00AF5C83">
      <w:pPr>
        <w:pStyle w:val="BodyText"/>
        <w:rPr>
          <w:b/>
          <w:sz w:val="24"/>
        </w:rPr>
      </w:pPr>
    </w:p>
    <w:p w14:paraId="2CDCB6C0" w14:textId="77777777" w:rsidR="00AF5C83" w:rsidRDefault="00D92EC9">
      <w:pPr>
        <w:pStyle w:val="Heading1"/>
        <w:spacing w:before="93"/>
        <w:rPr>
          <w:u w:val="none"/>
        </w:rPr>
      </w:pPr>
      <w:r>
        <w:rPr>
          <w:spacing w:val="-2"/>
          <w:u w:val="thick"/>
        </w:rPr>
        <w:t>APPLICABILITY</w:t>
      </w:r>
    </w:p>
    <w:p w14:paraId="2A5BBBCB" w14:textId="77777777" w:rsidR="00AF5C83" w:rsidRDefault="00D92EC9">
      <w:pPr>
        <w:pStyle w:val="BodyText"/>
        <w:ind w:left="820" w:right="579"/>
        <w:jc w:val="both"/>
      </w:pPr>
      <w:r>
        <w:t>The</w:t>
      </w:r>
      <w:r>
        <w:rPr>
          <w:spacing w:val="-7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Expenditure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(“CEP”)</w:t>
      </w:r>
      <w:r>
        <w:rPr>
          <w:spacing w:val="-6"/>
        </w:rPr>
        <w:t xml:space="preserve"> </w:t>
      </w:r>
      <w:r>
        <w:t>Rider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served</w:t>
      </w:r>
      <w:r>
        <w:rPr>
          <w:spacing w:val="-7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Rate Schedules identified below.</w:t>
      </w:r>
    </w:p>
    <w:p w14:paraId="1C401EA2" w14:textId="77777777" w:rsidR="00AF5C83" w:rsidRDefault="00AF5C83">
      <w:pPr>
        <w:pStyle w:val="BodyText"/>
      </w:pPr>
    </w:p>
    <w:p w14:paraId="62E3F60E" w14:textId="77777777" w:rsidR="00AF5C83" w:rsidRDefault="00D92EC9">
      <w:pPr>
        <w:pStyle w:val="ListParagraph"/>
        <w:numPr>
          <w:ilvl w:val="0"/>
          <w:numId w:val="1"/>
        </w:numPr>
        <w:tabs>
          <w:tab w:val="left" w:pos="1395"/>
        </w:tabs>
        <w:spacing w:line="245" w:lineRule="exact"/>
        <w:ind w:left="1395" w:hanging="287"/>
        <w:rPr>
          <w:sz w:val="20"/>
        </w:rPr>
      </w:pPr>
      <w:r>
        <w:rPr>
          <w:sz w:val="20"/>
        </w:rPr>
        <w:t>Rate</w:t>
      </w:r>
      <w:r>
        <w:rPr>
          <w:spacing w:val="-7"/>
          <w:sz w:val="20"/>
        </w:rPr>
        <w:t xml:space="preserve"> </w:t>
      </w:r>
      <w:r>
        <w:rPr>
          <w:sz w:val="20"/>
        </w:rPr>
        <w:t>310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Residential</w:t>
      </w:r>
      <w:r>
        <w:rPr>
          <w:spacing w:val="-8"/>
          <w:sz w:val="20"/>
        </w:rPr>
        <w:t xml:space="preserve"> </w:t>
      </w:r>
      <w:r>
        <w:rPr>
          <w:sz w:val="20"/>
        </w:rPr>
        <w:t>Default</w:t>
      </w:r>
      <w:r>
        <w:rPr>
          <w:spacing w:val="-5"/>
          <w:sz w:val="20"/>
        </w:rPr>
        <w:t xml:space="preserve"> </w:t>
      </w:r>
      <w:r>
        <w:rPr>
          <w:sz w:val="20"/>
        </w:rPr>
        <w:t>Sales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Service</w:t>
      </w:r>
    </w:p>
    <w:p w14:paraId="5E6362AE" w14:textId="77777777" w:rsidR="00AF5C83" w:rsidRDefault="00D92EC9">
      <w:pPr>
        <w:pStyle w:val="ListParagraph"/>
        <w:numPr>
          <w:ilvl w:val="0"/>
          <w:numId w:val="1"/>
        </w:numPr>
        <w:tabs>
          <w:tab w:val="left" w:pos="1395"/>
        </w:tabs>
        <w:ind w:left="1395" w:hanging="287"/>
        <w:rPr>
          <w:sz w:val="20"/>
        </w:rPr>
      </w:pPr>
      <w:r>
        <w:rPr>
          <w:sz w:val="20"/>
        </w:rPr>
        <w:t>Rate</w:t>
      </w:r>
      <w:r>
        <w:rPr>
          <w:spacing w:val="-7"/>
          <w:sz w:val="20"/>
        </w:rPr>
        <w:t xml:space="preserve"> </w:t>
      </w:r>
      <w:r>
        <w:rPr>
          <w:sz w:val="20"/>
        </w:rPr>
        <w:t>311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Residential</w:t>
      </w:r>
      <w:r>
        <w:rPr>
          <w:spacing w:val="-8"/>
          <w:sz w:val="20"/>
        </w:rPr>
        <w:t xml:space="preserve"> </w:t>
      </w:r>
      <w:r>
        <w:rPr>
          <w:sz w:val="20"/>
        </w:rPr>
        <w:t>Standard</w:t>
      </w:r>
      <w:r>
        <w:rPr>
          <w:spacing w:val="-8"/>
          <w:sz w:val="20"/>
        </w:rPr>
        <w:t xml:space="preserve"> </w:t>
      </w:r>
      <w:r>
        <w:rPr>
          <w:sz w:val="20"/>
        </w:rPr>
        <w:t>Choice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Offer </w:t>
      </w:r>
      <w:r>
        <w:rPr>
          <w:spacing w:val="-2"/>
          <w:sz w:val="20"/>
        </w:rPr>
        <w:t>Service</w:t>
      </w:r>
    </w:p>
    <w:p w14:paraId="25CDA71F" w14:textId="77777777" w:rsidR="00AF5C83" w:rsidRDefault="00D92EC9">
      <w:pPr>
        <w:pStyle w:val="ListParagraph"/>
        <w:numPr>
          <w:ilvl w:val="0"/>
          <w:numId w:val="1"/>
        </w:numPr>
        <w:tabs>
          <w:tab w:val="left" w:pos="1395"/>
        </w:tabs>
        <w:ind w:left="1395" w:hanging="287"/>
        <w:rPr>
          <w:sz w:val="20"/>
        </w:rPr>
      </w:pPr>
      <w:r>
        <w:rPr>
          <w:sz w:val="20"/>
        </w:rPr>
        <w:t>Rate</w:t>
      </w:r>
      <w:r>
        <w:rPr>
          <w:spacing w:val="-8"/>
          <w:sz w:val="20"/>
        </w:rPr>
        <w:t xml:space="preserve"> </w:t>
      </w:r>
      <w:r>
        <w:rPr>
          <w:sz w:val="20"/>
        </w:rPr>
        <w:t>315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Residential</w:t>
      </w:r>
      <w:r>
        <w:rPr>
          <w:spacing w:val="-9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Service</w:t>
      </w:r>
    </w:p>
    <w:p w14:paraId="5D91180B" w14:textId="77777777" w:rsidR="00AF5C83" w:rsidRDefault="00D92EC9">
      <w:pPr>
        <w:pStyle w:val="ListParagraph"/>
        <w:numPr>
          <w:ilvl w:val="0"/>
          <w:numId w:val="1"/>
        </w:numPr>
        <w:tabs>
          <w:tab w:val="left" w:pos="1395"/>
        </w:tabs>
        <w:ind w:left="1395" w:hanging="287"/>
        <w:rPr>
          <w:sz w:val="20"/>
        </w:rPr>
      </w:pPr>
      <w:r>
        <w:rPr>
          <w:sz w:val="20"/>
        </w:rPr>
        <w:t>Rate</w:t>
      </w:r>
      <w:r>
        <w:rPr>
          <w:spacing w:val="-6"/>
          <w:sz w:val="20"/>
        </w:rPr>
        <w:t xml:space="preserve"> </w:t>
      </w:r>
      <w:r>
        <w:rPr>
          <w:sz w:val="20"/>
        </w:rPr>
        <w:t>320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General</w:t>
      </w:r>
      <w:r>
        <w:rPr>
          <w:spacing w:val="-8"/>
          <w:sz w:val="20"/>
        </w:rPr>
        <w:t xml:space="preserve"> </w:t>
      </w:r>
      <w:r>
        <w:rPr>
          <w:sz w:val="20"/>
        </w:rPr>
        <w:t>Default</w:t>
      </w:r>
      <w:r>
        <w:rPr>
          <w:spacing w:val="-5"/>
          <w:sz w:val="20"/>
        </w:rPr>
        <w:t xml:space="preserve"> </w:t>
      </w:r>
      <w:r>
        <w:rPr>
          <w:sz w:val="20"/>
        </w:rPr>
        <w:t>Sales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Service</w:t>
      </w:r>
    </w:p>
    <w:p w14:paraId="22543849" w14:textId="77777777" w:rsidR="00AF5C83" w:rsidRDefault="00D92EC9">
      <w:pPr>
        <w:pStyle w:val="ListParagraph"/>
        <w:numPr>
          <w:ilvl w:val="0"/>
          <w:numId w:val="1"/>
        </w:numPr>
        <w:tabs>
          <w:tab w:val="left" w:pos="1395"/>
        </w:tabs>
        <w:spacing w:line="242" w:lineRule="exact"/>
        <w:ind w:left="1395" w:hanging="287"/>
        <w:rPr>
          <w:sz w:val="20"/>
        </w:rPr>
      </w:pPr>
      <w:r>
        <w:rPr>
          <w:sz w:val="20"/>
        </w:rPr>
        <w:t>Rate</w:t>
      </w:r>
      <w:r>
        <w:rPr>
          <w:spacing w:val="-7"/>
          <w:sz w:val="20"/>
        </w:rPr>
        <w:t xml:space="preserve"> </w:t>
      </w:r>
      <w:r>
        <w:rPr>
          <w:sz w:val="20"/>
        </w:rPr>
        <w:t>321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General</w:t>
      </w:r>
      <w:r>
        <w:rPr>
          <w:spacing w:val="-7"/>
          <w:sz w:val="20"/>
        </w:rPr>
        <w:t xml:space="preserve"> </w:t>
      </w:r>
      <w:r>
        <w:rPr>
          <w:sz w:val="20"/>
        </w:rPr>
        <w:t>Standard</w:t>
      </w:r>
      <w:r>
        <w:rPr>
          <w:spacing w:val="-6"/>
          <w:sz w:val="20"/>
        </w:rPr>
        <w:t xml:space="preserve"> </w:t>
      </w:r>
      <w:r>
        <w:rPr>
          <w:sz w:val="20"/>
        </w:rPr>
        <w:t>Choice</w:t>
      </w:r>
      <w:r>
        <w:rPr>
          <w:spacing w:val="-7"/>
          <w:sz w:val="20"/>
        </w:rPr>
        <w:t xml:space="preserve"> </w:t>
      </w:r>
      <w:r>
        <w:rPr>
          <w:sz w:val="20"/>
        </w:rPr>
        <w:t>Offer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Service</w:t>
      </w:r>
    </w:p>
    <w:p w14:paraId="14001DA4" w14:textId="77777777" w:rsidR="00AF5C83" w:rsidRDefault="00D92EC9">
      <w:pPr>
        <w:pStyle w:val="ListParagraph"/>
        <w:numPr>
          <w:ilvl w:val="0"/>
          <w:numId w:val="1"/>
        </w:numPr>
        <w:tabs>
          <w:tab w:val="left" w:pos="1395"/>
        </w:tabs>
        <w:ind w:left="1395" w:hanging="287"/>
        <w:rPr>
          <w:sz w:val="20"/>
        </w:rPr>
      </w:pPr>
      <w:r>
        <w:rPr>
          <w:sz w:val="20"/>
        </w:rPr>
        <w:t>Rate</w:t>
      </w:r>
      <w:r>
        <w:rPr>
          <w:spacing w:val="-8"/>
          <w:sz w:val="20"/>
        </w:rPr>
        <w:t xml:space="preserve"> </w:t>
      </w:r>
      <w:r>
        <w:rPr>
          <w:sz w:val="20"/>
        </w:rPr>
        <w:t>325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General</w:t>
      </w:r>
      <w:r>
        <w:rPr>
          <w:spacing w:val="-9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Service</w:t>
      </w:r>
    </w:p>
    <w:p w14:paraId="637DDD3D" w14:textId="77777777" w:rsidR="00AF5C83" w:rsidRDefault="00D92EC9">
      <w:pPr>
        <w:pStyle w:val="ListParagraph"/>
        <w:numPr>
          <w:ilvl w:val="0"/>
          <w:numId w:val="1"/>
        </w:numPr>
        <w:tabs>
          <w:tab w:val="left" w:pos="1395"/>
        </w:tabs>
        <w:ind w:left="1395" w:hanging="287"/>
        <w:rPr>
          <w:sz w:val="20"/>
        </w:rPr>
      </w:pPr>
      <w:r>
        <w:rPr>
          <w:sz w:val="20"/>
        </w:rPr>
        <w:t>Rate</w:t>
      </w:r>
      <w:r>
        <w:rPr>
          <w:spacing w:val="-8"/>
          <w:sz w:val="20"/>
        </w:rPr>
        <w:t xml:space="preserve"> </w:t>
      </w:r>
      <w:r>
        <w:rPr>
          <w:sz w:val="20"/>
        </w:rPr>
        <w:t>345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Large</w:t>
      </w:r>
      <w:r>
        <w:rPr>
          <w:spacing w:val="-6"/>
          <w:sz w:val="20"/>
        </w:rPr>
        <w:t xml:space="preserve"> </w:t>
      </w:r>
      <w:r>
        <w:rPr>
          <w:sz w:val="20"/>
        </w:rPr>
        <w:t>General</w:t>
      </w:r>
      <w:r>
        <w:rPr>
          <w:spacing w:val="-9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Service</w:t>
      </w:r>
    </w:p>
    <w:p w14:paraId="6E9D63FE" w14:textId="77777777" w:rsidR="00AF5C83" w:rsidRDefault="00D92EC9">
      <w:pPr>
        <w:pStyle w:val="ListParagraph"/>
        <w:numPr>
          <w:ilvl w:val="0"/>
          <w:numId w:val="1"/>
        </w:numPr>
        <w:tabs>
          <w:tab w:val="left" w:pos="1395"/>
        </w:tabs>
        <w:ind w:left="1395" w:hanging="287"/>
        <w:rPr>
          <w:sz w:val="20"/>
        </w:rPr>
      </w:pPr>
      <w:r>
        <w:rPr>
          <w:sz w:val="20"/>
        </w:rPr>
        <w:t>Rate</w:t>
      </w:r>
      <w:r>
        <w:rPr>
          <w:spacing w:val="-8"/>
          <w:sz w:val="20"/>
        </w:rPr>
        <w:t xml:space="preserve"> </w:t>
      </w:r>
      <w:r>
        <w:rPr>
          <w:sz w:val="20"/>
        </w:rPr>
        <w:t>360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Large</w:t>
      </w:r>
      <w:r>
        <w:rPr>
          <w:spacing w:val="-6"/>
          <w:sz w:val="20"/>
        </w:rPr>
        <w:t xml:space="preserve"> </w:t>
      </w:r>
      <w:r>
        <w:rPr>
          <w:sz w:val="20"/>
        </w:rPr>
        <w:t>Volume</w:t>
      </w:r>
      <w:r>
        <w:rPr>
          <w:spacing w:val="-8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Service</w:t>
      </w:r>
    </w:p>
    <w:p w14:paraId="27120AA0" w14:textId="77777777" w:rsidR="00AF5C83" w:rsidRDefault="00AF5C83">
      <w:pPr>
        <w:pStyle w:val="BodyText"/>
        <w:spacing w:before="8"/>
        <w:rPr>
          <w:sz w:val="19"/>
        </w:rPr>
      </w:pPr>
    </w:p>
    <w:p w14:paraId="7A2E5FA2" w14:textId="77777777" w:rsidR="00AF5C83" w:rsidRDefault="00D92EC9">
      <w:pPr>
        <w:pStyle w:val="Heading1"/>
        <w:rPr>
          <w:u w:val="none"/>
        </w:rPr>
      </w:pPr>
      <w:r>
        <w:rPr>
          <w:spacing w:val="-2"/>
          <w:u w:val="thick"/>
        </w:rPr>
        <w:t>DESCRIPTION</w:t>
      </w:r>
    </w:p>
    <w:p w14:paraId="6017BCF1" w14:textId="77777777" w:rsidR="00AF5C83" w:rsidRDefault="00D92EC9">
      <w:pPr>
        <w:pStyle w:val="BodyText"/>
        <w:spacing w:before="1"/>
        <w:ind w:left="820" w:right="568"/>
        <w:jc w:val="both"/>
      </w:pPr>
      <w:r>
        <w:t>The CEP will recover deferred costs, including depreciation and property tax expense and accrued post-in-service carrying costs, associated with Company’s capital expenditure program under Ohio Revised Code 4929.111, approved by the Commission in Case No. 18-0049-GA-ALT.</w:t>
      </w:r>
      <w:r>
        <w:rPr>
          <w:spacing w:val="40"/>
        </w:rPr>
        <w:t xml:space="preserve"> </w:t>
      </w:r>
      <w:r>
        <w:t>All applicable Customers shall be assessed either (a) a monthly charge in addition to the Monthly Charge or Customer</w:t>
      </w:r>
      <w:r>
        <w:rPr>
          <w:spacing w:val="-5"/>
        </w:rPr>
        <w:t xml:space="preserve"> </w:t>
      </w:r>
      <w:r>
        <w:t>Charge</w:t>
      </w:r>
      <w:r>
        <w:rPr>
          <w:spacing w:val="-7"/>
        </w:rPr>
        <w:t xml:space="preserve"> </w:t>
      </w:r>
      <w:r>
        <w:t>component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Schedule,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(b)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volumetric</w:t>
      </w:r>
      <w:r>
        <w:rPr>
          <w:spacing w:val="-4"/>
        </w:rPr>
        <w:t xml:space="preserve"> </w:t>
      </w:r>
      <w:r>
        <w:t>charge applicable to each Billing Ccf of metered gas usage each month.</w:t>
      </w:r>
    </w:p>
    <w:p w14:paraId="09B84365" w14:textId="77777777" w:rsidR="00AF5C83" w:rsidRDefault="00AF5C83">
      <w:pPr>
        <w:pStyle w:val="BodyText"/>
      </w:pPr>
    </w:p>
    <w:p w14:paraId="7CFE24FF" w14:textId="77777777" w:rsidR="00AF5C83" w:rsidRDefault="00D92EC9">
      <w:pPr>
        <w:pStyle w:val="BodyText"/>
        <w:ind w:left="820" w:right="568"/>
        <w:jc w:val="both"/>
      </w:pPr>
      <w:r>
        <w:t>Actual</w:t>
      </w:r>
      <w:r>
        <w:rPr>
          <w:spacing w:val="-12"/>
        </w:rPr>
        <w:t xml:space="preserve"> </w:t>
      </w:r>
      <w:r>
        <w:t>costs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actual</w:t>
      </w:r>
      <w:r>
        <w:rPr>
          <w:spacing w:val="-12"/>
        </w:rPr>
        <w:t xml:space="preserve"> </w:t>
      </w:r>
      <w:r>
        <w:t>recoveries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reconciled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annual</w:t>
      </w:r>
      <w:r>
        <w:rPr>
          <w:spacing w:val="-12"/>
        </w:rPr>
        <w:t xml:space="preserve"> </w:t>
      </w:r>
      <w:r>
        <w:t>CEP</w:t>
      </w:r>
      <w:r>
        <w:rPr>
          <w:spacing w:val="-12"/>
        </w:rPr>
        <w:t xml:space="preserve"> </w:t>
      </w:r>
      <w:r>
        <w:t>update,</w:t>
      </w:r>
      <w:r>
        <w:rPr>
          <w:spacing w:val="-12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under-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over- recovery being recovered or returned over the next twelve (12) month period.</w:t>
      </w:r>
    </w:p>
    <w:p w14:paraId="3CDE4A64" w14:textId="77777777" w:rsidR="00AF5C83" w:rsidRDefault="00AF5C83">
      <w:pPr>
        <w:pStyle w:val="BodyText"/>
        <w:spacing w:before="11"/>
        <w:rPr>
          <w:sz w:val="19"/>
        </w:rPr>
      </w:pPr>
    </w:p>
    <w:p w14:paraId="36D8ACA1" w14:textId="77777777" w:rsidR="00AF5C83" w:rsidRDefault="00D92EC9">
      <w:pPr>
        <w:pStyle w:val="Heading1"/>
        <w:rPr>
          <w:u w:val="none"/>
        </w:rPr>
      </w:pPr>
      <w:r>
        <w:rPr>
          <w:spacing w:val="-2"/>
          <w:u w:val="thick"/>
        </w:rPr>
        <w:t>RECONCILIATION</w:t>
      </w:r>
    </w:p>
    <w:p w14:paraId="31636F36" w14:textId="77777777" w:rsidR="00AF5C83" w:rsidRDefault="00D92EC9">
      <w:pPr>
        <w:pStyle w:val="BodyText"/>
        <w:ind w:left="935" w:right="611"/>
        <w:jc w:val="both"/>
      </w:pP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CEP</w:t>
      </w:r>
      <w:r>
        <w:rPr>
          <w:spacing w:val="-5"/>
        </w:rPr>
        <w:t xml:space="preserve"> </w:t>
      </w:r>
      <w:r>
        <w:rPr>
          <w:spacing w:val="-4"/>
        </w:rPr>
        <w:t>Rider is subject to reconciliation</w:t>
      </w:r>
      <w:r>
        <w:rPr>
          <w:spacing w:val="-5"/>
        </w:rPr>
        <w:t xml:space="preserve"> </w:t>
      </w:r>
      <w:r>
        <w:rPr>
          <w:spacing w:val="-4"/>
        </w:rPr>
        <w:t>or adjustment annually, including</w:t>
      </w:r>
      <w:r>
        <w:rPr>
          <w:spacing w:val="-5"/>
        </w:rPr>
        <w:t xml:space="preserve"> </w:t>
      </w:r>
      <w:r>
        <w:rPr>
          <w:spacing w:val="-4"/>
        </w:rPr>
        <w:t>but not limited</w:t>
      </w:r>
      <w:r>
        <w:rPr>
          <w:spacing w:val="-5"/>
        </w:rPr>
        <w:t xml:space="preserve"> </w:t>
      </w:r>
      <w:r>
        <w:rPr>
          <w:spacing w:val="-4"/>
        </w:rPr>
        <w:t>to,</w:t>
      </w:r>
      <w:r>
        <w:rPr>
          <w:spacing w:val="-5"/>
        </w:rPr>
        <w:t xml:space="preserve"> </w:t>
      </w:r>
      <w:r>
        <w:rPr>
          <w:spacing w:val="-4"/>
        </w:rPr>
        <w:t xml:space="preserve">increases </w:t>
      </w:r>
      <w:r>
        <w:t xml:space="preserve">or refunds. Such reconciliation or adjustment shall be limited to: (1) the twelve-month period of expenditures upon which the rates were calculated, if determined to be unlawful, unreasonable, or </w:t>
      </w:r>
      <w:r>
        <w:rPr>
          <w:spacing w:val="-2"/>
        </w:rPr>
        <w:t>imprudent</w:t>
      </w:r>
      <w:r>
        <w:rPr>
          <w:spacing w:val="-7"/>
        </w:rPr>
        <w:t xml:space="preserve"> </w:t>
      </w:r>
      <w:r>
        <w:rPr>
          <w:spacing w:val="-2"/>
        </w:rPr>
        <w:t>by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Commission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docket</w:t>
      </w:r>
      <w:r>
        <w:rPr>
          <w:spacing w:val="-7"/>
        </w:rPr>
        <w:t xml:space="preserve"> </w:t>
      </w:r>
      <w:r>
        <w:rPr>
          <w:spacing w:val="-2"/>
        </w:rPr>
        <w:t>those</w:t>
      </w:r>
      <w:r>
        <w:rPr>
          <w:spacing w:val="-7"/>
        </w:rPr>
        <w:t xml:space="preserve"> </w:t>
      </w:r>
      <w:r>
        <w:rPr>
          <w:spacing w:val="-2"/>
        </w:rPr>
        <w:t>rates</w:t>
      </w:r>
      <w:r>
        <w:rPr>
          <w:spacing w:val="-5"/>
        </w:rPr>
        <w:t xml:space="preserve"> </w:t>
      </w:r>
      <w:r>
        <w:rPr>
          <w:spacing w:val="-2"/>
        </w:rPr>
        <w:t>were</w:t>
      </w:r>
      <w:r>
        <w:rPr>
          <w:spacing w:val="-7"/>
        </w:rPr>
        <w:t xml:space="preserve"> </w:t>
      </w:r>
      <w:r>
        <w:rPr>
          <w:spacing w:val="-2"/>
        </w:rPr>
        <w:t>approved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Supreme</w:t>
      </w:r>
      <w:r>
        <w:rPr>
          <w:spacing w:val="-7"/>
        </w:rPr>
        <w:t xml:space="preserve"> </w:t>
      </w:r>
      <w:r>
        <w:rPr>
          <w:spacing w:val="-2"/>
        </w:rPr>
        <w:t>Court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Ohio;</w:t>
      </w:r>
      <w:proofErr w:type="gramEnd"/>
    </w:p>
    <w:p w14:paraId="4EAE3279" w14:textId="77777777" w:rsidR="00AF5C83" w:rsidRDefault="00D92EC9">
      <w:pPr>
        <w:pStyle w:val="BodyText"/>
        <w:spacing w:before="2"/>
        <w:ind w:left="935" w:right="615"/>
        <w:jc w:val="both"/>
      </w:pPr>
      <w:r>
        <w:t>(2)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Commission’s</w:t>
      </w:r>
      <w:r>
        <w:rPr>
          <w:spacing w:val="-1"/>
        </w:rPr>
        <w:t xml:space="preserve"> </w:t>
      </w:r>
      <w:r>
        <w:t>orders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Case No.</w:t>
      </w:r>
      <w:r>
        <w:rPr>
          <w:spacing w:val="-3"/>
        </w:rPr>
        <w:t xml:space="preserve"> </w:t>
      </w:r>
      <w:r>
        <w:t>18-47-AU-COI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ordered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to address tax reform changes.</w:t>
      </w:r>
    </w:p>
    <w:p w14:paraId="0BD32D38" w14:textId="77777777" w:rsidR="00AF5C83" w:rsidRDefault="00AF5C83">
      <w:pPr>
        <w:pStyle w:val="BodyText"/>
        <w:spacing w:before="10"/>
        <w:rPr>
          <w:sz w:val="19"/>
        </w:rPr>
      </w:pPr>
    </w:p>
    <w:p w14:paraId="3F7A67FA" w14:textId="77777777" w:rsidR="00AF5C83" w:rsidRDefault="00D92EC9">
      <w:pPr>
        <w:pStyle w:val="Heading1"/>
        <w:spacing w:before="1"/>
        <w:rPr>
          <w:u w:val="none"/>
        </w:rPr>
      </w:pPr>
      <w:r>
        <w:t>CAPITAL</w:t>
      </w:r>
      <w:r>
        <w:rPr>
          <w:spacing w:val="-8"/>
        </w:rPr>
        <w:t xml:space="preserve"> </w:t>
      </w:r>
      <w:r>
        <w:t>EXPENDITURE</w:t>
      </w:r>
      <w:r>
        <w:rPr>
          <w:spacing w:val="-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RIDER</w:t>
      </w:r>
      <w:r>
        <w:rPr>
          <w:spacing w:val="-10"/>
        </w:rPr>
        <w:t xml:space="preserve"> </w:t>
      </w:r>
      <w:r>
        <w:rPr>
          <w:spacing w:val="-2"/>
        </w:rPr>
        <w:t>CHARGE</w:t>
      </w:r>
    </w:p>
    <w:p w14:paraId="55F3C938" w14:textId="77777777" w:rsidR="00AF5C83" w:rsidRDefault="00D92EC9">
      <w:pPr>
        <w:pStyle w:val="BodyText"/>
        <w:ind w:left="820"/>
        <w:jc w:val="both"/>
      </w:pPr>
      <w:r>
        <w:t>The</w:t>
      </w:r>
      <w:r>
        <w:rPr>
          <w:spacing w:val="-9"/>
        </w:rPr>
        <w:t xml:space="preserve"> </w:t>
      </w:r>
      <w:r>
        <w:t>charges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respective</w:t>
      </w:r>
      <w:r>
        <w:rPr>
          <w:spacing w:val="-7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Schedules</w:t>
      </w:r>
      <w:r>
        <w:rPr>
          <w:spacing w:val="-5"/>
        </w:rPr>
        <w:t xml:space="preserve"> </w:t>
      </w:r>
      <w:r>
        <w:rPr>
          <w:spacing w:val="-4"/>
        </w:rPr>
        <w:t>are:</w:t>
      </w:r>
    </w:p>
    <w:p w14:paraId="047B5CAA" w14:textId="77777777" w:rsidR="00AF5C83" w:rsidRDefault="00AF5C83">
      <w:pPr>
        <w:pStyle w:val="BodyText"/>
        <w:spacing w:before="6" w:after="1"/>
        <w:rPr>
          <w:sz w:val="22"/>
        </w:rPr>
      </w:pPr>
    </w:p>
    <w:tbl>
      <w:tblPr>
        <w:tblW w:w="0" w:type="auto"/>
        <w:tblInd w:w="1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5"/>
        <w:gridCol w:w="1862"/>
        <w:gridCol w:w="1923"/>
      </w:tblGrid>
      <w:tr w:rsidR="00AF5C83" w14:paraId="13FC1A88" w14:textId="77777777">
        <w:trPr>
          <w:trHeight w:val="226"/>
        </w:trPr>
        <w:tc>
          <w:tcPr>
            <w:tcW w:w="3445" w:type="dxa"/>
          </w:tcPr>
          <w:p w14:paraId="0B9E87C7" w14:textId="77777777" w:rsidR="00AF5C83" w:rsidRDefault="00D92EC9">
            <w:pPr>
              <w:pStyle w:val="TableParagraph"/>
              <w:spacing w:line="207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Rate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Schedule</w:t>
            </w:r>
          </w:p>
        </w:tc>
        <w:tc>
          <w:tcPr>
            <w:tcW w:w="1862" w:type="dxa"/>
          </w:tcPr>
          <w:p w14:paraId="5BCBA29A" w14:textId="77777777" w:rsidR="00AF5C83" w:rsidRDefault="00D92EC9">
            <w:pPr>
              <w:pStyle w:val="TableParagraph"/>
              <w:spacing w:line="207" w:lineRule="exact"/>
              <w:ind w:left="360" w:right="33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$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Month</w:t>
            </w:r>
          </w:p>
        </w:tc>
        <w:tc>
          <w:tcPr>
            <w:tcW w:w="1923" w:type="dxa"/>
          </w:tcPr>
          <w:p w14:paraId="2E29C876" w14:textId="77777777" w:rsidR="00AF5C83" w:rsidRDefault="00D92EC9">
            <w:pPr>
              <w:pStyle w:val="TableParagraph"/>
              <w:spacing w:line="207" w:lineRule="exact"/>
              <w:ind w:left="334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$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Billing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Ccf</w:t>
            </w:r>
          </w:p>
        </w:tc>
      </w:tr>
      <w:tr w:rsidR="00AF5C83" w14:paraId="27F7E03F" w14:textId="77777777">
        <w:trPr>
          <w:trHeight w:val="241"/>
        </w:trPr>
        <w:tc>
          <w:tcPr>
            <w:tcW w:w="3445" w:type="dxa"/>
          </w:tcPr>
          <w:p w14:paraId="499287B5" w14:textId="77777777" w:rsidR="00AF5C83" w:rsidRDefault="00D92EC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310,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315</w:t>
            </w:r>
          </w:p>
        </w:tc>
        <w:tc>
          <w:tcPr>
            <w:tcW w:w="1862" w:type="dxa"/>
          </w:tcPr>
          <w:p w14:paraId="156CFC5B" w14:textId="6453D241" w:rsidR="00AF5C83" w:rsidRDefault="00D92EC9">
            <w:pPr>
              <w:pStyle w:val="TableParagraph"/>
              <w:spacing w:line="222" w:lineRule="exact"/>
              <w:ind w:left="360" w:right="3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$0.98</w:t>
            </w:r>
          </w:p>
        </w:tc>
        <w:tc>
          <w:tcPr>
            <w:tcW w:w="1923" w:type="dxa"/>
          </w:tcPr>
          <w:p w14:paraId="1119DB1F" w14:textId="77777777" w:rsidR="00AF5C83" w:rsidRDefault="00AF5C8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F5C83" w14:paraId="774449F7" w14:textId="77777777">
        <w:trPr>
          <w:trHeight w:val="255"/>
        </w:trPr>
        <w:tc>
          <w:tcPr>
            <w:tcW w:w="3445" w:type="dxa"/>
          </w:tcPr>
          <w:p w14:paraId="6B629C43" w14:textId="77777777" w:rsidR="00AF5C83" w:rsidRDefault="00D92EC9">
            <w:pPr>
              <w:pStyle w:val="TableParagraph"/>
              <w:spacing w:before="8" w:line="227" w:lineRule="exact"/>
              <w:rPr>
                <w:sz w:val="20"/>
              </w:rPr>
            </w:pPr>
            <w:r>
              <w:rPr>
                <w:sz w:val="20"/>
              </w:rPr>
              <w:t>320,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1)</w:t>
            </w:r>
          </w:p>
        </w:tc>
        <w:tc>
          <w:tcPr>
            <w:tcW w:w="1862" w:type="dxa"/>
          </w:tcPr>
          <w:p w14:paraId="4111AC34" w14:textId="252C1312" w:rsidR="00AF5C83" w:rsidRDefault="00D92EC9">
            <w:pPr>
              <w:pStyle w:val="TableParagraph"/>
              <w:spacing w:before="8" w:line="227" w:lineRule="exact"/>
              <w:ind w:left="360" w:right="3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$1.28</w:t>
            </w:r>
          </w:p>
        </w:tc>
        <w:tc>
          <w:tcPr>
            <w:tcW w:w="1923" w:type="dxa"/>
          </w:tcPr>
          <w:p w14:paraId="5E081617" w14:textId="77777777" w:rsidR="00AF5C83" w:rsidRDefault="00AF5C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5C83" w14:paraId="6292E373" w14:textId="77777777">
        <w:trPr>
          <w:trHeight w:val="255"/>
        </w:trPr>
        <w:tc>
          <w:tcPr>
            <w:tcW w:w="3445" w:type="dxa"/>
          </w:tcPr>
          <w:p w14:paraId="11D6923A" w14:textId="77777777" w:rsidR="00AF5C83" w:rsidRDefault="00D92EC9">
            <w:pPr>
              <w:pStyle w:val="TableParagraph"/>
              <w:spacing w:before="10" w:line="226" w:lineRule="exact"/>
              <w:rPr>
                <w:sz w:val="20"/>
              </w:rPr>
            </w:pPr>
            <w:r>
              <w:rPr>
                <w:sz w:val="20"/>
              </w:rPr>
              <w:t>320,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3)</w:t>
            </w:r>
          </w:p>
        </w:tc>
        <w:tc>
          <w:tcPr>
            <w:tcW w:w="1862" w:type="dxa"/>
          </w:tcPr>
          <w:p w14:paraId="6FB47A88" w14:textId="77777777" w:rsidR="00AF5C83" w:rsidRDefault="00AF5C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</w:tcPr>
          <w:p w14:paraId="79CDADD6" w14:textId="26E457CE" w:rsidR="00AF5C83" w:rsidRDefault="00D92EC9">
            <w:pPr>
              <w:pStyle w:val="TableParagraph"/>
              <w:spacing w:before="10" w:line="226" w:lineRule="exact"/>
              <w:ind w:left="333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$0.00548</w:t>
            </w:r>
          </w:p>
        </w:tc>
      </w:tr>
      <w:tr w:rsidR="00AF5C83" w14:paraId="2A85AB93" w14:textId="77777777">
        <w:trPr>
          <w:trHeight w:val="254"/>
        </w:trPr>
        <w:tc>
          <w:tcPr>
            <w:tcW w:w="3445" w:type="dxa"/>
          </w:tcPr>
          <w:p w14:paraId="382CA498" w14:textId="77777777" w:rsidR="00AF5C83" w:rsidRDefault="00D92EC9">
            <w:pPr>
              <w:pStyle w:val="TableParagraph"/>
              <w:spacing w:before="8"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862" w:type="dxa"/>
          </w:tcPr>
          <w:p w14:paraId="23B331B0" w14:textId="77777777" w:rsidR="00AF5C83" w:rsidRDefault="00AF5C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</w:tcPr>
          <w:p w14:paraId="2C85F7F1" w14:textId="21095181" w:rsidR="00AF5C83" w:rsidRDefault="00D92EC9">
            <w:pPr>
              <w:pStyle w:val="TableParagraph"/>
              <w:spacing w:before="8" w:line="226" w:lineRule="exact"/>
              <w:ind w:left="333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$0.00242</w:t>
            </w:r>
          </w:p>
        </w:tc>
      </w:tr>
      <w:tr w:rsidR="00AF5C83" w14:paraId="25949FC3" w14:textId="77777777">
        <w:trPr>
          <w:trHeight w:val="238"/>
        </w:trPr>
        <w:tc>
          <w:tcPr>
            <w:tcW w:w="3445" w:type="dxa"/>
          </w:tcPr>
          <w:p w14:paraId="6513E3C4" w14:textId="77777777" w:rsidR="00AF5C83" w:rsidRDefault="00D92EC9">
            <w:pPr>
              <w:pStyle w:val="TableParagraph"/>
              <w:spacing w:before="8"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862" w:type="dxa"/>
          </w:tcPr>
          <w:p w14:paraId="4715CD57" w14:textId="77777777" w:rsidR="00AF5C83" w:rsidRDefault="00AF5C8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 w14:paraId="2A73551A" w14:textId="7D888944" w:rsidR="00AF5C83" w:rsidRDefault="00D92EC9">
            <w:pPr>
              <w:pStyle w:val="TableParagraph"/>
              <w:spacing w:before="8" w:line="210" w:lineRule="exact"/>
              <w:ind w:left="334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$0.00134</w:t>
            </w:r>
          </w:p>
        </w:tc>
      </w:tr>
    </w:tbl>
    <w:p w14:paraId="51C1C319" w14:textId="77777777" w:rsidR="00AF5C83" w:rsidRDefault="00AF5C83">
      <w:pPr>
        <w:pStyle w:val="BodyText"/>
        <w:rPr>
          <w:sz w:val="22"/>
        </w:rPr>
      </w:pPr>
    </w:p>
    <w:p w14:paraId="116665F5" w14:textId="77777777" w:rsidR="00AF5C83" w:rsidRDefault="00AF5C83">
      <w:pPr>
        <w:pStyle w:val="BodyText"/>
        <w:rPr>
          <w:sz w:val="22"/>
        </w:rPr>
      </w:pPr>
    </w:p>
    <w:p w14:paraId="2062339C" w14:textId="77777777" w:rsidR="00AF5C83" w:rsidRDefault="00AF5C83">
      <w:pPr>
        <w:pStyle w:val="BodyText"/>
        <w:rPr>
          <w:sz w:val="22"/>
        </w:rPr>
      </w:pPr>
    </w:p>
    <w:p w14:paraId="7262A5B6" w14:textId="77777777" w:rsidR="00AF5C83" w:rsidRDefault="00AF5C83">
      <w:pPr>
        <w:pStyle w:val="BodyText"/>
        <w:rPr>
          <w:sz w:val="22"/>
        </w:rPr>
      </w:pPr>
    </w:p>
    <w:p w14:paraId="4D7C203E" w14:textId="77777777" w:rsidR="00AF5C83" w:rsidRDefault="00AF5C83">
      <w:pPr>
        <w:pStyle w:val="BodyText"/>
        <w:rPr>
          <w:sz w:val="22"/>
        </w:rPr>
      </w:pPr>
    </w:p>
    <w:p w14:paraId="2DEDBE5F" w14:textId="77777777" w:rsidR="00AF5C83" w:rsidRDefault="00AF5C83">
      <w:pPr>
        <w:pStyle w:val="BodyText"/>
        <w:rPr>
          <w:sz w:val="22"/>
        </w:rPr>
      </w:pPr>
    </w:p>
    <w:p w14:paraId="14ACFFCE" w14:textId="77777777" w:rsidR="00AF5C83" w:rsidRDefault="00AF5C83">
      <w:pPr>
        <w:pStyle w:val="BodyText"/>
        <w:rPr>
          <w:sz w:val="22"/>
        </w:rPr>
      </w:pPr>
    </w:p>
    <w:p w14:paraId="4BDE4BA4" w14:textId="6574C3D2" w:rsidR="00AF5C83" w:rsidRDefault="00D92EC9">
      <w:pPr>
        <w:pStyle w:val="BodyText"/>
        <w:spacing w:before="190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2F02296" wp14:editId="016BB8FA">
                <wp:simplePos x="0" y="0"/>
                <wp:positionH relativeFrom="page">
                  <wp:posOffset>914400</wp:posOffset>
                </wp:positionH>
                <wp:positionV relativeFrom="paragraph">
                  <wp:posOffset>67613</wp:posOffset>
                </wp:positionV>
                <wp:extent cx="6492240" cy="203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 h="20320">
                              <a:moveTo>
                                <a:pt x="6492240" y="0"/>
                              </a:moveTo>
                              <a:lnTo>
                                <a:pt x="0" y="0"/>
                              </a:lnTo>
                              <a:lnTo>
                                <a:pt x="0" y="20319"/>
                              </a:lnTo>
                              <a:lnTo>
                                <a:pt x="6492240" y="20319"/>
                              </a:lnTo>
                              <a:lnTo>
                                <a:pt x="649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6BF99" id="Graphic 1" o:spid="_x0000_s1026" style="position:absolute;margin-left:1in;margin-top:5.3pt;width:511.2pt;height:1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224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" path="m6492240,l,,,20319r6492240,l6492240,xe" fillcolor="black" stroked="f">
                <v:path arrowok="t"/>
                <w10:wrap anchorx="page"/>
              </v:shape>
            </w:pict>
          </mc:Fallback>
        </mc:AlternateContent>
      </w:r>
      <w:r>
        <w:t>Filed</w:t>
      </w:r>
      <w:r>
        <w:rPr>
          <w:spacing w:val="-8"/>
        </w:rPr>
        <w:t xml:space="preserve"> </w:t>
      </w:r>
      <w:r>
        <w:t>pursuant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Finding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dated</w:t>
      </w:r>
      <w:r>
        <w:rPr>
          <w:spacing w:val="-12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t>23,</w:t>
      </w:r>
      <w:r>
        <w:rPr>
          <w:spacing w:val="-8"/>
        </w:rPr>
        <w:t xml:space="preserve"> </w:t>
      </w:r>
      <w:proofErr w:type="gramStart"/>
      <w:r>
        <w:t>2023</w:t>
      </w:r>
      <w:proofErr w:type="gramEnd"/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No.</w:t>
      </w:r>
      <w:r>
        <w:rPr>
          <w:spacing w:val="-8"/>
        </w:rPr>
        <w:t xml:space="preserve"> </w:t>
      </w:r>
      <w:r>
        <w:t>23-0620-GA-RDR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Utilities Commission of Ohio.</w:t>
      </w:r>
    </w:p>
    <w:p w14:paraId="2A08A932" w14:textId="77777777" w:rsidR="00AF5C83" w:rsidRDefault="00AF5C83">
      <w:pPr>
        <w:pStyle w:val="BodyText"/>
        <w:rPr>
          <w:sz w:val="19"/>
        </w:rPr>
      </w:pPr>
    </w:p>
    <w:p w14:paraId="294FBC1B" w14:textId="650E7BA8" w:rsidR="00AF5C83" w:rsidRDefault="00D92EC9">
      <w:pPr>
        <w:tabs>
          <w:tab w:val="left" w:pos="2980"/>
          <w:tab w:val="left" w:pos="7013"/>
        </w:tabs>
        <w:ind w:left="100"/>
        <w:rPr>
          <w:sz w:val="19"/>
        </w:rPr>
      </w:pPr>
      <w:r>
        <w:rPr>
          <w:sz w:val="19"/>
        </w:rPr>
        <w:t>Issued</w:t>
      </w:r>
      <w:r>
        <w:rPr>
          <w:spacing w:val="-5"/>
          <w:sz w:val="19"/>
        </w:rPr>
        <w:t xml:space="preserve"> </w:t>
      </w:r>
      <w:r>
        <w:rPr>
          <w:sz w:val="19"/>
        </w:rPr>
        <w:t>August</w:t>
      </w:r>
      <w:r>
        <w:rPr>
          <w:spacing w:val="-4"/>
          <w:sz w:val="19"/>
        </w:rPr>
        <w:t xml:space="preserve"> </w:t>
      </w:r>
      <w:r>
        <w:rPr>
          <w:sz w:val="19"/>
        </w:rPr>
        <w:t>24,</w:t>
      </w:r>
      <w:r>
        <w:rPr>
          <w:spacing w:val="-5"/>
          <w:sz w:val="19"/>
        </w:rPr>
        <w:t xml:space="preserve"> </w:t>
      </w:r>
      <w:proofErr w:type="gramStart"/>
      <w:r>
        <w:rPr>
          <w:spacing w:val="-4"/>
          <w:sz w:val="19"/>
        </w:rPr>
        <w:t>2023</w:t>
      </w:r>
      <w:proofErr w:type="gramEnd"/>
      <w:r>
        <w:rPr>
          <w:sz w:val="19"/>
        </w:rPr>
        <w:tab/>
        <w:t>Issued</w:t>
      </w:r>
      <w:r>
        <w:rPr>
          <w:spacing w:val="-6"/>
          <w:sz w:val="19"/>
        </w:rPr>
        <w:t xml:space="preserve"> </w:t>
      </w:r>
      <w:r>
        <w:rPr>
          <w:sz w:val="19"/>
        </w:rPr>
        <w:t>by</w:t>
      </w:r>
      <w:r>
        <w:rPr>
          <w:spacing w:val="-4"/>
          <w:sz w:val="19"/>
        </w:rPr>
        <w:t xml:space="preserve"> </w:t>
      </w:r>
      <w:r>
        <w:rPr>
          <w:sz w:val="19"/>
        </w:rPr>
        <w:t>Katie</w:t>
      </w:r>
      <w:r>
        <w:rPr>
          <w:spacing w:val="-7"/>
          <w:sz w:val="19"/>
        </w:rPr>
        <w:t xml:space="preserve"> </w:t>
      </w:r>
      <w:r>
        <w:rPr>
          <w:sz w:val="19"/>
        </w:rPr>
        <w:t>J.</w:t>
      </w:r>
      <w:r>
        <w:rPr>
          <w:spacing w:val="-6"/>
          <w:sz w:val="19"/>
        </w:rPr>
        <w:t xml:space="preserve"> </w:t>
      </w:r>
      <w:r>
        <w:rPr>
          <w:sz w:val="19"/>
        </w:rPr>
        <w:t>Tieken,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Director</w:t>
      </w:r>
      <w:r>
        <w:rPr>
          <w:sz w:val="19"/>
        </w:rPr>
        <w:tab/>
      </w:r>
      <w:r>
        <w:rPr>
          <w:spacing w:val="-4"/>
          <w:sz w:val="19"/>
        </w:rPr>
        <w:t>Effective September 1, 2023</w:t>
      </w:r>
    </w:p>
    <w:sectPr w:rsidR="00AF5C83">
      <w:type w:val="continuous"/>
      <w:pgSz w:w="12240" w:h="15840"/>
      <w:pgMar w:top="640" w:right="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A21A0"/>
    <w:multiLevelType w:val="hybridMultilevel"/>
    <w:tmpl w:val="5D26E8E8"/>
    <w:lvl w:ilvl="0" w:tplc="AB428182">
      <w:numFmt w:val="bullet"/>
      <w:lvlText w:val=""/>
      <w:lvlJc w:val="left"/>
      <w:pPr>
        <w:ind w:left="1396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F016F8">
      <w:numFmt w:val="bullet"/>
      <w:lvlText w:val="•"/>
      <w:lvlJc w:val="left"/>
      <w:pPr>
        <w:ind w:left="2292" w:hanging="288"/>
      </w:pPr>
      <w:rPr>
        <w:rFonts w:hint="default"/>
        <w:lang w:val="en-US" w:eastAsia="en-US" w:bidi="ar-SA"/>
      </w:rPr>
    </w:lvl>
    <w:lvl w:ilvl="2" w:tplc="91FE65AE">
      <w:numFmt w:val="bullet"/>
      <w:lvlText w:val="•"/>
      <w:lvlJc w:val="left"/>
      <w:pPr>
        <w:ind w:left="3184" w:hanging="288"/>
      </w:pPr>
      <w:rPr>
        <w:rFonts w:hint="default"/>
        <w:lang w:val="en-US" w:eastAsia="en-US" w:bidi="ar-SA"/>
      </w:rPr>
    </w:lvl>
    <w:lvl w:ilvl="3" w:tplc="55CCDA7C">
      <w:numFmt w:val="bullet"/>
      <w:lvlText w:val="•"/>
      <w:lvlJc w:val="left"/>
      <w:pPr>
        <w:ind w:left="4076" w:hanging="288"/>
      </w:pPr>
      <w:rPr>
        <w:rFonts w:hint="default"/>
        <w:lang w:val="en-US" w:eastAsia="en-US" w:bidi="ar-SA"/>
      </w:rPr>
    </w:lvl>
    <w:lvl w:ilvl="4" w:tplc="64A6CEAC">
      <w:numFmt w:val="bullet"/>
      <w:lvlText w:val="•"/>
      <w:lvlJc w:val="left"/>
      <w:pPr>
        <w:ind w:left="4968" w:hanging="288"/>
      </w:pPr>
      <w:rPr>
        <w:rFonts w:hint="default"/>
        <w:lang w:val="en-US" w:eastAsia="en-US" w:bidi="ar-SA"/>
      </w:rPr>
    </w:lvl>
    <w:lvl w:ilvl="5" w:tplc="3BD0E958">
      <w:numFmt w:val="bullet"/>
      <w:lvlText w:val="•"/>
      <w:lvlJc w:val="left"/>
      <w:pPr>
        <w:ind w:left="5860" w:hanging="288"/>
      </w:pPr>
      <w:rPr>
        <w:rFonts w:hint="default"/>
        <w:lang w:val="en-US" w:eastAsia="en-US" w:bidi="ar-SA"/>
      </w:rPr>
    </w:lvl>
    <w:lvl w:ilvl="6" w:tplc="91726582">
      <w:numFmt w:val="bullet"/>
      <w:lvlText w:val="•"/>
      <w:lvlJc w:val="left"/>
      <w:pPr>
        <w:ind w:left="6752" w:hanging="288"/>
      </w:pPr>
      <w:rPr>
        <w:rFonts w:hint="default"/>
        <w:lang w:val="en-US" w:eastAsia="en-US" w:bidi="ar-SA"/>
      </w:rPr>
    </w:lvl>
    <w:lvl w:ilvl="7" w:tplc="A8A4051E">
      <w:numFmt w:val="bullet"/>
      <w:lvlText w:val="•"/>
      <w:lvlJc w:val="left"/>
      <w:pPr>
        <w:ind w:left="7644" w:hanging="288"/>
      </w:pPr>
      <w:rPr>
        <w:rFonts w:hint="default"/>
        <w:lang w:val="en-US" w:eastAsia="en-US" w:bidi="ar-SA"/>
      </w:rPr>
    </w:lvl>
    <w:lvl w:ilvl="8" w:tplc="8F6CB436">
      <w:numFmt w:val="bullet"/>
      <w:lvlText w:val="•"/>
      <w:lvlJc w:val="left"/>
      <w:pPr>
        <w:ind w:left="8536" w:hanging="288"/>
      </w:pPr>
      <w:rPr>
        <w:rFonts w:hint="default"/>
        <w:lang w:val="en-US" w:eastAsia="en-US" w:bidi="ar-SA"/>
      </w:rPr>
    </w:lvl>
  </w:abstractNum>
  <w:num w:numId="1" w16cid:durableId="128720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5C83"/>
    <w:rsid w:val="00AF5C83"/>
    <w:rsid w:val="00D92EC9"/>
    <w:rsid w:val="00E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CAF5"/>
  <w15:docId w15:val="{237DFB53-6A26-4B01-9745-1948D1B0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1634" w:right="2108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1395" w:hanging="287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Revision">
    <w:name w:val="Revision"/>
    <w:hidden/>
    <w:uiPriority w:val="99"/>
    <w:semiHidden/>
    <w:rsid w:val="00D92EC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Burke, Gregory</cp:lastModifiedBy>
  <cp:revision>2</cp:revision>
  <dcterms:created xsi:type="dcterms:W3CDTF">2023-08-23T20:42:00Z</dcterms:created>
  <dcterms:modified xsi:type="dcterms:W3CDTF">2023-08-23T20:42:00Z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2023-08-23T00:00:00Z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e3ac3a1a-de19-428b-b395-6d250d7743fb_Enabled">
    <vt:lpwstr>true</vt:lpwstr>
  </property>
  <property fmtid="{D5CDD505-2E9C-101B-9397-08002B2CF9AE}" pid="7" name="MSIP_Label_e3ac3a1a-de19-428b-b395-6d250d7743fb_SetDate">
    <vt:lpwstr>2023-08-23T20:33:45Z</vt:lpwstr>
  </property>
  <property fmtid="{D5CDD505-2E9C-101B-9397-08002B2CF9AE}" pid="8" name="MSIP_Label_e3ac3a1a-de19-428b-b395-6d250d7743fb_Method">
    <vt:lpwstr>Standard</vt:lpwstr>
  </property>
  <property fmtid="{D5CDD505-2E9C-101B-9397-08002B2CF9AE}" pid="9" name="MSIP_Label_e3ac3a1a-de19-428b-b395-6d250d7743fb_Name">
    <vt:lpwstr>Internal Use Only</vt:lpwstr>
  </property>
  <property fmtid="{D5CDD505-2E9C-101B-9397-08002B2CF9AE}" pid="10" name="MSIP_Label_e3ac3a1a-de19-428b-b395-6d250d7743fb_SiteId">
    <vt:lpwstr>88cc5fd7-fd78-44b6-ad75-b6915088974f</vt:lpwstr>
  </property>
  <property fmtid="{D5CDD505-2E9C-101B-9397-08002B2CF9AE}" pid="11" name="MSIP_Label_e3ac3a1a-de19-428b-b395-6d250d7743fb_ActionId">
    <vt:lpwstr>f8d448ca-1982-4971-b200-e936a4100996</vt:lpwstr>
  </property>
  <property fmtid="{D5CDD505-2E9C-101B-9397-08002B2CF9AE}" pid="12" name="MSIP_Label_e3ac3a1a-de19-428b-b395-6d250d7743fb_ContentBits">
    <vt:lpwstr>0</vt:lpwstr>
  </property>
</Properties>
</file>