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E2" w:rsidRPr="00666A73" w:rsidRDefault="004476E2" w:rsidP="004476E2">
      <w:pPr>
        <w:jc w:val="center"/>
        <w:rPr>
          <w:rFonts w:ascii="Times New Roman" w:hAnsi="Times New Roman"/>
          <w:b/>
          <w:sz w:val="26"/>
          <w:szCs w:val="26"/>
        </w:rPr>
      </w:pPr>
      <w:r w:rsidRPr="00666A73">
        <w:rPr>
          <w:rFonts w:ascii="Times New Roman" w:hAnsi="Times New Roman"/>
          <w:b/>
          <w:sz w:val="26"/>
          <w:szCs w:val="26"/>
        </w:rPr>
        <w:t>BEFORE</w:t>
      </w:r>
    </w:p>
    <w:p w:rsidR="004476E2" w:rsidRPr="00666A73" w:rsidRDefault="004476E2" w:rsidP="004476E2">
      <w:pPr>
        <w:jc w:val="center"/>
        <w:rPr>
          <w:rFonts w:ascii="Times New Roman" w:hAnsi="Times New Roman"/>
          <w:b/>
          <w:sz w:val="26"/>
          <w:szCs w:val="26"/>
        </w:rPr>
      </w:pPr>
      <w:r w:rsidRPr="00666A73">
        <w:rPr>
          <w:rFonts w:ascii="Times New Roman" w:hAnsi="Times New Roman"/>
          <w:b/>
          <w:sz w:val="26"/>
          <w:szCs w:val="26"/>
        </w:rPr>
        <w:t>THE PUBLIC UTILITIES COMMISSION OF OHIO</w:t>
      </w:r>
    </w:p>
    <w:p w:rsidR="004476E2" w:rsidRPr="00666A73" w:rsidRDefault="004476E2" w:rsidP="004476E2">
      <w:pPr>
        <w:jc w:val="both"/>
        <w:rPr>
          <w:rFonts w:ascii="Times New Roman" w:hAnsi="Times New Roman"/>
          <w:b/>
          <w:sz w:val="26"/>
          <w:szCs w:val="26"/>
        </w:rPr>
      </w:pPr>
    </w:p>
    <w:p w:rsidR="004476E2" w:rsidRPr="00666A73" w:rsidRDefault="004476E2" w:rsidP="004476E2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456"/>
        <w:gridCol w:w="3885"/>
      </w:tblGrid>
      <w:tr w:rsidR="004476E2" w:rsidRPr="00666A73">
        <w:tc>
          <w:tcPr>
            <w:tcW w:w="4608" w:type="dxa"/>
          </w:tcPr>
          <w:p w:rsidR="004476E2" w:rsidRPr="00666A73" w:rsidRDefault="004476E2" w:rsidP="00666A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A73">
              <w:rPr>
                <w:rFonts w:ascii="Times New Roman" w:hAnsi="Times New Roman"/>
                <w:sz w:val="26"/>
                <w:szCs w:val="26"/>
              </w:rPr>
              <w:t>In the Matter of</w:t>
            </w:r>
            <w:r w:rsidR="00666A73" w:rsidRPr="00666A73">
              <w:rPr>
                <w:rFonts w:ascii="Times New Roman" w:hAnsi="Times New Roman"/>
                <w:sz w:val="26"/>
                <w:szCs w:val="26"/>
              </w:rPr>
              <w:t xml:space="preserve"> Jim Schnoll</w:t>
            </w:r>
            <w:r w:rsidR="001E3CD7" w:rsidRPr="00666A73">
              <w:rPr>
                <w:rFonts w:ascii="Times New Roman" w:hAnsi="Times New Roman"/>
                <w:sz w:val="26"/>
                <w:szCs w:val="26"/>
              </w:rPr>
              <w:t xml:space="preserve">, Notice of Apparent Violation and Intent to Assess Forfeiture.  </w:t>
            </w:r>
          </w:p>
        </w:tc>
        <w:tc>
          <w:tcPr>
            <w:tcW w:w="456" w:type="dxa"/>
          </w:tcPr>
          <w:p w:rsidR="004476E2" w:rsidRPr="00666A73" w:rsidRDefault="001E3CD7" w:rsidP="0044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A7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476E2" w:rsidRPr="00666A73" w:rsidRDefault="001E3CD7" w:rsidP="0044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A7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476E2" w:rsidRPr="00666A73" w:rsidRDefault="001E3CD7" w:rsidP="0044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A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85" w:type="dxa"/>
          </w:tcPr>
          <w:p w:rsidR="004476E2" w:rsidRPr="00666A73" w:rsidRDefault="00666A73" w:rsidP="004476E2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A73">
              <w:rPr>
                <w:rFonts w:ascii="Times New Roman" w:hAnsi="Times New Roman"/>
                <w:sz w:val="26"/>
                <w:szCs w:val="26"/>
              </w:rPr>
              <w:t>Case No. 13-1408</w:t>
            </w:r>
            <w:r w:rsidR="004476E2" w:rsidRPr="00666A73">
              <w:rPr>
                <w:rFonts w:ascii="Times New Roman" w:hAnsi="Times New Roman"/>
                <w:sz w:val="26"/>
                <w:szCs w:val="26"/>
              </w:rPr>
              <w:t>-TR-CVF</w:t>
            </w:r>
          </w:p>
        </w:tc>
      </w:tr>
    </w:tbl>
    <w:p w:rsidR="004476E2" w:rsidRDefault="004476E2" w:rsidP="004476E2">
      <w:pPr>
        <w:tabs>
          <w:tab w:val="left" w:pos="9360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63B48" w:rsidRDefault="00563B48" w:rsidP="004476E2">
      <w:pPr>
        <w:tabs>
          <w:tab w:val="left" w:pos="9360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63B48" w:rsidRDefault="00563B48" w:rsidP="004476E2">
      <w:pPr>
        <w:tabs>
          <w:tab w:val="left" w:pos="9360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63B48" w:rsidRPr="00666A73" w:rsidRDefault="00563B48" w:rsidP="004476E2">
      <w:pPr>
        <w:tabs>
          <w:tab w:val="left" w:pos="9360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476E2" w:rsidRPr="00666A73" w:rsidRDefault="004476E2" w:rsidP="004476E2">
      <w:pPr>
        <w:tabs>
          <w:tab w:val="left" w:pos="9360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66A73">
        <w:rPr>
          <w:rFonts w:ascii="Times New Roman" w:hAnsi="Times New Roman"/>
          <w:b/>
          <w:sz w:val="26"/>
          <w:szCs w:val="26"/>
          <w:u w:val="single"/>
        </w:rPr>
        <w:tab/>
      </w:r>
    </w:p>
    <w:p w:rsidR="004476E2" w:rsidRPr="00666A73" w:rsidRDefault="004476E2" w:rsidP="004476E2">
      <w:pPr>
        <w:tabs>
          <w:tab w:val="left" w:pos="9360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476E2" w:rsidRPr="00666A73" w:rsidRDefault="004476E2" w:rsidP="004476E2">
      <w:pPr>
        <w:tabs>
          <w:tab w:val="lef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666A73">
        <w:rPr>
          <w:rFonts w:ascii="Times New Roman" w:hAnsi="Times New Roman"/>
          <w:b/>
          <w:sz w:val="26"/>
          <w:szCs w:val="26"/>
        </w:rPr>
        <w:t>POST-HEARING BRIEF</w:t>
      </w:r>
    </w:p>
    <w:p w:rsidR="004476E2" w:rsidRPr="00666A73" w:rsidRDefault="004476E2" w:rsidP="004476E2">
      <w:pPr>
        <w:tabs>
          <w:tab w:val="lef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666A73">
        <w:rPr>
          <w:rFonts w:ascii="Times New Roman" w:hAnsi="Times New Roman"/>
          <w:b/>
          <w:sz w:val="26"/>
          <w:szCs w:val="26"/>
        </w:rPr>
        <w:t>SUBMITTED ON BEHALF OF THE STAFF OF</w:t>
      </w:r>
    </w:p>
    <w:p w:rsidR="004476E2" w:rsidRPr="00666A73" w:rsidRDefault="004476E2" w:rsidP="004476E2">
      <w:pPr>
        <w:tabs>
          <w:tab w:val="lef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666A73">
        <w:rPr>
          <w:rFonts w:ascii="Times New Roman" w:hAnsi="Times New Roman"/>
          <w:b/>
          <w:sz w:val="26"/>
          <w:szCs w:val="26"/>
        </w:rPr>
        <w:t>THE PUBLIC UTILITIES COMMISSION OF OHIO</w:t>
      </w:r>
    </w:p>
    <w:p w:rsidR="004476E2" w:rsidRPr="00666A73" w:rsidRDefault="004476E2" w:rsidP="004476E2">
      <w:pPr>
        <w:tabs>
          <w:tab w:val="left" w:pos="9360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66A73">
        <w:rPr>
          <w:rFonts w:ascii="Times New Roman" w:hAnsi="Times New Roman"/>
          <w:b/>
          <w:sz w:val="26"/>
          <w:szCs w:val="26"/>
          <w:u w:val="single"/>
        </w:rPr>
        <w:tab/>
      </w:r>
    </w:p>
    <w:p w:rsidR="004476E2" w:rsidRPr="00666A73" w:rsidRDefault="004476E2" w:rsidP="007C0CF9">
      <w:pPr>
        <w:pStyle w:val="text"/>
      </w:pPr>
    </w:p>
    <w:p w:rsidR="004476E2" w:rsidRPr="00666A73" w:rsidRDefault="004476E2" w:rsidP="007C0CF9">
      <w:pPr>
        <w:pStyle w:val="text"/>
      </w:pPr>
    </w:p>
    <w:p w:rsidR="001E3CD7" w:rsidRPr="00666A73" w:rsidRDefault="00BD14B6" w:rsidP="001E3CD7">
      <w:pPr>
        <w:spacing w:after="200"/>
        <w:ind w:left="4219" w:firstLine="835"/>
        <w:rPr>
          <w:rFonts w:ascii="Times New Roman" w:hAnsi="Times New Roman"/>
          <w:sz w:val="26"/>
          <w:szCs w:val="26"/>
        </w:rPr>
      </w:pPr>
      <w:r w:rsidRPr="00666A73">
        <w:rPr>
          <w:rFonts w:ascii="Times New Roman" w:hAnsi="Times New Roman"/>
          <w:b/>
          <w:sz w:val="26"/>
          <w:szCs w:val="26"/>
        </w:rPr>
        <w:t>Michael</w:t>
      </w:r>
      <w:r w:rsidR="001E3CD7" w:rsidRPr="00666A73">
        <w:rPr>
          <w:rFonts w:ascii="Times New Roman" w:hAnsi="Times New Roman"/>
          <w:b/>
          <w:sz w:val="26"/>
          <w:szCs w:val="26"/>
        </w:rPr>
        <w:t xml:space="preserve"> DeWine </w:t>
      </w:r>
      <w:r w:rsidR="001E3CD7" w:rsidRPr="00666A73">
        <w:rPr>
          <w:rFonts w:ascii="Times New Roman" w:hAnsi="Times New Roman"/>
          <w:b/>
          <w:sz w:val="26"/>
          <w:szCs w:val="26"/>
        </w:rPr>
        <w:tab/>
      </w:r>
      <w:r w:rsidR="001E3CD7" w:rsidRPr="00666A73">
        <w:rPr>
          <w:rFonts w:ascii="Times New Roman" w:hAnsi="Times New Roman"/>
          <w:b/>
          <w:sz w:val="26"/>
          <w:szCs w:val="26"/>
        </w:rPr>
        <w:tab/>
      </w:r>
      <w:r w:rsidR="001E3CD7" w:rsidRPr="00666A73">
        <w:rPr>
          <w:rFonts w:ascii="Times New Roman" w:hAnsi="Times New Roman"/>
          <w:b/>
          <w:sz w:val="26"/>
          <w:szCs w:val="26"/>
        </w:rPr>
        <w:tab/>
      </w:r>
      <w:r w:rsidR="001E3CD7" w:rsidRPr="00666A73">
        <w:rPr>
          <w:rFonts w:ascii="Times New Roman" w:hAnsi="Times New Roman"/>
          <w:b/>
          <w:sz w:val="26"/>
          <w:szCs w:val="26"/>
        </w:rPr>
        <w:tab/>
      </w:r>
      <w:r w:rsidR="001E3CD7" w:rsidRPr="00666A73">
        <w:rPr>
          <w:rFonts w:ascii="Times New Roman" w:hAnsi="Times New Roman"/>
          <w:b/>
          <w:sz w:val="26"/>
          <w:szCs w:val="26"/>
        </w:rPr>
        <w:tab/>
      </w:r>
      <w:r w:rsidR="001E3CD7" w:rsidRPr="00666A73">
        <w:rPr>
          <w:rFonts w:ascii="Times New Roman" w:hAnsi="Times New Roman"/>
          <w:b/>
          <w:sz w:val="26"/>
          <w:szCs w:val="26"/>
        </w:rPr>
        <w:tab/>
      </w:r>
      <w:r w:rsidR="001E3CD7" w:rsidRPr="00666A73">
        <w:rPr>
          <w:rFonts w:ascii="Times New Roman" w:hAnsi="Times New Roman"/>
          <w:sz w:val="26"/>
          <w:szCs w:val="26"/>
        </w:rPr>
        <w:t>Ohio Attorney General</w:t>
      </w:r>
    </w:p>
    <w:p w:rsidR="001E3CD7" w:rsidRPr="00666A73" w:rsidRDefault="001E3CD7" w:rsidP="001E3CD7">
      <w:pPr>
        <w:ind w:left="-108"/>
        <w:rPr>
          <w:rFonts w:ascii="Times New Roman" w:hAnsi="Times New Roman"/>
          <w:sz w:val="26"/>
          <w:szCs w:val="26"/>
        </w:rPr>
      </w:pPr>
    </w:p>
    <w:p w:rsidR="001E3CD7" w:rsidRPr="00666A73" w:rsidRDefault="001E3CD7" w:rsidP="001E3CD7">
      <w:pPr>
        <w:ind w:left="4932" w:firstLine="108"/>
        <w:rPr>
          <w:rFonts w:ascii="Times New Roman" w:hAnsi="Times New Roman"/>
          <w:b/>
          <w:sz w:val="26"/>
          <w:szCs w:val="26"/>
        </w:rPr>
      </w:pPr>
      <w:r w:rsidRPr="00666A73">
        <w:rPr>
          <w:rFonts w:ascii="Times New Roman" w:hAnsi="Times New Roman"/>
          <w:b/>
          <w:sz w:val="26"/>
          <w:szCs w:val="26"/>
        </w:rPr>
        <w:t>William L. Wright</w:t>
      </w:r>
    </w:p>
    <w:p w:rsidR="001E3CD7" w:rsidRPr="00666A73" w:rsidRDefault="001E3CD7" w:rsidP="001E3CD7">
      <w:pPr>
        <w:ind w:left="4212" w:firstLine="828"/>
        <w:rPr>
          <w:rFonts w:ascii="Times New Roman" w:hAnsi="Times New Roman"/>
          <w:sz w:val="26"/>
          <w:szCs w:val="26"/>
        </w:rPr>
      </w:pPr>
      <w:r w:rsidRPr="00666A73">
        <w:rPr>
          <w:rFonts w:ascii="Times New Roman" w:hAnsi="Times New Roman"/>
          <w:sz w:val="26"/>
          <w:szCs w:val="26"/>
        </w:rPr>
        <w:t>Section Chief, Public Utilities Section</w:t>
      </w:r>
    </w:p>
    <w:p w:rsidR="001E3CD7" w:rsidRPr="00666A73" w:rsidRDefault="001E3CD7" w:rsidP="001E3CD7">
      <w:pPr>
        <w:ind w:left="-108"/>
        <w:rPr>
          <w:rFonts w:ascii="Times New Roman" w:hAnsi="Times New Roman"/>
          <w:sz w:val="26"/>
          <w:szCs w:val="26"/>
        </w:rPr>
      </w:pPr>
    </w:p>
    <w:p w:rsidR="001E3CD7" w:rsidRPr="00666A73" w:rsidRDefault="001E3CD7" w:rsidP="001E3CD7">
      <w:pPr>
        <w:ind w:left="4212" w:firstLine="828"/>
        <w:rPr>
          <w:rFonts w:ascii="Times New Roman" w:hAnsi="Times New Roman"/>
          <w:sz w:val="26"/>
          <w:szCs w:val="26"/>
        </w:rPr>
      </w:pPr>
      <w:r w:rsidRPr="00666A73">
        <w:rPr>
          <w:rFonts w:ascii="Times New Roman" w:hAnsi="Times New Roman"/>
          <w:b/>
          <w:sz w:val="26"/>
          <w:szCs w:val="26"/>
        </w:rPr>
        <w:t>Steven L. Beeler</w:t>
      </w:r>
      <w:r w:rsidRPr="00666A73">
        <w:rPr>
          <w:rFonts w:ascii="Times New Roman" w:hAnsi="Times New Roman"/>
          <w:sz w:val="26"/>
          <w:szCs w:val="26"/>
        </w:rPr>
        <w:t xml:space="preserve"> </w:t>
      </w:r>
    </w:p>
    <w:p w:rsidR="001E3CD7" w:rsidRPr="00666A73" w:rsidRDefault="001E3CD7" w:rsidP="001E3CD7">
      <w:pPr>
        <w:ind w:left="4212" w:firstLine="828"/>
        <w:rPr>
          <w:rFonts w:ascii="Times New Roman" w:hAnsi="Times New Roman"/>
          <w:sz w:val="26"/>
          <w:szCs w:val="26"/>
        </w:rPr>
      </w:pPr>
      <w:r w:rsidRPr="00666A73">
        <w:rPr>
          <w:rFonts w:ascii="Times New Roman" w:hAnsi="Times New Roman"/>
          <w:sz w:val="26"/>
          <w:szCs w:val="26"/>
        </w:rPr>
        <w:t>Assistant Attorney General</w:t>
      </w:r>
    </w:p>
    <w:p w:rsidR="001E3CD7" w:rsidRPr="00666A73" w:rsidRDefault="001E3CD7" w:rsidP="001E3CD7">
      <w:pPr>
        <w:ind w:left="4212" w:firstLine="828"/>
        <w:rPr>
          <w:rFonts w:ascii="Times New Roman" w:hAnsi="Times New Roman"/>
          <w:sz w:val="26"/>
          <w:szCs w:val="26"/>
        </w:rPr>
      </w:pPr>
      <w:r w:rsidRPr="00666A73">
        <w:rPr>
          <w:rFonts w:ascii="Times New Roman" w:hAnsi="Times New Roman"/>
          <w:sz w:val="26"/>
          <w:szCs w:val="26"/>
        </w:rPr>
        <w:t>180 East Broad Street, 6</w:t>
      </w:r>
      <w:r w:rsidRPr="00666A73">
        <w:rPr>
          <w:rFonts w:ascii="Times New Roman" w:hAnsi="Times New Roman"/>
          <w:sz w:val="26"/>
          <w:szCs w:val="26"/>
          <w:vertAlign w:val="superscript"/>
        </w:rPr>
        <w:t>th</w:t>
      </w:r>
      <w:r w:rsidRPr="00666A73">
        <w:rPr>
          <w:rFonts w:ascii="Times New Roman" w:hAnsi="Times New Roman"/>
          <w:sz w:val="26"/>
          <w:szCs w:val="26"/>
        </w:rPr>
        <w:t xml:space="preserve"> floor  </w:t>
      </w:r>
    </w:p>
    <w:p w:rsidR="001E3CD7" w:rsidRPr="00666A73" w:rsidRDefault="001E3CD7" w:rsidP="001E3CD7">
      <w:pPr>
        <w:ind w:left="4212" w:firstLine="828"/>
        <w:rPr>
          <w:rFonts w:ascii="Times New Roman" w:hAnsi="Times New Roman"/>
          <w:sz w:val="26"/>
          <w:szCs w:val="26"/>
        </w:rPr>
      </w:pPr>
      <w:r w:rsidRPr="00666A73">
        <w:rPr>
          <w:rFonts w:ascii="Times New Roman" w:hAnsi="Times New Roman"/>
          <w:sz w:val="26"/>
          <w:szCs w:val="26"/>
        </w:rPr>
        <w:t>Columbus, Ohio 43215-3739</w:t>
      </w:r>
    </w:p>
    <w:p w:rsidR="001E3CD7" w:rsidRPr="00666A73" w:rsidRDefault="001E3CD7" w:rsidP="001E3CD7">
      <w:pPr>
        <w:ind w:left="4212" w:firstLine="828"/>
        <w:rPr>
          <w:rFonts w:ascii="Times New Roman" w:hAnsi="Times New Roman"/>
          <w:sz w:val="26"/>
          <w:szCs w:val="26"/>
        </w:rPr>
      </w:pPr>
      <w:r w:rsidRPr="00666A73">
        <w:rPr>
          <w:rFonts w:ascii="Times New Roman" w:hAnsi="Times New Roman"/>
          <w:sz w:val="26"/>
          <w:szCs w:val="26"/>
        </w:rPr>
        <w:t>Telephone: (614) 466-4396</w:t>
      </w:r>
    </w:p>
    <w:p w:rsidR="001E3CD7" w:rsidRPr="00666A73" w:rsidRDefault="001E3CD7" w:rsidP="001E3CD7">
      <w:pPr>
        <w:ind w:left="4212" w:firstLine="828"/>
        <w:rPr>
          <w:rFonts w:ascii="Times New Roman" w:hAnsi="Times New Roman"/>
          <w:sz w:val="26"/>
          <w:szCs w:val="26"/>
        </w:rPr>
      </w:pPr>
      <w:r w:rsidRPr="00666A73">
        <w:rPr>
          <w:rFonts w:ascii="Times New Roman" w:hAnsi="Times New Roman"/>
          <w:sz w:val="26"/>
          <w:szCs w:val="26"/>
        </w:rPr>
        <w:t>Facsimile: (614) 644-8764</w:t>
      </w:r>
    </w:p>
    <w:p w:rsidR="001E3CD7" w:rsidRPr="00666A73" w:rsidRDefault="001E3CD7" w:rsidP="001E3CD7">
      <w:pPr>
        <w:ind w:left="4932" w:firstLine="108"/>
        <w:rPr>
          <w:rFonts w:ascii="Times New Roman" w:hAnsi="Times New Roman"/>
          <w:sz w:val="26"/>
          <w:szCs w:val="26"/>
        </w:rPr>
      </w:pPr>
      <w:r w:rsidRPr="00666A73">
        <w:rPr>
          <w:rFonts w:ascii="Times New Roman" w:hAnsi="Times New Roman"/>
          <w:sz w:val="26"/>
          <w:szCs w:val="26"/>
        </w:rPr>
        <w:t>steven.beeler@puc.state.oh.us</w:t>
      </w:r>
    </w:p>
    <w:p w:rsidR="001E3CD7" w:rsidRPr="00666A73" w:rsidRDefault="001E3CD7" w:rsidP="001E3CD7">
      <w:pPr>
        <w:ind w:left="-108"/>
        <w:rPr>
          <w:rFonts w:ascii="Times New Roman" w:hAnsi="Times New Roman"/>
          <w:sz w:val="26"/>
          <w:szCs w:val="26"/>
        </w:rPr>
      </w:pPr>
    </w:p>
    <w:p w:rsidR="001E3CD7" w:rsidRPr="00666A73" w:rsidRDefault="001E3CD7" w:rsidP="001E3CD7">
      <w:pPr>
        <w:ind w:left="4212" w:firstLine="828"/>
        <w:rPr>
          <w:rFonts w:ascii="Times New Roman" w:hAnsi="Times New Roman"/>
          <w:b/>
          <w:bCs/>
          <w:sz w:val="26"/>
          <w:szCs w:val="26"/>
        </w:rPr>
      </w:pPr>
      <w:r w:rsidRPr="00666A73">
        <w:rPr>
          <w:rFonts w:ascii="Times New Roman" w:hAnsi="Times New Roman"/>
          <w:b/>
          <w:bCs/>
          <w:sz w:val="26"/>
          <w:szCs w:val="26"/>
        </w:rPr>
        <w:t>Counsel for the Staff of the</w:t>
      </w:r>
    </w:p>
    <w:p w:rsidR="001E3CD7" w:rsidRPr="00666A73" w:rsidRDefault="001E3CD7" w:rsidP="001E3CD7">
      <w:pPr>
        <w:ind w:left="4212" w:firstLine="828"/>
        <w:rPr>
          <w:rFonts w:ascii="Times New Roman" w:hAnsi="Times New Roman"/>
          <w:b/>
          <w:bCs/>
          <w:sz w:val="26"/>
          <w:szCs w:val="26"/>
        </w:rPr>
      </w:pPr>
      <w:r w:rsidRPr="00666A73">
        <w:rPr>
          <w:rFonts w:ascii="Times New Roman" w:hAnsi="Times New Roman"/>
          <w:b/>
          <w:bCs/>
          <w:sz w:val="26"/>
          <w:szCs w:val="26"/>
        </w:rPr>
        <w:t>Public Utilities Commission of Ohio</w:t>
      </w:r>
    </w:p>
    <w:p w:rsidR="004476E2" w:rsidRPr="00666A73" w:rsidRDefault="004476E2" w:rsidP="004476E2">
      <w:pPr>
        <w:jc w:val="both"/>
        <w:rPr>
          <w:rFonts w:ascii="Times New Roman" w:hAnsi="Times New Roman"/>
          <w:sz w:val="26"/>
          <w:szCs w:val="26"/>
        </w:rPr>
      </w:pPr>
    </w:p>
    <w:p w:rsidR="004476E2" w:rsidRPr="00666A73" w:rsidRDefault="004476E2" w:rsidP="004476E2">
      <w:pPr>
        <w:jc w:val="both"/>
        <w:rPr>
          <w:rFonts w:ascii="Times New Roman" w:hAnsi="Times New Roman"/>
          <w:sz w:val="26"/>
          <w:szCs w:val="26"/>
        </w:rPr>
      </w:pPr>
    </w:p>
    <w:p w:rsidR="004476E2" w:rsidRDefault="004476E2" w:rsidP="004476E2">
      <w:pPr>
        <w:jc w:val="both"/>
        <w:rPr>
          <w:rFonts w:ascii="Times New Roman" w:hAnsi="Times New Roman"/>
          <w:sz w:val="26"/>
          <w:szCs w:val="26"/>
        </w:rPr>
      </w:pPr>
    </w:p>
    <w:p w:rsidR="00563B48" w:rsidRPr="00666A73" w:rsidRDefault="00563B48" w:rsidP="004476E2">
      <w:pPr>
        <w:jc w:val="both"/>
        <w:rPr>
          <w:rFonts w:ascii="Times New Roman" w:hAnsi="Times New Roman"/>
          <w:sz w:val="26"/>
          <w:szCs w:val="26"/>
        </w:rPr>
      </w:pPr>
    </w:p>
    <w:p w:rsidR="004476E2" w:rsidRPr="00666A73" w:rsidRDefault="00666A73" w:rsidP="004476E2">
      <w:pPr>
        <w:jc w:val="both"/>
        <w:rPr>
          <w:rFonts w:ascii="Times New Roman" w:hAnsi="Times New Roman"/>
          <w:sz w:val="26"/>
          <w:szCs w:val="26"/>
        </w:rPr>
      </w:pPr>
      <w:r w:rsidRPr="00666A73">
        <w:rPr>
          <w:rFonts w:ascii="Times New Roman" w:hAnsi="Times New Roman"/>
          <w:sz w:val="26"/>
          <w:szCs w:val="26"/>
        </w:rPr>
        <w:t>Date Submitted: October 15, 2013</w:t>
      </w:r>
    </w:p>
    <w:p w:rsidR="004476E2" w:rsidRPr="00666A73" w:rsidRDefault="004476E2" w:rsidP="004476E2">
      <w:pPr>
        <w:pStyle w:val="TOC1"/>
        <w:ind w:left="0" w:firstLine="0"/>
        <w:rPr>
          <w:szCs w:val="26"/>
        </w:rPr>
        <w:sectPr w:rsidR="004476E2" w:rsidRPr="00666A73" w:rsidSect="004476E2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4F55EC" w:rsidRDefault="00C0726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  <w:szCs w:val="26"/>
        </w:rPr>
        <w:lastRenderedPageBreak/>
        <w:fldChar w:fldCharType="begin"/>
      </w:r>
      <w:r>
        <w:rPr>
          <w:b/>
          <w:szCs w:val="26"/>
        </w:rPr>
        <w:instrText xml:space="preserve"> TOC \o "1-3" \u </w:instrText>
      </w:r>
      <w:r>
        <w:rPr>
          <w:b/>
          <w:szCs w:val="26"/>
        </w:rPr>
        <w:fldChar w:fldCharType="separate"/>
      </w:r>
      <w:r w:rsidR="004F55EC">
        <w:t>I.</w:t>
      </w:r>
      <w:r w:rsidR="004F55EC">
        <w:rPr>
          <w:rFonts w:asciiTheme="minorHAnsi" w:eastAsiaTheme="minorEastAsia" w:hAnsiTheme="minorHAnsi" w:cstheme="minorBidi"/>
          <w:sz w:val="22"/>
          <w:szCs w:val="22"/>
        </w:rPr>
        <w:tab/>
      </w:r>
      <w:r w:rsidR="004F55EC">
        <w:t>INTRODUCTION</w:t>
      </w:r>
      <w:r w:rsidR="004F55EC">
        <w:tab/>
      </w:r>
      <w:r w:rsidR="004F55EC">
        <w:fldChar w:fldCharType="begin"/>
      </w:r>
      <w:r w:rsidR="004F55EC">
        <w:instrText xml:space="preserve"> PAGEREF _Toc369590523 \h </w:instrText>
      </w:r>
      <w:r w:rsidR="004F55EC">
        <w:fldChar w:fldCharType="separate"/>
      </w:r>
      <w:r w:rsidR="004F55EC">
        <w:t>1</w:t>
      </w:r>
      <w:r w:rsidR="004F55EC">
        <w:fldChar w:fldCharType="end"/>
      </w:r>
    </w:p>
    <w:p w:rsidR="004F55EC" w:rsidRDefault="004F55EC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t>II.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STATEMENT OF FACTS</w:t>
      </w:r>
      <w:r>
        <w:tab/>
      </w:r>
      <w:r>
        <w:fldChar w:fldCharType="begin"/>
      </w:r>
      <w:r>
        <w:instrText xml:space="preserve"> PAGEREF _Toc369590524 \h </w:instrText>
      </w:r>
      <w:r>
        <w:fldChar w:fldCharType="separate"/>
      </w:r>
      <w:r>
        <w:t>2</w:t>
      </w:r>
      <w:r>
        <w:fldChar w:fldCharType="end"/>
      </w:r>
    </w:p>
    <w:p w:rsidR="004F55EC" w:rsidRDefault="004F55EC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Procedural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_Toc369590525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F55EC" w:rsidRDefault="004F55EC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Factual Background.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_Toc369590526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F55EC" w:rsidRDefault="004F55EC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t>III.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LAW AND ARGUMENT</w:t>
      </w:r>
      <w:r>
        <w:tab/>
      </w:r>
      <w:bookmarkStart w:id="0" w:name="_GoBack"/>
      <w:bookmarkEnd w:id="0"/>
      <w:r>
        <w:fldChar w:fldCharType="begin"/>
      </w:r>
      <w:r>
        <w:instrText xml:space="preserve"> PAGEREF _Toc369590527 \h </w:instrText>
      </w:r>
      <w:r>
        <w:fldChar w:fldCharType="separate"/>
      </w:r>
      <w:r>
        <w:t>4</w:t>
      </w:r>
      <w:r>
        <w:fldChar w:fldCharType="end"/>
      </w:r>
    </w:p>
    <w:p w:rsidR="004F55EC" w:rsidRDefault="004F55EC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Motor carriers must comply with the motor carrier safety regulations.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_Toc369590528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F55EC" w:rsidRDefault="004F55EC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Respondent did not comply with the regulations as they relate to securement.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_Toc369590529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F55EC" w:rsidRDefault="004F55EC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Respondent operated a motor vehicle with an unsecure load in violation of 49 C.F.R. § 392.9(a)(1).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_Toc369590530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F55EC" w:rsidRDefault="004F55EC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Respondent failed to defend and rebut the Staff’s evidence.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_Toc369590531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F55EC" w:rsidRDefault="004F55EC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As the motor carrier, Respondent, not the driver, is responsible for securement violations.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_Toc369590532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F55EC" w:rsidRDefault="004F55EC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The Commission Has Authority To Assess Civil Forfeitures.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_Toc369590533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4F55EC" w:rsidRDefault="004F55EC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t>IV.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CONCLUSION</w:t>
      </w:r>
      <w:r>
        <w:tab/>
      </w:r>
      <w:r>
        <w:fldChar w:fldCharType="begin"/>
      </w:r>
      <w:r>
        <w:instrText xml:space="preserve"> PAGEREF _Toc369590534 \h </w:instrText>
      </w:r>
      <w:r>
        <w:fldChar w:fldCharType="separate"/>
      </w:r>
      <w:r>
        <w:t>15</w:t>
      </w:r>
      <w:r>
        <w:fldChar w:fldCharType="end"/>
      </w:r>
    </w:p>
    <w:p w:rsidR="004F55EC" w:rsidRDefault="004F55EC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t>CERTIFICATE OF SERVICE</w:t>
      </w:r>
      <w:r>
        <w:tab/>
      </w:r>
      <w:r>
        <w:fldChar w:fldCharType="begin"/>
      </w:r>
      <w:r>
        <w:instrText xml:space="preserve"> PAGEREF _Toc369590535 \h </w:instrText>
      </w:r>
      <w:r>
        <w:fldChar w:fldCharType="separate"/>
      </w:r>
      <w:r>
        <w:t>16</w:t>
      </w:r>
      <w:r>
        <w:fldChar w:fldCharType="end"/>
      </w:r>
    </w:p>
    <w:p w:rsidR="000249F5" w:rsidRPr="00666A73" w:rsidRDefault="00C07263" w:rsidP="004476E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0249F5" w:rsidRPr="00666A73" w:rsidRDefault="000249F5" w:rsidP="004476E2">
      <w:pPr>
        <w:jc w:val="both"/>
        <w:rPr>
          <w:rFonts w:ascii="Times New Roman" w:hAnsi="Times New Roman"/>
          <w:b/>
          <w:sz w:val="26"/>
          <w:szCs w:val="26"/>
        </w:rPr>
      </w:pPr>
    </w:p>
    <w:p w:rsidR="000249F5" w:rsidRPr="00666A73" w:rsidRDefault="000249F5" w:rsidP="004476E2">
      <w:pPr>
        <w:jc w:val="both"/>
        <w:rPr>
          <w:rFonts w:ascii="Times New Roman" w:hAnsi="Times New Roman"/>
          <w:b/>
          <w:sz w:val="26"/>
          <w:szCs w:val="26"/>
        </w:rPr>
        <w:sectPr w:rsidR="000249F5" w:rsidRPr="00666A73" w:rsidSect="00E71CF5">
          <w:head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:rsidR="001E3CD7" w:rsidRPr="00666A73" w:rsidRDefault="001E3CD7" w:rsidP="001E3CD7">
      <w:pPr>
        <w:jc w:val="center"/>
        <w:rPr>
          <w:rFonts w:ascii="Times New Roman" w:hAnsi="Times New Roman"/>
          <w:b/>
          <w:sz w:val="26"/>
          <w:szCs w:val="26"/>
        </w:rPr>
      </w:pPr>
      <w:bookmarkStart w:id="1" w:name="_Toc513537031"/>
      <w:bookmarkStart w:id="2" w:name="_Toc536501191"/>
      <w:r w:rsidRPr="00666A73">
        <w:rPr>
          <w:rFonts w:ascii="Times New Roman" w:hAnsi="Times New Roman"/>
          <w:b/>
          <w:sz w:val="26"/>
          <w:szCs w:val="26"/>
        </w:rPr>
        <w:lastRenderedPageBreak/>
        <w:t>BEFORE</w:t>
      </w:r>
    </w:p>
    <w:p w:rsidR="001E3CD7" w:rsidRPr="00666A73" w:rsidRDefault="001E3CD7" w:rsidP="001E3CD7">
      <w:pPr>
        <w:jc w:val="center"/>
        <w:rPr>
          <w:rFonts w:ascii="Times New Roman" w:hAnsi="Times New Roman"/>
          <w:b/>
          <w:sz w:val="26"/>
          <w:szCs w:val="26"/>
        </w:rPr>
      </w:pPr>
      <w:r w:rsidRPr="00666A73">
        <w:rPr>
          <w:rFonts w:ascii="Times New Roman" w:hAnsi="Times New Roman"/>
          <w:b/>
          <w:sz w:val="26"/>
          <w:szCs w:val="26"/>
        </w:rPr>
        <w:t>THE PUBLIC UTILITIES COMMISSION OF OHIO</w:t>
      </w:r>
    </w:p>
    <w:p w:rsidR="001E3CD7" w:rsidRPr="00666A73" w:rsidRDefault="001E3CD7" w:rsidP="001E3CD7">
      <w:pPr>
        <w:jc w:val="both"/>
        <w:rPr>
          <w:rFonts w:ascii="Times New Roman" w:hAnsi="Times New Roman"/>
          <w:b/>
          <w:sz w:val="26"/>
          <w:szCs w:val="26"/>
        </w:rPr>
      </w:pPr>
    </w:p>
    <w:p w:rsidR="001E3CD7" w:rsidRPr="00666A73" w:rsidRDefault="001E3CD7" w:rsidP="001E3CD7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456"/>
        <w:gridCol w:w="3885"/>
      </w:tblGrid>
      <w:tr w:rsidR="001E3CD7" w:rsidRPr="00666A73" w:rsidTr="001E3CD7">
        <w:tc>
          <w:tcPr>
            <w:tcW w:w="4608" w:type="dxa"/>
          </w:tcPr>
          <w:p w:rsidR="001E3CD7" w:rsidRPr="00666A73" w:rsidRDefault="001E3CD7" w:rsidP="005B01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A73">
              <w:rPr>
                <w:rFonts w:ascii="Times New Roman" w:hAnsi="Times New Roman"/>
                <w:sz w:val="26"/>
                <w:szCs w:val="26"/>
              </w:rPr>
              <w:t>In the Matter of</w:t>
            </w:r>
            <w:r w:rsidR="005B012E">
              <w:rPr>
                <w:rFonts w:ascii="Times New Roman" w:hAnsi="Times New Roman"/>
                <w:sz w:val="26"/>
                <w:szCs w:val="26"/>
              </w:rPr>
              <w:t xml:space="preserve"> Jim Schnoll</w:t>
            </w:r>
            <w:r w:rsidRPr="00666A73">
              <w:rPr>
                <w:rFonts w:ascii="Times New Roman" w:hAnsi="Times New Roman"/>
                <w:sz w:val="26"/>
                <w:szCs w:val="26"/>
              </w:rPr>
              <w:t xml:space="preserve">, Notice of Apparent Violation and Intent to Assess Forfeiture.  </w:t>
            </w:r>
          </w:p>
        </w:tc>
        <w:tc>
          <w:tcPr>
            <w:tcW w:w="456" w:type="dxa"/>
          </w:tcPr>
          <w:p w:rsidR="001E3CD7" w:rsidRPr="00666A73" w:rsidRDefault="001E3CD7" w:rsidP="001E3C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A7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3CD7" w:rsidRPr="00666A73" w:rsidRDefault="001E3CD7" w:rsidP="001E3C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A7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3CD7" w:rsidRPr="00666A73" w:rsidRDefault="001E3CD7" w:rsidP="001E3C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A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85" w:type="dxa"/>
          </w:tcPr>
          <w:p w:rsidR="001E3CD7" w:rsidRPr="00666A73" w:rsidRDefault="005B012E" w:rsidP="001E3CD7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Case No. 13-1408</w:t>
            </w:r>
            <w:r w:rsidR="001E3CD7" w:rsidRPr="00666A73">
              <w:rPr>
                <w:rFonts w:ascii="Times New Roman" w:hAnsi="Times New Roman"/>
                <w:sz w:val="26"/>
                <w:szCs w:val="26"/>
              </w:rPr>
              <w:t>-TR-CVF</w:t>
            </w:r>
          </w:p>
        </w:tc>
      </w:tr>
    </w:tbl>
    <w:p w:rsidR="001E3CD7" w:rsidRPr="00666A73" w:rsidRDefault="001E3CD7" w:rsidP="001E3CD7">
      <w:pPr>
        <w:tabs>
          <w:tab w:val="left" w:pos="9360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E3CD7" w:rsidRPr="00666A73" w:rsidRDefault="001E3CD7" w:rsidP="001E3CD7">
      <w:pPr>
        <w:tabs>
          <w:tab w:val="left" w:pos="9360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66A73">
        <w:rPr>
          <w:rFonts w:ascii="Times New Roman" w:hAnsi="Times New Roman"/>
          <w:b/>
          <w:sz w:val="26"/>
          <w:szCs w:val="26"/>
          <w:u w:val="single"/>
        </w:rPr>
        <w:tab/>
      </w:r>
    </w:p>
    <w:p w:rsidR="001E3CD7" w:rsidRPr="00666A73" w:rsidRDefault="001E3CD7" w:rsidP="001E3CD7">
      <w:pPr>
        <w:tabs>
          <w:tab w:val="left" w:pos="9360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E3CD7" w:rsidRPr="00666A73" w:rsidRDefault="001E3CD7" w:rsidP="001E3CD7">
      <w:pPr>
        <w:tabs>
          <w:tab w:val="lef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666A73">
        <w:rPr>
          <w:rFonts w:ascii="Times New Roman" w:hAnsi="Times New Roman"/>
          <w:b/>
          <w:sz w:val="26"/>
          <w:szCs w:val="26"/>
        </w:rPr>
        <w:t>POST-HEARING BRIEF</w:t>
      </w:r>
    </w:p>
    <w:p w:rsidR="001E3CD7" w:rsidRPr="00666A73" w:rsidRDefault="001E3CD7" w:rsidP="001E3CD7">
      <w:pPr>
        <w:tabs>
          <w:tab w:val="lef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666A73">
        <w:rPr>
          <w:rFonts w:ascii="Times New Roman" w:hAnsi="Times New Roman"/>
          <w:b/>
          <w:sz w:val="26"/>
          <w:szCs w:val="26"/>
        </w:rPr>
        <w:t>SUBMITTED ON BEHALF OF THE STAFF OF</w:t>
      </w:r>
    </w:p>
    <w:p w:rsidR="001E3CD7" w:rsidRPr="00666A73" w:rsidRDefault="001E3CD7" w:rsidP="001E3CD7">
      <w:pPr>
        <w:tabs>
          <w:tab w:val="lef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666A73">
        <w:rPr>
          <w:rFonts w:ascii="Times New Roman" w:hAnsi="Times New Roman"/>
          <w:b/>
          <w:sz w:val="26"/>
          <w:szCs w:val="26"/>
        </w:rPr>
        <w:t>THE PUBLIC UTILITIES COMMISSION OF OHIO</w:t>
      </w:r>
    </w:p>
    <w:p w:rsidR="001E3CD7" w:rsidRDefault="001E3CD7" w:rsidP="001E3CD7">
      <w:pPr>
        <w:tabs>
          <w:tab w:val="left" w:pos="9360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66A73">
        <w:rPr>
          <w:rFonts w:ascii="Times New Roman" w:hAnsi="Times New Roman"/>
          <w:b/>
          <w:sz w:val="26"/>
          <w:szCs w:val="26"/>
          <w:u w:val="single"/>
        </w:rPr>
        <w:tab/>
      </w:r>
    </w:p>
    <w:p w:rsidR="00563B48" w:rsidRPr="00666A73" w:rsidRDefault="00563B48" w:rsidP="001E3CD7">
      <w:pPr>
        <w:tabs>
          <w:tab w:val="left" w:pos="9360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476E2" w:rsidRPr="00666A73" w:rsidRDefault="004476E2" w:rsidP="00A17B9A">
      <w:pPr>
        <w:pStyle w:val="Heading1"/>
      </w:pPr>
      <w:bookmarkStart w:id="3" w:name="_Toc369590523"/>
      <w:r w:rsidRPr="00666A73">
        <w:t>I.</w:t>
      </w:r>
      <w:r w:rsidRPr="00666A73">
        <w:tab/>
        <w:t>INTRODUCTION</w:t>
      </w:r>
      <w:bookmarkEnd w:id="1"/>
      <w:bookmarkEnd w:id="2"/>
      <w:bookmarkEnd w:id="3"/>
    </w:p>
    <w:p w:rsidR="004476E2" w:rsidRPr="00666A73" w:rsidRDefault="00630256" w:rsidP="007C0CF9">
      <w:pPr>
        <w:pStyle w:val="text"/>
      </w:pPr>
      <w:r>
        <w:tab/>
      </w:r>
      <w:r w:rsidR="007157A1" w:rsidRPr="00666A73">
        <w:t xml:space="preserve">This proceeding arises out of an inspection of a vehicle </w:t>
      </w:r>
      <w:r w:rsidR="00676BD1">
        <w:t>operated</w:t>
      </w:r>
      <w:r w:rsidR="00676BD1" w:rsidRPr="00666A73">
        <w:t xml:space="preserve"> </w:t>
      </w:r>
      <w:r w:rsidR="007157A1" w:rsidRPr="00666A73">
        <w:t>by</w:t>
      </w:r>
      <w:r w:rsidR="00666A73">
        <w:t xml:space="preserve"> Jim Schnoll dba JJEBCO</w:t>
      </w:r>
      <w:r w:rsidR="00CF6E79" w:rsidRPr="00666A73">
        <w:t xml:space="preserve"> </w:t>
      </w:r>
      <w:r w:rsidR="004476E2" w:rsidRPr="00666A73">
        <w:t>(“</w:t>
      </w:r>
      <w:r w:rsidR="00666A73">
        <w:t>JJEBCO</w:t>
      </w:r>
      <w:r w:rsidR="004476E2" w:rsidRPr="00666A73">
        <w:t>” or “Respondent”)</w:t>
      </w:r>
      <w:r w:rsidR="007157A1" w:rsidRPr="00666A73">
        <w:t>.  As a result of the inspection</w:t>
      </w:r>
      <w:r w:rsidR="002B5FC7" w:rsidRPr="00666A73">
        <w:t xml:space="preserve"> performed by an officer of the Ohio State Highway Patrol</w:t>
      </w:r>
      <w:r w:rsidR="007157A1" w:rsidRPr="00666A73">
        <w:t xml:space="preserve">, </w:t>
      </w:r>
      <w:r w:rsidR="00E6759E" w:rsidRPr="00666A73">
        <w:t xml:space="preserve">the </w:t>
      </w:r>
      <w:r w:rsidR="007157A1" w:rsidRPr="00666A73">
        <w:t>Staff of the Public Utilities Commission of Ohio (“Staff”) assessed a civil forfeiture for violations of the F</w:t>
      </w:r>
      <w:r w:rsidR="004476E2" w:rsidRPr="00666A73">
        <w:t xml:space="preserve">ederal </w:t>
      </w:r>
      <w:r w:rsidR="007157A1" w:rsidRPr="00666A73">
        <w:t>M</w:t>
      </w:r>
      <w:r w:rsidR="004476E2" w:rsidRPr="00666A73">
        <w:t xml:space="preserve">otor </w:t>
      </w:r>
      <w:r w:rsidR="007157A1" w:rsidRPr="00666A73">
        <w:t>C</w:t>
      </w:r>
      <w:r w:rsidR="004476E2" w:rsidRPr="00666A73">
        <w:t xml:space="preserve">arrier </w:t>
      </w:r>
      <w:r w:rsidR="007157A1" w:rsidRPr="00666A73">
        <w:t>S</w:t>
      </w:r>
      <w:r w:rsidR="004476E2" w:rsidRPr="00666A73">
        <w:t xml:space="preserve">afety </w:t>
      </w:r>
      <w:r w:rsidR="007157A1" w:rsidRPr="00666A73">
        <w:t>R</w:t>
      </w:r>
      <w:r w:rsidR="004476E2" w:rsidRPr="00666A73">
        <w:t>egulations</w:t>
      </w:r>
      <w:r w:rsidR="004F174A">
        <w:t xml:space="preserve"> (“FMSCRs</w:t>
      </w:r>
      <w:r w:rsidR="00910990">
        <w:t>”</w:t>
      </w:r>
      <w:r w:rsidR="004F174A">
        <w:t>)</w:t>
      </w:r>
      <w:r w:rsidR="002B5FC7" w:rsidRPr="00666A73">
        <w:t>.</w:t>
      </w:r>
      <w:r w:rsidR="00CF6E79" w:rsidRPr="00666A73">
        <w:t xml:space="preserve"> </w:t>
      </w:r>
      <w:r>
        <w:t xml:space="preserve"> </w:t>
      </w:r>
      <w:r w:rsidR="002B5FC7" w:rsidRPr="00666A73">
        <w:t>Specifically, the inspecti</w:t>
      </w:r>
      <w:r w:rsidR="00666A73">
        <w:t>on revealed that Respondent was</w:t>
      </w:r>
      <w:r w:rsidR="00CF6E79" w:rsidRPr="00666A73">
        <w:t xml:space="preserve"> operating</w:t>
      </w:r>
      <w:r w:rsidR="007A23FB" w:rsidRPr="00666A73">
        <w:t xml:space="preserve"> a</w:t>
      </w:r>
      <w:r w:rsidR="00666A73">
        <w:t xml:space="preserve"> motor vehicle with an unsecured load</w:t>
      </w:r>
      <w:r w:rsidR="004476E2" w:rsidRPr="00666A73">
        <w:t>.</w:t>
      </w:r>
      <w:r w:rsidR="00CF6E79" w:rsidRPr="00666A73">
        <w:t xml:space="preserve">  </w:t>
      </w:r>
      <w:r w:rsidR="00E23409" w:rsidRPr="00666A73">
        <w:t xml:space="preserve">At the evidentiary hearing, Staff offered the testimony of a highly qualified and credible safety inspector to support the violations at issue.  </w:t>
      </w:r>
      <w:r w:rsidR="00CF6E79" w:rsidRPr="00666A73">
        <w:t>In its</w:t>
      </w:r>
      <w:r w:rsidR="006877B0" w:rsidRPr="00666A73">
        <w:t xml:space="preserve"> defense</w:t>
      </w:r>
      <w:r w:rsidR="007009B8" w:rsidRPr="00666A73">
        <w:t>,</w:t>
      </w:r>
      <w:r w:rsidR="004476E2" w:rsidRPr="00666A73">
        <w:t xml:space="preserve"> Respondent</w:t>
      </w:r>
      <w:r w:rsidR="002B5FC7" w:rsidRPr="00666A73">
        <w:t xml:space="preserve"> failed to</w:t>
      </w:r>
      <w:r w:rsidR="001E6DD7">
        <w:t xml:space="preserve"> rebut Staff’s evidence of the</w:t>
      </w:r>
      <w:r w:rsidR="00617C73">
        <w:t xml:space="preserve"> improperly secured load</w:t>
      </w:r>
      <w:r w:rsidR="001E6DD7">
        <w:t>.</w:t>
      </w:r>
      <w:r w:rsidR="00617C73">
        <w:t xml:space="preserve">  Despite Respondent’s misplaced belief, JJEBCO, as a motor carrier, is responsible for the actions of its employees or agents.  Basic</w:t>
      </w:r>
      <w:r w:rsidR="00617C73" w:rsidRPr="00617C73">
        <w:t xml:space="preserve"> </w:t>
      </w:r>
      <w:r w:rsidR="00617C73">
        <w:t xml:space="preserve">principles of agency law and Commission precedent place the responsibility of securement with the carrier.  </w:t>
      </w:r>
      <w:r w:rsidR="00E23409" w:rsidRPr="00666A73">
        <w:t>Therefore, b</w:t>
      </w:r>
      <w:r w:rsidR="004476E2" w:rsidRPr="00666A73">
        <w:t xml:space="preserve">ased on the evidence of record, </w:t>
      </w:r>
      <w:r w:rsidR="00947773" w:rsidRPr="00666A73">
        <w:t xml:space="preserve">the Commission must find that </w:t>
      </w:r>
      <w:r w:rsidR="00617C73">
        <w:t xml:space="preserve">the </w:t>
      </w:r>
      <w:r w:rsidR="00617C73">
        <w:lastRenderedPageBreak/>
        <w:t>Respondent violated Section</w:t>
      </w:r>
      <w:r w:rsidR="00947773" w:rsidRPr="00666A73">
        <w:t xml:space="preserve"> 39</w:t>
      </w:r>
      <w:r w:rsidR="00617C73">
        <w:t>2.9</w:t>
      </w:r>
      <w:r w:rsidR="00947773" w:rsidRPr="00666A73">
        <w:t>(a)</w:t>
      </w:r>
      <w:r w:rsidR="00617C73">
        <w:t>(1)</w:t>
      </w:r>
      <w:r w:rsidR="00617C73" w:rsidRPr="00666A73">
        <w:t xml:space="preserve"> </w:t>
      </w:r>
      <w:r w:rsidR="00947773" w:rsidRPr="00666A73">
        <w:t xml:space="preserve">of the </w:t>
      </w:r>
      <w:r w:rsidR="004F174A">
        <w:t>FMSCR</w:t>
      </w:r>
      <w:r w:rsidR="00947773" w:rsidRPr="00666A73">
        <w:t>s and must hold Respondent lia</w:t>
      </w:r>
      <w:r w:rsidR="00E556E3">
        <w:softHyphen/>
      </w:r>
      <w:r w:rsidR="00947773" w:rsidRPr="00666A73">
        <w:t xml:space="preserve">ble for the civil forfeiture of </w:t>
      </w:r>
      <w:r w:rsidR="00617C73">
        <w:t>$100</w:t>
      </w:r>
      <w:r w:rsidR="00947773" w:rsidRPr="00666A73">
        <w:t>.00 as recommended by the Staff.</w:t>
      </w:r>
    </w:p>
    <w:p w:rsidR="004476E2" w:rsidRPr="00666A73" w:rsidRDefault="004476E2" w:rsidP="00630256">
      <w:pPr>
        <w:pStyle w:val="Heading1"/>
      </w:pPr>
      <w:bookmarkStart w:id="4" w:name="_Toc536501192"/>
      <w:bookmarkStart w:id="5" w:name="_Toc369590524"/>
      <w:r w:rsidRPr="00666A73">
        <w:t>II.</w:t>
      </w:r>
      <w:r w:rsidRPr="00666A73">
        <w:tab/>
        <w:t>STATEMENT OF FACTS</w:t>
      </w:r>
      <w:bookmarkEnd w:id="4"/>
      <w:bookmarkEnd w:id="5"/>
    </w:p>
    <w:p w:rsidR="004476E2" w:rsidRPr="00666A73" w:rsidRDefault="004476E2" w:rsidP="00630256">
      <w:pPr>
        <w:pStyle w:val="StyleHeading2TimesNewRoman13pt"/>
      </w:pPr>
      <w:bookmarkStart w:id="6" w:name="_Toc536501193"/>
      <w:bookmarkStart w:id="7" w:name="_Toc369590525"/>
      <w:r w:rsidRPr="00666A73">
        <w:t>A.</w:t>
      </w:r>
      <w:r w:rsidRPr="00666A73">
        <w:tab/>
        <w:t>Procedural History</w:t>
      </w:r>
      <w:bookmarkEnd w:id="7"/>
      <w:r w:rsidRPr="00666A73">
        <w:t xml:space="preserve"> </w:t>
      </w:r>
      <w:bookmarkEnd w:id="6"/>
    </w:p>
    <w:p w:rsidR="004476E2" w:rsidRPr="00666A73" w:rsidRDefault="00630256" w:rsidP="007C0CF9">
      <w:pPr>
        <w:pStyle w:val="text"/>
      </w:pPr>
      <w:r>
        <w:tab/>
      </w:r>
      <w:r w:rsidR="00E23409" w:rsidRPr="00666A73">
        <w:t>Staff</w:t>
      </w:r>
      <w:r w:rsidR="004476E2" w:rsidRPr="00666A73">
        <w:t xml:space="preserve"> sent a Notice of Preliminary Determination</w:t>
      </w:r>
      <w:r w:rsidR="00E23409" w:rsidRPr="00666A73">
        <w:t xml:space="preserve"> to Respondent</w:t>
      </w:r>
      <w:r w:rsidR="004476E2" w:rsidRPr="00666A73">
        <w:t xml:space="preserve"> on</w:t>
      </w:r>
      <w:r w:rsidR="00617C73">
        <w:t xml:space="preserve"> May 28, 201</w:t>
      </w:r>
      <w:r w:rsidR="00676BD1">
        <w:t>3</w:t>
      </w:r>
      <w:r w:rsidR="004476E2" w:rsidRPr="00666A73">
        <w:t>, as required and described in Section 4901:2-7-12 of the Ohio Administrative Code (“O.A.C”).</w:t>
      </w:r>
      <w:r w:rsidR="00E6759E" w:rsidRPr="00666A73">
        <w:t xml:space="preserve">  </w:t>
      </w:r>
      <w:r w:rsidR="004476E2" w:rsidRPr="00666A73">
        <w:t xml:space="preserve">The Notice of Preliminary Determination cited </w:t>
      </w:r>
      <w:r w:rsidR="00617C73">
        <w:t xml:space="preserve">a </w:t>
      </w:r>
      <w:r w:rsidR="006877B0" w:rsidRPr="00666A73">
        <w:t>violation of</w:t>
      </w:r>
      <w:r w:rsidR="007009B8" w:rsidRPr="00666A73">
        <w:t xml:space="preserve"> 49 C.F.R. </w:t>
      </w:r>
      <w:r w:rsidR="00B01493" w:rsidRPr="00666A73">
        <w:t>§</w:t>
      </w:r>
      <w:r w:rsidR="00563B48">
        <w:t> </w:t>
      </w:r>
      <w:r w:rsidR="00617C73">
        <w:t>392.9</w:t>
      </w:r>
      <w:r w:rsidR="007009B8" w:rsidRPr="00666A73">
        <w:t>(a)</w:t>
      </w:r>
      <w:r w:rsidR="00617C73">
        <w:t xml:space="preserve">(1) for failing to secure </w:t>
      </w:r>
      <w:r w:rsidR="00820EB0">
        <w:t>the</w:t>
      </w:r>
      <w:r w:rsidR="00617C73">
        <w:t xml:space="preserve"> load</w:t>
      </w:r>
      <w:r w:rsidR="007009B8" w:rsidRPr="00666A73">
        <w:t>.  Respondent</w:t>
      </w:r>
      <w:r w:rsidR="004476E2" w:rsidRPr="00666A73">
        <w:t xml:space="preserve"> filed a request for a</w:t>
      </w:r>
      <w:r w:rsidR="00E23409" w:rsidRPr="00666A73">
        <w:t>n adminis</w:t>
      </w:r>
      <w:r w:rsidR="00E556E3">
        <w:softHyphen/>
      </w:r>
      <w:r w:rsidR="00E23409" w:rsidRPr="00666A73">
        <w:t>trative</w:t>
      </w:r>
      <w:r w:rsidR="004476E2" w:rsidRPr="00666A73">
        <w:t xml:space="preserve"> hearing in this matter</w:t>
      </w:r>
      <w:r w:rsidR="00643328">
        <w:t xml:space="preserve"> on June 17, 2013</w:t>
      </w:r>
      <w:r w:rsidR="004476E2" w:rsidRPr="00666A73">
        <w:t>.  The</w:t>
      </w:r>
      <w:r w:rsidR="006877B0" w:rsidRPr="00666A73">
        <w:t xml:space="preserve"> he</w:t>
      </w:r>
      <w:r w:rsidR="007009B8" w:rsidRPr="00666A73">
        <w:t>a</w:t>
      </w:r>
      <w:r w:rsidR="00643328">
        <w:t>ring was conducted on August 26, 2013</w:t>
      </w:r>
      <w:r w:rsidR="004476E2" w:rsidRPr="00666A73">
        <w:t>.</w:t>
      </w:r>
    </w:p>
    <w:p w:rsidR="004476E2" w:rsidRPr="00666A73" w:rsidRDefault="004476E2" w:rsidP="00630256">
      <w:pPr>
        <w:pStyle w:val="Heading2"/>
      </w:pPr>
      <w:bookmarkStart w:id="8" w:name="_Toc536501194"/>
      <w:bookmarkStart w:id="9" w:name="_Toc369590526"/>
      <w:r w:rsidRPr="00666A73">
        <w:t>B.</w:t>
      </w:r>
      <w:r w:rsidRPr="00666A73">
        <w:tab/>
      </w:r>
      <w:r w:rsidR="006E2472" w:rsidRPr="00666A73">
        <w:t>Factual Background</w:t>
      </w:r>
      <w:bookmarkEnd w:id="8"/>
      <w:r w:rsidR="006E2472" w:rsidRPr="00666A73">
        <w:t>.</w:t>
      </w:r>
      <w:bookmarkEnd w:id="9"/>
    </w:p>
    <w:p w:rsidR="00BF65E4" w:rsidRDefault="00630256" w:rsidP="007C0CF9">
      <w:pPr>
        <w:pStyle w:val="text"/>
      </w:pPr>
      <w:r>
        <w:tab/>
      </w:r>
      <w:r w:rsidR="006877B0" w:rsidRPr="00666A73">
        <w:t>On</w:t>
      </w:r>
      <w:r w:rsidR="00643328">
        <w:t xml:space="preserve"> February 28, 2013</w:t>
      </w:r>
      <w:r w:rsidR="004476E2" w:rsidRPr="00666A73">
        <w:t>, Oh</w:t>
      </w:r>
      <w:r w:rsidR="004F174A">
        <w:t xml:space="preserve">io State Highway Patrol </w:t>
      </w:r>
      <w:r w:rsidR="00643328">
        <w:t>Trooper Rodney D. Ramps</w:t>
      </w:r>
      <w:r w:rsidR="0083320A" w:rsidRPr="00666A73">
        <w:t xml:space="preserve"> (“</w:t>
      </w:r>
      <w:r w:rsidR="00643328">
        <w:t>Trooper Ramps</w:t>
      </w:r>
      <w:r w:rsidR="0083320A" w:rsidRPr="00666A73">
        <w:t>”)</w:t>
      </w:r>
      <w:r w:rsidR="00A05610" w:rsidRPr="00666A73">
        <w:t xml:space="preserve"> </w:t>
      </w:r>
      <w:r w:rsidR="004476E2" w:rsidRPr="00666A73">
        <w:t>conducted a roadside</w:t>
      </w:r>
      <w:r w:rsidR="00EF28B4" w:rsidRPr="00666A73">
        <w:t xml:space="preserve"> walk-around</w:t>
      </w:r>
      <w:r w:rsidR="004476E2" w:rsidRPr="00666A73">
        <w:t xml:space="preserve"> inspection of a</w:t>
      </w:r>
      <w:r w:rsidR="00E23409" w:rsidRPr="00666A73">
        <w:t xml:space="preserve"> commercial motor</w:t>
      </w:r>
      <w:r w:rsidR="004476E2" w:rsidRPr="00666A73">
        <w:t xml:space="preserve"> vehicle operated by</w:t>
      </w:r>
      <w:r w:rsidR="00643328">
        <w:t xml:space="preserve"> JJEBCO</w:t>
      </w:r>
      <w:r w:rsidR="007009B8" w:rsidRPr="00666A73">
        <w:t xml:space="preserve"> </w:t>
      </w:r>
      <w:r w:rsidR="004476E2" w:rsidRPr="00666A73">
        <w:t>and driven by</w:t>
      </w:r>
      <w:r w:rsidR="006877B0" w:rsidRPr="00666A73">
        <w:t xml:space="preserve"> Mr.</w:t>
      </w:r>
      <w:r w:rsidR="00643328">
        <w:t xml:space="preserve"> Russe</w:t>
      </w:r>
      <w:r w:rsidR="00EE2783">
        <w:t>l</w:t>
      </w:r>
      <w:r w:rsidR="00643328">
        <w:t>l R. Heberer (“Mr. Heberer</w:t>
      </w:r>
      <w:r w:rsidR="00562E62" w:rsidRPr="00666A73">
        <w:t>”)</w:t>
      </w:r>
      <w:r w:rsidR="000D261A" w:rsidRPr="00666A73">
        <w:t xml:space="preserve"> </w:t>
      </w:r>
      <w:r w:rsidR="00E23409" w:rsidRPr="00666A73">
        <w:t xml:space="preserve">on </w:t>
      </w:r>
      <w:r w:rsidR="000D261A" w:rsidRPr="00666A73">
        <w:t>State R</w:t>
      </w:r>
      <w:r w:rsidR="00643328">
        <w:t>oute 5 (westbound)</w:t>
      </w:r>
      <w:r w:rsidR="00D40A9E" w:rsidRPr="00666A73">
        <w:t xml:space="preserve"> in</w:t>
      </w:r>
      <w:r w:rsidR="00643328">
        <w:t xml:space="preserve"> </w:t>
      </w:r>
      <w:r w:rsidR="00820EB0">
        <w:t xml:space="preserve">Trumbull </w:t>
      </w:r>
      <w:r w:rsidR="00643328">
        <w:t>County</w:t>
      </w:r>
      <w:r w:rsidR="00D40A9E" w:rsidRPr="00666A73">
        <w:t>, Ohio.</w:t>
      </w:r>
      <w:r w:rsidR="00563B48">
        <w:rPr>
          <w:rStyle w:val="FootnoteReference"/>
          <w:szCs w:val="26"/>
        </w:rPr>
        <w:footnoteReference w:id="1"/>
      </w:r>
      <w:r w:rsidR="00D40A9E" w:rsidRPr="00666A73">
        <w:t xml:space="preserve">  </w:t>
      </w:r>
      <w:r w:rsidR="00F94C60" w:rsidRPr="00666A73">
        <w:t>The</w:t>
      </w:r>
      <w:r w:rsidR="004844D0">
        <w:t xml:space="preserve"> cargo was a tow truck </w:t>
      </w:r>
      <w:r w:rsidR="00676BD1">
        <w:t xml:space="preserve">that was </w:t>
      </w:r>
      <w:r w:rsidR="004844D0">
        <w:t>being picked up in Mercer, Pennsylvania and driven to West Bend, Wisconsin.</w:t>
      </w:r>
      <w:r w:rsidR="00563B48">
        <w:rPr>
          <w:rStyle w:val="FootnoteReference"/>
          <w:szCs w:val="26"/>
        </w:rPr>
        <w:footnoteReference w:id="2"/>
      </w:r>
      <w:r w:rsidR="004844D0">
        <w:t xml:space="preserve">  The driver, Mr. Heberer</w:t>
      </w:r>
      <w:r w:rsidR="00820EB0">
        <w:t>,</w:t>
      </w:r>
      <w:r w:rsidR="004844D0">
        <w:t xml:space="preserve"> was hired by JJEBCO to transport the tow truck</w:t>
      </w:r>
      <w:r w:rsidR="00910990">
        <w:t>.</w:t>
      </w:r>
      <w:r w:rsidR="00563B48">
        <w:rPr>
          <w:rStyle w:val="FootnoteReference"/>
          <w:szCs w:val="26"/>
        </w:rPr>
        <w:footnoteReference w:id="3"/>
      </w:r>
      <w:r w:rsidR="00910990">
        <w:t xml:space="preserve">  </w:t>
      </w:r>
      <w:r w:rsidR="00676BD1">
        <w:t>Mr. Heberer</w:t>
      </w:r>
      <w:r w:rsidR="004844D0">
        <w:t xml:space="preserve"> </w:t>
      </w:r>
      <w:r w:rsidR="004844D0">
        <w:lastRenderedPageBreak/>
        <w:t>drove his Pontiac Vibe to retrieve the truck</w:t>
      </w:r>
      <w:r w:rsidR="00804668">
        <w:t xml:space="preserve"> in Mercer</w:t>
      </w:r>
      <w:r w:rsidR="00FC78CA">
        <w:t>, PA</w:t>
      </w:r>
      <w:r w:rsidR="00676BD1">
        <w:t>,</w:t>
      </w:r>
      <w:r w:rsidR="004844D0">
        <w:t xml:space="preserve"> improperly loaded his Pontiac Vibe onto the flatbed</w:t>
      </w:r>
      <w:r w:rsidR="00676BD1">
        <w:t>,</w:t>
      </w:r>
      <w:r w:rsidR="004844D0">
        <w:t xml:space="preserve"> </w:t>
      </w:r>
      <w:r w:rsidR="00804668">
        <w:t>marked</w:t>
      </w:r>
      <w:r w:rsidR="004844D0">
        <w:t xml:space="preserve"> </w:t>
      </w:r>
      <w:r w:rsidR="00676BD1">
        <w:t xml:space="preserve">the </w:t>
      </w:r>
      <w:r w:rsidR="004844D0">
        <w:t>tow truck</w:t>
      </w:r>
      <w:r w:rsidR="00600585">
        <w:t xml:space="preserve"> with</w:t>
      </w:r>
      <w:r w:rsidR="004844D0">
        <w:t xml:space="preserve"> JJEBCO</w:t>
      </w:r>
      <w:r w:rsidR="00600585">
        <w:t xml:space="preserve"> company markings</w:t>
      </w:r>
      <w:r w:rsidR="00484982">
        <w:t xml:space="preserve"> (</w:t>
      </w:r>
      <w:r w:rsidR="00484982" w:rsidRPr="004F174A">
        <w:rPr>
          <w:i/>
        </w:rPr>
        <w:t>See</w:t>
      </w:r>
      <w:r w:rsidR="00484982">
        <w:t xml:space="preserve"> </w:t>
      </w:r>
      <w:r w:rsidR="00924DCD">
        <w:t>Staff Ex. 2; Tr. at 15-16</w:t>
      </w:r>
      <w:r w:rsidR="00484982">
        <w:t>)</w:t>
      </w:r>
      <w:r w:rsidR="00676BD1">
        <w:t>,</w:t>
      </w:r>
      <w:r w:rsidR="004844D0">
        <w:t xml:space="preserve"> and began</w:t>
      </w:r>
      <w:r w:rsidR="00600585">
        <w:t xml:space="preserve"> his trip back to Wisconsin.</w:t>
      </w:r>
      <w:r w:rsidR="00563B48">
        <w:rPr>
          <w:rStyle w:val="FootnoteReference"/>
          <w:szCs w:val="26"/>
        </w:rPr>
        <w:footnoteReference w:id="4"/>
      </w:r>
      <w:r w:rsidR="00600585">
        <w:t xml:space="preserve">  Trooper Ramps, while follow</w:t>
      </w:r>
      <w:r w:rsidR="00E556E3">
        <w:softHyphen/>
      </w:r>
      <w:r w:rsidR="00600585">
        <w:t>ing Mr. Heberer westbound on</w:t>
      </w:r>
      <w:r w:rsidR="00EE2783">
        <w:t xml:space="preserve"> SR</w:t>
      </w:r>
      <w:r w:rsidR="00600585">
        <w:t xml:space="preserve"> 5,</w:t>
      </w:r>
      <w:r w:rsidR="00A05610" w:rsidRPr="00666A73">
        <w:t xml:space="preserve"> observed </w:t>
      </w:r>
      <w:r w:rsidR="00D40A9E" w:rsidRPr="00666A73">
        <w:t xml:space="preserve">that </w:t>
      </w:r>
      <w:r w:rsidR="000D261A" w:rsidRPr="00666A73">
        <w:t>the</w:t>
      </w:r>
      <w:r w:rsidR="00600585">
        <w:t xml:space="preserve"> Pontiac was not properly secured as all four chains attempting to secure the Pontiac were noticeably and exces</w:t>
      </w:r>
      <w:r w:rsidR="00E556E3">
        <w:softHyphen/>
      </w:r>
      <w:r w:rsidR="00600585">
        <w:t>sively loose.</w:t>
      </w:r>
      <w:r w:rsidR="00563B48">
        <w:rPr>
          <w:rStyle w:val="FootnoteReference"/>
          <w:szCs w:val="26"/>
        </w:rPr>
        <w:footnoteReference w:id="5"/>
      </w:r>
      <w:r w:rsidR="00600585">
        <w:t xml:space="preserve">  </w:t>
      </w:r>
      <w:r w:rsidR="00BF65E4">
        <w:t xml:space="preserve">The left front, right front, and right rear chain were all lying flat against the deck of the bed.  The left rear chain had </w:t>
      </w:r>
      <w:r w:rsidR="00924DCD">
        <w:t>a noticeable</w:t>
      </w:r>
      <w:r w:rsidR="00BF65E4">
        <w:t xml:space="preserve"> sag.</w:t>
      </w:r>
      <w:r w:rsidR="00563B48">
        <w:rPr>
          <w:rStyle w:val="FootnoteReference"/>
          <w:szCs w:val="26"/>
        </w:rPr>
        <w:footnoteReference w:id="6"/>
      </w:r>
      <w:r w:rsidR="00BF65E4">
        <w:t xml:space="preserve">  The steel rope at the middle front, attached to a hydraulic mechanism</w:t>
      </w:r>
      <w:r w:rsidR="00676BD1">
        <w:t>,</w:t>
      </w:r>
      <w:r w:rsidR="00BF65E4">
        <w:t xml:space="preserve"> also had a noticeable sag and was excessively loose.</w:t>
      </w:r>
      <w:r w:rsidR="00563B48">
        <w:rPr>
          <w:rStyle w:val="FootnoteReference"/>
          <w:szCs w:val="26"/>
        </w:rPr>
        <w:footnoteReference w:id="7"/>
      </w:r>
      <w:r w:rsidR="00BF65E4">
        <w:t xml:space="preserve">  </w:t>
      </w:r>
    </w:p>
    <w:p w:rsidR="00A05610" w:rsidRPr="00666A73" w:rsidRDefault="007C0CF9" w:rsidP="007C0CF9">
      <w:pPr>
        <w:pStyle w:val="text"/>
      </w:pPr>
      <w:r>
        <w:tab/>
      </w:r>
      <w:r w:rsidR="00A05610" w:rsidRPr="00666A73">
        <w:t>As a result</w:t>
      </w:r>
      <w:r w:rsidR="00804668">
        <w:t xml:space="preserve"> of the obvious violation</w:t>
      </w:r>
      <w:r w:rsidR="000D261A" w:rsidRPr="00666A73">
        <w:t xml:space="preserve"> he observed,</w:t>
      </w:r>
      <w:r w:rsidR="00600585">
        <w:t xml:space="preserve"> Trooper Ramps</w:t>
      </w:r>
      <w:r w:rsidR="00AD7525" w:rsidRPr="00666A73">
        <w:t xml:space="preserve"> </w:t>
      </w:r>
      <w:r w:rsidR="00A05610" w:rsidRPr="00666A73">
        <w:t>pulled the vehicle</w:t>
      </w:r>
      <w:r w:rsidR="00600585">
        <w:t xml:space="preserve"> over and conducted a walk-around inspection</w:t>
      </w:r>
      <w:r w:rsidR="00A05610" w:rsidRPr="00666A73">
        <w:t>.</w:t>
      </w:r>
      <w:r w:rsidR="00563B48">
        <w:rPr>
          <w:rStyle w:val="FootnoteReference"/>
          <w:szCs w:val="26"/>
        </w:rPr>
        <w:footnoteReference w:id="8"/>
      </w:r>
      <w:r w:rsidR="00600585">
        <w:t xml:space="preserve">  </w:t>
      </w:r>
      <w:r w:rsidR="0068089A" w:rsidRPr="00666A73">
        <w:t>Following the inspection,</w:t>
      </w:r>
      <w:r w:rsidR="00600585">
        <w:t xml:space="preserve"> Trooper Ramps</w:t>
      </w:r>
      <w:r w:rsidR="0068089A" w:rsidRPr="00666A73">
        <w:t xml:space="preserve"> prepared a report describing </w:t>
      </w:r>
      <w:r w:rsidR="00812046" w:rsidRPr="00666A73">
        <w:t>his findings</w:t>
      </w:r>
      <w:r w:rsidR="0068089A" w:rsidRPr="00666A73">
        <w:t>.  The report was introduced at the hearing as Staff Exhibit 1.  As stated in his report,</w:t>
      </w:r>
      <w:r w:rsidR="00804668">
        <w:t xml:space="preserve"> Trooper Ramps found three</w:t>
      </w:r>
      <w:r w:rsidR="0068089A" w:rsidRPr="00666A73">
        <w:t xml:space="preserve"> violations of the </w:t>
      </w:r>
      <w:r w:rsidR="004F174A">
        <w:t>FMSCR</w:t>
      </w:r>
      <w:r w:rsidR="00804668">
        <w:t>s: (1) 49 C.F.R. §</w:t>
      </w:r>
      <w:r w:rsidR="00C07263">
        <w:t> </w:t>
      </w:r>
      <w:r w:rsidR="00804668">
        <w:t>395.8(a), no drivers record duty of status (no log book); (2) 49 C.F.R. §</w:t>
      </w:r>
      <w:r>
        <w:t> </w:t>
      </w:r>
      <w:r w:rsidR="00804668">
        <w:t>390.19(a</w:t>
      </w:r>
      <w:r w:rsidR="0068089A" w:rsidRPr="00666A73">
        <w:t>)</w:t>
      </w:r>
      <w:r w:rsidR="00804668">
        <w:t>(1)</w:t>
      </w:r>
      <w:r w:rsidR="0068089A" w:rsidRPr="00666A73">
        <w:t>,</w:t>
      </w:r>
      <w:r w:rsidR="00804668">
        <w:t xml:space="preserve"> motor carrier failed to file required biennial update as required; and (3) 49 C.F.R. §</w:t>
      </w:r>
      <w:r>
        <w:t> </w:t>
      </w:r>
      <w:r w:rsidR="00804668">
        <w:t>392.9(a), failing to secure load.</w:t>
      </w:r>
      <w:r w:rsidR="00563B48">
        <w:rPr>
          <w:rStyle w:val="FootnoteReference"/>
          <w:szCs w:val="26"/>
        </w:rPr>
        <w:footnoteReference w:id="9"/>
      </w:r>
      <w:r w:rsidR="0068089A" w:rsidRPr="00666A73">
        <w:t xml:space="preserve">  As a result </w:t>
      </w:r>
      <w:r w:rsidR="00C63A79" w:rsidRPr="00666A73">
        <w:t>of these violations,</w:t>
      </w:r>
      <w:r w:rsidR="00804668">
        <w:t xml:space="preserve"> </w:t>
      </w:r>
      <w:r w:rsidR="00804668">
        <w:lastRenderedPageBreak/>
        <w:t>Trooper Ramps</w:t>
      </w:r>
      <w:r w:rsidR="0068089A" w:rsidRPr="00666A73">
        <w:t xml:space="preserve"> placed the vehicle out of service</w:t>
      </w:r>
      <w:r w:rsidR="00EE2783">
        <w:t>.</w:t>
      </w:r>
      <w:r w:rsidR="00563B48">
        <w:rPr>
          <w:rStyle w:val="FootnoteReference"/>
          <w:szCs w:val="26"/>
        </w:rPr>
        <w:footnoteReference w:id="10"/>
      </w:r>
      <w:r w:rsidR="00121E92" w:rsidRPr="00666A73">
        <w:t xml:space="preserve">  </w:t>
      </w:r>
      <w:r w:rsidR="00EE2783">
        <w:t>The violation for failing to secure the load (49 C.F.R. §</w:t>
      </w:r>
      <w:r w:rsidR="00563B48">
        <w:t> </w:t>
      </w:r>
      <w:r w:rsidR="00EE2783">
        <w:t xml:space="preserve">393.9(a)) is </w:t>
      </w:r>
      <w:r w:rsidR="00676BD1">
        <w:t xml:space="preserve">the only </w:t>
      </w:r>
      <w:r w:rsidR="00EE2783">
        <w:t xml:space="preserve">issue in this proceeding and </w:t>
      </w:r>
      <w:r w:rsidR="00676BD1">
        <w:t xml:space="preserve">is the violation for which </w:t>
      </w:r>
      <w:r w:rsidR="00EE2783">
        <w:t xml:space="preserve">JJEBCO was assessed a $100.00 </w:t>
      </w:r>
      <w:r w:rsidR="00676BD1">
        <w:t xml:space="preserve">civil </w:t>
      </w:r>
      <w:r w:rsidR="00EE2783">
        <w:t>forfeiture.</w:t>
      </w:r>
      <w:r w:rsidR="00563B48">
        <w:rPr>
          <w:rStyle w:val="FootnoteReference"/>
          <w:szCs w:val="26"/>
        </w:rPr>
        <w:footnoteReference w:id="11"/>
      </w:r>
      <w:r w:rsidR="00EE2783">
        <w:t xml:space="preserve">  </w:t>
      </w:r>
    </w:p>
    <w:p w:rsidR="00430866" w:rsidRPr="00666A73" w:rsidRDefault="004476E2" w:rsidP="00430866">
      <w:pPr>
        <w:pStyle w:val="Heading1"/>
      </w:pPr>
      <w:bookmarkStart w:id="10" w:name="_Toc536501195"/>
      <w:bookmarkStart w:id="11" w:name="_Toc369590527"/>
      <w:r w:rsidRPr="00666A73">
        <w:t>III.</w:t>
      </w:r>
      <w:r w:rsidRPr="00666A73">
        <w:tab/>
        <w:t>LAW AND ARGUMENT</w:t>
      </w:r>
      <w:bookmarkStart w:id="12" w:name="_Toc536501196"/>
      <w:bookmarkEnd w:id="10"/>
      <w:bookmarkEnd w:id="11"/>
    </w:p>
    <w:p w:rsidR="004476E2" w:rsidRPr="00666A73" w:rsidRDefault="004476E2" w:rsidP="007C0CF9">
      <w:pPr>
        <w:pStyle w:val="Heading2"/>
      </w:pPr>
      <w:bookmarkStart w:id="13" w:name="_Toc318270170"/>
      <w:bookmarkStart w:id="14" w:name="_Toc369590528"/>
      <w:r w:rsidRPr="00666A73">
        <w:t>A.</w:t>
      </w:r>
      <w:r w:rsidRPr="00666A73">
        <w:tab/>
      </w:r>
      <w:bookmarkEnd w:id="12"/>
      <w:r w:rsidR="00F35643" w:rsidRPr="00666A73">
        <w:t>Motor carriers</w:t>
      </w:r>
      <w:r w:rsidR="00F94C60" w:rsidRPr="00666A73">
        <w:t xml:space="preserve"> </w:t>
      </w:r>
      <w:r w:rsidR="006E2472" w:rsidRPr="00666A73">
        <w:t>must comply with the motor carrier safety regulations</w:t>
      </w:r>
      <w:r w:rsidR="002345F4" w:rsidRPr="00666A73">
        <w:t>.</w:t>
      </w:r>
      <w:bookmarkEnd w:id="13"/>
      <w:bookmarkEnd w:id="14"/>
    </w:p>
    <w:p w:rsidR="004476E2" w:rsidRPr="00666A73" w:rsidRDefault="007C0CF9" w:rsidP="007C0CF9">
      <w:pPr>
        <w:pStyle w:val="text"/>
      </w:pPr>
      <w:r>
        <w:tab/>
      </w:r>
      <w:r w:rsidR="00B01493" w:rsidRPr="00666A73">
        <w:t>The Commission</w:t>
      </w:r>
      <w:r w:rsidR="00F35643" w:rsidRPr="00666A73">
        <w:t>,</w:t>
      </w:r>
      <w:r w:rsidR="004476E2" w:rsidRPr="00666A73">
        <w:t xml:space="preserve"> as the lead agency </w:t>
      </w:r>
      <w:r w:rsidR="00642B8A">
        <w:t xml:space="preserve">tasked with administering </w:t>
      </w:r>
      <w:r w:rsidR="004476E2" w:rsidRPr="00666A73">
        <w:t>the Motor Carrier Safety Assistance Program (“MCSAP”) in Ohio</w:t>
      </w:r>
      <w:r w:rsidR="00F35643" w:rsidRPr="00666A73">
        <w:t>,</w:t>
      </w:r>
      <w:r w:rsidR="004476E2" w:rsidRPr="00666A73">
        <w:t xml:space="preserve"> regulates</w:t>
      </w:r>
      <w:r w:rsidR="00BB67F2" w:rsidRPr="00666A73">
        <w:t xml:space="preserve"> </w:t>
      </w:r>
      <w:r w:rsidR="00F35643" w:rsidRPr="00666A73">
        <w:t xml:space="preserve">the operation of </w:t>
      </w:r>
      <w:r w:rsidR="00BB67F2" w:rsidRPr="00666A73">
        <w:t>commercial motor vehicles</w:t>
      </w:r>
      <w:r w:rsidR="004476E2" w:rsidRPr="00666A73">
        <w:t>.  In furtherance of this obligation, the Commission has adopted an exten</w:t>
      </w:r>
      <w:r w:rsidR="00E556E3">
        <w:softHyphen/>
      </w:r>
      <w:r w:rsidR="004476E2" w:rsidRPr="00666A73">
        <w:t>sive body of rules to govern the con</w:t>
      </w:r>
      <w:r w:rsidR="004476E2" w:rsidRPr="00666A73">
        <w:softHyphen/>
        <w:t xml:space="preserve">duct of motor </w:t>
      </w:r>
      <w:r w:rsidR="00381047" w:rsidRPr="00666A73">
        <w:t>carriers</w:t>
      </w:r>
      <w:r w:rsidR="004476E2" w:rsidRPr="00666A73">
        <w:t xml:space="preserve"> engaged in commerce.  The Commission has adopted </w:t>
      </w:r>
      <w:r w:rsidR="00381047" w:rsidRPr="00666A73">
        <w:t>safety rules</w:t>
      </w:r>
      <w:r w:rsidR="004476E2" w:rsidRPr="00666A73">
        <w:t xml:space="preserve"> for motor carrier</w:t>
      </w:r>
      <w:r w:rsidR="00812046" w:rsidRPr="00666A73">
        <w:t>s</w:t>
      </w:r>
      <w:r w:rsidR="004476E2" w:rsidRPr="00666A73">
        <w:t xml:space="preserve"> pursuant to author</w:t>
      </w:r>
      <w:r w:rsidR="004476E2" w:rsidRPr="00666A73">
        <w:softHyphen/>
        <w:t>ity delegated by the Ohio General Assembly</w:t>
      </w:r>
      <w:r w:rsidR="00381047" w:rsidRPr="00666A73">
        <w:t>.</w:t>
      </w:r>
      <w:r w:rsidR="00580895" w:rsidRPr="00666A73">
        <w:t xml:space="preserve">  </w:t>
      </w:r>
      <w:r w:rsidR="004476E2" w:rsidRPr="00666A73">
        <w:t xml:space="preserve">These rules, which are found </w:t>
      </w:r>
      <w:r w:rsidR="00231635" w:rsidRPr="00666A73">
        <w:t>under</w:t>
      </w:r>
      <w:r w:rsidR="004F174A">
        <w:t xml:space="preserve"> O.A.C.</w:t>
      </w:r>
      <w:r w:rsidR="00231635" w:rsidRPr="00666A73">
        <w:t xml:space="preserve"> </w:t>
      </w:r>
      <w:r w:rsidR="004476E2" w:rsidRPr="00666A73">
        <w:t xml:space="preserve">4901:2-5-02, largely adopt the U.S. Department of Transportation (“USDOT”) </w:t>
      </w:r>
      <w:r w:rsidR="00F35643" w:rsidRPr="00666A73">
        <w:t>motor carrier</w:t>
      </w:r>
      <w:r w:rsidR="006E2472" w:rsidRPr="00666A73">
        <w:t xml:space="preserve"> safety regulations.  The S</w:t>
      </w:r>
      <w:r w:rsidR="004476E2" w:rsidRPr="00666A73">
        <w:t>tate</w:t>
      </w:r>
      <w:r w:rsidR="006E2472" w:rsidRPr="00666A73">
        <w:t xml:space="preserve"> of Ohio</w:t>
      </w:r>
      <w:r w:rsidR="004476E2" w:rsidRPr="00666A73">
        <w:t xml:space="preserve"> </w:t>
      </w:r>
      <w:r w:rsidR="00642B8A">
        <w:t>strives</w:t>
      </w:r>
      <w:r w:rsidR="004476E2" w:rsidRPr="00666A73">
        <w:t xml:space="preserve"> to imple</w:t>
      </w:r>
      <w:r w:rsidR="004476E2" w:rsidRPr="00666A73">
        <w:softHyphen/>
        <w:t>ment programs to ensure the safety of the motor</w:t>
      </w:r>
      <w:r w:rsidR="00BB67F2" w:rsidRPr="00666A73">
        <w:t>ing public and to reduce accidents</w:t>
      </w:r>
      <w:r w:rsidR="004476E2" w:rsidRPr="00666A73">
        <w:t xml:space="preserve"> involving com</w:t>
      </w:r>
      <w:r w:rsidR="004476E2" w:rsidRPr="00666A73">
        <w:softHyphen/>
        <w:t xml:space="preserve">mercial motor </w:t>
      </w:r>
      <w:r w:rsidR="00F35643" w:rsidRPr="00666A73">
        <w:t>vehicles</w:t>
      </w:r>
      <w:r w:rsidR="004476E2" w:rsidRPr="00666A73">
        <w:t>.  Compli</w:t>
      </w:r>
      <w:r w:rsidR="00E556E3">
        <w:softHyphen/>
      </w:r>
      <w:r w:rsidR="004476E2" w:rsidRPr="00666A73">
        <w:t xml:space="preserve">ance with the regulations is </w:t>
      </w:r>
      <w:r w:rsidR="00812046" w:rsidRPr="00666A73">
        <w:t>mandatory</w:t>
      </w:r>
      <w:r w:rsidR="004476E2" w:rsidRPr="00666A73">
        <w:t>.</w:t>
      </w:r>
    </w:p>
    <w:p w:rsidR="002920BE" w:rsidRPr="00666A73" w:rsidRDefault="006E2472" w:rsidP="007C0CF9">
      <w:pPr>
        <w:pStyle w:val="Heading2"/>
      </w:pPr>
      <w:bookmarkStart w:id="15" w:name="_Toc536501197"/>
      <w:bookmarkStart w:id="16" w:name="_Toc517666071"/>
      <w:bookmarkStart w:id="17" w:name="_Toc536501199"/>
      <w:bookmarkStart w:id="18" w:name="_Toc369590529"/>
      <w:r w:rsidRPr="00666A73">
        <w:lastRenderedPageBreak/>
        <w:t>B</w:t>
      </w:r>
      <w:r w:rsidR="002920BE" w:rsidRPr="00666A73">
        <w:t>.</w:t>
      </w:r>
      <w:r w:rsidR="002920BE" w:rsidRPr="00666A73">
        <w:tab/>
      </w:r>
      <w:r w:rsidRPr="00666A73">
        <w:t>Respondent did not comply with the regulations</w:t>
      </w:r>
      <w:r w:rsidR="00EE2783">
        <w:t xml:space="preserve"> as they relate to securement</w:t>
      </w:r>
      <w:r w:rsidR="002920BE" w:rsidRPr="00666A73">
        <w:t>.</w:t>
      </w:r>
      <w:bookmarkEnd w:id="15"/>
      <w:bookmarkEnd w:id="18"/>
    </w:p>
    <w:p w:rsidR="002920BE" w:rsidRPr="00666A73" w:rsidRDefault="006E2472" w:rsidP="007C0CF9">
      <w:pPr>
        <w:pStyle w:val="text"/>
      </w:pPr>
      <w:r w:rsidRPr="00666A73">
        <w:tab/>
        <w:t>Respondent d</w:t>
      </w:r>
      <w:r w:rsidR="00B01493" w:rsidRPr="00666A73">
        <w:t>id not comply with 49 C.F.R. §§</w:t>
      </w:r>
      <w:r w:rsidR="00563B48">
        <w:t> </w:t>
      </w:r>
      <w:r w:rsidR="00EE2783">
        <w:t>392.9</w:t>
      </w:r>
      <w:r w:rsidRPr="00666A73">
        <w:t>(a)</w:t>
      </w:r>
      <w:r w:rsidR="00EE2783">
        <w:t>(1)</w:t>
      </w:r>
      <w:r w:rsidRPr="00666A73">
        <w:t>,</w:t>
      </w:r>
      <w:r w:rsidR="002920BE" w:rsidRPr="00666A73">
        <w:t xml:space="preserve"> </w:t>
      </w:r>
      <w:r w:rsidR="00EA6F6D">
        <w:t>which deals with</w:t>
      </w:r>
      <w:r w:rsidR="00EE2783">
        <w:t xml:space="preserve"> secure</w:t>
      </w:r>
      <w:r w:rsidR="00E556E3">
        <w:softHyphen/>
      </w:r>
      <w:r w:rsidR="00EE2783">
        <w:t>ment</w:t>
      </w:r>
      <w:r w:rsidR="00EA6F6D">
        <w:t xml:space="preserve"> of cargo</w:t>
      </w:r>
      <w:r w:rsidR="000D261A" w:rsidRPr="00666A73">
        <w:t>.</w:t>
      </w:r>
      <w:r w:rsidR="00EE2783">
        <w:t xml:space="preserve">  Trooper Ramps</w:t>
      </w:r>
      <w:r w:rsidR="002920BE" w:rsidRPr="00666A73">
        <w:t xml:space="preserve"> </w:t>
      </w:r>
      <w:r w:rsidR="00FE6917" w:rsidRPr="00666A73">
        <w:t>has been a</w:t>
      </w:r>
      <w:r w:rsidR="002920BE" w:rsidRPr="00666A73">
        <w:t xml:space="preserve"> Motor Carrier Enforcement Inspector employed by the Ohio Highway Patrol</w:t>
      </w:r>
      <w:r w:rsidR="00924DCD">
        <w:t xml:space="preserve"> for nearly</w:t>
      </w:r>
      <w:r w:rsidRPr="00666A73">
        <w:t xml:space="preserve"> </w:t>
      </w:r>
      <w:r w:rsidR="00924DCD">
        <w:t xml:space="preserve">14 </w:t>
      </w:r>
      <w:r w:rsidRPr="00666A73">
        <w:t>years and has had</w:t>
      </w:r>
      <w:r w:rsidR="002920BE" w:rsidRPr="00666A73">
        <w:t xml:space="preserve"> continual training in the </w:t>
      </w:r>
      <w:r w:rsidR="00FE6917" w:rsidRPr="00666A73">
        <w:t>applicable regulations</w:t>
      </w:r>
      <w:r w:rsidR="002920BE" w:rsidRPr="00666A73">
        <w:t>.</w:t>
      </w:r>
      <w:r w:rsidR="00563B48">
        <w:rPr>
          <w:rStyle w:val="FootnoteReference"/>
          <w:szCs w:val="26"/>
        </w:rPr>
        <w:footnoteReference w:id="12"/>
      </w:r>
      <w:r w:rsidR="002920BE" w:rsidRPr="00666A73">
        <w:t xml:space="preserve">  </w:t>
      </w:r>
      <w:r w:rsidR="00EE2783">
        <w:t>Trooper Ramps</w:t>
      </w:r>
      <w:r w:rsidR="002920BE" w:rsidRPr="00666A73">
        <w:t xml:space="preserve"> used his sound judgment and expertise </w:t>
      </w:r>
      <w:r w:rsidR="00FE6917" w:rsidRPr="00666A73">
        <w:t xml:space="preserve">when </w:t>
      </w:r>
      <w:r w:rsidR="002920BE" w:rsidRPr="00666A73">
        <w:t xml:space="preserve">citing Respondent for the violations </w:t>
      </w:r>
      <w:r w:rsidR="000C72A5" w:rsidRPr="00666A73">
        <w:t>at issue in this case</w:t>
      </w:r>
      <w:r w:rsidR="002920BE" w:rsidRPr="00666A73">
        <w:t>.</w:t>
      </w:r>
      <w:r w:rsidR="00EE2783">
        <w:t xml:space="preserve">  Trooper Ramps</w:t>
      </w:r>
      <w:r w:rsidR="006A2436" w:rsidRPr="00666A73">
        <w:t xml:space="preserve"> prepared his report contemporaneously with the stop to document the event as </w:t>
      </w:r>
      <w:r w:rsidR="00FE6917" w:rsidRPr="00666A73">
        <w:t xml:space="preserve">it </w:t>
      </w:r>
      <w:r w:rsidR="006A2436" w:rsidRPr="00666A73">
        <w:t>occurred that day.</w:t>
      </w:r>
      <w:r w:rsidR="00563B48">
        <w:rPr>
          <w:rStyle w:val="FootnoteReference"/>
          <w:szCs w:val="26"/>
        </w:rPr>
        <w:footnoteReference w:id="13"/>
      </w:r>
      <w:r w:rsidR="002920BE" w:rsidRPr="00666A73">
        <w:t xml:space="preserve">          </w:t>
      </w:r>
    </w:p>
    <w:p w:rsidR="002920BE" w:rsidRPr="00666A73" w:rsidRDefault="007C0CF9" w:rsidP="007C0CF9">
      <w:pPr>
        <w:pStyle w:val="Heading3"/>
      </w:pPr>
      <w:bookmarkStart w:id="19" w:name="_Toc369590530"/>
      <w:r>
        <w:t>1.</w:t>
      </w:r>
      <w:r w:rsidR="002920BE" w:rsidRPr="00666A73">
        <w:tab/>
        <w:t>Respondent</w:t>
      </w:r>
      <w:r w:rsidR="00EE2783">
        <w:t xml:space="preserve"> operated a motor vehicle with an unse</w:t>
      </w:r>
      <w:r w:rsidR="00E556E3">
        <w:softHyphen/>
      </w:r>
      <w:r w:rsidR="00EE2783">
        <w:t>cure load</w:t>
      </w:r>
      <w:r w:rsidR="00231635" w:rsidRPr="00666A73">
        <w:t xml:space="preserve"> in violation of</w:t>
      </w:r>
      <w:r w:rsidR="00B01493" w:rsidRPr="00666A73">
        <w:t xml:space="preserve"> 49 C.F.R. §</w:t>
      </w:r>
      <w:r w:rsidR="00C07263">
        <w:t> </w:t>
      </w:r>
      <w:r w:rsidR="00BF65E4">
        <w:t>392.9</w:t>
      </w:r>
      <w:r w:rsidR="00231635" w:rsidRPr="00666A73">
        <w:t>(a)</w:t>
      </w:r>
      <w:r w:rsidR="004F174A">
        <w:t>(1)</w:t>
      </w:r>
      <w:r w:rsidR="002920BE" w:rsidRPr="00666A73">
        <w:t>.</w:t>
      </w:r>
      <w:bookmarkEnd w:id="19"/>
      <w:r w:rsidR="002920BE" w:rsidRPr="00666A73">
        <w:t xml:space="preserve">    </w:t>
      </w:r>
    </w:p>
    <w:p w:rsidR="00642B8A" w:rsidRDefault="002920BE" w:rsidP="007C0CF9">
      <w:pPr>
        <w:pStyle w:val="text"/>
      </w:pPr>
      <w:r w:rsidRPr="00666A73">
        <w:tab/>
      </w:r>
      <w:r w:rsidR="00BF65E4">
        <w:t>Trooper Ramps</w:t>
      </w:r>
      <w:r w:rsidR="00BA1C62" w:rsidRPr="00666A73">
        <w:t xml:space="preserve"> testified that h</w:t>
      </w:r>
      <w:r w:rsidR="001519D7" w:rsidRPr="00666A73">
        <w:t xml:space="preserve">e </w:t>
      </w:r>
      <w:r w:rsidR="00BF65E4" w:rsidRPr="00666A73">
        <w:t>observed</w:t>
      </w:r>
      <w:r w:rsidR="00BF65E4">
        <w:t xml:space="preserve"> JJEBCO operating a motor vehicle wit</w:t>
      </w:r>
      <w:r w:rsidR="00A71525">
        <w:t>h an unsecured load.</w:t>
      </w:r>
      <w:r w:rsidR="00563B48">
        <w:rPr>
          <w:rStyle w:val="FootnoteReference"/>
          <w:szCs w:val="26"/>
        </w:rPr>
        <w:footnoteReference w:id="14"/>
      </w:r>
      <w:r w:rsidR="00A71525">
        <w:t xml:space="preserve">  </w:t>
      </w:r>
      <w:r w:rsidR="00BF65E4">
        <w:t>He testified</w:t>
      </w:r>
      <w:r w:rsidR="00BF65E4" w:rsidRPr="00666A73">
        <w:t xml:space="preserve"> that the</w:t>
      </w:r>
      <w:r w:rsidR="00BF65E4">
        <w:t xml:space="preserve"> Pontiac Vibe on the flatbed was not properly secured as all four chains</w:t>
      </w:r>
      <w:r w:rsidR="00484982">
        <w:t xml:space="preserve"> and the steel rope</w:t>
      </w:r>
      <w:r w:rsidR="00BF65E4">
        <w:t xml:space="preserve"> attempting to secure the Pontiac were notice</w:t>
      </w:r>
      <w:r w:rsidR="00E556E3">
        <w:softHyphen/>
      </w:r>
      <w:r w:rsidR="00BF65E4">
        <w:t>ably and excessively loose.</w:t>
      </w:r>
      <w:r w:rsidR="00563B48">
        <w:rPr>
          <w:rStyle w:val="FootnoteReference"/>
          <w:szCs w:val="26"/>
        </w:rPr>
        <w:footnoteReference w:id="15"/>
      </w:r>
      <w:r w:rsidR="00BF65E4">
        <w:t xml:space="preserve">  </w:t>
      </w:r>
    </w:p>
    <w:p w:rsidR="00B01493" w:rsidRPr="00484982" w:rsidRDefault="007C0CF9" w:rsidP="007C0CF9">
      <w:pPr>
        <w:pStyle w:val="text"/>
        <w:rPr>
          <w:rStyle w:val="p"/>
          <w:szCs w:val="26"/>
        </w:rPr>
      </w:pPr>
      <w:r>
        <w:tab/>
      </w:r>
      <w:r w:rsidR="00B01493" w:rsidRPr="00666A73">
        <w:t>49 C.F.R.</w:t>
      </w:r>
      <w:r w:rsidR="002920BE" w:rsidRPr="00666A73">
        <w:t xml:space="preserve"> </w:t>
      </w:r>
      <w:r w:rsidR="00484982">
        <w:t>§</w:t>
      </w:r>
      <w:r w:rsidR="00563B48">
        <w:t> </w:t>
      </w:r>
      <w:r w:rsidR="00484982">
        <w:t>392.9</w:t>
      </w:r>
      <w:r w:rsidR="00B01493" w:rsidRPr="00666A73">
        <w:t>(a)</w:t>
      </w:r>
      <w:r w:rsidR="00484982">
        <w:t>(1)</w:t>
      </w:r>
      <w:r w:rsidR="00B01493" w:rsidRPr="00666A73">
        <w:t xml:space="preserve"> </w:t>
      </w:r>
      <w:r w:rsidR="00B01493" w:rsidRPr="00484982">
        <w:t>states that:</w:t>
      </w:r>
      <w:r w:rsidR="00B01493" w:rsidRPr="00484982">
        <w:rPr>
          <w:rStyle w:val="p"/>
          <w:szCs w:val="26"/>
        </w:rPr>
        <w:t xml:space="preserve"> </w:t>
      </w:r>
    </w:p>
    <w:p w:rsidR="00484982" w:rsidRDefault="00D878DD" w:rsidP="007C0CF9">
      <w:pPr>
        <w:pStyle w:val="Blockquote"/>
      </w:pPr>
      <w:r>
        <w:t xml:space="preserve">(A) </w:t>
      </w:r>
      <w:r w:rsidR="00484982" w:rsidRPr="00484982">
        <w:t xml:space="preserve">General. </w:t>
      </w:r>
      <w:r w:rsidR="007C0CF9">
        <w:t xml:space="preserve"> </w:t>
      </w:r>
      <w:r w:rsidR="00484982" w:rsidRPr="00484982">
        <w:t>A driver may not operate a commercial motor vehicle and a motor carrier may not require or permit a driver to operate a commercial motor vehicle unless</w:t>
      </w:r>
      <w:r w:rsidR="007C0CF9">
        <w:t xml:space="preserve"> </w:t>
      </w:r>
      <w:r w:rsidR="00484982" w:rsidRPr="00484982">
        <w:t xml:space="preserve">— </w:t>
      </w:r>
    </w:p>
    <w:p w:rsidR="00B01493" w:rsidRDefault="007C0CF9" w:rsidP="007C0CF9">
      <w:pPr>
        <w:pStyle w:val="Blockquote"/>
      </w:pPr>
      <w:r>
        <w:lastRenderedPageBreak/>
        <w:t>(1) </w:t>
      </w:r>
      <w:r w:rsidR="00484982" w:rsidRPr="00484982">
        <w:t>The commercial motor vehicle's cargo is properly distrib</w:t>
      </w:r>
      <w:r w:rsidR="00E556E3">
        <w:softHyphen/>
      </w:r>
      <w:r w:rsidR="00484982" w:rsidRPr="00484982">
        <w:t>uted and adequately secured as specified in</w:t>
      </w:r>
      <w:r w:rsidR="00484982">
        <w:t xml:space="preserve"> </w:t>
      </w:r>
      <w:hyperlink r:id="rId14" w:history="1">
        <w:r w:rsidR="00484982" w:rsidRPr="00484982">
          <w:t>§§393.100 through 393.136</w:t>
        </w:r>
      </w:hyperlink>
      <w:r w:rsidR="00484982" w:rsidRPr="00484982">
        <w:t xml:space="preserve"> of this subchapter.</w:t>
      </w:r>
      <w:r w:rsidR="007974D2">
        <w:t xml:space="preserve"> </w:t>
      </w:r>
      <w:r>
        <w:t xml:space="preserve"> </w:t>
      </w:r>
      <w:r w:rsidR="007974D2">
        <w:t>(Emphasis added).</w:t>
      </w:r>
    </w:p>
    <w:p w:rsidR="00484982" w:rsidRDefault="00484982" w:rsidP="007C0CF9">
      <w:pPr>
        <w:pStyle w:val="text"/>
      </w:pPr>
      <w:r>
        <w:t xml:space="preserve">49 C.F.R. </w:t>
      </w:r>
      <w:r w:rsidR="00563B48">
        <w:t>§ </w:t>
      </w:r>
      <w:r>
        <w:t>393.128</w:t>
      </w:r>
      <w:r w:rsidR="00D878DD">
        <w:t>(b)(1)</w:t>
      </w:r>
      <w:r>
        <w:t xml:space="preserve"> states that:</w:t>
      </w:r>
    </w:p>
    <w:p w:rsidR="00484982" w:rsidRPr="007C0CF9" w:rsidRDefault="00D878DD" w:rsidP="007C0CF9">
      <w:pPr>
        <w:pStyle w:val="Blockquote"/>
      </w:pPr>
      <w:r w:rsidRPr="007C0CF9">
        <w:t>Automobiles, light trucks, and vans must be restrained at both the front and rear to prevent lateral, forward, rearward, and vertical movement using a minimum of two tiedowns.</w:t>
      </w:r>
    </w:p>
    <w:p w:rsidR="002920BE" w:rsidRPr="00666A73" w:rsidRDefault="009E3A4B" w:rsidP="007C0CF9">
      <w:pPr>
        <w:pStyle w:val="text"/>
      </w:pPr>
      <w:r>
        <w:t>Respondent’s vehicle did not have a single adequate tiedown to preven</w:t>
      </w:r>
      <w:r w:rsidR="0022775E">
        <w:t>t forward, rear</w:t>
      </w:r>
      <w:r w:rsidR="00E556E3">
        <w:softHyphen/>
      </w:r>
      <w:r w:rsidR="0022775E">
        <w:t>ward, vertical, o</w:t>
      </w:r>
      <w:r>
        <w:t>r lateral movement of the Pontiac.</w:t>
      </w:r>
      <w:r w:rsidR="00563B48">
        <w:rPr>
          <w:rStyle w:val="FootnoteReference"/>
          <w:szCs w:val="26"/>
        </w:rPr>
        <w:footnoteReference w:id="16"/>
      </w:r>
      <w:r>
        <w:t xml:space="preserve">  Therefore, </w:t>
      </w:r>
      <w:r w:rsidR="002920BE" w:rsidRPr="00666A73">
        <w:t xml:space="preserve">Respondent, </w:t>
      </w:r>
      <w:r w:rsidR="00B01493" w:rsidRPr="00666A73">
        <w:t xml:space="preserve">by operating a motor vehicle </w:t>
      </w:r>
      <w:r w:rsidR="00D878DD">
        <w:t>with an unsecured load</w:t>
      </w:r>
      <w:r w:rsidR="00AC2EC1">
        <w:t>,</w:t>
      </w:r>
      <w:r w:rsidR="00D878DD">
        <w:t xml:space="preserve"> violated 49 C.F.R §</w:t>
      </w:r>
      <w:r w:rsidR="00563B48">
        <w:t> </w:t>
      </w:r>
      <w:r w:rsidR="00D878DD">
        <w:t>392.9</w:t>
      </w:r>
      <w:r w:rsidR="001519D7" w:rsidRPr="00666A73">
        <w:t>(a)</w:t>
      </w:r>
      <w:r w:rsidR="004F174A">
        <w:t>(1)</w:t>
      </w:r>
      <w:r w:rsidR="001519D7" w:rsidRPr="00666A73">
        <w:t xml:space="preserve">.     </w:t>
      </w:r>
      <w:r w:rsidR="00B01493" w:rsidRPr="00666A73">
        <w:t xml:space="preserve"> </w:t>
      </w:r>
      <w:r w:rsidR="002920BE" w:rsidRPr="00666A73">
        <w:t xml:space="preserve">    </w:t>
      </w:r>
    </w:p>
    <w:p w:rsidR="00BA1C62" w:rsidRPr="00666A73" w:rsidRDefault="007C0CF9" w:rsidP="007C0CF9">
      <w:pPr>
        <w:pStyle w:val="text"/>
      </w:pPr>
      <w:r>
        <w:tab/>
      </w:r>
      <w:r w:rsidR="00D878DD">
        <w:t>Trooper Ramps</w:t>
      </w:r>
      <w:r w:rsidR="002920BE" w:rsidRPr="00666A73">
        <w:t>, in his inspection of</w:t>
      </w:r>
      <w:r w:rsidR="00FE6917" w:rsidRPr="00666A73">
        <w:t xml:space="preserve"> </w:t>
      </w:r>
      <w:r w:rsidR="00657F02" w:rsidRPr="00666A73">
        <w:t>Respondent’s</w:t>
      </w:r>
      <w:r w:rsidR="00FE6917" w:rsidRPr="00666A73">
        <w:t xml:space="preserve"> vehicle</w:t>
      </w:r>
      <w:r w:rsidR="002920BE" w:rsidRPr="00666A73">
        <w:t>, used reasonable discre</w:t>
      </w:r>
      <w:r w:rsidR="00E556E3">
        <w:softHyphen/>
      </w:r>
      <w:r w:rsidR="002920BE" w:rsidRPr="00666A73">
        <w:t>tion in determining that</w:t>
      </w:r>
      <w:r w:rsidR="00D878DD">
        <w:t xml:space="preserve"> JJEBCO</w:t>
      </w:r>
      <w:r w:rsidR="001519D7" w:rsidRPr="00666A73">
        <w:t xml:space="preserve"> w</w:t>
      </w:r>
      <w:r w:rsidR="00D878DD">
        <w:t>as in violation of 49 C.F.R §</w:t>
      </w:r>
      <w:r w:rsidR="00563B48">
        <w:t> </w:t>
      </w:r>
      <w:r w:rsidR="00D878DD">
        <w:t>392.9</w:t>
      </w:r>
      <w:r w:rsidR="001519D7" w:rsidRPr="00666A73">
        <w:t>(a)</w:t>
      </w:r>
      <w:r w:rsidR="004F174A">
        <w:t>(1)</w:t>
      </w:r>
      <w:r w:rsidR="002920BE" w:rsidRPr="00666A73">
        <w:t>.</w:t>
      </w:r>
      <w:r w:rsidR="00563B48">
        <w:rPr>
          <w:rStyle w:val="FootnoteReference"/>
          <w:szCs w:val="26"/>
        </w:rPr>
        <w:footnoteReference w:id="17"/>
      </w:r>
      <w:r w:rsidR="002920BE" w:rsidRPr="00666A73">
        <w:t xml:space="preserve">  </w:t>
      </w:r>
      <w:r w:rsidR="00D878DD">
        <w:t>Trooper Ramps</w:t>
      </w:r>
      <w:r w:rsidR="002920BE" w:rsidRPr="00666A73">
        <w:t xml:space="preserve">, as part of a routine inspection, </w:t>
      </w:r>
      <w:r w:rsidR="00580895" w:rsidRPr="00666A73">
        <w:t>used</w:t>
      </w:r>
      <w:r w:rsidR="00657F02" w:rsidRPr="00666A73">
        <w:t xml:space="preserve"> his extensive training and experience</w:t>
      </w:r>
      <w:r w:rsidR="002920BE" w:rsidRPr="00666A73">
        <w:t xml:space="preserve"> </w:t>
      </w:r>
      <w:r w:rsidR="00657F02" w:rsidRPr="00666A73">
        <w:t xml:space="preserve">to </w:t>
      </w:r>
      <w:r w:rsidR="002920BE" w:rsidRPr="00666A73">
        <w:t>properly cite</w:t>
      </w:r>
      <w:r w:rsidR="00D878DD">
        <w:t xml:space="preserve"> JJEBCO</w:t>
      </w:r>
      <w:r w:rsidR="002920BE" w:rsidRPr="00666A73">
        <w:t xml:space="preserve"> for</w:t>
      </w:r>
      <w:r w:rsidR="001519D7" w:rsidRPr="00666A73">
        <w:t xml:space="preserve"> operating a motor vehicle</w:t>
      </w:r>
      <w:r w:rsidR="00D878DD">
        <w:t xml:space="preserve"> with an unsecured load in</w:t>
      </w:r>
      <w:r w:rsidR="00657F02" w:rsidRPr="00666A73">
        <w:t xml:space="preserve"> violation of 49 C.F</w:t>
      </w:r>
      <w:r w:rsidR="00D878DD">
        <w:t>.R. §</w:t>
      </w:r>
      <w:r w:rsidR="00563B48">
        <w:t> </w:t>
      </w:r>
      <w:r w:rsidR="00D878DD">
        <w:t>392.9(a)</w:t>
      </w:r>
      <w:r w:rsidR="004F174A">
        <w:t>(1)</w:t>
      </w:r>
      <w:r w:rsidR="007A23FB" w:rsidRPr="00666A73">
        <w:t>.</w:t>
      </w:r>
      <w:r w:rsidR="00657F02" w:rsidRPr="00666A73">
        <w:t xml:space="preserve"> </w:t>
      </w:r>
      <w:r w:rsidR="007A23FB" w:rsidRPr="00666A73">
        <w:t xml:space="preserve"> </w:t>
      </w:r>
      <w:r w:rsidR="00BA1C62" w:rsidRPr="00666A73">
        <w:t>A plethora</w:t>
      </w:r>
      <w:r w:rsidR="00BB63EB" w:rsidRPr="00666A73">
        <w:t xml:space="preserve"> of record evidence demonstrates</w:t>
      </w:r>
      <w:r w:rsidR="00BA1C62" w:rsidRPr="00666A73">
        <w:t xml:space="preserve"> that</w:t>
      </w:r>
      <w:r w:rsidR="00D878DD">
        <w:t xml:space="preserve"> JJEBCO</w:t>
      </w:r>
      <w:r w:rsidR="00BA1C62" w:rsidRPr="00666A73">
        <w:t xml:space="preserve"> violated the regulation.  </w:t>
      </w:r>
      <w:r w:rsidR="00657F02" w:rsidRPr="00666A73">
        <w:t>Most notably,</w:t>
      </w:r>
      <w:r w:rsidR="009E3A4B">
        <w:t xml:space="preserve"> Trooper R</w:t>
      </w:r>
      <w:r w:rsidR="00D878DD">
        <w:t>amps</w:t>
      </w:r>
      <w:r w:rsidR="00BA1C62" w:rsidRPr="00666A73">
        <w:t xml:space="preserve"> testified that:</w:t>
      </w:r>
    </w:p>
    <w:p w:rsidR="003B167F" w:rsidRDefault="004D39F8" w:rsidP="007C0CF9">
      <w:pPr>
        <w:numPr>
          <w:ilvl w:val="0"/>
          <w:numId w:val="1"/>
        </w:numPr>
        <w:spacing w:after="240"/>
        <w:ind w:left="1800" w:right="1440"/>
        <w:jc w:val="both"/>
        <w:rPr>
          <w:rFonts w:ascii="Times New Roman" w:hAnsi="Times New Roman"/>
          <w:sz w:val="26"/>
          <w:szCs w:val="26"/>
        </w:rPr>
      </w:pPr>
      <w:r w:rsidRPr="00666A73">
        <w:rPr>
          <w:rFonts w:ascii="Times New Roman" w:hAnsi="Times New Roman"/>
          <w:sz w:val="26"/>
          <w:szCs w:val="26"/>
        </w:rPr>
        <w:t>H</w:t>
      </w:r>
      <w:r w:rsidR="00BA1C62" w:rsidRPr="00666A73">
        <w:rPr>
          <w:rFonts w:ascii="Times New Roman" w:hAnsi="Times New Roman"/>
          <w:sz w:val="26"/>
          <w:szCs w:val="26"/>
        </w:rPr>
        <w:t>e observed the</w:t>
      </w:r>
      <w:r w:rsidR="006A2436" w:rsidRPr="00666A73">
        <w:rPr>
          <w:rFonts w:ascii="Times New Roman" w:hAnsi="Times New Roman"/>
          <w:sz w:val="26"/>
          <w:szCs w:val="26"/>
        </w:rPr>
        <w:t xml:space="preserve"> motor</w:t>
      </w:r>
      <w:r w:rsidR="00BA1C62" w:rsidRPr="00666A73">
        <w:rPr>
          <w:rFonts w:ascii="Times New Roman" w:hAnsi="Times New Roman"/>
          <w:sz w:val="26"/>
          <w:szCs w:val="26"/>
        </w:rPr>
        <w:t xml:space="preserve"> vehicle</w:t>
      </w:r>
      <w:r w:rsidR="00B60E96">
        <w:rPr>
          <w:rFonts w:ascii="Times New Roman" w:hAnsi="Times New Roman"/>
          <w:sz w:val="26"/>
          <w:szCs w:val="26"/>
        </w:rPr>
        <w:t xml:space="preserve"> operating with</w:t>
      </w:r>
      <w:r w:rsidR="009E3A4B">
        <w:rPr>
          <w:rFonts w:ascii="Times New Roman" w:hAnsi="Times New Roman"/>
          <w:sz w:val="26"/>
          <w:szCs w:val="26"/>
        </w:rPr>
        <w:t xml:space="preserve"> an unse</w:t>
      </w:r>
      <w:r w:rsidR="00E556E3">
        <w:rPr>
          <w:rFonts w:ascii="Times New Roman" w:hAnsi="Times New Roman"/>
          <w:sz w:val="26"/>
          <w:szCs w:val="26"/>
        </w:rPr>
        <w:softHyphen/>
      </w:r>
      <w:r w:rsidR="009E3A4B">
        <w:rPr>
          <w:rFonts w:ascii="Times New Roman" w:hAnsi="Times New Roman"/>
          <w:sz w:val="26"/>
          <w:szCs w:val="26"/>
        </w:rPr>
        <w:t>cured load</w:t>
      </w:r>
      <w:r w:rsidRPr="00666A73">
        <w:rPr>
          <w:rFonts w:ascii="Times New Roman" w:hAnsi="Times New Roman"/>
          <w:sz w:val="26"/>
          <w:szCs w:val="26"/>
        </w:rPr>
        <w:t>;</w:t>
      </w:r>
      <w:r w:rsidR="00563B48">
        <w:rPr>
          <w:rStyle w:val="FootnoteReference"/>
          <w:rFonts w:ascii="Times New Roman" w:hAnsi="Times New Roman"/>
          <w:sz w:val="26"/>
          <w:szCs w:val="26"/>
        </w:rPr>
        <w:footnoteReference w:id="18"/>
      </w:r>
      <w:r w:rsidR="00BA1C62" w:rsidRPr="00666A73">
        <w:rPr>
          <w:rFonts w:ascii="Times New Roman" w:hAnsi="Times New Roman"/>
          <w:sz w:val="26"/>
          <w:szCs w:val="26"/>
        </w:rPr>
        <w:t xml:space="preserve"> </w:t>
      </w:r>
    </w:p>
    <w:p w:rsidR="00BA1C62" w:rsidRPr="00666A73" w:rsidRDefault="003B167F" w:rsidP="007C0CF9">
      <w:pPr>
        <w:numPr>
          <w:ilvl w:val="0"/>
          <w:numId w:val="1"/>
        </w:numPr>
        <w:spacing w:after="240"/>
        <w:ind w:left="1800" w:righ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pulled the vehicle over for an obvious violation</w:t>
      </w:r>
      <w:r w:rsidR="00910990">
        <w:rPr>
          <w:rFonts w:ascii="Times New Roman" w:hAnsi="Times New Roman"/>
          <w:sz w:val="26"/>
          <w:szCs w:val="26"/>
        </w:rPr>
        <w:t>;</w:t>
      </w:r>
      <w:r w:rsidR="00563B48">
        <w:rPr>
          <w:rStyle w:val="FootnoteReference"/>
          <w:rFonts w:ascii="Times New Roman" w:hAnsi="Times New Roman"/>
          <w:sz w:val="26"/>
          <w:szCs w:val="26"/>
        </w:rPr>
        <w:footnoteReference w:id="19"/>
      </w:r>
      <w:r>
        <w:rPr>
          <w:rFonts w:ascii="Times New Roman" w:hAnsi="Times New Roman"/>
          <w:sz w:val="26"/>
          <w:szCs w:val="26"/>
        </w:rPr>
        <w:t xml:space="preserve"> </w:t>
      </w:r>
      <w:r w:rsidR="00BA1C62" w:rsidRPr="00666A73">
        <w:rPr>
          <w:rFonts w:ascii="Times New Roman" w:hAnsi="Times New Roman"/>
          <w:sz w:val="26"/>
          <w:szCs w:val="26"/>
        </w:rPr>
        <w:t xml:space="preserve"> </w:t>
      </w:r>
    </w:p>
    <w:p w:rsidR="000B2140" w:rsidRDefault="000B2140" w:rsidP="007C0CF9">
      <w:pPr>
        <w:numPr>
          <w:ilvl w:val="0"/>
          <w:numId w:val="1"/>
        </w:numPr>
        <w:spacing w:after="240"/>
        <w:ind w:left="1800" w:righ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A2436" w:rsidRPr="00666A73" w:rsidRDefault="003B167F" w:rsidP="007C0CF9">
      <w:pPr>
        <w:numPr>
          <w:ilvl w:val="0"/>
          <w:numId w:val="1"/>
        </w:numPr>
        <w:spacing w:after="240"/>
        <w:ind w:left="1800" w:righ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As supported by a photograph, h</w:t>
      </w:r>
      <w:r w:rsidR="004D39F8" w:rsidRPr="00666A73">
        <w:rPr>
          <w:rFonts w:ascii="Times New Roman" w:hAnsi="Times New Roman"/>
          <w:sz w:val="26"/>
          <w:szCs w:val="26"/>
        </w:rPr>
        <w:t xml:space="preserve">e observed that the </w:t>
      </w:r>
      <w:r w:rsidR="006A2436" w:rsidRPr="00666A73">
        <w:rPr>
          <w:rFonts w:ascii="Times New Roman" w:hAnsi="Times New Roman"/>
          <w:sz w:val="26"/>
          <w:szCs w:val="26"/>
        </w:rPr>
        <w:t xml:space="preserve">motor </w:t>
      </w:r>
      <w:r>
        <w:rPr>
          <w:rFonts w:ascii="Times New Roman" w:hAnsi="Times New Roman"/>
          <w:sz w:val="26"/>
          <w:szCs w:val="26"/>
        </w:rPr>
        <w:t>vehicle was properly marked with duct tape and marker as JJEBCO</w:t>
      </w:r>
      <w:r w:rsidR="00EE2B0A">
        <w:rPr>
          <w:rFonts w:ascii="Times New Roman" w:hAnsi="Times New Roman"/>
          <w:sz w:val="26"/>
          <w:szCs w:val="26"/>
        </w:rPr>
        <w:t>, the carrier subject to the inspection</w:t>
      </w:r>
      <w:r w:rsidR="004D39F8" w:rsidRPr="00666A73">
        <w:rPr>
          <w:rFonts w:ascii="Times New Roman" w:hAnsi="Times New Roman"/>
          <w:sz w:val="26"/>
          <w:szCs w:val="26"/>
        </w:rPr>
        <w:t>;</w:t>
      </w:r>
      <w:r w:rsidR="00563B48">
        <w:rPr>
          <w:rStyle w:val="FootnoteReference"/>
          <w:rFonts w:ascii="Times New Roman" w:hAnsi="Times New Roman"/>
          <w:sz w:val="26"/>
          <w:szCs w:val="26"/>
        </w:rPr>
        <w:footnoteReference w:id="20"/>
      </w:r>
      <w:r w:rsidR="004D39F8" w:rsidRPr="00666A73">
        <w:rPr>
          <w:rFonts w:ascii="Times New Roman" w:hAnsi="Times New Roman"/>
          <w:sz w:val="26"/>
          <w:szCs w:val="26"/>
        </w:rPr>
        <w:t xml:space="preserve"> </w:t>
      </w:r>
    </w:p>
    <w:p w:rsidR="007A23FB" w:rsidRPr="00666A73" w:rsidRDefault="003B167F" w:rsidP="007C0CF9">
      <w:pPr>
        <w:numPr>
          <w:ilvl w:val="0"/>
          <w:numId w:val="1"/>
        </w:numPr>
        <w:spacing w:after="240"/>
        <w:ind w:left="1800" w:righ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 supported by photographs, h</w:t>
      </w:r>
      <w:r w:rsidR="001342E0" w:rsidRPr="00666A73">
        <w:rPr>
          <w:rFonts w:ascii="Times New Roman" w:hAnsi="Times New Roman"/>
          <w:sz w:val="26"/>
          <w:szCs w:val="26"/>
        </w:rPr>
        <w:t>e</w:t>
      </w:r>
      <w:r w:rsidR="007A23FB" w:rsidRPr="00666A73">
        <w:rPr>
          <w:rFonts w:ascii="Times New Roman" w:hAnsi="Times New Roman"/>
          <w:sz w:val="26"/>
          <w:szCs w:val="26"/>
        </w:rPr>
        <w:t xml:space="preserve"> observed that </w:t>
      </w:r>
      <w:r>
        <w:rPr>
          <w:rFonts w:ascii="Times New Roman" w:hAnsi="Times New Roman"/>
          <w:sz w:val="26"/>
          <w:szCs w:val="26"/>
        </w:rPr>
        <w:t>the right-rear chain was excessively loose and he could move the chain with his hand</w:t>
      </w:r>
      <w:r w:rsidR="007A23FB" w:rsidRPr="00666A73">
        <w:rPr>
          <w:rFonts w:ascii="Times New Roman" w:hAnsi="Times New Roman"/>
          <w:sz w:val="26"/>
          <w:szCs w:val="26"/>
        </w:rPr>
        <w:t>;</w:t>
      </w:r>
      <w:r w:rsidR="00563B48">
        <w:rPr>
          <w:rStyle w:val="FootnoteReference"/>
          <w:rFonts w:ascii="Times New Roman" w:hAnsi="Times New Roman"/>
          <w:sz w:val="26"/>
          <w:szCs w:val="26"/>
        </w:rPr>
        <w:footnoteReference w:id="21"/>
      </w:r>
      <w:r w:rsidR="007A23FB" w:rsidRPr="00666A73">
        <w:rPr>
          <w:rFonts w:ascii="Times New Roman" w:hAnsi="Times New Roman"/>
          <w:sz w:val="26"/>
          <w:szCs w:val="26"/>
        </w:rPr>
        <w:t xml:space="preserve">  </w:t>
      </w:r>
    </w:p>
    <w:p w:rsidR="003B167F" w:rsidRPr="00666A73" w:rsidRDefault="003B167F" w:rsidP="007C0CF9">
      <w:pPr>
        <w:numPr>
          <w:ilvl w:val="0"/>
          <w:numId w:val="1"/>
        </w:numPr>
        <w:spacing w:after="240"/>
        <w:ind w:left="1800" w:righ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 supported by photographs, h</w:t>
      </w:r>
      <w:r w:rsidRPr="00666A73">
        <w:rPr>
          <w:rFonts w:ascii="Times New Roman" w:hAnsi="Times New Roman"/>
          <w:sz w:val="26"/>
          <w:szCs w:val="26"/>
        </w:rPr>
        <w:t xml:space="preserve">e observed that </w:t>
      </w:r>
      <w:r>
        <w:rPr>
          <w:rFonts w:ascii="Times New Roman" w:hAnsi="Times New Roman"/>
          <w:sz w:val="26"/>
          <w:szCs w:val="26"/>
        </w:rPr>
        <w:t>the left-rear chain was excessively loose and he could move the chain with his hand</w:t>
      </w:r>
      <w:r w:rsidRPr="00666A73">
        <w:rPr>
          <w:rFonts w:ascii="Times New Roman" w:hAnsi="Times New Roman"/>
          <w:sz w:val="26"/>
          <w:szCs w:val="26"/>
        </w:rPr>
        <w:t>;</w:t>
      </w:r>
      <w:r w:rsidR="00563B48">
        <w:rPr>
          <w:rStyle w:val="FootnoteReference"/>
          <w:rFonts w:ascii="Times New Roman" w:hAnsi="Times New Roman"/>
          <w:sz w:val="26"/>
          <w:szCs w:val="26"/>
        </w:rPr>
        <w:footnoteReference w:id="22"/>
      </w:r>
      <w:r w:rsidRPr="00666A73">
        <w:rPr>
          <w:rFonts w:ascii="Times New Roman" w:hAnsi="Times New Roman"/>
          <w:sz w:val="26"/>
          <w:szCs w:val="26"/>
        </w:rPr>
        <w:t xml:space="preserve">  </w:t>
      </w:r>
    </w:p>
    <w:p w:rsidR="003B167F" w:rsidRPr="00666A73" w:rsidRDefault="003B167F" w:rsidP="007C0CF9">
      <w:pPr>
        <w:numPr>
          <w:ilvl w:val="0"/>
          <w:numId w:val="1"/>
        </w:numPr>
        <w:spacing w:after="240"/>
        <w:ind w:left="1800" w:righ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 supported by photographs, h</w:t>
      </w:r>
      <w:r w:rsidRPr="00666A73">
        <w:rPr>
          <w:rFonts w:ascii="Times New Roman" w:hAnsi="Times New Roman"/>
          <w:sz w:val="26"/>
          <w:szCs w:val="26"/>
        </w:rPr>
        <w:t xml:space="preserve">e observed that </w:t>
      </w:r>
      <w:r>
        <w:rPr>
          <w:rFonts w:ascii="Times New Roman" w:hAnsi="Times New Roman"/>
          <w:sz w:val="26"/>
          <w:szCs w:val="26"/>
        </w:rPr>
        <w:t>the right-</w:t>
      </w:r>
      <w:r w:rsidR="00EE2B0A">
        <w:rPr>
          <w:rFonts w:ascii="Times New Roman" w:hAnsi="Times New Roman"/>
          <w:sz w:val="26"/>
          <w:szCs w:val="26"/>
        </w:rPr>
        <w:t>front</w:t>
      </w:r>
      <w:r>
        <w:rPr>
          <w:rFonts w:ascii="Times New Roman" w:hAnsi="Times New Roman"/>
          <w:sz w:val="26"/>
          <w:szCs w:val="26"/>
        </w:rPr>
        <w:t xml:space="preserve"> chain was excessively loose and he could move the chain with his hand</w:t>
      </w:r>
      <w:r w:rsidRPr="00666A73">
        <w:rPr>
          <w:rFonts w:ascii="Times New Roman" w:hAnsi="Times New Roman"/>
          <w:sz w:val="26"/>
          <w:szCs w:val="26"/>
        </w:rPr>
        <w:t>;</w:t>
      </w:r>
      <w:r w:rsidR="00563B48">
        <w:rPr>
          <w:rStyle w:val="FootnoteReference"/>
          <w:rFonts w:ascii="Times New Roman" w:hAnsi="Times New Roman"/>
          <w:sz w:val="26"/>
          <w:szCs w:val="26"/>
        </w:rPr>
        <w:footnoteReference w:id="23"/>
      </w:r>
      <w:r w:rsidRPr="00666A73">
        <w:rPr>
          <w:rFonts w:ascii="Times New Roman" w:hAnsi="Times New Roman"/>
          <w:sz w:val="26"/>
          <w:szCs w:val="26"/>
        </w:rPr>
        <w:t xml:space="preserve">  </w:t>
      </w:r>
    </w:p>
    <w:p w:rsidR="00EE2B0A" w:rsidRPr="00666A73" w:rsidRDefault="00EE2B0A" w:rsidP="007C0CF9">
      <w:pPr>
        <w:numPr>
          <w:ilvl w:val="0"/>
          <w:numId w:val="1"/>
        </w:numPr>
        <w:spacing w:after="240"/>
        <w:ind w:left="1800" w:righ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 supported by photographs, h</w:t>
      </w:r>
      <w:r w:rsidRPr="00666A73">
        <w:rPr>
          <w:rFonts w:ascii="Times New Roman" w:hAnsi="Times New Roman"/>
          <w:sz w:val="26"/>
          <w:szCs w:val="26"/>
        </w:rPr>
        <w:t xml:space="preserve">e observed that </w:t>
      </w:r>
      <w:r>
        <w:rPr>
          <w:rFonts w:ascii="Times New Roman" w:hAnsi="Times New Roman"/>
          <w:sz w:val="26"/>
          <w:szCs w:val="26"/>
        </w:rPr>
        <w:t>the left-front chain was excessively loose and he could move the chain with his hand</w:t>
      </w:r>
      <w:r w:rsidRPr="00666A73">
        <w:rPr>
          <w:rFonts w:ascii="Times New Roman" w:hAnsi="Times New Roman"/>
          <w:sz w:val="26"/>
          <w:szCs w:val="26"/>
        </w:rPr>
        <w:t>;</w:t>
      </w:r>
      <w:r w:rsidR="00563B48">
        <w:rPr>
          <w:rStyle w:val="FootnoteReference"/>
          <w:rFonts w:ascii="Times New Roman" w:hAnsi="Times New Roman"/>
          <w:sz w:val="26"/>
          <w:szCs w:val="26"/>
        </w:rPr>
        <w:footnoteReference w:id="24"/>
      </w:r>
      <w:r w:rsidRPr="00666A73">
        <w:rPr>
          <w:rFonts w:ascii="Times New Roman" w:hAnsi="Times New Roman"/>
          <w:sz w:val="26"/>
          <w:szCs w:val="26"/>
        </w:rPr>
        <w:t xml:space="preserve">  </w:t>
      </w:r>
    </w:p>
    <w:p w:rsidR="006A2436" w:rsidRPr="00EE2B0A" w:rsidRDefault="00EE2B0A" w:rsidP="007C0CF9">
      <w:pPr>
        <w:numPr>
          <w:ilvl w:val="0"/>
          <w:numId w:val="1"/>
        </w:numPr>
        <w:spacing w:after="240"/>
        <w:ind w:left="1800" w:righ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 supported by photographs, h</w:t>
      </w:r>
      <w:r w:rsidRPr="00666A73">
        <w:rPr>
          <w:rFonts w:ascii="Times New Roman" w:hAnsi="Times New Roman"/>
          <w:sz w:val="26"/>
          <w:szCs w:val="26"/>
        </w:rPr>
        <w:t xml:space="preserve">e observed that </w:t>
      </w:r>
      <w:r>
        <w:rPr>
          <w:rFonts w:ascii="Times New Roman" w:hAnsi="Times New Roman"/>
          <w:sz w:val="26"/>
          <w:szCs w:val="26"/>
        </w:rPr>
        <w:t>the front-middle steel rope was excessively loose and he could move the rope with his hand;</w:t>
      </w:r>
      <w:r w:rsidR="00563B48">
        <w:rPr>
          <w:rStyle w:val="FootnoteReference"/>
          <w:rFonts w:ascii="Times New Roman" w:hAnsi="Times New Roman"/>
          <w:sz w:val="26"/>
          <w:szCs w:val="26"/>
        </w:rPr>
        <w:footnoteReference w:id="25"/>
      </w:r>
      <w:r>
        <w:rPr>
          <w:rFonts w:ascii="Times New Roman" w:hAnsi="Times New Roman"/>
          <w:sz w:val="26"/>
          <w:szCs w:val="26"/>
        </w:rPr>
        <w:t xml:space="preserve"> </w:t>
      </w:r>
      <w:r w:rsidR="00AD7525" w:rsidRPr="00EE2B0A">
        <w:rPr>
          <w:rFonts w:ascii="Times New Roman" w:hAnsi="Times New Roman"/>
          <w:sz w:val="26"/>
          <w:szCs w:val="26"/>
        </w:rPr>
        <w:t>and</w:t>
      </w:r>
    </w:p>
    <w:p w:rsidR="004D39F8" w:rsidRPr="00666A73" w:rsidRDefault="00AD7525" w:rsidP="007C0CF9">
      <w:pPr>
        <w:numPr>
          <w:ilvl w:val="0"/>
          <w:numId w:val="1"/>
        </w:numPr>
        <w:spacing w:after="240"/>
        <w:ind w:left="1800" w:right="1440"/>
        <w:jc w:val="both"/>
        <w:rPr>
          <w:rFonts w:ascii="Times New Roman" w:hAnsi="Times New Roman"/>
          <w:sz w:val="26"/>
          <w:szCs w:val="26"/>
        </w:rPr>
      </w:pPr>
      <w:r w:rsidRPr="00666A73">
        <w:rPr>
          <w:rFonts w:ascii="Times New Roman" w:hAnsi="Times New Roman"/>
          <w:sz w:val="26"/>
          <w:szCs w:val="26"/>
        </w:rPr>
        <w:t>The motor vehicle</w:t>
      </w:r>
      <w:r w:rsidR="006A2436" w:rsidRPr="00666A73">
        <w:rPr>
          <w:rFonts w:ascii="Times New Roman" w:hAnsi="Times New Roman"/>
          <w:sz w:val="26"/>
          <w:szCs w:val="26"/>
        </w:rPr>
        <w:t xml:space="preserve"> was placed out of service</w:t>
      </w:r>
      <w:r w:rsidRPr="00666A73">
        <w:rPr>
          <w:rFonts w:ascii="Times New Roman" w:hAnsi="Times New Roman"/>
          <w:sz w:val="26"/>
          <w:szCs w:val="26"/>
        </w:rPr>
        <w:t>.</w:t>
      </w:r>
      <w:r w:rsidR="00563B48">
        <w:rPr>
          <w:rStyle w:val="FootnoteReference"/>
          <w:rFonts w:ascii="Times New Roman" w:hAnsi="Times New Roman"/>
          <w:sz w:val="26"/>
          <w:szCs w:val="26"/>
        </w:rPr>
        <w:footnoteReference w:id="26"/>
      </w:r>
      <w:r w:rsidR="006A2436" w:rsidRPr="00666A73">
        <w:rPr>
          <w:rFonts w:ascii="Times New Roman" w:hAnsi="Times New Roman"/>
          <w:sz w:val="26"/>
          <w:szCs w:val="26"/>
        </w:rPr>
        <w:t xml:space="preserve">  </w:t>
      </w:r>
    </w:p>
    <w:p w:rsidR="002920BE" w:rsidRPr="00666A73" w:rsidRDefault="007C0CF9" w:rsidP="007C0CF9">
      <w:pPr>
        <w:pStyle w:val="text"/>
      </w:pPr>
      <w:r>
        <w:t>Tro</w:t>
      </w:r>
      <w:r w:rsidR="00EE2B0A">
        <w:t xml:space="preserve">oper Ramps </w:t>
      </w:r>
      <w:r w:rsidR="004D39F8" w:rsidRPr="00666A73">
        <w:t xml:space="preserve">also took photographs </w:t>
      </w:r>
      <w:r w:rsidR="00EE2B0A">
        <w:t>of the shipping papers to show the pick-up and delivery locations.</w:t>
      </w:r>
      <w:r w:rsidR="00563B48">
        <w:rPr>
          <w:rStyle w:val="FootnoteReference"/>
          <w:szCs w:val="26"/>
        </w:rPr>
        <w:footnoteReference w:id="27"/>
      </w:r>
      <w:r w:rsidR="004D39F8" w:rsidRPr="00666A73">
        <w:t xml:space="preserve">  </w:t>
      </w:r>
      <w:r w:rsidR="00EE2B0A">
        <w:t>Trooper Ramps</w:t>
      </w:r>
      <w:r w:rsidR="006A2436" w:rsidRPr="00666A73">
        <w:t xml:space="preserve"> prepared his report contemporaneously with the </w:t>
      </w:r>
      <w:r w:rsidR="006A2436" w:rsidRPr="00666A73">
        <w:lastRenderedPageBreak/>
        <w:t xml:space="preserve">stop to document the </w:t>
      </w:r>
      <w:r w:rsidR="00657F02" w:rsidRPr="00666A73">
        <w:t>inspection</w:t>
      </w:r>
      <w:r w:rsidR="006A2436" w:rsidRPr="00666A73">
        <w:t>.</w:t>
      </w:r>
      <w:r w:rsidR="00563B48">
        <w:rPr>
          <w:rStyle w:val="FootnoteReference"/>
          <w:szCs w:val="26"/>
        </w:rPr>
        <w:footnoteReference w:id="28"/>
      </w:r>
      <w:r w:rsidR="00C92A37">
        <w:t xml:space="preserve">  </w:t>
      </w:r>
      <w:r w:rsidR="00657F02" w:rsidRPr="00666A73">
        <w:t>The</w:t>
      </w:r>
      <w:r w:rsidR="00C86EB7" w:rsidRPr="00666A73">
        <w:t xml:space="preserve"> above</w:t>
      </w:r>
      <w:r w:rsidR="00CC5E36" w:rsidRPr="00666A73">
        <w:t xml:space="preserve"> evidence supports</w:t>
      </w:r>
      <w:r w:rsidR="00EE2B0A">
        <w:t xml:space="preserve"> Trooper Ramp</w:t>
      </w:r>
      <w:r w:rsidR="00BA1C62" w:rsidRPr="00666A73">
        <w:t>s</w:t>
      </w:r>
      <w:r w:rsidR="00EE2B0A">
        <w:t>’</w:t>
      </w:r>
      <w:r w:rsidR="00BA1C62" w:rsidRPr="00666A73">
        <w:t xml:space="preserve"> deter</w:t>
      </w:r>
      <w:r w:rsidR="00E556E3">
        <w:softHyphen/>
      </w:r>
      <w:r w:rsidR="00BA1C62" w:rsidRPr="00666A73">
        <w:t>mination that</w:t>
      </w:r>
      <w:r w:rsidR="00EE2B0A">
        <w:t xml:space="preserve"> JJEBCO</w:t>
      </w:r>
      <w:r w:rsidR="00BF7341" w:rsidRPr="00666A73">
        <w:t xml:space="preserve"> was operating a </w:t>
      </w:r>
      <w:r w:rsidR="00657F02" w:rsidRPr="00666A73">
        <w:t xml:space="preserve">commercial </w:t>
      </w:r>
      <w:r w:rsidR="00BF7341" w:rsidRPr="00666A73">
        <w:t>motor vehicle</w:t>
      </w:r>
      <w:r w:rsidR="00EE2B0A">
        <w:t xml:space="preserve"> with an unsecure load</w:t>
      </w:r>
      <w:r w:rsidR="00BA1C62" w:rsidRPr="00666A73">
        <w:t xml:space="preserve"> in violation of the regulation.</w:t>
      </w:r>
      <w:r w:rsidR="00BF7341" w:rsidRPr="00666A73">
        <w:t xml:space="preserve">  As a result, the Commission must find that Re</w:t>
      </w:r>
      <w:r w:rsidR="00EE2B0A">
        <w:t>spondent violated 49 C.F.R. §</w:t>
      </w:r>
      <w:r w:rsidR="00563B48">
        <w:t> </w:t>
      </w:r>
      <w:r w:rsidR="00EE2B0A">
        <w:t>392.9</w:t>
      </w:r>
      <w:r w:rsidR="00BF7341" w:rsidRPr="00666A73">
        <w:t>(a)</w:t>
      </w:r>
      <w:r w:rsidR="004F174A">
        <w:t>(1)</w:t>
      </w:r>
      <w:r w:rsidR="00BF7341" w:rsidRPr="00666A73">
        <w:t>.</w:t>
      </w:r>
      <w:r w:rsidR="00BA1C62" w:rsidRPr="00666A73">
        <w:t xml:space="preserve">  </w:t>
      </w:r>
    </w:p>
    <w:p w:rsidR="00DB54FF" w:rsidRPr="00666A73" w:rsidRDefault="00DB54FF" w:rsidP="007C0CF9">
      <w:pPr>
        <w:pStyle w:val="Heading2"/>
      </w:pPr>
      <w:bookmarkStart w:id="20" w:name="_Toc369590531"/>
      <w:r w:rsidRPr="00666A73">
        <w:t>C.</w:t>
      </w:r>
      <w:r w:rsidRPr="00666A73">
        <w:tab/>
        <w:t>Respondent failed to</w:t>
      </w:r>
      <w:r w:rsidR="00060D4C" w:rsidRPr="00666A73">
        <w:t xml:space="preserve"> defend and</w:t>
      </w:r>
      <w:r w:rsidRPr="00666A73">
        <w:t xml:space="preserve"> rebut the Staff’s evidence.</w:t>
      </w:r>
      <w:bookmarkEnd w:id="20"/>
    </w:p>
    <w:p w:rsidR="002F2274" w:rsidRPr="00666A73" w:rsidRDefault="00DB54FF" w:rsidP="007C0CF9">
      <w:pPr>
        <w:pStyle w:val="text"/>
      </w:pPr>
      <w:r w:rsidRPr="00666A73">
        <w:rPr>
          <w:b/>
        </w:rPr>
        <w:tab/>
      </w:r>
      <w:r w:rsidRPr="00666A73">
        <w:t xml:space="preserve">It is the Staff’s burden to prove its case by a </w:t>
      </w:r>
      <w:r w:rsidR="00060D4C" w:rsidRPr="00666A73">
        <w:t>p</w:t>
      </w:r>
      <w:r w:rsidR="00563B48">
        <w:t xml:space="preserve">reponderance of the evidence.  </w:t>
      </w:r>
      <w:r w:rsidR="00060D4C" w:rsidRPr="00666A73">
        <w:t xml:space="preserve">The Staff has met that burden by providing record evidence through oral testimony of an experienced Motor Carrier Enforcement Inspector employed by the </w:t>
      </w:r>
      <w:r w:rsidR="006F2B80">
        <w:t>Ohio Highway Patrol for nearly 14</w:t>
      </w:r>
      <w:r w:rsidR="00060D4C" w:rsidRPr="00666A73">
        <w:t xml:space="preserve"> years, the authenticated Driver/Vehicle examination report (Staff Ex. 1), and numerous authentic</w:t>
      </w:r>
      <w:r w:rsidR="00910990">
        <w:t>ated photographs.</w:t>
      </w:r>
      <w:r w:rsidR="00563B48">
        <w:rPr>
          <w:rStyle w:val="FootnoteReference"/>
          <w:szCs w:val="26"/>
        </w:rPr>
        <w:footnoteReference w:id="29"/>
      </w:r>
      <w:r w:rsidR="00910990">
        <w:t xml:space="preserve">  </w:t>
      </w:r>
      <w:r w:rsidR="00060D4C" w:rsidRPr="00666A73">
        <w:t>In</w:t>
      </w:r>
      <w:r w:rsidR="002F2274" w:rsidRPr="00666A73">
        <w:t xml:space="preserve"> </w:t>
      </w:r>
      <w:r w:rsidR="000C72A5" w:rsidRPr="00666A73">
        <w:t>contesting the underlying facts of the viola</w:t>
      </w:r>
      <w:r w:rsidR="00E556E3">
        <w:softHyphen/>
      </w:r>
      <w:r w:rsidR="000C72A5" w:rsidRPr="00666A73">
        <w:t>tions</w:t>
      </w:r>
      <w:r w:rsidR="00984A63">
        <w:t xml:space="preserve">, Respondent, </w:t>
      </w:r>
      <w:r w:rsidR="00984A63" w:rsidRPr="00666A73">
        <w:t>who was not present at the time of the inspection</w:t>
      </w:r>
      <w:r w:rsidR="00984A63">
        <w:t>, offered only his own</w:t>
      </w:r>
      <w:r w:rsidR="00060D4C" w:rsidRPr="00666A73">
        <w:t xml:space="preserve"> oral testimony</w:t>
      </w:r>
      <w:r w:rsidR="000C72A5" w:rsidRPr="00666A73">
        <w:t>.</w:t>
      </w:r>
      <w:r w:rsidR="00563B48">
        <w:rPr>
          <w:rStyle w:val="FootnoteReference"/>
          <w:szCs w:val="26"/>
        </w:rPr>
        <w:footnoteReference w:id="30"/>
      </w:r>
      <w:r w:rsidR="006F2B80">
        <w:t xml:space="preserve">  </w:t>
      </w:r>
      <w:r w:rsidR="000C72A5" w:rsidRPr="00666A73">
        <w:t xml:space="preserve">It should be noted that </w:t>
      </w:r>
      <w:r w:rsidR="00060D4C" w:rsidRPr="00666A73">
        <w:t xml:space="preserve">Respondent did not offer the testimony of the driver who drove the truck subject to the inspection.  </w:t>
      </w:r>
      <w:r w:rsidR="00812046" w:rsidRPr="00666A73">
        <w:t>Moreover</w:t>
      </w:r>
      <w:r w:rsidR="000C72A5" w:rsidRPr="00666A73">
        <w:t xml:space="preserve">, </w:t>
      </w:r>
      <w:r w:rsidR="00060D4C" w:rsidRPr="00666A73">
        <w:t>Respondent pro</w:t>
      </w:r>
      <w:r w:rsidR="00E556E3">
        <w:softHyphen/>
      </w:r>
      <w:r w:rsidR="00060D4C" w:rsidRPr="00666A73">
        <w:t>duced no documentation to support its defenses.</w:t>
      </w:r>
      <w:r w:rsidR="00947773" w:rsidRPr="00666A73">
        <w:t xml:space="preserve">  </w:t>
      </w:r>
      <w:r w:rsidR="00760AAD" w:rsidRPr="00666A73">
        <w:tab/>
      </w:r>
    </w:p>
    <w:p w:rsidR="00CC6149" w:rsidRPr="00666A73" w:rsidRDefault="007C0CF9" w:rsidP="007C0CF9">
      <w:pPr>
        <w:pStyle w:val="text"/>
      </w:pPr>
      <w:r>
        <w:tab/>
      </w:r>
      <w:r w:rsidR="000A55AF">
        <w:t>Respondent argues that the vehicle was secure from lateral, forward, rearward, an</w:t>
      </w:r>
      <w:r w:rsidR="006F2B80">
        <w:t>d vertical movement because the regulation only called</w:t>
      </w:r>
      <w:r w:rsidR="00EA6F6D">
        <w:t xml:space="preserve"> for</w:t>
      </w:r>
      <w:r w:rsidR="006F2B80">
        <w:t xml:space="preserve"> two chains.</w:t>
      </w:r>
      <w:r w:rsidR="00563B48">
        <w:rPr>
          <w:rStyle w:val="FootnoteReference"/>
          <w:szCs w:val="26"/>
        </w:rPr>
        <w:footnoteReference w:id="31"/>
      </w:r>
      <w:r w:rsidR="006F2B80">
        <w:t xml:space="preserve">  Respondent</w:t>
      </w:r>
      <w:r w:rsidR="00D368A4">
        <w:t>’</w:t>
      </w:r>
      <w:r w:rsidR="006F2B80">
        <w:t>s state</w:t>
      </w:r>
      <w:r w:rsidR="00E556E3">
        <w:softHyphen/>
      </w:r>
      <w:r w:rsidR="006F2B80">
        <w:t>ments are misleading and fail to rebut Staff evidence</w:t>
      </w:r>
      <w:r w:rsidR="00951477" w:rsidRPr="00666A73">
        <w:t>.</w:t>
      </w:r>
      <w:r w:rsidR="000A55AF">
        <w:t xml:space="preserve">  Trooper</w:t>
      </w:r>
      <w:r w:rsidR="004A02C6" w:rsidRPr="00666A73">
        <w:t xml:space="preserve"> </w:t>
      </w:r>
      <w:r w:rsidR="000A55AF">
        <w:t xml:space="preserve">Ramps </w:t>
      </w:r>
      <w:r w:rsidR="004A02C6" w:rsidRPr="00666A73">
        <w:t xml:space="preserve">testified that </w:t>
      </w:r>
      <w:r w:rsidR="004A02C6" w:rsidRPr="00666A73">
        <w:lastRenderedPageBreak/>
        <w:t>he observed</w:t>
      </w:r>
      <w:r w:rsidR="000A55AF" w:rsidRPr="00666A73">
        <w:t xml:space="preserve"> the</w:t>
      </w:r>
      <w:r w:rsidR="000A55AF">
        <w:t xml:space="preserve"> Pontiac Vibe on the flatbed </w:t>
      </w:r>
      <w:r w:rsidR="00642B8A">
        <w:t>without</w:t>
      </w:r>
      <w:r w:rsidR="000A55AF">
        <w:t xml:space="preserve"> proper secure</w:t>
      </w:r>
      <w:r w:rsidR="00642B8A">
        <w:t>ment</w:t>
      </w:r>
      <w:r w:rsidR="000A55AF">
        <w:t xml:space="preserve"> as all four chains and the steel rope attempting to secure the Pontiac were noticeably and excessively loose.</w:t>
      </w:r>
      <w:r w:rsidR="00563B48">
        <w:rPr>
          <w:rStyle w:val="FootnoteReference"/>
          <w:szCs w:val="26"/>
        </w:rPr>
        <w:footnoteReference w:id="32"/>
      </w:r>
      <w:r w:rsidR="000A55AF">
        <w:t xml:space="preserve"> </w:t>
      </w:r>
      <w:r w:rsidR="005C5142">
        <w:t xml:space="preserve"> </w:t>
      </w:r>
      <w:r w:rsidR="006F2B80">
        <w:t>Respondent’s vehicle did not have a single adequate tiedown to preve</w:t>
      </w:r>
      <w:r w:rsidR="0022775E">
        <w:t>nt forward, rearward, vertical, o</w:t>
      </w:r>
      <w:r w:rsidR="006F2B80">
        <w:t>r lateral movement of the Pontiac.</w:t>
      </w:r>
      <w:r w:rsidR="00563B48">
        <w:rPr>
          <w:rStyle w:val="FootnoteReference"/>
          <w:szCs w:val="26"/>
        </w:rPr>
        <w:footnoteReference w:id="33"/>
      </w:r>
      <w:r w:rsidR="006F2B80">
        <w:t xml:space="preserve">  </w:t>
      </w:r>
      <w:r w:rsidR="00B60E96">
        <w:t xml:space="preserve">As mentioned above, </w:t>
      </w:r>
      <w:r w:rsidR="000A55AF">
        <w:t>Staff pro</w:t>
      </w:r>
      <w:r w:rsidR="00E556E3">
        <w:softHyphen/>
      </w:r>
      <w:r w:rsidR="000A55AF">
        <w:t>duced a number of authenticated photographs that demonstrate the failure to secure the</w:t>
      </w:r>
      <w:r w:rsidR="00B60E96">
        <w:t xml:space="preserve"> vehicle.</w:t>
      </w:r>
      <w:r w:rsidR="00563B48">
        <w:rPr>
          <w:rStyle w:val="FootnoteReference"/>
          <w:szCs w:val="26"/>
        </w:rPr>
        <w:footnoteReference w:id="34"/>
      </w:r>
      <w:r w:rsidR="005C5142">
        <w:t xml:space="preserve">  </w:t>
      </w:r>
      <w:r w:rsidR="003D0116">
        <w:t>Respondent asked Trooper Ramps on cross-examination if Trooper Ramps</w:t>
      </w:r>
      <w:r w:rsidR="006F2B80">
        <w:t xml:space="preserve"> </w:t>
      </w:r>
      <w:r w:rsidR="0022775E">
        <w:t>checked for movement of the Pontiac by</w:t>
      </w:r>
      <w:r w:rsidR="003D0116">
        <w:t xml:space="preserve"> “</w:t>
      </w:r>
      <w:r w:rsidR="0022775E">
        <w:t>pushing it, moving it, shoving, it…</w:t>
      </w:r>
      <w:r w:rsidR="003D0116">
        <w:t>.”  Respondent is misguided</w:t>
      </w:r>
      <w:r w:rsidR="0022775E">
        <w:t xml:space="preserve"> in his assertion that physically moving the vehicle was neces</w:t>
      </w:r>
      <w:r w:rsidR="00E556E3">
        <w:softHyphen/>
      </w:r>
      <w:r w:rsidR="0022775E">
        <w:t>sary</w:t>
      </w:r>
      <w:r w:rsidR="003D0116">
        <w:t xml:space="preserve">.  </w:t>
      </w:r>
      <w:r w:rsidR="00385100">
        <w:t>P</w:t>
      </w:r>
      <w:r w:rsidR="003D0116">
        <w:t>hysical</w:t>
      </w:r>
      <w:r w:rsidR="0022775E">
        <w:t>ly push</w:t>
      </w:r>
      <w:r w:rsidR="00385100">
        <w:t>ing</w:t>
      </w:r>
      <w:r w:rsidR="003D0116">
        <w:t xml:space="preserve"> and pu</w:t>
      </w:r>
      <w:r w:rsidR="0022775E">
        <w:t>ll</w:t>
      </w:r>
      <w:r w:rsidR="00385100">
        <w:t>ing</w:t>
      </w:r>
      <w:r w:rsidR="0022775E">
        <w:t xml:space="preserve"> </w:t>
      </w:r>
      <w:r w:rsidR="00385100">
        <w:t xml:space="preserve">the </w:t>
      </w:r>
      <w:r w:rsidR="0022775E">
        <w:t>Pontiac</w:t>
      </w:r>
      <w:r w:rsidR="003D0116">
        <w:t xml:space="preserve"> to determine </w:t>
      </w:r>
      <w:r w:rsidR="003D0116" w:rsidRPr="00D878DD">
        <w:rPr>
          <w:rStyle w:val="p"/>
          <w:szCs w:val="26"/>
        </w:rPr>
        <w:t>lateral, forward, rearward, and vertical</w:t>
      </w:r>
      <w:r w:rsidR="00385100">
        <w:rPr>
          <w:rStyle w:val="p"/>
          <w:szCs w:val="26"/>
        </w:rPr>
        <w:t xml:space="preserve"> movement would create an</w:t>
      </w:r>
      <w:r w:rsidR="0022775E">
        <w:rPr>
          <w:rStyle w:val="p"/>
          <w:szCs w:val="26"/>
        </w:rPr>
        <w:t xml:space="preserve"> unsafe</w:t>
      </w:r>
      <w:r w:rsidR="00385100">
        <w:rPr>
          <w:rStyle w:val="p"/>
          <w:szCs w:val="26"/>
        </w:rPr>
        <w:t xml:space="preserve"> situation</w:t>
      </w:r>
      <w:r w:rsidR="0022775E">
        <w:rPr>
          <w:rStyle w:val="p"/>
          <w:szCs w:val="26"/>
        </w:rPr>
        <w:t xml:space="preserve"> and</w:t>
      </w:r>
      <w:r w:rsidR="00385100">
        <w:rPr>
          <w:rStyle w:val="p"/>
          <w:szCs w:val="26"/>
        </w:rPr>
        <w:t xml:space="preserve"> is</w:t>
      </w:r>
      <w:r w:rsidR="003D0116">
        <w:rPr>
          <w:rStyle w:val="p"/>
          <w:szCs w:val="26"/>
        </w:rPr>
        <w:t xml:space="preserve"> improper here</w:t>
      </w:r>
      <w:r w:rsidR="00E556E3">
        <w:rPr>
          <w:rStyle w:val="p"/>
          <w:szCs w:val="26"/>
        </w:rPr>
        <w:t>.</w:t>
      </w:r>
      <w:r w:rsidR="00E556E3">
        <w:t xml:space="preserve">  </w:t>
      </w:r>
      <w:r w:rsidR="003D0116">
        <w:t>Trooper R</w:t>
      </w:r>
      <w:r w:rsidR="005C5142">
        <w:t>amps used</w:t>
      </w:r>
      <w:r w:rsidR="003D0116">
        <w:t xml:space="preserve"> his professional experience, training, and judgment to properly inspect</w:t>
      </w:r>
      <w:r w:rsidR="00385100">
        <w:t xml:space="preserve"> and evaluate</w:t>
      </w:r>
      <w:r w:rsidR="003D0116">
        <w:t xml:space="preserve"> this securement violation</w:t>
      </w:r>
      <w:r w:rsidR="00385100">
        <w:t>;</w:t>
      </w:r>
      <w:r w:rsidR="003D0116">
        <w:t xml:space="preserve"> his testimony, investigation report, and photographs support his</w:t>
      </w:r>
      <w:r w:rsidR="00BF1B56">
        <w:t xml:space="preserve"> conclusion.</w:t>
      </w:r>
      <w:r w:rsidR="003D0116">
        <w:t xml:space="preserve">   </w:t>
      </w:r>
    </w:p>
    <w:p w:rsidR="00760AAD" w:rsidRDefault="00CC6149" w:rsidP="007C0CF9">
      <w:pPr>
        <w:pStyle w:val="text"/>
      </w:pPr>
      <w:r w:rsidRPr="00666A73">
        <w:tab/>
        <w:t>Again,</w:t>
      </w:r>
      <w:r w:rsidR="00385100">
        <w:t xml:space="preserve"> JJEBCO</w:t>
      </w:r>
      <w:r w:rsidR="0022775E">
        <w:t xml:space="preserve"> did not offer testimony of</w:t>
      </w:r>
      <w:r w:rsidR="00385100">
        <w:t xml:space="preserve"> the driver of the vehicle; JJEBCO </w:t>
      </w:r>
      <w:r w:rsidR="001C2921" w:rsidRPr="00666A73">
        <w:t>relied on</w:t>
      </w:r>
      <w:r w:rsidR="00674505">
        <w:t xml:space="preserve"> the testimony of a JJEBCO</w:t>
      </w:r>
      <w:r w:rsidR="00385100">
        <w:t xml:space="preserve"> “group leader” who</w:t>
      </w:r>
      <w:r w:rsidR="001C2921" w:rsidRPr="00666A73">
        <w:t xml:space="preserve"> was not</w:t>
      </w:r>
      <w:r w:rsidR="00CD16F8" w:rsidRPr="00666A73">
        <w:t xml:space="preserve"> present</w:t>
      </w:r>
      <w:r w:rsidR="001C2921" w:rsidRPr="00666A73">
        <w:t xml:space="preserve"> at the</w:t>
      </w:r>
      <w:r w:rsidR="009E5975" w:rsidRPr="00666A73">
        <w:t xml:space="preserve"> inspection</w:t>
      </w:r>
      <w:r w:rsidR="00385100">
        <w:t xml:space="preserve">; and JJEBCO </w:t>
      </w:r>
      <w:r w:rsidR="001C2921" w:rsidRPr="00666A73">
        <w:t>produced</w:t>
      </w:r>
      <w:r w:rsidR="00385100">
        <w:t xml:space="preserve"> no documentation to support its</w:t>
      </w:r>
      <w:r w:rsidR="001C2921" w:rsidRPr="00666A73">
        <w:t xml:space="preserve"> defenses.  </w:t>
      </w:r>
      <w:r w:rsidRPr="00666A73">
        <w:t>Respondent failed to defend and rebut the Staff’s evidence.</w:t>
      </w:r>
      <w:r w:rsidR="009E5975" w:rsidRPr="00666A73">
        <w:t xml:space="preserve">  </w:t>
      </w:r>
      <w:r w:rsidR="001C2921" w:rsidRPr="00666A73">
        <w:t>Thus, t</w:t>
      </w:r>
      <w:r w:rsidR="00674505">
        <w:t>he Commission should</w:t>
      </w:r>
      <w:r w:rsidRPr="00666A73">
        <w:t xml:space="preserve"> find that </w:t>
      </w:r>
      <w:r w:rsidR="00CD16F8" w:rsidRPr="00666A73">
        <w:t xml:space="preserve">Staff proved </w:t>
      </w:r>
      <w:r w:rsidR="00984A63">
        <w:t>the occurrence of the violation</w:t>
      </w:r>
      <w:r w:rsidR="00CD16F8" w:rsidRPr="00666A73">
        <w:t xml:space="preserve"> of</w:t>
      </w:r>
      <w:r w:rsidR="00385100">
        <w:t xml:space="preserve"> 49 C.F.R</w:t>
      </w:r>
      <w:r w:rsidR="00984A63">
        <w:t xml:space="preserve"> </w:t>
      </w:r>
      <w:r w:rsidR="00385100">
        <w:t>§</w:t>
      </w:r>
      <w:r w:rsidR="00563B48">
        <w:t> </w:t>
      </w:r>
      <w:r w:rsidR="00984A63">
        <w:t>392.9</w:t>
      </w:r>
      <w:r w:rsidRPr="00666A73">
        <w:t>(a)</w:t>
      </w:r>
      <w:r w:rsidR="00910990">
        <w:t>(1)</w:t>
      </w:r>
      <w:r w:rsidR="00984A63" w:rsidRPr="00666A73">
        <w:t xml:space="preserve"> </w:t>
      </w:r>
      <w:r w:rsidR="00CD16F8" w:rsidRPr="00666A73">
        <w:t>by a preponderance of the evidence</w:t>
      </w:r>
      <w:r w:rsidRPr="00666A73">
        <w:t xml:space="preserve">. </w:t>
      </w:r>
    </w:p>
    <w:p w:rsidR="00984A63" w:rsidRDefault="00984A63" w:rsidP="007C0CF9">
      <w:pPr>
        <w:pStyle w:val="Heading2"/>
      </w:pPr>
      <w:bookmarkStart w:id="21" w:name="_Toc369590532"/>
      <w:r>
        <w:lastRenderedPageBreak/>
        <w:t>D.</w:t>
      </w:r>
      <w:r>
        <w:tab/>
        <w:t xml:space="preserve">As the </w:t>
      </w:r>
      <w:r w:rsidR="000A55AF">
        <w:t xml:space="preserve">motor </w:t>
      </w:r>
      <w:r>
        <w:t>carrier, Respondent, not the driver, is responsi</w:t>
      </w:r>
      <w:r w:rsidR="00E556E3">
        <w:softHyphen/>
      </w:r>
      <w:r>
        <w:t>ble for securement violations.</w:t>
      </w:r>
      <w:bookmarkEnd w:id="21"/>
    </w:p>
    <w:p w:rsidR="00CB0BAC" w:rsidRDefault="007C0CF9" w:rsidP="007C0CF9">
      <w:pPr>
        <w:pStyle w:val="text"/>
      </w:pPr>
      <w:r>
        <w:tab/>
      </w:r>
      <w:r w:rsidR="009E3A4B" w:rsidRPr="004B0E09">
        <w:t>JJEBCO</w:t>
      </w:r>
      <w:r w:rsidR="00AC2EC1" w:rsidRPr="004B0E09">
        <w:t>, as the motor carrier,</w:t>
      </w:r>
      <w:r w:rsidR="009E3A4B" w:rsidRPr="004B0E09">
        <w:t xml:space="preserve"> is responsibl</w:t>
      </w:r>
      <w:r w:rsidR="00AC2EC1" w:rsidRPr="004B0E09">
        <w:t>e f</w:t>
      </w:r>
      <w:r w:rsidR="004B0E09">
        <w:t>or the actions of its agents,</w:t>
      </w:r>
      <w:r w:rsidR="00AC2EC1" w:rsidRPr="004B0E09">
        <w:t xml:space="preserve"> contrac</w:t>
      </w:r>
      <w:r w:rsidR="00E556E3">
        <w:softHyphen/>
      </w:r>
      <w:r w:rsidR="00AC2EC1" w:rsidRPr="004B0E09">
        <w:t>tors</w:t>
      </w:r>
      <w:r w:rsidR="004B0E09">
        <w:t>, and drivers</w:t>
      </w:r>
      <w:r w:rsidR="00385100">
        <w:t xml:space="preserve"> and Mr. Schnoll admits that Jim Schnoll d.b.a. JJEBCO was the carrier in this case.</w:t>
      </w:r>
      <w:r w:rsidR="00630256">
        <w:rPr>
          <w:rStyle w:val="FootnoteReference"/>
          <w:szCs w:val="26"/>
        </w:rPr>
        <w:footnoteReference w:id="35"/>
      </w:r>
      <w:r w:rsidR="00385100">
        <w:t xml:space="preserve">  </w:t>
      </w:r>
      <w:r w:rsidR="00AC2EC1" w:rsidRPr="004B0E09">
        <w:t xml:space="preserve">Under the </w:t>
      </w:r>
      <w:r w:rsidR="00D368A4">
        <w:t>FM</w:t>
      </w:r>
      <w:r w:rsidR="00642B8A">
        <w:t>CS</w:t>
      </w:r>
      <w:r w:rsidR="00D368A4">
        <w:t>Rs</w:t>
      </w:r>
      <w:r w:rsidR="008B02CE" w:rsidRPr="004B0E09">
        <w:t>, Commission precedent</w:t>
      </w:r>
      <w:r w:rsidR="00EA6F6D">
        <w:t>,</w:t>
      </w:r>
      <w:r w:rsidR="008B02CE" w:rsidRPr="004B0E09">
        <w:t xml:space="preserve"> and Ohio law, securement violations are carrier violations.</w:t>
      </w:r>
      <w:r w:rsidR="004B0E09" w:rsidRPr="004B0E09">
        <w:t xml:space="preserve">  </w:t>
      </w:r>
      <w:r w:rsidR="00CB0F3C">
        <w:t>JJEBCO argues that, because it was not aware the driver was driving his own vehicle,</w:t>
      </w:r>
      <w:r w:rsidR="007D0195">
        <w:t xml:space="preserve"> JJEBCO</w:t>
      </w:r>
      <w:r w:rsidR="00CB0F3C">
        <w:t xml:space="preserve"> did not permit or require the driver to improperly secure the load.</w:t>
      </w:r>
      <w:r w:rsidR="00630256">
        <w:rPr>
          <w:rStyle w:val="FootnoteReference"/>
          <w:szCs w:val="26"/>
        </w:rPr>
        <w:footnoteReference w:id="36"/>
      </w:r>
      <w:r w:rsidR="00CB0F3C">
        <w:t xml:space="preserve">  Respondent states that, according to a verbal agreement with the driver, the driver was told to “fly” to the destination to pick up the vehicle.</w:t>
      </w:r>
      <w:r w:rsidR="00630256">
        <w:rPr>
          <w:rStyle w:val="FootnoteReference"/>
          <w:szCs w:val="26"/>
        </w:rPr>
        <w:footnoteReference w:id="37"/>
      </w:r>
      <w:r w:rsidR="00CB0F3C">
        <w:t xml:space="preserve">  Regardless of any verbal agreement between JJEBCO and its driver, JJEBCO is still responsible for the securement violation.  </w:t>
      </w:r>
      <w:r w:rsidR="004B0E09" w:rsidRPr="004B0E09">
        <w:t>The Commission has stated</w:t>
      </w:r>
      <w:r w:rsidR="007D0195">
        <w:t xml:space="preserve"> in the past</w:t>
      </w:r>
      <w:r w:rsidR="00CB0BAC">
        <w:t>:</w:t>
      </w:r>
    </w:p>
    <w:p w:rsidR="000B2140" w:rsidRDefault="00674505" w:rsidP="007C0CF9">
      <w:pPr>
        <w:pStyle w:val="Blockquote"/>
      </w:pPr>
      <w:r>
        <w:t>* * *</w:t>
      </w:r>
      <w:r w:rsidR="004B0E09" w:rsidRPr="004B0E09">
        <w:t>that a carrier's actual knowledge is not relevant to a vio</w:t>
      </w:r>
      <w:r w:rsidR="00E556E3">
        <w:softHyphen/>
      </w:r>
      <w:r w:rsidR="004B0E09" w:rsidRPr="004B0E09">
        <w:t>lation.</w:t>
      </w:r>
      <w:r w:rsidR="00CB0BAC">
        <w:t xml:space="preserve">  </w:t>
      </w:r>
      <w:r w:rsidR="004B0E09" w:rsidRPr="004B0E09">
        <w:t>Carriers are responsible for the acts of their drivers on company business, and neither a carrier's intent, nor its knowledge of a violation, is necessary for liability on the part of the carrier.</w:t>
      </w:r>
      <w:r w:rsidR="00630256">
        <w:t xml:space="preserve">  </w:t>
      </w:r>
      <w:r w:rsidR="004B0E09" w:rsidRPr="004B0E09">
        <w:t xml:space="preserve">This is because carriers, with the incentives of fewer accidents, fewer employee injuries and fines, and lower insurance rates, are in the best position to ensure compliance </w:t>
      </w:r>
      <w:r w:rsidR="000B2140">
        <w:br w:type="page"/>
      </w:r>
    </w:p>
    <w:p w:rsidR="004B0E09" w:rsidRDefault="004B0E09" w:rsidP="007C0CF9">
      <w:pPr>
        <w:pStyle w:val="Blockquote"/>
      </w:pPr>
      <w:proofErr w:type="gramStart"/>
      <w:r w:rsidRPr="004B0E09">
        <w:lastRenderedPageBreak/>
        <w:t>with</w:t>
      </w:r>
      <w:proofErr w:type="gramEnd"/>
      <w:r w:rsidRPr="004B0E09">
        <w:t xml:space="preserve"> motor carrier safety regulations.</w:t>
      </w:r>
      <w:r w:rsidR="00630256">
        <w:t xml:space="preserve"> </w:t>
      </w:r>
      <w:r w:rsidRPr="004B0E09">
        <w:t xml:space="preserve"> In short, a basic princi</w:t>
      </w:r>
      <w:r w:rsidR="00E556E3">
        <w:softHyphen/>
      </w:r>
      <w:r w:rsidRPr="004B0E09">
        <w:t>ple of regulatory control is that a carrier must answer for the actions of its drivers.</w:t>
      </w:r>
      <w:r w:rsidR="00630256">
        <w:rPr>
          <w:rStyle w:val="FootnoteReference"/>
        </w:rPr>
        <w:footnoteReference w:id="38"/>
      </w:r>
      <w:r w:rsidRPr="004B0E09">
        <w:t xml:space="preserve"> </w:t>
      </w:r>
      <w:r w:rsidR="00CB0BAC">
        <w:t xml:space="preserve"> </w:t>
      </w:r>
    </w:p>
    <w:p w:rsidR="004F174A" w:rsidRDefault="007D0195" w:rsidP="007C0CF9">
      <w:pPr>
        <w:pStyle w:val="text"/>
      </w:pPr>
      <w:r>
        <w:t xml:space="preserve">Staff witness Turek </w:t>
      </w:r>
      <w:r w:rsidR="00674505">
        <w:t>also noted the carrier’s responsibility</w:t>
      </w:r>
      <w:r w:rsidR="004F174A">
        <w:t xml:space="preserve"> in his testimony </w:t>
      </w:r>
      <w:r w:rsidR="00674505">
        <w:t xml:space="preserve">when he stated </w:t>
      </w:r>
      <w:r w:rsidR="004F174A">
        <w:t>that:</w:t>
      </w:r>
    </w:p>
    <w:p w:rsidR="004F174A" w:rsidRDefault="004F174A" w:rsidP="007C0CF9">
      <w:pPr>
        <w:pStyle w:val="Blockquote"/>
      </w:pPr>
      <w:r>
        <w:t>* * *</w:t>
      </w:r>
      <w:r w:rsidRPr="004F174A">
        <w:t>since there was talk about whether securement is a car</w:t>
      </w:r>
      <w:r w:rsidR="00E556E3">
        <w:softHyphen/>
      </w:r>
      <w:r w:rsidRPr="004F174A">
        <w:t>rier or driver violation, I would note that we see securement violations all the time and they are always assessed to the car</w:t>
      </w:r>
      <w:r w:rsidR="00E556E3">
        <w:softHyphen/>
      </w:r>
      <w:r w:rsidRPr="004F174A">
        <w:t>rier</w:t>
      </w:r>
      <w:r w:rsidR="00E556E3" w:rsidRPr="004F174A">
        <w:t xml:space="preserve">.  </w:t>
      </w:r>
      <w:r w:rsidRPr="004F174A">
        <w:t>The Commission has ruled in previous cases and has held -- and has held that carriers are responsible for secure</w:t>
      </w:r>
      <w:r w:rsidR="00E556E3">
        <w:softHyphen/>
      </w:r>
      <w:r w:rsidRPr="004F174A">
        <w:t>ment.</w:t>
      </w:r>
      <w:r w:rsidR="00630256">
        <w:rPr>
          <w:rStyle w:val="FootnoteReference"/>
        </w:rPr>
        <w:footnoteReference w:id="39"/>
      </w:r>
      <w:r>
        <w:t xml:space="preserve">  </w:t>
      </w:r>
    </w:p>
    <w:p w:rsidR="00A7352E" w:rsidRDefault="00875AEE" w:rsidP="007C0CF9">
      <w:pPr>
        <w:pStyle w:val="text"/>
      </w:pPr>
      <w:r>
        <w:t>Trooper R</w:t>
      </w:r>
      <w:r w:rsidR="00A7352E">
        <w:t xml:space="preserve">amps </w:t>
      </w:r>
      <w:r w:rsidR="00674505">
        <w:t>reaffirmed</w:t>
      </w:r>
      <w:r w:rsidR="00DE7F1D">
        <w:t xml:space="preserve"> the carrier</w:t>
      </w:r>
      <w:r w:rsidR="00674505">
        <w:t>’s responsibility and stated</w:t>
      </w:r>
      <w:r w:rsidR="00DE7F1D">
        <w:t>:</w:t>
      </w:r>
    </w:p>
    <w:p w:rsidR="007D0195" w:rsidRDefault="00DE7F1D" w:rsidP="007C0CF9">
      <w:pPr>
        <w:pStyle w:val="Blockquote"/>
      </w:pPr>
      <w:r>
        <w:t>[t]</w:t>
      </w:r>
      <w:r w:rsidRPr="00DE7F1D">
        <w:t>o the best of my understanding, because the driver is an agent of the carrier, the carrier is the one who bears the brunt of that blow for lack of a better of way of putting it.</w:t>
      </w:r>
      <w:r w:rsidR="00630256">
        <w:rPr>
          <w:rStyle w:val="FootnoteReference"/>
        </w:rPr>
        <w:footnoteReference w:id="40"/>
      </w:r>
      <w:r>
        <w:t xml:space="preserve"> </w:t>
      </w:r>
    </w:p>
    <w:p w:rsidR="00CB0BAC" w:rsidRPr="00CB0BAC" w:rsidRDefault="004F174A" w:rsidP="007C0CF9">
      <w:pPr>
        <w:pStyle w:val="text"/>
      </w:pPr>
      <w:r>
        <w:tab/>
      </w:r>
      <w:r w:rsidR="00CB0F3C" w:rsidRPr="009302F4">
        <w:t>JJEBCO attempts to improperly transfer the responsibility for compliance to its driver.</w:t>
      </w:r>
      <w:r w:rsidR="00CB0F3C">
        <w:t xml:space="preserve">  This is unwarranted.  </w:t>
      </w:r>
      <w:r w:rsidR="00CB0F3C" w:rsidRPr="009302F4">
        <w:t>The driver, Mr. Heberer, was working wit</w:t>
      </w:r>
      <w:r w:rsidR="00CB0F3C">
        <w:t>hin the scope of his employment</w:t>
      </w:r>
      <w:r w:rsidR="00A7352E">
        <w:t xml:space="preserve"> and</w:t>
      </w:r>
      <w:r w:rsidR="00CB0F3C" w:rsidRPr="009302F4">
        <w:t xml:space="preserve"> fu</w:t>
      </w:r>
      <w:r w:rsidR="00CB0F3C">
        <w:t>rthering the business of JJEBCO.</w:t>
      </w:r>
      <w:r w:rsidR="00A7352E">
        <w:t xml:space="preserve">  Mr. Heberer </w:t>
      </w:r>
      <w:r w:rsidR="00EA6F6D">
        <w:t xml:space="preserve">displayed </w:t>
      </w:r>
      <w:r w:rsidR="00A7352E">
        <w:t>JJEBCO markings</w:t>
      </w:r>
      <w:r w:rsidR="00EA6F6D">
        <w:t xml:space="preserve"> on the tow truck</w:t>
      </w:r>
      <w:r w:rsidR="00DE7F1D">
        <w:t xml:space="preserve"> and</w:t>
      </w:r>
      <w:r w:rsidR="00A7352E">
        <w:t xml:space="preserve"> was acting on behalf of JJEBCO.</w:t>
      </w:r>
      <w:r w:rsidR="00630256">
        <w:rPr>
          <w:rStyle w:val="FootnoteReference"/>
          <w:szCs w:val="26"/>
        </w:rPr>
        <w:footnoteReference w:id="41"/>
      </w:r>
      <w:r w:rsidR="00A7352E">
        <w:t xml:space="preserve">  </w:t>
      </w:r>
      <w:r w:rsidR="0022775E">
        <w:t>It is</w:t>
      </w:r>
      <w:r>
        <w:t xml:space="preserve"> also</w:t>
      </w:r>
      <w:r w:rsidR="0022775E">
        <w:t xml:space="preserve"> a reasonable </w:t>
      </w:r>
      <w:r w:rsidR="0022775E">
        <w:lastRenderedPageBreak/>
        <w:t>expectation, since the driver was picking up a tow truck large enough to hold a vehicle, that the Driver could drive his own vehicle and load it on the tow-truck bed.  Mr. Schnoll testified that he was aware that the tow truck being picked up was large enough to hold a vehicle.</w:t>
      </w:r>
      <w:r w:rsidR="00630256">
        <w:rPr>
          <w:rStyle w:val="FootnoteReference"/>
          <w:szCs w:val="26"/>
        </w:rPr>
        <w:footnoteReference w:id="42"/>
      </w:r>
      <w:r w:rsidR="0022775E">
        <w:t xml:space="preserve">  </w:t>
      </w:r>
      <w:r w:rsidR="00CB0F3C">
        <w:t>Therefore, JJEBCO</w:t>
      </w:r>
      <w:r w:rsidR="00D368A4">
        <w:t>, as the carrier,</w:t>
      </w:r>
      <w:r w:rsidR="00CB0F3C">
        <w:t xml:space="preserve"> is responsible</w:t>
      </w:r>
      <w:r w:rsidR="00DE7F1D">
        <w:t xml:space="preserve"> and liable</w:t>
      </w:r>
      <w:r w:rsidR="00CB0F3C">
        <w:t xml:space="preserve"> for the securement violation.</w:t>
      </w:r>
    </w:p>
    <w:p w:rsidR="00B5206D" w:rsidRDefault="007C0CF9" w:rsidP="007C0CF9">
      <w:pPr>
        <w:pStyle w:val="text"/>
      </w:pPr>
      <w:r>
        <w:tab/>
      </w:r>
      <w:r w:rsidR="00CB0F3C">
        <w:t xml:space="preserve">The </w:t>
      </w:r>
      <w:r w:rsidR="00D368A4">
        <w:t>FM</w:t>
      </w:r>
      <w:r w:rsidR="003E5ED7">
        <w:t>C</w:t>
      </w:r>
      <w:r w:rsidR="00D368A4">
        <w:t>SRs</w:t>
      </w:r>
      <w:r w:rsidR="00CB0F3C">
        <w:t xml:space="preserve"> also provide definitions and guidance relevant to this case. </w:t>
      </w:r>
      <w:r w:rsidR="00630256">
        <w:t xml:space="preserve"> </w:t>
      </w:r>
      <w:r w:rsidR="00B5206D">
        <w:t xml:space="preserve">Under </w:t>
      </w:r>
      <w:r w:rsidR="00630256">
        <w:t>§ </w:t>
      </w:r>
      <w:r w:rsidR="00B5206D">
        <w:t>49 C.F.R. 390.5</w:t>
      </w:r>
      <w:r w:rsidR="00D368A4">
        <w:t>, a</w:t>
      </w:r>
      <w:r w:rsidR="00B5206D">
        <w:t xml:space="preserve"> motor carrier is defined as a: </w:t>
      </w:r>
    </w:p>
    <w:p w:rsidR="00B5206D" w:rsidRPr="000A55AF" w:rsidRDefault="00B5206D" w:rsidP="007C0CF9">
      <w:pPr>
        <w:pStyle w:val="Blockquote"/>
      </w:pPr>
      <w:r>
        <w:rPr>
          <w:rStyle w:val="p"/>
        </w:rPr>
        <w:t>* * *</w:t>
      </w:r>
      <w:r w:rsidRPr="000A55AF">
        <w:rPr>
          <w:rStyle w:val="p"/>
        </w:rPr>
        <w:t>for-hire motor carrier or a private motor carrier</w:t>
      </w:r>
      <w:r w:rsidR="00E556E3" w:rsidRPr="000A55AF">
        <w:rPr>
          <w:rStyle w:val="p"/>
        </w:rPr>
        <w:t xml:space="preserve">.  </w:t>
      </w:r>
      <w:r w:rsidRPr="00AC2EC1">
        <w:rPr>
          <w:rStyle w:val="p"/>
          <w:i/>
        </w:rPr>
        <w:t>The term includes a motor carrier's agents, officers and repre</w:t>
      </w:r>
      <w:r w:rsidR="00E556E3">
        <w:rPr>
          <w:rStyle w:val="p"/>
          <w:i/>
        </w:rPr>
        <w:softHyphen/>
      </w:r>
      <w:r w:rsidRPr="00AC2EC1">
        <w:rPr>
          <w:rStyle w:val="p"/>
          <w:i/>
        </w:rPr>
        <w:t xml:space="preserve">sentatives </w:t>
      </w:r>
      <w:r w:rsidRPr="000A55AF">
        <w:rPr>
          <w:rStyle w:val="p"/>
        </w:rPr>
        <w:t>as well as employees responsible for hiring, super</w:t>
      </w:r>
      <w:r w:rsidR="00E556E3">
        <w:rPr>
          <w:rStyle w:val="p"/>
        </w:rPr>
        <w:softHyphen/>
      </w:r>
      <w:r w:rsidRPr="000A55AF">
        <w:rPr>
          <w:rStyle w:val="p"/>
        </w:rPr>
        <w:t>vising, training, assigning, or dispatching of drivers and employees concerned with the installation, inspection, and maintenance of motor vehicle equipment and/or accessories</w:t>
      </w:r>
      <w:r w:rsidR="00E556E3" w:rsidRPr="000A55AF">
        <w:rPr>
          <w:rStyle w:val="p"/>
        </w:rPr>
        <w:t xml:space="preserve">.  </w:t>
      </w:r>
      <w:r>
        <w:rPr>
          <w:rStyle w:val="p"/>
        </w:rPr>
        <w:t>* * * (Emphasis added.)</w:t>
      </w:r>
    </w:p>
    <w:p w:rsidR="00B5206D" w:rsidRDefault="00B5206D" w:rsidP="007C0CF9">
      <w:pPr>
        <w:pStyle w:val="text"/>
      </w:pPr>
      <w:r>
        <w:t xml:space="preserve">Furthermore, 49 C.F.R. </w:t>
      </w:r>
      <w:r w:rsidR="00630256">
        <w:t>§ </w:t>
      </w:r>
      <w:r>
        <w:t xml:space="preserve">390.5 defines employee as: </w:t>
      </w:r>
    </w:p>
    <w:p w:rsidR="00B5206D" w:rsidRDefault="00B5206D" w:rsidP="007C0CF9">
      <w:pPr>
        <w:pStyle w:val="Blockquote"/>
      </w:pPr>
      <w:r>
        <w:t>* * *a</w:t>
      </w:r>
      <w:r w:rsidRPr="00984A63">
        <w:t>ny individual, other than an employer, who is employed by an employer and who in the course of his or her employ</w:t>
      </w:r>
      <w:r w:rsidR="00E556E3">
        <w:softHyphen/>
      </w:r>
      <w:r w:rsidRPr="00984A63">
        <w:t>ment directly affects commercial motor vehicle safety</w:t>
      </w:r>
      <w:r w:rsidR="00E556E3" w:rsidRPr="00984A63">
        <w:t xml:space="preserve">.  </w:t>
      </w:r>
      <w:r w:rsidRPr="00984A63">
        <w:t>Such term includes a driver of a commercial motor vehicle (</w:t>
      </w:r>
      <w:r w:rsidRPr="00984A63">
        <w:rPr>
          <w:i/>
        </w:rPr>
        <w:t>including an independent contractor while in the course of operating a commercial motor vehicle</w:t>
      </w:r>
      <w:r w:rsidRPr="00984A63">
        <w:t>), a m</w:t>
      </w:r>
      <w:r>
        <w:t>echanic</w:t>
      </w:r>
      <w:r w:rsidR="00910990">
        <w:t>, and a freight handler</w:t>
      </w:r>
      <w:r w:rsidR="00E556E3">
        <w:t xml:space="preserve">.  </w:t>
      </w:r>
      <w:r w:rsidR="00910990">
        <w:t xml:space="preserve">* * * </w:t>
      </w:r>
      <w:r>
        <w:t>(Emphasis added.)</w:t>
      </w:r>
    </w:p>
    <w:p w:rsidR="00B5206D" w:rsidRDefault="00B5206D" w:rsidP="007C0CF9">
      <w:pPr>
        <w:pStyle w:val="text"/>
      </w:pPr>
      <w:r>
        <w:t xml:space="preserve">Similarly, under 49 C.F.R. </w:t>
      </w:r>
      <w:r w:rsidR="00630256">
        <w:t>§ </w:t>
      </w:r>
      <w:r>
        <w:t>390.5, employer is defined as:</w:t>
      </w:r>
    </w:p>
    <w:p w:rsidR="00B5206D" w:rsidRDefault="00B5206D" w:rsidP="007C0CF9">
      <w:pPr>
        <w:pStyle w:val="Blockquote"/>
      </w:pPr>
      <w:r>
        <w:t>* * *</w:t>
      </w:r>
      <w:r w:rsidRPr="00984A63">
        <w:t xml:space="preserve">any person engaged in a business affecting interstate commerce who owns or leases a commercial motor vehicle in connection with that business, </w:t>
      </w:r>
      <w:r w:rsidRPr="00AC2EC1">
        <w:rPr>
          <w:i/>
        </w:rPr>
        <w:t>or assigns employees to oper</w:t>
      </w:r>
      <w:r w:rsidR="00E556E3">
        <w:rPr>
          <w:i/>
        </w:rPr>
        <w:softHyphen/>
      </w:r>
      <w:r w:rsidRPr="00AC2EC1">
        <w:rPr>
          <w:i/>
        </w:rPr>
        <w:t>ate it</w:t>
      </w:r>
      <w:r w:rsidRPr="00984A63">
        <w:t xml:space="preserve">, </w:t>
      </w:r>
      <w:r>
        <w:t>* * * (Emphasis added.)</w:t>
      </w:r>
    </w:p>
    <w:p w:rsidR="00B5206D" w:rsidRDefault="00B5206D" w:rsidP="007C0CF9">
      <w:pPr>
        <w:pStyle w:val="text"/>
      </w:pPr>
      <w:r>
        <w:lastRenderedPageBreak/>
        <w:t>Furthermore,</w:t>
      </w:r>
      <w:r w:rsidR="00D368A4">
        <w:t xml:space="preserve"> the</w:t>
      </w:r>
      <w:r w:rsidR="00FC78CA">
        <w:t xml:space="preserve"> USDOT</w:t>
      </w:r>
      <w:r w:rsidR="00D368A4">
        <w:t xml:space="preserve"> </w:t>
      </w:r>
      <w:r w:rsidR="00A248DB">
        <w:t xml:space="preserve">also </w:t>
      </w:r>
      <w:r w:rsidR="00D368A4">
        <w:t>provides interpretive guidance material for the FM</w:t>
      </w:r>
      <w:r w:rsidR="003E5ED7">
        <w:t>C</w:t>
      </w:r>
      <w:r w:rsidR="00D368A4">
        <w:t>SRs.  These interpretation</w:t>
      </w:r>
      <w:r w:rsidR="00A248DB">
        <w:t>s</w:t>
      </w:r>
      <w:r w:rsidR="00D368A4">
        <w:t xml:space="preserve"> are generally applicable to motor carrier operations on a national basis.</w:t>
      </w:r>
      <w:r w:rsidR="00630256">
        <w:rPr>
          <w:rStyle w:val="FootnoteReference"/>
          <w:szCs w:val="26"/>
        </w:rPr>
        <w:footnoteReference w:id="43"/>
      </w:r>
      <w:r w:rsidR="00D368A4">
        <w:t xml:space="preserve">  T</w:t>
      </w:r>
      <w:r>
        <w:t>he</w:t>
      </w:r>
      <w:r w:rsidR="00D368A4">
        <w:t xml:space="preserve"> interpretation</w:t>
      </w:r>
      <w:r>
        <w:t xml:space="preserve"> on the issue of agency</w:t>
      </w:r>
      <w:r w:rsidR="00CB0F3C">
        <w:t xml:space="preserve"> </w:t>
      </w:r>
      <w:r w:rsidR="00D368A4">
        <w:t xml:space="preserve">responsibility of </w:t>
      </w:r>
      <w:r w:rsidR="00A248DB">
        <w:t>carriers and owner oper</w:t>
      </w:r>
      <w:r w:rsidR="00E556E3">
        <w:softHyphen/>
      </w:r>
      <w:r w:rsidR="00A248DB">
        <w:t>ators is</w:t>
      </w:r>
      <w:r>
        <w:t xml:space="preserve"> as follows:</w:t>
      </w:r>
    </w:p>
    <w:p w:rsidR="00B5206D" w:rsidRPr="00B60E96" w:rsidRDefault="00B5206D" w:rsidP="007C0CF9">
      <w:pPr>
        <w:pStyle w:val="Blockquote"/>
      </w:pPr>
      <w:r w:rsidRPr="00B60E96">
        <w:rPr>
          <w:b/>
          <w:bCs/>
          <w:i/>
          <w:iCs/>
        </w:rPr>
        <w:t>Question 17:</w:t>
      </w:r>
      <w:r w:rsidRPr="00B60E96">
        <w:t xml:space="preserve"> May a motor carrier that employs owner-oper</w:t>
      </w:r>
      <w:r w:rsidR="00E556E3">
        <w:softHyphen/>
      </w:r>
      <w:r w:rsidRPr="00B60E96">
        <w:t>ators who have their own operating authority issued by the ICC or the Surface Transportation Board transfer the respon</w:t>
      </w:r>
      <w:r w:rsidR="00E556E3">
        <w:softHyphen/>
      </w:r>
      <w:r w:rsidRPr="00B60E96">
        <w:t>sibility for compliance with the FMCSRs to the owner-oper</w:t>
      </w:r>
      <w:r w:rsidR="00E556E3">
        <w:softHyphen/>
      </w:r>
      <w:r w:rsidRPr="00B60E96">
        <w:t>ators?</w:t>
      </w:r>
    </w:p>
    <w:p w:rsidR="00B5206D" w:rsidRPr="00B60E96" w:rsidRDefault="00B5206D" w:rsidP="007C0CF9">
      <w:pPr>
        <w:pStyle w:val="Blockquote"/>
      </w:pPr>
      <w:r w:rsidRPr="00B60E96">
        <w:rPr>
          <w:i/>
          <w:iCs/>
        </w:rPr>
        <w:t>Guidance:</w:t>
      </w:r>
      <w:r w:rsidR="0065437C">
        <w:t xml:space="preserve"> No. The term “employee,”</w:t>
      </w:r>
      <w:r w:rsidRPr="00B60E96">
        <w:t xml:space="preserve"> as defined in </w:t>
      </w:r>
      <w:hyperlink r:id="rId15" w:history="1">
        <w:r w:rsidRPr="00B60E96">
          <w:t>§390.5</w:t>
        </w:r>
      </w:hyperlink>
      <w:r w:rsidRPr="00B60E96">
        <w:t>, spe</w:t>
      </w:r>
      <w:r w:rsidR="00E556E3">
        <w:softHyphen/>
      </w:r>
      <w:r w:rsidRPr="00B60E96">
        <w:t>cifically includes an independent contractor employed by a motor carrier.</w:t>
      </w:r>
      <w:r w:rsidR="007C0CF9">
        <w:t xml:space="preserve"> </w:t>
      </w:r>
      <w:r w:rsidRPr="00B60E96">
        <w:t xml:space="preserve"> The existence of operating authority has no bearing upon the issue. </w:t>
      </w:r>
      <w:r w:rsidR="007C0CF9">
        <w:t xml:space="preserve"> </w:t>
      </w:r>
      <w:r w:rsidRPr="00B60E96">
        <w:t>The motor carrier is, therefore, responsible for compliance with the FMCSRs by its driver employees, including those who are owner-operators.</w:t>
      </w:r>
    </w:p>
    <w:p w:rsidR="00CB0F3C" w:rsidRDefault="00CB0F3C" w:rsidP="007C0CF9">
      <w:pPr>
        <w:pStyle w:val="text"/>
      </w:pPr>
      <w:r>
        <w:t xml:space="preserve">The above definitions and guidance </w:t>
      </w:r>
      <w:r w:rsidR="00DE7F1D">
        <w:t xml:space="preserve">describe </w:t>
      </w:r>
      <w:r>
        <w:t>the employer-employee agency relationship, which includes independent contractors.  Respondent admitted that JJEBCO had an agreement with the driver.</w:t>
      </w:r>
      <w:r w:rsidR="00630256">
        <w:rPr>
          <w:rStyle w:val="FootnoteReference"/>
          <w:szCs w:val="26"/>
        </w:rPr>
        <w:footnoteReference w:id="44"/>
      </w:r>
      <w:r>
        <w:t xml:space="preserve">  Therefore, th</w:t>
      </w:r>
      <w:r w:rsidR="00D368A4">
        <w:t xml:space="preserve">e </w:t>
      </w:r>
      <w:proofErr w:type="gramStart"/>
      <w:r w:rsidR="00D368A4">
        <w:t>driver was an agent of JJEBCO and secure</w:t>
      </w:r>
      <w:r w:rsidR="00E556E3">
        <w:softHyphen/>
      </w:r>
      <w:r w:rsidR="00D368A4">
        <w:t>ment violations</w:t>
      </w:r>
      <w:r w:rsidR="00DE7F1D">
        <w:t>, with or without the carrier’s knowledge,</w:t>
      </w:r>
      <w:r w:rsidR="00D368A4">
        <w:t xml:space="preserve"> are</w:t>
      </w:r>
      <w:proofErr w:type="gramEnd"/>
      <w:r w:rsidR="00D368A4">
        <w:t xml:space="preserve"> the carrier’s responsibility.</w:t>
      </w:r>
      <w:r>
        <w:t xml:space="preserve">  </w:t>
      </w:r>
    </w:p>
    <w:p w:rsidR="00A7352E" w:rsidRPr="00A7352E" w:rsidRDefault="007C0CF9" w:rsidP="007C0CF9">
      <w:pPr>
        <w:pStyle w:val="text"/>
      </w:pPr>
      <w:r>
        <w:tab/>
      </w:r>
      <w:r w:rsidR="00487D16" w:rsidRPr="009302F4">
        <w:t xml:space="preserve">Similarly, under tort law in Ohio, employers are responsible for the acts of </w:t>
      </w:r>
      <w:r w:rsidR="003E5ED7">
        <w:t>their</w:t>
      </w:r>
      <w:r w:rsidR="003E5ED7" w:rsidRPr="009302F4">
        <w:t xml:space="preserve"> </w:t>
      </w:r>
      <w:r w:rsidR="00487D16" w:rsidRPr="009302F4">
        <w:t xml:space="preserve">employees under the doctrine of </w:t>
      </w:r>
      <w:r w:rsidR="00487D16" w:rsidRPr="009302F4">
        <w:rPr>
          <w:i/>
        </w:rPr>
        <w:t>respon</w:t>
      </w:r>
      <w:r w:rsidR="00D775A0">
        <w:rPr>
          <w:i/>
        </w:rPr>
        <w:t>d</w:t>
      </w:r>
      <w:r w:rsidR="00487D16" w:rsidRPr="009302F4">
        <w:rPr>
          <w:i/>
        </w:rPr>
        <w:t>eat superior</w:t>
      </w:r>
      <w:r w:rsidR="00487D16" w:rsidRPr="009302F4">
        <w:t>.</w:t>
      </w:r>
      <w:r w:rsidR="009302F4" w:rsidRPr="009302F4">
        <w:t xml:space="preserve"> </w:t>
      </w:r>
      <w:r w:rsidR="009302F4">
        <w:t xml:space="preserve"> </w:t>
      </w:r>
      <w:r w:rsidR="009302F4" w:rsidRPr="009302F4">
        <w:t xml:space="preserve">In order for an </w:t>
      </w:r>
      <w:r w:rsidR="009302F4" w:rsidRPr="009302F4">
        <w:rPr>
          <w:bCs/>
        </w:rPr>
        <w:t>employer</w:t>
      </w:r>
      <w:r w:rsidR="009302F4" w:rsidRPr="009302F4">
        <w:t xml:space="preserve"> to be </w:t>
      </w:r>
      <w:r w:rsidR="009302F4" w:rsidRPr="009302F4">
        <w:rPr>
          <w:bCs/>
        </w:rPr>
        <w:t>lia</w:t>
      </w:r>
      <w:r w:rsidR="00E556E3">
        <w:rPr>
          <w:bCs/>
        </w:rPr>
        <w:softHyphen/>
      </w:r>
      <w:r w:rsidR="009302F4" w:rsidRPr="009302F4">
        <w:rPr>
          <w:bCs/>
        </w:rPr>
        <w:t>ble</w:t>
      </w:r>
      <w:r w:rsidR="009302F4" w:rsidRPr="009302F4">
        <w:t xml:space="preserve"> under </w:t>
      </w:r>
      <w:r w:rsidR="009302F4" w:rsidRPr="009302F4">
        <w:rPr>
          <w:i/>
          <w:iCs/>
        </w:rPr>
        <w:t>respondeat superior</w:t>
      </w:r>
      <w:r w:rsidR="009302F4" w:rsidRPr="009302F4">
        <w:t xml:space="preserve">, the tort of the </w:t>
      </w:r>
      <w:r w:rsidR="009302F4" w:rsidRPr="009302F4">
        <w:rPr>
          <w:bCs/>
        </w:rPr>
        <w:t>employee</w:t>
      </w:r>
      <w:r w:rsidR="009302F4" w:rsidRPr="009302F4">
        <w:t xml:space="preserve"> must be committed within the </w:t>
      </w:r>
      <w:r w:rsidR="009302F4" w:rsidRPr="009302F4">
        <w:lastRenderedPageBreak/>
        <w:t xml:space="preserve">scope of employment with the </w:t>
      </w:r>
      <w:r w:rsidR="009302F4" w:rsidRPr="009302F4">
        <w:rPr>
          <w:bCs/>
        </w:rPr>
        <w:t>employer.</w:t>
      </w:r>
      <w:r w:rsidR="00630256">
        <w:rPr>
          <w:rStyle w:val="FootnoteReference"/>
          <w:bCs/>
          <w:szCs w:val="26"/>
        </w:rPr>
        <w:footnoteReference w:id="45"/>
      </w:r>
      <w:r w:rsidR="009302F4" w:rsidRPr="009302F4">
        <w:t xml:space="preserve">  </w:t>
      </w:r>
      <w:r w:rsidR="009302F4">
        <w:t>Here, the driver</w:t>
      </w:r>
      <w:r w:rsidR="009302F4" w:rsidRPr="009302F4">
        <w:t xml:space="preserve"> was working wit</w:t>
      </w:r>
      <w:r w:rsidR="009302F4">
        <w:t>hin the scope of his employment</w:t>
      </w:r>
      <w:r w:rsidR="00875AEE">
        <w:t>.</w:t>
      </w:r>
      <w:r w:rsidR="009302F4">
        <w:t xml:space="preserve">    </w:t>
      </w:r>
    </w:p>
    <w:p w:rsidR="00DE7F1D" w:rsidRPr="00A7352E" w:rsidRDefault="00674505" w:rsidP="007C0CF9">
      <w:pPr>
        <w:pStyle w:val="text"/>
      </w:pPr>
      <w:r>
        <w:tab/>
      </w:r>
      <w:r w:rsidR="00B06861" w:rsidRPr="00A7352E">
        <w:t>Finally,</w:t>
      </w:r>
      <w:r w:rsidR="007974D2">
        <w:t xml:space="preserve"> </w:t>
      </w:r>
      <w:r w:rsidR="00875AEE">
        <w:t>49 C.F.R. §</w:t>
      </w:r>
      <w:r w:rsidR="00630256">
        <w:t> </w:t>
      </w:r>
      <w:r w:rsidR="00875AEE">
        <w:t>392.9</w:t>
      </w:r>
      <w:r w:rsidR="00875AEE" w:rsidRPr="00666A73">
        <w:t>(a)</w:t>
      </w:r>
      <w:r w:rsidR="00875AEE">
        <w:t xml:space="preserve">(1) </w:t>
      </w:r>
      <w:r w:rsidR="0054190E">
        <w:t xml:space="preserve">is </w:t>
      </w:r>
      <w:r w:rsidR="00875AEE">
        <w:t xml:space="preserve">silent </w:t>
      </w:r>
      <w:r w:rsidR="0054190E">
        <w:t>as to who a civil forfeiture may be assessed for violations of the regulation.</w:t>
      </w:r>
      <w:r w:rsidR="00875AEE">
        <w:t xml:space="preserve">  As mentioned above, u</w:t>
      </w:r>
      <w:r w:rsidR="00875AEE" w:rsidRPr="004B0E09">
        <w:t xml:space="preserve">nder the </w:t>
      </w:r>
      <w:r w:rsidR="00875AEE">
        <w:t>FMSCRs</w:t>
      </w:r>
      <w:r w:rsidR="00875AEE" w:rsidRPr="004B0E09">
        <w:t>, Commission precedent and Ohio law, securement violations are carrier violations</w:t>
      </w:r>
      <w:r w:rsidR="00875AEE">
        <w:t>.  As a basic regulatory principle, c</w:t>
      </w:r>
      <w:r w:rsidR="00DE7F1D" w:rsidRPr="004B0E09">
        <w:t>arriers are responsible for the acts of their drivers on com</w:t>
      </w:r>
      <w:r w:rsidR="00E556E3">
        <w:softHyphen/>
      </w:r>
      <w:r w:rsidR="00DE7F1D" w:rsidRPr="004B0E09">
        <w:t>pany business</w:t>
      </w:r>
      <w:r w:rsidR="00875AEE">
        <w:t xml:space="preserve">.  Therefore, JJEBCO is responsible for this securement violation.  </w:t>
      </w:r>
      <w:r w:rsidR="00DE7F1D">
        <w:t xml:space="preserve"> </w:t>
      </w:r>
    </w:p>
    <w:p w:rsidR="004476E2" w:rsidRPr="00666A73" w:rsidRDefault="00984A63" w:rsidP="007C0CF9">
      <w:pPr>
        <w:pStyle w:val="Heading2"/>
      </w:pPr>
      <w:bookmarkStart w:id="22" w:name="_Toc369590533"/>
      <w:r>
        <w:t>E</w:t>
      </w:r>
      <w:r w:rsidR="004476E2" w:rsidRPr="00666A73">
        <w:t>.</w:t>
      </w:r>
      <w:r w:rsidR="004476E2" w:rsidRPr="00666A73">
        <w:tab/>
      </w:r>
      <w:r w:rsidR="002345F4" w:rsidRPr="00666A73">
        <w:t xml:space="preserve">The Commission Has </w:t>
      </w:r>
      <w:r w:rsidR="004476E2" w:rsidRPr="00666A73">
        <w:t xml:space="preserve">Authority </w:t>
      </w:r>
      <w:r w:rsidR="002345F4" w:rsidRPr="00666A73">
        <w:t xml:space="preserve">To </w:t>
      </w:r>
      <w:r w:rsidR="004476E2" w:rsidRPr="00666A73">
        <w:t>Assess Civil Forfeitures</w:t>
      </w:r>
      <w:bookmarkEnd w:id="16"/>
      <w:bookmarkEnd w:id="17"/>
      <w:r w:rsidR="002345F4" w:rsidRPr="00666A73">
        <w:t>.</w:t>
      </w:r>
      <w:bookmarkEnd w:id="22"/>
    </w:p>
    <w:p w:rsidR="004476E2" w:rsidRPr="009F576B" w:rsidRDefault="00E556E3" w:rsidP="00E556E3">
      <w:pPr>
        <w:pStyle w:val="text"/>
      </w:pPr>
      <w:r>
        <w:tab/>
      </w:r>
      <w:r w:rsidR="004476E2" w:rsidRPr="00666A73">
        <w:t>The Commission has statutory power to assess monetary forfeitures against drivers for non-compliance with federal motor carrier safety regulations.</w:t>
      </w:r>
      <w:r w:rsidR="00630256">
        <w:rPr>
          <w:rStyle w:val="FootnoteReference"/>
          <w:szCs w:val="26"/>
        </w:rPr>
        <w:footnoteReference w:id="46"/>
      </w:r>
      <w:r w:rsidR="004476E2" w:rsidRPr="00666A73">
        <w:t xml:space="preserve">  </w:t>
      </w:r>
      <w:r w:rsidR="00CD16F8" w:rsidRPr="009F576B">
        <w:t>Pursuant to this author</w:t>
      </w:r>
      <w:r>
        <w:softHyphen/>
      </w:r>
      <w:r w:rsidR="00CD16F8" w:rsidRPr="009F576B">
        <w:t>ity, t</w:t>
      </w:r>
      <w:r w:rsidR="004476E2" w:rsidRPr="009F576B">
        <w:t xml:space="preserve">he Commission </w:t>
      </w:r>
      <w:r w:rsidR="00CD16F8" w:rsidRPr="009F576B">
        <w:t xml:space="preserve">has </w:t>
      </w:r>
      <w:r w:rsidR="004476E2" w:rsidRPr="009F576B">
        <w:t xml:space="preserve">adopted </w:t>
      </w:r>
      <w:r w:rsidR="00CD16F8" w:rsidRPr="009F576B">
        <w:t>rules to govern the proceedings to assess civil forfeitures.</w:t>
      </w:r>
      <w:r w:rsidR="00630256">
        <w:rPr>
          <w:rStyle w:val="FootnoteReference"/>
          <w:szCs w:val="26"/>
        </w:rPr>
        <w:footnoteReference w:id="47"/>
      </w:r>
      <w:r w:rsidR="00CD16F8" w:rsidRPr="009F576B">
        <w:t xml:space="preserve"> </w:t>
      </w:r>
    </w:p>
    <w:p w:rsidR="009F576B" w:rsidRPr="009F576B" w:rsidRDefault="00E556E3" w:rsidP="00E556E3">
      <w:pPr>
        <w:pStyle w:val="text"/>
      </w:pPr>
      <w:bookmarkStart w:id="23" w:name="_Toc513537043"/>
      <w:bookmarkStart w:id="24" w:name="_Toc536501200"/>
      <w:r>
        <w:tab/>
      </w:r>
      <w:r w:rsidR="009F576B" w:rsidRPr="009F576B">
        <w:t>Mr.</w:t>
      </w:r>
      <w:r w:rsidR="009F576B">
        <w:t xml:space="preserve"> Joseph Turek</w:t>
      </w:r>
      <w:r w:rsidR="009F576B" w:rsidRPr="009F576B">
        <w:t>,</w:t>
      </w:r>
      <w:r w:rsidR="009F576B">
        <w:t xml:space="preserve"> Staff Attorney and Compliance Division Supervisor in the Trans</w:t>
      </w:r>
      <w:r>
        <w:softHyphen/>
      </w:r>
      <w:r w:rsidR="009F576B">
        <w:t>portation Department</w:t>
      </w:r>
      <w:r w:rsidR="009F576B" w:rsidRPr="009F576B">
        <w:t xml:space="preserve"> of the </w:t>
      </w:r>
      <w:r w:rsidR="0011154F">
        <w:t>Commission, testified that the S</w:t>
      </w:r>
      <w:r w:rsidR="009F576B" w:rsidRPr="009F576B">
        <w:t xml:space="preserve">taff recommends </w:t>
      </w:r>
      <w:proofErr w:type="gramStart"/>
      <w:r w:rsidR="009F576B" w:rsidRPr="009F576B">
        <w:t>a forfeiture</w:t>
      </w:r>
      <w:proofErr w:type="gramEnd"/>
      <w:r w:rsidR="009F576B" w:rsidRPr="009F576B">
        <w:t xml:space="preserve"> in the amount of</w:t>
      </w:r>
      <w:r w:rsidR="009F576B">
        <w:t xml:space="preserve"> $100.00 for this</w:t>
      </w:r>
      <w:r w:rsidR="0011154F">
        <w:t xml:space="preserve"> case.</w:t>
      </w:r>
      <w:r w:rsidR="00630256">
        <w:rPr>
          <w:rStyle w:val="FootnoteReference"/>
          <w:szCs w:val="26"/>
        </w:rPr>
        <w:footnoteReference w:id="48"/>
      </w:r>
      <w:r w:rsidR="0011154F">
        <w:t xml:space="preserve">  </w:t>
      </w:r>
      <w:r w:rsidR="009F576B">
        <w:t>Mr. Turek</w:t>
      </w:r>
      <w:r w:rsidR="009F576B" w:rsidRPr="009F576B">
        <w:t xml:space="preserve"> also testified that the pro</w:t>
      </w:r>
      <w:r>
        <w:softHyphen/>
      </w:r>
      <w:r w:rsidR="009F576B" w:rsidRPr="009F576B">
        <w:t>posed forfeiture was calculated in accordance with the Commission’s standard methodol</w:t>
      </w:r>
      <w:r>
        <w:softHyphen/>
      </w:r>
      <w:r w:rsidR="009F576B" w:rsidRPr="009F576B">
        <w:t>ogy</w:t>
      </w:r>
      <w:r w:rsidR="009F576B">
        <w:t xml:space="preserve"> and</w:t>
      </w:r>
      <w:r w:rsidR="009F576B" w:rsidRPr="009F576B">
        <w:t xml:space="preserve"> that the forfeiture amount is consistent with the recommended fine or penalty </w:t>
      </w:r>
      <w:r w:rsidR="009F576B" w:rsidRPr="009F576B">
        <w:lastRenderedPageBreak/>
        <w:t>schedule and recommended civil penalty procedure adopted by the commer</w:t>
      </w:r>
      <w:r w:rsidR="0011154F">
        <w:t>cial motor vehicle alliance.</w:t>
      </w:r>
      <w:r w:rsidR="00630256">
        <w:rPr>
          <w:rStyle w:val="FootnoteReference"/>
          <w:szCs w:val="26"/>
        </w:rPr>
        <w:footnoteReference w:id="49"/>
      </w:r>
      <w:r w:rsidR="0011154F">
        <w:t xml:space="preserve">  </w:t>
      </w:r>
    </w:p>
    <w:p w:rsidR="00430866" w:rsidRPr="00666A73" w:rsidRDefault="00E556E3" w:rsidP="00E556E3">
      <w:pPr>
        <w:pStyle w:val="text"/>
      </w:pPr>
      <w:r>
        <w:tab/>
      </w:r>
      <w:r w:rsidR="00A92787" w:rsidRPr="009F576B">
        <w:t>As such</w:t>
      </w:r>
      <w:r w:rsidR="00A92787" w:rsidRPr="00666A73">
        <w:t>, if Respondent is found to have violated 49 C.F.R</w:t>
      </w:r>
      <w:r w:rsidR="005B012E">
        <w:t xml:space="preserve">. </w:t>
      </w:r>
      <w:r w:rsidR="009F576B">
        <w:t>§</w:t>
      </w:r>
      <w:r w:rsidR="00630256">
        <w:t> </w:t>
      </w:r>
      <w:r w:rsidR="009F576B">
        <w:t>392.9</w:t>
      </w:r>
      <w:r w:rsidR="00A92787" w:rsidRPr="00666A73">
        <w:t>(a)</w:t>
      </w:r>
      <w:r w:rsidR="007D0195">
        <w:t>(1)</w:t>
      </w:r>
      <w:r w:rsidR="00A92787" w:rsidRPr="00666A73">
        <w:t>, Respond</w:t>
      </w:r>
      <w:r>
        <w:softHyphen/>
      </w:r>
      <w:r w:rsidR="00A92787" w:rsidRPr="00666A73">
        <w:t>ent sh</w:t>
      </w:r>
      <w:r w:rsidR="009F576B">
        <w:t>ould be assessed the full $100</w:t>
      </w:r>
      <w:r w:rsidR="00C81200">
        <w:t xml:space="preserve">.00 </w:t>
      </w:r>
      <w:r w:rsidR="003E5ED7">
        <w:t>forfeiture</w:t>
      </w:r>
      <w:r w:rsidR="00A92787" w:rsidRPr="00666A73">
        <w:t>.</w:t>
      </w:r>
    </w:p>
    <w:p w:rsidR="004476E2" w:rsidRPr="00666A73" w:rsidRDefault="004476E2" w:rsidP="00A17B9A">
      <w:pPr>
        <w:pStyle w:val="Heading1"/>
      </w:pPr>
      <w:bookmarkStart w:id="25" w:name="_Toc369590534"/>
      <w:r w:rsidRPr="00666A73">
        <w:t>IV.</w:t>
      </w:r>
      <w:r w:rsidRPr="00666A73">
        <w:tab/>
        <w:t>CONCLUSION</w:t>
      </w:r>
      <w:bookmarkEnd w:id="23"/>
      <w:bookmarkEnd w:id="24"/>
      <w:bookmarkEnd w:id="25"/>
    </w:p>
    <w:p w:rsidR="00B807DD" w:rsidRDefault="00E556E3" w:rsidP="007C0CF9">
      <w:pPr>
        <w:pStyle w:val="text"/>
      </w:pPr>
      <w:r>
        <w:tab/>
      </w:r>
      <w:r w:rsidR="004476E2" w:rsidRPr="00666A73">
        <w:t xml:space="preserve">Based on the record produced at the hearing and for the reasons stated herein, the Staff respectfully requests that the Commission find that </w:t>
      </w:r>
      <w:r w:rsidR="00D878DD">
        <w:t xml:space="preserve">the Respondent violated </w:t>
      </w:r>
      <w:r w:rsidR="0054190E">
        <w:t>s</w:t>
      </w:r>
      <w:r w:rsidR="00D878DD">
        <w:t>ection</w:t>
      </w:r>
      <w:r w:rsidR="004476E2" w:rsidRPr="00666A73">
        <w:t xml:space="preserve"> 39</w:t>
      </w:r>
      <w:r w:rsidR="00D878DD">
        <w:t>2.9</w:t>
      </w:r>
      <w:r w:rsidR="00EA002B" w:rsidRPr="00666A73">
        <w:t>(a)</w:t>
      </w:r>
      <w:r w:rsidR="007D0195">
        <w:t>(1)</w:t>
      </w:r>
      <w:r w:rsidR="00D878DD" w:rsidRPr="00666A73">
        <w:t xml:space="preserve"> </w:t>
      </w:r>
      <w:r w:rsidR="004476E2" w:rsidRPr="00666A73">
        <w:t>of the Federal Motor Carrier Safety Regulations and that the Com</w:t>
      </w:r>
      <w:r w:rsidR="004476E2" w:rsidRPr="00666A73">
        <w:softHyphen/>
        <w:t xml:space="preserve">mission hold Respondent liable for the civil forfeiture of </w:t>
      </w:r>
      <w:r w:rsidR="008A5B5B">
        <w:t>$100</w:t>
      </w:r>
      <w:r w:rsidR="00C81200">
        <w:t>.00</w:t>
      </w:r>
      <w:r w:rsidR="00A92787" w:rsidRPr="00666A73">
        <w:t xml:space="preserve"> </w:t>
      </w:r>
      <w:r w:rsidR="004476E2" w:rsidRPr="00666A73">
        <w:t>as recommended by the Staff.</w:t>
      </w:r>
    </w:p>
    <w:p w:rsidR="00CF6E79" w:rsidRPr="00666A73" w:rsidRDefault="00CF6E79" w:rsidP="00CF6E79">
      <w:pPr>
        <w:tabs>
          <w:tab w:val="left" w:pos="9360"/>
        </w:tabs>
        <w:ind w:left="4320"/>
        <w:rPr>
          <w:rFonts w:ascii="Times New Roman" w:eastAsia="Calibri" w:hAnsi="Times New Roman"/>
          <w:sz w:val="26"/>
          <w:szCs w:val="26"/>
        </w:rPr>
      </w:pPr>
      <w:r w:rsidRPr="00666A73">
        <w:rPr>
          <w:rFonts w:ascii="Times New Roman" w:eastAsia="Calibri" w:hAnsi="Times New Roman"/>
          <w:sz w:val="26"/>
          <w:szCs w:val="26"/>
        </w:rPr>
        <w:t>Respectfully submitted,</w:t>
      </w:r>
    </w:p>
    <w:p w:rsidR="00CF6E79" w:rsidRPr="00666A73" w:rsidRDefault="00CF6E79" w:rsidP="00CF6E79">
      <w:pPr>
        <w:tabs>
          <w:tab w:val="left" w:pos="9360"/>
        </w:tabs>
        <w:ind w:left="4320"/>
        <w:rPr>
          <w:rFonts w:ascii="Times New Roman" w:eastAsia="Calibri" w:hAnsi="Times New Roman"/>
          <w:sz w:val="26"/>
          <w:szCs w:val="26"/>
        </w:rPr>
      </w:pPr>
    </w:p>
    <w:p w:rsidR="00CF6E79" w:rsidRPr="00E556E3" w:rsidRDefault="00E556E3" w:rsidP="00CF6E79">
      <w:pPr>
        <w:tabs>
          <w:tab w:val="left" w:pos="9360"/>
        </w:tabs>
        <w:ind w:left="4320"/>
        <w:rPr>
          <w:rFonts w:ascii="Times New Roman" w:eastAsia="Calibri" w:hAnsi="Times New Roman"/>
          <w:b/>
          <w:sz w:val="26"/>
          <w:szCs w:val="26"/>
        </w:rPr>
      </w:pPr>
      <w:r w:rsidRPr="00E556E3">
        <w:rPr>
          <w:rFonts w:ascii="Times New Roman" w:eastAsia="Calibri" w:hAnsi="Times New Roman"/>
          <w:b/>
          <w:sz w:val="26"/>
          <w:szCs w:val="26"/>
        </w:rPr>
        <w:t>Mike De</w:t>
      </w:r>
      <w:r w:rsidR="00CF6E79" w:rsidRPr="00E556E3">
        <w:rPr>
          <w:rFonts w:ascii="Times New Roman" w:eastAsia="Calibri" w:hAnsi="Times New Roman"/>
          <w:b/>
          <w:sz w:val="26"/>
          <w:szCs w:val="26"/>
        </w:rPr>
        <w:t>Wine</w:t>
      </w:r>
    </w:p>
    <w:p w:rsidR="00E556E3" w:rsidRPr="00666A73" w:rsidRDefault="00E556E3" w:rsidP="00CF6E79">
      <w:pPr>
        <w:tabs>
          <w:tab w:val="left" w:pos="9360"/>
        </w:tabs>
        <w:ind w:left="43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Ohio Attorney General</w:t>
      </w:r>
    </w:p>
    <w:p w:rsidR="00CF6E79" w:rsidRPr="00666A73" w:rsidRDefault="00CF6E79" w:rsidP="00CF6E79">
      <w:pPr>
        <w:tabs>
          <w:tab w:val="left" w:pos="9360"/>
        </w:tabs>
        <w:ind w:left="4320"/>
        <w:rPr>
          <w:rFonts w:ascii="Times New Roman" w:eastAsia="Calibri" w:hAnsi="Times New Roman"/>
          <w:sz w:val="26"/>
          <w:szCs w:val="26"/>
        </w:rPr>
      </w:pPr>
    </w:p>
    <w:p w:rsidR="00CF6E79" w:rsidRPr="00E556E3" w:rsidRDefault="00CF6E79" w:rsidP="00CF6E79">
      <w:pPr>
        <w:tabs>
          <w:tab w:val="left" w:pos="9360"/>
        </w:tabs>
        <w:ind w:left="4320"/>
        <w:rPr>
          <w:rFonts w:ascii="Times New Roman" w:eastAsia="Calibri" w:hAnsi="Times New Roman"/>
          <w:b/>
          <w:sz w:val="26"/>
          <w:szCs w:val="26"/>
        </w:rPr>
      </w:pPr>
      <w:r w:rsidRPr="00E556E3">
        <w:rPr>
          <w:rFonts w:ascii="Times New Roman" w:eastAsia="Calibri" w:hAnsi="Times New Roman"/>
          <w:b/>
          <w:sz w:val="26"/>
          <w:szCs w:val="26"/>
        </w:rPr>
        <w:t>William L. Wright</w:t>
      </w:r>
    </w:p>
    <w:p w:rsidR="00CF6E79" w:rsidRPr="00666A73" w:rsidRDefault="00CF6E79" w:rsidP="00CF6E79">
      <w:pPr>
        <w:tabs>
          <w:tab w:val="left" w:pos="9360"/>
        </w:tabs>
        <w:ind w:left="4320"/>
        <w:rPr>
          <w:rFonts w:ascii="Times New Roman" w:eastAsia="Calibri" w:hAnsi="Times New Roman"/>
          <w:sz w:val="26"/>
          <w:szCs w:val="26"/>
        </w:rPr>
      </w:pPr>
      <w:r w:rsidRPr="00666A73">
        <w:rPr>
          <w:rFonts w:ascii="Times New Roman" w:eastAsia="Calibri" w:hAnsi="Times New Roman"/>
          <w:sz w:val="26"/>
          <w:szCs w:val="26"/>
        </w:rPr>
        <w:t>Section Chief</w:t>
      </w:r>
    </w:p>
    <w:p w:rsidR="00CF6E79" w:rsidRPr="00666A73" w:rsidRDefault="00CF6E79" w:rsidP="00CF6E79">
      <w:pPr>
        <w:tabs>
          <w:tab w:val="left" w:pos="9360"/>
        </w:tabs>
        <w:ind w:left="4320"/>
        <w:rPr>
          <w:rFonts w:ascii="Times New Roman" w:eastAsia="Calibri" w:hAnsi="Times New Roman"/>
          <w:sz w:val="26"/>
          <w:szCs w:val="26"/>
          <w:u w:val="single"/>
        </w:rPr>
      </w:pPr>
      <w:r w:rsidRPr="00666A73">
        <w:rPr>
          <w:rFonts w:ascii="Times New Roman" w:eastAsia="Calibri" w:hAnsi="Times New Roman"/>
          <w:sz w:val="26"/>
          <w:szCs w:val="26"/>
          <w:u w:val="single"/>
        </w:rPr>
        <w:t xml:space="preserve"> </w:t>
      </w:r>
    </w:p>
    <w:p w:rsidR="00CF6E79" w:rsidRPr="00666A73" w:rsidRDefault="00CF6E79" w:rsidP="00CF6E79">
      <w:pPr>
        <w:tabs>
          <w:tab w:val="left" w:pos="9360"/>
        </w:tabs>
        <w:ind w:left="4320"/>
        <w:rPr>
          <w:rFonts w:ascii="Times New Roman" w:eastAsia="Calibri" w:hAnsi="Times New Roman"/>
          <w:sz w:val="26"/>
          <w:szCs w:val="26"/>
        </w:rPr>
      </w:pPr>
    </w:p>
    <w:p w:rsidR="00CF6E79" w:rsidRPr="00666A73" w:rsidRDefault="00380311" w:rsidP="00CF6E79">
      <w:pPr>
        <w:tabs>
          <w:tab w:val="left" w:pos="9360"/>
        </w:tabs>
        <w:ind w:left="4320"/>
        <w:rPr>
          <w:rFonts w:ascii="Times New Roman" w:eastAsia="Calibri" w:hAnsi="Times New Roman"/>
          <w:sz w:val="26"/>
          <w:szCs w:val="26"/>
          <w:u w:val="single"/>
        </w:rPr>
      </w:pPr>
      <w:r>
        <w:rPr>
          <w:rFonts w:ascii="Times New Roman" w:eastAsia="Calibri" w:hAnsi="Times New Roman"/>
          <w:sz w:val="26"/>
          <w:szCs w:val="26"/>
          <w:u w:val="single"/>
        </w:rPr>
        <w:t xml:space="preserve">/s/ </w:t>
      </w:r>
      <w:r w:rsidRPr="00324B7C">
        <w:rPr>
          <w:rFonts w:ascii="Times New Roman" w:eastAsia="Calibri" w:hAnsi="Times New Roman"/>
          <w:i/>
          <w:sz w:val="26"/>
          <w:szCs w:val="26"/>
          <w:u w:val="single"/>
        </w:rPr>
        <w:t>Steven L. Beeler</w:t>
      </w:r>
      <w:r w:rsidR="00CF6E79" w:rsidRPr="00666A73">
        <w:rPr>
          <w:rFonts w:ascii="Times New Roman" w:eastAsia="Calibri" w:hAnsi="Times New Roman"/>
          <w:sz w:val="26"/>
          <w:szCs w:val="26"/>
          <w:u w:val="single"/>
        </w:rPr>
        <w:tab/>
      </w:r>
    </w:p>
    <w:p w:rsidR="00CF6E79" w:rsidRPr="00666A73" w:rsidRDefault="00CF6E79" w:rsidP="00CF6E79">
      <w:pPr>
        <w:tabs>
          <w:tab w:val="left" w:pos="9360"/>
        </w:tabs>
        <w:ind w:left="4320"/>
        <w:rPr>
          <w:rFonts w:ascii="Times New Roman" w:eastAsia="Calibri" w:hAnsi="Times New Roman"/>
          <w:b/>
          <w:sz w:val="26"/>
          <w:szCs w:val="26"/>
        </w:rPr>
      </w:pPr>
      <w:r w:rsidRPr="00666A73">
        <w:rPr>
          <w:rFonts w:ascii="Times New Roman" w:eastAsia="Calibri" w:hAnsi="Times New Roman"/>
          <w:b/>
          <w:sz w:val="26"/>
          <w:szCs w:val="26"/>
        </w:rPr>
        <w:t>Steven L. Beeler</w:t>
      </w:r>
    </w:p>
    <w:p w:rsidR="00CF6E79" w:rsidRPr="00666A73" w:rsidRDefault="00CF6E79" w:rsidP="00CF6E79">
      <w:pPr>
        <w:tabs>
          <w:tab w:val="left" w:pos="9360"/>
        </w:tabs>
        <w:ind w:left="4320"/>
        <w:rPr>
          <w:rFonts w:ascii="Times New Roman" w:eastAsia="Calibri" w:hAnsi="Times New Roman"/>
          <w:sz w:val="26"/>
          <w:szCs w:val="26"/>
        </w:rPr>
      </w:pPr>
      <w:r w:rsidRPr="00666A73">
        <w:rPr>
          <w:rFonts w:ascii="Times New Roman" w:eastAsia="Calibri" w:hAnsi="Times New Roman"/>
          <w:sz w:val="26"/>
          <w:szCs w:val="26"/>
        </w:rPr>
        <w:t>Assistant Attorney General</w:t>
      </w:r>
    </w:p>
    <w:p w:rsidR="00CF6E79" w:rsidRPr="00666A73" w:rsidRDefault="00CF6E79" w:rsidP="00CF6E79">
      <w:pPr>
        <w:tabs>
          <w:tab w:val="left" w:pos="9360"/>
        </w:tabs>
        <w:ind w:left="4320"/>
        <w:rPr>
          <w:rFonts w:ascii="Times New Roman" w:eastAsia="Calibri" w:hAnsi="Times New Roman"/>
          <w:sz w:val="26"/>
          <w:szCs w:val="26"/>
        </w:rPr>
      </w:pPr>
      <w:r w:rsidRPr="00666A73">
        <w:rPr>
          <w:rFonts w:ascii="Times New Roman" w:eastAsia="Calibri" w:hAnsi="Times New Roman"/>
          <w:sz w:val="26"/>
          <w:szCs w:val="26"/>
        </w:rPr>
        <w:t>Public Utilities Section</w:t>
      </w:r>
      <w:r w:rsidRPr="00666A73">
        <w:rPr>
          <w:rFonts w:ascii="Times New Roman" w:eastAsia="Calibri" w:hAnsi="Times New Roman"/>
          <w:sz w:val="26"/>
          <w:szCs w:val="26"/>
        </w:rPr>
        <w:br/>
        <w:t>180 East Broad Street, 6</w:t>
      </w:r>
      <w:r w:rsidRPr="00666A73">
        <w:rPr>
          <w:rFonts w:ascii="Times New Roman" w:eastAsia="Calibri" w:hAnsi="Times New Roman"/>
          <w:sz w:val="26"/>
          <w:szCs w:val="26"/>
          <w:vertAlign w:val="superscript"/>
        </w:rPr>
        <w:t>th</w:t>
      </w:r>
      <w:r w:rsidRPr="00666A73">
        <w:rPr>
          <w:rFonts w:ascii="Times New Roman" w:eastAsia="Calibri" w:hAnsi="Times New Roman"/>
          <w:sz w:val="26"/>
          <w:szCs w:val="26"/>
        </w:rPr>
        <w:t xml:space="preserve"> Floor</w:t>
      </w:r>
    </w:p>
    <w:p w:rsidR="00CF6E79" w:rsidRPr="00666A73" w:rsidRDefault="00CF6E79" w:rsidP="00CF6E79">
      <w:pPr>
        <w:tabs>
          <w:tab w:val="left" w:pos="9360"/>
        </w:tabs>
        <w:ind w:left="4320"/>
        <w:rPr>
          <w:rFonts w:ascii="Times New Roman" w:eastAsia="Calibri" w:hAnsi="Times New Roman"/>
          <w:sz w:val="26"/>
          <w:szCs w:val="26"/>
        </w:rPr>
      </w:pPr>
      <w:r w:rsidRPr="00666A73">
        <w:rPr>
          <w:rFonts w:ascii="Times New Roman" w:eastAsia="Calibri" w:hAnsi="Times New Roman"/>
          <w:sz w:val="26"/>
          <w:szCs w:val="26"/>
        </w:rPr>
        <w:t>Columbus, OH  43215-3793</w:t>
      </w:r>
    </w:p>
    <w:p w:rsidR="00CF6E79" w:rsidRPr="00666A73" w:rsidRDefault="00CF6E79" w:rsidP="00CF6E79">
      <w:pPr>
        <w:tabs>
          <w:tab w:val="left" w:pos="9360"/>
        </w:tabs>
        <w:rPr>
          <w:rFonts w:ascii="Times New Roman" w:eastAsia="Calibri" w:hAnsi="Times New Roman"/>
          <w:sz w:val="26"/>
          <w:szCs w:val="26"/>
        </w:rPr>
      </w:pPr>
    </w:p>
    <w:p w:rsidR="00CF6E79" w:rsidRDefault="00CF6E79" w:rsidP="00CF6E79">
      <w:pPr>
        <w:tabs>
          <w:tab w:val="left" w:pos="9360"/>
        </w:tabs>
        <w:ind w:left="4320"/>
        <w:rPr>
          <w:rFonts w:ascii="Times New Roman" w:eastAsia="Calibri" w:hAnsi="Times New Roman"/>
          <w:sz w:val="26"/>
          <w:szCs w:val="26"/>
        </w:rPr>
      </w:pPr>
      <w:r w:rsidRPr="00666A73">
        <w:rPr>
          <w:rFonts w:ascii="Times New Roman" w:eastAsia="Calibri" w:hAnsi="Times New Roman"/>
          <w:i/>
          <w:sz w:val="26"/>
          <w:szCs w:val="26"/>
        </w:rPr>
        <w:t xml:space="preserve">Phone:  </w:t>
      </w:r>
      <w:r w:rsidRPr="00666A73">
        <w:rPr>
          <w:rFonts w:ascii="Times New Roman" w:eastAsia="Calibri" w:hAnsi="Times New Roman"/>
          <w:sz w:val="26"/>
          <w:szCs w:val="26"/>
        </w:rPr>
        <w:t>614.466.4396</w:t>
      </w:r>
      <w:r w:rsidRPr="00666A73">
        <w:rPr>
          <w:rFonts w:ascii="Times New Roman" w:eastAsia="Calibri" w:hAnsi="Times New Roman"/>
          <w:sz w:val="26"/>
          <w:szCs w:val="26"/>
        </w:rPr>
        <w:br/>
      </w:r>
      <w:r w:rsidRPr="00666A73">
        <w:rPr>
          <w:rFonts w:ascii="Times New Roman" w:eastAsia="Calibri" w:hAnsi="Times New Roman"/>
          <w:i/>
          <w:sz w:val="26"/>
          <w:szCs w:val="26"/>
        </w:rPr>
        <w:t xml:space="preserve">Fax:  </w:t>
      </w:r>
      <w:r w:rsidRPr="00666A73">
        <w:rPr>
          <w:rFonts w:ascii="Times New Roman" w:eastAsia="Calibri" w:hAnsi="Times New Roman"/>
          <w:sz w:val="26"/>
          <w:szCs w:val="26"/>
        </w:rPr>
        <w:t>614.644.8764</w:t>
      </w:r>
    </w:p>
    <w:p w:rsidR="00E556E3" w:rsidRPr="00E556E3" w:rsidRDefault="00CA0D5B" w:rsidP="00CF6E79">
      <w:pPr>
        <w:tabs>
          <w:tab w:val="left" w:pos="9360"/>
        </w:tabs>
        <w:ind w:left="4320"/>
        <w:rPr>
          <w:rFonts w:ascii="Times New Roman" w:eastAsia="Calibri" w:hAnsi="Times New Roman"/>
          <w:sz w:val="26"/>
          <w:szCs w:val="26"/>
        </w:rPr>
      </w:pPr>
      <w:hyperlink r:id="rId16" w:history="1">
        <w:r w:rsidR="00E556E3" w:rsidRPr="00D8362C">
          <w:rPr>
            <w:rStyle w:val="Hyperlink"/>
            <w:rFonts w:ascii="Times New Roman" w:eastAsia="Calibri" w:hAnsi="Times New Roman"/>
            <w:sz w:val="26"/>
            <w:szCs w:val="26"/>
          </w:rPr>
          <w:t>steven.beeler@puc.state.oh.us</w:t>
        </w:r>
      </w:hyperlink>
    </w:p>
    <w:p w:rsidR="00E556E3" w:rsidRPr="00666A73" w:rsidRDefault="00E556E3" w:rsidP="00CF6E79">
      <w:pPr>
        <w:tabs>
          <w:tab w:val="left" w:pos="9360"/>
        </w:tabs>
        <w:ind w:left="4320"/>
        <w:rPr>
          <w:rFonts w:ascii="Times New Roman" w:eastAsia="Calibri" w:hAnsi="Times New Roman"/>
          <w:sz w:val="26"/>
          <w:szCs w:val="26"/>
        </w:rPr>
      </w:pPr>
    </w:p>
    <w:p w:rsidR="004476E2" w:rsidRPr="00E556E3" w:rsidRDefault="0026291C" w:rsidP="00E556E3">
      <w:pPr>
        <w:pStyle w:val="Heading1"/>
        <w:jc w:val="center"/>
      </w:pPr>
      <w:bookmarkStart w:id="26" w:name="_Toc536501201"/>
      <w:r>
        <w:br w:type="page"/>
      </w:r>
      <w:bookmarkStart w:id="27" w:name="_Toc369590535"/>
      <w:r w:rsidR="004476E2" w:rsidRPr="00666A73">
        <w:lastRenderedPageBreak/>
        <w:t>CERTIFICATE OF SERVICE</w:t>
      </w:r>
      <w:bookmarkEnd w:id="26"/>
      <w:bookmarkEnd w:id="27"/>
    </w:p>
    <w:p w:rsidR="004476E2" w:rsidRPr="00666A73" w:rsidRDefault="00E556E3" w:rsidP="00E556E3">
      <w:pPr>
        <w:pStyle w:val="text"/>
      </w:pPr>
      <w:r>
        <w:tab/>
      </w:r>
      <w:r w:rsidR="004476E2" w:rsidRPr="00666A73">
        <w:t xml:space="preserve">I hereby certify that a true copy of the </w:t>
      </w:r>
      <w:r w:rsidR="004476E2" w:rsidRPr="00666A73">
        <w:rPr>
          <w:b/>
        </w:rPr>
        <w:t>Post Hearing Brief</w:t>
      </w:r>
      <w:r w:rsidR="004476E2" w:rsidRPr="00E556E3">
        <w:t xml:space="preserve"> submitted on Behalf of the Staff of the Public Utilities Commission of Ohio </w:t>
      </w:r>
      <w:r w:rsidR="004476E2" w:rsidRPr="00666A73">
        <w:t>was served by regula</w:t>
      </w:r>
      <w:r w:rsidR="00CF6E79" w:rsidRPr="00666A73">
        <w:t>r U.S. mail, postage prepaid,</w:t>
      </w:r>
      <w:r w:rsidR="004476E2" w:rsidRPr="00666A73">
        <w:t xml:space="preserve"> hand-delivered,</w:t>
      </w:r>
      <w:r w:rsidR="00CF6E79" w:rsidRPr="00666A73">
        <w:t xml:space="preserve"> and/or electronic service</w:t>
      </w:r>
      <w:r w:rsidR="004476E2" w:rsidRPr="00666A73">
        <w:t xml:space="preserve"> upon the followin</w:t>
      </w:r>
      <w:r w:rsidR="00B21183" w:rsidRPr="00666A73">
        <w:t>g parties of record</w:t>
      </w:r>
      <w:r w:rsidR="00666A73" w:rsidRPr="00666A73">
        <w:t xml:space="preserve"> this 15th</w:t>
      </w:r>
      <w:r w:rsidR="00B21183" w:rsidRPr="00666A73">
        <w:t xml:space="preserve"> day of</w:t>
      </w:r>
      <w:r w:rsidR="00666A73" w:rsidRPr="00666A73">
        <w:t xml:space="preserve"> October, 2013</w:t>
      </w:r>
      <w:r w:rsidR="004476E2" w:rsidRPr="00666A73">
        <w:t>.</w:t>
      </w:r>
    </w:p>
    <w:p w:rsidR="00CF6E79" w:rsidRPr="00666A73" w:rsidRDefault="00CF6E79" w:rsidP="004476E2">
      <w:pPr>
        <w:ind w:left="3600" w:right="720" w:firstLine="720"/>
        <w:jc w:val="both"/>
        <w:rPr>
          <w:rFonts w:ascii="Times New Roman" w:hAnsi="Times New Roman"/>
          <w:sz w:val="26"/>
          <w:szCs w:val="26"/>
        </w:rPr>
      </w:pPr>
    </w:p>
    <w:p w:rsidR="00380311" w:rsidRPr="00666A73" w:rsidRDefault="00380311" w:rsidP="00380311">
      <w:pPr>
        <w:tabs>
          <w:tab w:val="left" w:pos="9360"/>
        </w:tabs>
        <w:ind w:left="4320"/>
        <w:rPr>
          <w:rFonts w:ascii="Times New Roman" w:eastAsia="Calibri" w:hAnsi="Times New Roman"/>
          <w:sz w:val="26"/>
          <w:szCs w:val="26"/>
          <w:u w:val="single"/>
        </w:rPr>
      </w:pPr>
      <w:r>
        <w:rPr>
          <w:rFonts w:ascii="Times New Roman" w:eastAsia="Calibri" w:hAnsi="Times New Roman"/>
          <w:sz w:val="26"/>
          <w:szCs w:val="26"/>
          <w:u w:val="single"/>
        </w:rPr>
        <w:t xml:space="preserve">/s/ </w:t>
      </w:r>
      <w:r w:rsidRPr="00324B7C">
        <w:rPr>
          <w:rFonts w:ascii="Times New Roman" w:eastAsia="Calibri" w:hAnsi="Times New Roman"/>
          <w:i/>
          <w:sz w:val="26"/>
          <w:szCs w:val="26"/>
          <w:u w:val="single"/>
        </w:rPr>
        <w:t>Steven L. Beeler</w:t>
      </w:r>
      <w:r w:rsidRPr="00666A73">
        <w:rPr>
          <w:rFonts w:ascii="Times New Roman" w:eastAsia="Calibri" w:hAnsi="Times New Roman"/>
          <w:sz w:val="26"/>
          <w:szCs w:val="26"/>
          <w:u w:val="single"/>
        </w:rPr>
        <w:tab/>
      </w:r>
    </w:p>
    <w:p w:rsidR="00380311" w:rsidRPr="00666A73" w:rsidRDefault="00380311" w:rsidP="00380311">
      <w:pPr>
        <w:tabs>
          <w:tab w:val="left" w:pos="9360"/>
        </w:tabs>
        <w:ind w:left="4320"/>
        <w:rPr>
          <w:rFonts w:ascii="Times New Roman" w:eastAsia="Calibri" w:hAnsi="Times New Roman"/>
          <w:b/>
          <w:sz w:val="26"/>
          <w:szCs w:val="26"/>
        </w:rPr>
      </w:pPr>
      <w:r w:rsidRPr="00666A73">
        <w:rPr>
          <w:rFonts w:ascii="Times New Roman" w:eastAsia="Calibri" w:hAnsi="Times New Roman"/>
          <w:b/>
          <w:sz w:val="26"/>
          <w:szCs w:val="26"/>
        </w:rPr>
        <w:t>Steven L. Beeler</w:t>
      </w:r>
    </w:p>
    <w:p w:rsidR="004476E2" w:rsidRPr="00666A73" w:rsidRDefault="004476E2" w:rsidP="004476E2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</w:p>
    <w:p w:rsidR="004476E2" w:rsidRPr="00666A73" w:rsidRDefault="004476E2" w:rsidP="004476E2">
      <w:pPr>
        <w:jc w:val="both"/>
        <w:rPr>
          <w:rFonts w:ascii="Times New Roman" w:hAnsi="Times New Roman"/>
          <w:sz w:val="26"/>
          <w:szCs w:val="26"/>
        </w:rPr>
      </w:pPr>
      <w:r w:rsidRPr="00666A73">
        <w:rPr>
          <w:rFonts w:ascii="Times New Roman" w:hAnsi="Times New Roman"/>
          <w:sz w:val="26"/>
          <w:szCs w:val="26"/>
        </w:rPr>
        <w:t>Parties of Record:</w:t>
      </w:r>
    </w:p>
    <w:p w:rsidR="004476E2" w:rsidRPr="00666A73" w:rsidRDefault="004476E2" w:rsidP="004476E2">
      <w:pPr>
        <w:jc w:val="both"/>
        <w:rPr>
          <w:rFonts w:ascii="Times New Roman" w:hAnsi="Times New Roman"/>
          <w:sz w:val="26"/>
          <w:szCs w:val="26"/>
        </w:rPr>
      </w:pPr>
    </w:p>
    <w:p w:rsidR="00CF6E79" w:rsidRPr="00666A73" w:rsidRDefault="00666A73" w:rsidP="004476E2">
      <w:pPr>
        <w:pStyle w:val="noindent"/>
        <w:rPr>
          <w:rFonts w:ascii="Times New Roman" w:hAnsi="Times New Roman"/>
          <w:sz w:val="26"/>
          <w:szCs w:val="26"/>
        </w:rPr>
      </w:pPr>
      <w:r w:rsidRPr="00666A73">
        <w:rPr>
          <w:rFonts w:ascii="Times New Roman" w:hAnsi="Times New Roman"/>
          <w:sz w:val="26"/>
          <w:szCs w:val="26"/>
        </w:rPr>
        <w:t>Jim Schnoll</w:t>
      </w:r>
    </w:p>
    <w:p w:rsidR="00666A73" w:rsidRPr="00666A73" w:rsidRDefault="00666A73" w:rsidP="004476E2">
      <w:pPr>
        <w:pStyle w:val="noindent"/>
        <w:rPr>
          <w:rFonts w:ascii="Times New Roman" w:hAnsi="Times New Roman"/>
          <w:sz w:val="26"/>
          <w:szCs w:val="26"/>
        </w:rPr>
      </w:pPr>
      <w:r w:rsidRPr="00666A73">
        <w:rPr>
          <w:rFonts w:ascii="Times New Roman" w:hAnsi="Times New Roman"/>
          <w:sz w:val="26"/>
          <w:szCs w:val="26"/>
        </w:rPr>
        <w:t>P.O. Box 662</w:t>
      </w:r>
    </w:p>
    <w:p w:rsidR="00666A73" w:rsidRPr="00666A73" w:rsidRDefault="00666A73" w:rsidP="004476E2">
      <w:pPr>
        <w:pStyle w:val="noindent"/>
        <w:rPr>
          <w:rFonts w:ascii="Times New Roman" w:hAnsi="Times New Roman"/>
          <w:sz w:val="26"/>
          <w:szCs w:val="26"/>
        </w:rPr>
      </w:pPr>
      <w:r w:rsidRPr="00666A73">
        <w:rPr>
          <w:rFonts w:ascii="Times New Roman" w:hAnsi="Times New Roman"/>
          <w:sz w:val="26"/>
          <w:szCs w:val="26"/>
        </w:rPr>
        <w:t>Jackson, WI 53037</w:t>
      </w:r>
    </w:p>
    <w:p w:rsidR="00CF6E79" w:rsidRPr="00666A73" w:rsidRDefault="00CF6E79" w:rsidP="004476E2">
      <w:pPr>
        <w:pStyle w:val="noindent"/>
        <w:rPr>
          <w:rFonts w:ascii="Times New Roman" w:hAnsi="Times New Roman"/>
          <w:sz w:val="26"/>
          <w:szCs w:val="26"/>
        </w:rPr>
      </w:pPr>
    </w:p>
    <w:p w:rsidR="004476E2" w:rsidRPr="00666A73" w:rsidRDefault="004476E2" w:rsidP="004476E2">
      <w:pPr>
        <w:rPr>
          <w:rFonts w:ascii="Times New Roman" w:hAnsi="Times New Roman"/>
          <w:sz w:val="26"/>
          <w:szCs w:val="26"/>
        </w:rPr>
      </w:pPr>
    </w:p>
    <w:p w:rsidR="00BA0345" w:rsidRPr="00666A73" w:rsidRDefault="00BA0345">
      <w:pPr>
        <w:rPr>
          <w:rFonts w:ascii="Times New Roman" w:hAnsi="Times New Roman"/>
          <w:sz w:val="26"/>
          <w:szCs w:val="26"/>
        </w:rPr>
      </w:pPr>
    </w:p>
    <w:sectPr w:rsidR="00BA0345" w:rsidRPr="00666A73" w:rsidSect="00A009ED"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5B" w:rsidRDefault="00CA0D5B">
      <w:r>
        <w:separator/>
      </w:r>
    </w:p>
  </w:endnote>
  <w:endnote w:type="continuationSeparator" w:id="0">
    <w:p w:rsidR="00CA0D5B" w:rsidRDefault="00CA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8B" w:rsidRDefault="0083708B" w:rsidP="004476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3708B" w:rsidRDefault="00837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8B" w:rsidRDefault="0083708B" w:rsidP="004476E2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83708B" w:rsidRDefault="008370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8B" w:rsidRDefault="008370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5EC">
      <w:rPr>
        <w:noProof/>
      </w:rPr>
      <w:t>i</w:t>
    </w:r>
    <w:r>
      <w:rPr>
        <w:noProof/>
      </w:rPr>
      <w:fldChar w:fldCharType="end"/>
    </w:r>
  </w:p>
  <w:p w:rsidR="0083708B" w:rsidRDefault="0083708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8B" w:rsidRPr="00B60E96" w:rsidRDefault="0083708B">
    <w:pPr>
      <w:pStyle w:val="Footer"/>
      <w:jc w:val="center"/>
      <w:rPr>
        <w:rFonts w:ascii="Times New Roman" w:hAnsi="Times New Roman"/>
      </w:rPr>
    </w:pPr>
    <w:r w:rsidRPr="00B60E96">
      <w:rPr>
        <w:rFonts w:ascii="Times New Roman" w:hAnsi="Times New Roman"/>
      </w:rPr>
      <w:fldChar w:fldCharType="begin"/>
    </w:r>
    <w:r w:rsidRPr="00B60E96">
      <w:rPr>
        <w:rFonts w:ascii="Times New Roman" w:hAnsi="Times New Roman"/>
      </w:rPr>
      <w:instrText xml:space="preserve"> PAGE   \* MERGEFORMAT </w:instrText>
    </w:r>
    <w:r w:rsidRPr="00B60E96">
      <w:rPr>
        <w:rFonts w:ascii="Times New Roman" w:hAnsi="Times New Roman"/>
      </w:rPr>
      <w:fldChar w:fldCharType="separate"/>
    </w:r>
    <w:r w:rsidR="004F55EC">
      <w:rPr>
        <w:rFonts w:ascii="Times New Roman" w:hAnsi="Times New Roman"/>
        <w:noProof/>
      </w:rPr>
      <w:t>16</w:t>
    </w:r>
    <w:r w:rsidRPr="00B60E96">
      <w:rPr>
        <w:rFonts w:ascii="Times New Roman" w:hAnsi="Times New Roman"/>
        <w:noProof/>
      </w:rPr>
      <w:fldChar w:fldCharType="end"/>
    </w:r>
  </w:p>
  <w:p w:rsidR="0083708B" w:rsidRDefault="0083708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8B" w:rsidRDefault="00837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5B" w:rsidRDefault="00CA0D5B">
      <w:r>
        <w:separator/>
      </w:r>
    </w:p>
  </w:footnote>
  <w:footnote w:type="continuationSeparator" w:id="0">
    <w:p w:rsidR="00CA0D5B" w:rsidRDefault="00CA0D5B">
      <w:r>
        <w:continuationSeparator/>
      </w:r>
    </w:p>
  </w:footnote>
  <w:footnote w:id="1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proofErr w:type="gramStart"/>
      <w:r w:rsidRPr="008F1C10">
        <w:rPr>
          <w:sz w:val="24"/>
          <w:szCs w:val="24"/>
        </w:rPr>
        <w:t>Staff Ex. 1 (Driver/Vehicle Examination Report).</w:t>
      </w:r>
      <w:proofErr w:type="gramEnd"/>
      <w:r w:rsidRPr="008F1C10">
        <w:rPr>
          <w:sz w:val="24"/>
          <w:szCs w:val="24"/>
        </w:rPr>
        <w:t xml:space="preserve">  </w:t>
      </w:r>
    </w:p>
  </w:footnote>
  <w:footnote w:id="2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r w:rsidRPr="008F1C10">
        <w:rPr>
          <w:i/>
          <w:sz w:val="24"/>
          <w:szCs w:val="24"/>
        </w:rPr>
        <w:t>Id</w:t>
      </w:r>
      <w:r w:rsidRPr="008F1C10">
        <w:rPr>
          <w:sz w:val="24"/>
          <w:szCs w:val="24"/>
        </w:rPr>
        <w:t>.</w:t>
      </w:r>
    </w:p>
  </w:footnote>
  <w:footnote w:id="3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proofErr w:type="gramStart"/>
      <w:r w:rsidRPr="008F1C10">
        <w:rPr>
          <w:sz w:val="24"/>
          <w:szCs w:val="24"/>
        </w:rPr>
        <w:t>Tr. at 55.</w:t>
      </w:r>
      <w:proofErr w:type="gramEnd"/>
      <w:r w:rsidRPr="008F1C10">
        <w:rPr>
          <w:sz w:val="24"/>
          <w:szCs w:val="24"/>
        </w:rPr>
        <w:t xml:space="preserve">  </w:t>
      </w:r>
    </w:p>
  </w:footnote>
  <w:footnote w:id="4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r w:rsidRPr="008F1C10">
        <w:rPr>
          <w:i/>
          <w:sz w:val="24"/>
          <w:szCs w:val="24"/>
        </w:rPr>
        <w:t>See</w:t>
      </w:r>
      <w:r w:rsidRPr="008F1C10">
        <w:rPr>
          <w:sz w:val="24"/>
          <w:szCs w:val="24"/>
        </w:rPr>
        <w:t xml:space="preserve"> Staff Ex. 1.  </w:t>
      </w:r>
    </w:p>
  </w:footnote>
  <w:footnote w:id="5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r w:rsidRPr="008F1C10">
        <w:rPr>
          <w:i/>
          <w:sz w:val="24"/>
          <w:szCs w:val="24"/>
        </w:rPr>
        <w:t>Id</w:t>
      </w:r>
      <w:r w:rsidRPr="008F1C10">
        <w:rPr>
          <w:sz w:val="24"/>
          <w:szCs w:val="24"/>
        </w:rPr>
        <w:t xml:space="preserve">.  </w:t>
      </w:r>
    </w:p>
  </w:footnote>
  <w:footnote w:id="6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r w:rsidRPr="008F1C10">
        <w:rPr>
          <w:i/>
          <w:sz w:val="24"/>
          <w:szCs w:val="24"/>
        </w:rPr>
        <w:t>Id</w:t>
      </w:r>
      <w:r w:rsidRPr="008F1C10">
        <w:rPr>
          <w:sz w:val="24"/>
          <w:szCs w:val="24"/>
        </w:rPr>
        <w:t xml:space="preserve">.  </w:t>
      </w:r>
    </w:p>
  </w:footnote>
  <w:footnote w:id="7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r w:rsidRPr="008F1C10">
        <w:rPr>
          <w:i/>
          <w:sz w:val="24"/>
          <w:szCs w:val="24"/>
        </w:rPr>
        <w:t>Id</w:t>
      </w:r>
      <w:r w:rsidRPr="008F1C10">
        <w:rPr>
          <w:sz w:val="24"/>
          <w:szCs w:val="24"/>
        </w:rPr>
        <w:t xml:space="preserve">.   </w:t>
      </w:r>
    </w:p>
  </w:footnote>
  <w:footnote w:id="8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proofErr w:type="gramStart"/>
      <w:r w:rsidRPr="008F1C10">
        <w:rPr>
          <w:i/>
          <w:sz w:val="24"/>
          <w:szCs w:val="24"/>
        </w:rPr>
        <w:t>Id</w:t>
      </w:r>
      <w:r w:rsidRPr="008F1C10">
        <w:rPr>
          <w:sz w:val="24"/>
          <w:szCs w:val="24"/>
        </w:rPr>
        <w:t>.; Tr. at 10.</w:t>
      </w:r>
      <w:proofErr w:type="gramEnd"/>
      <w:r w:rsidRPr="008F1C10">
        <w:rPr>
          <w:sz w:val="24"/>
          <w:szCs w:val="24"/>
        </w:rPr>
        <w:t xml:space="preserve">  </w:t>
      </w:r>
    </w:p>
  </w:footnote>
  <w:footnote w:id="9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 xml:space="preserve">Staff Ex. 1.  </w:t>
      </w:r>
    </w:p>
  </w:footnote>
  <w:footnote w:id="10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 xml:space="preserve">Staff Ex. 1.  </w:t>
      </w:r>
    </w:p>
  </w:footnote>
  <w:footnote w:id="11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 xml:space="preserve">Staff Ex. 16.  </w:t>
      </w:r>
    </w:p>
  </w:footnote>
  <w:footnote w:id="12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 xml:space="preserve">Tr. at 7-8.  </w:t>
      </w:r>
    </w:p>
  </w:footnote>
  <w:footnote w:id="13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>Tr. at 8-9.</w:t>
      </w:r>
    </w:p>
  </w:footnote>
  <w:footnote w:id="14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 xml:space="preserve">Tr. at 12-14.  </w:t>
      </w:r>
    </w:p>
  </w:footnote>
  <w:footnote w:id="15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>Staff Ex. 1; Tr. at 12-14.</w:t>
      </w:r>
    </w:p>
  </w:footnote>
  <w:footnote w:id="16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proofErr w:type="gramStart"/>
      <w:r w:rsidRPr="008F1C10">
        <w:rPr>
          <w:sz w:val="24"/>
          <w:szCs w:val="24"/>
        </w:rPr>
        <w:t>Staff Ex. 1; Tr. at 13.</w:t>
      </w:r>
      <w:proofErr w:type="gramEnd"/>
      <w:r w:rsidRPr="008F1C10">
        <w:rPr>
          <w:sz w:val="24"/>
          <w:szCs w:val="24"/>
        </w:rPr>
        <w:t xml:space="preserve">  </w:t>
      </w:r>
    </w:p>
  </w:footnote>
  <w:footnote w:id="17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 xml:space="preserve">Staff Ex. 1.  </w:t>
      </w:r>
    </w:p>
  </w:footnote>
  <w:footnote w:id="18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>Staff Ex. 1; Tr. at 12-14.</w:t>
      </w:r>
    </w:p>
  </w:footnote>
  <w:footnote w:id="19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proofErr w:type="gramStart"/>
      <w:r w:rsidRPr="008F1C10">
        <w:rPr>
          <w:sz w:val="24"/>
          <w:szCs w:val="24"/>
        </w:rPr>
        <w:t>Staff Ex. 1; Tr. at 12.</w:t>
      </w:r>
      <w:proofErr w:type="gramEnd"/>
    </w:p>
  </w:footnote>
  <w:footnote w:id="20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>Staff Ex. 2; Tr. at 14-16.</w:t>
      </w:r>
    </w:p>
  </w:footnote>
  <w:footnote w:id="21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>Staff Exs</w:t>
      </w:r>
      <w:proofErr w:type="gramStart"/>
      <w:r w:rsidRPr="008F1C10">
        <w:rPr>
          <w:sz w:val="24"/>
          <w:szCs w:val="24"/>
        </w:rPr>
        <w:t>. 1, 3, 4 and 7; Tr. at 16-17 and 19.</w:t>
      </w:r>
      <w:proofErr w:type="gramEnd"/>
    </w:p>
  </w:footnote>
  <w:footnote w:id="22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>Staff Exs</w:t>
      </w:r>
      <w:proofErr w:type="gramStart"/>
      <w:r w:rsidRPr="008F1C10">
        <w:rPr>
          <w:sz w:val="24"/>
          <w:szCs w:val="24"/>
        </w:rPr>
        <w:t xml:space="preserve">. </w:t>
      </w:r>
      <w:proofErr w:type="gramEnd"/>
      <w:r w:rsidRPr="008F1C10">
        <w:rPr>
          <w:sz w:val="24"/>
          <w:szCs w:val="24"/>
        </w:rPr>
        <w:t>1, 3, 5 and 6; Tr. at 16 and 17-19.</w:t>
      </w:r>
    </w:p>
  </w:footnote>
  <w:footnote w:id="23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>Staff Exs</w:t>
      </w:r>
      <w:proofErr w:type="gramStart"/>
      <w:r w:rsidRPr="008F1C10">
        <w:rPr>
          <w:sz w:val="24"/>
          <w:szCs w:val="24"/>
        </w:rPr>
        <w:t xml:space="preserve">. </w:t>
      </w:r>
      <w:proofErr w:type="gramEnd"/>
      <w:r w:rsidRPr="008F1C10">
        <w:rPr>
          <w:sz w:val="24"/>
          <w:szCs w:val="24"/>
        </w:rPr>
        <w:t>1, 9 and 10; Tr. at 20-22.</w:t>
      </w:r>
    </w:p>
  </w:footnote>
  <w:footnote w:id="24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>Staff Exs</w:t>
      </w:r>
      <w:proofErr w:type="gramStart"/>
      <w:r w:rsidRPr="008F1C10">
        <w:rPr>
          <w:sz w:val="24"/>
          <w:szCs w:val="24"/>
        </w:rPr>
        <w:t xml:space="preserve">. </w:t>
      </w:r>
      <w:proofErr w:type="gramEnd"/>
      <w:r w:rsidRPr="008F1C10">
        <w:rPr>
          <w:sz w:val="24"/>
          <w:szCs w:val="24"/>
        </w:rPr>
        <w:t>1, 9 and 11; Tr. at 20 and 22-23.</w:t>
      </w:r>
    </w:p>
  </w:footnote>
  <w:footnote w:id="25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>Staff Exs</w:t>
      </w:r>
      <w:proofErr w:type="gramStart"/>
      <w:r w:rsidRPr="008F1C10">
        <w:rPr>
          <w:sz w:val="24"/>
          <w:szCs w:val="24"/>
        </w:rPr>
        <w:t>. 1, 9 and 12; Tr. at 20 and 23.</w:t>
      </w:r>
      <w:proofErr w:type="gramEnd"/>
    </w:p>
  </w:footnote>
  <w:footnote w:id="26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>Staff Ex. 1.</w:t>
      </w:r>
    </w:p>
  </w:footnote>
  <w:footnote w:id="27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>Staff Exs</w:t>
      </w:r>
      <w:proofErr w:type="gramStart"/>
      <w:r w:rsidRPr="008F1C10">
        <w:rPr>
          <w:sz w:val="24"/>
          <w:szCs w:val="24"/>
        </w:rPr>
        <w:t>. 13 and 15.</w:t>
      </w:r>
      <w:proofErr w:type="gramEnd"/>
      <w:r w:rsidRPr="008F1C10">
        <w:rPr>
          <w:sz w:val="24"/>
          <w:szCs w:val="24"/>
        </w:rPr>
        <w:t xml:space="preserve">  </w:t>
      </w:r>
    </w:p>
  </w:footnote>
  <w:footnote w:id="28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proofErr w:type="gramStart"/>
      <w:r w:rsidRPr="008F1C10">
        <w:rPr>
          <w:sz w:val="24"/>
          <w:szCs w:val="24"/>
        </w:rPr>
        <w:t>Tr. at 9.</w:t>
      </w:r>
      <w:proofErr w:type="gramEnd"/>
      <w:r w:rsidRPr="008F1C10">
        <w:rPr>
          <w:sz w:val="24"/>
          <w:szCs w:val="24"/>
        </w:rPr>
        <w:t xml:space="preserve">  </w:t>
      </w:r>
    </w:p>
  </w:footnote>
  <w:footnote w:id="29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>Staff Exs</w:t>
      </w:r>
      <w:proofErr w:type="gramStart"/>
      <w:r w:rsidRPr="008F1C10">
        <w:rPr>
          <w:sz w:val="24"/>
          <w:szCs w:val="24"/>
        </w:rPr>
        <w:t xml:space="preserve">. </w:t>
      </w:r>
      <w:proofErr w:type="gramEnd"/>
      <w:r w:rsidRPr="008F1C10">
        <w:rPr>
          <w:sz w:val="24"/>
          <w:szCs w:val="24"/>
        </w:rPr>
        <w:t xml:space="preserve">2-15.  </w:t>
      </w:r>
    </w:p>
  </w:footnote>
  <w:footnote w:id="30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 xml:space="preserve">Tr. at 52-54.  </w:t>
      </w:r>
    </w:p>
  </w:footnote>
  <w:footnote w:id="31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 xml:space="preserve">Tr. at 53-54.  </w:t>
      </w:r>
    </w:p>
  </w:footnote>
  <w:footnote w:id="32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proofErr w:type="gramStart"/>
      <w:r w:rsidRPr="008F1C10">
        <w:rPr>
          <w:sz w:val="24"/>
          <w:szCs w:val="24"/>
        </w:rPr>
        <w:t>Staff Ex. 1; Tr. at 13.</w:t>
      </w:r>
      <w:proofErr w:type="gramEnd"/>
      <w:r w:rsidRPr="008F1C10">
        <w:rPr>
          <w:sz w:val="24"/>
          <w:szCs w:val="24"/>
        </w:rPr>
        <w:t xml:space="preserve">  </w:t>
      </w:r>
    </w:p>
  </w:footnote>
  <w:footnote w:id="33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proofErr w:type="gramStart"/>
      <w:r w:rsidRPr="008F1C10">
        <w:rPr>
          <w:sz w:val="24"/>
          <w:szCs w:val="24"/>
        </w:rPr>
        <w:t>Staff Ex. 1; Tr. at 13.</w:t>
      </w:r>
      <w:proofErr w:type="gramEnd"/>
      <w:r w:rsidRPr="008F1C10">
        <w:rPr>
          <w:sz w:val="24"/>
          <w:szCs w:val="24"/>
        </w:rPr>
        <w:t xml:space="preserve">  </w:t>
      </w:r>
    </w:p>
  </w:footnote>
  <w:footnote w:id="34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>Staff Exs</w:t>
      </w:r>
      <w:proofErr w:type="gramStart"/>
      <w:r w:rsidRPr="008F1C10">
        <w:rPr>
          <w:sz w:val="24"/>
          <w:szCs w:val="24"/>
        </w:rPr>
        <w:t xml:space="preserve">. </w:t>
      </w:r>
      <w:proofErr w:type="gramEnd"/>
      <w:r w:rsidRPr="008F1C10">
        <w:rPr>
          <w:sz w:val="24"/>
          <w:szCs w:val="24"/>
        </w:rPr>
        <w:t xml:space="preserve">2-15.  </w:t>
      </w:r>
    </w:p>
  </w:footnote>
  <w:footnote w:id="35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 xml:space="preserve">Tr. at 56-57.  </w:t>
      </w:r>
    </w:p>
  </w:footnote>
  <w:footnote w:id="36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 xml:space="preserve">Tr. at 52-54.  </w:t>
      </w:r>
    </w:p>
  </w:footnote>
  <w:footnote w:id="37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proofErr w:type="gramStart"/>
      <w:r w:rsidRPr="008F1C10">
        <w:rPr>
          <w:sz w:val="24"/>
          <w:szCs w:val="24"/>
        </w:rPr>
        <w:t>Tr. at 52.</w:t>
      </w:r>
      <w:proofErr w:type="gramEnd"/>
      <w:r w:rsidRPr="008F1C10">
        <w:rPr>
          <w:sz w:val="24"/>
          <w:szCs w:val="24"/>
        </w:rPr>
        <w:t xml:space="preserve">  </w:t>
      </w:r>
    </w:p>
  </w:footnote>
  <w:footnote w:id="38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 xml:space="preserve">See, </w:t>
      </w:r>
      <w:r w:rsidRPr="008F1C10">
        <w:rPr>
          <w:i/>
          <w:sz w:val="24"/>
          <w:szCs w:val="24"/>
        </w:rPr>
        <w:t>In the Matter of Grammer Industries, Inc., Notice of Apparent Violation and Intent to Assess Forfeiture</w:t>
      </w:r>
      <w:r w:rsidRPr="008F1C10">
        <w:rPr>
          <w:sz w:val="24"/>
          <w:szCs w:val="24"/>
        </w:rPr>
        <w:t xml:space="preserve">, Case No. 07-25-TR-CVF (Opinion and Order at 5) (Apr. 16, 2008) </w:t>
      </w:r>
      <w:r w:rsidRPr="008F1C10">
        <w:rPr>
          <w:i/>
          <w:sz w:val="24"/>
          <w:szCs w:val="24"/>
        </w:rPr>
        <w:t>citing, In re R. Norris Co., Inc.</w:t>
      </w:r>
      <w:r w:rsidRPr="008F1C10">
        <w:rPr>
          <w:sz w:val="24"/>
          <w:szCs w:val="24"/>
        </w:rPr>
        <w:t xml:space="preserve">, Case No. 99-745-TR-CVF (Finding and Order) (Nov. 18, 1999); </w:t>
      </w:r>
      <w:r w:rsidRPr="008F1C10">
        <w:rPr>
          <w:i/>
          <w:sz w:val="24"/>
          <w:szCs w:val="24"/>
        </w:rPr>
        <w:t>In the Matter of Carrol Ball Transport, Inc</w:t>
      </w:r>
      <w:r w:rsidRPr="008F1C10">
        <w:rPr>
          <w:sz w:val="24"/>
          <w:szCs w:val="24"/>
        </w:rPr>
        <w:t xml:space="preserve">., Case No. R7-94-131, (Final Order) (U.S. Highway Administration, 1996) Ap. at 1; </w:t>
      </w:r>
      <w:r w:rsidRPr="008F1C10">
        <w:rPr>
          <w:i/>
          <w:sz w:val="24"/>
          <w:szCs w:val="24"/>
        </w:rPr>
        <w:t>Truck</w:t>
      </w:r>
      <w:r w:rsidRPr="008F1C10">
        <w:rPr>
          <w:i/>
          <w:sz w:val="24"/>
          <w:szCs w:val="24"/>
        </w:rPr>
        <w:softHyphen/>
        <w:t>ers United for Safety v. Federal Highway Administration</w:t>
      </w:r>
      <w:r w:rsidRPr="008F1C10">
        <w:rPr>
          <w:sz w:val="24"/>
          <w:szCs w:val="24"/>
        </w:rPr>
        <w:t>, 139 F.3d 934, 329 U.S. App. D.C. 241 (D.C. Cir. 1998) (Truckers United);</w:t>
      </w:r>
      <w:r w:rsidRPr="008F1C10">
        <w:rPr>
          <w:i/>
          <w:sz w:val="24"/>
          <w:szCs w:val="24"/>
        </w:rPr>
        <w:t xml:space="preserve"> In re Arctic Express, Inc.</w:t>
      </w:r>
      <w:r w:rsidRPr="008F1C10">
        <w:rPr>
          <w:sz w:val="24"/>
          <w:szCs w:val="24"/>
        </w:rPr>
        <w:t>, Case No. 03-238-TR-CVF (Opinion and Order) (Mar. 17, 2004); and</w:t>
      </w:r>
      <w:r w:rsidRPr="008F1C10">
        <w:rPr>
          <w:i/>
          <w:sz w:val="24"/>
          <w:szCs w:val="24"/>
        </w:rPr>
        <w:t xml:space="preserve"> In re Arctic Express, Inc.</w:t>
      </w:r>
      <w:r w:rsidRPr="008F1C10">
        <w:rPr>
          <w:sz w:val="24"/>
          <w:szCs w:val="24"/>
        </w:rPr>
        <w:t xml:space="preserve">, Case No. 06-881-TR-CVF (Opinion and Order) (Feb. 14, 2007).  </w:t>
      </w:r>
    </w:p>
  </w:footnote>
  <w:footnote w:id="39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proofErr w:type="gramStart"/>
      <w:r w:rsidRPr="008F1C10">
        <w:rPr>
          <w:sz w:val="24"/>
          <w:szCs w:val="24"/>
        </w:rPr>
        <w:t>Tr. at 44.</w:t>
      </w:r>
      <w:proofErr w:type="gramEnd"/>
      <w:r w:rsidRPr="008F1C10">
        <w:rPr>
          <w:sz w:val="24"/>
          <w:szCs w:val="24"/>
        </w:rPr>
        <w:t xml:space="preserve"> </w:t>
      </w:r>
    </w:p>
  </w:footnote>
  <w:footnote w:id="40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proofErr w:type="gramStart"/>
      <w:r w:rsidRPr="008F1C10">
        <w:rPr>
          <w:sz w:val="24"/>
          <w:szCs w:val="24"/>
        </w:rPr>
        <w:t>Tr. at 35.</w:t>
      </w:r>
      <w:proofErr w:type="gramEnd"/>
    </w:p>
  </w:footnote>
  <w:footnote w:id="41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 xml:space="preserve">Staff Ex. 2; Tr. at 14-16.  </w:t>
      </w:r>
    </w:p>
  </w:footnote>
  <w:footnote w:id="42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 xml:space="preserve">Tr. at 55-56.  </w:t>
      </w:r>
    </w:p>
  </w:footnote>
  <w:footnote w:id="43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>62 Fed</w:t>
      </w:r>
      <w:proofErr w:type="gramStart"/>
      <w:r w:rsidRPr="008F1C10">
        <w:rPr>
          <w:sz w:val="24"/>
          <w:szCs w:val="24"/>
        </w:rPr>
        <w:t>. Reg. 16,370 (1997).</w:t>
      </w:r>
      <w:proofErr w:type="gramEnd"/>
      <w:r w:rsidRPr="008F1C10">
        <w:rPr>
          <w:sz w:val="24"/>
          <w:szCs w:val="24"/>
        </w:rPr>
        <w:t xml:space="preserve">  </w:t>
      </w:r>
    </w:p>
  </w:footnote>
  <w:footnote w:id="44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proofErr w:type="gramStart"/>
      <w:r w:rsidRPr="008F1C10">
        <w:rPr>
          <w:sz w:val="24"/>
          <w:szCs w:val="24"/>
        </w:rPr>
        <w:t>Tr. at 55.</w:t>
      </w:r>
      <w:proofErr w:type="gramEnd"/>
      <w:r w:rsidRPr="008F1C10">
        <w:rPr>
          <w:sz w:val="24"/>
          <w:szCs w:val="24"/>
        </w:rPr>
        <w:t xml:space="preserve">  </w:t>
      </w:r>
    </w:p>
  </w:footnote>
  <w:footnote w:id="45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hyperlink r:id="rId1" w:history="1">
        <w:proofErr w:type="gramStart"/>
        <w:r w:rsidRPr="008F1C10">
          <w:rPr>
            <w:i/>
            <w:sz w:val="24"/>
            <w:szCs w:val="24"/>
          </w:rPr>
          <w:t>Byrd v. Faber</w:t>
        </w:r>
        <w:r w:rsidRPr="008F1C10">
          <w:rPr>
            <w:sz w:val="24"/>
            <w:szCs w:val="24"/>
          </w:rPr>
          <w:t>, 57 Ohio St.3d 56, 58, 565 N.E.2d 584</w:t>
        </w:r>
      </w:hyperlink>
      <w:r w:rsidRPr="008F1C10">
        <w:rPr>
          <w:sz w:val="24"/>
          <w:szCs w:val="24"/>
        </w:rPr>
        <w:t xml:space="preserve"> (1991).</w:t>
      </w:r>
      <w:proofErr w:type="gramEnd"/>
      <w:r w:rsidRPr="008F1C10">
        <w:rPr>
          <w:sz w:val="24"/>
          <w:szCs w:val="24"/>
        </w:rPr>
        <w:t xml:space="preserve">  </w:t>
      </w:r>
    </w:p>
  </w:footnote>
  <w:footnote w:id="46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proofErr w:type="gramStart"/>
      <w:r w:rsidRPr="008F1C10">
        <w:rPr>
          <w:sz w:val="24"/>
          <w:szCs w:val="24"/>
        </w:rPr>
        <w:t>R.C. 4921.99, and 4923.99.</w:t>
      </w:r>
      <w:proofErr w:type="gramEnd"/>
      <w:r w:rsidRPr="008F1C10">
        <w:rPr>
          <w:sz w:val="24"/>
          <w:szCs w:val="24"/>
        </w:rPr>
        <w:t xml:space="preserve">  </w:t>
      </w:r>
    </w:p>
  </w:footnote>
  <w:footnote w:id="47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  <w:t xml:space="preserve">Ohio Adm. Code 4901:2-7-01 through 4901:2-7-22.  </w:t>
      </w:r>
    </w:p>
  </w:footnote>
  <w:footnote w:id="48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proofErr w:type="gramStart"/>
      <w:r w:rsidRPr="008F1C10">
        <w:rPr>
          <w:sz w:val="24"/>
          <w:szCs w:val="24"/>
        </w:rPr>
        <w:t>Tr. at 43.</w:t>
      </w:r>
      <w:proofErr w:type="gramEnd"/>
      <w:r w:rsidRPr="008F1C10">
        <w:rPr>
          <w:sz w:val="24"/>
          <w:szCs w:val="24"/>
        </w:rPr>
        <w:t xml:space="preserve">  </w:t>
      </w:r>
    </w:p>
  </w:footnote>
  <w:footnote w:id="49">
    <w:p w:rsidR="0083708B" w:rsidRPr="008F1C10" w:rsidRDefault="0083708B">
      <w:pPr>
        <w:pStyle w:val="FootnoteText"/>
        <w:rPr>
          <w:sz w:val="24"/>
          <w:szCs w:val="24"/>
        </w:rPr>
      </w:pPr>
      <w:r w:rsidRPr="008F1C10">
        <w:rPr>
          <w:rStyle w:val="FootnoteReference"/>
          <w:sz w:val="24"/>
          <w:szCs w:val="24"/>
        </w:rPr>
        <w:footnoteRef/>
      </w:r>
      <w:r w:rsidRPr="008F1C10">
        <w:rPr>
          <w:sz w:val="24"/>
          <w:szCs w:val="24"/>
        </w:rPr>
        <w:t xml:space="preserve"> </w:t>
      </w:r>
      <w:r w:rsidRPr="008F1C10">
        <w:rPr>
          <w:sz w:val="24"/>
          <w:szCs w:val="24"/>
        </w:rPr>
        <w:tab/>
      </w:r>
      <w:r w:rsidRPr="008F1C10">
        <w:rPr>
          <w:sz w:val="24"/>
          <w:szCs w:val="24"/>
        </w:rPr>
        <w:tab/>
      </w:r>
      <w:proofErr w:type="gramStart"/>
      <w:r w:rsidR="000B2140" w:rsidRPr="008F1C10">
        <w:rPr>
          <w:sz w:val="24"/>
          <w:szCs w:val="24"/>
        </w:rPr>
        <w:t>Tr. at 43</w:t>
      </w:r>
      <w:r w:rsidR="000B2140">
        <w:rPr>
          <w:sz w:val="24"/>
          <w:szCs w:val="24"/>
        </w:rPr>
        <w:t>.</w:t>
      </w:r>
      <w:proofErr w:type="gramEnd"/>
      <w:r w:rsidRPr="008F1C10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8B" w:rsidRDefault="00837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8B" w:rsidRPr="00E71CF5" w:rsidRDefault="0083708B" w:rsidP="000249F5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E71CF5">
      <w:rPr>
        <w:rFonts w:ascii="Times New Roman" w:hAnsi="Times New Roman"/>
        <w:b/>
        <w:sz w:val="28"/>
        <w:szCs w:val="28"/>
      </w:rPr>
      <w:t>TABLE OF CONTENTS</w:t>
    </w:r>
  </w:p>
  <w:p w:rsidR="0083708B" w:rsidRPr="00E71CF5" w:rsidRDefault="0083708B" w:rsidP="000249F5">
    <w:pPr>
      <w:pStyle w:val="Header"/>
      <w:jc w:val="right"/>
      <w:rPr>
        <w:rFonts w:ascii="Times New Roman" w:hAnsi="Times New Roman"/>
        <w:b/>
        <w:sz w:val="28"/>
        <w:szCs w:val="28"/>
      </w:rPr>
    </w:pPr>
    <w:r w:rsidRPr="00E71CF5">
      <w:rPr>
        <w:rFonts w:ascii="Times New Roman" w:hAnsi="Times New Roman"/>
        <w:b/>
        <w:sz w:val="28"/>
        <w:szCs w:val="28"/>
      </w:rPr>
      <w:t>Page(s)</w:t>
    </w:r>
  </w:p>
  <w:p w:rsidR="0083708B" w:rsidRPr="00E71CF5" w:rsidRDefault="0083708B" w:rsidP="000249F5">
    <w:pPr>
      <w:pStyle w:val="Header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8B" w:rsidRPr="00E71CF5" w:rsidRDefault="0083708B" w:rsidP="000249F5">
    <w:pPr>
      <w:pStyle w:val="Header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211"/>
    <w:multiLevelType w:val="hybridMultilevel"/>
    <w:tmpl w:val="C5B8BA0C"/>
    <w:lvl w:ilvl="0" w:tplc="35E4E52E">
      <w:start w:val="1"/>
      <w:numFmt w:val="decimal"/>
      <w:lvlText w:val="(%1)"/>
      <w:lvlJc w:val="left"/>
      <w:pPr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502405"/>
    <w:multiLevelType w:val="hybridMultilevel"/>
    <w:tmpl w:val="27B4A6F2"/>
    <w:lvl w:ilvl="0" w:tplc="66509BB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color w:val="0000FF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C00BB"/>
    <w:multiLevelType w:val="hybridMultilevel"/>
    <w:tmpl w:val="A18CFD14"/>
    <w:lvl w:ilvl="0" w:tplc="8574357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color w:val="0000FF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A95407"/>
    <w:multiLevelType w:val="hybridMultilevel"/>
    <w:tmpl w:val="AE4E9C14"/>
    <w:lvl w:ilvl="0" w:tplc="6A500D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535626"/>
    <w:multiLevelType w:val="hybridMultilevel"/>
    <w:tmpl w:val="6C682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E2"/>
    <w:rsid w:val="0000650E"/>
    <w:rsid w:val="000149DF"/>
    <w:rsid w:val="000249F5"/>
    <w:rsid w:val="000473A0"/>
    <w:rsid w:val="00060D4C"/>
    <w:rsid w:val="000637B9"/>
    <w:rsid w:val="0008646C"/>
    <w:rsid w:val="0008663B"/>
    <w:rsid w:val="00093042"/>
    <w:rsid w:val="0009401D"/>
    <w:rsid w:val="000A0BE0"/>
    <w:rsid w:val="000A55AF"/>
    <w:rsid w:val="000B2140"/>
    <w:rsid w:val="000B3027"/>
    <w:rsid w:val="000C72A5"/>
    <w:rsid w:val="000D261A"/>
    <w:rsid w:val="0011154F"/>
    <w:rsid w:val="00115F73"/>
    <w:rsid w:val="00121E92"/>
    <w:rsid w:val="001342E0"/>
    <w:rsid w:val="001519D7"/>
    <w:rsid w:val="001679F2"/>
    <w:rsid w:val="001753EC"/>
    <w:rsid w:val="00194E66"/>
    <w:rsid w:val="001C2921"/>
    <w:rsid w:val="001E3CD7"/>
    <w:rsid w:val="001E6DD7"/>
    <w:rsid w:val="0022775E"/>
    <w:rsid w:val="00231635"/>
    <w:rsid w:val="002345F4"/>
    <w:rsid w:val="00255B61"/>
    <w:rsid w:val="00256B68"/>
    <w:rsid w:val="0026291C"/>
    <w:rsid w:val="00276411"/>
    <w:rsid w:val="00282B98"/>
    <w:rsid w:val="002920BE"/>
    <w:rsid w:val="00292682"/>
    <w:rsid w:val="0029609D"/>
    <w:rsid w:val="002A77C3"/>
    <w:rsid w:val="002B5FC7"/>
    <w:rsid w:val="002B6A84"/>
    <w:rsid w:val="002B716C"/>
    <w:rsid w:val="002C7A10"/>
    <w:rsid w:val="002E09E3"/>
    <w:rsid w:val="002F2274"/>
    <w:rsid w:val="002F7CE6"/>
    <w:rsid w:val="003062C4"/>
    <w:rsid w:val="003121F2"/>
    <w:rsid w:val="00315932"/>
    <w:rsid w:val="00324B7C"/>
    <w:rsid w:val="00345B77"/>
    <w:rsid w:val="00365780"/>
    <w:rsid w:val="00380311"/>
    <w:rsid w:val="00381047"/>
    <w:rsid w:val="00382E42"/>
    <w:rsid w:val="00385100"/>
    <w:rsid w:val="003B167F"/>
    <w:rsid w:val="003D0116"/>
    <w:rsid w:val="003E5ED7"/>
    <w:rsid w:val="00401BB0"/>
    <w:rsid w:val="004233E5"/>
    <w:rsid w:val="00430866"/>
    <w:rsid w:val="004476E2"/>
    <w:rsid w:val="00457527"/>
    <w:rsid w:val="00461644"/>
    <w:rsid w:val="004726C2"/>
    <w:rsid w:val="004844D0"/>
    <w:rsid w:val="00484982"/>
    <w:rsid w:val="00487D16"/>
    <w:rsid w:val="004A02C6"/>
    <w:rsid w:val="004B0E09"/>
    <w:rsid w:val="004D39F8"/>
    <w:rsid w:val="004F174A"/>
    <w:rsid w:val="004F55EC"/>
    <w:rsid w:val="004F768D"/>
    <w:rsid w:val="00506258"/>
    <w:rsid w:val="0054190E"/>
    <w:rsid w:val="00546805"/>
    <w:rsid w:val="00562E62"/>
    <w:rsid w:val="00563B48"/>
    <w:rsid w:val="00564647"/>
    <w:rsid w:val="0057206B"/>
    <w:rsid w:val="00580895"/>
    <w:rsid w:val="0059119C"/>
    <w:rsid w:val="00591AE5"/>
    <w:rsid w:val="00592016"/>
    <w:rsid w:val="00592587"/>
    <w:rsid w:val="00592F99"/>
    <w:rsid w:val="00596140"/>
    <w:rsid w:val="005A59DC"/>
    <w:rsid w:val="005B012E"/>
    <w:rsid w:val="005B08ED"/>
    <w:rsid w:val="005C5142"/>
    <w:rsid w:val="005F2515"/>
    <w:rsid w:val="005F419C"/>
    <w:rsid w:val="005F6F00"/>
    <w:rsid w:val="00600585"/>
    <w:rsid w:val="006018AE"/>
    <w:rsid w:val="006144C7"/>
    <w:rsid w:val="00617C73"/>
    <w:rsid w:val="00625701"/>
    <w:rsid w:val="00630256"/>
    <w:rsid w:val="00635E95"/>
    <w:rsid w:val="00642B8A"/>
    <w:rsid w:val="00643328"/>
    <w:rsid w:val="0065437C"/>
    <w:rsid w:val="00657F02"/>
    <w:rsid w:val="00665E0C"/>
    <w:rsid w:val="00666A73"/>
    <w:rsid w:val="00674505"/>
    <w:rsid w:val="00676BD1"/>
    <w:rsid w:val="0068089A"/>
    <w:rsid w:val="00686D90"/>
    <w:rsid w:val="006877B0"/>
    <w:rsid w:val="00694DFA"/>
    <w:rsid w:val="006A2436"/>
    <w:rsid w:val="006A2E83"/>
    <w:rsid w:val="006E2472"/>
    <w:rsid w:val="006E40ED"/>
    <w:rsid w:val="006F1E4C"/>
    <w:rsid w:val="006F2B80"/>
    <w:rsid w:val="006F69CE"/>
    <w:rsid w:val="007009B8"/>
    <w:rsid w:val="007157A1"/>
    <w:rsid w:val="00722ACF"/>
    <w:rsid w:val="00760AAD"/>
    <w:rsid w:val="00765A09"/>
    <w:rsid w:val="0079505D"/>
    <w:rsid w:val="007974D2"/>
    <w:rsid w:val="007A23FB"/>
    <w:rsid w:val="007A71D4"/>
    <w:rsid w:val="007C0CF9"/>
    <w:rsid w:val="007D0195"/>
    <w:rsid w:val="007D0EFD"/>
    <w:rsid w:val="00804668"/>
    <w:rsid w:val="00812046"/>
    <w:rsid w:val="008160B7"/>
    <w:rsid w:val="00820EB0"/>
    <w:rsid w:val="008328D4"/>
    <w:rsid w:val="0083320A"/>
    <w:rsid w:val="0083708B"/>
    <w:rsid w:val="00840D96"/>
    <w:rsid w:val="00842907"/>
    <w:rsid w:val="008433FC"/>
    <w:rsid w:val="008443E9"/>
    <w:rsid w:val="008743D2"/>
    <w:rsid w:val="00875AEE"/>
    <w:rsid w:val="00882841"/>
    <w:rsid w:val="008A11F4"/>
    <w:rsid w:val="008A58EE"/>
    <w:rsid w:val="008A5B5B"/>
    <w:rsid w:val="008B02CE"/>
    <w:rsid w:val="008C03F1"/>
    <w:rsid w:val="008C6135"/>
    <w:rsid w:val="008D0968"/>
    <w:rsid w:val="008F1C10"/>
    <w:rsid w:val="0090033A"/>
    <w:rsid w:val="009025C2"/>
    <w:rsid w:val="009036BF"/>
    <w:rsid w:val="0090622B"/>
    <w:rsid w:val="009074AA"/>
    <w:rsid w:val="00910990"/>
    <w:rsid w:val="00924DCD"/>
    <w:rsid w:val="009302F4"/>
    <w:rsid w:val="00943E4B"/>
    <w:rsid w:val="0094529E"/>
    <w:rsid w:val="00947773"/>
    <w:rsid w:val="00951477"/>
    <w:rsid w:val="00951F42"/>
    <w:rsid w:val="00954895"/>
    <w:rsid w:val="00961AFC"/>
    <w:rsid w:val="009661EB"/>
    <w:rsid w:val="009671D7"/>
    <w:rsid w:val="00984A63"/>
    <w:rsid w:val="009A3DF6"/>
    <w:rsid w:val="009A4E03"/>
    <w:rsid w:val="009C00EE"/>
    <w:rsid w:val="009C2B38"/>
    <w:rsid w:val="009C3E52"/>
    <w:rsid w:val="009D2C43"/>
    <w:rsid w:val="009D3D6A"/>
    <w:rsid w:val="009E3A4B"/>
    <w:rsid w:val="009E5975"/>
    <w:rsid w:val="009F576B"/>
    <w:rsid w:val="00A009ED"/>
    <w:rsid w:val="00A05119"/>
    <w:rsid w:val="00A05610"/>
    <w:rsid w:val="00A17B9A"/>
    <w:rsid w:val="00A22B6B"/>
    <w:rsid w:val="00A248DB"/>
    <w:rsid w:val="00A4388A"/>
    <w:rsid w:val="00A65284"/>
    <w:rsid w:val="00A71525"/>
    <w:rsid w:val="00A7352E"/>
    <w:rsid w:val="00A82192"/>
    <w:rsid w:val="00A92787"/>
    <w:rsid w:val="00A94A3B"/>
    <w:rsid w:val="00A97D55"/>
    <w:rsid w:val="00AA0341"/>
    <w:rsid w:val="00AA1702"/>
    <w:rsid w:val="00AC2EC1"/>
    <w:rsid w:val="00AD61B3"/>
    <w:rsid w:val="00AD7525"/>
    <w:rsid w:val="00AE38C9"/>
    <w:rsid w:val="00AE7779"/>
    <w:rsid w:val="00B01493"/>
    <w:rsid w:val="00B06861"/>
    <w:rsid w:val="00B21183"/>
    <w:rsid w:val="00B2243F"/>
    <w:rsid w:val="00B36CB3"/>
    <w:rsid w:val="00B518FC"/>
    <w:rsid w:val="00B5206D"/>
    <w:rsid w:val="00B60E96"/>
    <w:rsid w:val="00B7080F"/>
    <w:rsid w:val="00B807DD"/>
    <w:rsid w:val="00BA0345"/>
    <w:rsid w:val="00BA1C62"/>
    <w:rsid w:val="00BB63EB"/>
    <w:rsid w:val="00BB67F2"/>
    <w:rsid w:val="00BC1630"/>
    <w:rsid w:val="00BD14B6"/>
    <w:rsid w:val="00BE6D4C"/>
    <w:rsid w:val="00BF1B56"/>
    <w:rsid w:val="00BF65E4"/>
    <w:rsid w:val="00BF7341"/>
    <w:rsid w:val="00C07263"/>
    <w:rsid w:val="00C22BD5"/>
    <w:rsid w:val="00C568F7"/>
    <w:rsid w:val="00C63A79"/>
    <w:rsid w:val="00C6577B"/>
    <w:rsid w:val="00C71393"/>
    <w:rsid w:val="00C72174"/>
    <w:rsid w:val="00C81200"/>
    <w:rsid w:val="00C86CA8"/>
    <w:rsid w:val="00C86EB7"/>
    <w:rsid w:val="00C92A37"/>
    <w:rsid w:val="00CA0162"/>
    <w:rsid w:val="00CA0AB1"/>
    <w:rsid w:val="00CA0D5B"/>
    <w:rsid w:val="00CA4D0B"/>
    <w:rsid w:val="00CB0BAC"/>
    <w:rsid w:val="00CB0F3C"/>
    <w:rsid w:val="00CC5E36"/>
    <w:rsid w:val="00CC6149"/>
    <w:rsid w:val="00CD16F8"/>
    <w:rsid w:val="00CF1B67"/>
    <w:rsid w:val="00CF6E79"/>
    <w:rsid w:val="00D02040"/>
    <w:rsid w:val="00D154DB"/>
    <w:rsid w:val="00D2161B"/>
    <w:rsid w:val="00D30A2B"/>
    <w:rsid w:val="00D31BD2"/>
    <w:rsid w:val="00D320C6"/>
    <w:rsid w:val="00D368A4"/>
    <w:rsid w:val="00D40A9E"/>
    <w:rsid w:val="00D56B6C"/>
    <w:rsid w:val="00D775A0"/>
    <w:rsid w:val="00D8308B"/>
    <w:rsid w:val="00D878DD"/>
    <w:rsid w:val="00DB3533"/>
    <w:rsid w:val="00DB4BD8"/>
    <w:rsid w:val="00DB54FF"/>
    <w:rsid w:val="00DD6374"/>
    <w:rsid w:val="00DE7F1D"/>
    <w:rsid w:val="00E03361"/>
    <w:rsid w:val="00E04202"/>
    <w:rsid w:val="00E22EF7"/>
    <w:rsid w:val="00E23409"/>
    <w:rsid w:val="00E33ED0"/>
    <w:rsid w:val="00E4132C"/>
    <w:rsid w:val="00E556E3"/>
    <w:rsid w:val="00E6613F"/>
    <w:rsid w:val="00E6759E"/>
    <w:rsid w:val="00E70093"/>
    <w:rsid w:val="00E71CF5"/>
    <w:rsid w:val="00E87871"/>
    <w:rsid w:val="00EA002B"/>
    <w:rsid w:val="00EA4918"/>
    <w:rsid w:val="00EA50E9"/>
    <w:rsid w:val="00EA5ED8"/>
    <w:rsid w:val="00EA6F6D"/>
    <w:rsid w:val="00EB5F89"/>
    <w:rsid w:val="00EE2783"/>
    <w:rsid w:val="00EE2B0A"/>
    <w:rsid w:val="00EE3DA0"/>
    <w:rsid w:val="00EF28B4"/>
    <w:rsid w:val="00F0406A"/>
    <w:rsid w:val="00F04237"/>
    <w:rsid w:val="00F35643"/>
    <w:rsid w:val="00F54847"/>
    <w:rsid w:val="00F66F8A"/>
    <w:rsid w:val="00F934AA"/>
    <w:rsid w:val="00F94C60"/>
    <w:rsid w:val="00FC78CA"/>
    <w:rsid w:val="00FC7A6A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256"/>
    <w:rPr>
      <w:rFonts w:ascii="Palatino" w:hAnsi="Palatino"/>
      <w:sz w:val="24"/>
    </w:rPr>
  </w:style>
  <w:style w:type="paragraph" w:styleId="Heading1">
    <w:name w:val="heading 1"/>
    <w:basedOn w:val="Normal"/>
    <w:next w:val="Normal"/>
    <w:autoRedefine/>
    <w:qFormat/>
    <w:rsid w:val="00630256"/>
    <w:pPr>
      <w:keepNext/>
      <w:spacing w:before="240" w:after="240"/>
      <w:jc w:val="both"/>
      <w:outlineLvl w:val="0"/>
    </w:pPr>
    <w:rPr>
      <w:rFonts w:ascii="Times New Roman" w:hAnsi="Times New Roman"/>
      <w:b/>
      <w:sz w:val="26"/>
      <w:szCs w:val="26"/>
    </w:rPr>
  </w:style>
  <w:style w:type="paragraph" w:styleId="Heading2">
    <w:name w:val="heading 2"/>
    <w:basedOn w:val="Normal"/>
    <w:next w:val="Normal"/>
    <w:autoRedefine/>
    <w:qFormat/>
    <w:rsid w:val="007C0CF9"/>
    <w:pPr>
      <w:keepNext/>
      <w:spacing w:before="360" w:after="240"/>
      <w:ind w:left="1440" w:right="720" w:hanging="720"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autoRedefine/>
    <w:qFormat/>
    <w:rsid w:val="007C0CF9"/>
    <w:pPr>
      <w:keepNext/>
      <w:spacing w:before="240" w:after="240"/>
      <w:ind w:left="2160" w:right="1440" w:hanging="720"/>
      <w:jc w:val="both"/>
      <w:outlineLvl w:val="2"/>
    </w:pPr>
    <w:rPr>
      <w:rFonts w:ascii="Times New Roman" w:hAnsi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76E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4476E2"/>
    <w:pPr>
      <w:tabs>
        <w:tab w:val="center" w:pos="4320"/>
        <w:tab w:val="right" w:pos="8640"/>
      </w:tabs>
    </w:pPr>
  </w:style>
  <w:style w:type="paragraph" w:customStyle="1" w:styleId="noindent">
    <w:name w:val="no indent"/>
    <w:basedOn w:val="Normal"/>
    <w:rsid w:val="004476E2"/>
    <w:pPr>
      <w:jc w:val="both"/>
    </w:pPr>
  </w:style>
  <w:style w:type="paragraph" w:customStyle="1" w:styleId="text">
    <w:name w:val="text"/>
    <w:basedOn w:val="Normal"/>
    <w:autoRedefine/>
    <w:rsid w:val="007C0CF9"/>
    <w:pPr>
      <w:spacing w:line="480" w:lineRule="auto"/>
      <w:jc w:val="both"/>
    </w:pPr>
    <w:rPr>
      <w:rFonts w:ascii="Times New Roman" w:hAnsi="Times New Roman"/>
      <w:sz w:val="26"/>
    </w:rPr>
  </w:style>
  <w:style w:type="character" w:styleId="PageNumber">
    <w:name w:val="page number"/>
    <w:basedOn w:val="DefaultParagraphFont"/>
    <w:rsid w:val="004476E2"/>
  </w:style>
  <w:style w:type="paragraph" w:styleId="TOC1">
    <w:name w:val="toc 1"/>
    <w:basedOn w:val="Normal"/>
    <w:next w:val="Normal"/>
    <w:autoRedefine/>
    <w:uiPriority w:val="39"/>
    <w:rsid w:val="00C07263"/>
    <w:pPr>
      <w:tabs>
        <w:tab w:val="left" w:pos="720"/>
        <w:tab w:val="right" w:leader="dot" w:pos="9350"/>
      </w:tabs>
      <w:spacing w:before="240" w:after="240"/>
      <w:ind w:left="720" w:hanging="720"/>
      <w:jc w:val="both"/>
    </w:pPr>
    <w:rPr>
      <w:rFonts w:ascii="Times New Roman" w:hAnsi="Times New Roman"/>
      <w:noProof/>
      <w:sz w:val="26"/>
    </w:rPr>
  </w:style>
  <w:style w:type="paragraph" w:styleId="BodyTextIndent3">
    <w:name w:val="Body Text Indent 3"/>
    <w:basedOn w:val="Normal"/>
    <w:rsid w:val="004476E2"/>
    <w:pPr>
      <w:spacing w:line="480" w:lineRule="auto"/>
      <w:ind w:left="720" w:firstLine="720"/>
      <w:jc w:val="both"/>
    </w:pPr>
  </w:style>
  <w:style w:type="character" w:customStyle="1" w:styleId="p">
    <w:name w:val="p"/>
    <w:rsid w:val="00B01493"/>
  </w:style>
  <w:style w:type="paragraph" w:styleId="ListParagraph">
    <w:name w:val="List Paragraph"/>
    <w:basedOn w:val="Normal"/>
    <w:uiPriority w:val="34"/>
    <w:qFormat/>
    <w:rsid w:val="004D39F8"/>
    <w:pPr>
      <w:ind w:left="720"/>
    </w:pPr>
  </w:style>
  <w:style w:type="paragraph" w:styleId="FootnoteText">
    <w:name w:val="footnote text"/>
    <w:basedOn w:val="Normal"/>
    <w:link w:val="FootnoteTextChar"/>
    <w:autoRedefine/>
    <w:rsid w:val="00563B48"/>
    <w:pPr>
      <w:spacing w:before="240" w:after="240"/>
      <w:ind w:left="720" w:hanging="720"/>
    </w:pPr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rsid w:val="00563B48"/>
  </w:style>
  <w:style w:type="character" w:styleId="FootnoteReference">
    <w:name w:val="footnote reference"/>
    <w:rsid w:val="00635E95"/>
    <w:rPr>
      <w:vertAlign w:val="superscript"/>
    </w:rPr>
  </w:style>
  <w:style w:type="character" w:customStyle="1" w:styleId="fr">
    <w:name w:val="fr"/>
    <w:rsid w:val="00C86EB7"/>
  </w:style>
  <w:style w:type="character" w:styleId="Hyperlink">
    <w:name w:val="Hyperlink"/>
    <w:uiPriority w:val="99"/>
    <w:rsid w:val="000637B9"/>
    <w:rPr>
      <w:color w:val="0000FF"/>
      <w:u w:val="single"/>
    </w:rPr>
  </w:style>
  <w:style w:type="character" w:styleId="CommentReference">
    <w:name w:val="annotation reference"/>
    <w:rsid w:val="00C721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2174"/>
    <w:rPr>
      <w:sz w:val="20"/>
    </w:rPr>
  </w:style>
  <w:style w:type="character" w:customStyle="1" w:styleId="CommentTextChar">
    <w:name w:val="Comment Text Char"/>
    <w:link w:val="CommentText"/>
    <w:rsid w:val="00C72174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C72174"/>
    <w:rPr>
      <w:b/>
      <w:bCs/>
    </w:rPr>
  </w:style>
  <w:style w:type="character" w:customStyle="1" w:styleId="CommentSubjectChar">
    <w:name w:val="Comment Subject Char"/>
    <w:link w:val="CommentSubject"/>
    <w:rsid w:val="00C72174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C72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217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9F5"/>
    <w:pPr>
      <w:keepLines/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C07263"/>
    <w:pPr>
      <w:tabs>
        <w:tab w:val="right" w:leader="dot" w:pos="9350"/>
      </w:tabs>
      <w:spacing w:before="240" w:after="240"/>
      <w:ind w:left="1440" w:right="1440" w:hanging="720"/>
    </w:pPr>
    <w:rPr>
      <w:rFonts w:ascii="Times New Roman" w:hAnsi="Times New Roman"/>
      <w:sz w:val="26"/>
    </w:rPr>
  </w:style>
  <w:style w:type="character" w:customStyle="1" w:styleId="HeaderChar">
    <w:name w:val="Header Char"/>
    <w:link w:val="Header"/>
    <w:uiPriority w:val="99"/>
    <w:rsid w:val="000249F5"/>
    <w:rPr>
      <w:rFonts w:ascii="Palatino" w:hAnsi="Palatino"/>
      <w:sz w:val="24"/>
    </w:rPr>
  </w:style>
  <w:style w:type="character" w:customStyle="1" w:styleId="FooterChar">
    <w:name w:val="Footer Char"/>
    <w:link w:val="Footer"/>
    <w:uiPriority w:val="99"/>
    <w:rsid w:val="00E71CF5"/>
    <w:rPr>
      <w:rFonts w:ascii="Palatino" w:hAnsi="Palatino"/>
      <w:sz w:val="24"/>
    </w:rPr>
  </w:style>
  <w:style w:type="paragraph" w:styleId="TOC3">
    <w:name w:val="toc 3"/>
    <w:basedOn w:val="Normal"/>
    <w:next w:val="Normal"/>
    <w:autoRedefine/>
    <w:uiPriority w:val="39"/>
    <w:rsid w:val="00C07263"/>
    <w:pPr>
      <w:tabs>
        <w:tab w:val="right" w:leader="dot" w:pos="9350"/>
      </w:tabs>
      <w:spacing w:before="240" w:after="240"/>
      <w:ind w:left="2160" w:right="1440" w:hanging="720"/>
    </w:pPr>
    <w:rPr>
      <w:rFonts w:ascii="Times New Roman" w:hAnsi="Times New Roman"/>
      <w:sz w:val="26"/>
    </w:rPr>
  </w:style>
  <w:style w:type="character" w:customStyle="1" w:styleId="e-03">
    <w:name w:val="e-03"/>
    <w:rsid w:val="00D878DD"/>
  </w:style>
  <w:style w:type="paragraph" w:styleId="NormalWeb">
    <w:name w:val="Normal (Web)"/>
    <w:basedOn w:val="Normal"/>
    <w:rsid w:val="00B60E96"/>
    <w:rPr>
      <w:rFonts w:ascii="Times New Roman" w:hAnsi="Times New Roman"/>
      <w:szCs w:val="24"/>
    </w:rPr>
  </w:style>
  <w:style w:type="paragraph" w:customStyle="1" w:styleId="StyleHeading2TimesNewRoman13pt">
    <w:name w:val="Style Heading 2 + Times New Roman 13 pt"/>
    <w:basedOn w:val="Heading2"/>
    <w:autoRedefine/>
    <w:rsid w:val="00630256"/>
    <w:rPr>
      <w:bCs/>
      <w:sz w:val="26"/>
    </w:rPr>
  </w:style>
  <w:style w:type="paragraph" w:customStyle="1" w:styleId="Blockquote">
    <w:name w:val="Block quote"/>
    <w:basedOn w:val="Normal"/>
    <w:autoRedefine/>
    <w:rsid w:val="007C0CF9"/>
    <w:pPr>
      <w:spacing w:after="240"/>
      <w:ind w:left="1440" w:right="1440"/>
      <w:jc w:val="both"/>
    </w:pPr>
    <w:rPr>
      <w:rFonts w:ascii="Times New Roman" w:hAnsi="Times New Roman"/>
      <w:sz w:val="26"/>
      <w:szCs w:val="26"/>
    </w:rPr>
  </w:style>
  <w:style w:type="character" w:styleId="FollowedHyperlink">
    <w:name w:val="FollowedHyperlink"/>
    <w:basedOn w:val="DefaultParagraphFont"/>
    <w:rsid w:val="00E556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256"/>
    <w:rPr>
      <w:rFonts w:ascii="Palatino" w:hAnsi="Palatino"/>
      <w:sz w:val="24"/>
    </w:rPr>
  </w:style>
  <w:style w:type="paragraph" w:styleId="Heading1">
    <w:name w:val="heading 1"/>
    <w:basedOn w:val="Normal"/>
    <w:next w:val="Normal"/>
    <w:autoRedefine/>
    <w:qFormat/>
    <w:rsid w:val="00630256"/>
    <w:pPr>
      <w:keepNext/>
      <w:spacing w:before="240" w:after="240"/>
      <w:jc w:val="both"/>
      <w:outlineLvl w:val="0"/>
    </w:pPr>
    <w:rPr>
      <w:rFonts w:ascii="Times New Roman" w:hAnsi="Times New Roman"/>
      <w:b/>
      <w:sz w:val="26"/>
      <w:szCs w:val="26"/>
    </w:rPr>
  </w:style>
  <w:style w:type="paragraph" w:styleId="Heading2">
    <w:name w:val="heading 2"/>
    <w:basedOn w:val="Normal"/>
    <w:next w:val="Normal"/>
    <w:autoRedefine/>
    <w:qFormat/>
    <w:rsid w:val="007C0CF9"/>
    <w:pPr>
      <w:keepNext/>
      <w:spacing w:before="360" w:after="240"/>
      <w:ind w:left="1440" w:right="720" w:hanging="720"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autoRedefine/>
    <w:qFormat/>
    <w:rsid w:val="007C0CF9"/>
    <w:pPr>
      <w:keepNext/>
      <w:spacing w:before="240" w:after="240"/>
      <w:ind w:left="2160" w:right="1440" w:hanging="720"/>
      <w:jc w:val="both"/>
      <w:outlineLvl w:val="2"/>
    </w:pPr>
    <w:rPr>
      <w:rFonts w:ascii="Times New Roman" w:hAnsi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76E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4476E2"/>
    <w:pPr>
      <w:tabs>
        <w:tab w:val="center" w:pos="4320"/>
        <w:tab w:val="right" w:pos="8640"/>
      </w:tabs>
    </w:pPr>
  </w:style>
  <w:style w:type="paragraph" w:customStyle="1" w:styleId="noindent">
    <w:name w:val="no indent"/>
    <w:basedOn w:val="Normal"/>
    <w:rsid w:val="004476E2"/>
    <w:pPr>
      <w:jc w:val="both"/>
    </w:pPr>
  </w:style>
  <w:style w:type="paragraph" w:customStyle="1" w:styleId="text">
    <w:name w:val="text"/>
    <w:basedOn w:val="Normal"/>
    <w:autoRedefine/>
    <w:rsid w:val="007C0CF9"/>
    <w:pPr>
      <w:spacing w:line="480" w:lineRule="auto"/>
      <w:jc w:val="both"/>
    </w:pPr>
    <w:rPr>
      <w:rFonts w:ascii="Times New Roman" w:hAnsi="Times New Roman"/>
      <w:sz w:val="26"/>
    </w:rPr>
  </w:style>
  <w:style w:type="character" w:styleId="PageNumber">
    <w:name w:val="page number"/>
    <w:basedOn w:val="DefaultParagraphFont"/>
    <w:rsid w:val="004476E2"/>
  </w:style>
  <w:style w:type="paragraph" w:styleId="TOC1">
    <w:name w:val="toc 1"/>
    <w:basedOn w:val="Normal"/>
    <w:next w:val="Normal"/>
    <w:autoRedefine/>
    <w:uiPriority w:val="39"/>
    <w:rsid w:val="00C07263"/>
    <w:pPr>
      <w:tabs>
        <w:tab w:val="left" w:pos="720"/>
        <w:tab w:val="right" w:leader="dot" w:pos="9350"/>
      </w:tabs>
      <w:spacing w:before="240" w:after="240"/>
      <w:ind w:left="720" w:hanging="720"/>
      <w:jc w:val="both"/>
    </w:pPr>
    <w:rPr>
      <w:rFonts w:ascii="Times New Roman" w:hAnsi="Times New Roman"/>
      <w:noProof/>
      <w:sz w:val="26"/>
    </w:rPr>
  </w:style>
  <w:style w:type="paragraph" w:styleId="BodyTextIndent3">
    <w:name w:val="Body Text Indent 3"/>
    <w:basedOn w:val="Normal"/>
    <w:rsid w:val="004476E2"/>
    <w:pPr>
      <w:spacing w:line="480" w:lineRule="auto"/>
      <w:ind w:left="720" w:firstLine="720"/>
      <w:jc w:val="both"/>
    </w:pPr>
  </w:style>
  <w:style w:type="character" w:customStyle="1" w:styleId="p">
    <w:name w:val="p"/>
    <w:rsid w:val="00B01493"/>
  </w:style>
  <w:style w:type="paragraph" w:styleId="ListParagraph">
    <w:name w:val="List Paragraph"/>
    <w:basedOn w:val="Normal"/>
    <w:uiPriority w:val="34"/>
    <w:qFormat/>
    <w:rsid w:val="004D39F8"/>
    <w:pPr>
      <w:ind w:left="720"/>
    </w:pPr>
  </w:style>
  <w:style w:type="paragraph" w:styleId="FootnoteText">
    <w:name w:val="footnote text"/>
    <w:basedOn w:val="Normal"/>
    <w:link w:val="FootnoteTextChar"/>
    <w:autoRedefine/>
    <w:rsid w:val="00563B48"/>
    <w:pPr>
      <w:spacing w:before="240" w:after="240"/>
      <w:ind w:left="720" w:hanging="720"/>
    </w:pPr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rsid w:val="00563B48"/>
  </w:style>
  <w:style w:type="character" w:styleId="FootnoteReference">
    <w:name w:val="footnote reference"/>
    <w:rsid w:val="00635E95"/>
    <w:rPr>
      <w:vertAlign w:val="superscript"/>
    </w:rPr>
  </w:style>
  <w:style w:type="character" w:customStyle="1" w:styleId="fr">
    <w:name w:val="fr"/>
    <w:rsid w:val="00C86EB7"/>
  </w:style>
  <w:style w:type="character" w:styleId="Hyperlink">
    <w:name w:val="Hyperlink"/>
    <w:uiPriority w:val="99"/>
    <w:rsid w:val="000637B9"/>
    <w:rPr>
      <w:color w:val="0000FF"/>
      <w:u w:val="single"/>
    </w:rPr>
  </w:style>
  <w:style w:type="character" w:styleId="CommentReference">
    <w:name w:val="annotation reference"/>
    <w:rsid w:val="00C721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2174"/>
    <w:rPr>
      <w:sz w:val="20"/>
    </w:rPr>
  </w:style>
  <w:style w:type="character" w:customStyle="1" w:styleId="CommentTextChar">
    <w:name w:val="Comment Text Char"/>
    <w:link w:val="CommentText"/>
    <w:rsid w:val="00C72174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C72174"/>
    <w:rPr>
      <w:b/>
      <w:bCs/>
    </w:rPr>
  </w:style>
  <w:style w:type="character" w:customStyle="1" w:styleId="CommentSubjectChar">
    <w:name w:val="Comment Subject Char"/>
    <w:link w:val="CommentSubject"/>
    <w:rsid w:val="00C72174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C72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217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9F5"/>
    <w:pPr>
      <w:keepLines/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C07263"/>
    <w:pPr>
      <w:tabs>
        <w:tab w:val="right" w:leader="dot" w:pos="9350"/>
      </w:tabs>
      <w:spacing w:before="240" w:after="240"/>
      <w:ind w:left="1440" w:right="1440" w:hanging="720"/>
    </w:pPr>
    <w:rPr>
      <w:rFonts w:ascii="Times New Roman" w:hAnsi="Times New Roman"/>
      <w:sz w:val="26"/>
    </w:rPr>
  </w:style>
  <w:style w:type="character" w:customStyle="1" w:styleId="HeaderChar">
    <w:name w:val="Header Char"/>
    <w:link w:val="Header"/>
    <w:uiPriority w:val="99"/>
    <w:rsid w:val="000249F5"/>
    <w:rPr>
      <w:rFonts w:ascii="Palatino" w:hAnsi="Palatino"/>
      <w:sz w:val="24"/>
    </w:rPr>
  </w:style>
  <w:style w:type="character" w:customStyle="1" w:styleId="FooterChar">
    <w:name w:val="Footer Char"/>
    <w:link w:val="Footer"/>
    <w:uiPriority w:val="99"/>
    <w:rsid w:val="00E71CF5"/>
    <w:rPr>
      <w:rFonts w:ascii="Palatino" w:hAnsi="Palatino"/>
      <w:sz w:val="24"/>
    </w:rPr>
  </w:style>
  <w:style w:type="paragraph" w:styleId="TOC3">
    <w:name w:val="toc 3"/>
    <w:basedOn w:val="Normal"/>
    <w:next w:val="Normal"/>
    <w:autoRedefine/>
    <w:uiPriority w:val="39"/>
    <w:rsid w:val="00C07263"/>
    <w:pPr>
      <w:tabs>
        <w:tab w:val="right" w:leader="dot" w:pos="9350"/>
      </w:tabs>
      <w:spacing w:before="240" w:after="240"/>
      <w:ind w:left="2160" w:right="1440" w:hanging="720"/>
    </w:pPr>
    <w:rPr>
      <w:rFonts w:ascii="Times New Roman" w:hAnsi="Times New Roman"/>
      <w:sz w:val="26"/>
    </w:rPr>
  </w:style>
  <w:style w:type="character" w:customStyle="1" w:styleId="e-03">
    <w:name w:val="e-03"/>
    <w:rsid w:val="00D878DD"/>
  </w:style>
  <w:style w:type="paragraph" w:styleId="NormalWeb">
    <w:name w:val="Normal (Web)"/>
    <w:basedOn w:val="Normal"/>
    <w:rsid w:val="00B60E96"/>
    <w:rPr>
      <w:rFonts w:ascii="Times New Roman" w:hAnsi="Times New Roman"/>
      <w:szCs w:val="24"/>
    </w:rPr>
  </w:style>
  <w:style w:type="paragraph" w:customStyle="1" w:styleId="StyleHeading2TimesNewRoman13pt">
    <w:name w:val="Style Heading 2 + Times New Roman 13 pt"/>
    <w:basedOn w:val="Heading2"/>
    <w:autoRedefine/>
    <w:rsid w:val="00630256"/>
    <w:rPr>
      <w:bCs/>
      <w:sz w:val="26"/>
    </w:rPr>
  </w:style>
  <w:style w:type="paragraph" w:customStyle="1" w:styleId="Blockquote">
    <w:name w:val="Block quote"/>
    <w:basedOn w:val="Normal"/>
    <w:autoRedefine/>
    <w:rsid w:val="007C0CF9"/>
    <w:pPr>
      <w:spacing w:after="240"/>
      <w:ind w:left="1440" w:right="1440"/>
      <w:jc w:val="both"/>
    </w:pPr>
    <w:rPr>
      <w:rFonts w:ascii="Times New Roman" w:hAnsi="Times New Roman"/>
      <w:sz w:val="26"/>
      <w:szCs w:val="26"/>
    </w:rPr>
  </w:style>
  <w:style w:type="character" w:styleId="FollowedHyperlink">
    <w:name w:val="FollowedHyperlink"/>
    <w:basedOn w:val="DefaultParagraphFont"/>
    <w:rsid w:val="00E556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1062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steven.beeler@puc.state.oh.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fmcsa.dot.gov/rules-regulations/administration/fmcsr/fmcsrredirectpage.aspx?contentid=2242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mcsa.dot.gov/rules-regulations/administration/fmcsr/fmcsrredirectpage.aspx?contentid=239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is.com/research/buttonTFLink?_m=ad53f8bb95eff6060817034d868cbcea&amp;_xfercite=%3ccite%20cc%3d%22USA%22%3e%3c%21%5bCDATA%5b2001%20Ohio%20App.%20LEXIS%201928%5d%5d%3e%3c%2fcite%3e&amp;_butType=3&amp;_butStat=2&amp;_butNum=19&amp;_butInline=1&amp;_butinfo=%3ccite%20cc%3d%22USA%22%3e%3c%21%5bCDATA%5b57%20Ohio%20St.%203d%2056%2c%2058%5d%5d%3e%3c%2fcite%3e&amp;_fmtstr=FULL&amp;docnum=6&amp;_startdoc=1&amp;wchp=dGLbVzB-zSkAl&amp;_md5=0527d8e8ebd12b7062527ba53a0b9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E682-F468-4D3A-9D1F-B95551AC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21495</CharactersWithSpaces>
  <SharedDoc>false</SharedDoc>
  <HLinks>
    <vt:vector size="96" baseType="variant">
      <vt:variant>
        <vt:i4>1179756</vt:i4>
      </vt:variant>
      <vt:variant>
        <vt:i4>81</vt:i4>
      </vt:variant>
      <vt:variant>
        <vt:i4>0</vt:i4>
      </vt:variant>
      <vt:variant>
        <vt:i4>5</vt:i4>
      </vt:variant>
      <vt:variant>
        <vt:lpwstr>mailto:steven.beeler@puc.state.oh.us</vt:lpwstr>
      </vt:variant>
      <vt:variant>
        <vt:lpwstr/>
      </vt:variant>
      <vt:variant>
        <vt:i4>7208985</vt:i4>
      </vt:variant>
      <vt:variant>
        <vt:i4>78</vt:i4>
      </vt:variant>
      <vt:variant>
        <vt:i4>0</vt:i4>
      </vt:variant>
      <vt:variant>
        <vt:i4>5</vt:i4>
      </vt:variant>
      <vt:variant>
        <vt:lpwstr>https://www.lexis.com/research/buttonTFLink?_m=ad53f8bb95eff6060817034d868cbcea&amp;_xfercite=%3ccite%20cc%3d%22USA%22%3e%3c%21%5bCDATA%5b2001%20Ohio%20App.%20LEXIS%201928%5d%5d%3e%3c%2fcite%3e&amp;_butType=3&amp;_butStat=2&amp;_butNum=19&amp;_butInline=1&amp;_butinfo=%3ccite%20cc%3d%22USA%22%3e%3c%21%5bCDATA%5b57%20Ohio%20St.%203d%2056%2c%2058%5d%5d%3e%3c%2fcite%3e&amp;_fmtstr=FULL&amp;docnum=6&amp;_startdoc=1&amp;wchp=dGLbVzB-zSkAl&amp;_md5=0527d8e8ebd12b7062527ba53a0b9501</vt:lpwstr>
      </vt:variant>
      <vt:variant>
        <vt:lpwstr/>
      </vt:variant>
      <vt:variant>
        <vt:i4>65623</vt:i4>
      </vt:variant>
      <vt:variant>
        <vt:i4>75</vt:i4>
      </vt:variant>
      <vt:variant>
        <vt:i4>0</vt:i4>
      </vt:variant>
      <vt:variant>
        <vt:i4>5</vt:i4>
      </vt:variant>
      <vt:variant>
        <vt:lpwstr>http://www.fmcsa.dot.gov/rules-regulations/administration/fmcsr/fmcsrredirectpage.aspx?contentid=2242</vt:lpwstr>
      </vt:variant>
      <vt:variant>
        <vt:lpwstr/>
      </vt:variant>
      <vt:variant>
        <vt:i4>786518</vt:i4>
      </vt:variant>
      <vt:variant>
        <vt:i4>72</vt:i4>
      </vt:variant>
      <vt:variant>
        <vt:i4>0</vt:i4>
      </vt:variant>
      <vt:variant>
        <vt:i4>5</vt:i4>
      </vt:variant>
      <vt:variant>
        <vt:lpwstr>http://www.fmcsa.dot.gov/rules-regulations/administration/fmcsr/fmcsrredirectpage.aspx?contentid=2395</vt:lpwstr>
      </vt:variant>
      <vt:variant>
        <vt:lpwstr/>
      </vt:variant>
      <vt:variant>
        <vt:i4>1048628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_Toc367165659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_Toc367165658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_Toc367165658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_Toc367165657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_Toc367165656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_Toc367165655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_Toc367165654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_Toc367165653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_Toc367165652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_Toc367165651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_Toc367165650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_Toc367165649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beeler</dc:creator>
  <cp:lastModifiedBy>Keeton, Kim</cp:lastModifiedBy>
  <cp:revision>5</cp:revision>
  <cp:lastPrinted>2013-10-15T12:53:00Z</cp:lastPrinted>
  <dcterms:created xsi:type="dcterms:W3CDTF">2013-10-15T12:51:00Z</dcterms:created>
  <dcterms:modified xsi:type="dcterms:W3CDTF">2013-10-15T12:53:00Z</dcterms:modified>
</cp:coreProperties>
</file>