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bookmarkStart w:id="0" w:name="_GoBack"/>
      <w:bookmarkEnd w:id="0"/>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663D6A" w:rsidTr="00221496">
        <w:tc>
          <w:tcPr>
            <w:tcW w:w="4698" w:type="dxa"/>
          </w:tcPr>
          <w:p w:rsidR="001A5C2F" w:rsidRPr="00221496" w:rsidRDefault="00663D6A" w:rsidP="008706FF">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8706FF">
              <w:rPr>
                <w:rFonts w:ascii="Times New Roman" w:hAnsi="Times New Roman"/>
                <w:sz w:val="26"/>
                <w:szCs w:val="26"/>
              </w:rPr>
              <w:t xml:space="preserve"> the Joint Motion to Modify the December 2, 2009 Opinion and Order and the September 7, 2011 Second Opinion and Order in Case No. 08-1344-GA-EXM.</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8706FF" w:rsidRDefault="008706FF"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8706FF" w:rsidRPr="00221496" w:rsidRDefault="008706FF"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8706FF" w:rsidRDefault="008706FF" w:rsidP="00977F01">
            <w:pPr>
              <w:pStyle w:val="Title"/>
              <w:tabs>
                <w:tab w:val="left" w:pos="1142"/>
                <w:tab w:val="left" w:pos="5130"/>
                <w:tab w:val="left" w:pos="5670"/>
              </w:tabs>
              <w:jc w:val="left"/>
              <w:rPr>
                <w:rFonts w:ascii="Times New Roman" w:hAnsi="Times New Roman"/>
                <w:sz w:val="26"/>
                <w:szCs w:val="26"/>
              </w:rPr>
            </w:pPr>
          </w:p>
          <w:p w:rsidR="008706FF" w:rsidRDefault="008706FF" w:rsidP="00977F01">
            <w:pPr>
              <w:pStyle w:val="Title"/>
              <w:tabs>
                <w:tab w:val="left" w:pos="1142"/>
                <w:tab w:val="left" w:pos="5130"/>
                <w:tab w:val="left" w:pos="5670"/>
              </w:tabs>
              <w:jc w:val="left"/>
              <w:rPr>
                <w:rFonts w:ascii="Times New Roman" w:hAnsi="Times New Roman"/>
                <w:sz w:val="26"/>
                <w:szCs w:val="26"/>
              </w:rPr>
            </w:pPr>
          </w:p>
          <w:p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8706FF">
              <w:rPr>
                <w:rFonts w:ascii="Times New Roman" w:hAnsi="Times New Roman"/>
                <w:sz w:val="26"/>
                <w:szCs w:val="26"/>
              </w:rPr>
              <w:t>12-2637-GA-EXM</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E10679" w:rsidP="00E10679">
      <w:pPr>
        <w:pStyle w:val="Title"/>
        <w:tabs>
          <w:tab w:val="left" w:pos="9360"/>
        </w:tabs>
        <w:rPr>
          <w:rFonts w:ascii="Times New Roman" w:hAnsi="Times New Roman"/>
          <w:b/>
          <w:sz w:val="32"/>
          <w:szCs w:val="32"/>
        </w:rPr>
      </w:pPr>
      <w:r>
        <w:rPr>
          <w:rFonts w:ascii="Times New Roman" w:hAnsi="Times New Roman"/>
          <w:b/>
          <w:sz w:val="32"/>
          <w:szCs w:val="32"/>
        </w:rPr>
        <w:t>POST-HEARING BRIEF</w:t>
      </w:r>
    </w:p>
    <w:p w:rsidR="00663D6A" w:rsidRPr="008706FF" w:rsidRDefault="00663D6A" w:rsidP="008706FF">
      <w:pPr>
        <w:jc w:val="center"/>
        <w:rPr>
          <w:b/>
          <w:sz w:val="28"/>
          <w:szCs w:val="28"/>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sidRPr="008706FF">
        <w:rPr>
          <w:b/>
          <w:sz w:val="28"/>
          <w:szCs w:val="28"/>
        </w:rPr>
        <w:t>SUBMITTED ON BEHALF OF THE STAFF OF</w:t>
      </w:r>
      <w:bookmarkEnd w:id="1"/>
      <w:bookmarkEnd w:id="2"/>
      <w:bookmarkEnd w:id="3"/>
      <w:bookmarkEnd w:id="4"/>
      <w:bookmarkEnd w:id="5"/>
      <w:bookmarkEnd w:id="6"/>
      <w:bookmarkEnd w:id="7"/>
    </w:p>
    <w:p w:rsidR="00663D6A" w:rsidRPr="008706FF" w:rsidRDefault="00663D6A" w:rsidP="008706FF">
      <w:pPr>
        <w:jc w:val="center"/>
        <w:rPr>
          <w:b/>
          <w:sz w:val="28"/>
          <w:szCs w:val="28"/>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8706FF">
        <w:rPr>
          <w:b/>
          <w:sz w:val="28"/>
          <w:szCs w:val="28"/>
        </w:rPr>
        <w:t>THE PUBLIC UTILITIES COMMISSION OF OHIO</w:t>
      </w:r>
      <w:bookmarkEnd w:id="8"/>
      <w:bookmarkEnd w:id="9"/>
      <w:bookmarkEnd w:id="10"/>
      <w:bookmarkEnd w:id="11"/>
      <w:bookmarkEnd w:id="12"/>
      <w:bookmarkEnd w:id="13"/>
      <w:bookmarkEnd w:id="14"/>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8706FF">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E10679" w:rsidRDefault="00E10679" w:rsidP="008706FF">
      <w:pPr>
        <w:pStyle w:val="Title"/>
        <w:tabs>
          <w:tab w:val="left" w:pos="4320"/>
        </w:tabs>
        <w:jc w:val="left"/>
        <w:rPr>
          <w:rFonts w:ascii="Times New Roman" w:hAnsi="Times New Roman"/>
          <w:b/>
          <w:sz w:val="26"/>
          <w:szCs w:val="26"/>
        </w:rPr>
      </w:pPr>
      <w:r>
        <w:rPr>
          <w:rFonts w:ascii="Times New Roman" w:hAnsi="Times New Roman"/>
          <w:sz w:val="26"/>
          <w:szCs w:val="26"/>
        </w:rPr>
        <w:tab/>
      </w:r>
      <w:r w:rsidR="008706FF">
        <w:rPr>
          <w:rFonts w:ascii="Times New Roman" w:hAnsi="Times New Roman"/>
          <w:b/>
          <w:sz w:val="26"/>
          <w:szCs w:val="26"/>
        </w:rPr>
        <w:t>Stephen A. Reilly</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sidR="008706FF">
        <w:rPr>
          <w:rFonts w:ascii="Times New Roman" w:hAnsi="Times New Roman"/>
          <w:sz w:val="26"/>
          <w:szCs w:val="26"/>
        </w:rPr>
        <w:t xml:space="preserve"> 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hyperlink r:id="rId9" w:history="1">
        <w:r w:rsidR="008706FF" w:rsidRPr="008D3D1D">
          <w:rPr>
            <w:rStyle w:val="Hyperlink"/>
            <w:rFonts w:ascii="Times New Roman" w:hAnsi="Times New Roman"/>
            <w:sz w:val="26"/>
            <w:szCs w:val="26"/>
          </w:rPr>
          <w:t>stephen.reilly@puc.state.oh.us</w:t>
        </w:r>
      </w:hyperlink>
    </w:p>
    <w:p w:rsidR="00E10679" w:rsidRPr="00E10679" w:rsidRDefault="00E10679" w:rsidP="00E10679">
      <w:pPr>
        <w:pStyle w:val="Title"/>
        <w:tabs>
          <w:tab w:val="left" w:pos="432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3B12DD" w:rsidRDefault="003B12DD" w:rsidP="00663D6A">
      <w:pPr>
        <w:jc w:val="center"/>
        <w:rPr>
          <w:b/>
          <w:sz w:val="26"/>
          <w:szCs w:val="26"/>
        </w:rPr>
        <w:sectPr w:rsidR="003B12DD" w:rsidSect="003B12DD">
          <w:headerReference w:type="default" r:id="rId10"/>
          <w:footerReference w:type="default" r:id="rId11"/>
          <w:footerReference w:type="first" r:id="rId12"/>
          <w:pgSz w:w="12240" w:h="15840" w:code="1"/>
          <w:pgMar w:top="1440" w:right="1440" w:bottom="1440" w:left="1440" w:header="720" w:footer="720" w:gutter="0"/>
          <w:pgNumType w:fmt="lowerRoman" w:start="1"/>
          <w:cols w:space="720"/>
          <w:titlePg/>
          <w:docGrid w:linePitch="360"/>
        </w:sectPr>
      </w:pPr>
    </w:p>
    <w:p w:rsidR="008706FF" w:rsidRPr="002D54AC" w:rsidRDefault="008706FF" w:rsidP="008706FF">
      <w:pPr>
        <w:jc w:val="center"/>
        <w:rPr>
          <w:b/>
          <w:sz w:val="26"/>
          <w:szCs w:val="26"/>
        </w:rPr>
      </w:pPr>
      <w:r w:rsidRPr="002D54AC">
        <w:rPr>
          <w:b/>
          <w:sz w:val="26"/>
          <w:szCs w:val="26"/>
        </w:rPr>
        <w:lastRenderedPageBreak/>
        <w:t>BEFORE</w:t>
      </w:r>
    </w:p>
    <w:p w:rsidR="008706FF" w:rsidRPr="002D54AC" w:rsidRDefault="008706FF" w:rsidP="008706FF">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8706FF" w:rsidRDefault="008706FF" w:rsidP="008706FF">
      <w:pPr>
        <w:pStyle w:val="Title"/>
        <w:tabs>
          <w:tab w:val="left" w:pos="5130"/>
          <w:tab w:val="left" w:pos="5670"/>
        </w:tabs>
        <w:rPr>
          <w:rFonts w:ascii="Times New Roman" w:hAnsi="Times New Roman"/>
          <w:sz w:val="26"/>
          <w:szCs w:val="26"/>
        </w:rPr>
      </w:pPr>
    </w:p>
    <w:p w:rsidR="008706FF" w:rsidRDefault="008706FF" w:rsidP="008706FF">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8706FF" w:rsidTr="008706FF">
        <w:tc>
          <w:tcPr>
            <w:tcW w:w="4689" w:type="dxa"/>
          </w:tcPr>
          <w:p w:rsidR="008706FF" w:rsidRPr="00221496" w:rsidRDefault="008706FF" w:rsidP="006D4892">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the Joint Motion to Modify the December 2, 2009 Opinion and Order and the September 7, 2011 Second Opinion and Order in Case No. 08-1344-GA-EXM.</w:t>
            </w:r>
          </w:p>
        </w:tc>
        <w:tc>
          <w:tcPr>
            <w:tcW w:w="289" w:type="dxa"/>
          </w:tcPr>
          <w:p w:rsidR="008706FF" w:rsidRPr="00221496" w:rsidRDefault="008706FF" w:rsidP="006D4892">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8706FF" w:rsidRPr="00221496" w:rsidRDefault="008706FF" w:rsidP="006D4892">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8706FF" w:rsidRDefault="008706FF" w:rsidP="006D4892">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8706FF" w:rsidRDefault="008706FF" w:rsidP="006D4892">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8706FF" w:rsidRPr="00221496" w:rsidRDefault="008706FF" w:rsidP="006D4892">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598" w:type="dxa"/>
          </w:tcPr>
          <w:p w:rsidR="008706FF" w:rsidRDefault="008706FF" w:rsidP="006D4892">
            <w:pPr>
              <w:pStyle w:val="Title"/>
              <w:tabs>
                <w:tab w:val="left" w:pos="1142"/>
                <w:tab w:val="left" w:pos="5130"/>
                <w:tab w:val="left" w:pos="5670"/>
              </w:tabs>
              <w:jc w:val="left"/>
              <w:rPr>
                <w:rFonts w:ascii="Times New Roman" w:hAnsi="Times New Roman"/>
                <w:sz w:val="26"/>
                <w:szCs w:val="26"/>
              </w:rPr>
            </w:pPr>
          </w:p>
          <w:p w:rsidR="008706FF" w:rsidRDefault="008706FF" w:rsidP="006D4892">
            <w:pPr>
              <w:pStyle w:val="Title"/>
              <w:tabs>
                <w:tab w:val="left" w:pos="1142"/>
                <w:tab w:val="left" w:pos="5130"/>
                <w:tab w:val="left" w:pos="5670"/>
              </w:tabs>
              <w:jc w:val="left"/>
              <w:rPr>
                <w:rFonts w:ascii="Times New Roman" w:hAnsi="Times New Roman"/>
                <w:sz w:val="26"/>
                <w:szCs w:val="26"/>
              </w:rPr>
            </w:pPr>
          </w:p>
          <w:p w:rsidR="008706FF" w:rsidRPr="00221496" w:rsidRDefault="008706FF" w:rsidP="006D4892">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ab/>
              <w:t>12-2637-GA-EXM</w:t>
            </w:r>
          </w:p>
        </w:tc>
      </w:tr>
    </w:tbl>
    <w:p w:rsidR="008706FF" w:rsidRPr="002D54AC" w:rsidRDefault="008706FF" w:rsidP="008706FF">
      <w:pPr>
        <w:pStyle w:val="Title"/>
        <w:tabs>
          <w:tab w:val="left" w:pos="5130"/>
          <w:tab w:val="left" w:pos="5670"/>
        </w:tabs>
        <w:rPr>
          <w:rFonts w:ascii="Times New Roman" w:hAnsi="Times New Roman"/>
          <w:sz w:val="26"/>
          <w:szCs w:val="26"/>
        </w:rPr>
      </w:pPr>
    </w:p>
    <w:p w:rsidR="008706FF" w:rsidRDefault="008706FF" w:rsidP="008706FF">
      <w:pPr>
        <w:pStyle w:val="Title"/>
        <w:tabs>
          <w:tab w:val="left" w:pos="5130"/>
          <w:tab w:val="left" w:pos="5670"/>
        </w:tabs>
        <w:jc w:val="left"/>
        <w:rPr>
          <w:rFonts w:ascii="Times New Roman" w:hAnsi="Times New Roman"/>
          <w:sz w:val="26"/>
          <w:szCs w:val="26"/>
        </w:rPr>
      </w:pPr>
    </w:p>
    <w:p w:rsidR="008706FF" w:rsidRDefault="008706FF" w:rsidP="008706FF">
      <w:pPr>
        <w:pStyle w:val="Title"/>
        <w:tabs>
          <w:tab w:val="left" w:pos="5130"/>
          <w:tab w:val="left" w:pos="5670"/>
        </w:tabs>
        <w:jc w:val="left"/>
        <w:rPr>
          <w:rFonts w:ascii="Times New Roman" w:hAnsi="Times New Roman"/>
          <w:sz w:val="26"/>
          <w:szCs w:val="26"/>
        </w:rPr>
      </w:pPr>
    </w:p>
    <w:p w:rsidR="008706FF" w:rsidRDefault="008706FF" w:rsidP="008706FF">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8706FF" w:rsidRPr="00E10679" w:rsidRDefault="008706FF" w:rsidP="008706FF">
      <w:pPr>
        <w:pStyle w:val="Title"/>
        <w:tabs>
          <w:tab w:val="left" w:pos="9360"/>
        </w:tabs>
        <w:rPr>
          <w:rFonts w:ascii="Times New Roman" w:hAnsi="Times New Roman"/>
          <w:b/>
          <w:sz w:val="32"/>
          <w:szCs w:val="32"/>
        </w:rPr>
      </w:pPr>
      <w:r>
        <w:rPr>
          <w:rFonts w:ascii="Times New Roman" w:hAnsi="Times New Roman"/>
          <w:b/>
          <w:sz w:val="32"/>
          <w:szCs w:val="32"/>
        </w:rPr>
        <w:t>POST-HEARING BRIEF</w:t>
      </w:r>
    </w:p>
    <w:p w:rsidR="008706FF" w:rsidRPr="008706FF" w:rsidRDefault="008706FF" w:rsidP="008706FF">
      <w:pPr>
        <w:jc w:val="center"/>
        <w:rPr>
          <w:b/>
          <w:sz w:val="28"/>
          <w:szCs w:val="28"/>
        </w:rPr>
      </w:pPr>
      <w:r w:rsidRPr="008706FF">
        <w:rPr>
          <w:b/>
          <w:sz w:val="28"/>
          <w:szCs w:val="28"/>
        </w:rPr>
        <w:t>SUBMITTED ON BEHALF OF THE STAFF OF</w:t>
      </w:r>
    </w:p>
    <w:p w:rsidR="008706FF" w:rsidRPr="008706FF" w:rsidRDefault="008706FF" w:rsidP="008706FF">
      <w:pPr>
        <w:jc w:val="center"/>
        <w:rPr>
          <w:b/>
          <w:sz w:val="28"/>
          <w:szCs w:val="28"/>
        </w:rPr>
      </w:pPr>
      <w:r w:rsidRPr="008706FF">
        <w:rPr>
          <w:b/>
          <w:sz w:val="28"/>
          <w:szCs w:val="28"/>
        </w:rPr>
        <w:t>THE PUBLIC UTILITIES COMMISSION OF OHIO</w:t>
      </w:r>
    </w:p>
    <w:p w:rsidR="008706FF" w:rsidRDefault="008706FF" w:rsidP="008706FF">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4C5C97" w:rsidRDefault="004C5C97" w:rsidP="0064436A">
      <w:pPr>
        <w:pStyle w:val="Heading1"/>
      </w:pPr>
      <w:bookmarkStart w:id="15" w:name="_Toc260212957"/>
    </w:p>
    <w:p w:rsidR="00CB5644" w:rsidRPr="00613023" w:rsidRDefault="00CB5644" w:rsidP="0064436A">
      <w:pPr>
        <w:pStyle w:val="Heading1"/>
      </w:pPr>
      <w:r w:rsidRPr="00613023">
        <w:t>INTRODUCTION</w:t>
      </w:r>
      <w:bookmarkEnd w:id="15"/>
    </w:p>
    <w:p w:rsidR="00E10679" w:rsidRDefault="0064436A" w:rsidP="006A3730">
      <w:pPr>
        <w:pStyle w:val="textstyle0"/>
      </w:pPr>
      <w:r>
        <w:tab/>
      </w:r>
      <w:r w:rsidR="00457AE8">
        <w:t>This case presents a simple question with a clear answer on a review of the record.  The principal, and dispositive, issue is whether the Amended Stipulation satisfies the Public Utilities Commission of Ohio’s (Commission’s) three-pronged tests for approving and adopting stipulations.  It does and its Staff recommends the Commission adopt and approve it.</w:t>
      </w:r>
    </w:p>
    <w:p w:rsidR="008706FF" w:rsidRDefault="008706FF" w:rsidP="00E10679">
      <w:pPr>
        <w:pStyle w:val="Heading1"/>
      </w:pPr>
      <w:bookmarkStart w:id="16" w:name="_Toc260212958"/>
      <w:r>
        <w:lastRenderedPageBreak/>
        <w:t>STATEMENT OF THE FACTS AND CASE</w:t>
      </w:r>
    </w:p>
    <w:p w:rsidR="00457AE8" w:rsidRDefault="008706FF" w:rsidP="00457AE8">
      <w:pPr>
        <w:pStyle w:val="textstyle0"/>
      </w:pPr>
      <w:r>
        <w:tab/>
      </w:r>
      <w:r w:rsidR="00457AE8">
        <w:t>Promoting competition in natural gas sales is the policy of the state of Ohio.</w:t>
      </w:r>
      <w:r w:rsidR="00457AE8">
        <w:rPr>
          <w:rStyle w:val="FootnoteReference"/>
        </w:rPr>
        <w:footnoteReference w:id="1"/>
      </w:r>
      <w:r w:rsidR="00457AE8">
        <w:t xml:space="preserve">  Fol</w:t>
      </w:r>
      <w:r w:rsidR="00E523F6">
        <w:softHyphen/>
      </w:r>
      <w:r w:rsidR="00457AE8">
        <w:t xml:space="preserve">lowing that policy, the Commission has issued orders providing for gradually increasing the competitive environment in natural gas sales in Columbia Gas of Ohio’s </w:t>
      </w:r>
      <w:r w:rsidR="00F61655">
        <w:t xml:space="preserve">(Columbia’s) </w:t>
      </w:r>
      <w:r w:rsidR="00457AE8">
        <w:t>service territory.  In 2009, the Commission approved and adopted a stipulation directing Columbia to hold an auction to secure natural gas through a standard service offer (SSO) structure initially, and, subsequently, through a standard choice offer (SCO) structure.  The Commission also approved a Program Outline implementing the SSO structure.</w:t>
      </w:r>
      <w:r w:rsidR="00457AE8">
        <w:rPr>
          <w:rStyle w:val="FootnoteReference"/>
        </w:rPr>
        <w:footnoteReference w:id="2"/>
      </w:r>
      <w:r w:rsidR="00457AE8">
        <w:t xml:space="preserve">  In 2011, the Commission approved and adopted a stipulation revising that Program Outline to implement the initial SCO auction, occurring in 2012.</w:t>
      </w:r>
      <w:r w:rsidR="00457AE8">
        <w:rPr>
          <w:rStyle w:val="FootnoteReference"/>
        </w:rPr>
        <w:footnoteReference w:id="3"/>
      </w:r>
      <w:r w:rsidR="00457AE8">
        <w:t xml:space="preserve">  </w:t>
      </w:r>
    </w:p>
    <w:p w:rsidR="00457AE8" w:rsidRDefault="00457AE8" w:rsidP="00457AE8">
      <w:pPr>
        <w:pStyle w:val="textstyle0"/>
      </w:pPr>
      <w:r>
        <w:tab/>
        <w:t>In the present case, Joint Movants</w:t>
      </w:r>
      <w:r w:rsidR="004C5C97">
        <w:rPr>
          <w:rStyle w:val="FootnoteReference"/>
        </w:rPr>
        <w:footnoteReference w:id="4"/>
      </w:r>
      <w:r>
        <w:t xml:space="preserve"> seek to continue that progression of gradually improving the competitive environment for natural gas sales.</w:t>
      </w:r>
      <w:r>
        <w:rPr>
          <w:rStyle w:val="FootnoteReference"/>
        </w:rPr>
        <w:footnoteReference w:id="5"/>
      </w:r>
      <w:r>
        <w:t xml:space="preserve">  The Joint Movants ask the Commission to modify its previous orders identified above together with approving and </w:t>
      </w:r>
      <w:r>
        <w:lastRenderedPageBreak/>
        <w:t>adopting an Amended Stipulation and Recommendation to improve the competitive envi</w:t>
      </w:r>
      <w:r w:rsidR="00E523F6">
        <w:softHyphen/>
      </w:r>
      <w:r>
        <w:t>ronment in natural gas sales in a controlled fashion.</w:t>
      </w:r>
      <w:r>
        <w:rPr>
          <w:rStyle w:val="FootnoteReference"/>
        </w:rPr>
        <w:footnoteReference w:id="6"/>
      </w:r>
      <w:r>
        <w:t xml:space="preserve">  The Commission conducted a hear</w:t>
      </w:r>
      <w:r w:rsidR="00E523F6">
        <w:softHyphen/>
      </w:r>
      <w:r>
        <w:t>ing on the motion and Amended Stipulation and Recommendation and it has provided this opportunity for the parties to brief the issues.</w:t>
      </w:r>
    </w:p>
    <w:p w:rsidR="00E10679" w:rsidRDefault="00E10679" w:rsidP="00457AE8">
      <w:pPr>
        <w:pStyle w:val="Heading1"/>
      </w:pPr>
      <w:r>
        <w:t>DISCUSSION</w:t>
      </w:r>
      <w:bookmarkEnd w:id="16"/>
    </w:p>
    <w:p w:rsidR="008706FF" w:rsidRPr="0066422B" w:rsidRDefault="008706FF" w:rsidP="0066422B">
      <w:pPr>
        <w:pStyle w:val="Heading2"/>
      </w:pPr>
      <w:r w:rsidRPr="0066422B">
        <w:t xml:space="preserve">The </w:t>
      </w:r>
      <w:r w:rsidR="00F61655">
        <w:t>Amended S</w:t>
      </w:r>
      <w:r w:rsidRPr="0066422B">
        <w:t xml:space="preserve">tipulation </w:t>
      </w:r>
      <w:r w:rsidR="00F61655">
        <w:t xml:space="preserve">and Recommendation </w:t>
      </w:r>
      <w:r w:rsidRPr="0066422B">
        <w:t>satisfies the Commission’s three-pronged test for evaluating stipula</w:t>
      </w:r>
      <w:r w:rsidR="00E523F6">
        <w:softHyphen/>
      </w:r>
      <w:r w:rsidRPr="0066422B">
        <w:t>tions and Staff recommends the Commission approve and adopt it.</w:t>
      </w:r>
    </w:p>
    <w:p w:rsidR="00457AE8" w:rsidRDefault="008706FF" w:rsidP="00457AE8">
      <w:pPr>
        <w:pStyle w:val="textstyle0"/>
      </w:pPr>
      <w:r>
        <w:tab/>
      </w:r>
      <w:r w:rsidR="00457AE8">
        <w:t>The principal issue in this case is whether the Commission should approve the Amended Stipulation and Recommendation.  Many parties, including Staff, have recom</w:t>
      </w:r>
      <w:r w:rsidR="00E523F6">
        <w:softHyphen/>
      </w:r>
      <w:r w:rsidR="00457AE8">
        <w:t>mended the Commission do so in an effort to further Ohio’s policy of promoting compe</w:t>
      </w:r>
      <w:r w:rsidR="00E523F6">
        <w:softHyphen/>
      </w:r>
      <w:r w:rsidR="00457AE8">
        <w:t xml:space="preserve">tition in natural gas sales.  The parties ask the Commission to revise prior orders and adopt a process leading to Columbia’s </w:t>
      </w:r>
      <w:r w:rsidR="00457AE8" w:rsidRPr="00457AE8">
        <w:t>possible exit from the merchant function.</w:t>
      </w:r>
      <w:r w:rsidR="00457AE8">
        <w:rPr>
          <w:rStyle w:val="FootnoteReference"/>
        </w:rPr>
        <w:footnoteReference w:id="7"/>
      </w:r>
      <w:r w:rsidR="00457AE8">
        <w:t xml:space="preserve"> </w:t>
      </w:r>
      <w:r w:rsidR="00457AE8" w:rsidRPr="00457AE8">
        <w:t xml:space="preserve"> Staff endorses that process and</w:t>
      </w:r>
      <w:r w:rsidR="00457AE8" w:rsidRPr="00503F2B">
        <w:t xml:space="preserve"> recommends the Commission approve and adopt the </w:t>
      </w:r>
      <w:r w:rsidR="00F61655" w:rsidRPr="00503F2B">
        <w:t xml:space="preserve">Amended Stipulation </w:t>
      </w:r>
      <w:r w:rsidR="00F61655">
        <w:t xml:space="preserve">and Recommendation </w:t>
      </w:r>
      <w:r w:rsidR="00457AE8" w:rsidRPr="00503F2B">
        <w:t xml:space="preserve">because of its </w:t>
      </w:r>
      <w:r w:rsidR="00457AE8">
        <w:t>demonstrated satisfaction of the Com</w:t>
      </w:r>
      <w:r w:rsidR="00E523F6">
        <w:softHyphen/>
      </w:r>
      <w:r w:rsidR="00457AE8">
        <w:t xml:space="preserve">mission’s three-part test for analyzing stipulations. </w:t>
      </w:r>
    </w:p>
    <w:p w:rsidR="00457AE8" w:rsidRDefault="00457AE8" w:rsidP="00457AE8">
      <w:pPr>
        <w:pStyle w:val="textstyle0"/>
      </w:pPr>
      <w:r>
        <w:lastRenderedPageBreak/>
        <w:tab/>
        <w:t>As the Commission is aware, it has long applied a three-part test for analyzing whether to approve a stipulation.  The Commission approves and adopts stipulations, such as the present one, if</w:t>
      </w:r>
      <w:r w:rsidR="00F61655">
        <w:t xml:space="preserve"> the stipulation</w:t>
      </w:r>
      <w:r>
        <w:t>:</w:t>
      </w:r>
    </w:p>
    <w:p w:rsidR="00457AE8" w:rsidRPr="00457AE8" w:rsidRDefault="00457AE8" w:rsidP="00457AE8">
      <w:pPr>
        <w:numPr>
          <w:ilvl w:val="0"/>
          <w:numId w:val="9"/>
        </w:numPr>
        <w:spacing w:after="240"/>
        <w:ind w:left="1440" w:right="720" w:hanging="720"/>
        <w:rPr>
          <w:sz w:val="26"/>
          <w:szCs w:val="26"/>
        </w:rPr>
      </w:pPr>
      <w:r w:rsidRPr="00457AE8">
        <w:rPr>
          <w:sz w:val="26"/>
          <w:szCs w:val="26"/>
        </w:rPr>
        <w:t>is the result of serious bargaining between capable and knowledgea</w:t>
      </w:r>
      <w:r w:rsidR="00E523F6">
        <w:rPr>
          <w:sz w:val="26"/>
          <w:szCs w:val="26"/>
        </w:rPr>
        <w:softHyphen/>
      </w:r>
      <w:r w:rsidRPr="00457AE8">
        <w:rPr>
          <w:sz w:val="26"/>
          <w:szCs w:val="26"/>
        </w:rPr>
        <w:t>ble parties;</w:t>
      </w:r>
    </w:p>
    <w:p w:rsidR="00457AE8" w:rsidRPr="00457AE8" w:rsidRDefault="00457AE8" w:rsidP="00457AE8">
      <w:pPr>
        <w:numPr>
          <w:ilvl w:val="0"/>
          <w:numId w:val="9"/>
        </w:numPr>
        <w:spacing w:after="240"/>
        <w:ind w:left="1440" w:right="720" w:hanging="720"/>
        <w:rPr>
          <w:sz w:val="26"/>
          <w:szCs w:val="26"/>
        </w:rPr>
      </w:pPr>
      <w:r w:rsidRPr="00457AE8">
        <w:rPr>
          <w:sz w:val="26"/>
          <w:szCs w:val="26"/>
        </w:rPr>
        <w:t>as a package, benefits customers and the public interest;</w:t>
      </w:r>
    </w:p>
    <w:p w:rsidR="00457AE8" w:rsidRPr="00457AE8" w:rsidRDefault="00457AE8" w:rsidP="00457AE8">
      <w:pPr>
        <w:numPr>
          <w:ilvl w:val="0"/>
          <w:numId w:val="9"/>
        </w:numPr>
        <w:spacing w:after="240"/>
        <w:ind w:left="1440" w:right="720" w:hanging="720"/>
        <w:rPr>
          <w:sz w:val="26"/>
          <w:szCs w:val="26"/>
        </w:rPr>
      </w:pPr>
      <w:r w:rsidRPr="00457AE8">
        <w:rPr>
          <w:sz w:val="26"/>
          <w:szCs w:val="26"/>
        </w:rPr>
        <w:t>does not violate any important regulatory principle or practice.</w:t>
      </w:r>
    </w:p>
    <w:p w:rsidR="00457AE8" w:rsidRDefault="00457AE8" w:rsidP="00457AE8">
      <w:pPr>
        <w:pStyle w:val="textstyle0"/>
      </w:pPr>
      <w:r>
        <w:t>Staff believes the Amended Stipulation and Recommendation, Jt. Ex. 2, meets these cri</w:t>
      </w:r>
      <w:r w:rsidR="00E523F6">
        <w:softHyphen/>
      </w:r>
      <w:r>
        <w:t>teria as many other parties</w:t>
      </w:r>
      <w:r w:rsidR="00F61655">
        <w:t xml:space="preserve"> also</w:t>
      </w:r>
      <w:r>
        <w:t xml:space="preserve"> believe.</w:t>
      </w:r>
      <w:r>
        <w:rPr>
          <w:rStyle w:val="FootnoteReference"/>
        </w:rPr>
        <w:footnoteReference w:id="8"/>
      </w:r>
      <w:r>
        <w:t xml:space="preserve">  </w:t>
      </w:r>
    </w:p>
    <w:p w:rsidR="00457AE8" w:rsidRDefault="00457AE8" w:rsidP="00457AE8">
      <w:pPr>
        <w:pStyle w:val="Textstyle"/>
      </w:pPr>
      <w:r>
        <w:t xml:space="preserve">The </w:t>
      </w:r>
      <w:r w:rsidR="00F61655">
        <w:t>Amended Stipulation and Recommendation</w:t>
      </w:r>
      <w:r>
        <w:t xml:space="preserve"> results from serious bargaining between capable and knowledgeable parties.</w:t>
      </w:r>
      <w:r>
        <w:rPr>
          <w:rStyle w:val="FootnoteReference"/>
        </w:rPr>
        <w:footnoteReference w:id="9"/>
      </w:r>
      <w:r>
        <w:t xml:space="preserve">  A mere perusal of the signatories </w:t>
      </w:r>
      <w:r w:rsidR="00E523F6">
        <w:t>to</w:t>
      </w:r>
      <w:r w:rsidR="00F61655">
        <w:t xml:space="preserve"> the Amended Stipulation and Recommendation </w:t>
      </w:r>
      <w:r>
        <w:t>establishes the bargaining was among capa</w:t>
      </w:r>
      <w:r w:rsidR="00E523F6">
        <w:softHyphen/>
      </w:r>
      <w:r>
        <w:t xml:space="preserve">ble and knowledgeable parties.  Those parties and/or their counsel are well known to the Commission through many years of case participation, including cases involving Columbia.  Many are actively involved in Columbia’s stakeholder group, which regularly meets to discuss issues involving Columbia’s natural gas service.  There cannot be any question that the signatories are capable and knowledgeable. </w:t>
      </w:r>
    </w:p>
    <w:p w:rsidR="00457AE8" w:rsidRDefault="00457AE8" w:rsidP="00457AE8">
      <w:pPr>
        <w:pStyle w:val="Textstyle"/>
      </w:pPr>
      <w:r>
        <w:lastRenderedPageBreak/>
        <w:t xml:space="preserve">There also cannot be any question that the </w:t>
      </w:r>
      <w:r w:rsidR="00F61655">
        <w:t>Amended Stipulation and Recom</w:t>
      </w:r>
      <w:r w:rsidR="00E523F6">
        <w:softHyphen/>
      </w:r>
      <w:r w:rsidR="00F61655">
        <w:t xml:space="preserve">mendation </w:t>
      </w:r>
      <w:r>
        <w:t>resulted from serious bargaining among those parties.  The signatories repre</w:t>
      </w:r>
      <w:r w:rsidR="00E523F6">
        <w:softHyphen/>
      </w:r>
      <w:r>
        <w:t xml:space="preserve">sent diverse and competing interests.  They include: the regulated utility (Columbia), the regulator (Staff), gas marketers (OGMG &amp; RESA), and consumers (OCC).  They did not agree quickly.  The </w:t>
      </w:r>
      <w:r w:rsidR="00F61655">
        <w:t>Amended Stipulation and Recommendation</w:t>
      </w:r>
      <w:r>
        <w:t xml:space="preserve"> evolved from </w:t>
      </w:r>
      <w:r w:rsidR="00F61655">
        <w:t xml:space="preserve">a </w:t>
      </w:r>
      <w:r>
        <w:t>never-say-die process of negotiation and re-negotiation that sought an as-broad-as-possible sig</w:t>
      </w:r>
      <w:r w:rsidR="00E523F6">
        <w:softHyphen/>
      </w:r>
      <w:r>
        <w:t xml:space="preserve">natory base.  The </w:t>
      </w:r>
      <w:r w:rsidR="00F61655">
        <w:t>Amended Stipulation and Recommendation</w:t>
      </w:r>
      <w:r>
        <w:t xml:space="preserve"> represents changes from an earlier stipulation filed in this case that continued, serious bargaining produced. </w:t>
      </w:r>
    </w:p>
    <w:p w:rsidR="00457AE8" w:rsidRDefault="00457AE8" w:rsidP="00457AE8">
      <w:pPr>
        <w:pStyle w:val="Textstyle"/>
      </w:pPr>
      <w:r w:rsidRPr="003B6A4B">
        <w:t xml:space="preserve">The </w:t>
      </w:r>
      <w:r w:rsidR="00F61655">
        <w:t>Amended Stipulation and Recommendation</w:t>
      </w:r>
      <w:r w:rsidRPr="003B6A4B">
        <w:t>, as a package, benefits consumers and the public interest.</w:t>
      </w:r>
      <w:r>
        <w:rPr>
          <w:rStyle w:val="FootnoteReference"/>
        </w:rPr>
        <w:footnoteReference w:id="10"/>
      </w:r>
      <w:r>
        <w:t xml:space="preserve">  The </w:t>
      </w:r>
      <w:r w:rsidR="00F61655">
        <w:t>Amended Stipulation and Recommendation</w:t>
      </w:r>
      <w:r>
        <w:t xml:space="preserve"> provides many benefits that include, but are not limited to: </w:t>
      </w:r>
    </w:p>
    <w:p w:rsidR="00457AE8" w:rsidRPr="00457AE8" w:rsidRDefault="00F61655" w:rsidP="00457AE8">
      <w:pPr>
        <w:numPr>
          <w:ilvl w:val="0"/>
          <w:numId w:val="10"/>
        </w:numPr>
        <w:spacing w:after="240"/>
        <w:ind w:left="1440" w:hanging="720"/>
        <w:rPr>
          <w:sz w:val="26"/>
          <w:szCs w:val="26"/>
        </w:rPr>
      </w:pPr>
      <w:r>
        <w:rPr>
          <w:sz w:val="26"/>
          <w:szCs w:val="26"/>
        </w:rPr>
        <w:t>advancing</w:t>
      </w:r>
      <w:r w:rsidR="00457AE8" w:rsidRPr="00457AE8">
        <w:rPr>
          <w:sz w:val="26"/>
          <w:szCs w:val="26"/>
        </w:rPr>
        <w:t xml:space="preserve"> Ohio’s energy policy;</w:t>
      </w:r>
    </w:p>
    <w:p w:rsidR="00457AE8" w:rsidRPr="00457AE8" w:rsidRDefault="00F61655" w:rsidP="00457AE8">
      <w:pPr>
        <w:numPr>
          <w:ilvl w:val="0"/>
          <w:numId w:val="10"/>
        </w:numPr>
        <w:spacing w:after="240"/>
        <w:ind w:left="1440" w:hanging="720"/>
        <w:rPr>
          <w:sz w:val="26"/>
          <w:szCs w:val="26"/>
        </w:rPr>
      </w:pPr>
      <w:r>
        <w:rPr>
          <w:sz w:val="26"/>
          <w:szCs w:val="26"/>
        </w:rPr>
        <w:t>providing</w:t>
      </w:r>
      <w:r w:rsidR="00457AE8" w:rsidRPr="00457AE8">
        <w:rPr>
          <w:sz w:val="26"/>
          <w:szCs w:val="26"/>
        </w:rPr>
        <w:t xml:space="preserve"> for the extension of the SCO program</w:t>
      </w:r>
      <w:r w:rsidR="00457AE8">
        <w:rPr>
          <w:sz w:val="26"/>
          <w:szCs w:val="26"/>
        </w:rPr>
        <w:t>,</w:t>
      </w:r>
      <w:r w:rsidR="00457AE8" w:rsidRPr="00457AE8">
        <w:rPr>
          <w:sz w:val="26"/>
          <w:szCs w:val="26"/>
        </w:rPr>
        <w:t xml:space="preserve"> while also providing a structure for Columbia to make a controlled and supervised possible two</w:t>
      </w:r>
      <w:r w:rsidR="00457AE8">
        <w:rPr>
          <w:sz w:val="26"/>
          <w:szCs w:val="26"/>
        </w:rPr>
        <w:t>-</w:t>
      </w:r>
      <w:r w:rsidR="00457AE8" w:rsidRPr="00457AE8">
        <w:rPr>
          <w:sz w:val="26"/>
          <w:szCs w:val="26"/>
        </w:rPr>
        <w:t>phase exit from the commodity merchant function.</w:t>
      </w:r>
    </w:p>
    <w:p w:rsidR="00457AE8" w:rsidRDefault="00457AE8" w:rsidP="00457AE8">
      <w:pPr>
        <w:numPr>
          <w:ilvl w:val="0"/>
          <w:numId w:val="10"/>
        </w:numPr>
        <w:spacing w:after="240"/>
        <w:ind w:left="1440" w:hanging="720"/>
        <w:rPr>
          <w:sz w:val="26"/>
          <w:szCs w:val="26"/>
        </w:rPr>
      </w:pPr>
      <w:r w:rsidRPr="00457AE8">
        <w:rPr>
          <w:sz w:val="26"/>
          <w:szCs w:val="26"/>
        </w:rPr>
        <w:t>as part of a possible two</w:t>
      </w:r>
      <w:r>
        <w:rPr>
          <w:sz w:val="26"/>
          <w:szCs w:val="26"/>
        </w:rPr>
        <w:t>-</w:t>
      </w:r>
      <w:r w:rsidRPr="00457AE8">
        <w:rPr>
          <w:sz w:val="26"/>
          <w:szCs w:val="26"/>
        </w:rPr>
        <w:t>phase exit</w:t>
      </w:r>
      <w:r>
        <w:rPr>
          <w:sz w:val="26"/>
          <w:szCs w:val="26"/>
        </w:rPr>
        <w:t>,</w:t>
      </w:r>
      <w:r w:rsidRPr="00457AE8">
        <w:rPr>
          <w:sz w:val="26"/>
          <w:szCs w:val="26"/>
        </w:rPr>
        <w:t xml:space="preserve"> </w:t>
      </w:r>
      <w:r w:rsidR="00F61655">
        <w:rPr>
          <w:sz w:val="26"/>
          <w:szCs w:val="26"/>
        </w:rPr>
        <w:t>requiring</w:t>
      </w:r>
      <w:r w:rsidRPr="00457AE8">
        <w:rPr>
          <w:sz w:val="26"/>
          <w:szCs w:val="26"/>
        </w:rPr>
        <w:t xml:space="preserve"> specified criteria to be met prior to Columbia’s ex</w:t>
      </w:r>
      <w:r>
        <w:rPr>
          <w:sz w:val="26"/>
          <w:szCs w:val="26"/>
        </w:rPr>
        <w:t>it for non-residential customer</w:t>
      </w:r>
      <w:r w:rsidRPr="00457AE8">
        <w:rPr>
          <w:sz w:val="26"/>
          <w:szCs w:val="26"/>
        </w:rPr>
        <w:t>s.  In addition to meeting specified criteria prior to any possible exit for residential custom</w:t>
      </w:r>
      <w:r w:rsidR="00E523F6">
        <w:rPr>
          <w:sz w:val="26"/>
          <w:szCs w:val="26"/>
        </w:rPr>
        <w:softHyphen/>
      </w:r>
      <w:r w:rsidRPr="00457AE8">
        <w:rPr>
          <w:sz w:val="26"/>
          <w:szCs w:val="26"/>
        </w:rPr>
        <w:t>ers, the</w:t>
      </w:r>
      <w:r w:rsidRPr="00F61655">
        <w:rPr>
          <w:sz w:val="26"/>
          <w:szCs w:val="26"/>
        </w:rPr>
        <w:t xml:space="preserve"> </w:t>
      </w:r>
      <w:r w:rsidR="00F61655" w:rsidRPr="00F61655">
        <w:rPr>
          <w:sz w:val="26"/>
          <w:szCs w:val="26"/>
        </w:rPr>
        <w:t>Amended Stipulation and Recommendation</w:t>
      </w:r>
      <w:r w:rsidRPr="00F61655">
        <w:rPr>
          <w:sz w:val="26"/>
          <w:szCs w:val="26"/>
        </w:rPr>
        <w:t xml:space="preserve"> </w:t>
      </w:r>
      <w:r w:rsidRPr="00457AE8">
        <w:rPr>
          <w:sz w:val="26"/>
          <w:szCs w:val="26"/>
        </w:rPr>
        <w:t>also includes additional due process requirements comprising</w:t>
      </w:r>
      <w:r>
        <w:rPr>
          <w:sz w:val="26"/>
          <w:szCs w:val="26"/>
        </w:rPr>
        <w:t>,</w:t>
      </w:r>
      <w:r w:rsidRPr="00457AE8">
        <w:rPr>
          <w:sz w:val="26"/>
          <w:szCs w:val="26"/>
        </w:rPr>
        <w:t xml:space="preserve"> among other things</w:t>
      </w:r>
      <w:r>
        <w:rPr>
          <w:sz w:val="26"/>
          <w:szCs w:val="26"/>
        </w:rPr>
        <w:t xml:space="preserve">, </w:t>
      </w:r>
      <w:r w:rsidRPr="00457AE8">
        <w:rPr>
          <w:sz w:val="26"/>
          <w:szCs w:val="26"/>
        </w:rPr>
        <w:t>Columbia’s fil</w:t>
      </w:r>
      <w:r w:rsidR="00E523F6">
        <w:rPr>
          <w:sz w:val="26"/>
          <w:szCs w:val="26"/>
        </w:rPr>
        <w:softHyphen/>
      </w:r>
      <w:r w:rsidRPr="00457AE8">
        <w:rPr>
          <w:sz w:val="26"/>
          <w:szCs w:val="26"/>
        </w:rPr>
        <w:t xml:space="preserve">ing an application and including a request to the Commission to hold an evidentiary hearing.  </w:t>
      </w:r>
    </w:p>
    <w:p w:rsidR="004C5C97" w:rsidRDefault="004C5C97" w:rsidP="004C5C97">
      <w:pPr>
        <w:spacing w:after="240"/>
        <w:ind w:left="1440"/>
        <w:rPr>
          <w:sz w:val="26"/>
          <w:szCs w:val="26"/>
        </w:rPr>
      </w:pPr>
    </w:p>
    <w:p w:rsidR="004C5C97" w:rsidRDefault="004C5C97" w:rsidP="004C5C97">
      <w:pPr>
        <w:spacing w:after="240"/>
        <w:ind w:left="1440"/>
        <w:rPr>
          <w:sz w:val="26"/>
          <w:szCs w:val="26"/>
        </w:rPr>
      </w:pPr>
    </w:p>
    <w:p w:rsidR="00457AE8" w:rsidRPr="00457AE8" w:rsidRDefault="00F61655" w:rsidP="00457AE8">
      <w:pPr>
        <w:numPr>
          <w:ilvl w:val="0"/>
          <w:numId w:val="10"/>
        </w:numPr>
        <w:spacing w:after="240"/>
        <w:ind w:left="1440" w:hanging="720"/>
        <w:rPr>
          <w:sz w:val="26"/>
          <w:szCs w:val="26"/>
        </w:rPr>
      </w:pPr>
      <w:r>
        <w:rPr>
          <w:sz w:val="26"/>
          <w:szCs w:val="26"/>
        </w:rPr>
        <w:lastRenderedPageBreak/>
        <w:t xml:space="preserve">Ensuring </w:t>
      </w:r>
      <w:r w:rsidR="00457AE8" w:rsidRPr="00457AE8">
        <w:rPr>
          <w:sz w:val="26"/>
          <w:szCs w:val="26"/>
        </w:rPr>
        <w:t>Columbia customers will not be double-billed for Columbia’s bal</w:t>
      </w:r>
      <w:r w:rsidR="00E523F6">
        <w:rPr>
          <w:sz w:val="26"/>
          <w:szCs w:val="26"/>
        </w:rPr>
        <w:softHyphen/>
      </w:r>
      <w:r w:rsidR="00457AE8" w:rsidRPr="00457AE8">
        <w:rPr>
          <w:sz w:val="26"/>
          <w:szCs w:val="26"/>
        </w:rPr>
        <w:t>ancing fee;</w:t>
      </w:r>
    </w:p>
    <w:p w:rsidR="00457AE8" w:rsidRPr="00457AE8" w:rsidRDefault="00F61655" w:rsidP="00457AE8">
      <w:pPr>
        <w:numPr>
          <w:ilvl w:val="0"/>
          <w:numId w:val="10"/>
        </w:numPr>
        <w:spacing w:after="240"/>
        <w:ind w:left="1440" w:hanging="720"/>
        <w:rPr>
          <w:sz w:val="26"/>
          <w:szCs w:val="26"/>
        </w:rPr>
      </w:pPr>
      <w:r>
        <w:rPr>
          <w:sz w:val="26"/>
          <w:szCs w:val="26"/>
        </w:rPr>
        <w:t>providing</w:t>
      </w:r>
      <w:r w:rsidR="00457AE8" w:rsidRPr="00457AE8">
        <w:rPr>
          <w:sz w:val="26"/>
          <w:szCs w:val="26"/>
        </w:rPr>
        <w:t xml:space="preserve"> for lowering the Choice\SCO Reconciliation Rider (CSRR), which benefits Columbia’s ratepayers financially;</w:t>
      </w:r>
    </w:p>
    <w:p w:rsidR="00457AE8" w:rsidRPr="00457AE8" w:rsidRDefault="00F61655" w:rsidP="00457AE8">
      <w:pPr>
        <w:numPr>
          <w:ilvl w:val="0"/>
          <w:numId w:val="10"/>
        </w:numPr>
        <w:spacing w:after="240"/>
        <w:ind w:left="1440" w:hanging="720"/>
        <w:rPr>
          <w:sz w:val="26"/>
          <w:szCs w:val="26"/>
        </w:rPr>
      </w:pPr>
      <w:r>
        <w:rPr>
          <w:sz w:val="26"/>
          <w:szCs w:val="26"/>
        </w:rPr>
        <w:t>providing</w:t>
      </w:r>
      <w:r w:rsidR="00457AE8" w:rsidRPr="00457AE8">
        <w:rPr>
          <w:sz w:val="26"/>
          <w:szCs w:val="26"/>
        </w:rPr>
        <w:t xml:space="preserve"> the public additional opportunities to participate in Commission proceedings, including at least six local public hearings.</w:t>
      </w:r>
      <w:r w:rsidR="00457AE8">
        <w:rPr>
          <w:rStyle w:val="FootnoteReference"/>
          <w:sz w:val="26"/>
          <w:szCs w:val="26"/>
        </w:rPr>
        <w:footnoteReference w:id="11"/>
      </w:r>
    </w:p>
    <w:p w:rsidR="00457AE8" w:rsidRDefault="00457AE8" w:rsidP="00457AE8">
      <w:pPr>
        <w:pStyle w:val="textstyle0"/>
      </w:pPr>
      <w:r>
        <w:t xml:space="preserve">Because of these benefits, if no others, the </w:t>
      </w:r>
      <w:r w:rsidR="00F61655">
        <w:t>Amended Stipulation and Recommendation</w:t>
      </w:r>
      <w:r>
        <w:t xml:space="preserve"> benefits consumers and the public interest and it satisfies the second prong of the Com</w:t>
      </w:r>
      <w:r w:rsidR="00E523F6">
        <w:softHyphen/>
      </w:r>
      <w:r>
        <w:t>mission’s three-pronged test.</w:t>
      </w:r>
    </w:p>
    <w:p w:rsidR="00457AE8" w:rsidRDefault="00457AE8" w:rsidP="00457AE8">
      <w:pPr>
        <w:pStyle w:val="textstyle0"/>
      </w:pPr>
      <w:r>
        <w:tab/>
        <w:t xml:space="preserve">Finally, the </w:t>
      </w:r>
      <w:r w:rsidR="00F61655">
        <w:t>Amended Stipulation and Recommendation</w:t>
      </w:r>
      <w:r>
        <w:t xml:space="preserve"> does not violate any important regulatory principle or practice.  Staff agrees with many others that it does not.</w:t>
      </w:r>
      <w:r>
        <w:rPr>
          <w:rStyle w:val="FootnoteReference"/>
        </w:rPr>
        <w:footnoteReference w:id="12"/>
      </w:r>
      <w:r>
        <w:t xml:space="preserve">  </w:t>
      </w:r>
    </w:p>
    <w:p w:rsidR="00E10679" w:rsidRDefault="00457AE8" w:rsidP="00457AE8">
      <w:pPr>
        <w:pStyle w:val="textstyle0"/>
      </w:pPr>
      <w:r>
        <w:tab/>
        <w:t xml:space="preserve">The </w:t>
      </w:r>
      <w:r w:rsidR="00F61655">
        <w:t>Amended Stipulation and Recommendation</w:t>
      </w:r>
      <w:r>
        <w:t xml:space="preserve"> satisfies the Commission’s three-pronged test and Staff recommends the Commission approve it</w:t>
      </w:r>
      <w:r w:rsidR="006A3730">
        <w:t>.</w:t>
      </w:r>
    </w:p>
    <w:p w:rsidR="006A3730" w:rsidRDefault="0066422B" w:rsidP="0066422B">
      <w:pPr>
        <w:pStyle w:val="Heading2"/>
      </w:pPr>
      <w:r w:rsidRPr="0037660F">
        <w:t>Staff supports bifurcation of these proceedings</w:t>
      </w:r>
      <w:r w:rsidR="00457AE8">
        <w:t>,</w:t>
      </w:r>
      <w:r w:rsidRPr="0037660F">
        <w:t xml:space="preserve"> if the Commis</w:t>
      </w:r>
      <w:r w:rsidR="0057471A">
        <w:softHyphen/>
      </w:r>
      <w:r w:rsidRPr="0037660F">
        <w:t>sion decides to do so</w:t>
      </w:r>
      <w:r>
        <w:t>.</w:t>
      </w:r>
    </w:p>
    <w:p w:rsidR="0066422B" w:rsidRPr="0066422B" w:rsidRDefault="0066422B" w:rsidP="0066422B">
      <w:pPr>
        <w:pStyle w:val="textstyle0"/>
      </w:pPr>
      <w:r>
        <w:tab/>
      </w:r>
      <w:r w:rsidR="00457AE8">
        <w:t>During these proceedings some parties moved for bifurcation of the Commission’s consideration of certain issues because of time constraints associated with the SCO auc</w:t>
      </w:r>
      <w:r w:rsidR="00E523F6">
        <w:softHyphen/>
      </w:r>
      <w:r w:rsidR="00457AE8">
        <w:lastRenderedPageBreak/>
        <w:t>tion’s process.  That motion was denied.</w:t>
      </w:r>
      <w:r w:rsidR="00457AE8">
        <w:rPr>
          <w:rStyle w:val="FootnoteReference"/>
        </w:rPr>
        <w:footnoteReference w:id="13"/>
      </w:r>
      <w:r w:rsidR="00457AE8">
        <w:t xml:space="preserve">  In denying the motion, the Attorney Examiner noted the Commission might consider the bifurcating the issues subsequent to the hear</w:t>
      </w:r>
      <w:r w:rsidR="00E523F6">
        <w:softHyphen/>
      </w:r>
      <w:r w:rsidR="00457AE8">
        <w:t>ing.</w:t>
      </w:r>
      <w:r w:rsidR="00457AE8">
        <w:rPr>
          <w:rStyle w:val="FootnoteReference"/>
        </w:rPr>
        <w:footnoteReference w:id="14"/>
      </w:r>
      <w:r w:rsidR="00457AE8">
        <w:t xml:space="preserve">  Staff supports bifurcation if the Commission decides to do so.</w:t>
      </w:r>
    </w:p>
    <w:p w:rsidR="001A5C2F" w:rsidRDefault="001A5C2F" w:rsidP="001A5C2F">
      <w:pPr>
        <w:pStyle w:val="Heading1"/>
      </w:pPr>
      <w:bookmarkStart w:id="17" w:name="_Toc260212963"/>
      <w:r>
        <w:t>CONCLUSION</w:t>
      </w:r>
      <w:bookmarkEnd w:id="17"/>
    </w:p>
    <w:p w:rsidR="00E10679" w:rsidRDefault="001A5C2F" w:rsidP="006A3730">
      <w:pPr>
        <w:pStyle w:val="textstyle0"/>
      </w:pPr>
      <w:r>
        <w:tab/>
      </w:r>
      <w:r w:rsidR="0066422B">
        <w:t>In sum, Staff recommends the Commission approve and adopt the Amended Stipula</w:t>
      </w:r>
      <w:r w:rsidR="0057471A">
        <w:softHyphen/>
      </w:r>
      <w:r w:rsidR="0066422B">
        <w:t>tion and Recommendation.</w:t>
      </w:r>
    </w:p>
    <w:p w:rsidR="00200A0A" w:rsidRPr="0064436A" w:rsidRDefault="00200A0A" w:rsidP="0066422B">
      <w:pPr>
        <w:tabs>
          <w:tab w:val="left" w:pos="9348"/>
        </w:tabs>
        <w:spacing w:line="480" w:lineRule="auto"/>
        <w:ind w:left="4680"/>
        <w:rPr>
          <w:sz w:val="26"/>
          <w:szCs w:val="26"/>
        </w:rPr>
      </w:pPr>
      <w:r w:rsidRPr="0064436A">
        <w:rPr>
          <w:sz w:val="26"/>
          <w:szCs w:val="26"/>
        </w:rPr>
        <w:t>Respectfully submitted,</w:t>
      </w:r>
    </w:p>
    <w:p w:rsidR="0066422B" w:rsidRDefault="0066422B" w:rsidP="0066422B">
      <w:pPr>
        <w:pStyle w:val="Title"/>
        <w:tabs>
          <w:tab w:val="left" w:pos="4680"/>
          <w:tab w:val="left" w:pos="5040"/>
        </w:tabs>
        <w:jc w:val="left"/>
        <w:rPr>
          <w:rFonts w:ascii="Times New Roman" w:hAnsi="Times New Roman"/>
          <w:b/>
          <w:sz w:val="26"/>
          <w:szCs w:val="26"/>
        </w:rPr>
      </w:pPr>
      <w:r>
        <w:rPr>
          <w:rFonts w:ascii="Times New Roman" w:hAnsi="Times New Roman"/>
          <w:b/>
          <w:sz w:val="26"/>
          <w:szCs w:val="26"/>
        </w:rPr>
        <w:tab/>
        <w:t>Michael DeWine</w:t>
      </w:r>
    </w:p>
    <w:p w:rsidR="0066422B" w:rsidRDefault="0066422B" w:rsidP="0066422B">
      <w:pPr>
        <w:pStyle w:val="Title"/>
        <w:tabs>
          <w:tab w:val="left" w:pos="4680"/>
          <w:tab w:val="left" w:pos="5040"/>
        </w:tabs>
        <w:jc w:val="left"/>
        <w:rPr>
          <w:rFonts w:ascii="Times New Roman" w:hAnsi="Times New Roman"/>
          <w:sz w:val="26"/>
          <w:szCs w:val="26"/>
        </w:rPr>
      </w:pPr>
      <w:r>
        <w:rPr>
          <w:rFonts w:ascii="Times New Roman" w:hAnsi="Times New Roman"/>
          <w:sz w:val="26"/>
          <w:szCs w:val="26"/>
        </w:rPr>
        <w:tab/>
        <w:t>Ohio Attorney General</w:t>
      </w:r>
    </w:p>
    <w:p w:rsidR="0066422B" w:rsidRDefault="0066422B" w:rsidP="0066422B">
      <w:pPr>
        <w:pStyle w:val="Title"/>
        <w:tabs>
          <w:tab w:val="left" w:pos="4680"/>
          <w:tab w:val="left" w:pos="5040"/>
        </w:tabs>
        <w:jc w:val="left"/>
        <w:rPr>
          <w:rFonts w:ascii="Times New Roman" w:hAnsi="Times New Roman"/>
          <w:sz w:val="26"/>
          <w:szCs w:val="26"/>
        </w:rPr>
      </w:pPr>
    </w:p>
    <w:p w:rsidR="0066422B" w:rsidRDefault="0066422B" w:rsidP="0066422B">
      <w:pPr>
        <w:pStyle w:val="Title"/>
        <w:tabs>
          <w:tab w:val="left" w:pos="4680"/>
          <w:tab w:val="left" w:pos="5040"/>
        </w:tabs>
        <w:jc w:val="left"/>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William L. Wright</w:t>
      </w:r>
    </w:p>
    <w:p w:rsidR="0066422B" w:rsidRDefault="0066422B" w:rsidP="0066422B">
      <w:pPr>
        <w:pStyle w:val="Title"/>
        <w:tabs>
          <w:tab w:val="left" w:pos="4680"/>
          <w:tab w:val="left" w:pos="5040"/>
        </w:tabs>
        <w:jc w:val="left"/>
        <w:rPr>
          <w:rFonts w:ascii="Times New Roman" w:hAnsi="Times New Roman"/>
          <w:sz w:val="26"/>
          <w:szCs w:val="26"/>
        </w:rPr>
      </w:pPr>
      <w:r>
        <w:rPr>
          <w:rFonts w:ascii="Times New Roman" w:hAnsi="Times New Roman"/>
          <w:sz w:val="26"/>
          <w:szCs w:val="26"/>
        </w:rPr>
        <w:tab/>
        <w:t>Section Chief</w:t>
      </w:r>
    </w:p>
    <w:p w:rsidR="0066422B" w:rsidRDefault="0066422B" w:rsidP="0066422B">
      <w:pPr>
        <w:pStyle w:val="Title"/>
        <w:tabs>
          <w:tab w:val="left" w:pos="4680"/>
          <w:tab w:val="left" w:pos="5040"/>
        </w:tabs>
        <w:jc w:val="left"/>
        <w:rPr>
          <w:rFonts w:ascii="Times New Roman" w:hAnsi="Times New Roman"/>
          <w:sz w:val="26"/>
          <w:szCs w:val="26"/>
        </w:rPr>
      </w:pPr>
    </w:p>
    <w:p w:rsidR="0066422B" w:rsidRPr="00457AE8" w:rsidRDefault="0066422B" w:rsidP="0066422B">
      <w:pPr>
        <w:pStyle w:val="Title"/>
        <w:tabs>
          <w:tab w:val="left" w:pos="4680"/>
          <w:tab w:val="left" w:pos="9360"/>
        </w:tabs>
        <w:jc w:val="left"/>
        <w:rPr>
          <w:rFonts w:ascii="Viner Hand ITC" w:hAnsi="Viner Hand ITC"/>
          <w:i/>
          <w:sz w:val="32"/>
          <w:szCs w:val="32"/>
          <w:u w:val="single"/>
        </w:rPr>
      </w:pPr>
      <w:r w:rsidRPr="0066422B">
        <w:rPr>
          <w:rFonts w:ascii="Times New Roman" w:hAnsi="Times New Roman"/>
          <w:sz w:val="26"/>
          <w:szCs w:val="26"/>
        </w:rPr>
        <w:tab/>
      </w:r>
      <w:r w:rsidR="00457AE8" w:rsidRPr="00457AE8">
        <w:rPr>
          <w:rFonts w:ascii="Viner Hand ITC" w:hAnsi="Viner Hand ITC"/>
          <w:i/>
          <w:sz w:val="32"/>
          <w:szCs w:val="32"/>
          <w:u w:val="single"/>
        </w:rPr>
        <w:t>/s/ Stephen A. Reilly</w:t>
      </w:r>
      <w:r w:rsidRPr="00457AE8">
        <w:rPr>
          <w:rFonts w:ascii="Viner Hand ITC" w:hAnsi="Viner Hand ITC"/>
          <w:i/>
          <w:sz w:val="32"/>
          <w:szCs w:val="32"/>
          <w:u w:val="single"/>
        </w:rPr>
        <w:tab/>
      </w:r>
    </w:p>
    <w:p w:rsidR="0066422B" w:rsidRDefault="0066422B" w:rsidP="0066422B">
      <w:pPr>
        <w:pStyle w:val="Title"/>
        <w:tabs>
          <w:tab w:val="left" w:pos="4680"/>
          <w:tab w:val="left" w:pos="504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Stephen A. Reilly</w:t>
      </w:r>
    </w:p>
    <w:p w:rsidR="0066422B" w:rsidRDefault="0066422B" w:rsidP="0066422B">
      <w:pPr>
        <w:pStyle w:val="Title"/>
        <w:tabs>
          <w:tab w:val="left" w:pos="4680"/>
          <w:tab w:val="left" w:pos="5040"/>
        </w:tabs>
        <w:jc w:val="left"/>
        <w:rPr>
          <w:rFonts w:ascii="Times New Roman" w:hAnsi="Times New Roman"/>
          <w:sz w:val="26"/>
          <w:szCs w:val="26"/>
        </w:rPr>
      </w:pPr>
      <w:r>
        <w:rPr>
          <w:rFonts w:ascii="Times New Roman" w:hAnsi="Times New Roman"/>
          <w:sz w:val="26"/>
          <w:szCs w:val="26"/>
        </w:rPr>
        <w:tab/>
        <w:t>Assistant Attorney General</w:t>
      </w:r>
    </w:p>
    <w:p w:rsidR="0066422B" w:rsidRDefault="0066422B" w:rsidP="0066422B">
      <w:pPr>
        <w:pStyle w:val="Title"/>
        <w:tabs>
          <w:tab w:val="left" w:pos="4680"/>
          <w:tab w:val="left" w:pos="5040"/>
        </w:tabs>
        <w:jc w:val="left"/>
        <w:rPr>
          <w:rFonts w:ascii="Times New Roman" w:hAnsi="Times New Roman"/>
          <w:sz w:val="26"/>
          <w:szCs w:val="26"/>
        </w:rPr>
      </w:pPr>
      <w:r>
        <w:rPr>
          <w:rFonts w:ascii="Times New Roman" w:hAnsi="Times New Roman"/>
          <w:sz w:val="26"/>
          <w:szCs w:val="26"/>
        </w:rPr>
        <w:tab/>
        <w:t>Public Utilities Section</w:t>
      </w:r>
    </w:p>
    <w:p w:rsidR="0066422B" w:rsidRDefault="0066422B" w:rsidP="0066422B">
      <w:pPr>
        <w:pStyle w:val="Title"/>
        <w:tabs>
          <w:tab w:val="left" w:pos="4680"/>
          <w:tab w:val="left" w:pos="504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66422B" w:rsidRDefault="0066422B" w:rsidP="0066422B">
      <w:pPr>
        <w:pStyle w:val="Title"/>
        <w:tabs>
          <w:tab w:val="left" w:pos="4680"/>
          <w:tab w:val="left" w:pos="5040"/>
        </w:tabs>
        <w:jc w:val="left"/>
        <w:rPr>
          <w:rFonts w:ascii="Times New Roman" w:hAnsi="Times New Roman"/>
          <w:sz w:val="26"/>
          <w:szCs w:val="26"/>
        </w:rPr>
      </w:pPr>
      <w:r>
        <w:rPr>
          <w:rFonts w:ascii="Times New Roman" w:hAnsi="Times New Roman"/>
          <w:sz w:val="26"/>
          <w:szCs w:val="26"/>
        </w:rPr>
        <w:tab/>
        <w:t>Columbus, OH  43215-3793</w:t>
      </w:r>
    </w:p>
    <w:p w:rsidR="0066422B" w:rsidRDefault="0066422B" w:rsidP="0066422B">
      <w:pPr>
        <w:pStyle w:val="Title"/>
        <w:tabs>
          <w:tab w:val="left" w:pos="4680"/>
          <w:tab w:val="left" w:pos="5040"/>
        </w:tabs>
        <w:jc w:val="left"/>
        <w:rPr>
          <w:rFonts w:ascii="Times New Roman" w:hAnsi="Times New Roman"/>
          <w:sz w:val="26"/>
          <w:szCs w:val="26"/>
        </w:rPr>
      </w:pPr>
      <w:r>
        <w:rPr>
          <w:rFonts w:ascii="Times New Roman" w:hAnsi="Times New Roman"/>
          <w:sz w:val="26"/>
          <w:szCs w:val="26"/>
        </w:rPr>
        <w:tab/>
        <w:t>614.466.4397 (telephone)</w:t>
      </w:r>
    </w:p>
    <w:p w:rsidR="0066422B" w:rsidRDefault="0066422B" w:rsidP="0066422B">
      <w:pPr>
        <w:pStyle w:val="Title"/>
        <w:tabs>
          <w:tab w:val="left" w:pos="4680"/>
          <w:tab w:val="left" w:pos="5040"/>
        </w:tabs>
        <w:jc w:val="left"/>
        <w:rPr>
          <w:rFonts w:ascii="Times New Roman" w:hAnsi="Times New Roman"/>
          <w:sz w:val="26"/>
          <w:szCs w:val="26"/>
        </w:rPr>
      </w:pPr>
      <w:r>
        <w:rPr>
          <w:rFonts w:ascii="Times New Roman" w:hAnsi="Times New Roman"/>
          <w:sz w:val="26"/>
          <w:szCs w:val="26"/>
        </w:rPr>
        <w:tab/>
        <w:t>614.644.8764 (fax)</w:t>
      </w:r>
    </w:p>
    <w:p w:rsidR="0066422B" w:rsidRDefault="0066422B" w:rsidP="0066422B">
      <w:pPr>
        <w:pStyle w:val="Title"/>
        <w:tabs>
          <w:tab w:val="left" w:pos="4680"/>
          <w:tab w:val="left" w:pos="5040"/>
        </w:tabs>
        <w:jc w:val="left"/>
        <w:rPr>
          <w:rFonts w:ascii="Times New Roman" w:hAnsi="Times New Roman"/>
          <w:sz w:val="26"/>
          <w:szCs w:val="26"/>
        </w:rPr>
      </w:pPr>
      <w:r>
        <w:rPr>
          <w:rFonts w:ascii="Times New Roman" w:hAnsi="Times New Roman"/>
          <w:sz w:val="26"/>
          <w:szCs w:val="26"/>
        </w:rPr>
        <w:tab/>
      </w:r>
      <w:hyperlink r:id="rId13" w:history="1">
        <w:r w:rsidRPr="008D3D1D">
          <w:rPr>
            <w:rStyle w:val="Hyperlink"/>
            <w:rFonts w:ascii="Times New Roman" w:hAnsi="Times New Roman"/>
            <w:sz w:val="26"/>
            <w:szCs w:val="26"/>
          </w:rPr>
          <w:t>stephen.reilly@puc.state.oh.us</w:t>
        </w:r>
      </w:hyperlink>
    </w:p>
    <w:p w:rsidR="00200A0A" w:rsidRDefault="00200A0A" w:rsidP="0066422B">
      <w:pPr>
        <w:tabs>
          <w:tab w:val="left" w:pos="4680"/>
          <w:tab w:val="left" w:pos="9348"/>
        </w:tabs>
        <w:ind w:left="5040"/>
        <w:rPr>
          <w:b/>
          <w:sz w:val="26"/>
          <w:szCs w:val="26"/>
        </w:rPr>
      </w:pPr>
    </w:p>
    <w:p w:rsidR="0066422B" w:rsidRPr="0064436A" w:rsidRDefault="0066422B" w:rsidP="005915E1">
      <w:pPr>
        <w:tabs>
          <w:tab w:val="left" w:pos="9348"/>
        </w:tabs>
        <w:ind w:left="4680"/>
        <w:rPr>
          <w:b/>
          <w:sz w:val="26"/>
          <w:szCs w:val="26"/>
        </w:rPr>
      </w:pPr>
      <w:r>
        <w:rPr>
          <w:b/>
          <w:sz w:val="26"/>
          <w:szCs w:val="26"/>
        </w:rPr>
        <w:t>On behalf of the Staff of</w:t>
      </w:r>
      <w:r>
        <w:rPr>
          <w:b/>
          <w:sz w:val="26"/>
          <w:szCs w:val="26"/>
        </w:rPr>
        <w:br/>
        <w:t>The Public Utilities Commission of Ohio</w:t>
      </w:r>
    </w:p>
    <w:p w:rsidR="00200A0A" w:rsidRPr="00934B92" w:rsidRDefault="00200A0A" w:rsidP="0064436A">
      <w:pPr>
        <w:pStyle w:val="Heading1"/>
      </w:pPr>
      <w:r w:rsidRPr="00955E20">
        <w:br w:type="page"/>
      </w:r>
      <w:bookmarkStart w:id="18" w:name="_Toc205862526"/>
      <w:bookmarkStart w:id="19" w:name="_Toc260212964"/>
      <w:r w:rsidR="00C95499" w:rsidRPr="00934B92">
        <w:rPr>
          <w:caps w:val="0"/>
        </w:rPr>
        <w:lastRenderedPageBreak/>
        <w:t>PROOF OF SERVICE</w:t>
      </w:r>
      <w:bookmarkEnd w:id="18"/>
      <w:bookmarkEnd w:id="19"/>
    </w:p>
    <w:p w:rsidR="00200A0A" w:rsidRPr="00DF3D54" w:rsidRDefault="0064436A" w:rsidP="005915E1">
      <w:pPr>
        <w:pStyle w:val="textstyle0"/>
      </w:pPr>
      <w:r>
        <w:tab/>
      </w:r>
      <w:r w:rsidR="00200A0A" w:rsidRPr="00934B92">
        <w:t xml:space="preserve">I hereby certify that a true copy of the foregoing </w:t>
      </w:r>
      <w:r w:rsidR="00721F2D">
        <w:rPr>
          <w:b/>
        </w:rPr>
        <w:t>Post-Hearing Brief</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was served by regular U.S. mail, postage pre</w:t>
      </w:r>
      <w:r w:rsidR="00200A0A" w:rsidRPr="00934B92">
        <w:softHyphen/>
        <w:t xml:space="preserve">paid, or hand-delivered, upon </w:t>
      </w:r>
      <w:r w:rsidR="00977F01">
        <w:t>the following Parties of Record</w:t>
      </w:r>
      <w:r w:rsidR="00721F2D">
        <w:t xml:space="preserve">, </w:t>
      </w:r>
      <w:r w:rsidR="00200A0A" w:rsidRPr="00934B92">
        <w:t xml:space="preserve">this </w:t>
      </w:r>
      <w:r w:rsidR="00721F2D">
        <w:t>11</w:t>
      </w:r>
      <w:r w:rsidR="001A5C2F" w:rsidRPr="001A5C2F">
        <w:rPr>
          <w:vertAlign w:val="superscript"/>
        </w:rPr>
        <w:t>th</w:t>
      </w:r>
      <w:r w:rsidR="001A5C2F">
        <w:t xml:space="preserve"> </w:t>
      </w:r>
      <w:r w:rsidR="004B6358">
        <w:t>d</w:t>
      </w:r>
      <w:r w:rsidR="00200A0A" w:rsidRPr="00934B92">
        <w:t xml:space="preserve">ay of </w:t>
      </w:r>
      <w:r w:rsidR="0066422B">
        <w:t>December, 2012</w:t>
      </w:r>
      <w:r w:rsidR="00200A0A" w:rsidRPr="00934B92">
        <w:t>.</w:t>
      </w:r>
    </w:p>
    <w:p w:rsidR="00457AE8" w:rsidRPr="00457AE8" w:rsidRDefault="00457AE8" w:rsidP="00457AE8">
      <w:pPr>
        <w:pStyle w:val="Title"/>
        <w:tabs>
          <w:tab w:val="left" w:pos="4320"/>
          <w:tab w:val="left" w:pos="9360"/>
        </w:tabs>
        <w:jc w:val="left"/>
        <w:rPr>
          <w:rFonts w:ascii="Viner Hand ITC" w:hAnsi="Viner Hand ITC"/>
          <w:i/>
          <w:sz w:val="32"/>
          <w:szCs w:val="32"/>
          <w:u w:val="single"/>
        </w:rPr>
      </w:pPr>
      <w:r w:rsidRPr="0066422B">
        <w:rPr>
          <w:rFonts w:ascii="Times New Roman" w:hAnsi="Times New Roman"/>
          <w:sz w:val="26"/>
          <w:szCs w:val="26"/>
        </w:rPr>
        <w:tab/>
      </w:r>
      <w:r w:rsidRPr="00457AE8">
        <w:rPr>
          <w:rFonts w:ascii="Viner Hand ITC" w:hAnsi="Viner Hand ITC"/>
          <w:i/>
          <w:sz w:val="32"/>
          <w:szCs w:val="32"/>
          <w:u w:val="single"/>
        </w:rPr>
        <w:t>/s/ Stephen A. Reilly</w:t>
      </w:r>
      <w:r w:rsidRPr="00457AE8">
        <w:rPr>
          <w:rFonts w:ascii="Viner Hand ITC" w:hAnsi="Viner Hand ITC"/>
          <w:i/>
          <w:sz w:val="32"/>
          <w:szCs w:val="32"/>
          <w:u w:val="single"/>
        </w:rPr>
        <w:tab/>
      </w:r>
    </w:p>
    <w:p w:rsidR="00200A0A" w:rsidRPr="00DF3D54" w:rsidRDefault="0066422B" w:rsidP="00200A0A">
      <w:pPr>
        <w:ind w:left="4332"/>
        <w:jc w:val="both"/>
        <w:rPr>
          <w:b/>
          <w:sz w:val="26"/>
          <w:szCs w:val="26"/>
        </w:rPr>
      </w:pPr>
      <w:r>
        <w:rPr>
          <w:b/>
          <w:sz w:val="26"/>
          <w:szCs w:val="26"/>
        </w:rPr>
        <w:t>Stephen A. Reilly</w:t>
      </w:r>
    </w:p>
    <w:p w:rsidR="00200A0A" w:rsidRDefault="00200A0A" w:rsidP="00200A0A">
      <w:pPr>
        <w:ind w:left="4332"/>
        <w:jc w:val="both"/>
        <w:rPr>
          <w:sz w:val="26"/>
          <w:szCs w:val="26"/>
        </w:rPr>
      </w:pPr>
      <w:r w:rsidRPr="00DF3D54">
        <w:rPr>
          <w:sz w:val="26"/>
          <w:szCs w:val="26"/>
        </w:rPr>
        <w:t>Assistant Attorney General</w:t>
      </w:r>
    </w:p>
    <w:p w:rsidR="00977F01" w:rsidRDefault="00977F01" w:rsidP="00200A0A">
      <w:pPr>
        <w:ind w:left="4332"/>
        <w:jc w:val="both"/>
        <w:rPr>
          <w:sz w:val="26"/>
          <w:szCs w:val="26"/>
        </w:rPr>
      </w:pP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Look w:val="01E0" w:firstRow="1" w:lastRow="1" w:firstColumn="1" w:lastColumn="1" w:noHBand="0" w:noVBand="0"/>
      </w:tblPr>
      <w:tblGrid>
        <w:gridCol w:w="4788"/>
        <w:gridCol w:w="4788"/>
      </w:tblGrid>
      <w:tr w:rsidR="00977F01" w:rsidRPr="00D2703A" w:rsidTr="006D4892">
        <w:tc>
          <w:tcPr>
            <w:tcW w:w="4788" w:type="dxa"/>
          </w:tcPr>
          <w:p w:rsidR="001753E9" w:rsidRDefault="0066422B" w:rsidP="006D4892">
            <w:pPr>
              <w:rPr>
                <w:sz w:val="26"/>
                <w:szCs w:val="26"/>
              </w:rPr>
            </w:pPr>
            <w:r>
              <w:rPr>
                <w:sz w:val="26"/>
                <w:szCs w:val="26"/>
              </w:rPr>
              <w:t>Matthew W. Warnock</w:t>
            </w:r>
          </w:p>
          <w:p w:rsidR="001753E9" w:rsidRDefault="001753E9" w:rsidP="006D4892">
            <w:pPr>
              <w:rPr>
                <w:sz w:val="26"/>
                <w:szCs w:val="26"/>
              </w:rPr>
            </w:pPr>
            <w:r>
              <w:rPr>
                <w:sz w:val="26"/>
                <w:szCs w:val="26"/>
              </w:rPr>
              <w:t>J. Thomas Siwo</w:t>
            </w:r>
          </w:p>
          <w:p w:rsidR="0066422B" w:rsidRDefault="0066422B" w:rsidP="006D4892">
            <w:pPr>
              <w:rPr>
                <w:sz w:val="26"/>
                <w:szCs w:val="26"/>
              </w:rPr>
            </w:pPr>
            <w:r>
              <w:rPr>
                <w:sz w:val="26"/>
                <w:szCs w:val="26"/>
              </w:rPr>
              <w:t>Bricker &amp; Eckler</w:t>
            </w:r>
          </w:p>
          <w:p w:rsidR="0066422B" w:rsidRDefault="0066422B" w:rsidP="006D4892">
            <w:pPr>
              <w:rPr>
                <w:sz w:val="26"/>
                <w:szCs w:val="26"/>
              </w:rPr>
            </w:pPr>
            <w:r>
              <w:rPr>
                <w:sz w:val="26"/>
                <w:szCs w:val="26"/>
              </w:rPr>
              <w:t>100 South Third Street</w:t>
            </w:r>
          </w:p>
          <w:p w:rsidR="0066422B" w:rsidRDefault="0066422B" w:rsidP="006D4892">
            <w:pPr>
              <w:rPr>
                <w:sz w:val="26"/>
                <w:szCs w:val="26"/>
              </w:rPr>
            </w:pPr>
            <w:r>
              <w:rPr>
                <w:sz w:val="26"/>
                <w:szCs w:val="26"/>
              </w:rPr>
              <w:t>Columbus, OH  43215</w:t>
            </w:r>
          </w:p>
          <w:p w:rsidR="0066422B" w:rsidRDefault="00A00283" w:rsidP="006D4892">
            <w:pPr>
              <w:rPr>
                <w:sz w:val="26"/>
                <w:szCs w:val="26"/>
              </w:rPr>
            </w:pPr>
            <w:hyperlink r:id="rId14" w:history="1">
              <w:r w:rsidR="0066422B" w:rsidRPr="008D3D1D">
                <w:rPr>
                  <w:rStyle w:val="Hyperlink"/>
                  <w:sz w:val="26"/>
                  <w:szCs w:val="26"/>
                </w:rPr>
                <w:t>mwarnock@bricker.com</w:t>
              </w:r>
            </w:hyperlink>
          </w:p>
          <w:p w:rsidR="0066422B" w:rsidRDefault="00A00283" w:rsidP="006D4892">
            <w:pPr>
              <w:rPr>
                <w:sz w:val="26"/>
                <w:szCs w:val="26"/>
              </w:rPr>
            </w:pPr>
            <w:hyperlink r:id="rId15" w:history="1">
              <w:r w:rsidR="001753E9" w:rsidRPr="008D3D1D">
                <w:rPr>
                  <w:rStyle w:val="Hyperlink"/>
                  <w:sz w:val="26"/>
                  <w:szCs w:val="26"/>
                </w:rPr>
                <w:t>tsiwo@bricker.com</w:t>
              </w:r>
            </w:hyperlink>
          </w:p>
          <w:p w:rsidR="001753E9" w:rsidRDefault="001753E9" w:rsidP="006D4892">
            <w:pPr>
              <w:rPr>
                <w:sz w:val="26"/>
                <w:szCs w:val="26"/>
              </w:rPr>
            </w:pPr>
          </w:p>
          <w:p w:rsidR="0066422B" w:rsidRDefault="0066422B" w:rsidP="006D4892">
            <w:pPr>
              <w:rPr>
                <w:sz w:val="26"/>
                <w:szCs w:val="26"/>
              </w:rPr>
            </w:pPr>
            <w:r>
              <w:rPr>
                <w:sz w:val="26"/>
                <w:szCs w:val="26"/>
              </w:rPr>
              <w:t>M. Howard Petricoff</w:t>
            </w:r>
          </w:p>
          <w:p w:rsidR="001753E9" w:rsidRDefault="001753E9" w:rsidP="006D4892">
            <w:pPr>
              <w:rPr>
                <w:sz w:val="26"/>
                <w:szCs w:val="26"/>
              </w:rPr>
            </w:pPr>
            <w:r>
              <w:rPr>
                <w:sz w:val="26"/>
                <w:szCs w:val="26"/>
              </w:rPr>
              <w:t>Stephen Howard</w:t>
            </w:r>
          </w:p>
          <w:p w:rsidR="0066422B" w:rsidRDefault="0066422B" w:rsidP="006D4892">
            <w:pPr>
              <w:rPr>
                <w:sz w:val="26"/>
                <w:szCs w:val="26"/>
              </w:rPr>
            </w:pPr>
            <w:r>
              <w:rPr>
                <w:sz w:val="26"/>
                <w:szCs w:val="26"/>
              </w:rPr>
              <w:t>Vorys Sater Seymour &amp; Pease</w:t>
            </w:r>
          </w:p>
          <w:p w:rsidR="0066422B" w:rsidRDefault="0066422B" w:rsidP="006D4892">
            <w:pPr>
              <w:rPr>
                <w:sz w:val="26"/>
                <w:szCs w:val="26"/>
              </w:rPr>
            </w:pPr>
            <w:r>
              <w:rPr>
                <w:sz w:val="26"/>
                <w:szCs w:val="26"/>
              </w:rPr>
              <w:t>52 East Gay Street</w:t>
            </w:r>
          </w:p>
          <w:p w:rsidR="0066422B" w:rsidRDefault="0066422B" w:rsidP="006D4892">
            <w:pPr>
              <w:rPr>
                <w:sz w:val="26"/>
                <w:szCs w:val="26"/>
              </w:rPr>
            </w:pPr>
            <w:r>
              <w:rPr>
                <w:sz w:val="26"/>
                <w:szCs w:val="26"/>
              </w:rPr>
              <w:t>P.O. Box 1008</w:t>
            </w:r>
          </w:p>
          <w:p w:rsidR="0066422B" w:rsidRDefault="0066422B" w:rsidP="006D4892">
            <w:pPr>
              <w:rPr>
                <w:sz w:val="26"/>
                <w:szCs w:val="26"/>
              </w:rPr>
            </w:pPr>
            <w:r>
              <w:rPr>
                <w:sz w:val="26"/>
                <w:szCs w:val="26"/>
              </w:rPr>
              <w:t>Columbus, OH  43216-1008</w:t>
            </w:r>
          </w:p>
          <w:p w:rsidR="0066422B" w:rsidRDefault="00A00283" w:rsidP="006D4892">
            <w:pPr>
              <w:rPr>
                <w:sz w:val="26"/>
                <w:szCs w:val="26"/>
              </w:rPr>
            </w:pPr>
            <w:hyperlink r:id="rId16" w:history="1">
              <w:r w:rsidR="0066422B" w:rsidRPr="008D3D1D">
                <w:rPr>
                  <w:rStyle w:val="Hyperlink"/>
                  <w:sz w:val="26"/>
                  <w:szCs w:val="26"/>
                </w:rPr>
                <w:t>mhpetricoff@vorys.com</w:t>
              </w:r>
            </w:hyperlink>
          </w:p>
          <w:p w:rsidR="001753E9" w:rsidRDefault="00A00283" w:rsidP="006D4892">
            <w:pPr>
              <w:rPr>
                <w:sz w:val="26"/>
                <w:szCs w:val="26"/>
              </w:rPr>
            </w:pPr>
            <w:hyperlink r:id="rId17" w:history="1">
              <w:r w:rsidR="001753E9" w:rsidRPr="008D3D1D">
                <w:rPr>
                  <w:rStyle w:val="Hyperlink"/>
                  <w:sz w:val="26"/>
                  <w:szCs w:val="26"/>
                </w:rPr>
                <w:t>smhoward@vorys.com</w:t>
              </w:r>
            </w:hyperlink>
          </w:p>
          <w:p w:rsidR="0066422B" w:rsidRDefault="0066422B" w:rsidP="006D4892">
            <w:pPr>
              <w:rPr>
                <w:sz w:val="26"/>
                <w:szCs w:val="26"/>
              </w:rPr>
            </w:pPr>
          </w:p>
          <w:p w:rsidR="0066422B" w:rsidRDefault="0066422B" w:rsidP="006D4892">
            <w:pPr>
              <w:rPr>
                <w:sz w:val="26"/>
                <w:szCs w:val="26"/>
              </w:rPr>
            </w:pPr>
            <w:r>
              <w:rPr>
                <w:sz w:val="26"/>
                <w:szCs w:val="26"/>
              </w:rPr>
              <w:t>John L. Einste</w:t>
            </w:r>
            <w:r w:rsidR="0057471A">
              <w:rPr>
                <w:sz w:val="26"/>
                <w:szCs w:val="26"/>
              </w:rPr>
              <w:t>i</w:t>
            </w:r>
            <w:r>
              <w:rPr>
                <w:sz w:val="26"/>
                <w:szCs w:val="26"/>
              </w:rPr>
              <w:t>n</w:t>
            </w:r>
            <w:r w:rsidR="0057471A">
              <w:rPr>
                <w:sz w:val="26"/>
                <w:szCs w:val="26"/>
              </w:rPr>
              <w:t xml:space="preserve"> IV</w:t>
            </w:r>
          </w:p>
          <w:p w:rsidR="0066422B" w:rsidRDefault="0066422B" w:rsidP="006D4892">
            <w:pPr>
              <w:rPr>
                <w:sz w:val="26"/>
                <w:szCs w:val="26"/>
              </w:rPr>
            </w:pPr>
            <w:r>
              <w:rPr>
                <w:sz w:val="26"/>
                <w:szCs w:val="26"/>
              </w:rPr>
              <w:t>Volunteer Energy Services, Inc.</w:t>
            </w:r>
          </w:p>
          <w:p w:rsidR="0066422B" w:rsidRDefault="0066422B" w:rsidP="006D4892">
            <w:pPr>
              <w:rPr>
                <w:sz w:val="26"/>
                <w:szCs w:val="26"/>
              </w:rPr>
            </w:pPr>
            <w:r>
              <w:rPr>
                <w:sz w:val="26"/>
                <w:szCs w:val="26"/>
              </w:rPr>
              <w:t>790 Windmiller Drive</w:t>
            </w:r>
          </w:p>
          <w:p w:rsidR="0066422B" w:rsidRDefault="0066422B" w:rsidP="006D4892">
            <w:pPr>
              <w:rPr>
                <w:sz w:val="26"/>
                <w:szCs w:val="26"/>
              </w:rPr>
            </w:pPr>
            <w:r>
              <w:rPr>
                <w:sz w:val="26"/>
                <w:szCs w:val="26"/>
              </w:rPr>
              <w:t>Pickerington, OH  43147</w:t>
            </w:r>
          </w:p>
          <w:p w:rsidR="0066422B" w:rsidRDefault="00A00283" w:rsidP="006D4892">
            <w:pPr>
              <w:rPr>
                <w:sz w:val="26"/>
                <w:szCs w:val="26"/>
              </w:rPr>
            </w:pPr>
            <w:hyperlink r:id="rId18" w:history="1">
              <w:r w:rsidR="0057471A" w:rsidRPr="008D3D1D">
                <w:rPr>
                  <w:rStyle w:val="Hyperlink"/>
                  <w:sz w:val="26"/>
                  <w:szCs w:val="26"/>
                </w:rPr>
                <w:t>jeinstein@volunteerenergy.com</w:t>
              </w:r>
            </w:hyperlink>
          </w:p>
          <w:p w:rsidR="0066422B" w:rsidRDefault="0066422B" w:rsidP="006D4892">
            <w:pPr>
              <w:rPr>
                <w:sz w:val="26"/>
                <w:szCs w:val="26"/>
              </w:rPr>
            </w:pPr>
          </w:p>
          <w:p w:rsidR="005915E1" w:rsidRDefault="005915E1" w:rsidP="006D4892">
            <w:pPr>
              <w:rPr>
                <w:sz w:val="26"/>
                <w:szCs w:val="26"/>
              </w:rPr>
            </w:pPr>
          </w:p>
          <w:p w:rsidR="005915E1" w:rsidRDefault="005915E1" w:rsidP="006D4892">
            <w:pPr>
              <w:rPr>
                <w:sz w:val="26"/>
                <w:szCs w:val="26"/>
              </w:rPr>
            </w:pPr>
          </w:p>
          <w:p w:rsidR="005915E1" w:rsidRDefault="005915E1" w:rsidP="006D4892">
            <w:pPr>
              <w:rPr>
                <w:sz w:val="26"/>
                <w:szCs w:val="26"/>
              </w:rPr>
            </w:pPr>
          </w:p>
          <w:p w:rsidR="001753E9" w:rsidRDefault="001753E9" w:rsidP="006D4892">
            <w:pPr>
              <w:rPr>
                <w:sz w:val="26"/>
                <w:szCs w:val="26"/>
              </w:rPr>
            </w:pPr>
            <w:r>
              <w:rPr>
                <w:sz w:val="26"/>
                <w:szCs w:val="26"/>
              </w:rPr>
              <w:t>Matthew S. White</w:t>
            </w:r>
          </w:p>
          <w:p w:rsidR="001753E9" w:rsidRDefault="001753E9" w:rsidP="006D4892">
            <w:pPr>
              <w:rPr>
                <w:sz w:val="26"/>
                <w:szCs w:val="26"/>
              </w:rPr>
            </w:pPr>
            <w:r>
              <w:rPr>
                <w:sz w:val="26"/>
                <w:szCs w:val="26"/>
              </w:rPr>
              <w:t>Interstate Gas Supply, Inc.</w:t>
            </w:r>
          </w:p>
          <w:p w:rsidR="001753E9" w:rsidRDefault="001753E9" w:rsidP="006D4892">
            <w:pPr>
              <w:rPr>
                <w:sz w:val="26"/>
                <w:szCs w:val="26"/>
              </w:rPr>
            </w:pPr>
            <w:r>
              <w:rPr>
                <w:sz w:val="26"/>
                <w:szCs w:val="26"/>
              </w:rPr>
              <w:t>6100 Emerald Parkway</w:t>
            </w:r>
          </w:p>
          <w:p w:rsidR="001753E9" w:rsidRDefault="001753E9" w:rsidP="006D4892">
            <w:pPr>
              <w:rPr>
                <w:sz w:val="26"/>
                <w:szCs w:val="26"/>
              </w:rPr>
            </w:pPr>
            <w:r>
              <w:rPr>
                <w:sz w:val="26"/>
                <w:szCs w:val="26"/>
              </w:rPr>
              <w:t>Dublin, OH  43016</w:t>
            </w:r>
          </w:p>
          <w:p w:rsidR="001753E9" w:rsidRDefault="00A00283" w:rsidP="001753E9">
            <w:pPr>
              <w:rPr>
                <w:sz w:val="26"/>
                <w:szCs w:val="26"/>
              </w:rPr>
            </w:pPr>
            <w:hyperlink r:id="rId19" w:history="1">
              <w:r w:rsidR="001753E9" w:rsidRPr="008D3D1D">
                <w:rPr>
                  <w:rStyle w:val="Hyperlink"/>
                  <w:sz w:val="26"/>
                  <w:szCs w:val="26"/>
                </w:rPr>
                <w:t>mswhite@igsenergy.com</w:t>
              </w:r>
            </w:hyperlink>
          </w:p>
          <w:p w:rsidR="001753E9" w:rsidRDefault="001753E9" w:rsidP="001753E9">
            <w:pPr>
              <w:rPr>
                <w:sz w:val="26"/>
                <w:szCs w:val="26"/>
              </w:rPr>
            </w:pPr>
          </w:p>
          <w:p w:rsidR="001753E9" w:rsidRDefault="001753E9" w:rsidP="001753E9">
            <w:pPr>
              <w:rPr>
                <w:sz w:val="26"/>
                <w:szCs w:val="26"/>
              </w:rPr>
            </w:pPr>
            <w:r>
              <w:rPr>
                <w:sz w:val="26"/>
                <w:szCs w:val="26"/>
              </w:rPr>
              <w:t>Barth E. Royer</w:t>
            </w:r>
          </w:p>
          <w:p w:rsidR="001753E9" w:rsidRDefault="001753E9" w:rsidP="001753E9">
            <w:pPr>
              <w:rPr>
                <w:sz w:val="26"/>
                <w:szCs w:val="26"/>
              </w:rPr>
            </w:pPr>
            <w:r>
              <w:rPr>
                <w:sz w:val="26"/>
                <w:szCs w:val="26"/>
              </w:rPr>
              <w:t>Bell &amp; Royer</w:t>
            </w:r>
          </w:p>
          <w:p w:rsidR="001753E9" w:rsidRDefault="001753E9" w:rsidP="001753E9">
            <w:pPr>
              <w:rPr>
                <w:sz w:val="26"/>
                <w:szCs w:val="26"/>
              </w:rPr>
            </w:pPr>
            <w:r>
              <w:rPr>
                <w:sz w:val="26"/>
                <w:szCs w:val="26"/>
              </w:rPr>
              <w:t>33 South Grant Avenue</w:t>
            </w:r>
          </w:p>
          <w:p w:rsidR="001753E9" w:rsidRDefault="001753E9" w:rsidP="001753E9">
            <w:pPr>
              <w:rPr>
                <w:sz w:val="26"/>
                <w:szCs w:val="26"/>
              </w:rPr>
            </w:pPr>
            <w:r>
              <w:rPr>
                <w:sz w:val="26"/>
                <w:szCs w:val="26"/>
              </w:rPr>
              <w:t>Columbus, OH  43215-3900</w:t>
            </w:r>
          </w:p>
          <w:p w:rsidR="001753E9" w:rsidRDefault="00A00283" w:rsidP="001753E9">
            <w:pPr>
              <w:rPr>
                <w:sz w:val="26"/>
                <w:szCs w:val="26"/>
              </w:rPr>
            </w:pPr>
            <w:hyperlink r:id="rId20" w:history="1">
              <w:r w:rsidR="001753E9" w:rsidRPr="008D3D1D">
                <w:rPr>
                  <w:rStyle w:val="Hyperlink"/>
                  <w:sz w:val="26"/>
                  <w:szCs w:val="26"/>
                </w:rPr>
                <w:t>barthroyer@aol.com</w:t>
              </w:r>
            </w:hyperlink>
          </w:p>
          <w:p w:rsidR="001753E9" w:rsidRDefault="001753E9" w:rsidP="001753E9">
            <w:pPr>
              <w:rPr>
                <w:sz w:val="26"/>
                <w:szCs w:val="26"/>
              </w:rPr>
            </w:pPr>
          </w:p>
          <w:p w:rsidR="001753E9" w:rsidRDefault="001753E9" w:rsidP="001753E9">
            <w:pPr>
              <w:rPr>
                <w:sz w:val="26"/>
                <w:szCs w:val="26"/>
              </w:rPr>
            </w:pPr>
            <w:r>
              <w:rPr>
                <w:sz w:val="26"/>
                <w:szCs w:val="26"/>
              </w:rPr>
              <w:t>Dane Stinson</w:t>
            </w:r>
          </w:p>
          <w:p w:rsidR="001753E9" w:rsidRDefault="001753E9" w:rsidP="001753E9">
            <w:pPr>
              <w:rPr>
                <w:sz w:val="26"/>
                <w:szCs w:val="26"/>
              </w:rPr>
            </w:pPr>
            <w:r>
              <w:rPr>
                <w:sz w:val="26"/>
                <w:szCs w:val="26"/>
              </w:rPr>
              <w:t>Bailey Cavalieri</w:t>
            </w:r>
          </w:p>
          <w:p w:rsidR="001753E9" w:rsidRDefault="001753E9" w:rsidP="001753E9">
            <w:pPr>
              <w:rPr>
                <w:sz w:val="26"/>
                <w:szCs w:val="26"/>
              </w:rPr>
            </w:pPr>
            <w:r>
              <w:rPr>
                <w:sz w:val="26"/>
                <w:szCs w:val="26"/>
              </w:rPr>
              <w:t>One Columbus</w:t>
            </w:r>
          </w:p>
          <w:p w:rsidR="001753E9" w:rsidRDefault="001753E9" w:rsidP="001753E9">
            <w:pPr>
              <w:rPr>
                <w:sz w:val="26"/>
                <w:szCs w:val="26"/>
              </w:rPr>
            </w:pPr>
            <w:r>
              <w:rPr>
                <w:sz w:val="26"/>
                <w:szCs w:val="26"/>
              </w:rPr>
              <w:t>Ten West Broad Street</w:t>
            </w:r>
          </w:p>
          <w:p w:rsidR="001753E9" w:rsidRDefault="001753E9" w:rsidP="001753E9">
            <w:pPr>
              <w:rPr>
                <w:sz w:val="26"/>
                <w:szCs w:val="26"/>
              </w:rPr>
            </w:pPr>
            <w:r>
              <w:rPr>
                <w:sz w:val="26"/>
                <w:szCs w:val="26"/>
              </w:rPr>
              <w:t>Suite 2100</w:t>
            </w:r>
          </w:p>
          <w:p w:rsidR="001753E9" w:rsidRDefault="001753E9" w:rsidP="001753E9">
            <w:pPr>
              <w:rPr>
                <w:sz w:val="26"/>
                <w:szCs w:val="26"/>
              </w:rPr>
            </w:pPr>
            <w:r>
              <w:rPr>
                <w:sz w:val="26"/>
                <w:szCs w:val="26"/>
              </w:rPr>
              <w:t>Columbus, OH  43215-3422</w:t>
            </w:r>
          </w:p>
          <w:p w:rsidR="001753E9" w:rsidRDefault="00A00283" w:rsidP="001753E9">
            <w:pPr>
              <w:rPr>
                <w:sz w:val="26"/>
                <w:szCs w:val="26"/>
              </w:rPr>
            </w:pPr>
            <w:hyperlink r:id="rId21" w:history="1">
              <w:r w:rsidR="0057471A" w:rsidRPr="008D3D1D">
                <w:rPr>
                  <w:rStyle w:val="Hyperlink"/>
                  <w:sz w:val="26"/>
                  <w:szCs w:val="26"/>
                </w:rPr>
                <w:t>dane.stinson@baileycavalieri.com</w:t>
              </w:r>
            </w:hyperlink>
          </w:p>
          <w:p w:rsidR="001753E9" w:rsidRDefault="001753E9" w:rsidP="001753E9">
            <w:pPr>
              <w:rPr>
                <w:sz w:val="26"/>
                <w:szCs w:val="26"/>
              </w:rPr>
            </w:pPr>
          </w:p>
          <w:p w:rsidR="0057471A" w:rsidRDefault="0057471A" w:rsidP="001753E9">
            <w:pPr>
              <w:rPr>
                <w:sz w:val="26"/>
                <w:szCs w:val="26"/>
              </w:rPr>
            </w:pPr>
            <w:r>
              <w:rPr>
                <w:sz w:val="26"/>
                <w:szCs w:val="26"/>
              </w:rPr>
              <w:t>Bruce J. Weston</w:t>
            </w:r>
          </w:p>
          <w:p w:rsidR="0057471A" w:rsidRDefault="0057471A" w:rsidP="001753E9">
            <w:pPr>
              <w:rPr>
                <w:sz w:val="26"/>
                <w:szCs w:val="26"/>
              </w:rPr>
            </w:pPr>
            <w:r>
              <w:rPr>
                <w:sz w:val="26"/>
                <w:szCs w:val="26"/>
              </w:rPr>
              <w:t>Larry S. Sauer</w:t>
            </w:r>
          </w:p>
          <w:p w:rsidR="0057471A" w:rsidRDefault="0057471A" w:rsidP="001753E9">
            <w:pPr>
              <w:rPr>
                <w:sz w:val="26"/>
                <w:szCs w:val="26"/>
              </w:rPr>
            </w:pPr>
            <w:r>
              <w:rPr>
                <w:sz w:val="26"/>
                <w:szCs w:val="26"/>
              </w:rPr>
              <w:t>Joseph P. Serio</w:t>
            </w:r>
          </w:p>
          <w:p w:rsidR="0057471A" w:rsidRDefault="0057471A" w:rsidP="001753E9">
            <w:pPr>
              <w:rPr>
                <w:sz w:val="26"/>
                <w:szCs w:val="26"/>
              </w:rPr>
            </w:pPr>
            <w:r>
              <w:rPr>
                <w:sz w:val="26"/>
                <w:szCs w:val="26"/>
              </w:rPr>
              <w:t>Assistant Consumers’ Counsel</w:t>
            </w:r>
          </w:p>
          <w:p w:rsidR="0057471A" w:rsidRDefault="0057471A" w:rsidP="001753E9">
            <w:pPr>
              <w:rPr>
                <w:sz w:val="26"/>
                <w:szCs w:val="26"/>
              </w:rPr>
            </w:pPr>
            <w:r>
              <w:rPr>
                <w:sz w:val="26"/>
                <w:szCs w:val="26"/>
              </w:rPr>
              <w:t>Office of the Ohio Consumers’ Counsel</w:t>
            </w:r>
          </w:p>
          <w:p w:rsidR="0057471A" w:rsidRDefault="0057471A" w:rsidP="001753E9">
            <w:pPr>
              <w:rPr>
                <w:sz w:val="26"/>
                <w:szCs w:val="26"/>
              </w:rPr>
            </w:pPr>
            <w:r>
              <w:rPr>
                <w:sz w:val="26"/>
                <w:szCs w:val="26"/>
              </w:rPr>
              <w:t>Ten West Broad Street, Suite 1800</w:t>
            </w:r>
          </w:p>
          <w:p w:rsidR="0057471A" w:rsidRDefault="0057471A" w:rsidP="001753E9">
            <w:pPr>
              <w:rPr>
                <w:sz w:val="26"/>
                <w:szCs w:val="26"/>
              </w:rPr>
            </w:pPr>
            <w:r>
              <w:rPr>
                <w:sz w:val="26"/>
                <w:szCs w:val="26"/>
              </w:rPr>
              <w:t>Columbus, OH  43215-3485</w:t>
            </w:r>
          </w:p>
          <w:p w:rsidR="0057471A" w:rsidRDefault="00A00283" w:rsidP="001753E9">
            <w:pPr>
              <w:rPr>
                <w:sz w:val="26"/>
                <w:szCs w:val="26"/>
              </w:rPr>
            </w:pPr>
            <w:hyperlink r:id="rId22" w:history="1">
              <w:r w:rsidR="0057471A" w:rsidRPr="008D3D1D">
                <w:rPr>
                  <w:rStyle w:val="Hyperlink"/>
                  <w:sz w:val="26"/>
                  <w:szCs w:val="26"/>
                </w:rPr>
                <w:t>weston@occ.state.oh.us</w:t>
              </w:r>
            </w:hyperlink>
          </w:p>
          <w:p w:rsidR="0057471A" w:rsidRDefault="00A00283" w:rsidP="001753E9">
            <w:pPr>
              <w:rPr>
                <w:sz w:val="26"/>
                <w:szCs w:val="26"/>
              </w:rPr>
            </w:pPr>
            <w:hyperlink r:id="rId23" w:history="1">
              <w:r w:rsidR="0057471A" w:rsidRPr="008D3D1D">
                <w:rPr>
                  <w:rStyle w:val="Hyperlink"/>
                  <w:sz w:val="26"/>
                  <w:szCs w:val="26"/>
                </w:rPr>
                <w:t>sauer@occ.state.oh.us</w:t>
              </w:r>
            </w:hyperlink>
          </w:p>
          <w:p w:rsidR="0057471A" w:rsidRDefault="00A00283" w:rsidP="001753E9">
            <w:pPr>
              <w:rPr>
                <w:sz w:val="26"/>
                <w:szCs w:val="26"/>
              </w:rPr>
            </w:pPr>
            <w:hyperlink r:id="rId24" w:history="1">
              <w:r w:rsidR="0057471A" w:rsidRPr="008D3D1D">
                <w:rPr>
                  <w:rStyle w:val="Hyperlink"/>
                  <w:sz w:val="26"/>
                  <w:szCs w:val="26"/>
                </w:rPr>
                <w:t>serio@occ.state.oh.us</w:t>
              </w:r>
            </w:hyperlink>
          </w:p>
          <w:p w:rsidR="0057471A" w:rsidRPr="00221496" w:rsidRDefault="0057471A" w:rsidP="001753E9">
            <w:pPr>
              <w:rPr>
                <w:sz w:val="26"/>
                <w:szCs w:val="26"/>
              </w:rPr>
            </w:pPr>
          </w:p>
        </w:tc>
        <w:tc>
          <w:tcPr>
            <w:tcW w:w="4788" w:type="dxa"/>
          </w:tcPr>
          <w:p w:rsidR="00977F01" w:rsidRDefault="001753E9" w:rsidP="006D4892">
            <w:pPr>
              <w:rPr>
                <w:sz w:val="26"/>
                <w:szCs w:val="26"/>
              </w:rPr>
            </w:pPr>
            <w:r>
              <w:rPr>
                <w:sz w:val="26"/>
                <w:szCs w:val="26"/>
              </w:rPr>
              <w:lastRenderedPageBreak/>
              <w:t>Stephen B. Seiple</w:t>
            </w:r>
          </w:p>
          <w:p w:rsidR="001753E9" w:rsidRDefault="001753E9" w:rsidP="006D4892">
            <w:pPr>
              <w:rPr>
                <w:sz w:val="26"/>
                <w:szCs w:val="26"/>
              </w:rPr>
            </w:pPr>
            <w:r>
              <w:rPr>
                <w:sz w:val="26"/>
                <w:szCs w:val="26"/>
              </w:rPr>
              <w:t>Brooke E. Leslie</w:t>
            </w:r>
          </w:p>
          <w:p w:rsidR="001753E9" w:rsidRDefault="001753E9" w:rsidP="006D4892">
            <w:pPr>
              <w:rPr>
                <w:sz w:val="26"/>
                <w:szCs w:val="26"/>
              </w:rPr>
            </w:pPr>
            <w:r>
              <w:rPr>
                <w:sz w:val="26"/>
                <w:szCs w:val="26"/>
              </w:rPr>
              <w:t>NiSource Corporate Services</w:t>
            </w:r>
          </w:p>
          <w:p w:rsidR="001753E9" w:rsidRDefault="001753E9" w:rsidP="006D4892">
            <w:pPr>
              <w:rPr>
                <w:sz w:val="26"/>
                <w:szCs w:val="26"/>
              </w:rPr>
            </w:pPr>
            <w:r>
              <w:rPr>
                <w:sz w:val="26"/>
                <w:szCs w:val="26"/>
              </w:rPr>
              <w:t>200 Civic Center Drive</w:t>
            </w:r>
          </w:p>
          <w:p w:rsidR="001753E9" w:rsidRDefault="001753E9" w:rsidP="006D4892">
            <w:pPr>
              <w:rPr>
                <w:sz w:val="26"/>
                <w:szCs w:val="26"/>
              </w:rPr>
            </w:pPr>
            <w:r>
              <w:rPr>
                <w:sz w:val="26"/>
                <w:szCs w:val="26"/>
              </w:rPr>
              <w:t>Columbus, OH  43215</w:t>
            </w:r>
          </w:p>
          <w:p w:rsidR="001753E9" w:rsidRDefault="00A00283" w:rsidP="006D4892">
            <w:pPr>
              <w:rPr>
                <w:sz w:val="26"/>
                <w:szCs w:val="26"/>
              </w:rPr>
            </w:pPr>
            <w:hyperlink r:id="rId25" w:history="1">
              <w:r w:rsidR="0057471A" w:rsidRPr="008D3D1D">
                <w:rPr>
                  <w:rStyle w:val="Hyperlink"/>
                  <w:sz w:val="26"/>
                  <w:szCs w:val="26"/>
                </w:rPr>
                <w:t>sseiple@nisource.com</w:t>
              </w:r>
            </w:hyperlink>
          </w:p>
          <w:p w:rsidR="001753E9" w:rsidRDefault="00A00283" w:rsidP="006D4892">
            <w:pPr>
              <w:rPr>
                <w:sz w:val="26"/>
                <w:szCs w:val="26"/>
              </w:rPr>
            </w:pPr>
            <w:hyperlink r:id="rId26" w:history="1">
              <w:r w:rsidR="0057471A" w:rsidRPr="008D3D1D">
                <w:rPr>
                  <w:rStyle w:val="Hyperlink"/>
                  <w:sz w:val="26"/>
                  <w:szCs w:val="26"/>
                </w:rPr>
                <w:t>bleslie@nisource.com</w:t>
              </w:r>
            </w:hyperlink>
          </w:p>
          <w:p w:rsidR="001753E9" w:rsidRDefault="001753E9" w:rsidP="006D4892">
            <w:pPr>
              <w:rPr>
                <w:sz w:val="26"/>
                <w:szCs w:val="26"/>
              </w:rPr>
            </w:pPr>
          </w:p>
          <w:p w:rsidR="001753E9" w:rsidRDefault="001753E9" w:rsidP="006D4892">
            <w:pPr>
              <w:rPr>
                <w:sz w:val="26"/>
                <w:szCs w:val="26"/>
              </w:rPr>
            </w:pPr>
            <w:r>
              <w:rPr>
                <w:sz w:val="26"/>
                <w:szCs w:val="26"/>
              </w:rPr>
              <w:t>Daniel R. Conway</w:t>
            </w:r>
          </w:p>
          <w:p w:rsidR="001753E9" w:rsidRDefault="001753E9" w:rsidP="006D4892">
            <w:pPr>
              <w:rPr>
                <w:sz w:val="26"/>
                <w:szCs w:val="26"/>
              </w:rPr>
            </w:pPr>
            <w:r>
              <w:rPr>
                <w:sz w:val="26"/>
                <w:szCs w:val="26"/>
              </w:rPr>
              <w:t>Mark S. Stemm</w:t>
            </w:r>
          </w:p>
          <w:p w:rsidR="001753E9" w:rsidRDefault="001753E9" w:rsidP="006D4892">
            <w:pPr>
              <w:rPr>
                <w:sz w:val="26"/>
                <w:szCs w:val="26"/>
              </w:rPr>
            </w:pPr>
            <w:r>
              <w:rPr>
                <w:sz w:val="26"/>
                <w:szCs w:val="26"/>
              </w:rPr>
              <w:t>Eric B. Gallon</w:t>
            </w:r>
          </w:p>
          <w:p w:rsidR="001753E9" w:rsidRDefault="001753E9" w:rsidP="006D4892">
            <w:pPr>
              <w:rPr>
                <w:sz w:val="26"/>
                <w:szCs w:val="26"/>
              </w:rPr>
            </w:pPr>
            <w:r>
              <w:rPr>
                <w:sz w:val="26"/>
                <w:szCs w:val="26"/>
              </w:rPr>
              <w:t>Porter Wright Morris &amp; Arthur</w:t>
            </w:r>
          </w:p>
          <w:p w:rsidR="001753E9" w:rsidRDefault="001753E9" w:rsidP="006D4892">
            <w:pPr>
              <w:rPr>
                <w:sz w:val="26"/>
                <w:szCs w:val="26"/>
              </w:rPr>
            </w:pPr>
            <w:r>
              <w:rPr>
                <w:sz w:val="26"/>
                <w:szCs w:val="26"/>
              </w:rPr>
              <w:t>41 South High Street</w:t>
            </w:r>
          </w:p>
          <w:p w:rsidR="001753E9" w:rsidRDefault="001753E9" w:rsidP="006D4892">
            <w:pPr>
              <w:rPr>
                <w:sz w:val="26"/>
                <w:szCs w:val="26"/>
              </w:rPr>
            </w:pPr>
            <w:r>
              <w:rPr>
                <w:sz w:val="26"/>
                <w:szCs w:val="26"/>
              </w:rPr>
              <w:t>Columbus, OH  43215-6194</w:t>
            </w:r>
          </w:p>
          <w:p w:rsidR="001753E9" w:rsidRDefault="00A00283" w:rsidP="006D4892">
            <w:pPr>
              <w:rPr>
                <w:sz w:val="26"/>
                <w:szCs w:val="26"/>
              </w:rPr>
            </w:pPr>
            <w:hyperlink r:id="rId27" w:history="1">
              <w:r w:rsidR="001753E9" w:rsidRPr="008D3D1D">
                <w:rPr>
                  <w:rStyle w:val="Hyperlink"/>
                  <w:sz w:val="26"/>
                  <w:szCs w:val="26"/>
                </w:rPr>
                <w:t>dconway@porterwright.com</w:t>
              </w:r>
            </w:hyperlink>
          </w:p>
          <w:p w:rsidR="001753E9" w:rsidRDefault="00A00283" w:rsidP="006D4892">
            <w:pPr>
              <w:rPr>
                <w:sz w:val="26"/>
                <w:szCs w:val="26"/>
              </w:rPr>
            </w:pPr>
            <w:hyperlink r:id="rId28" w:history="1">
              <w:r w:rsidR="001753E9" w:rsidRPr="008D3D1D">
                <w:rPr>
                  <w:rStyle w:val="Hyperlink"/>
                  <w:sz w:val="26"/>
                  <w:szCs w:val="26"/>
                </w:rPr>
                <w:t>mstemm@porterwright.com</w:t>
              </w:r>
            </w:hyperlink>
          </w:p>
          <w:p w:rsidR="001753E9" w:rsidRDefault="00A00283" w:rsidP="006D4892">
            <w:pPr>
              <w:rPr>
                <w:sz w:val="26"/>
                <w:szCs w:val="26"/>
              </w:rPr>
            </w:pPr>
            <w:hyperlink r:id="rId29" w:history="1">
              <w:r w:rsidR="001753E9" w:rsidRPr="008D3D1D">
                <w:rPr>
                  <w:rStyle w:val="Hyperlink"/>
                  <w:sz w:val="26"/>
                  <w:szCs w:val="26"/>
                </w:rPr>
                <w:t>egallon@porterwright.com</w:t>
              </w:r>
            </w:hyperlink>
          </w:p>
          <w:p w:rsidR="001753E9" w:rsidRDefault="001753E9" w:rsidP="006D4892">
            <w:pPr>
              <w:rPr>
                <w:sz w:val="26"/>
                <w:szCs w:val="26"/>
              </w:rPr>
            </w:pPr>
          </w:p>
          <w:p w:rsidR="001753E9" w:rsidRDefault="001753E9" w:rsidP="006D4892">
            <w:pPr>
              <w:rPr>
                <w:sz w:val="26"/>
                <w:szCs w:val="26"/>
              </w:rPr>
            </w:pPr>
            <w:r>
              <w:rPr>
                <w:sz w:val="26"/>
                <w:szCs w:val="26"/>
              </w:rPr>
              <w:t>Joseph M. Clark</w:t>
            </w:r>
          </w:p>
          <w:p w:rsidR="001753E9" w:rsidRDefault="001753E9" w:rsidP="006D4892">
            <w:pPr>
              <w:rPr>
                <w:sz w:val="26"/>
                <w:szCs w:val="26"/>
              </w:rPr>
            </w:pPr>
            <w:r>
              <w:rPr>
                <w:sz w:val="26"/>
                <w:szCs w:val="26"/>
              </w:rPr>
              <w:t>Jennifer L. Lause</w:t>
            </w:r>
          </w:p>
          <w:p w:rsidR="001753E9" w:rsidRDefault="001753E9" w:rsidP="006D4892">
            <w:pPr>
              <w:rPr>
                <w:sz w:val="26"/>
                <w:szCs w:val="26"/>
              </w:rPr>
            </w:pPr>
            <w:r>
              <w:rPr>
                <w:sz w:val="26"/>
                <w:szCs w:val="26"/>
              </w:rPr>
              <w:t>Direct Energy</w:t>
            </w:r>
          </w:p>
          <w:p w:rsidR="001753E9" w:rsidRDefault="001753E9" w:rsidP="006D4892">
            <w:pPr>
              <w:rPr>
                <w:sz w:val="26"/>
                <w:szCs w:val="26"/>
              </w:rPr>
            </w:pPr>
            <w:r>
              <w:rPr>
                <w:sz w:val="26"/>
                <w:szCs w:val="26"/>
              </w:rPr>
              <w:t>6641 North High Street, Suite 200</w:t>
            </w:r>
          </w:p>
          <w:p w:rsidR="001753E9" w:rsidRDefault="001753E9" w:rsidP="006D4892">
            <w:pPr>
              <w:rPr>
                <w:sz w:val="26"/>
                <w:szCs w:val="26"/>
              </w:rPr>
            </w:pPr>
            <w:r>
              <w:rPr>
                <w:sz w:val="26"/>
                <w:szCs w:val="26"/>
              </w:rPr>
              <w:t>Worthington, OH  43085</w:t>
            </w:r>
          </w:p>
          <w:p w:rsidR="001753E9" w:rsidRDefault="00A00283" w:rsidP="006D4892">
            <w:pPr>
              <w:rPr>
                <w:sz w:val="26"/>
                <w:szCs w:val="26"/>
              </w:rPr>
            </w:pPr>
            <w:hyperlink r:id="rId30" w:history="1">
              <w:r w:rsidR="001753E9" w:rsidRPr="008D3D1D">
                <w:rPr>
                  <w:rStyle w:val="Hyperlink"/>
                  <w:sz w:val="26"/>
                  <w:szCs w:val="26"/>
                </w:rPr>
                <w:t>jmclark@vectren.com</w:t>
              </w:r>
            </w:hyperlink>
          </w:p>
          <w:p w:rsidR="001753E9" w:rsidRDefault="00A00283" w:rsidP="006D4892">
            <w:pPr>
              <w:rPr>
                <w:sz w:val="26"/>
                <w:szCs w:val="26"/>
              </w:rPr>
            </w:pPr>
            <w:hyperlink r:id="rId31" w:history="1">
              <w:r w:rsidR="001753E9" w:rsidRPr="008D3D1D">
                <w:rPr>
                  <w:rStyle w:val="Hyperlink"/>
                  <w:sz w:val="26"/>
                  <w:szCs w:val="26"/>
                </w:rPr>
                <w:t>jllause@vectren.com</w:t>
              </w:r>
            </w:hyperlink>
          </w:p>
          <w:p w:rsidR="001753E9" w:rsidRDefault="001753E9" w:rsidP="006D4892">
            <w:pPr>
              <w:rPr>
                <w:sz w:val="26"/>
                <w:szCs w:val="26"/>
              </w:rPr>
            </w:pPr>
          </w:p>
          <w:p w:rsidR="001753E9" w:rsidRDefault="001753E9" w:rsidP="006D4892">
            <w:pPr>
              <w:rPr>
                <w:sz w:val="26"/>
                <w:szCs w:val="26"/>
              </w:rPr>
            </w:pPr>
            <w:r>
              <w:rPr>
                <w:sz w:val="26"/>
                <w:szCs w:val="26"/>
              </w:rPr>
              <w:t>Glenn S. Krassen</w:t>
            </w:r>
          </w:p>
          <w:p w:rsidR="001753E9" w:rsidRDefault="001753E9" w:rsidP="006D4892">
            <w:pPr>
              <w:rPr>
                <w:sz w:val="26"/>
                <w:szCs w:val="26"/>
              </w:rPr>
            </w:pPr>
            <w:r>
              <w:rPr>
                <w:sz w:val="26"/>
                <w:szCs w:val="26"/>
              </w:rPr>
              <w:t>Bricker &amp; Eckler</w:t>
            </w:r>
          </w:p>
          <w:p w:rsidR="001753E9" w:rsidRDefault="001753E9" w:rsidP="006D4892">
            <w:pPr>
              <w:rPr>
                <w:sz w:val="26"/>
                <w:szCs w:val="26"/>
              </w:rPr>
            </w:pPr>
            <w:r>
              <w:rPr>
                <w:sz w:val="26"/>
                <w:szCs w:val="26"/>
              </w:rPr>
              <w:t>10001 Lakeside Avenue East</w:t>
            </w:r>
          </w:p>
          <w:p w:rsidR="001753E9" w:rsidRDefault="001753E9" w:rsidP="006D4892">
            <w:pPr>
              <w:rPr>
                <w:sz w:val="26"/>
                <w:szCs w:val="26"/>
              </w:rPr>
            </w:pPr>
            <w:r>
              <w:rPr>
                <w:sz w:val="26"/>
                <w:szCs w:val="26"/>
              </w:rPr>
              <w:t>Suite 1350</w:t>
            </w:r>
          </w:p>
          <w:p w:rsidR="001753E9" w:rsidRDefault="001753E9" w:rsidP="006D4892">
            <w:pPr>
              <w:rPr>
                <w:sz w:val="26"/>
                <w:szCs w:val="26"/>
              </w:rPr>
            </w:pPr>
            <w:r>
              <w:rPr>
                <w:sz w:val="26"/>
                <w:szCs w:val="26"/>
              </w:rPr>
              <w:t>Cleveland, OH  44114</w:t>
            </w:r>
          </w:p>
          <w:p w:rsidR="001753E9" w:rsidRDefault="00A00283" w:rsidP="006D4892">
            <w:pPr>
              <w:rPr>
                <w:sz w:val="26"/>
                <w:szCs w:val="26"/>
              </w:rPr>
            </w:pPr>
            <w:hyperlink r:id="rId32" w:history="1">
              <w:r w:rsidR="001753E9" w:rsidRPr="008D3D1D">
                <w:rPr>
                  <w:rStyle w:val="Hyperlink"/>
                  <w:sz w:val="26"/>
                  <w:szCs w:val="26"/>
                </w:rPr>
                <w:t>gkrassen@bricker.com</w:t>
              </w:r>
            </w:hyperlink>
          </w:p>
          <w:p w:rsidR="001753E9" w:rsidRDefault="001753E9" w:rsidP="006D4892">
            <w:pPr>
              <w:rPr>
                <w:sz w:val="26"/>
                <w:szCs w:val="26"/>
              </w:rPr>
            </w:pPr>
          </w:p>
          <w:p w:rsidR="001753E9" w:rsidRDefault="001753E9" w:rsidP="006D4892">
            <w:pPr>
              <w:rPr>
                <w:sz w:val="26"/>
                <w:szCs w:val="26"/>
              </w:rPr>
            </w:pPr>
            <w:r>
              <w:rPr>
                <w:sz w:val="26"/>
                <w:szCs w:val="26"/>
              </w:rPr>
              <w:t>David C. Rinebolt</w:t>
            </w:r>
          </w:p>
          <w:p w:rsidR="001753E9" w:rsidRDefault="001753E9" w:rsidP="006D4892">
            <w:pPr>
              <w:rPr>
                <w:sz w:val="26"/>
                <w:szCs w:val="26"/>
              </w:rPr>
            </w:pPr>
            <w:r>
              <w:rPr>
                <w:sz w:val="26"/>
                <w:szCs w:val="26"/>
              </w:rPr>
              <w:t>Colleen L. Mooney</w:t>
            </w:r>
          </w:p>
          <w:p w:rsidR="001753E9" w:rsidRDefault="001753E9" w:rsidP="006D4892">
            <w:pPr>
              <w:rPr>
                <w:sz w:val="26"/>
                <w:szCs w:val="26"/>
              </w:rPr>
            </w:pPr>
            <w:r>
              <w:rPr>
                <w:sz w:val="26"/>
                <w:szCs w:val="26"/>
              </w:rPr>
              <w:t>Ohio Partners for Affordable Energy</w:t>
            </w:r>
          </w:p>
          <w:p w:rsidR="001753E9" w:rsidRDefault="001753E9" w:rsidP="006D4892">
            <w:pPr>
              <w:rPr>
                <w:sz w:val="26"/>
                <w:szCs w:val="26"/>
              </w:rPr>
            </w:pPr>
            <w:r>
              <w:rPr>
                <w:sz w:val="26"/>
                <w:szCs w:val="26"/>
              </w:rPr>
              <w:t>231 West Lima Street</w:t>
            </w:r>
          </w:p>
          <w:p w:rsidR="001753E9" w:rsidRDefault="001753E9" w:rsidP="006D4892">
            <w:pPr>
              <w:rPr>
                <w:sz w:val="26"/>
                <w:szCs w:val="26"/>
              </w:rPr>
            </w:pPr>
            <w:r>
              <w:rPr>
                <w:sz w:val="26"/>
                <w:szCs w:val="26"/>
              </w:rPr>
              <w:t>Findlay, OH  45840</w:t>
            </w:r>
          </w:p>
          <w:p w:rsidR="001753E9" w:rsidRDefault="00A00283" w:rsidP="006D4892">
            <w:pPr>
              <w:rPr>
                <w:sz w:val="26"/>
                <w:szCs w:val="26"/>
              </w:rPr>
            </w:pPr>
            <w:hyperlink r:id="rId33" w:history="1">
              <w:r w:rsidR="001753E9" w:rsidRPr="008D3D1D">
                <w:rPr>
                  <w:rStyle w:val="Hyperlink"/>
                  <w:sz w:val="26"/>
                  <w:szCs w:val="26"/>
                </w:rPr>
                <w:t>drinebolt@aol.com</w:t>
              </w:r>
            </w:hyperlink>
          </w:p>
          <w:p w:rsidR="001753E9" w:rsidRDefault="00A00283" w:rsidP="006D4892">
            <w:pPr>
              <w:rPr>
                <w:sz w:val="26"/>
                <w:szCs w:val="26"/>
              </w:rPr>
            </w:pPr>
            <w:hyperlink r:id="rId34" w:history="1">
              <w:r w:rsidR="001753E9" w:rsidRPr="008D3D1D">
                <w:rPr>
                  <w:rStyle w:val="Hyperlink"/>
                  <w:sz w:val="26"/>
                  <w:szCs w:val="26"/>
                </w:rPr>
                <w:t>cmooney2@columbus.rr.com</w:t>
              </w:r>
            </w:hyperlink>
          </w:p>
          <w:p w:rsidR="001753E9" w:rsidRDefault="001753E9" w:rsidP="006D4892">
            <w:pPr>
              <w:rPr>
                <w:sz w:val="26"/>
                <w:szCs w:val="26"/>
              </w:rPr>
            </w:pPr>
          </w:p>
          <w:p w:rsidR="0057471A" w:rsidRDefault="0057471A" w:rsidP="006D4892">
            <w:pPr>
              <w:rPr>
                <w:sz w:val="26"/>
                <w:szCs w:val="26"/>
              </w:rPr>
            </w:pPr>
            <w:r>
              <w:rPr>
                <w:sz w:val="26"/>
                <w:szCs w:val="26"/>
              </w:rPr>
              <w:t>M. Anthony Long</w:t>
            </w:r>
          </w:p>
          <w:p w:rsidR="0057471A" w:rsidRDefault="0057471A" w:rsidP="006D4892">
            <w:pPr>
              <w:rPr>
                <w:sz w:val="26"/>
                <w:szCs w:val="26"/>
              </w:rPr>
            </w:pPr>
            <w:r>
              <w:rPr>
                <w:sz w:val="26"/>
                <w:szCs w:val="26"/>
              </w:rPr>
              <w:t>Honda of American Manufacturing, Inc.</w:t>
            </w:r>
          </w:p>
          <w:p w:rsidR="0057471A" w:rsidRDefault="0057471A" w:rsidP="006D4892">
            <w:pPr>
              <w:rPr>
                <w:sz w:val="26"/>
                <w:szCs w:val="26"/>
              </w:rPr>
            </w:pPr>
            <w:r>
              <w:rPr>
                <w:sz w:val="26"/>
                <w:szCs w:val="26"/>
              </w:rPr>
              <w:t>24000 Honda Parkway</w:t>
            </w:r>
          </w:p>
          <w:p w:rsidR="0057471A" w:rsidRDefault="0057471A" w:rsidP="006D4892">
            <w:pPr>
              <w:rPr>
                <w:sz w:val="26"/>
                <w:szCs w:val="26"/>
              </w:rPr>
            </w:pPr>
            <w:r>
              <w:rPr>
                <w:sz w:val="26"/>
                <w:szCs w:val="26"/>
              </w:rPr>
              <w:t>Marysville, OH  43040</w:t>
            </w:r>
          </w:p>
          <w:p w:rsidR="0057471A" w:rsidRDefault="00A00283" w:rsidP="006D4892">
            <w:pPr>
              <w:rPr>
                <w:sz w:val="26"/>
                <w:szCs w:val="26"/>
              </w:rPr>
            </w:pPr>
            <w:hyperlink r:id="rId35" w:history="1">
              <w:r w:rsidR="0057471A" w:rsidRPr="008D3D1D">
                <w:rPr>
                  <w:rStyle w:val="Hyperlink"/>
                  <w:sz w:val="26"/>
                  <w:szCs w:val="26"/>
                </w:rPr>
                <w:t>tony_long@honda.com</w:t>
              </w:r>
            </w:hyperlink>
          </w:p>
          <w:p w:rsidR="0057471A" w:rsidRDefault="0057471A" w:rsidP="006D4892">
            <w:pPr>
              <w:rPr>
                <w:sz w:val="26"/>
                <w:szCs w:val="26"/>
              </w:rPr>
            </w:pPr>
          </w:p>
          <w:p w:rsidR="0057471A" w:rsidRDefault="0057471A" w:rsidP="006D4892">
            <w:pPr>
              <w:rPr>
                <w:sz w:val="26"/>
                <w:szCs w:val="26"/>
              </w:rPr>
            </w:pPr>
            <w:r>
              <w:rPr>
                <w:sz w:val="26"/>
                <w:szCs w:val="26"/>
              </w:rPr>
              <w:t>A. Brian McIntosh</w:t>
            </w:r>
          </w:p>
          <w:p w:rsidR="0057471A" w:rsidRDefault="0057471A" w:rsidP="006D4892">
            <w:pPr>
              <w:rPr>
                <w:sz w:val="26"/>
                <w:szCs w:val="26"/>
              </w:rPr>
            </w:pPr>
            <w:r>
              <w:rPr>
                <w:sz w:val="26"/>
                <w:szCs w:val="26"/>
              </w:rPr>
              <w:t>McIntosh &amp; McIntosh</w:t>
            </w:r>
          </w:p>
          <w:p w:rsidR="0057471A" w:rsidRDefault="0057471A" w:rsidP="006D4892">
            <w:pPr>
              <w:rPr>
                <w:sz w:val="26"/>
                <w:szCs w:val="26"/>
              </w:rPr>
            </w:pPr>
            <w:r>
              <w:rPr>
                <w:sz w:val="26"/>
                <w:szCs w:val="26"/>
              </w:rPr>
              <w:t>1136 Saint Gregory Street</w:t>
            </w:r>
          </w:p>
          <w:p w:rsidR="0057471A" w:rsidRDefault="0057471A" w:rsidP="006D4892">
            <w:pPr>
              <w:rPr>
                <w:sz w:val="26"/>
                <w:szCs w:val="26"/>
              </w:rPr>
            </w:pPr>
            <w:r>
              <w:rPr>
                <w:sz w:val="26"/>
                <w:szCs w:val="26"/>
              </w:rPr>
              <w:t>Suite 100</w:t>
            </w:r>
          </w:p>
          <w:p w:rsidR="0057471A" w:rsidRDefault="0057471A" w:rsidP="006D4892">
            <w:pPr>
              <w:rPr>
                <w:sz w:val="26"/>
                <w:szCs w:val="26"/>
              </w:rPr>
            </w:pPr>
            <w:r>
              <w:rPr>
                <w:sz w:val="26"/>
                <w:szCs w:val="26"/>
              </w:rPr>
              <w:t>Cincinnati, OH 45202</w:t>
            </w:r>
          </w:p>
          <w:p w:rsidR="0057471A" w:rsidRDefault="00A00283" w:rsidP="006D4892">
            <w:pPr>
              <w:rPr>
                <w:sz w:val="26"/>
                <w:szCs w:val="26"/>
              </w:rPr>
            </w:pPr>
            <w:hyperlink r:id="rId36" w:history="1">
              <w:r w:rsidR="0057471A" w:rsidRPr="008D3D1D">
                <w:rPr>
                  <w:rStyle w:val="Hyperlink"/>
                  <w:sz w:val="26"/>
                  <w:szCs w:val="26"/>
                </w:rPr>
                <w:t>brian@mcintoshlaw.com</w:t>
              </w:r>
            </w:hyperlink>
          </w:p>
          <w:p w:rsidR="0057471A" w:rsidRPr="00221496" w:rsidRDefault="0057471A" w:rsidP="006D4892">
            <w:pPr>
              <w:rPr>
                <w:sz w:val="26"/>
                <w:szCs w:val="26"/>
              </w:rPr>
            </w:pPr>
          </w:p>
        </w:tc>
      </w:tr>
    </w:tbl>
    <w:p w:rsidR="00977F01" w:rsidRPr="00DF3D54" w:rsidRDefault="00977F01" w:rsidP="00200A0A">
      <w:pPr>
        <w:ind w:left="4332"/>
        <w:jc w:val="both"/>
        <w:rPr>
          <w:sz w:val="26"/>
          <w:szCs w:val="26"/>
        </w:rPr>
      </w:pPr>
    </w:p>
    <w:sectPr w:rsidR="00977F01" w:rsidRPr="00DF3D54" w:rsidSect="003B12DD">
      <w:headerReference w:type="default" r:id="rId37"/>
      <w:footerReference w:type="default" r:id="rId38"/>
      <w:headerReference w:type="first" r:id="rId39"/>
      <w:footerReference w:type="first" r:id="rId4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E8" w:rsidRDefault="00457AE8" w:rsidP="008866FC">
      <w:pPr>
        <w:pStyle w:val="Title"/>
      </w:pPr>
      <w:r>
        <w:separator/>
      </w:r>
    </w:p>
  </w:endnote>
  <w:endnote w:type="continuationSeparator" w:id="0">
    <w:p w:rsidR="00457AE8" w:rsidRDefault="00457AE8"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E8" w:rsidRDefault="00457AE8"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E8" w:rsidRPr="008706FF" w:rsidRDefault="00457AE8">
    <w:pPr>
      <w:pStyle w:val="Footer"/>
      <w:rPr>
        <w:b/>
        <w:sz w:val="26"/>
        <w:szCs w:val="26"/>
      </w:rPr>
    </w:pPr>
    <w:r w:rsidRPr="008706FF">
      <w:rPr>
        <w:b/>
        <w:sz w:val="26"/>
        <w:szCs w:val="26"/>
      </w:rPr>
      <w:t>December 11,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E8" w:rsidRPr="007F5520" w:rsidRDefault="00457AE8"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A00283">
      <w:rPr>
        <w:rStyle w:val="PageNumber"/>
        <w:noProof/>
        <w:sz w:val="24"/>
        <w:szCs w:val="24"/>
      </w:rPr>
      <w:t>9</w:t>
    </w:r>
    <w:r w:rsidRPr="007F5520">
      <w:rPr>
        <w:rStyle w:val="PageNumbe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E8" w:rsidRPr="00C95499" w:rsidRDefault="00457AE8"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E8" w:rsidRDefault="00457AE8" w:rsidP="00663D6A">
      <w:pPr>
        <w:pStyle w:val="Title"/>
        <w:jc w:val="left"/>
      </w:pPr>
      <w:r>
        <w:separator/>
      </w:r>
    </w:p>
  </w:footnote>
  <w:footnote w:type="continuationSeparator" w:id="0">
    <w:p w:rsidR="00457AE8" w:rsidRDefault="00457AE8" w:rsidP="008866FC">
      <w:pPr>
        <w:pStyle w:val="Title"/>
      </w:pPr>
      <w:r>
        <w:continuationSeparator/>
      </w:r>
    </w:p>
  </w:footnote>
  <w:footnote w:id="1">
    <w:p w:rsidR="00457AE8" w:rsidRDefault="00457AE8">
      <w:pPr>
        <w:pStyle w:val="FootnoteText"/>
      </w:pPr>
      <w:r>
        <w:rPr>
          <w:rStyle w:val="FootnoteReference"/>
        </w:rPr>
        <w:footnoteRef/>
      </w:r>
      <w:r>
        <w:t xml:space="preserve"> </w:t>
      </w:r>
      <w:r>
        <w:tab/>
      </w:r>
      <w:r>
        <w:tab/>
        <w:t xml:space="preserve">R.C. 4929.02. </w:t>
      </w:r>
    </w:p>
  </w:footnote>
  <w:footnote w:id="2">
    <w:p w:rsidR="00457AE8" w:rsidRDefault="00457AE8">
      <w:pPr>
        <w:pStyle w:val="FootnoteText"/>
      </w:pPr>
      <w:r>
        <w:rPr>
          <w:rStyle w:val="FootnoteReference"/>
        </w:rPr>
        <w:footnoteRef/>
      </w:r>
      <w:r>
        <w:t xml:space="preserve"> </w:t>
      </w:r>
      <w:r>
        <w:tab/>
      </w:r>
      <w:r>
        <w:tab/>
      </w:r>
      <w:r>
        <w:rPr>
          <w:i/>
        </w:rPr>
        <w:t>In the Matter of the Application of Columbia Gas of Ohio, Inc. for Approval of a General Exemption of Certain Natural Gas Commodity Sales and Service or Ancillary Services</w:t>
      </w:r>
      <w:r>
        <w:t xml:space="preserve">, Case No. 08-1344-GA-EXM (hereinafter </w:t>
      </w:r>
      <w:r>
        <w:rPr>
          <w:i/>
        </w:rPr>
        <w:t xml:space="preserve">In re Columbia </w:t>
      </w:r>
      <w:r w:rsidRPr="00741C6E">
        <w:rPr>
          <w:i/>
        </w:rPr>
        <w:t>Gas</w:t>
      </w:r>
      <w:r>
        <w:t xml:space="preserve">)(Opinion and Order at 16) (December 2, 2009). </w:t>
      </w:r>
    </w:p>
  </w:footnote>
  <w:footnote w:id="3">
    <w:p w:rsidR="00457AE8" w:rsidRDefault="00457AE8">
      <w:pPr>
        <w:pStyle w:val="FootnoteText"/>
      </w:pPr>
      <w:r>
        <w:rPr>
          <w:rStyle w:val="FootnoteReference"/>
        </w:rPr>
        <w:footnoteRef/>
      </w:r>
      <w:r>
        <w:t xml:space="preserve"> </w:t>
      </w:r>
      <w:r>
        <w:tab/>
      </w:r>
      <w:r>
        <w:tab/>
      </w:r>
      <w:r>
        <w:rPr>
          <w:i/>
        </w:rPr>
        <w:t>In re Columbia Gas</w:t>
      </w:r>
      <w:r>
        <w:t xml:space="preserve"> (Second Opinion and Order at 18, 20) (September 7, 2011). </w:t>
      </w:r>
    </w:p>
  </w:footnote>
  <w:footnote w:id="4">
    <w:p w:rsidR="004C5C97" w:rsidRDefault="004C5C97">
      <w:pPr>
        <w:pStyle w:val="FootnoteText"/>
      </w:pPr>
      <w:r>
        <w:rPr>
          <w:rStyle w:val="FootnoteReference"/>
        </w:rPr>
        <w:footnoteRef/>
      </w:r>
      <w:r>
        <w:t xml:space="preserve"> </w:t>
      </w:r>
      <w:r>
        <w:tab/>
      </w:r>
      <w:r>
        <w:tab/>
        <w:t>Joint Movants are, collectively, Columbia, Staff, Ohio Gas Marketers Group, Retail Energy Supply Association, and Dominion Retail, Inc.</w:t>
      </w:r>
    </w:p>
  </w:footnote>
  <w:footnote w:id="5">
    <w:p w:rsidR="00457AE8" w:rsidRDefault="00457AE8">
      <w:pPr>
        <w:pStyle w:val="FootnoteText"/>
      </w:pPr>
      <w:r>
        <w:rPr>
          <w:rStyle w:val="FootnoteReference"/>
        </w:rPr>
        <w:footnoteRef/>
      </w:r>
      <w:r>
        <w:t xml:space="preserve"> </w:t>
      </w:r>
      <w:r>
        <w:tab/>
      </w:r>
      <w:r>
        <w:tab/>
      </w:r>
      <w:r>
        <w:rPr>
          <w:i/>
        </w:rPr>
        <w:t>In the Matter of the Joint Motion to Modify the December 2, 2009 Opinion and Order and the September 7, 2011 Second Opinion and Order in Case No. 08-1344-GA-EXM</w:t>
      </w:r>
      <w:r>
        <w:t xml:space="preserve">, Case No. 12-2637-GA-EXM (Amended Joint Motion to Modify Orders Granting Exemption and Motion for Bifurcation of the Capacity and Balancing Issues on An Expedited Basis) (October 4, 2012).  </w:t>
      </w:r>
    </w:p>
  </w:footnote>
  <w:footnote w:id="6">
    <w:p w:rsidR="00457AE8" w:rsidRPr="00457AE8" w:rsidRDefault="00457AE8">
      <w:pPr>
        <w:pStyle w:val="FootnoteText"/>
      </w:pPr>
      <w:r>
        <w:rPr>
          <w:rStyle w:val="FootnoteReference"/>
        </w:rPr>
        <w:footnoteRef/>
      </w:r>
      <w:r>
        <w:t xml:space="preserve"> </w:t>
      </w:r>
      <w:r>
        <w:tab/>
      </w:r>
      <w:r>
        <w:tab/>
      </w:r>
      <w:r w:rsidR="004C5C97">
        <w:rPr>
          <w:i/>
        </w:rPr>
        <w:t>In the Matter of the Joint Motion to Modify the December 2, 2009 Opinion and Order and the September 7, 2011 Second Opinion and Order in Case No. 08-1344-GA-</w:t>
      </w:r>
      <w:proofErr w:type="spellStart"/>
      <w:r w:rsidR="004C5C97">
        <w:rPr>
          <w:i/>
        </w:rPr>
        <w:t>EXM</w:t>
      </w:r>
      <w:proofErr w:type="spellEnd"/>
      <w:r w:rsidR="004C5C97">
        <w:t>, Case No. 12-2637-GA-</w:t>
      </w:r>
      <w:proofErr w:type="spellStart"/>
      <w:r w:rsidR="004C5C97">
        <w:t>EXM</w:t>
      </w:r>
      <w:proofErr w:type="spellEnd"/>
      <w:r w:rsidR="004C5C97">
        <w:t xml:space="preserve"> (Amended Joint Motion to Modify Orders Granting Exemption and Motion for Bifurcation of the Capacity and Balancing Issues on An Expedited Basis) (October 4, 2012).</w:t>
      </w:r>
    </w:p>
  </w:footnote>
  <w:footnote w:id="7">
    <w:p w:rsidR="00457AE8" w:rsidRDefault="00457AE8">
      <w:pPr>
        <w:pStyle w:val="FootnoteText"/>
      </w:pPr>
      <w:r>
        <w:rPr>
          <w:rStyle w:val="FootnoteReference"/>
        </w:rPr>
        <w:footnoteRef/>
      </w:r>
      <w:r>
        <w:t xml:space="preserve"> </w:t>
      </w:r>
      <w:r>
        <w:tab/>
      </w:r>
      <w:r>
        <w:tab/>
      </w:r>
      <w:r w:rsidR="00E523F6">
        <w:rPr>
          <w:i/>
        </w:rPr>
        <w:t>I</w:t>
      </w:r>
      <w:r w:rsidR="004C5C97">
        <w:rPr>
          <w:i/>
        </w:rPr>
        <w:t>d</w:t>
      </w:r>
      <w:r w:rsidR="00E523F6">
        <w:t>.</w:t>
      </w:r>
      <w:r w:rsidRPr="00457AE8">
        <w:t xml:space="preserve"> </w:t>
      </w:r>
    </w:p>
  </w:footnote>
  <w:footnote w:id="8">
    <w:p w:rsidR="00457AE8" w:rsidRDefault="00457AE8">
      <w:pPr>
        <w:pStyle w:val="FootnoteText"/>
      </w:pPr>
      <w:r>
        <w:rPr>
          <w:rStyle w:val="FootnoteReference"/>
        </w:rPr>
        <w:footnoteRef/>
      </w:r>
      <w:r>
        <w:t xml:space="preserve"> </w:t>
      </w:r>
      <w:r>
        <w:tab/>
      </w:r>
      <w:r>
        <w:tab/>
      </w:r>
      <w:r w:rsidRPr="009D6311">
        <w:rPr>
          <w:i/>
        </w:rPr>
        <w:t>See e.g</w:t>
      </w:r>
      <w:r>
        <w:t>., Columbia Ex. 7 at 8 (Brown Supp. Dir. Test.); OGMG/RESA Ex. 5 at 4-6 (Rigenbach Dir. Test.); OGMG/RESA Ex. 4 at 4 (Parisi Supp. Test.); OCC Ex. 1 at 4 (Hayes Dir. Test.).</w:t>
      </w:r>
    </w:p>
  </w:footnote>
  <w:footnote w:id="9">
    <w:p w:rsidR="00457AE8" w:rsidRDefault="00457AE8">
      <w:pPr>
        <w:pStyle w:val="FootnoteText"/>
      </w:pPr>
      <w:r>
        <w:rPr>
          <w:rStyle w:val="FootnoteReference"/>
        </w:rPr>
        <w:footnoteRef/>
      </w:r>
      <w:r>
        <w:t xml:space="preserve"> </w:t>
      </w:r>
      <w:r>
        <w:tab/>
      </w:r>
      <w:r>
        <w:tab/>
        <w:t xml:space="preserve">Columbia Ex. 7 at 9 (Brown Supp. Dir. Test.); OGMG/RESA Ex. 5 at 4 (Rigenbach Dir. Test.); OGMG/RESA Ex. 4 at 4 (Parisi Supp. Test.); OCC Ex. 1 at 4 (Hayes Dir. Test.). </w:t>
      </w:r>
    </w:p>
  </w:footnote>
  <w:footnote w:id="10">
    <w:p w:rsidR="00457AE8" w:rsidRDefault="00457AE8">
      <w:pPr>
        <w:pStyle w:val="FootnoteText"/>
      </w:pPr>
      <w:r>
        <w:rPr>
          <w:rStyle w:val="FootnoteReference"/>
        </w:rPr>
        <w:footnoteRef/>
      </w:r>
      <w:r>
        <w:t xml:space="preserve"> </w:t>
      </w:r>
      <w:r>
        <w:tab/>
      </w:r>
      <w:r>
        <w:tab/>
        <w:t xml:space="preserve">Columbia Ex. 7 at 10 (Brown Supp. Dir. Test.); OGMG/RESA Ex. 5 at 4 (Rigenbach Dir. Test.); OGMG/RESA Ex. 4 at 4 (Parisi Supp. Test.); OCC Ex. 1 at 10-15 (Hayes Dir. Test.). </w:t>
      </w:r>
    </w:p>
  </w:footnote>
  <w:footnote w:id="11">
    <w:p w:rsidR="00457AE8" w:rsidRDefault="00457AE8">
      <w:pPr>
        <w:pStyle w:val="FootnoteText"/>
      </w:pPr>
      <w:r>
        <w:rPr>
          <w:rStyle w:val="FootnoteReference"/>
        </w:rPr>
        <w:footnoteRef/>
      </w:r>
      <w:r>
        <w:t xml:space="preserve"> </w:t>
      </w:r>
      <w:r>
        <w:tab/>
      </w:r>
      <w:r>
        <w:tab/>
      </w:r>
      <w:proofErr w:type="gramStart"/>
      <w:r>
        <w:t xml:space="preserve">Jt. Ex. 2; Columbia Ex. 7 at </w:t>
      </w:r>
      <w:r w:rsidR="0029393C">
        <w:t xml:space="preserve">7, </w:t>
      </w:r>
      <w:r>
        <w:t xml:space="preserve">10 (Brown Supp. Dir. Test.); OGMG/RESA Ex. 5 at 4 (Rigenbach Dir. Test.); OGMG/RESA Ex. 4 at 4 (Parisi Supp. Test.); OCC Ex. 1 at </w:t>
      </w:r>
      <w:r w:rsidR="0029393C">
        <w:t xml:space="preserve">6, </w:t>
      </w:r>
      <w:r>
        <w:t>10-1</w:t>
      </w:r>
      <w:r w:rsidR="0029393C">
        <w:t>6</w:t>
      </w:r>
      <w:r>
        <w:t xml:space="preserve"> (Hayes Dir. Test.).</w:t>
      </w:r>
      <w:proofErr w:type="gramEnd"/>
      <w:r>
        <w:t xml:space="preserve"> </w:t>
      </w:r>
    </w:p>
  </w:footnote>
  <w:footnote w:id="12">
    <w:p w:rsidR="00457AE8" w:rsidRDefault="00457AE8">
      <w:pPr>
        <w:pStyle w:val="FootnoteText"/>
      </w:pPr>
      <w:r>
        <w:rPr>
          <w:rStyle w:val="FootnoteReference"/>
        </w:rPr>
        <w:footnoteRef/>
      </w:r>
      <w:r>
        <w:t xml:space="preserve"> </w:t>
      </w:r>
      <w:r>
        <w:tab/>
      </w:r>
      <w:r>
        <w:tab/>
      </w:r>
      <w:r w:rsidRPr="00DC1BAB">
        <w:rPr>
          <w:i/>
        </w:rPr>
        <w:t>See</w:t>
      </w:r>
      <w:r>
        <w:t xml:space="preserve"> </w:t>
      </w:r>
      <w:r>
        <w:rPr>
          <w:i/>
        </w:rPr>
        <w:t xml:space="preserve">e.g., </w:t>
      </w:r>
      <w:r>
        <w:t>Columbia Ex. 7 at 10 (Brown Supp. Dir. Test.); OGMG/RESA Ex. 5 at 4 (Rigenbach Dir. Test.); OGMG/RESA Ex. 4 at 4 (Parisi Supp. Test.); OCC Ex. 1 at 10-15 (Hayes Dir. Test.).</w:t>
      </w:r>
    </w:p>
  </w:footnote>
  <w:footnote w:id="13">
    <w:p w:rsidR="00457AE8" w:rsidRDefault="00457AE8">
      <w:pPr>
        <w:pStyle w:val="FootnoteText"/>
      </w:pPr>
      <w:r>
        <w:rPr>
          <w:rStyle w:val="FootnoteReference"/>
        </w:rPr>
        <w:footnoteRef/>
      </w:r>
      <w:r>
        <w:t xml:space="preserve"> </w:t>
      </w:r>
      <w:r>
        <w:tab/>
      </w:r>
      <w:r>
        <w:tab/>
      </w:r>
      <w:r>
        <w:rPr>
          <w:i/>
        </w:rPr>
        <w:t>In the Matter of the Application to Modify, in Accordance with Section 4929.08, Revised Code, the Exemption Granted Columbia Gas of Ohio, Inc., in Case No. 08-1344-GA-EXM</w:t>
      </w:r>
      <w:r>
        <w:t xml:space="preserve">, (Entry at 2-4, 6) (October 18, 2012). </w:t>
      </w:r>
    </w:p>
  </w:footnote>
  <w:footnote w:id="14">
    <w:p w:rsidR="00457AE8" w:rsidRDefault="00457AE8">
      <w:pPr>
        <w:pStyle w:val="FootnoteText"/>
      </w:pPr>
      <w:r>
        <w:rPr>
          <w:rStyle w:val="FootnoteReference"/>
        </w:rPr>
        <w:footnoteRef/>
      </w:r>
      <w:r>
        <w:t xml:space="preserve"> </w:t>
      </w:r>
      <w:r>
        <w:tab/>
      </w:r>
      <w:r>
        <w:tab/>
      </w:r>
      <w:r w:rsidRPr="00457AE8">
        <w:rPr>
          <w:i/>
        </w:rPr>
        <w:t>Id</w:t>
      </w:r>
      <w:r>
        <w:t xml:space="preserve">. at 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E8" w:rsidRDefault="00457AE8"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A00283">
      <w:rPr>
        <w:b/>
        <w:noProof/>
        <w:color w:val="FF0000"/>
      </w:rPr>
      <w:t>12/11/2012</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A00283">
      <w:rPr>
        <w:b/>
        <w:noProof/>
        <w:color w:val="FF0000"/>
      </w:rPr>
      <w:t>10:16:31 AM</w:t>
    </w:r>
    <w:r>
      <w:rPr>
        <w:b/>
        <w:color w:val="FF0000"/>
      </w:rPr>
      <w:fldChar w:fldCharType="end"/>
    </w:r>
  </w:p>
  <w:p w:rsidR="00457AE8" w:rsidRPr="003B12DD" w:rsidRDefault="00457AE8"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A00283">
      <w:rPr>
        <w:b/>
        <w:noProof/>
        <w:color w:val="FF0000"/>
      </w:rPr>
      <w:t>\\puc\shares\Departments\Attorney General\Attorneys\Reilly\Cases\Commission Cases\Gas\12-2637-GA-EXM\Brief 120712.docx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E8" w:rsidRPr="00E523F6" w:rsidRDefault="00457AE8" w:rsidP="00E523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E8" w:rsidRPr="00E523F6" w:rsidRDefault="00457AE8" w:rsidP="00E52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270"/>
    <w:multiLevelType w:val="hybridMultilevel"/>
    <w:tmpl w:val="979EF420"/>
    <w:lvl w:ilvl="0" w:tplc="214CE198">
      <w:start w:val="1"/>
      <w:numFmt w:val="upperRoman"/>
      <w:pStyle w:val="Heading2"/>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9C5147"/>
    <w:multiLevelType w:val="hybridMultilevel"/>
    <w:tmpl w:val="C8E202DA"/>
    <w:lvl w:ilvl="0" w:tplc="F9C22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E0672"/>
    <w:multiLevelType w:val="hybridMultilevel"/>
    <w:tmpl w:val="BEECDA78"/>
    <w:lvl w:ilvl="0" w:tplc="60EA5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9023C29"/>
    <w:multiLevelType w:val="hybridMultilevel"/>
    <w:tmpl w:val="03F64DF6"/>
    <w:lvl w:ilvl="0" w:tplc="0F28C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8"/>
  </w:num>
  <w:num w:numId="5">
    <w:abstractNumId w:val="3"/>
  </w:num>
  <w:num w:numId="6">
    <w:abstractNumId w:val="7"/>
  </w:num>
  <w:num w:numId="7">
    <w:abstractNumId w:val="5"/>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6FF"/>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3E9"/>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93C"/>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718"/>
    <w:rsid w:val="00455881"/>
    <w:rsid w:val="00455ADB"/>
    <w:rsid w:val="00456269"/>
    <w:rsid w:val="004569D9"/>
    <w:rsid w:val="00457020"/>
    <w:rsid w:val="00457950"/>
    <w:rsid w:val="00457988"/>
    <w:rsid w:val="00457AE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5C97"/>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71A"/>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5E1"/>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3D1"/>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2B"/>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892"/>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6F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892"/>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283"/>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63E"/>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3F6"/>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655"/>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6422B"/>
    <w:pPr>
      <w:keepNext/>
      <w:numPr>
        <w:numId w:val="8"/>
      </w:numPr>
      <w:spacing w:before="360" w:after="240"/>
      <w:ind w:right="72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6422B"/>
    <w:rPr>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phen.reilly@puc.state.oh.us" TargetMode="External"/><Relationship Id="rId18" Type="http://schemas.openxmlformats.org/officeDocument/2006/relationships/hyperlink" Target="mailto:jeinstein@volunteerenergy.com" TargetMode="External"/><Relationship Id="rId26" Type="http://schemas.openxmlformats.org/officeDocument/2006/relationships/hyperlink" Target="mailto:bleslie@nisource.co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dane.stinson@baileycavalieri.com" TargetMode="External"/><Relationship Id="rId34" Type="http://schemas.openxmlformats.org/officeDocument/2006/relationships/hyperlink" Target="mailto:cmooney2@columbus.rr.co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mhoward@vorys.com" TargetMode="External"/><Relationship Id="rId25" Type="http://schemas.openxmlformats.org/officeDocument/2006/relationships/hyperlink" Target="mailto:sseiple@nisource.com" TargetMode="External"/><Relationship Id="rId33" Type="http://schemas.openxmlformats.org/officeDocument/2006/relationships/hyperlink" Target="mailto:drinebolt@aol.com"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hpetricoff@vorys.com" TargetMode="External"/><Relationship Id="rId20" Type="http://schemas.openxmlformats.org/officeDocument/2006/relationships/hyperlink" Target="mailto:barthroyer@aol.com" TargetMode="External"/><Relationship Id="rId29" Type="http://schemas.openxmlformats.org/officeDocument/2006/relationships/hyperlink" Target="mailto:egallon@porterwrigh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erio@occ.state.oh.us" TargetMode="External"/><Relationship Id="rId32" Type="http://schemas.openxmlformats.org/officeDocument/2006/relationships/hyperlink" Target="mailto:gkrassen@bricker.com" TargetMode="External"/><Relationship Id="rId37" Type="http://schemas.openxmlformats.org/officeDocument/2006/relationships/header" Target="header2.xm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tsiwo@bricker.com" TargetMode="External"/><Relationship Id="rId23" Type="http://schemas.openxmlformats.org/officeDocument/2006/relationships/hyperlink" Target="mailto:sauer@occ.state.oh.us" TargetMode="External"/><Relationship Id="rId28" Type="http://schemas.openxmlformats.org/officeDocument/2006/relationships/hyperlink" Target="mailto:mstemm@porterwright.com" TargetMode="External"/><Relationship Id="rId36" Type="http://schemas.openxmlformats.org/officeDocument/2006/relationships/hyperlink" Target="mailto:brian@mcintoshlaw.com" TargetMode="External"/><Relationship Id="rId10" Type="http://schemas.openxmlformats.org/officeDocument/2006/relationships/header" Target="header1.xml"/><Relationship Id="rId19" Type="http://schemas.openxmlformats.org/officeDocument/2006/relationships/hyperlink" Target="mailto:mswhite@igsenergy.com" TargetMode="External"/><Relationship Id="rId31" Type="http://schemas.openxmlformats.org/officeDocument/2006/relationships/hyperlink" Target="mailto:jllause@vectren.com" TargetMode="External"/><Relationship Id="rId4" Type="http://schemas.microsoft.com/office/2007/relationships/stylesWithEffects" Target="stylesWithEffects.xml"/><Relationship Id="rId9" Type="http://schemas.openxmlformats.org/officeDocument/2006/relationships/hyperlink" Target="mailto:stephen.reilly@puc.state.oh.us" TargetMode="External"/><Relationship Id="rId14" Type="http://schemas.openxmlformats.org/officeDocument/2006/relationships/hyperlink" Target="mailto:mwarnock@bricker.com" TargetMode="External"/><Relationship Id="rId22" Type="http://schemas.openxmlformats.org/officeDocument/2006/relationships/hyperlink" Target="mailto:weston@occ.state.oh.us" TargetMode="External"/><Relationship Id="rId27" Type="http://schemas.openxmlformats.org/officeDocument/2006/relationships/hyperlink" Target="mailto:dconway@porterwright.com" TargetMode="External"/><Relationship Id="rId30" Type="http://schemas.openxmlformats.org/officeDocument/2006/relationships/hyperlink" Target="mailto:jmclark@vectren.com" TargetMode="External"/><Relationship Id="rId35" Type="http://schemas.openxmlformats.org/officeDocument/2006/relationships/hyperlink" Target="mailto:tony_long@hond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64FA-C39C-40E9-AFAF-BB7A00F8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Template>
  <TotalTime>77</TotalTime>
  <Pages>10</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11713</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11</cp:revision>
  <cp:lastPrinted>2012-12-11T15:16:00Z</cp:lastPrinted>
  <dcterms:created xsi:type="dcterms:W3CDTF">2012-12-07T19:51:00Z</dcterms:created>
  <dcterms:modified xsi:type="dcterms:W3CDTF">2012-12-11T15:16:00Z</dcterms:modified>
</cp:coreProperties>
</file>