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7056F" w:rsidRPr="00582AD1" w:rsidP="009349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bookmarkStart w:id="0" w:name="_GoBack"/>
      <w:bookmarkEnd w:id="0"/>
      <w:r w:rsidRPr="00582AD1">
        <w:rPr>
          <w:rFonts w:ascii="Times New Roman" w:hAnsi="Times New Roman" w:cs="Times New Roman"/>
          <w:b/>
          <w:bCs/>
          <w:sz w:val="24"/>
          <w:szCs w:val="24"/>
        </w:rPr>
        <w:t>BEFORE</w:t>
      </w:r>
    </w:p>
    <w:p w:rsidR="0067056F" w:rsidRPr="00582AD1" w:rsidP="0067056F">
      <w:pPr>
        <w:pStyle w:val="HTMLPreformatted"/>
        <w:jc w:val="center"/>
        <w:rPr>
          <w:rFonts w:ascii="Times New Roman" w:hAnsi="Times New Roman" w:cs="Times New Roman"/>
          <w:sz w:val="24"/>
          <w:szCs w:val="24"/>
        </w:rPr>
      </w:pPr>
      <w:r w:rsidRPr="00582AD1">
        <w:rPr>
          <w:rFonts w:ascii="Times New Roman" w:hAnsi="Times New Roman" w:cs="Times New Roman"/>
          <w:b/>
          <w:bCs/>
          <w:sz w:val="24"/>
          <w:szCs w:val="24"/>
        </w:rPr>
        <w:t>THE PUBLIC UTILITIES COMMISSION OF OHIO</w:t>
      </w:r>
    </w:p>
    <w:p w:rsidR="0067056F" w:rsidRPr="00582AD1" w:rsidP="0067056F">
      <w:pPr>
        <w:pStyle w:val="HTMLPreformatted"/>
        <w:rPr>
          <w:rFonts w:ascii="Times New Roman" w:hAnsi="Times New Roman" w:cs="Times New Roman"/>
          <w:sz w:val="24"/>
          <w:szCs w:val="24"/>
        </w:rPr>
      </w:pPr>
    </w:p>
    <w:tbl>
      <w:tblPr>
        <w:tblW w:w="10088" w:type="dxa"/>
        <w:tblLook w:val="01E0"/>
      </w:tblPr>
      <w:tblGrid>
        <w:gridCol w:w="5328"/>
        <w:gridCol w:w="360"/>
        <w:gridCol w:w="4400"/>
      </w:tblGrid>
      <w:tr w:rsidTr="00F204A9">
        <w:tblPrEx>
          <w:tblW w:w="10088" w:type="dxa"/>
          <w:tblLook w:val="01E0"/>
        </w:tblPrEx>
        <w:trPr>
          <w:trHeight w:val="807"/>
        </w:trPr>
        <w:tc>
          <w:tcPr>
            <w:tcW w:w="5328" w:type="dxa"/>
            <w:shd w:val="clear" w:color="auto" w:fill="auto"/>
          </w:tcPr>
          <w:p w:rsidR="001F1047" w:rsidP="00F204A9">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 Investigation of Ohio’s Retail Electric Service Market.</w:t>
            </w:r>
          </w:p>
          <w:p w:rsidR="001F1047" w:rsidP="00F204A9">
            <w:pPr>
              <w:pStyle w:val="HTMLPreformatted"/>
              <w:rPr>
                <w:rFonts w:ascii="Times New Roman" w:hAnsi="Times New Roman" w:cs="Times New Roman"/>
                <w:sz w:val="24"/>
                <w:szCs w:val="24"/>
              </w:rPr>
            </w:pPr>
          </w:p>
          <w:p w:rsidR="001F1047" w:rsidRPr="009356EF" w:rsidP="00F204A9">
            <w:pPr>
              <w:pStyle w:val="HTMLPreformatted"/>
              <w:rPr>
                <w:rFonts w:ascii="Times New Roman" w:hAnsi="Times New Roman" w:cs="Times New Roman"/>
                <w:sz w:val="24"/>
                <w:szCs w:val="24"/>
              </w:rPr>
            </w:pPr>
            <w:r>
              <w:rPr>
                <w:rFonts w:ascii="Times New Roman" w:hAnsi="Times New Roman" w:cs="Times New Roman"/>
                <w:sz w:val="24"/>
                <w:szCs w:val="24"/>
              </w:rPr>
              <w:t>In the Matter of the Market Development Working Group.</w:t>
            </w:r>
          </w:p>
          <w:p w:rsidR="001F1047" w:rsidRPr="00582AD1" w:rsidP="00F204A9">
            <w:pPr>
              <w:pStyle w:val="HTMLPreformatted"/>
              <w:rPr>
                <w:rFonts w:ascii="Times New Roman" w:hAnsi="Times New Roman" w:cs="Times New Roman"/>
                <w:sz w:val="24"/>
                <w:szCs w:val="24"/>
              </w:rPr>
            </w:pPr>
          </w:p>
        </w:tc>
        <w:tc>
          <w:tcPr>
            <w:tcW w:w="360" w:type="dxa"/>
            <w:shd w:val="clear" w:color="auto" w:fill="auto"/>
          </w:tcPr>
          <w:p w:rsidR="001F1047" w:rsidRPr="00582AD1" w:rsidP="00F204A9">
            <w:pPr>
              <w:pStyle w:val="HTMLPreformatted"/>
              <w:rPr>
                <w:rFonts w:ascii="Times New Roman" w:hAnsi="Times New Roman" w:cs="Times New Roman"/>
                <w:sz w:val="24"/>
                <w:szCs w:val="24"/>
              </w:rPr>
            </w:pPr>
            <w:r w:rsidRPr="00582AD1">
              <w:rPr>
                <w:rFonts w:ascii="Times New Roman" w:hAnsi="Times New Roman" w:cs="Times New Roman"/>
                <w:sz w:val="24"/>
                <w:szCs w:val="24"/>
              </w:rPr>
              <w:t>)</w:t>
            </w:r>
          </w:p>
          <w:p w:rsidR="001F1047" w:rsidRPr="00582AD1" w:rsidP="00F204A9">
            <w:pPr>
              <w:pStyle w:val="HTMLPreformatted"/>
              <w:rPr>
                <w:rFonts w:ascii="Times New Roman" w:hAnsi="Times New Roman" w:cs="Times New Roman"/>
                <w:sz w:val="24"/>
                <w:szCs w:val="24"/>
              </w:rPr>
            </w:pPr>
            <w:r w:rsidRPr="00582AD1">
              <w:rPr>
                <w:rFonts w:ascii="Times New Roman" w:hAnsi="Times New Roman" w:cs="Times New Roman"/>
                <w:sz w:val="24"/>
                <w:szCs w:val="24"/>
              </w:rPr>
              <w:t>)</w:t>
            </w:r>
          </w:p>
          <w:p w:rsidR="001F1047" w:rsidP="00F204A9">
            <w:pPr>
              <w:pStyle w:val="HTMLPreformatted"/>
              <w:rPr>
                <w:rFonts w:ascii="Times New Roman" w:hAnsi="Times New Roman" w:cs="Times New Roman"/>
                <w:sz w:val="24"/>
                <w:szCs w:val="24"/>
              </w:rPr>
            </w:pPr>
          </w:p>
          <w:p w:rsidR="001F1047" w:rsidP="00F204A9">
            <w:pPr>
              <w:pStyle w:val="HTMLPreformatted"/>
              <w:rPr>
                <w:rFonts w:ascii="Times New Roman" w:hAnsi="Times New Roman" w:cs="Times New Roman"/>
                <w:sz w:val="24"/>
                <w:szCs w:val="24"/>
              </w:rPr>
            </w:pPr>
            <w:r>
              <w:rPr>
                <w:rFonts w:ascii="Times New Roman" w:hAnsi="Times New Roman" w:cs="Times New Roman"/>
                <w:sz w:val="24"/>
                <w:szCs w:val="24"/>
              </w:rPr>
              <w:t>)</w:t>
            </w:r>
          </w:p>
          <w:p w:rsidR="001F1047" w:rsidRPr="00582AD1" w:rsidP="00F204A9">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shd w:val="clear" w:color="auto" w:fill="auto"/>
          </w:tcPr>
          <w:p w:rsidR="001F1047" w:rsidRPr="00582AD1" w:rsidP="00F204A9">
            <w:pPr>
              <w:pStyle w:val="HTMLPreformatted"/>
              <w:rPr>
                <w:rFonts w:ascii="Times New Roman" w:hAnsi="Times New Roman" w:cs="Times New Roman"/>
                <w:sz w:val="24"/>
                <w:szCs w:val="24"/>
              </w:rPr>
            </w:pPr>
            <w:r w:rsidRPr="00582AD1">
              <w:rPr>
                <w:rFonts w:ascii="Times New Roman" w:hAnsi="Times New Roman" w:cs="Times New Roman"/>
                <w:sz w:val="24"/>
                <w:szCs w:val="24"/>
              </w:rPr>
              <w:t>Case No. 12-3151-EL-COI</w:t>
            </w:r>
          </w:p>
          <w:p w:rsidR="001F1047" w:rsidP="00F204A9">
            <w:pPr>
              <w:pStyle w:val="HTMLPreformatted"/>
              <w:rPr>
                <w:rFonts w:ascii="Times New Roman" w:hAnsi="Times New Roman" w:cs="Times New Roman"/>
                <w:sz w:val="24"/>
                <w:szCs w:val="24"/>
              </w:rPr>
            </w:pPr>
          </w:p>
          <w:p w:rsidR="001F1047" w:rsidP="00F204A9">
            <w:pPr>
              <w:pStyle w:val="HTMLPreformatted"/>
              <w:rPr>
                <w:rFonts w:ascii="Times New Roman" w:hAnsi="Times New Roman" w:cs="Times New Roman"/>
                <w:sz w:val="24"/>
                <w:szCs w:val="24"/>
              </w:rPr>
            </w:pPr>
          </w:p>
          <w:p w:rsidR="001F1047" w:rsidP="00F204A9">
            <w:pPr>
              <w:pStyle w:val="HTMLPreformatted"/>
              <w:rPr>
                <w:rFonts w:ascii="Times New Roman" w:hAnsi="Times New Roman" w:cs="Times New Roman"/>
                <w:sz w:val="24"/>
                <w:szCs w:val="24"/>
              </w:rPr>
            </w:pPr>
            <w:r>
              <w:rPr>
                <w:rFonts w:ascii="Times New Roman" w:hAnsi="Times New Roman" w:cs="Times New Roman"/>
                <w:sz w:val="24"/>
                <w:szCs w:val="24"/>
              </w:rPr>
              <w:t>Case No. 14-2074-EL-EDI</w:t>
            </w:r>
          </w:p>
          <w:p w:rsidR="001F1047" w:rsidRPr="00582AD1" w:rsidP="00F204A9">
            <w:pPr>
              <w:pStyle w:val="HTMLPreformatted"/>
              <w:rPr>
                <w:rFonts w:ascii="Times New Roman" w:hAnsi="Times New Roman" w:cs="Times New Roman"/>
                <w:sz w:val="24"/>
                <w:szCs w:val="24"/>
              </w:rPr>
            </w:pPr>
          </w:p>
        </w:tc>
      </w:tr>
    </w:tbl>
    <w:p w:rsidR="0067056F" w:rsidRPr="00582AD1" w:rsidP="0067056F">
      <w:pPr>
        <w:pStyle w:val="HTMLPreformatted"/>
        <w:pBdr>
          <w:top w:val="single" w:sz="12" w:space="0" w:color="auto"/>
        </w:pBdr>
        <w:jc w:val="center"/>
        <w:rPr>
          <w:rFonts w:ascii="Times New Roman" w:hAnsi="Times New Roman" w:cs="Times New Roman"/>
          <w:b/>
          <w:sz w:val="24"/>
          <w:szCs w:val="24"/>
        </w:rPr>
      </w:pPr>
    </w:p>
    <w:p w:rsidR="00582AD1" w:rsidRPr="00582AD1" w:rsidP="002F0200">
      <w:pPr>
        <w:pStyle w:val="HTMLPreformatted"/>
        <w:pBdr>
          <w:top w:val="single" w:sz="12" w:space="0" w:color="auto"/>
        </w:pBdr>
        <w:jc w:val="center"/>
        <w:rPr>
          <w:rFonts w:ascii="Times New Roman" w:hAnsi="Times New Roman" w:cs="Times New Roman"/>
          <w:b/>
          <w:sz w:val="24"/>
          <w:szCs w:val="24"/>
        </w:rPr>
      </w:pPr>
      <w:r w:rsidRPr="00582AD1">
        <w:rPr>
          <w:rFonts w:ascii="Times New Roman" w:hAnsi="Times New Roman" w:cs="Times New Roman"/>
          <w:b/>
          <w:sz w:val="24"/>
          <w:szCs w:val="24"/>
        </w:rPr>
        <w:t>APPLICATION FOR REHEARING</w:t>
      </w:r>
    </w:p>
    <w:p w:rsidR="0067056F" w:rsidRPr="00582AD1" w:rsidP="0067056F">
      <w:pPr>
        <w:jc w:val="center"/>
        <w:rPr>
          <w:b/>
          <w:bCs/>
          <w:szCs w:val="24"/>
        </w:rPr>
      </w:pPr>
      <w:r w:rsidRPr="00582AD1">
        <w:rPr>
          <w:b/>
          <w:bCs/>
          <w:szCs w:val="24"/>
        </w:rPr>
        <w:t>BY</w:t>
      </w:r>
    </w:p>
    <w:p w:rsidR="0067056F" w:rsidRPr="00582AD1" w:rsidP="0067056F">
      <w:pPr>
        <w:jc w:val="center"/>
        <w:rPr>
          <w:b/>
          <w:bCs/>
          <w:szCs w:val="24"/>
        </w:rPr>
      </w:pPr>
      <w:r w:rsidRPr="00582AD1">
        <w:rPr>
          <w:b/>
          <w:bCs/>
          <w:szCs w:val="24"/>
        </w:rPr>
        <w:t>THE OFFICE OF THE OHIO CONSUMERS’ COUNSEL</w:t>
      </w:r>
    </w:p>
    <w:p w:rsidR="0067056F" w:rsidRPr="00582AD1" w:rsidP="0067056F">
      <w:pPr>
        <w:pBdr>
          <w:bottom w:val="single" w:sz="12" w:space="1" w:color="auto"/>
        </w:pBdr>
        <w:tabs>
          <w:tab w:val="left" w:pos="4320"/>
        </w:tabs>
        <w:rPr>
          <w:szCs w:val="24"/>
        </w:rPr>
      </w:pPr>
    </w:p>
    <w:p w:rsidR="0067056F" w:rsidRPr="00582AD1" w:rsidP="0067056F">
      <w:pPr>
        <w:tabs>
          <w:tab w:val="left" w:pos="4320"/>
        </w:tabs>
        <w:rPr>
          <w:szCs w:val="24"/>
        </w:rPr>
      </w:pPr>
    </w:p>
    <w:p w:rsidR="00582AD1" w:rsidRPr="00582AD1" w:rsidP="00557A65">
      <w:pPr>
        <w:pStyle w:val="BodyTextIndent3"/>
        <w:widowControl w:val="0"/>
        <w:spacing w:line="480" w:lineRule="auto"/>
        <w:ind w:left="0" w:right="-312" w:firstLine="720"/>
        <w:rPr>
          <w:szCs w:val="24"/>
        </w:rPr>
      </w:pPr>
      <w:r>
        <w:rPr>
          <w:sz w:val="24"/>
          <w:szCs w:val="24"/>
        </w:rPr>
        <w:t xml:space="preserve">Some Competitive Retail Electric Service providers (“Marketers”) might describe this case as being about how to retain customers when they move. But this case is really about customers. And is it beneficial to customers to allow Marketers to hold onto them (customers), when they move to a different location?  The </w:t>
      </w:r>
      <w:r w:rsidRPr="00557A65">
        <w:rPr>
          <w:sz w:val="24"/>
          <w:szCs w:val="24"/>
        </w:rPr>
        <w:t>Office of the Ohio Consumers' Counsel</w:t>
      </w:r>
      <w:r>
        <w:rPr>
          <w:sz w:val="24"/>
          <w:szCs w:val="24"/>
        </w:rPr>
        <w:t xml:space="preserve"> (“OCC”), on behalf of 4.3 million residential electric customers in Ohio, respectfully submits that the February 7, 2018 Finding and Order (“Finding and Order”) of the Public Utilities Commission of Ohio’s (“PUCO”) was unreasonable and unlawful.  </w:t>
      </w:r>
    </w:p>
    <w:p w:rsidR="00582AD1" w:rsidRPr="00582AD1" w:rsidP="00582AD1">
      <w:pPr>
        <w:widowControl w:val="0"/>
        <w:spacing w:line="480" w:lineRule="auto"/>
        <w:ind w:right="-312" w:firstLine="720"/>
        <w:rPr>
          <w:szCs w:val="24"/>
        </w:rPr>
      </w:pPr>
      <w:r>
        <w:rPr>
          <w:szCs w:val="24"/>
        </w:rPr>
        <w:t xml:space="preserve">Specifically, the Finding &amp; Order </w:t>
      </w:r>
      <w:r w:rsidRPr="00582AD1">
        <w:rPr>
          <w:szCs w:val="24"/>
        </w:rPr>
        <w:t>was unreasonable and unlawful in the following respects:</w:t>
      </w:r>
    </w:p>
    <w:p w:rsidR="00582AD1" w:rsidRPr="00582AD1" w:rsidP="00582AD1">
      <w:pPr>
        <w:spacing w:after="200" w:line="276" w:lineRule="auto"/>
        <w:rPr>
          <w:rFonts w:eastAsiaTheme="minorHAnsi"/>
          <w:b/>
          <w:szCs w:val="24"/>
        </w:rPr>
      </w:pPr>
      <w:r w:rsidRPr="00582AD1">
        <w:rPr>
          <w:szCs w:val="24"/>
        </w:rPr>
        <w:t xml:space="preserve">ASSIGNMENT OF ERROR NO. 1: </w:t>
      </w:r>
      <w:r w:rsidRPr="00582AD1">
        <w:rPr>
          <w:rFonts w:eastAsiaTheme="minorHAnsi"/>
          <w:szCs w:val="24"/>
        </w:rPr>
        <w:t xml:space="preserve">The PUCO </w:t>
      </w:r>
      <w:r>
        <w:rPr>
          <w:rFonts w:eastAsiaTheme="minorHAnsi"/>
          <w:szCs w:val="24"/>
        </w:rPr>
        <w:t>u</w:t>
      </w:r>
      <w:r w:rsidRPr="00582AD1">
        <w:rPr>
          <w:rFonts w:eastAsiaTheme="minorHAnsi"/>
          <w:szCs w:val="24"/>
        </w:rPr>
        <w:t xml:space="preserve">nreasonably </w:t>
      </w:r>
      <w:r>
        <w:rPr>
          <w:rFonts w:eastAsiaTheme="minorHAnsi"/>
          <w:szCs w:val="24"/>
        </w:rPr>
        <w:t>a</w:t>
      </w:r>
      <w:r w:rsidRPr="00582AD1">
        <w:rPr>
          <w:rFonts w:eastAsiaTheme="minorHAnsi"/>
          <w:szCs w:val="24"/>
        </w:rPr>
        <w:t>dopt</w:t>
      </w:r>
      <w:r>
        <w:rPr>
          <w:rFonts w:eastAsiaTheme="minorHAnsi"/>
          <w:szCs w:val="24"/>
        </w:rPr>
        <w:t>ed</w:t>
      </w:r>
      <w:r w:rsidRPr="00582AD1">
        <w:rPr>
          <w:rFonts w:eastAsiaTheme="minorHAnsi"/>
          <w:szCs w:val="24"/>
        </w:rPr>
        <w:t xml:space="preserve"> a </w:t>
      </w:r>
      <w:r>
        <w:rPr>
          <w:rFonts w:eastAsiaTheme="minorHAnsi"/>
          <w:szCs w:val="24"/>
        </w:rPr>
        <w:t>“</w:t>
      </w:r>
      <w:r w:rsidRPr="00582AD1">
        <w:rPr>
          <w:rFonts w:eastAsiaTheme="minorHAnsi"/>
          <w:szCs w:val="24"/>
        </w:rPr>
        <w:t>seamless move</w:t>
      </w:r>
      <w:r>
        <w:rPr>
          <w:rFonts w:eastAsiaTheme="minorHAnsi"/>
          <w:szCs w:val="24"/>
        </w:rPr>
        <w:t>”</w:t>
      </w:r>
      <w:r w:rsidRPr="00582AD1">
        <w:rPr>
          <w:rFonts w:eastAsiaTheme="minorHAnsi"/>
          <w:szCs w:val="24"/>
        </w:rPr>
        <w:t xml:space="preserve"> methodology as the statewide standard for transferring </w:t>
      </w:r>
      <w:r>
        <w:rPr>
          <w:rFonts w:eastAsiaTheme="minorHAnsi"/>
          <w:szCs w:val="24"/>
        </w:rPr>
        <w:t xml:space="preserve">competitive </w:t>
      </w:r>
      <w:r w:rsidRPr="00582AD1">
        <w:rPr>
          <w:rFonts w:eastAsiaTheme="minorHAnsi"/>
          <w:szCs w:val="24"/>
        </w:rPr>
        <w:t xml:space="preserve">contracts between customer addresses without first </w:t>
      </w:r>
      <w:r>
        <w:rPr>
          <w:rFonts w:eastAsiaTheme="minorHAnsi"/>
          <w:szCs w:val="24"/>
        </w:rPr>
        <w:t>having considered</w:t>
      </w:r>
      <w:r w:rsidRPr="00582AD1">
        <w:rPr>
          <w:rFonts w:eastAsiaTheme="minorHAnsi"/>
          <w:szCs w:val="24"/>
        </w:rPr>
        <w:t xml:space="preserve"> the costs, benefits, operational plans, </w:t>
      </w:r>
      <w:r>
        <w:rPr>
          <w:rFonts w:eastAsiaTheme="minorHAnsi"/>
          <w:szCs w:val="24"/>
        </w:rPr>
        <w:t xml:space="preserve">preference of, </w:t>
      </w:r>
      <w:r w:rsidRPr="00582AD1">
        <w:rPr>
          <w:rFonts w:eastAsiaTheme="minorHAnsi"/>
          <w:szCs w:val="24"/>
        </w:rPr>
        <w:t>and impact on consumers.</w:t>
      </w:r>
      <w:r w:rsidRPr="00582AD1">
        <w:rPr>
          <w:rFonts w:eastAsiaTheme="minorHAnsi"/>
          <w:b/>
          <w:szCs w:val="24"/>
        </w:rPr>
        <w:t xml:space="preserve"> </w:t>
      </w:r>
    </w:p>
    <w:p w:rsidR="00582AD1" w:rsidRPr="00582AD1" w:rsidP="00582AD1">
      <w:pPr>
        <w:spacing w:after="200" w:line="276" w:lineRule="auto"/>
        <w:rPr>
          <w:rFonts w:eastAsiaTheme="minorHAnsi"/>
          <w:b/>
          <w:szCs w:val="24"/>
        </w:rPr>
      </w:pPr>
      <w:r w:rsidRPr="00582AD1">
        <w:rPr>
          <w:szCs w:val="24"/>
        </w:rPr>
        <w:t xml:space="preserve">ASSIGNMENT OF ERROR NO. </w:t>
      </w:r>
      <w:r>
        <w:rPr>
          <w:szCs w:val="24"/>
        </w:rPr>
        <w:t>2</w:t>
      </w:r>
      <w:r w:rsidRPr="00582AD1">
        <w:rPr>
          <w:szCs w:val="24"/>
        </w:rPr>
        <w:t xml:space="preserve">: </w:t>
      </w:r>
      <w:r w:rsidRPr="00582AD1">
        <w:rPr>
          <w:rFonts w:eastAsiaTheme="minorHAnsi"/>
          <w:szCs w:val="24"/>
        </w:rPr>
        <w:t>The PUCO unreasonably failed to consider more cost</w:t>
      </w:r>
      <w:r>
        <w:rPr>
          <w:rFonts w:eastAsiaTheme="minorHAnsi"/>
          <w:szCs w:val="24"/>
        </w:rPr>
        <w:t>-</w:t>
      </w:r>
      <w:r w:rsidRPr="00582AD1">
        <w:rPr>
          <w:rFonts w:eastAsiaTheme="minorHAnsi"/>
          <w:szCs w:val="24"/>
        </w:rPr>
        <w:t xml:space="preserve">effective and appropriate methods for ensuring that shopping customers have access to information about their </w:t>
      </w:r>
      <w:r>
        <w:rPr>
          <w:rFonts w:eastAsiaTheme="minorHAnsi"/>
          <w:szCs w:val="24"/>
        </w:rPr>
        <w:t>competitive</w:t>
      </w:r>
      <w:r w:rsidRPr="00582AD1">
        <w:rPr>
          <w:rFonts w:eastAsiaTheme="minorHAnsi"/>
          <w:szCs w:val="24"/>
        </w:rPr>
        <w:t xml:space="preserve"> supplier to arrange for the supply of electricity at their new address.</w:t>
      </w:r>
      <w:r w:rsidRPr="00582AD1">
        <w:rPr>
          <w:rFonts w:eastAsiaTheme="minorHAnsi"/>
          <w:b/>
          <w:szCs w:val="24"/>
        </w:rPr>
        <w:t xml:space="preserve"> </w:t>
      </w:r>
    </w:p>
    <w:p w:rsidR="00823923" w:rsidP="00582AD1">
      <w:pPr>
        <w:widowControl w:val="0"/>
        <w:ind w:right="-312"/>
        <w:rPr>
          <w:szCs w:val="24"/>
        </w:rPr>
        <w:sectPr w:rsidSect="000839EA">
          <w:footerReference w:type="default" r:id="rId5"/>
          <w:pgSz w:w="12240" w:h="15840" w:code="1"/>
          <w:pgMar w:top="1440" w:right="1800" w:bottom="1440" w:left="1800" w:header="720" w:footer="720" w:gutter="0"/>
          <w:cols w:space="720"/>
          <w:docGrid w:linePitch="360"/>
        </w:sectPr>
      </w:pPr>
    </w:p>
    <w:p w:rsidR="00582AD1" w:rsidRPr="00582AD1" w:rsidP="00582AD1">
      <w:pPr>
        <w:widowControl w:val="0"/>
        <w:ind w:right="-312"/>
        <w:rPr>
          <w:szCs w:val="24"/>
        </w:rPr>
      </w:pPr>
    </w:p>
    <w:p w:rsidR="00B0149C" w:rsidP="00823923">
      <w:pPr>
        <w:widowControl w:val="0"/>
        <w:spacing w:line="480" w:lineRule="auto"/>
        <w:ind w:right="-312" w:firstLine="720"/>
        <w:rPr>
          <w:rFonts w:eastAsiaTheme="minorHAnsi"/>
          <w:color w:val="000000"/>
          <w:szCs w:val="24"/>
        </w:rPr>
      </w:pPr>
      <w:r w:rsidRPr="00582AD1">
        <w:rPr>
          <w:szCs w:val="24"/>
        </w:rPr>
        <w:t>The reasons in support of this application for rehearing are set forth in the accompanying memorandum in support. The PUCO should grant rehearing and abrogate its Entry as requested by OCC.</w:t>
      </w:r>
    </w:p>
    <w:p w:rsidR="00582AD1" w:rsidP="00195D00">
      <w:pPr>
        <w:widowControl w:val="0"/>
        <w:spacing w:line="480" w:lineRule="auto"/>
        <w:ind w:left="3600" w:right="-312" w:firstLine="720"/>
        <w:rPr>
          <w:rFonts w:eastAsiaTheme="minorHAnsi"/>
          <w:color w:val="000000"/>
          <w:szCs w:val="24"/>
        </w:rPr>
      </w:pPr>
      <w:r>
        <w:rPr>
          <w:rFonts w:eastAsiaTheme="minorHAnsi"/>
          <w:color w:val="000000"/>
          <w:szCs w:val="24"/>
        </w:rPr>
        <w:t>Respectfully submitted,</w:t>
      </w:r>
    </w:p>
    <w:p w:rsidR="00582AD1" w:rsidP="00582AD1">
      <w:pPr>
        <w:autoSpaceDE w:val="0"/>
        <w:autoSpaceDN w:val="0"/>
        <w:adjustRightInd w:val="0"/>
        <w:ind w:left="4320"/>
        <w:rPr>
          <w:rFonts w:eastAsiaTheme="minorHAnsi"/>
          <w:color w:val="000000"/>
          <w:szCs w:val="24"/>
        </w:rPr>
      </w:pPr>
    </w:p>
    <w:p w:rsidR="00582AD1" w:rsidP="00582AD1">
      <w:pPr>
        <w:autoSpaceDE w:val="0"/>
        <w:autoSpaceDN w:val="0"/>
        <w:adjustRightInd w:val="0"/>
        <w:ind w:left="4320"/>
        <w:rPr>
          <w:rFonts w:eastAsiaTheme="minorHAnsi"/>
          <w:color w:val="000000"/>
          <w:szCs w:val="24"/>
        </w:rPr>
      </w:pPr>
      <w:r>
        <w:rPr>
          <w:rFonts w:eastAsiaTheme="minorHAnsi"/>
          <w:color w:val="000000"/>
          <w:szCs w:val="24"/>
        </w:rPr>
        <w:t>BRUCE WESTON (0016973)</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OHIO CONSUMERS’ COUNSEL</w:t>
      </w:r>
    </w:p>
    <w:p w:rsidR="00582AD1" w:rsidP="00582AD1">
      <w:pPr>
        <w:autoSpaceDE w:val="0"/>
        <w:autoSpaceDN w:val="0"/>
        <w:adjustRightInd w:val="0"/>
        <w:ind w:left="4320"/>
        <w:rPr>
          <w:rFonts w:eastAsiaTheme="minorHAnsi"/>
          <w:i/>
          <w:iCs/>
          <w:color w:val="000000"/>
          <w:szCs w:val="24"/>
        </w:rPr>
      </w:pPr>
    </w:p>
    <w:p w:rsidR="00582AD1" w:rsidRPr="00582AD1" w:rsidP="00582AD1">
      <w:pPr>
        <w:autoSpaceDE w:val="0"/>
        <w:autoSpaceDN w:val="0"/>
        <w:adjustRightInd w:val="0"/>
        <w:ind w:left="4320"/>
        <w:rPr>
          <w:rFonts w:eastAsiaTheme="minorHAnsi"/>
          <w:i/>
          <w:iCs/>
          <w:color w:val="000000"/>
          <w:szCs w:val="24"/>
          <w:u w:val="single"/>
        </w:rPr>
      </w:pPr>
      <w:r w:rsidRPr="00582AD1">
        <w:rPr>
          <w:rFonts w:eastAsiaTheme="minorHAnsi"/>
          <w:i/>
          <w:iCs/>
          <w:color w:val="000000"/>
          <w:szCs w:val="24"/>
          <w:u w:val="single"/>
        </w:rPr>
        <w:t>/s/ William J. Michael</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William J. Michael, (0070921),</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Counsel of Record</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Kevin F. Moore (0089228)</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Assistant Consumers’ Counsel</w:t>
      </w:r>
    </w:p>
    <w:p w:rsidR="00582AD1" w:rsidP="00582AD1">
      <w:pPr>
        <w:autoSpaceDE w:val="0"/>
        <w:autoSpaceDN w:val="0"/>
        <w:adjustRightInd w:val="0"/>
        <w:ind w:left="4320"/>
        <w:rPr>
          <w:rFonts w:eastAsiaTheme="minorHAnsi"/>
          <w:b/>
          <w:bCs/>
          <w:color w:val="000000"/>
          <w:szCs w:val="24"/>
        </w:rPr>
      </w:pPr>
    </w:p>
    <w:p w:rsidR="00582AD1" w:rsidP="00582AD1">
      <w:pPr>
        <w:autoSpaceDE w:val="0"/>
        <w:autoSpaceDN w:val="0"/>
        <w:adjustRightInd w:val="0"/>
        <w:ind w:left="4320"/>
        <w:rPr>
          <w:rFonts w:eastAsiaTheme="minorHAnsi"/>
          <w:b/>
          <w:bCs/>
          <w:color w:val="000000"/>
          <w:szCs w:val="24"/>
        </w:rPr>
      </w:pPr>
      <w:r>
        <w:rPr>
          <w:rFonts w:eastAsiaTheme="minorHAnsi"/>
          <w:b/>
          <w:bCs/>
          <w:color w:val="000000"/>
          <w:szCs w:val="24"/>
        </w:rPr>
        <w:t>Office of the Ohio Consumers’ Counsel</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65 East State Street, 7</w:t>
      </w:r>
      <w:r w:rsidRPr="00582AD1">
        <w:rPr>
          <w:rFonts w:eastAsiaTheme="minorHAnsi"/>
          <w:color w:val="000000"/>
          <w:szCs w:val="24"/>
          <w:vertAlign w:val="superscript"/>
        </w:rPr>
        <w:t>th</w:t>
      </w:r>
      <w:r>
        <w:rPr>
          <w:rFonts w:eastAsiaTheme="minorHAnsi"/>
          <w:color w:val="000000"/>
          <w:szCs w:val="24"/>
        </w:rPr>
        <w:t xml:space="preserve"> Floor</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Columbus, Ohio 43215</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Telephone: [Michael] (614) 466-1291</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Telephone: [Moore] (614) 387-2965</w:t>
      </w:r>
    </w:p>
    <w:p w:rsidR="00582AD1" w:rsidP="00582AD1">
      <w:pPr>
        <w:autoSpaceDE w:val="0"/>
        <w:autoSpaceDN w:val="0"/>
        <w:adjustRightInd w:val="0"/>
        <w:ind w:left="4320"/>
        <w:rPr>
          <w:rFonts w:eastAsiaTheme="minorHAnsi"/>
          <w:color w:val="0000FF"/>
          <w:szCs w:val="24"/>
        </w:rPr>
      </w:pPr>
      <w:r>
        <w:rPr>
          <w:rFonts w:eastAsiaTheme="minorHAnsi"/>
          <w:color w:val="0000FF"/>
          <w:szCs w:val="24"/>
        </w:rPr>
        <w:t>William.michael@occ.ohio.gov</w:t>
      </w:r>
    </w:p>
    <w:p w:rsidR="00582AD1" w:rsidP="00582AD1">
      <w:pPr>
        <w:autoSpaceDE w:val="0"/>
        <w:autoSpaceDN w:val="0"/>
        <w:adjustRightInd w:val="0"/>
        <w:ind w:left="4320"/>
        <w:rPr>
          <w:rFonts w:eastAsiaTheme="minorHAnsi"/>
          <w:color w:val="000000"/>
          <w:szCs w:val="24"/>
        </w:rPr>
      </w:pPr>
      <w:r>
        <w:rPr>
          <w:rFonts w:eastAsiaTheme="minorHAnsi"/>
          <w:color w:val="000000"/>
          <w:szCs w:val="24"/>
        </w:rPr>
        <w:t>(Will accept service via email)</w:t>
      </w:r>
    </w:p>
    <w:p w:rsidR="00582AD1" w:rsidP="00582AD1">
      <w:pPr>
        <w:autoSpaceDE w:val="0"/>
        <w:autoSpaceDN w:val="0"/>
        <w:adjustRightInd w:val="0"/>
        <w:ind w:left="4320"/>
        <w:rPr>
          <w:rFonts w:eastAsiaTheme="minorHAnsi"/>
          <w:color w:val="0000FF"/>
          <w:szCs w:val="24"/>
        </w:rPr>
      </w:pPr>
      <w:r>
        <w:rPr>
          <w:rFonts w:eastAsiaTheme="minorHAnsi"/>
          <w:color w:val="0000FF"/>
          <w:szCs w:val="24"/>
        </w:rPr>
        <w:t>Kevin.moore@occ.ohio.gov</w:t>
      </w:r>
    </w:p>
    <w:p w:rsidR="00582AD1" w:rsidP="00582AD1">
      <w:pPr>
        <w:pStyle w:val="BodyText"/>
        <w:spacing w:line="480" w:lineRule="auto"/>
        <w:ind w:left="4320"/>
        <w:jc w:val="left"/>
        <w:rPr>
          <w:rFonts w:eastAsiaTheme="minorHAnsi"/>
          <w:color w:val="000000"/>
          <w:szCs w:val="24"/>
        </w:rPr>
      </w:pPr>
      <w:r>
        <w:rPr>
          <w:rFonts w:eastAsiaTheme="minorHAnsi"/>
          <w:color w:val="000000"/>
          <w:szCs w:val="24"/>
        </w:rPr>
        <w:t>(Will accept service via email)</w:t>
      </w:r>
    </w:p>
    <w:p w:rsidR="000839EA" w:rsidP="00582AD1">
      <w:pPr>
        <w:pStyle w:val="BodyText"/>
        <w:spacing w:line="480" w:lineRule="auto"/>
        <w:ind w:left="4320"/>
        <w:jc w:val="left"/>
        <w:rPr>
          <w:rFonts w:eastAsiaTheme="minorHAnsi"/>
          <w:color w:val="000000"/>
          <w:szCs w:val="24"/>
        </w:rPr>
      </w:pPr>
    </w:p>
    <w:p w:rsidR="000839EA" w:rsidP="00582AD1">
      <w:pPr>
        <w:pStyle w:val="BodyText"/>
        <w:spacing w:line="480" w:lineRule="auto"/>
        <w:ind w:left="4320"/>
        <w:jc w:val="left"/>
        <w:rPr>
          <w:szCs w:val="24"/>
        </w:rPr>
        <w:sectPr w:rsidSect="000839EA">
          <w:footerReference w:type="default" r:id="rId6"/>
          <w:pgSz w:w="12240" w:h="15840" w:code="1"/>
          <w:pgMar w:top="1440" w:right="1800" w:bottom="1440" w:left="1800" w:header="720" w:footer="720" w:gutter="0"/>
          <w:cols w:space="720"/>
          <w:docGrid w:linePitch="360"/>
        </w:sectPr>
      </w:pPr>
    </w:p>
    <w:p w:rsidR="00582AD1" w:rsidRPr="00582AD1" w:rsidP="00582AD1">
      <w:pPr>
        <w:pStyle w:val="HTMLPreformatted"/>
        <w:jc w:val="center"/>
        <w:rPr>
          <w:rFonts w:ascii="Times New Roman" w:hAnsi="Times New Roman" w:cs="Times New Roman"/>
          <w:b/>
          <w:bCs/>
          <w:sz w:val="24"/>
          <w:szCs w:val="24"/>
        </w:rPr>
      </w:pPr>
      <w:r w:rsidRPr="00582AD1">
        <w:rPr>
          <w:rFonts w:ascii="Times New Roman" w:hAnsi="Times New Roman" w:cs="Times New Roman"/>
          <w:b/>
          <w:bCs/>
          <w:sz w:val="24"/>
          <w:szCs w:val="24"/>
        </w:rPr>
        <w:t>BEFORE</w:t>
      </w:r>
    </w:p>
    <w:p w:rsidR="00582AD1" w:rsidRPr="00582AD1" w:rsidP="00582AD1">
      <w:pPr>
        <w:pStyle w:val="HTMLPreformatted"/>
        <w:jc w:val="center"/>
        <w:rPr>
          <w:rFonts w:ascii="Times New Roman" w:hAnsi="Times New Roman" w:cs="Times New Roman"/>
          <w:sz w:val="24"/>
          <w:szCs w:val="24"/>
        </w:rPr>
      </w:pPr>
      <w:r w:rsidRPr="00582AD1">
        <w:rPr>
          <w:rFonts w:ascii="Times New Roman" w:hAnsi="Times New Roman" w:cs="Times New Roman"/>
          <w:b/>
          <w:bCs/>
          <w:sz w:val="24"/>
          <w:szCs w:val="24"/>
        </w:rPr>
        <w:t>THE PUBLIC UTILITIES COMMISSION OF OHIO</w:t>
      </w:r>
    </w:p>
    <w:p w:rsidR="00582AD1" w:rsidRPr="00582AD1" w:rsidP="00582AD1">
      <w:pPr>
        <w:pStyle w:val="HTMLPreformatted"/>
        <w:rPr>
          <w:rFonts w:ascii="Times New Roman" w:hAnsi="Times New Roman" w:cs="Times New Roman"/>
          <w:sz w:val="24"/>
          <w:szCs w:val="24"/>
        </w:rPr>
      </w:pPr>
    </w:p>
    <w:tbl>
      <w:tblPr>
        <w:tblW w:w="9092" w:type="dxa"/>
        <w:tblLook w:val="01E0"/>
      </w:tblPr>
      <w:tblGrid>
        <w:gridCol w:w="10304"/>
        <w:gridCol w:w="222"/>
        <w:gridCol w:w="222"/>
      </w:tblGrid>
      <w:tr w:rsidTr="006F2325">
        <w:tblPrEx>
          <w:tblW w:w="9092" w:type="dxa"/>
          <w:tblLook w:val="01E0"/>
        </w:tblPrEx>
        <w:trPr>
          <w:trHeight w:val="807"/>
        </w:trPr>
        <w:tc>
          <w:tcPr>
            <w:tcW w:w="4332" w:type="dxa"/>
            <w:shd w:val="clear" w:color="auto" w:fill="auto"/>
          </w:tcPr>
          <w:tbl>
            <w:tblPr>
              <w:tblW w:w="10088" w:type="dxa"/>
              <w:tblLook w:val="01E0"/>
            </w:tblPr>
            <w:tblGrid>
              <w:gridCol w:w="5328"/>
              <w:gridCol w:w="360"/>
              <w:gridCol w:w="4400"/>
            </w:tblGrid>
            <w:tr w:rsidTr="00A601A4">
              <w:tblPrEx>
                <w:tblW w:w="10088" w:type="dxa"/>
                <w:tblLook w:val="01E0"/>
              </w:tblPrEx>
              <w:trPr>
                <w:trHeight w:val="807"/>
              </w:trPr>
              <w:tc>
                <w:tcPr>
                  <w:tcW w:w="5328" w:type="dxa"/>
                  <w:shd w:val="clear" w:color="auto" w:fill="auto"/>
                </w:tcPr>
                <w:p w:rsidR="007B6DB8" w:rsidP="007B6DB8">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 Investigation of Ohio’s Retail Electric Service Market.</w:t>
                  </w:r>
                </w:p>
                <w:p w:rsidR="007B6DB8" w:rsidP="007B6DB8">
                  <w:pPr>
                    <w:pStyle w:val="HTMLPreformatted"/>
                    <w:rPr>
                      <w:rFonts w:ascii="Times New Roman" w:hAnsi="Times New Roman" w:cs="Times New Roman"/>
                      <w:sz w:val="24"/>
                      <w:szCs w:val="24"/>
                    </w:rPr>
                  </w:pPr>
                </w:p>
                <w:p w:rsidR="007B6DB8" w:rsidRPr="00582AD1" w:rsidP="007B6DB8">
                  <w:pPr>
                    <w:pStyle w:val="HTMLPreformatted"/>
                    <w:rPr>
                      <w:rFonts w:ascii="Times New Roman" w:hAnsi="Times New Roman" w:cs="Times New Roman"/>
                      <w:sz w:val="24"/>
                      <w:szCs w:val="24"/>
                    </w:rPr>
                  </w:pPr>
                  <w:r>
                    <w:rPr>
                      <w:rFonts w:ascii="Times New Roman" w:hAnsi="Times New Roman" w:cs="Times New Roman"/>
                      <w:sz w:val="24"/>
                      <w:szCs w:val="24"/>
                    </w:rPr>
                    <w:t>In the Matter of the Market Development Working Group.</w:t>
                  </w:r>
                </w:p>
              </w:tc>
              <w:tc>
                <w:tcPr>
                  <w:tcW w:w="360" w:type="dxa"/>
                  <w:shd w:val="clear" w:color="auto" w:fill="auto"/>
                </w:tcPr>
                <w:p w:rsidR="007B6DB8" w:rsidRPr="00582AD1" w:rsidP="007B6DB8">
                  <w:pPr>
                    <w:pStyle w:val="HTMLPreformatted"/>
                    <w:rPr>
                      <w:rFonts w:ascii="Times New Roman" w:hAnsi="Times New Roman" w:cs="Times New Roman"/>
                      <w:sz w:val="24"/>
                      <w:szCs w:val="24"/>
                    </w:rPr>
                  </w:pPr>
                  <w:r w:rsidRPr="00582AD1">
                    <w:rPr>
                      <w:rFonts w:ascii="Times New Roman" w:hAnsi="Times New Roman" w:cs="Times New Roman"/>
                      <w:sz w:val="24"/>
                      <w:szCs w:val="24"/>
                    </w:rPr>
                    <w:t>)</w:t>
                  </w:r>
                </w:p>
                <w:p w:rsidR="007B6DB8" w:rsidRPr="00582AD1" w:rsidP="007B6DB8">
                  <w:pPr>
                    <w:pStyle w:val="HTMLPreformatted"/>
                    <w:rPr>
                      <w:rFonts w:ascii="Times New Roman" w:hAnsi="Times New Roman" w:cs="Times New Roman"/>
                      <w:sz w:val="24"/>
                      <w:szCs w:val="24"/>
                    </w:rPr>
                  </w:pPr>
                  <w:r w:rsidRPr="00582AD1">
                    <w:rPr>
                      <w:rFonts w:ascii="Times New Roman" w:hAnsi="Times New Roman" w:cs="Times New Roman"/>
                      <w:sz w:val="24"/>
                      <w:szCs w:val="24"/>
                    </w:rPr>
                    <w:t>)</w:t>
                  </w:r>
                </w:p>
                <w:p w:rsidR="007B6DB8" w:rsidP="007B6DB8">
                  <w:pPr>
                    <w:pStyle w:val="HTMLPreformatted"/>
                    <w:rPr>
                      <w:rFonts w:ascii="Times New Roman" w:hAnsi="Times New Roman" w:cs="Times New Roman"/>
                      <w:sz w:val="24"/>
                      <w:szCs w:val="24"/>
                    </w:rPr>
                  </w:pPr>
                </w:p>
                <w:p w:rsidR="007B6DB8" w:rsidP="007B6DB8">
                  <w:pPr>
                    <w:pStyle w:val="HTMLPreformatted"/>
                    <w:rPr>
                      <w:rFonts w:ascii="Times New Roman" w:hAnsi="Times New Roman" w:cs="Times New Roman"/>
                      <w:sz w:val="24"/>
                      <w:szCs w:val="24"/>
                    </w:rPr>
                  </w:pPr>
                  <w:r>
                    <w:rPr>
                      <w:rFonts w:ascii="Times New Roman" w:hAnsi="Times New Roman" w:cs="Times New Roman"/>
                      <w:sz w:val="24"/>
                      <w:szCs w:val="24"/>
                    </w:rPr>
                    <w:t>)</w:t>
                  </w:r>
                </w:p>
                <w:p w:rsidR="007B6DB8" w:rsidRPr="00582AD1" w:rsidP="007B6DB8">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shd w:val="clear" w:color="auto" w:fill="auto"/>
                </w:tcPr>
                <w:p w:rsidR="007B6DB8" w:rsidRPr="00582AD1" w:rsidP="007B6DB8">
                  <w:pPr>
                    <w:pStyle w:val="HTMLPreformatted"/>
                    <w:rPr>
                      <w:rFonts w:ascii="Times New Roman" w:hAnsi="Times New Roman" w:cs="Times New Roman"/>
                      <w:sz w:val="24"/>
                      <w:szCs w:val="24"/>
                    </w:rPr>
                  </w:pPr>
                  <w:r w:rsidRPr="00582AD1">
                    <w:rPr>
                      <w:rFonts w:ascii="Times New Roman" w:hAnsi="Times New Roman" w:cs="Times New Roman"/>
                      <w:sz w:val="24"/>
                      <w:szCs w:val="24"/>
                    </w:rPr>
                    <w:t>Case No. 12-3151-EL-COI</w:t>
                  </w:r>
                </w:p>
                <w:p w:rsidR="007B6DB8" w:rsidP="007B6DB8">
                  <w:pPr>
                    <w:pStyle w:val="HTMLPreformatted"/>
                    <w:rPr>
                      <w:rFonts w:ascii="Times New Roman" w:hAnsi="Times New Roman" w:cs="Times New Roman"/>
                      <w:sz w:val="24"/>
                      <w:szCs w:val="24"/>
                    </w:rPr>
                  </w:pPr>
                </w:p>
                <w:p w:rsidR="007B6DB8" w:rsidP="007B6DB8">
                  <w:pPr>
                    <w:pStyle w:val="HTMLPreformatted"/>
                    <w:rPr>
                      <w:rFonts w:ascii="Times New Roman" w:hAnsi="Times New Roman" w:cs="Times New Roman"/>
                      <w:sz w:val="24"/>
                      <w:szCs w:val="24"/>
                    </w:rPr>
                  </w:pPr>
                </w:p>
                <w:p w:rsidR="007B6DB8" w:rsidP="007B6DB8">
                  <w:pPr>
                    <w:pStyle w:val="HTMLPreformatted"/>
                    <w:rPr>
                      <w:rFonts w:ascii="Times New Roman" w:hAnsi="Times New Roman" w:cs="Times New Roman"/>
                      <w:sz w:val="24"/>
                      <w:szCs w:val="24"/>
                    </w:rPr>
                  </w:pPr>
                  <w:r>
                    <w:rPr>
                      <w:rFonts w:ascii="Times New Roman" w:hAnsi="Times New Roman" w:cs="Times New Roman"/>
                      <w:sz w:val="24"/>
                      <w:szCs w:val="24"/>
                    </w:rPr>
                    <w:t>Case No. 14-2074-EL-EDI</w:t>
                  </w:r>
                </w:p>
                <w:p w:rsidR="007B6DB8" w:rsidRPr="00582AD1" w:rsidP="007B6DB8">
                  <w:pPr>
                    <w:pStyle w:val="HTMLPreformatted"/>
                    <w:rPr>
                      <w:rFonts w:ascii="Times New Roman" w:hAnsi="Times New Roman" w:cs="Times New Roman"/>
                      <w:sz w:val="24"/>
                      <w:szCs w:val="24"/>
                    </w:rPr>
                  </w:pPr>
                </w:p>
              </w:tc>
            </w:tr>
          </w:tbl>
          <w:p w:rsidR="00582AD1" w:rsidRPr="00582AD1" w:rsidP="006F2325">
            <w:pPr>
              <w:pStyle w:val="HTMLPreformatted"/>
              <w:rPr>
                <w:rFonts w:ascii="Times New Roman" w:hAnsi="Times New Roman" w:cs="Times New Roman"/>
                <w:sz w:val="24"/>
                <w:szCs w:val="24"/>
              </w:rPr>
            </w:pPr>
          </w:p>
        </w:tc>
        <w:tc>
          <w:tcPr>
            <w:tcW w:w="360" w:type="dxa"/>
            <w:shd w:val="clear" w:color="auto" w:fill="auto"/>
          </w:tcPr>
          <w:p w:rsidR="00582AD1" w:rsidRPr="00582AD1" w:rsidP="006F2325">
            <w:pPr>
              <w:pStyle w:val="HTMLPreformatted"/>
              <w:rPr>
                <w:rFonts w:ascii="Times New Roman" w:hAnsi="Times New Roman" w:cs="Times New Roman"/>
                <w:sz w:val="24"/>
                <w:szCs w:val="24"/>
              </w:rPr>
            </w:pPr>
          </w:p>
        </w:tc>
        <w:tc>
          <w:tcPr>
            <w:tcW w:w="4400" w:type="dxa"/>
            <w:shd w:val="clear" w:color="auto" w:fill="auto"/>
          </w:tcPr>
          <w:p w:rsidR="00582AD1" w:rsidRPr="00582AD1" w:rsidP="006F2325">
            <w:pPr>
              <w:pStyle w:val="HTMLPreformatted"/>
              <w:rPr>
                <w:rFonts w:ascii="Times New Roman" w:hAnsi="Times New Roman" w:cs="Times New Roman"/>
                <w:sz w:val="24"/>
                <w:szCs w:val="24"/>
              </w:rPr>
            </w:pPr>
          </w:p>
        </w:tc>
      </w:tr>
    </w:tbl>
    <w:p w:rsidR="00582AD1" w:rsidRPr="00582AD1" w:rsidP="00582AD1">
      <w:pPr>
        <w:pStyle w:val="HTMLPreformatted"/>
        <w:rPr>
          <w:rFonts w:ascii="Times New Roman" w:hAnsi="Times New Roman" w:cs="Times New Roman"/>
          <w:sz w:val="24"/>
          <w:szCs w:val="24"/>
        </w:rPr>
      </w:pPr>
    </w:p>
    <w:p w:rsidR="00582AD1" w:rsidRPr="00582AD1" w:rsidP="00582AD1">
      <w:pPr>
        <w:pStyle w:val="HTMLPreformatted"/>
        <w:pBdr>
          <w:top w:val="single" w:sz="12" w:space="0" w:color="auto"/>
        </w:pBdr>
        <w:jc w:val="center"/>
        <w:rPr>
          <w:rFonts w:ascii="Times New Roman" w:hAnsi="Times New Roman" w:cs="Times New Roman"/>
          <w:b/>
          <w:sz w:val="24"/>
          <w:szCs w:val="24"/>
        </w:rPr>
      </w:pPr>
    </w:p>
    <w:p w:rsidR="00582AD1" w:rsidRPr="00582AD1" w:rsidP="00582AD1">
      <w:pPr>
        <w:pStyle w:val="HTMLPreformatted"/>
        <w:pBdr>
          <w:top w:val="single" w:sz="12" w:space="0" w:color="auto"/>
        </w:pBdr>
        <w:jc w:val="center"/>
        <w:rPr>
          <w:rFonts w:ascii="Times New Roman" w:hAnsi="Times New Roman" w:cs="Times New Roman"/>
          <w:b/>
          <w:bCs/>
          <w:sz w:val="24"/>
          <w:szCs w:val="24"/>
        </w:rPr>
      </w:pPr>
      <w:r w:rsidRPr="00582AD1">
        <w:rPr>
          <w:rFonts w:ascii="Times New Roman" w:hAnsi="Times New Roman" w:cs="Times New Roman"/>
          <w:b/>
          <w:sz w:val="24"/>
          <w:szCs w:val="24"/>
        </w:rPr>
        <w:t>MEMORANDUM IN SUPPORT</w:t>
      </w:r>
    </w:p>
    <w:p w:rsidR="000839EA" w:rsidRPr="00582AD1" w:rsidP="00582AD1">
      <w:pPr>
        <w:pBdr>
          <w:bottom w:val="single" w:sz="12" w:space="1" w:color="auto"/>
        </w:pBdr>
        <w:tabs>
          <w:tab w:val="left" w:pos="4320"/>
        </w:tabs>
        <w:rPr>
          <w:szCs w:val="24"/>
        </w:rPr>
      </w:pPr>
    </w:p>
    <w:p w:rsidR="000839EA" w:rsidP="000839EA">
      <w:pPr>
        <w:spacing w:after="200" w:line="276" w:lineRule="auto"/>
        <w:ind w:left="360"/>
        <w:contextualSpacing/>
        <w:rPr>
          <w:rFonts w:eastAsiaTheme="minorHAnsi"/>
          <w:szCs w:val="24"/>
        </w:rPr>
      </w:pPr>
    </w:p>
    <w:p w:rsidR="00582AD1" w:rsidRPr="000839EA" w:rsidP="000839EA">
      <w:pPr>
        <w:spacing w:after="200" w:line="276" w:lineRule="auto"/>
        <w:contextualSpacing/>
        <w:rPr>
          <w:rFonts w:eastAsiaTheme="minorHAnsi"/>
          <w:b/>
          <w:szCs w:val="24"/>
        </w:rPr>
      </w:pPr>
      <w:r w:rsidRPr="000839EA">
        <w:rPr>
          <w:rFonts w:eastAsiaTheme="minorHAnsi"/>
          <w:b/>
          <w:szCs w:val="24"/>
        </w:rPr>
        <w:t>I.</w:t>
      </w:r>
      <w:r w:rsidRPr="000839EA">
        <w:rPr>
          <w:rFonts w:eastAsiaTheme="minorHAnsi"/>
          <w:b/>
          <w:szCs w:val="24"/>
        </w:rPr>
        <w:tab/>
        <w:t>INTRODUCTION</w:t>
      </w:r>
    </w:p>
    <w:p w:rsidR="000839EA" w:rsidRPr="00582AD1" w:rsidP="000839EA">
      <w:pPr>
        <w:spacing w:after="200" w:line="276" w:lineRule="auto"/>
        <w:contextualSpacing/>
        <w:rPr>
          <w:rFonts w:eastAsiaTheme="minorHAnsi"/>
          <w:szCs w:val="24"/>
        </w:rPr>
      </w:pPr>
    </w:p>
    <w:p w:rsidR="00143EDC" w:rsidP="00823923">
      <w:pPr>
        <w:spacing w:line="480" w:lineRule="auto"/>
        <w:ind w:firstLine="720"/>
        <w:rPr>
          <w:rFonts w:eastAsiaTheme="minorHAnsi"/>
          <w:szCs w:val="24"/>
        </w:rPr>
      </w:pPr>
      <w:r w:rsidRPr="00582AD1">
        <w:rPr>
          <w:rFonts w:eastAsiaTheme="minorHAnsi"/>
          <w:szCs w:val="24"/>
        </w:rPr>
        <w:t>The PUCO in its Finding and Order considered four different alternative methods in which</w:t>
      </w:r>
      <w:r>
        <w:rPr>
          <w:rFonts w:eastAsiaTheme="minorHAnsi"/>
          <w:szCs w:val="24"/>
        </w:rPr>
        <w:t xml:space="preserve"> contracts with</w:t>
      </w:r>
      <w:r w:rsidRPr="00582AD1">
        <w:rPr>
          <w:rFonts w:eastAsiaTheme="minorHAnsi"/>
          <w:szCs w:val="24"/>
        </w:rPr>
        <w:t xml:space="preserve"> </w:t>
      </w:r>
      <w:r>
        <w:rPr>
          <w:rFonts w:eastAsiaTheme="minorHAnsi"/>
          <w:szCs w:val="24"/>
        </w:rPr>
        <w:t>Marketers</w:t>
      </w:r>
      <w:r w:rsidRPr="00582AD1">
        <w:rPr>
          <w:rFonts w:eastAsiaTheme="minorHAnsi"/>
          <w:szCs w:val="24"/>
        </w:rPr>
        <w:t xml:space="preserve"> could be transferred when customers move from one address to another in </w:t>
      </w:r>
      <w:r>
        <w:rPr>
          <w:rFonts w:eastAsiaTheme="minorHAnsi"/>
          <w:szCs w:val="24"/>
        </w:rPr>
        <w:t>a utility’s</w:t>
      </w:r>
      <w:r w:rsidRPr="00582AD1">
        <w:rPr>
          <w:rFonts w:eastAsiaTheme="minorHAnsi"/>
          <w:szCs w:val="24"/>
        </w:rPr>
        <w:t xml:space="preserve"> service area.</w:t>
      </w:r>
      <w:r>
        <w:rPr>
          <w:rFonts w:eastAsiaTheme="minorHAnsi"/>
          <w:szCs w:val="24"/>
          <w:vertAlign w:val="superscript"/>
        </w:rPr>
        <w:footnoteReference w:id="2"/>
      </w:r>
      <w:r w:rsidRPr="00582AD1">
        <w:rPr>
          <w:rFonts w:eastAsiaTheme="minorHAnsi"/>
          <w:szCs w:val="24"/>
        </w:rPr>
        <w:t xml:space="preserve">  Three of the four alternatives were correctly rejected by the </w:t>
      </w:r>
      <w:r>
        <w:rPr>
          <w:rFonts w:eastAsiaTheme="minorHAnsi"/>
          <w:szCs w:val="24"/>
        </w:rPr>
        <w:t>PUCO</w:t>
      </w:r>
      <w:r w:rsidRPr="00582AD1">
        <w:rPr>
          <w:rFonts w:eastAsiaTheme="minorHAnsi"/>
          <w:szCs w:val="24"/>
        </w:rPr>
        <w:t xml:space="preserve"> for various reasons.  </w:t>
      </w:r>
      <w:r>
        <w:rPr>
          <w:rFonts w:eastAsiaTheme="minorHAnsi"/>
          <w:szCs w:val="24"/>
        </w:rPr>
        <w:t>Instant connect</w:t>
      </w:r>
      <w:r>
        <w:rPr>
          <w:rFonts w:eastAsiaTheme="minorHAnsi"/>
          <w:szCs w:val="24"/>
          <w:vertAlign w:val="superscript"/>
        </w:rPr>
        <w:footnoteReference w:id="3"/>
      </w:r>
      <w:r>
        <w:rPr>
          <w:rFonts w:eastAsiaTheme="minorHAnsi"/>
          <w:szCs w:val="24"/>
        </w:rPr>
        <w:t xml:space="preserve"> </w:t>
      </w:r>
      <w:r w:rsidRPr="00582AD1">
        <w:rPr>
          <w:rFonts w:eastAsiaTheme="minorHAnsi"/>
          <w:szCs w:val="24"/>
        </w:rPr>
        <w:t xml:space="preserve">was rejected because </w:t>
      </w:r>
      <w:r>
        <w:rPr>
          <w:rFonts w:eastAsiaTheme="minorHAnsi"/>
          <w:szCs w:val="24"/>
        </w:rPr>
        <w:t>it</w:t>
      </w:r>
      <w:r w:rsidRPr="00582AD1">
        <w:rPr>
          <w:rFonts w:eastAsiaTheme="minorHAnsi"/>
          <w:szCs w:val="24"/>
        </w:rPr>
        <w:t xml:space="preserve"> was not cost</w:t>
      </w:r>
      <w:r>
        <w:rPr>
          <w:rFonts w:eastAsiaTheme="minorHAnsi"/>
          <w:szCs w:val="24"/>
        </w:rPr>
        <w:t>-effective</w:t>
      </w:r>
      <w:r w:rsidRPr="00582AD1">
        <w:rPr>
          <w:rFonts w:eastAsiaTheme="minorHAnsi"/>
          <w:szCs w:val="24"/>
        </w:rPr>
        <w:t xml:space="preserve"> and the overall concept extended beyond moving </w:t>
      </w:r>
      <w:r>
        <w:rPr>
          <w:rFonts w:eastAsiaTheme="minorHAnsi"/>
          <w:szCs w:val="24"/>
        </w:rPr>
        <w:t>Marketer</w:t>
      </w:r>
      <w:r w:rsidRPr="00582AD1">
        <w:rPr>
          <w:rFonts w:eastAsiaTheme="minorHAnsi"/>
          <w:szCs w:val="24"/>
        </w:rPr>
        <w:t xml:space="preserve"> service from one address to another.  Contract portability</w:t>
      </w:r>
      <w:r>
        <w:rPr>
          <w:rFonts w:eastAsiaTheme="minorHAnsi"/>
          <w:szCs w:val="24"/>
          <w:vertAlign w:val="superscript"/>
        </w:rPr>
        <w:footnoteReference w:id="4"/>
      </w:r>
      <w:r w:rsidRPr="00582AD1">
        <w:rPr>
          <w:rFonts w:eastAsiaTheme="minorHAnsi"/>
          <w:szCs w:val="24"/>
        </w:rPr>
        <w:t xml:space="preserve"> was rejected because of implementation difficult</w:t>
      </w:r>
      <w:r>
        <w:rPr>
          <w:rFonts w:eastAsiaTheme="minorHAnsi"/>
          <w:szCs w:val="24"/>
        </w:rPr>
        <w:t>ies</w:t>
      </w:r>
      <w:r w:rsidRPr="00582AD1">
        <w:rPr>
          <w:rFonts w:eastAsiaTheme="minorHAnsi"/>
          <w:szCs w:val="24"/>
        </w:rPr>
        <w:t xml:space="preserve">, considerable costs, and </w:t>
      </w:r>
      <w:r>
        <w:rPr>
          <w:rFonts w:eastAsiaTheme="minorHAnsi"/>
          <w:szCs w:val="24"/>
        </w:rPr>
        <w:t>its limitations on</w:t>
      </w:r>
      <w:r w:rsidRPr="00582AD1">
        <w:rPr>
          <w:rFonts w:eastAsiaTheme="minorHAnsi"/>
          <w:szCs w:val="24"/>
        </w:rPr>
        <w:t xml:space="preserve"> customer choice.  Warm transfer</w:t>
      </w:r>
      <w:r>
        <w:rPr>
          <w:rFonts w:eastAsiaTheme="minorHAnsi"/>
          <w:szCs w:val="24"/>
          <w:vertAlign w:val="superscript"/>
        </w:rPr>
        <w:footnoteReference w:id="5"/>
      </w:r>
      <w:r w:rsidRPr="00582AD1">
        <w:rPr>
          <w:rFonts w:eastAsiaTheme="minorHAnsi"/>
          <w:szCs w:val="24"/>
        </w:rPr>
        <w:t xml:space="preserve"> was rejected because of </w:t>
      </w:r>
      <w:r>
        <w:rPr>
          <w:rFonts w:eastAsiaTheme="minorHAnsi"/>
          <w:szCs w:val="24"/>
        </w:rPr>
        <w:t xml:space="preserve">its </w:t>
      </w:r>
      <w:r w:rsidRPr="00582AD1">
        <w:rPr>
          <w:rFonts w:eastAsiaTheme="minorHAnsi"/>
          <w:szCs w:val="24"/>
        </w:rPr>
        <w:t>substantial costs</w:t>
      </w:r>
      <w:r>
        <w:rPr>
          <w:rFonts w:eastAsiaTheme="minorHAnsi"/>
          <w:szCs w:val="24"/>
        </w:rPr>
        <w:t>,</w:t>
      </w:r>
      <w:r w:rsidRPr="00582AD1">
        <w:rPr>
          <w:rFonts w:eastAsiaTheme="minorHAnsi"/>
          <w:szCs w:val="24"/>
        </w:rPr>
        <w:t xml:space="preserve"> impact on utility service standards</w:t>
      </w:r>
      <w:r>
        <w:rPr>
          <w:rFonts w:eastAsiaTheme="minorHAnsi"/>
          <w:szCs w:val="24"/>
        </w:rPr>
        <w:t>,</w:t>
      </w:r>
      <w:r w:rsidRPr="00582AD1">
        <w:rPr>
          <w:rFonts w:eastAsiaTheme="minorHAnsi"/>
          <w:szCs w:val="24"/>
        </w:rPr>
        <w:t xml:space="preserve"> and the </w:t>
      </w:r>
      <w:r>
        <w:rPr>
          <w:rFonts w:eastAsiaTheme="minorHAnsi"/>
          <w:szCs w:val="24"/>
        </w:rPr>
        <w:t>difficulty in using it</w:t>
      </w:r>
      <w:r w:rsidRPr="00582AD1">
        <w:rPr>
          <w:rFonts w:eastAsiaTheme="minorHAnsi"/>
          <w:szCs w:val="24"/>
        </w:rPr>
        <w:t xml:space="preserve">.  </w:t>
      </w:r>
    </w:p>
    <w:p w:rsidR="00143EDC" w:rsidP="00434230">
      <w:pPr>
        <w:spacing w:line="480" w:lineRule="auto"/>
        <w:ind w:firstLine="720"/>
        <w:rPr>
          <w:rFonts w:eastAsiaTheme="minorHAnsi"/>
          <w:szCs w:val="24"/>
        </w:rPr>
      </w:pPr>
      <w:r>
        <w:rPr>
          <w:rFonts w:eastAsiaTheme="minorHAnsi"/>
          <w:szCs w:val="24"/>
        </w:rPr>
        <w:t>The PUCO</w:t>
      </w:r>
      <w:r w:rsidRPr="00582AD1">
        <w:rPr>
          <w:rFonts w:eastAsiaTheme="minorHAnsi"/>
          <w:szCs w:val="24"/>
        </w:rPr>
        <w:t xml:space="preserve"> ruled </w:t>
      </w:r>
      <w:r>
        <w:rPr>
          <w:rFonts w:eastAsiaTheme="minorHAnsi"/>
          <w:szCs w:val="24"/>
        </w:rPr>
        <w:t>in favor of</w:t>
      </w:r>
      <w:r w:rsidRPr="00582AD1">
        <w:rPr>
          <w:rFonts w:eastAsiaTheme="minorHAnsi"/>
          <w:szCs w:val="24"/>
        </w:rPr>
        <w:t xml:space="preserve"> seamless moves as the statewide standard for supporting the transfer of </w:t>
      </w:r>
      <w:r>
        <w:rPr>
          <w:rFonts w:eastAsiaTheme="minorHAnsi"/>
          <w:szCs w:val="24"/>
        </w:rPr>
        <w:t>Marketer</w:t>
      </w:r>
      <w:r w:rsidRPr="00582AD1">
        <w:rPr>
          <w:rFonts w:eastAsiaTheme="minorHAnsi"/>
          <w:szCs w:val="24"/>
        </w:rPr>
        <w:t xml:space="preserve"> contracts between </w:t>
      </w:r>
      <w:r>
        <w:rPr>
          <w:rFonts w:eastAsiaTheme="minorHAnsi"/>
          <w:szCs w:val="24"/>
        </w:rPr>
        <w:t xml:space="preserve">customer </w:t>
      </w:r>
      <w:r w:rsidRPr="00582AD1">
        <w:rPr>
          <w:rFonts w:eastAsiaTheme="minorHAnsi"/>
          <w:szCs w:val="24"/>
        </w:rPr>
        <w:t>addresses.</w:t>
      </w:r>
      <w:r>
        <w:rPr>
          <w:rFonts w:eastAsiaTheme="minorHAnsi"/>
          <w:szCs w:val="24"/>
          <w:vertAlign w:val="superscript"/>
        </w:rPr>
        <w:footnoteReference w:id="6"/>
      </w:r>
      <w:r w:rsidRPr="00582AD1">
        <w:rPr>
          <w:rFonts w:eastAsiaTheme="minorHAnsi"/>
          <w:szCs w:val="24"/>
        </w:rPr>
        <w:t xml:space="preserve">  With mutual consent between the customer and </w:t>
      </w:r>
      <w:r>
        <w:rPr>
          <w:rFonts w:eastAsiaTheme="minorHAnsi"/>
          <w:szCs w:val="24"/>
        </w:rPr>
        <w:t>Marketer</w:t>
      </w:r>
      <w:r w:rsidRPr="00582AD1">
        <w:rPr>
          <w:rFonts w:eastAsiaTheme="minorHAnsi"/>
          <w:szCs w:val="24"/>
        </w:rPr>
        <w:t xml:space="preserve">, seamless move enables </w:t>
      </w:r>
      <w:r>
        <w:rPr>
          <w:rFonts w:eastAsiaTheme="minorHAnsi"/>
          <w:szCs w:val="24"/>
        </w:rPr>
        <w:t>Marketer</w:t>
      </w:r>
      <w:r w:rsidRPr="00582AD1">
        <w:rPr>
          <w:rFonts w:eastAsiaTheme="minorHAnsi"/>
          <w:szCs w:val="24"/>
        </w:rPr>
        <w:t xml:space="preserve"> contracts to be transferred under the same terms and conditions between different addresses.</w:t>
      </w:r>
      <w:r>
        <w:rPr>
          <w:rFonts w:eastAsiaTheme="minorHAnsi"/>
          <w:szCs w:val="24"/>
          <w:vertAlign w:val="superscript"/>
        </w:rPr>
        <w:footnoteReference w:id="7"/>
      </w:r>
      <w:r w:rsidRPr="00582AD1">
        <w:rPr>
          <w:rFonts w:eastAsiaTheme="minorHAnsi"/>
          <w:szCs w:val="24"/>
        </w:rPr>
        <w:t xml:space="preserve">  </w:t>
      </w:r>
      <w:r>
        <w:rPr>
          <w:rFonts w:eastAsiaTheme="minorHAnsi"/>
          <w:szCs w:val="24"/>
        </w:rPr>
        <w:t>This avoids</w:t>
      </w:r>
      <w:r w:rsidRPr="00582AD1">
        <w:rPr>
          <w:rFonts w:eastAsiaTheme="minorHAnsi"/>
          <w:szCs w:val="24"/>
        </w:rPr>
        <w:t xml:space="preserve"> the need for customers to obtain their electric supply through the standard service offer (“SSO”) for the </w:t>
      </w:r>
      <w:r>
        <w:rPr>
          <w:rFonts w:eastAsiaTheme="minorHAnsi"/>
          <w:szCs w:val="24"/>
        </w:rPr>
        <w:t>first</w:t>
      </w:r>
      <w:r w:rsidRPr="00582AD1">
        <w:rPr>
          <w:rFonts w:eastAsiaTheme="minorHAnsi"/>
          <w:szCs w:val="24"/>
        </w:rPr>
        <w:t xml:space="preserve"> month after the customer moves and a </w:t>
      </w:r>
      <w:r>
        <w:rPr>
          <w:rFonts w:eastAsiaTheme="minorHAnsi"/>
          <w:szCs w:val="24"/>
        </w:rPr>
        <w:t>Marketer</w:t>
      </w:r>
      <w:r w:rsidRPr="00582AD1">
        <w:rPr>
          <w:rFonts w:eastAsiaTheme="minorHAnsi"/>
          <w:szCs w:val="24"/>
        </w:rPr>
        <w:t xml:space="preserve"> enrollment is being processed.  </w:t>
      </w:r>
    </w:p>
    <w:p w:rsidR="00582AD1" w:rsidRPr="00582AD1" w:rsidP="00143EDC">
      <w:pPr>
        <w:spacing w:after="200" w:line="480" w:lineRule="auto"/>
        <w:ind w:firstLine="720"/>
        <w:rPr>
          <w:rFonts w:eastAsiaTheme="minorHAnsi"/>
          <w:szCs w:val="24"/>
        </w:rPr>
      </w:pPr>
      <w:r>
        <w:rPr>
          <w:rFonts w:eastAsiaTheme="minorHAnsi"/>
          <w:szCs w:val="24"/>
        </w:rPr>
        <w:t>As discussed more fully below, the PUCO should revisit its choice of seamless move in favor of a process with more consumer protections.  And it should consider</w:t>
      </w:r>
      <w:r w:rsidRPr="00582AD1">
        <w:rPr>
          <w:rFonts w:eastAsiaTheme="minorHAnsi"/>
          <w:szCs w:val="24"/>
        </w:rPr>
        <w:t xml:space="preserve"> less costly alternatives. </w:t>
      </w:r>
    </w:p>
    <w:p w:rsidR="000839EA" w:rsidRPr="000839EA" w:rsidP="00582AD1">
      <w:pPr>
        <w:spacing w:after="200" w:line="276" w:lineRule="auto"/>
        <w:rPr>
          <w:rFonts w:eastAsiaTheme="minorHAnsi"/>
          <w:b/>
          <w:szCs w:val="24"/>
        </w:rPr>
      </w:pPr>
      <w:r w:rsidRPr="000839EA">
        <w:rPr>
          <w:rFonts w:eastAsiaTheme="minorHAnsi"/>
          <w:b/>
          <w:szCs w:val="24"/>
        </w:rPr>
        <w:t>II.</w:t>
      </w:r>
      <w:r w:rsidRPr="000839EA">
        <w:rPr>
          <w:rFonts w:eastAsiaTheme="minorHAnsi"/>
          <w:b/>
          <w:szCs w:val="24"/>
        </w:rPr>
        <w:tab/>
        <w:t>ASSIGNMENTS OF ERROR</w:t>
      </w:r>
    </w:p>
    <w:p w:rsidR="00582AD1" w:rsidRPr="00582AD1" w:rsidP="00582AD1">
      <w:pPr>
        <w:spacing w:after="200" w:line="276" w:lineRule="auto"/>
        <w:rPr>
          <w:rFonts w:eastAsiaTheme="minorHAnsi"/>
          <w:b/>
          <w:szCs w:val="24"/>
        </w:rPr>
      </w:pPr>
      <w:r>
        <w:rPr>
          <w:rFonts w:eastAsiaTheme="minorHAnsi"/>
          <w:b/>
          <w:szCs w:val="24"/>
        </w:rPr>
        <w:t xml:space="preserve">ASSIGNMENT OF ERROR NO. 1:  </w:t>
      </w:r>
      <w:r w:rsidRPr="008E4F3E">
        <w:rPr>
          <w:rFonts w:eastAsiaTheme="minorHAnsi"/>
          <w:b/>
          <w:szCs w:val="24"/>
        </w:rPr>
        <w:t>The PUCO unreasonably adopted a “seamless move” methodology as the statewide standard for transferring competitive contracts between customer addresses without first having considered the costs, benefits, operational plans, preference of, and impact on consumers.</w:t>
      </w:r>
      <w:r w:rsidRPr="00143EDC">
        <w:rPr>
          <w:rFonts w:eastAsiaTheme="minorHAnsi"/>
          <w:b/>
          <w:szCs w:val="24"/>
        </w:rPr>
        <w:t xml:space="preserve"> </w:t>
      </w:r>
      <w:r w:rsidRPr="00582AD1">
        <w:rPr>
          <w:rFonts w:eastAsiaTheme="minorHAnsi"/>
          <w:b/>
          <w:szCs w:val="24"/>
        </w:rPr>
        <w:t xml:space="preserve"> </w:t>
      </w:r>
    </w:p>
    <w:p w:rsidR="00582AD1" w:rsidRPr="00582AD1" w:rsidP="00823923">
      <w:pPr>
        <w:spacing w:line="480" w:lineRule="auto"/>
        <w:ind w:firstLine="720"/>
        <w:rPr>
          <w:rFonts w:eastAsiaTheme="minorHAnsi"/>
          <w:szCs w:val="24"/>
        </w:rPr>
      </w:pPr>
      <w:r w:rsidRPr="00582AD1">
        <w:rPr>
          <w:rFonts w:eastAsiaTheme="minorHAnsi"/>
          <w:szCs w:val="24"/>
        </w:rPr>
        <w:t xml:space="preserve">In adopting the seamless move, the </w:t>
      </w:r>
      <w:r>
        <w:rPr>
          <w:rFonts w:eastAsiaTheme="minorHAnsi"/>
          <w:szCs w:val="24"/>
        </w:rPr>
        <w:t>PUCO</w:t>
      </w:r>
      <w:r w:rsidRPr="00582AD1">
        <w:rPr>
          <w:rFonts w:eastAsiaTheme="minorHAnsi"/>
          <w:szCs w:val="24"/>
        </w:rPr>
        <w:t xml:space="preserve"> failed to consider that the estimated </w:t>
      </w:r>
      <w:r>
        <w:rPr>
          <w:rFonts w:eastAsiaTheme="minorHAnsi"/>
          <w:szCs w:val="24"/>
        </w:rPr>
        <w:t>and</w:t>
      </w:r>
      <w:r w:rsidRPr="00582AD1">
        <w:rPr>
          <w:rFonts w:eastAsiaTheme="minorHAnsi"/>
          <w:szCs w:val="24"/>
        </w:rPr>
        <w:t xml:space="preserve"> highly speculative $3.5 million statewide costs that are required to implement the</w:t>
      </w:r>
      <w:r>
        <w:rPr>
          <w:rFonts w:eastAsiaTheme="minorHAnsi"/>
          <w:szCs w:val="24"/>
        </w:rPr>
        <w:t xml:space="preserve"> seamless </w:t>
      </w:r>
      <w:r w:rsidRPr="00582AD1">
        <w:rPr>
          <w:rFonts w:eastAsiaTheme="minorHAnsi"/>
          <w:szCs w:val="24"/>
        </w:rPr>
        <w:t xml:space="preserve">capability is </w:t>
      </w:r>
      <w:r>
        <w:rPr>
          <w:rFonts w:eastAsiaTheme="minorHAnsi"/>
          <w:szCs w:val="24"/>
        </w:rPr>
        <w:t xml:space="preserve">not </w:t>
      </w:r>
      <w:r w:rsidRPr="00582AD1">
        <w:rPr>
          <w:rFonts w:eastAsiaTheme="minorHAnsi"/>
          <w:szCs w:val="24"/>
        </w:rPr>
        <w:t>cost</w:t>
      </w:r>
      <w:r>
        <w:rPr>
          <w:rFonts w:eastAsiaTheme="minorHAnsi"/>
          <w:szCs w:val="24"/>
        </w:rPr>
        <w:t>-effective</w:t>
      </w:r>
      <w:r w:rsidRPr="00582AD1">
        <w:rPr>
          <w:rFonts w:eastAsiaTheme="minorHAnsi"/>
          <w:szCs w:val="24"/>
        </w:rPr>
        <w:t>.</w:t>
      </w:r>
      <w:r>
        <w:rPr>
          <w:rFonts w:eastAsiaTheme="minorHAnsi"/>
          <w:szCs w:val="24"/>
          <w:vertAlign w:val="superscript"/>
        </w:rPr>
        <w:footnoteReference w:id="8"/>
      </w:r>
      <w:r w:rsidRPr="00582AD1">
        <w:rPr>
          <w:rFonts w:eastAsiaTheme="minorHAnsi"/>
          <w:szCs w:val="24"/>
        </w:rPr>
        <w:t xml:space="preserve">  Generally, the cost estimates were not supported with any quantifiable data and were limited to major categories identified by Staff </w:t>
      </w:r>
      <w:r>
        <w:rPr>
          <w:rFonts w:eastAsiaTheme="minorHAnsi"/>
          <w:szCs w:val="24"/>
        </w:rPr>
        <w:t>(e.g., c</w:t>
      </w:r>
      <w:r w:rsidRPr="00582AD1">
        <w:rPr>
          <w:rFonts w:eastAsiaTheme="minorHAnsi"/>
          <w:szCs w:val="24"/>
        </w:rPr>
        <w:t>omputer changes, EDI functionality, training, and incremental labor</w:t>
      </w:r>
      <w:r>
        <w:rPr>
          <w:rFonts w:eastAsiaTheme="minorHAnsi"/>
          <w:szCs w:val="24"/>
        </w:rPr>
        <w:t>)</w:t>
      </w:r>
      <w:r w:rsidRPr="00582AD1">
        <w:rPr>
          <w:rFonts w:eastAsiaTheme="minorHAnsi"/>
          <w:szCs w:val="24"/>
        </w:rPr>
        <w:t>.</w:t>
      </w:r>
      <w:r>
        <w:rPr>
          <w:rFonts w:eastAsiaTheme="minorHAnsi"/>
          <w:szCs w:val="24"/>
          <w:vertAlign w:val="superscript"/>
        </w:rPr>
        <w:footnoteReference w:id="9"/>
      </w:r>
      <w:r w:rsidRPr="00582AD1">
        <w:rPr>
          <w:rFonts w:eastAsiaTheme="minorHAnsi"/>
          <w:szCs w:val="24"/>
        </w:rPr>
        <w:t xml:space="preserve">  But the cost estimates are high-level guesses and subject to much variation.</w:t>
      </w:r>
    </w:p>
    <w:p w:rsidR="00C54E58" w:rsidP="00823923">
      <w:pPr>
        <w:spacing w:line="480" w:lineRule="auto"/>
        <w:ind w:firstLine="720"/>
        <w:rPr>
          <w:rFonts w:eastAsiaTheme="minorHAnsi"/>
          <w:szCs w:val="24"/>
        </w:rPr>
      </w:pPr>
      <w:r w:rsidRPr="00582AD1">
        <w:rPr>
          <w:rFonts w:eastAsiaTheme="minorHAnsi"/>
          <w:szCs w:val="24"/>
        </w:rPr>
        <w:t xml:space="preserve">Because the operational requirements were not developed in the </w:t>
      </w:r>
      <w:r>
        <w:rPr>
          <w:rFonts w:eastAsiaTheme="minorHAnsi"/>
          <w:szCs w:val="24"/>
        </w:rPr>
        <w:t>Market Development Working Group (“Working Group”)</w:t>
      </w:r>
      <w:r w:rsidRPr="00582AD1">
        <w:rPr>
          <w:rFonts w:eastAsiaTheme="minorHAnsi"/>
          <w:szCs w:val="24"/>
        </w:rPr>
        <w:t xml:space="preserve">, the </w:t>
      </w:r>
      <w:r>
        <w:rPr>
          <w:rFonts w:eastAsiaTheme="minorHAnsi"/>
          <w:szCs w:val="24"/>
        </w:rPr>
        <w:t>Finding and</w:t>
      </w:r>
      <w:r w:rsidRPr="00582AD1">
        <w:rPr>
          <w:rFonts w:eastAsiaTheme="minorHAnsi"/>
          <w:szCs w:val="24"/>
        </w:rPr>
        <w:t xml:space="preserve"> Order provides six months for </w:t>
      </w:r>
      <w:r>
        <w:rPr>
          <w:rFonts w:eastAsiaTheme="minorHAnsi"/>
          <w:szCs w:val="24"/>
        </w:rPr>
        <w:t>the Retail Energy Supply Association</w:t>
      </w:r>
      <w:r w:rsidRPr="00582AD1">
        <w:rPr>
          <w:rFonts w:eastAsiaTheme="minorHAnsi"/>
          <w:szCs w:val="24"/>
        </w:rPr>
        <w:t xml:space="preserve"> and each </w:t>
      </w:r>
      <w:r>
        <w:rPr>
          <w:rFonts w:eastAsiaTheme="minorHAnsi"/>
          <w:szCs w:val="24"/>
        </w:rPr>
        <w:t>utility</w:t>
      </w:r>
      <w:r w:rsidRPr="00582AD1">
        <w:rPr>
          <w:rFonts w:eastAsiaTheme="minorHAnsi"/>
          <w:szCs w:val="24"/>
        </w:rPr>
        <w:t xml:space="preserve"> to file an operational plan </w:t>
      </w:r>
      <w:r>
        <w:rPr>
          <w:rFonts w:eastAsiaTheme="minorHAnsi"/>
          <w:szCs w:val="24"/>
        </w:rPr>
        <w:t xml:space="preserve">containing the details </w:t>
      </w:r>
      <w:r w:rsidRPr="00582AD1">
        <w:rPr>
          <w:rFonts w:eastAsiaTheme="minorHAnsi"/>
          <w:szCs w:val="24"/>
        </w:rPr>
        <w:t xml:space="preserve">for </w:t>
      </w:r>
      <w:r>
        <w:rPr>
          <w:rFonts w:eastAsiaTheme="minorHAnsi"/>
          <w:szCs w:val="24"/>
        </w:rPr>
        <w:t>implementing</w:t>
      </w:r>
      <w:r w:rsidRPr="00582AD1">
        <w:rPr>
          <w:rFonts w:eastAsiaTheme="minorHAnsi"/>
          <w:szCs w:val="24"/>
        </w:rPr>
        <w:t xml:space="preserve"> seamless move.</w:t>
      </w:r>
      <w:r>
        <w:rPr>
          <w:rFonts w:eastAsiaTheme="minorHAnsi"/>
          <w:szCs w:val="24"/>
          <w:vertAlign w:val="superscript"/>
        </w:rPr>
        <w:footnoteReference w:id="10"/>
      </w:r>
      <w:r w:rsidRPr="00582AD1">
        <w:rPr>
          <w:rFonts w:eastAsiaTheme="minorHAnsi"/>
          <w:szCs w:val="24"/>
        </w:rPr>
        <w:t xml:space="preserve">  The operational plans are </w:t>
      </w:r>
      <w:r>
        <w:rPr>
          <w:rFonts w:eastAsiaTheme="minorHAnsi"/>
          <w:szCs w:val="24"/>
        </w:rPr>
        <w:t>needed</w:t>
      </w:r>
      <w:r w:rsidRPr="00582AD1">
        <w:rPr>
          <w:rFonts w:eastAsiaTheme="minorHAnsi"/>
          <w:szCs w:val="24"/>
        </w:rPr>
        <w:t xml:space="preserve"> to determine the costs for the specific computer upgrades that are necessary, the EDI software costs, additional training, and the impact that seamless move will have on existing </w:t>
      </w:r>
      <w:r>
        <w:rPr>
          <w:rFonts w:eastAsiaTheme="minorHAnsi"/>
          <w:szCs w:val="24"/>
        </w:rPr>
        <w:t>u</w:t>
      </w:r>
      <w:r w:rsidRPr="00582AD1">
        <w:rPr>
          <w:rFonts w:eastAsiaTheme="minorHAnsi"/>
          <w:szCs w:val="24"/>
        </w:rPr>
        <w:t xml:space="preserve">tility costs.  The operational plans will also directly influence evaluation of benefits that customers and </w:t>
      </w:r>
      <w:r>
        <w:rPr>
          <w:rFonts w:eastAsiaTheme="minorHAnsi"/>
          <w:szCs w:val="24"/>
        </w:rPr>
        <w:t>Marketer</w:t>
      </w:r>
      <w:r w:rsidRPr="00582AD1">
        <w:rPr>
          <w:rFonts w:eastAsiaTheme="minorHAnsi"/>
          <w:szCs w:val="24"/>
        </w:rPr>
        <w:t xml:space="preserve"> suppliers will obtain from </w:t>
      </w:r>
      <w:r>
        <w:rPr>
          <w:rFonts w:eastAsiaTheme="minorHAnsi"/>
          <w:szCs w:val="24"/>
        </w:rPr>
        <w:t xml:space="preserve">a </w:t>
      </w:r>
      <w:r w:rsidRPr="00582AD1">
        <w:rPr>
          <w:rFonts w:eastAsiaTheme="minorHAnsi"/>
          <w:szCs w:val="24"/>
        </w:rPr>
        <w:t xml:space="preserve">seamless move.  </w:t>
      </w:r>
      <w:r>
        <w:rPr>
          <w:rFonts w:eastAsiaTheme="minorHAnsi"/>
          <w:szCs w:val="24"/>
        </w:rPr>
        <w:t xml:space="preserve"> </w:t>
      </w:r>
    </w:p>
    <w:p w:rsidR="00582AD1" w:rsidRPr="00582AD1" w:rsidP="00C54E58">
      <w:pPr>
        <w:spacing w:line="480" w:lineRule="auto"/>
        <w:ind w:firstLine="720"/>
        <w:rPr>
          <w:rFonts w:eastAsiaTheme="minorHAnsi"/>
          <w:szCs w:val="24"/>
        </w:rPr>
      </w:pPr>
      <w:r w:rsidRPr="00582AD1">
        <w:rPr>
          <w:rFonts w:eastAsiaTheme="minorHAnsi"/>
          <w:szCs w:val="24"/>
        </w:rPr>
        <w:t xml:space="preserve">Until and unless </w:t>
      </w:r>
      <w:r>
        <w:rPr>
          <w:rFonts w:eastAsiaTheme="minorHAnsi"/>
          <w:szCs w:val="24"/>
        </w:rPr>
        <w:t>seamless move’s</w:t>
      </w:r>
      <w:r w:rsidRPr="00582AD1">
        <w:rPr>
          <w:rFonts w:eastAsiaTheme="minorHAnsi"/>
          <w:szCs w:val="24"/>
        </w:rPr>
        <w:t xml:space="preserve"> costs are quantified, the </w:t>
      </w:r>
      <w:r>
        <w:rPr>
          <w:rFonts w:eastAsiaTheme="minorHAnsi"/>
          <w:szCs w:val="24"/>
        </w:rPr>
        <w:t>PUCO</w:t>
      </w:r>
      <w:r w:rsidRPr="00582AD1">
        <w:rPr>
          <w:rFonts w:eastAsiaTheme="minorHAnsi"/>
          <w:szCs w:val="24"/>
        </w:rPr>
        <w:t xml:space="preserve"> will not know what the actual costs are for implementing the seamless move</w:t>
      </w:r>
      <w:r>
        <w:rPr>
          <w:rFonts w:eastAsiaTheme="minorHAnsi"/>
          <w:szCs w:val="24"/>
        </w:rPr>
        <w:t>.  It will not know</w:t>
      </w:r>
      <w:r w:rsidRPr="00582AD1">
        <w:rPr>
          <w:rFonts w:eastAsiaTheme="minorHAnsi"/>
          <w:szCs w:val="24"/>
        </w:rPr>
        <w:t xml:space="preserve"> if the </w:t>
      </w:r>
      <w:r>
        <w:rPr>
          <w:rFonts w:eastAsiaTheme="minorHAnsi"/>
          <w:szCs w:val="24"/>
        </w:rPr>
        <w:t xml:space="preserve">seamless move’s purported </w:t>
      </w:r>
      <w:r w:rsidRPr="00582AD1">
        <w:rPr>
          <w:rFonts w:eastAsiaTheme="minorHAnsi"/>
          <w:szCs w:val="24"/>
        </w:rPr>
        <w:t xml:space="preserve">benefits support the costs.  It is unreasonable for the </w:t>
      </w:r>
      <w:r>
        <w:rPr>
          <w:rFonts w:eastAsiaTheme="minorHAnsi"/>
          <w:szCs w:val="24"/>
        </w:rPr>
        <w:t>PUCO</w:t>
      </w:r>
      <w:r w:rsidRPr="00582AD1">
        <w:rPr>
          <w:rFonts w:eastAsiaTheme="minorHAnsi"/>
          <w:szCs w:val="24"/>
        </w:rPr>
        <w:t xml:space="preserve"> to approve a seamless move capability without having first quantified the costs.  And if the $3.5 million estimated costs provided by the PUCO Staff are even remotely accurate, the </w:t>
      </w:r>
      <w:r>
        <w:rPr>
          <w:rFonts w:eastAsiaTheme="minorHAnsi"/>
          <w:szCs w:val="24"/>
        </w:rPr>
        <w:t>PUCO</w:t>
      </w:r>
      <w:r w:rsidRPr="00582AD1">
        <w:rPr>
          <w:rFonts w:eastAsiaTheme="minorHAnsi"/>
          <w:szCs w:val="24"/>
        </w:rPr>
        <w:t xml:space="preserve"> should have found that seamless move is </w:t>
      </w:r>
      <w:r>
        <w:rPr>
          <w:rFonts w:eastAsiaTheme="minorHAnsi"/>
          <w:szCs w:val="24"/>
        </w:rPr>
        <w:t>not cost-effective.  A seamless move takes the longest time to implement and requires the most system changes of any of the alternatives considered by the Working Group.</w:t>
      </w:r>
      <w:r>
        <w:rPr>
          <w:rStyle w:val="FootnoteReference"/>
          <w:rFonts w:eastAsiaTheme="minorHAnsi"/>
          <w:szCs w:val="24"/>
        </w:rPr>
        <w:footnoteReference w:id="11"/>
      </w:r>
      <w:r>
        <w:rPr>
          <w:rFonts w:eastAsiaTheme="minorHAnsi"/>
          <w:szCs w:val="24"/>
        </w:rPr>
        <w:t xml:space="preserve">  Further, the number of customers who might be interested in the seamless move and were eligible to participate based on coinciding service start and end dates was very limited.</w:t>
      </w:r>
      <w:r>
        <w:rPr>
          <w:rStyle w:val="FootnoteReference"/>
          <w:rFonts w:eastAsiaTheme="minorHAnsi"/>
          <w:szCs w:val="24"/>
        </w:rPr>
        <w:footnoteReference w:id="12"/>
      </w:r>
      <w:r>
        <w:rPr>
          <w:rFonts w:eastAsiaTheme="minorHAnsi"/>
          <w:szCs w:val="24"/>
        </w:rPr>
        <w:t xml:space="preserve">  For most residential customers, the estimated $10.00 cost per transferred customer</w:t>
      </w:r>
      <w:r>
        <w:rPr>
          <w:rStyle w:val="FootnoteReference"/>
          <w:rFonts w:eastAsiaTheme="minorHAnsi"/>
          <w:szCs w:val="24"/>
        </w:rPr>
        <w:footnoteReference w:id="13"/>
      </w:r>
      <w:r>
        <w:rPr>
          <w:rFonts w:eastAsiaTheme="minorHAnsi"/>
          <w:szCs w:val="24"/>
        </w:rPr>
        <w:t xml:space="preserve"> exceeds the value of any savings from not being served at the standard service offer rate for the initial month following their move.</w:t>
      </w:r>
      <w:r>
        <w:rPr>
          <w:rStyle w:val="FootnoteReference"/>
          <w:rFonts w:eastAsiaTheme="minorHAnsi"/>
          <w:szCs w:val="24"/>
        </w:rPr>
        <w:footnoteReference w:id="14"/>
      </w:r>
    </w:p>
    <w:p w:rsidR="00FE0F18" w:rsidP="00823923">
      <w:pPr>
        <w:spacing w:line="480" w:lineRule="auto"/>
        <w:ind w:firstLine="720"/>
        <w:rPr>
          <w:rFonts w:eastAsiaTheme="minorHAnsi"/>
          <w:szCs w:val="24"/>
        </w:rPr>
      </w:pPr>
      <w:r w:rsidRPr="00582AD1">
        <w:rPr>
          <w:rFonts w:eastAsiaTheme="minorHAnsi"/>
          <w:szCs w:val="24"/>
        </w:rPr>
        <w:t xml:space="preserve">Recognizing that actual costs were not developed in the </w:t>
      </w:r>
      <w:r>
        <w:rPr>
          <w:rFonts w:eastAsiaTheme="minorHAnsi"/>
          <w:szCs w:val="24"/>
        </w:rPr>
        <w:t>Working Group</w:t>
      </w:r>
      <w:r w:rsidRPr="00582AD1">
        <w:rPr>
          <w:rFonts w:eastAsiaTheme="minorHAnsi"/>
          <w:szCs w:val="24"/>
        </w:rPr>
        <w:t xml:space="preserve">, the </w:t>
      </w:r>
      <w:r>
        <w:rPr>
          <w:rFonts w:eastAsiaTheme="minorHAnsi"/>
          <w:szCs w:val="24"/>
        </w:rPr>
        <w:t>PUCO</w:t>
      </w:r>
      <w:r w:rsidRPr="00582AD1">
        <w:rPr>
          <w:rFonts w:eastAsiaTheme="minorHAnsi"/>
          <w:szCs w:val="24"/>
        </w:rPr>
        <w:t xml:space="preserve"> allowed </w:t>
      </w:r>
      <w:r>
        <w:rPr>
          <w:rFonts w:eastAsiaTheme="minorHAnsi"/>
          <w:szCs w:val="24"/>
        </w:rPr>
        <w:t>in its Finding and Order for Working Group</w:t>
      </w:r>
      <w:r w:rsidRPr="00582AD1">
        <w:rPr>
          <w:rFonts w:eastAsiaTheme="minorHAnsi"/>
          <w:szCs w:val="24"/>
        </w:rPr>
        <w:t xml:space="preserve"> participants to provide additional comments regarding the cost allocation for implementing </w:t>
      </w:r>
      <w:r>
        <w:rPr>
          <w:rFonts w:eastAsiaTheme="minorHAnsi"/>
          <w:szCs w:val="24"/>
        </w:rPr>
        <w:t xml:space="preserve">a </w:t>
      </w:r>
      <w:r w:rsidRPr="00582AD1">
        <w:rPr>
          <w:rFonts w:eastAsiaTheme="minorHAnsi"/>
          <w:szCs w:val="24"/>
        </w:rPr>
        <w:t>seamless move.</w:t>
      </w:r>
      <w:r>
        <w:rPr>
          <w:rFonts w:eastAsiaTheme="minorHAnsi"/>
          <w:szCs w:val="24"/>
          <w:vertAlign w:val="superscript"/>
        </w:rPr>
        <w:footnoteReference w:id="15"/>
      </w:r>
      <w:r w:rsidRPr="00582AD1">
        <w:rPr>
          <w:rFonts w:eastAsiaTheme="minorHAnsi"/>
          <w:szCs w:val="24"/>
        </w:rPr>
        <w:t xml:space="preserve">  </w:t>
      </w:r>
      <w:r>
        <w:rPr>
          <w:rFonts w:eastAsiaTheme="minorHAnsi"/>
          <w:szCs w:val="24"/>
        </w:rPr>
        <w:t>But</w:t>
      </w:r>
      <w:r w:rsidRPr="00582AD1">
        <w:rPr>
          <w:rFonts w:eastAsiaTheme="minorHAnsi"/>
          <w:szCs w:val="24"/>
        </w:rPr>
        <w:t xml:space="preserve"> </w:t>
      </w:r>
      <w:r>
        <w:rPr>
          <w:rFonts w:eastAsiaTheme="minorHAnsi"/>
          <w:szCs w:val="24"/>
        </w:rPr>
        <w:t>because</w:t>
      </w:r>
      <w:r w:rsidRPr="00582AD1">
        <w:rPr>
          <w:rFonts w:eastAsiaTheme="minorHAnsi"/>
          <w:szCs w:val="24"/>
        </w:rPr>
        <w:t xml:space="preserve"> the actual implementation costs remain unknown, the </w:t>
      </w:r>
      <w:r>
        <w:rPr>
          <w:rFonts w:eastAsiaTheme="minorHAnsi"/>
          <w:szCs w:val="24"/>
        </w:rPr>
        <w:t>PUCO</w:t>
      </w:r>
      <w:r w:rsidRPr="00582AD1">
        <w:rPr>
          <w:rFonts w:eastAsiaTheme="minorHAnsi"/>
          <w:szCs w:val="24"/>
        </w:rPr>
        <w:t xml:space="preserve"> has placed the proverbial cart before the horse</w:t>
      </w:r>
      <w:r>
        <w:rPr>
          <w:rFonts w:eastAsiaTheme="minorHAnsi"/>
          <w:szCs w:val="24"/>
        </w:rPr>
        <w:t>.  It assumes</w:t>
      </w:r>
      <w:r w:rsidRPr="00582AD1">
        <w:rPr>
          <w:rFonts w:eastAsiaTheme="minorHAnsi"/>
          <w:szCs w:val="24"/>
        </w:rPr>
        <w:t xml:space="preserve"> that there </w:t>
      </w:r>
      <w:r w:rsidRPr="00890514">
        <w:rPr>
          <w:rFonts w:eastAsiaTheme="minorHAnsi"/>
          <w:i/>
          <w:szCs w:val="24"/>
        </w:rPr>
        <w:t>are</w:t>
      </w:r>
      <w:r w:rsidRPr="00582AD1">
        <w:rPr>
          <w:rFonts w:eastAsiaTheme="minorHAnsi"/>
          <w:szCs w:val="24"/>
        </w:rPr>
        <w:t xml:space="preserve"> just and reasonable costs that should be allocated. While OCC will provide separate comments regarding how the costs for implementing seamless move should be allocated</w:t>
      </w:r>
      <w:r>
        <w:rPr>
          <w:rFonts w:eastAsiaTheme="minorHAnsi"/>
          <w:szCs w:val="24"/>
        </w:rPr>
        <w:t xml:space="preserve"> (all to Marketers)</w:t>
      </w:r>
      <w:r w:rsidRPr="00582AD1">
        <w:rPr>
          <w:rFonts w:eastAsiaTheme="minorHAnsi"/>
          <w:szCs w:val="24"/>
        </w:rPr>
        <w:t>, the broader issue</w:t>
      </w:r>
      <w:r>
        <w:rPr>
          <w:rFonts w:eastAsiaTheme="minorHAnsi"/>
          <w:szCs w:val="24"/>
        </w:rPr>
        <w:t xml:space="preserve"> is that</w:t>
      </w:r>
      <w:r w:rsidRPr="00582AD1">
        <w:rPr>
          <w:rFonts w:eastAsiaTheme="minorHAnsi"/>
          <w:szCs w:val="24"/>
        </w:rPr>
        <w:t xml:space="preserve"> the PUCO </w:t>
      </w:r>
      <w:r>
        <w:rPr>
          <w:rFonts w:eastAsiaTheme="minorHAnsi"/>
          <w:szCs w:val="24"/>
        </w:rPr>
        <w:t>does not address</w:t>
      </w:r>
      <w:r w:rsidRPr="00582AD1">
        <w:rPr>
          <w:rFonts w:eastAsiaTheme="minorHAnsi"/>
          <w:szCs w:val="24"/>
        </w:rPr>
        <w:t xml:space="preserve"> if seamless move is cost</w:t>
      </w:r>
      <w:r>
        <w:rPr>
          <w:rFonts w:eastAsiaTheme="minorHAnsi"/>
          <w:szCs w:val="24"/>
        </w:rPr>
        <w:t>-</w:t>
      </w:r>
      <w:r w:rsidRPr="00582AD1">
        <w:rPr>
          <w:rFonts w:eastAsiaTheme="minorHAnsi"/>
          <w:szCs w:val="24"/>
        </w:rPr>
        <w:t>effective and beneficial for consumers</w:t>
      </w:r>
      <w:r>
        <w:rPr>
          <w:rFonts w:eastAsiaTheme="minorHAnsi"/>
          <w:szCs w:val="24"/>
        </w:rPr>
        <w:t xml:space="preserve"> in the first place</w:t>
      </w:r>
      <w:r w:rsidRPr="00582AD1">
        <w:rPr>
          <w:rFonts w:eastAsiaTheme="minorHAnsi"/>
          <w:szCs w:val="24"/>
        </w:rPr>
        <w:t xml:space="preserve">. The </w:t>
      </w:r>
      <w:r>
        <w:rPr>
          <w:rFonts w:eastAsiaTheme="minorHAnsi"/>
          <w:szCs w:val="24"/>
        </w:rPr>
        <w:t>PUCO</w:t>
      </w:r>
      <w:r w:rsidRPr="00582AD1">
        <w:rPr>
          <w:rFonts w:eastAsiaTheme="minorHAnsi"/>
          <w:szCs w:val="24"/>
        </w:rPr>
        <w:t xml:space="preserve"> cannot fully </w:t>
      </w:r>
      <w:r>
        <w:rPr>
          <w:rFonts w:eastAsiaTheme="minorHAnsi"/>
          <w:szCs w:val="24"/>
        </w:rPr>
        <w:t>address this broader issue</w:t>
      </w:r>
      <w:r w:rsidRPr="00582AD1">
        <w:rPr>
          <w:rFonts w:eastAsiaTheme="minorHAnsi"/>
          <w:szCs w:val="24"/>
        </w:rPr>
        <w:t xml:space="preserve"> until and unless the </w:t>
      </w:r>
      <w:r>
        <w:rPr>
          <w:rFonts w:eastAsiaTheme="minorHAnsi"/>
          <w:szCs w:val="24"/>
        </w:rPr>
        <w:t xml:space="preserve">implementation details contained in the </w:t>
      </w:r>
      <w:r w:rsidRPr="00582AD1">
        <w:rPr>
          <w:rFonts w:eastAsiaTheme="minorHAnsi"/>
          <w:szCs w:val="24"/>
        </w:rPr>
        <w:t xml:space="preserve">operational plans for each </w:t>
      </w:r>
      <w:r>
        <w:rPr>
          <w:rFonts w:eastAsiaTheme="minorHAnsi"/>
          <w:szCs w:val="24"/>
        </w:rPr>
        <w:t>utility</w:t>
      </w:r>
      <w:r w:rsidRPr="00582AD1">
        <w:rPr>
          <w:rFonts w:eastAsiaTheme="minorHAnsi"/>
          <w:szCs w:val="24"/>
        </w:rPr>
        <w:t xml:space="preserve"> are filed </w:t>
      </w:r>
      <w:r>
        <w:rPr>
          <w:rFonts w:eastAsiaTheme="minorHAnsi"/>
          <w:szCs w:val="24"/>
        </w:rPr>
        <w:t xml:space="preserve">and considered </w:t>
      </w:r>
      <w:r w:rsidRPr="00582AD1">
        <w:rPr>
          <w:rFonts w:eastAsiaTheme="minorHAnsi"/>
          <w:szCs w:val="24"/>
        </w:rPr>
        <w:t xml:space="preserve">in the next several months. </w:t>
      </w:r>
    </w:p>
    <w:p w:rsidR="00582AD1" w:rsidRPr="00582AD1" w:rsidP="00195D00">
      <w:pPr>
        <w:spacing w:line="480" w:lineRule="auto"/>
        <w:ind w:firstLine="720"/>
        <w:rPr>
          <w:rFonts w:eastAsiaTheme="minorHAnsi"/>
          <w:szCs w:val="24"/>
        </w:rPr>
      </w:pPr>
      <w:r w:rsidRPr="00582AD1">
        <w:rPr>
          <w:rFonts w:eastAsiaTheme="minorHAnsi"/>
          <w:szCs w:val="24"/>
        </w:rPr>
        <w:t xml:space="preserve">Appropriate methods to allocate costs will depend on how the seamless move is implemented and the details contained in the operational plans. The PUCO </w:t>
      </w:r>
      <w:r>
        <w:rPr>
          <w:rFonts w:eastAsiaTheme="minorHAnsi"/>
          <w:szCs w:val="24"/>
        </w:rPr>
        <w:t>in its Finding and Order</w:t>
      </w:r>
      <w:r w:rsidRPr="00582AD1">
        <w:rPr>
          <w:rFonts w:eastAsiaTheme="minorHAnsi"/>
          <w:szCs w:val="24"/>
        </w:rPr>
        <w:t xml:space="preserve"> does not</w:t>
      </w:r>
      <w:r>
        <w:rPr>
          <w:rFonts w:eastAsiaTheme="minorHAnsi"/>
          <w:szCs w:val="24"/>
        </w:rPr>
        <w:t xml:space="preserve"> (but should)</w:t>
      </w:r>
      <w:r w:rsidRPr="00582AD1">
        <w:rPr>
          <w:rFonts w:eastAsiaTheme="minorHAnsi"/>
          <w:szCs w:val="24"/>
        </w:rPr>
        <w:t xml:space="preserve"> provide the opportunity for </w:t>
      </w:r>
      <w:r>
        <w:rPr>
          <w:rFonts w:eastAsiaTheme="minorHAnsi"/>
          <w:szCs w:val="24"/>
        </w:rPr>
        <w:t>Working Group</w:t>
      </w:r>
      <w:r w:rsidRPr="00582AD1">
        <w:rPr>
          <w:rFonts w:eastAsiaTheme="minorHAnsi"/>
          <w:szCs w:val="24"/>
        </w:rPr>
        <w:t xml:space="preserve"> participants to comment on the cost</w:t>
      </w:r>
      <w:r>
        <w:rPr>
          <w:rFonts w:eastAsiaTheme="minorHAnsi"/>
          <w:szCs w:val="24"/>
        </w:rPr>
        <w:t>-</w:t>
      </w:r>
      <w:r w:rsidRPr="00582AD1">
        <w:rPr>
          <w:rFonts w:eastAsiaTheme="minorHAnsi"/>
          <w:szCs w:val="24"/>
        </w:rPr>
        <w:t xml:space="preserve">effectiveness of the operational plans when they are filed, to assess the impact that the operational plans will have on consumers, </w:t>
      </w:r>
      <w:r>
        <w:rPr>
          <w:rFonts w:eastAsiaTheme="minorHAnsi"/>
          <w:szCs w:val="24"/>
        </w:rPr>
        <w:t>and</w:t>
      </w:r>
      <w:r w:rsidRPr="00582AD1">
        <w:rPr>
          <w:rFonts w:eastAsiaTheme="minorHAnsi"/>
          <w:szCs w:val="24"/>
        </w:rPr>
        <w:t xml:space="preserve"> to address fundamental fairness issues in how the costs will be allocated.</w:t>
      </w:r>
      <w:r>
        <w:rPr>
          <w:rFonts w:eastAsiaTheme="minorHAnsi"/>
          <w:szCs w:val="24"/>
          <w:vertAlign w:val="superscript"/>
        </w:rPr>
        <w:footnoteReference w:id="16"/>
      </w:r>
      <w:r w:rsidRPr="00582AD1">
        <w:rPr>
          <w:rFonts w:eastAsiaTheme="minorHAnsi"/>
          <w:szCs w:val="24"/>
        </w:rPr>
        <w:t xml:space="preserve"> </w:t>
      </w:r>
    </w:p>
    <w:p w:rsidR="00582AD1" w:rsidRPr="00582AD1" w:rsidP="00823923">
      <w:pPr>
        <w:spacing w:line="480" w:lineRule="auto"/>
        <w:ind w:firstLine="720"/>
        <w:rPr>
          <w:rFonts w:eastAsiaTheme="minorHAnsi"/>
          <w:szCs w:val="24"/>
        </w:rPr>
      </w:pPr>
      <w:r w:rsidRPr="00582AD1">
        <w:rPr>
          <w:rFonts w:eastAsiaTheme="minorHAnsi"/>
          <w:szCs w:val="24"/>
        </w:rPr>
        <w:t xml:space="preserve">The </w:t>
      </w:r>
      <w:r>
        <w:rPr>
          <w:rFonts w:eastAsiaTheme="minorHAnsi"/>
          <w:szCs w:val="24"/>
        </w:rPr>
        <w:t>PUCO</w:t>
      </w:r>
      <w:r w:rsidRPr="00582AD1">
        <w:rPr>
          <w:rFonts w:eastAsiaTheme="minorHAnsi"/>
          <w:szCs w:val="24"/>
        </w:rPr>
        <w:t xml:space="preserve"> failed to consider that customers are unlikely </w:t>
      </w:r>
      <w:r>
        <w:rPr>
          <w:rFonts w:eastAsiaTheme="minorHAnsi"/>
          <w:szCs w:val="24"/>
        </w:rPr>
        <w:t xml:space="preserve">to benefit from seamless move. </w:t>
      </w:r>
      <w:r w:rsidRPr="00582AD1">
        <w:rPr>
          <w:rFonts w:eastAsiaTheme="minorHAnsi"/>
          <w:szCs w:val="24"/>
        </w:rPr>
        <w:t xml:space="preserve">The PUCO claims that seamless move reduces the burden on </w:t>
      </w:r>
      <w:r>
        <w:rPr>
          <w:rFonts w:eastAsiaTheme="minorHAnsi"/>
          <w:szCs w:val="24"/>
        </w:rPr>
        <w:t>customers already</w:t>
      </w:r>
      <w:r w:rsidRPr="00582AD1">
        <w:rPr>
          <w:rFonts w:eastAsiaTheme="minorHAnsi"/>
          <w:szCs w:val="24"/>
        </w:rPr>
        <w:t xml:space="preserve"> shopping from having to shop for a </w:t>
      </w:r>
      <w:r>
        <w:rPr>
          <w:rFonts w:eastAsiaTheme="minorHAnsi"/>
          <w:szCs w:val="24"/>
        </w:rPr>
        <w:t>Marketer</w:t>
      </w:r>
      <w:r w:rsidRPr="00582AD1">
        <w:rPr>
          <w:rFonts w:eastAsiaTheme="minorHAnsi"/>
          <w:szCs w:val="24"/>
        </w:rPr>
        <w:t xml:space="preserve"> at their new address.</w:t>
      </w:r>
      <w:r>
        <w:rPr>
          <w:rFonts w:eastAsiaTheme="minorHAnsi"/>
          <w:szCs w:val="24"/>
          <w:vertAlign w:val="superscript"/>
        </w:rPr>
        <w:footnoteReference w:id="17"/>
      </w:r>
      <w:r w:rsidRPr="00582AD1">
        <w:rPr>
          <w:rFonts w:eastAsiaTheme="minorHAnsi"/>
          <w:szCs w:val="24"/>
        </w:rPr>
        <w:t xml:space="preserve">  But the burden on consumers that the PUCO is seeking to avoid </w:t>
      </w:r>
      <w:r>
        <w:rPr>
          <w:rFonts w:eastAsiaTheme="minorHAnsi"/>
          <w:szCs w:val="24"/>
        </w:rPr>
        <w:t>is not supported by</w:t>
      </w:r>
      <w:r w:rsidRPr="00582AD1">
        <w:rPr>
          <w:rFonts w:eastAsiaTheme="minorHAnsi"/>
          <w:szCs w:val="24"/>
        </w:rPr>
        <w:t xml:space="preserve"> facts. Staff noted that based on consumer contacts with the PUCO call center, there does not appear to be a demand for transferring contracts to new addresses.</w:t>
      </w:r>
      <w:r>
        <w:rPr>
          <w:rFonts w:eastAsiaTheme="minorHAnsi"/>
          <w:szCs w:val="24"/>
          <w:vertAlign w:val="superscript"/>
        </w:rPr>
        <w:footnoteReference w:id="18"/>
      </w:r>
      <w:r w:rsidRPr="00582AD1">
        <w:rPr>
          <w:rFonts w:eastAsiaTheme="minorHAnsi"/>
          <w:szCs w:val="24"/>
        </w:rPr>
        <w:t xml:space="preserve">  And </w:t>
      </w:r>
      <w:r>
        <w:rPr>
          <w:rFonts w:eastAsiaTheme="minorHAnsi"/>
          <w:szCs w:val="24"/>
        </w:rPr>
        <w:t>no participant</w:t>
      </w:r>
      <w:r w:rsidRPr="00582AD1">
        <w:rPr>
          <w:rFonts w:eastAsiaTheme="minorHAnsi"/>
          <w:szCs w:val="24"/>
        </w:rPr>
        <w:t xml:space="preserve"> in the </w:t>
      </w:r>
      <w:r>
        <w:rPr>
          <w:rFonts w:eastAsiaTheme="minorHAnsi"/>
          <w:szCs w:val="24"/>
        </w:rPr>
        <w:t>Working Group</w:t>
      </w:r>
      <w:r w:rsidRPr="00582AD1">
        <w:rPr>
          <w:rFonts w:eastAsiaTheme="minorHAnsi"/>
          <w:szCs w:val="24"/>
        </w:rPr>
        <w:t xml:space="preserve"> provided </w:t>
      </w:r>
      <w:r>
        <w:rPr>
          <w:rFonts w:eastAsiaTheme="minorHAnsi"/>
          <w:szCs w:val="24"/>
        </w:rPr>
        <w:t>any</w:t>
      </w:r>
      <w:r w:rsidRPr="00582AD1">
        <w:rPr>
          <w:rFonts w:eastAsiaTheme="minorHAnsi"/>
          <w:szCs w:val="24"/>
        </w:rPr>
        <w:t xml:space="preserve"> verifiable information that consumers support transferring contracts between addresses.  If there is any benefit to seamless moves, the benefit appears to be exclusively to the </w:t>
      </w:r>
      <w:r>
        <w:rPr>
          <w:rFonts w:eastAsiaTheme="minorHAnsi"/>
          <w:szCs w:val="24"/>
        </w:rPr>
        <w:t>Marketers</w:t>
      </w:r>
      <w:r w:rsidRPr="00582AD1">
        <w:rPr>
          <w:rFonts w:eastAsiaTheme="minorHAnsi"/>
          <w:szCs w:val="24"/>
        </w:rPr>
        <w:t xml:space="preserve"> who are able to avoid enrolling customer</w:t>
      </w:r>
      <w:r>
        <w:rPr>
          <w:rFonts w:eastAsiaTheme="minorHAnsi"/>
          <w:szCs w:val="24"/>
        </w:rPr>
        <w:t>s</w:t>
      </w:r>
      <w:r w:rsidRPr="00582AD1">
        <w:rPr>
          <w:rFonts w:eastAsiaTheme="minorHAnsi"/>
          <w:szCs w:val="24"/>
        </w:rPr>
        <w:t xml:space="preserve"> </w:t>
      </w:r>
      <w:r>
        <w:rPr>
          <w:rFonts w:eastAsiaTheme="minorHAnsi"/>
          <w:szCs w:val="24"/>
        </w:rPr>
        <w:t xml:space="preserve">again </w:t>
      </w:r>
      <w:r w:rsidRPr="00582AD1">
        <w:rPr>
          <w:rFonts w:eastAsiaTheme="minorHAnsi"/>
          <w:szCs w:val="24"/>
        </w:rPr>
        <w:t xml:space="preserve">at their new address. </w:t>
      </w:r>
    </w:p>
    <w:p w:rsidR="00890514" w:rsidP="00434230">
      <w:pPr>
        <w:spacing w:line="480" w:lineRule="auto"/>
        <w:ind w:firstLine="720"/>
        <w:rPr>
          <w:rFonts w:eastAsiaTheme="minorHAnsi"/>
          <w:szCs w:val="24"/>
        </w:rPr>
      </w:pPr>
      <w:r w:rsidRPr="00582AD1">
        <w:rPr>
          <w:rFonts w:eastAsiaTheme="minorHAnsi"/>
          <w:szCs w:val="24"/>
        </w:rPr>
        <w:t xml:space="preserve">Rather than relying on seamless move to transfer contracts between addresses, the PUCO should have considered that customers can actually benefit from other competitive choices that may be available at the new address. </w:t>
      </w:r>
      <w:r>
        <w:rPr>
          <w:rFonts w:eastAsiaTheme="minorHAnsi"/>
          <w:szCs w:val="24"/>
        </w:rPr>
        <w:t>C</w:t>
      </w:r>
      <w:r w:rsidRPr="00582AD1">
        <w:rPr>
          <w:rFonts w:eastAsiaTheme="minorHAnsi"/>
          <w:szCs w:val="24"/>
        </w:rPr>
        <w:t>ustomers could likely save money as a result of reviewing available offers. For example, less costly government aggregation choices might be available at a new address.  The energy usage profile for the new home may be drastically different from the old home.  Lower</w:t>
      </w:r>
      <w:r>
        <w:rPr>
          <w:rFonts w:eastAsiaTheme="minorHAnsi"/>
          <w:szCs w:val="24"/>
        </w:rPr>
        <w:t>-</w:t>
      </w:r>
      <w:r w:rsidRPr="00582AD1">
        <w:rPr>
          <w:rFonts w:eastAsiaTheme="minorHAnsi"/>
          <w:szCs w:val="24"/>
        </w:rPr>
        <w:t>cost supplier options might be available that are more akin to the customer</w:t>
      </w:r>
      <w:r>
        <w:rPr>
          <w:rFonts w:eastAsiaTheme="minorHAnsi"/>
          <w:szCs w:val="24"/>
        </w:rPr>
        <w:t>’</w:t>
      </w:r>
      <w:r w:rsidRPr="00582AD1">
        <w:rPr>
          <w:rFonts w:eastAsiaTheme="minorHAnsi"/>
          <w:szCs w:val="24"/>
        </w:rPr>
        <w:t xml:space="preserve">s current energy needs.  </w:t>
      </w:r>
    </w:p>
    <w:p w:rsidR="00434230" w:rsidP="00195D00">
      <w:pPr>
        <w:spacing w:line="480" w:lineRule="auto"/>
        <w:ind w:firstLine="720"/>
        <w:rPr>
          <w:rFonts w:eastAsiaTheme="minorHAnsi"/>
          <w:b/>
          <w:szCs w:val="24"/>
        </w:rPr>
      </w:pPr>
      <w:r w:rsidRPr="00582AD1">
        <w:rPr>
          <w:rFonts w:eastAsiaTheme="minorHAnsi"/>
          <w:szCs w:val="24"/>
        </w:rPr>
        <w:t xml:space="preserve">Further, the </w:t>
      </w:r>
      <w:r>
        <w:rPr>
          <w:rFonts w:eastAsiaTheme="minorHAnsi"/>
          <w:szCs w:val="24"/>
        </w:rPr>
        <w:t>standard service offer could</w:t>
      </w:r>
      <w:r w:rsidRPr="00582AD1">
        <w:rPr>
          <w:rFonts w:eastAsiaTheme="minorHAnsi"/>
          <w:szCs w:val="24"/>
        </w:rPr>
        <w:t xml:space="preserve"> be the best </w:t>
      </w:r>
      <w:r>
        <w:rPr>
          <w:rFonts w:eastAsiaTheme="minorHAnsi"/>
          <w:szCs w:val="24"/>
        </w:rPr>
        <w:t xml:space="preserve">and conservative </w:t>
      </w:r>
      <w:r w:rsidRPr="00582AD1">
        <w:rPr>
          <w:rFonts w:eastAsiaTheme="minorHAnsi"/>
          <w:szCs w:val="24"/>
        </w:rPr>
        <w:t xml:space="preserve">competitive option for </w:t>
      </w:r>
      <w:r>
        <w:rPr>
          <w:rFonts w:eastAsiaTheme="minorHAnsi"/>
          <w:szCs w:val="24"/>
        </w:rPr>
        <w:t>residential consumers</w:t>
      </w:r>
      <w:r w:rsidRPr="00582AD1">
        <w:rPr>
          <w:rFonts w:eastAsiaTheme="minorHAnsi"/>
          <w:szCs w:val="24"/>
        </w:rPr>
        <w:t>. Based on a recent review of offers available to AEP Ohio customers on the PUCO Energy Choices Ohio website, approximately three-quarters of the current non-introductory competitive offers available on the website were rates that were higher than the current AEP Ohio price to compare.</w:t>
      </w:r>
      <w:r>
        <w:rPr>
          <w:rFonts w:eastAsiaTheme="minorHAnsi"/>
          <w:szCs w:val="24"/>
          <w:vertAlign w:val="superscript"/>
        </w:rPr>
        <w:footnoteReference w:id="19"/>
      </w:r>
      <w:r w:rsidRPr="00582AD1">
        <w:rPr>
          <w:rFonts w:eastAsiaTheme="minorHAnsi"/>
          <w:szCs w:val="24"/>
        </w:rPr>
        <w:t xml:space="preserve">  Seamless moves could </w:t>
      </w:r>
      <w:r>
        <w:rPr>
          <w:rFonts w:eastAsiaTheme="minorHAnsi"/>
          <w:szCs w:val="24"/>
        </w:rPr>
        <w:t>arrange</w:t>
      </w:r>
      <w:r w:rsidRPr="00582AD1">
        <w:rPr>
          <w:rFonts w:eastAsiaTheme="minorHAnsi"/>
          <w:szCs w:val="24"/>
        </w:rPr>
        <w:t xml:space="preserve"> contracts</w:t>
      </w:r>
      <w:r>
        <w:rPr>
          <w:rFonts w:eastAsiaTheme="minorHAnsi"/>
          <w:szCs w:val="24"/>
        </w:rPr>
        <w:t xml:space="preserve"> for consumers</w:t>
      </w:r>
      <w:r w:rsidRPr="00582AD1">
        <w:rPr>
          <w:rFonts w:eastAsiaTheme="minorHAnsi"/>
          <w:szCs w:val="24"/>
        </w:rPr>
        <w:t xml:space="preserve"> with rates that are higher than the competitive SSO or other available options to be transferred between addresses.  Customers should be encouraged to</w:t>
      </w:r>
      <w:r>
        <w:rPr>
          <w:rFonts w:eastAsiaTheme="minorHAnsi"/>
          <w:szCs w:val="24"/>
        </w:rPr>
        <w:t xml:space="preserve"> monitor choices (including the SSO) on a</w:t>
      </w:r>
      <w:r w:rsidRPr="00582AD1">
        <w:rPr>
          <w:rFonts w:eastAsiaTheme="minorHAnsi"/>
          <w:szCs w:val="24"/>
        </w:rPr>
        <w:t xml:space="preserve"> regular basis to make sure that they are being served with the least</w:t>
      </w:r>
      <w:r>
        <w:rPr>
          <w:rFonts w:eastAsiaTheme="minorHAnsi"/>
          <w:szCs w:val="24"/>
        </w:rPr>
        <w:t>-</w:t>
      </w:r>
      <w:r w:rsidRPr="00582AD1">
        <w:rPr>
          <w:rFonts w:eastAsiaTheme="minorHAnsi"/>
          <w:szCs w:val="24"/>
        </w:rPr>
        <w:t xml:space="preserve">cost option for their electric supply needs. </w:t>
      </w:r>
    </w:p>
    <w:p w:rsidR="00582AD1" w:rsidRPr="00582AD1" w:rsidP="00582AD1">
      <w:pPr>
        <w:spacing w:after="200" w:line="276" w:lineRule="auto"/>
        <w:rPr>
          <w:rFonts w:eastAsiaTheme="minorHAnsi"/>
          <w:b/>
          <w:szCs w:val="24"/>
        </w:rPr>
      </w:pPr>
      <w:r>
        <w:rPr>
          <w:rFonts w:eastAsiaTheme="minorHAnsi"/>
          <w:b/>
          <w:szCs w:val="24"/>
        </w:rPr>
        <w:t xml:space="preserve">ASSIGNMENT OF ERROR NO. 2:  </w:t>
      </w:r>
      <w:r w:rsidRPr="008E4F3E">
        <w:rPr>
          <w:rFonts w:eastAsiaTheme="minorHAnsi"/>
          <w:b/>
          <w:szCs w:val="24"/>
        </w:rPr>
        <w:t xml:space="preserve">The PUCO unreasonably failed to consider more cost-effective and appropriate methods for ensuring that shopping customers have access to information about their competitive supplier to arrange for the supply of electricity at their new address.   </w:t>
      </w:r>
    </w:p>
    <w:p w:rsidR="000258AE" w:rsidP="00823923">
      <w:pPr>
        <w:spacing w:line="480" w:lineRule="auto"/>
        <w:ind w:firstLine="720"/>
        <w:rPr>
          <w:rFonts w:eastAsiaTheme="minorHAnsi"/>
          <w:szCs w:val="24"/>
        </w:rPr>
      </w:pPr>
      <w:r w:rsidRPr="00582AD1">
        <w:rPr>
          <w:rFonts w:eastAsiaTheme="minorHAnsi"/>
          <w:szCs w:val="24"/>
        </w:rPr>
        <w:t xml:space="preserve">The </w:t>
      </w:r>
      <w:r>
        <w:rPr>
          <w:rFonts w:eastAsiaTheme="minorHAnsi"/>
          <w:szCs w:val="24"/>
        </w:rPr>
        <w:t>PUCO</w:t>
      </w:r>
      <w:r w:rsidRPr="00582AD1">
        <w:rPr>
          <w:rFonts w:eastAsiaTheme="minorHAnsi"/>
          <w:szCs w:val="24"/>
        </w:rPr>
        <w:t xml:space="preserve"> recognizes that other options exist beyond the four methods </w:t>
      </w:r>
      <w:r>
        <w:rPr>
          <w:rFonts w:eastAsiaTheme="minorHAnsi"/>
          <w:szCs w:val="24"/>
        </w:rPr>
        <w:t>it addressed in the Finding and Order</w:t>
      </w:r>
      <w:r w:rsidRPr="00582AD1">
        <w:rPr>
          <w:rFonts w:eastAsiaTheme="minorHAnsi"/>
          <w:szCs w:val="24"/>
        </w:rPr>
        <w:t xml:space="preserve"> that can support </w:t>
      </w:r>
      <w:r>
        <w:rPr>
          <w:rFonts w:eastAsiaTheme="minorHAnsi"/>
          <w:szCs w:val="24"/>
        </w:rPr>
        <w:t>transferring</w:t>
      </w:r>
      <w:r w:rsidRPr="00582AD1">
        <w:rPr>
          <w:rFonts w:eastAsiaTheme="minorHAnsi"/>
          <w:szCs w:val="24"/>
        </w:rPr>
        <w:t xml:space="preserve"> </w:t>
      </w:r>
      <w:r>
        <w:rPr>
          <w:rFonts w:eastAsiaTheme="minorHAnsi"/>
          <w:szCs w:val="24"/>
        </w:rPr>
        <w:t>Marketer</w:t>
      </w:r>
      <w:r w:rsidRPr="00582AD1">
        <w:rPr>
          <w:rFonts w:eastAsiaTheme="minorHAnsi"/>
          <w:szCs w:val="24"/>
        </w:rPr>
        <w:t xml:space="preserve"> services from one address to another.  Specifically, </w:t>
      </w:r>
      <w:r>
        <w:rPr>
          <w:rFonts w:eastAsiaTheme="minorHAnsi"/>
          <w:szCs w:val="24"/>
        </w:rPr>
        <w:t xml:space="preserve">the Finding and Order references the Staff Report and the preference of OCC and utilities for a </w:t>
      </w:r>
      <w:r w:rsidRPr="00582AD1">
        <w:rPr>
          <w:rFonts w:eastAsiaTheme="minorHAnsi"/>
          <w:szCs w:val="24"/>
        </w:rPr>
        <w:t xml:space="preserve">“Cold Transfer” </w:t>
      </w:r>
      <w:r>
        <w:rPr>
          <w:rFonts w:eastAsiaTheme="minorHAnsi"/>
          <w:szCs w:val="24"/>
        </w:rPr>
        <w:t>capability.</w:t>
      </w:r>
      <w:r>
        <w:rPr>
          <w:rStyle w:val="FootnoteReference"/>
          <w:rFonts w:eastAsiaTheme="minorHAnsi"/>
          <w:szCs w:val="24"/>
        </w:rPr>
        <w:footnoteReference w:id="20"/>
      </w:r>
      <w:r>
        <w:rPr>
          <w:rFonts w:eastAsiaTheme="minorHAnsi"/>
          <w:szCs w:val="24"/>
        </w:rPr>
        <w:t xml:space="preserve">  Cold transfer as discussed in the Working Group</w:t>
      </w:r>
      <w:r w:rsidRPr="00582AD1">
        <w:rPr>
          <w:rFonts w:eastAsiaTheme="minorHAnsi"/>
          <w:szCs w:val="24"/>
        </w:rPr>
        <w:t xml:space="preserve"> </w:t>
      </w:r>
      <w:r>
        <w:rPr>
          <w:rFonts w:eastAsiaTheme="minorHAnsi"/>
          <w:szCs w:val="24"/>
        </w:rPr>
        <w:t xml:space="preserve">involved </w:t>
      </w:r>
      <w:r w:rsidRPr="00582AD1">
        <w:rPr>
          <w:rFonts w:eastAsiaTheme="minorHAnsi"/>
          <w:szCs w:val="24"/>
        </w:rPr>
        <w:t xml:space="preserve">an option where the electric utility would provide the shopping customer with the name and phone number of their </w:t>
      </w:r>
      <w:r>
        <w:rPr>
          <w:rFonts w:eastAsiaTheme="minorHAnsi"/>
          <w:szCs w:val="24"/>
        </w:rPr>
        <w:t>Marketer</w:t>
      </w:r>
      <w:r w:rsidRPr="00582AD1">
        <w:rPr>
          <w:rFonts w:eastAsiaTheme="minorHAnsi"/>
          <w:szCs w:val="24"/>
        </w:rPr>
        <w:t xml:space="preserve"> when the customer contacts the </w:t>
      </w:r>
      <w:r>
        <w:rPr>
          <w:rFonts w:eastAsiaTheme="minorHAnsi"/>
          <w:szCs w:val="24"/>
        </w:rPr>
        <w:t>u</w:t>
      </w:r>
      <w:r w:rsidRPr="00582AD1">
        <w:rPr>
          <w:rFonts w:eastAsiaTheme="minorHAnsi"/>
          <w:szCs w:val="24"/>
        </w:rPr>
        <w:t>tility to transfer service.</w:t>
      </w:r>
      <w:r>
        <w:rPr>
          <w:rFonts w:eastAsiaTheme="minorHAnsi"/>
          <w:szCs w:val="24"/>
          <w:vertAlign w:val="superscript"/>
        </w:rPr>
        <w:footnoteReference w:id="21"/>
      </w:r>
      <w:r w:rsidRPr="00582AD1">
        <w:rPr>
          <w:rFonts w:eastAsiaTheme="minorHAnsi"/>
          <w:szCs w:val="24"/>
        </w:rPr>
        <w:t xml:space="preserve">  The customer could then contact the supplier directly to arrange for </w:t>
      </w:r>
      <w:r>
        <w:rPr>
          <w:rFonts w:eastAsiaTheme="minorHAnsi"/>
          <w:szCs w:val="24"/>
        </w:rPr>
        <w:t>Marketer</w:t>
      </w:r>
      <w:r w:rsidRPr="00582AD1">
        <w:rPr>
          <w:rFonts w:eastAsiaTheme="minorHAnsi"/>
          <w:szCs w:val="24"/>
        </w:rPr>
        <w:t xml:space="preserve"> service at the new address</w:t>
      </w:r>
      <w:r>
        <w:rPr>
          <w:rFonts w:eastAsiaTheme="minorHAnsi"/>
          <w:szCs w:val="24"/>
        </w:rPr>
        <w:t>, if that is the customer’s choice.</w:t>
      </w:r>
      <w:r w:rsidRPr="00582AD1">
        <w:rPr>
          <w:rFonts w:eastAsiaTheme="minorHAnsi"/>
          <w:szCs w:val="24"/>
        </w:rPr>
        <w:t xml:space="preserve"> </w:t>
      </w:r>
      <w:r>
        <w:rPr>
          <w:rFonts w:eastAsiaTheme="minorHAnsi"/>
          <w:szCs w:val="24"/>
        </w:rPr>
        <w:t xml:space="preserve"> </w:t>
      </w:r>
    </w:p>
    <w:p w:rsidR="00CF39EF" w:rsidP="00434230">
      <w:pPr>
        <w:spacing w:line="480" w:lineRule="auto"/>
        <w:ind w:firstLine="720"/>
        <w:rPr>
          <w:rFonts w:eastAsiaTheme="minorHAnsi"/>
          <w:szCs w:val="24"/>
        </w:rPr>
      </w:pPr>
      <w:r>
        <w:rPr>
          <w:rFonts w:eastAsiaTheme="minorHAnsi"/>
          <w:szCs w:val="24"/>
        </w:rPr>
        <w:t>The PUCO Staff was not opposed to the cold transfer.</w:t>
      </w:r>
      <w:r>
        <w:rPr>
          <w:rStyle w:val="FootnoteReference"/>
          <w:rFonts w:eastAsiaTheme="minorHAnsi"/>
          <w:szCs w:val="24"/>
        </w:rPr>
        <w:footnoteReference w:id="22"/>
      </w:r>
      <w:r>
        <w:rPr>
          <w:rFonts w:eastAsiaTheme="minorHAnsi"/>
          <w:szCs w:val="24"/>
        </w:rPr>
        <w:t xml:space="preserve">  Staff interpreted the PUCO Order tasking the Working Group with evaluating transferring contracts as limited to the four enumerated programs.</w:t>
      </w:r>
      <w:r>
        <w:rPr>
          <w:rStyle w:val="FootnoteReference"/>
          <w:rFonts w:eastAsiaTheme="minorHAnsi"/>
          <w:szCs w:val="24"/>
        </w:rPr>
        <w:footnoteReference w:id="23"/>
      </w:r>
      <w:r>
        <w:rPr>
          <w:rFonts w:eastAsiaTheme="minorHAnsi"/>
          <w:szCs w:val="24"/>
        </w:rPr>
        <w:t xml:space="preserve">  But the PUCO guidance for the development of the operational plan was not so restricted.  In fact, the PUCO provided specific guidance to the Working Group that could support other, more cost-effective alternatives such as the cold-transfer methodology.  The Order stated:</w:t>
      </w:r>
      <w:r>
        <w:rPr>
          <w:rStyle w:val="FootnoteReference"/>
          <w:rFonts w:eastAsiaTheme="minorHAnsi"/>
          <w:szCs w:val="24"/>
        </w:rPr>
        <w:footnoteReference w:id="24"/>
      </w:r>
    </w:p>
    <w:p w:rsidR="00D0494E" w:rsidP="00434230">
      <w:pPr>
        <w:ind w:left="1440" w:right="720"/>
        <w:rPr>
          <w:rFonts w:eastAsiaTheme="minorHAnsi"/>
          <w:szCs w:val="24"/>
        </w:rPr>
      </w:pPr>
      <w:r>
        <w:rPr>
          <w:rFonts w:eastAsiaTheme="minorHAnsi"/>
          <w:szCs w:val="24"/>
        </w:rPr>
        <w:t xml:space="preserve">The Commission notes that the operational plan should generally recognize the Commission’s preference for shopping customers to maintain their status as shopping customers, and if they must return to the SSO provider after a change in address, then for a short a period as possible. </w:t>
      </w:r>
    </w:p>
    <w:p w:rsidR="00823923" w:rsidP="00434230">
      <w:pPr>
        <w:ind w:left="1440" w:right="720"/>
        <w:rPr>
          <w:rFonts w:eastAsiaTheme="minorHAnsi"/>
          <w:szCs w:val="24"/>
        </w:rPr>
      </w:pPr>
    </w:p>
    <w:p w:rsidR="008F5E15" w:rsidP="00D0494E">
      <w:pPr>
        <w:spacing w:after="200" w:line="480" w:lineRule="auto"/>
        <w:ind w:firstLine="720"/>
        <w:rPr>
          <w:rFonts w:eastAsiaTheme="minorHAnsi"/>
          <w:szCs w:val="24"/>
        </w:rPr>
        <w:sectPr w:rsidSect="000839EA">
          <w:headerReference w:type="default" r:id="rId7"/>
          <w:footerReference w:type="default" r:id="rId8"/>
          <w:pgSz w:w="12240" w:h="15840" w:code="1"/>
          <w:pgMar w:top="1440" w:right="1800" w:bottom="1440" w:left="1800" w:header="720" w:footer="720" w:gutter="0"/>
          <w:pgNumType w:start="1"/>
          <w:cols w:space="720"/>
          <w:docGrid w:linePitch="360"/>
        </w:sectPr>
      </w:pPr>
      <w:r>
        <w:rPr>
          <w:rFonts w:eastAsiaTheme="minorHAnsi"/>
          <w:szCs w:val="24"/>
        </w:rPr>
        <w:t xml:space="preserve">The cold transfer </w:t>
      </w:r>
      <w:r w:rsidRPr="00582AD1">
        <w:rPr>
          <w:rFonts w:eastAsiaTheme="minorHAnsi"/>
          <w:szCs w:val="24"/>
        </w:rPr>
        <w:t xml:space="preserve">has multiple benefits compared to </w:t>
      </w:r>
      <w:r>
        <w:rPr>
          <w:rFonts w:eastAsiaTheme="minorHAnsi"/>
          <w:szCs w:val="24"/>
        </w:rPr>
        <w:t xml:space="preserve">the </w:t>
      </w:r>
      <w:r w:rsidRPr="00582AD1">
        <w:rPr>
          <w:rFonts w:eastAsiaTheme="minorHAnsi"/>
          <w:szCs w:val="24"/>
        </w:rPr>
        <w:t>seamless transfer</w:t>
      </w:r>
      <w:r>
        <w:rPr>
          <w:rFonts w:eastAsiaTheme="minorHAnsi"/>
          <w:szCs w:val="24"/>
        </w:rPr>
        <w:t>.  It is more cost-effective, easy to implement</w:t>
      </w:r>
      <w:r w:rsidRPr="00582AD1">
        <w:rPr>
          <w:rFonts w:eastAsiaTheme="minorHAnsi"/>
          <w:szCs w:val="24"/>
        </w:rPr>
        <w:t xml:space="preserve">, requires no utility or EDI system changes, and appropriately provides the customer with the </w:t>
      </w:r>
      <w:r>
        <w:rPr>
          <w:rFonts w:eastAsiaTheme="minorHAnsi"/>
          <w:szCs w:val="24"/>
        </w:rPr>
        <w:t>time to consider, and the ultimate authority over whether,</w:t>
      </w:r>
      <w:r w:rsidRPr="00582AD1">
        <w:rPr>
          <w:rFonts w:eastAsiaTheme="minorHAnsi"/>
          <w:szCs w:val="24"/>
        </w:rPr>
        <w:t xml:space="preserve"> to </w:t>
      </w:r>
      <w:r>
        <w:rPr>
          <w:rFonts w:eastAsiaTheme="minorHAnsi"/>
          <w:szCs w:val="24"/>
        </w:rPr>
        <w:t xml:space="preserve">contact their supplier to arrange for electric supply at </w:t>
      </w:r>
      <w:r w:rsidRPr="00582AD1">
        <w:rPr>
          <w:rFonts w:eastAsiaTheme="minorHAnsi"/>
          <w:szCs w:val="24"/>
        </w:rPr>
        <w:t xml:space="preserve">their new home.  </w:t>
      </w:r>
      <w:r>
        <w:rPr>
          <w:rFonts w:eastAsiaTheme="minorHAnsi"/>
          <w:szCs w:val="24"/>
        </w:rPr>
        <w:t>Also, the additional time might be helpful for consumers to evaluate all competitive options based on their specific needs at the new address.</w:t>
      </w:r>
      <w:r>
        <w:rPr>
          <w:rStyle w:val="FootnoteReference"/>
          <w:rFonts w:eastAsiaTheme="minorHAnsi"/>
          <w:szCs w:val="24"/>
        </w:rPr>
        <w:footnoteReference w:id="25"/>
      </w:r>
      <w:r>
        <w:rPr>
          <w:rFonts w:eastAsiaTheme="minorHAnsi"/>
          <w:szCs w:val="24"/>
        </w:rPr>
        <w:t xml:space="preserve">  </w:t>
      </w:r>
      <w:r w:rsidRPr="00582AD1">
        <w:rPr>
          <w:rFonts w:eastAsiaTheme="minorHAnsi"/>
          <w:szCs w:val="24"/>
        </w:rPr>
        <w:t xml:space="preserve">Cold transfer was recommended by several </w:t>
      </w:r>
      <w:r>
        <w:rPr>
          <w:rFonts w:eastAsiaTheme="minorHAnsi"/>
          <w:szCs w:val="24"/>
        </w:rPr>
        <w:t>Working Group</w:t>
      </w:r>
      <w:r w:rsidRPr="00582AD1">
        <w:rPr>
          <w:rFonts w:eastAsiaTheme="minorHAnsi"/>
          <w:szCs w:val="24"/>
        </w:rPr>
        <w:t xml:space="preserve"> participants</w:t>
      </w:r>
      <w:r>
        <w:rPr>
          <w:rFonts w:eastAsiaTheme="minorHAnsi"/>
          <w:szCs w:val="24"/>
          <w:vertAlign w:val="superscript"/>
        </w:rPr>
        <w:footnoteReference w:id="26"/>
      </w:r>
      <w:r w:rsidRPr="00582AD1">
        <w:rPr>
          <w:rFonts w:eastAsiaTheme="minorHAnsi"/>
          <w:szCs w:val="24"/>
        </w:rPr>
        <w:t xml:space="preserve"> as the preferred method for transferring </w:t>
      </w:r>
      <w:r>
        <w:rPr>
          <w:rFonts w:eastAsiaTheme="minorHAnsi"/>
          <w:szCs w:val="24"/>
        </w:rPr>
        <w:t>Marketer contracts</w:t>
      </w:r>
      <w:r w:rsidRPr="00582AD1">
        <w:rPr>
          <w:rFonts w:eastAsiaTheme="minorHAnsi"/>
          <w:szCs w:val="24"/>
        </w:rPr>
        <w:t xml:space="preserve"> between addresses.  Despite the </w:t>
      </w:r>
      <w:r>
        <w:rPr>
          <w:rFonts w:eastAsiaTheme="minorHAnsi"/>
          <w:szCs w:val="24"/>
        </w:rPr>
        <w:t xml:space="preserve">cost-effectiveness, </w:t>
      </w:r>
      <w:r w:rsidRPr="00582AD1">
        <w:rPr>
          <w:rFonts w:eastAsiaTheme="minorHAnsi"/>
          <w:szCs w:val="24"/>
        </w:rPr>
        <w:t xml:space="preserve">lack of complexity, ease in implementation, and being </w:t>
      </w:r>
      <w:r>
        <w:rPr>
          <w:rFonts w:eastAsiaTheme="minorHAnsi"/>
          <w:szCs w:val="24"/>
        </w:rPr>
        <w:t xml:space="preserve">more </w:t>
      </w:r>
      <w:r w:rsidRPr="00582AD1">
        <w:rPr>
          <w:rFonts w:eastAsiaTheme="minorHAnsi"/>
          <w:szCs w:val="24"/>
        </w:rPr>
        <w:t xml:space="preserve">customer friendly, the </w:t>
      </w:r>
      <w:r>
        <w:rPr>
          <w:rFonts w:eastAsiaTheme="minorHAnsi"/>
          <w:szCs w:val="24"/>
        </w:rPr>
        <w:t>PUCO</w:t>
      </w:r>
      <w:r w:rsidRPr="00582AD1">
        <w:rPr>
          <w:rFonts w:eastAsiaTheme="minorHAnsi"/>
          <w:szCs w:val="24"/>
        </w:rPr>
        <w:t xml:space="preserve"> failed to consider the cold transfer methodology and ruled in favor of seamless moves. The </w:t>
      </w:r>
      <w:r>
        <w:rPr>
          <w:rFonts w:eastAsiaTheme="minorHAnsi"/>
          <w:szCs w:val="24"/>
        </w:rPr>
        <w:t>PUCO</w:t>
      </w:r>
      <w:r w:rsidRPr="00582AD1">
        <w:rPr>
          <w:rFonts w:eastAsiaTheme="minorHAnsi"/>
          <w:szCs w:val="24"/>
        </w:rPr>
        <w:t xml:space="preserve"> should reconsider seamless move and require cold transfer</w:t>
      </w:r>
      <w:r>
        <w:rPr>
          <w:rFonts w:eastAsiaTheme="minorHAnsi"/>
          <w:szCs w:val="24"/>
        </w:rPr>
        <w:t xml:space="preserve"> for customer protection</w:t>
      </w:r>
      <w:r w:rsidRPr="00582AD1">
        <w:rPr>
          <w:rFonts w:eastAsiaTheme="minorHAnsi"/>
          <w:szCs w:val="24"/>
        </w:rPr>
        <w:t xml:space="preserve">. </w:t>
      </w:r>
    </w:p>
    <w:p w:rsidR="0067056F" w:rsidP="00582AD1">
      <w:pPr>
        <w:pStyle w:val="BodyText"/>
        <w:spacing w:line="480" w:lineRule="auto"/>
        <w:jc w:val="left"/>
        <w:rPr>
          <w:b/>
          <w:szCs w:val="24"/>
        </w:rPr>
      </w:pPr>
      <w:r w:rsidRPr="000839EA">
        <w:rPr>
          <w:b/>
          <w:szCs w:val="24"/>
        </w:rPr>
        <w:t>III.</w:t>
      </w:r>
      <w:r w:rsidRPr="000839EA">
        <w:rPr>
          <w:b/>
          <w:szCs w:val="24"/>
        </w:rPr>
        <w:tab/>
        <w:t>CONCLUSION</w:t>
      </w:r>
    </w:p>
    <w:p w:rsidR="008F5E15" w:rsidP="008F5E15">
      <w:pPr>
        <w:pStyle w:val="BodyText"/>
        <w:spacing w:line="480" w:lineRule="auto"/>
        <w:ind w:firstLine="720"/>
        <w:jc w:val="left"/>
        <w:rPr>
          <w:szCs w:val="24"/>
        </w:rPr>
      </w:pPr>
      <w:r>
        <w:rPr>
          <w:szCs w:val="24"/>
        </w:rPr>
        <w:t xml:space="preserve">In approving seamless move, the PUCO failed to consider many details impacting consumers.  That raises the risk that consumers will not be adequately protected.  Further, the PUCO should consider another option – cold transfer – that is less complex, easier to implement, and more customer friendly. </w:t>
      </w:r>
      <w:r w:rsidRPr="00582AD1">
        <w:rPr>
          <w:rFonts w:eastAsiaTheme="minorHAnsi"/>
          <w:szCs w:val="24"/>
        </w:rPr>
        <w:t xml:space="preserve">The </w:t>
      </w:r>
      <w:r>
        <w:rPr>
          <w:rFonts w:eastAsiaTheme="minorHAnsi"/>
          <w:szCs w:val="24"/>
        </w:rPr>
        <w:t>PUCO</w:t>
      </w:r>
      <w:r w:rsidRPr="00582AD1">
        <w:rPr>
          <w:rFonts w:eastAsiaTheme="minorHAnsi"/>
          <w:szCs w:val="24"/>
        </w:rPr>
        <w:t xml:space="preserve"> should reconsider seamless move and require cold transfer. </w:t>
      </w:r>
      <w:r>
        <w:rPr>
          <w:szCs w:val="24"/>
        </w:rPr>
        <w:t xml:space="preserve">   </w:t>
      </w:r>
    </w:p>
    <w:p w:rsidR="008F5E15" w:rsidP="008F5E15">
      <w:pPr>
        <w:pStyle w:val="BodyText"/>
        <w:spacing w:line="480" w:lineRule="auto"/>
        <w:ind w:firstLine="720"/>
        <w:jc w:val="left"/>
        <w:rPr>
          <w:szCs w:val="24"/>
        </w:rPr>
      </w:pPr>
    </w:p>
    <w:p w:rsidR="000839EA" w:rsidP="008F5E15">
      <w:pPr>
        <w:pStyle w:val="BodyText"/>
        <w:spacing w:line="480" w:lineRule="auto"/>
        <w:ind w:left="3600" w:firstLine="720"/>
        <w:jc w:val="left"/>
        <w:rPr>
          <w:rFonts w:eastAsiaTheme="minorHAnsi"/>
          <w:color w:val="000000"/>
          <w:szCs w:val="24"/>
        </w:rPr>
      </w:pPr>
      <w:r>
        <w:rPr>
          <w:rFonts w:eastAsiaTheme="minorHAnsi"/>
          <w:color w:val="000000"/>
          <w:szCs w:val="24"/>
        </w:rPr>
        <w:t>Respectfully submitted,</w:t>
      </w:r>
    </w:p>
    <w:p w:rsidR="000839EA" w:rsidP="000839EA">
      <w:pPr>
        <w:autoSpaceDE w:val="0"/>
        <w:autoSpaceDN w:val="0"/>
        <w:adjustRightInd w:val="0"/>
        <w:ind w:left="4320"/>
        <w:rPr>
          <w:rFonts w:eastAsiaTheme="minorHAnsi"/>
          <w:color w:val="000000"/>
          <w:szCs w:val="24"/>
        </w:rPr>
      </w:pPr>
    </w:p>
    <w:p w:rsidR="000839EA" w:rsidP="000839EA">
      <w:pPr>
        <w:autoSpaceDE w:val="0"/>
        <w:autoSpaceDN w:val="0"/>
        <w:adjustRightInd w:val="0"/>
        <w:ind w:left="4320"/>
        <w:rPr>
          <w:rFonts w:eastAsiaTheme="minorHAnsi"/>
          <w:color w:val="000000"/>
          <w:szCs w:val="24"/>
        </w:rPr>
      </w:pPr>
      <w:r>
        <w:rPr>
          <w:rFonts w:eastAsiaTheme="minorHAnsi"/>
          <w:color w:val="000000"/>
          <w:szCs w:val="24"/>
        </w:rPr>
        <w:t>BRUCE WESTON (0016973)</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OHIO CONSUMERS’ COUNSEL</w:t>
      </w:r>
    </w:p>
    <w:p w:rsidR="000839EA" w:rsidP="000839EA">
      <w:pPr>
        <w:autoSpaceDE w:val="0"/>
        <w:autoSpaceDN w:val="0"/>
        <w:adjustRightInd w:val="0"/>
        <w:ind w:left="4320"/>
        <w:rPr>
          <w:rFonts w:eastAsiaTheme="minorHAnsi"/>
          <w:i/>
          <w:iCs/>
          <w:color w:val="000000"/>
          <w:szCs w:val="24"/>
        </w:rPr>
      </w:pPr>
    </w:p>
    <w:p w:rsidR="000839EA" w:rsidRPr="00582AD1" w:rsidP="000839EA">
      <w:pPr>
        <w:autoSpaceDE w:val="0"/>
        <w:autoSpaceDN w:val="0"/>
        <w:adjustRightInd w:val="0"/>
        <w:ind w:left="4320"/>
        <w:rPr>
          <w:rFonts w:eastAsiaTheme="minorHAnsi"/>
          <w:i/>
          <w:iCs/>
          <w:color w:val="000000"/>
          <w:szCs w:val="24"/>
          <w:u w:val="single"/>
        </w:rPr>
      </w:pPr>
      <w:r w:rsidRPr="00582AD1">
        <w:rPr>
          <w:rFonts w:eastAsiaTheme="minorHAnsi"/>
          <w:i/>
          <w:iCs/>
          <w:color w:val="000000"/>
          <w:szCs w:val="24"/>
          <w:u w:val="single"/>
        </w:rPr>
        <w:t>/s/ William J. Michael</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William J. Michael, (0070921),</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Counsel of Record</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Kevin F. Moore (0089228)</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Assistant Consumers’ Counsel</w:t>
      </w:r>
    </w:p>
    <w:p w:rsidR="000839EA" w:rsidP="000839EA">
      <w:pPr>
        <w:autoSpaceDE w:val="0"/>
        <w:autoSpaceDN w:val="0"/>
        <w:adjustRightInd w:val="0"/>
        <w:ind w:left="4320"/>
        <w:rPr>
          <w:rFonts w:eastAsiaTheme="minorHAnsi"/>
          <w:b/>
          <w:bCs/>
          <w:color w:val="000000"/>
          <w:szCs w:val="24"/>
        </w:rPr>
      </w:pPr>
    </w:p>
    <w:p w:rsidR="000839EA" w:rsidP="000839EA">
      <w:pPr>
        <w:autoSpaceDE w:val="0"/>
        <w:autoSpaceDN w:val="0"/>
        <w:adjustRightInd w:val="0"/>
        <w:ind w:left="4320"/>
        <w:rPr>
          <w:rFonts w:eastAsiaTheme="minorHAnsi"/>
          <w:b/>
          <w:bCs/>
          <w:color w:val="000000"/>
          <w:szCs w:val="24"/>
        </w:rPr>
      </w:pPr>
      <w:r>
        <w:rPr>
          <w:rFonts w:eastAsiaTheme="minorHAnsi"/>
          <w:b/>
          <w:bCs/>
          <w:color w:val="000000"/>
          <w:szCs w:val="24"/>
        </w:rPr>
        <w:t>Office of the Ohio Consumers’ Counsel</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65 East State Street, 7</w:t>
      </w:r>
      <w:r w:rsidRPr="00582AD1">
        <w:rPr>
          <w:rFonts w:eastAsiaTheme="minorHAnsi"/>
          <w:color w:val="000000"/>
          <w:szCs w:val="24"/>
          <w:vertAlign w:val="superscript"/>
        </w:rPr>
        <w:t>th</w:t>
      </w:r>
      <w:r>
        <w:rPr>
          <w:rFonts w:eastAsiaTheme="minorHAnsi"/>
          <w:color w:val="000000"/>
          <w:szCs w:val="24"/>
        </w:rPr>
        <w:t xml:space="preserve"> Floor</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Columbus, Ohio 43215</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Telephone: [Michael] (614) 466-1291</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Telephone: [Moore] (614) 387-2965</w:t>
      </w:r>
    </w:p>
    <w:p w:rsidR="000839EA" w:rsidP="000839EA">
      <w:pPr>
        <w:autoSpaceDE w:val="0"/>
        <w:autoSpaceDN w:val="0"/>
        <w:adjustRightInd w:val="0"/>
        <w:ind w:left="4320"/>
        <w:rPr>
          <w:rFonts w:eastAsiaTheme="minorHAnsi"/>
          <w:color w:val="0000FF"/>
          <w:szCs w:val="24"/>
        </w:rPr>
      </w:pPr>
      <w:r>
        <w:rPr>
          <w:rFonts w:eastAsiaTheme="minorHAnsi"/>
          <w:color w:val="0000FF"/>
          <w:szCs w:val="24"/>
        </w:rPr>
        <w:t>William.michael@occ.ohio.gov</w:t>
      </w:r>
    </w:p>
    <w:p w:rsidR="000839EA" w:rsidP="000839EA">
      <w:pPr>
        <w:autoSpaceDE w:val="0"/>
        <w:autoSpaceDN w:val="0"/>
        <w:adjustRightInd w:val="0"/>
        <w:ind w:left="4320"/>
        <w:rPr>
          <w:rFonts w:eastAsiaTheme="minorHAnsi"/>
          <w:color w:val="000000"/>
          <w:szCs w:val="24"/>
        </w:rPr>
      </w:pPr>
      <w:r>
        <w:rPr>
          <w:rFonts w:eastAsiaTheme="minorHAnsi"/>
          <w:color w:val="000000"/>
          <w:szCs w:val="24"/>
        </w:rPr>
        <w:t>(Will accept service via email)</w:t>
      </w:r>
    </w:p>
    <w:p w:rsidR="000839EA" w:rsidP="000839EA">
      <w:pPr>
        <w:autoSpaceDE w:val="0"/>
        <w:autoSpaceDN w:val="0"/>
        <w:adjustRightInd w:val="0"/>
        <w:ind w:left="4320"/>
        <w:rPr>
          <w:rFonts w:eastAsiaTheme="minorHAnsi"/>
          <w:color w:val="0000FF"/>
          <w:szCs w:val="24"/>
        </w:rPr>
      </w:pPr>
      <w:r>
        <w:rPr>
          <w:rFonts w:eastAsiaTheme="minorHAnsi"/>
          <w:color w:val="0000FF"/>
          <w:szCs w:val="24"/>
        </w:rPr>
        <w:t>Kevin.moore@occ.ohio.gov</w:t>
      </w:r>
    </w:p>
    <w:p w:rsidR="000839EA" w:rsidP="000839EA">
      <w:pPr>
        <w:pStyle w:val="BodyText"/>
        <w:spacing w:line="480" w:lineRule="auto"/>
        <w:ind w:left="4320"/>
        <w:jc w:val="left"/>
        <w:rPr>
          <w:rFonts w:eastAsiaTheme="minorHAnsi"/>
          <w:color w:val="000000"/>
          <w:szCs w:val="24"/>
        </w:rPr>
      </w:pPr>
      <w:r>
        <w:rPr>
          <w:rFonts w:eastAsiaTheme="minorHAnsi"/>
          <w:color w:val="000000"/>
          <w:szCs w:val="24"/>
        </w:rPr>
        <w:t>(Will accept service via email)</w:t>
      </w:r>
    </w:p>
    <w:p w:rsidR="000839EA" w:rsidP="00582AD1">
      <w:pPr>
        <w:pStyle w:val="BodyText"/>
        <w:spacing w:line="480" w:lineRule="auto"/>
        <w:jc w:val="left"/>
        <w:rPr>
          <w:b/>
          <w:szCs w:val="24"/>
        </w:rPr>
      </w:pPr>
    </w:p>
    <w:p w:rsidR="00434230" w:rsidP="00582AD1">
      <w:pPr>
        <w:pStyle w:val="BodyText"/>
        <w:spacing w:line="480" w:lineRule="auto"/>
        <w:jc w:val="left"/>
        <w:rPr>
          <w:b/>
          <w:szCs w:val="24"/>
        </w:rPr>
      </w:pPr>
    </w:p>
    <w:p w:rsidR="00434230" w:rsidP="00582AD1">
      <w:pPr>
        <w:pStyle w:val="BodyText"/>
        <w:spacing w:line="480" w:lineRule="auto"/>
        <w:jc w:val="left"/>
        <w:rPr>
          <w:b/>
          <w:szCs w:val="24"/>
        </w:rPr>
        <w:sectPr w:rsidSect="00434230">
          <w:pgSz w:w="12240" w:h="15840" w:code="1"/>
          <w:pgMar w:top="1440" w:right="1800" w:bottom="1440" w:left="1800" w:header="720" w:footer="720" w:gutter="0"/>
          <w:cols w:space="720"/>
          <w:docGrid w:linePitch="360"/>
        </w:sectPr>
      </w:pPr>
    </w:p>
    <w:p w:rsidR="002E536F" w:rsidRPr="009D0735" w:rsidP="002E536F">
      <w:pPr>
        <w:jc w:val="center"/>
        <w:rPr>
          <w:b/>
          <w:bCs/>
          <w:u w:val="single"/>
        </w:rPr>
      </w:pPr>
      <w:r>
        <w:rPr>
          <w:b/>
          <w:bCs/>
          <w:u w:val="single"/>
        </w:rPr>
        <w:t>C</w:t>
      </w:r>
      <w:r w:rsidRPr="009D0735">
        <w:rPr>
          <w:b/>
          <w:bCs/>
          <w:u w:val="single"/>
        </w:rPr>
        <w:t>ERTIFICATE OF SERVICE</w:t>
      </w:r>
    </w:p>
    <w:p w:rsidR="002E536F" w:rsidP="008F5E15">
      <w:pPr>
        <w:spacing w:line="480" w:lineRule="atLeast"/>
        <w:ind w:firstLine="720"/>
      </w:pPr>
      <w:r>
        <w:t xml:space="preserve">I hereby certify that a copy of the Application for Rehearing </w:t>
      </w:r>
      <w:r w:rsidRPr="00195D00">
        <w:t>was</w:t>
      </w:r>
      <w:r>
        <w:t xml:space="preserve"> served on the persons stated below via electronic transmission, this 9</w:t>
      </w:r>
      <w:r w:rsidRPr="00641465">
        <w:rPr>
          <w:vertAlign w:val="superscript"/>
        </w:rPr>
        <w:t>th</w:t>
      </w:r>
      <w:r>
        <w:t xml:space="preserve"> day of March 2018.</w:t>
      </w:r>
    </w:p>
    <w:p w:rsidR="0005527B" w:rsidP="002E536F">
      <w:pPr>
        <w:spacing w:line="480" w:lineRule="atLeast"/>
      </w:pPr>
    </w:p>
    <w:p w:rsidR="002E536F" w:rsidP="002E536F">
      <w:pPr>
        <w:tabs>
          <w:tab w:val="left" w:pos="4320"/>
        </w:tabs>
        <w:rPr>
          <w:i/>
          <w:u w:val="single"/>
        </w:rPr>
      </w:pPr>
      <w:r>
        <w:tab/>
      </w:r>
      <w:r>
        <w:rPr>
          <w:i/>
          <w:u w:val="single"/>
        </w:rPr>
        <w:t>/s/ William J. Michael</w:t>
      </w:r>
    </w:p>
    <w:p w:rsidR="002E536F" w:rsidRPr="006338F8" w:rsidP="002E536F">
      <w:pPr>
        <w:tabs>
          <w:tab w:val="left" w:pos="4320"/>
        </w:tabs>
      </w:pPr>
      <w:r>
        <w:rPr>
          <w:i/>
        </w:rPr>
        <w:tab/>
      </w:r>
      <w:r w:rsidRPr="006338F8">
        <w:t>William J. Michael</w:t>
      </w:r>
    </w:p>
    <w:p w:rsidR="002E536F" w:rsidP="002E536F">
      <w:pPr>
        <w:tabs>
          <w:tab w:val="left" w:pos="4320"/>
        </w:tabs>
      </w:pPr>
      <w:r>
        <w:tab/>
        <w:t>Assistant Consumers’ Counsel</w:t>
      </w:r>
    </w:p>
    <w:p w:rsidR="002E536F" w:rsidP="002E536F">
      <w:pPr>
        <w:pStyle w:val="CommentSubject"/>
      </w:pPr>
    </w:p>
    <w:p w:rsidR="002E536F" w:rsidP="002E536F">
      <w:pPr>
        <w:pStyle w:val="CommentText"/>
        <w:jc w:val="center"/>
        <w:rPr>
          <w:b/>
          <w:u w:val="single"/>
        </w:rPr>
      </w:pPr>
      <w:r>
        <w:rPr>
          <w:b/>
          <w:u w:val="single"/>
        </w:rPr>
        <w:t>SERVICE LIST</w:t>
      </w:r>
    </w:p>
    <w:p w:rsidR="002E536F" w:rsidRPr="003274FC" w:rsidP="002E536F">
      <w:pPr>
        <w:pStyle w:val="CommentText"/>
        <w:jc w:val="center"/>
        <w:rPr>
          <w:b/>
          <w:u w:val="single"/>
        </w:rPr>
      </w:pPr>
    </w:p>
    <w:tbl>
      <w:tblPr>
        <w:tblW w:w="0" w:type="auto"/>
        <w:tblInd w:w="-106" w:type="dxa"/>
        <w:tblLook w:val="01E0"/>
      </w:tblPr>
      <w:tblGrid>
        <w:gridCol w:w="4529"/>
        <w:gridCol w:w="4217"/>
      </w:tblGrid>
      <w:tr w:rsidTr="008F5E15">
        <w:tblPrEx>
          <w:tblW w:w="0" w:type="auto"/>
          <w:tblInd w:w="-106" w:type="dxa"/>
          <w:tblLook w:val="01E0"/>
        </w:tblPrEx>
        <w:tc>
          <w:tcPr>
            <w:tcW w:w="4529" w:type="dxa"/>
          </w:tcPr>
          <w:p w:rsidR="008F5E15" w:rsidP="006F2325">
            <w:pPr>
              <w:autoSpaceDE w:val="0"/>
              <w:autoSpaceDN w:val="0"/>
              <w:adjustRightInd w:val="0"/>
              <w:rPr>
                <w:rFonts w:eastAsia="Calibri"/>
                <w:szCs w:val="24"/>
              </w:rPr>
            </w:pPr>
            <w:r w:rsidRPr="008F5E15">
              <w:rPr>
                <w:szCs w:val="24"/>
              </w:rPr>
              <w:t>Thomas.mcnamee@ohioattorneygeneral.gov</w:t>
            </w:r>
          </w:p>
          <w:p w:rsidR="008F5E15" w:rsidP="006F2325">
            <w:pPr>
              <w:autoSpaceDE w:val="0"/>
              <w:autoSpaceDN w:val="0"/>
              <w:adjustRightInd w:val="0"/>
              <w:rPr>
                <w:rFonts w:eastAsia="Calibri"/>
                <w:szCs w:val="24"/>
              </w:rPr>
            </w:pPr>
            <w:r>
              <w:rPr>
                <w:rFonts w:eastAsia="Calibri"/>
                <w:szCs w:val="24"/>
              </w:rPr>
              <w:t>Ryan.orourke@ohioattorneygeneral.gov</w:t>
            </w:r>
          </w:p>
          <w:p w:rsidR="002E536F" w:rsidRPr="008F5E15" w:rsidP="006F2325">
            <w:pPr>
              <w:autoSpaceDE w:val="0"/>
              <w:autoSpaceDN w:val="0"/>
              <w:adjustRightInd w:val="0"/>
              <w:rPr>
                <w:rFonts w:eastAsia="Calibri"/>
                <w:szCs w:val="24"/>
              </w:rPr>
            </w:pPr>
            <w:r w:rsidRPr="008F5E15">
              <w:rPr>
                <w:rFonts w:eastAsia="Calibri"/>
                <w:szCs w:val="24"/>
              </w:rPr>
              <w:t>sam@mwncmh.com</w:t>
            </w:r>
          </w:p>
          <w:p w:rsidR="002E536F" w:rsidRPr="008F5E15" w:rsidP="006F2325">
            <w:pPr>
              <w:autoSpaceDE w:val="0"/>
              <w:autoSpaceDN w:val="0"/>
              <w:adjustRightInd w:val="0"/>
              <w:rPr>
                <w:rFonts w:eastAsia="Calibri"/>
                <w:szCs w:val="24"/>
              </w:rPr>
            </w:pPr>
            <w:r w:rsidRPr="008F5E15">
              <w:rPr>
                <w:rFonts w:eastAsia="Calibri"/>
                <w:szCs w:val="24"/>
              </w:rPr>
              <w:t>fdarr@mwncmh.com</w:t>
            </w:r>
          </w:p>
          <w:p w:rsidR="002E536F" w:rsidRPr="008F5E15" w:rsidP="006F2325">
            <w:pPr>
              <w:autoSpaceDE w:val="0"/>
              <w:autoSpaceDN w:val="0"/>
              <w:adjustRightInd w:val="0"/>
              <w:rPr>
                <w:rFonts w:eastAsia="Calibri"/>
                <w:szCs w:val="24"/>
              </w:rPr>
            </w:pPr>
            <w:r w:rsidRPr="008F5E15">
              <w:rPr>
                <w:rFonts w:eastAsia="Calibri"/>
                <w:szCs w:val="24"/>
              </w:rPr>
              <w:t>mpritchard@mwncmh.com</w:t>
            </w:r>
          </w:p>
          <w:p w:rsidR="002E536F" w:rsidRPr="008F5E15" w:rsidP="006F2325">
            <w:pPr>
              <w:autoSpaceDE w:val="0"/>
              <w:autoSpaceDN w:val="0"/>
              <w:adjustRightInd w:val="0"/>
              <w:rPr>
                <w:rFonts w:eastAsia="Calibri"/>
                <w:szCs w:val="24"/>
              </w:rPr>
            </w:pPr>
            <w:r w:rsidRPr="008F5E15">
              <w:rPr>
                <w:rFonts w:eastAsia="Calibri"/>
                <w:szCs w:val="24"/>
              </w:rPr>
              <w:t>meissnerjoseph@yahoo.com</w:t>
            </w:r>
          </w:p>
          <w:p w:rsidR="002E536F" w:rsidRPr="008F5E15" w:rsidP="006F2325">
            <w:pPr>
              <w:autoSpaceDE w:val="0"/>
              <w:autoSpaceDN w:val="0"/>
              <w:adjustRightInd w:val="0"/>
              <w:rPr>
                <w:rFonts w:eastAsia="Calibri"/>
                <w:szCs w:val="24"/>
              </w:rPr>
            </w:pPr>
            <w:r w:rsidRPr="008F5E15">
              <w:rPr>
                <w:rFonts w:eastAsia="Calibri"/>
                <w:szCs w:val="24"/>
              </w:rPr>
              <w:t>jmaskovyak@ohiopovertylaw.org</w:t>
            </w:r>
          </w:p>
          <w:p w:rsidR="002E536F" w:rsidRPr="008F5E15" w:rsidP="006F2325">
            <w:pPr>
              <w:autoSpaceDE w:val="0"/>
              <w:autoSpaceDN w:val="0"/>
              <w:adjustRightInd w:val="0"/>
              <w:rPr>
                <w:rFonts w:eastAsia="Calibri"/>
                <w:szCs w:val="24"/>
              </w:rPr>
            </w:pPr>
            <w:r w:rsidRPr="008F5E15">
              <w:rPr>
                <w:rFonts w:eastAsia="Calibri"/>
                <w:szCs w:val="24"/>
              </w:rPr>
              <w:t>ejacobs@ablelaw.org</w:t>
            </w:r>
          </w:p>
          <w:p w:rsidR="002E536F" w:rsidRPr="008F5E15" w:rsidP="006F2325">
            <w:pPr>
              <w:autoSpaceDE w:val="0"/>
              <w:autoSpaceDN w:val="0"/>
              <w:adjustRightInd w:val="0"/>
              <w:rPr>
                <w:rFonts w:eastAsia="Calibri"/>
                <w:szCs w:val="24"/>
              </w:rPr>
            </w:pPr>
            <w:r w:rsidRPr="008F5E15">
              <w:rPr>
                <w:rFonts w:eastAsia="Calibri"/>
                <w:szCs w:val="24"/>
              </w:rPr>
              <w:t>nmorgan@lascinti.org</w:t>
            </w:r>
          </w:p>
          <w:p w:rsidR="002E536F" w:rsidRPr="008F5E15" w:rsidP="006F2325">
            <w:pPr>
              <w:autoSpaceDE w:val="0"/>
              <w:autoSpaceDN w:val="0"/>
              <w:adjustRightInd w:val="0"/>
              <w:rPr>
                <w:rFonts w:eastAsia="Calibri"/>
                <w:szCs w:val="24"/>
              </w:rPr>
            </w:pPr>
            <w:r w:rsidRPr="008F5E15">
              <w:rPr>
                <w:rFonts w:eastAsia="Calibri"/>
                <w:szCs w:val="24"/>
              </w:rPr>
              <w:t>mwalters@proseniors.org</w:t>
            </w:r>
          </w:p>
          <w:p w:rsidR="002E536F" w:rsidRPr="008F5E15" w:rsidP="006F2325">
            <w:pPr>
              <w:autoSpaceDE w:val="0"/>
              <w:autoSpaceDN w:val="0"/>
              <w:adjustRightInd w:val="0"/>
              <w:rPr>
                <w:rFonts w:eastAsia="Calibri"/>
                <w:szCs w:val="24"/>
              </w:rPr>
            </w:pPr>
            <w:r w:rsidRPr="008F5E15">
              <w:rPr>
                <w:rFonts w:eastAsia="Calibri"/>
                <w:szCs w:val="24"/>
              </w:rPr>
              <w:t>cgoodman@energymarketers.com</w:t>
            </w:r>
          </w:p>
          <w:p w:rsidR="002E536F" w:rsidRPr="008F5E15" w:rsidP="006F2325">
            <w:pPr>
              <w:autoSpaceDE w:val="0"/>
              <w:autoSpaceDN w:val="0"/>
              <w:adjustRightInd w:val="0"/>
              <w:rPr>
                <w:rFonts w:eastAsia="Calibri"/>
                <w:szCs w:val="24"/>
              </w:rPr>
            </w:pPr>
            <w:r w:rsidRPr="008F5E15">
              <w:rPr>
                <w:rFonts w:eastAsia="Calibri"/>
                <w:szCs w:val="24"/>
              </w:rPr>
              <w:t>srantala@energymarketers.com</w:t>
            </w:r>
          </w:p>
          <w:p w:rsidR="002E536F" w:rsidRPr="008F5E15" w:rsidP="006F2325">
            <w:pPr>
              <w:autoSpaceDE w:val="0"/>
              <w:autoSpaceDN w:val="0"/>
              <w:adjustRightInd w:val="0"/>
              <w:rPr>
                <w:rFonts w:eastAsia="Calibri"/>
                <w:szCs w:val="24"/>
              </w:rPr>
            </w:pPr>
            <w:r w:rsidRPr="008F5E15">
              <w:rPr>
                <w:rFonts w:eastAsia="Calibri"/>
                <w:szCs w:val="24"/>
              </w:rPr>
              <w:t>dboehm@BKLlawfirm.com</w:t>
            </w:r>
          </w:p>
          <w:p w:rsidR="002E536F" w:rsidRPr="008F5E15" w:rsidP="006F2325">
            <w:pPr>
              <w:autoSpaceDE w:val="0"/>
              <w:autoSpaceDN w:val="0"/>
              <w:adjustRightInd w:val="0"/>
              <w:rPr>
                <w:rFonts w:eastAsia="Calibri"/>
                <w:szCs w:val="24"/>
              </w:rPr>
            </w:pPr>
            <w:r w:rsidRPr="008F5E15">
              <w:rPr>
                <w:rFonts w:eastAsia="Calibri"/>
                <w:szCs w:val="24"/>
              </w:rPr>
              <w:t>mkurtz@BKLlawfirm.com</w:t>
            </w:r>
          </w:p>
          <w:p w:rsidR="002E536F" w:rsidRPr="008F5E15" w:rsidP="006F2325">
            <w:pPr>
              <w:autoSpaceDE w:val="0"/>
              <w:autoSpaceDN w:val="0"/>
              <w:adjustRightInd w:val="0"/>
              <w:rPr>
                <w:rFonts w:eastAsia="Calibri"/>
                <w:szCs w:val="24"/>
              </w:rPr>
            </w:pPr>
            <w:r w:rsidRPr="008F5E15">
              <w:rPr>
                <w:rFonts w:eastAsia="Calibri"/>
                <w:szCs w:val="24"/>
              </w:rPr>
              <w:t>jkylercohn@BKLlawfirm.com</w:t>
            </w:r>
          </w:p>
          <w:p w:rsidR="002E536F" w:rsidRPr="008F5E15" w:rsidP="006F2325">
            <w:pPr>
              <w:autoSpaceDE w:val="0"/>
              <w:autoSpaceDN w:val="0"/>
              <w:adjustRightInd w:val="0"/>
              <w:rPr>
                <w:rFonts w:eastAsia="Calibri"/>
                <w:szCs w:val="24"/>
              </w:rPr>
            </w:pPr>
            <w:r w:rsidRPr="008F5E15">
              <w:rPr>
                <w:rFonts w:eastAsia="Calibri"/>
                <w:szCs w:val="24"/>
              </w:rPr>
              <w:t>Rocco.DAscenzo@duke-energy.com</w:t>
            </w:r>
          </w:p>
          <w:p w:rsidR="002E536F" w:rsidRPr="008F5E15" w:rsidP="006F2325">
            <w:pPr>
              <w:autoSpaceDE w:val="0"/>
              <w:autoSpaceDN w:val="0"/>
              <w:adjustRightInd w:val="0"/>
              <w:rPr>
                <w:rFonts w:eastAsia="Calibri"/>
                <w:szCs w:val="24"/>
              </w:rPr>
            </w:pPr>
            <w:r w:rsidRPr="008F5E15">
              <w:rPr>
                <w:rFonts w:eastAsia="Calibri"/>
                <w:szCs w:val="24"/>
              </w:rPr>
              <w:t>Elizabeth.Watts@duke-energy.com</w:t>
            </w:r>
          </w:p>
          <w:p w:rsidR="002E536F" w:rsidRPr="008F5E15" w:rsidP="006F2325">
            <w:pPr>
              <w:autoSpaceDE w:val="0"/>
              <w:autoSpaceDN w:val="0"/>
              <w:adjustRightInd w:val="0"/>
              <w:rPr>
                <w:rFonts w:eastAsia="Calibri"/>
                <w:szCs w:val="24"/>
              </w:rPr>
            </w:pPr>
            <w:r w:rsidRPr="008F5E15">
              <w:rPr>
                <w:rFonts w:eastAsia="Calibri"/>
                <w:szCs w:val="24"/>
              </w:rPr>
              <w:t>toddm@wamenergylaw.com</w:t>
            </w:r>
          </w:p>
          <w:p w:rsidR="002E536F" w:rsidRPr="008F5E15" w:rsidP="006F2325">
            <w:pPr>
              <w:autoSpaceDE w:val="0"/>
              <w:autoSpaceDN w:val="0"/>
              <w:adjustRightInd w:val="0"/>
              <w:rPr>
                <w:rFonts w:eastAsia="Calibri"/>
                <w:szCs w:val="24"/>
              </w:rPr>
            </w:pPr>
            <w:r w:rsidRPr="008F5E15">
              <w:rPr>
                <w:rFonts w:eastAsia="Calibri"/>
                <w:szCs w:val="24"/>
              </w:rPr>
              <w:t xml:space="preserve">callwein@keglerbrown.com </w:t>
            </w:r>
          </w:p>
          <w:p w:rsidR="002E536F" w:rsidRPr="008F5E15" w:rsidP="006F2325">
            <w:pPr>
              <w:autoSpaceDE w:val="0"/>
              <w:autoSpaceDN w:val="0"/>
              <w:adjustRightInd w:val="0"/>
              <w:rPr>
                <w:rFonts w:eastAsia="Calibri"/>
                <w:szCs w:val="24"/>
              </w:rPr>
            </w:pPr>
            <w:r w:rsidRPr="008F5E15">
              <w:rPr>
                <w:rFonts w:eastAsia="Calibri"/>
                <w:szCs w:val="24"/>
              </w:rPr>
              <w:t>trent@theoec.org</w:t>
            </w:r>
          </w:p>
          <w:p w:rsidR="002E536F" w:rsidRPr="008F5E15" w:rsidP="006F2325">
            <w:pPr>
              <w:autoSpaceDE w:val="0"/>
              <w:autoSpaceDN w:val="0"/>
              <w:adjustRightInd w:val="0"/>
              <w:rPr>
                <w:rFonts w:eastAsia="Calibri"/>
                <w:szCs w:val="24"/>
              </w:rPr>
            </w:pPr>
            <w:r w:rsidRPr="008F5E15">
              <w:rPr>
                <w:rFonts w:eastAsia="Calibri"/>
                <w:szCs w:val="24"/>
              </w:rPr>
              <w:t>cathy@theoec.org</w:t>
            </w:r>
          </w:p>
          <w:p w:rsidR="002E536F" w:rsidRPr="008F5E15" w:rsidP="006F2325">
            <w:pPr>
              <w:autoSpaceDE w:val="0"/>
              <w:autoSpaceDN w:val="0"/>
              <w:adjustRightInd w:val="0"/>
              <w:rPr>
                <w:rFonts w:eastAsia="Calibri"/>
                <w:szCs w:val="24"/>
              </w:rPr>
            </w:pPr>
            <w:r w:rsidRPr="008F5E15">
              <w:rPr>
                <w:rFonts w:eastAsia="Calibri"/>
                <w:szCs w:val="24"/>
              </w:rPr>
              <w:t>toddm@wamenergylaw.com</w:t>
            </w:r>
          </w:p>
          <w:p w:rsidR="002E536F" w:rsidRPr="008F5E15" w:rsidP="006F2325">
            <w:pPr>
              <w:autoSpaceDE w:val="0"/>
              <w:autoSpaceDN w:val="0"/>
              <w:adjustRightInd w:val="0"/>
              <w:rPr>
                <w:rFonts w:eastAsia="Calibri"/>
                <w:szCs w:val="24"/>
              </w:rPr>
            </w:pPr>
            <w:r w:rsidRPr="008F5E15">
              <w:rPr>
                <w:rFonts w:eastAsia="Calibri"/>
                <w:szCs w:val="24"/>
              </w:rPr>
              <w:t>cdunn@firstenergycorp.com</w:t>
            </w:r>
          </w:p>
          <w:p w:rsidR="002E536F" w:rsidRPr="008F5E15" w:rsidP="006F2325">
            <w:pPr>
              <w:autoSpaceDE w:val="0"/>
              <w:autoSpaceDN w:val="0"/>
              <w:adjustRightInd w:val="0"/>
              <w:rPr>
                <w:rFonts w:eastAsia="Calibri"/>
                <w:szCs w:val="24"/>
              </w:rPr>
            </w:pPr>
            <w:r w:rsidRPr="008F5E15">
              <w:rPr>
                <w:rFonts w:eastAsia="Calibri"/>
                <w:szCs w:val="24"/>
              </w:rPr>
              <w:t>wsundermeyer@aarp.org</w:t>
            </w:r>
          </w:p>
          <w:p w:rsidR="002E536F" w:rsidRPr="008F5E15" w:rsidP="006F2325">
            <w:pPr>
              <w:autoSpaceDE w:val="0"/>
              <w:autoSpaceDN w:val="0"/>
              <w:adjustRightInd w:val="0"/>
              <w:rPr>
                <w:szCs w:val="24"/>
              </w:rPr>
            </w:pPr>
            <w:r w:rsidRPr="008F5E15">
              <w:rPr>
                <w:szCs w:val="24"/>
              </w:rPr>
              <w:t>Cynthia.brady@exeloncorp.com</w:t>
            </w:r>
          </w:p>
          <w:p w:rsidR="002E536F" w:rsidRPr="008F5E15" w:rsidP="006F2325">
            <w:pPr>
              <w:autoSpaceDE w:val="0"/>
              <w:autoSpaceDN w:val="0"/>
              <w:adjustRightInd w:val="0"/>
              <w:rPr>
                <w:szCs w:val="24"/>
              </w:rPr>
            </w:pPr>
            <w:r w:rsidRPr="008F5E15">
              <w:rPr>
                <w:szCs w:val="24"/>
              </w:rPr>
              <w:t>Campbell@whitt-sturtevant.com</w:t>
            </w:r>
          </w:p>
          <w:p w:rsidR="00AA4440" w:rsidRPr="008F5E15" w:rsidP="006F2325">
            <w:pPr>
              <w:autoSpaceDE w:val="0"/>
              <w:autoSpaceDN w:val="0"/>
              <w:adjustRightInd w:val="0"/>
              <w:rPr>
                <w:szCs w:val="24"/>
              </w:rPr>
            </w:pPr>
            <w:r w:rsidRPr="008F5E15">
              <w:rPr>
                <w:szCs w:val="24"/>
              </w:rPr>
              <w:t>whitt@whitt-sturtevant.com</w:t>
            </w:r>
          </w:p>
          <w:p w:rsidR="00AA4440" w:rsidRPr="008F5E15" w:rsidP="006F2325">
            <w:pPr>
              <w:autoSpaceDE w:val="0"/>
              <w:autoSpaceDN w:val="0"/>
              <w:adjustRightInd w:val="0"/>
              <w:rPr>
                <w:szCs w:val="24"/>
              </w:rPr>
            </w:pPr>
            <w:r w:rsidRPr="008F5E15">
              <w:rPr>
                <w:szCs w:val="24"/>
              </w:rPr>
              <w:t>glover@whitt-sturtevant.com</w:t>
            </w:r>
          </w:p>
          <w:p w:rsidR="00AA4440" w:rsidP="006F2325">
            <w:pPr>
              <w:autoSpaceDE w:val="0"/>
              <w:autoSpaceDN w:val="0"/>
              <w:adjustRightInd w:val="0"/>
              <w:rPr>
                <w:rStyle w:val="Hyperlink"/>
                <w:color w:val="auto"/>
                <w:szCs w:val="24"/>
                <w:u w:val="none"/>
              </w:rPr>
            </w:pPr>
          </w:p>
          <w:p w:rsidR="008F5E15" w:rsidP="006F2325">
            <w:pPr>
              <w:autoSpaceDE w:val="0"/>
              <w:autoSpaceDN w:val="0"/>
              <w:adjustRightInd w:val="0"/>
              <w:rPr>
                <w:rStyle w:val="Hyperlink"/>
              </w:rPr>
            </w:pPr>
          </w:p>
          <w:p w:rsidR="008F5E15" w:rsidRPr="008F5E15" w:rsidP="006F2325">
            <w:pPr>
              <w:autoSpaceDE w:val="0"/>
              <w:autoSpaceDN w:val="0"/>
              <w:adjustRightInd w:val="0"/>
              <w:rPr>
                <w:u w:val="single"/>
              </w:rPr>
            </w:pPr>
            <w:r w:rsidRPr="008F5E15">
              <w:rPr>
                <w:rStyle w:val="Hyperlink"/>
                <w:color w:val="auto"/>
              </w:rPr>
              <w:t>Attorney Examiner:</w:t>
            </w:r>
          </w:p>
          <w:p w:rsidR="00AA4440" w:rsidRPr="008F5E15" w:rsidP="006F2325">
            <w:pPr>
              <w:autoSpaceDE w:val="0"/>
              <w:autoSpaceDN w:val="0"/>
              <w:adjustRightInd w:val="0"/>
              <w:rPr>
                <w:szCs w:val="24"/>
              </w:rPr>
            </w:pPr>
            <w:r w:rsidRPr="008F5E15">
              <w:rPr>
                <w:szCs w:val="24"/>
              </w:rPr>
              <w:t>Mandy.willey@puc.state.oh.us</w:t>
            </w:r>
          </w:p>
          <w:p w:rsidR="00AA4440" w:rsidRPr="008F5E15" w:rsidP="006F2325">
            <w:pPr>
              <w:autoSpaceDE w:val="0"/>
              <w:autoSpaceDN w:val="0"/>
              <w:adjustRightInd w:val="0"/>
              <w:rPr>
                <w:szCs w:val="24"/>
              </w:rPr>
            </w:pPr>
          </w:p>
        </w:tc>
        <w:tc>
          <w:tcPr>
            <w:tcW w:w="4217" w:type="dxa"/>
            <w:hideMark/>
          </w:tcPr>
          <w:p w:rsidR="002E536F" w:rsidRPr="008F5E15" w:rsidP="00AA4440">
            <w:pPr>
              <w:ind w:left="527"/>
              <w:rPr>
                <w:szCs w:val="24"/>
              </w:rPr>
            </w:pPr>
            <w:r w:rsidRPr="008F5E15">
              <w:rPr>
                <w:szCs w:val="24"/>
              </w:rPr>
              <w:t>stnourse@aep.com</w:t>
            </w:r>
          </w:p>
          <w:p w:rsidR="002E536F" w:rsidRPr="008F5E15" w:rsidP="00AA4440">
            <w:pPr>
              <w:ind w:left="527"/>
              <w:rPr>
                <w:szCs w:val="24"/>
              </w:rPr>
            </w:pPr>
            <w:r w:rsidRPr="008F5E15">
              <w:rPr>
                <w:szCs w:val="24"/>
              </w:rPr>
              <w:t>Judi.sobecki@dplinc.com</w:t>
            </w:r>
          </w:p>
          <w:p w:rsidR="002E536F" w:rsidRPr="008F5E15" w:rsidP="00AA4440">
            <w:pPr>
              <w:ind w:left="527"/>
              <w:rPr>
                <w:szCs w:val="24"/>
              </w:rPr>
            </w:pPr>
            <w:r w:rsidRPr="008F5E15">
              <w:rPr>
                <w:szCs w:val="24"/>
              </w:rPr>
              <w:t>Amy.Spiller@duke-energy.com</w:t>
            </w:r>
          </w:p>
          <w:p w:rsidR="002E536F" w:rsidRPr="008F5E15" w:rsidP="00AA4440">
            <w:pPr>
              <w:ind w:left="527"/>
              <w:jc w:val="both"/>
              <w:rPr>
                <w:rFonts w:eastAsia="Calibri"/>
                <w:szCs w:val="24"/>
              </w:rPr>
            </w:pPr>
            <w:r w:rsidRPr="008F5E15">
              <w:rPr>
                <w:rFonts w:eastAsia="Calibri"/>
                <w:szCs w:val="24"/>
              </w:rPr>
              <w:t>gkrassen@bricker.com</w:t>
            </w:r>
          </w:p>
          <w:p w:rsidR="002E536F" w:rsidRPr="008F5E15" w:rsidP="00AA4440">
            <w:pPr>
              <w:autoSpaceDE w:val="0"/>
              <w:autoSpaceDN w:val="0"/>
              <w:adjustRightInd w:val="0"/>
              <w:ind w:left="527"/>
              <w:rPr>
                <w:rFonts w:eastAsia="Calibri"/>
                <w:szCs w:val="24"/>
              </w:rPr>
            </w:pPr>
            <w:r w:rsidRPr="008F5E15">
              <w:rPr>
                <w:rFonts w:eastAsia="Calibri"/>
                <w:szCs w:val="24"/>
              </w:rPr>
              <w:t>mwarnock@bricker.com</w:t>
            </w:r>
          </w:p>
          <w:p w:rsidR="002E536F" w:rsidRPr="008F5E15" w:rsidP="00AA4440">
            <w:pPr>
              <w:ind w:left="527"/>
              <w:jc w:val="both"/>
              <w:rPr>
                <w:rFonts w:eastAsia="Calibri"/>
                <w:szCs w:val="24"/>
              </w:rPr>
            </w:pPr>
            <w:r w:rsidRPr="008F5E15">
              <w:rPr>
                <w:rFonts w:eastAsia="Calibri"/>
                <w:szCs w:val="24"/>
              </w:rPr>
              <w:t>marmstrong@bricker.com</w:t>
            </w:r>
          </w:p>
          <w:p w:rsidR="002E536F" w:rsidRPr="008F5E15" w:rsidP="00AA4440">
            <w:pPr>
              <w:autoSpaceDE w:val="0"/>
              <w:autoSpaceDN w:val="0"/>
              <w:adjustRightInd w:val="0"/>
              <w:ind w:left="527"/>
              <w:rPr>
                <w:rFonts w:eastAsia="Calibri"/>
                <w:szCs w:val="24"/>
              </w:rPr>
            </w:pPr>
            <w:r w:rsidRPr="008F5E15">
              <w:rPr>
                <w:rFonts w:eastAsia="Calibri"/>
                <w:szCs w:val="24"/>
              </w:rPr>
              <w:t>plee@oslsa.org</w:t>
            </w:r>
          </w:p>
          <w:p w:rsidR="002E536F" w:rsidRPr="008F5E15" w:rsidP="00AA4440">
            <w:pPr>
              <w:ind w:left="527"/>
              <w:jc w:val="both"/>
              <w:rPr>
                <w:rFonts w:eastAsia="Calibri"/>
                <w:szCs w:val="24"/>
              </w:rPr>
            </w:pPr>
            <w:r w:rsidRPr="008F5E15">
              <w:rPr>
                <w:rFonts w:eastAsia="Calibri"/>
                <w:szCs w:val="24"/>
              </w:rPr>
              <w:t>rjohns@oslsa.org</w:t>
            </w:r>
          </w:p>
          <w:p w:rsidR="002E536F" w:rsidRPr="008F5E15" w:rsidP="00AA4440">
            <w:pPr>
              <w:ind w:left="527"/>
              <w:jc w:val="both"/>
              <w:rPr>
                <w:rFonts w:eastAsia="Calibri"/>
                <w:szCs w:val="24"/>
              </w:rPr>
            </w:pPr>
            <w:r w:rsidRPr="008F5E15">
              <w:rPr>
                <w:rFonts w:eastAsia="Calibri"/>
                <w:szCs w:val="24"/>
              </w:rPr>
              <w:t>gbenjamin@communitylegalaid.org</w:t>
            </w:r>
          </w:p>
          <w:p w:rsidR="002E536F" w:rsidRPr="008F5E15" w:rsidP="00AA4440">
            <w:pPr>
              <w:autoSpaceDE w:val="0"/>
              <w:autoSpaceDN w:val="0"/>
              <w:adjustRightInd w:val="0"/>
              <w:ind w:left="527"/>
              <w:rPr>
                <w:rFonts w:eastAsia="Calibri"/>
                <w:szCs w:val="24"/>
              </w:rPr>
            </w:pPr>
            <w:r w:rsidRPr="008F5E15">
              <w:rPr>
                <w:rFonts w:eastAsia="Calibri"/>
                <w:szCs w:val="24"/>
              </w:rPr>
              <w:t>julie.robie@lasclev.org</w:t>
            </w:r>
          </w:p>
          <w:p w:rsidR="002E536F" w:rsidRPr="008F5E15" w:rsidP="00AA4440">
            <w:pPr>
              <w:ind w:left="527"/>
              <w:jc w:val="both"/>
              <w:rPr>
                <w:rFonts w:eastAsia="Calibri"/>
                <w:szCs w:val="24"/>
              </w:rPr>
            </w:pPr>
            <w:r w:rsidRPr="008F5E15">
              <w:rPr>
                <w:rFonts w:eastAsia="Calibri"/>
                <w:szCs w:val="24"/>
              </w:rPr>
              <w:t>anne.reese@lasclev.org</w:t>
            </w:r>
          </w:p>
          <w:p w:rsidR="002E536F" w:rsidRPr="008F5E15" w:rsidP="00AA4440">
            <w:pPr>
              <w:ind w:left="527"/>
              <w:jc w:val="both"/>
              <w:rPr>
                <w:rFonts w:eastAsia="Calibri"/>
                <w:szCs w:val="24"/>
              </w:rPr>
            </w:pPr>
            <w:r w:rsidRPr="008F5E15">
              <w:rPr>
                <w:rFonts w:eastAsia="Calibri"/>
                <w:szCs w:val="24"/>
              </w:rPr>
              <w:t>storguson@columbuslegalaid.org</w:t>
            </w:r>
          </w:p>
          <w:p w:rsidR="002E536F" w:rsidRPr="008F5E15" w:rsidP="00AA4440">
            <w:pPr>
              <w:ind w:left="527"/>
              <w:jc w:val="both"/>
              <w:rPr>
                <w:rFonts w:eastAsia="Calibri"/>
                <w:szCs w:val="24"/>
              </w:rPr>
            </w:pPr>
            <w:r w:rsidRPr="008F5E15">
              <w:rPr>
                <w:rFonts w:eastAsia="Calibri"/>
                <w:szCs w:val="24"/>
              </w:rPr>
              <w:t>cmooney@ohiopartners.org</w:t>
            </w:r>
          </w:p>
          <w:p w:rsidR="002E536F" w:rsidRPr="008F5E15" w:rsidP="00AA4440">
            <w:pPr>
              <w:ind w:left="527"/>
              <w:jc w:val="both"/>
              <w:rPr>
                <w:szCs w:val="24"/>
              </w:rPr>
            </w:pPr>
            <w:r w:rsidRPr="008F5E15">
              <w:rPr>
                <w:szCs w:val="24"/>
              </w:rPr>
              <w:t>jkooper@hess.com</w:t>
            </w:r>
          </w:p>
          <w:p w:rsidR="002E536F" w:rsidRPr="008F5E15" w:rsidP="00AA4440">
            <w:pPr>
              <w:ind w:left="527"/>
              <w:jc w:val="both"/>
              <w:rPr>
                <w:rFonts w:eastAsia="Calibri"/>
                <w:szCs w:val="24"/>
              </w:rPr>
            </w:pPr>
            <w:r w:rsidRPr="008F5E15">
              <w:rPr>
                <w:rFonts w:eastAsia="Calibri"/>
                <w:szCs w:val="24"/>
              </w:rPr>
              <w:t>haydenm@firstenergycorp.com</w:t>
            </w:r>
          </w:p>
          <w:p w:rsidR="002E536F" w:rsidRPr="008F5E15" w:rsidP="00AA4440">
            <w:pPr>
              <w:autoSpaceDE w:val="0"/>
              <w:autoSpaceDN w:val="0"/>
              <w:adjustRightInd w:val="0"/>
              <w:ind w:left="527"/>
              <w:rPr>
                <w:rFonts w:eastAsia="Calibri"/>
                <w:szCs w:val="24"/>
              </w:rPr>
            </w:pPr>
            <w:r w:rsidRPr="008F5E15">
              <w:rPr>
                <w:rFonts w:eastAsia="Calibri"/>
                <w:szCs w:val="24"/>
              </w:rPr>
              <w:t>jlang@calfee.com</w:t>
            </w:r>
          </w:p>
          <w:p w:rsidR="002E536F" w:rsidRPr="008F5E15" w:rsidP="00AA4440">
            <w:pPr>
              <w:autoSpaceDE w:val="0"/>
              <w:autoSpaceDN w:val="0"/>
              <w:adjustRightInd w:val="0"/>
              <w:ind w:left="527"/>
              <w:rPr>
                <w:rFonts w:eastAsia="Calibri"/>
                <w:szCs w:val="24"/>
              </w:rPr>
            </w:pPr>
            <w:r w:rsidRPr="008F5E15">
              <w:rPr>
                <w:rFonts w:eastAsia="Calibri"/>
                <w:szCs w:val="24"/>
              </w:rPr>
              <w:t>lmcbride@calfee.com</w:t>
            </w:r>
          </w:p>
          <w:p w:rsidR="002E536F" w:rsidRPr="008F5E15" w:rsidP="00AA4440">
            <w:pPr>
              <w:autoSpaceDE w:val="0"/>
              <w:autoSpaceDN w:val="0"/>
              <w:adjustRightInd w:val="0"/>
              <w:ind w:left="527"/>
              <w:rPr>
                <w:rFonts w:eastAsia="Calibri"/>
                <w:szCs w:val="24"/>
              </w:rPr>
            </w:pPr>
            <w:r w:rsidRPr="008F5E15">
              <w:rPr>
                <w:rFonts w:eastAsia="Calibri"/>
                <w:szCs w:val="24"/>
              </w:rPr>
              <w:t>talexander@calfee.com</w:t>
            </w:r>
          </w:p>
          <w:p w:rsidR="002E536F" w:rsidRPr="008F5E15" w:rsidP="00AA4440">
            <w:pPr>
              <w:autoSpaceDE w:val="0"/>
              <w:autoSpaceDN w:val="0"/>
              <w:adjustRightInd w:val="0"/>
              <w:ind w:left="527"/>
              <w:rPr>
                <w:rFonts w:eastAsia="Calibri"/>
                <w:szCs w:val="24"/>
              </w:rPr>
            </w:pPr>
            <w:r w:rsidRPr="008F5E15">
              <w:rPr>
                <w:rFonts w:eastAsia="Calibri"/>
                <w:szCs w:val="24"/>
              </w:rPr>
              <w:t>coneil@calfee.com</w:t>
            </w:r>
          </w:p>
          <w:p w:rsidR="002E536F" w:rsidRPr="008F5E15" w:rsidP="00AA4440">
            <w:pPr>
              <w:ind w:left="527"/>
              <w:jc w:val="both"/>
              <w:rPr>
                <w:rFonts w:eastAsia="Calibri"/>
                <w:szCs w:val="24"/>
              </w:rPr>
            </w:pPr>
            <w:r w:rsidRPr="008F5E15">
              <w:rPr>
                <w:rFonts w:eastAsia="Calibri"/>
                <w:szCs w:val="24"/>
              </w:rPr>
              <w:t>lsacher@calfee.com</w:t>
            </w:r>
          </w:p>
          <w:p w:rsidR="002E536F" w:rsidRPr="008F5E15" w:rsidP="00AA4440">
            <w:pPr>
              <w:ind w:left="527"/>
              <w:jc w:val="both"/>
              <w:rPr>
                <w:rFonts w:eastAsia="Calibri"/>
                <w:szCs w:val="24"/>
              </w:rPr>
            </w:pPr>
            <w:r w:rsidRPr="008F5E15">
              <w:rPr>
                <w:rFonts w:eastAsia="Calibri"/>
                <w:szCs w:val="24"/>
              </w:rPr>
              <w:t>gpoulos@enernoc.com</w:t>
            </w:r>
          </w:p>
          <w:p w:rsidR="002E536F" w:rsidRPr="008F5E15" w:rsidP="00AA4440">
            <w:pPr>
              <w:ind w:left="527"/>
              <w:jc w:val="both"/>
              <w:rPr>
                <w:rFonts w:eastAsia="Calibri"/>
                <w:szCs w:val="24"/>
              </w:rPr>
            </w:pPr>
            <w:r w:rsidRPr="008F5E15">
              <w:rPr>
                <w:rFonts w:eastAsia="Calibri"/>
                <w:szCs w:val="24"/>
              </w:rPr>
              <w:t>NMcDaniel@elpc.org</w:t>
            </w:r>
          </w:p>
          <w:p w:rsidR="002E536F" w:rsidRPr="008F5E15" w:rsidP="00AA4440">
            <w:pPr>
              <w:ind w:left="527"/>
              <w:jc w:val="both"/>
              <w:rPr>
                <w:rFonts w:eastAsia="Calibri"/>
                <w:szCs w:val="24"/>
              </w:rPr>
            </w:pPr>
            <w:r w:rsidRPr="008F5E15">
              <w:rPr>
                <w:rFonts w:eastAsia="Calibri"/>
                <w:szCs w:val="24"/>
              </w:rPr>
              <w:t>BarthRoyer@aol.com</w:t>
            </w:r>
          </w:p>
          <w:p w:rsidR="002E536F" w:rsidRPr="008F5E15" w:rsidP="00AA4440">
            <w:pPr>
              <w:ind w:left="527"/>
              <w:jc w:val="both"/>
              <w:rPr>
                <w:rFonts w:eastAsia="Calibri"/>
                <w:szCs w:val="24"/>
              </w:rPr>
            </w:pPr>
            <w:r w:rsidRPr="008F5E15">
              <w:rPr>
                <w:rFonts w:eastAsia="Calibri"/>
                <w:szCs w:val="24"/>
              </w:rPr>
              <w:t>Gary.A.Jeffries@dom.com</w:t>
            </w:r>
          </w:p>
          <w:p w:rsidR="002E536F" w:rsidRPr="008F5E15" w:rsidP="00AA4440">
            <w:pPr>
              <w:ind w:left="527"/>
              <w:jc w:val="both"/>
              <w:rPr>
                <w:rFonts w:eastAsia="Calibri"/>
                <w:szCs w:val="24"/>
              </w:rPr>
            </w:pPr>
            <w:r w:rsidRPr="008F5E15">
              <w:rPr>
                <w:rFonts w:eastAsia="Calibri"/>
                <w:szCs w:val="24"/>
              </w:rPr>
              <w:t>mkl@bbrslaw.com</w:t>
            </w:r>
          </w:p>
          <w:p w:rsidR="002E536F" w:rsidRPr="008F5E15" w:rsidP="00AA4440">
            <w:pPr>
              <w:ind w:left="527"/>
              <w:jc w:val="both"/>
              <w:rPr>
                <w:rFonts w:eastAsia="Calibri"/>
                <w:szCs w:val="24"/>
              </w:rPr>
            </w:pPr>
            <w:r w:rsidRPr="008F5E15">
              <w:rPr>
                <w:rFonts w:eastAsia="Calibri"/>
                <w:szCs w:val="24"/>
              </w:rPr>
              <w:t>gkrassen@bricker.com</w:t>
            </w:r>
          </w:p>
          <w:p w:rsidR="002E536F" w:rsidRPr="008F5E15" w:rsidP="00AA4440">
            <w:pPr>
              <w:ind w:left="527"/>
              <w:jc w:val="both"/>
              <w:rPr>
                <w:szCs w:val="24"/>
              </w:rPr>
            </w:pPr>
            <w:r w:rsidRPr="008F5E15">
              <w:rPr>
                <w:szCs w:val="24"/>
              </w:rPr>
              <w:t>carlwood@uwua.net</w:t>
            </w:r>
          </w:p>
          <w:p w:rsidR="002E536F" w:rsidRPr="008F5E15" w:rsidP="00AA4440">
            <w:pPr>
              <w:ind w:left="527"/>
              <w:jc w:val="both"/>
              <w:rPr>
                <w:szCs w:val="24"/>
              </w:rPr>
            </w:pPr>
            <w:r w:rsidRPr="008F5E15">
              <w:rPr>
                <w:szCs w:val="24"/>
              </w:rPr>
              <w:t>markbrooks@uwua.net</w:t>
            </w:r>
          </w:p>
          <w:p w:rsidR="002E536F" w:rsidRPr="008F5E15" w:rsidP="00AA4440">
            <w:pPr>
              <w:ind w:left="527"/>
              <w:jc w:val="both"/>
              <w:rPr>
                <w:szCs w:val="24"/>
              </w:rPr>
            </w:pPr>
            <w:r w:rsidRPr="008F5E15">
              <w:rPr>
                <w:szCs w:val="24"/>
              </w:rPr>
              <w:t>Bojko@carpenterlipps.com</w:t>
            </w:r>
          </w:p>
          <w:p w:rsidR="002E536F" w:rsidRPr="008F5E15" w:rsidP="00AA4440">
            <w:pPr>
              <w:ind w:left="527"/>
              <w:jc w:val="both"/>
              <w:rPr>
                <w:szCs w:val="24"/>
              </w:rPr>
            </w:pPr>
            <w:r w:rsidRPr="008F5E15">
              <w:rPr>
                <w:szCs w:val="24"/>
              </w:rPr>
              <w:t>hussey@carpenterlipps.com</w:t>
            </w:r>
          </w:p>
        </w:tc>
      </w:tr>
    </w:tbl>
    <w:p w:rsidR="000839EA" w:rsidRPr="000839EA" w:rsidP="00582AD1">
      <w:pPr>
        <w:pStyle w:val="BodyText"/>
        <w:spacing w:line="480" w:lineRule="auto"/>
        <w:jc w:val="left"/>
        <w:rPr>
          <w:b/>
          <w:szCs w:val="24"/>
        </w:rPr>
      </w:pPr>
    </w:p>
    <w:sectPr w:rsidSect="000839EA">
      <w:headerReference w:type="default" r:id="rId9"/>
      <w:footerReference w:type="default" r:id="rId10"/>
      <w:pgSz w:w="12240" w:h="15840" w:code="1"/>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923" w:rsidRPr="00823923">
    <w:pPr>
      <w:pStyle w:val="Footer"/>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86785816"/>
      <w:docPartObj>
        <w:docPartGallery w:val="Page Numbers (Bottom of Page)"/>
        <w:docPartUnique/>
      </w:docPartObj>
    </w:sdtPr>
    <w:sdtEndPr>
      <w:rPr>
        <w:noProof/>
        <w:sz w:val="24"/>
      </w:rPr>
    </w:sdtEndPr>
    <w:sdtContent>
      <w:p w:rsidR="00823923" w:rsidRPr="00823923">
        <w:pPr>
          <w:pStyle w:val="Footer"/>
          <w:jc w:val="center"/>
          <w:rPr>
            <w:sz w:val="24"/>
          </w:rPr>
        </w:pPr>
        <w:r w:rsidRPr="00823923">
          <w:rPr>
            <w:sz w:val="24"/>
          </w:rPr>
          <w:fldChar w:fldCharType="begin"/>
        </w:r>
        <w:r w:rsidRPr="00823923">
          <w:rPr>
            <w:sz w:val="24"/>
          </w:rPr>
          <w:instrText xml:space="preserve"> PAGE   \* MERGEFORMAT </w:instrText>
        </w:r>
        <w:r w:rsidRPr="00823923">
          <w:rPr>
            <w:sz w:val="24"/>
          </w:rPr>
          <w:fldChar w:fldCharType="separate"/>
        </w:r>
        <w:r w:rsidR="009A7DD6">
          <w:rPr>
            <w:noProof/>
            <w:sz w:val="24"/>
          </w:rPr>
          <w:t>2</w:t>
        </w:r>
        <w:r w:rsidRPr="00823923">
          <w:rPr>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7123560"/>
      <w:docPartObj>
        <w:docPartGallery w:val="Page Numbers (Bottom of Page)"/>
        <w:docPartUnique/>
      </w:docPartObj>
    </w:sdtPr>
    <w:sdtEndPr>
      <w:rPr>
        <w:noProof/>
        <w:sz w:val="24"/>
      </w:rPr>
    </w:sdtEndPr>
    <w:sdtContent>
      <w:p w:rsidR="00823923" w:rsidRPr="00823923">
        <w:pPr>
          <w:pStyle w:val="Footer"/>
          <w:jc w:val="center"/>
          <w:rPr>
            <w:sz w:val="24"/>
          </w:rPr>
        </w:pPr>
        <w:r w:rsidRPr="00823923">
          <w:rPr>
            <w:sz w:val="24"/>
          </w:rPr>
          <w:fldChar w:fldCharType="begin"/>
        </w:r>
        <w:r w:rsidRPr="00823923">
          <w:rPr>
            <w:sz w:val="24"/>
          </w:rPr>
          <w:instrText xml:space="preserve"> PAGE   \* MERGEFORMAT </w:instrText>
        </w:r>
        <w:r w:rsidRPr="00823923">
          <w:rPr>
            <w:sz w:val="24"/>
          </w:rPr>
          <w:fldChar w:fldCharType="separate"/>
        </w:r>
        <w:r w:rsidR="00550D3A">
          <w:rPr>
            <w:noProof/>
            <w:sz w:val="24"/>
          </w:rPr>
          <w:t>8</w:t>
        </w:r>
        <w:r w:rsidRPr="00823923">
          <w:rPr>
            <w:noProof/>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230">
    <w:pPr>
      <w:pStyle w:val="Footer"/>
      <w:jc w:val="center"/>
    </w:pPr>
  </w:p>
  <w:p w:rsidR="0043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06E4D" w:rsidP="009D0735">
      <w:r>
        <w:separator/>
      </w:r>
    </w:p>
  </w:footnote>
  <w:footnote w:type="continuationSeparator" w:id="1">
    <w:p w:rsidR="00506E4D" w:rsidP="009D0735">
      <w:r>
        <w:continuationSeparator/>
      </w:r>
    </w:p>
  </w:footnote>
  <w:footnote w:id="2">
    <w:p w:rsidR="00582AD1" w:rsidP="00582AD1">
      <w:pPr>
        <w:pStyle w:val="FootnoteText"/>
      </w:pPr>
      <w:r>
        <w:rPr>
          <w:rStyle w:val="FootnoteReference"/>
        </w:rPr>
        <w:footnoteRef/>
      </w:r>
      <w:r>
        <w:t xml:space="preserve"> Finding and Order at 2.</w:t>
      </w:r>
    </w:p>
  </w:footnote>
  <w:footnote w:id="3">
    <w:p w:rsidR="00582AD1" w:rsidP="00582AD1">
      <w:pPr>
        <w:pStyle w:val="FootnoteText"/>
      </w:pPr>
      <w:r>
        <w:rPr>
          <w:rStyle w:val="FootnoteReference"/>
        </w:rPr>
        <w:footnoteRef/>
      </w:r>
      <w:r>
        <w:t xml:space="preserve"> Id.  Instant connect is defined as allowing new customers to begin receiving generation service from a Marketer immediately upon starting new service Marketer. </w:t>
      </w:r>
    </w:p>
  </w:footnote>
  <w:footnote w:id="4">
    <w:p w:rsidR="00582AD1" w:rsidP="00582AD1">
      <w:pPr>
        <w:pStyle w:val="FootnoteText"/>
      </w:pPr>
      <w:r>
        <w:rPr>
          <w:rStyle w:val="FootnoteReference"/>
        </w:rPr>
        <w:footnoteRef/>
      </w:r>
      <w:r>
        <w:t xml:space="preserve"> Id.  Contract portability allows for the transfer of an existing Marketer contract to a new address, with neither the customer nor Marketer provider having the opportunity to reject the contract move.  </w:t>
      </w:r>
    </w:p>
  </w:footnote>
  <w:footnote w:id="5">
    <w:p w:rsidR="00582AD1" w:rsidP="00582AD1">
      <w:pPr>
        <w:pStyle w:val="FootnoteText"/>
      </w:pPr>
      <w:r>
        <w:rPr>
          <w:rStyle w:val="FootnoteReference"/>
        </w:rPr>
        <w:footnoteRef/>
      </w:r>
      <w:r>
        <w:t xml:space="preserve"> Id.  Warm transfer allows a customer to transfer an existing Marketer contract to a new address, through a three-way conference call with the EDU and Marketer.</w:t>
      </w:r>
    </w:p>
  </w:footnote>
  <w:footnote w:id="6">
    <w:p w:rsidR="00582AD1" w:rsidP="00582AD1">
      <w:pPr>
        <w:pStyle w:val="FootnoteText"/>
      </w:pPr>
      <w:r>
        <w:rPr>
          <w:rStyle w:val="FootnoteReference"/>
        </w:rPr>
        <w:footnoteRef/>
      </w:r>
      <w:r>
        <w:t xml:space="preserve"> Id. at 13.</w:t>
      </w:r>
    </w:p>
  </w:footnote>
  <w:footnote w:id="7">
    <w:p w:rsidR="00582AD1" w:rsidP="00582AD1">
      <w:pPr>
        <w:pStyle w:val="FootnoteText"/>
      </w:pPr>
      <w:r>
        <w:rPr>
          <w:rStyle w:val="FootnoteReference"/>
        </w:rPr>
        <w:footnoteRef/>
      </w:r>
      <w:r>
        <w:t xml:space="preserve"> Id.</w:t>
      </w:r>
    </w:p>
  </w:footnote>
  <w:footnote w:id="8">
    <w:p w:rsidR="00582AD1" w:rsidP="00582AD1">
      <w:pPr>
        <w:pStyle w:val="FootnoteText"/>
      </w:pPr>
      <w:r>
        <w:rPr>
          <w:rStyle w:val="FootnoteReference"/>
        </w:rPr>
        <w:footnoteRef/>
      </w:r>
      <w:r>
        <w:t xml:space="preserve"> Case No. 14-2074-EL-EDI, July 16, 2015 Staff Report at 9.</w:t>
      </w:r>
    </w:p>
  </w:footnote>
  <w:footnote w:id="9">
    <w:p w:rsidR="00582AD1" w:rsidP="00582AD1">
      <w:pPr>
        <w:pStyle w:val="FootnoteText"/>
      </w:pPr>
      <w:r>
        <w:rPr>
          <w:rStyle w:val="FootnoteReference"/>
        </w:rPr>
        <w:footnoteRef/>
      </w:r>
      <w:r>
        <w:t xml:space="preserve"> Id.</w:t>
      </w:r>
    </w:p>
  </w:footnote>
  <w:footnote w:id="10">
    <w:p w:rsidR="00582AD1" w:rsidP="00582AD1">
      <w:pPr>
        <w:pStyle w:val="FootnoteText"/>
      </w:pPr>
      <w:r>
        <w:rPr>
          <w:rStyle w:val="FootnoteReference"/>
        </w:rPr>
        <w:footnoteRef/>
      </w:r>
      <w:r>
        <w:t xml:space="preserve"> Finding and Order at 13.</w:t>
      </w:r>
    </w:p>
  </w:footnote>
  <w:footnote w:id="11">
    <w:p w:rsidR="002A0AA3">
      <w:pPr>
        <w:pStyle w:val="FootnoteText"/>
      </w:pPr>
      <w:r>
        <w:rPr>
          <w:rStyle w:val="FootnoteReference"/>
        </w:rPr>
        <w:footnoteRef/>
      </w:r>
      <w:r>
        <w:t xml:space="preserve"> Staff Report at 9.</w:t>
      </w:r>
    </w:p>
  </w:footnote>
  <w:footnote w:id="12">
    <w:p w:rsidR="00207AB8">
      <w:pPr>
        <w:pStyle w:val="FootnoteText"/>
      </w:pPr>
      <w:r>
        <w:rPr>
          <w:rStyle w:val="FootnoteReference"/>
        </w:rPr>
        <w:footnoteRef/>
      </w:r>
      <w:r>
        <w:t xml:space="preserve"> Id.</w:t>
      </w:r>
    </w:p>
  </w:footnote>
  <w:footnote w:id="13">
    <w:p w:rsidR="00207AB8">
      <w:pPr>
        <w:pStyle w:val="FootnoteText"/>
      </w:pPr>
      <w:r>
        <w:rPr>
          <w:rStyle w:val="FootnoteReference"/>
        </w:rPr>
        <w:footnoteRef/>
      </w:r>
      <w:r>
        <w:t xml:space="preserve"> Staff Report at Table: Summary of Proposals.</w:t>
      </w:r>
    </w:p>
  </w:footnote>
  <w:footnote w:id="14">
    <w:p w:rsidR="00195D00">
      <w:pPr>
        <w:pStyle w:val="FootnoteText"/>
      </w:pPr>
      <w:r>
        <w:rPr>
          <w:rStyle w:val="FootnoteReference"/>
        </w:rPr>
        <w:footnoteRef/>
      </w:r>
      <w:r>
        <w:t xml:space="preserve"> Based on the Ohio Energy Choice website, there are no Marketer rates that are large enough, compared to the price to compare, where a $10.00 savings can be realized in a month.</w:t>
      </w:r>
    </w:p>
  </w:footnote>
  <w:footnote w:id="15">
    <w:p w:rsidR="00582AD1" w:rsidP="00582AD1">
      <w:pPr>
        <w:pStyle w:val="FootnoteText"/>
      </w:pPr>
      <w:r>
        <w:rPr>
          <w:rStyle w:val="FootnoteReference"/>
        </w:rPr>
        <w:footnoteRef/>
      </w:r>
      <w:r>
        <w:t xml:space="preserve"> Finding and Order at 14.</w:t>
      </w:r>
    </w:p>
  </w:footnote>
  <w:footnote w:id="16">
    <w:p w:rsidR="00582AD1" w:rsidP="00582AD1">
      <w:pPr>
        <w:pStyle w:val="FootnoteText"/>
      </w:pPr>
      <w:r>
        <w:rPr>
          <w:rStyle w:val="FootnoteReference"/>
        </w:rPr>
        <w:footnoteRef/>
      </w:r>
      <w:r>
        <w:t xml:space="preserve"> The Finding and Order at page 13 orders RESA and each EDU to work together to file an operational plan for implementation of a seamless move mechanism for Staff review and approval.</w:t>
      </w:r>
    </w:p>
  </w:footnote>
  <w:footnote w:id="17">
    <w:p w:rsidR="00582AD1" w:rsidP="00582AD1">
      <w:pPr>
        <w:pStyle w:val="FootnoteText"/>
      </w:pPr>
      <w:r>
        <w:rPr>
          <w:rStyle w:val="FootnoteReference"/>
        </w:rPr>
        <w:footnoteRef/>
      </w:r>
      <w:r>
        <w:t xml:space="preserve"> Id. at 13.</w:t>
      </w:r>
    </w:p>
  </w:footnote>
  <w:footnote w:id="18">
    <w:p w:rsidR="00582AD1" w:rsidP="00582AD1">
      <w:pPr>
        <w:pStyle w:val="FootnoteText"/>
      </w:pPr>
      <w:r>
        <w:rPr>
          <w:rStyle w:val="FootnoteReference"/>
        </w:rPr>
        <w:footnoteRef/>
      </w:r>
      <w:r>
        <w:t xml:space="preserve"> Case No. 14-2074-EL-EDI (July 16, 2015) at 9.</w:t>
      </w:r>
    </w:p>
  </w:footnote>
  <w:footnote w:id="19">
    <w:p w:rsidR="00582AD1" w:rsidP="00582AD1">
      <w:pPr>
        <w:pStyle w:val="FootnoteText"/>
      </w:pPr>
      <w:r>
        <w:rPr>
          <w:rStyle w:val="FootnoteReference"/>
        </w:rPr>
        <w:footnoteRef/>
      </w:r>
      <w:r>
        <w:t xml:space="preserve"> Twenty-eight of the 106 offers that were listed on the Energy Choices website reflected rates that equaled or were lower than the AEP Ohio price to compare of $0.0563/ kWh.  Seventy-eight of the 106 offers were more expensive than the price to compare.</w:t>
      </w:r>
    </w:p>
  </w:footnote>
  <w:footnote w:id="20">
    <w:p w:rsidR="0010615B">
      <w:pPr>
        <w:pStyle w:val="FootnoteText"/>
      </w:pPr>
      <w:r>
        <w:rPr>
          <w:rStyle w:val="FootnoteReference"/>
        </w:rPr>
        <w:footnoteRef/>
      </w:r>
      <w:r>
        <w:t xml:space="preserve"> Finding and Order at 8.</w:t>
      </w:r>
    </w:p>
  </w:footnote>
  <w:footnote w:id="21">
    <w:p w:rsidR="00582AD1" w:rsidP="00582AD1">
      <w:pPr>
        <w:pStyle w:val="FootnoteText"/>
      </w:pPr>
      <w:r>
        <w:rPr>
          <w:rStyle w:val="FootnoteReference"/>
        </w:rPr>
        <w:footnoteRef/>
      </w:r>
      <w:r>
        <w:t xml:space="preserve"> Id.</w:t>
      </w:r>
    </w:p>
  </w:footnote>
  <w:footnote w:id="22">
    <w:p w:rsidR="0010615B">
      <w:pPr>
        <w:pStyle w:val="FootnoteText"/>
      </w:pPr>
      <w:r>
        <w:rPr>
          <w:rStyle w:val="FootnoteReference"/>
        </w:rPr>
        <w:footnoteRef/>
      </w:r>
      <w:r>
        <w:t xml:space="preserve"> Staff Report at page 10. </w:t>
      </w:r>
    </w:p>
  </w:footnote>
  <w:footnote w:id="23">
    <w:p w:rsidR="0010615B">
      <w:pPr>
        <w:pStyle w:val="FootnoteText"/>
      </w:pPr>
      <w:r>
        <w:rPr>
          <w:rStyle w:val="FootnoteReference"/>
        </w:rPr>
        <w:footnoteRef/>
      </w:r>
      <w:r>
        <w:t xml:space="preserve"> Finding and Order at 8.</w:t>
      </w:r>
    </w:p>
  </w:footnote>
  <w:footnote w:id="24">
    <w:p w:rsidR="00CF39EF">
      <w:pPr>
        <w:pStyle w:val="FootnoteText"/>
      </w:pPr>
      <w:r>
        <w:rPr>
          <w:rStyle w:val="FootnoteReference"/>
        </w:rPr>
        <w:footnoteRef/>
      </w:r>
      <w:r>
        <w:t xml:space="preserve"> Case 12-3151-EL-COI, Finding and Order (March 26, 2017) at 25.</w:t>
      </w:r>
    </w:p>
  </w:footnote>
  <w:footnote w:id="25">
    <w:p w:rsidR="00C879EA">
      <w:pPr>
        <w:pStyle w:val="FootnoteText"/>
      </w:pPr>
      <w:r>
        <w:rPr>
          <w:rStyle w:val="FootnoteReference"/>
        </w:rPr>
        <w:footnoteRef/>
      </w:r>
      <w:r>
        <w:t xml:space="preserve"> Consistent with O.R.C. 4928.02(B), the policy of the state is to ensure “the availability of unbundled and comparable retail electric service that provides consumers with the supply, price, terms, conditions, and quality options they elect to meet their respective needs[.]”</w:t>
      </w:r>
    </w:p>
  </w:footnote>
  <w:footnote w:id="26">
    <w:p w:rsidR="00582AD1" w:rsidP="00582AD1">
      <w:pPr>
        <w:pStyle w:val="FootnoteText"/>
      </w:pPr>
      <w:r w:rsidRPr="0005527B">
        <w:rPr>
          <w:rStyle w:val="FootnoteReference"/>
        </w:rPr>
        <w:footnoteRef/>
      </w:r>
      <w:r w:rsidRPr="0005527B">
        <w:t xml:space="preserve"> Staff Report at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3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4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6CDE0F0C"/>
    <w:lvl w:ilvl="0">
      <w:start w:val="1"/>
      <w:numFmt w:val="decimal"/>
      <w:lvlText w:val="%1."/>
      <w:lvlJc w:val="left"/>
      <w:pPr>
        <w:tabs>
          <w:tab w:val="num" w:pos="1080"/>
        </w:tabs>
        <w:ind w:left="1080" w:hanging="360"/>
      </w:pPr>
    </w:lvl>
  </w:abstractNum>
  <w:abstractNum w:abstractNumId="1">
    <w:nsid w:val="FFFFFF7F"/>
    <w:multiLevelType w:val="singleLevel"/>
    <w:tmpl w:val="85DE1FA4"/>
    <w:lvl w:ilvl="0">
      <w:start w:val="1"/>
      <w:numFmt w:val="decimal"/>
      <w:lvlText w:val="%1."/>
      <w:lvlJc w:val="left"/>
      <w:pPr>
        <w:tabs>
          <w:tab w:val="num" w:pos="720"/>
        </w:tabs>
        <w:ind w:left="720" w:hanging="360"/>
      </w:pPr>
    </w:lvl>
  </w:abstractNum>
  <w:abstractNum w:abstractNumId="2">
    <w:nsid w:val="FFFFFF80"/>
    <w:multiLevelType w:val="singleLevel"/>
    <w:tmpl w:val="705E3118"/>
    <w:lvl w:ilvl="0">
      <w:start w:val="1"/>
      <w:numFmt w:val="bullet"/>
      <w:lvlText w:val=""/>
      <w:lvlJc w:val="left"/>
      <w:pPr>
        <w:tabs>
          <w:tab w:val="num" w:pos="1800"/>
        </w:tabs>
        <w:ind w:left="1800" w:hanging="360"/>
      </w:pPr>
      <w:rPr>
        <w:rFonts w:ascii="Symbol" w:hAnsi="Symbol" w:hint="default"/>
      </w:rPr>
    </w:lvl>
  </w:abstractNum>
  <w:abstractNum w:abstractNumId="3">
    <w:nsid w:val="FFFFFF81"/>
    <w:multiLevelType w:val="singleLevel"/>
    <w:tmpl w:val="01C8A7BA"/>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B784E886"/>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A808B20A"/>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BA26D7BA"/>
    <w:lvl w:ilvl="0">
      <w:start w:val="1"/>
      <w:numFmt w:val="decimal"/>
      <w:lvlText w:val="%1."/>
      <w:lvlJc w:val="left"/>
      <w:pPr>
        <w:tabs>
          <w:tab w:val="num" w:pos="360"/>
        </w:tabs>
        <w:ind w:left="360" w:hanging="360"/>
      </w:pPr>
    </w:lvl>
  </w:abstractNum>
  <w:abstractNum w:abstractNumId="7">
    <w:nsid w:val="FFFFFF89"/>
    <w:multiLevelType w:val="singleLevel"/>
    <w:tmpl w:val="73E45DBE"/>
    <w:lvl w:ilvl="0">
      <w:start w:val="1"/>
      <w:numFmt w:val="bullet"/>
      <w:lvlText w:val=""/>
      <w:lvlJc w:val="left"/>
      <w:pPr>
        <w:tabs>
          <w:tab w:val="num" w:pos="360"/>
        </w:tabs>
        <w:ind w:left="360" w:hanging="360"/>
      </w:pPr>
      <w:rPr>
        <w:rFonts w:ascii="Symbol" w:hAnsi="Symbol" w:hint="default"/>
      </w:rPr>
    </w:lvl>
  </w:abstractNum>
  <w:abstractNum w:abstractNumId="8">
    <w:nsid w:val="09C86CBC"/>
    <w:multiLevelType w:val="hybridMultilevel"/>
    <w:tmpl w:val="A5006806"/>
    <w:lvl w:ilvl="0">
      <w:start w:val="1"/>
      <w:numFmt w:val="upperLetter"/>
      <w:lvlText w:val="(%1)"/>
      <w:lvlJc w:val="left"/>
      <w:pPr>
        <w:ind w:left="6840" w:hanging="360"/>
      </w:pPr>
      <w:rPr>
        <w:rFonts w:hint="default"/>
      </w:rPr>
    </w:lvl>
    <w:lvl w:ilvl="1" w:tentative="1">
      <w:start w:val="1"/>
      <w:numFmt w:val="lowerLetter"/>
      <w:lvlText w:val="%2."/>
      <w:lvlJc w:val="left"/>
      <w:pPr>
        <w:ind w:left="7560" w:hanging="360"/>
      </w:pPr>
    </w:lvl>
    <w:lvl w:ilvl="2" w:tentative="1">
      <w:start w:val="1"/>
      <w:numFmt w:val="lowerRoman"/>
      <w:lvlText w:val="%3."/>
      <w:lvlJc w:val="right"/>
      <w:pPr>
        <w:ind w:left="8280" w:hanging="180"/>
      </w:pPr>
    </w:lvl>
    <w:lvl w:ilvl="3" w:tentative="1">
      <w:start w:val="1"/>
      <w:numFmt w:val="decimal"/>
      <w:lvlText w:val="%4."/>
      <w:lvlJc w:val="left"/>
      <w:pPr>
        <w:ind w:left="9000" w:hanging="360"/>
      </w:pPr>
    </w:lvl>
    <w:lvl w:ilvl="4" w:tentative="1">
      <w:start w:val="1"/>
      <w:numFmt w:val="lowerLetter"/>
      <w:lvlText w:val="%5."/>
      <w:lvlJc w:val="left"/>
      <w:pPr>
        <w:ind w:left="9720" w:hanging="360"/>
      </w:pPr>
    </w:lvl>
    <w:lvl w:ilvl="5" w:tentative="1">
      <w:start w:val="1"/>
      <w:numFmt w:val="lowerRoman"/>
      <w:lvlText w:val="%6."/>
      <w:lvlJc w:val="right"/>
      <w:pPr>
        <w:ind w:left="10440" w:hanging="180"/>
      </w:pPr>
    </w:lvl>
    <w:lvl w:ilvl="6" w:tentative="1">
      <w:start w:val="1"/>
      <w:numFmt w:val="decimal"/>
      <w:lvlText w:val="%7."/>
      <w:lvlJc w:val="left"/>
      <w:pPr>
        <w:ind w:left="11160" w:hanging="360"/>
      </w:pPr>
    </w:lvl>
    <w:lvl w:ilvl="7" w:tentative="1">
      <w:start w:val="1"/>
      <w:numFmt w:val="lowerLetter"/>
      <w:lvlText w:val="%8."/>
      <w:lvlJc w:val="left"/>
      <w:pPr>
        <w:ind w:left="11880" w:hanging="360"/>
      </w:pPr>
    </w:lvl>
    <w:lvl w:ilvl="8" w:tentative="1">
      <w:start w:val="1"/>
      <w:numFmt w:val="lowerRoman"/>
      <w:lvlText w:val="%9."/>
      <w:lvlJc w:val="right"/>
      <w:pPr>
        <w:ind w:left="12600" w:hanging="180"/>
      </w:pPr>
    </w:lvl>
  </w:abstractNum>
  <w:abstractNum w:abstractNumId="9">
    <w:nsid w:val="0F1078B6"/>
    <w:multiLevelType w:val="hybridMultilevel"/>
    <w:tmpl w:val="2FC03972"/>
    <w:lvl w:ilvl="0">
      <w:start w:val="1"/>
      <w:numFmt w:val="upperRoman"/>
      <w:pStyle w:val="Heading1"/>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8069EC"/>
    <w:multiLevelType w:val="hybridMultilevel"/>
    <w:tmpl w:val="A5006806"/>
    <w:lvl w:ilvl="0">
      <w:start w:val="1"/>
      <w:numFmt w:val="upperLetter"/>
      <w:lvlText w:val="(%1)"/>
      <w:lvlJc w:val="left"/>
      <w:pPr>
        <w:ind w:left="144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2CC9442C"/>
    <w:multiLevelType w:val="hybridMultilevel"/>
    <w:tmpl w:val="B8F071D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DB7094C"/>
    <w:multiLevelType w:val="hybridMultilevel"/>
    <w:tmpl w:val="C22A4622"/>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3">
    <w:nsid w:val="355F498F"/>
    <w:multiLevelType w:val="hybridMultilevel"/>
    <w:tmpl w:val="6F1AB410"/>
    <w:lvl w:ilvl="0">
      <w:start w:val="1"/>
      <w:numFmt w:val="upperRoman"/>
      <w:lvlText w:val="%1."/>
      <w:lvlJc w:val="left"/>
      <w:pPr>
        <w:ind w:left="1080" w:hanging="720"/>
      </w:pPr>
      <w:rPr>
        <w:rFonts w:hint="default"/>
        <w:b w:val="0"/>
        <w:color w:val="0000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C17977"/>
    <w:multiLevelType w:val="hybridMultilevel"/>
    <w:tmpl w:val="E6A28FC6"/>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5">
    <w:nsid w:val="4BEA1F0E"/>
    <w:multiLevelType w:val="hybridMultilevel"/>
    <w:tmpl w:val="C22A4622"/>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6">
    <w:nsid w:val="54034E8A"/>
    <w:multiLevelType w:val="hybridMultilevel"/>
    <w:tmpl w:val="BDB4203C"/>
    <w:lvl w:ilvl="0">
      <w:start w:val="1"/>
      <w:numFmt w:val="upperRoman"/>
      <w:lvlText w:val="%1."/>
      <w:lvlJc w:val="left"/>
      <w:pPr>
        <w:ind w:left="720" w:hanging="720"/>
      </w:pPr>
      <w:rPr>
        <w:rFonts w:hint="default"/>
        <w:b w:val="0"/>
        <w:color w:val="0000FF"/>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23249C7"/>
    <w:multiLevelType w:val="hybridMultilevel"/>
    <w:tmpl w:val="928457FA"/>
    <w:lvl w:ilvl="0">
      <w:start w:val="1"/>
      <w:numFmt w:val="upperLetter"/>
      <w:pStyle w:val="Heading3"/>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5"/>
  </w:num>
  <w:num w:numId="5">
    <w:abstractNumId w:val="10"/>
  </w:num>
  <w:num w:numId="6">
    <w:abstractNumId w:val="8"/>
  </w:num>
  <w:num w:numId="7">
    <w:abstractNumId w:val="7"/>
  </w:num>
  <w:num w:numId="8">
    <w:abstractNumId w:val="5"/>
  </w:num>
  <w:num w:numId="9">
    <w:abstractNumId w:val="4"/>
  </w:num>
  <w:num w:numId="10">
    <w:abstractNumId w:val="3"/>
  </w:num>
  <w:num w:numId="11">
    <w:abstractNumId w:val="2"/>
  </w:num>
  <w:num w:numId="12">
    <w:abstractNumId w:val="6"/>
  </w:num>
  <w:num w:numId="13">
    <w:abstractNumId w:val="1"/>
  </w:num>
  <w:num w:numId="14">
    <w:abstractNumId w:val="0"/>
  </w:num>
  <w:num w:numId="15">
    <w:abstractNumId w:val="9"/>
  </w:num>
  <w:num w:numId="16">
    <w:abstractNumId w:val="17"/>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1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4A"/>
    <w:pPr>
      <w:spacing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A3014A"/>
    <w:pPr>
      <w:keepNext/>
      <w:numPr>
        <w:numId w:val="15"/>
      </w:numPr>
      <w:spacing w:after="240"/>
      <w:ind w:left="720"/>
      <w:outlineLvl w:val="0"/>
    </w:pPr>
    <w:rPr>
      <w:rFonts w:ascii="Times New Roman Bold" w:hAnsi="Times New Roman Bold" w:cs="Arial"/>
      <w:b/>
      <w:bCs/>
      <w:caps/>
      <w:kern w:val="32"/>
      <w:szCs w:val="24"/>
    </w:rPr>
  </w:style>
  <w:style w:type="paragraph" w:styleId="Heading2">
    <w:name w:val="heading 2"/>
    <w:basedOn w:val="Normal"/>
    <w:next w:val="Normal"/>
    <w:link w:val="Heading2Char"/>
    <w:autoRedefine/>
    <w:qFormat/>
    <w:rsid w:val="00A3014A"/>
    <w:pPr>
      <w:keepNext/>
      <w:spacing w:after="240"/>
      <w:outlineLvl w:val="1"/>
    </w:pPr>
    <w:rPr>
      <w:rFonts w:ascii="Times New Roman Bold" w:hAnsi="Times New Roman Bold"/>
      <w:b/>
      <w:bCs/>
      <w:szCs w:val="24"/>
    </w:rPr>
  </w:style>
  <w:style w:type="paragraph" w:styleId="Heading3">
    <w:name w:val="heading 3"/>
    <w:basedOn w:val="Normal"/>
    <w:next w:val="Normal"/>
    <w:link w:val="Heading3Char"/>
    <w:autoRedefine/>
    <w:uiPriority w:val="9"/>
    <w:unhideWhenUsed/>
    <w:qFormat/>
    <w:rsid w:val="00A3014A"/>
    <w:pPr>
      <w:keepNext/>
      <w:keepLines/>
      <w:numPr>
        <w:numId w:val="16"/>
      </w:numPr>
      <w:spacing w:after="240"/>
      <w:ind w:left="1440" w:right="720" w:hanging="720"/>
      <w:outlineLvl w:val="2"/>
    </w:pPr>
    <w:rPr>
      <w:rFonts w:ascii="Times New Roman Bold" w:hAnsi="Times New Roman Bold" w:eastAsiaTheme="majorEastAsia" w:cstheme="majorBidi"/>
      <w:b/>
      <w:bCs/>
    </w:rPr>
  </w:style>
  <w:style w:type="paragraph" w:styleId="Heading4">
    <w:name w:val="heading 4"/>
    <w:basedOn w:val="Normal"/>
    <w:next w:val="Normal"/>
    <w:link w:val="Heading4Char"/>
    <w:autoRedefine/>
    <w:uiPriority w:val="9"/>
    <w:semiHidden/>
    <w:unhideWhenUsed/>
    <w:qFormat/>
    <w:rsid w:val="00A3014A"/>
    <w:pPr>
      <w:keepNext/>
      <w:keepLines/>
      <w:spacing w:after="240"/>
      <w:ind w:left="2160" w:hanging="720"/>
      <w:outlineLvl w:val="3"/>
    </w:pPr>
    <w:rPr>
      <w:rFonts w:ascii="Times New Roman Bold" w:hAnsi="Times New Roman Bold"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670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67056F"/>
    <w:rPr>
      <w:rFonts w:ascii="Courier New" w:eastAsia="Courier New" w:hAnsi="Courier New" w:cs="Courier New"/>
      <w:sz w:val="20"/>
      <w:szCs w:val="20"/>
    </w:rPr>
  </w:style>
  <w:style w:type="paragraph" w:styleId="Footer">
    <w:name w:val="footer"/>
    <w:basedOn w:val="Normal"/>
    <w:link w:val="FooterChar"/>
    <w:uiPriority w:val="99"/>
    <w:rsid w:val="0067056F"/>
    <w:pPr>
      <w:tabs>
        <w:tab w:val="center" w:pos="4320"/>
        <w:tab w:val="right" w:pos="8640"/>
      </w:tabs>
    </w:pPr>
    <w:rPr>
      <w:sz w:val="20"/>
    </w:rPr>
  </w:style>
  <w:style w:type="character" w:customStyle="1" w:styleId="FooterChar">
    <w:name w:val="Footer Char"/>
    <w:basedOn w:val="DefaultParagraphFont"/>
    <w:link w:val="Footer"/>
    <w:uiPriority w:val="99"/>
    <w:rsid w:val="0067056F"/>
    <w:rPr>
      <w:rFonts w:ascii="Times New Roman" w:eastAsia="Times New Roman" w:hAnsi="Times New Roman" w:cs="Times New Roman"/>
      <w:sz w:val="20"/>
      <w:szCs w:val="20"/>
    </w:rPr>
  </w:style>
  <w:style w:type="character" w:styleId="Hyperlink">
    <w:name w:val="Hyperlink"/>
    <w:uiPriority w:val="99"/>
    <w:rsid w:val="0067056F"/>
    <w:rPr>
      <w:color w:val="0000FF"/>
      <w:u w:val="single"/>
    </w:rPr>
  </w:style>
  <w:style w:type="paragraph" w:styleId="Header">
    <w:name w:val="header"/>
    <w:basedOn w:val="Normal"/>
    <w:link w:val="HeaderChar"/>
    <w:rsid w:val="0067056F"/>
    <w:pPr>
      <w:tabs>
        <w:tab w:val="center" w:pos="4320"/>
        <w:tab w:val="right" w:pos="8640"/>
      </w:tabs>
    </w:pPr>
  </w:style>
  <w:style w:type="character" w:customStyle="1" w:styleId="HeaderChar">
    <w:name w:val="Header Char"/>
    <w:basedOn w:val="DefaultParagraphFont"/>
    <w:link w:val="Header"/>
    <w:rsid w:val="0067056F"/>
    <w:rPr>
      <w:rFonts w:ascii="Times New Roman" w:eastAsia="Times New Roman" w:hAnsi="Times New Roman" w:cs="Times New Roman"/>
      <w:sz w:val="24"/>
      <w:szCs w:val="20"/>
    </w:rPr>
  </w:style>
  <w:style w:type="paragraph" w:styleId="BodyText">
    <w:name w:val="Body Text"/>
    <w:basedOn w:val="Normal"/>
    <w:link w:val="BodyTextChar"/>
    <w:rsid w:val="0067056F"/>
    <w:pPr>
      <w:jc w:val="both"/>
    </w:pPr>
  </w:style>
  <w:style w:type="character" w:customStyle="1" w:styleId="BodyTextChar">
    <w:name w:val="Body Text Char"/>
    <w:basedOn w:val="DefaultParagraphFont"/>
    <w:link w:val="BodyText"/>
    <w:rsid w:val="0067056F"/>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67056F"/>
    <w:rPr>
      <w:szCs w:val="24"/>
    </w:rPr>
  </w:style>
  <w:style w:type="character" w:customStyle="1" w:styleId="CommentTextChar">
    <w:name w:val="Comment Text Char"/>
    <w:basedOn w:val="DefaultParagraphFont"/>
    <w:link w:val="CommentText"/>
    <w:uiPriority w:val="99"/>
    <w:semiHidden/>
    <w:rsid w:val="0067056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67056F"/>
    <w:rPr>
      <w:szCs w:val="20"/>
    </w:rPr>
  </w:style>
  <w:style w:type="character" w:customStyle="1" w:styleId="CommentSubjectChar">
    <w:name w:val="Comment Subject Char"/>
    <w:basedOn w:val="CommentTextChar"/>
    <w:link w:val="CommentSubject"/>
    <w:semiHidden/>
    <w:rsid w:val="0067056F"/>
    <w:rPr>
      <w:rFonts w:ascii="Times New Roman" w:eastAsia="Times New Roman" w:hAnsi="Times New Roman" w:cs="Times New Roman"/>
      <w:sz w:val="24"/>
      <w:szCs w:val="20"/>
    </w:rPr>
  </w:style>
  <w:style w:type="paragraph" w:styleId="ListParagraph">
    <w:name w:val="List Paragraph"/>
    <w:basedOn w:val="Normal"/>
    <w:uiPriority w:val="34"/>
    <w:qFormat/>
    <w:rsid w:val="009D0735"/>
    <w:pPr>
      <w:ind w:left="720"/>
      <w:contextualSpacing/>
    </w:pPr>
  </w:style>
  <w:style w:type="character" w:customStyle="1" w:styleId="Heading1Char">
    <w:name w:val="Heading 1 Char"/>
    <w:basedOn w:val="DefaultParagraphFont"/>
    <w:link w:val="Heading1"/>
    <w:rsid w:val="00A3014A"/>
    <w:rPr>
      <w:rFonts w:ascii="Times New Roman Bold" w:eastAsia="Times New Roman" w:hAnsi="Times New Roman Bold" w:cs="Arial"/>
      <w:b/>
      <w:bCs/>
      <w:caps/>
      <w:kern w:val="32"/>
      <w:sz w:val="24"/>
      <w:szCs w:val="24"/>
    </w:rPr>
  </w:style>
  <w:style w:type="character" w:customStyle="1" w:styleId="Heading2Char">
    <w:name w:val="Heading 2 Char"/>
    <w:basedOn w:val="DefaultParagraphFont"/>
    <w:link w:val="Heading2"/>
    <w:rsid w:val="00A3014A"/>
    <w:rPr>
      <w:rFonts w:ascii="Times New Roman Bold" w:eastAsia="Times New Roman" w:hAnsi="Times New Roman Bold" w:cs="Times New Roman"/>
      <w:b/>
      <w:bCs/>
      <w:sz w:val="24"/>
      <w:szCs w:val="24"/>
    </w:rPr>
  </w:style>
  <w:style w:type="paragraph" w:styleId="FootnoteText">
    <w:name w:val="footnote text"/>
    <w:aliases w:val="ALTS FOOTNOTE,Footnote Text Char Char Char Char,Footnote Text Char Char Char1,Footnote Text Char Char1,Footnote Text Char1,Footnote Text Char1 Char Char,Footnote Text Char1 Char1,Footnote Text Char2,Footnote Text Char4 Char Char Char Char"/>
    <w:basedOn w:val="Normal"/>
    <w:link w:val="FootnoteTextChar"/>
    <w:autoRedefine/>
    <w:uiPriority w:val="99"/>
    <w:rsid w:val="009D0735"/>
    <w:pPr>
      <w:spacing w:after="120"/>
    </w:pPr>
    <w:rPr>
      <w:sz w:val="20"/>
    </w:rPr>
  </w:style>
  <w:style w:type="character" w:customStyle="1" w:styleId="FootnoteTextChar">
    <w:name w:val="Footnote Text Char"/>
    <w:aliases w:val="ALTS FOOTNOTE Char,Footnote Text Char Char Char Char Char,Footnote Text Char Char Char1 Char,Footnote Text Char Char1 Char,Footnote Text Char1 Char,Footnote Text Char1 Char Char Char,Footnote Text Char1 Char1 Char"/>
    <w:basedOn w:val="DefaultParagraphFont"/>
    <w:link w:val="FootnoteText"/>
    <w:uiPriority w:val="99"/>
    <w:rsid w:val="009D0735"/>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uiPriority w:val="99"/>
    <w:rsid w:val="009D0735"/>
    <w:rPr>
      <w:vertAlign w:val="superscript"/>
    </w:rPr>
  </w:style>
  <w:style w:type="character" w:customStyle="1" w:styleId="term1">
    <w:name w:val="term1"/>
    <w:basedOn w:val="DefaultParagraphFont"/>
    <w:rsid w:val="00813621"/>
    <w:rPr>
      <w:b/>
      <w:bCs/>
    </w:rPr>
  </w:style>
  <w:style w:type="character" w:customStyle="1" w:styleId="pnote">
    <w:name w:val="pnote"/>
    <w:rsid w:val="008521C8"/>
  </w:style>
  <w:style w:type="character" w:styleId="CommentReference">
    <w:name w:val="annotation reference"/>
    <w:basedOn w:val="DefaultParagraphFont"/>
    <w:uiPriority w:val="99"/>
    <w:semiHidden/>
    <w:unhideWhenUsed/>
    <w:rsid w:val="008521C8"/>
    <w:rPr>
      <w:sz w:val="16"/>
      <w:szCs w:val="16"/>
    </w:rPr>
  </w:style>
  <w:style w:type="paragraph" w:styleId="BalloonText">
    <w:name w:val="Balloon Text"/>
    <w:basedOn w:val="Normal"/>
    <w:link w:val="BalloonTextChar"/>
    <w:uiPriority w:val="99"/>
    <w:semiHidden/>
    <w:unhideWhenUsed/>
    <w:rsid w:val="008521C8"/>
    <w:rPr>
      <w:rFonts w:ascii="Tahoma" w:hAnsi="Tahoma" w:cs="Tahoma"/>
      <w:sz w:val="16"/>
      <w:szCs w:val="16"/>
    </w:rPr>
  </w:style>
  <w:style w:type="character" w:customStyle="1" w:styleId="BalloonTextChar">
    <w:name w:val="Balloon Text Char"/>
    <w:basedOn w:val="DefaultParagraphFont"/>
    <w:link w:val="BalloonText"/>
    <w:uiPriority w:val="99"/>
    <w:semiHidden/>
    <w:rsid w:val="008521C8"/>
    <w:rPr>
      <w:rFonts w:ascii="Tahoma" w:eastAsia="Times New Roman" w:hAnsi="Tahoma" w:cs="Tahoma"/>
      <w:sz w:val="16"/>
      <w:szCs w:val="16"/>
    </w:rPr>
  </w:style>
  <w:style w:type="character" w:customStyle="1" w:styleId="Heading3Char">
    <w:name w:val="Heading 3 Char"/>
    <w:basedOn w:val="DefaultParagraphFont"/>
    <w:link w:val="Heading3"/>
    <w:uiPriority w:val="9"/>
    <w:rsid w:val="00A3014A"/>
    <w:rPr>
      <w:rFonts w:ascii="Times New Roman Bold" w:hAnsi="Times New Roman Bold" w:eastAsiaTheme="majorEastAsia" w:cstheme="majorBidi"/>
      <w:b/>
      <w:bCs/>
      <w:sz w:val="24"/>
      <w:szCs w:val="20"/>
    </w:rPr>
  </w:style>
  <w:style w:type="character" w:customStyle="1" w:styleId="Heading4Char">
    <w:name w:val="Heading 4 Char"/>
    <w:basedOn w:val="DefaultParagraphFont"/>
    <w:link w:val="Heading4"/>
    <w:uiPriority w:val="9"/>
    <w:semiHidden/>
    <w:rsid w:val="00A3014A"/>
    <w:rPr>
      <w:rFonts w:ascii="Times New Roman Bold" w:hAnsi="Times New Roman Bold" w:eastAsiaTheme="majorEastAsia" w:cstheme="majorBidi"/>
      <w:b/>
      <w:bCs/>
      <w:iCs/>
      <w:sz w:val="24"/>
      <w:szCs w:val="20"/>
    </w:rPr>
  </w:style>
  <w:style w:type="paragraph" w:styleId="TOC1">
    <w:name w:val="toc 1"/>
    <w:basedOn w:val="Normal"/>
    <w:next w:val="Normal"/>
    <w:autoRedefine/>
    <w:uiPriority w:val="39"/>
    <w:unhideWhenUsed/>
    <w:qFormat/>
    <w:rsid w:val="00A3014A"/>
    <w:pPr>
      <w:tabs>
        <w:tab w:val="left" w:pos="720"/>
        <w:tab w:val="decimal" w:leader="dot" w:pos="8640"/>
      </w:tabs>
      <w:spacing w:after="240"/>
      <w:ind w:left="720" w:hanging="720"/>
    </w:pPr>
    <w:rPr>
      <w:caps/>
    </w:rPr>
  </w:style>
  <w:style w:type="paragraph" w:styleId="TOC2">
    <w:name w:val="toc 2"/>
    <w:basedOn w:val="Normal"/>
    <w:next w:val="Normal"/>
    <w:autoRedefine/>
    <w:uiPriority w:val="39"/>
    <w:unhideWhenUsed/>
    <w:qFormat/>
    <w:rsid w:val="00A3014A"/>
    <w:pPr>
      <w:tabs>
        <w:tab w:val="left" w:pos="720"/>
        <w:tab w:val="decimal" w:leader="dot" w:pos="8640"/>
      </w:tabs>
      <w:spacing w:after="240"/>
    </w:pPr>
  </w:style>
  <w:style w:type="paragraph" w:styleId="TOC3">
    <w:name w:val="toc 3"/>
    <w:basedOn w:val="Normal"/>
    <w:next w:val="Normal"/>
    <w:autoRedefine/>
    <w:uiPriority w:val="39"/>
    <w:unhideWhenUsed/>
    <w:qFormat/>
    <w:rsid w:val="00A3014A"/>
    <w:pPr>
      <w:tabs>
        <w:tab w:val="left" w:pos="720"/>
        <w:tab w:val="decimal" w:leader="dot" w:pos="8640"/>
      </w:tabs>
      <w:spacing w:after="240"/>
      <w:ind w:left="1440" w:hanging="720"/>
    </w:pPr>
  </w:style>
  <w:style w:type="paragraph" w:styleId="BodyTextIndent3">
    <w:name w:val="Body Text Indent 3"/>
    <w:basedOn w:val="Normal"/>
    <w:link w:val="BodyTextIndent3Char"/>
    <w:uiPriority w:val="99"/>
    <w:unhideWhenUsed/>
    <w:rsid w:val="00582AD1"/>
    <w:pPr>
      <w:spacing w:after="120"/>
      <w:ind w:left="360"/>
    </w:pPr>
    <w:rPr>
      <w:sz w:val="16"/>
      <w:szCs w:val="16"/>
    </w:rPr>
  </w:style>
  <w:style w:type="character" w:customStyle="1" w:styleId="BodyTextIndent3Char">
    <w:name w:val="Body Text Indent 3 Char"/>
    <w:basedOn w:val="DefaultParagraphFont"/>
    <w:link w:val="BodyTextIndent3"/>
    <w:uiPriority w:val="99"/>
    <w:rsid w:val="00582AD1"/>
    <w:rPr>
      <w:rFonts w:ascii="Times New Roman" w:eastAsia="Times New Roman" w:hAnsi="Times New Roman" w:cs="Times New Roman"/>
      <w:sz w:val="16"/>
      <w:szCs w:val="16"/>
    </w:rPr>
  </w:style>
  <w:style w:type="character" w:styleId="PageNumber">
    <w:name w:val="page number"/>
    <w:basedOn w:val="DefaultParagraphFont"/>
    <w:rsid w:val="00582AD1"/>
  </w:style>
  <w:style w:type="character" w:styleId="FollowedHyperlink">
    <w:name w:val="FollowedHyperlink"/>
    <w:basedOn w:val="DefaultParagraphFont"/>
    <w:uiPriority w:val="99"/>
    <w:semiHidden/>
    <w:unhideWhenUsed/>
    <w:rsid w:val="008F5E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2018-03-09T14:42:51Z</dcterms:created>
  <dcterms:modified xsi:type="dcterms:W3CDTF">2018-03-09T14:42:51Z</dcterms:modified>
</cp:coreProperties>
</file>