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C6DCD" w:rsidRPr="00F7404D" w:rsidP="009C6DCD" w14:paraId="02A175A4" w14:textId="77777777">
      <w:pPr>
        <w:pStyle w:val="HTMLPreformatted"/>
        <w:jc w:val="center"/>
        <w:rPr>
          <w:rFonts w:ascii="Times New Roman" w:hAnsi="Times New Roman" w:cs="Times New Roman"/>
          <w:b/>
          <w:bCs/>
          <w:sz w:val="24"/>
          <w:szCs w:val="24"/>
        </w:rPr>
      </w:pPr>
      <w:r w:rsidRPr="00F7404D">
        <w:rPr>
          <w:rFonts w:ascii="Times New Roman" w:hAnsi="Times New Roman" w:cs="Times New Roman"/>
          <w:b/>
          <w:bCs/>
          <w:sz w:val="24"/>
          <w:szCs w:val="24"/>
        </w:rPr>
        <w:t>BEFORE</w:t>
      </w:r>
    </w:p>
    <w:p w:rsidR="009C6DCD" w:rsidRPr="00F7404D" w:rsidP="009C6DCD" w14:paraId="072AD518" w14:textId="77777777">
      <w:pPr>
        <w:pStyle w:val="HTMLPreformatted"/>
        <w:jc w:val="center"/>
        <w:rPr>
          <w:rFonts w:ascii="Times New Roman" w:hAnsi="Times New Roman" w:cs="Times New Roman"/>
          <w:sz w:val="24"/>
          <w:szCs w:val="24"/>
        </w:rPr>
      </w:pPr>
      <w:r w:rsidRPr="00F7404D">
        <w:rPr>
          <w:rFonts w:ascii="Times New Roman" w:hAnsi="Times New Roman" w:cs="Times New Roman"/>
          <w:b/>
          <w:bCs/>
          <w:sz w:val="24"/>
          <w:szCs w:val="24"/>
        </w:rPr>
        <w:t>THE PUBLIC UTILITIES COMMISSION OF OHIO</w:t>
      </w:r>
    </w:p>
    <w:p w:rsidR="009C6DCD" w:rsidRPr="00F7404D" w:rsidP="009C6DCD" w14:paraId="113DBC43" w14:textId="77777777">
      <w:pPr>
        <w:pStyle w:val="HTMLPreformatted"/>
        <w:rPr>
          <w:rFonts w:ascii="Times New Roman" w:hAnsi="Times New Roman" w:cs="Times New Roman"/>
          <w:sz w:val="24"/>
          <w:szCs w:val="24"/>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4585"/>
        <w:gridCol w:w="540"/>
        <w:gridCol w:w="4235"/>
      </w:tblGrid>
      <w:tr w14:paraId="56E8C490" w14:textId="77777777" w:rsidTr="00753DBF">
        <w:tblPrEx>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Ex>
        <w:tc>
          <w:tcPr>
            <w:tcW w:w="4585" w:type="dxa"/>
          </w:tcPr>
          <w:p w:rsidR="00C81FDF" w:rsidRPr="00283E3B" w:rsidP="00753DBF" w14:paraId="7AE9AFA7" w14:textId="77777777">
            <w:r w:rsidRPr="00283E3B">
              <w:t>In the Matters of the Applications of Duke Energy Ohio, Inc., for Adjustments to Rider MGP Rates.</w:t>
            </w:r>
          </w:p>
          <w:p w:rsidR="00C81FDF" w:rsidP="00753DBF" w14:paraId="72048B2E" w14:textId="77777777">
            <w:pPr>
              <w:rPr>
                <w:b/>
                <w:bCs/>
              </w:rPr>
            </w:pPr>
          </w:p>
        </w:tc>
        <w:tc>
          <w:tcPr>
            <w:tcW w:w="540" w:type="dxa"/>
          </w:tcPr>
          <w:p w:rsidR="00C81FDF" w:rsidP="00753DBF" w14:paraId="335C6B1C" w14:textId="77777777">
            <w:pPr>
              <w:jc w:val="center"/>
            </w:pPr>
            <w:r w:rsidRPr="00283E3B">
              <w:t>)</w:t>
            </w:r>
          </w:p>
          <w:p w:rsidR="00C81FDF" w:rsidP="00753DBF" w14:paraId="7B85CD56" w14:textId="77777777">
            <w:pPr>
              <w:jc w:val="center"/>
            </w:pPr>
            <w:r>
              <w:t>)</w:t>
            </w:r>
          </w:p>
          <w:p w:rsidR="00C81FDF" w:rsidP="00753DBF" w14:paraId="572356F9" w14:textId="77777777">
            <w:pPr>
              <w:jc w:val="center"/>
            </w:pPr>
            <w:r>
              <w:t>)</w:t>
            </w:r>
          </w:p>
          <w:p w:rsidR="00C81FDF" w:rsidP="00753DBF" w14:paraId="01CC7CAE" w14:textId="77777777">
            <w:pPr>
              <w:jc w:val="center"/>
            </w:pPr>
            <w:r>
              <w:t>)</w:t>
            </w:r>
          </w:p>
          <w:p w:rsidR="00C81FDF" w:rsidP="00753DBF" w14:paraId="1CD7DA1B" w14:textId="77777777">
            <w:pPr>
              <w:jc w:val="center"/>
            </w:pPr>
            <w:r>
              <w:t>)</w:t>
            </w:r>
          </w:p>
          <w:p w:rsidR="00C81FDF" w:rsidP="00753DBF" w14:paraId="1FD70ED0" w14:textId="77777777">
            <w:pPr>
              <w:jc w:val="center"/>
            </w:pPr>
            <w:r>
              <w:t>)</w:t>
            </w:r>
          </w:p>
          <w:p w:rsidR="00C81FDF" w:rsidRPr="00283E3B" w:rsidP="00753DBF" w14:paraId="185FF33E" w14:textId="77777777">
            <w:pPr>
              <w:jc w:val="center"/>
            </w:pPr>
            <w:r>
              <w:t>)</w:t>
            </w:r>
          </w:p>
        </w:tc>
        <w:tc>
          <w:tcPr>
            <w:tcW w:w="4235" w:type="dxa"/>
          </w:tcPr>
          <w:p w:rsidR="00C81FDF" w:rsidP="00753DBF" w14:paraId="34035569" w14:textId="77777777">
            <w:r w:rsidRPr="00283E3B">
              <w:t>Case No.</w:t>
            </w:r>
            <w:r>
              <w:t xml:space="preserve"> </w:t>
            </w:r>
            <w:r w:rsidRPr="00283E3B">
              <w:t xml:space="preserve">14-375-GA-RDR </w:t>
            </w:r>
          </w:p>
          <w:p w:rsidR="00C81FDF" w:rsidP="00753DBF" w14:paraId="7EF06659" w14:textId="77777777">
            <w:r w:rsidRPr="00283E3B">
              <w:t>Case No.</w:t>
            </w:r>
            <w:r>
              <w:t xml:space="preserve"> </w:t>
            </w:r>
            <w:r w:rsidRPr="00283E3B">
              <w:t xml:space="preserve">15-452-GA-RDR </w:t>
            </w:r>
          </w:p>
          <w:p w:rsidR="00C81FDF" w:rsidP="00753DBF" w14:paraId="67934FED" w14:textId="77777777">
            <w:r w:rsidRPr="00283E3B">
              <w:t>Case No.</w:t>
            </w:r>
            <w:r>
              <w:t xml:space="preserve"> </w:t>
            </w:r>
            <w:r w:rsidRPr="00283E3B">
              <w:t xml:space="preserve">16-542-GA-RDR </w:t>
            </w:r>
          </w:p>
          <w:p w:rsidR="00C81FDF" w:rsidP="00753DBF" w14:paraId="196E3102" w14:textId="77777777">
            <w:r w:rsidRPr="00283E3B">
              <w:t>Case No.</w:t>
            </w:r>
            <w:r>
              <w:t xml:space="preserve"> </w:t>
            </w:r>
            <w:r w:rsidRPr="00283E3B">
              <w:t xml:space="preserve">17-596-GA-RDR </w:t>
            </w:r>
          </w:p>
          <w:p w:rsidR="00C81FDF" w:rsidP="00753DBF" w14:paraId="335AE182" w14:textId="77777777">
            <w:r w:rsidRPr="00283E3B">
              <w:t>Case No.</w:t>
            </w:r>
            <w:r>
              <w:t xml:space="preserve"> </w:t>
            </w:r>
            <w:r w:rsidRPr="00283E3B">
              <w:t xml:space="preserve">18-283-GA-RDR </w:t>
            </w:r>
          </w:p>
          <w:p w:rsidR="00C81FDF" w:rsidP="00753DBF" w14:paraId="408A1284" w14:textId="77777777">
            <w:r w:rsidRPr="00283E3B">
              <w:t>Case No.</w:t>
            </w:r>
            <w:r>
              <w:t xml:space="preserve"> </w:t>
            </w:r>
            <w:r w:rsidRPr="00283E3B">
              <w:t xml:space="preserve">19-174-GA-RDR </w:t>
            </w:r>
          </w:p>
          <w:p w:rsidR="00C81FDF" w:rsidRPr="00283E3B" w:rsidP="00753DBF" w14:paraId="0BF52713" w14:textId="77777777">
            <w:r w:rsidRPr="00283E3B">
              <w:t>Case No.</w:t>
            </w:r>
            <w:r>
              <w:t xml:space="preserve"> </w:t>
            </w:r>
            <w:r w:rsidRPr="00283E3B">
              <w:t>20-53-GA-RDR</w:t>
            </w:r>
          </w:p>
        </w:tc>
      </w:tr>
      <w:tr w14:paraId="794E1CD4" w14:textId="77777777" w:rsidTr="00753DBF">
        <w:tblPrEx>
          <w:tblW w:w="0" w:type="auto"/>
          <w:tblLook w:val="04A0"/>
        </w:tblPrEx>
        <w:tc>
          <w:tcPr>
            <w:tcW w:w="4585" w:type="dxa"/>
          </w:tcPr>
          <w:p w:rsidR="00C81FDF" w:rsidP="00753DBF" w14:paraId="3AC9BF26" w14:textId="77777777">
            <w:pPr>
              <w:rPr>
                <w:b/>
                <w:bCs/>
              </w:rPr>
            </w:pPr>
          </w:p>
        </w:tc>
        <w:tc>
          <w:tcPr>
            <w:tcW w:w="540" w:type="dxa"/>
          </w:tcPr>
          <w:p w:rsidR="00C81FDF" w:rsidP="00753DBF" w14:paraId="68B6F1CA" w14:textId="77777777">
            <w:pPr>
              <w:jc w:val="center"/>
              <w:rPr>
                <w:b/>
                <w:bCs/>
              </w:rPr>
            </w:pPr>
          </w:p>
        </w:tc>
        <w:tc>
          <w:tcPr>
            <w:tcW w:w="4235" w:type="dxa"/>
          </w:tcPr>
          <w:p w:rsidR="00C81FDF" w:rsidP="00753DBF" w14:paraId="4D66BC2E" w14:textId="77777777">
            <w:pPr>
              <w:rPr>
                <w:b/>
                <w:bCs/>
              </w:rPr>
            </w:pPr>
          </w:p>
        </w:tc>
      </w:tr>
      <w:tr w14:paraId="26D798B3" w14:textId="77777777" w:rsidTr="00753DBF">
        <w:tblPrEx>
          <w:tblW w:w="0" w:type="auto"/>
          <w:tblLook w:val="04A0"/>
        </w:tblPrEx>
        <w:tc>
          <w:tcPr>
            <w:tcW w:w="4585" w:type="dxa"/>
          </w:tcPr>
          <w:p w:rsidR="00C81FDF" w:rsidRPr="00283E3B" w:rsidP="00753DBF" w14:paraId="44B4F557" w14:textId="77777777">
            <w:r w:rsidRPr="00283E3B">
              <w:t>In the Matters of the Applications of Duke Energy Ohio, Inc. for Tariff Approval.</w:t>
            </w:r>
          </w:p>
        </w:tc>
        <w:tc>
          <w:tcPr>
            <w:tcW w:w="540" w:type="dxa"/>
          </w:tcPr>
          <w:p w:rsidR="00C81FDF" w:rsidP="00753DBF" w14:paraId="6D34DC0D" w14:textId="77777777">
            <w:pPr>
              <w:jc w:val="center"/>
            </w:pPr>
            <w:r w:rsidRPr="00283E3B">
              <w:t>)</w:t>
            </w:r>
          </w:p>
          <w:p w:rsidR="00C81FDF" w:rsidP="00753DBF" w14:paraId="1FEAC993" w14:textId="77777777">
            <w:pPr>
              <w:jc w:val="center"/>
            </w:pPr>
            <w:r>
              <w:t>)</w:t>
            </w:r>
          </w:p>
          <w:p w:rsidR="00C81FDF" w:rsidP="00753DBF" w14:paraId="0D43C0C8" w14:textId="77777777">
            <w:pPr>
              <w:jc w:val="center"/>
            </w:pPr>
            <w:r>
              <w:t>)</w:t>
            </w:r>
          </w:p>
          <w:p w:rsidR="00C81FDF" w:rsidP="00753DBF" w14:paraId="7B476ADB" w14:textId="77777777">
            <w:pPr>
              <w:jc w:val="center"/>
            </w:pPr>
            <w:r>
              <w:t>)</w:t>
            </w:r>
          </w:p>
          <w:p w:rsidR="00C81FDF" w:rsidP="00753DBF" w14:paraId="7DDB4838" w14:textId="77777777">
            <w:pPr>
              <w:jc w:val="center"/>
            </w:pPr>
            <w:r>
              <w:t>)</w:t>
            </w:r>
          </w:p>
          <w:p w:rsidR="00C81FDF" w:rsidP="00753DBF" w14:paraId="606E8580" w14:textId="77777777">
            <w:pPr>
              <w:jc w:val="center"/>
            </w:pPr>
            <w:r>
              <w:t>)</w:t>
            </w:r>
          </w:p>
          <w:p w:rsidR="00C81FDF" w:rsidP="00753DBF" w14:paraId="0B0474C4" w14:textId="77777777">
            <w:pPr>
              <w:jc w:val="center"/>
            </w:pPr>
            <w:r>
              <w:t>)</w:t>
            </w:r>
          </w:p>
          <w:p w:rsidR="00C81FDF" w:rsidRPr="00283E3B" w:rsidP="00753DBF" w14:paraId="450040F2" w14:textId="77777777">
            <w:pPr>
              <w:jc w:val="center"/>
            </w:pPr>
            <w:r>
              <w:t>)</w:t>
            </w:r>
          </w:p>
        </w:tc>
        <w:tc>
          <w:tcPr>
            <w:tcW w:w="4235" w:type="dxa"/>
          </w:tcPr>
          <w:p w:rsidR="00C81FDF" w:rsidP="00753DBF" w14:paraId="35C8512B" w14:textId="77777777">
            <w:r w:rsidRPr="00283E3B">
              <w:t>Case No.</w:t>
            </w:r>
            <w:r>
              <w:t xml:space="preserve"> </w:t>
            </w:r>
            <w:r w:rsidRPr="00283E3B">
              <w:t xml:space="preserve">14-376-GA-ATA </w:t>
            </w:r>
          </w:p>
          <w:p w:rsidR="00C81FDF" w:rsidP="00753DBF" w14:paraId="60DE9C83" w14:textId="77777777">
            <w:r w:rsidRPr="00283E3B">
              <w:t>Case No.</w:t>
            </w:r>
            <w:r>
              <w:t xml:space="preserve"> </w:t>
            </w:r>
            <w:r w:rsidRPr="00283E3B">
              <w:t xml:space="preserve">15-453-GA-ATA </w:t>
            </w:r>
          </w:p>
          <w:p w:rsidR="00C81FDF" w:rsidP="00753DBF" w14:paraId="572728C7" w14:textId="77777777">
            <w:r w:rsidRPr="00283E3B">
              <w:t>Case No.</w:t>
            </w:r>
            <w:r>
              <w:t xml:space="preserve"> </w:t>
            </w:r>
            <w:r w:rsidRPr="00283E3B">
              <w:t xml:space="preserve">16-543-GA-ATA </w:t>
            </w:r>
          </w:p>
          <w:p w:rsidR="00C81FDF" w:rsidP="00753DBF" w14:paraId="1454364F" w14:textId="77777777">
            <w:r w:rsidRPr="00283E3B">
              <w:t>Case No.</w:t>
            </w:r>
            <w:r>
              <w:t xml:space="preserve"> </w:t>
            </w:r>
            <w:r w:rsidRPr="00283E3B">
              <w:t>17-597-GA-ATA</w:t>
            </w:r>
          </w:p>
          <w:p w:rsidR="00C81FDF" w:rsidP="00753DBF" w14:paraId="7DB42A45" w14:textId="77777777">
            <w:r w:rsidRPr="00283E3B">
              <w:t>Case No.</w:t>
            </w:r>
            <w:r>
              <w:t xml:space="preserve"> </w:t>
            </w:r>
            <w:r w:rsidRPr="00283E3B">
              <w:t xml:space="preserve">18-284-GA-ATA </w:t>
            </w:r>
          </w:p>
          <w:p w:rsidR="00C81FDF" w:rsidP="00753DBF" w14:paraId="03C69467" w14:textId="77777777">
            <w:r w:rsidRPr="00283E3B">
              <w:t>Case No.</w:t>
            </w:r>
            <w:r>
              <w:t xml:space="preserve"> </w:t>
            </w:r>
            <w:r w:rsidRPr="00283E3B">
              <w:t xml:space="preserve">19-175-GA-ATA </w:t>
            </w:r>
          </w:p>
          <w:p w:rsidR="00C81FDF" w:rsidP="00753DBF" w14:paraId="7437E64B" w14:textId="77777777">
            <w:r w:rsidRPr="00283E3B">
              <w:t>Case No.</w:t>
            </w:r>
            <w:r>
              <w:t xml:space="preserve"> </w:t>
            </w:r>
            <w:r w:rsidRPr="00283E3B">
              <w:t>19-1086-GA-</w:t>
            </w:r>
            <w:r>
              <w:t>UNC</w:t>
            </w:r>
            <w:r w:rsidRPr="00283E3B">
              <w:t xml:space="preserve"> </w:t>
            </w:r>
          </w:p>
          <w:p w:rsidR="00C81FDF" w:rsidRPr="00283E3B" w:rsidP="00753DBF" w14:paraId="1F8AB1E6" w14:textId="77777777">
            <w:r w:rsidRPr="00283E3B">
              <w:t>Case No.</w:t>
            </w:r>
            <w:r>
              <w:t xml:space="preserve"> </w:t>
            </w:r>
            <w:r w:rsidRPr="00283E3B">
              <w:t>20-54-GA-ATA</w:t>
            </w:r>
          </w:p>
        </w:tc>
      </w:tr>
      <w:tr w14:paraId="1677521D" w14:textId="77777777" w:rsidTr="00753DBF">
        <w:tblPrEx>
          <w:tblW w:w="0" w:type="auto"/>
          <w:tblLook w:val="04A0"/>
        </w:tblPrEx>
        <w:tc>
          <w:tcPr>
            <w:tcW w:w="4585" w:type="dxa"/>
          </w:tcPr>
          <w:p w:rsidR="00C81FDF" w:rsidP="00753DBF" w14:paraId="3809E431" w14:textId="77777777">
            <w:pPr>
              <w:rPr>
                <w:b/>
                <w:bCs/>
              </w:rPr>
            </w:pPr>
          </w:p>
        </w:tc>
        <w:tc>
          <w:tcPr>
            <w:tcW w:w="540" w:type="dxa"/>
          </w:tcPr>
          <w:p w:rsidR="00C81FDF" w:rsidP="00753DBF" w14:paraId="6E840B7B" w14:textId="77777777">
            <w:pPr>
              <w:jc w:val="center"/>
              <w:rPr>
                <w:b/>
                <w:bCs/>
              </w:rPr>
            </w:pPr>
          </w:p>
        </w:tc>
        <w:tc>
          <w:tcPr>
            <w:tcW w:w="4235" w:type="dxa"/>
          </w:tcPr>
          <w:p w:rsidR="00C81FDF" w:rsidP="00753DBF" w14:paraId="5AB96C29" w14:textId="77777777">
            <w:pPr>
              <w:rPr>
                <w:b/>
                <w:bCs/>
              </w:rPr>
            </w:pPr>
          </w:p>
        </w:tc>
      </w:tr>
      <w:tr w14:paraId="15730500" w14:textId="77777777" w:rsidTr="00753DBF">
        <w:tblPrEx>
          <w:tblW w:w="0" w:type="auto"/>
          <w:tblLook w:val="04A0"/>
        </w:tblPrEx>
        <w:tc>
          <w:tcPr>
            <w:tcW w:w="4585" w:type="dxa"/>
          </w:tcPr>
          <w:p w:rsidR="00C81FDF" w:rsidRPr="00283E3B" w:rsidP="00753DBF" w14:paraId="7A95E79E" w14:textId="77777777">
            <w:r w:rsidRPr="00283E3B">
              <w:t>In the Matter of the Application of Duke Energy Ohio, Inc., for Implementation of the Tax Cuts and Jobs Act of 2017.</w:t>
            </w:r>
          </w:p>
        </w:tc>
        <w:tc>
          <w:tcPr>
            <w:tcW w:w="540" w:type="dxa"/>
          </w:tcPr>
          <w:p w:rsidR="00C81FDF" w:rsidRPr="00283E3B" w:rsidP="00753DBF" w14:paraId="63E3845E" w14:textId="77777777">
            <w:pPr>
              <w:jc w:val="center"/>
            </w:pPr>
            <w:r w:rsidRPr="00283E3B">
              <w:t>)</w:t>
            </w:r>
          </w:p>
          <w:p w:rsidR="00C81FDF" w:rsidRPr="00283E3B" w:rsidP="00753DBF" w14:paraId="2A5A009D" w14:textId="77777777">
            <w:pPr>
              <w:jc w:val="center"/>
            </w:pPr>
            <w:r w:rsidRPr="00283E3B">
              <w:t>)</w:t>
            </w:r>
          </w:p>
          <w:p w:rsidR="00C81FDF" w:rsidP="00753DBF" w14:paraId="59D6412E" w14:textId="77777777">
            <w:pPr>
              <w:jc w:val="center"/>
              <w:rPr>
                <w:b/>
                <w:bCs/>
              </w:rPr>
            </w:pPr>
            <w:r w:rsidRPr="00283E3B">
              <w:t>)</w:t>
            </w:r>
          </w:p>
        </w:tc>
        <w:tc>
          <w:tcPr>
            <w:tcW w:w="4235" w:type="dxa"/>
          </w:tcPr>
          <w:p w:rsidR="00C81FDF" w:rsidRPr="00283E3B" w:rsidP="00753DBF" w14:paraId="0B8F59C1" w14:textId="77777777">
            <w:r w:rsidRPr="00283E3B">
              <w:t>Case No.</w:t>
            </w:r>
            <w:r>
              <w:t xml:space="preserve"> </w:t>
            </w:r>
            <w:r w:rsidRPr="00283E3B">
              <w:t>18-1830-GA-UNC</w:t>
            </w:r>
          </w:p>
        </w:tc>
      </w:tr>
      <w:tr w14:paraId="158EFCCA" w14:textId="77777777" w:rsidTr="00753DBF">
        <w:tblPrEx>
          <w:tblW w:w="0" w:type="auto"/>
          <w:tblLook w:val="04A0"/>
        </w:tblPrEx>
        <w:tc>
          <w:tcPr>
            <w:tcW w:w="4585" w:type="dxa"/>
          </w:tcPr>
          <w:p w:rsidR="00C81FDF" w:rsidP="00753DBF" w14:paraId="78939A34" w14:textId="77777777">
            <w:pPr>
              <w:rPr>
                <w:b/>
                <w:bCs/>
              </w:rPr>
            </w:pPr>
          </w:p>
        </w:tc>
        <w:tc>
          <w:tcPr>
            <w:tcW w:w="540" w:type="dxa"/>
          </w:tcPr>
          <w:p w:rsidR="00C81FDF" w:rsidP="00753DBF" w14:paraId="518FA87D" w14:textId="77777777">
            <w:pPr>
              <w:jc w:val="center"/>
              <w:rPr>
                <w:b/>
                <w:bCs/>
              </w:rPr>
            </w:pPr>
          </w:p>
        </w:tc>
        <w:tc>
          <w:tcPr>
            <w:tcW w:w="4235" w:type="dxa"/>
          </w:tcPr>
          <w:p w:rsidR="00C81FDF" w:rsidP="00753DBF" w14:paraId="0F3F96F5" w14:textId="77777777">
            <w:pPr>
              <w:rPr>
                <w:b/>
                <w:bCs/>
              </w:rPr>
            </w:pPr>
          </w:p>
        </w:tc>
      </w:tr>
      <w:tr w14:paraId="7A8A161D" w14:textId="77777777" w:rsidTr="00753DBF">
        <w:tblPrEx>
          <w:tblW w:w="0" w:type="auto"/>
          <w:tblLook w:val="04A0"/>
        </w:tblPrEx>
        <w:tc>
          <w:tcPr>
            <w:tcW w:w="4585" w:type="dxa"/>
          </w:tcPr>
          <w:p w:rsidR="00C81FDF" w:rsidRPr="00283E3B" w:rsidP="00753DBF" w14:paraId="2984854F" w14:textId="77777777">
            <w:r w:rsidRPr="00283E3B">
              <w:t>In the Matter of the Application of Duke Energy Ohio, Inc., for Approval of Tariff Amendments.</w:t>
            </w:r>
          </w:p>
        </w:tc>
        <w:tc>
          <w:tcPr>
            <w:tcW w:w="540" w:type="dxa"/>
          </w:tcPr>
          <w:p w:rsidR="00C81FDF" w:rsidRPr="00283E3B" w:rsidP="00753DBF" w14:paraId="5BFAFCD1" w14:textId="77777777">
            <w:pPr>
              <w:jc w:val="center"/>
            </w:pPr>
            <w:r w:rsidRPr="00283E3B">
              <w:t>)</w:t>
            </w:r>
          </w:p>
          <w:p w:rsidR="00C81FDF" w:rsidRPr="00283E3B" w:rsidP="00753DBF" w14:paraId="46C1C4F4" w14:textId="77777777">
            <w:pPr>
              <w:jc w:val="center"/>
            </w:pPr>
            <w:r w:rsidRPr="00283E3B">
              <w:t>)</w:t>
            </w:r>
          </w:p>
          <w:p w:rsidR="00C81FDF" w:rsidP="00753DBF" w14:paraId="12AD951E" w14:textId="77777777">
            <w:pPr>
              <w:jc w:val="center"/>
              <w:rPr>
                <w:b/>
                <w:bCs/>
              </w:rPr>
            </w:pPr>
            <w:r w:rsidRPr="00283E3B">
              <w:t>)</w:t>
            </w:r>
          </w:p>
        </w:tc>
        <w:tc>
          <w:tcPr>
            <w:tcW w:w="4235" w:type="dxa"/>
          </w:tcPr>
          <w:p w:rsidR="00C81FDF" w:rsidP="00753DBF" w14:paraId="283E5686" w14:textId="77777777">
            <w:pPr>
              <w:rPr>
                <w:b/>
                <w:bCs/>
              </w:rPr>
            </w:pPr>
            <w:r w:rsidRPr="00283E3B">
              <w:t>Case No.</w:t>
            </w:r>
            <w:r>
              <w:t xml:space="preserve"> </w:t>
            </w:r>
            <w:r w:rsidRPr="00283E3B">
              <w:t>18-1831-GA-</w:t>
            </w:r>
            <w:r>
              <w:t>ATA</w:t>
            </w:r>
          </w:p>
        </w:tc>
      </w:tr>
      <w:tr w14:paraId="3E9708D7" w14:textId="77777777" w:rsidTr="00753DBF">
        <w:tblPrEx>
          <w:tblW w:w="0" w:type="auto"/>
          <w:tblLook w:val="04A0"/>
        </w:tblPrEx>
        <w:tc>
          <w:tcPr>
            <w:tcW w:w="4585" w:type="dxa"/>
          </w:tcPr>
          <w:p w:rsidR="00C81FDF" w:rsidP="00753DBF" w14:paraId="1E7F42A9" w14:textId="77777777">
            <w:pPr>
              <w:rPr>
                <w:b/>
                <w:bCs/>
              </w:rPr>
            </w:pPr>
          </w:p>
        </w:tc>
        <w:tc>
          <w:tcPr>
            <w:tcW w:w="540" w:type="dxa"/>
          </w:tcPr>
          <w:p w:rsidR="00C81FDF" w:rsidP="00753DBF" w14:paraId="132D0512" w14:textId="77777777">
            <w:pPr>
              <w:jc w:val="center"/>
              <w:rPr>
                <w:b/>
                <w:bCs/>
              </w:rPr>
            </w:pPr>
          </w:p>
        </w:tc>
        <w:tc>
          <w:tcPr>
            <w:tcW w:w="4235" w:type="dxa"/>
          </w:tcPr>
          <w:p w:rsidR="00C81FDF" w:rsidP="00753DBF" w14:paraId="41283571" w14:textId="77777777">
            <w:pPr>
              <w:rPr>
                <w:b/>
                <w:bCs/>
              </w:rPr>
            </w:pPr>
          </w:p>
        </w:tc>
      </w:tr>
      <w:tr w14:paraId="7385E42F" w14:textId="77777777" w:rsidTr="00C81FDF">
        <w:tblPrEx>
          <w:tblW w:w="0" w:type="auto"/>
          <w:tblLook w:val="04A0"/>
        </w:tblPrEx>
        <w:trPr>
          <w:trHeight w:val="1467"/>
        </w:trPr>
        <w:tc>
          <w:tcPr>
            <w:tcW w:w="4585" w:type="dxa"/>
          </w:tcPr>
          <w:p w:rsidR="00C81FDF" w:rsidP="00753DBF" w14:paraId="157BEA0B" w14:textId="77777777">
            <w:r w:rsidRPr="00283E3B">
              <w:t>In the Matter of the Application of Duke Energy Ohio, Inc., for Authority to Defer Environmental Investigation and Remediation Costs.</w:t>
            </w:r>
          </w:p>
          <w:p w:rsidR="00C81FDF" w:rsidRPr="00283E3B" w:rsidP="00753DBF" w14:paraId="433B0350" w14:textId="638C3937"/>
        </w:tc>
        <w:tc>
          <w:tcPr>
            <w:tcW w:w="540" w:type="dxa"/>
          </w:tcPr>
          <w:p w:rsidR="00C81FDF" w:rsidRPr="00283E3B" w:rsidP="00753DBF" w14:paraId="49FADA6B" w14:textId="77777777">
            <w:pPr>
              <w:jc w:val="center"/>
            </w:pPr>
            <w:r w:rsidRPr="00283E3B">
              <w:t>)</w:t>
            </w:r>
          </w:p>
          <w:p w:rsidR="00C81FDF" w:rsidRPr="00283E3B" w:rsidP="00753DBF" w14:paraId="379A2A37" w14:textId="77777777">
            <w:pPr>
              <w:jc w:val="center"/>
            </w:pPr>
            <w:r w:rsidRPr="00283E3B">
              <w:t>)</w:t>
            </w:r>
          </w:p>
          <w:p w:rsidR="00C81FDF" w:rsidRPr="00283E3B" w:rsidP="00753DBF" w14:paraId="305256AC" w14:textId="77777777">
            <w:pPr>
              <w:jc w:val="center"/>
            </w:pPr>
            <w:r w:rsidRPr="00283E3B">
              <w:t>)</w:t>
            </w:r>
          </w:p>
          <w:p w:rsidR="00C81FDF" w:rsidRPr="00283E3B" w:rsidP="00753DBF" w14:paraId="61D3E464" w14:textId="77777777">
            <w:pPr>
              <w:jc w:val="center"/>
            </w:pPr>
            <w:r w:rsidRPr="00283E3B">
              <w:t>)</w:t>
            </w:r>
          </w:p>
        </w:tc>
        <w:tc>
          <w:tcPr>
            <w:tcW w:w="4235" w:type="dxa"/>
          </w:tcPr>
          <w:p w:rsidR="00C81FDF" w:rsidRPr="00283E3B" w:rsidP="00753DBF" w14:paraId="18EDBD5A" w14:textId="77777777">
            <w:r w:rsidRPr="00283E3B">
              <w:t>Case No.</w:t>
            </w:r>
            <w:r>
              <w:t xml:space="preserve"> </w:t>
            </w:r>
            <w:r w:rsidRPr="00283E3B">
              <w:t>19-1085-GA-AAM</w:t>
            </w:r>
          </w:p>
        </w:tc>
      </w:tr>
    </w:tbl>
    <w:p w:rsidR="009C6DCD" w:rsidRPr="00F7404D" w:rsidP="009C6DCD" w14:paraId="0CCFD98A" w14:textId="77777777">
      <w:pPr>
        <w:tabs>
          <w:tab w:val="left" w:pos="-720"/>
        </w:tabs>
        <w:suppressAutoHyphens/>
        <w:jc w:val="center"/>
        <w:rPr>
          <w:b/>
          <w:spacing w:val="-3"/>
          <w:szCs w:val="24"/>
        </w:rPr>
      </w:pPr>
    </w:p>
    <w:p w:rsidR="009C6DCD" w:rsidRPr="00F7404D" w:rsidP="009C6DCD" w14:paraId="1CD92E38" w14:textId="27FD9653">
      <w:pPr>
        <w:tabs>
          <w:tab w:val="left" w:pos="-720"/>
        </w:tabs>
        <w:suppressAutoHyphens/>
        <w:jc w:val="center"/>
        <w:rPr>
          <w:b/>
          <w:spacing w:val="-3"/>
          <w:szCs w:val="24"/>
        </w:rPr>
      </w:pPr>
      <w:r>
        <w:rPr>
          <w:b/>
          <w:spacing w:val="-3"/>
          <w:szCs w:val="24"/>
        </w:rPr>
        <w:t>MEMORANDUM CONTRA JOINT APPLICATION FOR REHEARING OF THE RETAIL ENERGY SUPPLY ASSO</w:t>
      </w:r>
      <w:r w:rsidR="00C81FDF">
        <w:rPr>
          <w:b/>
          <w:spacing w:val="-3"/>
          <w:szCs w:val="24"/>
        </w:rPr>
        <w:t>CIA</w:t>
      </w:r>
      <w:r>
        <w:rPr>
          <w:b/>
          <w:spacing w:val="-3"/>
          <w:szCs w:val="24"/>
        </w:rPr>
        <w:t>TION AND INTERSTATE GAS SUPPLY, INC.</w:t>
      </w:r>
    </w:p>
    <w:p w:rsidR="009C6DCD" w:rsidRPr="00F7404D" w:rsidP="009C6DCD" w14:paraId="52CEDED4" w14:textId="77777777">
      <w:pPr>
        <w:tabs>
          <w:tab w:val="left" w:pos="-720"/>
        </w:tabs>
        <w:suppressAutoHyphens/>
        <w:jc w:val="center"/>
        <w:rPr>
          <w:b/>
          <w:spacing w:val="-3"/>
          <w:szCs w:val="24"/>
        </w:rPr>
      </w:pPr>
      <w:r w:rsidRPr="00F7404D">
        <w:rPr>
          <w:b/>
          <w:spacing w:val="-3"/>
          <w:szCs w:val="24"/>
        </w:rPr>
        <w:t>BY</w:t>
      </w:r>
    </w:p>
    <w:p w:rsidR="009C6DCD" w:rsidRPr="00F7404D" w:rsidP="009C6DCD" w14:paraId="6547459A" w14:textId="77777777">
      <w:pPr>
        <w:tabs>
          <w:tab w:val="left" w:pos="-720"/>
        </w:tabs>
        <w:suppressAutoHyphens/>
        <w:jc w:val="center"/>
        <w:rPr>
          <w:b/>
          <w:spacing w:val="-3"/>
          <w:szCs w:val="24"/>
        </w:rPr>
      </w:pPr>
      <w:r w:rsidRPr="00F7404D">
        <w:rPr>
          <w:b/>
          <w:spacing w:val="-3"/>
          <w:szCs w:val="24"/>
        </w:rPr>
        <w:t>OFFICE OF THE OHIO CONSUMERS’ COUNSEL</w:t>
      </w:r>
    </w:p>
    <w:p w:rsidR="009C6DCD" w:rsidRPr="00F7404D" w:rsidP="009C6DCD" w14:paraId="7A4615EF" w14:textId="77777777">
      <w:pPr>
        <w:pBdr>
          <w:bottom w:val="single" w:sz="12" w:space="1" w:color="auto"/>
        </w:pBdr>
        <w:tabs>
          <w:tab w:val="left" w:pos="-720"/>
        </w:tabs>
        <w:suppressAutoHyphens/>
        <w:jc w:val="center"/>
        <w:rPr>
          <w:b/>
          <w:spacing w:val="-3"/>
          <w:szCs w:val="24"/>
        </w:rPr>
      </w:pPr>
    </w:p>
    <w:p w:rsidR="009C6DCD" w:rsidRPr="00F7404D" w:rsidP="004D302D" w14:paraId="21096E94" w14:textId="77777777">
      <w:pPr>
        <w:pStyle w:val="HTMLPreformatted"/>
        <w:jc w:val="center"/>
        <w:rPr>
          <w:rFonts w:ascii="Times New Roman" w:hAnsi="Times New Roman" w:cs="Times New Roman"/>
          <w:b/>
          <w:bCs/>
          <w:sz w:val="24"/>
          <w:szCs w:val="24"/>
        </w:rPr>
      </w:pPr>
    </w:p>
    <w:p w:rsidR="009C6DCD" w:rsidRPr="00F7404D" w:rsidP="004D302D" w14:paraId="2012512D" w14:textId="77777777">
      <w:pPr>
        <w:pStyle w:val="HTMLPreformatted"/>
        <w:jc w:val="center"/>
        <w:rPr>
          <w:rFonts w:ascii="Times New Roman" w:hAnsi="Times New Roman" w:cs="Times New Roman"/>
          <w:b/>
          <w:bCs/>
          <w:sz w:val="24"/>
          <w:szCs w:val="24"/>
        </w:rPr>
      </w:pPr>
    </w:p>
    <w:p w:rsidR="009C6DCD" w:rsidRPr="00F7404D" w:rsidP="004D302D" w14:paraId="5312C76A" w14:textId="1A6756D5">
      <w:pPr>
        <w:pStyle w:val="HTMLPreformatted"/>
        <w:jc w:val="center"/>
        <w:rPr>
          <w:rFonts w:ascii="Times New Roman" w:hAnsi="Times New Roman" w:cs="Times New Roman"/>
          <w:b/>
          <w:bCs/>
          <w:sz w:val="24"/>
          <w:szCs w:val="24"/>
        </w:rPr>
      </w:pPr>
    </w:p>
    <w:p w:rsidR="009C6DCD" w:rsidRPr="00F7404D" w:rsidP="004D302D" w14:paraId="097ADAC3" w14:textId="49271E5A">
      <w:pPr>
        <w:pStyle w:val="HTMLPreformatted"/>
        <w:jc w:val="center"/>
        <w:rPr>
          <w:rFonts w:ascii="Times New Roman" w:hAnsi="Times New Roman" w:cs="Times New Roman"/>
          <w:b/>
          <w:bCs/>
          <w:sz w:val="24"/>
          <w:szCs w:val="24"/>
        </w:rPr>
      </w:pPr>
    </w:p>
    <w:p w:rsidR="009C6DCD" w:rsidRPr="00F7404D" w:rsidP="004D302D" w14:paraId="7CC44B08" w14:textId="117F5C75">
      <w:pPr>
        <w:pStyle w:val="HTMLPreformatted"/>
        <w:jc w:val="center"/>
        <w:rPr>
          <w:rFonts w:ascii="Times New Roman" w:hAnsi="Times New Roman" w:cs="Times New Roman"/>
          <w:b/>
          <w:bCs/>
          <w:sz w:val="24"/>
          <w:szCs w:val="24"/>
        </w:rPr>
      </w:pPr>
    </w:p>
    <w:p w:rsidR="009C6DCD" w:rsidRPr="00F7404D" w:rsidP="004D302D" w14:paraId="5E0AB35E" w14:textId="5B900632">
      <w:pPr>
        <w:pStyle w:val="HTMLPreformatted"/>
        <w:jc w:val="center"/>
        <w:rPr>
          <w:rFonts w:ascii="Times New Roman" w:hAnsi="Times New Roman" w:cs="Times New Roman"/>
          <w:b/>
          <w:bCs/>
          <w:sz w:val="24"/>
          <w:szCs w:val="24"/>
        </w:rPr>
      </w:pPr>
    </w:p>
    <w:p w:rsidR="009C6DCD" w:rsidRPr="00F7404D" w:rsidP="004D302D" w14:paraId="3F4A9F54" w14:textId="2CCF3A53">
      <w:pPr>
        <w:pStyle w:val="HTMLPreformatted"/>
        <w:jc w:val="center"/>
        <w:rPr>
          <w:rFonts w:ascii="Times New Roman" w:hAnsi="Times New Roman" w:cs="Times New Roman"/>
          <w:b/>
          <w:bCs/>
          <w:sz w:val="24"/>
          <w:szCs w:val="24"/>
        </w:rPr>
      </w:pPr>
    </w:p>
    <w:p w:rsidR="009C6DCD" w:rsidRPr="00F7404D" w:rsidP="004D302D" w14:paraId="24FD4FB5" w14:textId="77777777">
      <w:pPr>
        <w:pStyle w:val="HTMLPreformatted"/>
        <w:jc w:val="center"/>
        <w:rPr>
          <w:rFonts w:ascii="Times New Roman" w:hAnsi="Times New Roman" w:cs="Times New Roman"/>
          <w:b/>
          <w:bCs/>
          <w:sz w:val="24"/>
          <w:szCs w:val="24"/>
        </w:rPr>
      </w:pPr>
    </w:p>
    <w:p w:rsidR="009C6DCD" w:rsidRPr="00F7404D" w:rsidP="009C6DCD" w14:paraId="1278FCB6" w14:textId="77777777">
      <w:pPr>
        <w:ind w:left="4320" w:hanging="360"/>
        <w:rPr>
          <w:szCs w:val="24"/>
        </w:rPr>
      </w:pPr>
      <w:r w:rsidRPr="00F7404D">
        <w:rPr>
          <w:szCs w:val="24"/>
        </w:rPr>
        <w:t>Bruce Weston (0016973)</w:t>
      </w:r>
    </w:p>
    <w:p w:rsidR="009C6DCD" w:rsidRPr="00F7404D" w:rsidP="009C6DCD" w14:paraId="4683855E" w14:textId="77777777">
      <w:pPr>
        <w:tabs>
          <w:tab w:val="left" w:pos="4320"/>
        </w:tabs>
        <w:ind w:left="4320" w:hanging="360"/>
        <w:rPr>
          <w:szCs w:val="24"/>
        </w:rPr>
      </w:pPr>
      <w:r w:rsidRPr="00F7404D">
        <w:rPr>
          <w:szCs w:val="24"/>
        </w:rPr>
        <w:t>Ohio Consumers’ Counsel</w:t>
      </w:r>
    </w:p>
    <w:p w:rsidR="009C6DCD" w:rsidRPr="00F7404D" w:rsidP="009C6DCD" w14:paraId="3EA04A47" w14:textId="77777777">
      <w:pPr>
        <w:tabs>
          <w:tab w:val="left" w:pos="4320"/>
        </w:tabs>
        <w:ind w:left="4320" w:hanging="360"/>
        <w:rPr>
          <w:szCs w:val="24"/>
        </w:rPr>
      </w:pPr>
    </w:p>
    <w:p w:rsidR="00C81FDF" w:rsidRPr="00F7404D" w:rsidP="00C81FDF" w14:paraId="4F893A92" w14:textId="77777777">
      <w:pPr>
        <w:tabs>
          <w:tab w:val="left" w:pos="4320"/>
        </w:tabs>
        <w:ind w:left="3960"/>
        <w:rPr>
          <w:szCs w:val="24"/>
        </w:rPr>
      </w:pPr>
      <w:r w:rsidRPr="00F7404D">
        <w:rPr>
          <w:szCs w:val="24"/>
        </w:rPr>
        <w:t>William J. Michael (0070921)</w:t>
      </w:r>
    </w:p>
    <w:p w:rsidR="00C81FDF" w:rsidRPr="00F7404D" w:rsidP="00C81FDF" w14:paraId="5E98DC3D" w14:textId="77777777">
      <w:pPr>
        <w:ind w:left="3960"/>
        <w:rPr>
          <w:szCs w:val="24"/>
        </w:rPr>
      </w:pPr>
      <w:r w:rsidRPr="00F7404D">
        <w:rPr>
          <w:szCs w:val="24"/>
        </w:rPr>
        <w:t>Counsel of Record (Case No. 14-375-GA-RDR, et al.)</w:t>
      </w:r>
    </w:p>
    <w:p w:rsidR="00C81FDF" w:rsidRPr="00F7404D" w:rsidP="00C81FDF" w14:paraId="2945EAE6" w14:textId="77777777">
      <w:pPr>
        <w:tabs>
          <w:tab w:val="left" w:pos="4320"/>
        </w:tabs>
        <w:ind w:left="3960"/>
        <w:rPr>
          <w:szCs w:val="24"/>
        </w:rPr>
      </w:pPr>
      <w:r w:rsidRPr="00F7404D">
        <w:rPr>
          <w:szCs w:val="24"/>
        </w:rPr>
        <w:t>Amy Botschner O’Brien (0074423)</w:t>
      </w:r>
    </w:p>
    <w:p w:rsidR="00C81FDF" w:rsidRPr="00F7404D" w:rsidP="00C81FDF" w14:paraId="7A51521E" w14:textId="77777777">
      <w:pPr>
        <w:tabs>
          <w:tab w:val="left" w:pos="4320"/>
        </w:tabs>
        <w:ind w:left="3960"/>
        <w:rPr>
          <w:szCs w:val="24"/>
        </w:rPr>
      </w:pPr>
      <w:r w:rsidRPr="00F7404D">
        <w:rPr>
          <w:szCs w:val="24"/>
        </w:rPr>
        <w:t>Assistant Consumers’ Counsel</w:t>
      </w:r>
    </w:p>
    <w:p w:rsidR="00C81FDF" w:rsidRPr="00F7404D" w:rsidP="00C81FDF" w14:paraId="1CC83D90" w14:textId="77777777">
      <w:pPr>
        <w:tabs>
          <w:tab w:val="left" w:pos="4320"/>
        </w:tabs>
        <w:ind w:left="3960"/>
        <w:rPr>
          <w:szCs w:val="24"/>
        </w:rPr>
      </w:pPr>
    </w:p>
    <w:p w:rsidR="00C81FDF" w:rsidRPr="00F7404D" w:rsidP="00C81FDF" w14:paraId="48EE901C" w14:textId="77777777">
      <w:pPr>
        <w:ind w:left="3960"/>
        <w:rPr>
          <w:b/>
          <w:bCs/>
          <w:szCs w:val="24"/>
        </w:rPr>
      </w:pPr>
      <w:r w:rsidRPr="00F7404D">
        <w:rPr>
          <w:b/>
          <w:bCs/>
          <w:szCs w:val="24"/>
        </w:rPr>
        <w:t>Office of the Ohio Consumers’ Counsel</w:t>
      </w:r>
    </w:p>
    <w:p w:rsidR="00C81FDF" w:rsidRPr="00F7404D" w:rsidP="00C81FDF" w14:paraId="031B5100" w14:textId="77777777">
      <w:pPr>
        <w:ind w:left="3960"/>
        <w:rPr>
          <w:b/>
          <w:szCs w:val="24"/>
        </w:rPr>
      </w:pPr>
      <w:r w:rsidRPr="00F7404D">
        <w:rPr>
          <w:szCs w:val="24"/>
        </w:rPr>
        <w:t>65 East State Street, Suite 700</w:t>
      </w:r>
    </w:p>
    <w:p w:rsidR="00C81FDF" w:rsidRPr="00F7404D" w:rsidP="00C81FDF" w14:paraId="49FF23C6" w14:textId="77777777">
      <w:pPr>
        <w:ind w:left="3960"/>
        <w:rPr>
          <w:b/>
          <w:szCs w:val="24"/>
        </w:rPr>
      </w:pPr>
      <w:r w:rsidRPr="00F7404D">
        <w:rPr>
          <w:szCs w:val="24"/>
        </w:rPr>
        <w:t>Columbus, Ohio 43215-4213</w:t>
      </w:r>
    </w:p>
    <w:p w:rsidR="00C81FDF" w:rsidRPr="00F7404D" w:rsidP="00C81FDF" w14:paraId="5C0C344E" w14:textId="77777777">
      <w:pPr>
        <w:tabs>
          <w:tab w:val="left" w:pos="4320"/>
        </w:tabs>
        <w:ind w:left="3960"/>
        <w:rPr>
          <w:szCs w:val="24"/>
        </w:rPr>
      </w:pPr>
      <w:r w:rsidRPr="00F7404D">
        <w:rPr>
          <w:szCs w:val="24"/>
        </w:rPr>
        <w:t>Telephone: (614) 466-1291 (Michael)</w:t>
      </w:r>
    </w:p>
    <w:p w:rsidR="00C81FDF" w:rsidRPr="00F7404D" w:rsidP="00C81FDF" w14:paraId="5B3F68DB" w14:textId="77777777">
      <w:pPr>
        <w:autoSpaceDE w:val="0"/>
        <w:autoSpaceDN w:val="0"/>
        <w:adjustRightInd w:val="0"/>
        <w:ind w:left="3960"/>
        <w:rPr>
          <w:szCs w:val="24"/>
        </w:rPr>
      </w:pPr>
      <w:r w:rsidRPr="00F7404D">
        <w:rPr>
          <w:szCs w:val="24"/>
        </w:rPr>
        <w:t xml:space="preserve">Telephone </w:t>
      </w:r>
      <w:r>
        <w:rPr>
          <w:szCs w:val="24"/>
        </w:rPr>
        <w:t>:</w:t>
      </w:r>
      <w:r w:rsidRPr="00F7404D">
        <w:rPr>
          <w:szCs w:val="24"/>
        </w:rPr>
        <w:t>(614) 466-9575</w:t>
      </w:r>
      <w:r>
        <w:rPr>
          <w:szCs w:val="24"/>
        </w:rPr>
        <w:t xml:space="preserve"> (Botschner O’Brien)</w:t>
      </w:r>
    </w:p>
    <w:p w:rsidR="00C81FDF" w:rsidRPr="00F7404D" w:rsidP="00C81FDF" w14:paraId="2AA66F34" w14:textId="77777777">
      <w:pPr>
        <w:ind w:left="3960"/>
        <w:rPr>
          <w:rStyle w:val="Hyperlink"/>
          <w:rFonts w:eastAsiaTheme="majorEastAsia"/>
          <w:szCs w:val="24"/>
        </w:rPr>
      </w:pPr>
      <w:hyperlink r:id="rId6" w:history="1">
        <w:r w:rsidRPr="00F7404D">
          <w:rPr>
            <w:rStyle w:val="Hyperlink"/>
            <w:rFonts w:eastAsiaTheme="majorEastAsia"/>
            <w:szCs w:val="24"/>
          </w:rPr>
          <w:t>william.michael@occ.ohio.gov</w:t>
        </w:r>
      </w:hyperlink>
    </w:p>
    <w:p w:rsidR="00C81FDF" w:rsidRPr="00F7404D" w:rsidP="00C81FDF" w14:paraId="4E04E8F8" w14:textId="77777777">
      <w:pPr>
        <w:ind w:left="3960"/>
        <w:rPr>
          <w:rStyle w:val="Hyperlink"/>
          <w:szCs w:val="24"/>
        </w:rPr>
      </w:pPr>
      <w:r w:rsidRPr="00F7404D">
        <w:rPr>
          <w:rStyle w:val="Hyperlink"/>
          <w:szCs w:val="24"/>
        </w:rPr>
        <w:t>amy.botschner.obrien@occ.ohio.gov</w:t>
      </w:r>
    </w:p>
    <w:p w:rsidR="00C81FDF" w:rsidRPr="00F7404D" w:rsidP="00C81FDF" w14:paraId="2D6A4C16" w14:textId="77777777">
      <w:pPr>
        <w:ind w:left="3960"/>
        <w:rPr>
          <w:szCs w:val="24"/>
        </w:rPr>
      </w:pPr>
      <w:r w:rsidRPr="00F7404D">
        <w:rPr>
          <w:szCs w:val="24"/>
        </w:rPr>
        <w:t>(willing to accept service by e-mail)</w:t>
      </w:r>
    </w:p>
    <w:p w:rsidR="00C81FDF" w:rsidP="00C81FDF" w14:paraId="61F5A13C" w14:textId="77777777">
      <w:pPr>
        <w:rPr>
          <w:szCs w:val="24"/>
        </w:rPr>
      </w:pPr>
    </w:p>
    <w:p w:rsidR="00C81FDF" w:rsidRPr="00F7404D" w:rsidP="00C81FDF" w14:paraId="2737724F" w14:textId="77777777">
      <w:pPr>
        <w:tabs>
          <w:tab w:val="left" w:pos="4320"/>
        </w:tabs>
        <w:ind w:left="4320" w:hanging="360"/>
        <w:rPr>
          <w:szCs w:val="24"/>
        </w:rPr>
      </w:pPr>
      <w:r w:rsidRPr="00F7404D">
        <w:rPr>
          <w:szCs w:val="24"/>
        </w:rPr>
        <w:t>William J. Michael (0070921)</w:t>
      </w:r>
    </w:p>
    <w:p w:rsidR="00C81FDF" w:rsidRPr="00F7404D" w:rsidP="00C81FDF" w14:paraId="15290FAD" w14:textId="77777777">
      <w:pPr>
        <w:ind w:left="3960"/>
        <w:rPr>
          <w:szCs w:val="24"/>
        </w:rPr>
      </w:pPr>
      <w:r w:rsidRPr="00F7404D">
        <w:rPr>
          <w:szCs w:val="24"/>
        </w:rPr>
        <w:t>Counsel of Record (Case No. 18-1830-GA-UNC)</w:t>
      </w:r>
    </w:p>
    <w:p w:rsidR="00C81FDF" w:rsidRPr="00F7404D" w:rsidP="00C81FDF" w14:paraId="634B248E" w14:textId="77777777">
      <w:pPr>
        <w:tabs>
          <w:tab w:val="left" w:pos="4320"/>
        </w:tabs>
        <w:ind w:left="4320" w:hanging="360"/>
        <w:rPr>
          <w:szCs w:val="24"/>
        </w:rPr>
      </w:pPr>
      <w:r w:rsidRPr="00F7404D">
        <w:rPr>
          <w:szCs w:val="24"/>
        </w:rPr>
        <w:t>Angela D. O’Brien (0097579)</w:t>
      </w:r>
    </w:p>
    <w:p w:rsidR="00C81FDF" w:rsidRPr="00F7404D" w:rsidP="00C81FDF" w14:paraId="54C64B14" w14:textId="77777777">
      <w:pPr>
        <w:tabs>
          <w:tab w:val="left" w:pos="4320"/>
        </w:tabs>
        <w:ind w:left="4320" w:hanging="360"/>
        <w:rPr>
          <w:szCs w:val="24"/>
        </w:rPr>
      </w:pPr>
      <w:r w:rsidRPr="00F7404D">
        <w:rPr>
          <w:szCs w:val="24"/>
        </w:rPr>
        <w:t>Ambrosia E. Wilson (0096598)</w:t>
      </w:r>
    </w:p>
    <w:p w:rsidR="00C81FDF" w:rsidRPr="00F7404D" w:rsidP="00C81FDF" w14:paraId="563B22E5" w14:textId="77777777">
      <w:pPr>
        <w:tabs>
          <w:tab w:val="left" w:pos="4320"/>
        </w:tabs>
        <w:ind w:left="4320" w:hanging="360"/>
        <w:rPr>
          <w:szCs w:val="24"/>
        </w:rPr>
      </w:pPr>
      <w:r w:rsidRPr="00F7404D">
        <w:rPr>
          <w:szCs w:val="24"/>
        </w:rPr>
        <w:t xml:space="preserve">Assistant Consumers’ Counsel </w:t>
      </w:r>
    </w:p>
    <w:p w:rsidR="00C81FDF" w:rsidRPr="00F7404D" w:rsidP="00C81FDF" w14:paraId="35B682DC" w14:textId="77777777">
      <w:pPr>
        <w:ind w:left="4320" w:hanging="360"/>
        <w:rPr>
          <w:b/>
          <w:szCs w:val="24"/>
        </w:rPr>
      </w:pPr>
    </w:p>
    <w:p w:rsidR="00C81FDF" w:rsidRPr="00F7404D" w:rsidP="00C81FDF" w14:paraId="35C6F954" w14:textId="77777777">
      <w:pPr>
        <w:ind w:left="4320" w:hanging="360"/>
        <w:rPr>
          <w:b/>
          <w:szCs w:val="24"/>
        </w:rPr>
      </w:pPr>
      <w:r w:rsidRPr="00F7404D">
        <w:rPr>
          <w:b/>
          <w:szCs w:val="24"/>
        </w:rPr>
        <w:t>Office of the Ohio Consumers’ Counsel</w:t>
      </w:r>
    </w:p>
    <w:p w:rsidR="00C81FDF" w:rsidRPr="00F7404D" w:rsidP="00C81FDF" w14:paraId="2D57E954" w14:textId="77777777">
      <w:pPr>
        <w:tabs>
          <w:tab w:val="left" w:pos="4320"/>
        </w:tabs>
        <w:ind w:left="4320" w:hanging="360"/>
        <w:rPr>
          <w:szCs w:val="24"/>
        </w:rPr>
      </w:pPr>
      <w:r w:rsidRPr="00F7404D">
        <w:rPr>
          <w:szCs w:val="24"/>
        </w:rPr>
        <w:t>65 East State Street, Suite 700</w:t>
      </w:r>
    </w:p>
    <w:p w:rsidR="00C81FDF" w:rsidRPr="00F7404D" w:rsidP="00C81FDF" w14:paraId="209EFEE1" w14:textId="77777777">
      <w:pPr>
        <w:tabs>
          <w:tab w:val="left" w:pos="4320"/>
        </w:tabs>
        <w:ind w:left="4320" w:hanging="360"/>
        <w:rPr>
          <w:szCs w:val="24"/>
        </w:rPr>
      </w:pPr>
      <w:r w:rsidRPr="00F7404D">
        <w:rPr>
          <w:szCs w:val="24"/>
        </w:rPr>
        <w:t>Columbus, Ohio 43215-4213</w:t>
      </w:r>
    </w:p>
    <w:p w:rsidR="00C81FDF" w:rsidRPr="00F7404D" w:rsidP="00C81FDF" w14:paraId="0EA4BC88" w14:textId="77777777">
      <w:pPr>
        <w:tabs>
          <w:tab w:val="left" w:pos="4320"/>
        </w:tabs>
        <w:ind w:left="4320" w:hanging="360"/>
        <w:rPr>
          <w:szCs w:val="24"/>
        </w:rPr>
      </w:pPr>
      <w:r w:rsidRPr="00F7404D">
        <w:rPr>
          <w:szCs w:val="24"/>
        </w:rPr>
        <w:t>Telephone: (614) 466-1291 (Michael)</w:t>
      </w:r>
    </w:p>
    <w:p w:rsidR="00C81FDF" w:rsidRPr="00F7404D" w:rsidP="00C81FDF" w14:paraId="60E1691F" w14:textId="77777777">
      <w:pPr>
        <w:tabs>
          <w:tab w:val="left" w:pos="4320"/>
        </w:tabs>
        <w:ind w:left="4320" w:hanging="360"/>
        <w:rPr>
          <w:szCs w:val="24"/>
        </w:rPr>
      </w:pPr>
      <w:r w:rsidRPr="00F7404D">
        <w:rPr>
          <w:szCs w:val="24"/>
        </w:rPr>
        <w:t xml:space="preserve">Telephone: (614) 466-9531 (O’Brien) </w:t>
      </w:r>
    </w:p>
    <w:p w:rsidR="00C81FDF" w:rsidRPr="00F7404D" w:rsidP="00C81FDF" w14:paraId="428AC18C" w14:textId="77777777">
      <w:pPr>
        <w:tabs>
          <w:tab w:val="left" w:pos="4320"/>
        </w:tabs>
        <w:ind w:left="4320" w:hanging="360"/>
        <w:rPr>
          <w:szCs w:val="24"/>
        </w:rPr>
      </w:pPr>
      <w:r w:rsidRPr="00F7404D">
        <w:rPr>
          <w:szCs w:val="24"/>
        </w:rPr>
        <w:t xml:space="preserve">Telephone: (614) 466-1292 (Wilson) </w:t>
      </w:r>
    </w:p>
    <w:p w:rsidR="00C81FDF" w:rsidRPr="00F7404D" w:rsidP="00C81FDF" w14:paraId="602FF84A" w14:textId="77777777">
      <w:pPr>
        <w:ind w:left="4320" w:hanging="360"/>
        <w:rPr>
          <w:rStyle w:val="Hyperlink"/>
          <w:rFonts w:eastAsiaTheme="majorEastAsia"/>
          <w:szCs w:val="24"/>
        </w:rPr>
      </w:pPr>
      <w:hyperlink r:id="rId6" w:history="1">
        <w:r w:rsidRPr="00F7404D">
          <w:rPr>
            <w:rStyle w:val="Hyperlink"/>
            <w:rFonts w:eastAsiaTheme="majorEastAsia"/>
            <w:szCs w:val="24"/>
          </w:rPr>
          <w:t>william.michael@occ.ohio.gov</w:t>
        </w:r>
      </w:hyperlink>
    </w:p>
    <w:p w:rsidR="00C81FDF" w:rsidRPr="00F7404D" w:rsidP="00C81FDF" w14:paraId="2B552652" w14:textId="77777777">
      <w:pPr>
        <w:ind w:left="4320" w:hanging="360"/>
        <w:rPr>
          <w:rStyle w:val="Hyperlink"/>
          <w:rFonts w:eastAsiaTheme="majorEastAsia"/>
          <w:szCs w:val="24"/>
        </w:rPr>
      </w:pPr>
      <w:hyperlink r:id="rId7" w:history="1">
        <w:r w:rsidRPr="00F7404D">
          <w:rPr>
            <w:rStyle w:val="Hyperlink"/>
            <w:rFonts w:eastAsiaTheme="majorEastAsia"/>
            <w:szCs w:val="24"/>
          </w:rPr>
          <w:t>angela.obrien@occ.ohio.gov</w:t>
        </w:r>
      </w:hyperlink>
    </w:p>
    <w:p w:rsidR="00C81FDF" w:rsidRPr="00F7404D" w:rsidP="00C81FDF" w14:paraId="7CABDFCB" w14:textId="77777777">
      <w:pPr>
        <w:ind w:left="4320" w:hanging="360"/>
        <w:rPr>
          <w:rStyle w:val="Hyperlink"/>
          <w:rFonts w:eastAsiaTheme="majorEastAsia"/>
          <w:szCs w:val="24"/>
        </w:rPr>
      </w:pPr>
      <w:hyperlink r:id="rId8" w:history="1">
        <w:r w:rsidRPr="00F7404D">
          <w:rPr>
            <w:rStyle w:val="Hyperlink"/>
            <w:rFonts w:eastAsiaTheme="majorEastAsia"/>
            <w:szCs w:val="24"/>
          </w:rPr>
          <w:t>ambrosia.wilson@occ.ohio.gov</w:t>
        </w:r>
      </w:hyperlink>
    </w:p>
    <w:p w:rsidR="009C6DCD" w:rsidRPr="00F7404D" w:rsidP="00352210" w14:paraId="58A872BD" w14:textId="3F99B53B">
      <w:pPr>
        <w:tabs>
          <w:tab w:val="left" w:pos="3960"/>
        </w:tabs>
        <w:rPr>
          <w:szCs w:val="24"/>
        </w:rPr>
      </w:pPr>
      <w:r>
        <w:rPr>
          <w:szCs w:val="24"/>
        </w:rPr>
        <w:t>May 31, 2022</w:t>
      </w:r>
      <w:r w:rsidRPr="00F7404D" w:rsidR="000274E9">
        <w:rPr>
          <w:szCs w:val="24"/>
        </w:rPr>
        <w:tab/>
        <w:t>(willing to accept service by e-mail)</w:t>
      </w:r>
    </w:p>
    <w:p w:rsidR="009C6DCD" w:rsidRPr="00F7404D" w:rsidP="004D302D" w14:paraId="3BABAA53" w14:textId="77777777">
      <w:pPr>
        <w:pStyle w:val="HTMLPreformatted"/>
        <w:jc w:val="center"/>
        <w:rPr>
          <w:rFonts w:ascii="Times New Roman" w:hAnsi="Times New Roman" w:cs="Times New Roman"/>
          <w:b/>
          <w:bCs/>
          <w:sz w:val="24"/>
          <w:szCs w:val="24"/>
        </w:rPr>
      </w:pPr>
    </w:p>
    <w:p w:rsidR="009C6DCD" w:rsidRPr="00F7404D" w:rsidP="004D302D" w14:paraId="21ED10A7" w14:textId="77777777">
      <w:pPr>
        <w:pStyle w:val="HTMLPreformatted"/>
        <w:jc w:val="center"/>
        <w:rPr>
          <w:rFonts w:ascii="Times New Roman" w:hAnsi="Times New Roman" w:cs="Times New Roman"/>
          <w:b/>
          <w:bCs/>
          <w:sz w:val="24"/>
          <w:szCs w:val="24"/>
        </w:rPr>
      </w:pPr>
    </w:p>
    <w:p w:rsidR="009C6DCD" w:rsidRPr="00F7404D" w:rsidP="004D302D" w14:paraId="571EA8FB" w14:textId="43B2156F">
      <w:pPr>
        <w:pStyle w:val="HTMLPreformatted"/>
        <w:jc w:val="center"/>
        <w:rPr>
          <w:rFonts w:ascii="Times New Roman" w:hAnsi="Times New Roman" w:cs="Times New Roman"/>
          <w:b/>
          <w:bCs/>
          <w:sz w:val="24"/>
          <w:szCs w:val="24"/>
        </w:rPr>
        <w:sectPr w:rsidSect="00D1611D">
          <w:footerReference w:type="default" r:id="rId9"/>
          <w:pgSz w:w="12240" w:h="15840"/>
          <w:pgMar w:top="1440" w:right="1440" w:bottom="1440" w:left="1440" w:header="720" w:footer="720" w:gutter="0"/>
          <w:pgNumType w:start="2"/>
          <w:cols w:space="720"/>
          <w:docGrid w:linePitch="360"/>
        </w:sectPr>
      </w:pPr>
    </w:p>
    <w:p w:rsidR="009C6DCD" w:rsidRPr="00F7404D" w:rsidP="004D302D" w14:paraId="10F8855E" w14:textId="564250B4">
      <w:pPr>
        <w:pStyle w:val="HTMLPreformatted"/>
        <w:jc w:val="center"/>
        <w:rPr>
          <w:rFonts w:ascii="Times New Roman" w:hAnsi="Times New Roman" w:cs="Times New Roman"/>
          <w:b/>
          <w:bCs/>
          <w:sz w:val="24"/>
          <w:szCs w:val="24"/>
          <w:u w:val="single"/>
        </w:rPr>
      </w:pPr>
      <w:r w:rsidRPr="00F7404D">
        <w:rPr>
          <w:rFonts w:ascii="Times New Roman" w:hAnsi="Times New Roman" w:cs="Times New Roman"/>
          <w:b/>
          <w:bCs/>
          <w:sz w:val="24"/>
          <w:szCs w:val="24"/>
          <w:u w:val="single"/>
        </w:rPr>
        <w:t>TABLE OF CONTENTS</w:t>
      </w:r>
    </w:p>
    <w:p w:rsidR="009C6DCD" w:rsidRPr="00F7404D" w:rsidP="004D302D" w14:paraId="491F003A" w14:textId="45588E0E">
      <w:pPr>
        <w:pStyle w:val="HTMLPreformatted"/>
        <w:jc w:val="center"/>
        <w:rPr>
          <w:rFonts w:ascii="Times New Roman" w:hAnsi="Times New Roman" w:cs="Times New Roman"/>
          <w:b/>
          <w:bCs/>
          <w:sz w:val="24"/>
          <w:szCs w:val="24"/>
          <w:u w:val="single"/>
        </w:rPr>
      </w:pPr>
    </w:p>
    <w:p w:rsidR="009C6DCD" w:rsidRPr="00F7404D" w:rsidP="009C6DCD" w14:paraId="714E98E2" w14:textId="36800A7C">
      <w:pPr>
        <w:pStyle w:val="HTMLPreformatted"/>
        <w:jc w:val="right"/>
        <w:rPr>
          <w:rFonts w:ascii="Times New Roman" w:hAnsi="Times New Roman" w:cs="Times New Roman"/>
          <w:b/>
          <w:bCs/>
          <w:sz w:val="24"/>
          <w:szCs w:val="24"/>
        </w:rPr>
      </w:pPr>
      <w:r w:rsidRPr="00F7404D">
        <w:rPr>
          <w:rFonts w:ascii="Times New Roman" w:hAnsi="Times New Roman" w:cs="Times New Roman"/>
          <w:b/>
          <w:bCs/>
          <w:sz w:val="24"/>
          <w:szCs w:val="24"/>
        </w:rPr>
        <w:t>PAGE</w:t>
      </w:r>
    </w:p>
    <w:p w:rsidR="004A6DFB" w:rsidRPr="00F7404D" w:rsidP="009C6DCD" w14:paraId="691F159B" w14:textId="77777777">
      <w:pPr>
        <w:pStyle w:val="HTMLPreformatted"/>
        <w:jc w:val="right"/>
        <w:rPr>
          <w:rFonts w:ascii="Times New Roman" w:hAnsi="Times New Roman" w:cs="Times New Roman"/>
          <w:b/>
          <w:bCs/>
          <w:sz w:val="24"/>
          <w:szCs w:val="24"/>
        </w:rPr>
      </w:pPr>
    </w:p>
    <w:p w:rsidR="00C25086" w14:paraId="660AF242" w14:textId="188A9C2E">
      <w:pPr>
        <w:pStyle w:val="TOC1"/>
        <w:rPr>
          <w:rFonts w:asciiTheme="minorHAnsi" w:eastAsiaTheme="minorEastAsia" w:hAnsiTheme="minorHAnsi" w:cstheme="minorBidi"/>
          <w:caps w:val="0"/>
          <w:sz w:val="22"/>
          <w:szCs w:val="22"/>
        </w:rPr>
      </w:pPr>
      <w:r w:rsidRPr="00F7404D">
        <w:rPr>
          <w:b/>
          <w:bCs/>
          <w:szCs w:val="24"/>
        </w:rPr>
        <w:fldChar w:fldCharType="begin"/>
      </w:r>
      <w:r w:rsidRPr="00F7404D">
        <w:rPr>
          <w:b/>
          <w:bCs/>
          <w:szCs w:val="24"/>
        </w:rPr>
        <w:instrText xml:space="preserve"> TOC \o "1-3" \h \z \u </w:instrText>
      </w:r>
      <w:r w:rsidRPr="00F7404D">
        <w:rPr>
          <w:b/>
          <w:bCs/>
          <w:szCs w:val="24"/>
        </w:rPr>
        <w:fldChar w:fldCharType="separate"/>
      </w:r>
      <w:hyperlink w:anchor="_Toc104888138" w:history="1">
        <w:r w:rsidRPr="00522810">
          <w:rPr>
            <w:rStyle w:val="Hyperlink"/>
          </w:rPr>
          <w:t>I.</w:t>
        </w:r>
        <w:r>
          <w:rPr>
            <w:rFonts w:asciiTheme="minorHAnsi" w:eastAsiaTheme="minorEastAsia" w:hAnsiTheme="minorHAnsi" w:cstheme="minorBidi"/>
            <w:caps w:val="0"/>
            <w:sz w:val="22"/>
            <w:szCs w:val="22"/>
          </w:rPr>
          <w:tab/>
        </w:r>
        <w:r w:rsidRPr="00522810">
          <w:rPr>
            <w:rStyle w:val="Hyperlink"/>
          </w:rPr>
          <w:t>INTRODUCTION</w:t>
        </w:r>
        <w:r>
          <w:rPr>
            <w:webHidden/>
          </w:rPr>
          <w:tab/>
        </w:r>
        <w:r>
          <w:rPr>
            <w:webHidden/>
          </w:rPr>
          <w:fldChar w:fldCharType="begin"/>
        </w:r>
        <w:r>
          <w:rPr>
            <w:webHidden/>
          </w:rPr>
          <w:instrText xml:space="preserve"> PAGEREF _Toc104888138 \h </w:instrText>
        </w:r>
        <w:r>
          <w:rPr>
            <w:webHidden/>
          </w:rPr>
          <w:fldChar w:fldCharType="separate"/>
        </w:r>
        <w:r>
          <w:rPr>
            <w:webHidden/>
          </w:rPr>
          <w:t>1</w:t>
        </w:r>
        <w:r>
          <w:rPr>
            <w:webHidden/>
          </w:rPr>
          <w:fldChar w:fldCharType="end"/>
        </w:r>
      </w:hyperlink>
    </w:p>
    <w:p w:rsidR="00C25086" w14:paraId="4CFCB05B" w14:textId="2AF7CCAE">
      <w:pPr>
        <w:pStyle w:val="TOC1"/>
        <w:rPr>
          <w:rFonts w:asciiTheme="minorHAnsi" w:eastAsiaTheme="minorEastAsia" w:hAnsiTheme="minorHAnsi" w:cstheme="minorBidi"/>
          <w:caps w:val="0"/>
          <w:sz w:val="22"/>
          <w:szCs w:val="22"/>
        </w:rPr>
      </w:pPr>
      <w:hyperlink w:anchor="_Toc104888139" w:history="1">
        <w:r w:rsidRPr="00522810">
          <w:rPr>
            <w:rStyle w:val="Hyperlink"/>
          </w:rPr>
          <w:t>II.</w:t>
        </w:r>
        <w:r>
          <w:rPr>
            <w:rFonts w:asciiTheme="minorHAnsi" w:eastAsiaTheme="minorEastAsia" w:hAnsiTheme="minorHAnsi" w:cstheme="minorBidi"/>
            <w:caps w:val="0"/>
            <w:sz w:val="22"/>
            <w:szCs w:val="22"/>
          </w:rPr>
          <w:tab/>
        </w:r>
        <w:r w:rsidRPr="00522810">
          <w:rPr>
            <w:rStyle w:val="Hyperlink"/>
          </w:rPr>
          <w:t>ARGUMENT</w:t>
        </w:r>
        <w:r>
          <w:rPr>
            <w:webHidden/>
          </w:rPr>
          <w:tab/>
        </w:r>
        <w:r>
          <w:rPr>
            <w:webHidden/>
          </w:rPr>
          <w:fldChar w:fldCharType="begin"/>
        </w:r>
        <w:r>
          <w:rPr>
            <w:webHidden/>
          </w:rPr>
          <w:instrText xml:space="preserve"> PAGEREF _Toc104888139 \h </w:instrText>
        </w:r>
        <w:r>
          <w:rPr>
            <w:webHidden/>
          </w:rPr>
          <w:fldChar w:fldCharType="separate"/>
        </w:r>
        <w:r>
          <w:rPr>
            <w:webHidden/>
          </w:rPr>
          <w:t>2</w:t>
        </w:r>
        <w:r>
          <w:rPr>
            <w:webHidden/>
          </w:rPr>
          <w:fldChar w:fldCharType="end"/>
        </w:r>
      </w:hyperlink>
    </w:p>
    <w:p w:rsidR="00C25086" w14:paraId="15067FDB" w14:textId="441CE54A">
      <w:pPr>
        <w:pStyle w:val="TOC2"/>
        <w:tabs>
          <w:tab w:val="left" w:pos="1440"/>
        </w:tabs>
        <w:rPr>
          <w:rFonts w:asciiTheme="minorHAnsi" w:eastAsiaTheme="minorEastAsia" w:hAnsiTheme="minorHAnsi" w:cstheme="minorBidi"/>
          <w:noProof/>
          <w:sz w:val="22"/>
          <w:szCs w:val="22"/>
        </w:rPr>
      </w:pPr>
      <w:hyperlink w:anchor="_Toc104888140" w:history="1">
        <w:r w:rsidRPr="00522810">
          <w:rPr>
            <w:rStyle w:val="Hyperlink"/>
            <w:noProof/>
          </w:rPr>
          <w:t>A.</w:t>
        </w:r>
        <w:r>
          <w:rPr>
            <w:rFonts w:asciiTheme="minorHAnsi" w:eastAsiaTheme="minorEastAsia" w:hAnsiTheme="minorHAnsi" w:cstheme="minorBidi"/>
            <w:noProof/>
            <w:sz w:val="22"/>
            <w:szCs w:val="22"/>
          </w:rPr>
          <w:tab/>
        </w:r>
        <w:r w:rsidRPr="00522810">
          <w:rPr>
            <w:rStyle w:val="Hyperlink"/>
            <w:noProof/>
          </w:rPr>
          <w:t>The Settlement was the product of serious bargaining among capable and knowledgeable parties.</w:t>
        </w:r>
        <w:r>
          <w:rPr>
            <w:noProof/>
            <w:webHidden/>
          </w:rPr>
          <w:tab/>
        </w:r>
        <w:r>
          <w:rPr>
            <w:noProof/>
            <w:webHidden/>
          </w:rPr>
          <w:fldChar w:fldCharType="begin"/>
        </w:r>
        <w:r>
          <w:rPr>
            <w:noProof/>
            <w:webHidden/>
          </w:rPr>
          <w:instrText xml:space="preserve"> PAGEREF _Toc104888140 \h </w:instrText>
        </w:r>
        <w:r>
          <w:rPr>
            <w:noProof/>
            <w:webHidden/>
          </w:rPr>
          <w:fldChar w:fldCharType="separate"/>
        </w:r>
        <w:r>
          <w:rPr>
            <w:noProof/>
            <w:webHidden/>
          </w:rPr>
          <w:t>2</w:t>
        </w:r>
        <w:r>
          <w:rPr>
            <w:noProof/>
            <w:webHidden/>
          </w:rPr>
          <w:fldChar w:fldCharType="end"/>
        </w:r>
      </w:hyperlink>
    </w:p>
    <w:p w:rsidR="00C25086" w14:paraId="3563C482" w14:textId="7D432B58">
      <w:pPr>
        <w:pStyle w:val="TOC2"/>
        <w:tabs>
          <w:tab w:val="left" w:pos="1440"/>
        </w:tabs>
        <w:rPr>
          <w:rFonts w:asciiTheme="minorHAnsi" w:eastAsiaTheme="minorEastAsia" w:hAnsiTheme="minorHAnsi" w:cstheme="minorBidi"/>
          <w:noProof/>
          <w:sz w:val="22"/>
          <w:szCs w:val="22"/>
        </w:rPr>
      </w:pPr>
      <w:hyperlink w:anchor="_Toc104888141" w:history="1">
        <w:r w:rsidRPr="00522810">
          <w:rPr>
            <w:rStyle w:val="Hyperlink"/>
            <w:noProof/>
          </w:rPr>
          <w:t>B.</w:t>
        </w:r>
        <w:r>
          <w:rPr>
            <w:rFonts w:asciiTheme="minorHAnsi" w:eastAsiaTheme="minorEastAsia" w:hAnsiTheme="minorHAnsi" w:cstheme="minorBidi"/>
            <w:noProof/>
            <w:sz w:val="22"/>
            <w:szCs w:val="22"/>
          </w:rPr>
          <w:tab/>
        </w:r>
        <w:r w:rsidRPr="00522810">
          <w:rPr>
            <w:rStyle w:val="Hyperlink"/>
            <w:noProof/>
          </w:rPr>
          <w:t>The Settlement as a package benefits consumers and the public interest.</w:t>
        </w:r>
        <w:r>
          <w:rPr>
            <w:noProof/>
            <w:webHidden/>
          </w:rPr>
          <w:tab/>
        </w:r>
        <w:r>
          <w:rPr>
            <w:noProof/>
            <w:webHidden/>
          </w:rPr>
          <w:fldChar w:fldCharType="begin"/>
        </w:r>
        <w:r>
          <w:rPr>
            <w:noProof/>
            <w:webHidden/>
          </w:rPr>
          <w:instrText xml:space="preserve"> PAGEREF _Toc104888141 \h </w:instrText>
        </w:r>
        <w:r>
          <w:rPr>
            <w:noProof/>
            <w:webHidden/>
          </w:rPr>
          <w:fldChar w:fldCharType="separate"/>
        </w:r>
        <w:r>
          <w:rPr>
            <w:noProof/>
            <w:webHidden/>
          </w:rPr>
          <w:t>6</w:t>
        </w:r>
        <w:r>
          <w:rPr>
            <w:noProof/>
            <w:webHidden/>
          </w:rPr>
          <w:fldChar w:fldCharType="end"/>
        </w:r>
      </w:hyperlink>
    </w:p>
    <w:p w:rsidR="00C25086" w14:paraId="4F7681CC" w14:textId="1F62E1F3">
      <w:pPr>
        <w:pStyle w:val="TOC2"/>
        <w:tabs>
          <w:tab w:val="left" w:pos="1440"/>
        </w:tabs>
        <w:rPr>
          <w:rFonts w:asciiTheme="minorHAnsi" w:eastAsiaTheme="minorEastAsia" w:hAnsiTheme="minorHAnsi" w:cstheme="minorBidi"/>
          <w:noProof/>
          <w:sz w:val="22"/>
          <w:szCs w:val="22"/>
        </w:rPr>
      </w:pPr>
      <w:hyperlink w:anchor="_Toc104888142" w:history="1">
        <w:r w:rsidRPr="00522810">
          <w:rPr>
            <w:rStyle w:val="Hyperlink"/>
            <w:noProof/>
          </w:rPr>
          <w:t>C.</w:t>
        </w:r>
        <w:r>
          <w:rPr>
            <w:rFonts w:asciiTheme="minorHAnsi" w:eastAsiaTheme="minorEastAsia" w:hAnsiTheme="minorHAnsi" w:cstheme="minorBidi"/>
            <w:noProof/>
            <w:sz w:val="22"/>
            <w:szCs w:val="22"/>
          </w:rPr>
          <w:tab/>
        </w:r>
        <w:r w:rsidRPr="00522810">
          <w:rPr>
            <w:rStyle w:val="Hyperlink"/>
            <w:noProof/>
          </w:rPr>
          <w:t>The Settlement does not violate important regulatory principles and practices.</w:t>
        </w:r>
        <w:r>
          <w:rPr>
            <w:noProof/>
            <w:webHidden/>
          </w:rPr>
          <w:tab/>
        </w:r>
        <w:r>
          <w:rPr>
            <w:noProof/>
            <w:webHidden/>
          </w:rPr>
          <w:fldChar w:fldCharType="begin"/>
        </w:r>
        <w:r>
          <w:rPr>
            <w:noProof/>
            <w:webHidden/>
          </w:rPr>
          <w:instrText xml:space="preserve"> PAGEREF _Toc104888142 \h </w:instrText>
        </w:r>
        <w:r>
          <w:rPr>
            <w:noProof/>
            <w:webHidden/>
          </w:rPr>
          <w:fldChar w:fldCharType="separate"/>
        </w:r>
        <w:r>
          <w:rPr>
            <w:noProof/>
            <w:webHidden/>
          </w:rPr>
          <w:t>12</w:t>
        </w:r>
        <w:r>
          <w:rPr>
            <w:noProof/>
            <w:webHidden/>
          </w:rPr>
          <w:fldChar w:fldCharType="end"/>
        </w:r>
      </w:hyperlink>
    </w:p>
    <w:p w:rsidR="00C25086" w14:paraId="105E4F65" w14:textId="2F4C2D87">
      <w:pPr>
        <w:pStyle w:val="TOC2"/>
        <w:tabs>
          <w:tab w:val="left" w:pos="1440"/>
        </w:tabs>
        <w:rPr>
          <w:rFonts w:asciiTheme="minorHAnsi" w:eastAsiaTheme="minorEastAsia" w:hAnsiTheme="minorHAnsi" w:cstheme="minorBidi"/>
          <w:noProof/>
          <w:sz w:val="22"/>
          <w:szCs w:val="22"/>
        </w:rPr>
      </w:pPr>
      <w:hyperlink w:anchor="_Toc104888143" w:history="1">
        <w:r w:rsidRPr="00522810">
          <w:rPr>
            <w:rStyle w:val="Hyperlink"/>
            <w:noProof/>
          </w:rPr>
          <w:t>D.</w:t>
        </w:r>
        <w:r>
          <w:rPr>
            <w:rFonts w:asciiTheme="minorHAnsi" w:eastAsiaTheme="minorEastAsia" w:hAnsiTheme="minorHAnsi" w:cstheme="minorBidi"/>
            <w:noProof/>
            <w:sz w:val="22"/>
            <w:szCs w:val="22"/>
          </w:rPr>
          <w:tab/>
        </w:r>
        <w:r w:rsidRPr="00522810">
          <w:rPr>
            <w:rStyle w:val="Hyperlink"/>
            <w:noProof/>
          </w:rPr>
          <w:t>The PUCO correctly affirmed the Attorney Examiners’ procedural ruling limiting the Marketers’ intervention.</w:t>
        </w:r>
        <w:r>
          <w:rPr>
            <w:noProof/>
            <w:webHidden/>
          </w:rPr>
          <w:tab/>
        </w:r>
        <w:r>
          <w:rPr>
            <w:noProof/>
            <w:webHidden/>
          </w:rPr>
          <w:fldChar w:fldCharType="begin"/>
        </w:r>
        <w:r>
          <w:rPr>
            <w:noProof/>
            <w:webHidden/>
          </w:rPr>
          <w:instrText xml:space="preserve"> PAGEREF _Toc104888143 \h </w:instrText>
        </w:r>
        <w:r>
          <w:rPr>
            <w:noProof/>
            <w:webHidden/>
          </w:rPr>
          <w:fldChar w:fldCharType="separate"/>
        </w:r>
        <w:r>
          <w:rPr>
            <w:noProof/>
            <w:webHidden/>
          </w:rPr>
          <w:t>14</w:t>
        </w:r>
        <w:r>
          <w:rPr>
            <w:noProof/>
            <w:webHidden/>
          </w:rPr>
          <w:fldChar w:fldCharType="end"/>
        </w:r>
      </w:hyperlink>
    </w:p>
    <w:p w:rsidR="00C25086" w14:paraId="0D1898D5" w14:textId="6274F5B3">
      <w:pPr>
        <w:pStyle w:val="TOC1"/>
        <w:rPr>
          <w:rFonts w:asciiTheme="minorHAnsi" w:eastAsiaTheme="minorEastAsia" w:hAnsiTheme="minorHAnsi" w:cstheme="minorBidi"/>
          <w:caps w:val="0"/>
          <w:sz w:val="22"/>
          <w:szCs w:val="22"/>
        </w:rPr>
      </w:pPr>
      <w:hyperlink w:anchor="_Toc104888144" w:history="1">
        <w:r w:rsidRPr="00522810">
          <w:rPr>
            <w:rStyle w:val="Hyperlink"/>
          </w:rPr>
          <w:t>III.</w:t>
        </w:r>
        <w:r>
          <w:rPr>
            <w:rFonts w:asciiTheme="minorHAnsi" w:eastAsiaTheme="minorEastAsia" w:hAnsiTheme="minorHAnsi" w:cstheme="minorBidi"/>
            <w:caps w:val="0"/>
            <w:sz w:val="22"/>
            <w:szCs w:val="22"/>
          </w:rPr>
          <w:tab/>
        </w:r>
        <w:r w:rsidRPr="00522810">
          <w:rPr>
            <w:rStyle w:val="Hyperlink"/>
          </w:rPr>
          <w:t>CONCLUSION</w:t>
        </w:r>
        <w:r>
          <w:rPr>
            <w:webHidden/>
          </w:rPr>
          <w:tab/>
        </w:r>
        <w:r>
          <w:rPr>
            <w:webHidden/>
          </w:rPr>
          <w:fldChar w:fldCharType="begin"/>
        </w:r>
        <w:r>
          <w:rPr>
            <w:webHidden/>
          </w:rPr>
          <w:instrText xml:space="preserve"> PAGEREF _Toc104888144 \h </w:instrText>
        </w:r>
        <w:r>
          <w:rPr>
            <w:webHidden/>
          </w:rPr>
          <w:fldChar w:fldCharType="separate"/>
        </w:r>
        <w:r>
          <w:rPr>
            <w:webHidden/>
          </w:rPr>
          <w:t>16</w:t>
        </w:r>
        <w:r>
          <w:rPr>
            <w:webHidden/>
          </w:rPr>
          <w:fldChar w:fldCharType="end"/>
        </w:r>
      </w:hyperlink>
    </w:p>
    <w:p w:rsidR="009C6DCD" w:rsidRPr="00F7404D" w:rsidP="004D302D" w14:paraId="77F5A78D" w14:textId="03ABCD45">
      <w:pPr>
        <w:pStyle w:val="HTMLPreformatted"/>
        <w:jc w:val="center"/>
        <w:rPr>
          <w:rFonts w:ascii="Times New Roman" w:hAnsi="Times New Roman" w:cs="Times New Roman"/>
          <w:b/>
          <w:bCs/>
          <w:sz w:val="24"/>
          <w:szCs w:val="24"/>
        </w:rPr>
      </w:pPr>
      <w:r w:rsidRPr="00F7404D">
        <w:rPr>
          <w:rFonts w:ascii="Times New Roman" w:hAnsi="Times New Roman" w:cs="Times New Roman"/>
          <w:b/>
          <w:bCs/>
          <w:sz w:val="24"/>
          <w:szCs w:val="24"/>
        </w:rPr>
        <w:fldChar w:fldCharType="end"/>
      </w:r>
    </w:p>
    <w:p w:rsidR="009C6DCD" w:rsidRPr="00F7404D" w:rsidP="004D302D" w14:paraId="2BEF611C" w14:textId="29212783">
      <w:pPr>
        <w:pStyle w:val="HTMLPreformatted"/>
        <w:jc w:val="center"/>
        <w:rPr>
          <w:rFonts w:ascii="Times New Roman" w:hAnsi="Times New Roman" w:cs="Times New Roman"/>
          <w:b/>
          <w:bCs/>
          <w:sz w:val="24"/>
          <w:szCs w:val="24"/>
        </w:rPr>
        <w:sectPr w:rsidSect="009C6DCD">
          <w:footerReference w:type="default" r:id="rId10"/>
          <w:pgSz w:w="12240" w:h="15840"/>
          <w:pgMar w:top="1440" w:right="1440" w:bottom="1440" w:left="1440" w:header="720" w:footer="720" w:gutter="0"/>
          <w:pgNumType w:fmt="lowerRoman" w:start="1"/>
          <w:cols w:space="720"/>
          <w:docGrid w:linePitch="360"/>
        </w:sectPr>
      </w:pPr>
    </w:p>
    <w:p w:rsidR="004D302D" w:rsidRPr="00F7404D" w:rsidP="004D302D" w14:paraId="4E8062B9" w14:textId="1EA49B88">
      <w:pPr>
        <w:pStyle w:val="HTMLPreformatted"/>
        <w:jc w:val="center"/>
        <w:rPr>
          <w:rFonts w:ascii="Times New Roman" w:hAnsi="Times New Roman" w:cs="Times New Roman"/>
          <w:b/>
          <w:bCs/>
          <w:sz w:val="24"/>
          <w:szCs w:val="24"/>
        </w:rPr>
      </w:pPr>
      <w:r w:rsidRPr="00F7404D">
        <w:rPr>
          <w:rFonts w:ascii="Times New Roman" w:hAnsi="Times New Roman" w:cs="Times New Roman"/>
          <w:b/>
          <w:bCs/>
          <w:sz w:val="24"/>
          <w:szCs w:val="24"/>
        </w:rPr>
        <w:t>BEFORE</w:t>
      </w:r>
    </w:p>
    <w:p w:rsidR="004D302D" w:rsidRPr="00F7404D" w:rsidP="004D302D" w14:paraId="2E582242" w14:textId="77777777">
      <w:pPr>
        <w:pStyle w:val="HTMLPreformatted"/>
        <w:jc w:val="center"/>
        <w:rPr>
          <w:rFonts w:ascii="Times New Roman" w:hAnsi="Times New Roman" w:cs="Times New Roman"/>
          <w:sz w:val="24"/>
          <w:szCs w:val="24"/>
        </w:rPr>
      </w:pPr>
      <w:r w:rsidRPr="00F7404D">
        <w:rPr>
          <w:rFonts w:ascii="Times New Roman" w:hAnsi="Times New Roman" w:cs="Times New Roman"/>
          <w:b/>
          <w:bCs/>
          <w:sz w:val="24"/>
          <w:szCs w:val="24"/>
        </w:rPr>
        <w:t>THE PUBLIC UTILITIES COMMISSION OF OHIO</w:t>
      </w:r>
    </w:p>
    <w:p w:rsidR="004D302D" w:rsidRPr="00F7404D" w:rsidP="004D302D" w14:paraId="062709A8" w14:textId="77777777">
      <w:pPr>
        <w:pStyle w:val="HTMLPreformatted"/>
        <w:rPr>
          <w:rFonts w:ascii="Times New Roman" w:hAnsi="Times New Roman" w:cs="Times New Roman"/>
          <w:sz w:val="24"/>
          <w:szCs w:val="24"/>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4585"/>
        <w:gridCol w:w="540"/>
        <w:gridCol w:w="4235"/>
      </w:tblGrid>
      <w:tr w14:paraId="0A0B28F4" w14:textId="77777777" w:rsidTr="00753DBF">
        <w:tblPrEx>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Ex>
        <w:tc>
          <w:tcPr>
            <w:tcW w:w="4585" w:type="dxa"/>
          </w:tcPr>
          <w:p w:rsidR="00F7182D" w:rsidRPr="00283E3B" w:rsidP="00753DBF" w14:paraId="036EB5C3" w14:textId="77777777">
            <w:r w:rsidRPr="00283E3B">
              <w:t>In the Matters of the Applications of Duke Energy Ohio, Inc., for Adjustments to Rider MGP Rates.</w:t>
            </w:r>
          </w:p>
          <w:p w:rsidR="00F7182D" w:rsidP="00753DBF" w14:paraId="493FBC87" w14:textId="77777777">
            <w:pPr>
              <w:rPr>
                <w:b/>
                <w:bCs/>
              </w:rPr>
            </w:pPr>
          </w:p>
        </w:tc>
        <w:tc>
          <w:tcPr>
            <w:tcW w:w="540" w:type="dxa"/>
          </w:tcPr>
          <w:p w:rsidR="00F7182D" w:rsidP="00753DBF" w14:paraId="2D3053D9" w14:textId="77777777">
            <w:pPr>
              <w:jc w:val="center"/>
            </w:pPr>
            <w:r w:rsidRPr="00283E3B">
              <w:t>)</w:t>
            </w:r>
          </w:p>
          <w:p w:rsidR="00F7182D" w:rsidP="00753DBF" w14:paraId="320D6647" w14:textId="77777777">
            <w:pPr>
              <w:jc w:val="center"/>
            </w:pPr>
            <w:r>
              <w:t>)</w:t>
            </w:r>
          </w:p>
          <w:p w:rsidR="00F7182D" w:rsidP="00753DBF" w14:paraId="47197F58" w14:textId="77777777">
            <w:pPr>
              <w:jc w:val="center"/>
            </w:pPr>
            <w:r>
              <w:t>)</w:t>
            </w:r>
          </w:p>
          <w:p w:rsidR="00F7182D" w:rsidP="00753DBF" w14:paraId="38372CBC" w14:textId="77777777">
            <w:pPr>
              <w:jc w:val="center"/>
            </w:pPr>
            <w:r>
              <w:t>)</w:t>
            </w:r>
          </w:p>
          <w:p w:rsidR="00F7182D" w:rsidP="00753DBF" w14:paraId="37BBF300" w14:textId="77777777">
            <w:pPr>
              <w:jc w:val="center"/>
            </w:pPr>
            <w:r>
              <w:t>)</w:t>
            </w:r>
          </w:p>
          <w:p w:rsidR="00F7182D" w:rsidP="00753DBF" w14:paraId="40662483" w14:textId="77777777">
            <w:pPr>
              <w:jc w:val="center"/>
            </w:pPr>
            <w:r>
              <w:t>)</w:t>
            </w:r>
          </w:p>
          <w:p w:rsidR="00F7182D" w:rsidRPr="00283E3B" w:rsidP="00753DBF" w14:paraId="29938371" w14:textId="77777777">
            <w:pPr>
              <w:jc w:val="center"/>
            </w:pPr>
            <w:r>
              <w:t>)</w:t>
            </w:r>
          </w:p>
        </w:tc>
        <w:tc>
          <w:tcPr>
            <w:tcW w:w="4235" w:type="dxa"/>
          </w:tcPr>
          <w:p w:rsidR="00F7182D" w:rsidP="00753DBF" w14:paraId="1B265554" w14:textId="77777777">
            <w:r w:rsidRPr="00283E3B">
              <w:t>Case No.</w:t>
            </w:r>
            <w:r>
              <w:t xml:space="preserve"> </w:t>
            </w:r>
            <w:r w:rsidRPr="00283E3B">
              <w:t xml:space="preserve">14-375-GA-RDR </w:t>
            </w:r>
          </w:p>
          <w:p w:rsidR="00F7182D" w:rsidP="00753DBF" w14:paraId="28A431BD" w14:textId="77777777">
            <w:r w:rsidRPr="00283E3B">
              <w:t>Case No.</w:t>
            </w:r>
            <w:r>
              <w:t xml:space="preserve"> </w:t>
            </w:r>
            <w:r w:rsidRPr="00283E3B">
              <w:t xml:space="preserve">15-452-GA-RDR </w:t>
            </w:r>
          </w:p>
          <w:p w:rsidR="00F7182D" w:rsidP="00753DBF" w14:paraId="3E14D84E" w14:textId="77777777">
            <w:r w:rsidRPr="00283E3B">
              <w:t>Case No.</w:t>
            </w:r>
            <w:r>
              <w:t xml:space="preserve"> </w:t>
            </w:r>
            <w:r w:rsidRPr="00283E3B">
              <w:t xml:space="preserve">16-542-GA-RDR </w:t>
            </w:r>
          </w:p>
          <w:p w:rsidR="00F7182D" w:rsidP="00753DBF" w14:paraId="40BB0E77" w14:textId="77777777">
            <w:r w:rsidRPr="00283E3B">
              <w:t>Case No.</w:t>
            </w:r>
            <w:r>
              <w:t xml:space="preserve"> </w:t>
            </w:r>
            <w:r w:rsidRPr="00283E3B">
              <w:t xml:space="preserve">17-596-GA-RDR </w:t>
            </w:r>
          </w:p>
          <w:p w:rsidR="00F7182D" w:rsidP="00753DBF" w14:paraId="6326B4CF" w14:textId="77777777">
            <w:r w:rsidRPr="00283E3B">
              <w:t>Case No.</w:t>
            </w:r>
            <w:r>
              <w:t xml:space="preserve"> </w:t>
            </w:r>
            <w:r w:rsidRPr="00283E3B">
              <w:t xml:space="preserve">18-283-GA-RDR </w:t>
            </w:r>
          </w:p>
          <w:p w:rsidR="00F7182D" w:rsidP="00753DBF" w14:paraId="5EF35146" w14:textId="77777777">
            <w:r w:rsidRPr="00283E3B">
              <w:t>Case No.</w:t>
            </w:r>
            <w:r>
              <w:t xml:space="preserve"> </w:t>
            </w:r>
            <w:r w:rsidRPr="00283E3B">
              <w:t xml:space="preserve">19-174-GA-RDR </w:t>
            </w:r>
          </w:p>
          <w:p w:rsidR="00F7182D" w:rsidRPr="00283E3B" w:rsidP="00753DBF" w14:paraId="3781CFBC" w14:textId="77777777">
            <w:r w:rsidRPr="00283E3B">
              <w:t>Case No.</w:t>
            </w:r>
            <w:r>
              <w:t xml:space="preserve"> </w:t>
            </w:r>
            <w:r w:rsidRPr="00283E3B">
              <w:t>20-53-GA-RDR</w:t>
            </w:r>
          </w:p>
        </w:tc>
      </w:tr>
      <w:tr w14:paraId="3DA55192" w14:textId="77777777" w:rsidTr="00753DBF">
        <w:tblPrEx>
          <w:tblW w:w="0" w:type="auto"/>
          <w:tblLook w:val="04A0"/>
        </w:tblPrEx>
        <w:tc>
          <w:tcPr>
            <w:tcW w:w="4585" w:type="dxa"/>
          </w:tcPr>
          <w:p w:rsidR="00F7182D" w:rsidP="00753DBF" w14:paraId="692EE152" w14:textId="77777777">
            <w:pPr>
              <w:rPr>
                <w:b/>
                <w:bCs/>
              </w:rPr>
            </w:pPr>
          </w:p>
        </w:tc>
        <w:tc>
          <w:tcPr>
            <w:tcW w:w="540" w:type="dxa"/>
          </w:tcPr>
          <w:p w:rsidR="00F7182D" w:rsidP="00753DBF" w14:paraId="4686E7F9" w14:textId="77777777">
            <w:pPr>
              <w:jc w:val="center"/>
              <w:rPr>
                <w:b/>
                <w:bCs/>
              </w:rPr>
            </w:pPr>
          </w:p>
        </w:tc>
        <w:tc>
          <w:tcPr>
            <w:tcW w:w="4235" w:type="dxa"/>
          </w:tcPr>
          <w:p w:rsidR="00F7182D" w:rsidP="00753DBF" w14:paraId="407E057D" w14:textId="77777777">
            <w:pPr>
              <w:rPr>
                <w:b/>
                <w:bCs/>
              </w:rPr>
            </w:pPr>
          </w:p>
        </w:tc>
      </w:tr>
      <w:tr w14:paraId="08170196" w14:textId="77777777" w:rsidTr="00753DBF">
        <w:tblPrEx>
          <w:tblW w:w="0" w:type="auto"/>
          <w:tblLook w:val="04A0"/>
        </w:tblPrEx>
        <w:tc>
          <w:tcPr>
            <w:tcW w:w="4585" w:type="dxa"/>
          </w:tcPr>
          <w:p w:rsidR="00F7182D" w:rsidRPr="00283E3B" w:rsidP="00753DBF" w14:paraId="0A371A9F" w14:textId="77777777">
            <w:r w:rsidRPr="00283E3B">
              <w:t>In the Matters of the Applications of Duke Energy Ohio, Inc. for Tariff Approval.</w:t>
            </w:r>
          </w:p>
        </w:tc>
        <w:tc>
          <w:tcPr>
            <w:tcW w:w="540" w:type="dxa"/>
          </w:tcPr>
          <w:p w:rsidR="00F7182D" w:rsidP="00753DBF" w14:paraId="7F04EB4C" w14:textId="77777777">
            <w:pPr>
              <w:jc w:val="center"/>
            </w:pPr>
            <w:r w:rsidRPr="00283E3B">
              <w:t>)</w:t>
            </w:r>
          </w:p>
          <w:p w:rsidR="00F7182D" w:rsidP="00753DBF" w14:paraId="7AC3C2E2" w14:textId="77777777">
            <w:pPr>
              <w:jc w:val="center"/>
            </w:pPr>
            <w:r>
              <w:t>)</w:t>
            </w:r>
          </w:p>
          <w:p w:rsidR="00F7182D" w:rsidP="00753DBF" w14:paraId="4318571B" w14:textId="77777777">
            <w:pPr>
              <w:jc w:val="center"/>
            </w:pPr>
            <w:r>
              <w:t>)</w:t>
            </w:r>
          </w:p>
          <w:p w:rsidR="00F7182D" w:rsidP="00753DBF" w14:paraId="17D27C28" w14:textId="77777777">
            <w:pPr>
              <w:jc w:val="center"/>
            </w:pPr>
            <w:r>
              <w:t>)</w:t>
            </w:r>
          </w:p>
          <w:p w:rsidR="00F7182D" w:rsidP="00753DBF" w14:paraId="00F1B9BE" w14:textId="77777777">
            <w:pPr>
              <w:jc w:val="center"/>
            </w:pPr>
            <w:r>
              <w:t>)</w:t>
            </w:r>
          </w:p>
          <w:p w:rsidR="00F7182D" w:rsidP="00753DBF" w14:paraId="546F4BC5" w14:textId="77777777">
            <w:pPr>
              <w:jc w:val="center"/>
            </w:pPr>
            <w:r>
              <w:t>)</w:t>
            </w:r>
          </w:p>
          <w:p w:rsidR="00F7182D" w:rsidP="00753DBF" w14:paraId="4CBAA2AD" w14:textId="77777777">
            <w:pPr>
              <w:jc w:val="center"/>
            </w:pPr>
            <w:r>
              <w:t>)</w:t>
            </w:r>
          </w:p>
          <w:p w:rsidR="00F7182D" w:rsidRPr="00283E3B" w:rsidP="00753DBF" w14:paraId="2EFFB18C" w14:textId="77777777">
            <w:pPr>
              <w:jc w:val="center"/>
            </w:pPr>
            <w:r>
              <w:t>)</w:t>
            </w:r>
          </w:p>
        </w:tc>
        <w:tc>
          <w:tcPr>
            <w:tcW w:w="4235" w:type="dxa"/>
          </w:tcPr>
          <w:p w:rsidR="00F7182D" w:rsidP="00753DBF" w14:paraId="224B1483" w14:textId="77777777">
            <w:r w:rsidRPr="00283E3B">
              <w:t>Case No.</w:t>
            </w:r>
            <w:r>
              <w:t xml:space="preserve"> </w:t>
            </w:r>
            <w:r w:rsidRPr="00283E3B">
              <w:t xml:space="preserve">14-376-GA-ATA </w:t>
            </w:r>
          </w:p>
          <w:p w:rsidR="00F7182D" w:rsidP="00753DBF" w14:paraId="355EB876" w14:textId="77777777">
            <w:r w:rsidRPr="00283E3B">
              <w:t>Case No.</w:t>
            </w:r>
            <w:r>
              <w:t xml:space="preserve"> </w:t>
            </w:r>
            <w:r w:rsidRPr="00283E3B">
              <w:t xml:space="preserve">15-453-GA-ATA </w:t>
            </w:r>
          </w:p>
          <w:p w:rsidR="00F7182D" w:rsidP="00753DBF" w14:paraId="0DD75CAA" w14:textId="77777777">
            <w:r w:rsidRPr="00283E3B">
              <w:t>Case No.</w:t>
            </w:r>
            <w:r>
              <w:t xml:space="preserve"> </w:t>
            </w:r>
            <w:r w:rsidRPr="00283E3B">
              <w:t xml:space="preserve">16-543-GA-ATA </w:t>
            </w:r>
          </w:p>
          <w:p w:rsidR="00F7182D" w:rsidP="00753DBF" w14:paraId="1A0A9869" w14:textId="77777777">
            <w:r w:rsidRPr="00283E3B">
              <w:t>Case No.</w:t>
            </w:r>
            <w:r>
              <w:t xml:space="preserve"> </w:t>
            </w:r>
            <w:r w:rsidRPr="00283E3B">
              <w:t>17-597-GA-ATA</w:t>
            </w:r>
          </w:p>
          <w:p w:rsidR="00F7182D" w:rsidP="00753DBF" w14:paraId="2385C5E5" w14:textId="77777777">
            <w:r w:rsidRPr="00283E3B">
              <w:t>Case No.</w:t>
            </w:r>
            <w:r>
              <w:t xml:space="preserve"> </w:t>
            </w:r>
            <w:r w:rsidRPr="00283E3B">
              <w:t xml:space="preserve">18-284-GA-ATA </w:t>
            </w:r>
          </w:p>
          <w:p w:rsidR="00F7182D" w:rsidP="00753DBF" w14:paraId="5E059C2F" w14:textId="77777777">
            <w:r w:rsidRPr="00283E3B">
              <w:t>Case No.</w:t>
            </w:r>
            <w:r>
              <w:t xml:space="preserve"> </w:t>
            </w:r>
            <w:r w:rsidRPr="00283E3B">
              <w:t xml:space="preserve">19-175-GA-ATA </w:t>
            </w:r>
          </w:p>
          <w:p w:rsidR="00F7182D" w:rsidP="00753DBF" w14:paraId="1845A78B" w14:textId="77777777">
            <w:r w:rsidRPr="00283E3B">
              <w:t>Case No.</w:t>
            </w:r>
            <w:r>
              <w:t xml:space="preserve"> </w:t>
            </w:r>
            <w:r w:rsidRPr="00283E3B">
              <w:t>19-1086-GA-</w:t>
            </w:r>
            <w:r>
              <w:t>UNC</w:t>
            </w:r>
            <w:r w:rsidRPr="00283E3B">
              <w:t xml:space="preserve"> </w:t>
            </w:r>
          </w:p>
          <w:p w:rsidR="00F7182D" w:rsidRPr="00283E3B" w:rsidP="00753DBF" w14:paraId="43394BA0" w14:textId="77777777">
            <w:r w:rsidRPr="00283E3B">
              <w:t>Case No.</w:t>
            </w:r>
            <w:r>
              <w:t xml:space="preserve"> </w:t>
            </w:r>
            <w:r w:rsidRPr="00283E3B">
              <w:t>20-54-GA-ATA</w:t>
            </w:r>
          </w:p>
        </w:tc>
      </w:tr>
      <w:tr w14:paraId="046BDD9E" w14:textId="77777777" w:rsidTr="00753DBF">
        <w:tblPrEx>
          <w:tblW w:w="0" w:type="auto"/>
          <w:tblLook w:val="04A0"/>
        </w:tblPrEx>
        <w:tc>
          <w:tcPr>
            <w:tcW w:w="4585" w:type="dxa"/>
          </w:tcPr>
          <w:p w:rsidR="00F7182D" w:rsidP="00753DBF" w14:paraId="75A47D67" w14:textId="77777777">
            <w:pPr>
              <w:rPr>
                <w:b/>
                <w:bCs/>
              </w:rPr>
            </w:pPr>
          </w:p>
        </w:tc>
        <w:tc>
          <w:tcPr>
            <w:tcW w:w="540" w:type="dxa"/>
          </w:tcPr>
          <w:p w:rsidR="00F7182D" w:rsidP="00753DBF" w14:paraId="426BD52C" w14:textId="77777777">
            <w:pPr>
              <w:jc w:val="center"/>
              <w:rPr>
                <w:b/>
                <w:bCs/>
              </w:rPr>
            </w:pPr>
          </w:p>
        </w:tc>
        <w:tc>
          <w:tcPr>
            <w:tcW w:w="4235" w:type="dxa"/>
          </w:tcPr>
          <w:p w:rsidR="00F7182D" w:rsidP="00753DBF" w14:paraId="3DDDE375" w14:textId="77777777">
            <w:pPr>
              <w:rPr>
                <w:b/>
                <w:bCs/>
              </w:rPr>
            </w:pPr>
          </w:p>
        </w:tc>
      </w:tr>
      <w:tr w14:paraId="2D498AA5" w14:textId="77777777" w:rsidTr="00753DBF">
        <w:tblPrEx>
          <w:tblW w:w="0" w:type="auto"/>
          <w:tblLook w:val="04A0"/>
        </w:tblPrEx>
        <w:tc>
          <w:tcPr>
            <w:tcW w:w="4585" w:type="dxa"/>
          </w:tcPr>
          <w:p w:rsidR="00F7182D" w:rsidRPr="00283E3B" w:rsidP="00753DBF" w14:paraId="3921AF45" w14:textId="77777777">
            <w:r w:rsidRPr="00283E3B">
              <w:t>In the Matter of the Application of Duke Energy Ohio, Inc., for Implementation of the Tax Cuts and Jobs Act of 2017.</w:t>
            </w:r>
          </w:p>
        </w:tc>
        <w:tc>
          <w:tcPr>
            <w:tcW w:w="540" w:type="dxa"/>
          </w:tcPr>
          <w:p w:rsidR="00F7182D" w:rsidRPr="00283E3B" w:rsidP="00753DBF" w14:paraId="5C4DBEBC" w14:textId="77777777">
            <w:pPr>
              <w:jc w:val="center"/>
            </w:pPr>
            <w:r w:rsidRPr="00283E3B">
              <w:t>)</w:t>
            </w:r>
          </w:p>
          <w:p w:rsidR="00F7182D" w:rsidRPr="00283E3B" w:rsidP="00753DBF" w14:paraId="2D9B15E1" w14:textId="77777777">
            <w:pPr>
              <w:jc w:val="center"/>
            </w:pPr>
            <w:r w:rsidRPr="00283E3B">
              <w:t>)</w:t>
            </w:r>
          </w:p>
          <w:p w:rsidR="00F7182D" w:rsidP="00753DBF" w14:paraId="31A31B93" w14:textId="77777777">
            <w:pPr>
              <w:jc w:val="center"/>
              <w:rPr>
                <w:b/>
                <w:bCs/>
              </w:rPr>
            </w:pPr>
            <w:r w:rsidRPr="00283E3B">
              <w:t>)</w:t>
            </w:r>
          </w:p>
        </w:tc>
        <w:tc>
          <w:tcPr>
            <w:tcW w:w="4235" w:type="dxa"/>
          </w:tcPr>
          <w:p w:rsidR="00F7182D" w:rsidRPr="00283E3B" w:rsidP="00753DBF" w14:paraId="5965B124" w14:textId="77777777">
            <w:r w:rsidRPr="00283E3B">
              <w:t>Case No.</w:t>
            </w:r>
            <w:r>
              <w:t xml:space="preserve"> </w:t>
            </w:r>
            <w:r w:rsidRPr="00283E3B">
              <w:t>18-1830-GA-UNC</w:t>
            </w:r>
          </w:p>
        </w:tc>
      </w:tr>
      <w:tr w14:paraId="3ADCC948" w14:textId="77777777" w:rsidTr="00753DBF">
        <w:tblPrEx>
          <w:tblW w:w="0" w:type="auto"/>
          <w:tblLook w:val="04A0"/>
        </w:tblPrEx>
        <w:tc>
          <w:tcPr>
            <w:tcW w:w="4585" w:type="dxa"/>
          </w:tcPr>
          <w:p w:rsidR="00F7182D" w:rsidP="00753DBF" w14:paraId="7958AA3D" w14:textId="77777777">
            <w:pPr>
              <w:rPr>
                <w:b/>
                <w:bCs/>
              </w:rPr>
            </w:pPr>
          </w:p>
        </w:tc>
        <w:tc>
          <w:tcPr>
            <w:tcW w:w="540" w:type="dxa"/>
          </w:tcPr>
          <w:p w:rsidR="00F7182D" w:rsidP="00753DBF" w14:paraId="5987DF3E" w14:textId="77777777">
            <w:pPr>
              <w:jc w:val="center"/>
              <w:rPr>
                <w:b/>
                <w:bCs/>
              </w:rPr>
            </w:pPr>
          </w:p>
        </w:tc>
        <w:tc>
          <w:tcPr>
            <w:tcW w:w="4235" w:type="dxa"/>
          </w:tcPr>
          <w:p w:rsidR="00F7182D" w:rsidP="00753DBF" w14:paraId="4C8C3BBE" w14:textId="77777777">
            <w:pPr>
              <w:rPr>
                <w:b/>
                <w:bCs/>
              </w:rPr>
            </w:pPr>
          </w:p>
        </w:tc>
      </w:tr>
      <w:tr w14:paraId="35BCD632" w14:textId="77777777" w:rsidTr="00753DBF">
        <w:tblPrEx>
          <w:tblW w:w="0" w:type="auto"/>
          <w:tblLook w:val="04A0"/>
        </w:tblPrEx>
        <w:tc>
          <w:tcPr>
            <w:tcW w:w="4585" w:type="dxa"/>
          </w:tcPr>
          <w:p w:rsidR="00F7182D" w:rsidRPr="00283E3B" w:rsidP="00753DBF" w14:paraId="4322A027" w14:textId="77777777">
            <w:r w:rsidRPr="00283E3B">
              <w:t>In the Matter of the Application of Duke Energy Ohio, Inc., for Approval of Tariff Amendments.</w:t>
            </w:r>
          </w:p>
        </w:tc>
        <w:tc>
          <w:tcPr>
            <w:tcW w:w="540" w:type="dxa"/>
          </w:tcPr>
          <w:p w:rsidR="00F7182D" w:rsidRPr="00283E3B" w:rsidP="00753DBF" w14:paraId="2266DF92" w14:textId="77777777">
            <w:pPr>
              <w:jc w:val="center"/>
            </w:pPr>
            <w:r w:rsidRPr="00283E3B">
              <w:t>)</w:t>
            </w:r>
          </w:p>
          <w:p w:rsidR="00F7182D" w:rsidRPr="00283E3B" w:rsidP="00753DBF" w14:paraId="5F9BB0FD" w14:textId="77777777">
            <w:pPr>
              <w:jc w:val="center"/>
            </w:pPr>
            <w:r w:rsidRPr="00283E3B">
              <w:t>)</w:t>
            </w:r>
          </w:p>
          <w:p w:rsidR="00F7182D" w:rsidP="00753DBF" w14:paraId="72E1C8A7" w14:textId="77777777">
            <w:pPr>
              <w:jc w:val="center"/>
              <w:rPr>
                <w:b/>
                <w:bCs/>
              </w:rPr>
            </w:pPr>
            <w:r w:rsidRPr="00283E3B">
              <w:t>)</w:t>
            </w:r>
          </w:p>
        </w:tc>
        <w:tc>
          <w:tcPr>
            <w:tcW w:w="4235" w:type="dxa"/>
          </w:tcPr>
          <w:p w:rsidR="00F7182D" w:rsidP="00753DBF" w14:paraId="5ADB9A57" w14:textId="77777777">
            <w:pPr>
              <w:rPr>
                <w:b/>
                <w:bCs/>
              </w:rPr>
            </w:pPr>
            <w:r w:rsidRPr="00283E3B">
              <w:t>Case No.</w:t>
            </w:r>
            <w:r>
              <w:t xml:space="preserve"> </w:t>
            </w:r>
            <w:r w:rsidRPr="00283E3B">
              <w:t>18-1831-GA-</w:t>
            </w:r>
            <w:r>
              <w:t>ATA</w:t>
            </w:r>
          </w:p>
        </w:tc>
      </w:tr>
      <w:tr w14:paraId="52E7D875" w14:textId="77777777" w:rsidTr="00753DBF">
        <w:tblPrEx>
          <w:tblW w:w="0" w:type="auto"/>
          <w:tblLook w:val="04A0"/>
        </w:tblPrEx>
        <w:tc>
          <w:tcPr>
            <w:tcW w:w="4585" w:type="dxa"/>
          </w:tcPr>
          <w:p w:rsidR="00F7182D" w:rsidP="00753DBF" w14:paraId="287206CB" w14:textId="77777777">
            <w:pPr>
              <w:rPr>
                <w:b/>
                <w:bCs/>
              </w:rPr>
            </w:pPr>
          </w:p>
        </w:tc>
        <w:tc>
          <w:tcPr>
            <w:tcW w:w="540" w:type="dxa"/>
          </w:tcPr>
          <w:p w:rsidR="00F7182D" w:rsidP="00753DBF" w14:paraId="397B704A" w14:textId="77777777">
            <w:pPr>
              <w:jc w:val="center"/>
              <w:rPr>
                <w:b/>
                <w:bCs/>
              </w:rPr>
            </w:pPr>
          </w:p>
        </w:tc>
        <w:tc>
          <w:tcPr>
            <w:tcW w:w="4235" w:type="dxa"/>
          </w:tcPr>
          <w:p w:rsidR="00F7182D" w:rsidP="00753DBF" w14:paraId="4F8F98DB" w14:textId="77777777">
            <w:pPr>
              <w:rPr>
                <w:b/>
                <w:bCs/>
              </w:rPr>
            </w:pPr>
          </w:p>
        </w:tc>
      </w:tr>
      <w:tr w14:paraId="4086194B" w14:textId="77777777" w:rsidTr="00753DBF">
        <w:tblPrEx>
          <w:tblW w:w="0" w:type="auto"/>
          <w:tblLook w:val="04A0"/>
        </w:tblPrEx>
        <w:trPr>
          <w:trHeight w:val="1467"/>
        </w:trPr>
        <w:tc>
          <w:tcPr>
            <w:tcW w:w="4585" w:type="dxa"/>
          </w:tcPr>
          <w:p w:rsidR="00F7182D" w:rsidP="00753DBF" w14:paraId="2367E49C" w14:textId="77777777">
            <w:r w:rsidRPr="00283E3B">
              <w:t>In the Matter of the Application of Duke Energy Ohio, Inc., for Authority to Defer Environmental Investigation and Remediation Costs.</w:t>
            </w:r>
          </w:p>
          <w:p w:rsidR="00F7182D" w:rsidRPr="00283E3B" w:rsidP="00753DBF" w14:paraId="63BA01EC" w14:textId="77777777"/>
        </w:tc>
        <w:tc>
          <w:tcPr>
            <w:tcW w:w="540" w:type="dxa"/>
          </w:tcPr>
          <w:p w:rsidR="00F7182D" w:rsidRPr="00283E3B" w:rsidP="00753DBF" w14:paraId="71E89EFC" w14:textId="77777777">
            <w:pPr>
              <w:jc w:val="center"/>
            </w:pPr>
            <w:r w:rsidRPr="00283E3B">
              <w:t>)</w:t>
            </w:r>
          </w:p>
          <w:p w:rsidR="00F7182D" w:rsidRPr="00283E3B" w:rsidP="00753DBF" w14:paraId="04282B1A" w14:textId="77777777">
            <w:pPr>
              <w:jc w:val="center"/>
            </w:pPr>
            <w:r w:rsidRPr="00283E3B">
              <w:t>)</w:t>
            </w:r>
          </w:p>
          <w:p w:rsidR="00F7182D" w:rsidRPr="00283E3B" w:rsidP="00753DBF" w14:paraId="140A3A2C" w14:textId="77777777">
            <w:pPr>
              <w:jc w:val="center"/>
            </w:pPr>
            <w:r w:rsidRPr="00283E3B">
              <w:t>)</w:t>
            </w:r>
          </w:p>
          <w:p w:rsidR="00F7182D" w:rsidRPr="00283E3B" w:rsidP="00753DBF" w14:paraId="67666686" w14:textId="77777777">
            <w:pPr>
              <w:jc w:val="center"/>
            </w:pPr>
            <w:r w:rsidRPr="00283E3B">
              <w:t>)</w:t>
            </w:r>
          </w:p>
        </w:tc>
        <w:tc>
          <w:tcPr>
            <w:tcW w:w="4235" w:type="dxa"/>
          </w:tcPr>
          <w:p w:rsidR="00F7182D" w:rsidRPr="00283E3B" w:rsidP="00753DBF" w14:paraId="5E7819E4" w14:textId="77777777">
            <w:r w:rsidRPr="00283E3B">
              <w:t>Case No.</w:t>
            </w:r>
            <w:r>
              <w:t xml:space="preserve"> </w:t>
            </w:r>
            <w:r w:rsidRPr="00283E3B">
              <w:t>19-1085-GA-AAM</w:t>
            </w:r>
          </w:p>
        </w:tc>
      </w:tr>
    </w:tbl>
    <w:p w:rsidR="004D302D" w:rsidRPr="00F7404D" w:rsidP="004D302D" w14:paraId="4190A7A4" w14:textId="77777777">
      <w:pPr>
        <w:tabs>
          <w:tab w:val="left" w:pos="-720"/>
        </w:tabs>
        <w:suppressAutoHyphens/>
        <w:jc w:val="center"/>
        <w:rPr>
          <w:b/>
          <w:spacing w:val="-3"/>
          <w:szCs w:val="24"/>
        </w:rPr>
      </w:pPr>
    </w:p>
    <w:p w:rsidR="00E14361" w:rsidRPr="00F7404D" w:rsidP="00E14361" w14:paraId="5D69BEF6" w14:textId="33668B00">
      <w:pPr>
        <w:tabs>
          <w:tab w:val="left" w:pos="-720"/>
        </w:tabs>
        <w:suppressAutoHyphens/>
        <w:jc w:val="center"/>
        <w:rPr>
          <w:b/>
          <w:spacing w:val="-3"/>
          <w:szCs w:val="24"/>
        </w:rPr>
      </w:pPr>
      <w:r>
        <w:rPr>
          <w:b/>
          <w:spacing w:val="-3"/>
          <w:szCs w:val="24"/>
        </w:rPr>
        <w:t xml:space="preserve">MEMORANDUM CONTRA JOINT APPLICATION FOR REHEARING OF THE RETAIL ENERGY SUPPLY </w:t>
      </w:r>
      <w:r w:rsidR="00120E41">
        <w:rPr>
          <w:b/>
          <w:spacing w:val="-3"/>
          <w:szCs w:val="24"/>
        </w:rPr>
        <w:t>ASSOCIATION</w:t>
      </w:r>
      <w:r>
        <w:rPr>
          <w:b/>
          <w:spacing w:val="-3"/>
          <w:szCs w:val="24"/>
        </w:rPr>
        <w:t xml:space="preserve"> AND INTERSTATE GAS SUPPLY, INC.</w:t>
      </w:r>
    </w:p>
    <w:p w:rsidR="00E14361" w:rsidRPr="00F7404D" w:rsidP="00E14361" w14:paraId="3CCFC393" w14:textId="77777777">
      <w:pPr>
        <w:tabs>
          <w:tab w:val="left" w:pos="-720"/>
        </w:tabs>
        <w:suppressAutoHyphens/>
        <w:jc w:val="center"/>
        <w:rPr>
          <w:b/>
          <w:spacing w:val="-3"/>
          <w:szCs w:val="24"/>
        </w:rPr>
      </w:pPr>
      <w:r w:rsidRPr="00F7404D">
        <w:rPr>
          <w:b/>
          <w:spacing w:val="-3"/>
          <w:szCs w:val="24"/>
        </w:rPr>
        <w:t>BY</w:t>
      </w:r>
    </w:p>
    <w:p w:rsidR="00E14361" w:rsidRPr="00F7404D" w:rsidP="00E14361" w14:paraId="098EC0F0" w14:textId="77777777">
      <w:pPr>
        <w:tabs>
          <w:tab w:val="left" w:pos="-720"/>
        </w:tabs>
        <w:suppressAutoHyphens/>
        <w:jc w:val="center"/>
        <w:rPr>
          <w:b/>
          <w:spacing w:val="-3"/>
          <w:szCs w:val="24"/>
        </w:rPr>
      </w:pPr>
      <w:r w:rsidRPr="00F7404D">
        <w:rPr>
          <w:b/>
          <w:spacing w:val="-3"/>
          <w:szCs w:val="24"/>
        </w:rPr>
        <w:t>OFFICE OF THE OHIO CONSUMERS’ COUNSEL</w:t>
      </w:r>
    </w:p>
    <w:p w:rsidR="004D302D" w:rsidRPr="00F7404D" w:rsidP="004D302D" w14:paraId="4537135E" w14:textId="77777777">
      <w:pPr>
        <w:pBdr>
          <w:bottom w:val="single" w:sz="12" w:space="1" w:color="auto"/>
        </w:pBdr>
        <w:tabs>
          <w:tab w:val="left" w:pos="-720"/>
        </w:tabs>
        <w:suppressAutoHyphens/>
        <w:jc w:val="center"/>
        <w:rPr>
          <w:b/>
          <w:spacing w:val="-3"/>
          <w:szCs w:val="24"/>
        </w:rPr>
      </w:pPr>
    </w:p>
    <w:p w:rsidR="005C092B" w:rsidRPr="00F7404D" w:rsidP="005C092B" w14:paraId="5CE55984" w14:textId="77777777">
      <w:pPr>
        <w:spacing w:line="480" w:lineRule="auto"/>
        <w:ind w:firstLine="720"/>
        <w:rPr>
          <w:szCs w:val="24"/>
        </w:rPr>
        <w:sectPr w:rsidSect="00D1611D">
          <w:footerReference w:type="default" r:id="rId11"/>
          <w:pgSz w:w="12240" w:h="15840"/>
          <w:pgMar w:top="1440" w:right="1440" w:bottom="1440" w:left="1440" w:header="720" w:footer="720" w:gutter="0"/>
          <w:pgNumType w:start="2"/>
          <w:cols w:space="720"/>
          <w:docGrid w:linePitch="360"/>
        </w:sectPr>
      </w:pPr>
    </w:p>
    <w:p w:rsidR="005C092B" w:rsidRPr="00F7404D" w:rsidP="005C092B" w14:paraId="311AF855" w14:textId="574B54D2">
      <w:pPr>
        <w:pStyle w:val="Heading1"/>
        <w:rPr>
          <w:rFonts w:ascii="Times New Roman" w:hAnsi="Times New Roman"/>
        </w:rPr>
      </w:pPr>
      <w:bookmarkStart w:id="0" w:name="_Toc104888138"/>
      <w:r w:rsidRPr="00F7404D">
        <w:rPr>
          <w:rFonts w:ascii="Times New Roman" w:hAnsi="Times New Roman"/>
        </w:rPr>
        <w:t>INTRODUCTION</w:t>
      </w:r>
      <w:bookmarkEnd w:id="0"/>
    </w:p>
    <w:p w:rsidR="002F5099" w:rsidRPr="00F7404D" w:rsidP="005C092B" w14:paraId="126F46DE" w14:textId="20E51F53">
      <w:pPr>
        <w:spacing w:line="480" w:lineRule="auto"/>
        <w:ind w:firstLine="720"/>
        <w:rPr>
          <w:szCs w:val="24"/>
        </w:rPr>
      </w:pPr>
      <w:r w:rsidRPr="00F7404D">
        <w:rPr>
          <w:szCs w:val="24"/>
        </w:rPr>
        <w:t>RESA and IGS do not like the Settlement.</w:t>
      </w:r>
      <w:r>
        <w:rPr>
          <w:rStyle w:val="FootnoteReference"/>
          <w:szCs w:val="24"/>
        </w:rPr>
        <w:footnoteReference w:id="2"/>
      </w:r>
      <w:r w:rsidRPr="00F7404D">
        <w:rPr>
          <w:szCs w:val="24"/>
        </w:rPr>
        <w:t xml:space="preserve"> They are disappointed that it includes three market-related provisions. They are disappointed that they were not part of settlement negotiations</w:t>
      </w:r>
      <w:r w:rsidRPr="00F7404D" w:rsidR="0062473A">
        <w:rPr>
          <w:szCs w:val="24"/>
        </w:rPr>
        <w:t xml:space="preserve"> (</w:t>
      </w:r>
      <w:r w:rsidRPr="00F7404D">
        <w:rPr>
          <w:szCs w:val="24"/>
        </w:rPr>
        <w:t xml:space="preserve">which is </w:t>
      </w:r>
      <w:r w:rsidRPr="00F7404D" w:rsidR="0062473A">
        <w:rPr>
          <w:szCs w:val="24"/>
        </w:rPr>
        <w:t xml:space="preserve">interesting given </w:t>
      </w:r>
      <w:r w:rsidRPr="00F7404D">
        <w:rPr>
          <w:szCs w:val="24"/>
        </w:rPr>
        <w:t>they did not intervene in these cases until after the Settlement was filed</w:t>
      </w:r>
      <w:r w:rsidRPr="00F7404D" w:rsidR="0062473A">
        <w:rPr>
          <w:szCs w:val="24"/>
        </w:rPr>
        <w:t>)</w:t>
      </w:r>
      <w:r w:rsidRPr="00F7404D">
        <w:rPr>
          <w:szCs w:val="24"/>
        </w:rPr>
        <w:t>. But their disappointment does not make the Settlement fail the PUCO’s three-part settlement test. No matter how much they complain, the truth is as follows:</w:t>
      </w:r>
    </w:p>
    <w:p w:rsidR="001679DB" w:rsidRPr="00F7404D" w:rsidP="007055C6" w14:paraId="71DD977A" w14:textId="4BDC8DCF">
      <w:pPr>
        <w:spacing w:line="480" w:lineRule="auto"/>
        <w:ind w:firstLine="720"/>
        <w:rPr>
          <w:szCs w:val="24"/>
        </w:rPr>
      </w:pPr>
      <w:r w:rsidRPr="00F7404D">
        <w:rPr>
          <w:szCs w:val="24"/>
        </w:rPr>
        <w:t>All parties who intervened in these cases at the time of the negotiations are either a signatory party or a non-opposing party.</w:t>
      </w:r>
    </w:p>
    <w:p w:rsidR="001679DB" w:rsidRPr="00F7404D" w:rsidP="007055C6" w14:paraId="5E51080B" w14:textId="086B1A6A">
      <w:pPr>
        <w:spacing w:line="480" w:lineRule="auto"/>
        <w:ind w:firstLine="720"/>
        <w:rPr>
          <w:szCs w:val="24"/>
        </w:rPr>
      </w:pPr>
      <w:r w:rsidRPr="00F7404D">
        <w:rPr>
          <w:szCs w:val="24"/>
        </w:rPr>
        <w:t xml:space="preserve">There is no law, rule, policy, procedure, or convention that would require (or </w:t>
      </w:r>
      <w:r w:rsidRPr="00F7404D" w:rsidR="008A2A81">
        <w:rPr>
          <w:szCs w:val="24"/>
        </w:rPr>
        <w:t>even</w:t>
      </w:r>
      <w:r w:rsidRPr="00F7404D">
        <w:rPr>
          <w:szCs w:val="24"/>
        </w:rPr>
        <w:t xml:space="preserve"> allow) parties to a case to invite non-parties to </w:t>
      </w:r>
      <w:r w:rsidRPr="00F7404D" w:rsidR="005464AC">
        <w:rPr>
          <w:szCs w:val="24"/>
        </w:rPr>
        <w:t>confidential settlement negotiations.</w:t>
      </w:r>
    </w:p>
    <w:p w:rsidR="005464AC" w:rsidRPr="00F7404D" w:rsidP="007055C6" w14:paraId="0FE103F1" w14:textId="2838CF6A">
      <w:pPr>
        <w:spacing w:line="480" w:lineRule="auto"/>
        <w:ind w:firstLine="720"/>
        <w:rPr>
          <w:szCs w:val="24"/>
        </w:rPr>
      </w:pPr>
      <w:r w:rsidRPr="00F7404D">
        <w:rPr>
          <w:szCs w:val="24"/>
        </w:rPr>
        <w:t>The Settlement contains numerous benefits to consumers, including substantial financial benefits related to Duke’s manufactured gas plant cleanup and tax benefits stemming from the Tax Cuts and Jobs Act of 2017.</w:t>
      </w:r>
      <w:r>
        <w:rPr>
          <w:rStyle w:val="FootnoteReference"/>
          <w:szCs w:val="24"/>
        </w:rPr>
        <w:footnoteReference w:id="3"/>
      </w:r>
    </w:p>
    <w:p w:rsidR="005464AC" w:rsidRPr="00F7404D" w:rsidP="007055C6" w14:paraId="2679DF64" w14:textId="0D950FA4">
      <w:pPr>
        <w:spacing w:line="480" w:lineRule="auto"/>
        <w:ind w:firstLine="720"/>
        <w:rPr>
          <w:szCs w:val="24"/>
        </w:rPr>
      </w:pPr>
      <w:r w:rsidRPr="00F7404D">
        <w:rPr>
          <w:szCs w:val="24"/>
        </w:rPr>
        <w:t>The Settlement’s market-related provisions</w:t>
      </w:r>
      <w:r w:rsidRPr="00F7404D" w:rsidR="00A809F7">
        <w:rPr>
          <w:szCs w:val="24"/>
        </w:rPr>
        <w:t xml:space="preserve"> are</w:t>
      </w:r>
      <w:r w:rsidRPr="00F7404D">
        <w:rPr>
          <w:szCs w:val="24"/>
        </w:rPr>
        <w:t xml:space="preserve"> one piece of a larger settlement</w:t>
      </w:r>
      <w:r w:rsidR="00B849A6">
        <w:rPr>
          <w:szCs w:val="24"/>
        </w:rPr>
        <w:t xml:space="preserve"> package</w:t>
      </w:r>
      <w:r w:rsidRPr="00F7404D" w:rsidR="00A809F7">
        <w:rPr>
          <w:szCs w:val="24"/>
        </w:rPr>
        <w:t>.</w:t>
      </w:r>
      <w:r w:rsidRPr="00F7404D">
        <w:rPr>
          <w:szCs w:val="24"/>
        </w:rPr>
        <w:t xml:space="preserve"> </w:t>
      </w:r>
      <w:r w:rsidRPr="00F7404D" w:rsidR="00C1039D">
        <w:rPr>
          <w:szCs w:val="24"/>
        </w:rPr>
        <w:t>T</w:t>
      </w:r>
      <w:r w:rsidRPr="00F7404D" w:rsidR="00A809F7">
        <w:rPr>
          <w:szCs w:val="24"/>
        </w:rPr>
        <w:t>he provisions</w:t>
      </w:r>
      <w:r w:rsidRPr="00F7404D">
        <w:rPr>
          <w:szCs w:val="24"/>
        </w:rPr>
        <w:t xml:space="preserve"> will benefit the development of a competitive market for Duke’s natural gas customers</w:t>
      </w:r>
      <w:r w:rsidRPr="00F7404D" w:rsidR="00A809F7">
        <w:rPr>
          <w:szCs w:val="24"/>
        </w:rPr>
        <w:t>, not hinder it</w:t>
      </w:r>
      <w:r w:rsidRPr="00F7404D">
        <w:rPr>
          <w:szCs w:val="24"/>
        </w:rPr>
        <w:t>.</w:t>
      </w:r>
    </w:p>
    <w:p w:rsidR="00331FD3" w:rsidP="007055C6" w14:paraId="48535609" w14:textId="48EC75B6">
      <w:pPr>
        <w:spacing w:line="480" w:lineRule="auto"/>
        <w:ind w:firstLine="720"/>
        <w:rPr>
          <w:szCs w:val="24"/>
        </w:rPr>
      </w:pPr>
      <w:r>
        <w:rPr>
          <w:szCs w:val="24"/>
        </w:rPr>
        <w:t>The PUCO found as much and approved the Settlement on April 20, 2022.</w:t>
      </w:r>
      <w:r>
        <w:rPr>
          <w:rStyle w:val="FootnoteReference"/>
          <w:szCs w:val="24"/>
        </w:rPr>
        <w:footnoteReference w:id="4"/>
      </w:r>
      <w:r w:rsidR="00120E41">
        <w:rPr>
          <w:szCs w:val="24"/>
        </w:rPr>
        <w:t xml:space="preserve"> </w:t>
      </w:r>
      <w:r w:rsidR="00AD7409">
        <w:rPr>
          <w:szCs w:val="24"/>
        </w:rPr>
        <w:t>Now, the Marketers have applied for rehearing of the Opinion and Order</w:t>
      </w:r>
      <w:r w:rsidR="00624C5C">
        <w:rPr>
          <w:szCs w:val="24"/>
        </w:rPr>
        <w:t xml:space="preserve"> approving the consumer-friendly Settlement</w:t>
      </w:r>
      <w:r w:rsidR="00AD7409">
        <w:rPr>
          <w:szCs w:val="24"/>
        </w:rPr>
        <w:t>.</w:t>
      </w:r>
      <w:r w:rsidR="00120E41">
        <w:rPr>
          <w:szCs w:val="24"/>
        </w:rPr>
        <w:t xml:space="preserve"> </w:t>
      </w:r>
      <w:r w:rsidR="00AD7409">
        <w:rPr>
          <w:szCs w:val="24"/>
        </w:rPr>
        <w:t>But t</w:t>
      </w:r>
      <w:r w:rsidRPr="00F7404D" w:rsidR="000274E9">
        <w:rPr>
          <w:szCs w:val="24"/>
        </w:rPr>
        <w:t xml:space="preserve">he only thing that the Marketers have shown </w:t>
      </w:r>
      <w:r w:rsidR="00AD7409">
        <w:rPr>
          <w:szCs w:val="24"/>
        </w:rPr>
        <w:t>in their joint application for rehearing</w:t>
      </w:r>
      <w:r w:rsidRPr="00F7404D" w:rsidR="000274E9">
        <w:rPr>
          <w:szCs w:val="24"/>
        </w:rPr>
        <w:t xml:space="preserve"> is that they dislike the Settlement. They have not </w:t>
      </w:r>
      <w:r w:rsidR="00AD7409">
        <w:rPr>
          <w:szCs w:val="24"/>
        </w:rPr>
        <w:t xml:space="preserve">provided the PUCO with any reason to find that its Opinion and Order was unreasonable or unlawful based on </w:t>
      </w:r>
      <w:r w:rsidRPr="00F7404D" w:rsidR="000274E9">
        <w:rPr>
          <w:szCs w:val="24"/>
        </w:rPr>
        <w:t xml:space="preserve">the signatory parties’ evidence showing that the Settlement was the product of serious bargaining. </w:t>
      </w:r>
      <w:r w:rsidRPr="00F7404D" w:rsidR="00AD7409">
        <w:rPr>
          <w:szCs w:val="24"/>
        </w:rPr>
        <w:t xml:space="preserve">They have not </w:t>
      </w:r>
      <w:r w:rsidR="00AD7409">
        <w:rPr>
          <w:szCs w:val="24"/>
        </w:rPr>
        <w:t>provided the PUCO with any reason to find that its Opinion and Order was unreasonable or unlawful based on</w:t>
      </w:r>
      <w:r w:rsidRPr="00F7404D" w:rsidR="000274E9">
        <w:rPr>
          <w:szCs w:val="24"/>
        </w:rPr>
        <w:t xml:space="preserve"> the signatory parties’ evidence showing that the Settlement will provide substantial benefits to </w:t>
      </w:r>
      <w:r>
        <w:rPr>
          <w:szCs w:val="24"/>
        </w:rPr>
        <w:t>consumers</w:t>
      </w:r>
      <w:r w:rsidRPr="00F7404D" w:rsidR="000274E9">
        <w:rPr>
          <w:szCs w:val="24"/>
        </w:rPr>
        <w:t xml:space="preserve"> and the public interest. And they have not </w:t>
      </w:r>
      <w:r>
        <w:rPr>
          <w:szCs w:val="24"/>
        </w:rPr>
        <w:t xml:space="preserve">provided the PUCO with any reason to find that its Opinion and Order was unreasonable or unlawful based on </w:t>
      </w:r>
      <w:r w:rsidRPr="00F7404D" w:rsidR="000274E9">
        <w:rPr>
          <w:szCs w:val="24"/>
        </w:rPr>
        <w:t>the signatory parties’ evidence that the Settlement is consistent with important regulatory principles and practices.</w:t>
      </w:r>
      <w:r w:rsidRPr="00F7404D" w:rsidR="00AE35D6">
        <w:rPr>
          <w:szCs w:val="24"/>
        </w:rPr>
        <w:t xml:space="preserve"> </w:t>
      </w:r>
    </w:p>
    <w:p w:rsidR="00535531" w:rsidP="007055C6" w14:paraId="39C45231" w14:textId="7FED1869">
      <w:pPr>
        <w:spacing w:line="480" w:lineRule="auto"/>
        <w:ind w:firstLine="720"/>
        <w:rPr>
          <w:color w:val="201F1E"/>
          <w:szCs w:val="24"/>
          <w:bdr w:val="none" w:sz="0" w:space="0" w:color="auto" w:frame="1"/>
          <w:shd w:val="clear" w:color="auto" w:fill="FFFFFF"/>
        </w:rPr>
      </w:pPr>
      <w:r w:rsidRPr="00F7404D">
        <w:rPr>
          <w:szCs w:val="24"/>
        </w:rPr>
        <w:t xml:space="preserve">The </w:t>
      </w:r>
      <w:r w:rsidR="00331FD3">
        <w:rPr>
          <w:szCs w:val="24"/>
        </w:rPr>
        <w:t xml:space="preserve">PUCO was right in approving the </w:t>
      </w:r>
      <w:r w:rsidR="0054772D">
        <w:rPr>
          <w:szCs w:val="24"/>
        </w:rPr>
        <w:t xml:space="preserve">consumer-friendly </w:t>
      </w:r>
      <w:r w:rsidRPr="00F7404D">
        <w:rPr>
          <w:szCs w:val="24"/>
        </w:rPr>
        <w:t>Settlement.</w:t>
      </w:r>
      <w:r w:rsidRPr="00F7404D" w:rsidR="00FE3EF0">
        <w:rPr>
          <w:szCs w:val="24"/>
        </w:rPr>
        <w:t xml:space="preserve"> If anything, the PUCO should be adopting more consumer protections from energy marketing, not less.</w:t>
      </w:r>
      <w:r w:rsidRPr="00F7404D" w:rsidR="007F699D">
        <w:rPr>
          <w:szCs w:val="24"/>
        </w:rPr>
        <w:t xml:space="preserve"> </w:t>
      </w:r>
      <w:r w:rsidRPr="00F7404D" w:rsidR="006F2F28">
        <w:rPr>
          <w:color w:val="201F1E"/>
          <w:szCs w:val="24"/>
          <w:shd w:val="clear" w:color="auto" w:fill="FFFFFF"/>
        </w:rPr>
        <w:t xml:space="preserve">Consumers would benefit from </w:t>
      </w:r>
      <w:r w:rsidRPr="00F7404D" w:rsidR="006F2F28">
        <w:rPr>
          <w:color w:val="201F1E"/>
          <w:szCs w:val="24"/>
          <w:bdr w:val="none" w:sz="0" w:space="0" w:color="auto" w:frame="1"/>
          <w:shd w:val="clear" w:color="auto" w:fill="FFFFFF"/>
        </w:rPr>
        <w:t>less complaining and more competing</w:t>
      </w:r>
      <w:r w:rsidRPr="00F7404D" w:rsidR="00763A4D">
        <w:rPr>
          <w:color w:val="201F1E"/>
          <w:szCs w:val="24"/>
          <w:bdr w:val="none" w:sz="0" w:space="0" w:color="auto" w:frame="1"/>
          <w:shd w:val="clear" w:color="auto" w:fill="FFFFFF"/>
        </w:rPr>
        <w:t xml:space="preserve"> </w:t>
      </w:r>
      <w:r w:rsidRPr="00F7404D" w:rsidR="006F2F28">
        <w:rPr>
          <w:color w:val="201F1E"/>
          <w:szCs w:val="24"/>
          <w:bdr w:val="none" w:sz="0" w:space="0" w:color="auto" w:frame="1"/>
          <w:shd w:val="clear" w:color="auto" w:fill="FFFFFF"/>
        </w:rPr>
        <w:t>by the energy marketers.</w:t>
      </w:r>
      <w:r w:rsidR="00120E41">
        <w:rPr>
          <w:color w:val="201F1E"/>
          <w:szCs w:val="24"/>
          <w:bdr w:val="none" w:sz="0" w:space="0" w:color="auto" w:frame="1"/>
          <w:shd w:val="clear" w:color="auto" w:fill="FFFFFF"/>
        </w:rPr>
        <w:t xml:space="preserve"> </w:t>
      </w:r>
      <w:r w:rsidR="00331FD3">
        <w:rPr>
          <w:color w:val="201F1E"/>
          <w:szCs w:val="24"/>
          <w:bdr w:val="none" w:sz="0" w:space="0" w:color="auto" w:frame="1"/>
          <w:shd w:val="clear" w:color="auto" w:fill="FFFFFF"/>
        </w:rPr>
        <w:t>The Marketers’ application for rehearing should be denied.</w:t>
      </w:r>
    </w:p>
    <w:p w:rsidR="00120E41" w:rsidRPr="00F7404D" w:rsidP="00120E41" w14:paraId="2ED5F54C" w14:textId="77777777">
      <w:pPr>
        <w:ind w:firstLine="720"/>
        <w:rPr>
          <w:szCs w:val="24"/>
        </w:rPr>
      </w:pPr>
    </w:p>
    <w:p w:rsidR="005838A7" w:rsidRPr="00F7404D" w:rsidP="005C092B" w14:paraId="4EFFD123" w14:textId="3923AA27">
      <w:pPr>
        <w:pStyle w:val="Heading1"/>
        <w:rPr>
          <w:rFonts w:ascii="Times New Roman" w:hAnsi="Times New Roman"/>
        </w:rPr>
      </w:pPr>
      <w:bookmarkStart w:id="1" w:name="_Toc104888139"/>
      <w:r>
        <w:rPr>
          <w:rFonts w:ascii="Times New Roman" w:hAnsi="Times New Roman"/>
        </w:rPr>
        <w:t>ARGUMENT</w:t>
      </w:r>
      <w:bookmarkEnd w:id="1"/>
    </w:p>
    <w:p w:rsidR="00345BE7" w:rsidRPr="00F7404D" w:rsidP="00345BE7" w14:paraId="06BF2440" w14:textId="28A9F0F5">
      <w:pPr>
        <w:keepNext/>
        <w:keepLines/>
        <w:spacing w:after="240"/>
        <w:ind w:left="1440" w:hanging="720"/>
        <w:rPr>
          <w:b/>
          <w:bCs/>
          <w:szCs w:val="24"/>
        </w:rPr>
      </w:pPr>
      <w:bookmarkStart w:id="2" w:name="_Toc104888140"/>
      <w:r w:rsidRPr="00F7404D">
        <w:rPr>
          <w:rStyle w:val="Heading2Char"/>
          <w:rFonts w:ascii="Times New Roman" w:hAnsi="Times New Roman"/>
        </w:rPr>
        <w:t>A.</w:t>
      </w:r>
      <w:r w:rsidRPr="00F7404D">
        <w:rPr>
          <w:rStyle w:val="Heading2Char"/>
          <w:rFonts w:ascii="Times New Roman" w:hAnsi="Times New Roman"/>
        </w:rPr>
        <w:tab/>
        <w:t>The Settlement was the product of serious bargaining among capable and knowledge</w:t>
      </w:r>
      <w:r w:rsidR="00FD7A71">
        <w:rPr>
          <w:rStyle w:val="Heading2Char"/>
          <w:rFonts w:ascii="Times New Roman" w:hAnsi="Times New Roman"/>
        </w:rPr>
        <w:t>able</w:t>
      </w:r>
      <w:r w:rsidRPr="00F7404D">
        <w:rPr>
          <w:rStyle w:val="Heading2Char"/>
          <w:rFonts w:ascii="Times New Roman" w:hAnsi="Times New Roman"/>
        </w:rPr>
        <w:t xml:space="preserve"> parties</w:t>
      </w:r>
      <w:r w:rsidR="00C25086">
        <w:rPr>
          <w:rStyle w:val="Heading2Char"/>
          <w:rFonts w:ascii="Times New Roman" w:hAnsi="Times New Roman"/>
        </w:rPr>
        <w:t>.</w:t>
      </w:r>
      <w:bookmarkEnd w:id="2"/>
      <w:r w:rsidRPr="00F7404D">
        <w:rPr>
          <w:rStyle w:val="Heading2Char"/>
          <w:rFonts w:ascii="Times New Roman" w:hAnsi="Times New Roman"/>
        </w:rPr>
        <w:t xml:space="preserve"> </w:t>
      </w:r>
    </w:p>
    <w:p w:rsidR="00345BE7" w:rsidRPr="00F7404D" w:rsidP="00345BE7" w14:paraId="6DDE708E" w14:textId="3634DB4E">
      <w:pPr>
        <w:spacing w:line="480" w:lineRule="auto"/>
        <w:ind w:firstLine="720"/>
        <w:rPr>
          <w:szCs w:val="24"/>
        </w:rPr>
      </w:pPr>
      <w:r w:rsidRPr="00F7404D">
        <w:rPr>
          <w:szCs w:val="24"/>
        </w:rPr>
        <w:t>The Marketers argue that the Settlement was not the product of serious bargaining because they were not invited to settlement negotiations.</w:t>
      </w:r>
      <w:r>
        <w:rPr>
          <w:rStyle w:val="FootnoteReference"/>
          <w:szCs w:val="24"/>
        </w:rPr>
        <w:footnoteReference w:id="5"/>
      </w:r>
      <w:r w:rsidRPr="00F7404D">
        <w:rPr>
          <w:szCs w:val="24"/>
        </w:rPr>
        <w:t xml:space="preserve"> </w:t>
      </w:r>
      <w:r w:rsidR="00F16162">
        <w:rPr>
          <w:szCs w:val="24"/>
        </w:rPr>
        <w:t>They also argue that the PUCO acted unreasonably and unlawfully by concluding that there “appears to be” serious bargaining among capable, knowledgeable parties.</w:t>
      </w:r>
      <w:r>
        <w:rPr>
          <w:rStyle w:val="FootnoteReference"/>
          <w:szCs w:val="24"/>
        </w:rPr>
        <w:footnoteReference w:id="6"/>
      </w:r>
      <w:r w:rsidR="00F16162">
        <w:rPr>
          <w:szCs w:val="24"/>
        </w:rPr>
        <w:t xml:space="preserve"> </w:t>
      </w:r>
      <w:r w:rsidR="00974E56">
        <w:rPr>
          <w:szCs w:val="24"/>
        </w:rPr>
        <w:t>The</w:t>
      </w:r>
      <w:r w:rsidR="00EB017E">
        <w:rPr>
          <w:szCs w:val="24"/>
        </w:rPr>
        <w:t>se</w:t>
      </w:r>
      <w:r w:rsidR="00974E56">
        <w:rPr>
          <w:szCs w:val="24"/>
        </w:rPr>
        <w:t xml:space="preserve"> argument</w:t>
      </w:r>
      <w:r w:rsidR="00EB017E">
        <w:rPr>
          <w:szCs w:val="24"/>
        </w:rPr>
        <w:t>s</w:t>
      </w:r>
      <w:r w:rsidR="00974E56">
        <w:rPr>
          <w:szCs w:val="24"/>
        </w:rPr>
        <w:t xml:space="preserve"> ha</w:t>
      </w:r>
      <w:r w:rsidR="00EB017E">
        <w:rPr>
          <w:szCs w:val="24"/>
        </w:rPr>
        <w:t>ve</w:t>
      </w:r>
      <w:r w:rsidR="00974E56">
        <w:rPr>
          <w:szCs w:val="24"/>
        </w:rPr>
        <w:t xml:space="preserve"> no</w:t>
      </w:r>
      <w:r w:rsidRPr="00F7404D">
        <w:rPr>
          <w:szCs w:val="24"/>
        </w:rPr>
        <w:t xml:space="preserve"> merit.</w:t>
      </w:r>
    </w:p>
    <w:p w:rsidR="00345BE7" w:rsidRPr="00F7404D" w:rsidP="00345BE7" w14:paraId="1998B0E5" w14:textId="4C1BFF4C">
      <w:pPr>
        <w:spacing w:line="480" w:lineRule="auto"/>
        <w:ind w:firstLine="720"/>
        <w:rPr>
          <w:szCs w:val="24"/>
        </w:rPr>
      </w:pPr>
      <w:r w:rsidRPr="00F7404D">
        <w:rPr>
          <w:szCs w:val="24"/>
        </w:rPr>
        <w:t>The Marketer</w:t>
      </w:r>
      <w:r w:rsidR="00974E56">
        <w:rPr>
          <w:szCs w:val="24"/>
        </w:rPr>
        <w:t>s</w:t>
      </w:r>
      <w:r w:rsidRPr="00F7404D">
        <w:rPr>
          <w:szCs w:val="24"/>
        </w:rPr>
        <w:t xml:space="preserve"> believe that they should have been invited to settlement negotiations so that they could provide input on the market-related provisions.</w:t>
      </w:r>
      <w:r>
        <w:rPr>
          <w:rStyle w:val="FootnoteReference"/>
          <w:szCs w:val="24"/>
        </w:rPr>
        <w:footnoteReference w:id="7"/>
      </w:r>
      <w:r w:rsidRPr="00F7404D">
        <w:rPr>
          <w:szCs w:val="24"/>
        </w:rPr>
        <w:t xml:space="preserve"> They cite no PUCO cases for this claim—not a single case in which the PUCO ruled that </w:t>
      </w:r>
      <w:r w:rsidRPr="00F7404D">
        <w:rPr>
          <w:i/>
          <w:iCs/>
          <w:szCs w:val="24"/>
        </w:rPr>
        <w:t>non-parties</w:t>
      </w:r>
      <w:r w:rsidRPr="00F7404D">
        <w:rPr>
          <w:szCs w:val="24"/>
        </w:rPr>
        <w:t xml:space="preserve"> must be invited to settlement negotiations. The only precedent they cite for this is </w:t>
      </w:r>
      <w:r w:rsidRPr="00F7404D">
        <w:rPr>
          <w:i/>
          <w:iCs/>
          <w:szCs w:val="24"/>
        </w:rPr>
        <w:t>Time Warner AXS v. PUCO</w:t>
      </w:r>
      <w:r w:rsidRPr="00F7404D">
        <w:rPr>
          <w:szCs w:val="24"/>
        </w:rPr>
        <w:t>.</w:t>
      </w:r>
      <w:r>
        <w:rPr>
          <w:rStyle w:val="FootnoteReference"/>
          <w:szCs w:val="24"/>
        </w:rPr>
        <w:footnoteReference w:id="8"/>
      </w:r>
      <w:r w:rsidRPr="00F7404D">
        <w:rPr>
          <w:szCs w:val="24"/>
        </w:rPr>
        <w:t xml:space="preserve"> But </w:t>
      </w:r>
      <w:r w:rsidRPr="00F7404D">
        <w:rPr>
          <w:i/>
          <w:iCs/>
          <w:szCs w:val="24"/>
        </w:rPr>
        <w:t>Time Warner</w:t>
      </w:r>
      <w:r w:rsidRPr="00F7404D">
        <w:rPr>
          <w:szCs w:val="24"/>
        </w:rPr>
        <w:t xml:space="preserve"> does not apply.</w:t>
      </w:r>
    </w:p>
    <w:p w:rsidR="00345BE7" w:rsidRPr="009539C3" w:rsidP="00345BE7" w14:paraId="11C6F57F" w14:textId="200ECC6E">
      <w:pPr>
        <w:spacing w:line="480" w:lineRule="auto"/>
        <w:ind w:firstLine="720"/>
        <w:rPr>
          <w:szCs w:val="24"/>
        </w:rPr>
      </w:pPr>
      <w:r w:rsidRPr="00F7404D">
        <w:rPr>
          <w:szCs w:val="24"/>
        </w:rPr>
        <w:t xml:space="preserve">The Ohio Supreme Court in </w:t>
      </w:r>
      <w:r w:rsidRPr="00F7404D">
        <w:rPr>
          <w:i/>
          <w:iCs/>
          <w:szCs w:val="24"/>
        </w:rPr>
        <w:t>Time Warner</w:t>
      </w:r>
      <w:r w:rsidRPr="00F7404D">
        <w:rPr>
          <w:szCs w:val="24"/>
        </w:rPr>
        <w:t xml:space="preserve"> stated that it was concerned that “an entire </w:t>
      </w:r>
      <w:r w:rsidRPr="00F7404D">
        <w:rPr>
          <w:i/>
          <w:iCs/>
          <w:szCs w:val="24"/>
        </w:rPr>
        <w:t>customer class</w:t>
      </w:r>
      <w:r w:rsidRPr="00F7404D">
        <w:rPr>
          <w:szCs w:val="24"/>
        </w:rPr>
        <w:t xml:space="preserve"> was intentionally excluded” from settlement negotiations.</w:t>
      </w:r>
      <w:r>
        <w:rPr>
          <w:rStyle w:val="FootnoteReference"/>
          <w:szCs w:val="24"/>
        </w:rPr>
        <w:footnoteReference w:id="9"/>
      </w:r>
      <w:r w:rsidRPr="00F7404D">
        <w:rPr>
          <w:szCs w:val="24"/>
        </w:rPr>
        <w:t xml:space="preserve"> Marketers are not a </w:t>
      </w:r>
      <w:r w:rsidRPr="00F7404D">
        <w:rPr>
          <w:i/>
          <w:iCs/>
          <w:szCs w:val="24"/>
        </w:rPr>
        <w:t>customer</w:t>
      </w:r>
      <w:r w:rsidRPr="00F7404D">
        <w:rPr>
          <w:szCs w:val="24"/>
        </w:rPr>
        <w:t xml:space="preserve"> class</w:t>
      </w:r>
      <w:r w:rsidR="00150896">
        <w:rPr>
          <w:szCs w:val="24"/>
        </w:rPr>
        <w:t xml:space="preserve">, despite their arguments to the contrary. </w:t>
      </w:r>
      <w:r w:rsidR="002D4F15">
        <w:rPr>
          <w:szCs w:val="24"/>
        </w:rPr>
        <w:t xml:space="preserve">The Marketers assert that </w:t>
      </w:r>
      <w:r w:rsidR="007E6D99">
        <w:rPr>
          <w:szCs w:val="24"/>
        </w:rPr>
        <w:t>they are</w:t>
      </w:r>
      <w:r w:rsidR="00782C73">
        <w:rPr>
          <w:szCs w:val="24"/>
        </w:rPr>
        <w:t xml:space="preserve"> “a class of consumers or a class worthy of the protections of </w:t>
      </w:r>
      <w:r w:rsidRPr="0046129B" w:rsidR="00782C73">
        <w:rPr>
          <w:i/>
          <w:iCs/>
          <w:szCs w:val="24"/>
        </w:rPr>
        <w:t>Time</w:t>
      </w:r>
      <w:r w:rsidR="006C00ED">
        <w:rPr>
          <w:i/>
          <w:iCs/>
          <w:szCs w:val="24"/>
        </w:rPr>
        <w:t xml:space="preserve"> </w:t>
      </w:r>
      <w:r w:rsidRPr="0046129B" w:rsidR="00782C73">
        <w:rPr>
          <w:i/>
          <w:iCs/>
          <w:szCs w:val="24"/>
        </w:rPr>
        <w:t>Warner</w:t>
      </w:r>
      <w:r w:rsidR="0054772D">
        <w:rPr>
          <w:i/>
          <w:iCs/>
          <w:szCs w:val="24"/>
        </w:rPr>
        <w:t xml:space="preserve"> .</w:t>
      </w:r>
      <w:r w:rsidR="00782C73">
        <w:rPr>
          <w:szCs w:val="24"/>
        </w:rPr>
        <w:t>…”</w:t>
      </w:r>
      <w:r>
        <w:rPr>
          <w:rStyle w:val="FootnoteReference"/>
          <w:szCs w:val="24"/>
        </w:rPr>
        <w:footnoteReference w:id="10"/>
      </w:r>
      <w:r w:rsidR="006C00ED">
        <w:rPr>
          <w:szCs w:val="24"/>
        </w:rPr>
        <w:t xml:space="preserve"> But the </w:t>
      </w:r>
      <w:r w:rsidR="00F605FC">
        <w:rPr>
          <w:szCs w:val="24"/>
        </w:rPr>
        <w:t xml:space="preserve">purported evidence that the Marketers point to contradicts their argument. </w:t>
      </w:r>
      <w:r w:rsidR="00EB5CD8">
        <w:rPr>
          <w:szCs w:val="24"/>
        </w:rPr>
        <w:t xml:space="preserve">The Marketers point to </w:t>
      </w:r>
      <w:r w:rsidR="0054772D">
        <w:rPr>
          <w:szCs w:val="24"/>
        </w:rPr>
        <w:t>t</w:t>
      </w:r>
      <w:r w:rsidR="00EB5CD8">
        <w:rPr>
          <w:szCs w:val="24"/>
        </w:rPr>
        <w:t>ariff schedules as evidence that marketers are consumers of Duke.</w:t>
      </w:r>
      <w:r>
        <w:rPr>
          <w:rStyle w:val="FootnoteReference"/>
          <w:szCs w:val="24"/>
        </w:rPr>
        <w:footnoteReference w:id="11"/>
      </w:r>
      <w:r w:rsidR="005834E5">
        <w:rPr>
          <w:szCs w:val="24"/>
        </w:rPr>
        <w:t xml:space="preserve"> But the applicability langue of the tariff</w:t>
      </w:r>
      <w:r w:rsidR="00971CD0">
        <w:rPr>
          <w:szCs w:val="24"/>
        </w:rPr>
        <w:t xml:space="preserve"> states “</w:t>
      </w:r>
      <w:r w:rsidR="0054772D">
        <w:rPr>
          <w:szCs w:val="24"/>
        </w:rPr>
        <w:t>[t]</w:t>
      </w:r>
      <w:r w:rsidR="00971CD0">
        <w:rPr>
          <w:szCs w:val="24"/>
        </w:rPr>
        <w:t xml:space="preserve">hese charges apply to Retail Natural Gas Suppliers and Aggregators providing Competitive Retail Natural Gas Service to </w:t>
      </w:r>
      <w:r w:rsidR="00971CD0">
        <w:rPr>
          <w:i/>
          <w:iCs/>
          <w:szCs w:val="24"/>
        </w:rPr>
        <w:t xml:space="preserve">Customers </w:t>
      </w:r>
      <w:r w:rsidRPr="0046129B" w:rsidR="00971CD0">
        <w:rPr>
          <w:szCs w:val="24"/>
        </w:rPr>
        <w:t xml:space="preserve">located in the Company’s </w:t>
      </w:r>
      <w:r w:rsidRPr="0046129B" w:rsidR="00220D64">
        <w:rPr>
          <w:szCs w:val="24"/>
        </w:rPr>
        <w:t>service territory.”</w:t>
      </w:r>
      <w:r>
        <w:rPr>
          <w:rStyle w:val="FootnoteReference"/>
          <w:szCs w:val="24"/>
        </w:rPr>
        <w:footnoteReference w:id="12"/>
      </w:r>
      <w:r w:rsidR="00220D64">
        <w:rPr>
          <w:szCs w:val="24"/>
        </w:rPr>
        <w:t xml:space="preserve"> If the </w:t>
      </w:r>
      <w:r w:rsidR="0054772D">
        <w:rPr>
          <w:szCs w:val="24"/>
        </w:rPr>
        <w:t>M</w:t>
      </w:r>
      <w:r w:rsidR="00220D64">
        <w:rPr>
          <w:szCs w:val="24"/>
        </w:rPr>
        <w:t xml:space="preserve">arketers were </w:t>
      </w:r>
      <w:r w:rsidR="00794FF0">
        <w:rPr>
          <w:szCs w:val="24"/>
        </w:rPr>
        <w:t>customers</w:t>
      </w:r>
      <w:r w:rsidR="00220D64">
        <w:rPr>
          <w:szCs w:val="24"/>
        </w:rPr>
        <w:t xml:space="preserve"> of Duke as they assert, then the tariff would not </w:t>
      </w:r>
      <w:r w:rsidR="00CA251E">
        <w:rPr>
          <w:szCs w:val="24"/>
        </w:rPr>
        <w:t xml:space="preserve">specifically reference </w:t>
      </w:r>
      <w:r w:rsidR="00794FF0">
        <w:rPr>
          <w:szCs w:val="24"/>
        </w:rPr>
        <w:t>customers</w:t>
      </w:r>
      <w:r w:rsidR="00CA251E">
        <w:rPr>
          <w:szCs w:val="24"/>
        </w:rPr>
        <w:t xml:space="preserve"> </w:t>
      </w:r>
      <w:r w:rsidR="000D7B6C">
        <w:rPr>
          <w:szCs w:val="24"/>
        </w:rPr>
        <w:t>separately</w:t>
      </w:r>
      <w:r w:rsidR="00CA251E">
        <w:rPr>
          <w:szCs w:val="24"/>
        </w:rPr>
        <w:t xml:space="preserve"> from </w:t>
      </w:r>
      <w:r w:rsidR="000D7B6C">
        <w:rPr>
          <w:szCs w:val="24"/>
        </w:rPr>
        <w:t xml:space="preserve">marketers. The Marketers are not a customer class for purposes of </w:t>
      </w:r>
      <w:r w:rsidR="000D7B6C">
        <w:rPr>
          <w:i/>
          <w:iCs/>
          <w:szCs w:val="24"/>
        </w:rPr>
        <w:t>Time Warner.</w:t>
      </w:r>
      <w:r w:rsidR="009539C3">
        <w:rPr>
          <w:i/>
          <w:iCs/>
          <w:szCs w:val="24"/>
        </w:rPr>
        <w:t xml:space="preserve"> </w:t>
      </w:r>
      <w:r w:rsidR="009539C3">
        <w:rPr>
          <w:szCs w:val="24"/>
        </w:rPr>
        <w:t>The PUCO correctly confirmed this in the Opinion and Order.</w:t>
      </w:r>
      <w:r>
        <w:rPr>
          <w:rStyle w:val="FootnoteReference"/>
          <w:szCs w:val="24"/>
        </w:rPr>
        <w:footnoteReference w:id="13"/>
      </w:r>
    </w:p>
    <w:p w:rsidR="00345BE7" w:rsidRPr="00F7404D" w:rsidP="00345BE7" w14:paraId="18C4B460" w14:textId="77777777">
      <w:pPr>
        <w:spacing w:line="480" w:lineRule="auto"/>
        <w:ind w:firstLine="720"/>
        <w:rPr>
          <w:szCs w:val="24"/>
        </w:rPr>
      </w:pPr>
      <w:r w:rsidRPr="00F7404D">
        <w:rPr>
          <w:szCs w:val="24"/>
        </w:rPr>
        <w:t xml:space="preserve">Further, in applying </w:t>
      </w:r>
      <w:r w:rsidRPr="00F7404D">
        <w:rPr>
          <w:i/>
          <w:iCs/>
          <w:szCs w:val="24"/>
        </w:rPr>
        <w:t>Time Warner</w:t>
      </w:r>
      <w:r w:rsidRPr="00F7404D">
        <w:rPr>
          <w:szCs w:val="24"/>
        </w:rPr>
        <w:t xml:space="preserve">, the PUCO has said that the “primary focus” of the first prong of its settlement test “is whether each </w:t>
      </w:r>
      <w:r w:rsidRPr="00F7404D">
        <w:rPr>
          <w:i/>
          <w:iCs/>
          <w:szCs w:val="24"/>
        </w:rPr>
        <w:t>party</w:t>
      </w:r>
      <w:r w:rsidRPr="00F7404D">
        <w:rPr>
          <w:szCs w:val="24"/>
        </w:rPr>
        <w:t xml:space="preserve"> was afforded the opportunity to participate in settlement discussions and whether any </w:t>
      </w:r>
      <w:r w:rsidRPr="00F7404D">
        <w:rPr>
          <w:i/>
          <w:iCs/>
          <w:szCs w:val="24"/>
        </w:rPr>
        <w:t>class of customers</w:t>
      </w:r>
      <w:r w:rsidRPr="00F7404D">
        <w:rPr>
          <w:szCs w:val="24"/>
        </w:rPr>
        <w:t xml:space="preserve"> was </w:t>
      </w:r>
      <w:r w:rsidRPr="00F7404D">
        <w:rPr>
          <w:i/>
          <w:iCs/>
          <w:szCs w:val="24"/>
        </w:rPr>
        <w:t>intentionally</w:t>
      </w:r>
      <w:r w:rsidRPr="00F7404D">
        <w:rPr>
          <w:szCs w:val="24"/>
        </w:rPr>
        <w:t xml:space="preserve"> excluded from settlement discussions.”</w:t>
      </w:r>
      <w:r>
        <w:rPr>
          <w:rStyle w:val="FootnoteReference"/>
          <w:szCs w:val="24"/>
        </w:rPr>
        <w:footnoteReference w:id="14"/>
      </w:r>
      <w:r w:rsidRPr="00F7404D">
        <w:rPr>
          <w:szCs w:val="24"/>
        </w:rPr>
        <w:t xml:space="preserve"> The Marketers were not parties at the time of settlement negotiations. They do not represent a class of customers (or any customers). And there is no evidence that they were intentionally excluded.</w:t>
      </w:r>
    </w:p>
    <w:p w:rsidR="00345BE7" w:rsidRPr="00F7404D" w:rsidP="00345BE7" w14:paraId="4D4872EF" w14:textId="1F2995FC">
      <w:pPr>
        <w:spacing w:line="480" w:lineRule="auto"/>
        <w:ind w:firstLine="720"/>
        <w:rPr>
          <w:szCs w:val="24"/>
        </w:rPr>
      </w:pPr>
      <w:r w:rsidRPr="00F7404D">
        <w:rPr>
          <w:szCs w:val="24"/>
        </w:rPr>
        <w:t>The Marketers’ theory seems to be that the signatory parties should have known that the Marketers would be interested in the Settlement, so the signatory parties should have invited them to participate in settlement negotiations, even though they were not parties to the cases.</w:t>
      </w:r>
      <w:r>
        <w:rPr>
          <w:rStyle w:val="FootnoteReference"/>
          <w:szCs w:val="24"/>
        </w:rPr>
        <w:footnoteReference w:id="15"/>
      </w:r>
      <w:r w:rsidRPr="00F7404D">
        <w:rPr>
          <w:szCs w:val="24"/>
        </w:rPr>
        <w:t xml:space="preserve"> But this proposed “duty to invite” standard would be impossible to implement or enforc</w:t>
      </w:r>
      <w:r w:rsidR="0054772D">
        <w:rPr>
          <w:szCs w:val="24"/>
        </w:rPr>
        <w:t xml:space="preserve">e – </w:t>
      </w:r>
      <w:r w:rsidR="00A569E3">
        <w:rPr>
          <w:szCs w:val="24"/>
        </w:rPr>
        <w:t>not to mention it would violate the confidentiality of settlement negotiations.</w:t>
      </w:r>
    </w:p>
    <w:p w:rsidR="00345BE7" w:rsidRPr="00F7404D" w:rsidP="00345BE7" w14:paraId="6F6E0D2B" w14:textId="46C37B60">
      <w:pPr>
        <w:spacing w:line="480" w:lineRule="auto"/>
        <w:ind w:firstLine="720"/>
        <w:rPr>
          <w:szCs w:val="24"/>
        </w:rPr>
      </w:pPr>
      <w:r w:rsidRPr="00F7404D">
        <w:rPr>
          <w:szCs w:val="24"/>
        </w:rPr>
        <w:t xml:space="preserve">First, if parties had a duty to invite others who might be interested in a settlement, then settlement negotiations </w:t>
      </w:r>
      <w:r w:rsidRPr="00F7404D" w:rsidR="00697154">
        <w:rPr>
          <w:szCs w:val="24"/>
        </w:rPr>
        <w:t xml:space="preserve">could be deterred </w:t>
      </w:r>
      <w:r w:rsidRPr="00F7404D">
        <w:rPr>
          <w:szCs w:val="24"/>
        </w:rPr>
        <w:t xml:space="preserve">as parties engage in a search for </w:t>
      </w:r>
      <w:r w:rsidRPr="00F7404D" w:rsidR="00697154">
        <w:rPr>
          <w:szCs w:val="24"/>
        </w:rPr>
        <w:t xml:space="preserve">potential parties </w:t>
      </w:r>
      <w:r w:rsidRPr="00F7404D">
        <w:rPr>
          <w:szCs w:val="24"/>
        </w:rPr>
        <w:t xml:space="preserve">that might be interested. This is unreasonable and </w:t>
      </w:r>
      <w:r w:rsidRPr="00F7404D" w:rsidR="001919EB">
        <w:rPr>
          <w:szCs w:val="24"/>
        </w:rPr>
        <w:t xml:space="preserve">not </w:t>
      </w:r>
      <w:r w:rsidRPr="00F7404D">
        <w:rPr>
          <w:szCs w:val="24"/>
        </w:rPr>
        <w:t>feasible.</w:t>
      </w:r>
    </w:p>
    <w:p w:rsidR="00697154" w:rsidRPr="00F7404D" w14:paraId="32FD4E91" w14:textId="00491F63">
      <w:pPr>
        <w:spacing w:line="480" w:lineRule="auto"/>
        <w:ind w:firstLine="720"/>
        <w:rPr>
          <w:szCs w:val="24"/>
        </w:rPr>
      </w:pPr>
      <w:r w:rsidRPr="00F7404D">
        <w:rPr>
          <w:szCs w:val="24"/>
        </w:rPr>
        <w:t>Second, even in the limited context of this case, who should the signatory parties have invited? IGS and RESA say that they should have been invited. But what about other marketers? There are 60 marketers licensed to provide retail service for Duke’s natural gas customers.</w:t>
      </w:r>
      <w:r>
        <w:rPr>
          <w:rStyle w:val="FootnoteReference"/>
          <w:szCs w:val="24"/>
        </w:rPr>
        <w:footnoteReference w:id="16"/>
      </w:r>
      <w:r w:rsidRPr="00F7404D">
        <w:rPr>
          <w:szCs w:val="24"/>
        </w:rPr>
        <w:t xml:space="preserve"> Were the signatory parties required to invite every single one? When the Marketers’ witness was asked how the signatory parties should determine which marketers to invite, he </w:t>
      </w:r>
      <w:r w:rsidRPr="00F7404D" w:rsidR="0028290C">
        <w:rPr>
          <w:szCs w:val="24"/>
        </w:rPr>
        <w:t>responded only that RESA should be invited</w:t>
      </w:r>
      <w:r w:rsidRPr="00F7404D">
        <w:rPr>
          <w:szCs w:val="24"/>
        </w:rPr>
        <w:t>.</w:t>
      </w:r>
      <w:r>
        <w:rPr>
          <w:rStyle w:val="FootnoteReference"/>
          <w:szCs w:val="24"/>
        </w:rPr>
        <w:footnoteReference w:id="17"/>
      </w:r>
      <w:r w:rsidRPr="00F7404D">
        <w:rPr>
          <w:szCs w:val="24"/>
        </w:rPr>
        <w:t xml:space="preserve"> And notably, IGS and RESA do not represent the interests of </w:t>
      </w:r>
      <w:r w:rsidRPr="00F7404D">
        <w:rPr>
          <w:i/>
          <w:iCs/>
          <w:szCs w:val="24"/>
        </w:rPr>
        <w:t>all</w:t>
      </w:r>
      <w:r w:rsidRPr="00F7404D">
        <w:rPr>
          <w:szCs w:val="24"/>
        </w:rPr>
        <w:t xml:space="preserve"> marketers. RESA, for example, represents the interests of RESA members, whose interests might not align with other marketers.</w:t>
      </w:r>
      <w:r>
        <w:rPr>
          <w:rStyle w:val="FootnoteReference"/>
          <w:szCs w:val="24"/>
        </w:rPr>
        <w:footnoteReference w:id="18"/>
      </w:r>
      <w:r w:rsidRPr="00F7404D" w:rsidR="00ED2ACE">
        <w:rPr>
          <w:szCs w:val="24"/>
        </w:rPr>
        <w:t xml:space="preserve"> </w:t>
      </w:r>
      <w:r w:rsidR="00974E56">
        <w:rPr>
          <w:szCs w:val="24"/>
        </w:rPr>
        <w:t>The</w:t>
      </w:r>
      <w:r w:rsidRPr="00F7404D" w:rsidR="00ED2ACE">
        <w:rPr>
          <w:szCs w:val="24"/>
        </w:rPr>
        <w:t xml:space="preserve"> Marketers</w:t>
      </w:r>
      <w:r w:rsidR="00974E56">
        <w:rPr>
          <w:szCs w:val="24"/>
        </w:rPr>
        <w:t xml:space="preserve"> provided no</w:t>
      </w:r>
      <w:r w:rsidRPr="00F7404D" w:rsidR="00ED2ACE">
        <w:rPr>
          <w:szCs w:val="24"/>
        </w:rPr>
        <w:t xml:space="preserve"> testimony that they reached out to other marketer</w:t>
      </w:r>
      <w:r w:rsidRPr="00F7404D">
        <w:rPr>
          <w:szCs w:val="24"/>
        </w:rPr>
        <w:t>s</w:t>
      </w:r>
      <w:r w:rsidRPr="00F7404D" w:rsidR="00ED2ACE">
        <w:rPr>
          <w:szCs w:val="24"/>
        </w:rPr>
        <w:t xml:space="preserve"> to invite them to participate in this case</w:t>
      </w:r>
      <w:r w:rsidRPr="00F7404D" w:rsidR="001919EB">
        <w:rPr>
          <w:szCs w:val="24"/>
        </w:rPr>
        <w:t>—</w:t>
      </w:r>
      <w:r w:rsidRPr="00F7404D" w:rsidR="00ED2ACE">
        <w:rPr>
          <w:szCs w:val="24"/>
        </w:rPr>
        <w:t xml:space="preserve">which one would have expected if the Marketers were as concerned as they claim </w:t>
      </w:r>
      <w:r w:rsidRPr="00F7404D" w:rsidR="002638B5">
        <w:rPr>
          <w:szCs w:val="24"/>
        </w:rPr>
        <w:t xml:space="preserve">to be </w:t>
      </w:r>
      <w:r w:rsidRPr="00F7404D" w:rsidR="00ED2ACE">
        <w:rPr>
          <w:szCs w:val="24"/>
        </w:rPr>
        <w:t>about all interested parties participating in PUCO proceedings.</w:t>
      </w:r>
      <w:r>
        <w:rPr>
          <w:rStyle w:val="FootnoteReference"/>
          <w:szCs w:val="24"/>
        </w:rPr>
        <w:footnoteReference w:id="19"/>
      </w:r>
      <w:r w:rsidRPr="00F7404D">
        <w:rPr>
          <w:szCs w:val="24"/>
        </w:rPr>
        <w:t xml:space="preserve"> </w:t>
      </w:r>
    </w:p>
    <w:p w:rsidR="0015104D" w:rsidRPr="00B341C6" w:rsidP="0046129B" w14:paraId="2A249C88" w14:textId="1E937EFB">
      <w:pPr>
        <w:pStyle w:val="NoSpacing"/>
        <w:spacing w:line="480" w:lineRule="auto"/>
        <w:ind w:firstLine="720"/>
        <w:rPr>
          <w:rFonts w:ascii="Times New Roman" w:hAnsi="Times New Roman" w:cs="Times New Roman"/>
          <w:sz w:val="24"/>
          <w:szCs w:val="24"/>
        </w:rPr>
      </w:pPr>
      <w:r w:rsidRPr="00B341C6">
        <w:rPr>
          <w:rFonts w:ascii="Times New Roman" w:hAnsi="Times New Roman" w:cs="Times New Roman"/>
          <w:sz w:val="24"/>
          <w:szCs w:val="24"/>
        </w:rPr>
        <w:t xml:space="preserve">The PUCO necessarily must make its findings </w:t>
      </w:r>
      <w:r w:rsidRPr="00B341C6" w:rsidR="001D6093">
        <w:rPr>
          <w:rFonts w:ascii="Times New Roman" w:hAnsi="Times New Roman" w:cs="Times New Roman"/>
          <w:sz w:val="24"/>
          <w:szCs w:val="24"/>
        </w:rPr>
        <w:t xml:space="preserve">of fact </w:t>
      </w:r>
      <w:r w:rsidRPr="00B341C6">
        <w:rPr>
          <w:rFonts w:ascii="Times New Roman" w:hAnsi="Times New Roman" w:cs="Times New Roman"/>
          <w:sz w:val="24"/>
          <w:szCs w:val="24"/>
        </w:rPr>
        <w:t xml:space="preserve">and conclusions </w:t>
      </w:r>
      <w:r w:rsidRPr="00B341C6" w:rsidR="001D6093">
        <w:rPr>
          <w:rFonts w:ascii="Times New Roman" w:hAnsi="Times New Roman" w:cs="Times New Roman"/>
          <w:sz w:val="24"/>
          <w:szCs w:val="24"/>
        </w:rPr>
        <w:t xml:space="preserve">of law </w:t>
      </w:r>
      <w:r w:rsidRPr="00B341C6">
        <w:rPr>
          <w:rFonts w:ascii="Times New Roman" w:hAnsi="Times New Roman" w:cs="Times New Roman"/>
          <w:sz w:val="24"/>
          <w:szCs w:val="24"/>
        </w:rPr>
        <w:t>based on the record in the case.</w:t>
      </w:r>
      <w:r>
        <w:rPr>
          <w:rStyle w:val="FootnoteReference"/>
          <w:rFonts w:ascii="Times New Roman" w:hAnsi="Times New Roman" w:cs="Times New Roman"/>
          <w:sz w:val="24"/>
          <w:szCs w:val="24"/>
        </w:rPr>
        <w:footnoteReference w:id="20"/>
      </w:r>
      <w:r w:rsidR="00AD161A">
        <w:rPr>
          <w:rFonts w:ascii="Times New Roman" w:hAnsi="Times New Roman" w:cs="Times New Roman"/>
          <w:sz w:val="24"/>
          <w:szCs w:val="24"/>
        </w:rPr>
        <w:t xml:space="preserve"> </w:t>
      </w:r>
      <w:r w:rsidRPr="00B341C6">
        <w:rPr>
          <w:rFonts w:ascii="Times New Roman" w:hAnsi="Times New Roman" w:cs="Times New Roman"/>
          <w:sz w:val="24"/>
          <w:szCs w:val="24"/>
        </w:rPr>
        <w:t xml:space="preserve">The Commissioners did not attend the various and numerous </w:t>
      </w:r>
      <w:r w:rsidRPr="00B341C6" w:rsidR="0019460F">
        <w:rPr>
          <w:rFonts w:ascii="Times New Roman" w:hAnsi="Times New Roman" w:cs="Times New Roman"/>
          <w:sz w:val="24"/>
          <w:szCs w:val="24"/>
        </w:rPr>
        <w:t>s</w:t>
      </w:r>
      <w:r w:rsidRPr="00B341C6">
        <w:rPr>
          <w:rFonts w:ascii="Times New Roman" w:hAnsi="Times New Roman" w:cs="Times New Roman"/>
          <w:sz w:val="24"/>
          <w:szCs w:val="24"/>
        </w:rPr>
        <w:t>ettlement meetings. Thus</w:t>
      </w:r>
      <w:r w:rsidRPr="00B341C6" w:rsidR="00590D97">
        <w:rPr>
          <w:rFonts w:ascii="Times New Roman" w:hAnsi="Times New Roman" w:cs="Times New Roman"/>
          <w:sz w:val="24"/>
          <w:szCs w:val="24"/>
        </w:rPr>
        <w:t>,</w:t>
      </w:r>
      <w:r w:rsidRPr="00B341C6">
        <w:rPr>
          <w:rFonts w:ascii="Times New Roman" w:hAnsi="Times New Roman" w:cs="Times New Roman"/>
          <w:sz w:val="24"/>
          <w:szCs w:val="24"/>
        </w:rPr>
        <w:t xml:space="preserve"> they relied on the record in the cases.</w:t>
      </w:r>
      <w:r w:rsidR="00AD161A">
        <w:rPr>
          <w:rFonts w:ascii="Times New Roman" w:hAnsi="Times New Roman" w:cs="Times New Roman"/>
          <w:sz w:val="24"/>
          <w:szCs w:val="24"/>
        </w:rPr>
        <w:t xml:space="preserve"> </w:t>
      </w:r>
      <w:r w:rsidRPr="00B341C6">
        <w:rPr>
          <w:rFonts w:ascii="Times New Roman" w:hAnsi="Times New Roman" w:cs="Times New Roman"/>
          <w:sz w:val="24"/>
          <w:szCs w:val="24"/>
        </w:rPr>
        <w:t xml:space="preserve">And the record, witness testimony, a wide range of </w:t>
      </w:r>
      <w:r w:rsidRPr="00B341C6" w:rsidR="0019460F">
        <w:rPr>
          <w:rFonts w:ascii="Times New Roman" w:hAnsi="Times New Roman" w:cs="Times New Roman"/>
          <w:sz w:val="24"/>
          <w:szCs w:val="24"/>
        </w:rPr>
        <w:t>s</w:t>
      </w:r>
      <w:r w:rsidRPr="00B341C6">
        <w:rPr>
          <w:rFonts w:ascii="Times New Roman" w:hAnsi="Times New Roman" w:cs="Times New Roman"/>
          <w:sz w:val="24"/>
          <w:szCs w:val="24"/>
        </w:rPr>
        <w:t>ettlement participants and signatory and non-opposing parties representing a wide-range of interests</w:t>
      </w:r>
      <w:r w:rsidR="004F2179">
        <w:rPr>
          <w:rFonts w:ascii="Times New Roman" w:hAnsi="Times New Roman" w:cs="Times New Roman"/>
          <w:sz w:val="24"/>
          <w:szCs w:val="24"/>
        </w:rPr>
        <w:t>.</w:t>
      </w:r>
      <w:r w:rsidRPr="00B341C6">
        <w:rPr>
          <w:rFonts w:ascii="Times New Roman" w:hAnsi="Times New Roman" w:cs="Times New Roman"/>
          <w:sz w:val="24"/>
          <w:szCs w:val="24"/>
        </w:rPr>
        <w:t xml:space="preserve"> </w:t>
      </w:r>
      <w:r w:rsidR="004F2179">
        <w:rPr>
          <w:rFonts w:ascii="Times New Roman" w:hAnsi="Times New Roman" w:cs="Times New Roman"/>
          <w:sz w:val="24"/>
          <w:szCs w:val="24"/>
        </w:rPr>
        <w:t>T</w:t>
      </w:r>
      <w:r w:rsidRPr="00B341C6">
        <w:rPr>
          <w:rFonts w:ascii="Times New Roman" w:hAnsi="Times New Roman" w:cs="Times New Roman"/>
          <w:sz w:val="24"/>
          <w:szCs w:val="24"/>
        </w:rPr>
        <w:t>he give and take described in the testimony and case record all demonstrate serious bargaining.</w:t>
      </w:r>
      <w:r w:rsidR="00AD161A">
        <w:rPr>
          <w:rFonts w:ascii="Times New Roman" w:hAnsi="Times New Roman" w:cs="Times New Roman"/>
          <w:sz w:val="24"/>
          <w:szCs w:val="24"/>
        </w:rPr>
        <w:t xml:space="preserve"> </w:t>
      </w:r>
      <w:r w:rsidRPr="00B341C6">
        <w:rPr>
          <w:rFonts w:ascii="Times New Roman" w:hAnsi="Times New Roman" w:cs="Times New Roman"/>
          <w:sz w:val="24"/>
          <w:szCs w:val="24"/>
        </w:rPr>
        <w:t xml:space="preserve">IGS/RESA’ attempt to parse the words “appears to be” is </w:t>
      </w:r>
      <w:r w:rsidRPr="00B341C6" w:rsidR="00893FAE">
        <w:rPr>
          <w:rFonts w:ascii="Times New Roman" w:hAnsi="Times New Roman" w:cs="Times New Roman"/>
          <w:sz w:val="24"/>
          <w:szCs w:val="24"/>
        </w:rPr>
        <w:t>unpersuasive.</w:t>
      </w:r>
    </w:p>
    <w:p w:rsidR="00345BE7" w:rsidP="00345BE7" w14:paraId="39CCDE76" w14:textId="4196A4FD">
      <w:pPr>
        <w:spacing w:line="480" w:lineRule="auto"/>
        <w:ind w:firstLine="720"/>
        <w:rPr>
          <w:szCs w:val="24"/>
        </w:rPr>
      </w:pPr>
      <w:r>
        <w:rPr>
          <w:szCs w:val="24"/>
        </w:rPr>
        <w:t>The PU</w:t>
      </w:r>
      <w:r w:rsidR="005C6C2C">
        <w:rPr>
          <w:szCs w:val="24"/>
        </w:rPr>
        <w:t>CO</w:t>
      </w:r>
      <w:r>
        <w:rPr>
          <w:szCs w:val="24"/>
        </w:rPr>
        <w:t xml:space="preserve"> </w:t>
      </w:r>
      <w:r w:rsidR="0078531D">
        <w:rPr>
          <w:szCs w:val="24"/>
        </w:rPr>
        <w:t>determin</w:t>
      </w:r>
      <w:r>
        <w:rPr>
          <w:szCs w:val="24"/>
        </w:rPr>
        <w:t>ed</w:t>
      </w:r>
      <w:r w:rsidR="0078531D">
        <w:rPr>
          <w:szCs w:val="24"/>
        </w:rPr>
        <w:t xml:space="preserve"> that it is “not required to evaluate settlement </w:t>
      </w:r>
      <w:r w:rsidR="00727919">
        <w:rPr>
          <w:szCs w:val="24"/>
        </w:rPr>
        <w:t>negotiations</w:t>
      </w:r>
      <w:r w:rsidR="0078531D">
        <w:rPr>
          <w:szCs w:val="24"/>
        </w:rPr>
        <w:t xml:space="preserve"> to the granular level suggested by RESA/IGS</w:t>
      </w:r>
      <w:r>
        <w:rPr>
          <w:szCs w:val="24"/>
        </w:rPr>
        <w:t xml:space="preserve"> or determine whether such </w:t>
      </w:r>
      <w:r w:rsidR="00727919">
        <w:rPr>
          <w:szCs w:val="24"/>
        </w:rPr>
        <w:t>negotiation</w:t>
      </w:r>
      <w:r>
        <w:rPr>
          <w:szCs w:val="24"/>
        </w:rPr>
        <w:t xml:space="preserve"> were inclusive in terms of the parties’ positions on various provisions</w:t>
      </w:r>
      <w:r w:rsidR="004837E7">
        <w:rPr>
          <w:szCs w:val="24"/>
        </w:rPr>
        <w:t>.”</w:t>
      </w:r>
      <w:r>
        <w:rPr>
          <w:rStyle w:val="FootnoteReference"/>
          <w:szCs w:val="24"/>
        </w:rPr>
        <w:footnoteReference w:id="21"/>
      </w:r>
      <w:r w:rsidR="00727919">
        <w:rPr>
          <w:szCs w:val="24"/>
        </w:rPr>
        <w:t xml:space="preserve"> And consistent with the PUCO’s determination, t</w:t>
      </w:r>
      <w:r w:rsidRPr="00F7404D" w:rsidR="000274E9">
        <w:rPr>
          <w:szCs w:val="24"/>
        </w:rPr>
        <w:t xml:space="preserve">he only plausible way of doing things is as they were done. </w:t>
      </w:r>
      <w:r w:rsidRPr="00F7404D" w:rsidR="00697154">
        <w:rPr>
          <w:szCs w:val="24"/>
        </w:rPr>
        <w:t>P</w:t>
      </w:r>
      <w:r w:rsidRPr="00F7404D" w:rsidR="000274E9">
        <w:rPr>
          <w:szCs w:val="24"/>
        </w:rPr>
        <w:t>arties who have intervened are invited to negotiat</w:t>
      </w:r>
      <w:r w:rsidRPr="00F7404D" w:rsidR="00697154">
        <w:rPr>
          <w:szCs w:val="24"/>
        </w:rPr>
        <w:t>e</w:t>
      </w:r>
      <w:r w:rsidRPr="00F7404D" w:rsidR="000274E9">
        <w:rPr>
          <w:szCs w:val="24"/>
        </w:rPr>
        <w:t>. Then, if they reach a settlement, it is publicly filed and available for all to see. Then, if anyone who had not previously intervened is interested in the settlement, they have an opportunity to seek intervention to address any aspects of the settlement. Then, they have an opportunity to oppose the settlement by filing testimony, participating in a hearing, and briefing the case.</w:t>
      </w:r>
      <w:r w:rsidRPr="00F7404D" w:rsidR="00697154">
        <w:rPr>
          <w:szCs w:val="24"/>
        </w:rPr>
        <w:t xml:space="preserve"> That the Marketers did.</w:t>
      </w:r>
    </w:p>
    <w:p w:rsidR="00634E5D" w:rsidRPr="00F7404D" w:rsidP="00345BE7" w14:paraId="749B81BF" w14:textId="62C555A5">
      <w:pPr>
        <w:spacing w:line="480" w:lineRule="auto"/>
        <w:ind w:firstLine="720"/>
        <w:rPr>
          <w:szCs w:val="24"/>
        </w:rPr>
      </w:pPr>
      <w:r>
        <w:rPr>
          <w:szCs w:val="24"/>
        </w:rPr>
        <w:t>The PUCO’s Opinion and Order approving the consumer-friendly Settlement was lawful and reasonable.</w:t>
      </w:r>
      <w:r w:rsidR="00120E41">
        <w:rPr>
          <w:szCs w:val="24"/>
        </w:rPr>
        <w:t xml:space="preserve"> </w:t>
      </w:r>
      <w:r>
        <w:rPr>
          <w:szCs w:val="24"/>
        </w:rPr>
        <w:t>The Marketers’ application for rehearing should be rejected.</w:t>
      </w:r>
    </w:p>
    <w:p w:rsidR="00345BE7" w:rsidRPr="00F7404D" w:rsidP="00345BE7" w14:paraId="39247EBE" w14:textId="58EBF91D">
      <w:pPr>
        <w:keepNext/>
        <w:keepLines/>
        <w:spacing w:after="240"/>
        <w:ind w:left="1440" w:hanging="720"/>
        <w:rPr>
          <w:b/>
          <w:bCs/>
          <w:szCs w:val="24"/>
        </w:rPr>
      </w:pPr>
      <w:bookmarkStart w:id="3" w:name="_Toc104888141"/>
      <w:r w:rsidRPr="00F7404D">
        <w:rPr>
          <w:rStyle w:val="Heading2Char"/>
          <w:rFonts w:ascii="Times New Roman" w:hAnsi="Times New Roman"/>
        </w:rPr>
        <w:t>B.</w:t>
      </w:r>
      <w:r w:rsidRPr="00F7404D">
        <w:rPr>
          <w:rStyle w:val="Heading2Char"/>
          <w:rFonts w:ascii="Times New Roman" w:hAnsi="Times New Roman"/>
        </w:rPr>
        <w:tab/>
        <w:t xml:space="preserve">The </w:t>
      </w:r>
      <w:r w:rsidR="00167867">
        <w:rPr>
          <w:rStyle w:val="Heading2Char"/>
          <w:rFonts w:ascii="Times New Roman" w:hAnsi="Times New Roman"/>
        </w:rPr>
        <w:t>Settlement as a package benefits con</w:t>
      </w:r>
      <w:r w:rsidR="00A44217">
        <w:rPr>
          <w:rStyle w:val="Heading2Char"/>
          <w:rFonts w:ascii="Times New Roman" w:hAnsi="Times New Roman"/>
        </w:rPr>
        <w:t>s</w:t>
      </w:r>
      <w:r w:rsidR="00167867">
        <w:rPr>
          <w:rStyle w:val="Heading2Char"/>
          <w:rFonts w:ascii="Times New Roman" w:hAnsi="Times New Roman"/>
        </w:rPr>
        <w:t>umers and the public interest</w:t>
      </w:r>
      <w:r w:rsidRPr="00F7404D">
        <w:rPr>
          <w:rStyle w:val="Heading2Char"/>
          <w:rFonts w:ascii="Times New Roman" w:hAnsi="Times New Roman"/>
        </w:rPr>
        <w:t>.</w:t>
      </w:r>
      <w:bookmarkEnd w:id="3"/>
    </w:p>
    <w:p w:rsidR="001A396E" w:rsidRPr="00BA04A8" w:rsidP="007055C6" w14:paraId="51CE470C" w14:textId="4B444C0F">
      <w:pPr>
        <w:spacing w:line="480" w:lineRule="auto"/>
        <w:ind w:firstLine="720"/>
        <w:rPr>
          <w:szCs w:val="24"/>
        </w:rPr>
      </w:pPr>
      <w:r w:rsidRPr="00F7404D">
        <w:rPr>
          <w:szCs w:val="24"/>
        </w:rPr>
        <w:t>The second prong of the PUCO’s settlement test requires the PUCO to determine whether the Settlement</w:t>
      </w:r>
      <w:r w:rsidRPr="00F7404D" w:rsidR="00673ABA">
        <w:rPr>
          <w:szCs w:val="24"/>
        </w:rPr>
        <w:t>,</w:t>
      </w:r>
      <w:r w:rsidRPr="00F7404D">
        <w:rPr>
          <w:szCs w:val="24"/>
        </w:rPr>
        <w:t xml:space="preserve"> </w:t>
      </w:r>
      <w:r w:rsidRPr="00F7404D">
        <w:rPr>
          <w:i/>
          <w:iCs/>
          <w:szCs w:val="24"/>
        </w:rPr>
        <w:t>as a package</w:t>
      </w:r>
      <w:r w:rsidRPr="00F7404D">
        <w:rPr>
          <w:szCs w:val="24"/>
        </w:rPr>
        <w:t xml:space="preserve">, benefits </w:t>
      </w:r>
      <w:r w:rsidR="00BA04A8">
        <w:rPr>
          <w:szCs w:val="24"/>
        </w:rPr>
        <w:t>consumers</w:t>
      </w:r>
      <w:r w:rsidRPr="00F7404D">
        <w:rPr>
          <w:szCs w:val="24"/>
        </w:rPr>
        <w:t xml:space="preserve"> and the public interest.</w:t>
      </w:r>
      <w:r>
        <w:rPr>
          <w:rStyle w:val="FootnoteReference"/>
          <w:szCs w:val="24"/>
        </w:rPr>
        <w:footnoteReference w:id="22"/>
      </w:r>
      <w:r w:rsidRPr="00F7404D" w:rsidR="00250F16">
        <w:rPr>
          <w:szCs w:val="24"/>
        </w:rPr>
        <w:t xml:space="preserve"> </w:t>
      </w:r>
      <w:r w:rsidR="00E11F8D">
        <w:rPr>
          <w:szCs w:val="24"/>
        </w:rPr>
        <w:t>As the PUCO described in its Opinion and Order, i</w:t>
      </w:r>
      <w:r w:rsidR="00D95463">
        <w:rPr>
          <w:szCs w:val="24"/>
        </w:rPr>
        <w:t xml:space="preserve">t is </w:t>
      </w:r>
      <w:r w:rsidRPr="0046129B" w:rsidR="00D95463">
        <w:rPr>
          <w:i/>
          <w:iCs/>
          <w:szCs w:val="24"/>
        </w:rPr>
        <w:t>not</w:t>
      </w:r>
      <w:r w:rsidR="00D95463">
        <w:rPr>
          <w:szCs w:val="24"/>
        </w:rPr>
        <w:t xml:space="preserve"> </w:t>
      </w:r>
      <w:r w:rsidR="0086787E">
        <w:rPr>
          <w:szCs w:val="24"/>
        </w:rPr>
        <w:t>“whether there are different or additional provisions that would otherwise benefits [consumers] and the public interest</w:t>
      </w:r>
      <w:r w:rsidR="00E11F8D">
        <w:rPr>
          <w:szCs w:val="24"/>
        </w:rPr>
        <w:t xml:space="preserve"> .</w:t>
      </w:r>
      <w:r w:rsidR="0086787E">
        <w:rPr>
          <w:szCs w:val="24"/>
        </w:rPr>
        <w:t>…”</w:t>
      </w:r>
      <w:r>
        <w:rPr>
          <w:rStyle w:val="FootnoteReference"/>
          <w:szCs w:val="24"/>
        </w:rPr>
        <w:footnoteReference w:id="23"/>
      </w:r>
      <w:r w:rsidR="0086787E">
        <w:rPr>
          <w:szCs w:val="24"/>
        </w:rPr>
        <w:t xml:space="preserve"> </w:t>
      </w:r>
      <w:r w:rsidRPr="00F7404D" w:rsidR="00250F16">
        <w:rPr>
          <w:szCs w:val="24"/>
        </w:rPr>
        <w:t xml:space="preserve">The Marketers claim </w:t>
      </w:r>
      <w:r w:rsidR="00BA04A8">
        <w:rPr>
          <w:szCs w:val="24"/>
        </w:rPr>
        <w:t xml:space="preserve">that the PUCO unreasonably and unlawfully shifted the burden to them of showing that the Settlement </w:t>
      </w:r>
      <w:r w:rsidR="00BA04A8">
        <w:rPr>
          <w:i/>
          <w:iCs/>
          <w:szCs w:val="24"/>
        </w:rPr>
        <w:t xml:space="preserve">does not </w:t>
      </w:r>
      <w:r w:rsidR="00BA04A8">
        <w:rPr>
          <w:szCs w:val="24"/>
        </w:rPr>
        <w:t>benefit consumers and the public interest.</w:t>
      </w:r>
      <w:r>
        <w:rPr>
          <w:rStyle w:val="FootnoteReference"/>
          <w:szCs w:val="24"/>
        </w:rPr>
        <w:footnoteReference w:id="24"/>
      </w:r>
      <w:r w:rsidR="00120E41">
        <w:rPr>
          <w:szCs w:val="24"/>
        </w:rPr>
        <w:t xml:space="preserve"> </w:t>
      </w:r>
      <w:r w:rsidR="00BA04A8">
        <w:rPr>
          <w:szCs w:val="24"/>
        </w:rPr>
        <w:t xml:space="preserve">The Marketers also claim that the Settlement fails the second prong </w:t>
      </w:r>
      <w:r w:rsidR="00BA04A8">
        <w:t>because the competitive market provisions were included to the detriment of consumers.</w:t>
      </w:r>
      <w:r>
        <w:rPr>
          <w:rStyle w:val="FootnoteReference"/>
        </w:rPr>
        <w:footnoteReference w:id="25"/>
      </w:r>
      <w:r w:rsidR="00BA04A8">
        <w:rPr>
          <w:szCs w:val="24"/>
        </w:rPr>
        <w:t xml:space="preserve"> </w:t>
      </w:r>
    </w:p>
    <w:p w:rsidR="001A396E" w:rsidRPr="00F7404D" w:rsidP="007055C6" w14:paraId="1AEFBD41" w14:textId="20E2148A">
      <w:pPr>
        <w:spacing w:line="480" w:lineRule="auto"/>
        <w:ind w:firstLine="720"/>
        <w:rPr>
          <w:szCs w:val="24"/>
        </w:rPr>
      </w:pPr>
      <w:r w:rsidRPr="00F7404D">
        <w:rPr>
          <w:szCs w:val="24"/>
        </w:rPr>
        <w:t>The Marketers are incorrect. Though their intervention was rightfully limited, they were no</w:t>
      </w:r>
      <w:r w:rsidRPr="00F7404D" w:rsidR="000268B6">
        <w:rPr>
          <w:szCs w:val="24"/>
        </w:rPr>
        <w:t>t</w:t>
      </w:r>
      <w:r w:rsidRPr="00F7404D">
        <w:rPr>
          <w:szCs w:val="24"/>
        </w:rPr>
        <w:t xml:space="preserve"> prohibited from arguing that the </w:t>
      </w:r>
      <w:r w:rsidRPr="00F7404D" w:rsidR="00673ABA">
        <w:rPr>
          <w:szCs w:val="24"/>
        </w:rPr>
        <w:t>S</w:t>
      </w:r>
      <w:r w:rsidRPr="00F7404D">
        <w:rPr>
          <w:szCs w:val="24"/>
        </w:rPr>
        <w:t>ettlement, as a package, fails the second prong of the PUCO’s settlement test. The Marketers were well within their rights to acknowledge the tax and MGP benefits under the Settlement (without challenging those benefits) and to then argue that notwithstanding those many benefits, the Settlement—as a package—still fails the PUCO’s three-prong test because of the market-related.</w:t>
      </w:r>
    </w:p>
    <w:p w:rsidR="001A396E" w:rsidRPr="00F7404D" w:rsidP="007055C6" w14:paraId="6929F9F4" w14:textId="705AE4E7">
      <w:pPr>
        <w:spacing w:line="480" w:lineRule="auto"/>
        <w:ind w:firstLine="720"/>
        <w:rPr>
          <w:szCs w:val="24"/>
        </w:rPr>
      </w:pPr>
      <w:r w:rsidRPr="00F7404D">
        <w:rPr>
          <w:szCs w:val="24"/>
        </w:rPr>
        <w:t xml:space="preserve">Instead, they </w:t>
      </w:r>
      <w:r w:rsidRPr="00F7404D">
        <w:rPr>
          <w:i/>
          <w:iCs/>
          <w:szCs w:val="24"/>
        </w:rPr>
        <w:t>chose</w:t>
      </w:r>
      <w:r w:rsidRPr="00F7404D">
        <w:rPr>
          <w:szCs w:val="24"/>
        </w:rPr>
        <w:t xml:space="preserve"> to evaluate the merits of each market-related provision in isolation, debating the merits of each on its own.</w:t>
      </w:r>
      <w:r>
        <w:rPr>
          <w:rStyle w:val="FootnoteReference"/>
          <w:szCs w:val="24"/>
        </w:rPr>
        <w:footnoteReference w:id="26"/>
      </w:r>
      <w:r w:rsidRPr="00F7404D">
        <w:rPr>
          <w:szCs w:val="24"/>
        </w:rPr>
        <w:t xml:space="preserve"> They elected not to consider those provisions in the context of the larger Settlement </w:t>
      </w:r>
      <w:r w:rsidR="00A44217">
        <w:rPr>
          <w:szCs w:val="24"/>
        </w:rPr>
        <w:t xml:space="preserve">package </w:t>
      </w:r>
      <w:r w:rsidRPr="00F7404D">
        <w:rPr>
          <w:szCs w:val="24"/>
        </w:rPr>
        <w:t xml:space="preserve">and the many benefits MGP and tax benefits to consumers. This failure to consider the Settlement as a package is fatal to the Marketers’ complaints </w:t>
      </w:r>
      <w:r w:rsidR="006357C0">
        <w:rPr>
          <w:szCs w:val="24"/>
        </w:rPr>
        <w:t xml:space="preserve">on rehearing </w:t>
      </w:r>
      <w:r w:rsidRPr="00F7404D">
        <w:rPr>
          <w:szCs w:val="24"/>
        </w:rPr>
        <w:t>about the market-related provisions.</w:t>
      </w:r>
    </w:p>
    <w:p w:rsidR="00673ABA" w:rsidP="004C2CE6" w14:paraId="11A53B33" w14:textId="71D3F1AE">
      <w:pPr>
        <w:spacing w:line="480" w:lineRule="auto"/>
        <w:ind w:firstLine="720"/>
        <w:rPr>
          <w:szCs w:val="24"/>
        </w:rPr>
      </w:pPr>
      <w:bookmarkStart w:id="4" w:name="_Toc104375564"/>
      <w:r w:rsidRPr="00CD538C">
        <w:t>Further, t</w:t>
      </w:r>
      <w:bookmarkEnd w:id="4"/>
      <w:r w:rsidRPr="00CD538C" w:rsidR="00C55B63">
        <w:t>he PUCO</w:t>
      </w:r>
      <w:r w:rsidRPr="00F7404D" w:rsidR="00C55B63">
        <w:rPr>
          <w:szCs w:val="24"/>
        </w:rPr>
        <w:t xml:space="preserve"> evaluates Settlement</w:t>
      </w:r>
      <w:r w:rsidRPr="00F7404D" w:rsidR="000274E9">
        <w:rPr>
          <w:szCs w:val="24"/>
        </w:rPr>
        <w:t>s</w:t>
      </w:r>
      <w:r w:rsidRPr="00F7404D" w:rsidR="00C55B63">
        <w:rPr>
          <w:szCs w:val="24"/>
        </w:rPr>
        <w:t xml:space="preserve"> as a package</w:t>
      </w:r>
      <w:r w:rsidRPr="00F7404D" w:rsidR="000274E9">
        <w:rPr>
          <w:szCs w:val="24"/>
        </w:rPr>
        <w:t>. Here,</w:t>
      </w:r>
      <w:r w:rsidR="004C2CE6">
        <w:rPr>
          <w:szCs w:val="24"/>
        </w:rPr>
        <w:t xml:space="preserve"> contrary to the Marketers’ assertions,</w:t>
      </w:r>
      <w:r w:rsidRPr="00F7404D" w:rsidR="00C55B63">
        <w:rPr>
          <w:szCs w:val="24"/>
        </w:rPr>
        <w:t xml:space="preserve"> it conclude</w:t>
      </w:r>
      <w:r>
        <w:rPr>
          <w:szCs w:val="24"/>
        </w:rPr>
        <w:t xml:space="preserve">d based </w:t>
      </w:r>
      <w:r w:rsidRPr="004C2CE6">
        <w:rPr>
          <w:i/>
          <w:iCs/>
          <w:szCs w:val="24"/>
        </w:rPr>
        <w:t>on the evidence</w:t>
      </w:r>
      <w:r>
        <w:rPr>
          <w:szCs w:val="24"/>
        </w:rPr>
        <w:t xml:space="preserve"> that the Settlement, as a package, benefits consumers and the public interest.</w:t>
      </w:r>
      <w:r w:rsidR="00120E41">
        <w:rPr>
          <w:szCs w:val="24"/>
        </w:rPr>
        <w:t xml:space="preserve"> </w:t>
      </w:r>
    </w:p>
    <w:p w:rsidR="00887AF9" w:rsidRPr="00B341C6" w:rsidP="0046129B" w14:paraId="62C1A54D" w14:textId="10564B0F">
      <w:pPr>
        <w:pStyle w:val="NoSpacing"/>
        <w:spacing w:line="480" w:lineRule="auto"/>
        <w:ind w:firstLine="720"/>
        <w:rPr>
          <w:szCs w:val="24"/>
        </w:rPr>
      </w:pPr>
      <w:r w:rsidRPr="00B341C6">
        <w:rPr>
          <w:rFonts w:ascii="Times New Roman" w:hAnsi="Times New Roman" w:cs="Times New Roman"/>
          <w:sz w:val="24"/>
          <w:szCs w:val="24"/>
        </w:rPr>
        <w:t xml:space="preserve">There is no detriment to consumers from the competitive provisions as IGS/RESA allege. The Settlement was signed by OCC (the statutory representative of residential consumers); </w:t>
      </w:r>
      <w:r w:rsidR="00167867">
        <w:rPr>
          <w:rFonts w:ascii="Times New Roman" w:hAnsi="Times New Roman" w:cs="Times New Roman"/>
          <w:sz w:val="24"/>
          <w:szCs w:val="24"/>
        </w:rPr>
        <w:t xml:space="preserve">the </w:t>
      </w:r>
      <w:r w:rsidRPr="00B341C6">
        <w:rPr>
          <w:rFonts w:ascii="Times New Roman" w:hAnsi="Times New Roman" w:cs="Times New Roman"/>
          <w:sz w:val="24"/>
          <w:szCs w:val="24"/>
        </w:rPr>
        <w:t>PUCO Staff, whose function is to represent the public interest; Ohio Energy Group, that represents several large industrial energy users</w:t>
      </w:r>
      <w:r w:rsidRPr="00B341C6" w:rsidR="00431231">
        <w:rPr>
          <w:rFonts w:ascii="Times New Roman" w:hAnsi="Times New Roman" w:cs="Times New Roman"/>
          <w:sz w:val="24"/>
          <w:szCs w:val="24"/>
        </w:rPr>
        <w:t>;</w:t>
      </w:r>
      <w:r w:rsidRPr="00B341C6">
        <w:rPr>
          <w:rFonts w:ascii="Times New Roman" w:hAnsi="Times New Roman" w:cs="Times New Roman"/>
          <w:sz w:val="24"/>
          <w:szCs w:val="24"/>
        </w:rPr>
        <w:t xml:space="preserve"> and Duke, which represents its shareholder interests.</w:t>
      </w:r>
      <w:r w:rsidR="00AD161A">
        <w:rPr>
          <w:rFonts w:ascii="Times New Roman" w:hAnsi="Times New Roman" w:cs="Times New Roman"/>
          <w:sz w:val="24"/>
          <w:szCs w:val="24"/>
        </w:rPr>
        <w:t xml:space="preserve"> </w:t>
      </w:r>
      <w:r w:rsidRPr="00B341C6">
        <w:rPr>
          <w:rFonts w:ascii="Times New Roman" w:hAnsi="Times New Roman" w:cs="Times New Roman"/>
          <w:sz w:val="24"/>
          <w:szCs w:val="24"/>
        </w:rPr>
        <w:t>Other entities that participated extensively in the Settlement discussions and agreed formally to not oppose the Settlement included the Ohio Manufacturers Association Energy Group, the Kroger Company, and the Ohio Partners for Affordable Energy.</w:t>
      </w:r>
      <w:r w:rsidR="00AD161A">
        <w:rPr>
          <w:rFonts w:ascii="Times New Roman" w:hAnsi="Times New Roman" w:cs="Times New Roman"/>
          <w:sz w:val="24"/>
          <w:szCs w:val="24"/>
        </w:rPr>
        <w:t xml:space="preserve"> </w:t>
      </w:r>
      <w:r w:rsidRPr="00B341C6">
        <w:rPr>
          <w:rFonts w:ascii="Times New Roman" w:hAnsi="Times New Roman" w:cs="Times New Roman"/>
          <w:sz w:val="24"/>
          <w:szCs w:val="24"/>
        </w:rPr>
        <w:t xml:space="preserve">This diverse group that often finds its members at odds over benefit or detriment to </w:t>
      </w:r>
      <w:r w:rsidRPr="00B341C6" w:rsidR="00E11F8D">
        <w:rPr>
          <w:rFonts w:ascii="Times New Roman" w:hAnsi="Times New Roman" w:cs="Times New Roman"/>
          <w:sz w:val="24"/>
          <w:szCs w:val="24"/>
        </w:rPr>
        <w:t>consumers</w:t>
      </w:r>
      <w:r w:rsidRPr="00B341C6">
        <w:rPr>
          <w:rFonts w:ascii="Times New Roman" w:hAnsi="Times New Roman" w:cs="Times New Roman"/>
          <w:sz w:val="24"/>
          <w:szCs w:val="24"/>
        </w:rPr>
        <w:t xml:space="preserve"> all found the Settlement to be a just and reasonable resolution to the numerous and contentious cases at issue here.</w:t>
      </w:r>
      <w:r w:rsidR="00AD161A">
        <w:rPr>
          <w:rFonts w:ascii="Times New Roman" w:hAnsi="Times New Roman" w:cs="Times New Roman"/>
          <w:sz w:val="24"/>
          <w:szCs w:val="24"/>
        </w:rPr>
        <w:t xml:space="preserve"> </w:t>
      </w:r>
      <w:r w:rsidRPr="00B341C6">
        <w:rPr>
          <w:rFonts w:ascii="Times New Roman" w:hAnsi="Times New Roman" w:cs="Times New Roman"/>
          <w:sz w:val="24"/>
          <w:szCs w:val="24"/>
        </w:rPr>
        <w:t xml:space="preserve">And they found no detriment </w:t>
      </w:r>
      <w:r w:rsidRPr="00B341C6" w:rsidR="00431231">
        <w:rPr>
          <w:rFonts w:ascii="Times New Roman" w:hAnsi="Times New Roman" w:cs="Times New Roman"/>
          <w:sz w:val="24"/>
          <w:szCs w:val="24"/>
        </w:rPr>
        <w:t>to consumers</w:t>
      </w:r>
      <w:r w:rsidRPr="00B341C6">
        <w:rPr>
          <w:rFonts w:ascii="Times New Roman" w:hAnsi="Times New Roman" w:cs="Times New Roman"/>
          <w:sz w:val="24"/>
          <w:szCs w:val="24"/>
        </w:rPr>
        <w:t>.</w:t>
      </w:r>
    </w:p>
    <w:p w:rsidR="00FE17D3" w:rsidRPr="00F7404D" w:rsidP="00FE17D3" w14:paraId="48CDE7AD" w14:textId="5BB8FCA8">
      <w:pPr>
        <w:spacing w:line="480" w:lineRule="auto"/>
        <w:ind w:firstLine="720"/>
        <w:rPr>
          <w:szCs w:val="24"/>
        </w:rPr>
      </w:pPr>
      <w:r w:rsidRPr="00F7404D">
        <w:rPr>
          <w:szCs w:val="24"/>
        </w:rPr>
        <w:t xml:space="preserve">The SSO would benefit </w:t>
      </w:r>
      <w:r w:rsidR="00624C5C">
        <w:rPr>
          <w:szCs w:val="24"/>
        </w:rPr>
        <w:t>consumers</w:t>
      </w:r>
      <w:r w:rsidRPr="00F7404D">
        <w:rPr>
          <w:szCs w:val="24"/>
        </w:rPr>
        <w:t>.</w:t>
      </w:r>
      <w:r w:rsidR="00120E41">
        <w:rPr>
          <w:szCs w:val="24"/>
        </w:rPr>
        <w:t xml:space="preserve"> </w:t>
      </w:r>
      <w:r w:rsidRPr="00F7404D">
        <w:rPr>
          <w:szCs w:val="24"/>
        </w:rPr>
        <w:t>Marketer witness Crist testified that Duke should transition to a Standard Choice Offer instead of a Standard Service Offer. But he admitted that an SSO was an improvement over a GCR. In responding to a hypothetical about whether he would choose a GCR or an SSO if those were the only two options, he testified: “I would say an SSO is a step better than a GCR.”</w:t>
      </w:r>
      <w:r>
        <w:rPr>
          <w:rStyle w:val="FootnoteReference"/>
          <w:szCs w:val="24"/>
        </w:rPr>
        <w:footnoteReference w:id="27"/>
      </w:r>
      <w:r w:rsidRPr="00F7404D">
        <w:rPr>
          <w:szCs w:val="24"/>
        </w:rPr>
        <w:t xml:space="preserve"> According to Mr. Crist, an SSO is better than a GCR because an “SSO involves competitive bidding and auction format.”</w:t>
      </w:r>
      <w:r>
        <w:rPr>
          <w:rStyle w:val="FootnoteReference"/>
          <w:szCs w:val="24"/>
        </w:rPr>
        <w:footnoteReference w:id="28"/>
      </w:r>
      <w:r w:rsidRPr="00F7404D">
        <w:rPr>
          <w:szCs w:val="24"/>
        </w:rPr>
        <w:t xml:space="preserve"> Thus, even the Marketers have admitted that a transition to SSO is a benefit to customers, which supports approval of the Settlement.</w:t>
      </w:r>
      <w:r>
        <w:rPr>
          <w:rStyle w:val="FootnoteReference"/>
          <w:szCs w:val="24"/>
        </w:rPr>
        <w:footnoteReference w:id="29"/>
      </w:r>
    </w:p>
    <w:p w:rsidR="00FE17D3" w:rsidRPr="00F7404D" w:rsidP="00FE17D3" w14:paraId="7E107255" w14:textId="3C8D52FD">
      <w:pPr>
        <w:spacing w:line="480" w:lineRule="auto"/>
        <w:ind w:firstLine="720"/>
        <w:rPr>
          <w:szCs w:val="24"/>
        </w:rPr>
      </w:pPr>
      <w:r w:rsidRPr="00F7404D">
        <w:rPr>
          <w:szCs w:val="24"/>
        </w:rPr>
        <w:t>Duke witness Spiller also testified that an SSO benefits customers, saying that “transition to a competitive auction structure” under an SSO was a “significant benefit” of the Settlement that “furthers the competitive natural gas market.”</w:t>
      </w:r>
      <w:r>
        <w:rPr>
          <w:rStyle w:val="FootnoteReference"/>
          <w:szCs w:val="24"/>
        </w:rPr>
        <w:footnoteReference w:id="30"/>
      </w:r>
      <w:r w:rsidRPr="00F7404D">
        <w:rPr>
          <w:szCs w:val="24"/>
        </w:rPr>
        <w:t xml:space="preserve"> And indeed, the other major natural gas distribution utilities (Dominion, CenterPoint, and Columbia) all initially transitioned from a GCR to an SSO.</w:t>
      </w:r>
      <w:r>
        <w:rPr>
          <w:rStyle w:val="FootnoteReference"/>
          <w:szCs w:val="24"/>
        </w:rPr>
        <w:footnoteReference w:id="31"/>
      </w:r>
      <w:r w:rsidRPr="00F7404D">
        <w:rPr>
          <w:szCs w:val="24"/>
        </w:rPr>
        <w:t xml:space="preserve"> The PUCO should follow this precedent and find it would benefit customers for Duke to similarly transition from a GCR to an SSO.</w:t>
      </w:r>
    </w:p>
    <w:p w:rsidR="00C55B63" w:rsidRPr="00F7404D" w:rsidP="00ED286A" w14:paraId="54135CB0" w14:textId="4E0951E7">
      <w:pPr>
        <w:spacing w:line="480" w:lineRule="auto"/>
        <w:ind w:firstLine="720"/>
        <w:rPr>
          <w:szCs w:val="24"/>
        </w:rPr>
      </w:pPr>
      <w:r>
        <w:rPr>
          <w:szCs w:val="24"/>
        </w:rPr>
        <w:t>The</w:t>
      </w:r>
      <w:r w:rsidRPr="00F7404D" w:rsidR="000F4076">
        <w:rPr>
          <w:szCs w:val="24"/>
        </w:rPr>
        <w:t xml:space="preserve"> Marketers’ arguments</w:t>
      </w:r>
      <w:r w:rsidRPr="00F7404D" w:rsidR="000274E9">
        <w:rPr>
          <w:szCs w:val="24"/>
        </w:rPr>
        <w:t xml:space="preserve"> </w:t>
      </w:r>
      <w:r>
        <w:rPr>
          <w:szCs w:val="24"/>
        </w:rPr>
        <w:t xml:space="preserve">regarding transitioning to an SSO </w:t>
      </w:r>
      <w:r w:rsidRPr="00F7404D" w:rsidR="000274E9">
        <w:rPr>
          <w:szCs w:val="24"/>
        </w:rPr>
        <w:t>are also premature because approval of the Settlement does not require Duke to transition to an SSO</w:t>
      </w:r>
      <w:r w:rsidRPr="00F7404D" w:rsidR="00855442">
        <w:rPr>
          <w:szCs w:val="24"/>
        </w:rPr>
        <w:t>.</w:t>
      </w:r>
      <w:r w:rsidRPr="00F7404D" w:rsidR="002B4377">
        <w:rPr>
          <w:szCs w:val="24"/>
        </w:rPr>
        <w:t xml:space="preserve"> The Settlement</w:t>
      </w:r>
      <w:r w:rsidRPr="00F7404D" w:rsidR="000274E9">
        <w:rPr>
          <w:szCs w:val="24"/>
        </w:rPr>
        <w:t xml:space="preserve"> merely requires Duke to </w:t>
      </w:r>
      <w:r w:rsidRPr="00F7404D" w:rsidR="000274E9">
        <w:rPr>
          <w:i/>
          <w:iCs/>
          <w:szCs w:val="24"/>
        </w:rPr>
        <w:t>file an application</w:t>
      </w:r>
      <w:r w:rsidRPr="00F7404D" w:rsidR="000274E9">
        <w:rPr>
          <w:szCs w:val="24"/>
        </w:rPr>
        <w:t xml:space="preserve"> to transition to an SSO: “Within five business days of the Commission’s approval of this Stipulation without material modification, Duke Energy Ohio shall file its application to transition to an SSO.”</w:t>
      </w:r>
      <w:r>
        <w:rPr>
          <w:rStyle w:val="FootnoteReference"/>
          <w:szCs w:val="24"/>
        </w:rPr>
        <w:footnoteReference w:id="32"/>
      </w:r>
      <w:r w:rsidRPr="00F7404D" w:rsidR="000274E9">
        <w:rPr>
          <w:szCs w:val="24"/>
        </w:rPr>
        <w:t xml:space="preserve"> Thus, any complaints the Marketers might have about Duke’s transition to an SSO are more properly raised after Duke files that future application.</w:t>
      </w:r>
      <w:r>
        <w:rPr>
          <w:rStyle w:val="FootnoteReference"/>
          <w:szCs w:val="24"/>
        </w:rPr>
        <w:footnoteReference w:id="33"/>
      </w:r>
    </w:p>
    <w:p w:rsidR="00FD2CC6" w:rsidRPr="00F7404D" w:rsidP="00947E95" w14:paraId="491A8A48" w14:textId="0F40E913">
      <w:pPr>
        <w:spacing w:line="480" w:lineRule="auto"/>
        <w:ind w:firstLine="720"/>
        <w:rPr>
          <w:szCs w:val="24"/>
        </w:rPr>
      </w:pPr>
      <w:r>
        <w:rPr>
          <w:szCs w:val="24"/>
        </w:rPr>
        <w:t>Additionally</w:t>
      </w:r>
      <w:r w:rsidRPr="00F7404D" w:rsidR="000274E9">
        <w:rPr>
          <w:szCs w:val="24"/>
        </w:rPr>
        <w:t xml:space="preserve">, the price-to-compare </w:t>
      </w:r>
      <w:r>
        <w:rPr>
          <w:szCs w:val="24"/>
        </w:rPr>
        <w:t>benefits consumers.</w:t>
      </w:r>
      <w:r w:rsidR="00120E41">
        <w:rPr>
          <w:szCs w:val="24"/>
        </w:rPr>
        <w:t xml:space="preserve"> </w:t>
      </w:r>
      <w:r>
        <w:rPr>
          <w:i/>
          <w:iCs/>
          <w:szCs w:val="24"/>
        </w:rPr>
        <w:t>T</w:t>
      </w:r>
      <w:r w:rsidRPr="00F7404D" w:rsidR="00874FFE">
        <w:rPr>
          <w:i/>
          <w:iCs/>
          <w:szCs w:val="24"/>
        </w:rPr>
        <w:t>he PUCO should note that the price-to-compare is already a beneficial staple of electric service competition for consumers</w:t>
      </w:r>
      <w:r w:rsidRPr="00F7404D" w:rsidR="006C1AB4">
        <w:rPr>
          <w:i/>
          <w:iCs/>
          <w:szCs w:val="24"/>
        </w:rPr>
        <w:t xml:space="preserve"> in Ohio</w:t>
      </w:r>
      <w:r w:rsidRPr="00F7404D" w:rsidR="00874FFE">
        <w:rPr>
          <w:i/>
          <w:iCs/>
          <w:szCs w:val="24"/>
        </w:rPr>
        <w:t xml:space="preserve">, per O.A.C. </w:t>
      </w:r>
      <w:r w:rsidRPr="00F7404D" w:rsidR="00AF29A7">
        <w:rPr>
          <w:i/>
          <w:iCs/>
          <w:szCs w:val="24"/>
        </w:rPr>
        <w:t>4901:1-10-22(B)(24)</w:t>
      </w:r>
      <w:r w:rsidRPr="00F7404D" w:rsidR="00874FFE">
        <w:rPr>
          <w:i/>
          <w:iCs/>
          <w:szCs w:val="24"/>
        </w:rPr>
        <w:t>.</w:t>
      </w:r>
      <w:r w:rsidR="00120E41">
        <w:rPr>
          <w:szCs w:val="24"/>
        </w:rPr>
        <w:t xml:space="preserve"> </w:t>
      </w:r>
      <w:r w:rsidR="00947E95">
        <w:rPr>
          <w:szCs w:val="24"/>
        </w:rPr>
        <w:t>And r</w:t>
      </w:r>
      <w:r w:rsidRPr="00F7404D" w:rsidR="000274E9">
        <w:rPr>
          <w:szCs w:val="24"/>
        </w:rPr>
        <w:t xml:space="preserve">egarding the claim that the SSO product is not identical to marketer products, </w:t>
      </w:r>
      <w:r w:rsidRPr="00F7404D" w:rsidR="00657C82">
        <w:rPr>
          <w:szCs w:val="24"/>
        </w:rPr>
        <w:t>t</w:t>
      </w:r>
      <w:r w:rsidRPr="00F7404D" w:rsidR="000274E9">
        <w:rPr>
          <w:szCs w:val="24"/>
        </w:rPr>
        <w:t>wo products need not be identical for their comparison to be relevant to consumer decision-making. Consumers routinely evaluate products that are different and consider both their similarities and differences in deciding which one to purchase. Knowing the difference in price between two products is relevant, even if the products have differences other than price.</w:t>
      </w:r>
    </w:p>
    <w:p w:rsidR="003F2BDA" w:rsidRPr="00F7404D" w:rsidP="00BA062F" w14:paraId="0CBCDDF5" w14:textId="4463DC22">
      <w:pPr>
        <w:spacing w:line="480" w:lineRule="auto"/>
        <w:ind w:firstLine="720"/>
        <w:rPr>
          <w:szCs w:val="24"/>
        </w:rPr>
      </w:pPr>
      <w:r w:rsidRPr="00F7404D">
        <w:rPr>
          <w:szCs w:val="24"/>
        </w:rPr>
        <w:t>Further, even if the SSO rate is historical, it is still</w:t>
      </w:r>
      <w:r w:rsidRPr="00F7404D" w:rsidR="006F4011">
        <w:rPr>
          <w:szCs w:val="24"/>
        </w:rPr>
        <w:t xml:space="preserve"> </w:t>
      </w:r>
      <w:r w:rsidRPr="00F7404D" w:rsidR="003239B6">
        <w:rPr>
          <w:szCs w:val="24"/>
        </w:rPr>
        <w:t>highly</w:t>
      </w:r>
      <w:r w:rsidRPr="00F7404D">
        <w:rPr>
          <w:szCs w:val="24"/>
        </w:rPr>
        <w:t xml:space="preserve"> relevant</w:t>
      </w:r>
      <w:r w:rsidRPr="00F7404D" w:rsidR="003239B6">
        <w:rPr>
          <w:szCs w:val="24"/>
        </w:rPr>
        <w:t xml:space="preserve"> for consumers</w:t>
      </w:r>
      <w:r w:rsidRPr="00F7404D">
        <w:rPr>
          <w:szCs w:val="24"/>
        </w:rPr>
        <w:t xml:space="preserve">. People rely on historical data all the time for purposes of decision-making. </w:t>
      </w:r>
      <w:r w:rsidRPr="00F7404D" w:rsidR="009E450F">
        <w:rPr>
          <w:szCs w:val="24"/>
        </w:rPr>
        <w:t>It is not credible for t</w:t>
      </w:r>
      <w:r w:rsidRPr="00F7404D">
        <w:rPr>
          <w:szCs w:val="24"/>
        </w:rPr>
        <w:t>he Marketers</w:t>
      </w:r>
      <w:r w:rsidRPr="00F7404D" w:rsidR="009E450F">
        <w:rPr>
          <w:szCs w:val="24"/>
        </w:rPr>
        <w:t xml:space="preserve"> to</w:t>
      </w:r>
      <w:r w:rsidRPr="00F7404D">
        <w:rPr>
          <w:szCs w:val="24"/>
        </w:rPr>
        <w:t xml:space="preserve"> claim that historical price data is irrelevant and has no bearing whatsoever on future prices. </w:t>
      </w:r>
    </w:p>
    <w:p w:rsidR="00947E95" w:rsidRPr="00F7404D" w:rsidP="00947E95" w14:paraId="5D3DD6C9" w14:textId="2865BBA8">
      <w:pPr>
        <w:spacing w:line="480" w:lineRule="auto"/>
        <w:ind w:firstLine="720"/>
        <w:rPr>
          <w:szCs w:val="24"/>
        </w:rPr>
      </w:pPr>
      <w:r w:rsidRPr="00F7404D">
        <w:rPr>
          <w:szCs w:val="24"/>
        </w:rPr>
        <w:t xml:space="preserve">Customers receiving price-to-compare messaging can give it whatever weight they deem fit, along with other factors, and use that data to make an informed decision. </w:t>
      </w:r>
      <w:r w:rsidRPr="00F7404D" w:rsidR="003239B6">
        <w:rPr>
          <w:szCs w:val="24"/>
        </w:rPr>
        <w:t xml:space="preserve">This </w:t>
      </w:r>
      <w:r w:rsidRPr="00F7404D">
        <w:rPr>
          <w:szCs w:val="24"/>
        </w:rPr>
        <w:t>information is good for customers—even if it might be bad for those marketers who charge high prices.</w:t>
      </w:r>
      <w:r w:rsidRPr="00F7404D" w:rsidR="003F2BDA">
        <w:rPr>
          <w:szCs w:val="24"/>
        </w:rPr>
        <w:t xml:space="preserve"> And that gets to the real effect of the Marketers’ position, to avoid the transparency that consumers need about their pricing. </w:t>
      </w:r>
      <w:r w:rsidRPr="00F7404D" w:rsidR="006F4011">
        <w:rPr>
          <w:szCs w:val="24"/>
        </w:rPr>
        <w:t>If anything, the PUCO should be focused on greater consumer protections from energy marketing, not fewer protections as the Marketers would prefer.</w:t>
      </w:r>
    </w:p>
    <w:p w:rsidR="00C86252" w:rsidP="00947E95" w14:paraId="4AE22983" w14:textId="77777777">
      <w:pPr>
        <w:keepNext/>
        <w:keepLines/>
        <w:spacing w:line="480" w:lineRule="auto"/>
        <w:ind w:firstLine="720"/>
        <w:rPr>
          <w:b/>
          <w:bCs/>
          <w:szCs w:val="24"/>
        </w:rPr>
      </w:pPr>
      <w:r w:rsidRPr="00CD538C">
        <w:rPr>
          <w:rFonts w:eastAsiaTheme="majorEastAsia"/>
        </w:rPr>
        <w:t xml:space="preserve">The Marketers’ complaints about the alleged flaws in aggregate shadow billing data are </w:t>
      </w:r>
      <w:r w:rsidRPr="00CD538C" w:rsidR="002F2C3A">
        <w:rPr>
          <w:rFonts w:eastAsiaTheme="majorEastAsia"/>
        </w:rPr>
        <w:t>unpersuasive</w:t>
      </w:r>
      <w:r w:rsidRPr="00CD538C">
        <w:rPr>
          <w:rFonts w:eastAsiaTheme="majorEastAsia"/>
        </w:rPr>
        <w:t>.</w:t>
      </w:r>
      <w:r w:rsidRPr="00CD538C" w:rsidR="00120E41">
        <w:rPr>
          <w:rFonts w:eastAsiaTheme="majorEastAsia"/>
        </w:rPr>
        <w:t xml:space="preserve"> </w:t>
      </w:r>
      <w:r w:rsidRPr="00CD538C">
        <w:t>The Settlement</w:t>
      </w:r>
      <w:r w:rsidRPr="00F7404D">
        <w:rPr>
          <w:szCs w:val="24"/>
        </w:rPr>
        <w:t xml:space="preserve"> provides that “Duke Energy will begin promptly providing the OCC, upon OCC’s request, shadow billing information for natural gas customers in a format to be mutually agreed upon by the OCC and the Company.”</w:t>
      </w:r>
      <w:r>
        <w:rPr>
          <w:rStyle w:val="FootnoteReference"/>
          <w:szCs w:val="24"/>
        </w:rPr>
        <w:footnoteReference w:id="34"/>
      </w:r>
      <w:r w:rsidRPr="00F7404D">
        <w:rPr>
          <w:szCs w:val="24"/>
        </w:rPr>
        <w:t xml:space="preserve"> Duke is required to provide OCC with “twenty-four months of data comparing aggregate shopping customer costs to what those customers would have paid had they been served on Duke Energy Ohio’s GCR or SSO.”</w:t>
      </w:r>
      <w:r>
        <w:rPr>
          <w:rStyle w:val="FootnoteReference"/>
          <w:szCs w:val="24"/>
        </w:rPr>
        <w:footnoteReference w:id="35"/>
      </w:r>
      <w:r w:rsidR="00120E41">
        <w:rPr>
          <w:b/>
          <w:bCs/>
          <w:szCs w:val="24"/>
        </w:rPr>
        <w:t xml:space="preserve"> </w:t>
      </w:r>
    </w:p>
    <w:p w:rsidR="006E0ACC" w:rsidRPr="00947E95" w:rsidP="00947E95" w14:paraId="230EA76C" w14:textId="45361D45">
      <w:pPr>
        <w:keepNext/>
        <w:keepLines/>
        <w:spacing w:line="480" w:lineRule="auto"/>
        <w:ind w:firstLine="720"/>
        <w:rPr>
          <w:b/>
          <w:bCs/>
          <w:szCs w:val="24"/>
        </w:rPr>
      </w:pPr>
      <w:r>
        <w:rPr>
          <w:szCs w:val="24"/>
        </w:rPr>
        <w:t>T</w:t>
      </w:r>
      <w:r w:rsidRPr="00F7404D" w:rsidR="000274E9">
        <w:rPr>
          <w:szCs w:val="24"/>
        </w:rPr>
        <w:t>he Marketers’ complaints</w:t>
      </w:r>
      <w:r>
        <w:rPr>
          <w:szCs w:val="24"/>
        </w:rPr>
        <w:t xml:space="preserve"> </w:t>
      </w:r>
      <w:r w:rsidRPr="00F7404D" w:rsidR="000274E9">
        <w:rPr>
          <w:szCs w:val="24"/>
        </w:rPr>
        <w:t xml:space="preserve">are </w:t>
      </w:r>
      <w:r w:rsidRPr="00F7404D" w:rsidR="00660EAD">
        <w:rPr>
          <w:szCs w:val="24"/>
        </w:rPr>
        <w:t>unpersuasive for</w:t>
      </w:r>
      <w:r w:rsidRPr="00F7404D" w:rsidR="000274E9">
        <w:rPr>
          <w:szCs w:val="24"/>
        </w:rPr>
        <w:t xml:space="preserve"> the PUCO’s three-prong test. This is because the Settlement requires nothing more than Duke providing data to OCC. The Settlement does not require OCC</w:t>
      </w:r>
      <w:r w:rsidRPr="00F7404D" w:rsidR="00F868FC">
        <w:rPr>
          <w:szCs w:val="24"/>
        </w:rPr>
        <w:t xml:space="preserve"> (or anyone else)</w:t>
      </w:r>
      <w:r w:rsidRPr="00F7404D" w:rsidR="000274E9">
        <w:rPr>
          <w:szCs w:val="24"/>
        </w:rPr>
        <w:t xml:space="preserve"> to do anything in particular with the data</w:t>
      </w:r>
      <w:r w:rsidRPr="00F7404D" w:rsidR="00660EAD">
        <w:rPr>
          <w:szCs w:val="24"/>
        </w:rPr>
        <w:t xml:space="preserve">. </w:t>
      </w:r>
      <w:r w:rsidRPr="00F7404D" w:rsidR="0020240C">
        <w:rPr>
          <w:szCs w:val="24"/>
        </w:rPr>
        <w:t>Going forward, t</w:t>
      </w:r>
      <w:r w:rsidRPr="00F7404D" w:rsidR="00B44AF1">
        <w:rPr>
          <w:szCs w:val="24"/>
        </w:rPr>
        <w:t>he Marketers</w:t>
      </w:r>
      <w:r w:rsidRPr="00F7404D" w:rsidR="00660EAD">
        <w:rPr>
          <w:szCs w:val="24"/>
        </w:rPr>
        <w:t xml:space="preserve"> can</w:t>
      </w:r>
      <w:r w:rsidRPr="00F7404D" w:rsidR="00B44AF1">
        <w:rPr>
          <w:szCs w:val="24"/>
        </w:rPr>
        <w:t xml:space="preserve"> tell the</w:t>
      </w:r>
      <w:r w:rsidRPr="00F7404D" w:rsidR="00660EAD">
        <w:rPr>
          <w:szCs w:val="24"/>
        </w:rPr>
        <w:t xml:space="preserve">ir story </w:t>
      </w:r>
      <w:r w:rsidRPr="00F7404D" w:rsidR="0020240C">
        <w:rPr>
          <w:szCs w:val="24"/>
        </w:rPr>
        <w:t xml:space="preserve">about </w:t>
      </w:r>
      <w:r w:rsidRPr="00F7404D" w:rsidR="00660EAD">
        <w:rPr>
          <w:szCs w:val="24"/>
        </w:rPr>
        <w:t>shadow billing</w:t>
      </w:r>
      <w:r w:rsidRPr="00F7404D" w:rsidR="0020240C">
        <w:rPr>
          <w:szCs w:val="24"/>
        </w:rPr>
        <w:t xml:space="preserve"> if that’s what they want to do</w:t>
      </w:r>
      <w:r w:rsidRPr="00F7404D" w:rsidR="00660EAD">
        <w:rPr>
          <w:szCs w:val="24"/>
        </w:rPr>
        <w:t>.</w:t>
      </w:r>
      <w:r w:rsidRPr="00F7404D" w:rsidR="0020240C">
        <w:rPr>
          <w:szCs w:val="24"/>
        </w:rPr>
        <w:t xml:space="preserve"> If there is a shortcoming here, it’s that </w:t>
      </w:r>
      <w:r w:rsidRPr="00F7404D" w:rsidR="00F22A1A">
        <w:rPr>
          <w:szCs w:val="24"/>
        </w:rPr>
        <w:t xml:space="preserve">Ohioans across the state need </w:t>
      </w:r>
      <w:r w:rsidRPr="00F7404D" w:rsidR="0020240C">
        <w:rPr>
          <w:szCs w:val="24"/>
        </w:rPr>
        <w:t>more</w:t>
      </w:r>
      <w:r w:rsidRPr="00F7404D" w:rsidR="00F22A1A">
        <w:rPr>
          <w:szCs w:val="24"/>
        </w:rPr>
        <w:t xml:space="preserve"> shadow billing</w:t>
      </w:r>
      <w:r w:rsidR="00790B85">
        <w:rPr>
          <w:szCs w:val="24"/>
        </w:rPr>
        <w:t xml:space="preserve"> information</w:t>
      </w:r>
      <w:r w:rsidRPr="00F7404D" w:rsidR="00F22A1A">
        <w:rPr>
          <w:szCs w:val="24"/>
        </w:rPr>
        <w:t xml:space="preserve"> for energy choices, not less.</w:t>
      </w:r>
      <w:r w:rsidR="00120E41">
        <w:rPr>
          <w:szCs w:val="24"/>
        </w:rPr>
        <w:t xml:space="preserve"> </w:t>
      </w:r>
    </w:p>
    <w:p w:rsidR="00845A88" w:rsidRPr="00F7404D" w:rsidP="00C55B63" w14:paraId="33EE6991" w14:textId="4600E41C">
      <w:pPr>
        <w:spacing w:line="480" w:lineRule="auto"/>
        <w:ind w:firstLine="720"/>
        <w:rPr>
          <w:szCs w:val="24"/>
        </w:rPr>
      </w:pPr>
      <w:bookmarkStart w:id="5" w:name="_Toc104375565"/>
      <w:r w:rsidRPr="00DA7FEA">
        <w:rPr>
          <w:rFonts w:eastAsiaTheme="majorEastAsia"/>
        </w:rPr>
        <w:t>Additionally, shadow billing data benefits consumers.</w:t>
      </w:r>
      <w:bookmarkEnd w:id="5"/>
      <w:r w:rsidRPr="00DA7FEA" w:rsidR="00120E41">
        <w:rPr>
          <w:rFonts w:eastAsiaTheme="majorEastAsia"/>
        </w:rPr>
        <w:t xml:space="preserve"> </w:t>
      </w:r>
      <w:r w:rsidRPr="00DA7FEA" w:rsidR="00176BA9">
        <w:t>Shadow</w:t>
      </w:r>
      <w:r w:rsidRPr="00F7404D" w:rsidR="00176BA9">
        <w:rPr>
          <w:szCs w:val="24"/>
        </w:rPr>
        <w:t xml:space="preserve"> billing data is a financial comparison showing the difference between what </w:t>
      </w:r>
      <w:r>
        <w:rPr>
          <w:szCs w:val="24"/>
        </w:rPr>
        <w:t>consumers</w:t>
      </w:r>
      <w:r w:rsidRPr="00F7404D" w:rsidR="00176BA9">
        <w:rPr>
          <w:szCs w:val="24"/>
        </w:rPr>
        <w:t xml:space="preserve"> actually paid</w:t>
      </w:r>
      <w:r w:rsidRPr="00F7404D" w:rsidR="00872259">
        <w:rPr>
          <w:szCs w:val="24"/>
        </w:rPr>
        <w:t xml:space="preserve"> to marketers</w:t>
      </w:r>
      <w:r w:rsidRPr="00F7404D" w:rsidR="00176BA9">
        <w:rPr>
          <w:szCs w:val="24"/>
        </w:rPr>
        <w:t xml:space="preserve"> and what they would have paid under the </w:t>
      </w:r>
      <w:r w:rsidRPr="00F7404D" w:rsidR="00872259">
        <w:rPr>
          <w:szCs w:val="24"/>
        </w:rPr>
        <w:t xml:space="preserve">utility’s </w:t>
      </w:r>
      <w:r w:rsidRPr="00F7404D" w:rsidR="00176BA9">
        <w:rPr>
          <w:szCs w:val="24"/>
        </w:rPr>
        <w:t>GCR or SSO.</w:t>
      </w:r>
      <w:r w:rsidRPr="00F7404D" w:rsidR="00F868FC">
        <w:rPr>
          <w:szCs w:val="24"/>
        </w:rPr>
        <w:t xml:space="preserve"> </w:t>
      </w:r>
      <w:r>
        <w:rPr>
          <w:szCs w:val="24"/>
        </w:rPr>
        <w:t>S</w:t>
      </w:r>
      <w:r w:rsidRPr="00F7404D" w:rsidR="00176BA9">
        <w:rPr>
          <w:szCs w:val="24"/>
        </w:rPr>
        <w:t xml:space="preserve">hadow billing </w:t>
      </w:r>
      <w:r w:rsidRPr="00F7404D" w:rsidR="000274E9">
        <w:rPr>
          <w:szCs w:val="24"/>
        </w:rPr>
        <w:t xml:space="preserve">is </w:t>
      </w:r>
      <w:r w:rsidRPr="00F7404D" w:rsidR="00176BA9">
        <w:rPr>
          <w:szCs w:val="24"/>
        </w:rPr>
        <w:t xml:space="preserve">an important </w:t>
      </w:r>
      <w:r w:rsidRPr="00F7404D" w:rsidR="000274E9">
        <w:rPr>
          <w:szCs w:val="24"/>
        </w:rPr>
        <w:t>data point for consumers</w:t>
      </w:r>
      <w:r w:rsidRPr="00F7404D" w:rsidR="00176BA9">
        <w:rPr>
          <w:szCs w:val="24"/>
        </w:rPr>
        <w:t xml:space="preserve">. If consumers were aware that in the aggregate, shopping for their natural gas commodity has resulted in higher bills, that would be </w:t>
      </w:r>
      <w:r w:rsidRPr="00F7404D" w:rsidR="00176BA9">
        <w:rPr>
          <w:i/>
          <w:iCs/>
          <w:szCs w:val="24"/>
        </w:rPr>
        <w:t>one</w:t>
      </w:r>
      <w:r w:rsidRPr="00F7404D" w:rsidR="00176BA9">
        <w:rPr>
          <w:szCs w:val="24"/>
        </w:rPr>
        <w:t xml:space="preserve"> piece of relevant</w:t>
      </w:r>
      <w:r w:rsidRPr="00F7404D" w:rsidR="000274E9">
        <w:rPr>
          <w:szCs w:val="24"/>
        </w:rPr>
        <w:t xml:space="preserve"> educational</w:t>
      </w:r>
      <w:r w:rsidRPr="00F7404D" w:rsidR="00176BA9">
        <w:rPr>
          <w:szCs w:val="24"/>
        </w:rPr>
        <w:t xml:space="preserve"> information.</w:t>
      </w:r>
      <w:r w:rsidRPr="00F7404D" w:rsidR="000274E9">
        <w:rPr>
          <w:szCs w:val="24"/>
        </w:rPr>
        <w:t xml:space="preserve"> </w:t>
      </w:r>
      <w:r w:rsidRPr="00F7404D" w:rsidR="00A37A82">
        <w:rPr>
          <w:szCs w:val="24"/>
        </w:rPr>
        <w:t>Shadow billing</w:t>
      </w:r>
      <w:r w:rsidRPr="00F7404D" w:rsidR="000274E9">
        <w:rPr>
          <w:szCs w:val="24"/>
        </w:rPr>
        <w:t xml:space="preserve"> can be much more relevant and </w:t>
      </w:r>
      <w:r w:rsidRPr="00F7404D" w:rsidR="00A37A82">
        <w:rPr>
          <w:szCs w:val="24"/>
        </w:rPr>
        <w:t>informational</w:t>
      </w:r>
      <w:r w:rsidRPr="00F7404D" w:rsidR="007F699D">
        <w:rPr>
          <w:szCs w:val="24"/>
        </w:rPr>
        <w:t xml:space="preserve"> to consumers</w:t>
      </w:r>
      <w:r w:rsidRPr="00F7404D" w:rsidR="000274E9">
        <w:rPr>
          <w:szCs w:val="24"/>
        </w:rPr>
        <w:t xml:space="preserve"> than </w:t>
      </w:r>
      <w:r w:rsidRPr="00F7404D" w:rsidR="00A37A82">
        <w:rPr>
          <w:szCs w:val="24"/>
        </w:rPr>
        <w:t xml:space="preserve">other </w:t>
      </w:r>
      <w:r w:rsidRPr="00F7404D" w:rsidR="000274E9">
        <w:rPr>
          <w:szCs w:val="24"/>
        </w:rPr>
        <w:t>so-called education that merely explains the choice process and invites consumers to choose a marketer (</w:t>
      </w:r>
      <w:r w:rsidR="00790B85">
        <w:rPr>
          <w:szCs w:val="24"/>
        </w:rPr>
        <w:t xml:space="preserve">potentially </w:t>
      </w:r>
      <w:r w:rsidRPr="00F7404D" w:rsidR="000274E9">
        <w:rPr>
          <w:szCs w:val="24"/>
        </w:rPr>
        <w:t>at their financial peril).</w:t>
      </w:r>
      <w:r w:rsidRPr="00F7404D" w:rsidR="00176BA9">
        <w:rPr>
          <w:szCs w:val="24"/>
        </w:rPr>
        <w:t xml:space="preserve"> </w:t>
      </w:r>
    </w:p>
    <w:p w:rsidR="00085450" w:rsidRPr="00F7404D" w:rsidP="00C55B63" w14:paraId="4142B558" w14:textId="77777777">
      <w:pPr>
        <w:spacing w:line="480" w:lineRule="auto"/>
        <w:ind w:firstLine="720"/>
        <w:rPr>
          <w:szCs w:val="24"/>
        </w:rPr>
      </w:pPr>
      <w:r w:rsidRPr="00F7404D">
        <w:rPr>
          <w:szCs w:val="24"/>
        </w:rPr>
        <w:t xml:space="preserve">Likewise, if consumers were to find out that shopping for natural gas has resulted in savings, that, too, would be one piece of relevant information. They can consider that information, along with whatever other factors are important to them (carbon offsets, term length, fixed vs. variable rates, etc.). </w:t>
      </w:r>
    </w:p>
    <w:p w:rsidR="00176BA9" w:rsidP="00C55B63" w14:paraId="13B1D1FF" w14:textId="1B9CF982">
      <w:pPr>
        <w:spacing w:line="480" w:lineRule="auto"/>
        <w:ind w:firstLine="720"/>
        <w:rPr>
          <w:szCs w:val="24"/>
        </w:rPr>
      </w:pPr>
      <w:r w:rsidRPr="00F7404D">
        <w:rPr>
          <w:szCs w:val="24"/>
        </w:rPr>
        <w:t>For consumers, the Marketers’ argument</w:t>
      </w:r>
      <w:r w:rsidRPr="00F7404D" w:rsidR="001E0BA0">
        <w:rPr>
          <w:szCs w:val="24"/>
        </w:rPr>
        <w:t>—</w:t>
      </w:r>
      <w:r w:rsidRPr="00F7404D" w:rsidR="00A37A82">
        <w:rPr>
          <w:szCs w:val="24"/>
        </w:rPr>
        <w:t xml:space="preserve">that </w:t>
      </w:r>
      <w:r w:rsidRPr="00F7404D" w:rsidR="00997B36">
        <w:rPr>
          <w:szCs w:val="24"/>
        </w:rPr>
        <w:t>shadow billing data</w:t>
      </w:r>
      <w:r w:rsidRPr="00F7404D" w:rsidR="00AF29A7">
        <w:rPr>
          <w:szCs w:val="24"/>
        </w:rPr>
        <w:t xml:space="preserve"> should be denied</w:t>
      </w:r>
      <w:r w:rsidRPr="00F7404D" w:rsidR="00997B36">
        <w:rPr>
          <w:szCs w:val="24"/>
        </w:rPr>
        <w:t xml:space="preserve"> because it is not an all-encompassing, single, perfect data point</w:t>
      </w:r>
      <w:r w:rsidRPr="00F7404D" w:rsidR="001E0BA0">
        <w:rPr>
          <w:szCs w:val="24"/>
        </w:rPr>
        <w:t>—</w:t>
      </w:r>
      <w:r w:rsidRPr="00F7404D" w:rsidR="00AF29A7">
        <w:rPr>
          <w:szCs w:val="24"/>
        </w:rPr>
        <w:t>makes no sense</w:t>
      </w:r>
      <w:r w:rsidRPr="00F7404D">
        <w:rPr>
          <w:szCs w:val="24"/>
        </w:rPr>
        <w:t>. There is no satisfying the Marketers on the subject of shadow billing</w:t>
      </w:r>
      <w:r w:rsidRPr="00F7404D" w:rsidR="00997B36">
        <w:rPr>
          <w:szCs w:val="24"/>
        </w:rPr>
        <w:t xml:space="preserve">, </w:t>
      </w:r>
      <w:r w:rsidRPr="00F7404D">
        <w:rPr>
          <w:szCs w:val="24"/>
        </w:rPr>
        <w:t xml:space="preserve">for reasons that should be obvious based on what shadow billing </w:t>
      </w:r>
      <w:r w:rsidRPr="00F7404D" w:rsidR="00A37A82">
        <w:rPr>
          <w:szCs w:val="24"/>
        </w:rPr>
        <w:t xml:space="preserve">can be expected to </w:t>
      </w:r>
      <w:r w:rsidRPr="00F7404D">
        <w:rPr>
          <w:szCs w:val="24"/>
        </w:rPr>
        <w:t>reveal</w:t>
      </w:r>
      <w:r w:rsidRPr="00F7404D" w:rsidR="006A27C9">
        <w:rPr>
          <w:szCs w:val="24"/>
        </w:rPr>
        <w:t xml:space="preserve"> about</w:t>
      </w:r>
      <w:r w:rsidRPr="00F7404D" w:rsidR="00085450">
        <w:rPr>
          <w:szCs w:val="24"/>
        </w:rPr>
        <w:t xml:space="preserve"> </w:t>
      </w:r>
      <w:r w:rsidRPr="00F7404D" w:rsidR="001E0BA0">
        <w:rPr>
          <w:szCs w:val="24"/>
        </w:rPr>
        <w:t>m</w:t>
      </w:r>
      <w:r w:rsidRPr="00F7404D" w:rsidR="00085450">
        <w:rPr>
          <w:szCs w:val="24"/>
        </w:rPr>
        <w:t>arketer pricing and</w:t>
      </w:r>
      <w:r w:rsidRPr="00F7404D" w:rsidR="006A27C9">
        <w:rPr>
          <w:szCs w:val="24"/>
        </w:rPr>
        <w:t xml:space="preserve"> consumer choice</w:t>
      </w:r>
      <w:r w:rsidRPr="00F7404D" w:rsidR="00997B36">
        <w:rPr>
          <w:szCs w:val="24"/>
        </w:rPr>
        <w:t>.</w:t>
      </w:r>
    </w:p>
    <w:p w:rsidR="00764A99" w:rsidRPr="00C01D63" w:rsidP="00C55B63" w14:paraId="5E92192A" w14:textId="0200CE19">
      <w:pPr>
        <w:spacing w:line="480" w:lineRule="auto"/>
        <w:ind w:firstLine="720"/>
        <w:rPr>
          <w:szCs w:val="24"/>
        </w:rPr>
      </w:pPr>
      <w:r>
        <w:rPr>
          <w:szCs w:val="24"/>
        </w:rPr>
        <w:t>The PUCO noted in its Opinion</w:t>
      </w:r>
      <w:r w:rsidR="00E11F8D">
        <w:rPr>
          <w:szCs w:val="24"/>
        </w:rPr>
        <w:t xml:space="preserve"> and Order</w:t>
      </w:r>
      <w:r>
        <w:rPr>
          <w:szCs w:val="24"/>
        </w:rPr>
        <w:t xml:space="preserve"> that as “verified by the record evidence, the </w:t>
      </w:r>
      <w:r w:rsidR="001A315C">
        <w:rPr>
          <w:szCs w:val="24"/>
        </w:rPr>
        <w:t xml:space="preserve">[Settlement] provides a significant benefit </w:t>
      </w:r>
      <w:r w:rsidR="008C57F1">
        <w:rPr>
          <w:szCs w:val="24"/>
        </w:rPr>
        <w:t>with the</w:t>
      </w:r>
      <w:r w:rsidR="001A315C">
        <w:rPr>
          <w:szCs w:val="24"/>
        </w:rPr>
        <w:t xml:space="preserve"> resolution of 18 total proceedings </w:t>
      </w:r>
      <w:r w:rsidRPr="008C57F1" w:rsidR="008C57F1">
        <w:rPr>
          <w:szCs w:val="24"/>
        </w:rPr>
        <w:t xml:space="preserve">addressing cost recovery of more than $85 million in MGP remediation costs, while lowering customer rates and providing bill credits to natural gas </w:t>
      </w:r>
      <w:r w:rsidR="00C01D63">
        <w:rPr>
          <w:szCs w:val="24"/>
        </w:rPr>
        <w:t>customers</w:t>
      </w:r>
      <w:r w:rsidR="008C57F1">
        <w:rPr>
          <w:szCs w:val="24"/>
        </w:rPr>
        <w:t>.</w:t>
      </w:r>
      <w:r w:rsidR="00BA51E4">
        <w:rPr>
          <w:szCs w:val="24"/>
        </w:rPr>
        <w:t>”</w:t>
      </w:r>
      <w:r>
        <w:rPr>
          <w:rStyle w:val="FootnoteReference"/>
          <w:szCs w:val="24"/>
        </w:rPr>
        <w:footnoteReference w:id="36"/>
      </w:r>
      <w:r w:rsidR="00C9335C">
        <w:rPr>
          <w:szCs w:val="24"/>
        </w:rPr>
        <w:t xml:space="preserve"> </w:t>
      </w:r>
      <w:r w:rsidR="00BA632B">
        <w:rPr>
          <w:szCs w:val="24"/>
        </w:rPr>
        <w:t xml:space="preserve">This illustrates the fact that the </w:t>
      </w:r>
      <w:r w:rsidR="00C86252">
        <w:rPr>
          <w:szCs w:val="24"/>
        </w:rPr>
        <w:t xml:space="preserve">PUCO </w:t>
      </w:r>
      <w:r w:rsidR="00E11F8D">
        <w:rPr>
          <w:szCs w:val="24"/>
        </w:rPr>
        <w:t xml:space="preserve">got it right in concluding that the </w:t>
      </w:r>
      <w:r w:rsidR="00BA632B">
        <w:rPr>
          <w:szCs w:val="24"/>
        </w:rPr>
        <w:t xml:space="preserve">Settlement </w:t>
      </w:r>
      <w:r w:rsidR="00C01D63">
        <w:rPr>
          <w:i/>
          <w:iCs/>
          <w:szCs w:val="24"/>
        </w:rPr>
        <w:t>as a package</w:t>
      </w:r>
      <w:r w:rsidR="00C01D63">
        <w:rPr>
          <w:szCs w:val="24"/>
        </w:rPr>
        <w:t xml:space="preserve"> is in the public interest.</w:t>
      </w:r>
    </w:p>
    <w:p w:rsidR="00F52DB6" w:rsidRPr="00F7404D" w:rsidP="00F52DB6" w14:paraId="1B8047B7" w14:textId="528C25F4">
      <w:pPr>
        <w:spacing w:line="480" w:lineRule="auto"/>
        <w:ind w:firstLine="720"/>
        <w:rPr>
          <w:szCs w:val="24"/>
        </w:rPr>
      </w:pPr>
      <w:r>
        <w:rPr>
          <w:szCs w:val="24"/>
        </w:rPr>
        <w:t>The PUCO’s Opinion and Order approving the consumer-friendly Settlement was lawful and reasonable.</w:t>
      </w:r>
      <w:r w:rsidR="00120E41">
        <w:rPr>
          <w:szCs w:val="24"/>
        </w:rPr>
        <w:t xml:space="preserve"> </w:t>
      </w:r>
      <w:r>
        <w:rPr>
          <w:szCs w:val="24"/>
        </w:rPr>
        <w:t>The Marketers’ application for rehearing should be rejected.</w:t>
      </w:r>
    </w:p>
    <w:p w:rsidR="00C55B63" w:rsidRPr="00F7404D" w:rsidP="004855FB" w14:paraId="4615B8FC" w14:textId="23F5366E">
      <w:pPr>
        <w:keepNext/>
        <w:keepLines/>
        <w:spacing w:after="240"/>
        <w:ind w:left="1440" w:hanging="720"/>
        <w:rPr>
          <w:b/>
          <w:bCs/>
          <w:szCs w:val="24"/>
        </w:rPr>
      </w:pPr>
      <w:bookmarkStart w:id="6" w:name="_Toc104888142"/>
      <w:r>
        <w:rPr>
          <w:rStyle w:val="Heading2Char"/>
          <w:rFonts w:ascii="Times New Roman" w:hAnsi="Times New Roman"/>
        </w:rPr>
        <w:t>C</w:t>
      </w:r>
      <w:r w:rsidRPr="00F7404D" w:rsidR="000274E9">
        <w:rPr>
          <w:rStyle w:val="Heading2Char"/>
          <w:rFonts w:ascii="Times New Roman" w:hAnsi="Times New Roman"/>
        </w:rPr>
        <w:t>.</w:t>
      </w:r>
      <w:r w:rsidRPr="00F7404D" w:rsidR="000274E9">
        <w:rPr>
          <w:rStyle w:val="Heading2Char"/>
          <w:rFonts w:ascii="Times New Roman" w:hAnsi="Times New Roman"/>
        </w:rPr>
        <w:tab/>
      </w:r>
      <w:r w:rsidRPr="00F7404D" w:rsidR="004855FB">
        <w:rPr>
          <w:rStyle w:val="Heading2Char"/>
          <w:rFonts w:ascii="Times New Roman" w:hAnsi="Times New Roman"/>
        </w:rPr>
        <w:t xml:space="preserve">The Settlement </w:t>
      </w:r>
      <w:r w:rsidR="00CF3EDD">
        <w:rPr>
          <w:rStyle w:val="Heading2Char"/>
          <w:rFonts w:ascii="Times New Roman" w:hAnsi="Times New Roman"/>
        </w:rPr>
        <w:t>does not violate</w:t>
      </w:r>
      <w:r w:rsidR="00AD161A">
        <w:rPr>
          <w:rStyle w:val="Heading2Char"/>
          <w:rFonts w:ascii="Times New Roman" w:hAnsi="Times New Roman"/>
        </w:rPr>
        <w:t xml:space="preserve"> </w:t>
      </w:r>
      <w:r w:rsidRPr="00F7404D" w:rsidR="004855FB">
        <w:rPr>
          <w:rStyle w:val="Heading2Char"/>
          <w:rFonts w:ascii="Times New Roman" w:hAnsi="Times New Roman"/>
        </w:rPr>
        <w:t>important regulatory principles and practices.</w:t>
      </w:r>
      <w:bookmarkEnd w:id="6"/>
    </w:p>
    <w:p w:rsidR="00C55B63" w:rsidRPr="00F7404D" w:rsidP="007055C6" w14:paraId="354EE69C" w14:textId="18D2C2C6">
      <w:pPr>
        <w:spacing w:line="480" w:lineRule="auto"/>
        <w:ind w:firstLine="720"/>
        <w:rPr>
          <w:szCs w:val="24"/>
        </w:rPr>
      </w:pPr>
      <w:r w:rsidRPr="00F7404D">
        <w:rPr>
          <w:szCs w:val="24"/>
        </w:rPr>
        <w:t xml:space="preserve">The Marketers argue that the </w:t>
      </w:r>
      <w:r w:rsidR="00B53E73">
        <w:rPr>
          <w:szCs w:val="24"/>
        </w:rPr>
        <w:t>PUCO unreasonably and unlawfully found that they had not shown that the Settlement violates regulatory principles and practices.</w:t>
      </w:r>
      <w:r w:rsidR="00120E41">
        <w:rPr>
          <w:szCs w:val="24"/>
        </w:rPr>
        <w:t xml:space="preserve"> </w:t>
      </w:r>
      <w:r w:rsidR="00584F5F">
        <w:rPr>
          <w:szCs w:val="24"/>
        </w:rPr>
        <w:t>They assert that the PUCO considered issues “outside the scope” of this proceeding.</w:t>
      </w:r>
      <w:r w:rsidR="00120E41">
        <w:rPr>
          <w:szCs w:val="24"/>
        </w:rPr>
        <w:t xml:space="preserve"> </w:t>
      </w:r>
      <w:r w:rsidR="00B53E73">
        <w:rPr>
          <w:szCs w:val="24"/>
        </w:rPr>
        <w:t xml:space="preserve">They assert that the </w:t>
      </w:r>
      <w:r w:rsidRPr="00F7404D">
        <w:rPr>
          <w:szCs w:val="24"/>
        </w:rPr>
        <w:t>Settlement violates regulatory principles and practices because it includes alleged “alien provisions,” meaning the market-related provisions (SSO transition, aggregate shadow billing, and price to compare).</w:t>
      </w:r>
      <w:r>
        <w:rPr>
          <w:rStyle w:val="FootnoteReference"/>
          <w:szCs w:val="24"/>
        </w:rPr>
        <w:footnoteReference w:id="37"/>
      </w:r>
      <w:r w:rsidRPr="00F7404D">
        <w:rPr>
          <w:szCs w:val="24"/>
        </w:rPr>
        <w:t xml:space="preserve"> The Marketers are wrong.</w:t>
      </w:r>
    </w:p>
    <w:p w:rsidR="009A1507" w:rsidP="00584F5F" w14:paraId="75BF1EAF" w14:textId="5968C5AC">
      <w:pPr>
        <w:spacing w:line="480" w:lineRule="auto"/>
        <w:ind w:firstLine="720"/>
        <w:rPr>
          <w:szCs w:val="24"/>
        </w:rPr>
      </w:pPr>
      <w:r>
        <w:rPr>
          <w:szCs w:val="24"/>
        </w:rPr>
        <w:t>The</w:t>
      </w:r>
      <w:r w:rsidRPr="00F7404D">
        <w:rPr>
          <w:szCs w:val="24"/>
        </w:rPr>
        <w:t xml:space="preserve"> PUCO routinely approve</w:t>
      </w:r>
      <w:r w:rsidR="00904F1C">
        <w:rPr>
          <w:szCs w:val="24"/>
        </w:rPr>
        <w:t>s</w:t>
      </w:r>
      <w:r w:rsidRPr="00F7404D">
        <w:rPr>
          <w:szCs w:val="24"/>
        </w:rPr>
        <w:t xml:space="preserve"> settlements that include such provisions</w:t>
      </w:r>
      <w:r w:rsidRPr="00F7404D" w:rsidR="00812255">
        <w:rPr>
          <w:szCs w:val="24"/>
        </w:rPr>
        <w:t xml:space="preserve"> (often </w:t>
      </w:r>
      <w:r w:rsidRPr="00F7404D">
        <w:rPr>
          <w:szCs w:val="24"/>
        </w:rPr>
        <w:t>over OCC’s objection</w:t>
      </w:r>
      <w:r w:rsidRPr="00F7404D" w:rsidR="00812255">
        <w:rPr>
          <w:szCs w:val="24"/>
        </w:rPr>
        <w:t>)</w:t>
      </w:r>
      <w:r w:rsidRPr="00F7404D">
        <w:rPr>
          <w:szCs w:val="24"/>
        </w:rPr>
        <w:t xml:space="preserve">. In a recent case involving DP&amp;L, for example, where the subject matter was DP&amp;L’s significantly excessive earnings, a quadrennial review of its electric security plan, and its smart grid plan, the PUCO approved a settlement that included numerous </w:t>
      </w:r>
      <w:r w:rsidRPr="00F7404D" w:rsidR="000327FB">
        <w:rPr>
          <w:szCs w:val="24"/>
        </w:rPr>
        <w:t>provisions unrelated to these issues, including smart thermostat rebates</w:t>
      </w:r>
      <w:r w:rsidRPr="00F7404D" w:rsidR="00E04853">
        <w:rPr>
          <w:szCs w:val="24"/>
        </w:rPr>
        <w:t xml:space="preserve"> (with no requirement that smart thermostats be used in any way in conjunction with DP&amp;L’s smart grid investments)</w:t>
      </w:r>
      <w:r w:rsidRPr="00F7404D" w:rsidR="000327FB">
        <w:rPr>
          <w:szCs w:val="24"/>
        </w:rPr>
        <w:t xml:space="preserve">, eliminating data fees to marketers like IGS and RESA members, cash payments for weatherization, funding for a water heater pilot program, </w:t>
      </w:r>
      <w:r w:rsidRPr="00F7404D" w:rsidR="00E04853">
        <w:rPr>
          <w:szCs w:val="24"/>
        </w:rPr>
        <w:t xml:space="preserve">funding for loans for energy upgrades, “economic development” cash payments and discounts to various signatory parties, </w:t>
      </w:r>
      <w:r w:rsidRPr="00F7404D" w:rsidR="00E04853">
        <w:rPr>
          <w:i/>
          <w:iCs/>
          <w:szCs w:val="24"/>
        </w:rPr>
        <w:t>and $1 million in cash to none other than IGS so that IGS can build a solar farm.</w:t>
      </w:r>
      <w:r>
        <w:rPr>
          <w:rStyle w:val="FootnoteReference"/>
          <w:szCs w:val="24"/>
        </w:rPr>
        <w:footnoteReference w:id="38"/>
      </w:r>
      <w:r w:rsidRPr="00F7404D" w:rsidR="00E04853">
        <w:rPr>
          <w:szCs w:val="24"/>
        </w:rPr>
        <w:t xml:space="preserve"> </w:t>
      </w:r>
      <w:r>
        <w:rPr>
          <w:szCs w:val="24"/>
        </w:rPr>
        <w:t>The bottom-line is that the</w:t>
      </w:r>
      <w:r w:rsidRPr="00F7404D" w:rsidR="00DF2CEE">
        <w:rPr>
          <w:szCs w:val="24"/>
        </w:rPr>
        <w:t xml:space="preserve"> PUCO</w:t>
      </w:r>
      <w:r w:rsidRPr="00F7404D" w:rsidR="000274E9">
        <w:rPr>
          <w:szCs w:val="24"/>
        </w:rPr>
        <w:t xml:space="preserve"> encourag</w:t>
      </w:r>
      <w:r w:rsidRPr="00F7404D" w:rsidR="00DF2CEE">
        <w:rPr>
          <w:szCs w:val="24"/>
        </w:rPr>
        <w:t>es</w:t>
      </w:r>
      <w:r w:rsidRPr="00F7404D" w:rsidR="000274E9">
        <w:rPr>
          <w:szCs w:val="24"/>
        </w:rPr>
        <w:t xml:space="preserve"> parties to engage in negotiations, including agreeing to settlements that address issues unrelated to the underlying subject matter of the case.</w:t>
      </w:r>
    </w:p>
    <w:p w:rsidR="009E7CE9" w:rsidRPr="00F7404D" w:rsidP="009E7CE9" w14:paraId="36C1AD49" w14:textId="237436B8">
      <w:pPr>
        <w:spacing w:line="480" w:lineRule="auto"/>
        <w:ind w:firstLine="720"/>
        <w:rPr>
          <w:szCs w:val="24"/>
        </w:rPr>
      </w:pPr>
      <w:r>
        <w:rPr>
          <w:szCs w:val="24"/>
        </w:rPr>
        <w:t>Further, the “evidence” provided by the Marketers regarding purported violations of regulatory principles and practices was the testimony of Mr. Cawley.</w:t>
      </w:r>
      <w:r w:rsidR="00120E41">
        <w:rPr>
          <w:szCs w:val="24"/>
        </w:rPr>
        <w:t xml:space="preserve"> </w:t>
      </w:r>
      <w:r w:rsidRPr="00F7404D">
        <w:rPr>
          <w:szCs w:val="24"/>
        </w:rPr>
        <w:t xml:space="preserve">The PUCO should give no weight to this testimony because Mr. Cawley </w:t>
      </w:r>
      <w:r>
        <w:rPr>
          <w:szCs w:val="24"/>
        </w:rPr>
        <w:t>was</w:t>
      </w:r>
      <w:r w:rsidRPr="00F7404D">
        <w:rPr>
          <w:szCs w:val="24"/>
        </w:rPr>
        <w:t xml:space="preserve"> unqualified to give it. He lacks any experience whatsoever with settlements or the settlement process in Ohio. He has never participated in a settlement negotiation in a case before the PUCO.</w:t>
      </w:r>
      <w:r>
        <w:rPr>
          <w:rStyle w:val="FootnoteReference"/>
          <w:szCs w:val="24"/>
        </w:rPr>
        <w:footnoteReference w:id="39"/>
      </w:r>
      <w:r w:rsidRPr="00F7404D">
        <w:rPr>
          <w:szCs w:val="24"/>
        </w:rPr>
        <w:t xml:space="preserve"> He had never even heard of the PUCO’s three-part settlement test until he was hired for this case.</w:t>
      </w:r>
      <w:r>
        <w:rPr>
          <w:rStyle w:val="FootnoteReference"/>
          <w:szCs w:val="24"/>
        </w:rPr>
        <w:footnoteReference w:id="40"/>
      </w:r>
      <w:r w:rsidRPr="00F7404D">
        <w:rPr>
          <w:szCs w:val="24"/>
        </w:rPr>
        <w:t xml:space="preserve"> And in fact, other than the Settlement filed in this case, Mr. Cawley has never reviewed a single settlement filed with the PUCO:</w:t>
      </w:r>
    </w:p>
    <w:p w:rsidR="009E7CE9" w:rsidRPr="00F7404D" w:rsidP="009E7CE9" w14:paraId="3F219858" w14:textId="77777777">
      <w:pPr>
        <w:spacing w:after="240"/>
        <w:ind w:left="2160" w:right="1440" w:hanging="720"/>
        <w:jc w:val="both"/>
        <w:rPr>
          <w:szCs w:val="24"/>
        </w:rPr>
      </w:pPr>
      <w:r w:rsidRPr="00F7404D">
        <w:rPr>
          <w:szCs w:val="24"/>
        </w:rPr>
        <w:t>Q.</w:t>
      </w:r>
      <w:r w:rsidRPr="00F7404D">
        <w:rPr>
          <w:szCs w:val="24"/>
        </w:rPr>
        <w:tab/>
        <w:t>In fact, other than the Stipulation at issue in this proceeding, you have never viewed any other settlement filed in an Ohio case, correct?</w:t>
      </w:r>
    </w:p>
    <w:p w:rsidR="009E7CE9" w:rsidP="009E7CE9" w14:paraId="339002A1" w14:textId="6865EF7F">
      <w:pPr>
        <w:spacing w:line="480" w:lineRule="auto"/>
        <w:ind w:left="720" w:firstLine="720"/>
        <w:rPr>
          <w:szCs w:val="24"/>
        </w:rPr>
      </w:pPr>
      <w:r w:rsidRPr="00F7404D">
        <w:rPr>
          <w:szCs w:val="24"/>
        </w:rPr>
        <w:t>A.</w:t>
      </w:r>
      <w:r w:rsidRPr="00F7404D">
        <w:rPr>
          <w:szCs w:val="24"/>
        </w:rPr>
        <w:tab/>
        <w:t>Correct.</w:t>
      </w:r>
      <w:r>
        <w:rPr>
          <w:rStyle w:val="FootnoteReference"/>
          <w:szCs w:val="24"/>
        </w:rPr>
        <w:footnoteReference w:id="41"/>
      </w:r>
    </w:p>
    <w:p w:rsidR="00F262AD" w:rsidP="00F51D3D" w14:paraId="3DD15891" w14:textId="48D4ADA8">
      <w:pPr>
        <w:spacing w:line="480" w:lineRule="auto"/>
        <w:ind w:firstLine="720"/>
        <w:rPr>
          <w:color w:val="FF0000"/>
          <w:szCs w:val="24"/>
        </w:rPr>
      </w:pPr>
      <w:r w:rsidRPr="00B341C6">
        <w:rPr>
          <w:szCs w:val="24"/>
        </w:rPr>
        <w:t>The PUCO was considering a Settlement filed by the parties in this case.</w:t>
      </w:r>
      <w:r w:rsidR="00AD161A">
        <w:rPr>
          <w:szCs w:val="24"/>
        </w:rPr>
        <w:t xml:space="preserve"> </w:t>
      </w:r>
      <w:r w:rsidRPr="00B341C6">
        <w:rPr>
          <w:szCs w:val="24"/>
        </w:rPr>
        <w:t xml:space="preserve">In order to evaluate the justness and reasonableness of the Settlement and whether it met the PUCO’s </w:t>
      </w:r>
      <w:r w:rsidRPr="00B341C6" w:rsidR="00E11F8D">
        <w:rPr>
          <w:szCs w:val="24"/>
        </w:rPr>
        <w:t>three</w:t>
      </w:r>
      <w:r w:rsidRPr="00B341C6">
        <w:rPr>
          <w:szCs w:val="24"/>
        </w:rPr>
        <w:t>-part test for evaluating settlements, the PUCO necessarily had to evaluate all of the Settlement’s terms.</w:t>
      </w:r>
      <w:r w:rsidR="00AD161A">
        <w:rPr>
          <w:szCs w:val="24"/>
        </w:rPr>
        <w:t xml:space="preserve"> </w:t>
      </w:r>
      <w:r w:rsidRPr="00B341C6">
        <w:rPr>
          <w:szCs w:val="24"/>
        </w:rPr>
        <w:t>And the Settlement filed by the parties included the competitive market terms that IGS/RESA take issue with.</w:t>
      </w:r>
      <w:r w:rsidR="00AD161A">
        <w:rPr>
          <w:szCs w:val="24"/>
        </w:rPr>
        <w:t xml:space="preserve"> </w:t>
      </w:r>
      <w:r w:rsidRPr="00B341C6">
        <w:rPr>
          <w:szCs w:val="24"/>
        </w:rPr>
        <w:t>Therefore, the PUCO had to review the competitive market issues along with the rest of the Settlement terms.</w:t>
      </w:r>
      <w:r w:rsidR="00AD161A">
        <w:rPr>
          <w:szCs w:val="24"/>
        </w:rPr>
        <w:t xml:space="preserve"> </w:t>
      </w:r>
      <w:r w:rsidRPr="00B341C6">
        <w:rPr>
          <w:szCs w:val="24"/>
        </w:rPr>
        <w:t xml:space="preserve">And the PUCO correctly agreed with Duke “that there are many Commission proceedings, including proceedings which specifically relate to the TCJA, where stipulations included provisions not directly related to the reason the proceeding was originally initiated. </w:t>
      </w:r>
      <w:r w:rsidRPr="00B341C6">
        <w:rPr>
          <w:i/>
          <w:iCs/>
          <w:szCs w:val="24"/>
        </w:rPr>
        <w:t>See, e.g., FirstEnergy Grid Mod Case,</w:t>
      </w:r>
      <w:r w:rsidRPr="00B341C6">
        <w:rPr>
          <w:szCs w:val="24"/>
        </w:rPr>
        <w:t xml:space="preserve"> Opinion and Order (July 17, 2019).”</w:t>
      </w:r>
      <w:r>
        <w:rPr>
          <w:rStyle w:val="FootnoteReference"/>
          <w:szCs w:val="24"/>
        </w:rPr>
        <w:footnoteReference w:id="42"/>
      </w:r>
      <w:r w:rsidRPr="00B341C6">
        <w:rPr>
          <w:szCs w:val="24"/>
        </w:rPr>
        <w:t xml:space="preserve"> Thus, contrary to IGS/RESA’s contentions, the PUCO acted entirely consistent with its prior precedents. </w:t>
      </w:r>
    </w:p>
    <w:p w:rsidR="00F51D3D" w:rsidRPr="00F7404D" w:rsidP="00F51D3D" w14:paraId="29A1C610" w14:textId="5D1305C6">
      <w:pPr>
        <w:spacing w:line="480" w:lineRule="auto"/>
        <w:ind w:firstLine="720"/>
        <w:rPr>
          <w:szCs w:val="24"/>
        </w:rPr>
      </w:pPr>
      <w:r>
        <w:rPr>
          <w:szCs w:val="24"/>
        </w:rPr>
        <w:t>The PUCO’s Opinion and Order approving the consumer-friendly Settlement was lawful and reasonable.</w:t>
      </w:r>
      <w:r w:rsidR="00120E41">
        <w:rPr>
          <w:szCs w:val="24"/>
        </w:rPr>
        <w:t xml:space="preserve"> </w:t>
      </w:r>
      <w:r>
        <w:rPr>
          <w:szCs w:val="24"/>
        </w:rPr>
        <w:t>The Marketers’ application for rehearing should be rejected.</w:t>
      </w:r>
    </w:p>
    <w:p w:rsidR="00C277C6" w:rsidP="002105D8" w14:paraId="70EF4954" w14:textId="1621A185">
      <w:pPr>
        <w:pStyle w:val="Heading2"/>
      </w:pPr>
      <w:bookmarkStart w:id="7" w:name="_Toc104888143"/>
      <w:r>
        <w:t>D.</w:t>
      </w:r>
      <w:r w:rsidRPr="00F7404D" w:rsidR="00E02FDA">
        <w:tab/>
        <w:t xml:space="preserve">The PUCO </w:t>
      </w:r>
      <w:r w:rsidR="00F51D3D">
        <w:t>correctly</w:t>
      </w:r>
      <w:r w:rsidRPr="00F7404D" w:rsidR="00E02FDA">
        <w:t xml:space="preserve"> affirm</w:t>
      </w:r>
      <w:r w:rsidR="00F51D3D">
        <w:t>ed</w:t>
      </w:r>
      <w:r w:rsidRPr="00F7404D" w:rsidR="00E02FDA">
        <w:t xml:space="preserve"> the Attorney Examiners’ procedural ruling</w:t>
      </w:r>
      <w:r w:rsidR="00C94E3B">
        <w:t xml:space="preserve"> limiting the Marketers’ intervention</w:t>
      </w:r>
      <w:r w:rsidRPr="00F7404D" w:rsidR="00E02FDA">
        <w:t>.</w:t>
      </w:r>
      <w:bookmarkEnd w:id="7"/>
    </w:p>
    <w:p w:rsidR="00F51D3D" w:rsidRPr="00F51D3D" w:rsidP="0064255C" w14:paraId="34DD6FAC" w14:textId="03EE3E05">
      <w:pPr>
        <w:spacing w:line="480" w:lineRule="auto"/>
      </w:pPr>
      <w:r>
        <w:tab/>
        <w:t>The Marketers assert that the PUCO acted unreasonably and unlawfully by affirming the Attorney Examiners’ procedural rulings limiting their intervention.</w:t>
      </w:r>
      <w:r>
        <w:rPr>
          <w:rStyle w:val="FootnoteReference"/>
        </w:rPr>
        <w:footnoteReference w:id="43"/>
      </w:r>
      <w:r w:rsidR="00120E41">
        <w:t xml:space="preserve"> </w:t>
      </w:r>
      <w:r w:rsidR="0064255C">
        <w:t>The Marketers are wrong.</w:t>
      </w:r>
    </w:p>
    <w:p w:rsidR="00037B8A" w:rsidRPr="00F7404D" w:rsidP="007055C6" w14:paraId="521D70D4" w14:textId="487B9991">
      <w:pPr>
        <w:spacing w:line="480" w:lineRule="auto"/>
        <w:ind w:firstLine="720"/>
        <w:rPr>
          <w:szCs w:val="24"/>
        </w:rPr>
      </w:pPr>
      <w:r w:rsidRPr="00F7404D">
        <w:rPr>
          <w:szCs w:val="24"/>
        </w:rPr>
        <w:t>The Marketers were granted limited intervention to address only the market-related aspects of the Settlement (SSO transition, price-to-compare, and shadow billing).</w:t>
      </w:r>
      <w:r>
        <w:rPr>
          <w:rStyle w:val="FootnoteReference"/>
          <w:szCs w:val="24"/>
        </w:rPr>
        <w:footnoteReference w:id="44"/>
      </w:r>
      <w:r w:rsidRPr="00F7404D">
        <w:rPr>
          <w:szCs w:val="24"/>
        </w:rPr>
        <w:t xml:space="preserve"> </w:t>
      </w:r>
      <w:r w:rsidR="0064255C">
        <w:rPr>
          <w:szCs w:val="24"/>
        </w:rPr>
        <w:t>T</w:t>
      </w:r>
      <w:r w:rsidRPr="00F7404D">
        <w:rPr>
          <w:szCs w:val="24"/>
        </w:rPr>
        <w:t>he Marketers themselves admit that they have no interest whatsoever in the other issues in these cases (Duke’s MGP cleanup and costs and the Tax Cuts and Jobs Act).</w:t>
      </w:r>
      <w:r w:rsidRPr="00F7404D" w:rsidR="00905AE0">
        <w:rPr>
          <w:szCs w:val="24"/>
        </w:rPr>
        <w:t xml:space="preserve"> In their brief, they concede that as to the MGP and tax issues, “there was no reason for either the Retail Energy Supply Association (‘RESA’), Interstate Gas Supply Inc. (“IGS”) or any supplier to become involved in these proceedings....”</w:t>
      </w:r>
      <w:r>
        <w:rPr>
          <w:rStyle w:val="FootnoteReference"/>
          <w:szCs w:val="24"/>
        </w:rPr>
        <w:footnoteReference w:id="45"/>
      </w:r>
      <w:r w:rsidRPr="00F7404D" w:rsidR="00905AE0">
        <w:rPr>
          <w:szCs w:val="24"/>
        </w:rPr>
        <w:t xml:space="preserve"> If they were interested in those issues, they should have intervened long ago, which they did not.</w:t>
      </w:r>
    </w:p>
    <w:p w:rsidR="00B6009C" w:rsidRPr="00F7404D" w:rsidP="007055C6" w14:paraId="106BC82A" w14:textId="58FEEDA2">
      <w:pPr>
        <w:spacing w:line="480" w:lineRule="auto"/>
        <w:ind w:firstLine="720"/>
        <w:rPr>
          <w:szCs w:val="24"/>
        </w:rPr>
      </w:pPr>
      <w:r>
        <w:rPr>
          <w:szCs w:val="24"/>
        </w:rPr>
        <w:t>Further</w:t>
      </w:r>
      <w:r w:rsidRPr="00F7404D" w:rsidR="000274E9">
        <w:rPr>
          <w:szCs w:val="24"/>
        </w:rPr>
        <w:t xml:space="preserve">, the ruling limiting the Marketers’ intervention </w:t>
      </w:r>
      <w:r w:rsidRPr="00F7404D" w:rsidR="00865406">
        <w:rPr>
          <w:szCs w:val="24"/>
        </w:rPr>
        <w:t>was consistent with the Ohio Revised Code. R.C. 4903.22</w:t>
      </w:r>
      <w:r w:rsidRPr="00F7404D" w:rsidR="00D37830">
        <w:rPr>
          <w:szCs w:val="24"/>
        </w:rPr>
        <w:t>1</w:t>
      </w:r>
      <w:r w:rsidRPr="00F7404D" w:rsidR="00865406">
        <w:rPr>
          <w:szCs w:val="24"/>
        </w:rPr>
        <w:t>(B)</w:t>
      </w:r>
      <w:r w:rsidRPr="00F7404D" w:rsidR="00271D10">
        <w:rPr>
          <w:szCs w:val="24"/>
        </w:rPr>
        <w:t>(1)</w:t>
      </w:r>
      <w:r w:rsidRPr="00F7404D" w:rsidR="00865406">
        <w:rPr>
          <w:szCs w:val="24"/>
        </w:rPr>
        <w:t xml:space="preserve"> provides that the PUCO may consider, in deciding whether to grant intervention, the “nature and extent of the prospective intervenor’s interest.” The PUCO consider</w:t>
      </w:r>
      <w:r w:rsidRPr="00F7404D" w:rsidR="000274E9">
        <w:rPr>
          <w:szCs w:val="24"/>
        </w:rPr>
        <w:t>ed</w:t>
      </w:r>
      <w:r w:rsidRPr="00F7404D" w:rsidR="00865406">
        <w:rPr>
          <w:szCs w:val="24"/>
        </w:rPr>
        <w:t xml:space="preserve"> the limited “nature and extent” of the Marketers’ interests in these proceedings and act</w:t>
      </w:r>
      <w:r w:rsidRPr="00F7404D" w:rsidR="000274E9">
        <w:rPr>
          <w:szCs w:val="24"/>
        </w:rPr>
        <w:t>ed</w:t>
      </w:r>
      <w:r w:rsidRPr="00F7404D" w:rsidR="00865406">
        <w:rPr>
          <w:szCs w:val="24"/>
        </w:rPr>
        <w:t xml:space="preserve"> accordingly</w:t>
      </w:r>
      <w:r w:rsidRPr="00F7404D" w:rsidR="00271D10">
        <w:rPr>
          <w:szCs w:val="24"/>
        </w:rPr>
        <w:t xml:space="preserve"> in limiting their intervention.</w:t>
      </w:r>
      <w:r>
        <w:rPr>
          <w:rStyle w:val="FootnoteReference"/>
          <w:szCs w:val="24"/>
        </w:rPr>
        <w:footnoteReference w:id="46"/>
      </w:r>
      <w:r w:rsidRPr="00F7404D" w:rsidR="00271D10">
        <w:rPr>
          <w:szCs w:val="24"/>
        </w:rPr>
        <w:t xml:space="preserve"> </w:t>
      </w:r>
    </w:p>
    <w:p w:rsidR="00271D10" w:rsidRPr="00F7404D" w:rsidP="007055C6" w14:paraId="62C6F7D2" w14:textId="35520DD9">
      <w:pPr>
        <w:spacing w:line="480" w:lineRule="auto"/>
        <w:ind w:firstLine="720"/>
        <w:rPr>
          <w:szCs w:val="24"/>
        </w:rPr>
      </w:pPr>
      <w:r>
        <w:rPr>
          <w:szCs w:val="24"/>
        </w:rPr>
        <w:t>Also</w:t>
      </w:r>
      <w:r w:rsidRPr="00F7404D" w:rsidR="000274E9">
        <w:rPr>
          <w:szCs w:val="24"/>
        </w:rPr>
        <w:t xml:space="preserve">, the ruling limiting the Marketers’ intervention was consistent with </w:t>
      </w:r>
      <w:r w:rsidRPr="00F7404D" w:rsidR="00EA73DB">
        <w:rPr>
          <w:szCs w:val="24"/>
        </w:rPr>
        <w:t>the Ohio Administrative Code. O.A.C. 4901-1-11(D) allows the PUCO to grant “limited intervention, which permits a person to participate with respect to one or more specific issues, if the person has no real and substantial interest with respect to the remaining issues....” That is precisely what happened here. The Marketers concede that they have</w:t>
      </w:r>
      <w:r w:rsidRPr="00F7404D" w:rsidR="00D37830">
        <w:rPr>
          <w:szCs w:val="24"/>
        </w:rPr>
        <w:t xml:space="preserve"> no</w:t>
      </w:r>
      <w:r w:rsidRPr="00F7404D" w:rsidR="00EA73DB">
        <w:rPr>
          <w:szCs w:val="24"/>
        </w:rPr>
        <w:t xml:space="preserve"> interest in anything but the market-related provisions of the Settlement.</w:t>
      </w:r>
      <w:r>
        <w:rPr>
          <w:rStyle w:val="FootnoteReference"/>
          <w:szCs w:val="24"/>
        </w:rPr>
        <w:footnoteReference w:id="47"/>
      </w:r>
      <w:r w:rsidRPr="00F7404D" w:rsidR="00C52460">
        <w:rPr>
          <w:szCs w:val="24"/>
        </w:rPr>
        <w:t xml:space="preserve"> So the PUCO was right to limit their intervention to only those issues affecting the Marketers’ interests.</w:t>
      </w:r>
    </w:p>
    <w:p w:rsidR="00AB6C07" w:rsidP="007055C6" w14:paraId="02B8F4B2" w14:textId="00124029">
      <w:pPr>
        <w:spacing w:line="480" w:lineRule="auto"/>
        <w:ind w:firstLine="720"/>
        <w:rPr>
          <w:szCs w:val="24"/>
        </w:rPr>
      </w:pPr>
      <w:r>
        <w:rPr>
          <w:szCs w:val="24"/>
        </w:rPr>
        <w:t>The</w:t>
      </w:r>
      <w:r w:rsidRPr="00F7404D" w:rsidR="000274E9">
        <w:rPr>
          <w:szCs w:val="24"/>
        </w:rPr>
        <w:t xml:space="preserve"> October 15, 2021 Entry in no way suggests that the Marketers ha</w:t>
      </w:r>
      <w:r w:rsidR="00F95240">
        <w:rPr>
          <w:szCs w:val="24"/>
        </w:rPr>
        <w:t>d</w:t>
      </w:r>
      <w:r w:rsidRPr="00F7404D" w:rsidR="000274E9">
        <w:rPr>
          <w:szCs w:val="24"/>
        </w:rPr>
        <w:t xml:space="preserve"> the burden of proof</w:t>
      </w:r>
      <w:r>
        <w:rPr>
          <w:szCs w:val="24"/>
        </w:rPr>
        <w:t>, as they suggest</w:t>
      </w:r>
      <w:r w:rsidRPr="00F7404D" w:rsidR="000274E9">
        <w:rPr>
          <w:szCs w:val="24"/>
        </w:rPr>
        <w:t xml:space="preserve">. </w:t>
      </w:r>
      <w:r w:rsidRPr="00F7404D" w:rsidR="00A9580B">
        <w:rPr>
          <w:szCs w:val="24"/>
        </w:rPr>
        <w:t xml:space="preserve">The statements in that Entry serve only to limit the scope of the Marketers’ intervention, which was appropriate under the circumstances (as described above). </w:t>
      </w:r>
      <w:r w:rsidR="00E11F8D">
        <w:rPr>
          <w:szCs w:val="24"/>
        </w:rPr>
        <w:t>The</w:t>
      </w:r>
      <w:r w:rsidR="00790087">
        <w:rPr>
          <w:szCs w:val="24"/>
        </w:rPr>
        <w:t xml:space="preserve"> PUCO</w:t>
      </w:r>
      <w:r w:rsidR="000A69DD">
        <w:rPr>
          <w:szCs w:val="24"/>
        </w:rPr>
        <w:t xml:space="preserve"> </w:t>
      </w:r>
      <w:r w:rsidR="00790087">
        <w:rPr>
          <w:szCs w:val="24"/>
        </w:rPr>
        <w:t>explained in its Opinion and Order that</w:t>
      </w:r>
      <w:r w:rsidR="00EB3156">
        <w:rPr>
          <w:szCs w:val="24"/>
        </w:rPr>
        <w:t xml:space="preserve"> the</w:t>
      </w:r>
      <w:r w:rsidR="0084249A">
        <w:rPr>
          <w:szCs w:val="24"/>
        </w:rPr>
        <w:t xml:space="preserve"> </w:t>
      </w:r>
      <w:r w:rsidR="00E11F8D">
        <w:rPr>
          <w:szCs w:val="24"/>
        </w:rPr>
        <w:t>“</w:t>
      </w:r>
      <w:r w:rsidR="00EB3156">
        <w:rPr>
          <w:szCs w:val="24"/>
        </w:rPr>
        <w:t>Entry merely acknowledge</w:t>
      </w:r>
      <w:r w:rsidR="000A69DD">
        <w:rPr>
          <w:szCs w:val="24"/>
        </w:rPr>
        <w:t>d</w:t>
      </w:r>
      <w:r w:rsidR="00EB3156">
        <w:rPr>
          <w:szCs w:val="24"/>
        </w:rPr>
        <w:t xml:space="preserve"> </w:t>
      </w:r>
      <w:r w:rsidR="00941E2B">
        <w:rPr>
          <w:szCs w:val="24"/>
        </w:rPr>
        <w:t>this fact [that IGS and RESA, in their respective motions to intervene provided assurances that their late intervention would not unduly prolong or delay the proceedings]</w:t>
      </w:r>
      <w:r w:rsidR="000A69DD">
        <w:rPr>
          <w:szCs w:val="24"/>
        </w:rPr>
        <w:t xml:space="preserve"> </w:t>
      </w:r>
      <w:r w:rsidR="00770613">
        <w:rPr>
          <w:szCs w:val="24"/>
        </w:rPr>
        <w:t xml:space="preserve">and notes that the attorney examiner would scrutinize future actions from either party that would result in </w:t>
      </w:r>
      <w:r w:rsidR="0084249A">
        <w:rPr>
          <w:szCs w:val="24"/>
        </w:rPr>
        <w:t>delay</w:t>
      </w:r>
      <w:r w:rsidR="00770613">
        <w:rPr>
          <w:szCs w:val="24"/>
        </w:rPr>
        <w:t xml:space="preserve"> in these proceedings</w:t>
      </w:r>
      <w:r w:rsidR="0084249A">
        <w:rPr>
          <w:szCs w:val="24"/>
        </w:rPr>
        <w:t>.”</w:t>
      </w:r>
      <w:r>
        <w:rPr>
          <w:rStyle w:val="FootnoteReference"/>
          <w:szCs w:val="24"/>
        </w:rPr>
        <w:footnoteReference w:id="48"/>
      </w:r>
      <w:r w:rsidR="00A663A0">
        <w:rPr>
          <w:szCs w:val="24"/>
        </w:rPr>
        <w:t xml:space="preserve"> And the PUCO confirmed that a</w:t>
      </w:r>
      <w:r w:rsidRPr="00F7404D" w:rsidR="00A9580B">
        <w:rPr>
          <w:szCs w:val="24"/>
        </w:rPr>
        <w:t>s is always the case when there is a contested settlement, the signatory parties ha</w:t>
      </w:r>
      <w:r w:rsidR="00F95240">
        <w:rPr>
          <w:szCs w:val="24"/>
        </w:rPr>
        <w:t>d</w:t>
      </w:r>
      <w:r w:rsidRPr="00F7404D" w:rsidR="00A9580B">
        <w:rPr>
          <w:szCs w:val="24"/>
        </w:rPr>
        <w:t xml:space="preserve"> the burden of proving (through testimony, a hearing, and briefs) that the settlement passes the PUCO’s three-part test.</w:t>
      </w:r>
      <w:r>
        <w:rPr>
          <w:rStyle w:val="FootnoteReference"/>
          <w:szCs w:val="24"/>
        </w:rPr>
        <w:footnoteReference w:id="49"/>
      </w:r>
      <w:r w:rsidRPr="00F7404D" w:rsidR="00A9580B">
        <w:rPr>
          <w:szCs w:val="24"/>
        </w:rPr>
        <w:t xml:space="preserve"> And any opposing parties ha</w:t>
      </w:r>
      <w:r w:rsidR="00F95240">
        <w:rPr>
          <w:szCs w:val="24"/>
        </w:rPr>
        <w:t>d</w:t>
      </w:r>
      <w:r w:rsidRPr="00F7404D" w:rsidR="00A9580B">
        <w:rPr>
          <w:szCs w:val="24"/>
        </w:rPr>
        <w:t xml:space="preserve"> an opportunity to explain to the PUCO (through testimony, a hearing, and briefs) why they believe that burden has not been met. Regardless of anything the Marketers might or might not do in this case, the PUCO determine</w:t>
      </w:r>
      <w:r w:rsidR="00F95240">
        <w:rPr>
          <w:szCs w:val="24"/>
        </w:rPr>
        <w:t>d</w:t>
      </w:r>
      <w:r w:rsidRPr="00F7404D" w:rsidR="00A9580B">
        <w:rPr>
          <w:szCs w:val="24"/>
        </w:rPr>
        <w:t xml:space="preserve"> </w:t>
      </w:r>
      <w:r w:rsidR="00F95240">
        <w:rPr>
          <w:szCs w:val="24"/>
        </w:rPr>
        <w:t>that</w:t>
      </w:r>
      <w:r w:rsidRPr="00F7404D" w:rsidR="00A9580B">
        <w:rPr>
          <w:szCs w:val="24"/>
        </w:rPr>
        <w:t xml:space="preserve"> the signatory parties met their burden of proof.</w:t>
      </w:r>
      <w:r>
        <w:rPr>
          <w:rStyle w:val="FootnoteReference"/>
          <w:szCs w:val="24"/>
        </w:rPr>
        <w:footnoteReference w:id="50"/>
      </w:r>
    </w:p>
    <w:p w:rsidR="005A0220" w:rsidP="005A0220" w14:paraId="25B2B93E" w14:textId="6130324F">
      <w:pPr>
        <w:spacing w:line="480" w:lineRule="auto"/>
        <w:ind w:firstLine="720"/>
        <w:rPr>
          <w:szCs w:val="24"/>
        </w:rPr>
      </w:pPr>
      <w:r>
        <w:rPr>
          <w:szCs w:val="24"/>
        </w:rPr>
        <w:t>The PUCO’s Opinion and Order approving the consumer-friendly Settlement was lawful and reasonable.</w:t>
      </w:r>
      <w:r w:rsidR="00120E41">
        <w:rPr>
          <w:szCs w:val="24"/>
        </w:rPr>
        <w:t xml:space="preserve"> </w:t>
      </w:r>
      <w:r>
        <w:rPr>
          <w:szCs w:val="24"/>
        </w:rPr>
        <w:t>The Marketers’ application for rehearing should be rejected.</w:t>
      </w:r>
    </w:p>
    <w:p w:rsidR="00120E41" w:rsidRPr="00F7404D" w:rsidP="00120E41" w14:paraId="1106E867" w14:textId="77777777">
      <w:pPr>
        <w:ind w:firstLine="720"/>
        <w:rPr>
          <w:szCs w:val="24"/>
        </w:rPr>
      </w:pPr>
    </w:p>
    <w:p w:rsidR="00D97DEF" w:rsidRPr="00F7404D" w:rsidP="005C092B" w14:paraId="16647754" w14:textId="3DC9C4EC">
      <w:pPr>
        <w:pStyle w:val="Heading1"/>
        <w:rPr>
          <w:rFonts w:ascii="Times New Roman" w:hAnsi="Times New Roman"/>
        </w:rPr>
      </w:pPr>
      <w:bookmarkStart w:id="8" w:name="_Toc104888144"/>
      <w:r w:rsidRPr="00F7404D">
        <w:rPr>
          <w:rFonts w:ascii="Times New Roman" w:hAnsi="Times New Roman"/>
        </w:rPr>
        <w:t>CONCLUSION</w:t>
      </w:r>
      <w:bookmarkEnd w:id="8"/>
    </w:p>
    <w:p w:rsidR="00F7404D" w:rsidRPr="00F7404D" w:rsidP="009A3EC5" w14:paraId="6B03531D" w14:textId="2A90C2A5">
      <w:pPr>
        <w:spacing w:line="480" w:lineRule="auto"/>
        <w:ind w:firstLine="720"/>
        <w:rPr>
          <w:color w:val="201F1E"/>
          <w:szCs w:val="24"/>
          <w:bdr w:val="none" w:sz="0" w:space="0" w:color="auto" w:frame="1"/>
          <w:shd w:val="clear" w:color="auto" w:fill="FFFFFF"/>
        </w:rPr>
      </w:pPr>
      <w:r>
        <w:rPr>
          <w:szCs w:val="24"/>
        </w:rPr>
        <w:t>The PUCO’s approval of the consumer-friendly Settlement was reasonable and lawful</w:t>
      </w:r>
      <w:r w:rsidRPr="00F7404D" w:rsidR="000274E9">
        <w:rPr>
          <w:szCs w:val="24"/>
        </w:rPr>
        <w:t>.</w:t>
      </w:r>
      <w:r w:rsidRPr="00F7404D" w:rsidR="0085013B">
        <w:rPr>
          <w:szCs w:val="24"/>
        </w:rPr>
        <w:t xml:space="preserve"> If anything, the PUCO should be adopting more consumer protections from energy marketing, not less. </w:t>
      </w:r>
      <w:r w:rsidRPr="00F7404D" w:rsidR="00D71D70">
        <w:rPr>
          <w:color w:val="201F1E"/>
          <w:szCs w:val="24"/>
          <w:shd w:val="clear" w:color="auto" w:fill="FFFFFF"/>
        </w:rPr>
        <w:t>Consumers would benefit from</w:t>
      </w:r>
      <w:r w:rsidRPr="00F7404D" w:rsidR="00C72764">
        <w:rPr>
          <w:color w:val="201F1E"/>
          <w:szCs w:val="24"/>
          <w:shd w:val="clear" w:color="auto" w:fill="FFFFFF"/>
        </w:rPr>
        <w:t xml:space="preserve"> </w:t>
      </w:r>
      <w:r w:rsidRPr="00F7404D" w:rsidR="00D71D70">
        <w:rPr>
          <w:color w:val="201F1E"/>
          <w:szCs w:val="24"/>
          <w:bdr w:val="none" w:sz="0" w:space="0" w:color="auto" w:frame="1"/>
          <w:shd w:val="clear" w:color="auto" w:fill="FFFFFF"/>
        </w:rPr>
        <w:t>less complaining and more competing</w:t>
      </w:r>
      <w:r w:rsidRPr="00F7404D" w:rsidR="00C72764">
        <w:rPr>
          <w:color w:val="201F1E"/>
          <w:szCs w:val="24"/>
          <w:bdr w:val="none" w:sz="0" w:space="0" w:color="auto" w:frame="1"/>
          <w:shd w:val="clear" w:color="auto" w:fill="FFFFFF"/>
        </w:rPr>
        <w:t xml:space="preserve"> </w:t>
      </w:r>
      <w:r w:rsidRPr="00F7404D" w:rsidR="00D71D70">
        <w:rPr>
          <w:color w:val="201F1E"/>
          <w:szCs w:val="24"/>
          <w:bdr w:val="none" w:sz="0" w:space="0" w:color="auto" w:frame="1"/>
          <w:shd w:val="clear" w:color="auto" w:fill="FFFFFF"/>
        </w:rPr>
        <w:t xml:space="preserve">by </w:t>
      </w:r>
      <w:r w:rsidR="00E16666">
        <w:rPr>
          <w:color w:val="201F1E"/>
          <w:szCs w:val="24"/>
          <w:bdr w:val="none" w:sz="0" w:space="0" w:color="auto" w:frame="1"/>
          <w:shd w:val="clear" w:color="auto" w:fill="FFFFFF"/>
        </w:rPr>
        <w:t xml:space="preserve">retail </w:t>
      </w:r>
      <w:r w:rsidRPr="00F7404D" w:rsidR="00D71D70">
        <w:rPr>
          <w:color w:val="201F1E"/>
          <w:szCs w:val="24"/>
          <w:bdr w:val="none" w:sz="0" w:space="0" w:color="auto" w:frame="1"/>
          <w:shd w:val="clear" w:color="auto" w:fill="FFFFFF"/>
        </w:rPr>
        <w:t>energy marketers.</w:t>
      </w:r>
    </w:p>
    <w:p w:rsidR="00F7182D" w14:paraId="4FB8E3B6" w14:textId="77777777">
      <w:pPr>
        <w:spacing w:after="200" w:line="276" w:lineRule="auto"/>
        <w:rPr>
          <w:szCs w:val="24"/>
        </w:rPr>
      </w:pPr>
      <w:r>
        <w:rPr>
          <w:szCs w:val="24"/>
        </w:rPr>
        <w:br w:type="page"/>
      </w:r>
    </w:p>
    <w:p w:rsidR="00115AF7" w:rsidRPr="00F7404D" w:rsidP="00F7404D" w14:paraId="0F52B6E1" w14:textId="46874D9A">
      <w:pPr>
        <w:pStyle w:val="BodyTextIndent3"/>
        <w:widowControl w:val="0"/>
        <w:spacing w:after="0" w:line="480" w:lineRule="auto"/>
        <w:ind w:left="4320" w:hanging="360"/>
        <w:rPr>
          <w:sz w:val="24"/>
          <w:szCs w:val="24"/>
        </w:rPr>
      </w:pPr>
      <w:r w:rsidRPr="00F7404D">
        <w:rPr>
          <w:sz w:val="24"/>
          <w:szCs w:val="24"/>
        </w:rPr>
        <w:t>Respectfully submitted,</w:t>
      </w:r>
    </w:p>
    <w:p w:rsidR="00115AF7" w:rsidRPr="00F7404D" w:rsidP="00F7404D" w14:paraId="733E8C22" w14:textId="77777777">
      <w:pPr>
        <w:ind w:left="4320" w:hanging="360"/>
        <w:rPr>
          <w:szCs w:val="24"/>
        </w:rPr>
      </w:pPr>
      <w:r w:rsidRPr="00F7404D">
        <w:rPr>
          <w:szCs w:val="24"/>
        </w:rPr>
        <w:t>Bruce Weston (0016973)</w:t>
      </w:r>
    </w:p>
    <w:p w:rsidR="00115AF7" w:rsidRPr="00F7404D" w:rsidP="00357613" w14:paraId="4192EF9C" w14:textId="77777777">
      <w:pPr>
        <w:tabs>
          <w:tab w:val="left" w:pos="4320"/>
        </w:tabs>
        <w:ind w:left="4320" w:hanging="360"/>
        <w:rPr>
          <w:szCs w:val="24"/>
        </w:rPr>
      </w:pPr>
      <w:r w:rsidRPr="00F7404D">
        <w:rPr>
          <w:szCs w:val="24"/>
        </w:rPr>
        <w:t>Ohio Consumers’ Counsel</w:t>
      </w:r>
    </w:p>
    <w:p w:rsidR="00115AF7" w:rsidRPr="00F7404D" w:rsidP="00357613" w14:paraId="3CFF05DE" w14:textId="77777777">
      <w:pPr>
        <w:tabs>
          <w:tab w:val="left" w:pos="4320"/>
        </w:tabs>
        <w:ind w:left="4320" w:hanging="360"/>
        <w:rPr>
          <w:szCs w:val="24"/>
        </w:rPr>
      </w:pPr>
    </w:p>
    <w:p w:rsidR="00F7182D" w:rsidRPr="00F7404D" w:rsidP="00F7182D" w14:paraId="1AFE8F3B" w14:textId="77777777">
      <w:pPr>
        <w:autoSpaceDE w:val="0"/>
        <w:autoSpaceDN w:val="0"/>
        <w:adjustRightInd w:val="0"/>
        <w:ind w:left="3960"/>
        <w:rPr>
          <w:i/>
          <w:szCs w:val="24"/>
        </w:rPr>
      </w:pPr>
      <w:r w:rsidRPr="00F7404D">
        <w:rPr>
          <w:i/>
          <w:szCs w:val="24"/>
          <w:u w:val="single"/>
        </w:rPr>
        <w:t xml:space="preserve">/s/ </w:t>
      </w:r>
      <w:r>
        <w:rPr>
          <w:i/>
          <w:szCs w:val="24"/>
          <w:u w:val="single"/>
        </w:rPr>
        <w:t>William J. Michael</w:t>
      </w:r>
      <w:r w:rsidRPr="00F7404D">
        <w:rPr>
          <w:i/>
          <w:szCs w:val="24"/>
          <w:u w:val="single"/>
        </w:rPr>
        <w:tab/>
      </w:r>
      <w:r w:rsidRPr="00F7404D">
        <w:rPr>
          <w:i/>
          <w:szCs w:val="24"/>
          <w:u w:val="single"/>
        </w:rPr>
        <w:tab/>
      </w:r>
    </w:p>
    <w:p w:rsidR="00F7182D" w:rsidRPr="00F7404D" w:rsidP="00F7182D" w14:paraId="32C98AE0" w14:textId="77777777">
      <w:pPr>
        <w:tabs>
          <w:tab w:val="left" w:pos="4320"/>
        </w:tabs>
        <w:ind w:left="3960"/>
        <w:rPr>
          <w:szCs w:val="24"/>
        </w:rPr>
      </w:pPr>
      <w:r w:rsidRPr="00F7404D">
        <w:rPr>
          <w:szCs w:val="24"/>
        </w:rPr>
        <w:t>William J. Michael (0070921)</w:t>
      </w:r>
    </w:p>
    <w:p w:rsidR="00F7182D" w:rsidRPr="00F7404D" w:rsidP="00F7182D" w14:paraId="78E16EF1" w14:textId="77777777">
      <w:pPr>
        <w:ind w:left="3960"/>
        <w:rPr>
          <w:szCs w:val="24"/>
        </w:rPr>
      </w:pPr>
      <w:r w:rsidRPr="00F7404D">
        <w:rPr>
          <w:szCs w:val="24"/>
        </w:rPr>
        <w:t>Counsel of Record (Case No. 14-375-GA-RDR, et al.)</w:t>
      </w:r>
    </w:p>
    <w:p w:rsidR="00F7182D" w:rsidRPr="00F7404D" w:rsidP="00F7182D" w14:paraId="7B69FCE6" w14:textId="77777777">
      <w:pPr>
        <w:tabs>
          <w:tab w:val="left" w:pos="4320"/>
        </w:tabs>
        <w:ind w:left="3960"/>
        <w:rPr>
          <w:szCs w:val="24"/>
        </w:rPr>
      </w:pPr>
      <w:r w:rsidRPr="00F7404D">
        <w:rPr>
          <w:szCs w:val="24"/>
        </w:rPr>
        <w:t>Amy Botschner O’Brien (0074423)</w:t>
      </w:r>
    </w:p>
    <w:p w:rsidR="00F7182D" w:rsidRPr="00F7404D" w:rsidP="00F7182D" w14:paraId="2C17EC62" w14:textId="77777777">
      <w:pPr>
        <w:tabs>
          <w:tab w:val="left" w:pos="4320"/>
        </w:tabs>
        <w:ind w:left="3960"/>
        <w:rPr>
          <w:szCs w:val="24"/>
        </w:rPr>
      </w:pPr>
      <w:r w:rsidRPr="00F7404D">
        <w:rPr>
          <w:szCs w:val="24"/>
        </w:rPr>
        <w:t>Assistant Consumers’ Counsel</w:t>
      </w:r>
    </w:p>
    <w:p w:rsidR="00F7182D" w:rsidRPr="00F7404D" w:rsidP="00F7182D" w14:paraId="2CD42393" w14:textId="77777777">
      <w:pPr>
        <w:tabs>
          <w:tab w:val="left" w:pos="4320"/>
        </w:tabs>
        <w:ind w:left="3960"/>
        <w:rPr>
          <w:szCs w:val="24"/>
        </w:rPr>
      </w:pPr>
    </w:p>
    <w:p w:rsidR="00F7182D" w:rsidRPr="00F7404D" w:rsidP="00F7182D" w14:paraId="61658C2D" w14:textId="77777777">
      <w:pPr>
        <w:ind w:left="3960"/>
        <w:rPr>
          <w:b/>
          <w:bCs/>
          <w:szCs w:val="24"/>
        </w:rPr>
      </w:pPr>
      <w:r w:rsidRPr="00F7404D">
        <w:rPr>
          <w:b/>
          <w:bCs/>
          <w:szCs w:val="24"/>
        </w:rPr>
        <w:t>Office of the Ohio Consumers’ Counsel</w:t>
      </w:r>
    </w:p>
    <w:p w:rsidR="00F7182D" w:rsidRPr="00F7404D" w:rsidP="00F7182D" w14:paraId="0FBF8905" w14:textId="77777777">
      <w:pPr>
        <w:ind w:left="3960"/>
        <w:rPr>
          <w:b/>
          <w:szCs w:val="24"/>
        </w:rPr>
      </w:pPr>
      <w:r w:rsidRPr="00F7404D">
        <w:rPr>
          <w:szCs w:val="24"/>
        </w:rPr>
        <w:t>65 East State Street, Suite 700</w:t>
      </w:r>
    </w:p>
    <w:p w:rsidR="00F7182D" w:rsidRPr="00F7404D" w:rsidP="00F7182D" w14:paraId="41F84328" w14:textId="77777777">
      <w:pPr>
        <w:ind w:left="3960"/>
        <w:rPr>
          <w:b/>
          <w:szCs w:val="24"/>
        </w:rPr>
      </w:pPr>
      <w:r w:rsidRPr="00F7404D">
        <w:rPr>
          <w:szCs w:val="24"/>
        </w:rPr>
        <w:t>Columbus, Ohio 43215-4213</w:t>
      </w:r>
    </w:p>
    <w:p w:rsidR="00F7182D" w:rsidRPr="00F7404D" w:rsidP="00F7182D" w14:paraId="6C35342A" w14:textId="77777777">
      <w:pPr>
        <w:tabs>
          <w:tab w:val="left" w:pos="4320"/>
        </w:tabs>
        <w:ind w:left="3960"/>
        <w:rPr>
          <w:szCs w:val="24"/>
        </w:rPr>
      </w:pPr>
      <w:r w:rsidRPr="00F7404D">
        <w:rPr>
          <w:szCs w:val="24"/>
        </w:rPr>
        <w:t>Telephone: (614) 466-1291 (Michael)</w:t>
      </w:r>
    </w:p>
    <w:p w:rsidR="00F7182D" w:rsidRPr="00F7404D" w:rsidP="00F7182D" w14:paraId="501F18E8" w14:textId="77777777">
      <w:pPr>
        <w:autoSpaceDE w:val="0"/>
        <w:autoSpaceDN w:val="0"/>
        <w:adjustRightInd w:val="0"/>
        <w:ind w:left="3960"/>
        <w:rPr>
          <w:szCs w:val="24"/>
        </w:rPr>
      </w:pPr>
      <w:r w:rsidRPr="00F7404D">
        <w:rPr>
          <w:szCs w:val="24"/>
        </w:rPr>
        <w:t xml:space="preserve">Telephone </w:t>
      </w:r>
      <w:r>
        <w:rPr>
          <w:szCs w:val="24"/>
        </w:rPr>
        <w:t>:</w:t>
      </w:r>
      <w:r w:rsidRPr="00F7404D">
        <w:rPr>
          <w:szCs w:val="24"/>
        </w:rPr>
        <w:t>(614) 466-9575</w:t>
      </w:r>
      <w:r>
        <w:rPr>
          <w:szCs w:val="24"/>
        </w:rPr>
        <w:t xml:space="preserve"> (Botschner O’Brien)</w:t>
      </w:r>
    </w:p>
    <w:p w:rsidR="00F7182D" w:rsidRPr="00F7404D" w:rsidP="00F7182D" w14:paraId="540B5A9D" w14:textId="77777777">
      <w:pPr>
        <w:ind w:left="3960"/>
        <w:rPr>
          <w:rStyle w:val="Hyperlink"/>
          <w:rFonts w:eastAsiaTheme="majorEastAsia"/>
          <w:szCs w:val="24"/>
        </w:rPr>
      </w:pPr>
      <w:hyperlink r:id="rId6" w:history="1">
        <w:r w:rsidRPr="00F7404D">
          <w:rPr>
            <w:rStyle w:val="Hyperlink"/>
            <w:rFonts w:eastAsiaTheme="majorEastAsia"/>
            <w:szCs w:val="24"/>
          </w:rPr>
          <w:t>william.michael@occ.ohio.gov</w:t>
        </w:r>
      </w:hyperlink>
    </w:p>
    <w:p w:rsidR="00F7182D" w:rsidRPr="00F7404D" w:rsidP="00F7182D" w14:paraId="52A02D2C" w14:textId="77777777">
      <w:pPr>
        <w:ind w:left="3960"/>
        <w:rPr>
          <w:rStyle w:val="Hyperlink"/>
          <w:szCs w:val="24"/>
        </w:rPr>
      </w:pPr>
      <w:r w:rsidRPr="00F7404D">
        <w:rPr>
          <w:rStyle w:val="Hyperlink"/>
          <w:szCs w:val="24"/>
        </w:rPr>
        <w:t>amy.botschner.obrien@occ.ohio.gov</w:t>
      </w:r>
    </w:p>
    <w:p w:rsidR="00F7182D" w:rsidRPr="00F7404D" w:rsidP="00F7182D" w14:paraId="65F1DFA7" w14:textId="77777777">
      <w:pPr>
        <w:ind w:left="3960"/>
        <w:rPr>
          <w:szCs w:val="24"/>
        </w:rPr>
      </w:pPr>
      <w:r w:rsidRPr="00F7404D">
        <w:rPr>
          <w:szCs w:val="24"/>
        </w:rPr>
        <w:t>(willing to accept service by e-mail)</w:t>
      </w:r>
    </w:p>
    <w:p w:rsidR="00F7182D" w:rsidP="00F7182D" w14:paraId="0B1DEE60" w14:textId="77777777">
      <w:pPr>
        <w:rPr>
          <w:szCs w:val="24"/>
        </w:rPr>
      </w:pPr>
    </w:p>
    <w:p w:rsidR="00F7182D" w:rsidRPr="00F7404D" w:rsidP="00F7182D" w14:paraId="164E9126" w14:textId="77777777">
      <w:pPr>
        <w:tabs>
          <w:tab w:val="left" w:pos="4320"/>
        </w:tabs>
        <w:ind w:left="4320" w:hanging="360"/>
        <w:rPr>
          <w:szCs w:val="24"/>
        </w:rPr>
      </w:pPr>
      <w:r w:rsidRPr="00F7404D">
        <w:rPr>
          <w:szCs w:val="24"/>
        </w:rPr>
        <w:t>William J. Michael (0070921)</w:t>
      </w:r>
    </w:p>
    <w:p w:rsidR="00F7182D" w:rsidRPr="00F7404D" w:rsidP="00F7182D" w14:paraId="5F232217" w14:textId="77777777">
      <w:pPr>
        <w:ind w:left="3960"/>
        <w:rPr>
          <w:szCs w:val="24"/>
        </w:rPr>
      </w:pPr>
      <w:r w:rsidRPr="00F7404D">
        <w:rPr>
          <w:szCs w:val="24"/>
        </w:rPr>
        <w:t>Counsel of Record (Case No. 18-1830-GA-UNC)</w:t>
      </w:r>
    </w:p>
    <w:p w:rsidR="00F7182D" w:rsidRPr="00F7404D" w:rsidP="00F7182D" w14:paraId="61DFAA8A" w14:textId="77777777">
      <w:pPr>
        <w:tabs>
          <w:tab w:val="left" w:pos="4320"/>
        </w:tabs>
        <w:ind w:left="4320" w:hanging="360"/>
        <w:rPr>
          <w:szCs w:val="24"/>
        </w:rPr>
      </w:pPr>
      <w:r w:rsidRPr="00F7404D">
        <w:rPr>
          <w:szCs w:val="24"/>
        </w:rPr>
        <w:t>Angela D. O’Brien (0097579)</w:t>
      </w:r>
    </w:p>
    <w:p w:rsidR="00F7182D" w:rsidRPr="00F7404D" w:rsidP="00F7182D" w14:paraId="5C9E5655" w14:textId="77777777">
      <w:pPr>
        <w:tabs>
          <w:tab w:val="left" w:pos="4320"/>
        </w:tabs>
        <w:ind w:left="4320" w:hanging="360"/>
        <w:rPr>
          <w:szCs w:val="24"/>
        </w:rPr>
      </w:pPr>
      <w:r w:rsidRPr="00F7404D">
        <w:rPr>
          <w:szCs w:val="24"/>
        </w:rPr>
        <w:t>Ambrosia E. Wilson (0096598)</w:t>
      </w:r>
    </w:p>
    <w:p w:rsidR="00F7182D" w:rsidRPr="00F7404D" w:rsidP="00F7182D" w14:paraId="4162F1CA" w14:textId="77777777">
      <w:pPr>
        <w:tabs>
          <w:tab w:val="left" w:pos="4320"/>
        </w:tabs>
        <w:ind w:left="4320" w:hanging="360"/>
        <w:rPr>
          <w:szCs w:val="24"/>
        </w:rPr>
      </w:pPr>
      <w:r w:rsidRPr="00F7404D">
        <w:rPr>
          <w:szCs w:val="24"/>
        </w:rPr>
        <w:t xml:space="preserve">Assistant Consumers’ Counsel </w:t>
      </w:r>
    </w:p>
    <w:p w:rsidR="00F7182D" w:rsidRPr="00F7404D" w:rsidP="00F7182D" w14:paraId="0BE2B657" w14:textId="77777777">
      <w:pPr>
        <w:ind w:left="4320" w:hanging="360"/>
        <w:rPr>
          <w:b/>
          <w:szCs w:val="24"/>
        </w:rPr>
      </w:pPr>
    </w:p>
    <w:p w:rsidR="00F7182D" w:rsidRPr="00F7404D" w:rsidP="00F7182D" w14:paraId="1379E6EC" w14:textId="77777777">
      <w:pPr>
        <w:ind w:left="4320" w:hanging="360"/>
        <w:rPr>
          <w:b/>
          <w:szCs w:val="24"/>
        </w:rPr>
      </w:pPr>
      <w:r w:rsidRPr="00F7404D">
        <w:rPr>
          <w:b/>
          <w:szCs w:val="24"/>
        </w:rPr>
        <w:t>Office of the Ohio Consumers’ Counsel</w:t>
      </w:r>
    </w:p>
    <w:p w:rsidR="00F7182D" w:rsidRPr="00F7404D" w:rsidP="00F7182D" w14:paraId="469CB1DE" w14:textId="77777777">
      <w:pPr>
        <w:tabs>
          <w:tab w:val="left" w:pos="4320"/>
        </w:tabs>
        <w:ind w:left="4320" w:hanging="360"/>
        <w:rPr>
          <w:szCs w:val="24"/>
        </w:rPr>
      </w:pPr>
      <w:r w:rsidRPr="00F7404D">
        <w:rPr>
          <w:szCs w:val="24"/>
        </w:rPr>
        <w:t>65 East State Street, Suite 700</w:t>
      </w:r>
    </w:p>
    <w:p w:rsidR="00F7182D" w:rsidRPr="00F7404D" w:rsidP="00F7182D" w14:paraId="04606C17" w14:textId="77777777">
      <w:pPr>
        <w:tabs>
          <w:tab w:val="left" w:pos="4320"/>
        </w:tabs>
        <w:ind w:left="4320" w:hanging="360"/>
        <w:rPr>
          <w:szCs w:val="24"/>
        </w:rPr>
      </w:pPr>
      <w:r w:rsidRPr="00F7404D">
        <w:rPr>
          <w:szCs w:val="24"/>
        </w:rPr>
        <w:t>Columbus, Ohio 43215-4213</w:t>
      </w:r>
    </w:p>
    <w:p w:rsidR="00F7182D" w:rsidRPr="00F7404D" w:rsidP="00F7182D" w14:paraId="021F6B0D" w14:textId="77777777">
      <w:pPr>
        <w:tabs>
          <w:tab w:val="left" w:pos="4320"/>
        </w:tabs>
        <w:ind w:left="4320" w:hanging="360"/>
        <w:rPr>
          <w:szCs w:val="24"/>
        </w:rPr>
      </w:pPr>
      <w:r w:rsidRPr="00F7404D">
        <w:rPr>
          <w:szCs w:val="24"/>
        </w:rPr>
        <w:t>Telephone: (614) 466-1291 (Michael)</w:t>
      </w:r>
    </w:p>
    <w:p w:rsidR="00F7182D" w:rsidRPr="00F7404D" w:rsidP="00F7182D" w14:paraId="0A5A8A26" w14:textId="77777777">
      <w:pPr>
        <w:tabs>
          <w:tab w:val="left" w:pos="4320"/>
        </w:tabs>
        <w:ind w:left="4320" w:hanging="360"/>
        <w:rPr>
          <w:szCs w:val="24"/>
        </w:rPr>
      </w:pPr>
      <w:r w:rsidRPr="00F7404D">
        <w:rPr>
          <w:szCs w:val="24"/>
        </w:rPr>
        <w:t xml:space="preserve">Telephone: (614) 466-9531 (O’Brien) </w:t>
      </w:r>
    </w:p>
    <w:p w:rsidR="00F7182D" w:rsidRPr="00F7404D" w:rsidP="00F7182D" w14:paraId="4E727EAA" w14:textId="77777777">
      <w:pPr>
        <w:tabs>
          <w:tab w:val="left" w:pos="4320"/>
        </w:tabs>
        <w:ind w:left="4320" w:hanging="360"/>
        <w:rPr>
          <w:szCs w:val="24"/>
        </w:rPr>
      </w:pPr>
      <w:r w:rsidRPr="00F7404D">
        <w:rPr>
          <w:szCs w:val="24"/>
        </w:rPr>
        <w:t xml:space="preserve">Telephone: (614) 466-1292 (Wilson) </w:t>
      </w:r>
    </w:p>
    <w:p w:rsidR="00F7182D" w:rsidRPr="00F7404D" w:rsidP="00F7182D" w14:paraId="19722CB2" w14:textId="77777777">
      <w:pPr>
        <w:ind w:left="4320" w:hanging="360"/>
        <w:rPr>
          <w:rStyle w:val="Hyperlink"/>
          <w:rFonts w:eastAsiaTheme="majorEastAsia"/>
          <w:szCs w:val="24"/>
        </w:rPr>
      </w:pPr>
      <w:hyperlink r:id="rId6" w:history="1">
        <w:r w:rsidRPr="00F7404D">
          <w:rPr>
            <w:rStyle w:val="Hyperlink"/>
            <w:rFonts w:eastAsiaTheme="majorEastAsia"/>
            <w:szCs w:val="24"/>
          </w:rPr>
          <w:t>william.michael@occ.ohio.gov</w:t>
        </w:r>
      </w:hyperlink>
    </w:p>
    <w:p w:rsidR="00F7182D" w:rsidRPr="00F7404D" w:rsidP="00F7182D" w14:paraId="4C297743" w14:textId="77777777">
      <w:pPr>
        <w:ind w:left="4320" w:hanging="360"/>
        <w:rPr>
          <w:rStyle w:val="Hyperlink"/>
          <w:rFonts w:eastAsiaTheme="majorEastAsia"/>
          <w:szCs w:val="24"/>
        </w:rPr>
      </w:pPr>
      <w:hyperlink r:id="rId7" w:history="1">
        <w:r w:rsidRPr="00F7404D">
          <w:rPr>
            <w:rStyle w:val="Hyperlink"/>
            <w:rFonts w:eastAsiaTheme="majorEastAsia"/>
            <w:szCs w:val="24"/>
          </w:rPr>
          <w:t>angela.obrien@occ.ohio.gov</w:t>
        </w:r>
      </w:hyperlink>
    </w:p>
    <w:p w:rsidR="00F7182D" w:rsidRPr="00F7404D" w:rsidP="00F7182D" w14:paraId="6DD133EE" w14:textId="77777777">
      <w:pPr>
        <w:ind w:left="4320" w:hanging="360"/>
        <w:rPr>
          <w:rStyle w:val="Hyperlink"/>
          <w:rFonts w:eastAsiaTheme="majorEastAsia"/>
          <w:szCs w:val="24"/>
        </w:rPr>
      </w:pPr>
      <w:hyperlink r:id="rId8" w:history="1">
        <w:r w:rsidRPr="00F7404D">
          <w:rPr>
            <w:rStyle w:val="Hyperlink"/>
            <w:rFonts w:eastAsiaTheme="majorEastAsia"/>
            <w:szCs w:val="24"/>
          </w:rPr>
          <w:t>ambrosia.wilson@occ.ohio.gov</w:t>
        </w:r>
      </w:hyperlink>
    </w:p>
    <w:p w:rsidR="00F7182D" w:rsidRPr="00F7404D" w:rsidP="00F7182D" w14:paraId="0DC23590" w14:textId="77777777">
      <w:pPr>
        <w:ind w:firstLine="3960"/>
        <w:rPr>
          <w:szCs w:val="24"/>
        </w:rPr>
      </w:pPr>
      <w:r w:rsidRPr="00F7404D">
        <w:rPr>
          <w:szCs w:val="24"/>
        </w:rPr>
        <w:t>(willing to accept service by e-mail)</w:t>
      </w:r>
    </w:p>
    <w:p w:rsidR="003E4F5B" w:rsidRPr="00F7404D" w:rsidP="00115AF7" w14:paraId="114C6154" w14:textId="77777777">
      <w:pPr>
        <w:ind w:left="4320"/>
        <w:rPr>
          <w:szCs w:val="24"/>
        </w:rPr>
      </w:pPr>
    </w:p>
    <w:p w:rsidR="00F7404D" w:rsidRPr="00F7404D" w14:paraId="412E2574" w14:textId="77777777">
      <w:pPr>
        <w:spacing w:after="200" w:line="276" w:lineRule="auto"/>
        <w:rPr>
          <w:b/>
          <w:bCs/>
          <w:szCs w:val="24"/>
          <w:u w:val="single"/>
        </w:rPr>
      </w:pPr>
      <w:r w:rsidRPr="00F7404D">
        <w:rPr>
          <w:b/>
          <w:bCs/>
          <w:szCs w:val="24"/>
          <w:u w:val="single"/>
        </w:rPr>
        <w:br w:type="page"/>
      </w:r>
    </w:p>
    <w:p w:rsidR="00BA6EC5" w:rsidRPr="00F7404D" w:rsidP="00D805DF" w14:paraId="794D62B5" w14:textId="356A1180">
      <w:pPr>
        <w:ind w:left="2160" w:firstLine="720"/>
        <w:rPr>
          <w:b/>
          <w:bCs/>
          <w:szCs w:val="24"/>
          <w:u w:val="single"/>
        </w:rPr>
      </w:pPr>
      <w:r w:rsidRPr="00F7404D">
        <w:rPr>
          <w:b/>
          <w:bCs/>
          <w:szCs w:val="24"/>
          <w:u w:val="single"/>
        </w:rPr>
        <w:t>CERTIFICATE OF SERVICE</w:t>
      </w:r>
    </w:p>
    <w:p w:rsidR="00BA6EC5" w:rsidRPr="00F7404D" w14:paraId="28D0C439" w14:textId="77777777">
      <w:pPr>
        <w:pStyle w:val="EndnoteText"/>
        <w:widowControl/>
        <w:tabs>
          <w:tab w:val="left" w:pos="-720"/>
        </w:tabs>
        <w:suppressAutoHyphens/>
        <w:rPr>
          <w:rFonts w:ascii="Times New Roman" w:hAnsi="Times New Roman"/>
          <w:spacing w:val="-3"/>
          <w:szCs w:val="24"/>
        </w:rPr>
      </w:pPr>
    </w:p>
    <w:p w:rsidR="00BA6EC5" w:rsidRPr="00F7404D" w:rsidP="00A81C49" w14:paraId="6C048BF5" w14:textId="3F8BBC1B">
      <w:pPr>
        <w:tabs>
          <w:tab w:val="left" w:pos="-720"/>
        </w:tabs>
        <w:suppressAutoHyphens/>
        <w:spacing w:line="480" w:lineRule="auto"/>
        <w:ind w:firstLine="720"/>
        <w:rPr>
          <w:szCs w:val="24"/>
        </w:rPr>
      </w:pPr>
      <w:r w:rsidRPr="00F7404D">
        <w:rPr>
          <w:szCs w:val="24"/>
        </w:rPr>
        <w:t xml:space="preserve">It is hereby certified that a true copy of the foregoing </w:t>
      </w:r>
      <w:r w:rsidR="00F7182D">
        <w:rPr>
          <w:szCs w:val="24"/>
        </w:rPr>
        <w:t>Memorandum Contra</w:t>
      </w:r>
      <w:r w:rsidRPr="00F7404D">
        <w:rPr>
          <w:szCs w:val="24"/>
        </w:rPr>
        <w:t xml:space="preserve"> was served by electronic transmission upon the parties below this </w:t>
      </w:r>
      <w:r w:rsidR="00F7182D">
        <w:rPr>
          <w:szCs w:val="24"/>
        </w:rPr>
        <w:t>31st</w:t>
      </w:r>
      <w:r w:rsidRPr="00F7404D">
        <w:rPr>
          <w:szCs w:val="24"/>
        </w:rPr>
        <w:t xml:space="preserve"> day of </w:t>
      </w:r>
      <w:r w:rsidR="00F7182D">
        <w:rPr>
          <w:szCs w:val="24"/>
        </w:rPr>
        <w:t>May</w:t>
      </w:r>
      <w:r w:rsidRPr="00F7404D" w:rsidR="00180094">
        <w:rPr>
          <w:szCs w:val="24"/>
        </w:rPr>
        <w:t xml:space="preserve"> 202</w:t>
      </w:r>
      <w:r w:rsidR="00F7182D">
        <w:rPr>
          <w:szCs w:val="24"/>
        </w:rPr>
        <w:t>2</w:t>
      </w:r>
      <w:r w:rsidRPr="00F7404D">
        <w:rPr>
          <w:szCs w:val="24"/>
        </w:rPr>
        <w:t>.</w:t>
      </w:r>
    </w:p>
    <w:p w:rsidR="00BA6EC5" w:rsidRPr="00F7404D" w14:paraId="057A1A43" w14:textId="77777777">
      <w:pPr>
        <w:pStyle w:val="EndnoteText"/>
        <w:widowControl/>
        <w:rPr>
          <w:rFonts w:ascii="Times New Roman" w:hAnsi="Times New Roman"/>
          <w:snapToGrid/>
          <w:szCs w:val="24"/>
        </w:rPr>
      </w:pPr>
    </w:p>
    <w:p w:rsidR="00BA6EC5" w:rsidRPr="00F7404D" w14:paraId="384E3151" w14:textId="2E9349EA">
      <w:pPr>
        <w:pStyle w:val="EndnoteText"/>
        <w:widowControl/>
        <w:rPr>
          <w:rFonts w:ascii="Times New Roman" w:hAnsi="Times New Roman"/>
          <w:snapToGrid/>
          <w:szCs w:val="24"/>
        </w:rPr>
      </w:pP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i/>
          <w:snapToGrid/>
          <w:szCs w:val="24"/>
          <w:u w:val="single"/>
        </w:rPr>
        <w:t xml:space="preserve">/s/ </w:t>
      </w:r>
      <w:r w:rsidR="00F7182D">
        <w:rPr>
          <w:rFonts w:ascii="Times New Roman" w:hAnsi="Times New Roman"/>
          <w:i/>
          <w:snapToGrid/>
          <w:szCs w:val="24"/>
          <w:u w:val="single"/>
        </w:rPr>
        <w:t>William J. Michael</w:t>
      </w:r>
      <w:r w:rsidR="00F7182D">
        <w:rPr>
          <w:rFonts w:ascii="Times New Roman" w:hAnsi="Times New Roman"/>
          <w:i/>
          <w:snapToGrid/>
          <w:szCs w:val="24"/>
          <w:u w:val="single"/>
        </w:rPr>
        <w:tab/>
      </w:r>
      <w:r w:rsidRPr="00F7404D">
        <w:rPr>
          <w:rFonts w:ascii="Times New Roman" w:hAnsi="Times New Roman"/>
          <w:i/>
          <w:snapToGrid/>
          <w:szCs w:val="24"/>
          <w:u w:val="single"/>
        </w:rPr>
        <w:tab/>
      </w:r>
    </w:p>
    <w:p w:rsidR="00BA6EC5" w:rsidRPr="00F7404D" w14:paraId="2AC6B403" w14:textId="65355013">
      <w:pPr>
        <w:pStyle w:val="EndnoteText"/>
        <w:widowControl/>
        <w:rPr>
          <w:rFonts w:ascii="Times New Roman" w:hAnsi="Times New Roman"/>
          <w:snapToGrid/>
          <w:szCs w:val="24"/>
        </w:rPr>
      </w:pP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00F7182D">
        <w:rPr>
          <w:rFonts w:ascii="Times New Roman" w:hAnsi="Times New Roman"/>
          <w:snapToGrid/>
          <w:szCs w:val="24"/>
        </w:rPr>
        <w:t>William J. Michael</w:t>
      </w:r>
    </w:p>
    <w:p w:rsidR="00BA6EC5" w:rsidRPr="00F7404D" w14:paraId="23F4AAC9" w14:textId="77777777">
      <w:pPr>
        <w:pStyle w:val="EndnoteText"/>
        <w:widowControl/>
        <w:rPr>
          <w:rFonts w:ascii="Times New Roman" w:hAnsi="Times New Roman"/>
          <w:snapToGrid/>
          <w:szCs w:val="24"/>
        </w:rPr>
      </w:pP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r>
      <w:r w:rsidRPr="00F7404D">
        <w:rPr>
          <w:rFonts w:ascii="Times New Roman" w:hAnsi="Times New Roman"/>
          <w:snapToGrid/>
          <w:szCs w:val="24"/>
        </w:rPr>
        <w:tab/>
        <w:t>Assistant Consumers’ Counsel</w:t>
      </w:r>
    </w:p>
    <w:p w:rsidR="00BA6EC5" w:rsidRPr="00F7404D" w14:paraId="7C48B6BC" w14:textId="77777777">
      <w:pPr>
        <w:pStyle w:val="EndnoteText"/>
        <w:widowControl/>
        <w:rPr>
          <w:rFonts w:ascii="Times New Roman" w:hAnsi="Times New Roman"/>
          <w:snapToGrid/>
          <w:szCs w:val="24"/>
        </w:rPr>
      </w:pPr>
    </w:p>
    <w:p w:rsidR="00BA6EC5" w:rsidRPr="00F7404D" w14:paraId="0C9742B6" w14:textId="77777777">
      <w:pPr>
        <w:pStyle w:val="EndnoteText"/>
        <w:widowControl/>
        <w:jc w:val="center"/>
        <w:rPr>
          <w:rFonts w:ascii="Times New Roman" w:hAnsi="Times New Roman"/>
          <w:b/>
          <w:bCs/>
          <w:snapToGrid/>
          <w:szCs w:val="24"/>
        </w:rPr>
      </w:pPr>
    </w:p>
    <w:p w:rsidR="00B438EA" w:rsidRPr="00F7404D" w:rsidP="00B438EA" w14:paraId="21E6EFB3" w14:textId="77777777">
      <w:pPr>
        <w:pStyle w:val="CommentText"/>
        <w:rPr>
          <w:sz w:val="24"/>
          <w:szCs w:val="24"/>
        </w:rPr>
      </w:pPr>
      <w:bookmarkStart w:id="9" w:name="_Hlk22544303"/>
      <w:r w:rsidRPr="00F7404D">
        <w:rPr>
          <w:sz w:val="24"/>
          <w:szCs w:val="24"/>
        </w:rPr>
        <w:t>The PUCO’s e-filing system will electronically serve notice of the filing of this document on the following parties:</w:t>
      </w:r>
    </w:p>
    <w:p w:rsidR="00B438EA" w:rsidRPr="00F7404D" w:rsidP="00B438EA" w14:paraId="3386669E" w14:textId="77777777">
      <w:pPr>
        <w:pStyle w:val="EndnoteText"/>
        <w:widowControl/>
        <w:rPr>
          <w:rFonts w:ascii="Times New Roman" w:hAnsi="Times New Roman"/>
          <w:snapToGrid/>
          <w:szCs w:val="24"/>
        </w:rPr>
      </w:pPr>
    </w:p>
    <w:p w:rsidR="00B438EA" w:rsidRPr="00F7404D" w:rsidP="00B438EA" w14:paraId="6037969A" w14:textId="77777777">
      <w:pPr>
        <w:pStyle w:val="CommentText"/>
        <w:jc w:val="center"/>
        <w:rPr>
          <w:b/>
          <w:bCs/>
          <w:sz w:val="24"/>
          <w:szCs w:val="24"/>
          <w:u w:val="single"/>
        </w:rPr>
      </w:pPr>
      <w:r w:rsidRPr="00F7404D">
        <w:rPr>
          <w:b/>
          <w:bCs/>
          <w:sz w:val="24"/>
          <w:szCs w:val="24"/>
          <w:u w:val="single"/>
        </w:rPr>
        <w:t>SERVICE LIST</w:t>
      </w:r>
    </w:p>
    <w:p w:rsidR="00B438EA" w:rsidRPr="00F7404D" w:rsidP="00B438EA" w14:paraId="4F998196" w14:textId="77777777">
      <w:pPr>
        <w:pStyle w:val="CommentText"/>
        <w:jc w:val="center"/>
        <w:rPr>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gridCol w:w="4111"/>
      </w:tblGrid>
      <w:tr w14:paraId="438EA533" w14:textId="77777777" w:rsidTr="00DE40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9" w:type="dxa"/>
          </w:tcPr>
          <w:p w:rsidR="00B438EA" w:rsidRPr="00F7404D" w:rsidP="00DE40A6" w14:paraId="4F0D4A0F" w14:textId="4FC274C9">
            <w:pPr>
              <w:rPr>
                <w:rStyle w:val="Hyperlink"/>
                <w:szCs w:val="24"/>
              </w:rPr>
            </w:pPr>
            <w:hyperlink r:id="rId12" w:history="1">
              <w:r w:rsidRPr="00F7404D" w:rsidR="00D4701C">
                <w:rPr>
                  <w:rStyle w:val="Hyperlink"/>
                  <w:szCs w:val="24"/>
                </w:rPr>
                <w:t>werner.margard@ohioAGO.gov</w:t>
              </w:r>
            </w:hyperlink>
          </w:p>
          <w:p w:rsidR="00B438EA" w:rsidRPr="00F7404D" w:rsidP="00DE40A6" w14:paraId="4BDEF0DF" w14:textId="42FC89B3">
            <w:pPr>
              <w:rPr>
                <w:szCs w:val="24"/>
              </w:rPr>
            </w:pPr>
            <w:hyperlink r:id="rId13" w:history="1">
              <w:r w:rsidRPr="00F7404D" w:rsidR="00D4701C">
                <w:rPr>
                  <w:rStyle w:val="Hyperlink"/>
                  <w:szCs w:val="24"/>
                </w:rPr>
                <w:t>Robert.eubanks@ohioAGO.gov</w:t>
              </w:r>
            </w:hyperlink>
          </w:p>
          <w:p w:rsidR="00D4701C" w:rsidRPr="00F7404D" w:rsidP="00DE40A6" w14:paraId="6D3B5D8F" w14:textId="288FF62E">
            <w:pPr>
              <w:rPr>
                <w:szCs w:val="24"/>
              </w:rPr>
            </w:pPr>
            <w:hyperlink r:id="rId14" w:history="1">
              <w:r w:rsidRPr="00F7404D" w:rsidR="002105D8">
                <w:rPr>
                  <w:rStyle w:val="Hyperlink"/>
                  <w:szCs w:val="24"/>
                </w:rPr>
                <w:t>Jodi.bair@ohioAGO.gov</w:t>
              </w:r>
            </w:hyperlink>
          </w:p>
          <w:p w:rsidR="00D4701C" w:rsidRPr="00F7404D" w:rsidP="00DE40A6" w14:paraId="35E413DC" w14:textId="1FAFA00B">
            <w:pPr>
              <w:rPr>
                <w:szCs w:val="24"/>
              </w:rPr>
            </w:pPr>
            <w:hyperlink r:id="rId15" w:history="1">
              <w:r w:rsidRPr="00F7404D" w:rsidR="002105D8">
                <w:rPr>
                  <w:rStyle w:val="Hyperlink"/>
                  <w:szCs w:val="24"/>
                </w:rPr>
                <w:t>Kyle.kern@ohioAGO.gov</w:t>
              </w:r>
            </w:hyperlink>
          </w:p>
          <w:p w:rsidR="00B438EA" w:rsidRPr="00F7404D" w:rsidP="00DE40A6" w14:paraId="42CB8988" w14:textId="4542A3BA">
            <w:pPr>
              <w:rPr>
                <w:rStyle w:val="Hyperlink"/>
                <w:szCs w:val="24"/>
              </w:rPr>
            </w:pPr>
            <w:hyperlink r:id="rId16" w:history="1">
              <w:r w:rsidRPr="00F7404D" w:rsidR="00D4701C">
                <w:rPr>
                  <w:rStyle w:val="Hyperlink"/>
                  <w:szCs w:val="24"/>
                </w:rPr>
                <w:t>John.jones@ohioAGO.gov</w:t>
              </w:r>
            </w:hyperlink>
          </w:p>
          <w:p w:rsidR="00510E24" w:rsidRPr="00F7404D" w:rsidP="00DE40A6" w14:paraId="1567FD2D" w14:textId="77777777">
            <w:pPr>
              <w:rPr>
                <w:rStyle w:val="Hyperlink"/>
                <w:szCs w:val="24"/>
              </w:rPr>
            </w:pPr>
            <w:r w:rsidRPr="00F7404D">
              <w:rPr>
                <w:rStyle w:val="Hyperlink"/>
                <w:szCs w:val="24"/>
              </w:rPr>
              <w:t>rdove@keglerbrown.com</w:t>
            </w:r>
          </w:p>
          <w:p w:rsidR="00B438EA" w:rsidRPr="00F7404D" w:rsidP="00DE40A6" w14:paraId="516867DC" w14:textId="77777777">
            <w:pPr>
              <w:rPr>
                <w:szCs w:val="24"/>
              </w:rPr>
            </w:pPr>
            <w:hyperlink r:id="rId17" w:history="1">
              <w:r w:rsidRPr="00F7404D" w:rsidR="00DC1207">
                <w:rPr>
                  <w:rStyle w:val="Hyperlink"/>
                  <w:szCs w:val="24"/>
                </w:rPr>
                <w:t>dboehm@BKLlawfirm.com</w:t>
              </w:r>
            </w:hyperlink>
          </w:p>
          <w:p w:rsidR="00B438EA" w:rsidRPr="00F7404D" w:rsidP="00DE40A6" w14:paraId="2D654BD3" w14:textId="77777777">
            <w:pPr>
              <w:rPr>
                <w:szCs w:val="24"/>
              </w:rPr>
            </w:pPr>
            <w:hyperlink r:id="rId18" w:history="1">
              <w:r w:rsidRPr="00F7404D" w:rsidR="00DC1207">
                <w:rPr>
                  <w:rStyle w:val="Hyperlink"/>
                  <w:szCs w:val="24"/>
                </w:rPr>
                <w:t>mkurtz@BKLlawfirm.com</w:t>
              </w:r>
            </w:hyperlink>
          </w:p>
          <w:p w:rsidR="00B438EA" w:rsidRPr="00F7404D" w:rsidP="00DE40A6" w14:paraId="221A9C85" w14:textId="77777777">
            <w:pPr>
              <w:rPr>
                <w:szCs w:val="24"/>
              </w:rPr>
            </w:pPr>
            <w:hyperlink r:id="rId19" w:history="1">
              <w:r w:rsidRPr="00F7404D" w:rsidR="00DC1207">
                <w:rPr>
                  <w:rStyle w:val="Hyperlink"/>
                  <w:szCs w:val="24"/>
                </w:rPr>
                <w:t>jkylercohn@BKLlawfirm.com</w:t>
              </w:r>
            </w:hyperlink>
          </w:p>
          <w:p w:rsidR="00B438EA" w:rsidRPr="00F7404D" w:rsidP="00DE40A6" w14:paraId="71F35D00" w14:textId="77777777">
            <w:pPr>
              <w:rPr>
                <w:szCs w:val="24"/>
              </w:rPr>
            </w:pPr>
          </w:p>
          <w:p w:rsidR="00B438EA" w:rsidRPr="00F7404D" w:rsidP="00DE40A6" w14:paraId="2043BC2B" w14:textId="77777777">
            <w:pPr>
              <w:rPr>
                <w:szCs w:val="24"/>
              </w:rPr>
            </w:pPr>
            <w:r w:rsidRPr="00F7404D">
              <w:rPr>
                <w:szCs w:val="24"/>
              </w:rPr>
              <w:t>Attorney Examiner:</w:t>
            </w:r>
          </w:p>
          <w:p w:rsidR="00B438EA" w:rsidRPr="00F7404D" w:rsidP="00DE40A6" w14:paraId="61967823" w14:textId="77777777">
            <w:pPr>
              <w:rPr>
                <w:szCs w:val="24"/>
              </w:rPr>
            </w:pPr>
          </w:p>
          <w:p w:rsidR="00B438EA" w:rsidRPr="00F7404D" w:rsidP="00DE40A6" w14:paraId="648BD198" w14:textId="77777777">
            <w:pPr>
              <w:rPr>
                <w:szCs w:val="24"/>
              </w:rPr>
            </w:pPr>
            <w:hyperlink r:id="rId20" w:history="1">
              <w:r w:rsidRPr="00F7404D" w:rsidR="00DC1207">
                <w:rPr>
                  <w:rStyle w:val="Hyperlink"/>
                  <w:szCs w:val="24"/>
                </w:rPr>
                <w:t>Megan.addison@puco.ohio.gov</w:t>
              </w:r>
            </w:hyperlink>
          </w:p>
          <w:p w:rsidR="00B438EA" w:rsidRPr="00F7404D" w:rsidP="00DE40A6" w14:paraId="62F4B039" w14:textId="4E495779">
            <w:pPr>
              <w:rPr>
                <w:szCs w:val="24"/>
              </w:rPr>
            </w:pPr>
            <w:hyperlink r:id="rId21" w:history="1">
              <w:r w:rsidRPr="00F7404D" w:rsidR="00D4701C">
                <w:rPr>
                  <w:rStyle w:val="Hyperlink"/>
                  <w:szCs w:val="24"/>
                </w:rPr>
                <w:t>Matthew.sandor@puco.ohio.gov</w:t>
              </w:r>
            </w:hyperlink>
          </w:p>
          <w:p w:rsidR="00D4701C" w:rsidRPr="00F7404D" w:rsidP="00DE40A6" w14:paraId="70CB223C" w14:textId="0F13BC74">
            <w:pPr>
              <w:rPr>
                <w:rStyle w:val="Hyperlink"/>
                <w:szCs w:val="24"/>
              </w:rPr>
            </w:pPr>
            <w:hyperlink r:id="rId22" w:history="1">
              <w:r w:rsidRPr="00F7404D" w:rsidR="002105D8">
                <w:rPr>
                  <w:rStyle w:val="Hyperlink"/>
                  <w:szCs w:val="24"/>
                </w:rPr>
                <w:t>Nicholas.walstra@puco.ohio.gov</w:t>
              </w:r>
            </w:hyperlink>
          </w:p>
          <w:p w:rsidR="00E47042" w:rsidRPr="00F7404D" w:rsidP="00E47042" w14:paraId="1B2F7CE8" w14:textId="20208B6B">
            <w:pPr>
              <w:pStyle w:val="CommentText"/>
              <w:jc w:val="both"/>
              <w:rPr>
                <w:rStyle w:val="Hyperlink"/>
                <w:rFonts w:eastAsiaTheme="majorEastAsia"/>
                <w:sz w:val="24"/>
                <w:szCs w:val="24"/>
              </w:rPr>
            </w:pPr>
            <w:r w:rsidRPr="00F7404D">
              <w:rPr>
                <w:rStyle w:val="Hyperlink"/>
                <w:rFonts w:eastAsiaTheme="majorEastAsia"/>
                <w:sz w:val="24"/>
                <w:szCs w:val="24"/>
              </w:rPr>
              <w:t>Lauren.augostini@puco.ohio.gov</w:t>
            </w:r>
          </w:p>
          <w:p w:rsidR="00E47042" w:rsidRPr="00F7404D" w:rsidP="00DE40A6" w14:paraId="033173AE" w14:textId="77777777">
            <w:pPr>
              <w:rPr>
                <w:szCs w:val="24"/>
              </w:rPr>
            </w:pPr>
          </w:p>
          <w:p w:rsidR="00D4701C" w:rsidRPr="00F7404D" w:rsidP="00DE40A6" w14:paraId="00773555" w14:textId="77777777">
            <w:pPr>
              <w:rPr>
                <w:szCs w:val="24"/>
              </w:rPr>
            </w:pPr>
          </w:p>
          <w:p w:rsidR="00B438EA" w:rsidRPr="00F7404D" w:rsidP="00DE40A6" w14:paraId="60196C26" w14:textId="77777777">
            <w:pPr>
              <w:rPr>
                <w:szCs w:val="24"/>
              </w:rPr>
            </w:pPr>
          </w:p>
        </w:tc>
        <w:tc>
          <w:tcPr>
            <w:tcW w:w="4111" w:type="dxa"/>
          </w:tcPr>
          <w:p w:rsidR="00B438EA" w:rsidRPr="00F7404D" w:rsidP="00DE40A6" w14:paraId="4A56C7CB" w14:textId="77777777">
            <w:pPr>
              <w:ind w:left="400"/>
              <w:rPr>
                <w:rStyle w:val="Hyperlink"/>
                <w:szCs w:val="24"/>
              </w:rPr>
            </w:pPr>
            <w:hyperlink r:id="rId23" w:history="1">
              <w:r w:rsidRPr="00F7404D" w:rsidR="00510E24">
                <w:rPr>
                  <w:rStyle w:val="Hyperlink"/>
                  <w:szCs w:val="24"/>
                </w:rPr>
                <w:t>Rocco.dascenzo@duke-energy.com</w:t>
              </w:r>
            </w:hyperlink>
          </w:p>
          <w:p w:rsidR="00B438EA" w:rsidRPr="00F7404D" w:rsidP="00DE40A6" w14:paraId="7E3B965A" w14:textId="77777777">
            <w:pPr>
              <w:ind w:left="400"/>
              <w:rPr>
                <w:rStyle w:val="Hyperlink"/>
                <w:szCs w:val="24"/>
              </w:rPr>
            </w:pPr>
            <w:hyperlink r:id="rId24" w:history="1">
              <w:r w:rsidRPr="00F7404D" w:rsidR="00DC1207">
                <w:rPr>
                  <w:rStyle w:val="Hyperlink"/>
                  <w:szCs w:val="24"/>
                </w:rPr>
                <w:t>Jeanne.kingery@duke-energy.com</w:t>
              </w:r>
            </w:hyperlink>
          </w:p>
          <w:p w:rsidR="00B438EA" w:rsidRPr="00F7404D" w:rsidP="00DE40A6" w14:paraId="4F03F235" w14:textId="77777777">
            <w:pPr>
              <w:ind w:left="400"/>
              <w:rPr>
                <w:rStyle w:val="Hyperlink"/>
                <w:szCs w:val="24"/>
              </w:rPr>
            </w:pPr>
            <w:hyperlink r:id="rId25" w:history="1">
              <w:r w:rsidRPr="00F7404D" w:rsidR="00DC1207">
                <w:rPr>
                  <w:rStyle w:val="Hyperlink"/>
                  <w:szCs w:val="24"/>
                </w:rPr>
                <w:t>Larisa.vaysman@duke-energy.com</w:t>
              </w:r>
            </w:hyperlink>
          </w:p>
          <w:p w:rsidR="00B438EA" w:rsidRPr="00F7404D" w:rsidP="00DE40A6" w14:paraId="656FAA4D" w14:textId="77777777">
            <w:pPr>
              <w:ind w:left="400"/>
              <w:rPr>
                <w:rStyle w:val="Hyperlink"/>
                <w:szCs w:val="24"/>
              </w:rPr>
            </w:pPr>
            <w:hyperlink r:id="rId26" w:history="1">
              <w:r w:rsidRPr="00F7404D" w:rsidR="00DC1207">
                <w:rPr>
                  <w:rStyle w:val="Hyperlink"/>
                  <w:szCs w:val="24"/>
                </w:rPr>
                <w:t>kmcmurray@fbtlaw.com</w:t>
              </w:r>
            </w:hyperlink>
          </w:p>
          <w:p w:rsidR="00B438EA" w:rsidRPr="00F7404D" w:rsidP="00DE40A6" w14:paraId="07E53E04" w14:textId="77777777">
            <w:pPr>
              <w:ind w:left="400"/>
              <w:rPr>
                <w:rStyle w:val="Hyperlink"/>
                <w:szCs w:val="24"/>
              </w:rPr>
            </w:pPr>
            <w:hyperlink r:id="rId27" w:history="1">
              <w:r w:rsidRPr="00F7404D" w:rsidR="00DC1207">
                <w:rPr>
                  <w:rStyle w:val="Hyperlink"/>
                  <w:szCs w:val="24"/>
                </w:rPr>
                <w:t>Paul@carpenterlipps.com</w:t>
              </w:r>
            </w:hyperlink>
          </w:p>
          <w:p w:rsidR="00B438EA" w:rsidRPr="00F7404D" w:rsidP="00DE40A6" w14:paraId="0088E477" w14:textId="12E704C7">
            <w:pPr>
              <w:ind w:left="400"/>
              <w:rPr>
                <w:rStyle w:val="Hyperlink"/>
                <w:szCs w:val="24"/>
              </w:rPr>
            </w:pPr>
            <w:hyperlink r:id="rId28" w:history="1">
              <w:r w:rsidRPr="00F7404D" w:rsidR="00DC1207">
                <w:rPr>
                  <w:rStyle w:val="Hyperlink"/>
                  <w:szCs w:val="24"/>
                </w:rPr>
                <w:t>bojko@carpenterlipps.com</w:t>
              </w:r>
            </w:hyperlink>
          </w:p>
          <w:p w:rsidR="00D1611D" w:rsidRPr="00F7404D" w:rsidP="00DE40A6" w14:paraId="43AF1425" w14:textId="2FED936E">
            <w:pPr>
              <w:ind w:left="400"/>
              <w:rPr>
                <w:rStyle w:val="Hyperlink"/>
                <w:szCs w:val="24"/>
              </w:rPr>
            </w:pPr>
            <w:hyperlink r:id="rId29" w:history="1">
              <w:r w:rsidRPr="00F7404D" w:rsidR="002105D8">
                <w:rPr>
                  <w:rStyle w:val="Hyperlink"/>
                  <w:szCs w:val="24"/>
                </w:rPr>
                <w:t>michael.nugent@igs.com</w:t>
              </w:r>
            </w:hyperlink>
          </w:p>
          <w:p w:rsidR="00D1611D" w:rsidRPr="00F7404D" w:rsidP="00DE40A6" w14:paraId="59DFF0F3" w14:textId="6CEA60BF">
            <w:pPr>
              <w:ind w:left="400"/>
              <w:rPr>
                <w:rStyle w:val="Hyperlink"/>
                <w:szCs w:val="24"/>
              </w:rPr>
            </w:pPr>
            <w:hyperlink r:id="rId30" w:history="1">
              <w:r w:rsidRPr="00F7404D" w:rsidR="002105D8">
                <w:rPr>
                  <w:rStyle w:val="Hyperlink"/>
                  <w:szCs w:val="24"/>
                </w:rPr>
                <w:t>bethany.allen@igs.com</w:t>
              </w:r>
            </w:hyperlink>
          </w:p>
          <w:p w:rsidR="00D1611D" w:rsidRPr="00F7404D" w:rsidP="00DE40A6" w14:paraId="239D33DF" w14:textId="6E3A3509">
            <w:pPr>
              <w:ind w:left="400"/>
              <w:rPr>
                <w:rStyle w:val="Hyperlink"/>
                <w:szCs w:val="24"/>
              </w:rPr>
            </w:pPr>
            <w:hyperlink r:id="rId31" w:history="1">
              <w:r w:rsidRPr="00F7404D" w:rsidR="002105D8">
                <w:rPr>
                  <w:rStyle w:val="Hyperlink"/>
                  <w:szCs w:val="24"/>
                </w:rPr>
                <w:t>evan.betterton@igs.com</w:t>
              </w:r>
            </w:hyperlink>
          </w:p>
          <w:p w:rsidR="00D1611D" w:rsidRPr="00F7404D" w:rsidP="00DE40A6" w14:paraId="7CDC4BA8" w14:textId="77777777">
            <w:pPr>
              <w:ind w:left="400"/>
              <w:rPr>
                <w:rStyle w:val="Hyperlink"/>
                <w:szCs w:val="24"/>
              </w:rPr>
            </w:pPr>
          </w:p>
          <w:p w:rsidR="00B438EA" w:rsidRPr="00F7404D" w:rsidP="00DE40A6" w14:paraId="1EB167DF" w14:textId="77777777">
            <w:pPr>
              <w:rPr>
                <w:rStyle w:val="Hyperlink"/>
                <w:szCs w:val="24"/>
              </w:rPr>
            </w:pPr>
          </w:p>
          <w:p w:rsidR="00B438EA" w:rsidRPr="00F7404D" w:rsidP="00DE40A6" w14:paraId="16EAAA29" w14:textId="77777777">
            <w:pPr>
              <w:rPr>
                <w:rStyle w:val="Hyperlink"/>
                <w:szCs w:val="24"/>
              </w:rPr>
            </w:pPr>
          </w:p>
        </w:tc>
      </w:tr>
      <w:tr w14:paraId="73475724" w14:textId="77777777" w:rsidTr="00DE40A6">
        <w:tblPrEx>
          <w:tblW w:w="0" w:type="auto"/>
          <w:tblLook w:val="04A0"/>
        </w:tblPrEx>
        <w:tc>
          <w:tcPr>
            <w:tcW w:w="4529" w:type="dxa"/>
          </w:tcPr>
          <w:p w:rsidR="00D1611D" w:rsidRPr="00F7404D" w:rsidP="00DE40A6" w14:paraId="675704E9" w14:textId="77777777">
            <w:pPr>
              <w:rPr>
                <w:szCs w:val="24"/>
              </w:rPr>
            </w:pPr>
          </w:p>
        </w:tc>
        <w:tc>
          <w:tcPr>
            <w:tcW w:w="4111" w:type="dxa"/>
          </w:tcPr>
          <w:p w:rsidR="00D1611D" w:rsidRPr="00F7404D" w:rsidP="00DE40A6" w14:paraId="10644F6A" w14:textId="77777777">
            <w:pPr>
              <w:ind w:left="400"/>
              <w:rPr>
                <w:szCs w:val="24"/>
              </w:rPr>
            </w:pPr>
          </w:p>
        </w:tc>
      </w:tr>
      <w:bookmarkEnd w:id="9"/>
    </w:tbl>
    <w:p w:rsidR="00F658D3" w:rsidRPr="00F7404D" w:rsidP="00B438EA" w14:paraId="52645D7F" w14:textId="77777777">
      <w:pPr>
        <w:pStyle w:val="CommentText"/>
        <w:jc w:val="center"/>
        <w:rPr>
          <w:b/>
          <w:bCs/>
          <w:sz w:val="24"/>
          <w:szCs w:val="24"/>
          <w:u w:val="single"/>
        </w:rPr>
      </w:pPr>
    </w:p>
    <w:sectPr w:rsidSect="00120E41">
      <w:headerReference w:type="default" r:id="rId32"/>
      <w:footerReference w:type="default" r:id="rId33"/>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B" w:usb1="04270D4C" w:usb2="0062E1B8" w:usb3="30024F95" w:csb0="00791A99" w:csb1="00000009"/>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7E0" w:rsidRPr="00646F90" w14:paraId="726AFF7C" w14:textId="1151041F">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7635736"/>
      <w:docPartObj>
        <w:docPartGallery w:val="Page Numbers (Bottom of Page)"/>
        <w:docPartUnique/>
      </w:docPartObj>
    </w:sdtPr>
    <w:sdtEndPr>
      <w:rPr>
        <w:rFonts w:ascii="Times New Roman" w:hAnsi="Times New Roman" w:cs="Times New Roman"/>
        <w:noProof/>
      </w:rPr>
    </w:sdtEndPr>
    <w:sdtContent>
      <w:p w:rsidR="001337E0" w:rsidRPr="009C6DCD" w14:paraId="629828A9" w14:textId="3A148B4C">
        <w:pPr>
          <w:pStyle w:val="Footer"/>
          <w:jc w:val="center"/>
          <w:rPr>
            <w:rFonts w:ascii="Times New Roman" w:hAnsi="Times New Roman" w:cs="Times New Roman"/>
          </w:rPr>
        </w:pPr>
        <w:r w:rsidRPr="009C6DCD">
          <w:rPr>
            <w:rFonts w:ascii="Times New Roman" w:hAnsi="Times New Roman" w:cs="Times New Roman"/>
          </w:rPr>
          <w:fldChar w:fldCharType="begin"/>
        </w:r>
        <w:r w:rsidRPr="009C6DCD">
          <w:rPr>
            <w:rFonts w:ascii="Times New Roman" w:hAnsi="Times New Roman" w:cs="Times New Roman"/>
          </w:rPr>
          <w:instrText xml:space="preserve"> PAGE   \* MERGEFORMAT </w:instrText>
        </w:r>
        <w:r w:rsidRPr="009C6DCD">
          <w:rPr>
            <w:rFonts w:ascii="Times New Roman" w:hAnsi="Times New Roman" w:cs="Times New Roman"/>
          </w:rPr>
          <w:fldChar w:fldCharType="separate"/>
        </w:r>
        <w:r w:rsidRPr="009C6DCD">
          <w:rPr>
            <w:rFonts w:ascii="Times New Roman" w:hAnsi="Times New Roman" w:cs="Times New Roman"/>
            <w:noProof/>
          </w:rPr>
          <w:t>2</w:t>
        </w:r>
        <w:r w:rsidRPr="009C6DCD">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7E0" w:rsidRPr="009C6DCD" w14:paraId="67AE2FC5" w14:textId="0A2D5CBA">
    <w:pPr>
      <w:pStyle w:val="Foote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958128"/>
      <w:docPartObj>
        <w:docPartGallery w:val="Page Numbers (Bottom of Page)"/>
        <w:docPartUnique/>
      </w:docPartObj>
    </w:sdtPr>
    <w:sdtEndPr>
      <w:rPr>
        <w:rFonts w:ascii="Times New Roman" w:hAnsi="Times New Roman" w:cs="Times New Roman"/>
        <w:noProof/>
      </w:rPr>
    </w:sdtEndPr>
    <w:sdtContent>
      <w:p w:rsidR="00120E41" w:rsidRPr="00120E41" w14:paraId="77BB5070" w14:textId="59456DEE">
        <w:pPr>
          <w:pStyle w:val="Footer"/>
          <w:jc w:val="center"/>
          <w:rPr>
            <w:rFonts w:ascii="Times New Roman" w:hAnsi="Times New Roman" w:cs="Times New Roman"/>
          </w:rPr>
        </w:pPr>
        <w:r w:rsidRPr="00120E41">
          <w:rPr>
            <w:rFonts w:ascii="Times New Roman" w:hAnsi="Times New Roman" w:cs="Times New Roman"/>
          </w:rPr>
          <w:fldChar w:fldCharType="begin"/>
        </w:r>
        <w:r w:rsidRPr="00120E41">
          <w:rPr>
            <w:rFonts w:ascii="Times New Roman" w:hAnsi="Times New Roman" w:cs="Times New Roman"/>
          </w:rPr>
          <w:instrText xml:space="preserve"> PAGE   \* MERGEFORMAT </w:instrText>
        </w:r>
        <w:r w:rsidRPr="00120E41">
          <w:rPr>
            <w:rFonts w:ascii="Times New Roman" w:hAnsi="Times New Roman" w:cs="Times New Roman"/>
          </w:rPr>
          <w:fldChar w:fldCharType="separate"/>
        </w:r>
        <w:r w:rsidRPr="00120E41">
          <w:rPr>
            <w:rFonts w:ascii="Times New Roman" w:hAnsi="Times New Roman" w:cs="Times New Roman"/>
            <w:noProof/>
          </w:rPr>
          <w:t>2</w:t>
        </w:r>
        <w:r w:rsidRPr="00120E4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91822" w14:paraId="7A084629" w14:textId="77777777">
      <w:r>
        <w:separator/>
      </w:r>
    </w:p>
  </w:footnote>
  <w:footnote w:type="continuationSeparator" w:id="1">
    <w:p w:rsidR="00A91822" w14:paraId="6D42E82D" w14:textId="77777777">
      <w:r>
        <w:continuationSeparator/>
      </w:r>
    </w:p>
  </w:footnote>
  <w:footnote w:id="2">
    <w:p w:rsidR="001337E0" w:rsidRPr="00AD161A" w:rsidP="00C66CB8" w14:paraId="1B288238" w14:textId="6E1234AF">
      <w:pPr>
        <w:pStyle w:val="FootnoteText"/>
        <w:spacing w:after="120"/>
      </w:pPr>
      <w:r w:rsidRPr="00AD161A">
        <w:rPr>
          <w:rStyle w:val="FootnoteReference"/>
        </w:rPr>
        <w:footnoteRef/>
      </w:r>
      <w:r w:rsidRPr="00AD161A">
        <w:t xml:space="preserve"> Joint Ex. 1 (Settlement).</w:t>
      </w:r>
    </w:p>
  </w:footnote>
  <w:footnote w:id="3">
    <w:p w:rsidR="001337E0" w:rsidRPr="00AD161A" w:rsidP="00C66CB8" w14:paraId="3C85E877" w14:textId="3E590F72">
      <w:pPr>
        <w:pStyle w:val="FootnoteText"/>
        <w:spacing w:after="120"/>
      </w:pPr>
      <w:r w:rsidRPr="00AD161A">
        <w:rPr>
          <w:rStyle w:val="FootnoteReference"/>
        </w:rPr>
        <w:footnoteRef/>
      </w:r>
      <w:r w:rsidRPr="00AD161A">
        <w:t xml:space="preserve"> </w:t>
      </w:r>
      <w:r w:rsidRPr="00AD161A">
        <w:rPr>
          <w:i/>
          <w:iCs/>
        </w:rPr>
        <w:t>See generally</w:t>
      </w:r>
      <w:r w:rsidRPr="00AD161A">
        <w:t xml:space="preserve"> Initial Brief by Office of the Ohio Consumers’ Counsel (Dec</w:t>
      </w:r>
      <w:r w:rsidRPr="00AD161A" w:rsidR="006A2112">
        <w:t>ember</w:t>
      </w:r>
      <w:r w:rsidRPr="00AD161A">
        <w:t xml:space="preserve"> 9, 2021).</w:t>
      </w:r>
    </w:p>
  </w:footnote>
  <w:footnote w:id="4">
    <w:p w:rsidR="00E14361" w:rsidRPr="00AD161A" w:rsidP="00C66CB8" w14:paraId="5EEAB6AC" w14:textId="333FA63B">
      <w:pPr>
        <w:pStyle w:val="FootnoteText"/>
        <w:spacing w:after="120"/>
      </w:pPr>
      <w:r w:rsidRPr="00AD161A">
        <w:rPr>
          <w:rStyle w:val="FootnoteReference"/>
        </w:rPr>
        <w:footnoteRef/>
      </w:r>
      <w:r w:rsidRPr="00AD161A">
        <w:t xml:space="preserve"> Opinion and Order (April 20, 2022).</w:t>
      </w:r>
    </w:p>
  </w:footnote>
  <w:footnote w:id="5">
    <w:p w:rsidR="001337E0" w:rsidRPr="00AD161A" w:rsidP="00C66CB8" w14:paraId="69755955" w14:textId="11BF7978">
      <w:pPr>
        <w:pStyle w:val="FootnoteText"/>
        <w:spacing w:after="120"/>
      </w:pPr>
      <w:r w:rsidRPr="00AD161A">
        <w:rPr>
          <w:rStyle w:val="FootnoteReference"/>
        </w:rPr>
        <w:footnoteRef/>
      </w:r>
      <w:r w:rsidRPr="00AD161A">
        <w:t xml:space="preserve"> </w:t>
      </w:r>
      <w:r w:rsidRPr="00AD161A" w:rsidR="00331FD3">
        <w:t>Joint Application for Rehearing at 19-26</w:t>
      </w:r>
      <w:r w:rsidRPr="00AD161A">
        <w:t>.</w:t>
      </w:r>
    </w:p>
  </w:footnote>
  <w:footnote w:id="6">
    <w:p w:rsidR="00F16162" w:rsidRPr="00AD161A" w:rsidP="00C66CB8" w14:paraId="56889859" w14:textId="7B2A244F">
      <w:pPr>
        <w:pStyle w:val="FootnoteText"/>
        <w:spacing w:after="120"/>
      </w:pPr>
      <w:r w:rsidRPr="00AD161A">
        <w:rPr>
          <w:rStyle w:val="FootnoteReference"/>
        </w:rPr>
        <w:footnoteRef/>
      </w:r>
      <w:r w:rsidRPr="00AD161A">
        <w:t xml:space="preserve"> </w:t>
      </w:r>
      <w:r w:rsidRPr="00AD161A">
        <w:rPr>
          <w:i/>
          <w:iCs/>
        </w:rPr>
        <w:t xml:space="preserve">Id. </w:t>
      </w:r>
      <w:r w:rsidRPr="00AD161A">
        <w:t xml:space="preserve">at </w:t>
      </w:r>
      <w:r w:rsidRPr="00AD161A" w:rsidR="00EB017E">
        <w:t>19.</w:t>
      </w:r>
    </w:p>
  </w:footnote>
  <w:footnote w:id="7">
    <w:p w:rsidR="001337E0" w:rsidRPr="00AD161A" w:rsidP="00C66CB8" w14:paraId="18758DAA" w14:textId="7A9BF53C">
      <w:pPr>
        <w:pStyle w:val="FootnoteText"/>
        <w:spacing w:after="120"/>
      </w:pPr>
      <w:r w:rsidRPr="00AD161A">
        <w:rPr>
          <w:rStyle w:val="FootnoteReference"/>
        </w:rPr>
        <w:footnoteRef/>
      </w:r>
      <w:r w:rsidRPr="00AD161A">
        <w:t xml:space="preserve"> </w:t>
      </w:r>
      <w:r w:rsidRPr="00AD161A" w:rsidR="00974E56">
        <w:rPr>
          <w:i/>
          <w:iCs/>
        </w:rPr>
        <w:t>See id</w:t>
      </w:r>
      <w:r w:rsidRPr="00AD161A">
        <w:t>.</w:t>
      </w:r>
    </w:p>
  </w:footnote>
  <w:footnote w:id="8">
    <w:p w:rsidR="001337E0" w:rsidRPr="00AD161A" w:rsidP="00C66CB8" w14:paraId="70C85FDD" w14:textId="3CDC1FBB">
      <w:pPr>
        <w:pStyle w:val="FootnoteText"/>
        <w:spacing w:after="120"/>
      </w:pPr>
      <w:r w:rsidRPr="00AD161A">
        <w:rPr>
          <w:rStyle w:val="FootnoteReference"/>
        </w:rPr>
        <w:footnoteRef/>
      </w:r>
      <w:r w:rsidRPr="00AD161A">
        <w:t xml:space="preserve"> 75 Ohio St.3d 229 (1996).</w:t>
      </w:r>
    </w:p>
  </w:footnote>
  <w:footnote w:id="9">
    <w:p w:rsidR="001337E0" w:rsidRPr="00AD161A" w:rsidP="00C66CB8" w14:paraId="52128876" w14:textId="63BA0B65">
      <w:pPr>
        <w:pStyle w:val="FootnoteText"/>
        <w:spacing w:after="120"/>
      </w:pPr>
      <w:r w:rsidRPr="00AD161A">
        <w:rPr>
          <w:rStyle w:val="FootnoteReference"/>
        </w:rPr>
        <w:footnoteRef/>
      </w:r>
      <w:r w:rsidRPr="00AD161A">
        <w:t xml:space="preserve"> 75 Ohio St.3d at 233, footnote 2 (emphasis added).</w:t>
      </w:r>
    </w:p>
  </w:footnote>
  <w:footnote w:id="10">
    <w:p w:rsidR="006C00ED" w:rsidRPr="00AD161A" w:rsidP="00C66CB8" w14:paraId="4F5F8ACA" w14:textId="146DF399">
      <w:pPr>
        <w:pStyle w:val="FootnoteText"/>
        <w:spacing w:after="120"/>
      </w:pPr>
      <w:r w:rsidRPr="00AD161A">
        <w:rPr>
          <w:rStyle w:val="FootnoteReference"/>
        </w:rPr>
        <w:footnoteRef/>
      </w:r>
      <w:r w:rsidRPr="00AD161A">
        <w:t xml:space="preserve"> Joint Application for Rehearing at 22.</w:t>
      </w:r>
    </w:p>
  </w:footnote>
  <w:footnote w:id="11">
    <w:p w:rsidR="00EB5CD8" w:rsidRPr="00AD161A" w:rsidP="00C66CB8" w14:paraId="5A4A74EC" w14:textId="4AB406CB">
      <w:pPr>
        <w:pStyle w:val="FootnoteText"/>
        <w:spacing w:after="120"/>
        <w:rPr>
          <w:i/>
          <w:iCs/>
        </w:rPr>
      </w:pPr>
      <w:r w:rsidRPr="00AD161A">
        <w:rPr>
          <w:rStyle w:val="FootnoteReference"/>
        </w:rPr>
        <w:footnoteRef/>
      </w:r>
      <w:r w:rsidRPr="00AD161A">
        <w:t xml:space="preserve"> </w:t>
      </w:r>
      <w:r w:rsidRPr="00AD161A">
        <w:rPr>
          <w:i/>
          <w:iCs/>
        </w:rPr>
        <w:t>Id.</w:t>
      </w:r>
    </w:p>
  </w:footnote>
  <w:footnote w:id="12">
    <w:p w:rsidR="00220D64" w:rsidRPr="00AD161A" w:rsidP="00C66CB8" w14:paraId="2B09B330" w14:textId="791CB848">
      <w:pPr>
        <w:pStyle w:val="FootnoteText"/>
        <w:spacing w:after="120"/>
        <w:rPr>
          <w:i/>
          <w:iCs/>
        </w:rPr>
      </w:pPr>
      <w:r w:rsidRPr="00AD161A">
        <w:rPr>
          <w:rStyle w:val="FootnoteReference"/>
        </w:rPr>
        <w:footnoteRef/>
      </w:r>
      <w:r w:rsidRPr="00AD161A">
        <w:t xml:space="preserve"> </w:t>
      </w:r>
      <w:r w:rsidRPr="00AD161A">
        <w:rPr>
          <w:i/>
          <w:iCs/>
        </w:rPr>
        <w:t xml:space="preserve">Id. </w:t>
      </w:r>
      <w:r w:rsidRPr="00AD161A">
        <w:t>at 24</w:t>
      </w:r>
      <w:r w:rsidRPr="00AD161A" w:rsidR="00794FF0">
        <w:t xml:space="preserve"> (emphasis added)</w:t>
      </w:r>
      <w:r w:rsidRPr="00AD161A">
        <w:t>.</w:t>
      </w:r>
    </w:p>
  </w:footnote>
  <w:footnote w:id="13">
    <w:p w:rsidR="009539C3" w:rsidRPr="00AD161A" w:rsidP="00C66CB8" w14:paraId="1EE11D8F" w14:textId="3BCA9490">
      <w:pPr>
        <w:pStyle w:val="FootnoteText"/>
        <w:spacing w:after="120"/>
      </w:pPr>
      <w:r w:rsidRPr="00AD161A">
        <w:rPr>
          <w:rStyle w:val="FootnoteReference"/>
        </w:rPr>
        <w:footnoteRef/>
      </w:r>
      <w:r w:rsidRPr="00AD161A">
        <w:t xml:space="preserve"> Opinion and Order at ¶88.</w:t>
      </w:r>
    </w:p>
  </w:footnote>
  <w:footnote w:id="14">
    <w:p w:rsidR="001337E0" w:rsidRPr="00AD161A" w:rsidP="00C66CB8" w14:paraId="2C09F55A" w14:textId="12C56B2A">
      <w:pPr>
        <w:pStyle w:val="FootnoteText"/>
        <w:spacing w:after="120"/>
      </w:pPr>
      <w:r w:rsidRPr="00AD161A">
        <w:rPr>
          <w:rStyle w:val="FootnoteReference"/>
        </w:rPr>
        <w:footnoteRef/>
      </w:r>
      <w:r w:rsidRPr="00AD161A">
        <w:t xml:space="preserve"> </w:t>
      </w:r>
      <w:r w:rsidRPr="00AD161A">
        <w:rPr>
          <w:i/>
          <w:iCs/>
        </w:rPr>
        <w:t>See In re Application of Ohio Power Co.</w:t>
      </w:r>
      <w:r w:rsidRPr="00AD161A">
        <w:t>, Case No. 17-1230-EL-UNC, Opinion &amp; Order ¶ 27 (Feb</w:t>
      </w:r>
      <w:r w:rsidRPr="00AD161A" w:rsidR="006A2112">
        <w:t>ruary</w:t>
      </w:r>
      <w:r w:rsidRPr="00AD161A">
        <w:t xml:space="preserve"> 27, 2019) (emphasis added).</w:t>
      </w:r>
    </w:p>
  </w:footnote>
  <w:footnote w:id="15">
    <w:p w:rsidR="001337E0" w:rsidRPr="00AD161A" w:rsidP="00C66CB8" w14:paraId="15165969" w14:textId="1B675C57">
      <w:pPr>
        <w:pStyle w:val="FootnoteText"/>
        <w:spacing w:after="120"/>
      </w:pPr>
      <w:r w:rsidRPr="00AD161A">
        <w:rPr>
          <w:rStyle w:val="FootnoteReference"/>
        </w:rPr>
        <w:footnoteRef/>
      </w:r>
      <w:r w:rsidRPr="00AD161A">
        <w:t xml:space="preserve"> </w:t>
      </w:r>
      <w:r w:rsidRPr="00AD161A">
        <w:rPr>
          <w:i/>
          <w:iCs/>
        </w:rPr>
        <w:t xml:space="preserve">See generally </w:t>
      </w:r>
      <w:r w:rsidRPr="00AD161A" w:rsidR="00974E56">
        <w:t>Joint Application for Rehearing at 19-26</w:t>
      </w:r>
      <w:r w:rsidRPr="00AD161A">
        <w:t>.</w:t>
      </w:r>
    </w:p>
  </w:footnote>
  <w:footnote w:id="16">
    <w:p w:rsidR="001337E0" w:rsidRPr="00AD161A" w:rsidP="00C66CB8" w14:paraId="1570D136" w14:textId="296821AF">
      <w:pPr>
        <w:pStyle w:val="FootnoteText"/>
        <w:spacing w:after="120"/>
      </w:pPr>
      <w:r w:rsidRPr="00AD161A">
        <w:rPr>
          <w:rStyle w:val="FootnoteReference"/>
        </w:rPr>
        <w:footnoteRef/>
      </w:r>
      <w:r w:rsidRPr="00AD161A">
        <w:t xml:space="preserve"> </w:t>
      </w:r>
      <w:r w:rsidRPr="00AD161A">
        <w:rPr>
          <w:i/>
          <w:iCs/>
        </w:rPr>
        <w:t xml:space="preserve">See </w:t>
      </w:r>
      <w:r w:rsidRPr="00AD161A">
        <w:t>RESA/IGS Ex. 3 at 5 (Crist Testimony).</w:t>
      </w:r>
    </w:p>
  </w:footnote>
  <w:footnote w:id="17">
    <w:p w:rsidR="001337E0" w:rsidRPr="00AD161A" w:rsidP="00C66CB8" w14:paraId="2416C3B5" w14:textId="424D470E">
      <w:pPr>
        <w:pStyle w:val="FootnoteText"/>
        <w:spacing w:after="120"/>
      </w:pPr>
      <w:r w:rsidRPr="00AD161A">
        <w:rPr>
          <w:rStyle w:val="FootnoteReference"/>
        </w:rPr>
        <w:footnoteRef/>
      </w:r>
      <w:r w:rsidRPr="00AD161A">
        <w:t xml:space="preserve"> </w:t>
      </w:r>
      <w:r w:rsidRPr="00AD161A">
        <w:rPr>
          <w:i/>
          <w:iCs/>
        </w:rPr>
        <w:t>See</w:t>
      </w:r>
      <w:r w:rsidRPr="00AD161A">
        <w:t xml:space="preserve"> Tr. at 191:18-192:5, 192:21-193:11 (Cawley).</w:t>
      </w:r>
    </w:p>
  </w:footnote>
  <w:footnote w:id="18">
    <w:p w:rsidR="001337E0" w:rsidRPr="00AD161A" w:rsidP="00C66CB8" w14:paraId="185ECE59" w14:textId="1C295DA1">
      <w:pPr>
        <w:pStyle w:val="FootnoteText"/>
        <w:spacing w:after="120"/>
      </w:pPr>
      <w:r w:rsidRPr="00AD161A">
        <w:rPr>
          <w:rStyle w:val="FootnoteReference"/>
        </w:rPr>
        <w:footnoteRef/>
      </w:r>
      <w:r w:rsidRPr="00AD161A">
        <w:t xml:space="preserve"> </w:t>
      </w:r>
      <w:r w:rsidRPr="00AD161A">
        <w:rPr>
          <w:i/>
        </w:rPr>
        <w:t xml:space="preserve">See </w:t>
      </w:r>
      <w:r w:rsidRPr="00AD161A">
        <w:rPr>
          <w:iCs/>
        </w:rPr>
        <w:t>Tr. at 182:25-183:15 (Cawley) (testifying that he doesn’t know whether other marketers agree with IGS and RESA and that he did not speak with any other marketers about IGS and RESA’s positions)</w:t>
      </w:r>
      <w:r w:rsidRPr="00AD161A">
        <w:t>.</w:t>
      </w:r>
    </w:p>
  </w:footnote>
  <w:footnote w:id="19">
    <w:p w:rsidR="001337E0" w:rsidRPr="00AD161A" w:rsidP="00C66CB8" w14:paraId="584BA4D7" w14:textId="22829AAE">
      <w:pPr>
        <w:pStyle w:val="FootnoteText"/>
        <w:spacing w:after="120"/>
      </w:pPr>
      <w:r w:rsidRPr="00AD161A">
        <w:rPr>
          <w:rStyle w:val="FootnoteReference"/>
        </w:rPr>
        <w:footnoteRef/>
      </w:r>
      <w:r w:rsidRPr="00AD161A">
        <w:t xml:space="preserve"> </w:t>
      </w:r>
      <w:r w:rsidRPr="00AD161A">
        <w:rPr>
          <w:i/>
          <w:iCs/>
        </w:rPr>
        <w:t xml:space="preserve">See </w:t>
      </w:r>
      <w:r w:rsidRPr="00AD161A">
        <w:t>Tr. at 194:10-13 (Cawley); Tr. at 262:24-263:3 (Lacey).</w:t>
      </w:r>
    </w:p>
  </w:footnote>
  <w:footnote w:id="20">
    <w:p w:rsidR="001D6093" w:rsidRPr="00AD161A" w:rsidP="00C66CB8" w14:paraId="78C47231" w14:textId="3F3AA19D">
      <w:pPr>
        <w:spacing w:after="120"/>
        <w:rPr>
          <w:sz w:val="20"/>
        </w:rPr>
      </w:pPr>
      <w:r w:rsidRPr="00AD161A">
        <w:rPr>
          <w:rStyle w:val="FootnoteReference"/>
          <w:sz w:val="20"/>
        </w:rPr>
        <w:footnoteRef/>
      </w:r>
      <w:r w:rsidRPr="00AD161A">
        <w:rPr>
          <w:sz w:val="20"/>
        </w:rPr>
        <w:t xml:space="preserve"> </w:t>
      </w:r>
      <w:hyperlink r:id="rId1" w:history="1">
        <w:r w:rsidRPr="00AD161A" w:rsidR="00D642A3">
          <w:rPr>
            <w:i/>
            <w:iCs/>
            <w:color w:val="004B91"/>
            <w:sz w:val="20"/>
            <w:u w:val="single"/>
            <w:bdr w:val="none" w:sz="0" w:space="0" w:color="auto" w:frame="1"/>
            <w:shd w:val="clear" w:color="auto" w:fill="FFFFFF"/>
          </w:rPr>
          <w:t>Tongren v. PUC</w:t>
        </w:r>
        <w:r w:rsidRPr="00AD161A" w:rsidR="00D642A3">
          <w:rPr>
            <w:color w:val="004B91"/>
            <w:sz w:val="20"/>
            <w:u w:val="single"/>
            <w:bdr w:val="none" w:sz="0" w:space="0" w:color="auto" w:frame="1"/>
            <w:shd w:val="clear" w:color="auto" w:fill="FFFFFF"/>
          </w:rPr>
          <w:t>, 85 Ohio St.3d 87</w:t>
        </w:r>
        <w:r w:rsidRPr="00AD161A" w:rsidR="0019460F">
          <w:rPr>
            <w:color w:val="004B91"/>
            <w:sz w:val="20"/>
            <w:u w:val="single"/>
            <w:bdr w:val="none" w:sz="0" w:space="0" w:color="auto" w:frame="1"/>
            <w:shd w:val="clear" w:color="auto" w:fill="FFFFFF"/>
          </w:rPr>
          <w:t xml:space="preserve"> (1999)</w:t>
        </w:r>
        <w:r w:rsidRPr="00AD161A" w:rsidR="00D642A3">
          <w:rPr>
            <w:color w:val="004B91"/>
            <w:sz w:val="20"/>
            <w:u w:val="single"/>
            <w:bdr w:val="none" w:sz="0" w:space="0" w:color="auto" w:frame="1"/>
            <w:shd w:val="clear" w:color="auto" w:fill="FFFFFF"/>
          </w:rPr>
          <w:t>.</w:t>
        </w:r>
      </w:hyperlink>
    </w:p>
  </w:footnote>
  <w:footnote w:id="21">
    <w:p w:rsidR="004837E7" w:rsidRPr="00AD161A" w:rsidP="00C66CB8" w14:paraId="0766B4BA" w14:textId="501D55B3">
      <w:pPr>
        <w:pStyle w:val="FootnoteText"/>
        <w:spacing w:after="120"/>
      </w:pPr>
      <w:r w:rsidRPr="00AD161A">
        <w:rPr>
          <w:rStyle w:val="FootnoteReference"/>
        </w:rPr>
        <w:footnoteRef/>
      </w:r>
      <w:r w:rsidRPr="00AD161A">
        <w:t xml:space="preserve"> </w:t>
      </w:r>
      <w:r w:rsidRPr="00AD161A" w:rsidR="00B42CCF">
        <w:t>Opinion and Order at ¶105.</w:t>
      </w:r>
    </w:p>
  </w:footnote>
  <w:footnote w:id="22">
    <w:p w:rsidR="001337E0" w:rsidRPr="00AD161A" w:rsidP="00C66CB8" w14:paraId="6A57AECB" w14:textId="20C2894A">
      <w:pPr>
        <w:pStyle w:val="FootnoteText"/>
        <w:spacing w:after="120"/>
      </w:pPr>
      <w:r w:rsidRPr="00AD161A">
        <w:rPr>
          <w:rStyle w:val="FootnoteReference"/>
        </w:rPr>
        <w:footnoteRef/>
      </w:r>
      <w:r w:rsidRPr="00AD161A">
        <w:t xml:space="preserve"> </w:t>
      </w:r>
      <w:r w:rsidRPr="00AD161A">
        <w:rPr>
          <w:i/>
          <w:iCs/>
        </w:rPr>
        <w:t>Consumers’ Counsel v. Pub. Util. Comm.</w:t>
      </w:r>
      <w:r w:rsidRPr="00AD161A">
        <w:t>, 64 Ohio St.3d 123, 126 (1992).</w:t>
      </w:r>
    </w:p>
  </w:footnote>
  <w:footnote w:id="23">
    <w:p w:rsidR="0086787E" w:rsidRPr="00AD161A" w:rsidP="00C66CB8" w14:paraId="39C2D033" w14:textId="427FFEAD">
      <w:pPr>
        <w:pStyle w:val="FootnoteText"/>
        <w:spacing w:after="120"/>
      </w:pPr>
      <w:r w:rsidRPr="00AD161A">
        <w:rPr>
          <w:rStyle w:val="FootnoteReference"/>
        </w:rPr>
        <w:footnoteRef/>
      </w:r>
      <w:r w:rsidRPr="00AD161A">
        <w:t xml:space="preserve"> Opinion and Order at ¶117.</w:t>
      </w:r>
    </w:p>
  </w:footnote>
  <w:footnote w:id="24">
    <w:p w:rsidR="00BA04A8" w:rsidRPr="00AD161A" w:rsidP="00C66CB8" w14:paraId="7C50D3FB" w14:textId="5A500A9A">
      <w:pPr>
        <w:pStyle w:val="FootnoteText"/>
        <w:spacing w:after="120"/>
      </w:pPr>
      <w:r w:rsidRPr="00AD161A">
        <w:rPr>
          <w:rStyle w:val="FootnoteReference"/>
        </w:rPr>
        <w:footnoteRef/>
      </w:r>
      <w:r w:rsidRPr="00AD161A">
        <w:t xml:space="preserve"> </w:t>
      </w:r>
      <w:r w:rsidRPr="00AD161A">
        <w:rPr>
          <w:i/>
          <w:iCs/>
        </w:rPr>
        <w:t xml:space="preserve">See </w:t>
      </w:r>
      <w:r w:rsidRPr="00AD161A">
        <w:t>Joint Application for Rehearing at 17-19.</w:t>
      </w:r>
    </w:p>
  </w:footnote>
  <w:footnote w:id="25">
    <w:p w:rsidR="00BA04A8" w:rsidRPr="00AD161A" w:rsidP="00C66CB8" w14:paraId="226A96E9" w14:textId="7FCD4356">
      <w:pPr>
        <w:pStyle w:val="FootnoteText"/>
        <w:spacing w:after="120"/>
      </w:pPr>
      <w:r w:rsidRPr="00AD161A">
        <w:rPr>
          <w:rStyle w:val="FootnoteReference"/>
        </w:rPr>
        <w:footnoteRef/>
      </w:r>
      <w:r w:rsidRPr="00AD161A">
        <w:t xml:space="preserve"> </w:t>
      </w:r>
      <w:r w:rsidRPr="00AD161A">
        <w:rPr>
          <w:i/>
          <w:iCs/>
        </w:rPr>
        <w:t xml:space="preserve">See id. </w:t>
      </w:r>
      <w:r w:rsidRPr="00AD161A">
        <w:t>at</w:t>
      </w:r>
      <w:r w:rsidRPr="00AD161A" w:rsidR="006357C0">
        <w:t xml:space="preserve"> 32-36.</w:t>
      </w:r>
    </w:p>
  </w:footnote>
  <w:footnote w:id="26">
    <w:p w:rsidR="001337E0" w:rsidRPr="00AD161A" w:rsidP="00C66CB8" w14:paraId="0A9B20FF" w14:textId="725120C5">
      <w:pPr>
        <w:pStyle w:val="FootnoteText"/>
        <w:spacing w:after="120"/>
      </w:pPr>
      <w:r w:rsidRPr="00AD161A">
        <w:rPr>
          <w:rStyle w:val="FootnoteReference"/>
        </w:rPr>
        <w:footnoteRef/>
      </w:r>
      <w:r w:rsidRPr="00AD161A">
        <w:t xml:space="preserve"> </w:t>
      </w:r>
      <w:r w:rsidRPr="00AD161A">
        <w:rPr>
          <w:i/>
          <w:iCs/>
        </w:rPr>
        <w:t xml:space="preserve">See generally </w:t>
      </w:r>
      <w:r w:rsidRPr="00AD161A">
        <w:t>Marketer Brief at 34-42 (making arguments under the second prong without considering the Settlement as a package).</w:t>
      </w:r>
    </w:p>
  </w:footnote>
  <w:footnote w:id="27">
    <w:p w:rsidR="00FE17D3" w:rsidRPr="00AD161A" w:rsidP="00C66CB8" w14:paraId="3EB70B8B" w14:textId="77777777">
      <w:pPr>
        <w:pStyle w:val="FootnoteText"/>
        <w:spacing w:after="120"/>
      </w:pPr>
      <w:r w:rsidRPr="00AD161A">
        <w:rPr>
          <w:rStyle w:val="FootnoteReference"/>
        </w:rPr>
        <w:footnoteRef/>
      </w:r>
      <w:r w:rsidRPr="00AD161A">
        <w:t xml:space="preserve"> Tr. at 328:11-23 (Crist).</w:t>
      </w:r>
    </w:p>
  </w:footnote>
  <w:footnote w:id="28">
    <w:p w:rsidR="00FE17D3" w:rsidRPr="00AD161A" w:rsidP="00C66CB8" w14:paraId="0F42A300" w14:textId="77777777">
      <w:pPr>
        <w:pStyle w:val="FootnoteText"/>
        <w:spacing w:after="120"/>
      </w:pPr>
      <w:r w:rsidRPr="00AD161A">
        <w:rPr>
          <w:rStyle w:val="FootnoteReference"/>
        </w:rPr>
        <w:footnoteRef/>
      </w:r>
      <w:r w:rsidRPr="00AD161A">
        <w:t xml:space="preserve"> Tr. at 328:23-329:2 (Crist).</w:t>
      </w:r>
    </w:p>
  </w:footnote>
  <w:footnote w:id="29">
    <w:p w:rsidR="00FE17D3" w:rsidRPr="00AD161A" w:rsidP="00C66CB8" w14:paraId="0A73DFC4" w14:textId="77777777">
      <w:pPr>
        <w:pStyle w:val="FootnoteText"/>
        <w:spacing w:after="120"/>
      </w:pPr>
      <w:r w:rsidRPr="00AD161A">
        <w:rPr>
          <w:rStyle w:val="FootnoteReference"/>
        </w:rPr>
        <w:footnoteRef/>
      </w:r>
      <w:r w:rsidRPr="00AD161A">
        <w:t xml:space="preserve"> Marketer witness Crist was impeached on this issue. After testifying under oath at his deposition, without objection, that an SSO was better than a GCR, he changed his testimony at the hearing to claim that a GCR and SSO were equally beneficial. </w:t>
      </w:r>
      <w:r w:rsidRPr="00AD161A">
        <w:rPr>
          <w:i/>
          <w:iCs/>
        </w:rPr>
        <w:t>See</w:t>
      </w:r>
      <w:r w:rsidRPr="00AD161A">
        <w:t xml:space="preserve"> Tr. at 326:4-327:25 (Crist). The PUCO should give no weight to Mr. Crist’s self-serving testimony at the hearing contradicting his under-oath deposition testimony.</w:t>
      </w:r>
    </w:p>
  </w:footnote>
  <w:footnote w:id="30">
    <w:p w:rsidR="00FE17D3" w:rsidRPr="00AD161A" w:rsidP="00C66CB8" w14:paraId="1A5C0E7D" w14:textId="77777777">
      <w:pPr>
        <w:pStyle w:val="FootnoteText"/>
        <w:spacing w:after="120"/>
      </w:pPr>
      <w:r w:rsidRPr="00AD161A">
        <w:rPr>
          <w:rStyle w:val="FootnoteReference"/>
        </w:rPr>
        <w:footnoteRef/>
      </w:r>
      <w:r w:rsidRPr="00AD161A">
        <w:t xml:space="preserve"> Duke Ex. 7 at 20 (Spiller Testimony).</w:t>
      </w:r>
    </w:p>
  </w:footnote>
  <w:footnote w:id="31">
    <w:p w:rsidR="00FE17D3" w:rsidRPr="00AD161A" w:rsidP="00C66CB8" w14:paraId="58A4924C" w14:textId="77777777">
      <w:pPr>
        <w:pStyle w:val="FootnoteText"/>
        <w:spacing w:after="120"/>
      </w:pPr>
      <w:r w:rsidRPr="00AD161A">
        <w:rPr>
          <w:rStyle w:val="FootnoteReference"/>
        </w:rPr>
        <w:footnoteRef/>
      </w:r>
      <w:r w:rsidRPr="00AD161A">
        <w:t xml:space="preserve"> Tr. at 236:16-19 (Lacey) (Columbia transitioned to SSO); Tr. at 237:7-13 (Lacey) (Dominion transitioned to SSO); Tr. at 237:14-22 (Lacey) (Vectren transitioned to SSO). Later, the SCO was adopted.</w:t>
      </w:r>
    </w:p>
  </w:footnote>
  <w:footnote w:id="32">
    <w:p w:rsidR="001337E0" w:rsidRPr="00AD161A" w:rsidP="00C66CB8" w14:paraId="61219444" w14:textId="77777777">
      <w:pPr>
        <w:pStyle w:val="FootnoteText"/>
        <w:spacing w:after="120"/>
      </w:pPr>
      <w:r w:rsidRPr="00AD161A">
        <w:rPr>
          <w:rStyle w:val="FootnoteReference"/>
        </w:rPr>
        <w:footnoteRef/>
      </w:r>
      <w:r w:rsidRPr="00AD161A">
        <w:t xml:space="preserve"> Joint Ex. 1 at 16.</w:t>
      </w:r>
    </w:p>
  </w:footnote>
  <w:footnote w:id="33">
    <w:p w:rsidR="001337E0" w:rsidRPr="00AD161A" w:rsidP="00C66CB8" w14:paraId="6CAEE322" w14:textId="423856BF">
      <w:pPr>
        <w:pStyle w:val="FootnoteText"/>
        <w:spacing w:after="120"/>
      </w:pPr>
      <w:r w:rsidRPr="00AD161A">
        <w:rPr>
          <w:rStyle w:val="FootnoteReference"/>
        </w:rPr>
        <w:footnoteRef/>
      </w:r>
      <w:r w:rsidRPr="00AD161A">
        <w:t xml:space="preserve"> </w:t>
      </w:r>
      <w:r w:rsidRPr="00AD161A">
        <w:rPr>
          <w:i/>
          <w:iCs/>
        </w:rPr>
        <w:t>See In re Application of Ohio Power Co. for an Increase in Elec. Distrib. Rates</w:t>
      </w:r>
      <w:r w:rsidRPr="00AD161A">
        <w:t>, Case No. 20-585-EL-AIR, Opinion &amp; Order ¶ 131 (Nov</w:t>
      </w:r>
      <w:r w:rsidRPr="00AD161A" w:rsidR="006A2112">
        <w:t>ember</w:t>
      </w:r>
      <w:r w:rsidRPr="00AD161A">
        <w:t xml:space="preserve"> 17, 2021) (rejecting marketers’ complaints about a price-to-compare settlement because it required the utility to make a future filing, and the marketers’ concerns would be addressed then).</w:t>
      </w:r>
    </w:p>
  </w:footnote>
  <w:footnote w:id="34">
    <w:p w:rsidR="001337E0" w:rsidRPr="00AD161A" w:rsidP="00C66CB8" w14:paraId="345D42DB" w14:textId="4A1F0270">
      <w:pPr>
        <w:pStyle w:val="FootnoteText"/>
        <w:spacing w:after="120"/>
      </w:pPr>
      <w:r w:rsidRPr="00AD161A">
        <w:rPr>
          <w:rStyle w:val="FootnoteReference"/>
        </w:rPr>
        <w:footnoteRef/>
      </w:r>
      <w:r w:rsidRPr="00AD161A">
        <w:t xml:space="preserve"> Joint Ex. 1 (Settlement) at 19.</w:t>
      </w:r>
    </w:p>
  </w:footnote>
  <w:footnote w:id="35">
    <w:p w:rsidR="001337E0" w:rsidRPr="00AD161A" w:rsidP="00C66CB8" w14:paraId="04AA9E4C" w14:textId="01CCADE3">
      <w:pPr>
        <w:pStyle w:val="FootnoteText"/>
        <w:spacing w:after="120"/>
      </w:pPr>
      <w:r w:rsidRPr="00AD161A">
        <w:rPr>
          <w:rStyle w:val="FootnoteReference"/>
        </w:rPr>
        <w:footnoteRef/>
      </w:r>
      <w:r w:rsidRPr="00AD161A">
        <w:t xml:space="preserve"> Joint Ex. 1 (Settlement) at 19.</w:t>
      </w:r>
    </w:p>
  </w:footnote>
  <w:footnote w:id="36">
    <w:p w:rsidR="00BA51E4" w:rsidRPr="00AD161A" w:rsidP="00C66CB8" w14:paraId="57589A8D" w14:textId="05AD3117">
      <w:pPr>
        <w:pStyle w:val="FootnoteText"/>
        <w:spacing w:after="120"/>
      </w:pPr>
      <w:r w:rsidRPr="00AD161A">
        <w:rPr>
          <w:rStyle w:val="FootnoteReference"/>
        </w:rPr>
        <w:footnoteRef/>
      </w:r>
      <w:r w:rsidRPr="00AD161A">
        <w:t xml:space="preserve"> Opinion and Order at ¶</w:t>
      </w:r>
      <w:r w:rsidRPr="00AD161A" w:rsidR="00C9335C">
        <w:t>118.</w:t>
      </w:r>
    </w:p>
  </w:footnote>
  <w:footnote w:id="37">
    <w:p w:rsidR="001337E0" w:rsidRPr="00AD161A" w:rsidP="00C66CB8" w14:paraId="5E8F2903" w14:textId="6EE6582D">
      <w:pPr>
        <w:pStyle w:val="FootnoteText"/>
        <w:spacing w:after="120"/>
      </w:pPr>
      <w:r w:rsidRPr="00AD161A">
        <w:rPr>
          <w:rStyle w:val="FootnoteReference"/>
        </w:rPr>
        <w:footnoteRef/>
      </w:r>
      <w:r w:rsidRPr="00AD161A">
        <w:t xml:space="preserve"> </w:t>
      </w:r>
      <w:r w:rsidRPr="00AD161A" w:rsidR="00F52DB6">
        <w:rPr>
          <w:i/>
          <w:iCs/>
        </w:rPr>
        <w:t xml:space="preserve">See </w:t>
      </w:r>
      <w:r w:rsidRPr="00AD161A" w:rsidR="00F52DB6">
        <w:t>Joint Application for Rehearing</w:t>
      </w:r>
      <w:r w:rsidRPr="00AD161A">
        <w:t xml:space="preserve"> at </w:t>
      </w:r>
      <w:r w:rsidRPr="00AD161A" w:rsidR="00584F5F">
        <w:t xml:space="preserve">10-14; </w:t>
      </w:r>
      <w:r w:rsidRPr="00AD161A">
        <w:t>28</w:t>
      </w:r>
      <w:r w:rsidRPr="00AD161A" w:rsidR="00F52DB6">
        <w:t>-3</w:t>
      </w:r>
      <w:r w:rsidRPr="00AD161A" w:rsidR="00B53E73">
        <w:t>2</w:t>
      </w:r>
      <w:r w:rsidRPr="00AD161A">
        <w:t>.</w:t>
      </w:r>
    </w:p>
  </w:footnote>
  <w:footnote w:id="38">
    <w:p w:rsidR="001337E0" w:rsidRPr="00AD161A" w:rsidP="00C66CB8" w14:paraId="6AEB3D39" w14:textId="4E97A52A">
      <w:pPr>
        <w:pStyle w:val="FootnoteText"/>
        <w:spacing w:after="120"/>
      </w:pPr>
      <w:r w:rsidRPr="00AD161A">
        <w:rPr>
          <w:rStyle w:val="FootnoteReference"/>
        </w:rPr>
        <w:footnoteRef/>
      </w:r>
      <w:r w:rsidRPr="00AD161A">
        <w:t xml:space="preserve"> </w:t>
      </w:r>
      <w:r w:rsidRPr="00AD161A">
        <w:rPr>
          <w:i/>
          <w:iCs/>
        </w:rPr>
        <w:t>In re Application of the Dayton Power &amp; Light Co. for Approval of its Plan to Modernize its Distribution Grid</w:t>
      </w:r>
      <w:r w:rsidRPr="00AD161A">
        <w:t>, Case No. 18-1875-EL-GRD, Opinion &amp; Order (June 2, 2021).</w:t>
      </w:r>
    </w:p>
  </w:footnote>
  <w:footnote w:id="39">
    <w:p w:rsidR="009E7CE9" w:rsidRPr="00AD161A" w:rsidP="00C66CB8" w14:paraId="180DEE2F" w14:textId="77777777">
      <w:pPr>
        <w:pStyle w:val="FootnoteText"/>
        <w:spacing w:after="120"/>
      </w:pPr>
      <w:r w:rsidRPr="00AD161A">
        <w:rPr>
          <w:rStyle w:val="FootnoteReference"/>
        </w:rPr>
        <w:footnoteRef/>
      </w:r>
      <w:r w:rsidRPr="00AD161A">
        <w:t xml:space="preserve"> </w:t>
      </w:r>
      <w:r w:rsidRPr="00AD161A">
        <w:rPr>
          <w:i/>
          <w:iCs/>
        </w:rPr>
        <w:t xml:space="preserve">See </w:t>
      </w:r>
      <w:r w:rsidRPr="00AD161A">
        <w:t>Tr. at 180:15-18 (Cawley) (never participated in a settlement negotiation in a case before the PUCO).</w:t>
      </w:r>
    </w:p>
  </w:footnote>
  <w:footnote w:id="40">
    <w:p w:rsidR="009E7CE9" w:rsidRPr="00AD161A" w:rsidP="00C66CB8" w14:paraId="69773E97" w14:textId="77777777">
      <w:pPr>
        <w:pStyle w:val="FootnoteText"/>
        <w:spacing w:after="120"/>
      </w:pPr>
      <w:r w:rsidRPr="00AD161A">
        <w:rPr>
          <w:rStyle w:val="FootnoteReference"/>
        </w:rPr>
        <w:footnoteRef/>
      </w:r>
      <w:r w:rsidRPr="00AD161A">
        <w:t xml:space="preserve"> Tr. at 181:19-22 (Cawley).</w:t>
      </w:r>
    </w:p>
  </w:footnote>
  <w:footnote w:id="41">
    <w:p w:rsidR="009E7CE9" w:rsidRPr="00AD161A" w:rsidP="00C66CB8" w14:paraId="1EA90591" w14:textId="77777777">
      <w:pPr>
        <w:pStyle w:val="FootnoteText"/>
        <w:spacing w:after="120"/>
      </w:pPr>
      <w:r w:rsidRPr="00AD161A">
        <w:rPr>
          <w:rStyle w:val="FootnoteReference"/>
        </w:rPr>
        <w:footnoteRef/>
      </w:r>
      <w:r w:rsidRPr="00AD161A">
        <w:t xml:space="preserve"> Tr. at 168:1-4 (Cawley).</w:t>
      </w:r>
    </w:p>
  </w:footnote>
  <w:footnote w:id="42">
    <w:p w:rsidR="00F262AD" w:rsidRPr="00AD161A" w:rsidP="00C66CB8" w14:paraId="3E1B1978" w14:textId="774161F7">
      <w:pPr>
        <w:pStyle w:val="FootnoteText"/>
        <w:spacing w:after="120"/>
      </w:pPr>
      <w:r w:rsidRPr="00AD161A">
        <w:rPr>
          <w:rStyle w:val="FootnoteReference"/>
        </w:rPr>
        <w:footnoteRef/>
      </w:r>
      <w:r w:rsidRPr="00AD161A">
        <w:t xml:space="preserve"> O</w:t>
      </w:r>
      <w:r w:rsidRPr="00AD161A" w:rsidR="00397155">
        <w:t>pinion and Order</w:t>
      </w:r>
      <w:r w:rsidRPr="00AD161A">
        <w:t xml:space="preserve"> at ¶137</w:t>
      </w:r>
      <w:r w:rsidRPr="00AD161A" w:rsidR="00397155">
        <w:t>.</w:t>
      </w:r>
    </w:p>
  </w:footnote>
  <w:footnote w:id="43">
    <w:p w:rsidR="0064255C" w:rsidRPr="00AD161A" w:rsidP="00C66CB8" w14:paraId="51A3BF33" w14:textId="11CE0A5B">
      <w:pPr>
        <w:pStyle w:val="FootnoteText"/>
        <w:spacing w:after="120"/>
      </w:pPr>
      <w:r w:rsidRPr="00AD161A">
        <w:rPr>
          <w:rStyle w:val="FootnoteReference"/>
        </w:rPr>
        <w:footnoteRef/>
      </w:r>
      <w:r w:rsidRPr="00AD161A">
        <w:t xml:space="preserve"> </w:t>
      </w:r>
      <w:r w:rsidRPr="00AD161A">
        <w:rPr>
          <w:i/>
          <w:iCs/>
        </w:rPr>
        <w:t xml:space="preserve">See </w:t>
      </w:r>
      <w:r w:rsidRPr="00AD161A">
        <w:t>Joint Application for Rehearing at 14-17.</w:t>
      </w:r>
    </w:p>
  </w:footnote>
  <w:footnote w:id="44">
    <w:p w:rsidR="001337E0" w:rsidRPr="00AD161A" w:rsidP="00C66CB8" w14:paraId="1B848986" w14:textId="078FA576">
      <w:pPr>
        <w:pStyle w:val="FootnoteText"/>
        <w:spacing w:after="120"/>
      </w:pPr>
      <w:r w:rsidRPr="00AD161A">
        <w:rPr>
          <w:rStyle w:val="FootnoteReference"/>
        </w:rPr>
        <w:footnoteRef/>
      </w:r>
      <w:r w:rsidRPr="00AD161A">
        <w:t xml:space="preserve"> Entry (Oct</w:t>
      </w:r>
      <w:r w:rsidRPr="00AD161A" w:rsidR="006A2112">
        <w:t>ober</w:t>
      </w:r>
      <w:r w:rsidRPr="00AD161A">
        <w:t xml:space="preserve"> 15, 2021).</w:t>
      </w:r>
    </w:p>
  </w:footnote>
  <w:footnote w:id="45">
    <w:p w:rsidR="001337E0" w:rsidRPr="00AD161A" w:rsidP="00C66CB8" w14:paraId="3BDCF9E3" w14:textId="1D92F97A">
      <w:pPr>
        <w:pStyle w:val="FootnoteText"/>
        <w:spacing w:after="120"/>
      </w:pPr>
      <w:r w:rsidRPr="00AD161A">
        <w:rPr>
          <w:rStyle w:val="FootnoteReference"/>
        </w:rPr>
        <w:footnoteRef/>
      </w:r>
      <w:r w:rsidRPr="00AD161A">
        <w:t xml:space="preserve"> Marketer Brief at 1.</w:t>
      </w:r>
    </w:p>
  </w:footnote>
  <w:footnote w:id="46">
    <w:p w:rsidR="0067222A" w:rsidRPr="00AD161A" w:rsidP="00C66CB8" w14:paraId="46EF48E7" w14:textId="6D184782">
      <w:pPr>
        <w:pStyle w:val="FootnoteText"/>
        <w:spacing w:after="120"/>
      </w:pPr>
      <w:r w:rsidRPr="00AD161A">
        <w:rPr>
          <w:rStyle w:val="FootnoteReference"/>
        </w:rPr>
        <w:footnoteRef/>
      </w:r>
      <w:r w:rsidRPr="00AD161A">
        <w:t xml:space="preserve"> </w:t>
      </w:r>
      <w:r w:rsidRPr="00AD161A" w:rsidR="001A4C46">
        <w:t>Entry at ¶32 (October 15, 2021).</w:t>
      </w:r>
    </w:p>
  </w:footnote>
  <w:footnote w:id="47">
    <w:p w:rsidR="001337E0" w:rsidRPr="00AD161A" w:rsidP="00C66CB8" w14:paraId="238DF7BD" w14:textId="0CA432B6">
      <w:pPr>
        <w:pStyle w:val="FootnoteText"/>
        <w:spacing w:after="120"/>
      </w:pPr>
      <w:r w:rsidRPr="00AD161A">
        <w:rPr>
          <w:rStyle w:val="FootnoteReference"/>
        </w:rPr>
        <w:footnoteRef/>
      </w:r>
      <w:r w:rsidRPr="00AD161A">
        <w:t xml:space="preserve"> Marketer Brief at 1 (as to the MGP and tax issues, “there was no reason for either the Retail Energy Supply Association (‘RESA’), Interstate Gas Supply Inc. (‘IGS’) or any supplier to become involved in these proceedings....”).</w:t>
      </w:r>
    </w:p>
  </w:footnote>
  <w:footnote w:id="48">
    <w:p w:rsidR="0084249A" w:rsidRPr="00AD161A" w:rsidP="00C66CB8" w14:paraId="7E2E3FCA" w14:textId="55869F2E">
      <w:pPr>
        <w:pStyle w:val="FootnoteText"/>
        <w:spacing w:after="120"/>
      </w:pPr>
      <w:r w:rsidRPr="00AD161A">
        <w:rPr>
          <w:rStyle w:val="FootnoteReference"/>
        </w:rPr>
        <w:footnoteRef/>
      </w:r>
      <w:r w:rsidRPr="00AD161A">
        <w:t xml:space="preserve"> </w:t>
      </w:r>
      <w:r w:rsidRPr="00AD161A" w:rsidR="00811E3A">
        <w:t>Opinion and Order at ¶</w:t>
      </w:r>
      <w:r w:rsidRPr="00AD161A" w:rsidR="003D37B3">
        <w:t>39</w:t>
      </w:r>
      <w:r w:rsidRPr="00AD161A" w:rsidR="00811E3A">
        <w:t>.</w:t>
      </w:r>
    </w:p>
  </w:footnote>
  <w:footnote w:id="49">
    <w:p w:rsidR="00A663A0" w:rsidRPr="00AD161A" w:rsidP="00C66CB8" w14:paraId="73487C33" w14:textId="58710757">
      <w:pPr>
        <w:pStyle w:val="FootnoteText"/>
        <w:spacing w:after="120"/>
        <w:rPr>
          <w:i/>
          <w:iCs/>
        </w:rPr>
      </w:pPr>
      <w:r w:rsidRPr="00AD161A">
        <w:rPr>
          <w:rStyle w:val="FootnoteReference"/>
        </w:rPr>
        <w:footnoteRef/>
      </w:r>
      <w:r w:rsidRPr="00AD161A">
        <w:t xml:space="preserve"> </w:t>
      </w:r>
      <w:r w:rsidRPr="00AD161A" w:rsidR="00250EA4">
        <w:rPr>
          <w:i/>
          <w:iCs/>
        </w:rPr>
        <w:t>Id.</w:t>
      </w:r>
    </w:p>
  </w:footnote>
  <w:footnote w:id="50">
    <w:p w:rsidR="00DE509A" w:rsidRPr="00AD161A" w:rsidP="00C66CB8" w14:paraId="23AFEE36" w14:textId="68C744A0">
      <w:pPr>
        <w:pStyle w:val="FootnoteText"/>
        <w:spacing w:after="120"/>
      </w:pPr>
      <w:r w:rsidRPr="00AD161A">
        <w:rPr>
          <w:rStyle w:val="FootnoteReference"/>
        </w:rPr>
        <w:footnoteRef/>
      </w:r>
      <w:r w:rsidRPr="00AD161A">
        <w:t xml:space="preserve"> </w:t>
      </w:r>
      <w:r w:rsidRPr="00AD161A" w:rsidR="00227439">
        <w:rPr>
          <w:i/>
          <w:iCs/>
        </w:rPr>
        <w:t xml:space="preserve">Id. </w:t>
      </w:r>
      <w:r w:rsidRPr="00AD161A" w:rsidR="00227439">
        <w:t>at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04D" w14:paraId="637353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ADABC78"/>
    <w:lvl w:ilvl="0">
      <w:start w:val="1"/>
      <w:numFmt w:val="decimal"/>
      <w:lvlText w:val="%1."/>
      <w:lvlJc w:val="left"/>
      <w:pPr>
        <w:tabs>
          <w:tab w:val="num" w:pos="1800"/>
        </w:tabs>
        <w:ind w:left="1800" w:hanging="360"/>
      </w:pPr>
    </w:lvl>
  </w:abstractNum>
  <w:abstractNum w:abstractNumId="1">
    <w:nsid w:val="FFFFFF7D"/>
    <w:multiLevelType w:val="singleLevel"/>
    <w:tmpl w:val="6C127128"/>
    <w:lvl w:ilvl="0">
      <w:start w:val="1"/>
      <w:numFmt w:val="decimal"/>
      <w:lvlText w:val="%1."/>
      <w:lvlJc w:val="left"/>
      <w:pPr>
        <w:tabs>
          <w:tab w:val="num" w:pos="1440"/>
        </w:tabs>
        <w:ind w:left="1440" w:hanging="360"/>
      </w:pPr>
    </w:lvl>
  </w:abstractNum>
  <w:abstractNum w:abstractNumId="2">
    <w:nsid w:val="FFFFFF7E"/>
    <w:multiLevelType w:val="singleLevel"/>
    <w:tmpl w:val="E8E66C20"/>
    <w:lvl w:ilvl="0">
      <w:start w:val="1"/>
      <w:numFmt w:val="decimal"/>
      <w:lvlText w:val="%1."/>
      <w:lvlJc w:val="left"/>
      <w:pPr>
        <w:tabs>
          <w:tab w:val="num" w:pos="1080"/>
        </w:tabs>
        <w:ind w:left="1080" w:hanging="360"/>
      </w:pPr>
    </w:lvl>
  </w:abstractNum>
  <w:abstractNum w:abstractNumId="3">
    <w:nsid w:val="FFFFFF7F"/>
    <w:multiLevelType w:val="singleLevel"/>
    <w:tmpl w:val="D9B80276"/>
    <w:lvl w:ilvl="0">
      <w:start w:val="1"/>
      <w:numFmt w:val="decimal"/>
      <w:lvlText w:val="%1."/>
      <w:lvlJc w:val="left"/>
      <w:pPr>
        <w:tabs>
          <w:tab w:val="num" w:pos="720"/>
        </w:tabs>
        <w:ind w:left="720" w:hanging="360"/>
      </w:pPr>
    </w:lvl>
  </w:abstractNum>
  <w:abstractNum w:abstractNumId="4">
    <w:nsid w:val="FFFFFF80"/>
    <w:multiLevelType w:val="singleLevel"/>
    <w:tmpl w:val="03C62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8676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DFEC3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6203C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5A2892"/>
    <w:lvl w:ilvl="0">
      <w:start w:val="1"/>
      <w:numFmt w:val="decimal"/>
      <w:lvlText w:val="%1."/>
      <w:lvlJc w:val="left"/>
      <w:pPr>
        <w:tabs>
          <w:tab w:val="num" w:pos="360"/>
        </w:tabs>
        <w:ind w:left="360" w:hanging="360"/>
      </w:pPr>
    </w:lvl>
  </w:abstractNum>
  <w:abstractNum w:abstractNumId="9">
    <w:nsid w:val="FFFFFF89"/>
    <w:multiLevelType w:val="singleLevel"/>
    <w:tmpl w:val="461C09EC"/>
    <w:lvl w:ilvl="0">
      <w:start w:val="1"/>
      <w:numFmt w:val="bullet"/>
      <w:lvlText w:val=""/>
      <w:lvlJc w:val="left"/>
      <w:pPr>
        <w:tabs>
          <w:tab w:val="num" w:pos="360"/>
        </w:tabs>
        <w:ind w:left="360" w:hanging="360"/>
      </w:pPr>
      <w:rPr>
        <w:rFonts w:ascii="Symbol" w:hAnsi="Symbol" w:hint="default"/>
      </w:rPr>
    </w:lvl>
  </w:abstractNum>
  <w:abstractNum w:abstractNumId="10">
    <w:nsid w:val="00016559"/>
    <w:multiLevelType w:val="hybridMultilevel"/>
    <w:tmpl w:val="A830D678"/>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817397"/>
    <w:multiLevelType w:val="hybridMultilevel"/>
    <w:tmpl w:val="2F7E6C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0BCD5B7F"/>
    <w:multiLevelType w:val="hybridMultilevel"/>
    <w:tmpl w:val="0A54BA04"/>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0BE91FBC"/>
    <w:multiLevelType w:val="hybridMultilevel"/>
    <w:tmpl w:val="3BCC8A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DE2481C"/>
    <w:multiLevelType w:val="hybridMultilevel"/>
    <w:tmpl w:val="85F80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B62849"/>
    <w:multiLevelType w:val="hybridMultilevel"/>
    <w:tmpl w:val="F4D06A58"/>
    <w:lvl w:ilvl="0">
      <w:start w:val="6"/>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22B2B60"/>
    <w:multiLevelType w:val="hybridMultilevel"/>
    <w:tmpl w:val="CDCC84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4401AC7"/>
    <w:multiLevelType w:val="hybridMultilevel"/>
    <w:tmpl w:val="778CA0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AB8291E"/>
    <w:multiLevelType w:val="hybridMultilevel"/>
    <w:tmpl w:val="3084A9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CFD5AD6"/>
    <w:multiLevelType w:val="hybridMultilevel"/>
    <w:tmpl w:val="11F431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F801B8C"/>
    <w:multiLevelType w:val="hybridMultilevel"/>
    <w:tmpl w:val="F38857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3F17E9"/>
    <w:multiLevelType w:val="hybridMultilevel"/>
    <w:tmpl w:val="828EF11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1C83310"/>
    <w:multiLevelType w:val="hybridMultilevel"/>
    <w:tmpl w:val="00CA9798"/>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2460828"/>
    <w:multiLevelType w:val="hybridMultilevel"/>
    <w:tmpl w:val="4318685E"/>
    <w:lvl w:ilvl="0">
      <w:start w:val="1"/>
      <w:numFmt w:val="lowerRoman"/>
      <w:lvlText w:val="%1."/>
      <w:lvlJc w:val="left"/>
      <w:pPr>
        <w:ind w:left="1080" w:hanging="720"/>
      </w:pPr>
      <w:rPr>
        <w:rFonts w:ascii="Times New Roman" w:hAnsi="Times New Roman" w:cs="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26F3551"/>
    <w:multiLevelType w:val="hybridMultilevel"/>
    <w:tmpl w:val="5DA03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2EE4928"/>
    <w:multiLevelType w:val="hybridMultilevel"/>
    <w:tmpl w:val="758CF64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2F12130"/>
    <w:multiLevelType w:val="hybridMultilevel"/>
    <w:tmpl w:val="B7362CE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49C40DC"/>
    <w:multiLevelType w:val="hybridMultilevel"/>
    <w:tmpl w:val="CA4C6FD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4CE3B51"/>
    <w:multiLevelType w:val="hybridMultilevel"/>
    <w:tmpl w:val="4318685E"/>
    <w:lvl w:ilvl="0">
      <w:start w:val="1"/>
      <w:numFmt w:val="lowerRoman"/>
      <w:lvlText w:val="%1."/>
      <w:lvlJc w:val="left"/>
      <w:pPr>
        <w:ind w:left="1080" w:hanging="720"/>
      </w:pPr>
      <w:rPr>
        <w:rFonts w:ascii="Times New Roman" w:hAnsi="Times New Roman" w:cs="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45193B"/>
    <w:multiLevelType w:val="hybridMultilevel"/>
    <w:tmpl w:val="48E619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28893DD9"/>
    <w:multiLevelType w:val="hybridMultilevel"/>
    <w:tmpl w:val="B6F8F3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FD748A"/>
    <w:multiLevelType w:val="hybridMultilevel"/>
    <w:tmpl w:val="15163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83345E1"/>
    <w:multiLevelType w:val="hybridMultilevel"/>
    <w:tmpl w:val="34BA5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527417"/>
    <w:multiLevelType w:val="hybridMultilevel"/>
    <w:tmpl w:val="E938A29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8081968"/>
    <w:multiLevelType w:val="hybridMultilevel"/>
    <w:tmpl w:val="B456D6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4A9E5FED"/>
    <w:multiLevelType w:val="hybridMultilevel"/>
    <w:tmpl w:val="85F805B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6">
    <w:nsid w:val="54550AE4"/>
    <w:multiLevelType w:val="hybridMultilevel"/>
    <w:tmpl w:val="3E801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7D0430"/>
    <w:multiLevelType w:val="hybridMultilevel"/>
    <w:tmpl w:val="B5D2C2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30E6672"/>
    <w:multiLevelType w:val="hybridMultilevel"/>
    <w:tmpl w:val="0082F67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8A01561"/>
    <w:multiLevelType w:val="hybridMultilevel"/>
    <w:tmpl w:val="ACA257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BCA009B"/>
    <w:multiLevelType w:val="hybridMultilevel"/>
    <w:tmpl w:val="B19649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C135FC2"/>
    <w:multiLevelType w:val="hybridMultilevel"/>
    <w:tmpl w:val="BE1A5E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C263BB0"/>
    <w:multiLevelType w:val="hybridMultilevel"/>
    <w:tmpl w:val="65C235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CC6405C"/>
    <w:multiLevelType w:val="hybridMultilevel"/>
    <w:tmpl w:val="D4AA3B2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0413610"/>
    <w:multiLevelType w:val="hybridMultilevel"/>
    <w:tmpl w:val="36EEA58A"/>
    <w:lvl w:ilvl="0">
      <w:start w:val="1"/>
      <w:numFmt w:val="decimal"/>
      <w:lvlText w:val="%1."/>
      <w:lvlJc w:val="left"/>
      <w:pPr>
        <w:tabs>
          <w:tab w:val="num" w:pos="1170"/>
        </w:tabs>
        <w:ind w:left="1170" w:hanging="720"/>
      </w:pPr>
      <w:rPr>
        <w:rFonts w:hint="default"/>
      </w:rPr>
    </w:lvl>
    <w:lvl w:ilvl="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45">
    <w:nsid w:val="72394CCA"/>
    <w:multiLevelType w:val="hybridMultilevel"/>
    <w:tmpl w:val="51B87C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78536A7F"/>
    <w:multiLevelType w:val="hybridMultilevel"/>
    <w:tmpl w:val="9D1224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D393FAB"/>
    <w:multiLevelType w:val="hybridMultilevel"/>
    <w:tmpl w:val="9B2A2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44"/>
  </w:num>
  <w:num w:numId="4">
    <w:abstractNumId w:val="15"/>
  </w:num>
  <w:num w:numId="5">
    <w:abstractNumId w:val="20"/>
  </w:num>
  <w:num w:numId="6">
    <w:abstractNumId w:val="3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31"/>
  </w:num>
  <w:num w:numId="16">
    <w:abstractNumId w:val="30"/>
  </w:num>
  <w:num w:numId="17">
    <w:abstractNumId w:val="32"/>
  </w:num>
  <w:num w:numId="18">
    <w:abstractNumId w:val="35"/>
  </w:num>
  <w:num w:numId="19">
    <w:abstractNumId w:val="14"/>
  </w:num>
  <w:num w:numId="20">
    <w:abstractNumId w:val="40"/>
  </w:num>
  <w:num w:numId="21">
    <w:abstractNumId w:val="19"/>
  </w:num>
  <w:num w:numId="22">
    <w:abstractNumId w:val="46"/>
  </w:num>
  <w:num w:numId="23">
    <w:abstractNumId w:val="11"/>
  </w:num>
  <w:num w:numId="24">
    <w:abstractNumId w:val="16"/>
  </w:num>
  <w:num w:numId="25">
    <w:abstractNumId w:val="13"/>
  </w:num>
  <w:num w:numId="26">
    <w:abstractNumId w:val="29"/>
  </w:num>
  <w:num w:numId="27">
    <w:abstractNumId w:val="26"/>
  </w:num>
  <w:num w:numId="28">
    <w:abstractNumId w:val="24"/>
  </w:num>
  <w:num w:numId="29">
    <w:abstractNumId w:val="23"/>
  </w:num>
  <w:num w:numId="30">
    <w:abstractNumId w:val="21"/>
  </w:num>
  <w:num w:numId="31">
    <w:abstractNumId w:val="28"/>
  </w:num>
  <w:num w:numId="32">
    <w:abstractNumId w:val="45"/>
  </w:num>
  <w:num w:numId="33">
    <w:abstractNumId w:val="39"/>
  </w:num>
  <w:num w:numId="34">
    <w:abstractNumId w:val="17"/>
  </w:num>
  <w:num w:numId="35">
    <w:abstractNumId w:val="47"/>
  </w:num>
  <w:num w:numId="36">
    <w:abstractNumId w:val="18"/>
  </w:num>
  <w:num w:numId="37">
    <w:abstractNumId w:val="41"/>
  </w:num>
  <w:num w:numId="38">
    <w:abstractNumId w:val="1"/>
  </w:num>
  <w:num w:numId="39">
    <w:abstractNumId w:val="0"/>
  </w:num>
  <w:num w:numId="40">
    <w:abstractNumId w:val="37"/>
  </w:num>
  <w:num w:numId="41">
    <w:abstractNumId w:val="34"/>
  </w:num>
  <w:num w:numId="42">
    <w:abstractNumId w:val="33"/>
  </w:num>
  <w:num w:numId="43">
    <w:abstractNumId w:val="42"/>
  </w:num>
  <w:num w:numId="44">
    <w:abstractNumId w:val="38"/>
  </w:num>
  <w:num w:numId="45">
    <w:abstractNumId w:val="43"/>
  </w:num>
  <w:num w:numId="46">
    <w:abstractNumId w:val="22"/>
  </w:num>
  <w:num w:numId="47">
    <w:abstractNumId w:val="2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57"/>
    <w:rsid w:val="00000C21"/>
    <w:rsid w:val="000016C2"/>
    <w:rsid w:val="00001945"/>
    <w:rsid w:val="0000257C"/>
    <w:rsid w:val="000025BE"/>
    <w:rsid w:val="00012C98"/>
    <w:rsid w:val="00012F0C"/>
    <w:rsid w:val="00013D63"/>
    <w:rsid w:val="00014082"/>
    <w:rsid w:val="00020881"/>
    <w:rsid w:val="00021F0A"/>
    <w:rsid w:val="00024385"/>
    <w:rsid w:val="000268B6"/>
    <w:rsid w:val="000274E9"/>
    <w:rsid w:val="000301E7"/>
    <w:rsid w:val="000306FC"/>
    <w:rsid w:val="000324F4"/>
    <w:rsid w:val="000327FB"/>
    <w:rsid w:val="000341B7"/>
    <w:rsid w:val="000367FE"/>
    <w:rsid w:val="00036EC1"/>
    <w:rsid w:val="000373C7"/>
    <w:rsid w:val="00037B8A"/>
    <w:rsid w:val="0004187B"/>
    <w:rsid w:val="000427D7"/>
    <w:rsid w:val="00047DF8"/>
    <w:rsid w:val="0005104C"/>
    <w:rsid w:val="000564B0"/>
    <w:rsid w:val="000607D2"/>
    <w:rsid w:val="00060DF0"/>
    <w:rsid w:val="00061EE9"/>
    <w:rsid w:val="00062AEE"/>
    <w:rsid w:val="00064A2D"/>
    <w:rsid w:val="0006654F"/>
    <w:rsid w:val="00071C48"/>
    <w:rsid w:val="0007317E"/>
    <w:rsid w:val="00073CBF"/>
    <w:rsid w:val="000755AD"/>
    <w:rsid w:val="00076FA7"/>
    <w:rsid w:val="00080317"/>
    <w:rsid w:val="000827C9"/>
    <w:rsid w:val="00084393"/>
    <w:rsid w:val="00084BBC"/>
    <w:rsid w:val="00085450"/>
    <w:rsid w:val="00093350"/>
    <w:rsid w:val="00095025"/>
    <w:rsid w:val="000A0F91"/>
    <w:rsid w:val="000A1544"/>
    <w:rsid w:val="000A188E"/>
    <w:rsid w:val="000A31BC"/>
    <w:rsid w:val="000A3D2A"/>
    <w:rsid w:val="000A6239"/>
    <w:rsid w:val="000A69DD"/>
    <w:rsid w:val="000A7841"/>
    <w:rsid w:val="000B3258"/>
    <w:rsid w:val="000B3882"/>
    <w:rsid w:val="000B4987"/>
    <w:rsid w:val="000C0CB2"/>
    <w:rsid w:val="000C4B77"/>
    <w:rsid w:val="000D0211"/>
    <w:rsid w:val="000D1239"/>
    <w:rsid w:val="000D1F43"/>
    <w:rsid w:val="000D446B"/>
    <w:rsid w:val="000D7B6C"/>
    <w:rsid w:val="000E231B"/>
    <w:rsid w:val="000F1B7E"/>
    <w:rsid w:val="000F3A9F"/>
    <w:rsid w:val="000F4076"/>
    <w:rsid w:val="000F412A"/>
    <w:rsid w:val="000F4357"/>
    <w:rsid w:val="000F4D00"/>
    <w:rsid w:val="000F58E9"/>
    <w:rsid w:val="001103AE"/>
    <w:rsid w:val="00115AF7"/>
    <w:rsid w:val="001175FF"/>
    <w:rsid w:val="0012075F"/>
    <w:rsid w:val="00120E41"/>
    <w:rsid w:val="00120E9A"/>
    <w:rsid w:val="00122399"/>
    <w:rsid w:val="0012351B"/>
    <w:rsid w:val="001249E8"/>
    <w:rsid w:val="00130BDA"/>
    <w:rsid w:val="001337E0"/>
    <w:rsid w:val="00135485"/>
    <w:rsid w:val="00144E06"/>
    <w:rsid w:val="0014635C"/>
    <w:rsid w:val="00150062"/>
    <w:rsid w:val="00150896"/>
    <w:rsid w:val="0015104D"/>
    <w:rsid w:val="0015117C"/>
    <w:rsid w:val="00153E9F"/>
    <w:rsid w:val="00156313"/>
    <w:rsid w:val="0016093B"/>
    <w:rsid w:val="0016441D"/>
    <w:rsid w:val="00166BDA"/>
    <w:rsid w:val="00167574"/>
    <w:rsid w:val="00167867"/>
    <w:rsid w:val="001679DB"/>
    <w:rsid w:val="00167C22"/>
    <w:rsid w:val="0017390A"/>
    <w:rsid w:val="00174C75"/>
    <w:rsid w:val="00175B53"/>
    <w:rsid w:val="00176BA9"/>
    <w:rsid w:val="00177862"/>
    <w:rsid w:val="00180094"/>
    <w:rsid w:val="00182262"/>
    <w:rsid w:val="001842A9"/>
    <w:rsid w:val="00186671"/>
    <w:rsid w:val="001915DD"/>
    <w:rsid w:val="001919EB"/>
    <w:rsid w:val="0019460F"/>
    <w:rsid w:val="001A1C03"/>
    <w:rsid w:val="001A2C9D"/>
    <w:rsid w:val="001A315C"/>
    <w:rsid w:val="001A396E"/>
    <w:rsid w:val="001A4C46"/>
    <w:rsid w:val="001A5EC2"/>
    <w:rsid w:val="001A6BD6"/>
    <w:rsid w:val="001B0826"/>
    <w:rsid w:val="001B1500"/>
    <w:rsid w:val="001B157D"/>
    <w:rsid w:val="001B5114"/>
    <w:rsid w:val="001B6D86"/>
    <w:rsid w:val="001C2054"/>
    <w:rsid w:val="001C4AF8"/>
    <w:rsid w:val="001C4E3E"/>
    <w:rsid w:val="001C69C2"/>
    <w:rsid w:val="001D4EBF"/>
    <w:rsid w:val="001D6093"/>
    <w:rsid w:val="001E0BA0"/>
    <w:rsid w:val="001E376C"/>
    <w:rsid w:val="001E7061"/>
    <w:rsid w:val="001F19BF"/>
    <w:rsid w:val="001F547B"/>
    <w:rsid w:val="0020240C"/>
    <w:rsid w:val="00203337"/>
    <w:rsid w:val="00207745"/>
    <w:rsid w:val="002105D8"/>
    <w:rsid w:val="00213411"/>
    <w:rsid w:val="00220D64"/>
    <w:rsid w:val="0022228C"/>
    <w:rsid w:val="00222C6F"/>
    <w:rsid w:val="00224C28"/>
    <w:rsid w:val="00227439"/>
    <w:rsid w:val="00227E06"/>
    <w:rsid w:val="00230E11"/>
    <w:rsid w:val="00236626"/>
    <w:rsid w:val="002433D3"/>
    <w:rsid w:val="002434AC"/>
    <w:rsid w:val="00245811"/>
    <w:rsid w:val="00246C3B"/>
    <w:rsid w:val="00250EA4"/>
    <w:rsid w:val="00250F16"/>
    <w:rsid w:val="00251124"/>
    <w:rsid w:val="00251B28"/>
    <w:rsid w:val="0025235E"/>
    <w:rsid w:val="00252427"/>
    <w:rsid w:val="002543FD"/>
    <w:rsid w:val="0025648E"/>
    <w:rsid w:val="002614BE"/>
    <w:rsid w:val="002638B5"/>
    <w:rsid w:val="002712B7"/>
    <w:rsid w:val="00271D10"/>
    <w:rsid w:val="00274996"/>
    <w:rsid w:val="002804A2"/>
    <w:rsid w:val="0028290C"/>
    <w:rsid w:val="00282DE7"/>
    <w:rsid w:val="00283A42"/>
    <w:rsid w:val="00283E3B"/>
    <w:rsid w:val="00285C3D"/>
    <w:rsid w:val="00286159"/>
    <w:rsid w:val="00287141"/>
    <w:rsid w:val="0029221A"/>
    <w:rsid w:val="0029478F"/>
    <w:rsid w:val="00295460"/>
    <w:rsid w:val="00295BCE"/>
    <w:rsid w:val="002A0D9F"/>
    <w:rsid w:val="002A340A"/>
    <w:rsid w:val="002A4671"/>
    <w:rsid w:val="002A75D0"/>
    <w:rsid w:val="002B2918"/>
    <w:rsid w:val="002B395A"/>
    <w:rsid w:val="002B4377"/>
    <w:rsid w:val="002B460B"/>
    <w:rsid w:val="002B63C4"/>
    <w:rsid w:val="002C0A59"/>
    <w:rsid w:val="002C4CAB"/>
    <w:rsid w:val="002C764D"/>
    <w:rsid w:val="002D2B35"/>
    <w:rsid w:val="002D318F"/>
    <w:rsid w:val="002D33C0"/>
    <w:rsid w:val="002D45DE"/>
    <w:rsid w:val="002D49CD"/>
    <w:rsid w:val="002D4A61"/>
    <w:rsid w:val="002D4DD2"/>
    <w:rsid w:val="002D4E47"/>
    <w:rsid w:val="002D4F15"/>
    <w:rsid w:val="002D6AC1"/>
    <w:rsid w:val="002D7203"/>
    <w:rsid w:val="002D756F"/>
    <w:rsid w:val="002D76B4"/>
    <w:rsid w:val="002E10B1"/>
    <w:rsid w:val="002E269B"/>
    <w:rsid w:val="002E6338"/>
    <w:rsid w:val="002E76CB"/>
    <w:rsid w:val="002F1BB2"/>
    <w:rsid w:val="002F24E6"/>
    <w:rsid w:val="002F27A0"/>
    <w:rsid w:val="002F2C3A"/>
    <w:rsid w:val="002F41E8"/>
    <w:rsid w:val="002F5099"/>
    <w:rsid w:val="002F7485"/>
    <w:rsid w:val="00300B65"/>
    <w:rsid w:val="00301169"/>
    <w:rsid w:val="00302205"/>
    <w:rsid w:val="0030283E"/>
    <w:rsid w:val="00303291"/>
    <w:rsid w:val="00306181"/>
    <w:rsid w:val="00307ADA"/>
    <w:rsid w:val="0031203A"/>
    <w:rsid w:val="003131A4"/>
    <w:rsid w:val="003136C4"/>
    <w:rsid w:val="003150E7"/>
    <w:rsid w:val="0031558D"/>
    <w:rsid w:val="0031575C"/>
    <w:rsid w:val="00315C9B"/>
    <w:rsid w:val="00316D62"/>
    <w:rsid w:val="00316F14"/>
    <w:rsid w:val="0032098F"/>
    <w:rsid w:val="0032238D"/>
    <w:rsid w:val="003237BA"/>
    <w:rsid w:val="003239B6"/>
    <w:rsid w:val="00324BD3"/>
    <w:rsid w:val="0033024C"/>
    <w:rsid w:val="00331FD3"/>
    <w:rsid w:val="00332743"/>
    <w:rsid w:val="0033620E"/>
    <w:rsid w:val="00345BE7"/>
    <w:rsid w:val="00347C24"/>
    <w:rsid w:val="00350934"/>
    <w:rsid w:val="00352210"/>
    <w:rsid w:val="00352B7B"/>
    <w:rsid w:val="00353E1B"/>
    <w:rsid w:val="00353FB7"/>
    <w:rsid w:val="003546B3"/>
    <w:rsid w:val="00355577"/>
    <w:rsid w:val="00357613"/>
    <w:rsid w:val="0036196F"/>
    <w:rsid w:val="00363F20"/>
    <w:rsid w:val="00365A81"/>
    <w:rsid w:val="0037114A"/>
    <w:rsid w:val="00371421"/>
    <w:rsid w:val="00371ABA"/>
    <w:rsid w:val="00382620"/>
    <w:rsid w:val="0038650C"/>
    <w:rsid w:val="0039135F"/>
    <w:rsid w:val="0039519A"/>
    <w:rsid w:val="0039607D"/>
    <w:rsid w:val="00397155"/>
    <w:rsid w:val="00397187"/>
    <w:rsid w:val="003A067C"/>
    <w:rsid w:val="003A1850"/>
    <w:rsid w:val="003A2682"/>
    <w:rsid w:val="003A616B"/>
    <w:rsid w:val="003B0748"/>
    <w:rsid w:val="003B182E"/>
    <w:rsid w:val="003B2206"/>
    <w:rsid w:val="003B2FF0"/>
    <w:rsid w:val="003C0369"/>
    <w:rsid w:val="003C263B"/>
    <w:rsid w:val="003C35B4"/>
    <w:rsid w:val="003D37B3"/>
    <w:rsid w:val="003D3CFE"/>
    <w:rsid w:val="003D7430"/>
    <w:rsid w:val="003D7F18"/>
    <w:rsid w:val="003E1739"/>
    <w:rsid w:val="003E1CC7"/>
    <w:rsid w:val="003E42E7"/>
    <w:rsid w:val="003E4F5B"/>
    <w:rsid w:val="003E66C0"/>
    <w:rsid w:val="003E7620"/>
    <w:rsid w:val="003F2BDA"/>
    <w:rsid w:val="003F3477"/>
    <w:rsid w:val="003F5FD4"/>
    <w:rsid w:val="003F653A"/>
    <w:rsid w:val="003F7FDE"/>
    <w:rsid w:val="00400517"/>
    <w:rsid w:val="00405B2F"/>
    <w:rsid w:val="00412682"/>
    <w:rsid w:val="00414C96"/>
    <w:rsid w:val="004217B2"/>
    <w:rsid w:val="0042279D"/>
    <w:rsid w:val="00431231"/>
    <w:rsid w:val="004312EF"/>
    <w:rsid w:val="00431597"/>
    <w:rsid w:val="00434A54"/>
    <w:rsid w:val="00436A72"/>
    <w:rsid w:val="00436D80"/>
    <w:rsid w:val="00437C97"/>
    <w:rsid w:val="00441F99"/>
    <w:rsid w:val="00444BD1"/>
    <w:rsid w:val="004451BD"/>
    <w:rsid w:val="004517BB"/>
    <w:rsid w:val="004528EE"/>
    <w:rsid w:val="0045505C"/>
    <w:rsid w:val="00457DA1"/>
    <w:rsid w:val="004608D8"/>
    <w:rsid w:val="004610D3"/>
    <w:rsid w:val="0046129B"/>
    <w:rsid w:val="00463EDD"/>
    <w:rsid w:val="00464766"/>
    <w:rsid w:val="00467D07"/>
    <w:rsid w:val="0047000B"/>
    <w:rsid w:val="00470082"/>
    <w:rsid w:val="00470945"/>
    <w:rsid w:val="004765A2"/>
    <w:rsid w:val="00477293"/>
    <w:rsid w:val="004776F7"/>
    <w:rsid w:val="0048051E"/>
    <w:rsid w:val="00480DE3"/>
    <w:rsid w:val="004837E7"/>
    <w:rsid w:val="004855FB"/>
    <w:rsid w:val="00485735"/>
    <w:rsid w:val="00486434"/>
    <w:rsid w:val="00486ED3"/>
    <w:rsid w:val="004901EC"/>
    <w:rsid w:val="00493034"/>
    <w:rsid w:val="00493B3D"/>
    <w:rsid w:val="0049449A"/>
    <w:rsid w:val="00495EE0"/>
    <w:rsid w:val="0049633E"/>
    <w:rsid w:val="00496D6A"/>
    <w:rsid w:val="004971EA"/>
    <w:rsid w:val="004977A8"/>
    <w:rsid w:val="004A3DEA"/>
    <w:rsid w:val="004A54B8"/>
    <w:rsid w:val="004A6754"/>
    <w:rsid w:val="004A6DFB"/>
    <w:rsid w:val="004A70F8"/>
    <w:rsid w:val="004A71CC"/>
    <w:rsid w:val="004B2413"/>
    <w:rsid w:val="004B68FA"/>
    <w:rsid w:val="004C1953"/>
    <w:rsid w:val="004C2CE6"/>
    <w:rsid w:val="004C3701"/>
    <w:rsid w:val="004D0398"/>
    <w:rsid w:val="004D06AF"/>
    <w:rsid w:val="004D283E"/>
    <w:rsid w:val="004D302D"/>
    <w:rsid w:val="004D3225"/>
    <w:rsid w:val="004D32F6"/>
    <w:rsid w:val="004D3C13"/>
    <w:rsid w:val="004D63B4"/>
    <w:rsid w:val="004E07CC"/>
    <w:rsid w:val="004E0DF9"/>
    <w:rsid w:val="004E4181"/>
    <w:rsid w:val="004E4B9E"/>
    <w:rsid w:val="004E5D43"/>
    <w:rsid w:val="004E61CF"/>
    <w:rsid w:val="004E7851"/>
    <w:rsid w:val="004F079B"/>
    <w:rsid w:val="004F12B3"/>
    <w:rsid w:val="004F2179"/>
    <w:rsid w:val="004F3A9B"/>
    <w:rsid w:val="0050190B"/>
    <w:rsid w:val="005027FB"/>
    <w:rsid w:val="005028AA"/>
    <w:rsid w:val="00504987"/>
    <w:rsid w:val="00505418"/>
    <w:rsid w:val="005056E8"/>
    <w:rsid w:val="00506AE7"/>
    <w:rsid w:val="005073A5"/>
    <w:rsid w:val="00510499"/>
    <w:rsid w:val="005106F2"/>
    <w:rsid w:val="00510E24"/>
    <w:rsid w:val="00513DE0"/>
    <w:rsid w:val="00514BC8"/>
    <w:rsid w:val="005161E1"/>
    <w:rsid w:val="00517314"/>
    <w:rsid w:val="00520392"/>
    <w:rsid w:val="005216DF"/>
    <w:rsid w:val="0052274B"/>
    <w:rsid w:val="00522810"/>
    <w:rsid w:val="00523DC0"/>
    <w:rsid w:val="00524F71"/>
    <w:rsid w:val="00525931"/>
    <w:rsid w:val="0052620E"/>
    <w:rsid w:val="00531693"/>
    <w:rsid w:val="00534F9D"/>
    <w:rsid w:val="00535531"/>
    <w:rsid w:val="00535A6B"/>
    <w:rsid w:val="00536B61"/>
    <w:rsid w:val="00537ECB"/>
    <w:rsid w:val="00544AEA"/>
    <w:rsid w:val="005464AC"/>
    <w:rsid w:val="0054772D"/>
    <w:rsid w:val="00550FC5"/>
    <w:rsid w:val="00560C68"/>
    <w:rsid w:val="005645D0"/>
    <w:rsid w:val="005646B0"/>
    <w:rsid w:val="00564914"/>
    <w:rsid w:val="005652AC"/>
    <w:rsid w:val="00565398"/>
    <w:rsid w:val="00565ACF"/>
    <w:rsid w:val="005660CE"/>
    <w:rsid w:val="00566AA9"/>
    <w:rsid w:val="00567800"/>
    <w:rsid w:val="0057242C"/>
    <w:rsid w:val="005733D5"/>
    <w:rsid w:val="00575E61"/>
    <w:rsid w:val="00575E64"/>
    <w:rsid w:val="005801BC"/>
    <w:rsid w:val="0058032C"/>
    <w:rsid w:val="00580713"/>
    <w:rsid w:val="0058129A"/>
    <w:rsid w:val="00581B6B"/>
    <w:rsid w:val="00582F6F"/>
    <w:rsid w:val="005834E5"/>
    <w:rsid w:val="005838A7"/>
    <w:rsid w:val="00584F5F"/>
    <w:rsid w:val="00585BBF"/>
    <w:rsid w:val="00590D97"/>
    <w:rsid w:val="00590F01"/>
    <w:rsid w:val="00592506"/>
    <w:rsid w:val="0059331C"/>
    <w:rsid w:val="00595F10"/>
    <w:rsid w:val="005A0220"/>
    <w:rsid w:val="005A1347"/>
    <w:rsid w:val="005A1EC4"/>
    <w:rsid w:val="005A4754"/>
    <w:rsid w:val="005A4C5A"/>
    <w:rsid w:val="005B0E27"/>
    <w:rsid w:val="005B14C6"/>
    <w:rsid w:val="005B2903"/>
    <w:rsid w:val="005B4D5B"/>
    <w:rsid w:val="005B4E31"/>
    <w:rsid w:val="005B6A16"/>
    <w:rsid w:val="005B6D7C"/>
    <w:rsid w:val="005C092B"/>
    <w:rsid w:val="005C1F33"/>
    <w:rsid w:val="005C3632"/>
    <w:rsid w:val="005C3989"/>
    <w:rsid w:val="005C5FD2"/>
    <w:rsid w:val="005C6566"/>
    <w:rsid w:val="005C6C2C"/>
    <w:rsid w:val="005D226A"/>
    <w:rsid w:val="005D357C"/>
    <w:rsid w:val="005D373E"/>
    <w:rsid w:val="005D45BD"/>
    <w:rsid w:val="005E0828"/>
    <w:rsid w:val="005E1C2D"/>
    <w:rsid w:val="005E1D07"/>
    <w:rsid w:val="005E1E96"/>
    <w:rsid w:val="005E4B02"/>
    <w:rsid w:val="005E5846"/>
    <w:rsid w:val="005E71EF"/>
    <w:rsid w:val="005F0417"/>
    <w:rsid w:val="005F04FF"/>
    <w:rsid w:val="005F1534"/>
    <w:rsid w:val="005F166A"/>
    <w:rsid w:val="005F27FE"/>
    <w:rsid w:val="005F3473"/>
    <w:rsid w:val="005F4C34"/>
    <w:rsid w:val="005F5C8D"/>
    <w:rsid w:val="005F6667"/>
    <w:rsid w:val="005F7A3C"/>
    <w:rsid w:val="00600FFE"/>
    <w:rsid w:val="00603E89"/>
    <w:rsid w:val="006041A0"/>
    <w:rsid w:val="00604409"/>
    <w:rsid w:val="0060669B"/>
    <w:rsid w:val="00606FB6"/>
    <w:rsid w:val="006153A7"/>
    <w:rsid w:val="00620787"/>
    <w:rsid w:val="00620B47"/>
    <w:rsid w:val="00624073"/>
    <w:rsid w:val="006240C9"/>
    <w:rsid w:val="0062413D"/>
    <w:rsid w:val="0062473A"/>
    <w:rsid w:val="00624C5C"/>
    <w:rsid w:val="00626254"/>
    <w:rsid w:val="00627DD9"/>
    <w:rsid w:val="00630C66"/>
    <w:rsid w:val="00631DF7"/>
    <w:rsid w:val="00634245"/>
    <w:rsid w:val="00634899"/>
    <w:rsid w:val="00634D75"/>
    <w:rsid w:val="00634E5D"/>
    <w:rsid w:val="0063519C"/>
    <w:rsid w:val="006357C0"/>
    <w:rsid w:val="006370C6"/>
    <w:rsid w:val="00641252"/>
    <w:rsid w:val="00641E6B"/>
    <w:rsid w:val="0064255C"/>
    <w:rsid w:val="00642ECC"/>
    <w:rsid w:val="006433FE"/>
    <w:rsid w:val="00645E24"/>
    <w:rsid w:val="00646F90"/>
    <w:rsid w:val="00647DC1"/>
    <w:rsid w:val="00655EB2"/>
    <w:rsid w:val="006560DB"/>
    <w:rsid w:val="00657C82"/>
    <w:rsid w:val="00660EAD"/>
    <w:rsid w:val="00663DF9"/>
    <w:rsid w:val="0066707F"/>
    <w:rsid w:val="00672170"/>
    <w:rsid w:val="0067222A"/>
    <w:rsid w:val="00673ABA"/>
    <w:rsid w:val="00675B1D"/>
    <w:rsid w:val="006801F6"/>
    <w:rsid w:val="00685FDE"/>
    <w:rsid w:val="00691128"/>
    <w:rsid w:val="0069276D"/>
    <w:rsid w:val="00693A0E"/>
    <w:rsid w:val="00695B12"/>
    <w:rsid w:val="00696C58"/>
    <w:rsid w:val="00696C93"/>
    <w:rsid w:val="00697154"/>
    <w:rsid w:val="006977E0"/>
    <w:rsid w:val="006A2112"/>
    <w:rsid w:val="006A27C9"/>
    <w:rsid w:val="006A29C2"/>
    <w:rsid w:val="006A3904"/>
    <w:rsid w:val="006A7A1C"/>
    <w:rsid w:val="006B0920"/>
    <w:rsid w:val="006B1333"/>
    <w:rsid w:val="006B2296"/>
    <w:rsid w:val="006B2321"/>
    <w:rsid w:val="006B4573"/>
    <w:rsid w:val="006B5130"/>
    <w:rsid w:val="006B7CBD"/>
    <w:rsid w:val="006C00ED"/>
    <w:rsid w:val="006C1AB4"/>
    <w:rsid w:val="006C2011"/>
    <w:rsid w:val="006C714F"/>
    <w:rsid w:val="006D1513"/>
    <w:rsid w:val="006E0657"/>
    <w:rsid w:val="006E0ACC"/>
    <w:rsid w:val="006E1E5B"/>
    <w:rsid w:val="006E23AA"/>
    <w:rsid w:val="006E6BD2"/>
    <w:rsid w:val="006F0A78"/>
    <w:rsid w:val="006F0D92"/>
    <w:rsid w:val="006F1B32"/>
    <w:rsid w:val="006F1F4F"/>
    <w:rsid w:val="006F2F28"/>
    <w:rsid w:val="006F4011"/>
    <w:rsid w:val="007007CE"/>
    <w:rsid w:val="00701C59"/>
    <w:rsid w:val="007049AE"/>
    <w:rsid w:val="007055C6"/>
    <w:rsid w:val="00710E80"/>
    <w:rsid w:val="00711832"/>
    <w:rsid w:val="00712AC1"/>
    <w:rsid w:val="0071455E"/>
    <w:rsid w:val="0071622A"/>
    <w:rsid w:val="0072030A"/>
    <w:rsid w:val="007207E3"/>
    <w:rsid w:val="00722DCD"/>
    <w:rsid w:val="0072462D"/>
    <w:rsid w:val="00727512"/>
    <w:rsid w:val="00727919"/>
    <w:rsid w:val="007358FF"/>
    <w:rsid w:val="00740795"/>
    <w:rsid w:val="00742263"/>
    <w:rsid w:val="007423B0"/>
    <w:rsid w:val="0074586B"/>
    <w:rsid w:val="00746BEB"/>
    <w:rsid w:val="00747411"/>
    <w:rsid w:val="00753DBF"/>
    <w:rsid w:val="00754283"/>
    <w:rsid w:val="00754539"/>
    <w:rsid w:val="00756668"/>
    <w:rsid w:val="00757C3D"/>
    <w:rsid w:val="007612FB"/>
    <w:rsid w:val="00761A50"/>
    <w:rsid w:val="00763A4D"/>
    <w:rsid w:val="00764A99"/>
    <w:rsid w:val="00770613"/>
    <w:rsid w:val="0077409F"/>
    <w:rsid w:val="007750BB"/>
    <w:rsid w:val="00775C67"/>
    <w:rsid w:val="0077635E"/>
    <w:rsid w:val="0077698F"/>
    <w:rsid w:val="00782C73"/>
    <w:rsid w:val="0078531D"/>
    <w:rsid w:val="00787021"/>
    <w:rsid w:val="00790087"/>
    <w:rsid w:val="00790B85"/>
    <w:rsid w:val="00793FB4"/>
    <w:rsid w:val="00794D62"/>
    <w:rsid w:val="00794FF0"/>
    <w:rsid w:val="00796315"/>
    <w:rsid w:val="00796AD7"/>
    <w:rsid w:val="007A324B"/>
    <w:rsid w:val="007A4AF7"/>
    <w:rsid w:val="007B1CAA"/>
    <w:rsid w:val="007B4CAB"/>
    <w:rsid w:val="007C074A"/>
    <w:rsid w:val="007C1628"/>
    <w:rsid w:val="007C1CB6"/>
    <w:rsid w:val="007C2E95"/>
    <w:rsid w:val="007C4EFC"/>
    <w:rsid w:val="007D3013"/>
    <w:rsid w:val="007D3031"/>
    <w:rsid w:val="007D48E0"/>
    <w:rsid w:val="007E2B94"/>
    <w:rsid w:val="007E39E0"/>
    <w:rsid w:val="007E5D21"/>
    <w:rsid w:val="007E6D99"/>
    <w:rsid w:val="007E78F0"/>
    <w:rsid w:val="007F10AE"/>
    <w:rsid w:val="007F699D"/>
    <w:rsid w:val="007F7B8B"/>
    <w:rsid w:val="00804131"/>
    <w:rsid w:val="0080436F"/>
    <w:rsid w:val="00806F14"/>
    <w:rsid w:val="00806F3D"/>
    <w:rsid w:val="008102B6"/>
    <w:rsid w:val="00811E3A"/>
    <w:rsid w:val="00812255"/>
    <w:rsid w:val="00812885"/>
    <w:rsid w:val="0081464E"/>
    <w:rsid w:val="00814E2F"/>
    <w:rsid w:val="00820C38"/>
    <w:rsid w:val="00821AB6"/>
    <w:rsid w:val="008252E7"/>
    <w:rsid w:val="008259E7"/>
    <w:rsid w:val="008304F8"/>
    <w:rsid w:val="00833986"/>
    <w:rsid w:val="008345A2"/>
    <w:rsid w:val="008408C2"/>
    <w:rsid w:val="0084249A"/>
    <w:rsid w:val="008431F5"/>
    <w:rsid w:val="00845A88"/>
    <w:rsid w:val="008461F5"/>
    <w:rsid w:val="00847A8E"/>
    <w:rsid w:val="0085013B"/>
    <w:rsid w:val="00853CF4"/>
    <w:rsid w:val="00855162"/>
    <w:rsid w:val="00855442"/>
    <w:rsid w:val="0085640D"/>
    <w:rsid w:val="00860401"/>
    <w:rsid w:val="00865406"/>
    <w:rsid w:val="00866D6C"/>
    <w:rsid w:val="0086787E"/>
    <w:rsid w:val="00867E2E"/>
    <w:rsid w:val="00872259"/>
    <w:rsid w:val="0087395F"/>
    <w:rsid w:val="00874FFE"/>
    <w:rsid w:val="0088263C"/>
    <w:rsid w:val="00887AF9"/>
    <w:rsid w:val="008921CE"/>
    <w:rsid w:val="00893FAE"/>
    <w:rsid w:val="00896A93"/>
    <w:rsid w:val="008A2A81"/>
    <w:rsid w:val="008A51A9"/>
    <w:rsid w:val="008A5B63"/>
    <w:rsid w:val="008C046D"/>
    <w:rsid w:val="008C21A8"/>
    <w:rsid w:val="008C2CBC"/>
    <w:rsid w:val="008C3B94"/>
    <w:rsid w:val="008C4103"/>
    <w:rsid w:val="008C57F1"/>
    <w:rsid w:val="008C58D7"/>
    <w:rsid w:val="008C7BF3"/>
    <w:rsid w:val="008C7E4F"/>
    <w:rsid w:val="008D18D1"/>
    <w:rsid w:val="008D30B3"/>
    <w:rsid w:val="008D456B"/>
    <w:rsid w:val="008D480F"/>
    <w:rsid w:val="008D4F51"/>
    <w:rsid w:val="008D6C9C"/>
    <w:rsid w:val="008E00B9"/>
    <w:rsid w:val="008E038C"/>
    <w:rsid w:val="008E6DC2"/>
    <w:rsid w:val="008F1A95"/>
    <w:rsid w:val="008F4D5A"/>
    <w:rsid w:val="009038BE"/>
    <w:rsid w:val="00903C28"/>
    <w:rsid w:val="009040D9"/>
    <w:rsid w:val="009048CA"/>
    <w:rsid w:val="00904F1C"/>
    <w:rsid w:val="00904F86"/>
    <w:rsid w:val="00905AE0"/>
    <w:rsid w:val="00912DB0"/>
    <w:rsid w:val="0091574D"/>
    <w:rsid w:val="00917817"/>
    <w:rsid w:val="009226ED"/>
    <w:rsid w:val="00923223"/>
    <w:rsid w:val="0092584A"/>
    <w:rsid w:val="00925AC1"/>
    <w:rsid w:val="009275F1"/>
    <w:rsid w:val="00936074"/>
    <w:rsid w:val="009364E4"/>
    <w:rsid w:val="00937191"/>
    <w:rsid w:val="00941E2B"/>
    <w:rsid w:val="0094326E"/>
    <w:rsid w:val="009433D5"/>
    <w:rsid w:val="00944073"/>
    <w:rsid w:val="00947E95"/>
    <w:rsid w:val="00951818"/>
    <w:rsid w:val="009539C3"/>
    <w:rsid w:val="00955427"/>
    <w:rsid w:val="00956472"/>
    <w:rsid w:val="00971CD0"/>
    <w:rsid w:val="00974E56"/>
    <w:rsid w:val="00977719"/>
    <w:rsid w:val="009832E0"/>
    <w:rsid w:val="00984C58"/>
    <w:rsid w:val="00984ED5"/>
    <w:rsid w:val="00985D3B"/>
    <w:rsid w:val="00991A47"/>
    <w:rsid w:val="00991FD0"/>
    <w:rsid w:val="00992E96"/>
    <w:rsid w:val="00993B71"/>
    <w:rsid w:val="00997B36"/>
    <w:rsid w:val="009A1507"/>
    <w:rsid w:val="009A162A"/>
    <w:rsid w:val="009A3EC5"/>
    <w:rsid w:val="009A5A67"/>
    <w:rsid w:val="009B1A46"/>
    <w:rsid w:val="009B29EC"/>
    <w:rsid w:val="009B5A98"/>
    <w:rsid w:val="009C0395"/>
    <w:rsid w:val="009C2737"/>
    <w:rsid w:val="009C2956"/>
    <w:rsid w:val="009C5D23"/>
    <w:rsid w:val="009C6DCD"/>
    <w:rsid w:val="009D05DD"/>
    <w:rsid w:val="009D174E"/>
    <w:rsid w:val="009D1A05"/>
    <w:rsid w:val="009D5456"/>
    <w:rsid w:val="009D7F71"/>
    <w:rsid w:val="009E450F"/>
    <w:rsid w:val="009E7CE9"/>
    <w:rsid w:val="009F00FA"/>
    <w:rsid w:val="009F07DA"/>
    <w:rsid w:val="009F2853"/>
    <w:rsid w:val="009F2964"/>
    <w:rsid w:val="009F35FD"/>
    <w:rsid w:val="00A11041"/>
    <w:rsid w:val="00A13B99"/>
    <w:rsid w:val="00A15DAF"/>
    <w:rsid w:val="00A15E60"/>
    <w:rsid w:val="00A1618E"/>
    <w:rsid w:val="00A22A5D"/>
    <w:rsid w:val="00A31D8E"/>
    <w:rsid w:val="00A36764"/>
    <w:rsid w:val="00A37A82"/>
    <w:rsid w:val="00A40934"/>
    <w:rsid w:val="00A44217"/>
    <w:rsid w:val="00A44D32"/>
    <w:rsid w:val="00A46FA7"/>
    <w:rsid w:val="00A53738"/>
    <w:rsid w:val="00A55C29"/>
    <w:rsid w:val="00A569E3"/>
    <w:rsid w:val="00A60712"/>
    <w:rsid w:val="00A60F32"/>
    <w:rsid w:val="00A64295"/>
    <w:rsid w:val="00A64AD2"/>
    <w:rsid w:val="00A663A0"/>
    <w:rsid w:val="00A6769E"/>
    <w:rsid w:val="00A71632"/>
    <w:rsid w:val="00A77C36"/>
    <w:rsid w:val="00A809F7"/>
    <w:rsid w:val="00A81C49"/>
    <w:rsid w:val="00A81C84"/>
    <w:rsid w:val="00A8760A"/>
    <w:rsid w:val="00A9019D"/>
    <w:rsid w:val="00A91822"/>
    <w:rsid w:val="00A9216D"/>
    <w:rsid w:val="00A948BD"/>
    <w:rsid w:val="00A95549"/>
    <w:rsid w:val="00A9564E"/>
    <w:rsid w:val="00A9580B"/>
    <w:rsid w:val="00A96C40"/>
    <w:rsid w:val="00A96DB1"/>
    <w:rsid w:val="00AA040E"/>
    <w:rsid w:val="00AA399B"/>
    <w:rsid w:val="00AA5DCF"/>
    <w:rsid w:val="00AB0649"/>
    <w:rsid w:val="00AB0E59"/>
    <w:rsid w:val="00AB2921"/>
    <w:rsid w:val="00AB3C40"/>
    <w:rsid w:val="00AB6C07"/>
    <w:rsid w:val="00AB7050"/>
    <w:rsid w:val="00AB74DF"/>
    <w:rsid w:val="00AC19A6"/>
    <w:rsid w:val="00AC4DAA"/>
    <w:rsid w:val="00AC5380"/>
    <w:rsid w:val="00AC5B92"/>
    <w:rsid w:val="00AD161A"/>
    <w:rsid w:val="00AD3F61"/>
    <w:rsid w:val="00AD56A2"/>
    <w:rsid w:val="00AD7409"/>
    <w:rsid w:val="00AE086F"/>
    <w:rsid w:val="00AE27E6"/>
    <w:rsid w:val="00AE35D6"/>
    <w:rsid w:val="00AF0F08"/>
    <w:rsid w:val="00AF29A7"/>
    <w:rsid w:val="00AF4A2F"/>
    <w:rsid w:val="00AF6C26"/>
    <w:rsid w:val="00AF6EA5"/>
    <w:rsid w:val="00AF6EF8"/>
    <w:rsid w:val="00B0229D"/>
    <w:rsid w:val="00B052DA"/>
    <w:rsid w:val="00B068C5"/>
    <w:rsid w:val="00B2471F"/>
    <w:rsid w:val="00B3028B"/>
    <w:rsid w:val="00B30D7F"/>
    <w:rsid w:val="00B341C6"/>
    <w:rsid w:val="00B3451A"/>
    <w:rsid w:val="00B362AD"/>
    <w:rsid w:val="00B37488"/>
    <w:rsid w:val="00B42CCF"/>
    <w:rsid w:val="00B438EA"/>
    <w:rsid w:val="00B44AF1"/>
    <w:rsid w:val="00B44DF0"/>
    <w:rsid w:val="00B533CA"/>
    <w:rsid w:val="00B53E73"/>
    <w:rsid w:val="00B5599C"/>
    <w:rsid w:val="00B6009C"/>
    <w:rsid w:val="00B61610"/>
    <w:rsid w:val="00B619C1"/>
    <w:rsid w:val="00B635FD"/>
    <w:rsid w:val="00B64556"/>
    <w:rsid w:val="00B667DE"/>
    <w:rsid w:val="00B70844"/>
    <w:rsid w:val="00B7214D"/>
    <w:rsid w:val="00B72A9B"/>
    <w:rsid w:val="00B74499"/>
    <w:rsid w:val="00B7714B"/>
    <w:rsid w:val="00B83BDD"/>
    <w:rsid w:val="00B849A6"/>
    <w:rsid w:val="00B852D2"/>
    <w:rsid w:val="00B86F58"/>
    <w:rsid w:val="00B92308"/>
    <w:rsid w:val="00B9409D"/>
    <w:rsid w:val="00B94567"/>
    <w:rsid w:val="00BA04A8"/>
    <w:rsid w:val="00BA062F"/>
    <w:rsid w:val="00BA438A"/>
    <w:rsid w:val="00BA466A"/>
    <w:rsid w:val="00BA51E4"/>
    <w:rsid w:val="00BA632B"/>
    <w:rsid w:val="00BA6EC5"/>
    <w:rsid w:val="00BB02F4"/>
    <w:rsid w:val="00BB06EC"/>
    <w:rsid w:val="00BB212E"/>
    <w:rsid w:val="00BB7A61"/>
    <w:rsid w:val="00BC1404"/>
    <w:rsid w:val="00BC329C"/>
    <w:rsid w:val="00BC37E7"/>
    <w:rsid w:val="00BC4255"/>
    <w:rsid w:val="00BD28AF"/>
    <w:rsid w:val="00BD5B63"/>
    <w:rsid w:val="00BD7660"/>
    <w:rsid w:val="00BD7BD5"/>
    <w:rsid w:val="00BE02F1"/>
    <w:rsid w:val="00BE2602"/>
    <w:rsid w:val="00BE342E"/>
    <w:rsid w:val="00BE3DBC"/>
    <w:rsid w:val="00BE7914"/>
    <w:rsid w:val="00BE79D8"/>
    <w:rsid w:val="00BF577B"/>
    <w:rsid w:val="00C01D63"/>
    <w:rsid w:val="00C02C16"/>
    <w:rsid w:val="00C04FFB"/>
    <w:rsid w:val="00C06907"/>
    <w:rsid w:val="00C1039D"/>
    <w:rsid w:val="00C13719"/>
    <w:rsid w:val="00C14528"/>
    <w:rsid w:val="00C14941"/>
    <w:rsid w:val="00C1579C"/>
    <w:rsid w:val="00C2371A"/>
    <w:rsid w:val="00C23EAA"/>
    <w:rsid w:val="00C246F7"/>
    <w:rsid w:val="00C25086"/>
    <w:rsid w:val="00C257C4"/>
    <w:rsid w:val="00C277C6"/>
    <w:rsid w:val="00C27A19"/>
    <w:rsid w:val="00C3373A"/>
    <w:rsid w:val="00C33F4E"/>
    <w:rsid w:val="00C362A5"/>
    <w:rsid w:val="00C362CF"/>
    <w:rsid w:val="00C36FC8"/>
    <w:rsid w:val="00C43952"/>
    <w:rsid w:val="00C52460"/>
    <w:rsid w:val="00C55B63"/>
    <w:rsid w:val="00C6431A"/>
    <w:rsid w:val="00C66999"/>
    <w:rsid w:val="00C66CB8"/>
    <w:rsid w:val="00C67F61"/>
    <w:rsid w:val="00C72764"/>
    <w:rsid w:val="00C81FDF"/>
    <w:rsid w:val="00C828CC"/>
    <w:rsid w:val="00C83818"/>
    <w:rsid w:val="00C83BC5"/>
    <w:rsid w:val="00C83EEC"/>
    <w:rsid w:val="00C84CD8"/>
    <w:rsid w:val="00C86252"/>
    <w:rsid w:val="00C87143"/>
    <w:rsid w:val="00C90A65"/>
    <w:rsid w:val="00C92FCC"/>
    <w:rsid w:val="00C9335C"/>
    <w:rsid w:val="00C94E3B"/>
    <w:rsid w:val="00C95856"/>
    <w:rsid w:val="00C95F50"/>
    <w:rsid w:val="00C95FA9"/>
    <w:rsid w:val="00C971FE"/>
    <w:rsid w:val="00CA04AA"/>
    <w:rsid w:val="00CA1ACB"/>
    <w:rsid w:val="00CA251E"/>
    <w:rsid w:val="00CA3C9B"/>
    <w:rsid w:val="00CA3CD0"/>
    <w:rsid w:val="00CB0342"/>
    <w:rsid w:val="00CB29DA"/>
    <w:rsid w:val="00CB37EB"/>
    <w:rsid w:val="00CC1BA6"/>
    <w:rsid w:val="00CC22AB"/>
    <w:rsid w:val="00CC4AC6"/>
    <w:rsid w:val="00CC54F0"/>
    <w:rsid w:val="00CC75D9"/>
    <w:rsid w:val="00CC7647"/>
    <w:rsid w:val="00CD538C"/>
    <w:rsid w:val="00CF22D1"/>
    <w:rsid w:val="00CF3EDD"/>
    <w:rsid w:val="00D009EF"/>
    <w:rsid w:val="00D04D2E"/>
    <w:rsid w:val="00D058D1"/>
    <w:rsid w:val="00D10A31"/>
    <w:rsid w:val="00D13958"/>
    <w:rsid w:val="00D1611D"/>
    <w:rsid w:val="00D16AC3"/>
    <w:rsid w:val="00D23463"/>
    <w:rsid w:val="00D23ABF"/>
    <w:rsid w:val="00D27F55"/>
    <w:rsid w:val="00D32FD4"/>
    <w:rsid w:val="00D33058"/>
    <w:rsid w:val="00D336C7"/>
    <w:rsid w:val="00D36D08"/>
    <w:rsid w:val="00D37830"/>
    <w:rsid w:val="00D378A0"/>
    <w:rsid w:val="00D4346D"/>
    <w:rsid w:val="00D46087"/>
    <w:rsid w:val="00D4701C"/>
    <w:rsid w:val="00D50271"/>
    <w:rsid w:val="00D557FA"/>
    <w:rsid w:val="00D63C5B"/>
    <w:rsid w:val="00D642A3"/>
    <w:rsid w:val="00D66DEB"/>
    <w:rsid w:val="00D71D70"/>
    <w:rsid w:val="00D805DF"/>
    <w:rsid w:val="00D81A64"/>
    <w:rsid w:val="00D82629"/>
    <w:rsid w:val="00D9543B"/>
    <w:rsid w:val="00D95463"/>
    <w:rsid w:val="00D96181"/>
    <w:rsid w:val="00D96243"/>
    <w:rsid w:val="00D965B6"/>
    <w:rsid w:val="00D968C9"/>
    <w:rsid w:val="00D97A5B"/>
    <w:rsid w:val="00D97DEF"/>
    <w:rsid w:val="00DA0650"/>
    <w:rsid w:val="00DA2E8E"/>
    <w:rsid w:val="00DA41C8"/>
    <w:rsid w:val="00DA5F5B"/>
    <w:rsid w:val="00DA7EBC"/>
    <w:rsid w:val="00DA7FEA"/>
    <w:rsid w:val="00DB79C6"/>
    <w:rsid w:val="00DC09DE"/>
    <w:rsid w:val="00DC1207"/>
    <w:rsid w:val="00DC3179"/>
    <w:rsid w:val="00DD3C0D"/>
    <w:rsid w:val="00DD3C2C"/>
    <w:rsid w:val="00DD428E"/>
    <w:rsid w:val="00DD6D8A"/>
    <w:rsid w:val="00DD7104"/>
    <w:rsid w:val="00DD75CA"/>
    <w:rsid w:val="00DD7657"/>
    <w:rsid w:val="00DE2C43"/>
    <w:rsid w:val="00DE40A6"/>
    <w:rsid w:val="00DE509A"/>
    <w:rsid w:val="00DE583F"/>
    <w:rsid w:val="00DE5F43"/>
    <w:rsid w:val="00DF0D70"/>
    <w:rsid w:val="00DF2073"/>
    <w:rsid w:val="00DF2CEE"/>
    <w:rsid w:val="00DF4B1F"/>
    <w:rsid w:val="00DF763C"/>
    <w:rsid w:val="00DF7EF9"/>
    <w:rsid w:val="00E01B78"/>
    <w:rsid w:val="00E02FDA"/>
    <w:rsid w:val="00E03635"/>
    <w:rsid w:val="00E04168"/>
    <w:rsid w:val="00E0470E"/>
    <w:rsid w:val="00E04853"/>
    <w:rsid w:val="00E05B2C"/>
    <w:rsid w:val="00E1100F"/>
    <w:rsid w:val="00E11521"/>
    <w:rsid w:val="00E11F8D"/>
    <w:rsid w:val="00E12EAC"/>
    <w:rsid w:val="00E13468"/>
    <w:rsid w:val="00E14361"/>
    <w:rsid w:val="00E14B6F"/>
    <w:rsid w:val="00E16666"/>
    <w:rsid w:val="00E17122"/>
    <w:rsid w:val="00E22760"/>
    <w:rsid w:val="00E24F07"/>
    <w:rsid w:val="00E26663"/>
    <w:rsid w:val="00E26781"/>
    <w:rsid w:val="00E31CBD"/>
    <w:rsid w:val="00E3791C"/>
    <w:rsid w:val="00E402CC"/>
    <w:rsid w:val="00E42603"/>
    <w:rsid w:val="00E457FE"/>
    <w:rsid w:val="00E47042"/>
    <w:rsid w:val="00E511DF"/>
    <w:rsid w:val="00E514DA"/>
    <w:rsid w:val="00E61247"/>
    <w:rsid w:val="00E61B01"/>
    <w:rsid w:val="00E64138"/>
    <w:rsid w:val="00E6552B"/>
    <w:rsid w:val="00E6586D"/>
    <w:rsid w:val="00E66A04"/>
    <w:rsid w:val="00E74594"/>
    <w:rsid w:val="00E77777"/>
    <w:rsid w:val="00E80A97"/>
    <w:rsid w:val="00E8588C"/>
    <w:rsid w:val="00E85B4A"/>
    <w:rsid w:val="00E90472"/>
    <w:rsid w:val="00E93741"/>
    <w:rsid w:val="00E96C7D"/>
    <w:rsid w:val="00E97250"/>
    <w:rsid w:val="00EA01E4"/>
    <w:rsid w:val="00EA0844"/>
    <w:rsid w:val="00EA0DEF"/>
    <w:rsid w:val="00EA37EF"/>
    <w:rsid w:val="00EA49CF"/>
    <w:rsid w:val="00EA73DB"/>
    <w:rsid w:val="00EB017E"/>
    <w:rsid w:val="00EB0458"/>
    <w:rsid w:val="00EB2B6A"/>
    <w:rsid w:val="00EB3156"/>
    <w:rsid w:val="00EB3F40"/>
    <w:rsid w:val="00EB5CD8"/>
    <w:rsid w:val="00EB7CA4"/>
    <w:rsid w:val="00EC7A57"/>
    <w:rsid w:val="00ED090C"/>
    <w:rsid w:val="00ED13D2"/>
    <w:rsid w:val="00ED286A"/>
    <w:rsid w:val="00ED2ACE"/>
    <w:rsid w:val="00ED454E"/>
    <w:rsid w:val="00ED4EB0"/>
    <w:rsid w:val="00ED52C7"/>
    <w:rsid w:val="00ED5384"/>
    <w:rsid w:val="00ED5A32"/>
    <w:rsid w:val="00EE39B2"/>
    <w:rsid w:val="00EE59B0"/>
    <w:rsid w:val="00EF02D3"/>
    <w:rsid w:val="00EF0986"/>
    <w:rsid w:val="00EF17BD"/>
    <w:rsid w:val="00EF33D7"/>
    <w:rsid w:val="00EF553A"/>
    <w:rsid w:val="00F00C10"/>
    <w:rsid w:val="00F01BB1"/>
    <w:rsid w:val="00F05092"/>
    <w:rsid w:val="00F0538B"/>
    <w:rsid w:val="00F06F00"/>
    <w:rsid w:val="00F16162"/>
    <w:rsid w:val="00F17357"/>
    <w:rsid w:val="00F20BE0"/>
    <w:rsid w:val="00F21124"/>
    <w:rsid w:val="00F218F4"/>
    <w:rsid w:val="00F223D2"/>
    <w:rsid w:val="00F22A1A"/>
    <w:rsid w:val="00F262AD"/>
    <w:rsid w:val="00F30ECE"/>
    <w:rsid w:val="00F337A8"/>
    <w:rsid w:val="00F37775"/>
    <w:rsid w:val="00F37EAD"/>
    <w:rsid w:val="00F4013C"/>
    <w:rsid w:val="00F42A92"/>
    <w:rsid w:val="00F42B38"/>
    <w:rsid w:val="00F43FF8"/>
    <w:rsid w:val="00F441C6"/>
    <w:rsid w:val="00F44CCC"/>
    <w:rsid w:val="00F45260"/>
    <w:rsid w:val="00F45D00"/>
    <w:rsid w:val="00F47BE8"/>
    <w:rsid w:val="00F51D3D"/>
    <w:rsid w:val="00F521D0"/>
    <w:rsid w:val="00F52CDF"/>
    <w:rsid w:val="00F52DB6"/>
    <w:rsid w:val="00F53318"/>
    <w:rsid w:val="00F54477"/>
    <w:rsid w:val="00F56614"/>
    <w:rsid w:val="00F57F4A"/>
    <w:rsid w:val="00F605FC"/>
    <w:rsid w:val="00F63CBA"/>
    <w:rsid w:val="00F63ECC"/>
    <w:rsid w:val="00F64318"/>
    <w:rsid w:val="00F658D3"/>
    <w:rsid w:val="00F66B10"/>
    <w:rsid w:val="00F66BEB"/>
    <w:rsid w:val="00F70499"/>
    <w:rsid w:val="00F7182D"/>
    <w:rsid w:val="00F7404D"/>
    <w:rsid w:val="00F817C3"/>
    <w:rsid w:val="00F8332E"/>
    <w:rsid w:val="00F83625"/>
    <w:rsid w:val="00F83FF5"/>
    <w:rsid w:val="00F868FC"/>
    <w:rsid w:val="00F91E17"/>
    <w:rsid w:val="00F92551"/>
    <w:rsid w:val="00F92A33"/>
    <w:rsid w:val="00F92B07"/>
    <w:rsid w:val="00F9516D"/>
    <w:rsid w:val="00F95240"/>
    <w:rsid w:val="00F961DA"/>
    <w:rsid w:val="00FA303A"/>
    <w:rsid w:val="00FA34A0"/>
    <w:rsid w:val="00FA51A0"/>
    <w:rsid w:val="00FA5F7E"/>
    <w:rsid w:val="00FA79A7"/>
    <w:rsid w:val="00FB0FE4"/>
    <w:rsid w:val="00FB4A0C"/>
    <w:rsid w:val="00FB52B6"/>
    <w:rsid w:val="00FB5730"/>
    <w:rsid w:val="00FB7C6B"/>
    <w:rsid w:val="00FC12B6"/>
    <w:rsid w:val="00FC1A18"/>
    <w:rsid w:val="00FC1BD1"/>
    <w:rsid w:val="00FC31FD"/>
    <w:rsid w:val="00FC3D9B"/>
    <w:rsid w:val="00FC4F7F"/>
    <w:rsid w:val="00FC715E"/>
    <w:rsid w:val="00FD2CC6"/>
    <w:rsid w:val="00FD2D15"/>
    <w:rsid w:val="00FD46E7"/>
    <w:rsid w:val="00FD506F"/>
    <w:rsid w:val="00FD7928"/>
    <w:rsid w:val="00FD7A71"/>
    <w:rsid w:val="00FE0CFD"/>
    <w:rsid w:val="00FE104A"/>
    <w:rsid w:val="00FE17D3"/>
    <w:rsid w:val="00FE3EF0"/>
    <w:rsid w:val="00FE4031"/>
    <w:rsid w:val="00FE5376"/>
    <w:rsid w:val="00FF1B8A"/>
    <w:rsid w:val="00FF5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2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5C092B"/>
    <w:pPr>
      <w:keepNext/>
      <w:numPr>
        <w:numId w:val="48"/>
      </w:numPr>
      <w:spacing w:after="240"/>
      <w:ind w:left="720"/>
      <w:outlineLvl w:val="0"/>
    </w:pPr>
    <w:rPr>
      <w:rFonts w:ascii="Times New Roman Bold" w:hAnsi="Times New Roman Bold"/>
      <w:b/>
      <w:caps/>
      <w:szCs w:val="24"/>
    </w:rPr>
  </w:style>
  <w:style w:type="paragraph" w:styleId="Heading2">
    <w:name w:val="heading 2"/>
    <w:basedOn w:val="Normal"/>
    <w:next w:val="Normal"/>
    <w:link w:val="Heading2Char"/>
    <w:autoRedefine/>
    <w:qFormat/>
    <w:rsid w:val="004E61CF"/>
    <w:pPr>
      <w:keepNext/>
      <w:keepLines/>
      <w:spacing w:after="240"/>
      <w:ind w:left="1440" w:hanging="720"/>
      <w:outlineLvl w:val="1"/>
    </w:pPr>
    <w:rPr>
      <w:rFonts w:ascii="Times New Roman Bold" w:hAnsi="Times New Roman Bold"/>
      <w:b/>
      <w:szCs w:val="24"/>
    </w:rPr>
  </w:style>
  <w:style w:type="paragraph" w:styleId="Heading3">
    <w:name w:val="heading 3"/>
    <w:basedOn w:val="Normal"/>
    <w:next w:val="Normal"/>
    <w:link w:val="Heading3Char"/>
    <w:autoRedefine/>
    <w:uiPriority w:val="9"/>
    <w:unhideWhenUsed/>
    <w:qFormat/>
    <w:rsid w:val="00B83BDD"/>
    <w:pPr>
      <w:keepNext/>
      <w:keepLines/>
      <w:spacing w:after="240"/>
      <w:ind w:left="2160" w:hanging="720"/>
      <w:outlineLvl w:val="2"/>
    </w:pPr>
    <w:rPr>
      <w:rFonts w:ascii="Times New Roman Bold" w:hAnsi="Times New Roman Bold" w:eastAsiaTheme="majorEastAsia" w:cstheme="majorBidi"/>
      <w:b/>
      <w:bCs/>
    </w:rPr>
  </w:style>
  <w:style w:type="paragraph" w:styleId="Heading4">
    <w:name w:val="heading 4"/>
    <w:basedOn w:val="Normal"/>
    <w:next w:val="Normal"/>
    <w:link w:val="Heading4Char"/>
    <w:uiPriority w:val="9"/>
    <w:unhideWhenUsed/>
    <w:qFormat/>
    <w:rsid w:val="0060669B"/>
    <w:pPr>
      <w:keepNext/>
      <w:keepLines/>
      <w:spacing w:after="240"/>
      <w:ind w:left="2880" w:hanging="720"/>
      <w:outlineLvl w:val="3"/>
    </w:pPr>
    <w:rPr>
      <w:rFonts w:ascii="Times New Roman Bold" w:hAnsi="Times New Roman Bold"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92B"/>
    <w:rPr>
      <w:rFonts w:ascii="Times New Roman Bold" w:eastAsia="Times New Roman" w:hAnsi="Times New Roman Bold" w:cs="Times New Roman"/>
      <w:b/>
      <w:caps/>
      <w:sz w:val="24"/>
      <w:szCs w:val="24"/>
    </w:rPr>
  </w:style>
  <w:style w:type="character" w:customStyle="1" w:styleId="Heading2Char">
    <w:name w:val="Heading 2 Char"/>
    <w:basedOn w:val="DefaultParagraphFont"/>
    <w:link w:val="Heading2"/>
    <w:rsid w:val="004E61CF"/>
    <w:rPr>
      <w:rFonts w:ascii="Times New Roman Bold" w:eastAsia="Times New Roman" w:hAnsi="Times New Roman Bold" w:cs="Times New Roman"/>
      <w:b/>
      <w:sz w:val="24"/>
      <w:szCs w:val="24"/>
    </w:rPr>
  </w:style>
  <w:style w:type="paragraph" w:styleId="ListParagraph">
    <w:name w:val="List Paragraph"/>
    <w:basedOn w:val="Normal"/>
    <w:uiPriority w:val="34"/>
    <w:qFormat/>
    <w:rsid w:val="004776F7"/>
    <w:pPr>
      <w:ind w:left="720"/>
      <w:contextualSpacing/>
    </w:p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rsid w:val="004776F7"/>
    <w:rPr>
      <w:sz w:val="20"/>
    </w:rPr>
  </w:style>
  <w:style w:type="character" w:customStyle="1" w:styleId="FootnoteTextChar">
    <w:name w:val="Footnote Text Char"/>
    <w:aliases w:val="Footnote Text Cha Char,Footnote Text Char Char4 Char Char1,Footnote Text Char Char4 Char1 Char Char Char1,Footnote Text Char2 Char,Footnote Text Char4 Char Char1,Footnote Text Char4 Char1 Char Char Char1"/>
    <w:basedOn w:val="DefaultParagraphFont"/>
    <w:link w:val="FootnoteText"/>
    <w:uiPriority w:val="99"/>
    <w:semiHidden/>
    <w:rsid w:val="004776F7"/>
    <w:rPr>
      <w:rFonts w:ascii="Times New Roman" w:eastAsia="Times New Roman" w:hAnsi="Times New Roman" w:cs="Times New Roman"/>
      <w:sz w:val="20"/>
      <w:szCs w:val="20"/>
    </w:rPr>
  </w:style>
  <w:style w:type="character" w:styleId="FootnoteReference">
    <w:name w:val="footnote reference"/>
    <w:aliases w:val="o"/>
    <w:rsid w:val="004776F7"/>
    <w:rPr>
      <w:vertAlign w:val="superscript"/>
    </w:rPr>
  </w:style>
  <w:style w:type="paragraph" w:styleId="HTMLPreformatted">
    <w:name w:val="HTML Preformatted"/>
    <w:aliases w:val=" Char,Char"/>
    <w:basedOn w:val="Normal"/>
    <w:link w:val="HTMLPreformattedChar"/>
    <w:rsid w:val="00477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aliases w:val=" Char Char,Char Char"/>
    <w:basedOn w:val="DefaultParagraphFont"/>
    <w:link w:val="HTMLPreformatted"/>
    <w:rsid w:val="004776F7"/>
    <w:rPr>
      <w:rFonts w:ascii="Courier New" w:eastAsia="Courier New" w:hAnsi="Courier New" w:cs="Courier New"/>
      <w:sz w:val="20"/>
      <w:szCs w:val="20"/>
    </w:rPr>
  </w:style>
  <w:style w:type="character" w:styleId="Hyperlink">
    <w:name w:val="Hyperlink"/>
    <w:uiPriority w:val="99"/>
    <w:rsid w:val="004776F7"/>
    <w:rPr>
      <w:color w:val="0000FF"/>
      <w:u w:val="single"/>
    </w:rPr>
  </w:style>
  <w:style w:type="paragraph" w:styleId="Footer">
    <w:name w:val="footer"/>
    <w:basedOn w:val="Normal"/>
    <w:link w:val="FooterChar"/>
    <w:uiPriority w:val="99"/>
    <w:rsid w:val="004776F7"/>
    <w:pPr>
      <w:tabs>
        <w:tab w:val="center" w:pos="4320"/>
        <w:tab w:val="right" w:pos="8640"/>
      </w:tabs>
    </w:pPr>
    <w:rPr>
      <w:rFonts w:ascii="Arial" w:hAnsi="Arial" w:cs="Arial"/>
      <w:szCs w:val="24"/>
    </w:rPr>
  </w:style>
  <w:style w:type="character" w:customStyle="1" w:styleId="FooterChar">
    <w:name w:val="Footer Char"/>
    <w:basedOn w:val="DefaultParagraphFont"/>
    <w:link w:val="Footer"/>
    <w:uiPriority w:val="99"/>
    <w:rsid w:val="004776F7"/>
    <w:rPr>
      <w:rFonts w:ascii="Arial" w:eastAsia="Times New Roman" w:hAnsi="Arial" w:cs="Arial"/>
      <w:sz w:val="24"/>
      <w:szCs w:val="24"/>
    </w:rPr>
  </w:style>
  <w:style w:type="paragraph" w:styleId="EndnoteText">
    <w:name w:val="endnote text"/>
    <w:basedOn w:val="Normal"/>
    <w:link w:val="EndnoteTextChar"/>
    <w:semiHidden/>
    <w:rsid w:val="004776F7"/>
    <w:pPr>
      <w:widowControl w:val="0"/>
    </w:pPr>
    <w:rPr>
      <w:rFonts w:ascii="Courier New" w:hAnsi="Courier New"/>
      <w:snapToGrid w:val="0"/>
    </w:rPr>
  </w:style>
  <w:style w:type="character" w:customStyle="1" w:styleId="EndnoteTextChar">
    <w:name w:val="Endnote Text Char"/>
    <w:basedOn w:val="DefaultParagraphFont"/>
    <w:link w:val="EndnoteText"/>
    <w:semiHidden/>
    <w:rsid w:val="004776F7"/>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4776F7"/>
    <w:rPr>
      <w:sz w:val="16"/>
      <w:szCs w:val="16"/>
    </w:rPr>
  </w:style>
  <w:style w:type="paragraph" w:styleId="CommentText">
    <w:name w:val="annotation text"/>
    <w:basedOn w:val="Normal"/>
    <w:link w:val="CommentTextChar"/>
    <w:unhideWhenUsed/>
    <w:rsid w:val="004776F7"/>
    <w:rPr>
      <w:sz w:val="20"/>
    </w:rPr>
  </w:style>
  <w:style w:type="character" w:customStyle="1" w:styleId="CommentTextChar">
    <w:name w:val="Comment Text Char"/>
    <w:basedOn w:val="DefaultParagraphFont"/>
    <w:link w:val="CommentText"/>
    <w:rsid w:val="004776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76F7"/>
    <w:rPr>
      <w:b/>
      <w:bCs/>
    </w:rPr>
  </w:style>
  <w:style w:type="character" w:customStyle="1" w:styleId="CommentSubjectChar">
    <w:name w:val="Comment Subject Char"/>
    <w:basedOn w:val="CommentTextChar"/>
    <w:link w:val="CommentSubject"/>
    <w:uiPriority w:val="99"/>
    <w:semiHidden/>
    <w:rsid w:val="004776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76F7"/>
    <w:rPr>
      <w:rFonts w:ascii="Tahoma" w:hAnsi="Tahoma" w:cs="Tahoma"/>
      <w:sz w:val="16"/>
      <w:szCs w:val="16"/>
    </w:rPr>
  </w:style>
  <w:style w:type="character" w:customStyle="1" w:styleId="BalloonTextChar">
    <w:name w:val="Balloon Text Char"/>
    <w:basedOn w:val="DefaultParagraphFont"/>
    <w:link w:val="BalloonText"/>
    <w:uiPriority w:val="99"/>
    <w:semiHidden/>
    <w:rsid w:val="004776F7"/>
    <w:rPr>
      <w:rFonts w:ascii="Tahoma" w:eastAsia="Times New Roman" w:hAnsi="Tahoma" w:cs="Tahoma"/>
      <w:sz w:val="16"/>
      <w:szCs w:val="16"/>
    </w:rPr>
  </w:style>
  <w:style w:type="paragraph" w:styleId="Revision">
    <w:name w:val="Revision"/>
    <w:hidden/>
    <w:uiPriority w:val="99"/>
    <w:semiHidden/>
    <w:rsid w:val="007D5CB6"/>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B83BDD"/>
    <w:rPr>
      <w:rFonts w:ascii="Times New Roman Bold" w:hAnsi="Times New Roman Bold" w:eastAsiaTheme="majorEastAsia" w:cstheme="majorBidi"/>
      <w:b/>
      <w:bCs/>
      <w:sz w:val="24"/>
      <w:szCs w:val="20"/>
    </w:rPr>
  </w:style>
  <w:style w:type="paragraph" w:styleId="Header">
    <w:name w:val="header"/>
    <w:basedOn w:val="Normal"/>
    <w:link w:val="HeaderChar"/>
    <w:uiPriority w:val="99"/>
    <w:unhideWhenUsed/>
    <w:rsid w:val="00202C5F"/>
    <w:pPr>
      <w:tabs>
        <w:tab w:val="center" w:pos="4680"/>
        <w:tab w:val="right" w:pos="9360"/>
      </w:tabs>
    </w:pPr>
  </w:style>
  <w:style w:type="paragraph" w:styleId="TOC1">
    <w:name w:val="toc 1"/>
    <w:basedOn w:val="Normal"/>
    <w:next w:val="Normal"/>
    <w:autoRedefine/>
    <w:uiPriority w:val="39"/>
    <w:unhideWhenUsed/>
    <w:qFormat/>
    <w:rsid w:val="004A6DFB"/>
    <w:pPr>
      <w:tabs>
        <w:tab w:val="decimal" w:leader="dot" w:pos="9360"/>
      </w:tabs>
      <w:spacing w:after="240"/>
      <w:ind w:left="720" w:hanging="720"/>
    </w:pPr>
    <w:rPr>
      <w:caps/>
      <w:noProof/>
    </w:rPr>
  </w:style>
  <w:style w:type="paragraph" w:styleId="TOC2">
    <w:name w:val="toc 2"/>
    <w:basedOn w:val="Normal"/>
    <w:next w:val="Normal"/>
    <w:autoRedefine/>
    <w:uiPriority w:val="39"/>
    <w:unhideWhenUsed/>
    <w:qFormat/>
    <w:rsid w:val="004A6DFB"/>
    <w:pPr>
      <w:tabs>
        <w:tab w:val="decimal" w:leader="dot" w:pos="9360"/>
      </w:tabs>
      <w:spacing w:after="240"/>
      <w:ind w:left="1440" w:hanging="720"/>
    </w:pPr>
  </w:style>
  <w:style w:type="character" w:customStyle="1" w:styleId="HeaderChar">
    <w:name w:val="Header Char"/>
    <w:basedOn w:val="DefaultParagraphFont"/>
    <w:link w:val="Header"/>
    <w:uiPriority w:val="99"/>
    <w:rsid w:val="00202C5F"/>
    <w:rPr>
      <w:rFonts w:ascii="Times New Roman" w:eastAsia="Times New Roman" w:hAnsi="Times New Roman" w:cs="Times New Roman"/>
      <w:sz w:val="24"/>
      <w:szCs w:val="20"/>
    </w:rPr>
  </w:style>
  <w:style w:type="table" w:styleId="TableGrid">
    <w:name w:val="Table Grid"/>
    <w:basedOn w:val="TableNormal"/>
    <w:rsid w:val="00565A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65ACF"/>
    <w:pPr>
      <w:tabs>
        <w:tab w:val="left" w:pos="-720"/>
      </w:tabs>
      <w:suppressAutoHyphens/>
      <w:spacing w:line="480" w:lineRule="auto"/>
      <w:jc w:val="both"/>
    </w:pPr>
    <w:rPr>
      <w:szCs w:val="24"/>
    </w:rPr>
  </w:style>
  <w:style w:type="character" w:customStyle="1" w:styleId="BodyTextChar">
    <w:name w:val="Body Text Char"/>
    <w:basedOn w:val="DefaultParagraphFont"/>
    <w:link w:val="BodyText"/>
    <w:uiPriority w:val="99"/>
    <w:rsid w:val="00565AC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84427E"/>
    <w:rPr>
      <w:color w:val="605E5C"/>
      <w:shd w:val="clear" w:color="auto" w:fill="E1DFDD"/>
    </w:rPr>
  </w:style>
  <w:style w:type="paragraph" w:styleId="BodyTextIndent3">
    <w:name w:val="Body Text Indent 3"/>
    <w:basedOn w:val="Normal"/>
    <w:link w:val="BodyTextIndent3Char"/>
    <w:uiPriority w:val="99"/>
    <w:semiHidden/>
    <w:unhideWhenUsed/>
    <w:rsid w:val="00115A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5AF7"/>
    <w:rPr>
      <w:rFonts w:ascii="Times New Roman" w:eastAsia="Times New Roman" w:hAnsi="Times New Roman" w:cs="Times New Roman"/>
      <w:sz w:val="16"/>
      <w:szCs w:val="16"/>
    </w:rPr>
  </w:style>
  <w:style w:type="character" w:customStyle="1" w:styleId="FootnoteTextChar1">
    <w:name w:val="Footnote Text Char1"/>
    <w:aliases w:val="Footnote Text Char Char,Footnote Text Char Char4 Char Char,Footnote Text Char Char4 Char1 Char Char Char,Footnote Text Char4 Char Char,Footnote Text Char4 Char1 Char Char Char,Footnote Text Char5 Char1 Char Char Char Char Char Char"/>
    <w:locked/>
    <w:rsid w:val="007750BB"/>
    <w:rPr>
      <w:lang w:val="en-US" w:eastAsia="en-US" w:bidi="ar-SA"/>
    </w:rPr>
  </w:style>
  <w:style w:type="character" w:customStyle="1" w:styleId="Heading4Char">
    <w:name w:val="Heading 4 Char"/>
    <w:basedOn w:val="DefaultParagraphFont"/>
    <w:link w:val="Heading4"/>
    <w:uiPriority w:val="9"/>
    <w:rsid w:val="0060669B"/>
    <w:rPr>
      <w:rFonts w:ascii="Times New Roman Bold" w:hAnsi="Times New Roman Bold" w:eastAsiaTheme="majorEastAsia" w:cstheme="majorBidi"/>
      <w:b/>
      <w:iCs/>
      <w:sz w:val="24"/>
      <w:szCs w:val="20"/>
    </w:rPr>
  </w:style>
  <w:style w:type="paragraph" w:styleId="TOC3">
    <w:name w:val="toc 3"/>
    <w:basedOn w:val="Normal"/>
    <w:next w:val="Normal"/>
    <w:autoRedefine/>
    <w:uiPriority w:val="39"/>
    <w:unhideWhenUsed/>
    <w:rsid w:val="004A6DFB"/>
    <w:pPr>
      <w:tabs>
        <w:tab w:val="decimal" w:leader="dot" w:pos="9360"/>
      </w:tabs>
      <w:spacing w:after="240"/>
      <w:ind w:left="2160" w:hanging="720"/>
    </w:pPr>
  </w:style>
  <w:style w:type="paragraph" w:styleId="TOC4">
    <w:name w:val="toc 4"/>
    <w:basedOn w:val="Normal"/>
    <w:next w:val="Normal"/>
    <w:autoRedefine/>
    <w:uiPriority w:val="39"/>
    <w:unhideWhenUsed/>
    <w:rsid w:val="00E26781"/>
    <w:pPr>
      <w:tabs>
        <w:tab w:val="left" w:pos="720"/>
        <w:tab w:val="left" w:pos="2880"/>
        <w:tab w:val="decimal" w:leader="dot" w:pos="9360"/>
      </w:tabs>
      <w:spacing w:after="240"/>
      <w:ind w:left="2880" w:hanging="720"/>
    </w:pPr>
  </w:style>
  <w:style w:type="character" w:customStyle="1" w:styleId="UnresolvedMention2">
    <w:name w:val="Unresolved Mention2"/>
    <w:basedOn w:val="DefaultParagraphFont"/>
    <w:uiPriority w:val="99"/>
    <w:semiHidden/>
    <w:unhideWhenUsed/>
    <w:rsid w:val="00510E24"/>
    <w:rPr>
      <w:color w:val="605E5C"/>
      <w:shd w:val="clear" w:color="auto" w:fill="E1DFDD"/>
    </w:rPr>
  </w:style>
  <w:style w:type="character" w:customStyle="1" w:styleId="UnresolvedMention3">
    <w:name w:val="Unresolved Mention3"/>
    <w:basedOn w:val="DefaultParagraphFont"/>
    <w:uiPriority w:val="99"/>
    <w:rsid w:val="00D1611D"/>
    <w:rPr>
      <w:color w:val="605E5C"/>
      <w:shd w:val="clear" w:color="auto" w:fill="E1DFDD"/>
    </w:rPr>
  </w:style>
  <w:style w:type="character" w:customStyle="1" w:styleId="sssh">
    <w:name w:val="ss_sh"/>
    <w:basedOn w:val="DefaultParagraphFont"/>
    <w:rsid w:val="00C362A5"/>
  </w:style>
  <w:style w:type="paragraph" w:styleId="NoSpacing">
    <w:name w:val="No Spacing"/>
    <w:uiPriority w:val="1"/>
    <w:qFormat/>
    <w:rsid w:val="00441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ailto:werner.margard@ohioAGO.gov" TargetMode="External" /><Relationship Id="rId13" Type="http://schemas.openxmlformats.org/officeDocument/2006/relationships/hyperlink" Target="mailto:Robert.eubanks@ohioAGO.gov" TargetMode="External" /><Relationship Id="rId14" Type="http://schemas.openxmlformats.org/officeDocument/2006/relationships/hyperlink" Target="mailto:Jodi.bair@ohioAGO.gov" TargetMode="External" /><Relationship Id="rId15" Type="http://schemas.openxmlformats.org/officeDocument/2006/relationships/hyperlink" Target="mailto:Kyle.kern@ohioAGO.gov" TargetMode="External" /><Relationship Id="rId16" Type="http://schemas.openxmlformats.org/officeDocument/2006/relationships/hyperlink" Target="mailto:John.jones@ohioAGO.gov" TargetMode="External" /><Relationship Id="rId17" Type="http://schemas.openxmlformats.org/officeDocument/2006/relationships/hyperlink" Target="mailto:dboehm@BKLlawfirm.com" TargetMode="External" /><Relationship Id="rId18" Type="http://schemas.openxmlformats.org/officeDocument/2006/relationships/hyperlink" Target="mailto:mkurtz@BKLlawfirm.com" TargetMode="External" /><Relationship Id="rId19" Type="http://schemas.openxmlformats.org/officeDocument/2006/relationships/hyperlink" Target="mailto:jkylercohn@BKLlawfirm.com" TargetMode="External" /><Relationship Id="rId2" Type="http://schemas.openxmlformats.org/officeDocument/2006/relationships/settings" Target="settings.xml" /><Relationship Id="rId20" Type="http://schemas.openxmlformats.org/officeDocument/2006/relationships/hyperlink" Target="mailto:Megan.addison@puco.ohio.gov" TargetMode="External" /><Relationship Id="rId21" Type="http://schemas.openxmlformats.org/officeDocument/2006/relationships/hyperlink" Target="mailto:Matthew.sandor@puco.ohio.gov" TargetMode="External" /><Relationship Id="rId22" Type="http://schemas.openxmlformats.org/officeDocument/2006/relationships/hyperlink" Target="mailto:Nicholas.walstra@puco.ohio.gov" TargetMode="External" /><Relationship Id="rId23" Type="http://schemas.openxmlformats.org/officeDocument/2006/relationships/hyperlink" Target="mailto:Rocco.dascenzo@duke-energy.com" TargetMode="External" /><Relationship Id="rId24" Type="http://schemas.openxmlformats.org/officeDocument/2006/relationships/hyperlink" Target="mailto:Jeanne.kingery@duke-energy.com" TargetMode="External" /><Relationship Id="rId25" Type="http://schemas.openxmlformats.org/officeDocument/2006/relationships/hyperlink" Target="mailto:Larisa.vaysman@duke-energy.com" TargetMode="External" /><Relationship Id="rId26" Type="http://schemas.openxmlformats.org/officeDocument/2006/relationships/hyperlink" Target="mailto:kmcmurray@fbtlaw.com" TargetMode="External" /><Relationship Id="rId27" Type="http://schemas.openxmlformats.org/officeDocument/2006/relationships/hyperlink" Target="mailto:Paul@carpenterlipps.com" TargetMode="External" /><Relationship Id="rId28" Type="http://schemas.openxmlformats.org/officeDocument/2006/relationships/hyperlink" Target="mailto:bojko@carpenterlipps.com" TargetMode="External" /><Relationship Id="rId29" Type="http://schemas.openxmlformats.org/officeDocument/2006/relationships/hyperlink" Target="mailto:michael.nugent@igs.com" TargetMode="External" /><Relationship Id="rId3" Type="http://schemas.openxmlformats.org/officeDocument/2006/relationships/webSettings" Target="webSettings.xml" /><Relationship Id="rId30" Type="http://schemas.openxmlformats.org/officeDocument/2006/relationships/hyperlink" Target="mailto:bethany.allen@igs.com" TargetMode="External" /><Relationship Id="rId31" Type="http://schemas.openxmlformats.org/officeDocument/2006/relationships/hyperlink" Target="mailto:evan.betterton@igs.com" TargetMode="External" /><Relationship Id="rId32" Type="http://schemas.openxmlformats.org/officeDocument/2006/relationships/header" Target="header1.xml" /><Relationship Id="rId33" Type="http://schemas.openxmlformats.org/officeDocument/2006/relationships/footer" Target="footer4.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ngela.obrien@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plus.lexis.com/api/document/collection/cases/id/3W38-4510-0039-44SH-00000-00?cite=85%20Ohio%20St.%203d%2087&amp;context=153067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6F9B-71F6-422A-876C-784C7A32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2022-05-31T15:16:37Z</dcterms:created>
  <dcterms:modified xsi:type="dcterms:W3CDTF">2022-05-31T15:16:37Z</dcterms:modified>
</cp:coreProperties>
</file>