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C1D4" w14:textId="77777777"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14:paraId="2B089CC3" w14:textId="77777777"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14:paraId="0472A7E8" w14:textId="77777777"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14:paraId="40E6FABB" w14:textId="77777777"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289"/>
        <w:gridCol w:w="4482"/>
      </w:tblGrid>
      <w:tr w:rsidR="00663D6A" w14:paraId="7C90ED83" w14:textId="77777777" w:rsidTr="00221496">
        <w:tc>
          <w:tcPr>
            <w:tcW w:w="4698" w:type="dxa"/>
          </w:tcPr>
          <w:p w14:paraId="782DA75B" w14:textId="77777777" w:rsidR="001A5C2F" w:rsidRPr="00221496" w:rsidRDefault="00663D6A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C238ED">
              <w:rPr>
                <w:rFonts w:ascii="Times New Roman" w:hAnsi="Times New Roman"/>
                <w:sz w:val="26"/>
                <w:szCs w:val="26"/>
              </w:rPr>
              <w:t xml:space="preserve"> the Application of Duke Energy Ohio, Inc., for Tariff Approval Regarding Customer Energy Usage Data.</w:t>
            </w:r>
          </w:p>
        </w:tc>
        <w:tc>
          <w:tcPr>
            <w:tcW w:w="270" w:type="dxa"/>
          </w:tcPr>
          <w:p w14:paraId="0A7A3C95" w14:textId="77777777"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E72D09C" w14:textId="77777777"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5B9B827" w14:textId="77777777" w:rsidR="001A5C2F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14:paraId="20DA94F3" w14:textId="77777777"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C238ED">
              <w:rPr>
                <w:rFonts w:ascii="Times New Roman" w:hAnsi="Times New Roman"/>
                <w:sz w:val="26"/>
                <w:szCs w:val="26"/>
              </w:rPr>
              <w:t>14-2209-EL-ATA</w:t>
            </w:r>
          </w:p>
        </w:tc>
      </w:tr>
    </w:tbl>
    <w:p w14:paraId="5EF4C67B" w14:textId="77777777"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14:paraId="4CFBC33D" w14:textId="77777777" w:rsidR="00C238ED" w:rsidRDefault="00C238ED" w:rsidP="00C238ED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  <w:bookmarkStart w:id="0" w:name="_Toc260212957"/>
    </w:p>
    <w:p w14:paraId="717DC8EF" w14:textId="77777777" w:rsidR="00C238ED" w:rsidRDefault="00C238ED" w:rsidP="00C238ED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14:paraId="0192677F" w14:textId="77777777" w:rsidR="00C238ED" w:rsidRPr="00E10679" w:rsidRDefault="00C238ED" w:rsidP="00C238ED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COMMENTS</w:t>
      </w:r>
    </w:p>
    <w:p w14:paraId="6899318D" w14:textId="77777777" w:rsidR="00C238ED" w:rsidRPr="00C238ED" w:rsidRDefault="00C238ED" w:rsidP="00C238ED">
      <w:pPr>
        <w:jc w:val="center"/>
        <w:rPr>
          <w:b/>
          <w:sz w:val="28"/>
          <w:szCs w:val="28"/>
        </w:rPr>
      </w:pPr>
      <w:r w:rsidRPr="00C238ED">
        <w:rPr>
          <w:b/>
          <w:sz w:val="28"/>
          <w:szCs w:val="28"/>
        </w:rPr>
        <w:t>SUBMITTED ON BEHALF OF THE STAFF OF</w:t>
      </w:r>
    </w:p>
    <w:p w14:paraId="580ED3D3" w14:textId="77777777" w:rsidR="00C238ED" w:rsidRPr="00C238ED" w:rsidRDefault="00C238ED" w:rsidP="00C238ED">
      <w:pPr>
        <w:jc w:val="center"/>
        <w:rPr>
          <w:b/>
          <w:sz w:val="28"/>
          <w:szCs w:val="28"/>
        </w:rPr>
      </w:pPr>
      <w:r w:rsidRPr="00C238ED">
        <w:rPr>
          <w:b/>
          <w:sz w:val="28"/>
          <w:szCs w:val="28"/>
        </w:rPr>
        <w:t>THE PUBLIC UTILITIES COMMISSION OF OHIO</w:t>
      </w:r>
    </w:p>
    <w:p w14:paraId="4BE136A5" w14:textId="77777777" w:rsidR="00C238ED" w:rsidRDefault="00C238ED" w:rsidP="00C238ED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bookmarkEnd w:id="0"/>
    <w:p w14:paraId="19FA2E7C" w14:textId="09B05036" w:rsidR="006A3730" w:rsidRDefault="00364EF5" w:rsidP="00364EF5">
      <w:pPr>
        <w:pStyle w:val="Heading1"/>
      </w:pPr>
      <w:r>
        <w:lastRenderedPageBreak/>
        <w:t>INTRODUCTION AND BACKGROUND</w:t>
      </w:r>
    </w:p>
    <w:p w14:paraId="4686680E" w14:textId="75CD7521" w:rsidR="006B3FDB" w:rsidRDefault="00364EF5" w:rsidP="00364EF5">
      <w:pPr>
        <w:pStyle w:val="Textstyle"/>
      </w:pPr>
      <w:r>
        <w:tab/>
      </w:r>
      <w:r w:rsidR="006B3FDB">
        <w:t>In Case No. 11-3549-EL-SSO Duke Energy Ohio</w:t>
      </w:r>
      <w:r w:rsidR="00F11466">
        <w:t>, Inc.</w:t>
      </w:r>
      <w:r w:rsidR="006B3FDB">
        <w:t xml:space="preserve"> (the Company or Duke) entered into a stipulation in which the Company agreed to work with </w:t>
      </w:r>
      <w:r w:rsidR="00BA31A5">
        <w:t>competitive retail electric service (</w:t>
      </w:r>
      <w:r w:rsidR="006B3FDB">
        <w:t>CRES</w:t>
      </w:r>
      <w:r w:rsidR="00BA31A5">
        <w:t>)</w:t>
      </w:r>
      <w:r w:rsidR="006B3FDB">
        <w:t xml:space="preserve"> providers to develop a sup</w:t>
      </w:r>
      <w:r w:rsidR="006B3FDB">
        <w:softHyphen/>
        <w:t>plier web portal that would provide access to 24 months of interval data no later than June 1, 2014.</w:t>
      </w:r>
      <w:r w:rsidR="003E46E8" w:rsidRPr="003E46E8">
        <w:rPr>
          <w:rStyle w:val="FootnoteReference"/>
        </w:rPr>
        <w:t xml:space="preserve"> </w:t>
      </w:r>
      <w:r w:rsidR="003E46E8">
        <w:rPr>
          <w:rStyle w:val="FootnoteReference"/>
        </w:rPr>
        <w:footnoteReference w:id="1"/>
      </w:r>
      <w:r w:rsidR="00987588">
        <w:t xml:space="preserve">  The development was</w:t>
      </w:r>
      <w:r w:rsidR="006B3FDB">
        <w:t xml:space="preserve"> </w:t>
      </w:r>
      <w:r w:rsidR="003E46E8">
        <w:t>“</w:t>
      </w:r>
      <w:r w:rsidR="006B3FDB" w:rsidRPr="00040900">
        <w:t xml:space="preserve">subject to appropriate limitations reflecting legally mandated customer privacy issues, including compliance with protections addressed in the Ohio Administrative Code and specifically including but not limited to </w:t>
      </w:r>
      <w:r w:rsidR="006B3FDB" w:rsidRPr="00040900">
        <w:lastRenderedPageBreak/>
        <w:t>Rules 4901:1-10-29, 4901:1-10-24, O.A.C., and any successors to such Rules</w:t>
      </w:r>
      <w:r w:rsidR="003E46E8">
        <w:t>.”</w:t>
      </w:r>
      <w:r w:rsidR="003E46E8">
        <w:rPr>
          <w:rStyle w:val="FootnoteReference"/>
        </w:rPr>
        <w:footnoteReference w:id="2"/>
      </w:r>
      <w:r w:rsidR="006B3FDB">
        <w:t xml:space="preserve"> </w:t>
      </w:r>
      <w:r>
        <w:t xml:space="preserve"> </w:t>
      </w:r>
      <w:r w:rsidR="006B3FDB">
        <w:t>The Company was granted recovery of the actual costs to develop the supplier web portal, up to $500,000, on a non-bypassable basis</w:t>
      </w:r>
      <w:r w:rsidR="00116E50">
        <w:t>.</w:t>
      </w:r>
    </w:p>
    <w:p w14:paraId="42128121" w14:textId="7062C137" w:rsidR="007C18ED" w:rsidRDefault="006B3FDB" w:rsidP="00364EF5">
      <w:pPr>
        <w:pStyle w:val="Textstyle"/>
      </w:pPr>
      <w:r>
        <w:tab/>
      </w:r>
      <w:r w:rsidR="00567938" w:rsidRPr="00904E5A">
        <w:t xml:space="preserve">In Case No. 10-2326-GE-RDR, </w:t>
      </w:r>
      <w:r w:rsidR="00BA31A5" w:rsidRPr="00904E5A">
        <w:t>Duke</w:t>
      </w:r>
      <w:r w:rsidR="00567938" w:rsidRPr="00904E5A">
        <w:t xml:space="preserve"> entered into a stipulation in which the Com</w:t>
      </w:r>
      <w:r w:rsidR="00B95EB6">
        <w:softHyphen/>
      </w:r>
      <w:r w:rsidR="00567938" w:rsidRPr="00904E5A">
        <w:t>pany agreed to provide</w:t>
      </w:r>
      <w:r w:rsidR="00EF46D7" w:rsidRPr="00904E5A">
        <w:t xml:space="preserve"> the functionality to</w:t>
      </w:r>
      <w:r w:rsidR="003E46E8">
        <w:t xml:space="preserve"> “</w:t>
      </w:r>
      <w:r w:rsidR="00987A99" w:rsidRPr="00904E5A">
        <w:t xml:space="preserve">offer CRES </w:t>
      </w:r>
      <w:proofErr w:type="gramStart"/>
      <w:r w:rsidR="00987A99" w:rsidRPr="00904E5A">
        <w:t>customers</w:t>
      </w:r>
      <w:proofErr w:type="gramEnd"/>
      <w:r w:rsidR="00987A99" w:rsidRPr="00904E5A">
        <w:t xml:space="preserve"> time differentiated rates consistent with its existing supplier ta</w:t>
      </w:r>
      <w:r w:rsidR="003E46E8">
        <w:t>riff beginning January 1, 2013.”</w:t>
      </w:r>
      <w:r w:rsidR="003E46E8" w:rsidRPr="00904E5A">
        <w:rPr>
          <w:rStyle w:val="FootnoteReference"/>
        </w:rPr>
        <w:footnoteReference w:id="3"/>
      </w:r>
      <w:r w:rsidR="00987A99" w:rsidRPr="00904E5A">
        <w:t xml:space="preserve">  </w:t>
      </w:r>
      <w:r w:rsidR="003C4AC4" w:rsidRPr="00904E5A">
        <w:t>Addition</w:t>
      </w:r>
      <w:r w:rsidR="00B95EB6">
        <w:softHyphen/>
      </w:r>
      <w:r w:rsidR="003C4AC4" w:rsidRPr="00904E5A">
        <w:t>ally</w:t>
      </w:r>
      <w:r w:rsidR="00987A99" w:rsidRPr="00904E5A">
        <w:t xml:space="preserve">, Duke agreed to provide a quarterly update to the collaborative on the status of implementing the necessary billing </w:t>
      </w:r>
      <w:r w:rsidR="00987A99" w:rsidRPr="00904E5A">
        <w:lastRenderedPageBreak/>
        <w:t>functionality.</w:t>
      </w:r>
      <w:r w:rsidR="006E1C3A" w:rsidRPr="00904E5A">
        <w:t xml:space="preserve">  </w:t>
      </w:r>
      <w:r w:rsidR="005D0EB2" w:rsidRPr="00904E5A">
        <w:t>Staff notes that this functionality</w:t>
      </w:r>
      <w:r w:rsidR="006E1C3A" w:rsidRPr="00904E5A">
        <w:t xml:space="preserve"> is referred to as Rate-Ready Billing and under this option, the </w:t>
      </w:r>
      <w:r w:rsidR="00A13E52" w:rsidRPr="00904E5A">
        <w:t xml:space="preserve">CRES provider </w:t>
      </w:r>
      <w:r w:rsidR="00987588">
        <w:t>sends its rates to the Company</w:t>
      </w:r>
      <w:r w:rsidR="006E1C3A" w:rsidRPr="00904E5A">
        <w:t xml:space="preserve"> and the Company computes the charges based on the rates provided by the CRES provider and the actual </w:t>
      </w:r>
      <w:r w:rsidR="00BA31A5" w:rsidRPr="00904E5A">
        <w:t>usage data</w:t>
      </w:r>
      <w:r w:rsidR="007D7BCC" w:rsidRPr="00904E5A">
        <w:t xml:space="preserve"> for consolidated billing purposes</w:t>
      </w:r>
      <w:r w:rsidR="006E1C3A" w:rsidRPr="00904E5A">
        <w:t>.  Under Duke’s current Certified Supplier Tariff</w:t>
      </w:r>
      <w:r w:rsidR="00987588">
        <w:t>,</w:t>
      </w:r>
      <w:r w:rsidR="006E1C3A" w:rsidRPr="00904E5A">
        <w:t xml:space="preserve"> </w:t>
      </w:r>
      <w:r w:rsidR="003E46E8">
        <w:t>“</w:t>
      </w:r>
      <w:r w:rsidR="003B2DB1" w:rsidRPr="00904E5A">
        <w:t>…</w:t>
      </w:r>
      <w:r w:rsidR="007D7BCC" w:rsidRPr="00904E5A">
        <w:t xml:space="preserve">Rate-Ready Billing will be provided by the Company only if the price plans offered by the Certified Supplier </w:t>
      </w:r>
      <w:r w:rsidR="003D5010" w:rsidRPr="00904E5A">
        <w:t>are considered</w:t>
      </w:r>
      <w:r w:rsidR="007D7BCC" w:rsidRPr="00904E5A">
        <w:t xml:space="preserve"> standard rates</w:t>
      </w:r>
      <w:r w:rsidR="003B2DB1" w:rsidRPr="00904E5A">
        <w:t>.</w:t>
      </w:r>
      <w:r w:rsidR="003E46E8">
        <w:t>”</w:t>
      </w:r>
      <w:r w:rsidR="003E46E8" w:rsidRPr="00904E5A">
        <w:rPr>
          <w:rStyle w:val="FootnoteReference"/>
        </w:rPr>
        <w:footnoteReference w:id="4"/>
      </w:r>
      <w:r w:rsidR="003B2DB1" w:rsidRPr="00904E5A">
        <w:t xml:space="preserve">  </w:t>
      </w:r>
      <w:r w:rsidR="003D5010" w:rsidRPr="00904E5A">
        <w:t>The following types of rates are considered standard rates</w:t>
      </w:r>
      <w:r w:rsidR="007D7BCC" w:rsidRPr="00904E5A">
        <w:t>: a non-volumetric rate, a flat rate, a multi-tiered rate, a time-of-use rate, and a percentage-off rate.</w:t>
      </w:r>
    </w:p>
    <w:p w14:paraId="2D52B1A3" w14:textId="7A5F5486" w:rsidR="006B3FDB" w:rsidRDefault="00364EF5" w:rsidP="00364EF5">
      <w:pPr>
        <w:pStyle w:val="Textstyle"/>
      </w:pPr>
      <w:r>
        <w:lastRenderedPageBreak/>
        <w:tab/>
      </w:r>
      <w:r w:rsidR="003D5010">
        <w:t xml:space="preserve">Subsequent to </w:t>
      </w:r>
      <w:r w:rsidR="006B3FDB">
        <w:t>the Stipulation</w:t>
      </w:r>
      <w:r w:rsidR="00567938">
        <w:t xml:space="preserve"> in Case No. 11-3549-EL-SSO</w:t>
      </w:r>
      <w:r w:rsidR="006B3FDB">
        <w:t>, the Commission revised Chapter 4901:1-10-24 of the Ohio Administrative Code</w:t>
      </w:r>
      <w:r w:rsidR="003E46E8">
        <w:t>, finding that “</w:t>
      </w:r>
      <w:r w:rsidR="00F11466">
        <w:t xml:space="preserve">… </w:t>
      </w:r>
      <w:r w:rsidR="006B3FDB">
        <w:t xml:space="preserve">electric utilities should not disclose </w:t>
      </w:r>
      <w:r w:rsidR="00D83F8E">
        <w:t xml:space="preserve">[residential] </w:t>
      </w:r>
      <w:r w:rsidR="006B3FDB">
        <w:t xml:space="preserve">customer energy usage data </w:t>
      </w:r>
      <w:r w:rsidR="00F11466">
        <w:t xml:space="preserve">(CEUD) </w:t>
      </w:r>
      <w:r w:rsidR="006B3FDB">
        <w:t>without the customer’s consent, including electronic consent, except for customers with traditional interval meters</w:t>
      </w:r>
      <w:r w:rsidR="00F11466">
        <w:t>.</w:t>
      </w:r>
      <w:r w:rsidR="003E46E8">
        <w:t>”</w:t>
      </w:r>
      <w:r w:rsidR="003E46E8" w:rsidRPr="003E46E8">
        <w:rPr>
          <w:rStyle w:val="FootnoteReference"/>
        </w:rPr>
        <w:t xml:space="preserve"> </w:t>
      </w:r>
      <w:r w:rsidR="003E46E8">
        <w:rPr>
          <w:rStyle w:val="FootnoteReference"/>
        </w:rPr>
        <w:footnoteReference w:id="5"/>
      </w:r>
      <w:r w:rsidR="00F11466">
        <w:t xml:space="preserve">  </w:t>
      </w:r>
      <w:r w:rsidR="006B3FDB">
        <w:t xml:space="preserve">The Commission also directed </w:t>
      </w:r>
      <w:r w:rsidR="00F11466">
        <w:t>electric distribution utility (</w:t>
      </w:r>
      <w:r w:rsidR="006B3FDB">
        <w:t>EDU</w:t>
      </w:r>
      <w:r w:rsidR="00F11466">
        <w:t>) com</w:t>
      </w:r>
      <w:r w:rsidR="00B95EB6">
        <w:softHyphen/>
      </w:r>
      <w:r w:rsidR="00F11466">
        <w:t>panie</w:t>
      </w:r>
      <w:r w:rsidR="006B3FDB">
        <w:t>s to file amend</w:t>
      </w:r>
      <w:r w:rsidR="00987588">
        <w:t>ments to their supplier tariffs proposing a recovery mechanism</w:t>
      </w:r>
      <w:r w:rsidR="006B3FDB">
        <w:t xml:space="preserve"> to recover costs associated with the rule changes. </w:t>
      </w:r>
    </w:p>
    <w:p w14:paraId="0A2417B8" w14:textId="647BFA18" w:rsidR="00C238ED" w:rsidRDefault="00364EF5" w:rsidP="00364EF5">
      <w:pPr>
        <w:pStyle w:val="Textstyle"/>
      </w:pPr>
      <w:r>
        <w:lastRenderedPageBreak/>
        <w:tab/>
      </w:r>
      <w:r w:rsidR="000B24ED">
        <w:t>Then, i</w:t>
      </w:r>
      <w:r w:rsidR="00C238ED">
        <w:t xml:space="preserve">n </w:t>
      </w:r>
      <w:r w:rsidR="00C238ED" w:rsidRPr="00C238ED">
        <w:rPr>
          <w:i/>
        </w:rPr>
        <w:t>In the Matter of the Commission’s Investigation of Ohio’s Retail Electric Service Market</w:t>
      </w:r>
      <w:r w:rsidR="00C238ED" w:rsidRPr="00EA6A27">
        <w:t xml:space="preserve">, Case No. 12-3151-EL-COI, the Commission ordered </w:t>
      </w:r>
      <w:r w:rsidR="00C238ED">
        <w:t>EDUs</w:t>
      </w:r>
      <w:r w:rsidR="00C238ED" w:rsidRPr="00EA6A27">
        <w:t xml:space="preserve"> to file amended supplier tariffs </w:t>
      </w:r>
      <w:r w:rsidR="00C238ED">
        <w:t>that</w:t>
      </w:r>
      <w:r w:rsidR="00C238ED" w:rsidRPr="00EA6A27">
        <w:t xml:space="preserve"> </w:t>
      </w:r>
      <w:r w:rsidR="003E46E8">
        <w:t>“</w:t>
      </w:r>
      <w:r w:rsidR="00C238ED" w:rsidRPr="00EA6A27">
        <w:t>specify the terms, conditions, and charges associated with providing interval CEUD</w:t>
      </w:r>
      <w:r w:rsidR="003E46E8">
        <w:t>”</w:t>
      </w:r>
      <w:r w:rsidR="00C238ED">
        <w:t xml:space="preserve"> from smart meters</w:t>
      </w:r>
      <w:r w:rsidR="00C238ED" w:rsidRPr="00EA6A27">
        <w:t xml:space="preserve"> to CRES</w:t>
      </w:r>
      <w:r w:rsidR="00C238ED">
        <w:t xml:space="preserve"> providers.</w:t>
      </w:r>
      <w:r w:rsidR="003E46E8" w:rsidRPr="003E46E8">
        <w:rPr>
          <w:rStyle w:val="FootnoteReference"/>
        </w:rPr>
        <w:t xml:space="preserve"> </w:t>
      </w:r>
      <w:r w:rsidR="003E46E8">
        <w:rPr>
          <w:rStyle w:val="FootnoteReference"/>
        </w:rPr>
        <w:footnoteReference w:id="6"/>
      </w:r>
      <w:r w:rsidR="00C238ED">
        <w:t xml:space="preserve">  Amendments were to address</w:t>
      </w:r>
      <w:r w:rsidR="00C238ED" w:rsidRPr="00EA6A27">
        <w:t xml:space="preserve"> the </w:t>
      </w:r>
      <w:r w:rsidR="003E46E8">
        <w:t>“</w:t>
      </w:r>
      <w:r w:rsidR="00C238ED" w:rsidRPr="00EA6A27">
        <w:t>format, method, granularity, and frequency of CEUD that a CRES provider may receive.</w:t>
      </w:r>
      <w:r w:rsidR="003E46E8">
        <w:t>”</w:t>
      </w:r>
      <w:r w:rsidR="00153C5D">
        <w:rPr>
          <w:rStyle w:val="FootnoteReference"/>
        </w:rPr>
        <w:footnoteReference w:id="7"/>
      </w:r>
      <w:r w:rsidR="00C238ED">
        <w:t xml:space="preserve">  </w:t>
      </w:r>
      <w:r w:rsidR="00C238ED" w:rsidRPr="00EA6A27">
        <w:t>The Co</w:t>
      </w:r>
      <w:r w:rsidR="00153C5D">
        <w:t>mmission also explicitly stated</w:t>
      </w:r>
      <w:r w:rsidR="00C238ED" w:rsidRPr="00EA6A27">
        <w:t xml:space="preserve"> on Rehearing that </w:t>
      </w:r>
      <w:r w:rsidR="003E46E8">
        <w:t>“</w:t>
      </w:r>
      <w:r w:rsidR="00C238ED" w:rsidRPr="00EA6A27">
        <w:t>EDUs must provide interval CEUD to CRES providers, in a manner consistent with the Commis</w:t>
      </w:r>
      <w:r w:rsidR="00B95EB6">
        <w:softHyphen/>
      </w:r>
      <w:r w:rsidR="00C238ED" w:rsidRPr="00EA6A27">
        <w:t>sion’s rules, Ohio Adm. Code 4901:1-10-</w:t>
      </w:r>
      <w:r w:rsidR="00C238ED" w:rsidRPr="00EA6A27">
        <w:lastRenderedPageBreak/>
        <w:t>24</w:t>
      </w:r>
      <w:r w:rsidR="00BC3C31" w:rsidRPr="00EA6A27">
        <w:t>.</w:t>
      </w:r>
      <w:r w:rsidR="003E46E8">
        <w:t>”</w:t>
      </w:r>
      <w:r w:rsidR="003E46E8" w:rsidRPr="003E46E8">
        <w:rPr>
          <w:rStyle w:val="FootnoteReference"/>
        </w:rPr>
        <w:t xml:space="preserve"> </w:t>
      </w:r>
      <w:r w:rsidR="003E46E8">
        <w:rPr>
          <w:rStyle w:val="FootnoteReference"/>
        </w:rPr>
        <w:footnoteReference w:id="8"/>
      </w:r>
      <w:r w:rsidR="003E46E8">
        <w:t xml:space="preserve"> </w:t>
      </w:r>
      <w:r>
        <w:t xml:space="preserve"> </w:t>
      </w:r>
      <w:r w:rsidR="00C238ED">
        <w:t>Any costs associated with implementing the specified changes were to be included in the proposed tariff amendments</w:t>
      </w:r>
      <w:r w:rsidR="0001638A">
        <w:t>, alo</w:t>
      </w:r>
      <w:r w:rsidR="000530FE">
        <w:t>ng with sufficient justification for those costs</w:t>
      </w:r>
      <w:r w:rsidR="00C238ED">
        <w:t xml:space="preserve">.  </w:t>
      </w:r>
    </w:p>
    <w:p w14:paraId="25AEAB96" w14:textId="2843FCDF" w:rsidR="00C238ED" w:rsidRDefault="00C238ED" w:rsidP="00364EF5">
      <w:pPr>
        <w:pStyle w:val="Textstyle"/>
      </w:pPr>
      <w:r>
        <w:tab/>
        <w:t>Pursuant to the Commission’s directives in Case No. 12-3151-EL-COI, Duke filed an Application for Tariff Approval in this pro</w:t>
      </w:r>
      <w:r w:rsidR="007F7C10">
        <w:softHyphen/>
      </w:r>
      <w:r>
        <w:t>ceeding which proposes modifications to the Company’s existing</w:t>
      </w:r>
      <w:r w:rsidR="00153C5D">
        <w:t xml:space="preserve"> supplier tariff</w:t>
      </w:r>
      <w:r>
        <w:t>.  The Company also clarifies that it has approxi</w:t>
      </w:r>
      <w:r w:rsidR="00B95EB6">
        <w:softHyphen/>
      </w:r>
      <w:r>
        <w:t>mately 4,000 Interval Data Record</w:t>
      </w:r>
      <w:r w:rsidR="007F7C10">
        <w:softHyphen/>
      </w:r>
      <w:r>
        <w:t xml:space="preserve">ers, i.e. traditional/non-smart interval meters, installed at commercial and industrial customer premises that provide interval CEUD for those customers. </w:t>
      </w:r>
    </w:p>
    <w:p w14:paraId="52E76B47" w14:textId="6F0C7701" w:rsidR="00C238ED" w:rsidRPr="005B4534" w:rsidRDefault="00364EF5" w:rsidP="00364EF5">
      <w:pPr>
        <w:pStyle w:val="Textstyle"/>
      </w:pPr>
      <w:r>
        <w:lastRenderedPageBreak/>
        <w:tab/>
      </w:r>
      <w:r w:rsidR="00C238ED" w:rsidRPr="005B4534">
        <w:t>As proposed</w:t>
      </w:r>
      <w:r w:rsidR="00153C5D">
        <w:t xml:space="preserve"> in its Application</w:t>
      </w:r>
      <w:r w:rsidR="00C238ED" w:rsidRPr="005B4534">
        <w:t xml:space="preserve">, the </w:t>
      </w:r>
      <w:r w:rsidR="005B4534">
        <w:t xml:space="preserve">Company’s </w:t>
      </w:r>
      <w:r w:rsidR="00C238ED" w:rsidRPr="005B4534">
        <w:t>definition</w:t>
      </w:r>
      <w:r w:rsidR="00153C5D">
        <w:t xml:space="preserve"> of “Interval Meter” is</w:t>
      </w:r>
      <w:r w:rsidR="00C238ED" w:rsidRPr="005B4534">
        <w:t xml:space="preserve"> “an electric meter installed at an End-use Cus</w:t>
      </w:r>
      <w:r w:rsidR="007F7C10" w:rsidRPr="005B4534">
        <w:softHyphen/>
      </w:r>
      <w:r w:rsidR="00C238ED" w:rsidRPr="005B4534">
        <w:t>tomer’s premises for the purpose of provid</w:t>
      </w:r>
      <w:r w:rsidR="00B95EB6">
        <w:softHyphen/>
      </w:r>
      <w:r w:rsidR="00C238ED" w:rsidRPr="005B4534">
        <w:t>ing measured hourly usage data, rather than estimated usage based on a Load Profile, to the Regional Transmission Organization for monthly wholesale power settlement of a load serving entity’s aggregate load, as deter</w:t>
      </w:r>
      <w:r w:rsidR="007F7C10" w:rsidRPr="005B4534">
        <w:softHyphen/>
      </w:r>
      <w:r w:rsidR="00C238ED" w:rsidRPr="005B4534">
        <w:t>mined by the Company.”</w:t>
      </w:r>
      <w:r w:rsidR="00002826">
        <w:t xml:space="preserve"> </w:t>
      </w:r>
      <w:r>
        <w:t xml:space="preserve"> </w:t>
      </w:r>
      <w:r w:rsidR="005B4534" w:rsidRPr="00BC3C31">
        <w:t xml:space="preserve">Furthermore, the Company proposes that </w:t>
      </w:r>
      <w:r w:rsidR="00C238ED" w:rsidRPr="00BC3C31">
        <w:t>CRES providers may request one month or 12 months of 15-minute or hourly</w:t>
      </w:r>
      <w:r w:rsidR="005B4534" w:rsidRPr="00BC3C31">
        <w:t xml:space="preserve"> non-residential</w:t>
      </w:r>
      <w:r w:rsidR="00C238ED" w:rsidRPr="00BC3C31">
        <w:t xml:space="preserve"> Interval Data Recorder data, for $24 (one month) or $32 (12 months), via </w:t>
      </w:r>
      <w:r w:rsidR="0001638A" w:rsidRPr="00BC3C31">
        <w:t>electronic data interchange (</w:t>
      </w:r>
      <w:r w:rsidR="00C238ED" w:rsidRPr="00BC3C31">
        <w:t>EDI</w:t>
      </w:r>
      <w:r w:rsidR="0001638A" w:rsidRPr="00BC3C31">
        <w:t>)</w:t>
      </w:r>
      <w:r w:rsidR="00C238ED" w:rsidRPr="00BC3C31">
        <w:t xml:space="preserve"> or t</w:t>
      </w:r>
      <w:r w:rsidR="00734204">
        <w:t>he Company’s website, though it i</w:t>
      </w:r>
      <w:r w:rsidR="00C238ED" w:rsidRPr="00BC3C31">
        <w:t xml:space="preserve">s not completely clear the level of granularity or delivery channel the charges would be applied </w:t>
      </w:r>
      <w:r w:rsidR="00C238ED" w:rsidRPr="00BC3C31">
        <w:lastRenderedPageBreak/>
        <w:t>to</w:t>
      </w:r>
      <w:r w:rsidR="00002826">
        <w:t xml:space="preserve">. </w:t>
      </w:r>
      <w:r>
        <w:t xml:space="preserve"> </w:t>
      </w:r>
      <w:r w:rsidR="00002826">
        <w:t>For example,</w:t>
      </w:r>
      <w:r w:rsidR="00A13E52" w:rsidRPr="00BC3C31">
        <w:t xml:space="preserve"> </w:t>
      </w:r>
      <w:r w:rsidR="00F52747">
        <w:t xml:space="preserve">it is unclear whether </w:t>
      </w:r>
      <w:r w:rsidR="00A13E52" w:rsidRPr="00BC3C31">
        <w:t xml:space="preserve">one month of data </w:t>
      </w:r>
      <w:r w:rsidR="00F52747">
        <w:t xml:space="preserve">would cost </w:t>
      </w:r>
      <w:r w:rsidR="00A13E52" w:rsidRPr="00BC3C31">
        <w:t xml:space="preserve">$24 for either 15-minute data or </w:t>
      </w:r>
      <w:r w:rsidR="00002826">
        <w:t xml:space="preserve">hourly data and </w:t>
      </w:r>
      <w:r w:rsidR="00FE7156">
        <w:t>whether that would be</w:t>
      </w:r>
      <w:r w:rsidR="00F52747">
        <w:t xml:space="preserve"> the case </w:t>
      </w:r>
      <w:r w:rsidR="00002826">
        <w:t>regardless of whether</w:t>
      </w:r>
      <w:r w:rsidR="00F52747">
        <w:t xml:space="preserve"> the data</w:t>
      </w:r>
      <w:r w:rsidR="00002826">
        <w:t xml:space="preserve"> i</w:t>
      </w:r>
      <w:r w:rsidR="00A13E52" w:rsidRPr="00BC3C31">
        <w:t>s obtained throu</w:t>
      </w:r>
      <w:r w:rsidR="00F52747">
        <w:t>gh EDI or the Company’s website.</w:t>
      </w:r>
      <w:r w:rsidR="00F073BF">
        <w:t xml:space="preserve">  </w:t>
      </w:r>
      <w:r w:rsidR="00C238ED" w:rsidRPr="00BC3C31">
        <w:t>A</w:t>
      </w:r>
      <w:r w:rsidR="005B4534" w:rsidRPr="00BC3C31">
        <w:t>lso</w:t>
      </w:r>
      <w:r w:rsidR="00C238ED" w:rsidRPr="00BC3C31">
        <w:t>, CRES pro</w:t>
      </w:r>
      <w:r w:rsidR="00B95EB6">
        <w:softHyphen/>
      </w:r>
      <w:r w:rsidR="00C238ED" w:rsidRPr="00BC3C31">
        <w:t>viders may request 24 months of non-billing quality, hourly</w:t>
      </w:r>
      <w:r w:rsidR="00F073BF">
        <w:t xml:space="preserve"> AMI/smart meter CEUD via email</w:t>
      </w:r>
      <w:r w:rsidR="00C238ED" w:rsidRPr="00BC3C31">
        <w:t xml:space="preserve"> for $15.00, which will be provided in a spreadsheet format via email, as resources per</w:t>
      </w:r>
      <w:r w:rsidR="007F7C10" w:rsidRPr="00BC3C31">
        <w:softHyphen/>
      </w:r>
      <w:r w:rsidR="00C238ED" w:rsidRPr="00BC3C31">
        <w:t>mit.  This</w:t>
      </w:r>
      <w:r w:rsidR="003D5010" w:rsidRPr="00BC3C31">
        <w:t xml:space="preserve"> option</w:t>
      </w:r>
      <w:r w:rsidR="00C238ED" w:rsidRPr="00BC3C31">
        <w:t xml:space="preserve"> would be applicable to all customer</w:t>
      </w:r>
      <w:r w:rsidR="003D5010" w:rsidRPr="00BC3C31">
        <w:t xml:space="preserve"> types</w:t>
      </w:r>
      <w:r w:rsidR="00C238ED" w:rsidRPr="00BC3C31">
        <w:t>, including residential cus</w:t>
      </w:r>
      <w:r w:rsidR="00B95EB6">
        <w:softHyphen/>
      </w:r>
      <w:r w:rsidR="00C238ED" w:rsidRPr="00BC3C31">
        <w:t>tomers.</w:t>
      </w:r>
      <w:r w:rsidR="00C238ED" w:rsidRPr="005B4534">
        <w:t xml:space="preserve"> </w:t>
      </w:r>
    </w:p>
    <w:p w14:paraId="12470554" w14:textId="3ADF8F17" w:rsidR="000B24ED" w:rsidRPr="00F11466" w:rsidRDefault="000B24ED" w:rsidP="00364EF5">
      <w:pPr>
        <w:pStyle w:val="Heading1"/>
      </w:pPr>
      <w:r w:rsidRPr="00F11466">
        <w:t>STAFF RECOMMENDATIONS</w:t>
      </w:r>
      <w:r w:rsidR="00C238ED" w:rsidRPr="00F11466">
        <w:tab/>
      </w:r>
    </w:p>
    <w:p w14:paraId="5AA109EC" w14:textId="4181B451" w:rsidR="00D75DD2" w:rsidRDefault="00364EF5" w:rsidP="00364EF5">
      <w:pPr>
        <w:pStyle w:val="Textstyle"/>
      </w:pPr>
      <w:r>
        <w:tab/>
      </w:r>
      <w:r w:rsidR="00C238ED">
        <w:t xml:space="preserve">Staff disagrees with the </w:t>
      </w:r>
      <w:r w:rsidR="005030B6">
        <w:t xml:space="preserve">Company’s </w:t>
      </w:r>
      <w:r w:rsidR="00C238ED">
        <w:t>proposed definition of “Interval Meter”</w:t>
      </w:r>
      <w:r w:rsidR="00D75DD2">
        <w:t xml:space="preserve"> as it is</w:t>
      </w:r>
      <w:r w:rsidR="00EF46D7">
        <w:t xml:space="preserve"> </w:t>
      </w:r>
      <w:r w:rsidR="00C238ED">
        <w:t>contrary to a reasonable interpretation of an interval meter.</w:t>
      </w:r>
      <w:r w:rsidR="0001638A">
        <w:t xml:space="preserve">  Staff believes an interval meter is simply a meter that is capable of recording electric usage in some defined inter</w:t>
      </w:r>
      <w:r w:rsidR="00B95EB6">
        <w:softHyphen/>
      </w:r>
      <w:r w:rsidR="0001638A">
        <w:t xml:space="preserve">val, usually an </w:t>
      </w:r>
      <w:r w:rsidR="0001638A">
        <w:lastRenderedPageBreak/>
        <w:t>hour or less</w:t>
      </w:r>
      <w:r w:rsidR="000D0112">
        <w:t>, for the purposes of billing and load pattern analysis</w:t>
      </w:r>
      <w:r w:rsidR="0001638A">
        <w:t>.</w:t>
      </w:r>
      <w:r w:rsidR="000D0112">
        <w:t xml:space="preserve">  </w:t>
      </w:r>
      <w:r w:rsidR="00D75DD2" w:rsidRPr="00D75DD2">
        <w:t>Whether the data is submitted to the Regional Transmission Organization for the purposes of set</w:t>
      </w:r>
      <w:r w:rsidR="00B95EB6">
        <w:softHyphen/>
      </w:r>
      <w:r w:rsidR="00D75DD2" w:rsidRPr="00D75DD2">
        <w:t>tlement is irrelevant and unduly narrows the scope of the proceeding.</w:t>
      </w:r>
      <w:r w:rsidR="00D75DD2">
        <w:t xml:space="preserve">  </w:t>
      </w:r>
      <w:r w:rsidR="000D0112">
        <w:t>As such, Staff believes the Company’s existing definition of “Interval Meter” should be maintained.</w:t>
      </w:r>
      <w:r w:rsidR="0001638A">
        <w:t xml:space="preserve">  </w:t>
      </w:r>
    </w:p>
    <w:p w14:paraId="4976AF2A" w14:textId="22D81806" w:rsidR="005C35F6" w:rsidRDefault="00364EF5" w:rsidP="00364EF5">
      <w:pPr>
        <w:pStyle w:val="Textstyle"/>
      </w:pPr>
      <w:r>
        <w:tab/>
      </w:r>
      <w:r w:rsidR="00C238ED">
        <w:t>Staff also believes that the</w:t>
      </w:r>
      <w:r w:rsidR="00822E46">
        <w:t xml:space="preserve"> Company’s</w:t>
      </w:r>
      <w:r w:rsidR="00C238ED">
        <w:t xml:space="preserve"> proposed re</w:t>
      </w:r>
      <w:r w:rsidR="00822E46">
        <w:t>visions</w:t>
      </w:r>
      <w:r w:rsidR="00C238ED">
        <w:t xml:space="preserve"> regarding access to his</w:t>
      </w:r>
      <w:r w:rsidR="00B95EB6">
        <w:softHyphen/>
      </w:r>
      <w:r w:rsidR="00C238ED">
        <w:t>torical inter</w:t>
      </w:r>
      <w:r w:rsidR="007F7C10">
        <w:softHyphen/>
      </w:r>
      <w:r w:rsidR="00C238ED">
        <w:t>val AMI/smart meter CEUD are inconsistent with the Company’s previous commitments to provide access to certain data through a supplier web portal</w:t>
      </w:r>
      <w:r w:rsidR="005030B6">
        <w:t>.</w:t>
      </w:r>
      <w:r w:rsidR="00C238ED">
        <w:t xml:space="preserve"> </w:t>
      </w:r>
      <w:r w:rsidR="005E4610">
        <w:t xml:space="preserve"> </w:t>
      </w:r>
      <w:r w:rsidR="006B3FDB">
        <w:t xml:space="preserve">In response to a data request in this proceeding, the Company states that it has not taken any steps to develop the capability to flag a customer account, once authorization has been received from a CRES provider, in order to share smart meter CEUD through the existing </w:t>
      </w:r>
      <w:r w:rsidR="003B2DB1">
        <w:t>supplier portal</w:t>
      </w:r>
      <w:r w:rsidR="006B3FDB">
        <w:t xml:space="preserve">, pursuant to the revisions to </w:t>
      </w:r>
      <w:r w:rsidR="00D83F8E">
        <w:lastRenderedPageBreak/>
        <w:t>Oh</w:t>
      </w:r>
      <w:r w:rsidR="00822E46">
        <w:t>io Adm.</w:t>
      </w:r>
      <w:r w:rsidR="00044E99">
        <w:t xml:space="preserve"> </w:t>
      </w:r>
      <w:r w:rsidR="00D83F8E">
        <w:t>Code 4901:1-10-24</w:t>
      </w:r>
      <w:r w:rsidR="00F151F9">
        <w:t>.  Also, in a data request response, t</w:t>
      </w:r>
      <w:r w:rsidR="006B3FDB">
        <w:t>he Company proposes that this topic and other issues asso</w:t>
      </w:r>
      <w:r w:rsidR="006B3FDB">
        <w:softHyphen/>
        <w:t>ciated with data access should be resolved through the Market Developme</w:t>
      </w:r>
      <w:r w:rsidR="00822E46">
        <w:t xml:space="preserve">nt Working Group, so that EDUs </w:t>
      </w:r>
      <w:r w:rsidR="006B3FDB">
        <w:t>may enabl</w:t>
      </w:r>
      <w:r w:rsidR="00822E46">
        <w:t>e this data on a uniform basis.</w:t>
      </w:r>
      <w:r w:rsidR="006B3FDB">
        <w:t xml:space="preserve">  However, given the Company’s previous commitment to provide the data and the directives of the Commission in Case No. 12-3151-EL-COI, Staff believes the Company should file an estimate of costs</w:t>
      </w:r>
      <w:r w:rsidR="005C35F6">
        <w:t xml:space="preserve"> </w:t>
      </w:r>
      <w:r w:rsidR="006B3FDB">
        <w:t>to accommo</w:t>
      </w:r>
      <w:r w:rsidR="00B95EB6">
        <w:softHyphen/>
      </w:r>
      <w:r w:rsidR="006B3FDB">
        <w:t>date the revision</w:t>
      </w:r>
      <w:r w:rsidR="00EF5E35">
        <w:t>s</w:t>
      </w:r>
      <w:r w:rsidR="006B3FDB">
        <w:t xml:space="preserve"> to </w:t>
      </w:r>
      <w:r w:rsidR="00D83F8E">
        <w:t>Ohio Adm. Code 4901:1-10-24</w:t>
      </w:r>
      <w:r w:rsidR="006B3FDB">
        <w:t xml:space="preserve"> and </w:t>
      </w:r>
      <w:r w:rsidR="00044E99">
        <w:t xml:space="preserve">to </w:t>
      </w:r>
      <w:r w:rsidR="006B3FDB">
        <w:t>provide access to the interval data agreed to in the</w:t>
      </w:r>
      <w:r w:rsidR="00044E99">
        <w:t xml:space="preserve"> </w:t>
      </w:r>
      <w:r w:rsidR="006B3FDB">
        <w:t>Stipulation</w:t>
      </w:r>
      <w:r w:rsidR="00044E99">
        <w:t>.</w:t>
      </w:r>
      <w:r w:rsidR="00044E99">
        <w:rPr>
          <w:rStyle w:val="FootnoteReference"/>
        </w:rPr>
        <w:footnoteReference w:id="9"/>
      </w:r>
      <w:r w:rsidR="005C35F6">
        <w:t xml:space="preserve"> </w:t>
      </w:r>
      <w:r>
        <w:t xml:space="preserve"> </w:t>
      </w:r>
      <w:r w:rsidR="00D83F8E">
        <w:t>The costs estimates should specifically address</w:t>
      </w:r>
      <w:r w:rsidR="005C35F6">
        <w:t xml:space="preserve"> </w:t>
      </w:r>
      <w:r w:rsidR="005C35F6">
        <w:lastRenderedPageBreak/>
        <w:t>the costs for developing the functionality to house the customer authorizations, required pur</w:t>
      </w:r>
      <w:r w:rsidR="00B95EB6">
        <w:softHyphen/>
      </w:r>
      <w:r w:rsidR="005C35F6">
        <w:t>suant to Ohio Adm.</w:t>
      </w:r>
      <w:r w:rsidR="00D83F8E">
        <w:t xml:space="preserve"> </w:t>
      </w:r>
      <w:r w:rsidR="005C35F6">
        <w:t>Code 4901:1-10-24, along with the costs to provide twenty-four months of historical non-billing quality hourly AMI interval data to CRES providers through the existing supplier web portal.</w:t>
      </w:r>
      <w:r w:rsidR="00F04DFD">
        <w:t xml:space="preserve"> </w:t>
      </w:r>
      <w:r>
        <w:t xml:space="preserve"> </w:t>
      </w:r>
      <w:r w:rsidR="00F04DFD">
        <w:t>These</w:t>
      </w:r>
      <w:r w:rsidR="00044FE9">
        <w:t xml:space="preserve"> cost estimates will enable </w:t>
      </w:r>
      <w:r w:rsidR="00F04DFD">
        <w:t xml:space="preserve">the parties to more effectively determine the quality and interval of data </w:t>
      </w:r>
      <w:r w:rsidR="00044FE9">
        <w:t>they believe</w:t>
      </w:r>
      <w:r w:rsidR="00F04DFD">
        <w:t xml:space="preserve"> the Company should provide to CRES.</w:t>
      </w:r>
    </w:p>
    <w:p w14:paraId="2FB975F0" w14:textId="24F28E98" w:rsidR="002C3E8C" w:rsidRDefault="00364EF5" w:rsidP="00364EF5">
      <w:pPr>
        <w:pStyle w:val="Textstyle"/>
      </w:pPr>
      <w:r>
        <w:tab/>
      </w:r>
      <w:r w:rsidR="005D0EB2" w:rsidRPr="00904E5A">
        <w:t xml:space="preserve">In addition, Staff believes the record should reflect the status of the Company’s current functionality to offer </w:t>
      </w:r>
      <w:r w:rsidR="00F11466" w:rsidRPr="00904E5A">
        <w:t>Rate-Ready Billing fo</w:t>
      </w:r>
      <w:r w:rsidR="002C3E8C" w:rsidRPr="00904E5A">
        <w:t>r time-of-use rates and the experience of CRES providers, if any, who have participated in the Rate-Ready time-of-use options.  Therefore, Staff requests that the Company provide a status update that address</w:t>
      </w:r>
      <w:r w:rsidR="004E4992">
        <w:t>es its experience with offering</w:t>
      </w:r>
      <w:r w:rsidR="002C3E8C" w:rsidRPr="00904E5A">
        <w:t xml:space="preserve"> Rate-Ready Billing options, since inception</w:t>
      </w:r>
      <w:r w:rsidR="003B2DB1">
        <w:t>, along with partici</w:t>
      </w:r>
      <w:r w:rsidR="00B95EB6">
        <w:softHyphen/>
      </w:r>
      <w:r w:rsidR="003B2DB1">
        <w:t>pation levels</w:t>
      </w:r>
      <w:r w:rsidR="002C3E8C" w:rsidRPr="00904E5A">
        <w:t>.</w:t>
      </w:r>
      <w:r w:rsidR="002C3E8C">
        <w:t xml:space="preserve"> </w:t>
      </w:r>
    </w:p>
    <w:p w14:paraId="669FDC5C" w14:textId="16ADD266" w:rsidR="005030B6" w:rsidRDefault="00364EF5" w:rsidP="00364EF5">
      <w:pPr>
        <w:pStyle w:val="Textstyle"/>
      </w:pPr>
      <w:r>
        <w:lastRenderedPageBreak/>
        <w:tab/>
      </w:r>
      <w:r w:rsidR="002C3E8C">
        <w:t xml:space="preserve">Finally, in Case No. 14-1051-GE-RDR, the </w:t>
      </w:r>
      <w:r w:rsidR="002C3E8C" w:rsidRPr="006C7450">
        <w:t>Attorney Examiner noted that this pro</w:t>
      </w:r>
      <w:r w:rsidR="002C3E8C">
        <w:softHyphen/>
      </w:r>
      <w:r w:rsidR="002C3E8C" w:rsidRPr="006C7450">
        <w:t xml:space="preserve">ceeding might be the </w:t>
      </w:r>
      <w:r w:rsidR="007C18ED">
        <w:t>appropriate</w:t>
      </w:r>
      <w:r w:rsidR="002C3E8C" w:rsidRPr="006C7450">
        <w:t xml:space="preserve"> venue for </w:t>
      </w:r>
      <w:r w:rsidR="002C3E8C">
        <w:t xml:space="preserve">the </w:t>
      </w:r>
      <w:r w:rsidR="00044E99">
        <w:t>“</w:t>
      </w:r>
      <w:r w:rsidR="002C3E8C" w:rsidRPr="006C7450">
        <w:t>discussion of issues relating to CEUD and cus</w:t>
      </w:r>
      <w:r w:rsidR="002C3E8C">
        <w:softHyphen/>
      </w:r>
      <w:r w:rsidR="002C3E8C" w:rsidRPr="006C7450">
        <w:t>tomer data sharing.</w:t>
      </w:r>
      <w:r w:rsidR="00044E99">
        <w:t>”</w:t>
      </w:r>
      <w:r w:rsidR="00044E99">
        <w:rPr>
          <w:rStyle w:val="FootnoteReference"/>
        </w:rPr>
        <w:footnoteReference w:id="10"/>
      </w:r>
      <w:r w:rsidR="002C3E8C">
        <w:t xml:space="preserve">  Staff </w:t>
      </w:r>
      <w:r w:rsidR="005030B6">
        <w:t xml:space="preserve">believes </w:t>
      </w:r>
      <w:r w:rsidR="00C238ED">
        <w:t>that this proceeding should be the forum for</w:t>
      </w:r>
      <w:r w:rsidR="002C3E8C">
        <w:t xml:space="preserve"> not just</w:t>
      </w:r>
      <w:r w:rsidR="00C238ED">
        <w:t xml:space="preserve"> </w:t>
      </w:r>
      <w:r w:rsidR="002C3E8C">
        <w:t>the discussion, but also the resolution of the aforementioned</w:t>
      </w:r>
      <w:r w:rsidR="00FA29B1">
        <w:t xml:space="preserve"> data access </w:t>
      </w:r>
      <w:r w:rsidR="00C238ED">
        <w:t>issues, given the status of AMI/smart meter deployment the Company has achieved.</w:t>
      </w:r>
      <w:r w:rsidR="00F6306F">
        <w:t xml:space="preserve">  </w:t>
      </w:r>
      <w:r w:rsidR="00FA29B1">
        <w:t xml:space="preserve">The issues associated with </w:t>
      </w:r>
      <w:r w:rsidR="002C3E8C">
        <w:t xml:space="preserve">AMI/smart meter </w:t>
      </w:r>
      <w:r w:rsidR="00FA29B1">
        <w:t xml:space="preserve">data access are a matter of policy, </w:t>
      </w:r>
      <w:r w:rsidR="00A54BC2">
        <w:t>which include the potential to</w:t>
      </w:r>
      <w:r w:rsidR="002C3E8C">
        <w:t xml:space="preserve"> establish and assign cost recovery</w:t>
      </w:r>
      <w:r w:rsidR="00044E99">
        <w:t>.</w:t>
      </w:r>
      <w:r w:rsidR="00A54BC2">
        <w:t xml:space="preserve"> </w:t>
      </w:r>
      <w:r>
        <w:t xml:space="preserve"> </w:t>
      </w:r>
      <w:r w:rsidR="00044E99">
        <w:t>A</w:t>
      </w:r>
      <w:r w:rsidR="00FA29B1">
        <w:t xml:space="preserve">s such they should be decided by the Commission, not a working group.  Once the matters are resolved, a working group may be an appropriate forum to achieve the </w:t>
      </w:r>
      <w:r w:rsidR="00FA29B1">
        <w:lastRenderedPageBreak/>
        <w:t>specified goals set forth by the Commission and ensure uniformity in</w:t>
      </w:r>
      <w:r w:rsidR="00634900">
        <w:t xml:space="preserve"> processes and</w:t>
      </w:r>
      <w:r w:rsidR="00FA29B1">
        <w:t xml:space="preserve"> data standards.  </w:t>
      </w:r>
      <w:bookmarkStart w:id="2" w:name="_Toc260212960"/>
    </w:p>
    <w:p w14:paraId="652CB109" w14:textId="76ADA323" w:rsidR="005030B6" w:rsidRDefault="005030B6" w:rsidP="00364EF5">
      <w:pPr>
        <w:pStyle w:val="Heading1"/>
      </w:pPr>
      <w:r w:rsidRPr="00F11466">
        <w:t>CONCLUSION</w:t>
      </w:r>
    </w:p>
    <w:p w14:paraId="6A99FFD0" w14:textId="256D4389" w:rsidR="00044E99" w:rsidRPr="00044E99" w:rsidRDefault="00044E99" w:rsidP="00364EF5">
      <w:pPr>
        <w:pStyle w:val="Textstyle"/>
      </w:pPr>
      <w:r>
        <w:rPr>
          <w:b/>
        </w:rPr>
        <w:tab/>
      </w:r>
      <w:r>
        <w:t xml:space="preserve">In conclusion, Staff believes the Commission should require the Company to make the changes to its tariff language as recommended by Staff and to provide the information </w:t>
      </w:r>
      <w:r w:rsidR="00D2717A">
        <w:t xml:space="preserve">that Staff has requested in these comments. </w:t>
      </w:r>
      <w:r w:rsidR="00364EF5">
        <w:t xml:space="preserve"> </w:t>
      </w:r>
      <w:r w:rsidR="00D2717A">
        <w:t xml:space="preserve">Furthermore, Staff believes the issues raised </w:t>
      </w:r>
      <w:r w:rsidR="00CC2DC3">
        <w:t xml:space="preserve">in this case </w:t>
      </w:r>
      <w:r w:rsidR="00D2717A">
        <w:t xml:space="preserve">should be resolved </w:t>
      </w:r>
      <w:r w:rsidR="00CC2DC3">
        <w:t xml:space="preserve">here </w:t>
      </w:r>
      <w:r w:rsidR="00D2717A">
        <w:t>and not in the Market Development Working Group.</w:t>
      </w:r>
    </w:p>
    <w:bookmarkEnd w:id="2"/>
    <w:p w14:paraId="0732DEAC" w14:textId="77777777" w:rsidR="002B5258" w:rsidRDefault="002B5258" w:rsidP="00C238ED">
      <w:pPr>
        <w:tabs>
          <w:tab w:val="left" w:pos="9348"/>
        </w:tabs>
        <w:spacing w:line="480" w:lineRule="auto"/>
        <w:ind w:left="432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5952069" w14:textId="77777777" w:rsidR="00200A0A" w:rsidRPr="0064436A" w:rsidRDefault="00200A0A" w:rsidP="00C238ED">
      <w:pPr>
        <w:tabs>
          <w:tab w:val="left" w:pos="9348"/>
        </w:tabs>
        <w:spacing w:line="480" w:lineRule="auto"/>
        <w:ind w:left="4320"/>
        <w:rPr>
          <w:sz w:val="26"/>
          <w:szCs w:val="26"/>
        </w:rPr>
      </w:pPr>
      <w:r w:rsidRPr="0064436A">
        <w:rPr>
          <w:sz w:val="26"/>
          <w:szCs w:val="26"/>
        </w:rPr>
        <w:lastRenderedPageBreak/>
        <w:t>Respectfully submitted,</w:t>
      </w:r>
    </w:p>
    <w:p w14:paraId="05093144" w14:textId="77777777" w:rsidR="00200A0A" w:rsidRPr="0064436A" w:rsidRDefault="00C90964" w:rsidP="00C238ED">
      <w:pPr>
        <w:tabs>
          <w:tab w:val="left" w:pos="9348"/>
        </w:tabs>
        <w:ind w:left="432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14:paraId="4CB3BE5E" w14:textId="77777777" w:rsidR="00200A0A" w:rsidRPr="0064436A" w:rsidRDefault="00200A0A" w:rsidP="00C238ED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14:paraId="269AECA0" w14:textId="77777777" w:rsidR="00200A0A" w:rsidRPr="0064436A" w:rsidRDefault="00200A0A" w:rsidP="00C238ED">
      <w:pPr>
        <w:tabs>
          <w:tab w:val="left" w:pos="9348"/>
        </w:tabs>
        <w:ind w:left="4320"/>
        <w:rPr>
          <w:sz w:val="26"/>
          <w:szCs w:val="26"/>
        </w:rPr>
      </w:pPr>
    </w:p>
    <w:p w14:paraId="20746CC0" w14:textId="77777777" w:rsidR="000753F8" w:rsidRDefault="00BC5B75" w:rsidP="00C238ED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14:paraId="2D7CC530" w14:textId="77777777" w:rsidR="00200A0A" w:rsidRPr="0064436A" w:rsidRDefault="00200A0A" w:rsidP="00C238ED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14:paraId="26A58833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14:paraId="3766C420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14:paraId="7C7ED0EB" w14:textId="039561B7" w:rsidR="00200A0A" w:rsidRPr="0064436A" w:rsidRDefault="003F588A" w:rsidP="00C238ED">
      <w:pPr>
        <w:tabs>
          <w:tab w:val="left" w:pos="9348"/>
        </w:tabs>
        <w:ind w:left="4320"/>
        <w:rPr>
          <w:sz w:val="26"/>
          <w:szCs w:val="26"/>
          <w:u w:val="single"/>
        </w:rPr>
      </w:pPr>
      <w:r>
        <w:rPr>
          <w:rFonts w:ascii="Viner Hand ITC" w:hAnsi="Viner Hand ITC"/>
          <w:sz w:val="26"/>
          <w:szCs w:val="26"/>
          <w:u w:val="single"/>
        </w:rPr>
        <w:t>/s/ Katie L. Johnson</w:t>
      </w:r>
      <w:r w:rsidR="00200A0A" w:rsidRPr="0064436A">
        <w:rPr>
          <w:sz w:val="26"/>
          <w:szCs w:val="26"/>
          <w:u w:val="single"/>
        </w:rPr>
        <w:tab/>
      </w:r>
    </w:p>
    <w:p w14:paraId="2821CAA6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Katie L. Johnson</w:t>
      </w:r>
    </w:p>
    <w:p w14:paraId="3367FEC6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 General</w:t>
      </w:r>
    </w:p>
    <w:p w14:paraId="37A5BBCF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14:paraId="6C22D1C8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14:paraId="0ED6E0D7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14:paraId="647C6342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14:paraId="12F8BBF0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14:paraId="6B4E9B4F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8" w:history="1">
        <w:r w:rsidRPr="003B4ECC">
          <w:rPr>
            <w:rStyle w:val="Hyperlink"/>
            <w:rFonts w:ascii="Times New Roman" w:hAnsi="Times New Roman"/>
            <w:sz w:val="26"/>
            <w:szCs w:val="26"/>
          </w:rPr>
          <w:t>katie.johnson@puc.state.oh.us</w:t>
        </w:r>
      </w:hyperlink>
    </w:p>
    <w:p w14:paraId="41A91D96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14:paraId="0FE0CEF3" w14:textId="77777777" w:rsid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On behalf of the Staff of</w:t>
      </w:r>
    </w:p>
    <w:p w14:paraId="3E6FF062" w14:textId="77777777" w:rsidR="00C238ED" w:rsidRPr="00C238ED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ab/>
        <w:t>The Public Utilities Commission of Ohio</w:t>
      </w:r>
    </w:p>
    <w:p w14:paraId="6765AA9A" w14:textId="77777777" w:rsidR="00C238ED" w:rsidRPr="00E10679" w:rsidRDefault="00C238ED" w:rsidP="00C238ED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14:paraId="424ECF54" w14:textId="77777777" w:rsidR="00200A0A" w:rsidRPr="002B5258" w:rsidRDefault="00200A0A" w:rsidP="00364EF5">
      <w:pPr>
        <w:pStyle w:val="Heading1"/>
      </w:pPr>
      <w:r w:rsidRPr="00955E20">
        <w:br w:type="page"/>
      </w:r>
      <w:bookmarkStart w:id="3" w:name="_Toc205862526"/>
      <w:bookmarkStart w:id="4" w:name="_Toc260212964"/>
      <w:r w:rsidR="00C95499" w:rsidRPr="002B5258">
        <w:lastRenderedPageBreak/>
        <w:t>PROOF OF SERVICE</w:t>
      </w:r>
      <w:bookmarkEnd w:id="3"/>
      <w:bookmarkEnd w:id="4"/>
    </w:p>
    <w:p w14:paraId="6474AD3E" w14:textId="10B20A6B" w:rsidR="00200A0A" w:rsidRPr="00934B92" w:rsidRDefault="00364EF5" w:rsidP="00364EF5">
      <w:pPr>
        <w:pStyle w:val="Textstyle"/>
      </w:pPr>
      <w:r>
        <w:tab/>
      </w:r>
      <w:r w:rsidR="00200A0A" w:rsidRPr="00934B92">
        <w:t xml:space="preserve">I hereby certify that a true copy of the foregoing </w:t>
      </w:r>
      <w:r w:rsidR="00C238ED">
        <w:rPr>
          <w:b/>
        </w:rPr>
        <w:t xml:space="preserve">Comments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>was served by regular U.S. mail, postage pre</w:t>
      </w:r>
      <w:r w:rsidR="00200A0A" w:rsidRPr="00934B92">
        <w:softHyphen/>
        <w:t>pai</w:t>
      </w:r>
      <w:r w:rsidR="00796FF6">
        <w:t>d, electronic mail, or</w:t>
      </w:r>
      <w:r w:rsidR="00200A0A" w:rsidRPr="00934B92">
        <w:t xml:space="preserve"> hand-delivered, upon </w:t>
      </w:r>
      <w:r w:rsidR="00977F01">
        <w:t>the following Parties of Record</w:t>
      </w:r>
      <w:r w:rsidR="00721F2D">
        <w:t xml:space="preserve">, </w:t>
      </w:r>
      <w:r w:rsidR="00200A0A" w:rsidRPr="00934B92">
        <w:t xml:space="preserve">this </w:t>
      </w:r>
      <w:r w:rsidR="00C238ED">
        <w:t>6</w:t>
      </w:r>
      <w:r w:rsidR="001A5C2F" w:rsidRPr="001A5C2F">
        <w:rPr>
          <w:vertAlign w:val="superscript"/>
        </w:rPr>
        <w:t>th</w:t>
      </w:r>
      <w:r w:rsidR="001A5C2F">
        <w:t xml:space="preserve"> </w:t>
      </w:r>
      <w:r w:rsidR="004B6358">
        <w:t>d</w:t>
      </w:r>
      <w:r w:rsidR="00200A0A" w:rsidRPr="00934B92">
        <w:t xml:space="preserve">ay of </w:t>
      </w:r>
      <w:r w:rsidR="00C238ED">
        <w:t>March, 2015</w:t>
      </w:r>
      <w:r w:rsidR="00200A0A" w:rsidRPr="00934B92">
        <w:t>.</w:t>
      </w:r>
    </w:p>
    <w:p w14:paraId="6B271AA8" w14:textId="77777777" w:rsidR="00200A0A" w:rsidRPr="00DF3D54" w:rsidRDefault="00200A0A" w:rsidP="00200A0A">
      <w:pPr>
        <w:spacing w:line="480" w:lineRule="auto"/>
        <w:jc w:val="both"/>
      </w:pPr>
    </w:p>
    <w:p w14:paraId="563697E4" w14:textId="0F3D7780" w:rsidR="00200A0A" w:rsidRPr="00DF3D54" w:rsidRDefault="003F588A" w:rsidP="00200A0A">
      <w:pPr>
        <w:tabs>
          <w:tab w:val="right" w:pos="9360"/>
        </w:tabs>
        <w:ind w:left="4320"/>
        <w:jc w:val="both"/>
        <w:rPr>
          <w:u w:val="single"/>
        </w:rPr>
      </w:pPr>
      <w:r>
        <w:rPr>
          <w:rFonts w:ascii="Viner Hand ITC" w:hAnsi="Viner Hand ITC"/>
          <w:sz w:val="26"/>
          <w:szCs w:val="26"/>
          <w:u w:val="single"/>
        </w:rPr>
        <w:t>/s/ Katie L. Johnson</w:t>
      </w:r>
      <w:r w:rsidR="00200A0A" w:rsidRPr="00DF3D54">
        <w:rPr>
          <w:u w:val="single"/>
        </w:rPr>
        <w:tab/>
      </w:r>
    </w:p>
    <w:p w14:paraId="076DDF39" w14:textId="77777777" w:rsidR="00200A0A" w:rsidRPr="00DF3D54" w:rsidRDefault="00C238ED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Katie L. Johnson</w:t>
      </w:r>
    </w:p>
    <w:p w14:paraId="1D193592" w14:textId="77777777"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14:paraId="6B28EDCA" w14:textId="77777777" w:rsidR="00977F01" w:rsidRDefault="00977F01" w:rsidP="00200A0A">
      <w:pPr>
        <w:ind w:left="4332"/>
        <w:jc w:val="both"/>
        <w:rPr>
          <w:sz w:val="26"/>
          <w:szCs w:val="26"/>
        </w:rPr>
      </w:pPr>
    </w:p>
    <w:p w14:paraId="1C3750BA" w14:textId="77777777"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14:paraId="1120AA3E" w14:textId="77777777" w:rsidR="00977F01" w:rsidRPr="00DF3D54" w:rsidRDefault="00977F01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658"/>
      </w:tblGrid>
      <w:tr w:rsidR="00977F01" w:rsidRPr="00D2703A" w14:paraId="145DF141" w14:textId="77777777" w:rsidTr="002273AC">
        <w:tc>
          <w:tcPr>
            <w:tcW w:w="4788" w:type="dxa"/>
          </w:tcPr>
          <w:p w14:paraId="2D2FC89E" w14:textId="77777777" w:rsidR="00977F01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Amy B. Spiller</w:t>
            </w:r>
          </w:p>
          <w:p w14:paraId="1D3022CD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Elizabeth H. Watts</w:t>
            </w:r>
          </w:p>
          <w:p w14:paraId="5AB3DE4C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Duke Energy Ohio, Inc.</w:t>
            </w:r>
          </w:p>
          <w:p w14:paraId="416402EB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 East Fourth Street</w:t>
            </w:r>
          </w:p>
          <w:p w14:paraId="34D0CE22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1303-Main</w:t>
            </w:r>
          </w:p>
          <w:p w14:paraId="4980C33F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45201</w:t>
            </w:r>
          </w:p>
          <w:p w14:paraId="6BCF1A01" w14:textId="77777777" w:rsidR="00163438" w:rsidRDefault="003B47D4" w:rsidP="002273AC">
            <w:pPr>
              <w:rPr>
                <w:sz w:val="26"/>
                <w:szCs w:val="26"/>
              </w:rPr>
            </w:pPr>
            <w:hyperlink r:id="rId9" w:history="1">
              <w:r w:rsidR="00163438" w:rsidRPr="003B4ECC">
                <w:rPr>
                  <w:rStyle w:val="Hyperlink"/>
                  <w:sz w:val="26"/>
                  <w:szCs w:val="26"/>
                </w:rPr>
                <w:t>amy.spiller@duke-energy.com</w:t>
              </w:r>
            </w:hyperlink>
          </w:p>
          <w:p w14:paraId="03259B91" w14:textId="77777777" w:rsidR="00163438" w:rsidRDefault="003B47D4" w:rsidP="002273AC">
            <w:pPr>
              <w:rPr>
                <w:sz w:val="26"/>
                <w:szCs w:val="26"/>
              </w:rPr>
            </w:pPr>
            <w:hyperlink r:id="rId10" w:history="1">
              <w:r w:rsidR="00163438" w:rsidRPr="003B4ECC">
                <w:rPr>
                  <w:rStyle w:val="Hyperlink"/>
                  <w:sz w:val="26"/>
                  <w:szCs w:val="26"/>
                </w:rPr>
                <w:t>elizabeth.watts@duke-energy.com</w:t>
              </w:r>
            </w:hyperlink>
          </w:p>
          <w:p w14:paraId="54CDBF40" w14:textId="77777777" w:rsidR="00163438" w:rsidRDefault="00163438" w:rsidP="002273AC">
            <w:pPr>
              <w:rPr>
                <w:sz w:val="26"/>
                <w:szCs w:val="26"/>
              </w:rPr>
            </w:pPr>
          </w:p>
          <w:p w14:paraId="742ECF38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 Clark</w:t>
            </w:r>
          </w:p>
          <w:p w14:paraId="42D08770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Jennifer Spinosi</w:t>
            </w:r>
          </w:p>
          <w:p w14:paraId="54E8A356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 Energy Services</w:t>
            </w:r>
          </w:p>
          <w:p w14:paraId="7BCEF74D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East State Street, Suite 1950</w:t>
            </w:r>
          </w:p>
          <w:p w14:paraId="4DF235BD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14:paraId="60047BBC" w14:textId="77777777" w:rsidR="00163438" w:rsidRDefault="003B47D4" w:rsidP="002273AC">
            <w:pPr>
              <w:rPr>
                <w:sz w:val="26"/>
                <w:szCs w:val="26"/>
              </w:rPr>
            </w:pPr>
            <w:hyperlink r:id="rId11" w:history="1">
              <w:r w:rsidR="00163438" w:rsidRPr="003B4ECC">
                <w:rPr>
                  <w:rStyle w:val="Hyperlink"/>
                  <w:sz w:val="26"/>
                  <w:szCs w:val="26"/>
                </w:rPr>
                <w:t>joseph.clark@directenergy.com</w:t>
              </w:r>
            </w:hyperlink>
          </w:p>
          <w:p w14:paraId="270BC09A" w14:textId="77777777" w:rsidR="00163438" w:rsidRDefault="003B47D4" w:rsidP="002273AC">
            <w:pPr>
              <w:rPr>
                <w:sz w:val="26"/>
                <w:szCs w:val="26"/>
              </w:rPr>
            </w:pPr>
            <w:hyperlink r:id="rId12" w:history="1">
              <w:r w:rsidR="00163438" w:rsidRPr="003B4ECC">
                <w:rPr>
                  <w:rStyle w:val="Hyperlink"/>
                  <w:sz w:val="26"/>
                  <w:szCs w:val="26"/>
                </w:rPr>
                <w:t>jennifer.lause@directenergy.com</w:t>
              </w:r>
            </w:hyperlink>
          </w:p>
          <w:p w14:paraId="08E89D9A" w14:textId="77777777" w:rsidR="00163438" w:rsidRPr="00221496" w:rsidRDefault="00163438" w:rsidP="002273AC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14:paraId="5EF2E5A0" w14:textId="77777777"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Colleen L. Mooney</w:t>
            </w:r>
          </w:p>
          <w:p w14:paraId="27600C4F" w14:textId="77777777" w:rsidR="00977F01" w:rsidRDefault="00163438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14:paraId="2AC4FCBB" w14:textId="77777777" w:rsidR="00163438" w:rsidRDefault="00163438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West Lima Street</w:t>
            </w:r>
          </w:p>
          <w:p w14:paraId="62205717" w14:textId="77777777" w:rsidR="00163438" w:rsidRPr="00F70EF6" w:rsidRDefault="00163438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Findlay, OH  45839-1793</w:t>
            </w:r>
          </w:p>
          <w:p w14:paraId="0DBA004D" w14:textId="77777777" w:rsidR="00977F01" w:rsidRPr="00F70EF6" w:rsidRDefault="003B47D4" w:rsidP="002273AC">
            <w:pPr>
              <w:ind w:left="720" w:hanging="720"/>
              <w:rPr>
                <w:sz w:val="26"/>
                <w:szCs w:val="26"/>
              </w:rPr>
            </w:pPr>
            <w:hyperlink r:id="rId13" w:history="1">
              <w:r w:rsidR="00163438" w:rsidRPr="003B4ECC">
                <w:rPr>
                  <w:rStyle w:val="Hyperlink"/>
                  <w:sz w:val="26"/>
                  <w:szCs w:val="26"/>
                </w:rPr>
                <w:t>cmooney@ohiopartners.org</w:t>
              </w:r>
            </w:hyperlink>
          </w:p>
          <w:p w14:paraId="33AA2F83" w14:textId="77777777" w:rsidR="00163438" w:rsidRDefault="00163438" w:rsidP="002273AC">
            <w:pPr>
              <w:rPr>
                <w:sz w:val="26"/>
                <w:szCs w:val="26"/>
              </w:rPr>
            </w:pPr>
          </w:p>
          <w:p w14:paraId="22ED8E82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 Oliker</w:t>
            </w:r>
          </w:p>
          <w:p w14:paraId="0E80C382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IGS Energy</w:t>
            </w:r>
          </w:p>
          <w:p w14:paraId="7CD90121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 Emerald Parkway</w:t>
            </w:r>
          </w:p>
          <w:p w14:paraId="2C0D43F4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Dublin, OH  43016</w:t>
            </w:r>
          </w:p>
          <w:p w14:paraId="13F4AFF3" w14:textId="77777777" w:rsidR="00163438" w:rsidRDefault="003B47D4" w:rsidP="002273AC">
            <w:pPr>
              <w:rPr>
                <w:sz w:val="26"/>
                <w:szCs w:val="26"/>
              </w:rPr>
            </w:pPr>
            <w:hyperlink r:id="rId14" w:history="1">
              <w:r w:rsidR="00163438" w:rsidRPr="003B4ECC">
                <w:rPr>
                  <w:rStyle w:val="Hyperlink"/>
                  <w:sz w:val="26"/>
                  <w:szCs w:val="26"/>
                </w:rPr>
                <w:t>joliker@igsenergy.com</w:t>
              </w:r>
            </w:hyperlink>
          </w:p>
          <w:p w14:paraId="2D0EBB9F" w14:textId="77777777" w:rsidR="00163438" w:rsidRDefault="00163438" w:rsidP="002273AC">
            <w:pPr>
              <w:rPr>
                <w:sz w:val="26"/>
                <w:szCs w:val="26"/>
              </w:rPr>
            </w:pPr>
          </w:p>
          <w:p w14:paraId="29407B09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 Howard Petricoff</w:t>
            </w:r>
          </w:p>
          <w:p w14:paraId="29BCCB8F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Michael J. Settineri</w:t>
            </w:r>
          </w:p>
          <w:p w14:paraId="4AD9E4C5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Gretchen L. Petrucci</w:t>
            </w:r>
          </w:p>
          <w:p w14:paraId="242A3FC5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Vorys Sater Seymour &amp; Pease</w:t>
            </w:r>
          </w:p>
          <w:p w14:paraId="03DD391E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14:paraId="58E4F17D" w14:textId="77777777" w:rsidR="00163438" w:rsidRDefault="00163438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43216-1008</w:t>
            </w:r>
          </w:p>
          <w:p w14:paraId="62112E16" w14:textId="77777777" w:rsidR="00163438" w:rsidRDefault="003B47D4" w:rsidP="002273AC">
            <w:pPr>
              <w:rPr>
                <w:sz w:val="26"/>
                <w:szCs w:val="26"/>
              </w:rPr>
            </w:pPr>
            <w:hyperlink r:id="rId15" w:history="1">
              <w:r w:rsidR="00163438" w:rsidRPr="003B4ECC">
                <w:rPr>
                  <w:rStyle w:val="Hyperlink"/>
                  <w:sz w:val="26"/>
                  <w:szCs w:val="26"/>
                </w:rPr>
                <w:t>mhpetricoff@vorys.com</w:t>
              </w:r>
            </w:hyperlink>
          </w:p>
          <w:p w14:paraId="4821EE7D" w14:textId="77777777" w:rsidR="00163438" w:rsidRDefault="003B47D4" w:rsidP="002273AC">
            <w:pPr>
              <w:rPr>
                <w:sz w:val="26"/>
                <w:szCs w:val="26"/>
              </w:rPr>
            </w:pPr>
            <w:hyperlink r:id="rId16" w:history="1">
              <w:r w:rsidR="00163438" w:rsidRPr="003B4ECC">
                <w:rPr>
                  <w:rStyle w:val="Hyperlink"/>
                  <w:sz w:val="26"/>
                  <w:szCs w:val="26"/>
                </w:rPr>
                <w:t>mjsettineri@vorys.com</w:t>
              </w:r>
            </w:hyperlink>
          </w:p>
          <w:p w14:paraId="58C70BD9" w14:textId="77777777" w:rsidR="00163438" w:rsidRDefault="003B47D4" w:rsidP="002273AC">
            <w:pPr>
              <w:rPr>
                <w:sz w:val="26"/>
                <w:szCs w:val="26"/>
              </w:rPr>
            </w:pPr>
            <w:hyperlink r:id="rId17" w:history="1">
              <w:r w:rsidR="00163438" w:rsidRPr="003B4ECC">
                <w:rPr>
                  <w:rStyle w:val="Hyperlink"/>
                  <w:sz w:val="26"/>
                  <w:szCs w:val="26"/>
                </w:rPr>
                <w:t>glpetrucci@vorys.com</w:t>
              </w:r>
            </w:hyperlink>
          </w:p>
          <w:p w14:paraId="671E66E3" w14:textId="77777777" w:rsidR="00163438" w:rsidRPr="00221496" w:rsidRDefault="00163438" w:rsidP="002273AC">
            <w:pPr>
              <w:rPr>
                <w:sz w:val="26"/>
                <w:szCs w:val="26"/>
              </w:rPr>
            </w:pPr>
          </w:p>
        </w:tc>
      </w:tr>
    </w:tbl>
    <w:p w14:paraId="72FCF578" w14:textId="77777777"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4A00" w14:textId="77777777" w:rsidR="00787C32" w:rsidRDefault="00787C32" w:rsidP="008866FC">
      <w:pPr>
        <w:pStyle w:val="Title"/>
      </w:pPr>
      <w:r>
        <w:separator/>
      </w:r>
    </w:p>
  </w:endnote>
  <w:endnote w:type="continuationSeparator" w:id="0">
    <w:p w14:paraId="10D04AA8" w14:textId="77777777" w:rsidR="00787C32" w:rsidRDefault="00787C32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D74A" w14:textId="77777777"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3B47D4">
      <w:rPr>
        <w:rStyle w:val="PageNumber"/>
        <w:noProof/>
        <w:sz w:val="24"/>
        <w:szCs w:val="24"/>
      </w:rPr>
      <w:t>9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BCFA" w14:textId="77777777" w:rsidR="00787C32" w:rsidRDefault="00787C32" w:rsidP="00663D6A">
      <w:pPr>
        <w:pStyle w:val="Title"/>
        <w:jc w:val="left"/>
      </w:pPr>
      <w:r>
        <w:separator/>
      </w:r>
    </w:p>
  </w:footnote>
  <w:footnote w:type="continuationSeparator" w:id="0">
    <w:p w14:paraId="26896C8B" w14:textId="77777777" w:rsidR="00787C32" w:rsidRDefault="00787C32" w:rsidP="008866FC">
      <w:pPr>
        <w:pStyle w:val="Title"/>
      </w:pPr>
      <w:r>
        <w:continuationSeparator/>
      </w:r>
    </w:p>
  </w:footnote>
  <w:footnote w:id="1">
    <w:p w14:paraId="75FD8F2B" w14:textId="061A1425" w:rsidR="003E46E8" w:rsidRPr="000D0112" w:rsidRDefault="003E46E8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bookmarkStart w:id="1" w:name="_GoBack"/>
      <w:bookmarkEnd w:id="1"/>
      <w:r w:rsidR="00364EF5">
        <w:tab/>
      </w:r>
      <w:r w:rsidRPr="00364EF5">
        <w:rPr>
          <w:i/>
        </w:rPr>
        <w:t xml:space="preserve">In the Matter of the Application of Duke Energy Ohio for Authority to Establish a Standard Service Offer Pursuant to Section 4928.143, Revised Code, in the Form of an Electric Security Plan, Accounting Modifications and </w:t>
      </w:r>
      <w:r w:rsidR="00364EF5" w:rsidRPr="00364EF5">
        <w:rPr>
          <w:i/>
        </w:rPr>
        <w:t>Tariffs for Generation Service</w:t>
      </w:r>
      <w:r>
        <w:t>, Case No. 11-3549-EL-SSO</w:t>
      </w:r>
      <w:r w:rsidR="00364EF5">
        <w:t xml:space="preserve"> (</w:t>
      </w:r>
      <w:r>
        <w:t>Stipulation and Recommendation</w:t>
      </w:r>
      <w:r w:rsidR="00364EF5">
        <w:t xml:space="preserve"> at 33-34) </w:t>
      </w:r>
      <w:r>
        <w:t>(Oct. 24, 2011).</w:t>
      </w:r>
    </w:p>
  </w:footnote>
  <w:footnote w:id="2">
    <w:p w14:paraId="0CA79E0C" w14:textId="6B101C40" w:rsidR="003E46E8" w:rsidRPr="003E46E8" w:rsidRDefault="003E46E8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7588">
        <w:tab/>
      </w:r>
      <w:r w:rsidR="00364EF5">
        <w:tab/>
      </w:r>
      <w:r w:rsidR="00364EF5" w:rsidRPr="00364EF5">
        <w:rPr>
          <w:i/>
        </w:rPr>
        <w:t xml:space="preserve">In the Matter of the Application of Duke Energy Ohio for Authority to Establish a Standard Service Offer Pursuant to Section 4928.143, Revised Code, in the Form of an Electric Security Plan, Accounting Modifications and </w:t>
      </w:r>
      <w:r w:rsidR="00364EF5" w:rsidRPr="00364EF5">
        <w:rPr>
          <w:i/>
        </w:rPr>
        <w:t>Tariffs for Generation Service</w:t>
      </w:r>
      <w:r w:rsidR="00364EF5">
        <w:t>, Case No. 11-3549-EL-SSO (Stipulation and Recommendation at 33-34) (Oct. 24, 2011)</w:t>
      </w:r>
      <w:r>
        <w:t>.</w:t>
      </w:r>
    </w:p>
  </w:footnote>
  <w:footnote w:id="3">
    <w:p w14:paraId="792B9592" w14:textId="05BC82E9" w:rsidR="003E46E8" w:rsidRDefault="003E46E8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4EF5">
        <w:tab/>
      </w:r>
      <w:r w:rsidRPr="00364EF5">
        <w:rPr>
          <w:i/>
        </w:rPr>
        <w:t>In the Matter of the Application of Duke Energy Ohio, Inc. to Adjust and Set Its Gas and Electric Recovery Under Riders AU and Rider DR-IM and Mid-deployment Review of AMI/SmartGrid Program</w:t>
      </w:r>
      <w:r>
        <w:t>, Case No. 10-2326-GE-RDR</w:t>
      </w:r>
      <w:r w:rsidR="00364EF5">
        <w:t xml:space="preserve"> (</w:t>
      </w:r>
      <w:r>
        <w:t>Stipulation and Rec</w:t>
      </w:r>
      <w:r w:rsidR="00C94F56">
        <w:softHyphen/>
      </w:r>
      <w:r>
        <w:t>ommendation</w:t>
      </w:r>
      <w:r w:rsidR="00364EF5">
        <w:t xml:space="preserve"> at 11)</w:t>
      </w:r>
      <w:r>
        <w:t xml:space="preserve"> (Feb</w:t>
      </w:r>
      <w:r w:rsidR="00364EF5">
        <w:t>.</w:t>
      </w:r>
      <w:r>
        <w:t xml:space="preserve"> 24, 2012).</w:t>
      </w:r>
    </w:p>
  </w:footnote>
  <w:footnote w:id="4">
    <w:p w14:paraId="40178D82" w14:textId="4837FBD6" w:rsidR="003E46E8" w:rsidRDefault="003E46E8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4EF5">
        <w:tab/>
      </w:r>
      <w:r>
        <w:t xml:space="preserve">P.U.C.O. Electric No. 20, Sheet No. 39.3, 10.1 Billing Options </w:t>
      </w:r>
    </w:p>
  </w:footnote>
  <w:footnote w:id="5">
    <w:p w14:paraId="00F5A5CC" w14:textId="03EE9938" w:rsidR="003E46E8" w:rsidRPr="000D0112" w:rsidRDefault="003E46E8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4EF5">
        <w:tab/>
      </w:r>
      <w:r w:rsidRPr="00364EF5">
        <w:rPr>
          <w:i/>
        </w:rPr>
        <w:t>In the Matter of the Commission’s Review of Chapter 4901:1-10, Ohio Adminis</w:t>
      </w:r>
      <w:r w:rsidR="00C94F56">
        <w:rPr>
          <w:i/>
        </w:rPr>
        <w:softHyphen/>
      </w:r>
      <w:r w:rsidRPr="00364EF5">
        <w:rPr>
          <w:i/>
        </w:rPr>
        <w:t>trative Cod</w:t>
      </w:r>
      <w:r w:rsidR="00364EF5" w:rsidRPr="00364EF5">
        <w:rPr>
          <w:i/>
        </w:rPr>
        <w:t>e, Regarding Electric Companies</w:t>
      </w:r>
      <w:r>
        <w:t>, Case No. 12-2050-EL-ORD</w:t>
      </w:r>
      <w:r w:rsidR="00364EF5">
        <w:t xml:space="preserve"> (</w:t>
      </w:r>
      <w:r>
        <w:t>Second Entry on Rehearing</w:t>
      </w:r>
      <w:r w:rsidR="00364EF5">
        <w:t xml:space="preserve"> at 10)</w:t>
      </w:r>
      <w:r>
        <w:t xml:space="preserve"> (May 28, 2014).</w:t>
      </w:r>
    </w:p>
  </w:footnote>
  <w:footnote w:id="6">
    <w:p w14:paraId="3409A813" w14:textId="56651516" w:rsidR="003E46E8" w:rsidRPr="000D0112" w:rsidRDefault="003E46E8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4EF5">
        <w:tab/>
      </w:r>
      <w:r w:rsidRPr="00364EF5">
        <w:rPr>
          <w:i/>
        </w:rPr>
        <w:t>In the Matter of the Commission’s Investigation of Ohio’s Retail Electric Service Market</w:t>
      </w:r>
      <w:r>
        <w:t>, Case No. 12</w:t>
      </w:r>
      <w:r w:rsidR="00364EF5">
        <w:t>-3151-EL-COI (</w:t>
      </w:r>
      <w:r>
        <w:t>Finding and Order</w:t>
      </w:r>
      <w:r w:rsidR="00364EF5">
        <w:t xml:space="preserve"> at 36)</w:t>
      </w:r>
      <w:r>
        <w:t xml:space="preserve"> (March 26, 2014).</w:t>
      </w:r>
    </w:p>
  </w:footnote>
  <w:footnote w:id="7">
    <w:p w14:paraId="4EECDDB4" w14:textId="7EE6C09C" w:rsidR="00153C5D" w:rsidRPr="00153C5D" w:rsidRDefault="00153C5D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4EF5">
        <w:tab/>
      </w:r>
      <w:r>
        <w:rPr>
          <w:i/>
        </w:rPr>
        <w:t>Id</w:t>
      </w:r>
      <w:r>
        <w:t>.</w:t>
      </w:r>
    </w:p>
  </w:footnote>
  <w:footnote w:id="8">
    <w:p w14:paraId="7E8E3B69" w14:textId="68A40472" w:rsidR="003E46E8" w:rsidRDefault="003E46E8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4EF5">
        <w:tab/>
      </w:r>
      <w:r w:rsidRPr="00364EF5">
        <w:rPr>
          <w:i/>
        </w:rPr>
        <w:t>In the Matter of the Commission’s Investigation of Ohio’s Retail Electric Service Market</w:t>
      </w:r>
      <w:r>
        <w:t>, Case No. 12-3151-EL-COI</w:t>
      </w:r>
      <w:r w:rsidR="00364EF5">
        <w:t xml:space="preserve"> (</w:t>
      </w:r>
      <w:r>
        <w:t xml:space="preserve">Entry on Rehearing </w:t>
      </w:r>
      <w:r w:rsidR="00364EF5">
        <w:t xml:space="preserve">at 19) </w:t>
      </w:r>
      <w:r>
        <w:t>(May 21, 2014).</w:t>
      </w:r>
    </w:p>
  </w:footnote>
  <w:footnote w:id="9">
    <w:p w14:paraId="22E25255" w14:textId="724686C9" w:rsidR="00044E99" w:rsidRDefault="00044E99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4EF5">
        <w:tab/>
      </w:r>
      <w:r>
        <w:t xml:space="preserve">Though Staff notes that the granularity and quality of the data were not addressed in the Stipulation.  </w:t>
      </w:r>
    </w:p>
  </w:footnote>
  <w:footnote w:id="10">
    <w:p w14:paraId="478E49EB" w14:textId="7361570F" w:rsidR="00044E99" w:rsidRPr="007C18ED" w:rsidRDefault="00044E99" w:rsidP="00364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4EF5">
        <w:tab/>
      </w:r>
      <w:r w:rsidRPr="00364EF5">
        <w:rPr>
          <w:i/>
        </w:rPr>
        <w:t>In the Matter of the Application of Duke Energy Ohio, Inc. to Adjust Rider DR-IM and Rider AU for 2013 SmartGrid Costs</w:t>
      </w:r>
      <w:r>
        <w:t xml:space="preserve">, Case No. 14-1051-GE-RDR </w:t>
      </w:r>
      <w:r w:rsidR="00364EF5">
        <w:t>(</w:t>
      </w:r>
      <w:r>
        <w:t>Entry</w:t>
      </w:r>
      <w:r w:rsidR="00364EF5">
        <w:t xml:space="preserve"> at 5)</w:t>
      </w:r>
      <w:r>
        <w:t xml:space="preserve"> (Jan.</w:t>
      </w:r>
      <w:r w:rsidR="00364EF5">
        <w:t> </w:t>
      </w:r>
      <w:r>
        <w:t>22, 2015).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870A8"/>
    <w:multiLevelType w:val="hybridMultilevel"/>
    <w:tmpl w:val="6856379A"/>
    <w:lvl w:ilvl="0" w:tplc="2CDA3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540AAA"/>
    <w:multiLevelType w:val="hybridMultilevel"/>
    <w:tmpl w:val="93B4D4AA"/>
    <w:lvl w:ilvl="0" w:tplc="3684B3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5D7D22"/>
    <w:multiLevelType w:val="hybridMultilevel"/>
    <w:tmpl w:val="993AE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ED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26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38A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4E99"/>
    <w:rsid w:val="00044FE9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0FE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4ED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112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6E50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5B0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831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5D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438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D1F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061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258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3E8C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3F45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4EF5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2DB1"/>
    <w:rsid w:val="003B3467"/>
    <w:rsid w:val="003B36CC"/>
    <w:rsid w:val="003B3741"/>
    <w:rsid w:val="003B3ABE"/>
    <w:rsid w:val="003B3BCE"/>
    <w:rsid w:val="003B3FEF"/>
    <w:rsid w:val="003B467C"/>
    <w:rsid w:val="003B47D4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278"/>
    <w:rsid w:val="003C2632"/>
    <w:rsid w:val="003C342A"/>
    <w:rsid w:val="003C342D"/>
    <w:rsid w:val="003C3C3F"/>
    <w:rsid w:val="003C3ED0"/>
    <w:rsid w:val="003C4812"/>
    <w:rsid w:val="003C4AC4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010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6E8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88A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1EB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992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0B6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6E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02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938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5FD8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34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5F6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0EB2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610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90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3FDB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1C3A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02D"/>
    <w:rsid w:val="00732182"/>
    <w:rsid w:val="007321C1"/>
    <w:rsid w:val="007328EA"/>
    <w:rsid w:val="007330AD"/>
    <w:rsid w:val="007337CE"/>
    <w:rsid w:val="00733AA2"/>
    <w:rsid w:val="00734204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87C32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6FF6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139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8ED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BCC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0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46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ADB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E5A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588"/>
    <w:rsid w:val="00987A99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6DE8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52"/>
    <w:rsid w:val="00A13E7C"/>
    <w:rsid w:val="00A1528A"/>
    <w:rsid w:val="00A15F6D"/>
    <w:rsid w:val="00A16054"/>
    <w:rsid w:val="00A1655C"/>
    <w:rsid w:val="00A16637"/>
    <w:rsid w:val="00A16A92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4BC2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4C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5E8C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AEB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5EB6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1A5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C31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8ED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4F56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DC3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1B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17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5DD2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3F8E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6D7"/>
    <w:rsid w:val="00EF4880"/>
    <w:rsid w:val="00EF5032"/>
    <w:rsid w:val="00EF5682"/>
    <w:rsid w:val="00EF5B51"/>
    <w:rsid w:val="00EF5E35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DFD"/>
    <w:rsid w:val="00F04E82"/>
    <w:rsid w:val="00F05005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BF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466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1F9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324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747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306F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9B1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156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950229"/>
  <w15:docId w15:val="{C5F0AA0F-20CB-4F34-92FB-888C227E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364EF5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238ED"/>
    <w:pPr>
      <w:keepNext/>
      <w:spacing w:before="360" w:after="240"/>
      <w:ind w:left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364EF5"/>
    <w:pPr>
      <w:spacing w:line="480" w:lineRule="auto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364EF5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364EF5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364EF5"/>
    <w:pPr>
      <w:spacing w:line="480" w:lineRule="auto"/>
      <w:ind w:firstLine="720"/>
    </w:pPr>
    <w:rPr>
      <w:sz w:val="26"/>
      <w:szCs w:val="24"/>
    </w:rPr>
  </w:style>
  <w:style w:type="character" w:customStyle="1" w:styleId="textstyleChar">
    <w:name w:val="text style Char"/>
    <w:link w:val="textstyle0"/>
    <w:rsid w:val="00364EF5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C238ED"/>
    <w:rPr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238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2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8ED"/>
    <w:pPr>
      <w:spacing w:after="16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8E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53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534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johnson@puc.state.oh.us" TargetMode="External"/><Relationship Id="rId13" Type="http://schemas.openxmlformats.org/officeDocument/2006/relationships/hyperlink" Target="mailto:cmooney@ohiopartners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nifer.lause@directenergy.com" TargetMode="External"/><Relationship Id="rId17" Type="http://schemas.openxmlformats.org/officeDocument/2006/relationships/hyperlink" Target="mailto:glpetrucci@vory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jsettineri@vory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ph.clark@directenerg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hpetricoff@vorys.com" TargetMode="External"/><Relationship Id="rId10" Type="http://schemas.openxmlformats.org/officeDocument/2006/relationships/hyperlink" Target="mailto:elizabeth.watts@duke-energ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y.spiller@duke-energy.com" TargetMode="External"/><Relationship Id="rId14" Type="http://schemas.openxmlformats.org/officeDocument/2006/relationships/hyperlink" Target="mailto:joliker@igsenerg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0507-AE09-4C33-856C-23F019FE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Pleading.dotx</Template>
  <TotalTime>13</TotalTime>
  <Pages>9</Pages>
  <Words>1577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11211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7</cp:revision>
  <cp:lastPrinted>2015-03-06T16:22:00Z</cp:lastPrinted>
  <dcterms:created xsi:type="dcterms:W3CDTF">2015-03-06T19:08:00Z</dcterms:created>
  <dcterms:modified xsi:type="dcterms:W3CDTF">2015-03-06T19:21:00Z</dcterms:modified>
</cp:coreProperties>
</file>