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D5" w:rsidRDefault="00E478D5" w:rsidP="00E478D5">
      <w:pPr>
        <w:spacing w:line="240" w:lineRule="exact"/>
        <w:jc w:val="center"/>
        <w:rPr>
          <w:rFonts w:ascii="Arial" w:hAnsi="Arial" w:cs="Arial"/>
          <w:sz w:val="48"/>
          <w:szCs w:val="48"/>
        </w:rPr>
      </w:pPr>
    </w:p>
    <w:p w:rsidR="00541788" w:rsidRDefault="00541788" w:rsidP="00541788">
      <w:pPr>
        <w:ind w:right="1170"/>
        <w:jc w:val="center"/>
        <w:rPr>
          <w:rFonts w:ascii="Arial" w:hAnsi="Arial" w:cs="Arial"/>
          <w:sz w:val="20"/>
          <w:szCs w:val="20"/>
        </w:rPr>
      </w:pPr>
      <w:r>
        <w:rPr>
          <w:rFonts w:ascii="Arial" w:hAnsi="Arial" w:cs="Arial"/>
          <w:sz w:val="20"/>
          <w:szCs w:val="20"/>
        </w:rPr>
        <w:t>ACCESS SERVICE TARIFF</w:t>
      </w:r>
    </w:p>
    <w:p w:rsidR="00541788" w:rsidRDefault="00541788" w:rsidP="00541788">
      <w:pPr>
        <w:ind w:right="1170"/>
        <w:jc w:val="center"/>
        <w:rPr>
          <w:rFonts w:ascii="Arial" w:hAnsi="Arial" w:cs="Arial"/>
          <w:sz w:val="20"/>
          <w:szCs w:val="20"/>
        </w:rPr>
      </w:pPr>
      <w:proofErr w:type="gramStart"/>
      <w:r>
        <w:rPr>
          <w:rFonts w:ascii="Arial" w:hAnsi="Arial" w:cs="Arial"/>
          <w:sz w:val="20"/>
          <w:szCs w:val="20"/>
        </w:rPr>
        <w:t>P.U.C.O. NO.</w:t>
      </w:r>
      <w:proofErr w:type="gramEnd"/>
      <w:r>
        <w:rPr>
          <w:rFonts w:ascii="Arial" w:hAnsi="Arial" w:cs="Arial"/>
          <w:sz w:val="20"/>
          <w:szCs w:val="20"/>
        </w:rPr>
        <w:t xml:space="preserve"> 2</w:t>
      </w:r>
    </w:p>
    <w:p w:rsidR="00541788" w:rsidRDefault="00541788" w:rsidP="00541788">
      <w:pPr>
        <w:ind w:right="1170"/>
        <w:rPr>
          <w:rFonts w:ascii="Arial" w:hAnsi="Arial" w:cs="Arial"/>
          <w:sz w:val="20"/>
          <w:szCs w:val="20"/>
        </w:rPr>
      </w:pPr>
    </w:p>
    <w:p w:rsidR="00541788" w:rsidRDefault="00541788" w:rsidP="00541788">
      <w:pPr>
        <w:tabs>
          <w:tab w:val="right" w:pos="9270"/>
          <w:tab w:val="left" w:pos="9720"/>
        </w:tabs>
        <w:ind w:right="1170"/>
        <w:rPr>
          <w:rFonts w:ascii="Arial" w:hAnsi="Arial" w:cs="Arial"/>
          <w:sz w:val="20"/>
          <w:szCs w:val="20"/>
        </w:rPr>
      </w:pPr>
      <w:r>
        <w:rPr>
          <w:rFonts w:ascii="Arial" w:hAnsi="Arial" w:cs="Arial"/>
          <w:sz w:val="20"/>
          <w:szCs w:val="20"/>
        </w:rPr>
        <w:t xml:space="preserve">CenturyTel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Inc.</w:t>
      </w:r>
      <w:r>
        <w:rPr>
          <w:rFonts w:ascii="Arial" w:hAnsi="Arial" w:cs="Arial"/>
          <w:sz w:val="20"/>
          <w:szCs w:val="20"/>
        </w:rPr>
        <w:tab/>
      </w:r>
      <w:r w:rsidR="00764679">
        <w:rPr>
          <w:rFonts w:ascii="Arial" w:hAnsi="Arial" w:cs="Arial"/>
          <w:sz w:val="20"/>
          <w:szCs w:val="20"/>
        </w:rPr>
        <w:t>2nd</w:t>
      </w:r>
      <w:r>
        <w:rPr>
          <w:rFonts w:ascii="Arial" w:hAnsi="Arial" w:cs="Arial"/>
          <w:sz w:val="20"/>
          <w:szCs w:val="20"/>
        </w:rPr>
        <w:t xml:space="preserve"> Revised Index Sheet 1</w:t>
      </w:r>
    </w:p>
    <w:p w:rsidR="00541788" w:rsidRPr="00BA697C" w:rsidRDefault="00541788" w:rsidP="00541788">
      <w:pPr>
        <w:tabs>
          <w:tab w:val="right" w:pos="9270"/>
          <w:tab w:val="left" w:pos="9720"/>
        </w:tabs>
        <w:ind w:right="1170"/>
        <w:rPr>
          <w:rFonts w:ascii="Arial" w:hAnsi="Arial" w:cs="Arial"/>
          <w:sz w:val="20"/>
          <w:szCs w:val="20"/>
        </w:rPr>
      </w:pPr>
      <w:r>
        <w:rPr>
          <w:rFonts w:ascii="Arial" w:hAnsi="Arial" w:cs="Arial"/>
          <w:sz w:val="20"/>
          <w:szCs w:val="20"/>
        </w:rPr>
        <w:tab/>
        <w:t>Cancels</w:t>
      </w:r>
      <w:r w:rsidR="00E478D5">
        <w:rPr>
          <w:rFonts w:ascii="Arial" w:hAnsi="Arial" w:cs="Arial"/>
          <w:sz w:val="20"/>
          <w:szCs w:val="20"/>
        </w:rPr>
        <w:t>1st Revised</w:t>
      </w:r>
      <w:r>
        <w:rPr>
          <w:rFonts w:ascii="Arial" w:hAnsi="Arial" w:cs="Arial"/>
          <w:sz w:val="20"/>
          <w:szCs w:val="20"/>
        </w:rPr>
        <w:t xml:space="preserve"> Index Sheet 1</w:t>
      </w:r>
    </w:p>
    <w:p w:rsidR="00541788" w:rsidRPr="00BA697C" w:rsidRDefault="00541788" w:rsidP="00541788">
      <w:pPr>
        <w:ind w:right="1170"/>
        <w:rPr>
          <w:rFonts w:ascii="Arial" w:hAnsi="Arial" w:cs="Arial"/>
          <w:sz w:val="20"/>
          <w:szCs w:val="20"/>
        </w:rPr>
      </w:pPr>
    </w:p>
    <w:tbl>
      <w:tblPr>
        <w:tblW w:w="10526" w:type="dxa"/>
        <w:tblLayout w:type="fixed"/>
        <w:tblLook w:val="01E0"/>
      </w:tblPr>
      <w:tblGrid>
        <w:gridCol w:w="9374"/>
        <w:gridCol w:w="1152"/>
      </w:tblGrid>
      <w:tr w:rsidR="00541788" w:rsidRPr="001A5380" w:rsidTr="00541788">
        <w:trPr>
          <w:trHeight w:val="11664"/>
        </w:trPr>
        <w:tc>
          <w:tcPr>
            <w:tcW w:w="9374" w:type="dxa"/>
          </w:tcPr>
          <w:p w:rsidR="00541788" w:rsidRPr="001A5380" w:rsidRDefault="00541788" w:rsidP="00E478D5">
            <w:pPr>
              <w:tabs>
                <w:tab w:val="left" w:pos="7920"/>
              </w:tabs>
              <w:ind w:left="1800"/>
              <w:rPr>
                <w:rFonts w:ascii="Arial" w:hAnsi="Arial" w:cs="Arial"/>
                <w:sz w:val="20"/>
                <w:szCs w:val="20"/>
              </w:rPr>
            </w:pPr>
            <w:r w:rsidRPr="001A5380">
              <w:rPr>
                <w:rFonts w:ascii="Arial" w:hAnsi="Arial" w:cs="Arial"/>
                <w:sz w:val="20"/>
                <w:szCs w:val="20"/>
              </w:rPr>
              <w:t>Subject</w:t>
            </w:r>
            <w:r w:rsidRPr="001A5380">
              <w:rPr>
                <w:rFonts w:ascii="Arial" w:hAnsi="Arial" w:cs="Arial"/>
                <w:sz w:val="20"/>
                <w:szCs w:val="20"/>
              </w:rPr>
              <w:tab/>
              <w:t>Page</w:t>
            </w:r>
          </w:p>
          <w:p w:rsidR="00541788" w:rsidRPr="001A5380" w:rsidRDefault="00541788" w:rsidP="00E478D5">
            <w:pPr>
              <w:rPr>
                <w:rFonts w:ascii="Arial" w:hAnsi="Arial" w:cs="Arial"/>
                <w:sz w:val="20"/>
                <w:szCs w:val="20"/>
              </w:rPr>
            </w:pPr>
          </w:p>
          <w:p w:rsidR="00E478D5" w:rsidRDefault="00E478D5" w:rsidP="00E478D5">
            <w:pPr>
              <w:tabs>
                <w:tab w:val="left" w:pos="8100"/>
              </w:tabs>
              <w:rPr>
                <w:rFonts w:ascii="Arial" w:hAnsi="Arial" w:cs="Arial"/>
                <w:sz w:val="20"/>
                <w:szCs w:val="20"/>
              </w:rPr>
            </w:pPr>
            <w:r>
              <w:rPr>
                <w:rFonts w:ascii="Arial" w:hAnsi="Arial" w:cs="Arial"/>
                <w:sz w:val="20"/>
                <w:szCs w:val="20"/>
              </w:rPr>
              <w:t>INTRALATA PRESUBSCRIPTION</w:t>
            </w:r>
            <w:r>
              <w:rPr>
                <w:rFonts w:ascii="Arial" w:hAnsi="Arial" w:cs="Arial"/>
                <w:sz w:val="20"/>
                <w:szCs w:val="20"/>
              </w:rPr>
              <w:tab/>
              <w:t>1</w:t>
            </w:r>
          </w:p>
          <w:p w:rsidR="00E478D5" w:rsidRDefault="00E478D5" w:rsidP="00E478D5">
            <w:pPr>
              <w:tabs>
                <w:tab w:val="left" w:pos="8100"/>
              </w:tabs>
              <w:rPr>
                <w:rFonts w:ascii="Arial" w:hAnsi="Arial" w:cs="Arial"/>
                <w:sz w:val="20"/>
                <w:szCs w:val="20"/>
              </w:rPr>
            </w:pPr>
          </w:p>
          <w:p w:rsidR="00541788" w:rsidRPr="001A5380" w:rsidRDefault="00541788" w:rsidP="00E478D5">
            <w:pPr>
              <w:tabs>
                <w:tab w:val="left" w:pos="8100"/>
              </w:tabs>
              <w:rPr>
                <w:rFonts w:ascii="Arial" w:hAnsi="Arial" w:cs="Arial"/>
                <w:sz w:val="20"/>
                <w:szCs w:val="20"/>
              </w:rPr>
            </w:pPr>
            <w:r w:rsidRPr="001A5380">
              <w:rPr>
                <w:rFonts w:ascii="Arial" w:hAnsi="Arial" w:cs="Arial"/>
                <w:sz w:val="20"/>
                <w:szCs w:val="20"/>
              </w:rPr>
              <w:t>INTRASTATE CARRIER COMMON LINE ACCESS SERVICE</w:t>
            </w:r>
            <w:r w:rsidRPr="001A5380">
              <w:rPr>
                <w:rFonts w:ascii="Arial" w:hAnsi="Arial" w:cs="Arial"/>
                <w:sz w:val="20"/>
                <w:szCs w:val="20"/>
              </w:rPr>
              <w:tab/>
              <w:t>1</w:t>
            </w:r>
          </w:p>
          <w:p w:rsidR="00541788" w:rsidRPr="001A5380" w:rsidRDefault="00541788" w:rsidP="00E478D5">
            <w:pPr>
              <w:tabs>
                <w:tab w:val="left" w:pos="8100"/>
              </w:tabs>
              <w:rPr>
                <w:rFonts w:ascii="Arial" w:hAnsi="Arial" w:cs="Arial"/>
                <w:sz w:val="20"/>
                <w:szCs w:val="20"/>
              </w:rPr>
            </w:pPr>
          </w:p>
          <w:p w:rsidR="00541788" w:rsidRPr="001A5380" w:rsidRDefault="00541788" w:rsidP="00E478D5">
            <w:pPr>
              <w:tabs>
                <w:tab w:val="left" w:pos="8100"/>
              </w:tabs>
              <w:rPr>
                <w:rFonts w:ascii="Arial" w:hAnsi="Arial" w:cs="Arial"/>
                <w:sz w:val="20"/>
                <w:szCs w:val="20"/>
              </w:rPr>
            </w:pPr>
            <w:r w:rsidRPr="001A5380">
              <w:rPr>
                <w:rFonts w:ascii="Arial" w:hAnsi="Arial" w:cs="Arial"/>
                <w:sz w:val="20"/>
                <w:szCs w:val="20"/>
              </w:rPr>
              <w:t>METRO ETHERNET SERVICE</w:t>
            </w:r>
            <w:r w:rsidRPr="001A5380">
              <w:rPr>
                <w:rFonts w:ascii="Arial" w:hAnsi="Arial" w:cs="Arial"/>
                <w:sz w:val="20"/>
                <w:szCs w:val="20"/>
              </w:rPr>
              <w:tab/>
              <w:t>11</w:t>
            </w:r>
          </w:p>
          <w:p w:rsidR="00541788" w:rsidRPr="001A5380" w:rsidRDefault="00541788" w:rsidP="00E478D5">
            <w:pPr>
              <w:tabs>
                <w:tab w:val="left" w:pos="8100"/>
              </w:tabs>
              <w:rPr>
                <w:rFonts w:ascii="Arial" w:hAnsi="Arial" w:cs="Arial"/>
                <w:sz w:val="20"/>
                <w:szCs w:val="20"/>
              </w:rPr>
            </w:pPr>
          </w:p>
          <w:p w:rsidR="00541788" w:rsidRPr="001A5380" w:rsidRDefault="00541788" w:rsidP="00E478D5">
            <w:pPr>
              <w:tabs>
                <w:tab w:val="left" w:pos="8100"/>
              </w:tabs>
              <w:rPr>
                <w:rFonts w:ascii="Arial" w:hAnsi="Arial" w:cs="Arial"/>
                <w:sz w:val="20"/>
                <w:szCs w:val="20"/>
              </w:rPr>
            </w:pPr>
            <w:r w:rsidRPr="001A5380">
              <w:rPr>
                <w:rFonts w:ascii="Arial" w:hAnsi="Arial" w:cs="Arial"/>
                <w:sz w:val="20"/>
                <w:szCs w:val="20"/>
              </w:rPr>
              <w:t>EXCEPTIONS</w:t>
            </w:r>
            <w:r w:rsidRPr="001A5380">
              <w:rPr>
                <w:rFonts w:ascii="Arial" w:hAnsi="Arial" w:cs="Arial"/>
                <w:sz w:val="20"/>
                <w:szCs w:val="20"/>
              </w:rPr>
              <w:tab/>
              <w:t>23</w:t>
            </w: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p w:rsidR="00541788" w:rsidRPr="001A5380" w:rsidRDefault="00541788" w:rsidP="00E478D5">
            <w:pPr>
              <w:rPr>
                <w:rFonts w:ascii="Arial" w:hAnsi="Arial" w:cs="Arial"/>
                <w:sz w:val="20"/>
                <w:szCs w:val="20"/>
              </w:rPr>
            </w:pPr>
          </w:p>
        </w:tc>
        <w:tc>
          <w:tcPr>
            <w:tcW w:w="1152" w:type="dxa"/>
          </w:tcPr>
          <w:p w:rsidR="00541788" w:rsidRDefault="00541788" w:rsidP="00E478D5">
            <w:pPr>
              <w:jc w:val="center"/>
              <w:rPr>
                <w:rFonts w:ascii="Arial" w:hAnsi="Arial" w:cs="Arial"/>
                <w:sz w:val="20"/>
                <w:szCs w:val="20"/>
              </w:rPr>
            </w:pPr>
          </w:p>
          <w:p w:rsidR="00E478D5" w:rsidRDefault="00E478D5" w:rsidP="00E478D5">
            <w:pPr>
              <w:jc w:val="center"/>
              <w:rPr>
                <w:rFonts w:ascii="Arial" w:hAnsi="Arial" w:cs="Arial"/>
                <w:sz w:val="20"/>
                <w:szCs w:val="20"/>
              </w:rPr>
            </w:pPr>
          </w:p>
          <w:p w:rsidR="00E478D5" w:rsidRPr="001A5380" w:rsidRDefault="00E478D5" w:rsidP="00E478D5">
            <w:pPr>
              <w:jc w:val="center"/>
              <w:rPr>
                <w:rFonts w:ascii="Arial" w:hAnsi="Arial" w:cs="Arial"/>
                <w:sz w:val="20"/>
                <w:szCs w:val="20"/>
              </w:rPr>
            </w:pPr>
            <w:r>
              <w:rPr>
                <w:rFonts w:ascii="Arial" w:hAnsi="Arial" w:cs="Arial"/>
                <w:sz w:val="20"/>
                <w:szCs w:val="20"/>
              </w:rPr>
              <w:t>(N)</w:t>
            </w:r>
          </w:p>
        </w:tc>
      </w:tr>
    </w:tbl>
    <w:p w:rsidR="00541788" w:rsidRDefault="00541788" w:rsidP="00B37E3D">
      <w:pPr>
        <w:tabs>
          <w:tab w:val="right" w:pos="9270"/>
        </w:tabs>
        <w:ind w:left="-90" w:right="1260"/>
        <w:rPr>
          <w:rFonts w:ascii="Arial" w:hAnsi="Arial" w:cs="Arial"/>
          <w:sz w:val="20"/>
          <w:szCs w:val="20"/>
        </w:rPr>
      </w:pPr>
      <w:r>
        <w:rPr>
          <w:rFonts w:ascii="Arial" w:hAnsi="Arial" w:cs="Arial"/>
          <w:sz w:val="20"/>
          <w:szCs w:val="20"/>
        </w:rPr>
        <w:t xml:space="preserve">Issued:  </w:t>
      </w:r>
      <w:r w:rsidR="00E478D5">
        <w:rPr>
          <w:rFonts w:ascii="Arial" w:hAnsi="Arial" w:cs="Arial"/>
          <w:sz w:val="20"/>
          <w:szCs w:val="20"/>
        </w:rPr>
        <w:t>January 2</w:t>
      </w:r>
      <w:r w:rsidR="00E92296">
        <w:rPr>
          <w:rFonts w:ascii="Arial" w:hAnsi="Arial" w:cs="Arial"/>
          <w:sz w:val="20"/>
          <w:szCs w:val="20"/>
        </w:rPr>
        <w:t>7</w:t>
      </w:r>
      <w:r w:rsidR="00E478D5">
        <w:rPr>
          <w:rFonts w:ascii="Arial" w:hAnsi="Arial" w:cs="Arial"/>
          <w:sz w:val="20"/>
          <w:szCs w:val="20"/>
        </w:rPr>
        <w:t>, 2016</w:t>
      </w:r>
      <w:r>
        <w:rPr>
          <w:rFonts w:ascii="Arial" w:hAnsi="Arial" w:cs="Arial"/>
          <w:sz w:val="20"/>
          <w:szCs w:val="20"/>
        </w:rPr>
        <w:tab/>
        <w:t xml:space="preserve">Effective:  </w:t>
      </w:r>
      <w:r w:rsidR="000B0D3D">
        <w:rPr>
          <w:rFonts w:ascii="Arial" w:hAnsi="Arial" w:cs="Arial"/>
          <w:sz w:val="20"/>
          <w:szCs w:val="20"/>
        </w:rPr>
        <w:t>February 27</w:t>
      </w:r>
      <w:r w:rsidR="00E478D5">
        <w:rPr>
          <w:rFonts w:ascii="Arial" w:hAnsi="Arial" w:cs="Arial"/>
          <w:sz w:val="20"/>
          <w:szCs w:val="20"/>
        </w:rPr>
        <w:t>, 2016</w:t>
      </w:r>
    </w:p>
    <w:p w:rsidR="00E478D5" w:rsidRDefault="00E478D5" w:rsidP="00E478D5">
      <w:pPr>
        <w:pStyle w:val="Default"/>
        <w:tabs>
          <w:tab w:val="right" w:pos="9270"/>
        </w:tabs>
        <w:ind w:left="-90"/>
        <w:rPr>
          <w:sz w:val="20"/>
          <w:szCs w:val="20"/>
        </w:rPr>
      </w:pPr>
      <w:r>
        <w:rPr>
          <w:sz w:val="20"/>
          <w:szCs w:val="20"/>
        </w:rPr>
        <w:t xml:space="preserve">CenturyTel of Ohio, Inc. d/b/a CenturyLink </w:t>
      </w:r>
      <w:r>
        <w:rPr>
          <w:sz w:val="20"/>
          <w:szCs w:val="20"/>
        </w:rPr>
        <w:tab/>
        <w:t xml:space="preserve">In accordance with Case Nos.: 90-5010-TP-TRF </w:t>
      </w:r>
    </w:p>
    <w:p w:rsidR="00E478D5" w:rsidRDefault="00E478D5" w:rsidP="00E478D5">
      <w:pPr>
        <w:pStyle w:val="Default"/>
        <w:tabs>
          <w:tab w:val="right" w:pos="9270"/>
        </w:tabs>
        <w:ind w:left="-90"/>
        <w:rPr>
          <w:sz w:val="20"/>
          <w:szCs w:val="20"/>
        </w:rPr>
      </w:pPr>
      <w:r w:rsidRPr="00E92296">
        <w:rPr>
          <w:sz w:val="20"/>
          <w:szCs w:val="20"/>
        </w:rPr>
        <w:t xml:space="preserve">By Bill Hanchey, Vice President </w:t>
      </w:r>
      <w:r w:rsidRPr="00E92296">
        <w:rPr>
          <w:sz w:val="20"/>
          <w:szCs w:val="20"/>
        </w:rPr>
        <w:tab/>
        <w:t>and 16-</w:t>
      </w:r>
      <w:r w:rsidR="00E92296" w:rsidRPr="00E92296">
        <w:rPr>
          <w:sz w:val="20"/>
          <w:szCs w:val="20"/>
        </w:rPr>
        <w:t>0236</w:t>
      </w:r>
      <w:r w:rsidRPr="00E92296">
        <w:rPr>
          <w:sz w:val="20"/>
          <w:szCs w:val="20"/>
        </w:rPr>
        <w:t>-TP-ATA</w:t>
      </w:r>
      <w:r>
        <w:rPr>
          <w:sz w:val="20"/>
          <w:szCs w:val="20"/>
        </w:rPr>
        <w:t xml:space="preserve"> </w:t>
      </w:r>
    </w:p>
    <w:p w:rsidR="00B37E3D" w:rsidRDefault="00E478D5" w:rsidP="00E478D5">
      <w:pPr>
        <w:pStyle w:val="Default"/>
        <w:tabs>
          <w:tab w:val="right" w:pos="9270"/>
        </w:tabs>
        <w:ind w:left="-90"/>
      </w:pPr>
      <w:r>
        <w:rPr>
          <w:sz w:val="20"/>
          <w:szCs w:val="20"/>
        </w:rPr>
        <w:t xml:space="preserve">Wake Forest, North Carolina </w:t>
      </w:r>
      <w:r>
        <w:rPr>
          <w:sz w:val="20"/>
          <w:szCs w:val="20"/>
        </w:rPr>
        <w:tab/>
        <w:t xml:space="preserve">Issued by the Public Utilities Commission of Ohio </w:t>
      </w:r>
      <w:r w:rsidR="00B37E3D">
        <w:br w:type="page"/>
      </w:r>
    </w:p>
    <w:p w:rsidR="00B37E3D" w:rsidRDefault="00B37E3D" w:rsidP="00B37E3D">
      <w:pPr>
        <w:tabs>
          <w:tab w:val="right" w:pos="9270"/>
        </w:tabs>
        <w:ind w:right="1170"/>
        <w:jc w:val="center"/>
        <w:rPr>
          <w:rFonts w:ascii="Arial" w:hAnsi="Arial" w:cs="Arial"/>
          <w:sz w:val="20"/>
          <w:szCs w:val="20"/>
        </w:rPr>
      </w:pPr>
      <w:r>
        <w:rPr>
          <w:rFonts w:ascii="Arial" w:hAnsi="Arial" w:cs="Arial"/>
          <w:sz w:val="20"/>
          <w:szCs w:val="20"/>
        </w:rPr>
        <w:lastRenderedPageBreak/>
        <w:t>ACCESS SERVICE TARIFF</w:t>
      </w:r>
    </w:p>
    <w:p w:rsidR="00B37E3D" w:rsidRDefault="00B37E3D" w:rsidP="00B37E3D">
      <w:pPr>
        <w:tabs>
          <w:tab w:val="right" w:pos="9270"/>
        </w:tabs>
        <w:ind w:right="1170"/>
        <w:jc w:val="center"/>
        <w:rPr>
          <w:rFonts w:ascii="Arial" w:hAnsi="Arial" w:cs="Arial"/>
          <w:sz w:val="20"/>
          <w:szCs w:val="20"/>
        </w:rPr>
      </w:pPr>
      <w:proofErr w:type="gramStart"/>
      <w:r>
        <w:rPr>
          <w:rFonts w:ascii="Arial" w:hAnsi="Arial" w:cs="Arial"/>
          <w:sz w:val="20"/>
          <w:szCs w:val="20"/>
        </w:rPr>
        <w:t>P.U.C.O. NO.</w:t>
      </w:r>
      <w:proofErr w:type="gramEnd"/>
      <w:r>
        <w:rPr>
          <w:rFonts w:ascii="Arial" w:hAnsi="Arial" w:cs="Arial"/>
          <w:sz w:val="20"/>
          <w:szCs w:val="20"/>
        </w:rPr>
        <w:t xml:space="preserve"> 2</w:t>
      </w:r>
    </w:p>
    <w:p w:rsidR="00B37E3D" w:rsidRDefault="00B37E3D" w:rsidP="00B37E3D">
      <w:pPr>
        <w:tabs>
          <w:tab w:val="right" w:pos="9270"/>
          <w:tab w:val="right" w:pos="9360"/>
        </w:tabs>
        <w:ind w:right="1170"/>
        <w:rPr>
          <w:rFonts w:ascii="Arial" w:hAnsi="Arial" w:cs="Arial"/>
          <w:sz w:val="20"/>
          <w:szCs w:val="20"/>
        </w:rPr>
      </w:pPr>
    </w:p>
    <w:p w:rsidR="00B37E3D" w:rsidRDefault="00B37E3D" w:rsidP="00B37E3D">
      <w:pPr>
        <w:tabs>
          <w:tab w:val="right" w:pos="9270"/>
          <w:tab w:val="right" w:pos="9360"/>
          <w:tab w:val="left" w:pos="9720"/>
        </w:tabs>
        <w:ind w:right="1170"/>
        <w:rPr>
          <w:rFonts w:ascii="Arial" w:hAnsi="Arial" w:cs="Arial"/>
          <w:sz w:val="20"/>
          <w:szCs w:val="20"/>
        </w:rPr>
      </w:pPr>
      <w:r>
        <w:rPr>
          <w:rFonts w:ascii="Arial" w:hAnsi="Arial" w:cs="Arial"/>
          <w:sz w:val="20"/>
          <w:szCs w:val="20"/>
        </w:rPr>
        <w:t xml:space="preserve">CenturyTel of </w:t>
      </w:r>
      <w:smartTag w:uri="urn:schemas-microsoft-com:office:smarttags" w:element="State">
        <w:smartTag w:uri="urn:schemas-microsoft-com:office:smarttags" w:element="place">
          <w:r>
            <w:rPr>
              <w:rFonts w:ascii="Arial" w:hAnsi="Arial" w:cs="Arial"/>
              <w:sz w:val="20"/>
              <w:szCs w:val="20"/>
            </w:rPr>
            <w:t>Ohio</w:t>
          </w:r>
        </w:smartTag>
      </w:smartTag>
      <w:r>
        <w:rPr>
          <w:rFonts w:ascii="Arial" w:hAnsi="Arial" w:cs="Arial"/>
          <w:sz w:val="20"/>
          <w:szCs w:val="20"/>
        </w:rPr>
        <w:t>, Inc.</w:t>
      </w:r>
      <w:r>
        <w:rPr>
          <w:rFonts w:ascii="Arial" w:hAnsi="Arial" w:cs="Arial"/>
          <w:sz w:val="20"/>
          <w:szCs w:val="20"/>
        </w:rPr>
        <w:tab/>
      </w:r>
      <w:r w:rsidR="00E478D5">
        <w:rPr>
          <w:rFonts w:ascii="Arial" w:hAnsi="Arial" w:cs="Arial"/>
          <w:sz w:val="20"/>
          <w:szCs w:val="20"/>
        </w:rPr>
        <w:t>6</w:t>
      </w:r>
      <w:r>
        <w:rPr>
          <w:rFonts w:ascii="Arial" w:hAnsi="Arial" w:cs="Arial"/>
          <w:sz w:val="20"/>
          <w:szCs w:val="20"/>
        </w:rPr>
        <w:t>th Revised Sheet No. 1</w:t>
      </w:r>
    </w:p>
    <w:p w:rsidR="00B37E3D" w:rsidRPr="00BA697C" w:rsidRDefault="00B37E3D" w:rsidP="00B37E3D">
      <w:pPr>
        <w:tabs>
          <w:tab w:val="right" w:pos="9270"/>
          <w:tab w:val="right" w:pos="9360"/>
          <w:tab w:val="left" w:pos="9720"/>
        </w:tabs>
        <w:ind w:right="1170"/>
        <w:rPr>
          <w:rFonts w:ascii="Arial" w:hAnsi="Arial" w:cs="Arial"/>
          <w:sz w:val="20"/>
          <w:szCs w:val="20"/>
        </w:rPr>
      </w:pPr>
      <w:proofErr w:type="gramStart"/>
      <w:r>
        <w:rPr>
          <w:rFonts w:ascii="Arial" w:hAnsi="Arial" w:cs="Arial"/>
          <w:sz w:val="20"/>
          <w:szCs w:val="20"/>
        </w:rPr>
        <w:t>d/b/a</w:t>
      </w:r>
      <w:proofErr w:type="gramEnd"/>
      <w:r>
        <w:rPr>
          <w:rFonts w:ascii="Arial" w:hAnsi="Arial" w:cs="Arial"/>
          <w:sz w:val="20"/>
          <w:szCs w:val="20"/>
        </w:rPr>
        <w:t xml:space="preserve"> CenturyLink</w:t>
      </w:r>
      <w:r>
        <w:rPr>
          <w:rFonts w:ascii="Arial" w:hAnsi="Arial" w:cs="Arial"/>
          <w:sz w:val="20"/>
          <w:szCs w:val="20"/>
        </w:rPr>
        <w:tab/>
        <w:t xml:space="preserve">Cancels </w:t>
      </w:r>
      <w:r w:rsidR="00A93DEB">
        <w:rPr>
          <w:rFonts w:ascii="Arial" w:hAnsi="Arial" w:cs="Arial"/>
          <w:sz w:val="20"/>
          <w:szCs w:val="20"/>
        </w:rPr>
        <w:t>5</w:t>
      </w:r>
      <w:r>
        <w:rPr>
          <w:rFonts w:ascii="Arial" w:hAnsi="Arial" w:cs="Arial"/>
          <w:sz w:val="20"/>
          <w:szCs w:val="20"/>
        </w:rPr>
        <w:t>th Revised Sheet No. 1</w:t>
      </w:r>
    </w:p>
    <w:p w:rsidR="00B37E3D" w:rsidRPr="00BA697C" w:rsidRDefault="00B37E3D" w:rsidP="00B37E3D">
      <w:pPr>
        <w:rPr>
          <w:rFonts w:ascii="Arial" w:hAnsi="Arial" w:cs="Arial"/>
          <w:sz w:val="20"/>
          <w:szCs w:val="20"/>
        </w:rPr>
      </w:pPr>
    </w:p>
    <w:tbl>
      <w:tblPr>
        <w:tblW w:w="10526" w:type="dxa"/>
        <w:tblLayout w:type="fixed"/>
        <w:tblLook w:val="01E0"/>
      </w:tblPr>
      <w:tblGrid>
        <w:gridCol w:w="9374"/>
        <w:gridCol w:w="1152"/>
      </w:tblGrid>
      <w:tr w:rsidR="00B37E3D" w:rsidRPr="003E1CEE" w:rsidTr="00E478D5">
        <w:trPr>
          <w:trHeight w:val="11664"/>
        </w:trPr>
        <w:tc>
          <w:tcPr>
            <w:tcW w:w="9374" w:type="dxa"/>
          </w:tcPr>
          <w:p w:rsidR="00B37E3D" w:rsidRPr="008752B9" w:rsidRDefault="00B37E3D" w:rsidP="00A93DEB">
            <w:pPr>
              <w:jc w:val="both"/>
              <w:rPr>
                <w:rFonts w:ascii="Arial" w:hAnsi="Arial" w:cs="Arial"/>
                <w:sz w:val="20"/>
                <w:szCs w:val="20"/>
              </w:rPr>
            </w:pPr>
            <w:r w:rsidRPr="008752B9">
              <w:rPr>
                <w:rFonts w:ascii="Arial" w:hAnsi="Arial" w:cs="Arial"/>
                <w:sz w:val="20"/>
                <w:szCs w:val="20"/>
              </w:rPr>
              <w:t>The conditions for the provision of Carrier Access are as specified in the CenturyLink Operating Companies Tariff F.C.C. No. 1, Access Service Tariff, as it now exists, and as it may be revised, added to or supplemented, except for those exceptions as</w:t>
            </w:r>
            <w:r>
              <w:rPr>
                <w:rFonts w:ascii="Arial" w:hAnsi="Arial" w:cs="Arial"/>
                <w:sz w:val="20"/>
                <w:szCs w:val="20"/>
              </w:rPr>
              <w:t xml:space="preserve"> </w:t>
            </w:r>
            <w:r w:rsidRPr="008752B9">
              <w:rPr>
                <w:rFonts w:ascii="Arial" w:hAnsi="Arial" w:cs="Arial"/>
                <w:sz w:val="20"/>
                <w:szCs w:val="20"/>
              </w:rPr>
              <w:t>listed within their respective sections within this tariff.  All exceptions</w:t>
            </w:r>
            <w:r>
              <w:rPr>
                <w:rFonts w:ascii="Arial" w:hAnsi="Arial" w:cs="Arial"/>
                <w:sz w:val="20"/>
                <w:szCs w:val="20"/>
              </w:rPr>
              <w:t xml:space="preserve"> to</w:t>
            </w:r>
            <w:r w:rsidRPr="008752B9">
              <w:rPr>
                <w:rFonts w:ascii="Arial" w:hAnsi="Arial" w:cs="Arial"/>
                <w:sz w:val="20"/>
                <w:szCs w:val="20"/>
              </w:rPr>
              <w:t xml:space="preserve"> rates and charges for the provision of Carrier Access are specified in the respective sections within this tariff.</w:t>
            </w:r>
          </w:p>
          <w:p w:rsidR="00B37E3D" w:rsidRPr="003E1CEE" w:rsidRDefault="00B37E3D" w:rsidP="00E478D5">
            <w:pPr>
              <w:rPr>
                <w:rFonts w:ascii="Arial" w:hAnsi="Arial" w:cs="Arial"/>
                <w:sz w:val="20"/>
                <w:szCs w:val="20"/>
              </w:rPr>
            </w:pPr>
          </w:p>
          <w:p w:rsidR="00B37E3D" w:rsidRPr="003E1CEE" w:rsidRDefault="00B37E3D" w:rsidP="00E478D5">
            <w:pPr>
              <w:rPr>
                <w:rFonts w:ascii="Arial" w:hAnsi="Arial" w:cs="Arial"/>
                <w:sz w:val="20"/>
                <w:szCs w:val="20"/>
              </w:rPr>
            </w:pPr>
            <w:r w:rsidRPr="003E1CEE">
              <w:rPr>
                <w:rFonts w:ascii="Arial" w:hAnsi="Arial" w:cs="Arial"/>
                <w:sz w:val="20"/>
                <w:szCs w:val="20"/>
              </w:rPr>
              <w:t xml:space="preserve">The effectiveness of Section 4, End User Access Service, as applied to Intrastate Customers, has been suspended by the Public Utilities Commission of Ohio. </w:t>
            </w:r>
          </w:p>
          <w:p w:rsidR="00B37E3D" w:rsidRDefault="00B37E3D" w:rsidP="00E478D5">
            <w:pPr>
              <w:rPr>
                <w:rFonts w:ascii="Arial" w:hAnsi="Arial" w:cs="Arial"/>
                <w:sz w:val="20"/>
                <w:szCs w:val="20"/>
              </w:rPr>
            </w:pPr>
          </w:p>
          <w:p w:rsidR="00837741" w:rsidRDefault="00837741" w:rsidP="00E478D5">
            <w:pPr>
              <w:rPr>
                <w:rFonts w:ascii="Arial" w:hAnsi="Arial" w:cs="Arial"/>
                <w:sz w:val="20"/>
                <w:szCs w:val="20"/>
              </w:rPr>
            </w:pPr>
          </w:p>
          <w:p w:rsidR="00A93DEB" w:rsidRDefault="00A93DEB" w:rsidP="00E478D5">
            <w:pPr>
              <w:rPr>
                <w:rFonts w:ascii="Arial" w:hAnsi="Arial" w:cs="Arial"/>
                <w:sz w:val="20"/>
                <w:szCs w:val="20"/>
              </w:rPr>
            </w:pPr>
            <w:r>
              <w:rPr>
                <w:rFonts w:ascii="Arial" w:hAnsi="Arial" w:cs="Arial"/>
                <w:sz w:val="20"/>
                <w:szCs w:val="20"/>
              </w:rPr>
              <w:t>INTRALATA PRESUBSCRIPTION</w:t>
            </w:r>
          </w:p>
          <w:p w:rsidR="00A93DEB" w:rsidRDefault="00A93DEB" w:rsidP="00E478D5">
            <w:pPr>
              <w:rPr>
                <w:rFonts w:ascii="Arial" w:hAnsi="Arial" w:cs="Arial"/>
                <w:sz w:val="20"/>
                <w:szCs w:val="20"/>
              </w:rPr>
            </w:pPr>
          </w:p>
          <w:p w:rsidR="00A93DEB" w:rsidRPr="008752B9" w:rsidRDefault="00A93DEB" w:rsidP="00A93DEB">
            <w:pPr>
              <w:jc w:val="both"/>
              <w:rPr>
                <w:rFonts w:ascii="Arial" w:hAnsi="Arial" w:cs="Arial"/>
                <w:sz w:val="20"/>
                <w:szCs w:val="20"/>
              </w:rPr>
            </w:pPr>
            <w:r>
              <w:rPr>
                <w:rFonts w:ascii="Arial" w:hAnsi="Arial" w:cs="Arial"/>
                <w:sz w:val="20"/>
                <w:szCs w:val="20"/>
              </w:rPr>
              <w:t xml:space="preserve">The conditions for the provision of </w:t>
            </w:r>
            <w:proofErr w:type="spellStart"/>
            <w:r>
              <w:rPr>
                <w:rFonts w:ascii="Arial" w:hAnsi="Arial" w:cs="Arial"/>
                <w:sz w:val="20"/>
                <w:szCs w:val="20"/>
              </w:rPr>
              <w:t>IntraLATA</w:t>
            </w:r>
            <w:proofErr w:type="spellEnd"/>
            <w:r>
              <w:rPr>
                <w:rFonts w:ascii="Arial" w:hAnsi="Arial" w:cs="Arial"/>
                <w:sz w:val="20"/>
                <w:szCs w:val="20"/>
              </w:rPr>
              <w:t xml:space="preserve"> Presubscription </w:t>
            </w:r>
            <w:r w:rsidRPr="008752B9">
              <w:rPr>
                <w:rFonts w:ascii="Arial" w:hAnsi="Arial" w:cs="Arial"/>
                <w:sz w:val="20"/>
                <w:szCs w:val="20"/>
              </w:rPr>
              <w:t>are as specified in</w:t>
            </w:r>
            <w:r w:rsidR="00837741">
              <w:rPr>
                <w:rFonts w:ascii="Arial" w:hAnsi="Arial" w:cs="Arial"/>
                <w:sz w:val="20"/>
                <w:szCs w:val="20"/>
              </w:rPr>
              <w:t xml:space="preserve"> Section 25 of</w:t>
            </w:r>
            <w:r w:rsidRPr="008752B9">
              <w:rPr>
                <w:rFonts w:ascii="Arial" w:hAnsi="Arial" w:cs="Arial"/>
                <w:sz w:val="20"/>
                <w:szCs w:val="20"/>
              </w:rPr>
              <w:t xml:space="preserve"> the </w:t>
            </w:r>
            <w:r>
              <w:rPr>
                <w:rFonts w:ascii="Arial" w:hAnsi="Arial" w:cs="Arial"/>
                <w:sz w:val="20"/>
                <w:szCs w:val="20"/>
              </w:rPr>
              <w:t>United Telephone Company of Ohio P.U.C.O. No. 1 Access Service Tariff</w:t>
            </w:r>
            <w:r w:rsidRPr="008752B9">
              <w:rPr>
                <w:rFonts w:ascii="Arial" w:hAnsi="Arial" w:cs="Arial"/>
                <w:sz w:val="20"/>
                <w:szCs w:val="20"/>
              </w:rPr>
              <w:t>, as it now exists, and as it may be revised, added to or supplemented</w:t>
            </w:r>
            <w:r>
              <w:rPr>
                <w:rFonts w:ascii="Arial" w:hAnsi="Arial" w:cs="Arial"/>
                <w:sz w:val="20"/>
                <w:szCs w:val="20"/>
              </w:rPr>
              <w:t>.</w:t>
            </w:r>
          </w:p>
          <w:p w:rsidR="00A93DEB" w:rsidRDefault="00A93DEB" w:rsidP="00E478D5">
            <w:pPr>
              <w:rPr>
                <w:rFonts w:ascii="Arial" w:hAnsi="Arial" w:cs="Arial"/>
                <w:sz w:val="20"/>
                <w:szCs w:val="20"/>
              </w:rPr>
            </w:pPr>
          </w:p>
          <w:p w:rsidR="00837741" w:rsidRPr="003E1CEE" w:rsidRDefault="00837741" w:rsidP="00E478D5">
            <w:pPr>
              <w:rPr>
                <w:rFonts w:ascii="Arial" w:hAnsi="Arial" w:cs="Arial"/>
                <w:sz w:val="20"/>
                <w:szCs w:val="20"/>
              </w:rPr>
            </w:pPr>
          </w:p>
          <w:p w:rsidR="00B37E3D" w:rsidRPr="003E1CEE" w:rsidRDefault="00B37E3D" w:rsidP="00E478D5">
            <w:pPr>
              <w:rPr>
                <w:rFonts w:ascii="Arial" w:hAnsi="Arial" w:cs="Arial"/>
                <w:sz w:val="20"/>
                <w:szCs w:val="20"/>
              </w:rPr>
            </w:pPr>
            <w:r w:rsidRPr="003E1CEE">
              <w:rPr>
                <w:rFonts w:ascii="Arial" w:hAnsi="Arial" w:cs="Arial"/>
                <w:sz w:val="20"/>
                <w:szCs w:val="20"/>
              </w:rPr>
              <w:t>INTRASTATE CARRIER COMMON LINE ACCESS SERVICE</w:t>
            </w:r>
          </w:p>
          <w:p w:rsidR="00B37E3D" w:rsidRPr="003E1CEE" w:rsidRDefault="00B37E3D" w:rsidP="00E478D5">
            <w:pPr>
              <w:rPr>
                <w:rFonts w:ascii="Arial" w:hAnsi="Arial" w:cs="Arial"/>
                <w:sz w:val="20"/>
                <w:szCs w:val="20"/>
              </w:rPr>
            </w:pPr>
          </w:p>
          <w:p w:rsidR="00B37E3D" w:rsidRPr="003E1CEE" w:rsidRDefault="00B37E3D" w:rsidP="00A93DEB">
            <w:pPr>
              <w:jc w:val="both"/>
              <w:rPr>
                <w:rFonts w:ascii="Arial" w:hAnsi="Arial" w:cs="Arial"/>
                <w:sz w:val="20"/>
                <w:szCs w:val="20"/>
              </w:rPr>
            </w:pPr>
            <w:r w:rsidRPr="003E1CEE">
              <w:rPr>
                <w:rFonts w:ascii="Arial" w:hAnsi="Arial" w:cs="Arial"/>
                <w:sz w:val="20"/>
                <w:szCs w:val="20"/>
              </w:rPr>
              <w:t xml:space="preserve">The Telephone Company will provide Carrier Common Line Access Service (Carrier Common Line Access) to interexchange service providers (“IXCs”) in conjunction with Switched Access Service provided in Section 6. </w:t>
            </w:r>
            <w:proofErr w:type="gramStart"/>
            <w:r w:rsidRPr="003E1CEE">
              <w:rPr>
                <w:rFonts w:ascii="Arial" w:hAnsi="Arial" w:cs="Arial"/>
                <w:sz w:val="20"/>
                <w:szCs w:val="20"/>
              </w:rPr>
              <w:t>of</w:t>
            </w:r>
            <w:proofErr w:type="gramEnd"/>
            <w:r w:rsidRPr="003E1CEE">
              <w:rPr>
                <w:rFonts w:ascii="Arial" w:hAnsi="Arial" w:cs="Arial"/>
                <w:sz w:val="20"/>
                <w:szCs w:val="20"/>
              </w:rPr>
              <w:t xml:space="preserve"> CenturyLink Operating Companies Tariff F.C.C. No. 1.</w:t>
            </w:r>
          </w:p>
          <w:p w:rsidR="00B37E3D" w:rsidRPr="003E1CEE" w:rsidRDefault="00B37E3D" w:rsidP="00E478D5">
            <w:pPr>
              <w:rPr>
                <w:rFonts w:ascii="Arial" w:hAnsi="Arial" w:cs="Arial"/>
                <w:sz w:val="20"/>
                <w:szCs w:val="20"/>
              </w:rPr>
            </w:pPr>
          </w:p>
          <w:p w:rsidR="00B37E3D" w:rsidRPr="003E1CEE" w:rsidRDefault="00B37E3D" w:rsidP="00E478D5">
            <w:pPr>
              <w:ind w:left="720" w:hanging="720"/>
              <w:rPr>
                <w:rFonts w:ascii="Arial" w:hAnsi="Arial" w:cs="Arial"/>
                <w:sz w:val="20"/>
                <w:szCs w:val="20"/>
              </w:rPr>
            </w:pPr>
            <w:r w:rsidRPr="003E1CEE">
              <w:rPr>
                <w:rFonts w:ascii="Arial" w:hAnsi="Arial" w:cs="Arial"/>
                <w:sz w:val="20"/>
                <w:szCs w:val="20"/>
              </w:rPr>
              <w:t>1.</w:t>
            </w:r>
            <w:r w:rsidRPr="003E1CEE">
              <w:rPr>
                <w:rFonts w:ascii="Arial" w:hAnsi="Arial" w:cs="Arial"/>
                <w:sz w:val="20"/>
                <w:szCs w:val="20"/>
              </w:rPr>
              <w:tab/>
              <w:t>General Description</w:t>
            </w:r>
          </w:p>
          <w:p w:rsidR="00B37E3D" w:rsidRPr="003E1CEE" w:rsidRDefault="00B37E3D" w:rsidP="00E478D5">
            <w:pPr>
              <w:rPr>
                <w:rFonts w:ascii="Arial" w:hAnsi="Arial" w:cs="Arial"/>
                <w:sz w:val="20"/>
                <w:szCs w:val="20"/>
              </w:rPr>
            </w:pPr>
          </w:p>
          <w:p w:rsidR="00B37E3D" w:rsidRPr="003E1CEE" w:rsidRDefault="00B37E3D" w:rsidP="00A93DEB">
            <w:pPr>
              <w:ind w:left="720"/>
              <w:jc w:val="both"/>
              <w:rPr>
                <w:rFonts w:ascii="Arial" w:hAnsi="Arial" w:cs="Arial"/>
                <w:sz w:val="20"/>
                <w:szCs w:val="20"/>
              </w:rPr>
            </w:pPr>
            <w:r w:rsidRPr="003E1CEE">
              <w:rPr>
                <w:rFonts w:ascii="Arial" w:hAnsi="Arial" w:cs="Arial"/>
                <w:sz w:val="20"/>
                <w:szCs w:val="20"/>
              </w:rPr>
              <w:t>Carrier Common Line Access provides for the use of end users' Telephone Company-provided common lines by IXCs for access to such end users to furnish intrastate communications.</w:t>
            </w:r>
          </w:p>
          <w:p w:rsidR="00B37E3D" w:rsidRPr="003E1CEE" w:rsidRDefault="00B37E3D" w:rsidP="00A93DEB">
            <w:pPr>
              <w:ind w:left="720"/>
              <w:jc w:val="both"/>
              <w:rPr>
                <w:rFonts w:ascii="Arial" w:hAnsi="Arial" w:cs="Arial"/>
                <w:sz w:val="20"/>
                <w:szCs w:val="20"/>
              </w:rPr>
            </w:pPr>
          </w:p>
          <w:p w:rsidR="00B37E3D" w:rsidRPr="003E1CEE" w:rsidRDefault="00B37E3D" w:rsidP="00A93DEB">
            <w:pPr>
              <w:ind w:left="720"/>
              <w:jc w:val="both"/>
              <w:rPr>
                <w:rFonts w:ascii="Arial" w:hAnsi="Arial" w:cs="Arial"/>
                <w:sz w:val="20"/>
                <w:szCs w:val="20"/>
              </w:rPr>
            </w:pPr>
            <w:r w:rsidRPr="003E1CEE">
              <w:rPr>
                <w:rFonts w:ascii="Arial" w:hAnsi="Arial" w:cs="Arial"/>
                <w:sz w:val="20"/>
                <w:szCs w:val="20"/>
              </w:rPr>
              <w:t>Premium Access is (1) Switched Access Service provided to customers under this tariff which furnish intrastate MTS/WATS, and (2) Switched Access Service in an end office converted to equal access.</w:t>
            </w:r>
          </w:p>
          <w:p w:rsidR="00B37E3D" w:rsidRPr="003E1CEE" w:rsidRDefault="00B37E3D" w:rsidP="00A93DEB">
            <w:pPr>
              <w:jc w:val="both"/>
              <w:rPr>
                <w:rFonts w:ascii="Arial" w:hAnsi="Arial" w:cs="Arial"/>
                <w:sz w:val="20"/>
                <w:szCs w:val="20"/>
              </w:rPr>
            </w:pPr>
          </w:p>
          <w:p w:rsidR="00B37E3D" w:rsidRPr="003E1CEE" w:rsidRDefault="00B37E3D" w:rsidP="00E478D5">
            <w:pPr>
              <w:ind w:left="720" w:hanging="720"/>
              <w:rPr>
                <w:rFonts w:ascii="Arial" w:hAnsi="Arial" w:cs="Arial"/>
                <w:sz w:val="20"/>
                <w:szCs w:val="20"/>
              </w:rPr>
            </w:pPr>
            <w:r w:rsidRPr="003E1CEE">
              <w:rPr>
                <w:rFonts w:ascii="Arial" w:hAnsi="Arial" w:cs="Arial"/>
                <w:sz w:val="20"/>
                <w:szCs w:val="20"/>
              </w:rPr>
              <w:t>2.</w:t>
            </w:r>
            <w:r w:rsidRPr="003E1CEE">
              <w:rPr>
                <w:rFonts w:ascii="Arial" w:hAnsi="Arial" w:cs="Arial"/>
                <w:sz w:val="20"/>
                <w:szCs w:val="20"/>
              </w:rPr>
              <w:tab/>
              <w:t>Limitations</w:t>
            </w:r>
          </w:p>
          <w:p w:rsidR="00B37E3D" w:rsidRPr="003E1CEE" w:rsidRDefault="00B37E3D" w:rsidP="00E478D5">
            <w:pPr>
              <w:rPr>
                <w:rFonts w:ascii="Arial" w:hAnsi="Arial" w:cs="Arial"/>
                <w:sz w:val="20"/>
                <w:szCs w:val="20"/>
              </w:rPr>
            </w:pPr>
          </w:p>
          <w:p w:rsidR="00B37E3D" w:rsidRPr="003E1CEE" w:rsidRDefault="00B37E3D" w:rsidP="00E478D5">
            <w:pPr>
              <w:ind w:left="1440" w:hanging="720"/>
              <w:rPr>
                <w:rFonts w:ascii="Arial" w:hAnsi="Arial" w:cs="Arial"/>
                <w:sz w:val="20"/>
                <w:szCs w:val="20"/>
              </w:rPr>
            </w:pPr>
            <w:r w:rsidRPr="003E1CEE">
              <w:rPr>
                <w:rFonts w:ascii="Arial" w:hAnsi="Arial" w:cs="Arial"/>
                <w:sz w:val="20"/>
                <w:szCs w:val="20"/>
              </w:rPr>
              <w:t>2.1</w:t>
            </w:r>
            <w:r w:rsidRPr="003E1CEE">
              <w:rPr>
                <w:rFonts w:ascii="Arial" w:hAnsi="Arial" w:cs="Arial"/>
                <w:sz w:val="20"/>
                <w:szCs w:val="20"/>
              </w:rPr>
              <w:tab/>
              <w:t>Exclusions</w:t>
            </w:r>
          </w:p>
          <w:p w:rsidR="00B37E3D" w:rsidRPr="003E1CEE" w:rsidRDefault="00B37E3D" w:rsidP="00E478D5">
            <w:pPr>
              <w:rPr>
                <w:rFonts w:ascii="Arial" w:hAnsi="Arial" w:cs="Arial"/>
                <w:sz w:val="20"/>
                <w:szCs w:val="20"/>
              </w:rPr>
            </w:pPr>
          </w:p>
          <w:p w:rsidR="00B37E3D" w:rsidRPr="003E1CEE" w:rsidRDefault="00B37E3D" w:rsidP="00A93DEB">
            <w:pPr>
              <w:ind w:left="1440"/>
              <w:jc w:val="both"/>
              <w:rPr>
                <w:rFonts w:ascii="Arial" w:hAnsi="Arial" w:cs="Arial"/>
                <w:sz w:val="20"/>
                <w:szCs w:val="20"/>
              </w:rPr>
            </w:pPr>
            <w:r w:rsidRPr="003E1CEE">
              <w:rPr>
                <w:rFonts w:ascii="Arial" w:hAnsi="Arial" w:cs="Arial"/>
                <w:sz w:val="20"/>
                <w:szCs w:val="20"/>
              </w:rPr>
              <w:t>Neither a telephone number nor detail billing is provided with Carrier Common Line Access.  Additionally, directory listings and intercept arrangements are not included in the rates and charges for Carrier Common Line Access.</w:t>
            </w:r>
          </w:p>
          <w:p w:rsidR="00B37E3D" w:rsidRPr="003E1CEE" w:rsidRDefault="00B37E3D" w:rsidP="00A93DEB">
            <w:pPr>
              <w:ind w:left="990"/>
              <w:jc w:val="both"/>
              <w:rPr>
                <w:rFonts w:ascii="Arial" w:hAnsi="Arial" w:cs="Arial"/>
                <w:sz w:val="20"/>
                <w:szCs w:val="20"/>
              </w:rPr>
            </w:pPr>
          </w:p>
          <w:p w:rsidR="00B37E3D" w:rsidRPr="003E1CEE" w:rsidRDefault="00B37E3D" w:rsidP="00A93DEB">
            <w:pPr>
              <w:ind w:left="1440" w:hanging="704"/>
              <w:jc w:val="both"/>
              <w:rPr>
                <w:rFonts w:ascii="Arial" w:hAnsi="Arial" w:cs="Arial"/>
                <w:sz w:val="20"/>
                <w:szCs w:val="20"/>
              </w:rPr>
            </w:pPr>
            <w:r w:rsidRPr="003E1CEE">
              <w:rPr>
                <w:rFonts w:ascii="Arial" w:hAnsi="Arial" w:cs="Arial"/>
                <w:sz w:val="20"/>
                <w:szCs w:val="20"/>
              </w:rPr>
              <w:t>2.2</w:t>
            </w:r>
            <w:r w:rsidRPr="003E1CEE">
              <w:rPr>
                <w:rFonts w:ascii="Arial" w:hAnsi="Arial" w:cs="Arial"/>
                <w:sz w:val="20"/>
                <w:szCs w:val="20"/>
              </w:rPr>
              <w:tab/>
              <w:t>Access Groups</w:t>
            </w:r>
          </w:p>
          <w:p w:rsidR="00B37E3D" w:rsidRPr="003E1CEE" w:rsidRDefault="00B37E3D" w:rsidP="00A93DEB">
            <w:pPr>
              <w:ind w:firstLine="16"/>
              <w:jc w:val="both"/>
              <w:rPr>
                <w:rFonts w:ascii="Arial" w:hAnsi="Arial" w:cs="Arial"/>
                <w:sz w:val="20"/>
                <w:szCs w:val="20"/>
              </w:rPr>
            </w:pPr>
          </w:p>
          <w:p w:rsidR="00B37E3D" w:rsidRPr="003E1CEE" w:rsidRDefault="00B37E3D" w:rsidP="00A93DEB">
            <w:pPr>
              <w:ind w:left="1440"/>
              <w:jc w:val="both"/>
              <w:rPr>
                <w:rFonts w:ascii="Arial" w:hAnsi="Arial" w:cs="Arial"/>
                <w:sz w:val="20"/>
                <w:szCs w:val="20"/>
              </w:rPr>
            </w:pPr>
            <w:r w:rsidRPr="003E1CEE">
              <w:rPr>
                <w:rFonts w:ascii="Arial" w:hAnsi="Arial" w:cs="Arial"/>
                <w:sz w:val="20"/>
                <w:szCs w:val="20"/>
              </w:rPr>
              <w:t>All line side connections provided in the same access group will be limited to the same features and operating characteristics.</w:t>
            </w:r>
          </w:p>
          <w:p w:rsidR="00B37E3D" w:rsidRPr="003E1CEE" w:rsidRDefault="00B37E3D" w:rsidP="00A93DEB">
            <w:pPr>
              <w:ind w:left="1080" w:firstLine="16"/>
              <w:jc w:val="both"/>
              <w:rPr>
                <w:rFonts w:ascii="Arial" w:hAnsi="Arial" w:cs="Arial"/>
                <w:sz w:val="20"/>
                <w:szCs w:val="20"/>
              </w:rPr>
            </w:pPr>
          </w:p>
          <w:p w:rsidR="00B37E3D" w:rsidRPr="003E1CEE" w:rsidRDefault="00B37E3D" w:rsidP="00A93DEB">
            <w:pPr>
              <w:ind w:left="1440"/>
              <w:jc w:val="both"/>
              <w:rPr>
                <w:rFonts w:ascii="Arial" w:hAnsi="Arial" w:cs="Arial"/>
                <w:sz w:val="20"/>
                <w:szCs w:val="20"/>
              </w:rPr>
            </w:pPr>
            <w:r w:rsidRPr="003E1CEE">
              <w:rPr>
                <w:rFonts w:ascii="Arial" w:hAnsi="Arial" w:cs="Arial"/>
                <w:sz w:val="20"/>
                <w:szCs w:val="20"/>
              </w:rPr>
              <w:t>All trunk side connections provided in the same access group will be limited to the same features and operating characteristics.</w:t>
            </w:r>
          </w:p>
          <w:p w:rsidR="00B37E3D" w:rsidRPr="003E1CEE" w:rsidRDefault="00B37E3D" w:rsidP="00A93DEB">
            <w:pPr>
              <w:jc w:val="both"/>
              <w:rPr>
                <w:rFonts w:ascii="Arial" w:hAnsi="Arial" w:cs="Arial"/>
                <w:sz w:val="20"/>
                <w:szCs w:val="20"/>
              </w:rPr>
            </w:pPr>
          </w:p>
          <w:p w:rsidR="00B37E3D" w:rsidRPr="003E1CEE" w:rsidRDefault="00B37E3D" w:rsidP="00E478D5">
            <w:pPr>
              <w:rPr>
                <w:rFonts w:ascii="Arial" w:hAnsi="Arial" w:cs="Arial"/>
                <w:sz w:val="20"/>
                <w:szCs w:val="20"/>
              </w:rPr>
            </w:pPr>
          </w:p>
          <w:p w:rsidR="00B37E3D" w:rsidRPr="003E1CEE" w:rsidRDefault="00B37E3D" w:rsidP="00E478D5">
            <w:pPr>
              <w:rPr>
                <w:rFonts w:ascii="Arial" w:hAnsi="Arial" w:cs="Arial"/>
                <w:sz w:val="20"/>
                <w:szCs w:val="20"/>
              </w:rPr>
            </w:pPr>
          </w:p>
        </w:tc>
        <w:tc>
          <w:tcPr>
            <w:tcW w:w="1152" w:type="dxa"/>
          </w:tcPr>
          <w:p w:rsidR="00B37E3D" w:rsidRDefault="00B37E3D"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837741" w:rsidRDefault="00837741"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p>
          <w:p w:rsidR="00A93DEB" w:rsidRDefault="00A93DEB" w:rsidP="00E478D5">
            <w:pPr>
              <w:tabs>
                <w:tab w:val="left" w:pos="346"/>
              </w:tabs>
              <w:jc w:val="center"/>
              <w:rPr>
                <w:rFonts w:ascii="Arial" w:hAnsi="Arial" w:cs="Arial"/>
                <w:sz w:val="20"/>
                <w:szCs w:val="20"/>
              </w:rPr>
            </w:pPr>
            <w:r>
              <w:rPr>
                <w:rFonts w:ascii="Arial" w:hAnsi="Arial" w:cs="Arial"/>
                <w:sz w:val="20"/>
                <w:szCs w:val="20"/>
              </w:rPr>
              <w:t>(N)</w:t>
            </w:r>
          </w:p>
          <w:p w:rsidR="00A93DEB" w:rsidRDefault="00A93DEB" w:rsidP="00A93DEB">
            <w:pPr>
              <w:tabs>
                <w:tab w:val="bar" w:pos="466"/>
              </w:tabs>
              <w:jc w:val="center"/>
              <w:rPr>
                <w:rFonts w:ascii="Arial" w:hAnsi="Arial" w:cs="Arial"/>
                <w:sz w:val="20"/>
                <w:szCs w:val="20"/>
              </w:rPr>
            </w:pPr>
          </w:p>
          <w:p w:rsidR="00A93DEB" w:rsidRDefault="00A93DEB" w:rsidP="00A93DEB">
            <w:pPr>
              <w:tabs>
                <w:tab w:val="bar" w:pos="466"/>
              </w:tabs>
              <w:jc w:val="center"/>
              <w:rPr>
                <w:rFonts w:ascii="Arial" w:hAnsi="Arial" w:cs="Arial"/>
                <w:sz w:val="20"/>
                <w:szCs w:val="20"/>
              </w:rPr>
            </w:pPr>
          </w:p>
          <w:p w:rsidR="00A93DEB" w:rsidRDefault="00A93DEB" w:rsidP="00A93DEB">
            <w:pPr>
              <w:tabs>
                <w:tab w:val="bar" w:pos="466"/>
              </w:tabs>
              <w:jc w:val="center"/>
              <w:rPr>
                <w:rFonts w:ascii="Arial" w:hAnsi="Arial" w:cs="Arial"/>
                <w:sz w:val="20"/>
                <w:szCs w:val="20"/>
              </w:rPr>
            </w:pPr>
          </w:p>
          <w:p w:rsidR="00A93DEB" w:rsidRPr="003E1CEE" w:rsidRDefault="00A93DEB" w:rsidP="00E478D5">
            <w:pPr>
              <w:tabs>
                <w:tab w:val="left" w:pos="346"/>
              </w:tabs>
              <w:jc w:val="center"/>
              <w:rPr>
                <w:rFonts w:ascii="Arial" w:hAnsi="Arial" w:cs="Arial"/>
                <w:sz w:val="20"/>
                <w:szCs w:val="20"/>
              </w:rPr>
            </w:pPr>
            <w:r>
              <w:rPr>
                <w:rFonts w:ascii="Arial" w:hAnsi="Arial" w:cs="Arial"/>
                <w:sz w:val="20"/>
                <w:szCs w:val="20"/>
              </w:rPr>
              <w:t>(N)</w:t>
            </w:r>
          </w:p>
        </w:tc>
      </w:tr>
    </w:tbl>
    <w:p w:rsidR="00E478D5" w:rsidRDefault="00E478D5" w:rsidP="00E478D5">
      <w:pPr>
        <w:tabs>
          <w:tab w:val="right" w:pos="9270"/>
        </w:tabs>
        <w:ind w:left="-90" w:right="1260"/>
        <w:rPr>
          <w:rFonts w:ascii="Arial" w:hAnsi="Arial" w:cs="Arial"/>
          <w:sz w:val="20"/>
          <w:szCs w:val="20"/>
        </w:rPr>
      </w:pPr>
      <w:r>
        <w:rPr>
          <w:rFonts w:ascii="Arial" w:hAnsi="Arial" w:cs="Arial"/>
          <w:sz w:val="20"/>
          <w:szCs w:val="20"/>
        </w:rPr>
        <w:t>Issued:  January 2</w:t>
      </w:r>
      <w:r w:rsidR="00E92296">
        <w:rPr>
          <w:rFonts w:ascii="Arial" w:hAnsi="Arial" w:cs="Arial"/>
          <w:sz w:val="20"/>
          <w:szCs w:val="20"/>
        </w:rPr>
        <w:t>7</w:t>
      </w:r>
      <w:r>
        <w:rPr>
          <w:rFonts w:ascii="Arial" w:hAnsi="Arial" w:cs="Arial"/>
          <w:sz w:val="20"/>
          <w:szCs w:val="20"/>
        </w:rPr>
        <w:t>, 2016</w:t>
      </w:r>
      <w:r>
        <w:rPr>
          <w:rFonts w:ascii="Arial" w:hAnsi="Arial" w:cs="Arial"/>
          <w:sz w:val="20"/>
          <w:szCs w:val="20"/>
        </w:rPr>
        <w:tab/>
        <w:t xml:space="preserve">Effective:  </w:t>
      </w:r>
      <w:r w:rsidR="000B0D3D">
        <w:rPr>
          <w:rFonts w:ascii="Arial" w:hAnsi="Arial" w:cs="Arial"/>
          <w:sz w:val="20"/>
          <w:szCs w:val="20"/>
        </w:rPr>
        <w:t>February 27</w:t>
      </w:r>
      <w:r>
        <w:rPr>
          <w:rFonts w:ascii="Arial" w:hAnsi="Arial" w:cs="Arial"/>
          <w:sz w:val="20"/>
          <w:szCs w:val="20"/>
        </w:rPr>
        <w:t>, 2016</w:t>
      </w:r>
    </w:p>
    <w:p w:rsidR="00E478D5" w:rsidRDefault="00E478D5" w:rsidP="00E478D5">
      <w:pPr>
        <w:pStyle w:val="Default"/>
        <w:tabs>
          <w:tab w:val="right" w:pos="9270"/>
        </w:tabs>
        <w:ind w:left="-90"/>
        <w:rPr>
          <w:sz w:val="20"/>
          <w:szCs w:val="20"/>
        </w:rPr>
      </w:pPr>
      <w:r>
        <w:rPr>
          <w:sz w:val="20"/>
          <w:szCs w:val="20"/>
        </w:rPr>
        <w:t xml:space="preserve">CenturyTel of Ohio, Inc. d/b/a CenturyLink </w:t>
      </w:r>
      <w:r>
        <w:rPr>
          <w:sz w:val="20"/>
          <w:szCs w:val="20"/>
        </w:rPr>
        <w:tab/>
        <w:t xml:space="preserve">In accordance with Case Nos.: 90-5010-TP-TRF </w:t>
      </w:r>
    </w:p>
    <w:p w:rsidR="00E478D5" w:rsidRDefault="00E478D5" w:rsidP="00E478D5">
      <w:pPr>
        <w:pStyle w:val="Default"/>
        <w:tabs>
          <w:tab w:val="right" w:pos="9270"/>
        </w:tabs>
        <w:ind w:left="-90"/>
        <w:rPr>
          <w:sz w:val="20"/>
          <w:szCs w:val="20"/>
        </w:rPr>
      </w:pPr>
      <w:r>
        <w:rPr>
          <w:sz w:val="20"/>
          <w:szCs w:val="20"/>
        </w:rPr>
        <w:t xml:space="preserve">By Bill Hanchey, Vice President </w:t>
      </w:r>
      <w:r>
        <w:rPr>
          <w:sz w:val="20"/>
          <w:szCs w:val="20"/>
        </w:rPr>
        <w:tab/>
      </w:r>
      <w:r w:rsidRPr="00E92296">
        <w:rPr>
          <w:sz w:val="20"/>
          <w:szCs w:val="20"/>
        </w:rPr>
        <w:t>and 16-</w:t>
      </w:r>
      <w:r w:rsidR="00E92296" w:rsidRPr="00E92296">
        <w:rPr>
          <w:sz w:val="20"/>
          <w:szCs w:val="20"/>
        </w:rPr>
        <w:t>0236</w:t>
      </w:r>
      <w:r w:rsidRPr="00E92296">
        <w:rPr>
          <w:sz w:val="20"/>
          <w:szCs w:val="20"/>
        </w:rPr>
        <w:t>-TP-ATA</w:t>
      </w:r>
      <w:r>
        <w:rPr>
          <w:sz w:val="20"/>
          <w:szCs w:val="20"/>
        </w:rPr>
        <w:t xml:space="preserve"> </w:t>
      </w:r>
    </w:p>
    <w:p w:rsidR="00A67BC0" w:rsidRDefault="00E478D5" w:rsidP="00E478D5">
      <w:pPr>
        <w:pStyle w:val="Default"/>
        <w:tabs>
          <w:tab w:val="right" w:pos="9270"/>
        </w:tabs>
        <w:ind w:left="-90"/>
      </w:pPr>
      <w:r>
        <w:rPr>
          <w:sz w:val="20"/>
          <w:szCs w:val="20"/>
        </w:rPr>
        <w:t xml:space="preserve">Wake Forest, North Carolina </w:t>
      </w:r>
      <w:r>
        <w:rPr>
          <w:sz w:val="20"/>
          <w:szCs w:val="20"/>
        </w:rPr>
        <w:tab/>
        <w:t xml:space="preserve">Issued by the Public Utilities Commission of Ohio </w:t>
      </w:r>
    </w:p>
    <w:sectPr w:rsidR="00A67BC0" w:rsidSect="00E56E20">
      <w:pgSz w:w="12240" w:h="15840" w:code="1"/>
      <w:pgMar w:top="720" w:right="72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proofState w:spelling="clean" w:grammar="clean"/>
  <w:stylePaneFormatFilter w:val="0004"/>
  <w:revisionView w:inkAnnotations="0"/>
  <w:defaultTabStop w:val="720"/>
  <w:drawingGridHorizontalSpacing w:val="120"/>
  <w:displayHorizontalDrawingGridEvery w:val="2"/>
  <w:characterSpacingControl w:val="doNotCompress"/>
  <w:compat/>
  <w:rsids>
    <w:rsidRoot w:val="00541788"/>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0D3D"/>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AC0"/>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0E77"/>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788"/>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4E56"/>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679"/>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37741"/>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737"/>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3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3DEB"/>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37E3D"/>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8CA"/>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C05"/>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30"/>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8D5"/>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6E20"/>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296"/>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0C88"/>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41788"/>
    <w:pPr>
      <w:spacing w:line="240" w:lineRule="auto"/>
    </w:pPr>
    <w:rPr>
      <w:rFonts w:eastAsia="Times New Roman" w:cs="Times New Roman"/>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rPr>
      <w:rFonts w:eastAsiaTheme="minorHAnsi" w:cstheme="minorBidi"/>
      <w:lang w:bidi="en-US"/>
    </w:rPr>
  </w:style>
  <w:style w:type="paragraph" w:customStyle="1" w:styleId="L1Bullet">
    <w:name w:val="L1Bullet"/>
    <w:basedOn w:val="Normal"/>
    <w:link w:val="L1BulletChar"/>
    <w:qFormat/>
    <w:rsid w:val="00930679"/>
    <w:pPr>
      <w:tabs>
        <w:tab w:val="left" w:pos="240"/>
      </w:tabs>
      <w:ind w:left="240" w:hanging="240"/>
      <w:jc w:val="both"/>
    </w:pPr>
    <w:rPr>
      <w:rFonts w:eastAsiaTheme="minorHAnsi" w:cstheme="minorBidi"/>
      <w:lang w:bidi="en-US"/>
    </w:rPr>
  </w:style>
  <w:style w:type="paragraph" w:customStyle="1" w:styleId="L1Contents">
    <w:name w:val="L1Contents"/>
    <w:basedOn w:val="Normal"/>
    <w:qFormat/>
    <w:rsid w:val="00930679"/>
    <w:pPr>
      <w:jc w:val="center"/>
    </w:pPr>
    <w:rPr>
      <w:rFonts w:eastAsiaTheme="minorHAnsi" w:cstheme="minorBidi"/>
      <w:b/>
      <w:smallCaps/>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rFonts w:eastAsiaTheme="minorHAnsi" w:cstheme="minorBidi"/>
      <w:b/>
      <w:smallCaps/>
      <w:lang w:bidi="en-US"/>
    </w:rPr>
  </w:style>
  <w:style w:type="paragraph" w:customStyle="1" w:styleId="L1Text">
    <w:name w:val="L1Text"/>
    <w:basedOn w:val="Normal"/>
    <w:qFormat/>
    <w:rsid w:val="00930679"/>
    <w:pPr>
      <w:jc w:val="both"/>
    </w:pPr>
    <w:rPr>
      <w:rFonts w:eastAsiaTheme="minorHAnsi" w:cstheme="minorBidi"/>
      <w:lang w:bidi="en-US"/>
    </w:rPr>
  </w:style>
  <w:style w:type="paragraph" w:customStyle="1" w:styleId="L2Heading">
    <w:name w:val="L2Heading"/>
    <w:basedOn w:val="Normal"/>
    <w:link w:val="L2HeadingChar"/>
    <w:qFormat/>
    <w:rsid w:val="00930679"/>
    <w:pPr>
      <w:tabs>
        <w:tab w:val="left" w:pos="760"/>
      </w:tabs>
      <w:ind w:left="760" w:hanging="760"/>
      <w:jc w:val="both"/>
    </w:pPr>
    <w:rPr>
      <w:rFonts w:eastAsiaTheme="minorHAnsi" w:cstheme="minorBidi"/>
      <w:b/>
      <w:smallCaps/>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rFonts w:eastAsiaTheme="minorHAnsi" w:cstheme="minorBidi"/>
      <w:smallCaps/>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rFonts w:eastAsiaTheme="minorHAnsi" w:cstheme="minorBidi"/>
      <w:b/>
      <w:smallCaps/>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rFonts w:eastAsiaTheme="minorHAnsi" w:cstheme="minorBidi"/>
      <w:smallCaps/>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rPr>
      <w:rFonts w:eastAsiaTheme="minorHAnsi" w:cstheme="minorBidi"/>
      <w:lang w:bidi="en-US"/>
    </w:rPr>
  </w:style>
  <w:style w:type="paragraph" w:customStyle="1" w:styleId="L4Contents">
    <w:name w:val="L4Contents"/>
    <w:basedOn w:val="Normal"/>
    <w:qFormat/>
    <w:rsid w:val="00930679"/>
    <w:pPr>
      <w:tabs>
        <w:tab w:val="decimal" w:pos="360"/>
        <w:tab w:val="left" w:pos="680"/>
        <w:tab w:val="right" w:leader="dot" w:pos="7200"/>
        <w:tab w:val="decimal" w:pos="7960"/>
      </w:tabs>
    </w:pPr>
    <w:rPr>
      <w:rFonts w:eastAsiaTheme="minorHAnsi" w:cstheme="minorBidi"/>
      <w:smallCaps/>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rPr>
      <w:rFonts w:eastAsiaTheme="minorHAnsi" w:cstheme="minorBidi"/>
      <w:lang w:bidi="en-US"/>
    </w:rPr>
  </w:style>
  <w:style w:type="paragraph" w:customStyle="1" w:styleId="L5Bullet">
    <w:name w:val="L5Bullet"/>
    <w:basedOn w:val="Normal"/>
    <w:qFormat/>
    <w:rsid w:val="00930679"/>
    <w:pPr>
      <w:tabs>
        <w:tab w:val="left" w:pos="960"/>
      </w:tabs>
      <w:ind w:left="960" w:hanging="240"/>
      <w:jc w:val="both"/>
    </w:pPr>
    <w:rPr>
      <w:rFonts w:eastAsiaTheme="minorHAnsi" w:cstheme="minorBidi"/>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rPr>
      <w:rFonts w:eastAsiaTheme="minorHAnsi" w:cstheme="minorBidi"/>
      <w:lang w:bidi="en-US"/>
    </w:rPr>
  </w:style>
  <w:style w:type="paragraph" w:customStyle="1" w:styleId="L6Bullet">
    <w:name w:val="L6Bullet"/>
    <w:basedOn w:val="Normal"/>
    <w:qFormat/>
    <w:rsid w:val="00930679"/>
    <w:pPr>
      <w:tabs>
        <w:tab w:val="left" w:pos="1080"/>
      </w:tabs>
      <w:ind w:left="1080" w:hanging="240"/>
      <w:jc w:val="both"/>
    </w:pPr>
    <w:rPr>
      <w:rFonts w:eastAsiaTheme="minorHAnsi" w:cstheme="minorBidi"/>
      <w:lang w:bidi="en-US"/>
    </w:rPr>
  </w:style>
  <w:style w:type="paragraph" w:customStyle="1" w:styleId="L6Dash">
    <w:name w:val="L6Dash"/>
    <w:basedOn w:val="Normal"/>
    <w:qFormat/>
    <w:rsid w:val="00930679"/>
    <w:pPr>
      <w:tabs>
        <w:tab w:val="left" w:pos="1320"/>
      </w:tabs>
      <w:ind w:left="1340" w:hanging="260"/>
      <w:jc w:val="both"/>
    </w:pPr>
    <w:rPr>
      <w:rFonts w:eastAsiaTheme="minorHAnsi" w:cstheme="minorBidi"/>
      <w:lang w:bidi="en-US"/>
    </w:r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rPr>
      <w:rFonts w:eastAsiaTheme="minorHAnsi" w:cstheme="minorBidi"/>
      <w:lang w:bidi="en-US"/>
    </w:rPr>
  </w:style>
  <w:style w:type="paragraph" w:customStyle="1" w:styleId="L7Bullet">
    <w:name w:val="L7Bullet"/>
    <w:basedOn w:val="Normal"/>
    <w:link w:val="L7BulletChar"/>
    <w:qFormat/>
    <w:rsid w:val="00930679"/>
    <w:pPr>
      <w:tabs>
        <w:tab w:val="left" w:pos="1280"/>
      </w:tabs>
      <w:ind w:left="1300" w:hanging="260"/>
      <w:jc w:val="both"/>
    </w:pPr>
    <w:rPr>
      <w:rFonts w:eastAsiaTheme="minorHAnsi" w:cstheme="minorBidi"/>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rPr>
      <w:rFonts w:eastAsiaTheme="minorHAnsi" w:cstheme="minorBidi"/>
      <w:lang w:bidi="en-US"/>
    </w:rPr>
  </w:style>
  <w:style w:type="paragraph" w:customStyle="1" w:styleId="L8Bullet">
    <w:name w:val="L8Bullet"/>
    <w:basedOn w:val="Normal"/>
    <w:qFormat/>
    <w:rsid w:val="00930679"/>
    <w:pPr>
      <w:tabs>
        <w:tab w:val="left" w:pos="1400"/>
      </w:tabs>
      <w:ind w:left="1400" w:hanging="240"/>
      <w:jc w:val="both"/>
    </w:pPr>
    <w:rPr>
      <w:rFonts w:eastAsiaTheme="minorHAnsi" w:cstheme="minorBidi"/>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rPr>
      <w:rFonts w:eastAsiaTheme="minorHAnsi" w:cstheme="minorBidi"/>
      <w:lang w:bidi="en-US"/>
    </w:rPr>
  </w:style>
  <w:style w:type="paragraph" w:customStyle="1" w:styleId="Reference">
    <w:name w:val="Reference"/>
    <w:basedOn w:val="Normal"/>
    <w:link w:val="ReferenceChar"/>
    <w:qFormat/>
    <w:rsid w:val="00930679"/>
    <w:pPr>
      <w:tabs>
        <w:tab w:val="left" w:pos="560"/>
      </w:tabs>
      <w:ind w:left="560" w:hanging="560"/>
      <w:jc w:val="both"/>
    </w:pPr>
    <w:rPr>
      <w:rFonts w:eastAsiaTheme="minorHAnsi" w:cstheme="minorBidi"/>
    </w:rPr>
  </w:style>
  <w:style w:type="paragraph" w:styleId="Footer">
    <w:name w:val="footer"/>
    <w:basedOn w:val="Normal"/>
    <w:rsid w:val="00AC76E9"/>
    <w:pPr>
      <w:tabs>
        <w:tab w:val="center" w:pos="4320"/>
        <w:tab w:val="right" w:pos="8640"/>
      </w:tabs>
    </w:pPr>
    <w:rPr>
      <w:rFonts w:eastAsiaTheme="minorHAnsi" w:cstheme="minorBidi"/>
      <w:szCs w:val="20"/>
      <w:lang w:bidi="en-US"/>
    </w:rPr>
  </w:style>
  <w:style w:type="paragraph" w:styleId="Header">
    <w:name w:val="header"/>
    <w:basedOn w:val="Normal"/>
    <w:rsid w:val="00AC76E9"/>
    <w:pPr>
      <w:tabs>
        <w:tab w:val="center" w:pos="4320"/>
        <w:tab w:val="right" w:pos="8640"/>
      </w:tabs>
    </w:pPr>
    <w:rPr>
      <w:rFonts w:eastAsiaTheme="minorHAnsi" w:cstheme="minorBidi"/>
      <w:szCs w:val="20"/>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rFonts w:eastAsiaTheme="minorHAnsi" w:cstheme="minorBidi"/>
      <w:b/>
      <w:bCs/>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paragraph" w:customStyle="1" w:styleId="Default">
    <w:name w:val="Default"/>
    <w:rsid w:val="00E478D5"/>
    <w:pPr>
      <w:autoSpaceDE w:val="0"/>
      <w:autoSpaceDN w:val="0"/>
      <w:adjustRightInd w:val="0"/>
      <w:spacing w:line="240" w:lineRule="auto"/>
    </w:pPr>
    <w:rPr>
      <w:rFonts w:ascii="Arial" w:hAnsi="Arial" w:cs="Arial"/>
      <w:color w:val="00000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2016-03-02T22:52:00Z</dcterms:created>
  <dcterms:modified xsi:type="dcterms:W3CDTF">2016-03-02T22:57:00Z</dcterms:modified>
</cp:coreProperties>
</file>