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A4A1E" w14:textId="77777777" w:rsidR="004B5D68" w:rsidRPr="004B5D68" w:rsidRDefault="004B5D68" w:rsidP="004B5D68">
      <w:pPr>
        <w:jc w:val="center"/>
        <w:rPr>
          <w:rFonts w:eastAsia="Times New Roman" w:cs="Arial"/>
          <w:b/>
          <w:smallCaps/>
          <w:sz w:val="32"/>
          <w:szCs w:val="32"/>
        </w:rPr>
      </w:pPr>
      <w:bookmarkStart w:id="0" w:name="OLE_LINK1"/>
      <w:bookmarkStart w:id="1" w:name="OLE_LINK2"/>
      <w:r w:rsidRPr="004B5D68">
        <w:rPr>
          <w:rFonts w:eastAsia="Times New Roman" w:cs="Arial"/>
          <w:b/>
          <w:smallCaps/>
          <w:sz w:val="32"/>
          <w:szCs w:val="32"/>
        </w:rPr>
        <w:t>Before</w:t>
      </w:r>
    </w:p>
    <w:p w14:paraId="32BA2888" w14:textId="77777777" w:rsidR="004B5D68" w:rsidRPr="004B5D68" w:rsidRDefault="004B5D68" w:rsidP="004B5D68">
      <w:pPr>
        <w:jc w:val="center"/>
        <w:rPr>
          <w:rFonts w:eastAsia="Times New Roman" w:cs="Arial"/>
          <w:b/>
          <w:smallCaps/>
          <w:sz w:val="32"/>
          <w:szCs w:val="32"/>
        </w:rPr>
      </w:pPr>
      <w:r w:rsidRPr="004B5D68">
        <w:rPr>
          <w:rFonts w:eastAsia="Times New Roman" w:cs="Arial"/>
          <w:b/>
          <w:smallCaps/>
          <w:sz w:val="32"/>
          <w:szCs w:val="32"/>
        </w:rPr>
        <w:t>The Public Utilities Commission of Ohio</w:t>
      </w:r>
    </w:p>
    <w:p w14:paraId="2AB1B5C3" w14:textId="77777777" w:rsidR="004B5D68" w:rsidRPr="004B5D68" w:rsidRDefault="004B5D68" w:rsidP="004B5D68">
      <w:pPr>
        <w:autoSpaceDE w:val="0"/>
        <w:autoSpaceDN w:val="0"/>
        <w:adjustRightInd w:val="0"/>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707"/>
        <w:gridCol w:w="4140"/>
      </w:tblGrid>
      <w:tr w:rsidR="004B5D68" w:rsidRPr="004B5D68" w14:paraId="485304A6" w14:textId="77777777" w:rsidTr="003108FE">
        <w:tc>
          <w:tcPr>
            <w:tcW w:w="4608" w:type="dxa"/>
          </w:tcPr>
          <w:p w14:paraId="7E96B0D5"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Establish a Standard Service Offer Pursuant to Section 4928.143, Revised Code, in the Form of an Electric Security Plan, Accounting Modifications and Tariffs for Generation Service.</w:t>
            </w:r>
          </w:p>
        </w:tc>
        <w:tc>
          <w:tcPr>
            <w:tcW w:w="720" w:type="dxa"/>
          </w:tcPr>
          <w:p w14:paraId="760AE804"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1B73DF69"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74E7FA8"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98438EF"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5088E7B0"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F2D33FD"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74303DB5"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79BC4FEC"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r>
            <w:r w:rsidRPr="004B5D68">
              <w:rPr>
                <w:rFonts w:ascii="Arial" w:eastAsia="Calibri" w:hAnsi="Arial" w:cs="Arial"/>
                <w:sz w:val="24"/>
                <w:szCs w:val="24"/>
              </w:rPr>
              <w:br/>
            </w:r>
            <w:r w:rsidRPr="004B5D68">
              <w:rPr>
                <w:rFonts w:ascii="Arial" w:eastAsia="Calibri" w:hAnsi="Arial" w:cs="Arial"/>
                <w:sz w:val="24"/>
                <w:szCs w:val="24"/>
              </w:rPr>
              <w:br/>
              <w:t>Case No. 17-1263-EL-SSO</w:t>
            </w:r>
          </w:p>
        </w:tc>
      </w:tr>
      <w:tr w:rsidR="004B5D68" w:rsidRPr="004B5D68" w14:paraId="72380A52" w14:textId="77777777" w:rsidTr="003108FE">
        <w:tc>
          <w:tcPr>
            <w:tcW w:w="4608" w:type="dxa"/>
          </w:tcPr>
          <w:p w14:paraId="33E62E25" w14:textId="77777777" w:rsidR="004B5D68" w:rsidRPr="004B5D68" w:rsidRDefault="004B5D68" w:rsidP="004B5D68">
            <w:pPr>
              <w:autoSpaceDE w:val="0"/>
              <w:autoSpaceDN w:val="0"/>
              <w:adjustRightInd w:val="0"/>
              <w:rPr>
                <w:rFonts w:ascii="Arial" w:eastAsia="Calibri" w:hAnsi="Arial" w:cs="Arial"/>
                <w:sz w:val="24"/>
                <w:szCs w:val="24"/>
              </w:rPr>
            </w:pPr>
          </w:p>
        </w:tc>
        <w:tc>
          <w:tcPr>
            <w:tcW w:w="720" w:type="dxa"/>
          </w:tcPr>
          <w:p w14:paraId="2085131E" w14:textId="77777777" w:rsidR="004B5D68" w:rsidRPr="004B5D68" w:rsidRDefault="004B5D68" w:rsidP="004B5D68">
            <w:pPr>
              <w:autoSpaceDE w:val="0"/>
              <w:autoSpaceDN w:val="0"/>
              <w:adjustRightInd w:val="0"/>
              <w:rPr>
                <w:rFonts w:ascii="Arial" w:eastAsia="Calibri" w:hAnsi="Arial" w:cs="Arial"/>
                <w:sz w:val="24"/>
                <w:szCs w:val="24"/>
              </w:rPr>
            </w:pPr>
          </w:p>
        </w:tc>
        <w:tc>
          <w:tcPr>
            <w:tcW w:w="4248" w:type="dxa"/>
          </w:tcPr>
          <w:p w14:paraId="2C3B18ED" w14:textId="77777777" w:rsidR="004B5D68" w:rsidRPr="004B5D68" w:rsidRDefault="004B5D68" w:rsidP="004B5D68">
            <w:pPr>
              <w:autoSpaceDE w:val="0"/>
              <w:autoSpaceDN w:val="0"/>
              <w:adjustRightInd w:val="0"/>
              <w:rPr>
                <w:rFonts w:ascii="Arial" w:eastAsia="Calibri" w:hAnsi="Arial" w:cs="Arial"/>
                <w:sz w:val="24"/>
                <w:szCs w:val="24"/>
              </w:rPr>
            </w:pPr>
          </w:p>
        </w:tc>
      </w:tr>
      <w:tr w:rsidR="004B5D68" w:rsidRPr="004B5D68" w14:paraId="4BD8714A" w14:textId="77777777" w:rsidTr="003108FE">
        <w:tc>
          <w:tcPr>
            <w:tcW w:w="4608" w:type="dxa"/>
          </w:tcPr>
          <w:p w14:paraId="6AF0DDE7"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Amend its Certified Supplier Tariff, P.U.C.O. No. 20.</w:t>
            </w:r>
          </w:p>
        </w:tc>
        <w:tc>
          <w:tcPr>
            <w:tcW w:w="720" w:type="dxa"/>
          </w:tcPr>
          <w:p w14:paraId="357DD956"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380779CE"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11D8AB35"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02CBBCA"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0F2CFC51"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17-1264-EL-ATA</w:t>
            </w:r>
          </w:p>
        </w:tc>
      </w:tr>
      <w:tr w:rsidR="004B5D68" w:rsidRPr="004B5D68" w14:paraId="0CC98523" w14:textId="77777777" w:rsidTr="003108FE">
        <w:tc>
          <w:tcPr>
            <w:tcW w:w="4608" w:type="dxa"/>
          </w:tcPr>
          <w:p w14:paraId="497EF0C2" w14:textId="77777777" w:rsidR="004B5D68" w:rsidRPr="004B5D68" w:rsidRDefault="004B5D68" w:rsidP="004B5D68">
            <w:pPr>
              <w:autoSpaceDE w:val="0"/>
              <w:autoSpaceDN w:val="0"/>
              <w:adjustRightInd w:val="0"/>
              <w:rPr>
                <w:rFonts w:ascii="Arial" w:eastAsia="Calibri" w:hAnsi="Arial" w:cs="Arial"/>
                <w:sz w:val="24"/>
                <w:szCs w:val="24"/>
              </w:rPr>
            </w:pPr>
          </w:p>
        </w:tc>
        <w:tc>
          <w:tcPr>
            <w:tcW w:w="720" w:type="dxa"/>
          </w:tcPr>
          <w:p w14:paraId="25E72A41" w14:textId="77777777" w:rsidR="004B5D68" w:rsidRPr="004B5D68" w:rsidRDefault="004B5D68" w:rsidP="004B5D68">
            <w:pPr>
              <w:autoSpaceDE w:val="0"/>
              <w:autoSpaceDN w:val="0"/>
              <w:adjustRightInd w:val="0"/>
              <w:rPr>
                <w:rFonts w:ascii="Arial" w:eastAsia="Calibri" w:hAnsi="Arial" w:cs="Arial"/>
                <w:sz w:val="24"/>
                <w:szCs w:val="24"/>
              </w:rPr>
            </w:pPr>
          </w:p>
        </w:tc>
        <w:tc>
          <w:tcPr>
            <w:tcW w:w="4248" w:type="dxa"/>
          </w:tcPr>
          <w:p w14:paraId="304CC90B" w14:textId="77777777" w:rsidR="004B5D68" w:rsidRPr="004B5D68" w:rsidRDefault="004B5D68" w:rsidP="004B5D68">
            <w:pPr>
              <w:autoSpaceDE w:val="0"/>
              <w:autoSpaceDN w:val="0"/>
              <w:adjustRightInd w:val="0"/>
              <w:rPr>
                <w:rFonts w:ascii="Arial" w:eastAsia="Calibri" w:hAnsi="Arial" w:cs="Arial"/>
                <w:sz w:val="24"/>
                <w:szCs w:val="24"/>
              </w:rPr>
            </w:pPr>
          </w:p>
        </w:tc>
      </w:tr>
      <w:tr w:rsidR="004B5D68" w:rsidRPr="004B5D68" w14:paraId="1EEFE1C4" w14:textId="77777777" w:rsidTr="003108FE">
        <w:tc>
          <w:tcPr>
            <w:tcW w:w="4608" w:type="dxa"/>
          </w:tcPr>
          <w:p w14:paraId="2A0556E6"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Defer Vegetation Management Costs.</w:t>
            </w:r>
          </w:p>
        </w:tc>
        <w:tc>
          <w:tcPr>
            <w:tcW w:w="720" w:type="dxa"/>
          </w:tcPr>
          <w:p w14:paraId="29E37E76"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17774498"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558F38E2"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728622BF"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17-1265-EL-AAM</w:t>
            </w:r>
          </w:p>
        </w:tc>
      </w:tr>
    </w:tbl>
    <w:p w14:paraId="73B4D0BA" w14:textId="77777777" w:rsidR="004B5D68" w:rsidRPr="004B5D68" w:rsidRDefault="004B5D68" w:rsidP="004B5D68">
      <w:pPr>
        <w:autoSpaceDE w:val="0"/>
        <w:autoSpaceDN w:val="0"/>
        <w:adjustRightInd w:val="0"/>
        <w:rPr>
          <w:rFonts w:eastAsia="Calibri" w:cs="Arial"/>
        </w:rPr>
      </w:pPr>
    </w:p>
    <w:p w14:paraId="7AB85612" w14:textId="77777777" w:rsidR="004B5D68" w:rsidRPr="004B5D68" w:rsidRDefault="004B5D68" w:rsidP="004B5D68">
      <w:pPr>
        <w:tabs>
          <w:tab w:val="left" w:pos="5040"/>
        </w:tabs>
        <w:jc w:val="both"/>
        <w:rPr>
          <w:rFonts w:eastAsia="Times New Roman" w:cs="Arial"/>
        </w:rPr>
      </w:pPr>
    </w:p>
    <w:p w14:paraId="0CCADCF7" w14:textId="77777777" w:rsidR="004B5D68" w:rsidRPr="004B5D68" w:rsidRDefault="004B5D68" w:rsidP="004B5D68">
      <w:pPr>
        <w:pBdr>
          <w:top w:val="single" w:sz="12" w:space="1" w:color="auto"/>
        </w:pBdr>
        <w:jc w:val="center"/>
        <w:rPr>
          <w:b/>
          <w:sz w:val="28"/>
          <w:szCs w:val="28"/>
        </w:rPr>
      </w:pPr>
    </w:p>
    <w:bookmarkEnd w:id="0"/>
    <w:bookmarkEnd w:id="1"/>
    <w:p w14:paraId="4E4F4A0F" w14:textId="77777777" w:rsidR="004B5D68" w:rsidRPr="004B5D68" w:rsidRDefault="004B5D68" w:rsidP="004B5D68">
      <w:pPr>
        <w:jc w:val="center"/>
        <w:rPr>
          <w:rFonts w:ascii="Arial Bold" w:hAnsi="Arial Bold"/>
          <w:b/>
          <w:smallCaps/>
          <w:sz w:val="32"/>
        </w:rPr>
      </w:pPr>
      <w:r w:rsidRPr="004B5D68">
        <w:rPr>
          <w:rFonts w:ascii="Arial Bold" w:hAnsi="Arial Bold"/>
          <w:b/>
          <w:smallCaps/>
          <w:sz w:val="32"/>
        </w:rPr>
        <w:t>Motion of Industrial Energy Users-Ohio</w:t>
      </w:r>
    </w:p>
    <w:p w14:paraId="21E6951C" w14:textId="77777777" w:rsidR="004B5D68" w:rsidRPr="004B5D68" w:rsidRDefault="004B5D68" w:rsidP="004B5D68">
      <w:pPr>
        <w:jc w:val="center"/>
        <w:rPr>
          <w:rFonts w:ascii="Arial Bold" w:hAnsi="Arial Bold"/>
          <w:b/>
          <w:smallCaps/>
          <w:sz w:val="32"/>
        </w:rPr>
      </w:pPr>
      <w:r w:rsidRPr="004B5D68">
        <w:rPr>
          <w:rFonts w:ascii="Arial Bold" w:hAnsi="Arial Bold"/>
          <w:b/>
          <w:smallCaps/>
          <w:sz w:val="32"/>
        </w:rPr>
        <w:t>to Dismiss the Request by Duke Energy Ohio, Inc.</w:t>
      </w:r>
    </w:p>
    <w:p w14:paraId="52D91091" w14:textId="2644365F" w:rsidR="004B5D68" w:rsidRPr="004B5D68" w:rsidRDefault="004B5D68" w:rsidP="004B5D68">
      <w:pPr>
        <w:jc w:val="center"/>
        <w:rPr>
          <w:rFonts w:ascii="Arial Bold" w:hAnsi="Arial Bold"/>
          <w:b/>
          <w:smallCaps/>
          <w:sz w:val="32"/>
        </w:rPr>
      </w:pPr>
      <w:r w:rsidRPr="004B5D68">
        <w:rPr>
          <w:rFonts w:ascii="Arial Bold" w:hAnsi="Arial Bold"/>
          <w:b/>
          <w:smallCaps/>
          <w:sz w:val="32"/>
        </w:rPr>
        <w:t>for Authorization for a Price Stabilization Rider</w:t>
      </w:r>
    </w:p>
    <w:p w14:paraId="6C5D72D3" w14:textId="3F0B194E" w:rsidR="004B5D68" w:rsidRPr="004B5D68" w:rsidRDefault="004B5D68" w:rsidP="004B5D68">
      <w:pPr>
        <w:jc w:val="center"/>
        <w:rPr>
          <w:rFonts w:ascii="Arial Bold" w:hAnsi="Arial Bold"/>
          <w:b/>
          <w:smallCaps/>
          <w:sz w:val="32"/>
        </w:rPr>
      </w:pPr>
      <w:r w:rsidRPr="004B5D68">
        <w:rPr>
          <w:rFonts w:ascii="Arial Bold" w:hAnsi="Arial Bold"/>
          <w:b/>
          <w:smallCaps/>
          <w:sz w:val="32"/>
        </w:rPr>
        <w:t>and Memorandum in Support</w:t>
      </w:r>
    </w:p>
    <w:p w14:paraId="7E6613AB" w14:textId="77777777" w:rsidR="004B5D68" w:rsidRPr="004B5D68" w:rsidRDefault="004B5D68" w:rsidP="004B5D68">
      <w:pPr>
        <w:pBdr>
          <w:bottom w:val="single" w:sz="12" w:space="1" w:color="auto"/>
        </w:pBdr>
        <w:jc w:val="center"/>
        <w:rPr>
          <w:rFonts w:eastAsia="Times New Roman" w:cs="Arial"/>
          <w:b/>
          <w:smallCaps/>
          <w:sz w:val="28"/>
          <w:u w:val="single"/>
        </w:rPr>
      </w:pPr>
    </w:p>
    <w:p w14:paraId="2D0D829B" w14:textId="77777777" w:rsidR="004B5D68" w:rsidRPr="004B5D68" w:rsidRDefault="004B5D68" w:rsidP="004B5D68">
      <w:pPr>
        <w:jc w:val="center"/>
        <w:rPr>
          <w:rFonts w:eastAsia="Times New Roman" w:cs="Arial"/>
          <w:b/>
          <w:smallCaps/>
          <w:sz w:val="28"/>
          <w:u w:val="single"/>
        </w:rPr>
      </w:pPr>
    </w:p>
    <w:p w14:paraId="7A5834F8" w14:textId="77777777" w:rsidR="004B5D68" w:rsidRPr="004B5D68" w:rsidRDefault="004B5D68" w:rsidP="004B5D68">
      <w:pPr>
        <w:jc w:val="center"/>
        <w:rPr>
          <w:rFonts w:eastAsia="Times New Roman" w:cs="Arial"/>
          <w:b/>
          <w:smallCaps/>
          <w:sz w:val="28"/>
          <w:u w:val="single"/>
        </w:rPr>
      </w:pPr>
    </w:p>
    <w:p w14:paraId="24F504EF" w14:textId="77777777" w:rsidR="004B5D68" w:rsidRPr="004B5D68" w:rsidRDefault="004B5D68" w:rsidP="004B5D68">
      <w:pPr>
        <w:jc w:val="center"/>
        <w:rPr>
          <w:rFonts w:eastAsia="Times New Roman" w:cs="Arial"/>
          <w:b/>
          <w:smallCaps/>
          <w:sz w:val="28"/>
          <w:u w:val="single"/>
        </w:rPr>
      </w:pPr>
    </w:p>
    <w:p w14:paraId="3EB50607" w14:textId="77777777" w:rsidR="004B5D68" w:rsidRPr="004B5D68" w:rsidRDefault="004B5D68" w:rsidP="004B5D68">
      <w:pPr>
        <w:jc w:val="center"/>
        <w:rPr>
          <w:rFonts w:eastAsia="Times New Roman" w:cs="Arial"/>
          <w:b/>
          <w:smallCaps/>
          <w:sz w:val="28"/>
          <w:u w:val="single"/>
        </w:rPr>
      </w:pPr>
    </w:p>
    <w:p w14:paraId="41B504CC" w14:textId="77777777" w:rsidR="004B5D68" w:rsidRPr="004B5D68" w:rsidRDefault="004B5D68" w:rsidP="004B5D68">
      <w:pPr>
        <w:widowControl w:val="0"/>
        <w:ind w:left="4320"/>
        <w:jc w:val="both"/>
        <w:rPr>
          <w:rFonts w:eastAsia="Times New Roman" w:cs="Arial"/>
          <w:bCs/>
          <w:szCs w:val="20"/>
        </w:rPr>
      </w:pPr>
      <w:r w:rsidRPr="004B5D68">
        <w:rPr>
          <w:rFonts w:eastAsia="Times New Roman" w:cs="Arial"/>
          <w:bCs/>
          <w:szCs w:val="20"/>
        </w:rPr>
        <w:t>Frank P. Darr (Reg. No. 0025469)</w:t>
      </w:r>
    </w:p>
    <w:p w14:paraId="5885E02C" w14:textId="77777777" w:rsidR="004B5D68" w:rsidRPr="004B5D68" w:rsidRDefault="004B5D68" w:rsidP="004B5D68">
      <w:pPr>
        <w:tabs>
          <w:tab w:val="right" w:pos="8640"/>
        </w:tabs>
        <w:ind w:left="4320"/>
        <w:jc w:val="both"/>
        <w:rPr>
          <w:rFonts w:eastAsia="Times New Roman" w:cs="Arial"/>
        </w:rPr>
      </w:pPr>
      <w:r w:rsidRPr="004B5D68">
        <w:rPr>
          <w:rFonts w:eastAsia="Times New Roman" w:cs="Arial"/>
        </w:rPr>
        <w:t>(Counsel of Record)</w:t>
      </w:r>
    </w:p>
    <w:p w14:paraId="22F5DE90" w14:textId="77777777" w:rsidR="004B5D68" w:rsidRPr="004B5D68" w:rsidRDefault="004B5D68" w:rsidP="004B5D68">
      <w:pPr>
        <w:widowControl w:val="0"/>
        <w:ind w:left="4320"/>
        <w:jc w:val="both"/>
        <w:rPr>
          <w:rFonts w:eastAsia="Times New Roman" w:cs="Arial"/>
          <w:bCs/>
          <w:szCs w:val="20"/>
        </w:rPr>
      </w:pPr>
      <w:r w:rsidRPr="004B5D68">
        <w:rPr>
          <w:rFonts w:eastAsia="Times New Roman" w:cs="Arial"/>
          <w:bCs/>
          <w:szCs w:val="20"/>
        </w:rPr>
        <w:t>Matthew R. Pritchard (Reg. No. 0088070)</w:t>
      </w:r>
    </w:p>
    <w:p w14:paraId="4D680757" w14:textId="77777777" w:rsidR="004B5D68" w:rsidRPr="004B5D68" w:rsidRDefault="004B5D68" w:rsidP="004B5D68">
      <w:pPr>
        <w:widowControl w:val="0"/>
        <w:ind w:left="4320"/>
        <w:jc w:val="both"/>
        <w:rPr>
          <w:rFonts w:eastAsia="Times New Roman" w:cs="Arial"/>
          <w:bCs/>
          <w:smallCaps/>
        </w:rPr>
      </w:pPr>
      <w:r w:rsidRPr="004B5D68">
        <w:rPr>
          <w:rFonts w:eastAsia="Times New Roman" w:cs="Arial"/>
          <w:bCs/>
          <w:smallCaps/>
        </w:rPr>
        <w:t>McNees Wallace &amp; Nurick LLC</w:t>
      </w:r>
    </w:p>
    <w:p w14:paraId="2AEE63F5" w14:textId="77777777" w:rsidR="004B5D68" w:rsidRPr="004B5D68" w:rsidRDefault="004B5D68" w:rsidP="004B5D68">
      <w:pPr>
        <w:widowControl w:val="0"/>
        <w:ind w:left="4320"/>
        <w:jc w:val="both"/>
        <w:rPr>
          <w:rFonts w:eastAsia="Times New Roman" w:cs="Arial"/>
          <w:bCs/>
          <w:szCs w:val="20"/>
        </w:rPr>
      </w:pPr>
      <w:r w:rsidRPr="004B5D68">
        <w:rPr>
          <w:rFonts w:eastAsia="Times New Roman" w:cs="Arial"/>
          <w:bCs/>
          <w:szCs w:val="20"/>
        </w:rPr>
        <w:t>21 East State Street, 17</w:t>
      </w:r>
      <w:r w:rsidRPr="004B5D68">
        <w:rPr>
          <w:rFonts w:eastAsia="Times New Roman" w:cs="Arial"/>
          <w:bCs/>
          <w:szCs w:val="20"/>
          <w:vertAlign w:val="superscript"/>
        </w:rPr>
        <w:t>TH</w:t>
      </w:r>
      <w:r w:rsidRPr="004B5D68">
        <w:rPr>
          <w:rFonts w:eastAsia="Times New Roman" w:cs="Arial"/>
          <w:bCs/>
          <w:szCs w:val="20"/>
        </w:rPr>
        <w:t xml:space="preserve"> Floor</w:t>
      </w:r>
    </w:p>
    <w:p w14:paraId="167D6F32" w14:textId="77777777" w:rsidR="004B5D68" w:rsidRPr="004B5D68" w:rsidRDefault="004B5D68" w:rsidP="004B5D68">
      <w:pPr>
        <w:ind w:left="4320"/>
        <w:jc w:val="both"/>
        <w:rPr>
          <w:rFonts w:eastAsia="Times New Roman" w:cs="Arial"/>
        </w:rPr>
      </w:pPr>
      <w:r w:rsidRPr="004B5D68">
        <w:rPr>
          <w:rFonts w:eastAsia="Times New Roman" w:cs="Arial"/>
        </w:rPr>
        <w:t>Columbus, OH  43215</w:t>
      </w:r>
    </w:p>
    <w:p w14:paraId="651F85B0" w14:textId="77777777" w:rsidR="004B5D68" w:rsidRPr="004B5D68" w:rsidRDefault="004B5D68" w:rsidP="004B5D68">
      <w:pPr>
        <w:ind w:left="4320"/>
        <w:jc w:val="both"/>
        <w:rPr>
          <w:rFonts w:eastAsia="Times New Roman" w:cs="Arial"/>
        </w:rPr>
      </w:pPr>
      <w:r w:rsidRPr="004B5D68">
        <w:rPr>
          <w:rFonts w:eastAsia="Times New Roman" w:cs="Arial"/>
        </w:rPr>
        <w:t>Telephone:  (614) 469-8000</w:t>
      </w:r>
    </w:p>
    <w:p w14:paraId="05589771" w14:textId="77777777" w:rsidR="004B5D68" w:rsidRPr="004B5D68" w:rsidRDefault="004B5D68" w:rsidP="004B5D68">
      <w:pPr>
        <w:ind w:left="4320"/>
        <w:jc w:val="both"/>
        <w:rPr>
          <w:rFonts w:eastAsia="Times New Roman" w:cs="Arial"/>
        </w:rPr>
      </w:pPr>
      <w:r w:rsidRPr="004B5D68">
        <w:rPr>
          <w:rFonts w:eastAsia="Times New Roman" w:cs="Arial"/>
        </w:rPr>
        <w:t>Telecopier:  (614) 469-4653</w:t>
      </w:r>
    </w:p>
    <w:p w14:paraId="32B6901C" w14:textId="77777777" w:rsidR="004B5D68" w:rsidRPr="004B5D68" w:rsidRDefault="004B5D68" w:rsidP="004B5D68">
      <w:pPr>
        <w:ind w:left="4320"/>
        <w:jc w:val="both"/>
        <w:rPr>
          <w:rFonts w:eastAsia="Times New Roman" w:cs="Arial"/>
        </w:rPr>
      </w:pPr>
      <w:r w:rsidRPr="004B5D68">
        <w:rPr>
          <w:rFonts w:eastAsia="Times New Roman" w:cs="Arial"/>
        </w:rPr>
        <w:t>fdarr@mwncmh.com</w:t>
      </w:r>
    </w:p>
    <w:p w14:paraId="20C355A5" w14:textId="77777777" w:rsidR="004B5D68" w:rsidRPr="004B5D68" w:rsidRDefault="004B5D68" w:rsidP="004B5D68">
      <w:pPr>
        <w:ind w:left="4320"/>
        <w:jc w:val="both"/>
        <w:rPr>
          <w:rFonts w:eastAsia="Times New Roman" w:cs="Arial"/>
        </w:rPr>
      </w:pPr>
      <w:r w:rsidRPr="004B5D68">
        <w:rPr>
          <w:rFonts w:eastAsia="Times New Roman" w:cs="Arial"/>
        </w:rPr>
        <w:t>mpritchard@mwncmh.com</w:t>
      </w:r>
    </w:p>
    <w:p w14:paraId="00B95BC2" w14:textId="77777777" w:rsidR="004B5D68" w:rsidRPr="004B5D68" w:rsidRDefault="004B5D68" w:rsidP="004B5D68">
      <w:pPr>
        <w:tabs>
          <w:tab w:val="left" w:pos="4320"/>
          <w:tab w:val="right" w:pos="8640"/>
        </w:tabs>
        <w:jc w:val="both"/>
        <w:rPr>
          <w:rFonts w:eastAsia="Times New Roman" w:cs="Arial"/>
        </w:rPr>
      </w:pPr>
    </w:p>
    <w:p w14:paraId="0A372BA5" w14:textId="53187D1F" w:rsidR="00517CF2" w:rsidRDefault="004B5D68" w:rsidP="004B5D68">
      <w:pPr>
        <w:tabs>
          <w:tab w:val="left" w:pos="4320"/>
        </w:tabs>
        <w:ind w:left="4320" w:hanging="4320"/>
        <w:rPr>
          <w:rFonts w:eastAsia="Times New Roman" w:cs="Arial"/>
          <w:b/>
        </w:rPr>
        <w:sectPr w:rsidR="00517CF2" w:rsidSect="00517C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r>
        <w:rPr>
          <w:rFonts w:eastAsia="Times New Roman" w:cs="Arial"/>
          <w:b/>
        </w:rPr>
        <w:t xml:space="preserve">October </w:t>
      </w:r>
      <w:r w:rsidR="00F224B9">
        <w:rPr>
          <w:rFonts w:eastAsia="Times New Roman" w:cs="Arial"/>
          <w:b/>
        </w:rPr>
        <w:t>1</w:t>
      </w:r>
      <w:r w:rsidR="00563CEB">
        <w:rPr>
          <w:rFonts w:eastAsia="Times New Roman" w:cs="Arial"/>
          <w:b/>
        </w:rPr>
        <w:t>3</w:t>
      </w:r>
      <w:r w:rsidR="00F224B9">
        <w:rPr>
          <w:rFonts w:eastAsia="Times New Roman" w:cs="Arial"/>
          <w:b/>
        </w:rPr>
        <w:t xml:space="preserve">, </w:t>
      </w:r>
      <w:r w:rsidRPr="004B5D68">
        <w:rPr>
          <w:rFonts w:eastAsia="Times New Roman" w:cs="Arial"/>
          <w:b/>
        </w:rPr>
        <w:t>2017</w:t>
      </w:r>
      <w:r w:rsidRPr="004B5D68">
        <w:rPr>
          <w:rFonts w:eastAsia="Times New Roman" w:cs="Arial"/>
          <w:b/>
        </w:rPr>
        <w:tab/>
        <w:t>Attorneys for Industrial Energy Users-Ohio</w:t>
      </w:r>
    </w:p>
    <w:p w14:paraId="4840EF43" w14:textId="1F16412B" w:rsidR="00517CF2" w:rsidRPr="00517CF2" w:rsidRDefault="00517CF2" w:rsidP="00517CF2">
      <w:pPr>
        <w:tabs>
          <w:tab w:val="left" w:pos="4320"/>
        </w:tabs>
        <w:ind w:left="4320" w:hanging="4320"/>
        <w:jc w:val="center"/>
        <w:rPr>
          <w:rFonts w:ascii="Arial Bold" w:eastAsia="Times New Roman" w:hAnsi="Arial Bold" w:cs="Arial"/>
          <w:b/>
          <w:smallCaps/>
          <w:sz w:val="28"/>
          <w:u w:val="single"/>
        </w:rPr>
      </w:pPr>
      <w:r w:rsidRPr="00517CF2">
        <w:rPr>
          <w:rFonts w:ascii="Arial Bold" w:eastAsia="Times New Roman" w:hAnsi="Arial Bold" w:cs="Arial"/>
          <w:b/>
          <w:smallCaps/>
          <w:sz w:val="28"/>
          <w:u w:val="single"/>
        </w:rPr>
        <w:lastRenderedPageBreak/>
        <w:t>Table of Contents</w:t>
      </w:r>
    </w:p>
    <w:p w14:paraId="33CEC253" w14:textId="0A9A6862" w:rsidR="00517CF2" w:rsidRDefault="00517CF2" w:rsidP="004B5D68">
      <w:pPr>
        <w:tabs>
          <w:tab w:val="left" w:pos="4320"/>
        </w:tabs>
        <w:ind w:left="4320" w:hanging="4320"/>
        <w:rPr>
          <w:rFonts w:eastAsia="Times New Roman" w:cs="Arial"/>
          <w:b/>
        </w:rPr>
      </w:pPr>
    </w:p>
    <w:p w14:paraId="60A32468" w14:textId="553FDEEB" w:rsidR="00517CF2" w:rsidRPr="00563CEB" w:rsidRDefault="00517CF2" w:rsidP="00517CF2">
      <w:pPr>
        <w:tabs>
          <w:tab w:val="left" w:pos="4320"/>
        </w:tabs>
        <w:ind w:left="4320" w:hanging="4320"/>
        <w:jc w:val="right"/>
        <w:rPr>
          <w:rFonts w:eastAsia="Times New Roman" w:cs="Arial"/>
          <w:b/>
          <w:u w:val="single"/>
        </w:rPr>
      </w:pPr>
      <w:r w:rsidRPr="00563CEB">
        <w:rPr>
          <w:rFonts w:eastAsia="Times New Roman" w:cs="Arial"/>
          <w:b/>
          <w:u w:val="single"/>
        </w:rPr>
        <w:t>Page</w:t>
      </w:r>
    </w:p>
    <w:p w14:paraId="0E57BA96" w14:textId="77777777" w:rsidR="00517CF2" w:rsidRDefault="00517CF2" w:rsidP="004B5D68">
      <w:pPr>
        <w:tabs>
          <w:tab w:val="left" w:pos="4320"/>
        </w:tabs>
        <w:ind w:left="4320" w:hanging="4320"/>
        <w:rPr>
          <w:rFonts w:eastAsia="Times New Roman" w:cs="Arial"/>
          <w:b/>
        </w:rPr>
      </w:pPr>
    </w:p>
    <w:p w14:paraId="6EEE4C4D" w14:textId="0CE01F88" w:rsidR="005F0D4F" w:rsidRDefault="00517CF2">
      <w:pPr>
        <w:pStyle w:val="TOC1"/>
        <w:rPr>
          <w:rFonts w:asciiTheme="minorHAnsi" w:eastAsiaTheme="minorEastAsia" w:hAnsiTheme="minorHAnsi"/>
          <w:noProof/>
          <w:sz w:val="22"/>
          <w:szCs w:val="22"/>
        </w:rPr>
      </w:pPr>
      <w:r>
        <w:rPr>
          <w:rFonts w:eastAsia="Times New Roman" w:cs="Arial"/>
          <w:b/>
          <w:smallCaps/>
          <w:sz w:val="28"/>
        </w:rPr>
        <w:fldChar w:fldCharType="begin"/>
      </w:r>
      <w:r>
        <w:rPr>
          <w:rFonts w:eastAsia="Times New Roman" w:cs="Arial"/>
          <w:b/>
          <w:smallCaps/>
          <w:sz w:val="28"/>
        </w:rPr>
        <w:instrText xml:space="preserve"> TOC \o "1-4" \h \z \u </w:instrText>
      </w:r>
      <w:r>
        <w:rPr>
          <w:rFonts w:eastAsia="Times New Roman" w:cs="Arial"/>
          <w:b/>
          <w:smallCaps/>
          <w:sz w:val="28"/>
        </w:rPr>
        <w:fldChar w:fldCharType="separate"/>
      </w:r>
      <w:hyperlink w:anchor="_Toc495654617" w:history="1">
        <w:r w:rsidR="005F0D4F" w:rsidRPr="000F1B68">
          <w:rPr>
            <w:rStyle w:val="Hyperlink"/>
            <w:noProof/>
          </w:rPr>
          <w:t>I.</w:t>
        </w:r>
        <w:r w:rsidR="005F0D4F">
          <w:rPr>
            <w:rFonts w:asciiTheme="minorHAnsi" w:eastAsiaTheme="minorEastAsia" w:hAnsiTheme="minorHAnsi"/>
            <w:noProof/>
            <w:sz w:val="22"/>
            <w:szCs w:val="22"/>
          </w:rPr>
          <w:tab/>
        </w:r>
        <w:r w:rsidR="005F0D4F" w:rsidRPr="000F1B68">
          <w:rPr>
            <w:rStyle w:val="Hyperlink"/>
            <w:noProof/>
          </w:rPr>
          <w:t>INTRODUCTION</w:t>
        </w:r>
        <w:r w:rsidR="005F0D4F">
          <w:rPr>
            <w:noProof/>
            <w:webHidden/>
          </w:rPr>
          <w:tab/>
        </w:r>
        <w:r w:rsidR="005F0D4F">
          <w:rPr>
            <w:noProof/>
            <w:webHidden/>
          </w:rPr>
          <w:fldChar w:fldCharType="begin"/>
        </w:r>
        <w:r w:rsidR="005F0D4F">
          <w:rPr>
            <w:noProof/>
            <w:webHidden/>
          </w:rPr>
          <w:instrText xml:space="preserve"> PAGEREF _Toc495654617 \h </w:instrText>
        </w:r>
        <w:r w:rsidR="005F0D4F">
          <w:rPr>
            <w:noProof/>
            <w:webHidden/>
          </w:rPr>
        </w:r>
        <w:r w:rsidR="005F0D4F">
          <w:rPr>
            <w:noProof/>
            <w:webHidden/>
          </w:rPr>
          <w:fldChar w:fldCharType="separate"/>
        </w:r>
        <w:r w:rsidR="00581A1B">
          <w:rPr>
            <w:noProof/>
            <w:webHidden/>
          </w:rPr>
          <w:t>3</w:t>
        </w:r>
        <w:r w:rsidR="005F0D4F">
          <w:rPr>
            <w:noProof/>
            <w:webHidden/>
          </w:rPr>
          <w:fldChar w:fldCharType="end"/>
        </w:r>
      </w:hyperlink>
    </w:p>
    <w:p w14:paraId="46F2237A" w14:textId="6D7C80E9" w:rsidR="005F0D4F" w:rsidRDefault="00581A1B">
      <w:pPr>
        <w:pStyle w:val="TOC1"/>
        <w:rPr>
          <w:rFonts w:asciiTheme="minorHAnsi" w:eastAsiaTheme="minorEastAsia" w:hAnsiTheme="minorHAnsi"/>
          <w:noProof/>
          <w:sz w:val="22"/>
          <w:szCs w:val="22"/>
        </w:rPr>
      </w:pPr>
      <w:hyperlink w:anchor="_Toc495654618" w:history="1">
        <w:r w:rsidR="005F0D4F" w:rsidRPr="000F1B68">
          <w:rPr>
            <w:rStyle w:val="Hyperlink"/>
            <w:noProof/>
          </w:rPr>
          <w:t>II.</w:t>
        </w:r>
        <w:r w:rsidR="005F0D4F">
          <w:rPr>
            <w:rFonts w:asciiTheme="minorHAnsi" w:eastAsiaTheme="minorEastAsia" w:hAnsiTheme="minorHAnsi"/>
            <w:noProof/>
            <w:sz w:val="22"/>
            <w:szCs w:val="22"/>
          </w:rPr>
          <w:tab/>
        </w:r>
        <w:r w:rsidR="005F0D4F" w:rsidRPr="000F1B68">
          <w:rPr>
            <w:rStyle w:val="Hyperlink"/>
            <w:noProof/>
          </w:rPr>
          <w:t>STANDARD OF REVIEW</w:t>
        </w:r>
        <w:r w:rsidR="005F0D4F">
          <w:rPr>
            <w:noProof/>
            <w:webHidden/>
          </w:rPr>
          <w:tab/>
        </w:r>
        <w:r w:rsidR="005F0D4F">
          <w:rPr>
            <w:noProof/>
            <w:webHidden/>
          </w:rPr>
          <w:fldChar w:fldCharType="begin"/>
        </w:r>
        <w:r w:rsidR="005F0D4F">
          <w:rPr>
            <w:noProof/>
            <w:webHidden/>
          </w:rPr>
          <w:instrText xml:space="preserve"> PAGEREF _Toc495654618 \h </w:instrText>
        </w:r>
        <w:r w:rsidR="005F0D4F">
          <w:rPr>
            <w:noProof/>
            <w:webHidden/>
          </w:rPr>
        </w:r>
        <w:r w:rsidR="005F0D4F">
          <w:rPr>
            <w:noProof/>
            <w:webHidden/>
          </w:rPr>
          <w:fldChar w:fldCharType="separate"/>
        </w:r>
        <w:r>
          <w:rPr>
            <w:noProof/>
            <w:webHidden/>
          </w:rPr>
          <w:t>5</w:t>
        </w:r>
        <w:r w:rsidR="005F0D4F">
          <w:rPr>
            <w:noProof/>
            <w:webHidden/>
          </w:rPr>
          <w:fldChar w:fldCharType="end"/>
        </w:r>
      </w:hyperlink>
    </w:p>
    <w:p w14:paraId="5247E2C0" w14:textId="08D0C8EB" w:rsidR="005F0D4F" w:rsidRDefault="00581A1B">
      <w:pPr>
        <w:pStyle w:val="TOC1"/>
        <w:rPr>
          <w:rFonts w:asciiTheme="minorHAnsi" w:eastAsiaTheme="minorEastAsia" w:hAnsiTheme="minorHAnsi"/>
          <w:noProof/>
          <w:sz w:val="22"/>
          <w:szCs w:val="22"/>
        </w:rPr>
      </w:pPr>
      <w:hyperlink w:anchor="_Toc495654619" w:history="1">
        <w:r w:rsidR="005F0D4F" w:rsidRPr="000F1B68">
          <w:rPr>
            <w:rStyle w:val="Hyperlink"/>
            <w:noProof/>
          </w:rPr>
          <w:t>III.</w:t>
        </w:r>
        <w:r w:rsidR="005F0D4F">
          <w:rPr>
            <w:rFonts w:asciiTheme="minorHAnsi" w:eastAsiaTheme="minorEastAsia" w:hAnsiTheme="minorHAnsi"/>
            <w:noProof/>
            <w:sz w:val="22"/>
            <w:szCs w:val="22"/>
          </w:rPr>
          <w:tab/>
        </w:r>
        <w:r w:rsidR="005F0D4F" w:rsidRPr="000F1B68">
          <w:rPr>
            <w:rStyle w:val="Hyperlink"/>
            <w:noProof/>
          </w:rPr>
          <w:t>ARGUMENT</w:t>
        </w:r>
        <w:r w:rsidR="005F0D4F">
          <w:rPr>
            <w:noProof/>
            <w:webHidden/>
          </w:rPr>
          <w:tab/>
        </w:r>
        <w:r w:rsidR="005F0D4F">
          <w:rPr>
            <w:noProof/>
            <w:webHidden/>
          </w:rPr>
          <w:fldChar w:fldCharType="begin"/>
        </w:r>
        <w:r w:rsidR="005F0D4F">
          <w:rPr>
            <w:noProof/>
            <w:webHidden/>
          </w:rPr>
          <w:instrText xml:space="preserve"> PAGEREF _Toc495654619 \h </w:instrText>
        </w:r>
        <w:r w:rsidR="005F0D4F">
          <w:rPr>
            <w:noProof/>
            <w:webHidden/>
          </w:rPr>
        </w:r>
        <w:r w:rsidR="005F0D4F">
          <w:rPr>
            <w:noProof/>
            <w:webHidden/>
          </w:rPr>
          <w:fldChar w:fldCharType="separate"/>
        </w:r>
        <w:r>
          <w:rPr>
            <w:noProof/>
            <w:webHidden/>
          </w:rPr>
          <w:t>6</w:t>
        </w:r>
        <w:r w:rsidR="005F0D4F">
          <w:rPr>
            <w:noProof/>
            <w:webHidden/>
          </w:rPr>
          <w:fldChar w:fldCharType="end"/>
        </w:r>
      </w:hyperlink>
    </w:p>
    <w:p w14:paraId="2AD2BB04" w14:textId="7AAAFBA0" w:rsidR="005F0D4F" w:rsidRDefault="00581A1B" w:rsidP="00A40D32">
      <w:pPr>
        <w:pStyle w:val="TOC2"/>
        <w:rPr>
          <w:rFonts w:asciiTheme="minorHAnsi" w:eastAsiaTheme="minorEastAsia" w:hAnsiTheme="minorHAnsi"/>
          <w:noProof/>
          <w:sz w:val="22"/>
          <w:szCs w:val="22"/>
        </w:rPr>
      </w:pPr>
      <w:hyperlink w:anchor="_Toc495654620" w:history="1">
        <w:r w:rsidR="005F0D4F" w:rsidRPr="000F1B68">
          <w:rPr>
            <w:rStyle w:val="Hyperlink"/>
            <w:noProof/>
          </w:rPr>
          <w:t>A.</w:t>
        </w:r>
        <w:r w:rsidR="005F0D4F">
          <w:rPr>
            <w:rFonts w:asciiTheme="minorHAnsi" w:eastAsiaTheme="minorEastAsia" w:hAnsiTheme="minorHAnsi"/>
            <w:noProof/>
            <w:sz w:val="22"/>
            <w:szCs w:val="22"/>
          </w:rPr>
          <w:tab/>
        </w:r>
        <w:r w:rsidR="005F0D4F" w:rsidRPr="000F1B68">
          <w:rPr>
            <w:rStyle w:val="Hyperlink"/>
            <w:noProof/>
          </w:rPr>
          <w:t>Duke failed to set forth the minimum amount of information necessary for the Commission to approve the PSR as a term of the proposed ESP</w:t>
        </w:r>
        <w:r w:rsidR="005F0D4F">
          <w:rPr>
            <w:noProof/>
            <w:webHidden/>
          </w:rPr>
          <w:tab/>
        </w:r>
        <w:r w:rsidR="005F0D4F">
          <w:rPr>
            <w:noProof/>
            <w:webHidden/>
          </w:rPr>
          <w:fldChar w:fldCharType="begin"/>
        </w:r>
        <w:r w:rsidR="005F0D4F">
          <w:rPr>
            <w:noProof/>
            <w:webHidden/>
          </w:rPr>
          <w:instrText xml:space="preserve"> PAGEREF _Toc495654620 \h </w:instrText>
        </w:r>
        <w:r w:rsidR="005F0D4F">
          <w:rPr>
            <w:noProof/>
            <w:webHidden/>
          </w:rPr>
        </w:r>
        <w:r w:rsidR="005F0D4F">
          <w:rPr>
            <w:noProof/>
            <w:webHidden/>
          </w:rPr>
          <w:fldChar w:fldCharType="separate"/>
        </w:r>
        <w:r>
          <w:rPr>
            <w:noProof/>
            <w:webHidden/>
          </w:rPr>
          <w:t>6</w:t>
        </w:r>
        <w:r w:rsidR="005F0D4F">
          <w:rPr>
            <w:noProof/>
            <w:webHidden/>
          </w:rPr>
          <w:fldChar w:fldCharType="end"/>
        </w:r>
      </w:hyperlink>
    </w:p>
    <w:p w14:paraId="715D4511" w14:textId="222789A8" w:rsidR="005F0D4F" w:rsidRDefault="00581A1B" w:rsidP="00A40D32">
      <w:pPr>
        <w:pStyle w:val="TOC2"/>
        <w:rPr>
          <w:rFonts w:asciiTheme="minorHAnsi" w:eastAsiaTheme="minorEastAsia" w:hAnsiTheme="minorHAnsi"/>
          <w:noProof/>
          <w:sz w:val="22"/>
          <w:szCs w:val="22"/>
        </w:rPr>
      </w:pPr>
      <w:hyperlink w:anchor="_Toc495654621" w:history="1">
        <w:r w:rsidR="005F0D4F" w:rsidRPr="000F1B68">
          <w:rPr>
            <w:rStyle w:val="Hyperlink"/>
            <w:noProof/>
          </w:rPr>
          <w:t>B.</w:t>
        </w:r>
        <w:r w:rsidR="005F0D4F">
          <w:rPr>
            <w:rFonts w:asciiTheme="minorHAnsi" w:eastAsiaTheme="minorEastAsia" w:hAnsiTheme="minorHAnsi"/>
            <w:noProof/>
            <w:sz w:val="22"/>
            <w:szCs w:val="22"/>
          </w:rPr>
          <w:tab/>
        </w:r>
        <w:r w:rsidR="005F0D4F" w:rsidRPr="000F1B68">
          <w:rPr>
            <w:rStyle w:val="Hyperlink"/>
            <w:noProof/>
          </w:rPr>
          <w:t>Intervening court decisions issued since the placeholder PSR was approved confirm that the PSR is unlawful</w:t>
        </w:r>
        <w:r w:rsidR="005F0D4F">
          <w:rPr>
            <w:noProof/>
            <w:webHidden/>
          </w:rPr>
          <w:tab/>
        </w:r>
        <w:r w:rsidR="005F0D4F">
          <w:rPr>
            <w:noProof/>
            <w:webHidden/>
          </w:rPr>
          <w:fldChar w:fldCharType="begin"/>
        </w:r>
        <w:r w:rsidR="005F0D4F">
          <w:rPr>
            <w:noProof/>
            <w:webHidden/>
          </w:rPr>
          <w:instrText xml:space="preserve"> PAGEREF _Toc495654621 \h </w:instrText>
        </w:r>
        <w:r w:rsidR="005F0D4F">
          <w:rPr>
            <w:noProof/>
            <w:webHidden/>
          </w:rPr>
        </w:r>
        <w:r w:rsidR="005F0D4F">
          <w:rPr>
            <w:noProof/>
            <w:webHidden/>
          </w:rPr>
          <w:fldChar w:fldCharType="separate"/>
        </w:r>
        <w:r>
          <w:rPr>
            <w:noProof/>
            <w:webHidden/>
          </w:rPr>
          <w:t>9</w:t>
        </w:r>
        <w:r w:rsidR="005F0D4F">
          <w:rPr>
            <w:noProof/>
            <w:webHidden/>
          </w:rPr>
          <w:fldChar w:fldCharType="end"/>
        </w:r>
      </w:hyperlink>
    </w:p>
    <w:p w14:paraId="222F9B5B" w14:textId="072CC20C" w:rsidR="005F0D4F" w:rsidRDefault="00581A1B" w:rsidP="00A40D32">
      <w:pPr>
        <w:pStyle w:val="TOC3"/>
        <w:rPr>
          <w:rFonts w:asciiTheme="minorHAnsi" w:eastAsiaTheme="minorEastAsia" w:hAnsiTheme="minorHAnsi"/>
          <w:noProof/>
          <w:sz w:val="22"/>
          <w:szCs w:val="22"/>
        </w:rPr>
      </w:pPr>
      <w:hyperlink w:anchor="_Toc495654622" w:history="1">
        <w:r w:rsidR="005F0D4F" w:rsidRPr="000F1B68">
          <w:rPr>
            <w:rStyle w:val="Hyperlink"/>
            <w:noProof/>
          </w:rPr>
          <w:t>1.</w:t>
        </w:r>
        <w:r w:rsidR="005F0D4F">
          <w:rPr>
            <w:rFonts w:asciiTheme="minorHAnsi" w:eastAsiaTheme="minorEastAsia" w:hAnsiTheme="minorHAnsi"/>
            <w:noProof/>
            <w:sz w:val="22"/>
            <w:szCs w:val="22"/>
          </w:rPr>
          <w:tab/>
        </w:r>
        <w:r w:rsidR="005F0D4F" w:rsidRPr="000F1B68">
          <w:rPr>
            <w:rStyle w:val="Hyperlink"/>
            <w:noProof/>
          </w:rPr>
          <w:t>The Court has confirmed that transition charges, like the PSR, may not be authorized as a term of an ESP</w:t>
        </w:r>
        <w:r w:rsidR="005F0D4F">
          <w:rPr>
            <w:noProof/>
            <w:webHidden/>
          </w:rPr>
          <w:tab/>
        </w:r>
        <w:r w:rsidR="005F0D4F">
          <w:rPr>
            <w:noProof/>
            <w:webHidden/>
          </w:rPr>
          <w:fldChar w:fldCharType="begin"/>
        </w:r>
        <w:r w:rsidR="005F0D4F">
          <w:rPr>
            <w:noProof/>
            <w:webHidden/>
          </w:rPr>
          <w:instrText xml:space="preserve"> PAGEREF _Toc495654622 \h </w:instrText>
        </w:r>
        <w:r w:rsidR="005F0D4F">
          <w:rPr>
            <w:noProof/>
            <w:webHidden/>
          </w:rPr>
        </w:r>
        <w:r w:rsidR="005F0D4F">
          <w:rPr>
            <w:noProof/>
            <w:webHidden/>
          </w:rPr>
          <w:fldChar w:fldCharType="separate"/>
        </w:r>
        <w:r>
          <w:rPr>
            <w:noProof/>
            <w:webHidden/>
          </w:rPr>
          <w:t>9</w:t>
        </w:r>
        <w:r w:rsidR="005F0D4F">
          <w:rPr>
            <w:noProof/>
            <w:webHidden/>
          </w:rPr>
          <w:fldChar w:fldCharType="end"/>
        </w:r>
      </w:hyperlink>
    </w:p>
    <w:p w14:paraId="1767C768" w14:textId="05883755" w:rsidR="005F0D4F" w:rsidRDefault="00581A1B" w:rsidP="00A40D32">
      <w:pPr>
        <w:pStyle w:val="TOC3"/>
        <w:rPr>
          <w:rFonts w:asciiTheme="minorHAnsi" w:eastAsiaTheme="minorEastAsia" w:hAnsiTheme="minorHAnsi"/>
          <w:noProof/>
          <w:sz w:val="22"/>
          <w:szCs w:val="22"/>
        </w:rPr>
      </w:pPr>
      <w:hyperlink w:anchor="_Toc495654623" w:history="1">
        <w:r w:rsidR="005F0D4F" w:rsidRPr="000F1B68">
          <w:rPr>
            <w:rStyle w:val="Hyperlink"/>
            <w:noProof/>
          </w:rPr>
          <w:t>2.</w:t>
        </w:r>
        <w:r w:rsidR="005F0D4F">
          <w:rPr>
            <w:rFonts w:asciiTheme="minorHAnsi" w:eastAsiaTheme="minorEastAsia" w:hAnsiTheme="minorHAnsi"/>
            <w:noProof/>
            <w:sz w:val="22"/>
            <w:szCs w:val="22"/>
          </w:rPr>
          <w:tab/>
        </w:r>
        <w:r w:rsidR="005F0D4F" w:rsidRPr="000F1B68">
          <w:rPr>
            <w:rStyle w:val="Hyperlink"/>
            <w:noProof/>
          </w:rPr>
          <w:t>The U.S. Supreme Court has confirmed that states are preempted from setting the effective price generators receive in wholesale markets through retail revenue supplements</w:t>
        </w:r>
        <w:r w:rsidR="005F0D4F">
          <w:rPr>
            <w:noProof/>
            <w:webHidden/>
          </w:rPr>
          <w:tab/>
        </w:r>
        <w:r w:rsidR="005F0D4F">
          <w:rPr>
            <w:noProof/>
            <w:webHidden/>
          </w:rPr>
          <w:fldChar w:fldCharType="begin"/>
        </w:r>
        <w:r w:rsidR="005F0D4F">
          <w:rPr>
            <w:noProof/>
            <w:webHidden/>
          </w:rPr>
          <w:instrText xml:space="preserve"> PAGEREF _Toc495654623 \h </w:instrText>
        </w:r>
        <w:r w:rsidR="005F0D4F">
          <w:rPr>
            <w:noProof/>
            <w:webHidden/>
          </w:rPr>
        </w:r>
        <w:r w:rsidR="005F0D4F">
          <w:rPr>
            <w:noProof/>
            <w:webHidden/>
          </w:rPr>
          <w:fldChar w:fldCharType="separate"/>
        </w:r>
        <w:r>
          <w:rPr>
            <w:noProof/>
            <w:webHidden/>
          </w:rPr>
          <w:t>13</w:t>
        </w:r>
        <w:r w:rsidR="005F0D4F">
          <w:rPr>
            <w:noProof/>
            <w:webHidden/>
          </w:rPr>
          <w:fldChar w:fldCharType="end"/>
        </w:r>
      </w:hyperlink>
    </w:p>
    <w:p w14:paraId="03598FFD" w14:textId="5D2DEA63" w:rsidR="005F0D4F" w:rsidRDefault="00581A1B" w:rsidP="00A40D32">
      <w:pPr>
        <w:pStyle w:val="TOC2"/>
        <w:rPr>
          <w:rFonts w:asciiTheme="minorHAnsi" w:eastAsiaTheme="minorEastAsia" w:hAnsiTheme="minorHAnsi"/>
          <w:noProof/>
          <w:sz w:val="22"/>
          <w:szCs w:val="22"/>
        </w:rPr>
      </w:pPr>
      <w:hyperlink w:anchor="_Toc495654624" w:history="1">
        <w:r w:rsidR="005F0D4F" w:rsidRPr="000F1B68">
          <w:rPr>
            <w:rStyle w:val="Hyperlink"/>
            <w:noProof/>
          </w:rPr>
          <w:t>C.</w:t>
        </w:r>
        <w:r w:rsidR="005F0D4F">
          <w:rPr>
            <w:rFonts w:asciiTheme="minorHAnsi" w:eastAsiaTheme="minorEastAsia" w:hAnsiTheme="minorHAnsi"/>
            <w:noProof/>
            <w:sz w:val="22"/>
            <w:szCs w:val="22"/>
          </w:rPr>
          <w:tab/>
        </w:r>
        <w:r w:rsidR="005F0D4F" w:rsidRPr="000F1B68">
          <w:rPr>
            <w:rStyle w:val="Hyperlink"/>
            <w:noProof/>
          </w:rPr>
          <w:t>Additional statutory provisions prevent the Commission from authorizing the PSR</w:t>
        </w:r>
        <w:r w:rsidR="005F0D4F">
          <w:rPr>
            <w:noProof/>
            <w:webHidden/>
          </w:rPr>
          <w:tab/>
        </w:r>
        <w:r w:rsidR="005F0D4F">
          <w:rPr>
            <w:noProof/>
            <w:webHidden/>
          </w:rPr>
          <w:fldChar w:fldCharType="begin"/>
        </w:r>
        <w:r w:rsidR="005F0D4F">
          <w:rPr>
            <w:noProof/>
            <w:webHidden/>
          </w:rPr>
          <w:instrText xml:space="preserve"> PAGEREF _Toc495654624 \h </w:instrText>
        </w:r>
        <w:r w:rsidR="005F0D4F">
          <w:rPr>
            <w:noProof/>
            <w:webHidden/>
          </w:rPr>
        </w:r>
        <w:r w:rsidR="005F0D4F">
          <w:rPr>
            <w:noProof/>
            <w:webHidden/>
          </w:rPr>
          <w:fldChar w:fldCharType="separate"/>
        </w:r>
        <w:r>
          <w:rPr>
            <w:noProof/>
            <w:webHidden/>
          </w:rPr>
          <w:t>16</w:t>
        </w:r>
        <w:r w:rsidR="005F0D4F">
          <w:rPr>
            <w:noProof/>
            <w:webHidden/>
          </w:rPr>
          <w:fldChar w:fldCharType="end"/>
        </w:r>
      </w:hyperlink>
    </w:p>
    <w:p w14:paraId="1DF5A106" w14:textId="13A494E3" w:rsidR="005F0D4F" w:rsidRDefault="00581A1B" w:rsidP="00A40D32">
      <w:pPr>
        <w:pStyle w:val="TOC3"/>
        <w:rPr>
          <w:rFonts w:asciiTheme="minorHAnsi" w:eastAsiaTheme="minorEastAsia" w:hAnsiTheme="minorHAnsi"/>
          <w:noProof/>
          <w:sz w:val="22"/>
          <w:szCs w:val="22"/>
        </w:rPr>
      </w:pPr>
      <w:hyperlink w:anchor="_Toc495654625" w:history="1">
        <w:r w:rsidR="005F0D4F" w:rsidRPr="000F1B68">
          <w:rPr>
            <w:rStyle w:val="Hyperlink"/>
            <w:noProof/>
          </w:rPr>
          <w:t>1.</w:t>
        </w:r>
        <w:r w:rsidR="005F0D4F">
          <w:rPr>
            <w:rFonts w:asciiTheme="minorHAnsi" w:eastAsiaTheme="minorEastAsia" w:hAnsiTheme="minorHAnsi"/>
            <w:noProof/>
            <w:sz w:val="22"/>
            <w:szCs w:val="22"/>
          </w:rPr>
          <w:tab/>
        </w:r>
        <w:r w:rsidR="005F0D4F" w:rsidRPr="000F1B68">
          <w:rPr>
            <w:rStyle w:val="Hyperlink"/>
            <w:noProof/>
          </w:rPr>
          <w:t>The PSR violates the prohibitions against collecting generation costs through distribution rates and against authorization of anticompetitive subsidies</w:t>
        </w:r>
        <w:r w:rsidR="005F0D4F">
          <w:rPr>
            <w:noProof/>
            <w:webHidden/>
          </w:rPr>
          <w:tab/>
        </w:r>
        <w:r w:rsidR="005F0D4F">
          <w:rPr>
            <w:noProof/>
            <w:webHidden/>
          </w:rPr>
          <w:fldChar w:fldCharType="begin"/>
        </w:r>
        <w:r w:rsidR="005F0D4F">
          <w:rPr>
            <w:noProof/>
            <w:webHidden/>
          </w:rPr>
          <w:instrText xml:space="preserve"> PAGEREF _Toc495654625 \h </w:instrText>
        </w:r>
        <w:r w:rsidR="005F0D4F">
          <w:rPr>
            <w:noProof/>
            <w:webHidden/>
          </w:rPr>
        </w:r>
        <w:r w:rsidR="005F0D4F">
          <w:rPr>
            <w:noProof/>
            <w:webHidden/>
          </w:rPr>
          <w:fldChar w:fldCharType="separate"/>
        </w:r>
        <w:r>
          <w:rPr>
            <w:noProof/>
            <w:webHidden/>
          </w:rPr>
          <w:t>16</w:t>
        </w:r>
        <w:r w:rsidR="005F0D4F">
          <w:rPr>
            <w:noProof/>
            <w:webHidden/>
          </w:rPr>
          <w:fldChar w:fldCharType="end"/>
        </w:r>
      </w:hyperlink>
    </w:p>
    <w:p w14:paraId="732F1AEC" w14:textId="22B56161" w:rsidR="005F0D4F" w:rsidRDefault="00581A1B" w:rsidP="00A40D32">
      <w:pPr>
        <w:pStyle w:val="TOC3"/>
        <w:rPr>
          <w:rFonts w:asciiTheme="minorHAnsi" w:eastAsiaTheme="minorEastAsia" w:hAnsiTheme="minorHAnsi"/>
          <w:noProof/>
          <w:sz w:val="22"/>
          <w:szCs w:val="22"/>
        </w:rPr>
      </w:pPr>
      <w:hyperlink w:anchor="_Toc495654626" w:history="1">
        <w:r w:rsidR="005F0D4F" w:rsidRPr="000F1B68">
          <w:rPr>
            <w:rStyle w:val="Hyperlink"/>
            <w:noProof/>
          </w:rPr>
          <w:t>2.</w:t>
        </w:r>
        <w:r w:rsidR="005F0D4F">
          <w:rPr>
            <w:rFonts w:asciiTheme="minorHAnsi" w:eastAsiaTheme="minorEastAsia" w:hAnsiTheme="minorHAnsi"/>
            <w:noProof/>
            <w:sz w:val="22"/>
            <w:szCs w:val="22"/>
          </w:rPr>
          <w:tab/>
        </w:r>
        <w:r w:rsidR="005F0D4F" w:rsidRPr="000F1B68">
          <w:rPr>
            <w:rStyle w:val="Hyperlink"/>
            <w:noProof/>
          </w:rPr>
          <w:t>The Commission’s authority to regulate and establish rates for electric utilities is limited to the provision of retail electric service; the PSR is unrelated to the provision of retail electric service</w:t>
        </w:r>
        <w:r w:rsidR="005F0D4F">
          <w:rPr>
            <w:noProof/>
            <w:webHidden/>
          </w:rPr>
          <w:tab/>
        </w:r>
        <w:r w:rsidR="005F0D4F">
          <w:rPr>
            <w:noProof/>
            <w:webHidden/>
          </w:rPr>
          <w:fldChar w:fldCharType="begin"/>
        </w:r>
        <w:r w:rsidR="005F0D4F">
          <w:rPr>
            <w:noProof/>
            <w:webHidden/>
          </w:rPr>
          <w:instrText xml:space="preserve"> PAGEREF _Toc495654626 \h </w:instrText>
        </w:r>
        <w:r w:rsidR="005F0D4F">
          <w:rPr>
            <w:noProof/>
            <w:webHidden/>
          </w:rPr>
        </w:r>
        <w:r w:rsidR="005F0D4F">
          <w:rPr>
            <w:noProof/>
            <w:webHidden/>
          </w:rPr>
          <w:fldChar w:fldCharType="separate"/>
        </w:r>
        <w:r>
          <w:rPr>
            <w:noProof/>
            <w:webHidden/>
          </w:rPr>
          <w:t>18</w:t>
        </w:r>
        <w:r w:rsidR="005F0D4F">
          <w:rPr>
            <w:noProof/>
            <w:webHidden/>
          </w:rPr>
          <w:fldChar w:fldCharType="end"/>
        </w:r>
      </w:hyperlink>
    </w:p>
    <w:p w14:paraId="7128D554" w14:textId="18D5D7ED" w:rsidR="005F0D4F" w:rsidRDefault="00581A1B">
      <w:pPr>
        <w:pStyle w:val="TOC1"/>
        <w:rPr>
          <w:rFonts w:asciiTheme="minorHAnsi" w:eastAsiaTheme="minorEastAsia" w:hAnsiTheme="minorHAnsi"/>
          <w:noProof/>
          <w:sz w:val="22"/>
          <w:szCs w:val="22"/>
        </w:rPr>
      </w:pPr>
      <w:hyperlink w:anchor="_Toc495654627" w:history="1">
        <w:r w:rsidR="005F0D4F" w:rsidRPr="000F1B68">
          <w:rPr>
            <w:rStyle w:val="Hyperlink"/>
            <w:noProof/>
          </w:rPr>
          <w:t>IV.</w:t>
        </w:r>
        <w:r w:rsidR="005F0D4F">
          <w:rPr>
            <w:rFonts w:asciiTheme="minorHAnsi" w:eastAsiaTheme="minorEastAsia" w:hAnsiTheme="minorHAnsi"/>
            <w:noProof/>
            <w:sz w:val="22"/>
            <w:szCs w:val="22"/>
          </w:rPr>
          <w:tab/>
        </w:r>
        <w:r w:rsidR="005F0D4F" w:rsidRPr="000F1B68">
          <w:rPr>
            <w:rStyle w:val="Hyperlink"/>
            <w:noProof/>
          </w:rPr>
          <w:t>CONCLUSION</w:t>
        </w:r>
        <w:r w:rsidR="005F0D4F">
          <w:rPr>
            <w:noProof/>
            <w:webHidden/>
          </w:rPr>
          <w:tab/>
        </w:r>
        <w:r w:rsidR="005F0D4F">
          <w:rPr>
            <w:noProof/>
            <w:webHidden/>
          </w:rPr>
          <w:fldChar w:fldCharType="begin"/>
        </w:r>
        <w:r w:rsidR="005F0D4F">
          <w:rPr>
            <w:noProof/>
            <w:webHidden/>
          </w:rPr>
          <w:instrText xml:space="preserve"> PAGEREF _Toc495654627 \h </w:instrText>
        </w:r>
        <w:r w:rsidR="005F0D4F">
          <w:rPr>
            <w:noProof/>
            <w:webHidden/>
          </w:rPr>
        </w:r>
        <w:r w:rsidR="005F0D4F">
          <w:rPr>
            <w:noProof/>
            <w:webHidden/>
          </w:rPr>
          <w:fldChar w:fldCharType="separate"/>
        </w:r>
        <w:r>
          <w:rPr>
            <w:noProof/>
            <w:webHidden/>
          </w:rPr>
          <w:t>19</w:t>
        </w:r>
        <w:r w:rsidR="005F0D4F">
          <w:rPr>
            <w:noProof/>
            <w:webHidden/>
          </w:rPr>
          <w:fldChar w:fldCharType="end"/>
        </w:r>
      </w:hyperlink>
    </w:p>
    <w:p w14:paraId="597C14B4" w14:textId="79F60A19" w:rsidR="00517CF2" w:rsidRDefault="00517CF2" w:rsidP="004B5D68">
      <w:pPr>
        <w:tabs>
          <w:tab w:val="left" w:pos="4320"/>
        </w:tabs>
        <w:jc w:val="center"/>
        <w:rPr>
          <w:rFonts w:eastAsia="Times New Roman" w:cs="Arial"/>
          <w:b/>
          <w:smallCaps/>
          <w:sz w:val="28"/>
        </w:rPr>
        <w:sectPr w:rsidR="00517CF2" w:rsidSect="00517CF2">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r>
        <w:rPr>
          <w:rFonts w:eastAsia="Times New Roman" w:cs="Arial"/>
          <w:b/>
          <w:smallCaps/>
          <w:sz w:val="28"/>
        </w:rPr>
        <w:fldChar w:fldCharType="end"/>
      </w:r>
    </w:p>
    <w:p w14:paraId="7C02BE6C" w14:textId="7AC4584A" w:rsidR="004B5D68" w:rsidRPr="004B5D68" w:rsidRDefault="004B5D68" w:rsidP="004B5D68">
      <w:pPr>
        <w:tabs>
          <w:tab w:val="left" w:pos="4320"/>
        </w:tabs>
        <w:jc w:val="center"/>
        <w:rPr>
          <w:rFonts w:eastAsia="Times New Roman" w:cs="Arial"/>
          <w:b/>
          <w:smallCaps/>
          <w:sz w:val="28"/>
        </w:rPr>
      </w:pPr>
      <w:r w:rsidRPr="004B5D68">
        <w:rPr>
          <w:rFonts w:eastAsia="Times New Roman" w:cs="Arial"/>
          <w:b/>
          <w:smallCaps/>
          <w:sz w:val="28"/>
        </w:rPr>
        <w:lastRenderedPageBreak/>
        <w:t>Before</w:t>
      </w:r>
    </w:p>
    <w:p w14:paraId="10502B40" w14:textId="77777777" w:rsidR="004B5D68" w:rsidRPr="004B5D68" w:rsidRDefault="004B5D68" w:rsidP="004B5D68">
      <w:pPr>
        <w:jc w:val="center"/>
        <w:rPr>
          <w:rFonts w:eastAsia="Times New Roman" w:cs="Arial"/>
          <w:b/>
          <w:smallCaps/>
          <w:sz w:val="28"/>
        </w:rPr>
      </w:pPr>
      <w:r w:rsidRPr="004B5D68">
        <w:rPr>
          <w:rFonts w:eastAsia="Times New Roman" w:cs="Arial"/>
          <w:b/>
          <w:smallCaps/>
          <w:sz w:val="28"/>
        </w:rPr>
        <w:t xml:space="preserve">The Public Utilities Commission of </w:t>
      </w:r>
      <w:smartTag w:uri="urn:schemas-microsoft-com:office:smarttags" w:element="State">
        <w:smartTag w:uri="urn:schemas-microsoft-com:office:smarttags" w:element="place">
          <w:r w:rsidRPr="004B5D68">
            <w:rPr>
              <w:rFonts w:eastAsia="Times New Roman" w:cs="Arial"/>
              <w:b/>
              <w:smallCaps/>
              <w:sz w:val="28"/>
            </w:rPr>
            <w:t>Ohio</w:t>
          </w:r>
        </w:smartTag>
      </w:smartTag>
    </w:p>
    <w:p w14:paraId="6E97ED05" w14:textId="77777777" w:rsidR="004B5D68" w:rsidRPr="004B5D68" w:rsidRDefault="004B5D68" w:rsidP="004B5D68">
      <w:pPr>
        <w:autoSpaceDE w:val="0"/>
        <w:autoSpaceDN w:val="0"/>
        <w:adjustRightInd w:val="0"/>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707"/>
        <w:gridCol w:w="4140"/>
      </w:tblGrid>
      <w:tr w:rsidR="004B5D68" w:rsidRPr="004B5D68" w14:paraId="15CDADDD" w14:textId="77777777" w:rsidTr="003108FE">
        <w:tc>
          <w:tcPr>
            <w:tcW w:w="4608" w:type="dxa"/>
          </w:tcPr>
          <w:p w14:paraId="556CD08D"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Establish a Standard Service Offer Pursuant to Section 4928.143, Revised Code, in the Form of an Electric Security Plan, Accounting Modifications and Tariffs for Generation Service.</w:t>
            </w:r>
          </w:p>
        </w:tc>
        <w:tc>
          <w:tcPr>
            <w:tcW w:w="720" w:type="dxa"/>
          </w:tcPr>
          <w:p w14:paraId="4A899540"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1B2FA4E6"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0DD5CD92"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5E3C0E7D"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104B0F2"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6C04FE17"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1694B1D1"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61766355"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r>
            <w:r w:rsidRPr="004B5D68">
              <w:rPr>
                <w:rFonts w:ascii="Arial" w:eastAsia="Calibri" w:hAnsi="Arial" w:cs="Arial"/>
                <w:sz w:val="24"/>
                <w:szCs w:val="24"/>
              </w:rPr>
              <w:br/>
            </w:r>
            <w:r w:rsidRPr="004B5D68">
              <w:rPr>
                <w:rFonts w:ascii="Arial" w:eastAsia="Calibri" w:hAnsi="Arial" w:cs="Arial"/>
                <w:sz w:val="24"/>
                <w:szCs w:val="24"/>
              </w:rPr>
              <w:br/>
              <w:t>Case No. 17-1263-EL-SSO</w:t>
            </w:r>
          </w:p>
        </w:tc>
      </w:tr>
      <w:tr w:rsidR="004B5D68" w:rsidRPr="004B5D68" w14:paraId="0FB2F338" w14:textId="77777777" w:rsidTr="003108FE">
        <w:tc>
          <w:tcPr>
            <w:tcW w:w="4608" w:type="dxa"/>
          </w:tcPr>
          <w:p w14:paraId="0E93C60A" w14:textId="77777777" w:rsidR="004B5D68" w:rsidRPr="004B5D68" w:rsidRDefault="004B5D68" w:rsidP="004B5D68">
            <w:pPr>
              <w:autoSpaceDE w:val="0"/>
              <w:autoSpaceDN w:val="0"/>
              <w:adjustRightInd w:val="0"/>
              <w:rPr>
                <w:rFonts w:ascii="Arial" w:eastAsia="Calibri" w:hAnsi="Arial" w:cs="Arial"/>
                <w:sz w:val="24"/>
                <w:szCs w:val="24"/>
              </w:rPr>
            </w:pPr>
          </w:p>
        </w:tc>
        <w:tc>
          <w:tcPr>
            <w:tcW w:w="720" w:type="dxa"/>
          </w:tcPr>
          <w:p w14:paraId="56211D70" w14:textId="77777777" w:rsidR="004B5D68" w:rsidRPr="004B5D68" w:rsidRDefault="004B5D68" w:rsidP="004B5D68">
            <w:pPr>
              <w:autoSpaceDE w:val="0"/>
              <w:autoSpaceDN w:val="0"/>
              <w:adjustRightInd w:val="0"/>
              <w:rPr>
                <w:rFonts w:ascii="Arial" w:eastAsia="Calibri" w:hAnsi="Arial" w:cs="Arial"/>
                <w:sz w:val="24"/>
                <w:szCs w:val="24"/>
              </w:rPr>
            </w:pPr>
          </w:p>
        </w:tc>
        <w:tc>
          <w:tcPr>
            <w:tcW w:w="4248" w:type="dxa"/>
          </w:tcPr>
          <w:p w14:paraId="4F73272E" w14:textId="77777777" w:rsidR="004B5D68" w:rsidRPr="004B5D68" w:rsidRDefault="004B5D68" w:rsidP="004B5D68">
            <w:pPr>
              <w:autoSpaceDE w:val="0"/>
              <w:autoSpaceDN w:val="0"/>
              <w:adjustRightInd w:val="0"/>
              <w:rPr>
                <w:rFonts w:ascii="Arial" w:eastAsia="Calibri" w:hAnsi="Arial" w:cs="Arial"/>
                <w:sz w:val="24"/>
                <w:szCs w:val="24"/>
              </w:rPr>
            </w:pPr>
          </w:p>
        </w:tc>
      </w:tr>
      <w:tr w:rsidR="004B5D68" w:rsidRPr="004B5D68" w14:paraId="0818DBED" w14:textId="77777777" w:rsidTr="003108FE">
        <w:tc>
          <w:tcPr>
            <w:tcW w:w="4608" w:type="dxa"/>
          </w:tcPr>
          <w:p w14:paraId="5F296736"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Amend its Certified Supplier Tariff, P.U.C.O. No. 20.</w:t>
            </w:r>
          </w:p>
        </w:tc>
        <w:tc>
          <w:tcPr>
            <w:tcW w:w="720" w:type="dxa"/>
          </w:tcPr>
          <w:p w14:paraId="5269617A"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FCD5D83"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74893C69"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FDF6F78"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49C43B04"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17-1264-EL-ATA</w:t>
            </w:r>
          </w:p>
        </w:tc>
      </w:tr>
      <w:tr w:rsidR="004B5D68" w:rsidRPr="004B5D68" w14:paraId="0329B891" w14:textId="77777777" w:rsidTr="003108FE">
        <w:tc>
          <w:tcPr>
            <w:tcW w:w="4608" w:type="dxa"/>
          </w:tcPr>
          <w:p w14:paraId="3CB9D3E9" w14:textId="77777777" w:rsidR="004B5D68" w:rsidRPr="004B5D68" w:rsidRDefault="004B5D68" w:rsidP="004B5D68">
            <w:pPr>
              <w:autoSpaceDE w:val="0"/>
              <w:autoSpaceDN w:val="0"/>
              <w:adjustRightInd w:val="0"/>
              <w:rPr>
                <w:rFonts w:ascii="Arial" w:eastAsia="Calibri" w:hAnsi="Arial" w:cs="Arial"/>
                <w:sz w:val="24"/>
                <w:szCs w:val="24"/>
              </w:rPr>
            </w:pPr>
          </w:p>
        </w:tc>
        <w:tc>
          <w:tcPr>
            <w:tcW w:w="720" w:type="dxa"/>
          </w:tcPr>
          <w:p w14:paraId="4003700E" w14:textId="77777777" w:rsidR="004B5D68" w:rsidRPr="004B5D68" w:rsidRDefault="004B5D68" w:rsidP="004B5D68">
            <w:pPr>
              <w:autoSpaceDE w:val="0"/>
              <w:autoSpaceDN w:val="0"/>
              <w:adjustRightInd w:val="0"/>
              <w:rPr>
                <w:rFonts w:ascii="Arial" w:eastAsia="Calibri" w:hAnsi="Arial" w:cs="Arial"/>
                <w:sz w:val="24"/>
                <w:szCs w:val="24"/>
              </w:rPr>
            </w:pPr>
          </w:p>
        </w:tc>
        <w:tc>
          <w:tcPr>
            <w:tcW w:w="4248" w:type="dxa"/>
          </w:tcPr>
          <w:p w14:paraId="5EEE9DD4" w14:textId="77777777" w:rsidR="004B5D68" w:rsidRPr="004B5D68" w:rsidRDefault="004B5D68" w:rsidP="004B5D68">
            <w:pPr>
              <w:autoSpaceDE w:val="0"/>
              <w:autoSpaceDN w:val="0"/>
              <w:adjustRightInd w:val="0"/>
              <w:rPr>
                <w:rFonts w:ascii="Arial" w:eastAsia="Calibri" w:hAnsi="Arial" w:cs="Arial"/>
                <w:sz w:val="24"/>
                <w:szCs w:val="24"/>
              </w:rPr>
            </w:pPr>
          </w:p>
        </w:tc>
      </w:tr>
      <w:tr w:rsidR="004B5D68" w:rsidRPr="004B5D68" w14:paraId="3AF6FD45" w14:textId="77777777" w:rsidTr="003108FE">
        <w:tc>
          <w:tcPr>
            <w:tcW w:w="4608" w:type="dxa"/>
          </w:tcPr>
          <w:p w14:paraId="729A5163"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Defer Vegetation Management Costs.</w:t>
            </w:r>
          </w:p>
        </w:tc>
        <w:tc>
          <w:tcPr>
            <w:tcW w:w="720" w:type="dxa"/>
          </w:tcPr>
          <w:p w14:paraId="25314472"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6E1B8F2B"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325068F2"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51D6DD5C" w14:textId="77777777" w:rsidR="004B5D68" w:rsidRPr="004B5D68" w:rsidRDefault="004B5D68" w:rsidP="004B5D68">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17-1265-EL-AAM</w:t>
            </w:r>
          </w:p>
        </w:tc>
      </w:tr>
    </w:tbl>
    <w:p w14:paraId="60FE861B" w14:textId="0106F78B" w:rsidR="004B5D68" w:rsidRDefault="004B5D68" w:rsidP="004B5D68">
      <w:pPr>
        <w:tabs>
          <w:tab w:val="left" w:pos="5040"/>
        </w:tabs>
        <w:jc w:val="both"/>
        <w:rPr>
          <w:rFonts w:eastAsia="Times New Roman" w:cs="Arial"/>
        </w:rPr>
      </w:pPr>
    </w:p>
    <w:p w14:paraId="03534200" w14:textId="77777777" w:rsidR="00563CEB" w:rsidRPr="004B5D68" w:rsidRDefault="00563CEB" w:rsidP="004B5D68">
      <w:pPr>
        <w:tabs>
          <w:tab w:val="left" w:pos="5040"/>
        </w:tabs>
        <w:jc w:val="both"/>
        <w:rPr>
          <w:rFonts w:eastAsia="Times New Roman" w:cs="Arial"/>
        </w:rPr>
      </w:pPr>
    </w:p>
    <w:p w14:paraId="1F6B9692" w14:textId="77777777" w:rsidR="004B5D68" w:rsidRPr="004B5D68" w:rsidRDefault="004B5D68" w:rsidP="004B5D68">
      <w:pPr>
        <w:pBdr>
          <w:top w:val="single" w:sz="12" w:space="1" w:color="auto"/>
        </w:pBdr>
        <w:jc w:val="center"/>
        <w:rPr>
          <w:b/>
        </w:rPr>
      </w:pPr>
    </w:p>
    <w:p w14:paraId="7D7C33EE" w14:textId="77777777" w:rsidR="004B5D68" w:rsidRPr="004B5D68" w:rsidRDefault="004B5D68" w:rsidP="004B5D68">
      <w:pPr>
        <w:jc w:val="center"/>
        <w:rPr>
          <w:rFonts w:ascii="Arial Bold" w:hAnsi="Arial Bold"/>
          <w:b/>
          <w:smallCaps/>
          <w:sz w:val="28"/>
          <w:szCs w:val="28"/>
        </w:rPr>
      </w:pPr>
      <w:r w:rsidRPr="004B5D68">
        <w:rPr>
          <w:rFonts w:ascii="Arial Bold" w:hAnsi="Arial Bold"/>
          <w:b/>
          <w:smallCaps/>
          <w:sz w:val="28"/>
          <w:szCs w:val="28"/>
        </w:rPr>
        <w:t>Motion of Industrial Energy Users-Ohio</w:t>
      </w:r>
    </w:p>
    <w:p w14:paraId="20E129F3" w14:textId="77777777" w:rsidR="004B5D68" w:rsidRPr="004B5D68" w:rsidRDefault="004B5D68" w:rsidP="004B5D68">
      <w:pPr>
        <w:jc w:val="center"/>
        <w:rPr>
          <w:rFonts w:ascii="Arial Bold" w:hAnsi="Arial Bold"/>
          <w:b/>
          <w:smallCaps/>
          <w:sz w:val="28"/>
          <w:szCs w:val="28"/>
        </w:rPr>
      </w:pPr>
      <w:r w:rsidRPr="004B5D68">
        <w:rPr>
          <w:rFonts w:ascii="Arial Bold" w:hAnsi="Arial Bold"/>
          <w:b/>
          <w:smallCaps/>
          <w:sz w:val="28"/>
          <w:szCs w:val="28"/>
        </w:rPr>
        <w:t>to Dismiss the Request by Duke Energy Ohio, Inc.</w:t>
      </w:r>
    </w:p>
    <w:p w14:paraId="791305BF" w14:textId="77777777" w:rsidR="004B5D68" w:rsidRPr="004B5D68" w:rsidRDefault="004B5D68" w:rsidP="004B5D68">
      <w:pPr>
        <w:jc w:val="center"/>
        <w:rPr>
          <w:rFonts w:ascii="Arial Bold" w:hAnsi="Arial Bold"/>
          <w:b/>
          <w:smallCaps/>
          <w:sz w:val="28"/>
          <w:szCs w:val="28"/>
        </w:rPr>
      </w:pPr>
      <w:r w:rsidRPr="004B5D68">
        <w:rPr>
          <w:rFonts w:ascii="Arial Bold" w:hAnsi="Arial Bold"/>
          <w:b/>
          <w:smallCaps/>
          <w:sz w:val="28"/>
          <w:szCs w:val="28"/>
        </w:rPr>
        <w:t>for Authorization for a Price Stabilization Rider</w:t>
      </w:r>
    </w:p>
    <w:p w14:paraId="7CC9BF2F" w14:textId="77777777" w:rsidR="004B5D68" w:rsidRPr="004B5D68" w:rsidRDefault="004B5D68" w:rsidP="004B5D68">
      <w:pPr>
        <w:pBdr>
          <w:bottom w:val="single" w:sz="12" w:space="1" w:color="auto"/>
        </w:pBdr>
        <w:jc w:val="center"/>
        <w:rPr>
          <w:rFonts w:eastAsia="Times New Roman" w:cs="Arial"/>
          <w:b/>
          <w:smallCaps/>
          <w:u w:val="single"/>
        </w:rPr>
      </w:pPr>
    </w:p>
    <w:p w14:paraId="62B85938" w14:textId="77777777" w:rsidR="004B5D68" w:rsidRPr="004B5D68" w:rsidRDefault="004B5D68" w:rsidP="004B5D68">
      <w:pPr>
        <w:jc w:val="center"/>
        <w:rPr>
          <w:rFonts w:eastAsia="Times New Roman" w:cs="Arial"/>
          <w:b/>
          <w:smallCaps/>
          <w:sz w:val="28"/>
          <w:u w:val="single"/>
        </w:rPr>
      </w:pPr>
    </w:p>
    <w:p w14:paraId="21355E69" w14:textId="28685A63" w:rsidR="005622F1" w:rsidRDefault="00834369" w:rsidP="00627C58">
      <w:pPr>
        <w:pStyle w:val="DSParagraph"/>
      </w:pPr>
      <w:r>
        <w:t xml:space="preserve">Under Rule 4901-1-12, Ohio Administrative Code (“O.A.C.”), Industrial </w:t>
      </w:r>
      <w:r w:rsidR="00E37C71">
        <w:t>E</w:t>
      </w:r>
      <w:r>
        <w:t xml:space="preserve">nergy Users-Ohio (“IEU-Ohio”) moves the Public Utilities Commission of Ohio (“Commission”) for an order dismissing </w:t>
      </w:r>
      <w:r w:rsidR="002F2892">
        <w:t xml:space="preserve">the request by </w:t>
      </w:r>
      <w:r w:rsidR="00813055">
        <w:t>Duke Energy Ohio</w:t>
      </w:r>
      <w:r w:rsidR="00EE1C81">
        <w:t>,</w:t>
      </w:r>
      <w:r w:rsidR="00813055">
        <w:t xml:space="preserve"> Inc.</w:t>
      </w:r>
      <w:r w:rsidR="002F2892">
        <w:t xml:space="preserve"> </w:t>
      </w:r>
      <w:r w:rsidR="00813055">
        <w:t>(“Duke”) for</w:t>
      </w:r>
      <w:r w:rsidR="002F2892">
        <w:t xml:space="preserve"> authorization of</w:t>
      </w:r>
      <w:r w:rsidR="00813055">
        <w:t xml:space="preserve"> </w:t>
      </w:r>
      <w:r w:rsidR="002F2892">
        <w:t>a</w:t>
      </w:r>
      <w:r w:rsidR="00270E7B">
        <w:t>n extension of the placeholder</w:t>
      </w:r>
      <w:r w:rsidR="002F2892">
        <w:t xml:space="preserve"> </w:t>
      </w:r>
      <w:r w:rsidR="00813055">
        <w:t xml:space="preserve">Price Stabilization Rider (“PSR”) </w:t>
      </w:r>
      <w:r w:rsidR="003C67A4">
        <w:t xml:space="preserve">because </w:t>
      </w:r>
      <w:r w:rsidR="006F377F">
        <w:t>there is</w:t>
      </w:r>
      <w:r w:rsidR="003C67A4">
        <w:t xml:space="preserve"> </w:t>
      </w:r>
      <w:r w:rsidR="00563CEB">
        <w:t>no</w:t>
      </w:r>
      <w:r w:rsidR="003C67A4">
        <w:t xml:space="preserve"> legal basis for the Commission to approve the </w:t>
      </w:r>
      <w:r w:rsidR="002F2892">
        <w:t>rider as a term of the electric security plan (“ESP”)</w:t>
      </w:r>
      <w:r w:rsidR="003C67A4">
        <w:t xml:space="preserve">. </w:t>
      </w:r>
      <w:r w:rsidR="006F377F">
        <w:t xml:space="preserve"> </w:t>
      </w:r>
      <w:r w:rsidR="00C91C4E">
        <w:t>Dismissing the PSR is especially warranted given that Duke has indicated that it has no intention of litigating the PSR in this proceeding.  Without a l</w:t>
      </w:r>
      <w:r w:rsidR="00D23228">
        <w:t xml:space="preserve">egal basis to authorize the PSR and an applicant that does not desire to </w:t>
      </w:r>
      <w:r w:rsidR="00270E7B">
        <w:t xml:space="preserve">advance </w:t>
      </w:r>
      <w:r w:rsidR="00D23228">
        <w:t xml:space="preserve">its proposal in this proceeding, IEU-Ohio respectfully requests that the Commission grant this motion and </w:t>
      </w:r>
      <w:r w:rsidR="00D23228">
        <w:lastRenderedPageBreak/>
        <w:t>prevent the waste of resources that will otherwise be required to address the PSR during the evidentiary hearing and on brief.</w:t>
      </w:r>
    </w:p>
    <w:p w14:paraId="066792AC" w14:textId="76B05E3F" w:rsidR="00EE1C81" w:rsidRDefault="00813055" w:rsidP="00D23228">
      <w:pPr>
        <w:pStyle w:val="DSParagraph"/>
      </w:pPr>
      <w:r>
        <w:t>The reasons supporting th</w:t>
      </w:r>
      <w:r w:rsidR="006F377F">
        <w:t>is Motion</w:t>
      </w:r>
      <w:r>
        <w:t xml:space="preserve"> are </w:t>
      </w:r>
      <w:r w:rsidR="003C67A4">
        <w:t xml:space="preserve">more fully </w:t>
      </w:r>
      <w:r>
        <w:t>set out in the accompanying Memorandum in Support</w:t>
      </w:r>
      <w:r w:rsidR="00EE1C81">
        <w:t>.</w:t>
      </w:r>
    </w:p>
    <w:p w14:paraId="7A17D588" w14:textId="56BF5D35" w:rsidR="00FC350F" w:rsidRPr="00FC350F" w:rsidRDefault="00FC350F" w:rsidP="00FC350F">
      <w:pPr>
        <w:tabs>
          <w:tab w:val="left" w:pos="4320"/>
          <w:tab w:val="right" w:pos="8640"/>
        </w:tabs>
        <w:rPr>
          <w:rFonts w:eastAsia="Times New Roman" w:cs="Arial"/>
        </w:rPr>
      </w:pPr>
      <w:r w:rsidRPr="00FC350F">
        <w:rPr>
          <w:rFonts w:eastAsia="Times New Roman" w:cs="Arial"/>
        </w:rPr>
        <w:tab/>
        <w:t>Respectfully submitted,</w:t>
      </w:r>
    </w:p>
    <w:p w14:paraId="3FFF165E" w14:textId="1F1B3D1D" w:rsidR="00FC350F" w:rsidRPr="00FC350F" w:rsidRDefault="00FC350F" w:rsidP="00FC350F">
      <w:pPr>
        <w:tabs>
          <w:tab w:val="left" w:pos="4320"/>
          <w:tab w:val="right" w:pos="8640"/>
        </w:tabs>
        <w:rPr>
          <w:rFonts w:eastAsia="Times New Roman" w:cs="Arial"/>
        </w:rPr>
      </w:pPr>
    </w:p>
    <w:p w14:paraId="49ACA2C6" w14:textId="612240AB" w:rsidR="00FC350F" w:rsidRPr="00FC350F" w:rsidRDefault="00FC350F" w:rsidP="00FC350F">
      <w:pPr>
        <w:tabs>
          <w:tab w:val="left" w:pos="4320"/>
          <w:tab w:val="right" w:pos="8640"/>
        </w:tabs>
        <w:rPr>
          <w:rFonts w:eastAsia="Times New Roman" w:cs="Arial"/>
          <w:i/>
          <w:u w:val="single"/>
        </w:rPr>
      </w:pPr>
      <w:r w:rsidRPr="00FC350F">
        <w:rPr>
          <w:rFonts w:ascii="Times New Roman" w:eastAsia="Times New Roman" w:hAnsi="Times New Roman" w:cs="Arial"/>
          <w:i/>
        </w:rPr>
        <w:tab/>
      </w:r>
      <w:r w:rsidRPr="00FC350F">
        <w:rPr>
          <w:rFonts w:eastAsia="Times New Roman" w:cs="Arial"/>
          <w:i/>
          <w:u w:val="single"/>
        </w:rPr>
        <w:t xml:space="preserve">/s/ </w:t>
      </w:r>
      <w:r>
        <w:rPr>
          <w:rFonts w:eastAsia="Times New Roman" w:cs="Arial"/>
          <w:i/>
          <w:u w:val="single"/>
        </w:rPr>
        <w:t>Matthew R. Pritchard</w:t>
      </w:r>
      <w:r w:rsidRPr="00FC350F">
        <w:rPr>
          <w:rFonts w:eastAsia="Times New Roman" w:cs="Arial"/>
          <w:i/>
          <w:u w:val="single"/>
        </w:rPr>
        <w:tab/>
      </w:r>
    </w:p>
    <w:p w14:paraId="7EED5DD1" w14:textId="77777777" w:rsidR="00FC350F" w:rsidRPr="00FC350F" w:rsidRDefault="00FC350F" w:rsidP="00FC350F">
      <w:pPr>
        <w:widowControl w:val="0"/>
        <w:tabs>
          <w:tab w:val="left" w:pos="4320"/>
        </w:tabs>
        <w:ind w:left="4320"/>
        <w:rPr>
          <w:rFonts w:eastAsia="Calibri" w:cs="Arial"/>
        </w:rPr>
      </w:pPr>
      <w:r w:rsidRPr="00FC350F">
        <w:rPr>
          <w:rFonts w:eastAsia="Calibri" w:cs="Arial"/>
          <w:bCs/>
        </w:rPr>
        <w:t>Frank P. Darr (Reg. No. 0025469)</w:t>
      </w:r>
      <w:r w:rsidRPr="00FC350F">
        <w:rPr>
          <w:rFonts w:eastAsia="Calibri" w:cs="Arial"/>
        </w:rPr>
        <w:t xml:space="preserve"> </w:t>
      </w:r>
    </w:p>
    <w:p w14:paraId="73351D99" w14:textId="77777777" w:rsidR="00FC350F" w:rsidRPr="00FC350F" w:rsidRDefault="00FC350F" w:rsidP="00FC350F">
      <w:pPr>
        <w:widowControl w:val="0"/>
        <w:tabs>
          <w:tab w:val="left" w:pos="4320"/>
        </w:tabs>
        <w:ind w:left="4320"/>
        <w:rPr>
          <w:rFonts w:eastAsia="Calibri" w:cs="Arial"/>
          <w:bCs/>
        </w:rPr>
      </w:pPr>
      <w:r w:rsidRPr="00FC350F">
        <w:rPr>
          <w:rFonts w:eastAsia="Calibri" w:cs="Arial"/>
        </w:rPr>
        <w:t>(Counsel of Record)</w:t>
      </w:r>
    </w:p>
    <w:p w14:paraId="57BD6E64" w14:textId="77777777" w:rsidR="00FC350F" w:rsidRPr="00FC350F" w:rsidRDefault="00FC350F" w:rsidP="00FC350F">
      <w:pPr>
        <w:widowControl w:val="0"/>
        <w:tabs>
          <w:tab w:val="left" w:pos="4320"/>
        </w:tabs>
        <w:ind w:left="4320"/>
        <w:rPr>
          <w:rFonts w:eastAsia="Calibri" w:cs="Arial"/>
          <w:b/>
          <w:bCs/>
        </w:rPr>
      </w:pPr>
      <w:r w:rsidRPr="00FC350F">
        <w:rPr>
          <w:rFonts w:eastAsia="Calibri" w:cs="Arial"/>
          <w:bCs/>
        </w:rPr>
        <w:t>Matthew R. Pritchard (Reg. No. 0088070)</w:t>
      </w:r>
    </w:p>
    <w:p w14:paraId="1940DD41" w14:textId="77777777" w:rsidR="00FC350F" w:rsidRPr="00FC350F" w:rsidRDefault="00FC350F" w:rsidP="00FC350F">
      <w:pPr>
        <w:widowControl w:val="0"/>
        <w:tabs>
          <w:tab w:val="left" w:pos="4320"/>
        </w:tabs>
        <w:ind w:left="4320"/>
        <w:rPr>
          <w:rFonts w:eastAsia="Calibri" w:cs="Arial"/>
          <w:b/>
          <w:bCs/>
          <w:smallCaps/>
        </w:rPr>
      </w:pPr>
      <w:r w:rsidRPr="00FC350F">
        <w:rPr>
          <w:rFonts w:eastAsia="Calibri" w:cs="Arial"/>
          <w:bCs/>
          <w:smallCaps/>
        </w:rPr>
        <w:t>McNees Wallace &amp; Nurick LLC</w:t>
      </w:r>
    </w:p>
    <w:p w14:paraId="6874C1CE" w14:textId="77777777" w:rsidR="00FC350F" w:rsidRPr="00FC350F" w:rsidRDefault="00FC350F" w:rsidP="00FC350F">
      <w:pPr>
        <w:widowControl w:val="0"/>
        <w:tabs>
          <w:tab w:val="left" w:pos="4320"/>
        </w:tabs>
        <w:ind w:left="4320"/>
        <w:rPr>
          <w:rFonts w:eastAsia="Calibri" w:cs="Arial"/>
          <w:b/>
          <w:bCs/>
        </w:rPr>
      </w:pPr>
      <w:r w:rsidRPr="00FC350F">
        <w:rPr>
          <w:rFonts w:eastAsia="Calibri" w:cs="Arial"/>
          <w:bCs/>
        </w:rPr>
        <w:t>21 East State Street, 17</w:t>
      </w:r>
      <w:r w:rsidRPr="00FC350F">
        <w:rPr>
          <w:rFonts w:eastAsia="Calibri" w:cs="Arial"/>
          <w:bCs/>
          <w:vertAlign w:val="superscript"/>
        </w:rPr>
        <w:t>TH</w:t>
      </w:r>
      <w:r w:rsidRPr="00FC350F">
        <w:rPr>
          <w:rFonts w:eastAsia="Calibri" w:cs="Arial"/>
          <w:bCs/>
        </w:rPr>
        <w:t xml:space="preserve"> Floor</w:t>
      </w:r>
    </w:p>
    <w:p w14:paraId="623BE8B4"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Columbus, OH  43215</w:t>
      </w:r>
    </w:p>
    <w:p w14:paraId="2F5B3EAC"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Telephone:  (614) 469-8000</w:t>
      </w:r>
    </w:p>
    <w:p w14:paraId="5A801AEF"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Telecopier:  (614) 469-4653</w:t>
      </w:r>
    </w:p>
    <w:p w14:paraId="7F96237A"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FC350F">
        <w:rPr>
          <w:rFonts w:eastAsia="Calibri" w:cs="Arial"/>
        </w:rPr>
        <w:t>fdarr@mwncmh.com</w:t>
      </w:r>
    </w:p>
    <w:p w14:paraId="3DDC0BA9"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sidRPr="00FC350F">
        <w:rPr>
          <w:rFonts w:eastAsia="Calibri" w:cs="Arial"/>
          <w:color w:val="000000"/>
        </w:rPr>
        <w:t>mpritchard@mwncmh.com</w:t>
      </w:r>
    </w:p>
    <w:p w14:paraId="3DB8347A"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b/>
          <w:smallCaps/>
        </w:rPr>
      </w:pPr>
    </w:p>
    <w:p w14:paraId="5EC1FD3E" w14:textId="77777777" w:rsidR="00FC350F" w:rsidRPr="00FC350F" w:rsidRDefault="00FC350F" w:rsidP="00FC350F">
      <w:pPr>
        <w:ind w:left="4320" w:hanging="4320"/>
        <w:rPr>
          <w:rFonts w:eastAsia="Calibri" w:cs="Arial"/>
          <w:sz w:val="28"/>
          <w:u w:val="single"/>
        </w:rPr>
      </w:pPr>
      <w:r w:rsidRPr="00FC350F">
        <w:rPr>
          <w:rFonts w:eastAsia="Calibri" w:cs="Arial"/>
          <w:b/>
        </w:rPr>
        <w:tab/>
        <w:t>Attorneys for Industrial Energy Users-Ohio</w:t>
      </w:r>
    </w:p>
    <w:p w14:paraId="531D13F5" w14:textId="77777777" w:rsidR="00FC350F" w:rsidRPr="00FC350F" w:rsidRDefault="00FC350F" w:rsidP="00FC350F">
      <w:pPr>
        <w:tabs>
          <w:tab w:val="left" w:pos="4320"/>
          <w:tab w:val="right" w:pos="8640"/>
        </w:tabs>
        <w:ind w:left="4320"/>
        <w:rPr>
          <w:rFonts w:eastAsia="Times New Roman" w:cs="Arial"/>
          <w:b/>
        </w:rPr>
      </w:pPr>
    </w:p>
    <w:p w14:paraId="02E2820E" w14:textId="77777777" w:rsidR="00FC350F" w:rsidRDefault="00FC350F">
      <w:r>
        <w:br w:type="page"/>
      </w:r>
    </w:p>
    <w:p w14:paraId="5E938F33" w14:textId="77777777" w:rsidR="00FC350F" w:rsidRPr="004B5D68" w:rsidRDefault="00FC350F" w:rsidP="00FC350F">
      <w:pPr>
        <w:tabs>
          <w:tab w:val="left" w:pos="4320"/>
        </w:tabs>
        <w:jc w:val="center"/>
        <w:rPr>
          <w:rFonts w:eastAsia="Times New Roman" w:cs="Arial"/>
          <w:b/>
          <w:smallCaps/>
          <w:sz w:val="28"/>
        </w:rPr>
      </w:pPr>
      <w:r w:rsidRPr="004B5D68">
        <w:rPr>
          <w:rFonts w:eastAsia="Times New Roman" w:cs="Arial"/>
          <w:b/>
          <w:smallCaps/>
          <w:sz w:val="28"/>
        </w:rPr>
        <w:lastRenderedPageBreak/>
        <w:t>Before</w:t>
      </w:r>
    </w:p>
    <w:p w14:paraId="5DE98885" w14:textId="77777777" w:rsidR="00FC350F" w:rsidRPr="004B5D68" w:rsidRDefault="00FC350F" w:rsidP="00FC350F">
      <w:pPr>
        <w:jc w:val="center"/>
        <w:rPr>
          <w:rFonts w:eastAsia="Times New Roman" w:cs="Arial"/>
          <w:b/>
          <w:smallCaps/>
          <w:sz w:val="28"/>
        </w:rPr>
      </w:pPr>
      <w:r w:rsidRPr="004B5D68">
        <w:rPr>
          <w:rFonts w:eastAsia="Times New Roman" w:cs="Arial"/>
          <w:b/>
          <w:smallCaps/>
          <w:sz w:val="28"/>
        </w:rPr>
        <w:t xml:space="preserve">The Public Utilities Commission of </w:t>
      </w:r>
      <w:smartTag w:uri="urn:schemas-microsoft-com:office:smarttags" w:element="State">
        <w:smartTag w:uri="urn:schemas-microsoft-com:office:smarttags" w:element="place">
          <w:r w:rsidRPr="004B5D68">
            <w:rPr>
              <w:rFonts w:eastAsia="Times New Roman" w:cs="Arial"/>
              <w:b/>
              <w:smallCaps/>
              <w:sz w:val="28"/>
            </w:rPr>
            <w:t>Ohio</w:t>
          </w:r>
        </w:smartTag>
      </w:smartTag>
    </w:p>
    <w:p w14:paraId="63272CDB" w14:textId="77777777" w:rsidR="00FC350F" w:rsidRPr="004B5D68" w:rsidRDefault="00FC350F" w:rsidP="00FC350F">
      <w:pPr>
        <w:autoSpaceDE w:val="0"/>
        <w:autoSpaceDN w:val="0"/>
        <w:adjustRightInd w:val="0"/>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707"/>
        <w:gridCol w:w="4140"/>
      </w:tblGrid>
      <w:tr w:rsidR="00FC350F" w:rsidRPr="004B5D68" w14:paraId="66AECDC9" w14:textId="77777777" w:rsidTr="003108FE">
        <w:tc>
          <w:tcPr>
            <w:tcW w:w="4608" w:type="dxa"/>
          </w:tcPr>
          <w:p w14:paraId="70F0C5E4"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Establish a Standard Service Offer Pursuant to Section 4928.143, Revised Code, in the Form of an Electric Security Plan, Accounting Modifications and Tariffs for Generation Service.</w:t>
            </w:r>
          </w:p>
        </w:tc>
        <w:tc>
          <w:tcPr>
            <w:tcW w:w="720" w:type="dxa"/>
          </w:tcPr>
          <w:p w14:paraId="5FE4B117"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636AA388"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0D1092FE"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FE3D40B"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724A858E"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FF29771"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08A89176"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45E11350"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r>
            <w:r w:rsidRPr="004B5D68">
              <w:rPr>
                <w:rFonts w:ascii="Arial" w:eastAsia="Calibri" w:hAnsi="Arial" w:cs="Arial"/>
                <w:sz w:val="24"/>
                <w:szCs w:val="24"/>
              </w:rPr>
              <w:br/>
            </w:r>
            <w:r w:rsidRPr="004B5D68">
              <w:rPr>
                <w:rFonts w:ascii="Arial" w:eastAsia="Calibri" w:hAnsi="Arial" w:cs="Arial"/>
                <w:sz w:val="24"/>
                <w:szCs w:val="24"/>
              </w:rPr>
              <w:br/>
              <w:t>Case No. 17-1263-EL-SSO</w:t>
            </w:r>
          </w:p>
        </w:tc>
      </w:tr>
      <w:tr w:rsidR="00FC350F" w:rsidRPr="004B5D68" w14:paraId="18F7A384" w14:textId="77777777" w:rsidTr="003108FE">
        <w:tc>
          <w:tcPr>
            <w:tcW w:w="4608" w:type="dxa"/>
          </w:tcPr>
          <w:p w14:paraId="5B197D2C" w14:textId="77777777" w:rsidR="00FC350F" w:rsidRPr="004B5D68" w:rsidRDefault="00FC350F" w:rsidP="003108FE">
            <w:pPr>
              <w:autoSpaceDE w:val="0"/>
              <w:autoSpaceDN w:val="0"/>
              <w:adjustRightInd w:val="0"/>
              <w:rPr>
                <w:rFonts w:ascii="Arial" w:eastAsia="Calibri" w:hAnsi="Arial" w:cs="Arial"/>
                <w:sz w:val="24"/>
                <w:szCs w:val="24"/>
              </w:rPr>
            </w:pPr>
          </w:p>
        </w:tc>
        <w:tc>
          <w:tcPr>
            <w:tcW w:w="720" w:type="dxa"/>
          </w:tcPr>
          <w:p w14:paraId="7BE3E310" w14:textId="77777777" w:rsidR="00FC350F" w:rsidRPr="004B5D68" w:rsidRDefault="00FC350F" w:rsidP="003108FE">
            <w:pPr>
              <w:autoSpaceDE w:val="0"/>
              <w:autoSpaceDN w:val="0"/>
              <w:adjustRightInd w:val="0"/>
              <w:rPr>
                <w:rFonts w:ascii="Arial" w:eastAsia="Calibri" w:hAnsi="Arial" w:cs="Arial"/>
                <w:sz w:val="24"/>
                <w:szCs w:val="24"/>
              </w:rPr>
            </w:pPr>
          </w:p>
        </w:tc>
        <w:tc>
          <w:tcPr>
            <w:tcW w:w="4248" w:type="dxa"/>
          </w:tcPr>
          <w:p w14:paraId="708AD418" w14:textId="77777777" w:rsidR="00FC350F" w:rsidRPr="004B5D68" w:rsidRDefault="00FC350F" w:rsidP="003108FE">
            <w:pPr>
              <w:autoSpaceDE w:val="0"/>
              <w:autoSpaceDN w:val="0"/>
              <w:adjustRightInd w:val="0"/>
              <w:rPr>
                <w:rFonts w:ascii="Arial" w:eastAsia="Calibri" w:hAnsi="Arial" w:cs="Arial"/>
                <w:sz w:val="24"/>
                <w:szCs w:val="24"/>
              </w:rPr>
            </w:pPr>
          </w:p>
        </w:tc>
      </w:tr>
      <w:tr w:rsidR="00FC350F" w:rsidRPr="004B5D68" w14:paraId="6766C0E3" w14:textId="77777777" w:rsidTr="003108FE">
        <w:tc>
          <w:tcPr>
            <w:tcW w:w="4608" w:type="dxa"/>
          </w:tcPr>
          <w:p w14:paraId="6F48D019"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Amend its Certified Supplier Tariff, P.U.C.O. No. 20.</w:t>
            </w:r>
          </w:p>
        </w:tc>
        <w:tc>
          <w:tcPr>
            <w:tcW w:w="720" w:type="dxa"/>
          </w:tcPr>
          <w:p w14:paraId="5764446B"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3CA1A818"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0BA77CA"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2C923668"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003E0C33"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17-1264-EL-ATA</w:t>
            </w:r>
          </w:p>
        </w:tc>
      </w:tr>
      <w:tr w:rsidR="00FC350F" w:rsidRPr="004B5D68" w14:paraId="1F1CA8DD" w14:textId="77777777" w:rsidTr="003108FE">
        <w:tc>
          <w:tcPr>
            <w:tcW w:w="4608" w:type="dxa"/>
          </w:tcPr>
          <w:p w14:paraId="6C02C5CA" w14:textId="77777777" w:rsidR="00FC350F" w:rsidRPr="004B5D68" w:rsidRDefault="00FC350F" w:rsidP="003108FE">
            <w:pPr>
              <w:autoSpaceDE w:val="0"/>
              <w:autoSpaceDN w:val="0"/>
              <w:adjustRightInd w:val="0"/>
              <w:rPr>
                <w:rFonts w:ascii="Arial" w:eastAsia="Calibri" w:hAnsi="Arial" w:cs="Arial"/>
                <w:sz w:val="24"/>
                <w:szCs w:val="24"/>
              </w:rPr>
            </w:pPr>
          </w:p>
        </w:tc>
        <w:tc>
          <w:tcPr>
            <w:tcW w:w="720" w:type="dxa"/>
          </w:tcPr>
          <w:p w14:paraId="416AD23D" w14:textId="77777777" w:rsidR="00FC350F" w:rsidRPr="004B5D68" w:rsidRDefault="00FC350F" w:rsidP="003108FE">
            <w:pPr>
              <w:autoSpaceDE w:val="0"/>
              <w:autoSpaceDN w:val="0"/>
              <w:adjustRightInd w:val="0"/>
              <w:rPr>
                <w:rFonts w:ascii="Arial" w:eastAsia="Calibri" w:hAnsi="Arial" w:cs="Arial"/>
                <w:sz w:val="24"/>
                <w:szCs w:val="24"/>
              </w:rPr>
            </w:pPr>
          </w:p>
        </w:tc>
        <w:tc>
          <w:tcPr>
            <w:tcW w:w="4248" w:type="dxa"/>
          </w:tcPr>
          <w:p w14:paraId="3A1051BE" w14:textId="77777777" w:rsidR="00FC350F" w:rsidRPr="004B5D68" w:rsidRDefault="00FC350F" w:rsidP="003108FE">
            <w:pPr>
              <w:autoSpaceDE w:val="0"/>
              <w:autoSpaceDN w:val="0"/>
              <w:adjustRightInd w:val="0"/>
              <w:rPr>
                <w:rFonts w:ascii="Arial" w:eastAsia="Calibri" w:hAnsi="Arial" w:cs="Arial"/>
                <w:sz w:val="24"/>
                <w:szCs w:val="24"/>
              </w:rPr>
            </w:pPr>
          </w:p>
        </w:tc>
      </w:tr>
      <w:tr w:rsidR="00FC350F" w:rsidRPr="004B5D68" w14:paraId="4173E569" w14:textId="77777777" w:rsidTr="003108FE">
        <w:tc>
          <w:tcPr>
            <w:tcW w:w="4608" w:type="dxa"/>
          </w:tcPr>
          <w:p w14:paraId="2986DAA9"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 xml:space="preserve">In the Matter of the Application of </w:t>
            </w:r>
            <w:r w:rsidRPr="004B5D68">
              <w:rPr>
                <w:rFonts w:ascii="Arial" w:eastAsia="Calibri" w:hAnsi="Arial" w:cs="Arial"/>
                <w:sz w:val="24"/>
                <w:szCs w:val="24"/>
              </w:rPr>
              <w:br/>
              <w:t>Duke Energy Ohio, Inc. for Authority to Defer Vegetation Management Costs.</w:t>
            </w:r>
          </w:p>
        </w:tc>
        <w:tc>
          <w:tcPr>
            <w:tcW w:w="720" w:type="dxa"/>
          </w:tcPr>
          <w:p w14:paraId="357F5DF6"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724474AA"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p w14:paraId="473C96D8"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t>)</w:t>
            </w:r>
          </w:p>
        </w:tc>
        <w:tc>
          <w:tcPr>
            <w:tcW w:w="4248" w:type="dxa"/>
          </w:tcPr>
          <w:p w14:paraId="7A73A452" w14:textId="77777777" w:rsidR="00FC350F" w:rsidRPr="004B5D68" w:rsidRDefault="00FC350F" w:rsidP="003108FE">
            <w:pPr>
              <w:autoSpaceDE w:val="0"/>
              <w:autoSpaceDN w:val="0"/>
              <w:adjustRightInd w:val="0"/>
              <w:rPr>
                <w:rFonts w:ascii="Arial" w:eastAsia="Calibri" w:hAnsi="Arial" w:cs="Arial"/>
                <w:sz w:val="24"/>
                <w:szCs w:val="24"/>
              </w:rPr>
            </w:pPr>
            <w:r w:rsidRPr="004B5D68">
              <w:rPr>
                <w:rFonts w:ascii="Arial" w:eastAsia="Calibri" w:hAnsi="Arial" w:cs="Arial"/>
                <w:sz w:val="24"/>
                <w:szCs w:val="24"/>
              </w:rPr>
              <w:br/>
              <w:t>Case No. 17-1265-EL-AAM</w:t>
            </w:r>
          </w:p>
        </w:tc>
      </w:tr>
    </w:tbl>
    <w:p w14:paraId="1634BE4B" w14:textId="270163CC" w:rsidR="00FC350F" w:rsidRDefault="00FC350F" w:rsidP="00FC350F">
      <w:pPr>
        <w:tabs>
          <w:tab w:val="left" w:pos="5040"/>
        </w:tabs>
        <w:jc w:val="both"/>
        <w:rPr>
          <w:rFonts w:eastAsia="Times New Roman" w:cs="Arial"/>
        </w:rPr>
      </w:pPr>
    </w:p>
    <w:p w14:paraId="7B5E559C" w14:textId="77777777" w:rsidR="00563CEB" w:rsidRPr="004B5D68" w:rsidRDefault="00563CEB" w:rsidP="00FC350F">
      <w:pPr>
        <w:tabs>
          <w:tab w:val="left" w:pos="5040"/>
        </w:tabs>
        <w:jc w:val="both"/>
        <w:rPr>
          <w:rFonts w:eastAsia="Times New Roman" w:cs="Arial"/>
        </w:rPr>
      </w:pPr>
    </w:p>
    <w:p w14:paraId="0075123A" w14:textId="77777777" w:rsidR="00FC350F" w:rsidRPr="004B5D68" w:rsidRDefault="00FC350F" w:rsidP="00FC350F">
      <w:pPr>
        <w:pBdr>
          <w:top w:val="single" w:sz="12" w:space="1" w:color="auto"/>
        </w:pBdr>
        <w:jc w:val="center"/>
        <w:rPr>
          <w:b/>
        </w:rPr>
      </w:pPr>
    </w:p>
    <w:p w14:paraId="7A189B21" w14:textId="429890FC" w:rsidR="00FC350F" w:rsidRPr="004B5D68" w:rsidRDefault="00FC350F" w:rsidP="00FC350F">
      <w:pPr>
        <w:jc w:val="center"/>
        <w:rPr>
          <w:rFonts w:ascii="Arial Bold" w:hAnsi="Arial Bold"/>
          <w:b/>
          <w:smallCaps/>
          <w:sz w:val="28"/>
          <w:szCs w:val="28"/>
        </w:rPr>
      </w:pPr>
      <w:r>
        <w:rPr>
          <w:rFonts w:ascii="Arial Bold" w:hAnsi="Arial Bold"/>
          <w:b/>
          <w:smallCaps/>
          <w:sz w:val="28"/>
          <w:szCs w:val="28"/>
        </w:rPr>
        <w:t>Memorandum in Support</w:t>
      </w:r>
    </w:p>
    <w:p w14:paraId="1D042758" w14:textId="77777777" w:rsidR="00FC350F" w:rsidRPr="004B5D68" w:rsidRDefault="00FC350F" w:rsidP="00FC350F">
      <w:pPr>
        <w:pBdr>
          <w:bottom w:val="single" w:sz="12" w:space="1" w:color="auto"/>
        </w:pBdr>
        <w:jc w:val="center"/>
        <w:rPr>
          <w:rFonts w:eastAsia="Times New Roman" w:cs="Arial"/>
          <w:b/>
          <w:smallCaps/>
          <w:u w:val="single"/>
        </w:rPr>
      </w:pPr>
    </w:p>
    <w:p w14:paraId="4366133D" w14:textId="77777777" w:rsidR="00FC350F" w:rsidRPr="004B5D68" w:rsidRDefault="00FC350F" w:rsidP="00FC350F">
      <w:pPr>
        <w:jc w:val="center"/>
        <w:rPr>
          <w:rFonts w:eastAsia="Times New Roman" w:cs="Arial"/>
          <w:b/>
          <w:smallCaps/>
          <w:sz w:val="28"/>
          <w:u w:val="single"/>
        </w:rPr>
      </w:pPr>
    </w:p>
    <w:p w14:paraId="4B646909" w14:textId="77777777" w:rsidR="00092BD4" w:rsidRDefault="00DD6963" w:rsidP="00092BD4">
      <w:pPr>
        <w:pStyle w:val="Heading1"/>
      </w:pPr>
      <w:bookmarkStart w:id="2" w:name="_Toc495654617"/>
      <w:r>
        <w:t>I</w:t>
      </w:r>
      <w:r w:rsidR="00092BD4">
        <w:t>ntroduction</w:t>
      </w:r>
      <w:bookmarkEnd w:id="2"/>
    </w:p>
    <w:p w14:paraId="661E5659" w14:textId="1A13E5F7" w:rsidR="007776A9" w:rsidRDefault="007776A9" w:rsidP="00627C58">
      <w:pPr>
        <w:pStyle w:val="DSParagraph"/>
      </w:pPr>
      <w:r>
        <w:t xml:space="preserve">In its </w:t>
      </w:r>
      <w:r w:rsidR="003A7616">
        <w:t xml:space="preserve">application in its </w:t>
      </w:r>
      <w:r>
        <w:t>third ESP proceeding (“ESP III”)</w:t>
      </w:r>
      <w:r w:rsidR="009F47E3">
        <w:t>,</w:t>
      </w:r>
      <w:r w:rsidR="00192C09">
        <w:t xml:space="preserve"> which the Commission modified and approved in 2015,</w:t>
      </w:r>
      <w:r>
        <w:t xml:space="preserve"> Duke proposed the PSR with a term through 2040 and</w:t>
      </w:r>
      <w:r w:rsidR="009F47E3">
        <w:t xml:space="preserve"> also proposed</w:t>
      </w:r>
      <w:r>
        <w:t xml:space="preserve"> to include its interest in the Ohio Valley Electric Corporation (“OVEC”) in the PSR.</w:t>
      </w:r>
      <w:r w:rsidR="0085781D">
        <w:rPr>
          <w:rStyle w:val="FootnoteReference"/>
        </w:rPr>
        <w:footnoteReference w:id="1"/>
      </w:r>
      <w:r>
        <w:t xml:space="preserve">  If approved, the costs Duke paid OVEC under the Inter</w:t>
      </w:r>
      <w:r w:rsidR="00EE1C81">
        <w:t>-</w:t>
      </w:r>
      <w:r>
        <w:t>Company Power Agreement (“ICPA”) would have been netted against the market revenue D</w:t>
      </w:r>
      <w:r w:rsidR="00210049">
        <w:t xml:space="preserve">uke received by liquidating its interest in the energy and capacity of the OVEC plants </w:t>
      </w:r>
      <w:r>
        <w:t>into PJM</w:t>
      </w:r>
      <w:r w:rsidR="00EE1C81">
        <w:t xml:space="preserve"> </w:t>
      </w:r>
      <w:r w:rsidR="00EE1C81">
        <w:lastRenderedPageBreak/>
        <w:t>Interconnection, LLC</w:t>
      </w:r>
      <w:r>
        <w:t xml:space="preserve">’s </w:t>
      </w:r>
      <w:r w:rsidR="00EE1C81">
        <w:t xml:space="preserve">(“PJM”) </w:t>
      </w:r>
      <w:r>
        <w:t>wholesale markets.</w:t>
      </w:r>
      <w:r w:rsidR="0085781D">
        <w:rPr>
          <w:rStyle w:val="FootnoteReference"/>
        </w:rPr>
        <w:footnoteReference w:id="2"/>
      </w:r>
      <w:r>
        <w:t xml:space="preserve">  The difference would have been charged or credited to customers.</w:t>
      </w:r>
      <w:r w:rsidR="0085781D">
        <w:rPr>
          <w:rStyle w:val="FootnoteReference"/>
        </w:rPr>
        <w:footnoteReference w:id="3"/>
      </w:r>
      <w:r>
        <w:t xml:space="preserve">  </w:t>
      </w:r>
      <w:r w:rsidR="00F72F0E">
        <w:t xml:space="preserve">The record demonstrated that </w:t>
      </w:r>
      <w:r w:rsidR="009F47E3">
        <w:t xml:space="preserve">the </w:t>
      </w:r>
      <w:r w:rsidR="00F72F0E">
        <w:t>PSR would have resulted in net costs to customers during the ESP III term.</w:t>
      </w:r>
      <w:r w:rsidR="0085781D">
        <w:rPr>
          <w:rStyle w:val="FootnoteReference"/>
        </w:rPr>
        <w:footnoteReference w:id="4"/>
      </w:r>
      <w:r w:rsidR="00F72F0E">
        <w:t xml:space="preserve">  Although the Commission found that a PSR-like rider might satisfy the requirements of R.C. 4928.143(B)(2)(d) “in theory” </w:t>
      </w:r>
      <w:r w:rsidR="00277960">
        <w:t xml:space="preserve">and therefore authorized a placeholder rider, </w:t>
      </w:r>
      <w:r w:rsidR="00F72F0E">
        <w:t>the Commission denied Duke’s request to recover its above-market OVEC costs through the PSR</w:t>
      </w:r>
      <w:r w:rsidR="00277960">
        <w:t>.</w:t>
      </w:r>
      <w:r w:rsidR="00277960">
        <w:rPr>
          <w:rStyle w:val="FootnoteReference"/>
        </w:rPr>
        <w:footnoteReference w:id="5"/>
      </w:r>
      <w:r w:rsidR="00F72F0E">
        <w:t xml:space="preserve"> </w:t>
      </w:r>
      <w:r w:rsidR="00563CEB">
        <w:t xml:space="preserve"> </w:t>
      </w:r>
      <w:r w:rsidR="00277960">
        <w:t>The Commission found that</w:t>
      </w:r>
      <w:r w:rsidR="00F72F0E">
        <w:t xml:space="preserve"> </w:t>
      </w:r>
      <w:r>
        <w:t>Duke failed to demonstrate that its PSR proposal would have produced rate stability or that the proposal was in the public interest given its unproven benefits and likely costs.</w:t>
      </w:r>
      <w:r w:rsidR="0085781D">
        <w:rPr>
          <w:rStyle w:val="FootnoteReference"/>
        </w:rPr>
        <w:footnoteReference w:id="6"/>
      </w:r>
      <w:r>
        <w:t xml:space="preserve">  </w:t>
      </w:r>
    </w:p>
    <w:p w14:paraId="14203E7F" w14:textId="4CF99A3D" w:rsidR="00B15DDD" w:rsidRDefault="00B15DDD" w:rsidP="00EB2B03">
      <w:pPr>
        <w:pStyle w:val="DSParagraph"/>
      </w:pPr>
      <w:r>
        <w:t xml:space="preserve">In this proceeding, </w:t>
      </w:r>
      <w:r w:rsidR="009E0DB1">
        <w:t xml:space="preserve">Duke seeks </w:t>
      </w:r>
      <w:r w:rsidR="006F377F">
        <w:t>an extension of the previously</w:t>
      </w:r>
      <w:r w:rsidR="00EE1C81">
        <w:t>-</w:t>
      </w:r>
      <w:r w:rsidR="006F377F">
        <w:t>authorized placeholder</w:t>
      </w:r>
      <w:r w:rsidR="009E0DB1">
        <w:t xml:space="preserve"> </w:t>
      </w:r>
      <w:r>
        <w:t>PSR</w:t>
      </w:r>
      <w:r w:rsidR="009E0DB1">
        <w:t xml:space="preserve"> </w:t>
      </w:r>
      <w:r w:rsidR="006F377F">
        <w:t xml:space="preserve">beyond the term of </w:t>
      </w:r>
      <w:r>
        <w:t>ESP III.</w:t>
      </w:r>
      <w:r w:rsidR="009E0DB1">
        <w:t xml:space="preserve"> </w:t>
      </w:r>
      <w:r w:rsidR="006F377F">
        <w:t xml:space="preserve"> </w:t>
      </w:r>
      <w:r>
        <w:t xml:space="preserve">Duke’s </w:t>
      </w:r>
      <w:r w:rsidR="00EE1C81">
        <w:t>a</w:t>
      </w:r>
      <w:r>
        <w:t xml:space="preserve">pplication and testimony do not provide any description of the PSR proposal, do not address any issue regarding rate stability, and do not contain any projections of OVEC costs, PJM market proceeds, or a net cost/credit for the PSR rider.  Duke’s testimony further concedes that Duke does not intend to litigate the PSR in this proceeding.  Duke’s brief reference to the PSR in its application and testimony violates the Commission’s rules and is insufficient to </w:t>
      </w:r>
      <w:r w:rsidR="005650E5">
        <w:t>satisfy</w:t>
      </w:r>
      <w:r>
        <w:t xml:space="preserve"> Duke’s burden of proof in this proceeding.</w:t>
      </w:r>
      <w:r w:rsidR="00F72F0E">
        <w:t xml:space="preserve"> </w:t>
      </w:r>
    </w:p>
    <w:p w14:paraId="08A3944A" w14:textId="430EE90A" w:rsidR="00342E4D" w:rsidRDefault="00B66967" w:rsidP="00EB2B03">
      <w:pPr>
        <w:pStyle w:val="DSParagraph"/>
      </w:pPr>
      <w:r>
        <w:t>Furthermore, although the Commission approved the placeholder PSR in the ESP</w:t>
      </w:r>
      <w:r w:rsidR="00396899">
        <w:t> </w:t>
      </w:r>
      <w:r>
        <w:t xml:space="preserve">III proceeding and indicated that Duke could try again to justify including </w:t>
      </w:r>
      <w:r w:rsidR="00D72841">
        <w:t>above-</w:t>
      </w:r>
      <w:r w:rsidR="00D72841">
        <w:lastRenderedPageBreak/>
        <w:t xml:space="preserve">market cost recovery associated with </w:t>
      </w:r>
      <w:r>
        <w:t xml:space="preserve">its OVEC interest in the PSR, intervening events confirm that doing so would be unlawful.  </w:t>
      </w:r>
      <w:r w:rsidR="00D72841">
        <w:t>After</w:t>
      </w:r>
      <w:r>
        <w:t xml:space="preserve"> the Commission’s Order in the ESP III proceeding</w:t>
      </w:r>
      <w:r w:rsidR="002B1AF1">
        <w:t xml:space="preserve">, the Ohio Supreme Court reversed the nonbypassable generation-related charges contained in the ESPs of </w:t>
      </w:r>
      <w:r w:rsidR="00396899">
        <w:t>T</w:t>
      </w:r>
      <w:r w:rsidR="002B1AF1">
        <w:t xml:space="preserve">he Dayton Power and Light Company (“DP&amp;L”) and Ohio Power Company (“AEP-Ohio”) because the charges unlawfully permitted the </w:t>
      </w:r>
      <w:r w:rsidR="00396899">
        <w:t>electric distribution utilities (“</w:t>
      </w:r>
      <w:r w:rsidR="002B1AF1">
        <w:t>EDUs</w:t>
      </w:r>
      <w:r w:rsidR="00396899">
        <w:t>”)</w:t>
      </w:r>
      <w:r w:rsidR="002B1AF1">
        <w:t xml:space="preserve"> to collect trans</w:t>
      </w:r>
      <w:r w:rsidR="00342E4D">
        <w:t>ition revenue or its equivalent</w:t>
      </w:r>
      <w:r w:rsidR="00D72841">
        <w:t xml:space="preserve">.  Further, </w:t>
      </w:r>
      <w:r w:rsidR="00342E4D">
        <w:t xml:space="preserve">the United States Supreme Court confirmed that states were preempted from providing retail revenue to supplement the </w:t>
      </w:r>
      <w:r w:rsidR="00CC76E4">
        <w:t xml:space="preserve">wholesale </w:t>
      </w:r>
      <w:r w:rsidR="00342E4D">
        <w:t xml:space="preserve">compensation generators receive </w:t>
      </w:r>
      <w:r w:rsidR="00CC76E4">
        <w:t xml:space="preserve">under </w:t>
      </w:r>
      <w:r w:rsidR="00396899">
        <w:t>Federal Energy Regulatory Commission (“</w:t>
      </w:r>
      <w:r w:rsidR="00CC76E4">
        <w:t>FERC</w:t>
      </w:r>
      <w:r w:rsidR="00396899">
        <w:t>”)</w:t>
      </w:r>
      <w:r w:rsidR="00CC76E4">
        <w:t>-approved rates.</w:t>
      </w:r>
      <w:r w:rsidR="00342E4D">
        <w:t xml:space="preserve"> </w:t>
      </w:r>
      <w:r w:rsidR="00CC76E4">
        <w:t xml:space="preserve"> </w:t>
      </w:r>
      <w:r w:rsidR="00277960">
        <w:t>Arguments based on these two legal principles</w:t>
      </w:r>
      <w:r w:rsidR="00CC76E4">
        <w:t xml:space="preserve"> (transition revenue and preemption)</w:t>
      </w:r>
      <w:r w:rsidR="00342E4D">
        <w:t>, as well as other legal challenges, remain pending on rehearing in the ESP III Case, and demonstrate that the placeholder PSR should not have been approved in that case.  Those legal defects remain with the placeholder PSR today.</w:t>
      </w:r>
    </w:p>
    <w:p w14:paraId="067C86F2" w14:textId="45C2B327" w:rsidR="00F87BF2" w:rsidRDefault="00342E4D" w:rsidP="00EB2B03">
      <w:pPr>
        <w:pStyle w:val="DSParagraph"/>
      </w:pPr>
      <w:r>
        <w:t xml:space="preserve">Requiring intervening parties to present evidence and brief an issue that is legally defective, that is not supported by Duke, and </w:t>
      </w:r>
      <w:r w:rsidR="00B9538D">
        <w:t xml:space="preserve">that </w:t>
      </w:r>
      <w:r>
        <w:t xml:space="preserve">Duke </w:t>
      </w:r>
      <w:r w:rsidR="00ED1B01">
        <w:t>concedes it has no inten</w:t>
      </w:r>
      <w:r>
        <w:t xml:space="preserve">tion of </w:t>
      </w:r>
      <w:r w:rsidR="00895F4A">
        <w:t xml:space="preserve">advancing </w:t>
      </w:r>
      <w:r>
        <w:t>in this proceeding</w:t>
      </w:r>
      <w:r w:rsidR="00EB2B03">
        <w:t>,</w:t>
      </w:r>
      <w:r>
        <w:t xml:space="preserve"> would waste parties</w:t>
      </w:r>
      <w:r w:rsidR="006072AB">
        <w:t>’</w:t>
      </w:r>
      <w:r>
        <w:t xml:space="preserve"> time and resources.  </w:t>
      </w:r>
      <w:r w:rsidR="006072AB">
        <w:t xml:space="preserve">Because Duke has failed to provide a lawful basis to </w:t>
      </w:r>
      <w:r w:rsidR="00895F4A">
        <w:t>extend the placeholder PSR,</w:t>
      </w:r>
      <w:r w:rsidR="006072AB">
        <w:t xml:space="preserve"> the Commission should dismiss Duke’s request </w:t>
      </w:r>
      <w:r w:rsidR="00563CEB">
        <w:t>from its application</w:t>
      </w:r>
      <w:r w:rsidR="006072AB">
        <w:t xml:space="preserve">.  </w:t>
      </w:r>
    </w:p>
    <w:p w14:paraId="72519DE5" w14:textId="77777777" w:rsidR="00092BD4" w:rsidRDefault="00092BD4" w:rsidP="00092BD4">
      <w:pPr>
        <w:pStyle w:val="Heading1"/>
      </w:pPr>
      <w:bookmarkStart w:id="3" w:name="_Toc467485514"/>
      <w:bookmarkStart w:id="4" w:name="_Toc495654618"/>
      <w:r>
        <w:t>Standard of Review</w:t>
      </w:r>
      <w:bookmarkEnd w:id="3"/>
      <w:bookmarkEnd w:id="4"/>
    </w:p>
    <w:p w14:paraId="40234BEF" w14:textId="507C3234" w:rsidR="00092BD4" w:rsidRDefault="00092BD4" w:rsidP="00627C58">
      <w:pPr>
        <w:pStyle w:val="DSParagraph"/>
      </w:pPr>
      <w:r>
        <w:t>Although not strictly bound by the Rules of Civil Procedure, R.C. 4903.082 directs the Commission to rely on those rules “wherever practicable.”  Under the Rule</w:t>
      </w:r>
      <w:r w:rsidR="006072AB">
        <w:t xml:space="preserve"> 12(B)(6)</w:t>
      </w:r>
      <w:r>
        <w:t xml:space="preserve"> of </w:t>
      </w:r>
      <w:r w:rsidR="006072AB">
        <w:t xml:space="preserve">Rules of </w:t>
      </w:r>
      <w:r>
        <w:t xml:space="preserve">Civil Procedure, </w:t>
      </w:r>
      <w:r w:rsidR="006072AB">
        <w:t>a complaint or a claim in that complaint may be dismissed for</w:t>
      </w:r>
      <w:r>
        <w:t xml:space="preserve"> “failure to state a claim upon which relief can be granted.”</w:t>
      </w:r>
      <w:r w:rsidR="00951A06">
        <w:rPr>
          <w:rStyle w:val="FootnoteReference"/>
        </w:rPr>
        <w:footnoteReference w:id="7"/>
      </w:r>
      <w:r>
        <w:t xml:space="preserve">     </w:t>
      </w:r>
    </w:p>
    <w:p w14:paraId="2524DF7A" w14:textId="479ED373" w:rsidR="00092BD4" w:rsidRDefault="00092BD4" w:rsidP="00627C58">
      <w:pPr>
        <w:pStyle w:val="DSParagraph"/>
        <w:rPr>
          <w:rFonts w:ascii="Times New Roman" w:hAnsi="Times New Roman" w:cs="Times New Roman"/>
        </w:rPr>
      </w:pPr>
      <w:r>
        <w:t>“The standard for determining whether to grant a Civ.R. 12(B)(6) motion is straightforward.”</w:t>
      </w:r>
      <w:r w:rsidR="0066070C">
        <w:rPr>
          <w:rStyle w:val="FootnoteReference"/>
        </w:rPr>
        <w:footnoteReference w:id="8"/>
      </w:r>
      <w:r>
        <w:t xml:space="preserve"> </w:t>
      </w:r>
      <w:r w:rsidR="00951A06">
        <w:t xml:space="preserve"> </w:t>
      </w:r>
      <w:r>
        <w:t>“In order for a complaint to be dismissed under Civ.R. 12(B)(6) for failure to state a claim, it must appear beyond doubt from the complaint that the plaintiff can prove no set of facts entitling him to relief.”</w:t>
      </w:r>
      <w:r w:rsidR="00951A06">
        <w:rPr>
          <w:rStyle w:val="FootnoteReference"/>
        </w:rPr>
        <w:footnoteReference w:id="9"/>
      </w:r>
      <w:r>
        <w:t xml:space="preserve">  “Furthermore, ‘[</w:t>
      </w:r>
      <w:proofErr w:type="spellStart"/>
      <w:r>
        <w:t>i</w:t>
      </w:r>
      <w:proofErr w:type="spellEnd"/>
      <w:r>
        <w:t>]n construing a complaint upon a motion to dismiss for failure to state a claim, [the court] must presume that all factual allegations of the complaint are true and make all reasonable inferences in favor of the non-moving party.’”</w:t>
      </w:r>
      <w:r w:rsidR="00951A06">
        <w:rPr>
          <w:rStyle w:val="FootnoteReference"/>
        </w:rPr>
        <w:footnoteReference w:id="10"/>
      </w:r>
      <w:r>
        <w:t xml:space="preserve">  The Commission has confirmed that motions to dismiss may be filed in Commission proceedings.</w:t>
      </w:r>
      <w:r>
        <w:rPr>
          <w:rStyle w:val="FootnoteReference"/>
        </w:rPr>
        <w:footnoteReference w:id="11"/>
      </w:r>
      <w:r>
        <w:rPr>
          <w:rFonts w:ascii="Times New Roman" w:hAnsi="Times New Roman" w:cs="Times New Roman"/>
        </w:rPr>
        <w:t xml:space="preserve"> </w:t>
      </w:r>
    </w:p>
    <w:p w14:paraId="129E0205" w14:textId="77777777" w:rsidR="00092BD4" w:rsidRDefault="00DD6963" w:rsidP="00092BD4">
      <w:pPr>
        <w:pStyle w:val="Heading1"/>
      </w:pPr>
      <w:bookmarkStart w:id="5" w:name="_Toc495654619"/>
      <w:r>
        <w:t>A</w:t>
      </w:r>
      <w:r w:rsidR="00092BD4">
        <w:t>rgument</w:t>
      </w:r>
      <w:bookmarkEnd w:id="5"/>
    </w:p>
    <w:p w14:paraId="64F45764" w14:textId="73083D8F" w:rsidR="00C36B24" w:rsidRDefault="00C36B24" w:rsidP="00C904FA">
      <w:pPr>
        <w:pStyle w:val="Heading2"/>
      </w:pPr>
      <w:bookmarkStart w:id="6" w:name="_Toc495654620"/>
      <w:r>
        <w:t>Duke failed to set forth the minimum amount of information necessary for the Commission to approve the PSR as a term of the proposed ESP</w:t>
      </w:r>
      <w:bookmarkEnd w:id="6"/>
      <w:r>
        <w:t xml:space="preserve"> </w:t>
      </w:r>
    </w:p>
    <w:p w14:paraId="7BE73967" w14:textId="19A3E1DB" w:rsidR="00B57E77" w:rsidRDefault="00AB0355" w:rsidP="00627C58">
      <w:pPr>
        <w:pStyle w:val="DSParagraph"/>
      </w:pPr>
      <w:r>
        <w:t xml:space="preserve">Duke’s application and prefiled testimony fail to set forth the information required for the Commission to approve a provision as part of an ESP.  </w:t>
      </w:r>
      <w:r w:rsidR="00892662">
        <w:t xml:space="preserve">Rule 4901:1-35-03(C)(1), O.A.C., </w:t>
      </w:r>
      <w:r w:rsidR="00652A8B">
        <w:t>require</w:t>
      </w:r>
      <w:r w:rsidR="00892662">
        <w:t>s</w:t>
      </w:r>
      <w:r w:rsidR="00652A8B">
        <w:t xml:space="preserve"> that an application for an ESP contain a “complete description of the ESP and testimony explaining and supporting each aspect of the ESP.”</w:t>
      </w:r>
      <w:r w:rsidR="00C71861">
        <w:rPr>
          <w:rStyle w:val="FootnoteReference"/>
        </w:rPr>
        <w:footnoteReference w:id="12"/>
      </w:r>
      <w:r w:rsidR="009C6494">
        <w:t xml:space="preserve">  </w:t>
      </w:r>
      <w:r w:rsidR="00B57E77">
        <w:t>In recognition that R.C. 4928.143(C)(1) places the burden of proof in an ESP proceeding on an EDU, the Commission has held that the failure to present the required information prevents the authorization of a proposed charge.</w:t>
      </w:r>
      <w:r w:rsidR="00B57E77">
        <w:rPr>
          <w:rStyle w:val="FootnoteReference"/>
        </w:rPr>
        <w:footnoteReference w:id="13"/>
      </w:r>
      <w:r w:rsidR="00B57E77">
        <w:t xml:space="preserve">  </w:t>
      </w:r>
      <w:r w:rsidR="00350F4E" w:rsidRPr="00E85FF9">
        <w:t>Duke’s</w:t>
      </w:r>
      <w:r w:rsidR="00705E2A" w:rsidRPr="00E85FF9">
        <w:t xml:space="preserve"> failure to present the required information results in a situation where there is no set of facts upon which the Commission could approve Duke’s request.</w:t>
      </w:r>
      <w:r w:rsidR="00705E2A">
        <w:t xml:space="preserve">  </w:t>
      </w:r>
    </w:p>
    <w:p w14:paraId="649F1D03" w14:textId="41A79793" w:rsidR="00B57E77" w:rsidRDefault="00B57E77" w:rsidP="00627C58">
      <w:pPr>
        <w:pStyle w:val="DSParagraph"/>
      </w:pPr>
      <w:r>
        <w:t>In its review of so-called “stability riders”</w:t>
      </w:r>
      <w:r w:rsidR="00CC76E4">
        <w:t xml:space="preserve"> proposed under R.C. 4928.143(B)(2)(d),</w:t>
      </w:r>
      <w:r>
        <w:t xml:space="preserve"> the Commission has further explained that it requires a detailed filing in support of an application for such a rider.  </w:t>
      </w:r>
      <w:r w:rsidR="003859E9">
        <w:t>For example, in AEP</w:t>
      </w:r>
      <w:r w:rsidR="003859E9">
        <w:noBreakHyphen/>
        <w:t>Ohio’s ESP III Case, AEP-Ohio sought authorization of the NERC Compliance and Cybersecurity Rider.  In its application, AEP-Ohio briefly described the rider as needed due to the increasing scope of North American Electric Reliability Corporation (“NERC”) compliance and cybersecurity activities and requested authority to track and defer future capital and operations and maintenance (“O&amp;M”) expenses associated with new NERC compliance and cybersecurity measures.</w:t>
      </w:r>
      <w:r w:rsidR="003859E9">
        <w:rPr>
          <w:rStyle w:val="FootnoteReference"/>
        </w:rPr>
        <w:footnoteReference w:id="14"/>
      </w:r>
      <w:r w:rsidR="003859E9">
        <w:t xml:space="preserve">  AEP-Ohio also addressed this rider in the prefiled testimony of Mr. Vegas.</w:t>
      </w:r>
      <w:r w:rsidR="003859E9">
        <w:rPr>
          <w:rStyle w:val="FootnoteReference"/>
        </w:rPr>
        <w:footnoteReference w:id="15"/>
      </w:r>
      <w:r w:rsidR="003859E9">
        <w:t xml:space="preserve">  However, AEP-Ohio failed to offer evidence demonstrating it would incur any future NERC compliance costs and failed to demonstrate the types of future investments and the projected magnitude of those investments that it would be seeking future recovery of under the proposed rider.</w:t>
      </w:r>
      <w:r w:rsidR="003859E9">
        <w:rPr>
          <w:rStyle w:val="FootnoteReference"/>
        </w:rPr>
        <w:footnoteReference w:id="16"/>
      </w:r>
      <w:r w:rsidR="003859E9">
        <w:t xml:space="preserve">  Based on that record, the Commission held that AEP-Ohio failed to meet its burden of proof.</w:t>
      </w:r>
      <w:r w:rsidR="003859E9">
        <w:rPr>
          <w:rStyle w:val="FootnoteReference"/>
        </w:rPr>
        <w:footnoteReference w:id="17"/>
      </w:r>
      <w:r w:rsidR="003859E9">
        <w:t xml:space="preserve">  </w:t>
      </w:r>
    </w:p>
    <w:p w14:paraId="4493E4D7" w14:textId="2274B682" w:rsidR="00652A8B" w:rsidRDefault="00531D36" w:rsidP="00627C58">
      <w:pPr>
        <w:pStyle w:val="DSParagraph"/>
      </w:pPr>
      <w:r>
        <w:t xml:space="preserve">In disregard of the Commission’s rule and </w:t>
      </w:r>
      <w:r w:rsidR="00895F4A">
        <w:t xml:space="preserve">the </w:t>
      </w:r>
      <w:r>
        <w:t xml:space="preserve">decision in the </w:t>
      </w:r>
      <w:r w:rsidR="00AB0355">
        <w:t>AEP-Ohio</w:t>
      </w:r>
      <w:r>
        <w:t xml:space="preserve"> case, </w:t>
      </w:r>
      <w:r w:rsidR="00AA3EDB">
        <w:t xml:space="preserve">Duke’s </w:t>
      </w:r>
      <w:r w:rsidR="00254B9A">
        <w:t>a</w:t>
      </w:r>
      <w:r w:rsidR="00AA3EDB">
        <w:t>pplication provides no description of the proposed PSR.</w:t>
      </w:r>
      <w:r w:rsidR="00AA3EDB">
        <w:rPr>
          <w:rStyle w:val="FootnoteReference"/>
        </w:rPr>
        <w:footnoteReference w:id="18"/>
      </w:r>
      <w:r w:rsidR="00AA3EDB">
        <w:t xml:space="preserve">  Instead, the </w:t>
      </w:r>
      <w:r w:rsidR="00254B9A">
        <w:t>a</w:t>
      </w:r>
      <w:r w:rsidR="00AA3EDB">
        <w:t>pplication makes passing reference to the placeholder authorization of the PSR in Duke’s ESP III Case, and Duke’s stand-alone request in Case No</w:t>
      </w:r>
      <w:r w:rsidR="00E85FF9">
        <w:t>s</w:t>
      </w:r>
      <w:r w:rsidR="00AA3EDB">
        <w:t>. 17-872-EL-RDR</w:t>
      </w:r>
      <w:r w:rsidR="00E85FF9">
        <w:t xml:space="preserve">, </w:t>
      </w:r>
      <w:r w:rsidR="00E85FF9">
        <w:rPr>
          <w:i/>
        </w:rPr>
        <w:t>et al</w:t>
      </w:r>
      <w:r w:rsidR="00E85FF9">
        <w:t>.</w:t>
      </w:r>
      <w:r w:rsidR="00AA3EDB">
        <w:t xml:space="preserve"> for the authorization of the PSR outside of an ESP context.</w:t>
      </w:r>
      <w:r w:rsidR="00AA3EDB">
        <w:rPr>
          <w:rStyle w:val="FootnoteReference"/>
        </w:rPr>
        <w:footnoteReference w:id="19"/>
      </w:r>
      <w:r w:rsidR="00AA3EDB">
        <w:t xml:space="preserve">  </w:t>
      </w:r>
      <w:r w:rsidR="001361CD">
        <w:t xml:space="preserve">Duke’s </w:t>
      </w:r>
      <w:r w:rsidR="00254B9A">
        <w:t>ap</w:t>
      </w:r>
      <w:r w:rsidR="001361CD">
        <w:t>plication only requests the continuation of</w:t>
      </w:r>
      <w:r w:rsidR="00B83D0B">
        <w:t xml:space="preserve"> the</w:t>
      </w:r>
      <w:r w:rsidR="00E85FF9">
        <w:t xml:space="preserve"> previously-</w:t>
      </w:r>
      <w:r w:rsidR="00137A10">
        <w:t>authorized</w:t>
      </w:r>
      <w:r w:rsidR="00B83D0B">
        <w:t xml:space="preserve"> </w:t>
      </w:r>
      <w:r w:rsidR="00ED1B01">
        <w:t xml:space="preserve">placeholder </w:t>
      </w:r>
      <w:r w:rsidR="00B83D0B">
        <w:t>PSR beyond May 31, 2018, the end date of its ESP III.</w:t>
      </w:r>
      <w:r w:rsidR="00137A10">
        <w:rPr>
          <w:rStyle w:val="FootnoteReference"/>
        </w:rPr>
        <w:footnoteReference w:id="20"/>
      </w:r>
      <w:r w:rsidR="00B83D0B">
        <w:t xml:space="preserve">  Duke’s application does not propose a new end date for the PSR.  The </w:t>
      </w:r>
      <w:r w:rsidR="000C6562">
        <w:t>a</w:t>
      </w:r>
      <w:r w:rsidR="00B83D0B">
        <w:t xml:space="preserve">pplication </w:t>
      </w:r>
      <w:r w:rsidR="001361CD">
        <w:t xml:space="preserve">thus </w:t>
      </w:r>
      <w:r w:rsidR="00ED1B01">
        <w:t>fails to provide any description of the PSR, let alone the complete description required by the Commission’s rules.</w:t>
      </w:r>
      <w:r w:rsidR="00B83D0B">
        <w:t xml:space="preserve">  </w:t>
      </w:r>
    </w:p>
    <w:p w14:paraId="78BEF0CE" w14:textId="1A77233C" w:rsidR="006C2362" w:rsidRDefault="009F144F" w:rsidP="00627C58">
      <w:pPr>
        <w:pStyle w:val="DSParagraph"/>
      </w:pPr>
      <w:r>
        <w:t xml:space="preserve">Duke’s testimony similarly fails to fully describe or support the PSR.  </w:t>
      </w:r>
      <w:r w:rsidR="00082790">
        <w:t xml:space="preserve">The only Duke witness </w:t>
      </w:r>
      <w:r w:rsidR="00531D36">
        <w:t>addressing</w:t>
      </w:r>
      <w:r w:rsidR="00082790">
        <w:t xml:space="preserve"> the PSR </w:t>
      </w:r>
      <w:r w:rsidR="00531D36">
        <w:t xml:space="preserve">is </w:t>
      </w:r>
      <w:r w:rsidR="00082790">
        <w:t>Duke witness Wath</w:t>
      </w:r>
      <w:r w:rsidR="000C6562">
        <w:t>e</w:t>
      </w:r>
      <w:r w:rsidR="00082790">
        <w:t>n.  Mr. Wath</w:t>
      </w:r>
      <w:r w:rsidR="000C6562">
        <w:t>e</w:t>
      </w:r>
      <w:r w:rsidR="00082790">
        <w:t>n again states that Duke is requesting the Commission modify the end date of the placeholder PSR previously authorized in the ESP III Case.</w:t>
      </w:r>
      <w:r w:rsidR="00082790">
        <w:rPr>
          <w:rStyle w:val="FootnoteReference"/>
        </w:rPr>
        <w:footnoteReference w:id="21"/>
      </w:r>
      <w:r w:rsidR="00082790">
        <w:t xml:space="preserve">  </w:t>
      </w:r>
      <w:r w:rsidR="00137A10">
        <w:t>Mr. Wath</w:t>
      </w:r>
      <w:r w:rsidR="000C6562">
        <w:t>e</w:t>
      </w:r>
      <w:r w:rsidR="00137A10">
        <w:t>n does not offer any testimony on the mechanics of the proposed charge, on the benefits of the charge, or on the potential costs of the charge.  In fact,</w:t>
      </w:r>
      <w:r w:rsidR="00082790">
        <w:t xml:space="preserve"> Mr. Wath</w:t>
      </w:r>
      <w:r w:rsidR="000C6562">
        <w:t>e</w:t>
      </w:r>
      <w:r w:rsidR="00082790">
        <w:t xml:space="preserve">n concedes that Duke is </w:t>
      </w:r>
      <w:r w:rsidR="00137A10">
        <w:t>not seeking to address the PSR in this proceeding</w:t>
      </w:r>
      <w:r w:rsidR="00555C7F">
        <w:t>, stating</w:t>
      </w:r>
      <w:r w:rsidR="00137A10">
        <w:t xml:space="preserve"> that Duke is </w:t>
      </w:r>
      <w:r w:rsidR="00082790">
        <w:t>seeking to litigate the PSR in other already filed proceedings and not this one.</w:t>
      </w:r>
      <w:r w:rsidR="00082790">
        <w:rPr>
          <w:rStyle w:val="FootnoteReference"/>
        </w:rPr>
        <w:footnoteReference w:id="22"/>
      </w:r>
      <w:r w:rsidR="00082790">
        <w:t xml:space="preserve">  </w:t>
      </w:r>
      <w:r w:rsidR="00555C7F">
        <w:t xml:space="preserve">That other proceeding, Case Nos. 17-872-EL-RDR, </w:t>
      </w:r>
      <w:r w:rsidR="00555C7F">
        <w:rPr>
          <w:i/>
        </w:rPr>
        <w:t>et al.</w:t>
      </w:r>
      <w:r w:rsidR="00555C7F">
        <w:t xml:space="preserve">, has not proceeded beyond Duke’s initial </w:t>
      </w:r>
      <w:r w:rsidR="000C6562">
        <w:t>a</w:t>
      </w:r>
      <w:r w:rsidR="00555C7F">
        <w:t>pplication.  No procedural schedule has been established; no sworn testimony has b</w:t>
      </w:r>
      <w:r w:rsidR="00ED1B01">
        <w:t>een submitted to the Commission; no opposing evidence has been submitted;</w:t>
      </w:r>
      <w:r w:rsidR="00555C7F">
        <w:t xml:space="preserve"> briefs</w:t>
      </w:r>
      <w:r w:rsidR="00ED1B01">
        <w:t xml:space="preserve"> and arguments</w:t>
      </w:r>
      <w:r w:rsidR="00555C7F">
        <w:t xml:space="preserve"> have </w:t>
      </w:r>
      <w:r w:rsidR="00ED1B01">
        <w:t>not been submitted to the Commission</w:t>
      </w:r>
      <w:r w:rsidR="00555C7F">
        <w:t xml:space="preserve">.  </w:t>
      </w:r>
      <w:r w:rsidR="006C2362">
        <w:t>The record in that case</w:t>
      </w:r>
      <w:r w:rsidR="00555C7F">
        <w:t xml:space="preserve">, or lack thereof, does not, and cannot, </w:t>
      </w:r>
      <w:r w:rsidR="006C2362">
        <w:t>act as a substitute for the record that Duke is required to establish in this case.</w:t>
      </w:r>
      <w:r w:rsidR="006C2362">
        <w:rPr>
          <w:rStyle w:val="FootnoteReference"/>
        </w:rPr>
        <w:footnoteReference w:id="23"/>
      </w:r>
    </w:p>
    <w:p w14:paraId="069C38A9" w14:textId="681A0BE6" w:rsidR="00EE139C" w:rsidRDefault="00CC5102" w:rsidP="00563CEB">
      <w:pPr>
        <w:pStyle w:val="DSParagraph"/>
        <w:rPr>
          <w:rFonts w:eastAsiaTheme="majorEastAsia"/>
          <w:b/>
          <w:szCs w:val="26"/>
        </w:rPr>
      </w:pPr>
      <w:r>
        <w:t xml:space="preserve">Duke’s </w:t>
      </w:r>
      <w:r w:rsidR="00E45702">
        <w:t xml:space="preserve">application and testimony </w:t>
      </w:r>
      <w:r>
        <w:t xml:space="preserve">fail to meet the requirements imposed on Duke in R.C. 4928.143(C)(1) and Rule 4901:1-35-03(C)(1), O.A.C.  Because Duke has failed to include </w:t>
      </w:r>
      <w:r w:rsidR="00A65F1E">
        <w:t xml:space="preserve">in its application </w:t>
      </w:r>
      <w:r>
        <w:t>a complete description of the proposed PSR supported by testimony, there is no basis for the Commission to approve Duke’s request</w:t>
      </w:r>
      <w:r w:rsidR="00930309">
        <w:t xml:space="preserve"> that the Commission authorize an extension of the placeholder PSR.  The request should therefore be dismissed from its application</w:t>
      </w:r>
      <w:r>
        <w:t>.</w:t>
      </w:r>
    </w:p>
    <w:p w14:paraId="31D5ED04" w14:textId="611891BF" w:rsidR="00EE7481" w:rsidRDefault="00F60279" w:rsidP="00EE7481">
      <w:pPr>
        <w:pStyle w:val="Heading2"/>
      </w:pPr>
      <w:bookmarkStart w:id="7" w:name="_Toc495654621"/>
      <w:r>
        <w:t>Intervening court decisions issued since the placeholder PSR was approved confirm that the PSR is unlawful</w:t>
      </w:r>
      <w:bookmarkEnd w:id="7"/>
    </w:p>
    <w:p w14:paraId="76F27A75" w14:textId="6510C110" w:rsidR="00EE7481" w:rsidRPr="00EE7481" w:rsidRDefault="00EE7481" w:rsidP="00627C58">
      <w:pPr>
        <w:pStyle w:val="DSParagraph"/>
      </w:pPr>
      <w:r>
        <w:t>Since the Commission issued its order approving Duke’s ESP</w:t>
      </w:r>
      <w:r w:rsidR="00A166AF">
        <w:t>,</w:t>
      </w:r>
      <w:r>
        <w:t xml:space="preserve"> </w:t>
      </w:r>
      <w:r w:rsidR="00C36B24">
        <w:t>several</w:t>
      </w:r>
      <w:r>
        <w:t xml:space="preserve"> significant intervening events have occurred</w:t>
      </w:r>
      <w:r w:rsidR="00984EF5">
        <w:t xml:space="preserve"> that confirm that the PSR cannot be authorized</w:t>
      </w:r>
      <w:r w:rsidR="00A65F1E">
        <w:t xml:space="preserve"> lawfully</w:t>
      </w:r>
      <w:r>
        <w:t xml:space="preserve">.  The Ohio Supreme </w:t>
      </w:r>
      <w:r w:rsidR="00A166AF">
        <w:t>C</w:t>
      </w:r>
      <w:r>
        <w:t xml:space="preserve">ourt struck down nonbypassable charges of AEP-Ohio and DP&amp;L as unlawful transition charges.  </w:t>
      </w:r>
      <w:r w:rsidR="00C36B24">
        <w:t>Further, t</w:t>
      </w:r>
      <w:r>
        <w:t xml:space="preserve">he U.S. Supreme Court upheld as preempted state regulatory action that was designed to provide above market compensation to generators.  </w:t>
      </w:r>
      <w:r w:rsidR="00984EF5">
        <w:t>Each of these decisions confirm</w:t>
      </w:r>
      <w:r w:rsidR="0067575C">
        <w:t>s</w:t>
      </w:r>
      <w:r w:rsidR="00984EF5">
        <w:t xml:space="preserve"> that the PSR </w:t>
      </w:r>
      <w:r w:rsidR="0067575C">
        <w:t>is unlawful</w:t>
      </w:r>
      <w:r w:rsidR="00984EF5">
        <w:t xml:space="preserve">.  </w:t>
      </w:r>
    </w:p>
    <w:p w14:paraId="4F50C9B2" w14:textId="07484062" w:rsidR="00CE4B59" w:rsidRDefault="005D43BD" w:rsidP="005D43BD">
      <w:pPr>
        <w:pStyle w:val="Heading3"/>
      </w:pPr>
      <w:bookmarkStart w:id="8" w:name="_Toc495654622"/>
      <w:r>
        <w:t>The Court has confirmed that t</w:t>
      </w:r>
      <w:r w:rsidR="00A6653B">
        <w:t xml:space="preserve">ransition </w:t>
      </w:r>
      <w:r>
        <w:t>c</w:t>
      </w:r>
      <w:r w:rsidR="00A6653B">
        <w:t>harge</w:t>
      </w:r>
      <w:r>
        <w:t xml:space="preserve">s, like the PSR, may not be authorized </w:t>
      </w:r>
      <w:r w:rsidR="003F067F">
        <w:t xml:space="preserve">as </w:t>
      </w:r>
      <w:r w:rsidR="00270E7B">
        <w:t xml:space="preserve">a </w:t>
      </w:r>
      <w:r w:rsidR="003F067F">
        <w:t>term of</w:t>
      </w:r>
      <w:r>
        <w:t xml:space="preserve"> an ESP</w:t>
      </w:r>
      <w:bookmarkEnd w:id="8"/>
    </w:p>
    <w:p w14:paraId="6956A0C8" w14:textId="3D68A1C7" w:rsidR="00881E85" w:rsidRDefault="006D2B83" w:rsidP="00627C58">
      <w:pPr>
        <w:pStyle w:val="DSParagraph"/>
      </w:pPr>
      <w:r>
        <w:t xml:space="preserve">In its </w:t>
      </w:r>
      <w:r w:rsidR="00D66D62">
        <w:t>a</w:t>
      </w:r>
      <w:r>
        <w:t>pplication</w:t>
      </w:r>
      <w:r w:rsidR="003F067F">
        <w:t>,</w:t>
      </w:r>
      <w:r>
        <w:t xml:space="preserve"> Duke indicates that it is seeking authorization of the PSR under R.C. 4928.143(B)(2)(d).  Duke further states that the Commission has authorized </w:t>
      </w:r>
      <w:r w:rsidR="00930309">
        <w:t xml:space="preserve">nonbypassable </w:t>
      </w:r>
      <w:r>
        <w:t>riders under this provision for other utilities.  In support of this claim, Duke cites to DP&amp;L’s and AEP-Ohio’s second ESPs.</w:t>
      </w:r>
      <w:r w:rsidR="00984EF5">
        <w:rPr>
          <w:rStyle w:val="FootnoteReference"/>
        </w:rPr>
        <w:footnoteReference w:id="24"/>
      </w:r>
      <w:r>
        <w:t xml:space="preserve">  Duke’s reliance on those orders is misplaced as the </w:t>
      </w:r>
      <w:r w:rsidR="00A65F1E">
        <w:t xml:space="preserve">orders authorizing the </w:t>
      </w:r>
      <w:r>
        <w:t>nonbypassable generation</w:t>
      </w:r>
      <w:r w:rsidR="00D66D62">
        <w:t>-</w:t>
      </w:r>
      <w:r>
        <w:t xml:space="preserve">related charges under R.C. 4928.143(B)(2)(d) </w:t>
      </w:r>
      <w:r w:rsidR="00D7471E">
        <w:t xml:space="preserve">in those cases </w:t>
      </w:r>
      <w:r>
        <w:t xml:space="preserve">were reversed by the Court as unlawful transition charges.  As discussed below, </w:t>
      </w:r>
      <w:r w:rsidR="00930309">
        <w:t>a populated</w:t>
      </w:r>
      <w:r>
        <w:t xml:space="preserve"> PSR </w:t>
      </w:r>
      <w:r w:rsidR="00930309">
        <w:t>would</w:t>
      </w:r>
      <w:r>
        <w:t xml:space="preserve"> also </w:t>
      </w:r>
      <w:r w:rsidR="00930309">
        <w:t xml:space="preserve">constitute </w:t>
      </w:r>
      <w:r>
        <w:t>an unlawful transition charge.</w:t>
      </w:r>
    </w:p>
    <w:p w14:paraId="3B6300CF" w14:textId="122538DB" w:rsidR="00EA509D" w:rsidRDefault="00D7471E" w:rsidP="00627C58">
      <w:pPr>
        <w:pStyle w:val="DSParagraph"/>
      </w:pPr>
      <w:r>
        <w:t>Duke’s placeholder PSR charge was authoriz</w:t>
      </w:r>
      <w:r w:rsidR="009F7D57">
        <w:t xml:space="preserve">ed under R.C. 4928.143(B)(2)(d) on the basis that it could </w:t>
      </w:r>
      <w:r w:rsidR="00673771">
        <w:t xml:space="preserve">in theory </w:t>
      </w:r>
      <w:r w:rsidR="009F7D57">
        <w:t>provide rate stability to customers.</w:t>
      </w:r>
      <w:r w:rsidR="009F7D57">
        <w:rPr>
          <w:rStyle w:val="FootnoteReference"/>
        </w:rPr>
        <w:footnoteReference w:id="25"/>
      </w:r>
      <w:r w:rsidR="009F7D57">
        <w:t xml:space="preserve">  Similarly, the Commission authorized nonbypassable generation charges in DP&amp;L’s and AEP-Ohio’s second ESPs on the basis that their respective charges</w:t>
      </w:r>
      <w:r w:rsidR="003F067F">
        <w:t xml:space="preserve"> also</w:t>
      </w:r>
      <w:r w:rsidR="009F7D57">
        <w:t xml:space="preserve"> provided “stability.”</w:t>
      </w:r>
      <w:r w:rsidR="00EA509D">
        <w:rPr>
          <w:rStyle w:val="FootnoteReference"/>
        </w:rPr>
        <w:footnoteReference w:id="26"/>
      </w:r>
      <w:r w:rsidR="009F7D57">
        <w:t xml:space="preserve">  In reviewing the</w:t>
      </w:r>
      <w:r w:rsidR="00881E85">
        <w:t xml:space="preserve"> true nature of </w:t>
      </w:r>
      <w:r w:rsidR="00EA509D">
        <w:t>DP&amp;L’s and AEP-Ohio’s</w:t>
      </w:r>
      <w:r w:rsidR="00881E85">
        <w:t xml:space="preserve"> so-called “stability” charges, </w:t>
      </w:r>
      <w:r w:rsidR="00EA509D">
        <w:t xml:space="preserve">however, </w:t>
      </w:r>
      <w:r w:rsidR="00881E85">
        <w:t>the Court determined that their nature was the same as a transition charge</w:t>
      </w:r>
      <w:r w:rsidR="00532719">
        <w:t>.  Recovery of transition revenue</w:t>
      </w:r>
      <w:r w:rsidR="00930309">
        <w:t xml:space="preserve"> through a transition charge</w:t>
      </w:r>
      <w:r w:rsidR="00532719">
        <w:t>, however, is no longer permitted.</w:t>
      </w:r>
    </w:p>
    <w:p w14:paraId="451DB08E" w14:textId="10940850" w:rsidR="003F067F" w:rsidRDefault="00532719" w:rsidP="00627C58">
      <w:pPr>
        <w:pStyle w:val="DSParagraph"/>
      </w:pPr>
      <w:r>
        <w:t>Electric utilities were</w:t>
      </w:r>
      <w:r w:rsidR="0069497A">
        <w:t xml:space="preserve"> provided </w:t>
      </w:r>
      <w:r>
        <w:t xml:space="preserve">an </w:t>
      </w:r>
      <w:r w:rsidR="0069497A">
        <w:t>opportunity in their</w:t>
      </w:r>
      <w:r w:rsidR="00C36B24">
        <w:t xml:space="preserve"> electric transition plan</w:t>
      </w:r>
      <w:r w:rsidR="0069497A">
        <w:t>s</w:t>
      </w:r>
      <w:r w:rsidR="00C36B24">
        <w:t xml:space="preserve"> (“ETP”)</w:t>
      </w:r>
      <w:r w:rsidR="0069497A">
        <w:t xml:space="preserve"> to make a request for transition revenue.</w:t>
      </w:r>
      <w:r w:rsidR="0069497A">
        <w:rPr>
          <w:rStyle w:val="FootnoteReference"/>
        </w:rPr>
        <w:footnoteReference w:id="27"/>
      </w:r>
      <w:r w:rsidR="0069497A">
        <w:t xml:space="preserve">  The opportunity to receive transition revenue was limited to “reasonable transition costs of the utility” that met the following criteria: “(A) [t]he costs were prudently incurred; (B) [t]he costs are legitimate, net, verifiable, and directly assignable or allocable to retail electric generation service provided to electric consumers in this state; (C) [t]he costs are unrecoverable in a competitive market; [and] (D) [t]he utility would otherwise be entitled an opportunity to recover the costs.”</w:t>
      </w:r>
      <w:r w:rsidR="0069497A">
        <w:rPr>
          <w:rStyle w:val="FootnoteReference"/>
        </w:rPr>
        <w:footnoteReference w:id="28"/>
      </w:r>
      <w:r w:rsidR="0069497A">
        <w:t xml:space="preserve">  Costs that satisfied these requirements could be recovered as transition revenue.</w:t>
      </w:r>
    </w:p>
    <w:p w14:paraId="6022CB1B" w14:textId="62324523" w:rsidR="00530337" w:rsidRDefault="0069497A" w:rsidP="00627C58">
      <w:pPr>
        <w:pStyle w:val="DSParagraph"/>
        <w:rPr>
          <w:bCs/>
          <w:color w:val="000000"/>
        </w:rPr>
      </w:pPr>
      <w:r>
        <w:rPr>
          <w:bCs/>
          <w:color w:val="000000"/>
        </w:rPr>
        <w:t>The recovery of transition</w:t>
      </w:r>
      <w:r w:rsidR="006C6A52">
        <w:rPr>
          <w:bCs/>
          <w:color w:val="000000"/>
        </w:rPr>
        <w:t>, however,</w:t>
      </w:r>
      <w:r>
        <w:rPr>
          <w:bCs/>
          <w:color w:val="000000"/>
        </w:rPr>
        <w:t xml:space="preserve"> was a one-time opportunity.  </w:t>
      </w:r>
      <w:r w:rsidR="00530337">
        <w:rPr>
          <w:bCs/>
          <w:color w:val="000000"/>
        </w:rPr>
        <w:t>“Utilities had until December 31, 2005 … to receive generation transition revenue … [and] were also permitted to receive transition revenue associated with regulatory assets … until December 31, 2010.”</w:t>
      </w:r>
      <w:r w:rsidR="00530337">
        <w:rPr>
          <w:rStyle w:val="FootnoteReference"/>
          <w:bCs/>
          <w:color w:val="000000"/>
        </w:rPr>
        <w:footnoteReference w:id="29"/>
      </w:r>
      <w:r w:rsidR="00530337">
        <w:rPr>
          <w:bCs/>
          <w:color w:val="000000"/>
        </w:rPr>
        <w:t xml:space="preserve">  </w:t>
      </w:r>
      <w:r w:rsidR="00270E7B">
        <w:rPr>
          <w:bCs/>
          <w:color w:val="000000"/>
        </w:rPr>
        <w:t>Thereafter, “</w:t>
      </w:r>
      <w:r w:rsidR="00530337">
        <w:rPr>
          <w:bCs/>
          <w:color w:val="000000"/>
        </w:rPr>
        <w:t>R.C. 4928.38 prohibits the commission from ‘authoriz[ing] the receipt of transition revenues or any equivalent revenues by an electric utility.’”</w:t>
      </w:r>
      <w:r w:rsidR="00530337">
        <w:rPr>
          <w:rStyle w:val="FootnoteReference"/>
          <w:bCs/>
          <w:color w:val="000000"/>
        </w:rPr>
        <w:footnoteReference w:id="30"/>
      </w:r>
      <w:r w:rsidR="00530337">
        <w:rPr>
          <w:bCs/>
          <w:color w:val="000000"/>
        </w:rPr>
        <w:t xml:space="preserve">  </w:t>
      </w:r>
      <w:r w:rsidR="00530337">
        <w:rPr>
          <w:bCs/>
          <w:i/>
          <w:color w:val="000000"/>
        </w:rPr>
        <w:t xml:space="preserve"> </w:t>
      </w:r>
      <w:r w:rsidR="00530337">
        <w:rPr>
          <w:bCs/>
          <w:color w:val="000000"/>
        </w:rPr>
        <w:t>Subsequent legislation enacted in 2008 further “expressly prohibits the recovery of transition costs” under “a standard service offer made through an ESP.”</w:t>
      </w:r>
      <w:r w:rsidR="00530337">
        <w:rPr>
          <w:rStyle w:val="FootnoteReference"/>
          <w:bCs/>
          <w:color w:val="000000"/>
        </w:rPr>
        <w:footnoteReference w:id="31"/>
      </w:r>
      <w:r w:rsidR="00530337">
        <w:rPr>
          <w:bCs/>
          <w:color w:val="000000"/>
        </w:rPr>
        <w:t xml:space="preserve">  </w:t>
      </w:r>
    </w:p>
    <w:p w14:paraId="31D6B6B5" w14:textId="67EB7BAE" w:rsidR="00881E85" w:rsidRDefault="001A1010" w:rsidP="00627C58">
      <w:pPr>
        <w:pStyle w:val="DSParagraph"/>
        <w:rPr>
          <w:i/>
        </w:rPr>
      </w:pPr>
      <w:r>
        <w:t>I</w:t>
      </w:r>
      <w:r w:rsidR="00530337">
        <w:t xml:space="preserve">n the </w:t>
      </w:r>
      <w:r>
        <w:t xml:space="preserve">appeal of the Commission’s authorization of the Retail Stability Rider (“RSR”) in </w:t>
      </w:r>
      <w:r w:rsidR="00530337">
        <w:t>AEP-Ohio</w:t>
      </w:r>
      <w:r>
        <w:t xml:space="preserve">’s ESP II </w:t>
      </w:r>
      <w:r w:rsidR="00B42A9E">
        <w:t>C</w:t>
      </w:r>
      <w:r w:rsidR="00530337">
        <w:t xml:space="preserve">ase, </w:t>
      </w:r>
      <w:r>
        <w:t xml:space="preserve">the Court </w:t>
      </w:r>
      <w:r w:rsidR="00881E85">
        <w:t>found that AEP-Ohio “proposed the RSR as a means to ensure that the company was not financially harmed during its transition to a fully competitive generation market over the three-year ESP period.”</w:t>
      </w:r>
      <w:r w:rsidR="00E21563">
        <w:rPr>
          <w:rStyle w:val="FootnoteReference"/>
          <w:bCs/>
          <w:color w:val="000000"/>
        </w:rPr>
        <w:footnoteReference w:id="32"/>
      </w:r>
      <w:r w:rsidR="00881E85">
        <w:t xml:space="preserve">  To achieve this result, AEP-Ohio requested that the Commission “guarantee recovery of lost revenue” through the RSR charge related to three sources of generation revenue:  retail nonfuel generation revenues, decreased capacity revenue, and revenue lost due to customer switching.</w:t>
      </w:r>
      <w:r w:rsidR="00E21563">
        <w:rPr>
          <w:rStyle w:val="FootnoteReference"/>
          <w:bCs/>
          <w:color w:val="000000"/>
        </w:rPr>
        <w:footnoteReference w:id="33"/>
      </w:r>
      <w:r w:rsidR="00881E85">
        <w:t xml:space="preserve">  “According to [AEP-Ohio’s] witnesses, the RSR was designed to generate enough revenue for the company to achieve a certain rate of return on its generation assets as it transitions to full auction pricing for energy and capacity by June 2015.”</w:t>
      </w:r>
      <w:r w:rsidR="00E21563">
        <w:rPr>
          <w:rStyle w:val="FootnoteReference"/>
          <w:bCs/>
          <w:color w:val="000000"/>
        </w:rPr>
        <w:footnoteReference w:id="34"/>
      </w:r>
      <w:r w:rsidR="00881E85">
        <w:t xml:space="preserve">  The Court also noted that the Commission had approved the RSR charge “to provide AEP with sufficient revenue to maintain its financial integrity and ability to attract capital during the ESP.”</w:t>
      </w:r>
      <w:r w:rsidR="00E21563">
        <w:rPr>
          <w:rStyle w:val="FootnoteReference"/>
          <w:bCs/>
          <w:color w:val="000000"/>
        </w:rPr>
        <w:footnoteReference w:id="35"/>
      </w:r>
      <w:r w:rsidR="00881E85">
        <w:rPr>
          <w:i/>
        </w:rPr>
        <w:t xml:space="preserve">  </w:t>
      </w:r>
    </w:p>
    <w:p w14:paraId="152C06D0" w14:textId="1547690B" w:rsidR="00E21563" w:rsidRDefault="00E21563" w:rsidP="00627C58">
      <w:pPr>
        <w:pStyle w:val="DSParagraph"/>
      </w:pPr>
      <w:r>
        <w:t xml:space="preserve">Based on the nature of AEP-Ohio’s charge, the Court held </w:t>
      </w:r>
      <w:r w:rsidR="0097712C">
        <w:t>that the RSR allowed</w:t>
      </w:r>
      <w:r>
        <w:t xml:space="preserve"> AEP-Ohio to </w:t>
      </w:r>
      <w:r w:rsidR="0097712C">
        <w:t xml:space="preserve">unlawfully </w:t>
      </w:r>
      <w:r>
        <w:t>collect transition revenue or its equivalent</w:t>
      </w:r>
      <w:r w:rsidR="001A1010">
        <w:t xml:space="preserve"> in violation of R.C. 4928.38</w:t>
      </w:r>
      <w:r>
        <w:t>.</w:t>
      </w:r>
      <w:r w:rsidR="00530337">
        <w:rPr>
          <w:rStyle w:val="FootnoteReference"/>
          <w:bCs/>
          <w:color w:val="000000"/>
        </w:rPr>
        <w:footnoteReference w:id="36"/>
      </w:r>
      <w:r>
        <w:t xml:space="preserve">  </w:t>
      </w:r>
      <w:r w:rsidR="00F4075E">
        <w:t>“By inserting the phrase ‘any equivalent revenues,’ the General Assembly has demonstrated its intention to bar not only transition revenue associated with costs that were stranded during the transition to market following S.B. 3 but also any revenue that amounts to transition revenue by another name.”</w:t>
      </w:r>
      <w:r w:rsidR="00180BAC">
        <w:rPr>
          <w:rStyle w:val="FootnoteReference"/>
        </w:rPr>
        <w:footnoteReference w:id="37"/>
      </w:r>
      <w:r w:rsidR="00F4075E">
        <w:t xml:space="preserve">  </w:t>
      </w:r>
      <w:r>
        <w:t xml:space="preserve">The Court </w:t>
      </w:r>
      <w:r w:rsidR="00F4075E">
        <w:t>found</w:t>
      </w:r>
      <w:r>
        <w:t xml:space="preserve"> that transition revenue represented costs that would not be recovered in a competitive market and </w:t>
      </w:r>
      <w:r w:rsidR="001F01F4">
        <w:t>the RSR</w:t>
      </w:r>
      <w:r>
        <w:t xml:space="preserve"> provided AEP-Ohio with revenue lost in the competitive market.</w:t>
      </w:r>
      <w:r w:rsidR="00530337">
        <w:rPr>
          <w:rStyle w:val="FootnoteReference"/>
          <w:bCs/>
          <w:color w:val="000000"/>
        </w:rPr>
        <w:footnoteReference w:id="38"/>
      </w:r>
      <w:r>
        <w:t xml:space="preserve">  “Based on [this] record</w:t>
      </w:r>
      <w:r w:rsidR="00A75BA1">
        <w:t>,</w:t>
      </w:r>
      <w:r>
        <w:t>” the Court concluded that AEP-Ohio’s RSR charge “recovers the equivalent</w:t>
      </w:r>
      <w:r w:rsidR="001F01F4">
        <w:t xml:space="preserve"> of transition revenue…</w:t>
      </w:r>
      <w:r>
        <w:t>”</w:t>
      </w:r>
      <w:r w:rsidR="001F01F4">
        <w:t xml:space="preserve"> and reversed the Commission’s authorization of the RSR.</w:t>
      </w:r>
      <w:r w:rsidR="00530337">
        <w:rPr>
          <w:rStyle w:val="FootnoteReference"/>
          <w:bCs/>
          <w:color w:val="000000"/>
        </w:rPr>
        <w:footnoteReference w:id="39"/>
      </w:r>
      <w:r>
        <w:t xml:space="preserve"> </w:t>
      </w:r>
    </w:p>
    <w:p w14:paraId="550E10DC" w14:textId="1A0FA2BB" w:rsidR="00E1662F" w:rsidRDefault="009116C6" w:rsidP="00627C58">
      <w:pPr>
        <w:pStyle w:val="DSParagraph"/>
      </w:pPr>
      <w:r>
        <w:t xml:space="preserve">Like AEP-Ohio, DP&amp;L sought the recovery of lost generation revenue in its ESP II application.  </w:t>
      </w:r>
      <w:r w:rsidR="00E1662F">
        <w:t xml:space="preserve">In reliance on </w:t>
      </w:r>
      <w:r>
        <w:t xml:space="preserve">the decision authorizing </w:t>
      </w:r>
      <w:r w:rsidR="00E1662F">
        <w:t xml:space="preserve">AEP-Ohio’s RSR, the Commission authorized DP&amp;L’s </w:t>
      </w:r>
      <w:r>
        <w:t>Service Stability Rider (“</w:t>
      </w:r>
      <w:r w:rsidR="00E1662F">
        <w:t>SSR</w:t>
      </w:r>
      <w:r>
        <w:t>”)</w:t>
      </w:r>
      <w:r w:rsidR="00E1662F">
        <w:t>.</w:t>
      </w:r>
      <w:r w:rsidR="00E1662F">
        <w:rPr>
          <w:rStyle w:val="FootnoteReference"/>
        </w:rPr>
        <w:footnoteReference w:id="40"/>
      </w:r>
      <w:r w:rsidR="00E1662F">
        <w:t xml:space="preserve">  </w:t>
      </w:r>
      <w:r w:rsidR="00023D68">
        <w:t xml:space="preserve">Like the RSR, </w:t>
      </w:r>
      <w:r w:rsidR="00E1662F">
        <w:t>DP&amp;L’s SSR was driven by DP&amp;L’</w:t>
      </w:r>
      <w:r w:rsidR="00023D68">
        <w:t>s claim</w:t>
      </w:r>
      <w:r w:rsidR="00E1662F">
        <w:t xml:space="preserve"> that it was losing generation revenue to </w:t>
      </w:r>
      <w:r w:rsidR="00023D68">
        <w:t xml:space="preserve">increased customer switching and declining wholesale </w:t>
      </w:r>
      <w:r w:rsidR="00532719">
        <w:t xml:space="preserve">generation </w:t>
      </w:r>
      <w:r w:rsidR="00023D68">
        <w:t>prices.</w:t>
      </w:r>
      <w:r w:rsidR="00023D68">
        <w:rPr>
          <w:rStyle w:val="FootnoteReference"/>
        </w:rPr>
        <w:footnoteReference w:id="41"/>
      </w:r>
      <w:r w:rsidR="00023D68">
        <w:t xml:space="preserve">  Faced with a charge authorized for the same reasons (to make up for generation revenue that could not be secured in </w:t>
      </w:r>
      <w:r w:rsidR="00CA1CD9">
        <w:t>a competitive</w:t>
      </w:r>
      <w:r w:rsidR="00023D68">
        <w:t xml:space="preserve"> market) </w:t>
      </w:r>
      <w:r w:rsidR="00CA1CD9">
        <w:t xml:space="preserve">and </w:t>
      </w:r>
      <w:r w:rsidR="00023D68">
        <w:t xml:space="preserve">under the same statutory provision (R.C. 4928.143(B)(2)(d)), the Court reversed </w:t>
      </w:r>
      <w:r w:rsidR="00532719">
        <w:t xml:space="preserve">the Commission’s authorization of </w:t>
      </w:r>
      <w:r w:rsidR="00023D68">
        <w:t xml:space="preserve">DP&amp;L’s SSR in a one-sentence decision that </w:t>
      </w:r>
      <w:r>
        <w:t>cited its decision reversing</w:t>
      </w:r>
      <w:r w:rsidR="00023D68">
        <w:t xml:space="preserve"> </w:t>
      </w:r>
      <w:r w:rsidR="00532719">
        <w:t>the</w:t>
      </w:r>
      <w:r w:rsidR="00023D68">
        <w:t xml:space="preserve"> </w:t>
      </w:r>
      <w:r w:rsidR="00532719">
        <w:t xml:space="preserve">Commission’s authorization of the </w:t>
      </w:r>
      <w:r w:rsidR="00023D68">
        <w:t>RSR.</w:t>
      </w:r>
      <w:r w:rsidR="00023D68">
        <w:rPr>
          <w:rStyle w:val="FootnoteReference"/>
        </w:rPr>
        <w:footnoteReference w:id="42"/>
      </w:r>
    </w:p>
    <w:p w14:paraId="6492CFEC" w14:textId="573EB111" w:rsidR="00D077FF" w:rsidRDefault="00881E85" w:rsidP="00627C58">
      <w:pPr>
        <w:pStyle w:val="DSParagraph"/>
        <w:rPr>
          <w:rFonts w:ascii="Times New Roman" w:hAnsi="Times New Roman" w:cs="Times New Roman"/>
        </w:rPr>
      </w:pPr>
      <w:r>
        <w:t xml:space="preserve">Like </w:t>
      </w:r>
      <w:r w:rsidR="00CA1CD9">
        <w:t>the RSR and SSR</w:t>
      </w:r>
      <w:r>
        <w:t xml:space="preserve">, </w:t>
      </w:r>
      <w:r w:rsidR="00CA1CD9">
        <w:t>Duke</w:t>
      </w:r>
      <w:r w:rsidR="004449D3">
        <w:t xml:space="preserve"> proposed the PSR </w:t>
      </w:r>
      <w:r w:rsidR="00CA1CD9">
        <w:t xml:space="preserve">to </w:t>
      </w:r>
      <w:r w:rsidR="004449D3">
        <w:t xml:space="preserve">make up </w:t>
      </w:r>
      <w:r w:rsidR="00CA1CD9">
        <w:t xml:space="preserve">for generation costs that cannot be recovered in a competitive market.  </w:t>
      </w:r>
      <w:r w:rsidR="00CA1CD9">
        <w:rPr>
          <w:rFonts w:eastAsia="Calibri" w:cs="Times New Roman"/>
        </w:rPr>
        <w:t>As presented by Duke in the ESP III Case, the PSR would permit Duke to charge customers the difference between what Duke receives from PJM for wholesale energy and capacity and the amounts billed to it by OVEC under the ICPA.</w:t>
      </w:r>
      <w:r w:rsidR="00CA1CD9">
        <w:rPr>
          <w:rFonts w:eastAsia="Calibri" w:cs="Times New Roman"/>
          <w:vertAlign w:val="superscript"/>
        </w:rPr>
        <w:footnoteReference w:id="43"/>
      </w:r>
      <w:r w:rsidR="00CA1CD9">
        <w:rPr>
          <w:rFonts w:eastAsia="Calibri" w:cs="Times New Roman"/>
        </w:rPr>
        <w:t xml:space="preserve">  When the generation-related costs exceed the </w:t>
      </w:r>
      <w:r w:rsidR="004449D3">
        <w:rPr>
          <w:rFonts w:eastAsia="Calibri" w:cs="Times New Roman"/>
        </w:rPr>
        <w:t>market</w:t>
      </w:r>
      <w:r w:rsidR="00CA1CD9">
        <w:rPr>
          <w:rFonts w:eastAsia="Calibri" w:cs="Times New Roman"/>
        </w:rPr>
        <w:t>-based revenue, the difference is “costs … unrecoverable in a competitive market.”</w:t>
      </w:r>
      <w:r w:rsidR="00CA1CD9">
        <w:rPr>
          <w:rFonts w:eastAsia="Calibri" w:cs="Times New Roman"/>
          <w:vertAlign w:val="superscript"/>
        </w:rPr>
        <w:footnoteReference w:id="44"/>
      </w:r>
      <w:r w:rsidR="00CA1CD9">
        <w:rPr>
          <w:rFonts w:eastAsia="Calibri" w:cs="Times New Roman"/>
        </w:rPr>
        <w:t xml:space="preserve"> </w:t>
      </w:r>
      <w:r w:rsidR="00927F45">
        <w:rPr>
          <w:rFonts w:eastAsia="Calibri" w:cs="Times New Roman"/>
        </w:rPr>
        <w:t xml:space="preserve"> Recovering generation-related costs that are otherwise unrecoverable in the competitive market is the equivalent of collecting transition revenue and it is prohibited by statute.  Like the RSR and SSR, </w:t>
      </w:r>
      <w:r w:rsidR="00270E7B">
        <w:rPr>
          <w:rFonts w:eastAsia="Calibri" w:cs="Times New Roman"/>
        </w:rPr>
        <w:t xml:space="preserve">a populated </w:t>
      </w:r>
      <w:r w:rsidR="00927F45">
        <w:rPr>
          <w:rFonts w:eastAsia="Calibri" w:cs="Times New Roman"/>
        </w:rPr>
        <w:t xml:space="preserve">PSR </w:t>
      </w:r>
      <w:r w:rsidR="00270E7B">
        <w:rPr>
          <w:rFonts w:eastAsia="Calibri" w:cs="Times New Roman"/>
        </w:rPr>
        <w:t>would be</w:t>
      </w:r>
      <w:r w:rsidR="00927F45">
        <w:rPr>
          <w:rFonts w:eastAsia="Calibri" w:cs="Times New Roman"/>
        </w:rPr>
        <w:t xml:space="preserve"> an unlawful transition charge.</w:t>
      </w:r>
      <w:r w:rsidR="00D077FF">
        <w:tab/>
      </w:r>
    </w:p>
    <w:p w14:paraId="6F3F7A3B" w14:textId="77777777" w:rsidR="00984EF5" w:rsidRDefault="00D13A5D" w:rsidP="00D13A5D">
      <w:pPr>
        <w:pStyle w:val="Heading3"/>
        <w:tabs>
          <w:tab w:val="num" w:pos="2160"/>
        </w:tabs>
      </w:pPr>
      <w:bookmarkStart w:id="9" w:name="_Toc495654623"/>
      <w:r>
        <w:t>The U.S. Supreme Court has confirmed that states are preempted from setting the effective price generators receive in wholesale markets through retail revenue supplements</w:t>
      </w:r>
      <w:bookmarkEnd w:id="9"/>
      <w:r>
        <w:t xml:space="preserve"> </w:t>
      </w:r>
    </w:p>
    <w:p w14:paraId="13707B9F" w14:textId="30F88EB1" w:rsidR="009F3DCD" w:rsidRDefault="00DA56EF" w:rsidP="00627C58">
      <w:pPr>
        <w:pStyle w:val="DSParagraph"/>
        <w:rPr>
          <w:rStyle w:val="ssrfcpassagedeactivated"/>
        </w:rPr>
      </w:pPr>
      <w:r>
        <w:rPr>
          <w:rStyle w:val="ssrfcpassagedeactivated"/>
        </w:rPr>
        <w:t>Since the Commis</w:t>
      </w:r>
      <w:r w:rsidR="00B42A9E">
        <w:rPr>
          <w:rStyle w:val="ssrfcpassagedeactivated"/>
        </w:rPr>
        <w:t>sion’s decision in the ESP III C</w:t>
      </w:r>
      <w:r>
        <w:rPr>
          <w:rStyle w:val="ssrfcpassagedeactivated"/>
        </w:rPr>
        <w:t>ase</w:t>
      </w:r>
      <w:r w:rsidR="008A4879">
        <w:rPr>
          <w:rStyle w:val="ssrfcpassagedeactivated"/>
        </w:rPr>
        <w:t>, the U.S. Supreme Court has confirmed that states are preempted fro</w:t>
      </w:r>
      <w:r w:rsidR="00BB720F">
        <w:rPr>
          <w:rStyle w:val="ssrfcpassagedeactivated"/>
        </w:rPr>
        <w:t xml:space="preserve">m establishing wholesale electric rates through retail mechanisms directly tied to wholesale </w:t>
      </w:r>
      <w:r w:rsidR="009F3DCD">
        <w:rPr>
          <w:rStyle w:val="ssrfcpassagedeactivated"/>
        </w:rPr>
        <w:t xml:space="preserve">electric </w:t>
      </w:r>
      <w:r w:rsidR="00BB720F">
        <w:rPr>
          <w:rStyle w:val="ssrfcpassagedeactivated"/>
        </w:rPr>
        <w:t>price</w:t>
      </w:r>
      <w:r w:rsidR="009F3DCD">
        <w:rPr>
          <w:rStyle w:val="ssrfcpassagedeactivated"/>
        </w:rPr>
        <w:t>s</w:t>
      </w:r>
      <w:r w:rsidR="00BB720F">
        <w:rPr>
          <w:rStyle w:val="ssrfcpassagedeactivated"/>
        </w:rPr>
        <w:t>.</w:t>
      </w:r>
      <w:r w:rsidR="005903D2">
        <w:rPr>
          <w:rStyle w:val="FootnoteReference"/>
        </w:rPr>
        <w:footnoteReference w:id="45"/>
      </w:r>
      <w:r w:rsidR="008A4879">
        <w:rPr>
          <w:rStyle w:val="ssrfcpassagedeactivated"/>
        </w:rPr>
        <w:t xml:space="preserve"> </w:t>
      </w:r>
      <w:r w:rsidR="00BB720F">
        <w:rPr>
          <w:rStyle w:val="ssrfcpassagedeactivated"/>
        </w:rPr>
        <w:t xml:space="preserve"> </w:t>
      </w:r>
      <w:r w:rsidR="008A4879">
        <w:rPr>
          <w:rStyle w:val="ssrfcpassagedeactivated"/>
        </w:rPr>
        <w:t xml:space="preserve">The PSR is directly tied to the wholesale revenue Duke receives from the PJM market, and </w:t>
      </w:r>
      <w:r w:rsidR="005522E2">
        <w:rPr>
          <w:rStyle w:val="ssrfcpassagedeactivated"/>
        </w:rPr>
        <w:t xml:space="preserve">each dollar collected or credited through the PSR alters Duke’s wholesale market compensation.  </w:t>
      </w:r>
      <w:r w:rsidR="009F3DCD">
        <w:rPr>
          <w:rStyle w:val="ssrfcpassagedeactivated"/>
        </w:rPr>
        <w:t xml:space="preserve">Because including Duke’s OVEC interest in the PSR would alter the wholesale compensation Duke receives for its OVEC interest, the Commission would be preempted from authorizing the inclusion of the OVEC interest in the PSR.  </w:t>
      </w:r>
      <w:r w:rsidR="00C81FD7">
        <w:rPr>
          <w:rStyle w:val="ssrfcpassagedeactivated"/>
        </w:rPr>
        <w:t>The</w:t>
      </w:r>
      <w:r w:rsidR="009F3DCD">
        <w:rPr>
          <w:rStyle w:val="ssrfcpassagedeactivated"/>
        </w:rPr>
        <w:t xml:space="preserve"> placeholder PSR thus serves no purpose as the rider cannot be lawfully populated</w:t>
      </w:r>
      <w:r w:rsidR="00C81FD7">
        <w:rPr>
          <w:rStyle w:val="ssrfcpassagedeactivated"/>
        </w:rPr>
        <w:t xml:space="preserve">. </w:t>
      </w:r>
      <w:r w:rsidR="009F3DCD">
        <w:rPr>
          <w:rStyle w:val="ssrfcpassagedeactivated"/>
        </w:rPr>
        <w:t xml:space="preserve"> Duke’s request to extend the placeholder PSR should</w:t>
      </w:r>
      <w:r w:rsidR="00C81FD7">
        <w:rPr>
          <w:rStyle w:val="ssrfcpassagedeactivated"/>
        </w:rPr>
        <w:t>,</w:t>
      </w:r>
      <w:r w:rsidR="009F3DCD">
        <w:rPr>
          <w:rStyle w:val="ssrfcpassagedeactivated"/>
        </w:rPr>
        <w:t xml:space="preserve"> therefore</w:t>
      </w:r>
      <w:r w:rsidR="00C81FD7">
        <w:rPr>
          <w:rStyle w:val="ssrfcpassagedeactivated"/>
        </w:rPr>
        <w:t>,</w:t>
      </w:r>
      <w:r w:rsidR="009F3DCD">
        <w:rPr>
          <w:rStyle w:val="ssrfcpassagedeactivated"/>
        </w:rPr>
        <w:t xml:space="preserve"> be dismissed.</w:t>
      </w:r>
    </w:p>
    <w:p w14:paraId="6A773483" w14:textId="7870A2ED" w:rsidR="00984EF5" w:rsidRDefault="00984EF5" w:rsidP="00627C58">
      <w:pPr>
        <w:pStyle w:val="DSParagraph"/>
        <w:rPr>
          <w:rStyle w:val="ssrfcpassagedeactivated"/>
        </w:rPr>
      </w:pPr>
      <w:r>
        <w:rPr>
          <w:rStyle w:val="ssrfcpassagedeactivated"/>
        </w:rPr>
        <w:t>Preemption may be either express or implied.</w:t>
      </w:r>
      <w:r>
        <w:rPr>
          <w:rStyle w:val="FootnoteReference"/>
        </w:rPr>
        <w:footnoteReference w:id="46"/>
      </w:r>
      <w:r w:rsidR="007C6D8C">
        <w:rPr>
          <w:rStyle w:val="ssrfcpassagedeactivated"/>
        </w:rPr>
        <w:t xml:space="preserve"> </w:t>
      </w:r>
      <w:r>
        <w:rPr>
          <w:rStyle w:val="ssrfcpassagedeactivated"/>
        </w:rPr>
        <w:t xml:space="preserve"> Absent explicit preemptive language in federal law, state regulation may nonetheless be preempted by federal regulation under two types of implied preemption.</w:t>
      </w:r>
      <w:r>
        <w:rPr>
          <w:rStyle w:val="FootnoteReference"/>
        </w:rPr>
        <w:footnoteReference w:id="47"/>
      </w:r>
      <w:r>
        <w:rPr>
          <w:rStyle w:val="ssrfcpassagedeactivated"/>
        </w:rPr>
        <w:t xml:space="preserve">  </w:t>
      </w:r>
      <w:r w:rsidR="00320B83">
        <w:rPr>
          <w:rStyle w:val="ssrfcpassagedeactivated"/>
        </w:rPr>
        <w:t>Under the doctrine of field preemption,</w:t>
      </w:r>
      <w:r w:rsidR="00320B83" w:rsidDel="001B5200">
        <w:rPr>
          <w:rStyle w:val="ssrfcpassagedeactivated"/>
        </w:rPr>
        <w:t xml:space="preserve"> </w:t>
      </w:r>
      <w:r w:rsidR="00320B83">
        <w:rPr>
          <w:rStyle w:val="ssrfcpassagedeactivated"/>
        </w:rPr>
        <w:t>s</w:t>
      </w:r>
      <w:r>
        <w:rPr>
          <w:rStyle w:val="ssrfcpassagedeactivated"/>
        </w:rPr>
        <w:t xml:space="preserve">tate action is preempted “where the scheme of </w:t>
      </w:r>
      <w:r>
        <w:rPr>
          <w:rStyle w:val="sssh"/>
        </w:rPr>
        <w:t>federal regulation</w:t>
      </w:r>
      <w:r>
        <w:rPr>
          <w:rStyle w:val="ssrfcpassagedeactivated"/>
        </w:rPr>
        <w:t xml:space="preserve"> is 'so pervasive as to make reasonable the inference that Congress left no room for the </w:t>
      </w:r>
      <w:r>
        <w:rPr>
          <w:rStyle w:val="sssh"/>
        </w:rPr>
        <w:t>States</w:t>
      </w:r>
      <w:r>
        <w:rPr>
          <w:rStyle w:val="ssrfcpassagedeactivated"/>
        </w:rPr>
        <w:t xml:space="preserve"> to supplement it.</w:t>
      </w:r>
      <w:r w:rsidR="001B5200">
        <w:rPr>
          <w:rStyle w:val="ssrfcpassagedeactivated"/>
        </w:rPr>
        <w:t>’</w:t>
      </w:r>
      <w:r>
        <w:rPr>
          <w:rStyle w:val="ssrfcpassagedeactivated"/>
        </w:rPr>
        <w:t>”</w:t>
      </w:r>
      <w:r>
        <w:rPr>
          <w:rStyle w:val="FootnoteReference"/>
        </w:rPr>
        <w:footnoteReference w:id="48"/>
      </w:r>
      <w:r>
        <w:rPr>
          <w:rStyle w:val="ssrfcpassagedeactivated"/>
        </w:rPr>
        <w:t xml:space="preserve">  </w:t>
      </w:r>
      <w:r w:rsidR="00320B83">
        <w:rPr>
          <w:rStyle w:val="ssrfcpassagedeactivated"/>
        </w:rPr>
        <w:t>Under the doctrine of conflict preemption, s</w:t>
      </w:r>
      <w:r>
        <w:rPr>
          <w:rStyle w:val="ssrfcpassagedeactivated"/>
        </w:rPr>
        <w:t>tate regulation</w:t>
      </w:r>
      <w:r w:rsidR="001B5200">
        <w:rPr>
          <w:rStyle w:val="ssrfcpassagedeactivated"/>
        </w:rPr>
        <w:t xml:space="preserve"> </w:t>
      </w:r>
      <w:r>
        <w:rPr>
          <w:rStyle w:val="ssrfcpassagedeactivated"/>
        </w:rPr>
        <w:t xml:space="preserve">must yield to federal regulation where “"compliance with both </w:t>
      </w:r>
      <w:r>
        <w:rPr>
          <w:rStyle w:val="sssh"/>
        </w:rPr>
        <w:t>federal</w:t>
      </w:r>
      <w:r>
        <w:rPr>
          <w:rStyle w:val="ssrfcpassagedeactivated"/>
        </w:rPr>
        <w:t xml:space="preserve"> and </w:t>
      </w:r>
      <w:r>
        <w:rPr>
          <w:rStyle w:val="sssh"/>
        </w:rPr>
        <w:t>state regulations</w:t>
      </w:r>
      <w:r>
        <w:rPr>
          <w:rStyle w:val="ssrfcpassagedeactivated"/>
        </w:rPr>
        <w:t xml:space="preserve"> is a physical impossibility."</w:t>
      </w:r>
      <w:r>
        <w:rPr>
          <w:rStyle w:val="FootnoteReference"/>
        </w:rPr>
        <w:footnoteReference w:id="49"/>
      </w:r>
      <w:r>
        <w:rPr>
          <w:rStyle w:val="ssrfcpassagedeactivated"/>
        </w:rPr>
        <w:t xml:space="preserve">  </w:t>
      </w:r>
    </w:p>
    <w:p w14:paraId="7A2682CB" w14:textId="36C215CC" w:rsidR="00984EF5" w:rsidRDefault="00320B83" w:rsidP="00627C58">
      <w:pPr>
        <w:pStyle w:val="DSParagraph"/>
      </w:pPr>
      <w:r>
        <w:t xml:space="preserve">Based on field preemption, </w:t>
      </w:r>
      <w:r w:rsidR="00984EF5">
        <w:t xml:space="preserve">the United States Supreme Court </w:t>
      </w:r>
      <w:r>
        <w:t xml:space="preserve">most recently held </w:t>
      </w:r>
      <w:r w:rsidR="00927F45">
        <w:t>i</w:t>
      </w:r>
      <w:r>
        <w:t xml:space="preserve">n </w:t>
      </w:r>
      <w:r>
        <w:rPr>
          <w:i/>
        </w:rPr>
        <w:t>Hughes</w:t>
      </w:r>
      <w:r>
        <w:t xml:space="preserve"> that </w:t>
      </w:r>
      <w:r w:rsidR="00984EF5">
        <w:t>FERC’s authority to establish wholesale energy prices under the Federal Power Act (“FPA”)</w:t>
      </w:r>
      <w:r>
        <w:t xml:space="preserve"> is exclusive</w:t>
      </w:r>
      <w:r w:rsidR="00984EF5">
        <w:t xml:space="preserve">.  </w:t>
      </w:r>
      <w:r>
        <w:t>In that case</w:t>
      </w:r>
      <w:r w:rsidR="00984EF5">
        <w:t>, the Maryland Public Service Commission (“Maryland Commission”) had required the incumbent utilities to enter into a 20</w:t>
      </w:r>
      <w:r w:rsidR="00B01842">
        <w:t>-</w:t>
      </w:r>
      <w:r w:rsidR="00984EF5">
        <w:t>year pricing contract with a company (“generator”) proposing to construct a new generation plant in the state.</w:t>
      </w:r>
      <w:r w:rsidR="00984EF5">
        <w:rPr>
          <w:rStyle w:val="FootnoteReference"/>
        </w:rPr>
        <w:footnoteReference w:id="50"/>
      </w:r>
      <w:r w:rsidR="00984EF5">
        <w:t xml:space="preserve">  The contract guaranteed that the generator would receive the contract price for capacity and not the wholesale price.</w:t>
      </w:r>
      <w:r w:rsidR="00984EF5">
        <w:rPr>
          <w:rStyle w:val="FootnoteReference"/>
        </w:rPr>
        <w:footnoteReference w:id="51"/>
      </w:r>
      <w:r w:rsidR="00984EF5">
        <w:t xml:space="preserve">  That is, if the wholesale price “falls below the price guaranteed in the contract” the utilities </w:t>
      </w:r>
      <w:r w:rsidR="00C81FD7">
        <w:t xml:space="preserve">would pay </w:t>
      </w:r>
      <w:r w:rsidR="00984EF5">
        <w:t>the generator the difference, and then “pass the costs of these required payments along to Maryland consumers in the form of higher retail prices.”</w:t>
      </w:r>
      <w:r w:rsidR="00984EF5">
        <w:rPr>
          <w:rStyle w:val="FootnoteReference"/>
        </w:rPr>
        <w:footnoteReference w:id="52"/>
      </w:r>
      <w:r w:rsidR="00984EF5">
        <w:t xml:space="preserve">  If the wholesale capacity price “exceeds the price guaranteed in the contract” the generator </w:t>
      </w:r>
      <w:r w:rsidR="00C81FD7">
        <w:t>would</w:t>
      </w:r>
      <w:r w:rsidR="00984EF5">
        <w:t xml:space="preserve"> pay the utilities the difference and the utilities would “then pass the savings along to consumers in the form of lower retail prices.”</w:t>
      </w:r>
      <w:r w:rsidR="00984EF5">
        <w:rPr>
          <w:rStyle w:val="FootnoteReference"/>
        </w:rPr>
        <w:footnoteReference w:id="53"/>
      </w:r>
    </w:p>
    <w:p w14:paraId="32749398" w14:textId="77777777" w:rsidR="00984EF5" w:rsidRDefault="00984EF5" w:rsidP="00627C58">
      <w:pPr>
        <w:pStyle w:val="DSParagraph"/>
      </w:pPr>
      <w:r>
        <w:t>The Court found that the contract “guarantees the [generator] a rate distinct from the clearing price [in the PJM capacity auction] for its interstate sales of capacity to PJM” and thus concluded that the Maryland Commission had “set[] an interstate wholesale rate.”</w:t>
      </w:r>
      <w:r>
        <w:rPr>
          <w:rStyle w:val="FootnoteReference"/>
        </w:rPr>
        <w:footnoteReference w:id="54"/>
      </w:r>
      <w:r>
        <w:t xml:space="preserve">  The Court further explained that “however legitimate” a State’s objective might be, States could not “exercise their traditional authority over retail rates, or … in-state generation” as a means to disregard the wholesale rates established by FERC.</w:t>
      </w:r>
      <w:r>
        <w:rPr>
          <w:rStyle w:val="FootnoteReference"/>
        </w:rPr>
        <w:footnoteReference w:id="55"/>
      </w:r>
      <w:r>
        <w:t xml:space="preserve">  “The FPA leaves no room either for direct state regulation of the prices of interstate wholesales or for regulation that would indirectly achieve the same result.”</w:t>
      </w:r>
      <w:r>
        <w:rPr>
          <w:rStyle w:val="FootnoteReference"/>
        </w:rPr>
        <w:footnoteReference w:id="56"/>
      </w:r>
      <w:r>
        <w:t xml:space="preserve"> </w:t>
      </w:r>
    </w:p>
    <w:p w14:paraId="3875C842" w14:textId="1B74F1F7" w:rsidR="00BC3A39" w:rsidRDefault="00BC3A39" w:rsidP="00627C58">
      <w:pPr>
        <w:pStyle w:val="DSParagraph"/>
      </w:pPr>
      <w:r>
        <w:t xml:space="preserve">Like the “contract for differences” the United States Supreme Court held was preempted by the FPA, including Duke’s OVEC interest in the PSR would </w:t>
      </w:r>
      <w:r w:rsidR="00C81FD7">
        <w:t xml:space="preserve">alter the wholesale generation compensation Duke receives for that interest.  </w:t>
      </w:r>
      <w:r>
        <w:t xml:space="preserve">In years in which the OVEC costs exceed the PJM revenue, the PSR would be a nonbypassable retail charge and increase Duke’s compensation for its share of the wholesale capacity and energy it receives from OVEC.  In years in which the OVEC costs are less than the PJM revenue, the PSR would be a nonbypassable retail credit and decrease Duke’s compensation.  By indirectly setting the revenue for wholesale capacity and energy that Duke receives for its interest in OVEC, the revenue that Duke </w:t>
      </w:r>
      <w:r w:rsidR="00927F45">
        <w:t>would receive under the PSR</w:t>
      </w:r>
      <w:r>
        <w:t xml:space="preserve"> is effectively “tethered” to the wholesale rate.  As a result, the Commission would interfere with and invade a field that is within the exclusive authority of FERC.</w:t>
      </w:r>
      <w:r w:rsidR="00457646">
        <w:rPr>
          <w:rStyle w:val="FootnoteReference"/>
        </w:rPr>
        <w:footnoteReference w:id="57"/>
      </w:r>
      <w:r>
        <w:t xml:space="preserve">  </w:t>
      </w:r>
    </w:p>
    <w:p w14:paraId="459F5A8B" w14:textId="1A62B2B6" w:rsidR="00C56854" w:rsidRDefault="000D60B9" w:rsidP="00563CEB">
      <w:pPr>
        <w:pStyle w:val="DSParagraph"/>
        <w:rPr>
          <w:rFonts w:eastAsiaTheme="majorEastAsia"/>
          <w:b/>
          <w:szCs w:val="26"/>
        </w:rPr>
      </w:pPr>
      <w:r>
        <w:t xml:space="preserve">Because any action of the Commission that would permit Duke to recover any revenue through the PSR would be preempted, there is no reason for the Commission to consider Duke’s request to continue the placeholder PSR in this case.  </w:t>
      </w:r>
      <w:r w:rsidR="00270E7B">
        <w:t xml:space="preserve">Duke’s request that the placeholder </w:t>
      </w:r>
      <w:r w:rsidR="00BE7DCC">
        <w:t xml:space="preserve">PSR </w:t>
      </w:r>
      <w:r w:rsidR="00270E7B">
        <w:t xml:space="preserve">be extended </w:t>
      </w:r>
      <w:r w:rsidR="00BE7DCC">
        <w:t xml:space="preserve">should </w:t>
      </w:r>
      <w:r w:rsidR="00655963">
        <w:t xml:space="preserve">therefore </w:t>
      </w:r>
      <w:r w:rsidR="00BE7DCC">
        <w:t xml:space="preserve">be dismissed from the </w:t>
      </w:r>
      <w:r w:rsidR="00F634BD">
        <w:t>a</w:t>
      </w:r>
      <w:r w:rsidR="00BE7DCC">
        <w:t>pplication.</w:t>
      </w:r>
    </w:p>
    <w:p w14:paraId="53E76373" w14:textId="74D58267" w:rsidR="00881E85" w:rsidRPr="00881E85" w:rsidRDefault="00984EF5" w:rsidP="00984EF5">
      <w:pPr>
        <w:pStyle w:val="Heading2"/>
      </w:pPr>
      <w:bookmarkStart w:id="10" w:name="_Toc495654624"/>
      <w:r>
        <w:t xml:space="preserve">Additional statutory </w:t>
      </w:r>
      <w:r w:rsidR="009C770C">
        <w:t xml:space="preserve">provisions </w:t>
      </w:r>
      <w:r>
        <w:t>prevent the Commission from authorizing the PSR</w:t>
      </w:r>
      <w:bookmarkEnd w:id="10"/>
    </w:p>
    <w:p w14:paraId="6EDF1215" w14:textId="77777777" w:rsidR="00A6653B" w:rsidRDefault="0052477D" w:rsidP="0052477D">
      <w:pPr>
        <w:pStyle w:val="Heading3"/>
      </w:pPr>
      <w:bookmarkStart w:id="11" w:name="_Toc495654625"/>
      <w:r>
        <w:t>The PSR violates the prohibitions against collecting generation costs through distribution rates and against authorization of anticompetitive subsidies</w:t>
      </w:r>
      <w:bookmarkEnd w:id="11"/>
      <w:r>
        <w:t xml:space="preserve"> </w:t>
      </w:r>
    </w:p>
    <w:p w14:paraId="7EC5B1A0" w14:textId="6C350CFF" w:rsidR="00881E85" w:rsidRDefault="00D077FF" w:rsidP="00627C58">
      <w:pPr>
        <w:pStyle w:val="DSParagraph"/>
        <w:rPr>
          <w:rFonts w:eastAsia="Calibri"/>
        </w:rPr>
      </w:pPr>
      <w:r>
        <w:rPr>
          <w:rFonts w:eastAsia="Calibri"/>
        </w:rPr>
        <w:t xml:space="preserve">Permitting Duke to recover any above-market generation costs through the PSR would violate the state energy policy contained in R.C. 4928.02(H).  </w:t>
      </w:r>
      <w:r w:rsidR="0052477D">
        <w:rPr>
          <w:rFonts w:eastAsia="Calibri"/>
        </w:rPr>
        <w:t xml:space="preserve">The first clause of the division provides that it is the policy of the State to ensure effective competition in the provision of retail electric service by avoiding anticompetitive subsidies flowing from a noncompetitive retail electric service to a </w:t>
      </w:r>
      <w:r w:rsidR="00F634BD">
        <w:rPr>
          <w:rFonts w:eastAsia="Calibri"/>
        </w:rPr>
        <w:t>competitive retail electric service (“</w:t>
      </w:r>
      <w:r w:rsidR="0052477D">
        <w:rPr>
          <w:rFonts w:eastAsia="Calibri"/>
        </w:rPr>
        <w:t>CRES</w:t>
      </w:r>
      <w:r w:rsidR="00F634BD">
        <w:rPr>
          <w:rFonts w:eastAsia="Calibri"/>
        </w:rPr>
        <w:t xml:space="preserve">”) </w:t>
      </w:r>
      <w:r w:rsidR="0052477D">
        <w:rPr>
          <w:rFonts w:eastAsia="Calibri"/>
        </w:rPr>
        <w:t>or a product or service other than retail electric service or vice versa.  The second clause prohibits the recovery of any generation-related costs through distribution or transmission rates.</w:t>
      </w:r>
      <w:r w:rsidR="0052477D">
        <w:rPr>
          <w:rStyle w:val="FootnoteReference"/>
          <w:rFonts w:eastAsia="Calibri" w:cs="Times New Roman"/>
        </w:rPr>
        <w:footnoteReference w:id="58"/>
      </w:r>
      <w:r>
        <w:rPr>
          <w:rFonts w:eastAsia="Calibri"/>
        </w:rPr>
        <w:t xml:space="preserve">  The PSR complies with neither.</w:t>
      </w:r>
    </w:p>
    <w:p w14:paraId="013C4D07" w14:textId="64F38303" w:rsidR="0052477D" w:rsidRDefault="006813DF" w:rsidP="00627C58">
      <w:pPr>
        <w:pStyle w:val="DSParagraph"/>
        <w:rPr>
          <w:rFonts w:eastAsia="Calibri"/>
        </w:rPr>
      </w:pPr>
      <w:r>
        <w:rPr>
          <w:rFonts w:eastAsia="Calibri"/>
        </w:rPr>
        <w:t>Authorizing Duke to include any costs in the placeholder</w:t>
      </w:r>
      <w:r w:rsidR="0052477D">
        <w:rPr>
          <w:rFonts w:eastAsia="Calibri"/>
        </w:rPr>
        <w:t xml:space="preserve"> PSR will result in an anticompetitive subsidy to or from a noncompetitive retail electric service from or to a service other than retail electric service.  </w:t>
      </w:r>
      <w:r w:rsidR="004D5D4D">
        <w:rPr>
          <w:rFonts w:eastAsia="Calibri"/>
        </w:rPr>
        <w:t>If the PSR is populated</w:t>
      </w:r>
      <w:r w:rsidR="0052477D">
        <w:rPr>
          <w:rFonts w:eastAsia="Calibri"/>
        </w:rPr>
        <w:t xml:space="preserve">, </w:t>
      </w:r>
      <w:r w:rsidR="004D5D4D">
        <w:rPr>
          <w:rFonts w:eastAsia="Calibri"/>
        </w:rPr>
        <w:t>it</w:t>
      </w:r>
      <w:r w:rsidR="0052477D">
        <w:rPr>
          <w:rFonts w:eastAsia="Calibri"/>
        </w:rPr>
        <w:t xml:space="preserve"> would require all retail distribution customers to incur a charge or credit designed to collect the difference of Duke’s costs and wholesale revenue for a generation-related service.  When the difference is a charge, Duke would recover the above-market wholesale costs that exceed the market prices for the generation, a subsidy to Duke.  When the difference is a credit (as unlikely as that may be), retail customers would receive a subsidy of any wholesale revenue that exceeds Duke’s costs.  In either case, the result runs afoul of Ohio’s pro-competitive policies and the law stated in the first clause of R.C. 4928.02(H).</w:t>
      </w:r>
    </w:p>
    <w:p w14:paraId="0163A970" w14:textId="49C02F42" w:rsidR="0052477D" w:rsidRPr="00627C58" w:rsidRDefault="006813DF" w:rsidP="00627C58">
      <w:pPr>
        <w:pStyle w:val="DSParagraph"/>
        <w:rPr>
          <w:rFonts w:eastAsia="Calibri"/>
        </w:rPr>
      </w:pPr>
      <w:r>
        <w:rPr>
          <w:rFonts w:eastAsia="Calibri"/>
        </w:rPr>
        <w:t>Authorizing Duke to include any costs in the placeholder PSR will also violate</w:t>
      </w:r>
      <w:r w:rsidR="0052477D">
        <w:rPr>
          <w:rFonts w:eastAsia="Calibri"/>
        </w:rPr>
        <w:t xml:space="preserve"> the purpose of the second clause of R.C. 4928.02(H).  </w:t>
      </w:r>
      <w:r>
        <w:rPr>
          <w:rFonts w:eastAsia="Calibri"/>
        </w:rPr>
        <w:t>The charge is undeniably related to Duke</w:t>
      </w:r>
      <w:r w:rsidR="00D706A6">
        <w:rPr>
          <w:rFonts w:eastAsia="Calibri"/>
        </w:rPr>
        <w:t>’s</w:t>
      </w:r>
      <w:r>
        <w:rPr>
          <w:rFonts w:eastAsia="Calibri"/>
        </w:rPr>
        <w:t xml:space="preserve"> recover</w:t>
      </w:r>
      <w:r w:rsidR="00D706A6">
        <w:rPr>
          <w:rFonts w:eastAsia="Calibri"/>
        </w:rPr>
        <w:t>y of</w:t>
      </w:r>
      <w:r>
        <w:rPr>
          <w:rFonts w:eastAsia="Calibri"/>
        </w:rPr>
        <w:t xml:space="preserve"> generation costs that it cannot otherwise recover in the competitive generation market.  </w:t>
      </w:r>
      <w:r w:rsidR="0052477D">
        <w:rPr>
          <w:rFonts w:eastAsia="Calibri"/>
        </w:rPr>
        <w:t xml:space="preserve">Because the charge is unavoidable, it operates in exactly the same manner as a distribution charge: </w:t>
      </w:r>
      <w:r w:rsidR="00D706A6">
        <w:rPr>
          <w:rFonts w:eastAsia="Calibri"/>
        </w:rPr>
        <w:t xml:space="preserve"> </w:t>
      </w:r>
      <w:r w:rsidR="0052477D">
        <w:rPr>
          <w:rFonts w:eastAsia="Calibri"/>
        </w:rPr>
        <w:t xml:space="preserve">all distribution customers of Duke would be required to pay the charge.  Thus, </w:t>
      </w:r>
      <w:r>
        <w:rPr>
          <w:rFonts w:eastAsia="Calibri"/>
        </w:rPr>
        <w:t>recovering the above-market OVEC costs through the PSR would violate R.C. 4928.02(H).</w:t>
      </w:r>
      <w:r w:rsidR="0052477D">
        <w:rPr>
          <w:rFonts w:ascii="Times New Roman" w:hAnsi="Times New Roman"/>
        </w:rPr>
        <w:t xml:space="preserve"> </w:t>
      </w:r>
    </w:p>
    <w:p w14:paraId="6767E163" w14:textId="790D5946" w:rsidR="00142932" w:rsidRDefault="00732B45" w:rsidP="00732B45">
      <w:pPr>
        <w:pStyle w:val="Heading3"/>
      </w:pPr>
      <w:bookmarkStart w:id="12" w:name="_Toc495654626"/>
      <w:r>
        <w:t>The Commission’s authority to regulate and establish rates for electric utilities is limited to the provision of retail electric service</w:t>
      </w:r>
      <w:r w:rsidR="00B641A6">
        <w:t>; the PSR is unrelated to the provision of retail electric service</w:t>
      </w:r>
      <w:bookmarkEnd w:id="12"/>
    </w:p>
    <w:p w14:paraId="173E850B" w14:textId="4A407086" w:rsidR="00142932" w:rsidRDefault="00142932" w:rsidP="00627C58">
      <w:pPr>
        <w:pStyle w:val="DSParagraph"/>
        <w:rPr>
          <w:rFonts w:eastAsia="Calibri"/>
        </w:rPr>
      </w:pPr>
      <w:r>
        <w:t xml:space="preserve">The services of a public utility subject to the Commission’s jurisdiction are established through the definitional sections in Chapters 4905 and 4928 of the Revised Code.  </w:t>
      </w:r>
      <w:r>
        <w:rPr>
          <w:rFonts w:eastAsia="Calibri"/>
        </w:rPr>
        <w:t>R.C. 4905.02 provides that a “‘public utility’ includes every corporation, company, copartnership, person, or association, the lessees, trustees, or receivers of the foregoing, defined in section 4905.03 of the Revised Code.”  R.C. 4905.03 then provides a list of the types of public utilities subject to the Commission’s jurisdiction:</w:t>
      </w:r>
    </w:p>
    <w:p w14:paraId="5482BBB4" w14:textId="77777777" w:rsidR="00142932" w:rsidRDefault="00142932" w:rsidP="00732B45">
      <w:pPr>
        <w:spacing w:after="120"/>
        <w:ind w:left="720" w:right="720"/>
        <w:jc w:val="both"/>
        <w:rPr>
          <w:rFonts w:eastAsia="Calibri"/>
        </w:rPr>
      </w:pPr>
      <w:r>
        <w:rPr>
          <w:rFonts w:eastAsia="Calibri"/>
        </w:rPr>
        <w:t>As used in this chapter, any person, firm, copartnership, voluntary association, joint-stock association, company, or corporation, wherever organized or incorporated, is:</w:t>
      </w:r>
    </w:p>
    <w:p w14:paraId="3667D7E3" w14:textId="77777777" w:rsidR="00142932" w:rsidRDefault="00142932" w:rsidP="00627C58">
      <w:pPr>
        <w:spacing w:after="240"/>
        <w:ind w:left="720" w:right="720"/>
        <w:jc w:val="center"/>
        <w:rPr>
          <w:rFonts w:eastAsia="Calibri"/>
        </w:rPr>
      </w:pPr>
      <w:r>
        <w:rPr>
          <w:rFonts w:eastAsia="Calibri"/>
        </w:rPr>
        <w:t>...</w:t>
      </w:r>
    </w:p>
    <w:p w14:paraId="48D1DDBB" w14:textId="25298F16" w:rsidR="00142932" w:rsidRDefault="00142932" w:rsidP="00627C58">
      <w:pPr>
        <w:ind w:left="1440" w:right="720" w:hanging="720"/>
        <w:jc w:val="both"/>
        <w:rPr>
          <w:rFonts w:eastAsia="Calibri"/>
        </w:rPr>
      </w:pPr>
      <w:r>
        <w:rPr>
          <w:rFonts w:eastAsia="Calibri"/>
        </w:rPr>
        <w:t>(C)</w:t>
      </w:r>
      <w:r w:rsidR="00D706A6">
        <w:rPr>
          <w:rFonts w:eastAsia="Calibri"/>
        </w:rPr>
        <w:tab/>
      </w:r>
      <w:r>
        <w:rPr>
          <w:rFonts w:eastAsia="Calibri"/>
        </w:rPr>
        <w:t>An electric light company, when engaged in the business of supplying electricity for light, heat, or power purposes to consumers within this state, including supplying electric transmission service</w:t>
      </w:r>
      <w:r>
        <w:rPr>
          <w:rFonts w:eastAsia="Calibri"/>
          <w:i/>
        </w:rPr>
        <w:t xml:space="preserve"> </w:t>
      </w:r>
      <w:r>
        <w:rPr>
          <w:rFonts w:eastAsia="Calibri"/>
        </w:rPr>
        <w:t xml:space="preserve">for electricity delivered to consumers in this state, but excluding a regional transmission organization approved by the federal energy regulatory commission.  </w:t>
      </w:r>
    </w:p>
    <w:p w14:paraId="3634269A" w14:textId="77777777" w:rsidR="00142932" w:rsidRDefault="00142932" w:rsidP="00142932">
      <w:pPr>
        <w:ind w:left="720" w:right="720"/>
        <w:rPr>
          <w:rFonts w:eastAsia="Calibri"/>
        </w:rPr>
      </w:pPr>
    </w:p>
    <w:p w14:paraId="09B9A95B" w14:textId="77777777" w:rsidR="00142932" w:rsidRDefault="00142932" w:rsidP="00627C58">
      <w:pPr>
        <w:pStyle w:val="DSParagraph"/>
        <w:rPr>
          <w:rFonts w:eastAsia="Calibri"/>
        </w:rPr>
      </w:pPr>
      <w:r>
        <w:rPr>
          <w:rFonts w:eastAsia="Calibri"/>
        </w:rPr>
        <w:t>The same definition extends to the Commission’s jurisdiction under R.C. Chapter 4928 to EDUs.</w:t>
      </w:r>
      <w:r>
        <w:rPr>
          <w:rFonts w:eastAsia="Calibri"/>
          <w:vertAlign w:val="superscript"/>
        </w:rPr>
        <w:footnoteReference w:id="59"/>
      </w:r>
      <w:r>
        <w:rPr>
          <w:rFonts w:eastAsia="Calibri"/>
        </w:rPr>
        <w:t xml:space="preserve">  This definition specifically limits the Commission’s jurisdiction over electric light companies, including EDUs, to instances in which a retail service is being provided, </w:t>
      </w:r>
      <w:r>
        <w:rPr>
          <w:rFonts w:eastAsia="Calibri"/>
          <w:i/>
        </w:rPr>
        <w:t>i.e.</w:t>
      </w:r>
      <w:r>
        <w:rPr>
          <w:rFonts w:eastAsia="Calibri"/>
        </w:rPr>
        <w:t xml:space="preserve"> electricity is being supplied “to consumers.”  By definition, therefore, the jurisdiction of the Commission does not extend to wholesale generation-related electric services.</w:t>
      </w:r>
    </w:p>
    <w:p w14:paraId="32A2BF82" w14:textId="5C6B5B5D" w:rsidR="00881E85" w:rsidRDefault="006813DF" w:rsidP="00627C58">
      <w:pPr>
        <w:pStyle w:val="DSParagraph"/>
      </w:pPr>
      <w:r>
        <w:t xml:space="preserve">As discussed above, the PSR is related to recovery of wholesale generation costs.  The FERC-approved ICPA governs Duke’s wholesale purchase of power from OVEC.  Duke’s </w:t>
      </w:r>
      <w:r w:rsidR="006C1CF4">
        <w:t>liquidation into PJM’s market of its</w:t>
      </w:r>
      <w:r>
        <w:t xml:space="preserve"> interest in the output of OVEC </w:t>
      </w:r>
      <w:r w:rsidR="006C1CF4">
        <w:t xml:space="preserve">is likewise a wholesale </w:t>
      </w:r>
      <w:r w:rsidR="00D706A6">
        <w:t>transaction</w:t>
      </w:r>
      <w:r w:rsidR="006C1CF4">
        <w:t xml:space="preserve">.  Neither the purchase </w:t>
      </w:r>
      <w:r w:rsidR="005E3B3C">
        <w:t>n</w:t>
      </w:r>
      <w:r w:rsidR="006C1CF4">
        <w:t xml:space="preserve">or sale of power is to an ultimate consumer.  </w:t>
      </w:r>
      <w:r w:rsidR="00B27DC8">
        <w:t>Populating the PSR would</w:t>
      </w:r>
      <w:r w:rsidR="006C1CF4">
        <w:t xml:space="preserve"> </w:t>
      </w:r>
      <w:r w:rsidR="008958C6">
        <w:t xml:space="preserve">thus </w:t>
      </w:r>
      <w:r w:rsidR="00B27DC8">
        <w:t xml:space="preserve">be </w:t>
      </w:r>
      <w:r w:rsidR="008958C6">
        <w:t xml:space="preserve">unrelated </w:t>
      </w:r>
      <w:r w:rsidR="006C1CF4">
        <w:t xml:space="preserve">to the “supply[] [of] electricity for light, heat, or power purposes to consumers within this state,” </w:t>
      </w:r>
      <w:r w:rsidR="006C1CF4">
        <w:rPr>
          <w:i/>
        </w:rPr>
        <w:t>i.e.</w:t>
      </w:r>
      <w:r w:rsidR="006C1CF4">
        <w:t xml:space="preserve"> the transaction is not retail, </w:t>
      </w:r>
      <w:r w:rsidR="008958C6">
        <w:t xml:space="preserve">and </w:t>
      </w:r>
      <w:r w:rsidR="006C1CF4">
        <w:t xml:space="preserve">it is </w:t>
      </w:r>
      <w:r w:rsidR="008958C6">
        <w:t xml:space="preserve">therefore </w:t>
      </w:r>
      <w:r w:rsidR="006C1CF4">
        <w:t xml:space="preserve">beyond the Commission’s jurisdiction.  </w:t>
      </w:r>
    </w:p>
    <w:p w14:paraId="2899A197" w14:textId="77777777" w:rsidR="00732B45" w:rsidRDefault="00732B45" w:rsidP="00732B45">
      <w:pPr>
        <w:pStyle w:val="Heading1"/>
      </w:pPr>
      <w:bookmarkStart w:id="13" w:name="_Toc495654627"/>
      <w:r>
        <w:t>Conclusion</w:t>
      </w:r>
      <w:bookmarkEnd w:id="13"/>
    </w:p>
    <w:p w14:paraId="28D8DCA6" w14:textId="2E601595" w:rsidR="00E52675" w:rsidRDefault="00732B45" w:rsidP="00627C58">
      <w:pPr>
        <w:pStyle w:val="DSParagraph"/>
      </w:pPr>
      <w:r>
        <w:t xml:space="preserve">Duke seeks the continuation of the placeholder PSR authorized in its prior </w:t>
      </w:r>
      <w:r w:rsidR="00CA0F77">
        <w:t>ESP.  Duke, however, has not provided a basis for such an authorization.  In fact</w:t>
      </w:r>
      <w:r w:rsidR="007724DF">
        <w:t>,</w:t>
      </w:r>
      <w:r w:rsidR="00CA0F77">
        <w:t xml:space="preserve"> Duke concedes that the PSR should not be litigated in this proceeding.  </w:t>
      </w:r>
      <w:r w:rsidR="00E52675">
        <w:t xml:space="preserve">If Duke does not intend to </w:t>
      </w:r>
      <w:r w:rsidR="008958C6">
        <w:t xml:space="preserve">advance </w:t>
      </w:r>
      <w:r w:rsidR="00E52675">
        <w:t xml:space="preserve">its proposal, the remaining parties to the case should not </w:t>
      </w:r>
      <w:r w:rsidR="005E3B3C">
        <w:t xml:space="preserve">be </w:t>
      </w:r>
      <w:r w:rsidR="00E52675">
        <w:t>required to present evidence addressing the proposal either.</w:t>
      </w:r>
    </w:p>
    <w:p w14:paraId="22958806" w14:textId="021E19A5" w:rsidR="00CA0F77" w:rsidRDefault="00CA0F77" w:rsidP="00627C58">
      <w:pPr>
        <w:pStyle w:val="DSParagraph"/>
      </w:pPr>
      <w:r>
        <w:t xml:space="preserve">Moreover, </w:t>
      </w:r>
      <w:r w:rsidR="008A7A18">
        <w:t>s</w:t>
      </w:r>
      <w:r>
        <w:t xml:space="preserve">ince the Commission rejected Duke’s PSR proposal and authorized the placeholder PSR in the ESP III Case, several Court decisions have confirmed the illegality of the </w:t>
      </w:r>
      <w:r w:rsidR="008A7A18">
        <w:t xml:space="preserve">proposed </w:t>
      </w:r>
      <w:r>
        <w:t xml:space="preserve">PSR.  </w:t>
      </w:r>
      <w:r w:rsidR="00E52675">
        <w:t>Thus, there is no reason to continue the placeholder charge when these cases confirm that authorizing any cost recovery through the charge would be unlawful.</w:t>
      </w:r>
    </w:p>
    <w:p w14:paraId="5D901F1A" w14:textId="1D4F7A16" w:rsidR="00813055" w:rsidRPr="00813055" w:rsidRDefault="00E52675" w:rsidP="00627C58">
      <w:pPr>
        <w:pStyle w:val="DSParagraph"/>
      </w:pPr>
      <w:r>
        <w:t>Simply put, the PSR cannot be authorized in this proceeding</w:t>
      </w:r>
      <w:r w:rsidR="0062345C">
        <w:t xml:space="preserve"> due to the numerous legal deficiencies outlined herein.  </w:t>
      </w:r>
      <w:r>
        <w:t>To preve</w:t>
      </w:r>
      <w:bookmarkStart w:id="14" w:name="_GoBack"/>
      <w:bookmarkEnd w:id="14"/>
      <w:r>
        <w:t xml:space="preserve">nt an unnecessary waste of time and resources, IEU-Ohio urges the Commission </w:t>
      </w:r>
      <w:r w:rsidR="00B42A9E">
        <w:t xml:space="preserve">to </w:t>
      </w:r>
      <w:r w:rsidR="0062345C">
        <w:t>dismiss</w:t>
      </w:r>
      <w:r w:rsidR="008A7A18">
        <w:t xml:space="preserve"> Duke’s request for an extension of</w:t>
      </w:r>
      <w:r w:rsidR="0062345C">
        <w:t xml:space="preserve"> the </w:t>
      </w:r>
      <w:r w:rsidR="008A7A18">
        <w:t xml:space="preserve">placeholder </w:t>
      </w:r>
      <w:r w:rsidR="0062345C">
        <w:t xml:space="preserve">PSR from Duke’s </w:t>
      </w:r>
      <w:r w:rsidR="005E3B3C">
        <w:t>a</w:t>
      </w:r>
      <w:r w:rsidR="0062345C">
        <w:t>pplication.</w:t>
      </w:r>
    </w:p>
    <w:p w14:paraId="0D6B3B95" w14:textId="77777777" w:rsidR="00FC350F" w:rsidRPr="00FC350F" w:rsidRDefault="00FC350F" w:rsidP="00FC350F">
      <w:pPr>
        <w:tabs>
          <w:tab w:val="left" w:pos="4320"/>
          <w:tab w:val="right" w:pos="8640"/>
        </w:tabs>
        <w:rPr>
          <w:rFonts w:eastAsia="Times New Roman" w:cs="Arial"/>
        </w:rPr>
      </w:pPr>
    </w:p>
    <w:p w14:paraId="5AA56EB9" w14:textId="77777777" w:rsidR="00FC350F" w:rsidRPr="00FC350F" w:rsidRDefault="00FC350F" w:rsidP="00FC350F">
      <w:pPr>
        <w:tabs>
          <w:tab w:val="left" w:pos="4320"/>
          <w:tab w:val="right" w:pos="8640"/>
        </w:tabs>
        <w:ind w:left="4320"/>
        <w:rPr>
          <w:rFonts w:eastAsia="Times New Roman" w:cs="Arial"/>
        </w:rPr>
      </w:pPr>
      <w:r w:rsidRPr="00FC350F">
        <w:rPr>
          <w:rFonts w:eastAsia="Times New Roman" w:cs="Arial"/>
        </w:rPr>
        <w:t>Respectfully submitted,</w:t>
      </w:r>
    </w:p>
    <w:p w14:paraId="179591D1" w14:textId="77777777" w:rsidR="00FC350F" w:rsidRPr="00FC350F" w:rsidRDefault="00FC350F" w:rsidP="00FC350F">
      <w:pPr>
        <w:tabs>
          <w:tab w:val="left" w:pos="4320"/>
          <w:tab w:val="right" w:pos="8640"/>
        </w:tabs>
        <w:ind w:left="4320"/>
        <w:rPr>
          <w:rFonts w:eastAsia="Times New Roman" w:cs="Arial"/>
        </w:rPr>
      </w:pPr>
    </w:p>
    <w:p w14:paraId="65D98B0F" w14:textId="77777777" w:rsidR="00FC350F" w:rsidRPr="00FC350F" w:rsidRDefault="00FC350F" w:rsidP="00FC350F">
      <w:pPr>
        <w:tabs>
          <w:tab w:val="left" w:pos="4320"/>
          <w:tab w:val="right" w:pos="8640"/>
        </w:tabs>
        <w:rPr>
          <w:rFonts w:eastAsia="Times New Roman" w:cs="Arial"/>
          <w:i/>
          <w:u w:val="single"/>
        </w:rPr>
      </w:pPr>
      <w:r w:rsidRPr="00FC350F">
        <w:rPr>
          <w:rFonts w:ascii="Times New Roman" w:eastAsia="Times New Roman" w:hAnsi="Times New Roman" w:cs="Arial"/>
          <w:i/>
        </w:rPr>
        <w:tab/>
      </w:r>
      <w:r w:rsidRPr="00FC350F">
        <w:rPr>
          <w:rFonts w:eastAsia="Times New Roman" w:cs="Arial"/>
          <w:i/>
          <w:u w:val="single"/>
        </w:rPr>
        <w:t xml:space="preserve">/s/ </w:t>
      </w:r>
      <w:r>
        <w:rPr>
          <w:rFonts w:eastAsia="Times New Roman" w:cs="Arial"/>
          <w:i/>
          <w:u w:val="single"/>
        </w:rPr>
        <w:t>Matthew R. Pritchard</w:t>
      </w:r>
      <w:r w:rsidRPr="00FC350F">
        <w:rPr>
          <w:rFonts w:eastAsia="Times New Roman" w:cs="Arial"/>
          <w:i/>
          <w:u w:val="single"/>
        </w:rPr>
        <w:tab/>
      </w:r>
    </w:p>
    <w:p w14:paraId="65B8A6AC" w14:textId="77777777" w:rsidR="00FC350F" w:rsidRPr="00FC350F" w:rsidRDefault="00FC350F" w:rsidP="00FC350F">
      <w:pPr>
        <w:widowControl w:val="0"/>
        <w:tabs>
          <w:tab w:val="left" w:pos="4320"/>
        </w:tabs>
        <w:ind w:left="4320"/>
        <w:rPr>
          <w:rFonts w:eastAsia="Calibri" w:cs="Arial"/>
        </w:rPr>
      </w:pPr>
      <w:r w:rsidRPr="00FC350F">
        <w:rPr>
          <w:rFonts w:eastAsia="Calibri" w:cs="Arial"/>
          <w:bCs/>
        </w:rPr>
        <w:t>Frank P. Darr (Reg. No. 0025469)</w:t>
      </w:r>
      <w:r w:rsidRPr="00FC350F">
        <w:rPr>
          <w:rFonts w:eastAsia="Calibri" w:cs="Arial"/>
        </w:rPr>
        <w:t xml:space="preserve"> </w:t>
      </w:r>
    </w:p>
    <w:p w14:paraId="77DF07B9" w14:textId="77777777" w:rsidR="00FC350F" w:rsidRPr="00FC350F" w:rsidRDefault="00FC350F" w:rsidP="00FC350F">
      <w:pPr>
        <w:widowControl w:val="0"/>
        <w:tabs>
          <w:tab w:val="left" w:pos="4320"/>
        </w:tabs>
        <w:ind w:left="4320"/>
        <w:rPr>
          <w:rFonts w:eastAsia="Calibri" w:cs="Arial"/>
          <w:bCs/>
        </w:rPr>
      </w:pPr>
      <w:r w:rsidRPr="00FC350F">
        <w:rPr>
          <w:rFonts w:eastAsia="Calibri" w:cs="Arial"/>
        </w:rPr>
        <w:t>(Counsel of Record)</w:t>
      </w:r>
    </w:p>
    <w:p w14:paraId="42382BFC" w14:textId="77777777" w:rsidR="00FC350F" w:rsidRPr="00FC350F" w:rsidRDefault="00FC350F" w:rsidP="00FC350F">
      <w:pPr>
        <w:widowControl w:val="0"/>
        <w:tabs>
          <w:tab w:val="left" w:pos="4320"/>
        </w:tabs>
        <w:ind w:left="4320"/>
        <w:rPr>
          <w:rFonts w:eastAsia="Calibri" w:cs="Arial"/>
          <w:b/>
          <w:bCs/>
        </w:rPr>
      </w:pPr>
      <w:r w:rsidRPr="00FC350F">
        <w:rPr>
          <w:rFonts w:eastAsia="Calibri" w:cs="Arial"/>
          <w:bCs/>
        </w:rPr>
        <w:t>Matthew R. Pritchard (Reg. No. 0088070)</w:t>
      </w:r>
    </w:p>
    <w:p w14:paraId="7FFC2C0C" w14:textId="77777777" w:rsidR="00FC350F" w:rsidRPr="00FC350F" w:rsidRDefault="00FC350F" w:rsidP="00FC350F">
      <w:pPr>
        <w:widowControl w:val="0"/>
        <w:tabs>
          <w:tab w:val="left" w:pos="4320"/>
        </w:tabs>
        <w:ind w:left="4320"/>
        <w:rPr>
          <w:rFonts w:eastAsia="Calibri" w:cs="Arial"/>
          <w:b/>
          <w:bCs/>
          <w:smallCaps/>
        </w:rPr>
      </w:pPr>
      <w:r w:rsidRPr="00FC350F">
        <w:rPr>
          <w:rFonts w:eastAsia="Calibri" w:cs="Arial"/>
          <w:bCs/>
          <w:smallCaps/>
        </w:rPr>
        <w:t>McNees Wallace &amp; Nurick LLC</w:t>
      </w:r>
    </w:p>
    <w:p w14:paraId="0832CFD5" w14:textId="77777777" w:rsidR="00FC350F" w:rsidRPr="00FC350F" w:rsidRDefault="00FC350F" w:rsidP="00FC350F">
      <w:pPr>
        <w:widowControl w:val="0"/>
        <w:tabs>
          <w:tab w:val="left" w:pos="4320"/>
        </w:tabs>
        <w:ind w:left="4320"/>
        <w:rPr>
          <w:rFonts w:eastAsia="Calibri" w:cs="Arial"/>
          <w:b/>
          <w:bCs/>
        </w:rPr>
      </w:pPr>
      <w:r w:rsidRPr="00FC350F">
        <w:rPr>
          <w:rFonts w:eastAsia="Calibri" w:cs="Arial"/>
          <w:bCs/>
        </w:rPr>
        <w:t>21 East State Street, 17</w:t>
      </w:r>
      <w:r w:rsidRPr="00FC350F">
        <w:rPr>
          <w:rFonts w:eastAsia="Calibri" w:cs="Arial"/>
          <w:bCs/>
          <w:vertAlign w:val="superscript"/>
        </w:rPr>
        <w:t>TH</w:t>
      </w:r>
      <w:r w:rsidRPr="00FC350F">
        <w:rPr>
          <w:rFonts w:eastAsia="Calibri" w:cs="Arial"/>
          <w:bCs/>
        </w:rPr>
        <w:t xml:space="preserve"> Floor</w:t>
      </w:r>
    </w:p>
    <w:p w14:paraId="205BE171"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Columbus, OH  43215</w:t>
      </w:r>
    </w:p>
    <w:p w14:paraId="7FE47554"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Telephone:  (614) 469-8000</w:t>
      </w:r>
    </w:p>
    <w:p w14:paraId="7A760A14" w14:textId="77777777" w:rsidR="00FC350F" w:rsidRPr="00FC350F" w:rsidRDefault="00FC350F" w:rsidP="00FC350F">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FC350F">
        <w:rPr>
          <w:rFonts w:eastAsia="Calibri" w:cs="Arial"/>
        </w:rPr>
        <w:t>Telecopier:  (614) 469-4653</w:t>
      </w:r>
    </w:p>
    <w:p w14:paraId="1D6D9721"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FC350F">
        <w:rPr>
          <w:rFonts w:eastAsia="Calibri" w:cs="Arial"/>
        </w:rPr>
        <w:t>fdarr@mwncmh.com</w:t>
      </w:r>
    </w:p>
    <w:p w14:paraId="104B9C31"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sidRPr="00FC350F">
        <w:rPr>
          <w:rFonts w:eastAsia="Calibri" w:cs="Arial"/>
          <w:color w:val="000000"/>
        </w:rPr>
        <w:t>mpritchard@mwncmh.com</w:t>
      </w:r>
    </w:p>
    <w:p w14:paraId="3FB3B70D" w14:textId="77777777" w:rsidR="00FC350F" w:rsidRPr="00FC350F" w:rsidRDefault="00FC350F" w:rsidP="00FC350F">
      <w:pPr>
        <w:tabs>
          <w:tab w:val="left" w:pos="-1440"/>
          <w:tab w:val="left" w:pos="-720"/>
          <w:tab w:val="left" w:pos="5040"/>
          <w:tab w:val="center" w:pos="7200"/>
        </w:tabs>
        <w:overflowPunct w:val="0"/>
        <w:autoSpaceDE w:val="0"/>
        <w:autoSpaceDN w:val="0"/>
        <w:adjustRightInd w:val="0"/>
        <w:ind w:left="4320"/>
        <w:rPr>
          <w:rFonts w:eastAsia="Calibri" w:cs="Arial"/>
          <w:b/>
          <w:smallCaps/>
        </w:rPr>
      </w:pPr>
    </w:p>
    <w:p w14:paraId="6C8250DA" w14:textId="77777777" w:rsidR="00FC350F" w:rsidRPr="00FC350F" w:rsidRDefault="00FC350F" w:rsidP="00FC350F">
      <w:pPr>
        <w:ind w:left="4320" w:hanging="4320"/>
        <w:rPr>
          <w:rFonts w:eastAsia="Calibri" w:cs="Arial"/>
          <w:sz w:val="28"/>
          <w:u w:val="single"/>
        </w:rPr>
      </w:pPr>
      <w:r w:rsidRPr="00FC350F">
        <w:rPr>
          <w:rFonts w:eastAsia="Calibri" w:cs="Arial"/>
          <w:b/>
        </w:rPr>
        <w:tab/>
        <w:t>Attorneys for Industrial Energy Users-Ohio</w:t>
      </w:r>
    </w:p>
    <w:p w14:paraId="11D5865B" w14:textId="77777777" w:rsidR="00FC350F" w:rsidRDefault="00FC350F" w:rsidP="00FC350F">
      <w:pPr>
        <w:sectPr w:rsidR="00FC350F" w:rsidSect="00627C58">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655F07CE" w14:textId="77777777" w:rsidR="00202826" w:rsidRPr="00202826" w:rsidRDefault="00202826" w:rsidP="00202826">
      <w:pPr>
        <w:tabs>
          <w:tab w:val="left" w:pos="2160"/>
          <w:tab w:val="left" w:pos="2280"/>
        </w:tabs>
        <w:jc w:val="center"/>
        <w:rPr>
          <w:rFonts w:eastAsia="Times New Roman" w:cs="Arial"/>
          <w:b/>
          <w:smallCaps/>
          <w:sz w:val="28"/>
          <w:u w:val="single"/>
        </w:rPr>
      </w:pPr>
      <w:r w:rsidRPr="00202826">
        <w:rPr>
          <w:rFonts w:eastAsia="Times New Roman" w:cs="Arial"/>
          <w:b/>
          <w:smallCaps/>
          <w:sz w:val="28"/>
          <w:u w:val="single"/>
        </w:rPr>
        <w:t>Certificate of Service</w:t>
      </w:r>
    </w:p>
    <w:p w14:paraId="09BB63BF" w14:textId="77777777" w:rsidR="00202826" w:rsidRPr="00202826" w:rsidRDefault="00202826" w:rsidP="00202826">
      <w:pPr>
        <w:rPr>
          <w:rFonts w:eastAsia="Times New Roman" w:cs="Arial"/>
        </w:rPr>
      </w:pPr>
    </w:p>
    <w:p w14:paraId="74EE5E2A" w14:textId="21AF46DB" w:rsidR="00202826" w:rsidRPr="00202826" w:rsidRDefault="00202826" w:rsidP="00EF2CA8">
      <w:pPr>
        <w:spacing w:line="480" w:lineRule="auto"/>
        <w:ind w:firstLine="720"/>
        <w:jc w:val="both"/>
        <w:rPr>
          <w:rFonts w:eastAsia="Times New Roman" w:cs="Arial"/>
        </w:rPr>
      </w:pPr>
      <w:r w:rsidRPr="00202826">
        <w:rPr>
          <w:rFonts w:eastAsia="Times New Roman" w:cs="Arial"/>
        </w:rPr>
        <w:t>In accordance with Rule 4901-1-05, Ohio Administrative Code, the Commission’s e</w:t>
      </w:r>
      <w:r w:rsidRPr="00202826">
        <w:rPr>
          <w:rFonts w:eastAsia="Times New Roman" w:cs="Arial"/>
        </w:rPr>
        <w:noBreakHyphen/>
        <w:t xml:space="preserve">filing system will electronically serve notice of the filing of this document upon the following parties.  In addition, I hereby certify that a service copy of the foregoing </w:t>
      </w:r>
      <w:r>
        <w:rPr>
          <w:rFonts w:eastAsia="Times New Roman" w:cs="Arial"/>
          <w:i/>
        </w:rPr>
        <w:t xml:space="preserve">Motion </w:t>
      </w:r>
      <w:r w:rsidRPr="00202826">
        <w:rPr>
          <w:rFonts w:eastAsia="Times New Roman" w:cs="Arial"/>
          <w:i/>
        </w:rPr>
        <w:t xml:space="preserve">of Industrial Energy Users-Ohio </w:t>
      </w:r>
      <w:r>
        <w:rPr>
          <w:rFonts w:eastAsia="Times New Roman" w:cs="Arial"/>
          <w:i/>
        </w:rPr>
        <w:t xml:space="preserve">to Dismiss the Request by Duke Energy Ohio, Inc. for Authorization for a Price Stabilization Rider and Memorandum in Support </w:t>
      </w:r>
      <w:r w:rsidRPr="00202826">
        <w:rPr>
          <w:rFonts w:eastAsia="Times New Roman" w:cs="Arial"/>
        </w:rPr>
        <w:t xml:space="preserve">was sent by, or on behalf of, the undersigned counsel for IEU-Ohio to the following parties of record this </w:t>
      </w:r>
      <w:r w:rsidR="00425231">
        <w:rPr>
          <w:rFonts w:eastAsia="Times New Roman" w:cs="Arial"/>
        </w:rPr>
        <w:t>1</w:t>
      </w:r>
      <w:r w:rsidR="001B3E53">
        <w:rPr>
          <w:rFonts w:eastAsia="Times New Roman" w:cs="Arial"/>
        </w:rPr>
        <w:t>3</w:t>
      </w:r>
      <w:r w:rsidR="00425231" w:rsidRPr="00425231">
        <w:rPr>
          <w:rFonts w:eastAsia="Times New Roman" w:cs="Arial"/>
          <w:vertAlign w:val="superscript"/>
        </w:rPr>
        <w:t>th</w:t>
      </w:r>
      <w:r w:rsidR="00425231">
        <w:rPr>
          <w:rFonts w:eastAsia="Times New Roman" w:cs="Arial"/>
        </w:rPr>
        <w:t xml:space="preserve"> </w:t>
      </w:r>
      <w:r w:rsidRPr="00202826">
        <w:rPr>
          <w:rFonts w:eastAsia="Times New Roman" w:cs="Arial"/>
        </w:rPr>
        <w:t xml:space="preserve">day of </w:t>
      </w:r>
      <w:r>
        <w:rPr>
          <w:rFonts w:eastAsia="Times New Roman" w:cs="Arial"/>
        </w:rPr>
        <w:t xml:space="preserve">October </w:t>
      </w:r>
      <w:r w:rsidRPr="00202826">
        <w:rPr>
          <w:rFonts w:eastAsia="Times New Roman" w:cs="Arial"/>
        </w:rPr>
        <w:t xml:space="preserve">2017, </w:t>
      </w:r>
      <w:r w:rsidRPr="00202826">
        <w:rPr>
          <w:rFonts w:eastAsia="Times New Roman" w:cs="Arial"/>
          <w:i/>
        </w:rPr>
        <w:t>via</w:t>
      </w:r>
      <w:r w:rsidRPr="00202826">
        <w:rPr>
          <w:rFonts w:eastAsia="Times New Roman" w:cs="Arial"/>
        </w:rPr>
        <w:t xml:space="preserve"> electronic transmission.</w:t>
      </w:r>
    </w:p>
    <w:p w14:paraId="779F71E8" w14:textId="2DE03A4F" w:rsidR="00202826" w:rsidRPr="00202826" w:rsidRDefault="00202826" w:rsidP="00432473">
      <w:pPr>
        <w:tabs>
          <w:tab w:val="left" w:pos="-1440"/>
          <w:tab w:val="left" w:pos="-720"/>
          <w:tab w:val="left" w:pos="5040"/>
          <w:tab w:val="center" w:pos="7200"/>
          <w:tab w:val="right" w:pos="9360"/>
        </w:tabs>
        <w:jc w:val="both"/>
        <w:rPr>
          <w:rFonts w:eastAsia="Calibri" w:cs="Arial"/>
          <w:i/>
          <w:u w:val="single"/>
        </w:rPr>
      </w:pPr>
      <w:r w:rsidRPr="00202826">
        <w:rPr>
          <w:rFonts w:eastAsia="Calibri" w:cs="Arial"/>
        </w:rPr>
        <w:tab/>
      </w:r>
      <w:r w:rsidRPr="00202826">
        <w:rPr>
          <w:rFonts w:eastAsia="Calibri" w:cs="Arial"/>
          <w:i/>
          <w:u w:val="single"/>
        </w:rPr>
        <w:t xml:space="preserve">/s/ </w:t>
      </w:r>
      <w:r w:rsidR="00432473">
        <w:rPr>
          <w:rFonts w:eastAsia="Calibri" w:cs="Arial"/>
          <w:i/>
          <w:u w:val="single"/>
        </w:rPr>
        <w:t>Matthew R. Pritchard</w:t>
      </w:r>
      <w:r w:rsidR="00432473">
        <w:rPr>
          <w:rFonts w:eastAsia="Calibri" w:cs="Arial"/>
          <w:i/>
          <w:u w:val="single"/>
        </w:rPr>
        <w:tab/>
      </w:r>
    </w:p>
    <w:p w14:paraId="3AE1CCD7" w14:textId="417A5766" w:rsidR="00202826" w:rsidRPr="00202826" w:rsidRDefault="00202826" w:rsidP="00202826">
      <w:pPr>
        <w:tabs>
          <w:tab w:val="left" w:pos="-1440"/>
          <w:tab w:val="left" w:pos="-720"/>
          <w:tab w:val="left" w:pos="5040"/>
          <w:tab w:val="center" w:pos="7200"/>
        </w:tabs>
        <w:jc w:val="center"/>
        <w:rPr>
          <w:rFonts w:eastAsia="Calibri" w:cs="Arial"/>
        </w:rPr>
      </w:pPr>
      <w:r w:rsidRPr="00202826">
        <w:rPr>
          <w:rFonts w:eastAsia="Calibri" w:cs="Arial"/>
        </w:rPr>
        <w:tab/>
      </w:r>
      <w:r w:rsidR="00432473">
        <w:rPr>
          <w:rFonts w:eastAsia="Calibri" w:cs="Arial"/>
        </w:rPr>
        <w:t>Matthew R. Pritchard</w:t>
      </w:r>
    </w:p>
    <w:p w14:paraId="037C1BD1" w14:textId="77777777" w:rsidR="00202826" w:rsidRPr="00202826" w:rsidRDefault="00202826" w:rsidP="00202826">
      <w:pPr>
        <w:tabs>
          <w:tab w:val="left" w:pos="-1440"/>
          <w:tab w:val="left" w:pos="-720"/>
          <w:tab w:val="left" w:pos="5040"/>
          <w:tab w:val="center" w:pos="7200"/>
        </w:tabs>
        <w:jc w:val="both"/>
        <w:rPr>
          <w:rFonts w:eastAsia="Calibri" w:cs="Arial"/>
        </w:rPr>
        <w:sectPr w:rsidR="00202826" w:rsidRPr="00202826" w:rsidSect="003108FE">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26"/>
        </w:sectPr>
      </w:pPr>
    </w:p>
    <w:p w14:paraId="4B43CDE2" w14:textId="77777777" w:rsidR="00202826" w:rsidRPr="00202826" w:rsidRDefault="00202826" w:rsidP="00202826">
      <w:pPr>
        <w:tabs>
          <w:tab w:val="left" w:pos="-1440"/>
          <w:tab w:val="left" w:pos="-720"/>
          <w:tab w:val="left" w:pos="5040"/>
          <w:tab w:val="center" w:pos="7200"/>
        </w:tabs>
        <w:jc w:val="both"/>
        <w:rPr>
          <w:rFonts w:eastAsia="Calibri" w:cs="Arial"/>
        </w:rPr>
      </w:pPr>
    </w:p>
    <w:p w14:paraId="033E3058" w14:textId="77777777" w:rsidR="00202826" w:rsidRPr="00202826" w:rsidRDefault="00202826" w:rsidP="00202826">
      <w:pPr>
        <w:rPr>
          <w:rFonts w:eastAsia="Times New Roman" w:cs="Arial"/>
          <w:color w:val="000000"/>
        </w:rPr>
        <w:sectPr w:rsidR="00202826" w:rsidRPr="00202826" w:rsidSect="003108FE">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pgNumType w:start="1"/>
          <w:cols w:space="720"/>
          <w:titlePg/>
          <w:docGrid w:linePitch="326"/>
        </w:sectPr>
      </w:pPr>
    </w:p>
    <w:p w14:paraId="03D1604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Amy B. Spiller (Reg. No. 0047277)</w:t>
      </w:r>
    </w:p>
    <w:p w14:paraId="126697FA" w14:textId="77777777" w:rsidR="00202826" w:rsidRPr="00202826" w:rsidRDefault="00202826" w:rsidP="00202826">
      <w:pPr>
        <w:rPr>
          <w:rFonts w:eastAsia="Calibri" w:cs="Arial"/>
          <w:color w:val="000000"/>
          <w:sz w:val="20"/>
          <w:szCs w:val="20"/>
        </w:rPr>
      </w:pPr>
      <w:r w:rsidRPr="00202826">
        <w:rPr>
          <w:rFonts w:eastAsia="Times New Roman" w:cs="Arial"/>
          <w:color w:val="000000"/>
          <w:sz w:val="20"/>
          <w:szCs w:val="20"/>
        </w:rPr>
        <w:t>(Counsel of Record)</w:t>
      </w:r>
    </w:p>
    <w:p w14:paraId="04E10DA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Deputy General Counsel</w:t>
      </w:r>
    </w:p>
    <w:p w14:paraId="48D69BD2"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Jeanne W. Kingery (Reg. No. 0012172)</w:t>
      </w:r>
    </w:p>
    <w:p w14:paraId="6C24B40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Elizabeth H. Watts (Reg. No. 0031092)</w:t>
      </w:r>
    </w:p>
    <w:p w14:paraId="571C0FF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Rocco </w:t>
      </w:r>
      <w:proofErr w:type="spellStart"/>
      <w:r w:rsidRPr="00202826">
        <w:rPr>
          <w:rFonts w:eastAsia="Times New Roman" w:cs="Arial"/>
          <w:color w:val="000000"/>
          <w:sz w:val="20"/>
          <w:szCs w:val="20"/>
        </w:rPr>
        <w:t>D’Ascenzo</w:t>
      </w:r>
      <w:proofErr w:type="spellEnd"/>
      <w:r w:rsidRPr="00202826">
        <w:rPr>
          <w:rFonts w:eastAsia="Times New Roman" w:cs="Arial"/>
          <w:color w:val="000000"/>
          <w:sz w:val="20"/>
          <w:szCs w:val="20"/>
        </w:rPr>
        <w:t xml:space="preserve"> (Reg. No. 0077651)</w:t>
      </w:r>
    </w:p>
    <w:p w14:paraId="6A9D6E3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Associate General Counsel</w:t>
      </w:r>
    </w:p>
    <w:p w14:paraId="349B0F8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139 East Fourth Street, 1303-Main</w:t>
      </w:r>
    </w:p>
    <w:p w14:paraId="3BAE663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PO Box 961</w:t>
      </w:r>
    </w:p>
    <w:p w14:paraId="2C93EEC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Cincinnati, OH  45201-0960</w:t>
      </w:r>
    </w:p>
    <w:p w14:paraId="423AFA04"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Amy.spiller@duke-energy.com</w:t>
      </w:r>
    </w:p>
    <w:p w14:paraId="6B96431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Jeanne.kingery@duke-energy.com</w:t>
      </w:r>
    </w:p>
    <w:p w14:paraId="7E99C3A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Elizabeth.watts@duke-energy.com</w:t>
      </w:r>
    </w:p>
    <w:p w14:paraId="6BF45501"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Rocco.d’ascenzo@duke-energy.com</w:t>
      </w:r>
    </w:p>
    <w:p w14:paraId="176DF822" w14:textId="77777777" w:rsidR="00202826" w:rsidRPr="00202826" w:rsidRDefault="00202826" w:rsidP="00202826">
      <w:pPr>
        <w:rPr>
          <w:rFonts w:eastAsia="Times New Roman" w:cs="Arial"/>
          <w:color w:val="000000"/>
          <w:sz w:val="20"/>
          <w:szCs w:val="20"/>
        </w:rPr>
      </w:pPr>
    </w:p>
    <w:p w14:paraId="70D4F210"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Duke Energy Ohio, Inc.</w:t>
      </w:r>
    </w:p>
    <w:p w14:paraId="3457351E" w14:textId="77777777" w:rsidR="00202826" w:rsidRPr="00202826" w:rsidRDefault="00202826" w:rsidP="00202826">
      <w:pPr>
        <w:rPr>
          <w:rFonts w:eastAsia="Times New Roman" w:cs="Arial"/>
          <w:color w:val="000000"/>
          <w:sz w:val="20"/>
          <w:szCs w:val="20"/>
        </w:rPr>
      </w:pPr>
    </w:p>
    <w:p w14:paraId="109D898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Michael L. Kurtz (Reg. No. 0033350)</w:t>
      </w:r>
    </w:p>
    <w:p w14:paraId="06B2D54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Jody Kyler Cohn (Reg. No. 0085402)</w:t>
      </w:r>
    </w:p>
    <w:p w14:paraId="15AC72E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Boehm, Kurtz &amp; Lowry</w:t>
      </w:r>
    </w:p>
    <w:p w14:paraId="13C0387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36 East Seventh Street, Suite 1510</w:t>
      </w:r>
    </w:p>
    <w:p w14:paraId="5044254B"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Cincinnati, OH  45202</w:t>
      </w:r>
    </w:p>
    <w:p w14:paraId="6157A12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mkurtz@BKLlawfirm.com</w:t>
      </w:r>
    </w:p>
    <w:p w14:paraId="79CF7A5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jkylercohn@BKLlawfirm.com</w:t>
      </w:r>
    </w:p>
    <w:p w14:paraId="27953585" w14:textId="77777777" w:rsidR="00202826" w:rsidRPr="00202826" w:rsidRDefault="00202826" w:rsidP="00202826">
      <w:pPr>
        <w:rPr>
          <w:rFonts w:eastAsia="Times New Roman" w:cs="Arial"/>
          <w:color w:val="000000"/>
          <w:sz w:val="20"/>
          <w:szCs w:val="20"/>
        </w:rPr>
      </w:pPr>
    </w:p>
    <w:p w14:paraId="223307F5"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Ohio Energy Group</w:t>
      </w:r>
    </w:p>
    <w:p w14:paraId="1AC51746" w14:textId="77777777" w:rsidR="00202826" w:rsidRPr="00202826" w:rsidRDefault="00202826" w:rsidP="00202826">
      <w:pPr>
        <w:rPr>
          <w:rFonts w:eastAsia="Times New Roman" w:cs="Arial"/>
          <w:b/>
          <w:smallCaps/>
          <w:color w:val="000000"/>
          <w:sz w:val="20"/>
          <w:szCs w:val="20"/>
        </w:rPr>
      </w:pPr>
    </w:p>
    <w:p w14:paraId="5C20A088" w14:textId="136B3386"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br w:type="column"/>
        <w:t>William J. Michael (Reg. No. 0070921)</w:t>
      </w:r>
    </w:p>
    <w:p w14:paraId="6ABB6AA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(Counsel of Record)</w:t>
      </w:r>
    </w:p>
    <w:p w14:paraId="32F876EB"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Kevin Moore (Reg. No. 0089228)</w:t>
      </w:r>
    </w:p>
    <w:p w14:paraId="00F6E9D2"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Assistant Consumers’ Counsel</w:t>
      </w:r>
    </w:p>
    <w:p w14:paraId="1B74C59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Office of the Ohio Consumers’ Counsel</w:t>
      </w:r>
    </w:p>
    <w:p w14:paraId="69CD742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10 West Broad Street, Suite 1800</w:t>
      </w:r>
    </w:p>
    <w:p w14:paraId="09ED949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43215-3485</w:t>
      </w:r>
    </w:p>
    <w:p w14:paraId="7A68FD5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William.michael@occ.ohio.gov</w:t>
      </w:r>
    </w:p>
    <w:p w14:paraId="28CB4F04" w14:textId="24837225"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Kevin.moore@occ.ohio.gov</w:t>
      </w:r>
    </w:p>
    <w:p w14:paraId="1AA31BA8" w14:textId="77777777" w:rsidR="00202826" w:rsidRPr="00202826" w:rsidRDefault="00202826" w:rsidP="00202826">
      <w:pPr>
        <w:rPr>
          <w:rFonts w:eastAsia="Times New Roman" w:cs="Arial"/>
          <w:color w:val="000000"/>
          <w:sz w:val="20"/>
          <w:szCs w:val="20"/>
        </w:rPr>
      </w:pPr>
    </w:p>
    <w:p w14:paraId="7E68AF4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Dane Stinson (Reg. No. 0019101)</w:t>
      </w:r>
    </w:p>
    <w:p w14:paraId="1119404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Bricker &amp; </w:t>
      </w:r>
      <w:proofErr w:type="spellStart"/>
      <w:r w:rsidRPr="00202826">
        <w:rPr>
          <w:rFonts w:eastAsia="Times New Roman" w:cs="Arial"/>
          <w:color w:val="000000"/>
          <w:sz w:val="20"/>
          <w:szCs w:val="20"/>
        </w:rPr>
        <w:t>Eckler</w:t>
      </w:r>
      <w:proofErr w:type="spellEnd"/>
      <w:r w:rsidRPr="00202826">
        <w:rPr>
          <w:rFonts w:eastAsia="Times New Roman" w:cs="Arial"/>
          <w:color w:val="000000"/>
          <w:sz w:val="20"/>
          <w:szCs w:val="20"/>
        </w:rPr>
        <w:t xml:space="preserve"> LLP</w:t>
      </w:r>
    </w:p>
    <w:p w14:paraId="10C4165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100 South Third Street</w:t>
      </w:r>
    </w:p>
    <w:p w14:paraId="4D9A286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2E0CC99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dstinson@bricker.com</w:t>
      </w:r>
    </w:p>
    <w:p w14:paraId="3B9F6FD7" w14:textId="77777777" w:rsidR="00202826" w:rsidRPr="00202826" w:rsidRDefault="00202826" w:rsidP="00202826">
      <w:pPr>
        <w:rPr>
          <w:rFonts w:eastAsia="Times New Roman" w:cs="Arial"/>
          <w:color w:val="000000"/>
          <w:sz w:val="20"/>
          <w:szCs w:val="20"/>
        </w:rPr>
      </w:pPr>
    </w:p>
    <w:p w14:paraId="6E9262D8"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Office of the Ohio Consumers’ Counsel</w:t>
      </w:r>
    </w:p>
    <w:p w14:paraId="00E6ED36" w14:textId="77777777" w:rsidR="00202826" w:rsidRPr="00202826" w:rsidRDefault="00202826" w:rsidP="00202826">
      <w:pPr>
        <w:rPr>
          <w:rFonts w:eastAsia="Times New Roman" w:cs="Arial"/>
          <w:color w:val="000000"/>
          <w:sz w:val="20"/>
          <w:szCs w:val="20"/>
        </w:rPr>
      </w:pPr>
    </w:p>
    <w:p w14:paraId="3626E41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Kimberly W. </w:t>
      </w:r>
      <w:proofErr w:type="spellStart"/>
      <w:r w:rsidRPr="00202826">
        <w:rPr>
          <w:rFonts w:eastAsia="Times New Roman" w:cs="Arial"/>
          <w:color w:val="000000"/>
          <w:sz w:val="20"/>
          <w:szCs w:val="20"/>
        </w:rPr>
        <w:t>Bojko</w:t>
      </w:r>
      <w:proofErr w:type="spellEnd"/>
      <w:r w:rsidRPr="00202826">
        <w:rPr>
          <w:rFonts w:eastAsia="Times New Roman" w:cs="Arial"/>
          <w:color w:val="000000"/>
          <w:sz w:val="20"/>
          <w:szCs w:val="20"/>
        </w:rPr>
        <w:t xml:space="preserve"> (Reg. No. 0069402)</w:t>
      </w:r>
    </w:p>
    <w:p w14:paraId="0D093E6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(Counsel of Record)</w:t>
      </w:r>
    </w:p>
    <w:p w14:paraId="36AB672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James D. </w:t>
      </w:r>
      <w:proofErr w:type="spellStart"/>
      <w:r w:rsidRPr="00202826">
        <w:rPr>
          <w:rFonts w:eastAsia="Times New Roman" w:cs="Arial"/>
          <w:color w:val="000000"/>
          <w:sz w:val="20"/>
          <w:szCs w:val="20"/>
        </w:rPr>
        <w:t>Perko</w:t>
      </w:r>
      <w:proofErr w:type="spellEnd"/>
      <w:r w:rsidRPr="00202826">
        <w:rPr>
          <w:rFonts w:eastAsia="Times New Roman" w:cs="Arial"/>
          <w:color w:val="000000"/>
          <w:sz w:val="20"/>
          <w:szCs w:val="20"/>
        </w:rPr>
        <w:t>, Jr. (Reg. No. 0093312)</w:t>
      </w:r>
    </w:p>
    <w:p w14:paraId="68A23C4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Carpenter </w:t>
      </w:r>
      <w:proofErr w:type="spellStart"/>
      <w:r w:rsidRPr="00202826">
        <w:rPr>
          <w:rFonts w:eastAsia="Times New Roman" w:cs="Arial"/>
          <w:color w:val="000000"/>
          <w:sz w:val="20"/>
          <w:szCs w:val="20"/>
        </w:rPr>
        <w:t>Lipps</w:t>
      </w:r>
      <w:proofErr w:type="spellEnd"/>
      <w:r w:rsidRPr="00202826">
        <w:rPr>
          <w:rFonts w:eastAsia="Times New Roman" w:cs="Arial"/>
          <w:color w:val="000000"/>
          <w:sz w:val="20"/>
          <w:szCs w:val="20"/>
        </w:rPr>
        <w:t xml:space="preserve"> &amp; Leland LLP</w:t>
      </w:r>
    </w:p>
    <w:p w14:paraId="32EF779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280 Plaza, Suite 1300</w:t>
      </w:r>
    </w:p>
    <w:p w14:paraId="27CAAE4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280 North High Street</w:t>
      </w:r>
    </w:p>
    <w:p w14:paraId="258B860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74A2480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Bojko@carpenterlipps.com</w:t>
      </w:r>
    </w:p>
    <w:p w14:paraId="10B34F2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Perko@carpenterlipps.com</w:t>
      </w:r>
    </w:p>
    <w:p w14:paraId="49F04DA1" w14:textId="77777777" w:rsidR="00202826" w:rsidRPr="00202826" w:rsidRDefault="00202826" w:rsidP="00202826">
      <w:pPr>
        <w:rPr>
          <w:rFonts w:eastAsia="Times New Roman" w:cs="Arial"/>
          <w:color w:val="000000"/>
          <w:sz w:val="20"/>
          <w:szCs w:val="20"/>
        </w:rPr>
      </w:pPr>
    </w:p>
    <w:p w14:paraId="22DEF7C0"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Ohio Manufacturers’ Association Energy Group</w:t>
      </w:r>
    </w:p>
    <w:p w14:paraId="5ED3478E" w14:textId="77777777" w:rsidR="00202826" w:rsidRPr="00202826" w:rsidRDefault="00202826" w:rsidP="00202826">
      <w:pPr>
        <w:rPr>
          <w:rFonts w:eastAsia="Times New Roman" w:cs="Arial"/>
          <w:color w:val="000000"/>
          <w:sz w:val="20"/>
          <w:szCs w:val="20"/>
        </w:rPr>
      </w:pPr>
    </w:p>
    <w:p w14:paraId="6A6D056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br w:type="column"/>
        <w:t>Colleen L. Mooney (Reg. No. 0015668)</w:t>
      </w:r>
    </w:p>
    <w:p w14:paraId="7374183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Ohio Partners for Affordable Energy</w:t>
      </w:r>
    </w:p>
    <w:p w14:paraId="47D1650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P.O. Box 12451</w:t>
      </w:r>
    </w:p>
    <w:p w14:paraId="471E556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43212-2451</w:t>
      </w:r>
    </w:p>
    <w:p w14:paraId="71BF144D" w14:textId="6F3FB90B"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cmooney@ohiopartners.org</w:t>
      </w:r>
    </w:p>
    <w:p w14:paraId="4A7ABD8A" w14:textId="77777777" w:rsidR="00202826" w:rsidRPr="00202826" w:rsidRDefault="00202826" w:rsidP="00202826">
      <w:pPr>
        <w:rPr>
          <w:rFonts w:eastAsia="Times New Roman" w:cs="Arial"/>
          <w:color w:val="000000"/>
          <w:sz w:val="20"/>
          <w:szCs w:val="20"/>
        </w:rPr>
      </w:pPr>
    </w:p>
    <w:p w14:paraId="61C642CE"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Ohio Partners for Affordable Energy</w:t>
      </w:r>
    </w:p>
    <w:p w14:paraId="0DFDB35A" w14:textId="77777777" w:rsidR="00202826" w:rsidRPr="00202826" w:rsidRDefault="00202826" w:rsidP="00202826">
      <w:pPr>
        <w:rPr>
          <w:rFonts w:eastAsia="Times New Roman" w:cs="Arial"/>
          <w:b/>
          <w:smallCaps/>
          <w:color w:val="000000"/>
          <w:sz w:val="20"/>
          <w:szCs w:val="20"/>
        </w:rPr>
      </w:pPr>
    </w:p>
    <w:p w14:paraId="58D6475B"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Madeline Fleisher (Reg. No. 0091862)</w:t>
      </w:r>
    </w:p>
    <w:p w14:paraId="2F7C48B9"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Environmental Law &amp; Policy Center</w:t>
      </w:r>
    </w:p>
    <w:p w14:paraId="4DFEB2CE"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21 W. Broad St., Suite 500</w:t>
      </w:r>
    </w:p>
    <w:p w14:paraId="3F1E5B42"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Columbus, OH  43215</w:t>
      </w:r>
    </w:p>
    <w:p w14:paraId="0A9FC554"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mfleisher@elpc.org</w:t>
      </w:r>
    </w:p>
    <w:p w14:paraId="2E61CC88"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p>
    <w:p w14:paraId="78F04CE7" w14:textId="77777777" w:rsidR="00202826" w:rsidRPr="00202826" w:rsidRDefault="00202826" w:rsidP="00202826">
      <w:pPr>
        <w:overflowPunct w:val="0"/>
        <w:autoSpaceDE w:val="0"/>
        <w:autoSpaceDN w:val="0"/>
        <w:adjustRightInd w:val="0"/>
        <w:jc w:val="both"/>
        <w:textAlignment w:val="baseline"/>
        <w:rPr>
          <w:rFonts w:ascii="Arial Bold" w:eastAsia="Times New Roman" w:hAnsi="Arial Bold" w:cs="Arial"/>
          <w:b/>
          <w:bCs/>
          <w:smallCaps/>
          <w:sz w:val="20"/>
          <w:szCs w:val="20"/>
        </w:rPr>
      </w:pPr>
      <w:r w:rsidRPr="00202826">
        <w:rPr>
          <w:rFonts w:ascii="Arial Bold" w:eastAsia="Times New Roman" w:hAnsi="Arial Bold" w:cs="Arial"/>
          <w:b/>
          <w:bCs/>
          <w:smallCaps/>
          <w:sz w:val="20"/>
          <w:szCs w:val="20"/>
        </w:rPr>
        <w:t>Counsel for Environmental Law &amp; Policy Center (ELPC)</w:t>
      </w:r>
    </w:p>
    <w:p w14:paraId="35C32F68" w14:textId="77777777" w:rsidR="00202826" w:rsidRPr="00202826" w:rsidRDefault="00202826" w:rsidP="00202826">
      <w:pPr>
        <w:rPr>
          <w:rFonts w:eastAsia="Times New Roman" w:cs="Arial"/>
          <w:b/>
          <w:smallCaps/>
          <w:color w:val="000000"/>
          <w:sz w:val="20"/>
          <w:szCs w:val="20"/>
        </w:rPr>
      </w:pPr>
    </w:p>
    <w:p w14:paraId="1BFE7B6E"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Carrie M. Harris (Reg. No. 0096138)</w:t>
      </w:r>
    </w:p>
    <w:p w14:paraId="0CD1EBDA"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proofErr w:type="spellStart"/>
      <w:r w:rsidRPr="00202826">
        <w:rPr>
          <w:rFonts w:eastAsia="Times New Roman" w:cs="Arial"/>
          <w:bCs/>
          <w:sz w:val="20"/>
          <w:szCs w:val="20"/>
        </w:rPr>
        <w:t>Spilman</w:t>
      </w:r>
      <w:proofErr w:type="spellEnd"/>
      <w:r w:rsidRPr="00202826">
        <w:rPr>
          <w:rFonts w:eastAsia="Times New Roman" w:cs="Arial"/>
          <w:bCs/>
          <w:sz w:val="20"/>
          <w:szCs w:val="20"/>
        </w:rPr>
        <w:t xml:space="preserve"> Thomas &amp; Battle, PLLC</w:t>
      </w:r>
    </w:p>
    <w:p w14:paraId="6C51C935"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110 Oakwood Drive, Suite 500</w:t>
      </w:r>
    </w:p>
    <w:p w14:paraId="18A0ED3E"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r w:rsidRPr="00202826">
        <w:rPr>
          <w:rFonts w:eastAsia="Times New Roman" w:cs="Arial"/>
          <w:bCs/>
          <w:sz w:val="20"/>
          <w:szCs w:val="20"/>
        </w:rPr>
        <w:t>Winston-Salem, NC  27130</w:t>
      </w:r>
    </w:p>
    <w:p w14:paraId="70BA2815" w14:textId="04A2C824"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color w:val="000000"/>
          <w:sz w:val="20"/>
          <w:szCs w:val="20"/>
        </w:rPr>
        <w:t>charris@spilmanlaw.com</w:t>
      </w:r>
    </w:p>
    <w:p w14:paraId="30A08F30"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p>
    <w:p w14:paraId="1AA1EB19"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Derrick Price Williamson</w:t>
      </w:r>
    </w:p>
    <w:p w14:paraId="50C4DC92"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proofErr w:type="spellStart"/>
      <w:r w:rsidRPr="00202826">
        <w:rPr>
          <w:rFonts w:eastAsia="Times New Roman" w:cs="Arial"/>
          <w:bCs/>
          <w:color w:val="000000"/>
          <w:sz w:val="20"/>
          <w:szCs w:val="20"/>
        </w:rPr>
        <w:t>Spilman</w:t>
      </w:r>
      <w:proofErr w:type="spellEnd"/>
      <w:r w:rsidRPr="00202826">
        <w:rPr>
          <w:rFonts w:eastAsia="Times New Roman" w:cs="Arial"/>
          <w:bCs/>
          <w:color w:val="000000"/>
          <w:sz w:val="20"/>
          <w:szCs w:val="20"/>
        </w:rPr>
        <w:t xml:space="preserve"> Thomas &amp; Battle, PLLC</w:t>
      </w:r>
    </w:p>
    <w:p w14:paraId="2B4EB99D"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1100 Bent Creek Blvd., Suite 101</w:t>
      </w:r>
    </w:p>
    <w:p w14:paraId="06337715"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Mechanicsburg, PA  17050</w:t>
      </w:r>
    </w:p>
    <w:p w14:paraId="7F6C1932" w14:textId="2B2BC8B5"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color w:val="000000"/>
          <w:sz w:val="20"/>
          <w:szCs w:val="20"/>
        </w:rPr>
        <w:t>dwilliamson@spilmanlaw.com</w:t>
      </w:r>
    </w:p>
    <w:p w14:paraId="710F98AF"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p>
    <w:p w14:paraId="7E6165C9"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 xml:space="preserve">Lara R. </w:t>
      </w:r>
      <w:proofErr w:type="spellStart"/>
      <w:r w:rsidRPr="00202826">
        <w:rPr>
          <w:rFonts w:eastAsia="Times New Roman" w:cs="Arial"/>
          <w:bCs/>
          <w:color w:val="000000"/>
          <w:sz w:val="20"/>
          <w:szCs w:val="20"/>
        </w:rPr>
        <w:t>Brandfass</w:t>
      </w:r>
      <w:proofErr w:type="spellEnd"/>
    </w:p>
    <w:p w14:paraId="798AC5BB"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proofErr w:type="spellStart"/>
      <w:r w:rsidRPr="00202826">
        <w:rPr>
          <w:rFonts w:eastAsia="Times New Roman" w:cs="Arial"/>
          <w:bCs/>
          <w:color w:val="000000"/>
          <w:sz w:val="20"/>
          <w:szCs w:val="20"/>
        </w:rPr>
        <w:t>Spilman</w:t>
      </w:r>
      <w:proofErr w:type="spellEnd"/>
      <w:r w:rsidRPr="00202826">
        <w:rPr>
          <w:rFonts w:eastAsia="Times New Roman" w:cs="Arial"/>
          <w:bCs/>
          <w:color w:val="000000"/>
          <w:sz w:val="20"/>
          <w:szCs w:val="20"/>
        </w:rPr>
        <w:t xml:space="preserve"> Thomas &amp; Battle, PLLC</w:t>
      </w:r>
    </w:p>
    <w:p w14:paraId="5BD07E8F"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300 Kanawha Boulevard, East</w:t>
      </w:r>
    </w:p>
    <w:p w14:paraId="689415E1"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P.O. Box 273</w:t>
      </w:r>
    </w:p>
    <w:p w14:paraId="14184217"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Charleston, WV  25321-0273</w:t>
      </w:r>
    </w:p>
    <w:p w14:paraId="01AC2EAC" w14:textId="77777777" w:rsidR="00202826" w:rsidRPr="00202826" w:rsidRDefault="00202826" w:rsidP="00202826">
      <w:pPr>
        <w:overflowPunct w:val="0"/>
        <w:autoSpaceDE w:val="0"/>
        <w:autoSpaceDN w:val="0"/>
        <w:adjustRightInd w:val="0"/>
        <w:jc w:val="both"/>
        <w:textAlignment w:val="baseline"/>
        <w:rPr>
          <w:rFonts w:eastAsia="Times New Roman" w:cs="Arial"/>
          <w:bCs/>
          <w:color w:val="000000"/>
          <w:sz w:val="20"/>
          <w:szCs w:val="20"/>
        </w:rPr>
      </w:pPr>
      <w:r w:rsidRPr="00202826">
        <w:rPr>
          <w:rFonts w:eastAsia="Times New Roman" w:cs="Arial"/>
          <w:bCs/>
          <w:color w:val="000000"/>
          <w:sz w:val="20"/>
          <w:szCs w:val="20"/>
        </w:rPr>
        <w:t>lbrandfass@spilmanlaw.com</w:t>
      </w:r>
    </w:p>
    <w:p w14:paraId="45872672" w14:textId="77777777" w:rsidR="00202826" w:rsidRPr="00202826" w:rsidRDefault="00202826" w:rsidP="00202826">
      <w:pPr>
        <w:overflowPunct w:val="0"/>
        <w:autoSpaceDE w:val="0"/>
        <w:autoSpaceDN w:val="0"/>
        <w:adjustRightInd w:val="0"/>
        <w:jc w:val="both"/>
        <w:textAlignment w:val="baseline"/>
        <w:rPr>
          <w:rFonts w:eastAsia="Times New Roman" w:cs="Arial"/>
          <w:bCs/>
          <w:sz w:val="20"/>
          <w:szCs w:val="20"/>
        </w:rPr>
      </w:pPr>
    </w:p>
    <w:p w14:paraId="6CDAB277" w14:textId="77777777" w:rsidR="00202826" w:rsidRPr="00202826" w:rsidRDefault="00202826" w:rsidP="00202826">
      <w:pPr>
        <w:overflowPunct w:val="0"/>
        <w:autoSpaceDE w:val="0"/>
        <w:autoSpaceDN w:val="0"/>
        <w:adjustRightInd w:val="0"/>
        <w:jc w:val="both"/>
        <w:textAlignment w:val="baseline"/>
        <w:rPr>
          <w:rFonts w:ascii="Arial Bold" w:eastAsia="Times New Roman" w:hAnsi="Arial Bold" w:cs="Arial"/>
          <w:b/>
          <w:bCs/>
          <w:smallCaps/>
          <w:sz w:val="20"/>
          <w:szCs w:val="20"/>
        </w:rPr>
      </w:pPr>
      <w:r w:rsidRPr="00202826">
        <w:rPr>
          <w:rFonts w:ascii="Arial Bold" w:eastAsia="Times New Roman" w:hAnsi="Arial Bold" w:cs="Arial"/>
          <w:b/>
          <w:bCs/>
          <w:smallCaps/>
          <w:sz w:val="20"/>
          <w:szCs w:val="20"/>
        </w:rPr>
        <w:t>Counsel for Wal-Mart Stores East, LP and Sam’s East, Inc.</w:t>
      </w:r>
    </w:p>
    <w:p w14:paraId="1CFD61EA" w14:textId="77777777" w:rsidR="00202826" w:rsidRPr="00202826" w:rsidRDefault="00202826" w:rsidP="00202826">
      <w:pPr>
        <w:rPr>
          <w:rFonts w:eastAsia="Times New Roman" w:cs="Arial"/>
          <w:b/>
          <w:smallCaps/>
          <w:color w:val="000000"/>
          <w:sz w:val="20"/>
          <w:szCs w:val="20"/>
        </w:rPr>
      </w:pPr>
    </w:p>
    <w:p w14:paraId="3FA20A0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Angela Paul Whitfield (Reg. No. 0068774)</w:t>
      </w:r>
    </w:p>
    <w:p w14:paraId="466774F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Carpenter </w:t>
      </w:r>
      <w:proofErr w:type="spellStart"/>
      <w:r w:rsidRPr="00202826">
        <w:rPr>
          <w:rFonts w:eastAsia="Times New Roman" w:cs="Arial"/>
          <w:color w:val="000000"/>
          <w:sz w:val="20"/>
          <w:szCs w:val="20"/>
        </w:rPr>
        <w:t>Lipps</w:t>
      </w:r>
      <w:proofErr w:type="spellEnd"/>
      <w:r w:rsidRPr="00202826">
        <w:rPr>
          <w:rFonts w:eastAsia="Times New Roman" w:cs="Arial"/>
          <w:color w:val="000000"/>
          <w:sz w:val="20"/>
          <w:szCs w:val="20"/>
        </w:rPr>
        <w:t xml:space="preserve"> &amp; Leland LLP</w:t>
      </w:r>
    </w:p>
    <w:p w14:paraId="09FF6AC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280 North High Street, Suite 1300</w:t>
      </w:r>
    </w:p>
    <w:p w14:paraId="26AFDA24"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435050FF"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paul@carpenterlipps.com</w:t>
      </w:r>
    </w:p>
    <w:p w14:paraId="7B403022" w14:textId="77777777" w:rsidR="00202826" w:rsidRPr="00202826" w:rsidRDefault="00202826" w:rsidP="00202826">
      <w:pPr>
        <w:rPr>
          <w:rFonts w:eastAsia="Times New Roman" w:cs="Arial"/>
          <w:i/>
          <w:iCs/>
          <w:color w:val="000000"/>
          <w:sz w:val="20"/>
          <w:szCs w:val="20"/>
        </w:rPr>
      </w:pPr>
    </w:p>
    <w:p w14:paraId="68837EF6" w14:textId="77777777" w:rsidR="00202826" w:rsidRPr="00202826" w:rsidRDefault="00202826" w:rsidP="00202826">
      <w:pPr>
        <w:rPr>
          <w:rFonts w:eastAsia="Times New Roman" w:cs="Arial"/>
          <w:smallCaps/>
          <w:color w:val="000000"/>
          <w:sz w:val="20"/>
          <w:szCs w:val="20"/>
        </w:rPr>
      </w:pPr>
      <w:r w:rsidRPr="00202826">
        <w:rPr>
          <w:rFonts w:eastAsia="Times New Roman" w:cs="Arial"/>
          <w:b/>
          <w:iCs/>
          <w:smallCaps/>
          <w:color w:val="000000"/>
          <w:sz w:val="20"/>
          <w:szCs w:val="20"/>
        </w:rPr>
        <w:t>Counsel for The Kroger Co</w:t>
      </w:r>
      <w:r w:rsidRPr="00202826">
        <w:rPr>
          <w:rFonts w:eastAsia="Times New Roman" w:cs="Arial"/>
          <w:iCs/>
          <w:smallCaps/>
          <w:color w:val="000000"/>
          <w:sz w:val="20"/>
          <w:szCs w:val="20"/>
        </w:rPr>
        <w:t>.</w:t>
      </w:r>
    </w:p>
    <w:p w14:paraId="17AA91E4"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br w:type="column"/>
        <w:t>Richard L. Sites (Reg. No. 0019887)</w:t>
      </w:r>
    </w:p>
    <w:p w14:paraId="05AB883C"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Regulatory Counsel </w:t>
      </w:r>
    </w:p>
    <w:p w14:paraId="20962650"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Ohio Hospital Association</w:t>
      </w:r>
    </w:p>
    <w:p w14:paraId="3B488D99"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155 East Broad Street, 3</w:t>
      </w:r>
      <w:r w:rsidRPr="00202826">
        <w:rPr>
          <w:rFonts w:eastAsia="Times New Roman" w:cs="Arial"/>
          <w:color w:val="000000"/>
          <w:sz w:val="20"/>
          <w:szCs w:val="20"/>
          <w:vertAlign w:val="superscript"/>
        </w:rPr>
        <w:t>rd</w:t>
      </w:r>
      <w:r w:rsidRPr="00202826">
        <w:rPr>
          <w:rFonts w:eastAsia="Times New Roman" w:cs="Arial"/>
          <w:color w:val="000000"/>
          <w:sz w:val="20"/>
          <w:szCs w:val="20"/>
        </w:rPr>
        <w:t xml:space="preserve"> Floor</w:t>
      </w:r>
    </w:p>
    <w:p w14:paraId="696D0BCF"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Columbus, OH  43215-3620</w:t>
      </w:r>
    </w:p>
    <w:p w14:paraId="176AED40"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Rick.sites@ohiohospitals.org</w:t>
      </w:r>
    </w:p>
    <w:p w14:paraId="7C1C7D0C" w14:textId="77777777" w:rsidR="00202826" w:rsidRPr="00202826" w:rsidRDefault="00202826" w:rsidP="00202826">
      <w:pPr>
        <w:tabs>
          <w:tab w:val="left" w:pos="2160"/>
          <w:tab w:val="left" w:pos="2280"/>
        </w:tabs>
        <w:rPr>
          <w:rFonts w:eastAsia="Times New Roman" w:cs="Arial"/>
          <w:color w:val="000000"/>
          <w:sz w:val="20"/>
          <w:szCs w:val="20"/>
        </w:rPr>
      </w:pPr>
    </w:p>
    <w:p w14:paraId="6BF63C87"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Dylan F. Borchers (Reg. No. 0090690)</w:t>
      </w:r>
    </w:p>
    <w:p w14:paraId="607CFAF5"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Devin D. </w:t>
      </w:r>
      <w:proofErr w:type="spellStart"/>
      <w:r w:rsidRPr="00202826">
        <w:rPr>
          <w:rFonts w:eastAsia="Times New Roman" w:cs="Arial"/>
          <w:color w:val="000000"/>
          <w:sz w:val="20"/>
          <w:szCs w:val="20"/>
        </w:rPr>
        <w:t>Parram</w:t>
      </w:r>
      <w:proofErr w:type="spellEnd"/>
      <w:r w:rsidRPr="00202826">
        <w:rPr>
          <w:rFonts w:eastAsia="Times New Roman" w:cs="Arial"/>
          <w:color w:val="000000"/>
          <w:sz w:val="20"/>
          <w:szCs w:val="20"/>
        </w:rPr>
        <w:t xml:space="preserve">  (Reg. No. 0082507)</w:t>
      </w:r>
    </w:p>
    <w:p w14:paraId="35B462D8"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Bricker &amp; </w:t>
      </w:r>
      <w:proofErr w:type="spellStart"/>
      <w:r w:rsidRPr="00202826">
        <w:rPr>
          <w:rFonts w:eastAsia="Times New Roman" w:cs="Arial"/>
          <w:color w:val="000000"/>
          <w:sz w:val="20"/>
          <w:szCs w:val="20"/>
        </w:rPr>
        <w:t>Eckler</w:t>
      </w:r>
      <w:proofErr w:type="spellEnd"/>
      <w:r w:rsidRPr="00202826">
        <w:rPr>
          <w:rFonts w:eastAsia="Times New Roman" w:cs="Arial"/>
          <w:color w:val="000000"/>
          <w:sz w:val="20"/>
          <w:szCs w:val="20"/>
        </w:rPr>
        <w:t xml:space="preserve"> LLP</w:t>
      </w:r>
    </w:p>
    <w:p w14:paraId="6440CA24"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100 South Third Street</w:t>
      </w:r>
    </w:p>
    <w:p w14:paraId="2497A078"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Columbus, OH  43215-4291</w:t>
      </w:r>
    </w:p>
    <w:p w14:paraId="67F3E9D1"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dborchers@bricker.com</w:t>
      </w:r>
    </w:p>
    <w:p w14:paraId="135DE90B"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dparram@bricker.com</w:t>
      </w:r>
    </w:p>
    <w:p w14:paraId="14C216FA" w14:textId="77777777" w:rsidR="00202826" w:rsidRPr="00202826" w:rsidRDefault="00202826" w:rsidP="00202826">
      <w:pPr>
        <w:tabs>
          <w:tab w:val="left" w:pos="2160"/>
          <w:tab w:val="left" w:pos="2280"/>
        </w:tabs>
        <w:rPr>
          <w:rFonts w:eastAsia="Times New Roman" w:cs="Arial"/>
          <w:color w:val="000000"/>
          <w:sz w:val="20"/>
          <w:szCs w:val="20"/>
        </w:rPr>
      </w:pPr>
    </w:p>
    <w:p w14:paraId="74F82F56" w14:textId="77777777" w:rsidR="00202826" w:rsidRPr="00202826" w:rsidRDefault="00202826" w:rsidP="00202826">
      <w:pPr>
        <w:tabs>
          <w:tab w:val="left" w:pos="2160"/>
          <w:tab w:val="left" w:pos="2280"/>
        </w:tabs>
        <w:rPr>
          <w:rFonts w:ascii="Arial Bold" w:eastAsia="Times New Roman" w:hAnsi="Arial Bold" w:cs="Arial"/>
          <w:b/>
          <w:smallCaps/>
          <w:color w:val="000000"/>
          <w:sz w:val="20"/>
          <w:szCs w:val="20"/>
        </w:rPr>
      </w:pPr>
      <w:r w:rsidRPr="00202826">
        <w:rPr>
          <w:rFonts w:ascii="Arial Bold" w:eastAsia="Times New Roman" w:hAnsi="Arial Bold" w:cs="Arial"/>
          <w:b/>
          <w:smallCaps/>
          <w:color w:val="000000"/>
          <w:sz w:val="20"/>
          <w:szCs w:val="20"/>
        </w:rPr>
        <w:t>Counsel for The Ohio Hospital Association</w:t>
      </w:r>
    </w:p>
    <w:p w14:paraId="703CF11F" w14:textId="77777777" w:rsidR="00202826" w:rsidRPr="00202826" w:rsidRDefault="00202826" w:rsidP="00202826">
      <w:pPr>
        <w:tabs>
          <w:tab w:val="left" w:pos="2160"/>
          <w:tab w:val="left" w:pos="2280"/>
        </w:tabs>
        <w:rPr>
          <w:rFonts w:eastAsia="Times New Roman" w:cs="Arial"/>
          <w:color w:val="000000"/>
          <w:sz w:val="20"/>
          <w:szCs w:val="20"/>
        </w:rPr>
      </w:pPr>
    </w:p>
    <w:p w14:paraId="6CFB2E44"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Elyse </w:t>
      </w:r>
      <w:proofErr w:type="spellStart"/>
      <w:r w:rsidRPr="00202826">
        <w:rPr>
          <w:rFonts w:eastAsia="Times New Roman" w:cs="Arial"/>
          <w:color w:val="000000"/>
          <w:sz w:val="20"/>
          <w:szCs w:val="20"/>
        </w:rPr>
        <w:t>Akhbari</w:t>
      </w:r>
      <w:proofErr w:type="spellEnd"/>
    </w:p>
    <w:p w14:paraId="7B2AD837"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(Counsel of Record)</w:t>
      </w:r>
    </w:p>
    <w:p w14:paraId="35B5BD60"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Bricker &amp; </w:t>
      </w:r>
      <w:proofErr w:type="spellStart"/>
      <w:r w:rsidRPr="00202826">
        <w:rPr>
          <w:rFonts w:eastAsia="Times New Roman" w:cs="Arial"/>
          <w:color w:val="000000"/>
          <w:sz w:val="20"/>
          <w:szCs w:val="20"/>
        </w:rPr>
        <w:t>Eckler</w:t>
      </w:r>
      <w:proofErr w:type="spellEnd"/>
      <w:r w:rsidRPr="00202826">
        <w:rPr>
          <w:rFonts w:eastAsia="Times New Roman" w:cs="Arial"/>
          <w:color w:val="000000"/>
          <w:sz w:val="20"/>
          <w:szCs w:val="20"/>
        </w:rPr>
        <w:t xml:space="preserve"> LLP</w:t>
      </w:r>
    </w:p>
    <w:p w14:paraId="182EEE69"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100 South Third Street</w:t>
      </w:r>
    </w:p>
    <w:p w14:paraId="5B7CE026"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Columbus, OH  43215-4291</w:t>
      </w:r>
    </w:p>
    <w:p w14:paraId="60AFFFDF"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eakhbari@bricker.com</w:t>
      </w:r>
    </w:p>
    <w:p w14:paraId="5AF807B2" w14:textId="77777777" w:rsidR="00202826" w:rsidRPr="00202826" w:rsidRDefault="00202826" w:rsidP="00202826">
      <w:pPr>
        <w:tabs>
          <w:tab w:val="left" w:pos="2160"/>
          <w:tab w:val="left" w:pos="2280"/>
        </w:tabs>
        <w:rPr>
          <w:rFonts w:eastAsia="Times New Roman" w:cs="Arial"/>
          <w:color w:val="000000"/>
          <w:sz w:val="20"/>
          <w:szCs w:val="20"/>
        </w:rPr>
      </w:pPr>
    </w:p>
    <w:p w14:paraId="784C10E7" w14:textId="77777777" w:rsidR="00202826" w:rsidRPr="00202826" w:rsidRDefault="00202826" w:rsidP="00202826">
      <w:pPr>
        <w:tabs>
          <w:tab w:val="left" w:pos="2160"/>
          <w:tab w:val="left" w:pos="2280"/>
        </w:tabs>
        <w:rPr>
          <w:rFonts w:ascii="Arial Bold" w:eastAsia="Times New Roman" w:hAnsi="Arial Bold" w:cs="Arial"/>
          <w:b/>
          <w:smallCaps/>
          <w:color w:val="000000"/>
          <w:sz w:val="20"/>
          <w:szCs w:val="20"/>
        </w:rPr>
      </w:pPr>
      <w:r w:rsidRPr="00202826">
        <w:rPr>
          <w:rFonts w:ascii="Arial Bold" w:eastAsia="Times New Roman" w:hAnsi="Arial Bold" w:cs="Arial"/>
          <w:b/>
          <w:smallCaps/>
          <w:color w:val="000000"/>
          <w:sz w:val="20"/>
          <w:szCs w:val="20"/>
        </w:rPr>
        <w:t>Counsel for People Working Cooperatively, Inc.</w:t>
      </w:r>
    </w:p>
    <w:p w14:paraId="19315493" w14:textId="77777777" w:rsidR="00202826" w:rsidRPr="00202826" w:rsidRDefault="00202826" w:rsidP="00202826">
      <w:pPr>
        <w:tabs>
          <w:tab w:val="left" w:pos="2160"/>
          <w:tab w:val="left" w:pos="2280"/>
        </w:tabs>
        <w:rPr>
          <w:rFonts w:eastAsia="Times New Roman" w:cs="Arial"/>
          <w:color w:val="000000"/>
          <w:sz w:val="20"/>
          <w:szCs w:val="20"/>
        </w:rPr>
      </w:pPr>
    </w:p>
    <w:p w14:paraId="14863930"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Trent Dougherty (Reg. No. 0079817)</w:t>
      </w:r>
    </w:p>
    <w:p w14:paraId="7C4C993C"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(Counsel of Record)</w:t>
      </w:r>
    </w:p>
    <w:p w14:paraId="219F98D9"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 xml:space="preserve">Miranda </w:t>
      </w:r>
      <w:proofErr w:type="spellStart"/>
      <w:r w:rsidRPr="00202826">
        <w:rPr>
          <w:rFonts w:eastAsia="Times New Roman" w:cs="Arial"/>
          <w:color w:val="000000"/>
          <w:sz w:val="20"/>
          <w:szCs w:val="20"/>
        </w:rPr>
        <w:t>Leppla</w:t>
      </w:r>
      <w:proofErr w:type="spellEnd"/>
      <w:r w:rsidRPr="00202826">
        <w:rPr>
          <w:rFonts w:eastAsia="Times New Roman" w:cs="Arial"/>
          <w:color w:val="000000"/>
          <w:sz w:val="20"/>
          <w:szCs w:val="20"/>
        </w:rPr>
        <w:t xml:space="preserve"> (Reg. No. 0086351)</w:t>
      </w:r>
    </w:p>
    <w:p w14:paraId="02B76EAA"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1145 Chesapeake Avenue, Suite I</w:t>
      </w:r>
    </w:p>
    <w:p w14:paraId="521D1B37"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Columbus, OH  43212-3449</w:t>
      </w:r>
    </w:p>
    <w:p w14:paraId="41A9F44F"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tdougherty@theOEC.org</w:t>
      </w:r>
    </w:p>
    <w:p w14:paraId="300E57B0" w14:textId="77777777" w:rsidR="00202826" w:rsidRPr="00202826" w:rsidRDefault="00202826" w:rsidP="00202826">
      <w:pPr>
        <w:tabs>
          <w:tab w:val="left" w:pos="2160"/>
          <w:tab w:val="left" w:pos="2280"/>
        </w:tabs>
        <w:rPr>
          <w:rFonts w:eastAsia="Times New Roman" w:cs="Arial"/>
          <w:color w:val="000000"/>
          <w:sz w:val="20"/>
          <w:szCs w:val="20"/>
        </w:rPr>
      </w:pPr>
      <w:r w:rsidRPr="00202826">
        <w:rPr>
          <w:rFonts w:eastAsia="Times New Roman" w:cs="Arial"/>
          <w:color w:val="000000"/>
          <w:sz w:val="20"/>
          <w:szCs w:val="20"/>
        </w:rPr>
        <w:t>mleppla@theOEC.org</w:t>
      </w:r>
    </w:p>
    <w:p w14:paraId="3146BE60" w14:textId="77777777" w:rsidR="00202826" w:rsidRPr="00202826" w:rsidRDefault="00202826" w:rsidP="00202826">
      <w:pPr>
        <w:tabs>
          <w:tab w:val="left" w:pos="2160"/>
          <w:tab w:val="left" w:pos="2280"/>
        </w:tabs>
        <w:rPr>
          <w:rFonts w:eastAsia="Times New Roman" w:cs="Arial"/>
          <w:color w:val="000000"/>
          <w:sz w:val="20"/>
          <w:szCs w:val="20"/>
        </w:rPr>
      </w:pPr>
    </w:p>
    <w:p w14:paraId="02022EA3" w14:textId="77777777" w:rsidR="00202826" w:rsidRPr="00202826" w:rsidRDefault="00202826" w:rsidP="00202826">
      <w:pPr>
        <w:tabs>
          <w:tab w:val="left" w:pos="2160"/>
          <w:tab w:val="left" w:pos="2280"/>
        </w:tabs>
        <w:rPr>
          <w:rFonts w:ascii="Arial Bold" w:eastAsia="Times New Roman" w:hAnsi="Arial Bold" w:cs="Arial"/>
          <w:b/>
          <w:smallCaps/>
          <w:color w:val="000000"/>
          <w:sz w:val="20"/>
          <w:szCs w:val="20"/>
        </w:rPr>
      </w:pPr>
      <w:r w:rsidRPr="00202826">
        <w:rPr>
          <w:rFonts w:ascii="Arial Bold" w:eastAsia="Times New Roman" w:hAnsi="Arial Bold" w:cs="Arial"/>
          <w:b/>
          <w:smallCaps/>
          <w:color w:val="000000"/>
          <w:sz w:val="20"/>
          <w:szCs w:val="20"/>
        </w:rPr>
        <w:t>Counsel for the Ohio Environmental Council and Environmental Defense Fund</w:t>
      </w:r>
    </w:p>
    <w:p w14:paraId="28C3DAD0" w14:textId="77777777" w:rsidR="00202826" w:rsidRPr="00202826" w:rsidRDefault="00202826" w:rsidP="00202826">
      <w:pPr>
        <w:tabs>
          <w:tab w:val="left" w:pos="2160"/>
          <w:tab w:val="left" w:pos="2280"/>
        </w:tabs>
        <w:rPr>
          <w:rFonts w:eastAsia="Times New Roman" w:cs="Arial"/>
          <w:color w:val="000000"/>
          <w:sz w:val="20"/>
          <w:szCs w:val="20"/>
        </w:rPr>
      </w:pPr>
    </w:p>
    <w:p w14:paraId="7CAE2EDC" w14:textId="77777777" w:rsidR="00202826" w:rsidRPr="00202826" w:rsidRDefault="00202826" w:rsidP="00202826">
      <w:pPr>
        <w:rPr>
          <w:rFonts w:eastAsia="Times New Roman" w:cs="Arial"/>
          <w:color w:val="000000"/>
          <w:sz w:val="20"/>
          <w:szCs w:val="20"/>
        </w:rPr>
      </w:pPr>
    </w:p>
    <w:p w14:paraId="4148A1D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Joseph </w:t>
      </w:r>
      <w:proofErr w:type="spellStart"/>
      <w:r w:rsidRPr="00202826">
        <w:rPr>
          <w:rFonts w:eastAsia="Times New Roman" w:cs="Arial"/>
          <w:color w:val="000000"/>
          <w:sz w:val="20"/>
          <w:szCs w:val="20"/>
        </w:rPr>
        <w:t>Oliker</w:t>
      </w:r>
      <w:proofErr w:type="spellEnd"/>
      <w:r w:rsidRPr="00202826">
        <w:rPr>
          <w:rFonts w:eastAsia="Times New Roman" w:cs="Arial"/>
          <w:color w:val="000000"/>
          <w:sz w:val="20"/>
          <w:szCs w:val="20"/>
        </w:rPr>
        <w:t xml:space="preserve"> (Reg. No. 0086088)</w:t>
      </w:r>
    </w:p>
    <w:p w14:paraId="1A75689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(Counsel of Record)</w:t>
      </w:r>
    </w:p>
    <w:p w14:paraId="2539EDC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Michael Nugent (Reg. No. 0090408)</w:t>
      </w:r>
    </w:p>
    <w:p w14:paraId="3A64AAD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IGS Energy</w:t>
      </w:r>
    </w:p>
    <w:p w14:paraId="42FBAE8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6100 Emerald Parkway</w:t>
      </w:r>
    </w:p>
    <w:p w14:paraId="4C62A35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Dublin, OH  43016</w:t>
      </w:r>
    </w:p>
    <w:p w14:paraId="7F2132F1"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joliker@igsenergy.com</w:t>
      </w:r>
    </w:p>
    <w:p w14:paraId="37AC4EC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mnugent@igsenergy.com</w:t>
      </w:r>
    </w:p>
    <w:p w14:paraId="6857BCB4" w14:textId="77777777" w:rsidR="00202826" w:rsidRPr="00202826" w:rsidRDefault="00202826" w:rsidP="00202826">
      <w:pPr>
        <w:rPr>
          <w:rFonts w:eastAsia="Times New Roman" w:cs="Arial"/>
          <w:color w:val="000000"/>
          <w:sz w:val="20"/>
          <w:szCs w:val="20"/>
        </w:rPr>
      </w:pPr>
    </w:p>
    <w:p w14:paraId="08EF2201" w14:textId="77777777" w:rsidR="00202826" w:rsidRPr="00202826" w:rsidRDefault="00202826" w:rsidP="00202826">
      <w:pPr>
        <w:tabs>
          <w:tab w:val="left" w:pos="2160"/>
          <w:tab w:val="left" w:pos="2280"/>
        </w:tabs>
        <w:rPr>
          <w:rFonts w:ascii="Arial Bold" w:eastAsia="Times New Roman" w:hAnsi="Arial Bold" w:cs="Arial"/>
          <w:b/>
          <w:smallCaps/>
          <w:color w:val="000000"/>
          <w:sz w:val="20"/>
          <w:szCs w:val="20"/>
        </w:rPr>
      </w:pPr>
      <w:r w:rsidRPr="00202826">
        <w:rPr>
          <w:rFonts w:ascii="Arial Bold" w:eastAsia="Times New Roman" w:hAnsi="Arial Bold" w:cs="Arial"/>
          <w:b/>
          <w:smallCaps/>
          <w:color w:val="000000"/>
          <w:sz w:val="20"/>
          <w:szCs w:val="20"/>
        </w:rPr>
        <w:t>Counsel for IGS Energy</w:t>
      </w:r>
    </w:p>
    <w:p w14:paraId="58F84752" w14:textId="77777777" w:rsidR="00202826" w:rsidRPr="00202826" w:rsidRDefault="00202826" w:rsidP="00202826">
      <w:pPr>
        <w:rPr>
          <w:rFonts w:eastAsia="Times New Roman" w:cs="Arial"/>
          <w:color w:val="000000"/>
          <w:sz w:val="20"/>
          <w:szCs w:val="20"/>
        </w:rPr>
      </w:pPr>
    </w:p>
    <w:p w14:paraId="47D4EF2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br w:type="column"/>
        <w:t>Steven D. Lesser (Reg. No. 0020242)</w:t>
      </w:r>
    </w:p>
    <w:p w14:paraId="4EE78741"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James F. Lang (Reg. No. 0059668)</w:t>
      </w:r>
    </w:p>
    <w:p w14:paraId="233CAB8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N. Trevor Alexander (Reg. No. 0080713)</w:t>
      </w:r>
    </w:p>
    <w:p w14:paraId="698CDE29"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Mark T. </w:t>
      </w:r>
      <w:proofErr w:type="spellStart"/>
      <w:r w:rsidRPr="00202826">
        <w:rPr>
          <w:rFonts w:eastAsia="Times New Roman" w:cs="Arial"/>
          <w:color w:val="000000"/>
          <w:sz w:val="20"/>
          <w:szCs w:val="20"/>
        </w:rPr>
        <w:t>Keaney</w:t>
      </w:r>
      <w:proofErr w:type="spellEnd"/>
      <w:r w:rsidRPr="00202826">
        <w:rPr>
          <w:rFonts w:eastAsia="Times New Roman" w:cs="Arial"/>
          <w:color w:val="000000"/>
          <w:sz w:val="20"/>
          <w:szCs w:val="20"/>
        </w:rPr>
        <w:t xml:space="preserve"> (Reg. No. 0095318)</w:t>
      </w:r>
    </w:p>
    <w:p w14:paraId="5C33CAB9"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Calfee, Halter &amp; Griswold LLP</w:t>
      </w:r>
    </w:p>
    <w:p w14:paraId="49F4F06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41 South High Street,1200 Huntington Center</w:t>
      </w:r>
    </w:p>
    <w:p w14:paraId="54B7670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1AF92A14" w14:textId="534BC811" w:rsidR="00202826" w:rsidRPr="00202826" w:rsidRDefault="00202826" w:rsidP="00202826">
      <w:pPr>
        <w:rPr>
          <w:rFonts w:eastAsia="Times New Roman" w:cs="Arial"/>
          <w:sz w:val="20"/>
          <w:szCs w:val="20"/>
        </w:rPr>
      </w:pPr>
      <w:r w:rsidRPr="00202826">
        <w:rPr>
          <w:rFonts w:eastAsia="Times New Roman" w:cs="Arial"/>
          <w:sz w:val="20"/>
          <w:szCs w:val="20"/>
        </w:rPr>
        <w:t>slesser@calfee.com</w:t>
      </w:r>
    </w:p>
    <w:p w14:paraId="63CFF843" w14:textId="77777777" w:rsidR="00202826" w:rsidRPr="00202826" w:rsidRDefault="00202826" w:rsidP="00202826">
      <w:pPr>
        <w:rPr>
          <w:rFonts w:eastAsia="Times New Roman" w:cs="Arial"/>
          <w:sz w:val="20"/>
          <w:szCs w:val="20"/>
        </w:rPr>
      </w:pPr>
      <w:r w:rsidRPr="00202826">
        <w:rPr>
          <w:rFonts w:eastAsia="Times New Roman" w:cs="Arial"/>
          <w:sz w:val="20"/>
          <w:szCs w:val="20"/>
        </w:rPr>
        <w:t>jlang@calfee.com</w:t>
      </w:r>
    </w:p>
    <w:p w14:paraId="3C74089E" w14:textId="4DC894E5" w:rsidR="00202826" w:rsidRPr="00202826" w:rsidRDefault="00202826" w:rsidP="00202826">
      <w:pPr>
        <w:rPr>
          <w:rFonts w:eastAsia="Times New Roman" w:cs="Arial"/>
          <w:sz w:val="20"/>
          <w:szCs w:val="20"/>
        </w:rPr>
      </w:pPr>
      <w:r w:rsidRPr="00202826">
        <w:rPr>
          <w:rFonts w:eastAsia="Times New Roman" w:cs="Arial"/>
          <w:sz w:val="20"/>
          <w:szCs w:val="20"/>
        </w:rPr>
        <w:t>talexander@calfee.com</w:t>
      </w:r>
    </w:p>
    <w:p w14:paraId="4A7B6CEA" w14:textId="77777777" w:rsidR="00202826" w:rsidRPr="00202826" w:rsidRDefault="00202826" w:rsidP="00202826">
      <w:pPr>
        <w:rPr>
          <w:rFonts w:eastAsia="Times New Roman" w:cs="Arial"/>
          <w:sz w:val="20"/>
          <w:szCs w:val="20"/>
        </w:rPr>
      </w:pPr>
      <w:r w:rsidRPr="00202826">
        <w:rPr>
          <w:rFonts w:eastAsia="Times New Roman" w:cs="Arial"/>
          <w:sz w:val="20"/>
          <w:szCs w:val="20"/>
        </w:rPr>
        <w:t>mkeaney@calfee.com</w:t>
      </w:r>
    </w:p>
    <w:p w14:paraId="7C0E2CD6" w14:textId="77777777" w:rsidR="00202826" w:rsidRPr="00202826" w:rsidRDefault="00202826" w:rsidP="00202826">
      <w:pPr>
        <w:rPr>
          <w:rFonts w:eastAsia="Times New Roman" w:cs="Arial"/>
          <w:color w:val="000000"/>
          <w:sz w:val="20"/>
          <w:szCs w:val="20"/>
        </w:rPr>
      </w:pPr>
    </w:p>
    <w:p w14:paraId="46DB1A28"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City of Cincinnati</w:t>
      </w:r>
    </w:p>
    <w:p w14:paraId="5E8759A7" w14:textId="77777777" w:rsidR="00202826" w:rsidRPr="00202826" w:rsidRDefault="00202826" w:rsidP="00202826">
      <w:pPr>
        <w:rPr>
          <w:rFonts w:eastAsia="Times New Roman" w:cs="Arial"/>
          <w:color w:val="000000"/>
          <w:sz w:val="20"/>
          <w:szCs w:val="20"/>
        </w:rPr>
      </w:pPr>
    </w:p>
    <w:p w14:paraId="098755C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Michael D. Dortch (Reg. No. 0043897)</w:t>
      </w:r>
    </w:p>
    <w:p w14:paraId="27F37629"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Richard R. Parsons (Reg. No. 0082270)</w:t>
      </w:r>
    </w:p>
    <w:p w14:paraId="4208D0D2"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Justin M. Dortch (Reg. No. 0090048)</w:t>
      </w:r>
    </w:p>
    <w:p w14:paraId="673FDE88" w14:textId="77777777" w:rsidR="00202826" w:rsidRPr="00202826" w:rsidRDefault="00202826" w:rsidP="00202826">
      <w:pPr>
        <w:rPr>
          <w:rFonts w:eastAsia="Times New Roman" w:cs="Arial"/>
          <w:color w:val="000000"/>
          <w:sz w:val="20"/>
          <w:szCs w:val="20"/>
        </w:rPr>
      </w:pPr>
      <w:proofErr w:type="spellStart"/>
      <w:r w:rsidRPr="00202826">
        <w:rPr>
          <w:rFonts w:eastAsia="Times New Roman" w:cs="Arial"/>
          <w:color w:val="000000"/>
          <w:sz w:val="20"/>
          <w:szCs w:val="20"/>
        </w:rPr>
        <w:t>Kravitz</w:t>
      </w:r>
      <w:proofErr w:type="spellEnd"/>
      <w:r w:rsidRPr="00202826">
        <w:rPr>
          <w:rFonts w:eastAsia="Times New Roman" w:cs="Arial"/>
          <w:color w:val="000000"/>
          <w:sz w:val="20"/>
          <w:szCs w:val="20"/>
        </w:rPr>
        <w:t>, Brown &amp; Dortch, LLC</w:t>
      </w:r>
    </w:p>
    <w:p w14:paraId="1848E3DF"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65 East State Street, Suite 200</w:t>
      </w:r>
    </w:p>
    <w:p w14:paraId="3F5A9B0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11FA6484" w14:textId="77777777" w:rsidR="00202826" w:rsidRPr="00202826" w:rsidRDefault="00202826" w:rsidP="00202826">
      <w:pPr>
        <w:rPr>
          <w:rFonts w:eastAsia="Times New Roman" w:cs="Arial"/>
          <w:sz w:val="20"/>
          <w:szCs w:val="20"/>
        </w:rPr>
      </w:pPr>
      <w:r w:rsidRPr="00202826">
        <w:rPr>
          <w:rFonts w:eastAsia="Times New Roman" w:cs="Arial"/>
          <w:sz w:val="20"/>
          <w:szCs w:val="20"/>
        </w:rPr>
        <w:t>mdortch@kravitzllc.com</w:t>
      </w:r>
    </w:p>
    <w:p w14:paraId="4DEED0E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rparsons@kravitzllc.com</w:t>
      </w:r>
    </w:p>
    <w:p w14:paraId="5DD1FE0B"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jdortch@kravitzllc.com</w:t>
      </w:r>
    </w:p>
    <w:p w14:paraId="5C0BE60E" w14:textId="77777777" w:rsidR="00202826" w:rsidRPr="00202826" w:rsidRDefault="00202826" w:rsidP="00202826">
      <w:pPr>
        <w:rPr>
          <w:rFonts w:eastAsia="Times New Roman" w:cs="Arial"/>
          <w:color w:val="000000"/>
          <w:sz w:val="20"/>
          <w:szCs w:val="20"/>
        </w:rPr>
      </w:pPr>
    </w:p>
    <w:p w14:paraId="4F857CCE"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Calpine Energy Solutions, LLC</w:t>
      </w:r>
    </w:p>
    <w:p w14:paraId="4F11BCE2" w14:textId="77777777" w:rsidR="00202826" w:rsidRPr="00202826" w:rsidRDefault="00202826" w:rsidP="00202826">
      <w:pPr>
        <w:rPr>
          <w:rFonts w:eastAsia="Times New Roman" w:cs="Arial"/>
          <w:color w:val="000000"/>
          <w:sz w:val="20"/>
          <w:szCs w:val="20"/>
        </w:rPr>
      </w:pPr>
    </w:p>
    <w:p w14:paraId="7687FFF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Mark A. Whitt (Reg. No. 0067996)</w:t>
      </w:r>
    </w:p>
    <w:p w14:paraId="5A73AD1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Andrew J. Campbell (Reg. No. 0081485)</w:t>
      </w:r>
    </w:p>
    <w:p w14:paraId="22C3A5F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Rebekah J. Glover (Reg. No. 0088798)</w:t>
      </w:r>
    </w:p>
    <w:p w14:paraId="46C2DC6E"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Whitt Sturtevant LLP</w:t>
      </w:r>
    </w:p>
    <w:p w14:paraId="3C8F50C9"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The KeyBank Building, Suite 1590</w:t>
      </w:r>
    </w:p>
    <w:p w14:paraId="611B0D47"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88 East Broad Street</w:t>
      </w:r>
    </w:p>
    <w:p w14:paraId="65D949F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5BF75528" w14:textId="77777777" w:rsidR="00202826" w:rsidRPr="00202826" w:rsidRDefault="00202826" w:rsidP="00202826">
      <w:pPr>
        <w:rPr>
          <w:rFonts w:eastAsia="Times New Roman" w:cs="Arial"/>
          <w:sz w:val="20"/>
          <w:szCs w:val="20"/>
        </w:rPr>
      </w:pPr>
      <w:r w:rsidRPr="00202826">
        <w:rPr>
          <w:rFonts w:eastAsia="Times New Roman" w:cs="Arial"/>
          <w:sz w:val="20"/>
          <w:szCs w:val="20"/>
        </w:rPr>
        <w:t>whitt@whitt-sturtevant.com</w:t>
      </w:r>
    </w:p>
    <w:p w14:paraId="3A8AC3DC"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campbell@whitt-sturtevant.com</w:t>
      </w:r>
    </w:p>
    <w:p w14:paraId="7888B113"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glover@whitt-sturtevant.com</w:t>
      </w:r>
    </w:p>
    <w:p w14:paraId="2EFE2428" w14:textId="77777777" w:rsidR="00202826" w:rsidRPr="00202826" w:rsidRDefault="00202826" w:rsidP="00202826">
      <w:pPr>
        <w:rPr>
          <w:rFonts w:eastAsia="Times New Roman" w:cs="Arial"/>
          <w:color w:val="000000"/>
          <w:sz w:val="20"/>
          <w:szCs w:val="20"/>
        </w:rPr>
      </w:pPr>
    </w:p>
    <w:p w14:paraId="66BDEEEA"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Retail Energy Supply Association &amp; Direct Energy Services, LLC, Direct Energy Business, LLC and Direct Energy Business Marketing, LLC</w:t>
      </w:r>
    </w:p>
    <w:p w14:paraId="1F8385CA" w14:textId="77777777" w:rsidR="00202826" w:rsidRPr="00202826" w:rsidRDefault="00202826" w:rsidP="00202826">
      <w:pPr>
        <w:rPr>
          <w:rFonts w:eastAsia="Times New Roman" w:cs="Arial"/>
          <w:color w:val="000000"/>
          <w:sz w:val="20"/>
          <w:szCs w:val="20"/>
        </w:rPr>
      </w:pPr>
    </w:p>
    <w:p w14:paraId="13B056C0" w14:textId="77777777" w:rsidR="00202826" w:rsidRPr="00202826" w:rsidRDefault="00202826" w:rsidP="00202826">
      <w:pPr>
        <w:tabs>
          <w:tab w:val="left" w:pos="5040"/>
        </w:tabs>
        <w:rPr>
          <w:rFonts w:eastAsia="Times New Roman" w:cs="Times New Roman"/>
          <w:sz w:val="20"/>
          <w:szCs w:val="20"/>
        </w:rPr>
      </w:pPr>
      <w:r w:rsidRPr="00202826">
        <w:rPr>
          <w:rFonts w:eastAsia="Times New Roman" w:cs="Times New Roman"/>
          <w:sz w:val="20"/>
          <w:szCs w:val="20"/>
        </w:rPr>
        <w:t xml:space="preserve">Mike </w:t>
      </w:r>
      <w:proofErr w:type="spellStart"/>
      <w:r w:rsidRPr="00202826">
        <w:rPr>
          <w:rFonts w:eastAsia="Times New Roman" w:cs="Times New Roman"/>
          <w:sz w:val="20"/>
          <w:szCs w:val="20"/>
        </w:rPr>
        <w:t>Dewine</w:t>
      </w:r>
      <w:proofErr w:type="spellEnd"/>
    </w:p>
    <w:p w14:paraId="6EFCB859" w14:textId="77777777" w:rsidR="00202826" w:rsidRPr="00202826" w:rsidRDefault="00202826" w:rsidP="00202826">
      <w:pPr>
        <w:tabs>
          <w:tab w:val="left" w:pos="5040"/>
        </w:tabs>
        <w:rPr>
          <w:rFonts w:eastAsia="Times New Roman" w:cs="Times New Roman"/>
          <w:sz w:val="20"/>
          <w:szCs w:val="20"/>
        </w:rPr>
      </w:pPr>
      <w:r w:rsidRPr="00202826">
        <w:rPr>
          <w:rFonts w:eastAsia="Times New Roman" w:cs="Times New Roman"/>
          <w:sz w:val="20"/>
          <w:szCs w:val="20"/>
        </w:rPr>
        <w:t xml:space="preserve">ATTORNEY GENERAL </w:t>
      </w:r>
    </w:p>
    <w:p w14:paraId="70391BCD" w14:textId="77777777" w:rsidR="00202826" w:rsidRPr="00202826" w:rsidRDefault="00202826" w:rsidP="00202826">
      <w:pPr>
        <w:tabs>
          <w:tab w:val="left" w:pos="5040"/>
        </w:tabs>
        <w:rPr>
          <w:rFonts w:eastAsia="Times New Roman" w:cs="Times New Roman"/>
          <w:sz w:val="20"/>
          <w:szCs w:val="20"/>
        </w:rPr>
      </w:pPr>
    </w:p>
    <w:p w14:paraId="59EC6FD9" w14:textId="77777777" w:rsidR="00202826" w:rsidRPr="00202826" w:rsidRDefault="00202826" w:rsidP="00202826">
      <w:pPr>
        <w:tabs>
          <w:tab w:val="left" w:pos="5040"/>
        </w:tabs>
        <w:rPr>
          <w:rFonts w:eastAsia="Times New Roman" w:cs="Times New Roman"/>
          <w:sz w:val="20"/>
          <w:szCs w:val="20"/>
        </w:rPr>
      </w:pPr>
      <w:r w:rsidRPr="00202826">
        <w:rPr>
          <w:rFonts w:eastAsia="Times New Roman" w:cs="Times New Roman"/>
          <w:sz w:val="20"/>
          <w:szCs w:val="20"/>
        </w:rPr>
        <w:t xml:space="preserve">Michael J. </w:t>
      </w:r>
      <w:proofErr w:type="spellStart"/>
      <w:r w:rsidRPr="00202826">
        <w:rPr>
          <w:rFonts w:eastAsia="Times New Roman" w:cs="Times New Roman"/>
          <w:sz w:val="20"/>
          <w:szCs w:val="20"/>
        </w:rPr>
        <w:t>Setineri</w:t>
      </w:r>
      <w:proofErr w:type="spellEnd"/>
      <w:r w:rsidRPr="00202826">
        <w:rPr>
          <w:rFonts w:eastAsia="Times New Roman" w:cs="Times New Roman"/>
          <w:sz w:val="20"/>
          <w:szCs w:val="20"/>
        </w:rPr>
        <w:t xml:space="preserve"> (Reg. No. 0073369)</w:t>
      </w:r>
    </w:p>
    <w:p w14:paraId="5E8BB2B8"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 xml:space="preserve">Special Assistant Attorney General </w:t>
      </w:r>
    </w:p>
    <w:p w14:paraId="30542359" w14:textId="77777777" w:rsidR="00202826" w:rsidRPr="00202826" w:rsidRDefault="00202826" w:rsidP="00202826">
      <w:pPr>
        <w:autoSpaceDE w:val="0"/>
        <w:autoSpaceDN w:val="0"/>
        <w:adjustRightInd w:val="0"/>
        <w:rPr>
          <w:rFonts w:eastAsia="Calibri" w:cs="Arial"/>
          <w:sz w:val="20"/>
          <w:szCs w:val="20"/>
        </w:rPr>
      </w:pPr>
      <w:proofErr w:type="spellStart"/>
      <w:r w:rsidRPr="00202826">
        <w:rPr>
          <w:rFonts w:eastAsia="Calibri" w:cs="Arial"/>
          <w:sz w:val="20"/>
          <w:szCs w:val="20"/>
        </w:rPr>
        <w:t>Vorys</w:t>
      </w:r>
      <w:proofErr w:type="spellEnd"/>
      <w:r w:rsidRPr="00202826">
        <w:rPr>
          <w:rFonts w:eastAsia="Calibri" w:cs="Arial"/>
          <w:sz w:val="20"/>
          <w:szCs w:val="20"/>
        </w:rPr>
        <w:t xml:space="preserve">, </w:t>
      </w:r>
      <w:proofErr w:type="spellStart"/>
      <w:r w:rsidRPr="00202826">
        <w:rPr>
          <w:rFonts w:eastAsia="Calibri" w:cs="Arial"/>
          <w:sz w:val="20"/>
          <w:szCs w:val="20"/>
        </w:rPr>
        <w:t>Sater</w:t>
      </w:r>
      <w:proofErr w:type="spellEnd"/>
      <w:r w:rsidRPr="00202826">
        <w:rPr>
          <w:rFonts w:eastAsia="Calibri" w:cs="Arial"/>
          <w:sz w:val="20"/>
          <w:szCs w:val="20"/>
        </w:rPr>
        <w:t>, Seymour and Pease LLP</w:t>
      </w:r>
    </w:p>
    <w:p w14:paraId="26DCD364"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52 East Gay Street</w:t>
      </w:r>
    </w:p>
    <w:p w14:paraId="00A676CD"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PO Box 1008</w:t>
      </w:r>
    </w:p>
    <w:p w14:paraId="0D28574A"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Columbus, OH  43216-1008</w:t>
      </w:r>
    </w:p>
    <w:p w14:paraId="5FA969EE"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mjsettineri@vorys.com</w:t>
      </w:r>
    </w:p>
    <w:p w14:paraId="0151AFB6" w14:textId="77777777" w:rsidR="00202826" w:rsidRPr="00202826" w:rsidRDefault="00202826" w:rsidP="00202826">
      <w:pPr>
        <w:autoSpaceDE w:val="0"/>
        <w:autoSpaceDN w:val="0"/>
        <w:adjustRightInd w:val="0"/>
        <w:rPr>
          <w:rFonts w:eastAsia="Calibri" w:cs="Arial"/>
          <w:sz w:val="20"/>
          <w:szCs w:val="20"/>
        </w:rPr>
      </w:pPr>
    </w:p>
    <w:p w14:paraId="35CE85A0" w14:textId="77777777" w:rsidR="00202826" w:rsidRPr="00202826" w:rsidRDefault="00202826" w:rsidP="00202826">
      <w:pPr>
        <w:rPr>
          <w:rFonts w:eastAsia="Times New Roman" w:cs="Arial"/>
          <w:b/>
          <w:smallCaps/>
          <w:sz w:val="20"/>
          <w:szCs w:val="20"/>
        </w:rPr>
      </w:pPr>
      <w:r w:rsidRPr="00202826">
        <w:rPr>
          <w:rFonts w:eastAsia="Times New Roman" w:cs="Arial"/>
          <w:b/>
          <w:smallCaps/>
          <w:sz w:val="20"/>
          <w:szCs w:val="20"/>
        </w:rPr>
        <w:t>On Behalf of Miami University and the University of Cincinnati</w:t>
      </w:r>
    </w:p>
    <w:p w14:paraId="4EE920EB" w14:textId="77777777" w:rsidR="00202826" w:rsidRPr="00202826" w:rsidRDefault="00202826" w:rsidP="00202826">
      <w:pPr>
        <w:tabs>
          <w:tab w:val="left" w:pos="5040"/>
        </w:tabs>
        <w:rPr>
          <w:rFonts w:eastAsia="Times New Roman" w:cs="Times New Roman"/>
          <w:sz w:val="20"/>
          <w:szCs w:val="20"/>
        </w:rPr>
      </w:pPr>
      <w:r w:rsidRPr="00202826">
        <w:rPr>
          <w:rFonts w:eastAsia="Times New Roman" w:cs="Times New Roman"/>
          <w:sz w:val="20"/>
          <w:szCs w:val="20"/>
        </w:rPr>
        <w:br w:type="column"/>
        <w:t xml:space="preserve">Michael J. </w:t>
      </w:r>
      <w:proofErr w:type="spellStart"/>
      <w:r w:rsidRPr="00202826">
        <w:rPr>
          <w:rFonts w:eastAsia="Times New Roman" w:cs="Times New Roman"/>
          <w:sz w:val="20"/>
          <w:szCs w:val="20"/>
        </w:rPr>
        <w:t>Setineri</w:t>
      </w:r>
      <w:proofErr w:type="spellEnd"/>
      <w:r w:rsidRPr="00202826">
        <w:rPr>
          <w:rFonts w:eastAsia="Times New Roman" w:cs="Times New Roman"/>
          <w:sz w:val="20"/>
          <w:szCs w:val="20"/>
        </w:rPr>
        <w:t xml:space="preserve"> (Reg. No. 0073369)</w:t>
      </w:r>
    </w:p>
    <w:p w14:paraId="60A0BBD9"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(Counsel of Record)</w:t>
      </w:r>
    </w:p>
    <w:p w14:paraId="115363EE"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 xml:space="preserve">Gretchen L. </w:t>
      </w:r>
      <w:proofErr w:type="spellStart"/>
      <w:r w:rsidRPr="00202826">
        <w:rPr>
          <w:rFonts w:eastAsia="Calibri" w:cs="Arial"/>
          <w:sz w:val="20"/>
          <w:szCs w:val="20"/>
        </w:rPr>
        <w:t>Petrucci</w:t>
      </w:r>
      <w:proofErr w:type="spellEnd"/>
      <w:r w:rsidRPr="00202826">
        <w:rPr>
          <w:rFonts w:eastAsia="Calibri" w:cs="Arial"/>
          <w:sz w:val="20"/>
          <w:szCs w:val="20"/>
        </w:rPr>
        <w:t xml:space="preserve"> (Reg. No. 0046608)</w:t>
      </w:r>
    </w:p>
    <w:p w14:paraId="472D4ABF" w14:textId="77777777" w:rsidR="00202826" w:rsidRPr="00202826" w:rsidRDefault="00202826" w:rsidP="00202826">
      <w:pPr>
        <w:autoSpaceDE w:val="0"/>
        <w:autoSpaceDN w:val="0"/>
        <w:adjustRightInd w:val="0"/>
        <w:rPr>
          <w:rFonts w:eastAsia="Calibri" w:cs="Arial"/>
          <w:sz w:val="20"/>
          <w:szCs w:val="20"/>
        </w:rPr>
      </w:pPr>
      <w:proofErr w:type="spellStart"/>
      <w:r w:rsidRPr="00202826">
        <w:rPr>
          <w:rFonts w:eastAsia="Calibri" w:cs="Arial"/>
          <w:sz w:val="20"/>
          <w:szCs w:val="20"/>
        </w:rPr>
        <w:t>Vorys</w:t>
      </w:r>
      <w:proofErr w:type="spellEnd"/>
      <w:r w:rsidRPr="00202826">
        <w:rPr>
          <w:rFonts w:eastAsia="Calibri" w:cs="Arial"/>
          <w:sz w:val="20"/>
          <w:szCs w:val="20"/>
        </w:rPr>
        <w:t xml:space="preserve">, </w:t>
      </w:r>
      <w:proofErr w:type="spellStart"/>
      <w:r w:rsidRPr="00202826">
        <w:rPr>
          <w:rFonts w:eastAsia="Calibri" w:cs="Arial"/>
          <w:sz w:val="20"/>
          <w:szCs w:val="20"/>
        </w:rPr>
        <w:t>Sater</w:t>
      </w:r>
      <w:proofErr w:type="spellEnd"/>
      <w:r w:rsidRPr="00202826">
        <w:rPr>
          <w:rFonts w:eastAsia="Calibri" w:cs="Arial"/>
          <w:sz w:val="20"/>
          <w:szCs w:val="20"/>
        </w:rPr>
        <w:t>, Seymour and Pease LLP</w:t>
      </w:r>
    </w:p>
    <w:p w14:paraId="2F995E73"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52 East Gay Street</w:t>
      </w:r>
    </w:p>
    <w:p w14:paraId="29C92C2F"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PO Box 1008</w:t>
      </w:r>
    </w:p>
    <w:p w14:paraId="25B0C8B7"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Columbus, OH  43216-1008</w:t>
      </w:r>
    </w:p>
    <w:p w14:paraId="0A10CC75"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mjsettineri@vorys.com</w:t>
      </w:r>
    </w:p>
    <w:p w14:paraId="41804BEB" w14:textId="77777777" w:rsidR="00202826" w:rsidRPr="00202826" w:rsidRDefault="00202826" w:rsidP="00202826">
      <w:pPr>
        <w:autoSpaceDE w:val="0"/>
        <w:autoSpaceDN w:val="0"/>
        <w:adjustRightInd w:val="0"/>
        <w:rPr>
          <w:rFonts w:eastAsia="Calibri" w:cs="Arial"/>
          <w:sz w:val="20"/>
          <w:szCs w:val="20"/>
        </w:rPr>
      </w:pPr>
      <w:r w:rsidRPr="00202826">
        <w:rPr>
          <w:rFonts w:eastAsia="Calibri" w:cs="Arial"/>
          <w:sz w:val="20"/>
          <w:szCs w:val="20"/>
        </w:rPr>
        <w:t>glpetrucci@vorys.com</w:t>
      </w:r>
    </w:p>
    <w:p w14:paraId="71ED3EAD" w14:textId="77777777" w:rsidR="00202826" w:rsidRPr="00202826" w:rsidRDefault="00202826" w:rsidP="00202826">
      <w:pPr>
        <w:autoSpaceDE w:val="0"/>
        <w:autoSpaceDN w:val="0"/>
        <w:adjustRightInd w:val="0"/>
        <w:rPr>
          <w:rFonts w:eastAsia="Calibri" w:cs="Arial"/>
          <w:sz w:val="20"/>
          <w:szCs w:val="20"/>
        </w:rPr>
      </w:pPr>
    </w:p>
    <w:p w14:paraId="358A578D" w14:textId="77777777" w:rsidR="00202826" w:rsidRPr="00202826" w:rsidRDefault="00202826" w:rsidP="00202826">
      <w:pPr>
        <w:rPr>
          <w:rFonts w:eastAsia="Times New Roman" w:cs="Arial"/>
          <w:b/>
          <w:smallCaps/>
          <w:sz w:val="20"/>
          <w:szCs w:val="20"/>
        </w:rPr>
      </w:pPr>
      <w:r w:rsidRPr="00202826">
        <w:rPr>
          <w:rFonts w:eastAsia="Times New Roman" w:cs="Arial"/>
          <w:b/>
          <w:smallCaps/>
          <w:sz w:val="20"/>
          <w:szCs w:val="20"/>
        </w:rPr>
        <w:t xml:space="preserve">On Behalf of Constellation </w:t>
      </w:r>
      <w:proofErr w:type="spellStart"/>
      <w:r w:rsidRPr="00202826">
        <w:rPr>
          <w:rFonts w:eastAsia="Times New Roman" w:cs="Arial"/>
          <w:b/>
          <w:smallCaps/>
          <w:sz w:val="20"/>
          <w:szCs w:val="20"/>
        </w:rPr>
        <w:t>NewEnergy</w:t>
      </w:r>
      <w:proofErr w:type="spellEnd"/>
      <w:r w:rsidRPr="00202826">
        <w:rPr>
          <w:rFonts w:eastAsia="Times New Roman" w:cs="Arial"/>
          <w:b/>
          <w:smallCaps/>
          <w:sz w:val="20"/>
          <w:szCs w:val="20"/>
        </w:rPr>
        <w:t>, Inc. and Exelon Generation Company, LLC</w:t>
      </w:r>
    </w:p>
    <w:p w14:paraId="174D9ADC" w14:textId="77777777" w:rsidR="00202826" w:rsidRPr="00202826" w:rsidRDefault="00202826" w:rsidP="00202826">
      <w:pPr>
        <w:jc w:val="both"/>
        <w:rPr>
          <w:rFonts w:eastAsia="Times New Roman" w:cs="Arial"/>
          <w:sz w:val="20"/>
          <w:szCs w:val="20"/>
        </w:rPr>
      </w:pPr>
    </w:p>
    <w:p w14:paraId="173AAD3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Steven Beeler (Reg. No. 00</w:t>
      </w:r>
      <w:r w:rsidRPr="00202826">
        <w:rPr>
          <w:rFonts w:ascii="Helvetica" w:eastAsia="Times New Roman" w:hAnsi="Helvetica" w:cs="Helvetica"/>
          <w:color w:val="333333"/>
          <w:sz w:val="20"/>
          <w:szCs w:val="20"/>
        </w:rPr>
        <w:t>78076</w:t>
      </w:r>
      <w:r w:rsidRPr="00202826">
        <w:rPr>
          <w:rFonts w:eastAsia="Times New Roman" w:cs="Arial"/>
          <w:color w:val="000000"/>
          <w:sz w:val="20"/>
          <w:szCs w:val="20"/>
        </w:rPr>
        <w:t>)</w:t>
      </w:r>
    </w:p>
    <w:p w14:paraId="4113A87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Assistant Attorney General</w:t>
      </w:r>
    </w:p>
    <w:p w14:paraId="2A31B6E4"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Public Utilities Section</w:t>
      </w:r>
    </w:p>
    <w:p w14:paraId="50421960"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Office of the Ohio Attorney General</w:t>
      </w:r>
    </w:p>
    <w:p w14:paraId="12D45BD5"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30 East Broad Street, 16</w:t>
      </w:r>
      <w:r w:rsidRPr="00202826">
        <w:rPr>
          <w:rFonts w:eastAsia="Times New Roman" w:cs="Arial"/>
          <w:color w:val="000000"/>
          <w:sz w:val="20"/>
          <w:szCs w:val="20"/>
          <w:vertAlign w:val="superscript"/>
        </w:rPr>
        <w:t>th</w:t>
      </w:r>
      <w:r w:rsidRPr="00202826">
        <w:rPr>
          <w:rFonts w:eastAsia="Times New Roman" w:cs="Arial"/>
          <w:color w:val="000000"/>
          <w:sz w:val="20"/>
          <w:szCs w:val="20"/>
        </w:rPr>
        <w:t xml:space="preserve"> Floor</w:t>
      </w:r>
    </w:p>
    <w:p w14:paraId="77D3B9B1"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1087A7C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steven.beeler@ohioattorneygeneral.gov</w:t>
      </w:r>
    </w:p>
    <w:p w14:paraId="3F3D178C" w14:textId="77777777" w:rsidR="00202826" w:rsidRPr="00202826" w:rsidRDefault="00202826" w:rsidP="00202826">
      <w:pPr>
        <w:rPr>
          <w:rFonts w:eastAsia="Times New Roman" w:cs="Arial"/>
          <w:color w:val="000000"/>
          <w:sz w:val="20"/>
          <w:szCs w:val="20"/>
        </w:rPr>
      </w:pPr>
    </w:p>
    <w:p w14:paraId="25BD38EB" w14:textId="77777777" w:rsidR="00202826" w:rsidRPr="00202826" w:rsidRDefault="00202826" w:rsidP="00202826">
      <w:pPr>
        <w:rPr>
          <w:rFonts w:eastAsia="Times New Roman" w:cs="Arial"/>
          <w:b/>
          <w:smallCaps/>
          <w:color w:val="000000"/>
          <w:sz w:val="20"/>
          <w:szCs w:val="20"/>
        </w:rPr>
      </w:pPr>
      <w:r w:rsidRPr="00202826">
        <w:rPr>
          <w:rFonts w:eastAsia="Times New Roman" w:cs="Arial"/>
          <w:b/>
          <w:smallCaps/>
          <w:color w:val="000000"/>
          <w:sz w:val="20"/>
          <w:szCs w:val="20"/>
        </w:rPr>
        <w:t>Counsel for the Staff of the Public Utilities Commission of Ohio</w:t>
      </w:r>
    </w:p>
    <w:p w14:paraId="673D47CA" w14:textId="77777777" w:rsidR="00202826" w:rsidRPr="00202826" w:rsidRDefault="00202826" w:rsidP="00202826">
      <w:pPr>
        <w:rPr>
          <w:rFonts w:eastAsia="Times New Roman" w:cs="Arial"/>
          <w:color w:val="000000"/>
          <w:sz w:val="20"/>
          <w:szCs w:val="20"/>
        </w:rPr>
      </w:pPr>
    </w:p>
    <w:p w14:paraId="34F807F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Patricia </w:t>
      </w:r>
      <w:proofErr w:type="spellStart"/>
      <w:r w:rsidRPr="00202826">
        <w:rPr>
          <w:rFonts w:eastAsia="Times New Roman" w:cs="Arial"/>
          <w:color w:val="000000"/>
          <w:sz w:val="20"/>
          <w:szCs w:val="20"/>
        </w:rPr>
        <w:t>Schabo</w:t>
      </w:r>
      <w:proofErr w:type="spellEnd"/>
    </w:p>
    <w:p w14:paraId="2A568B0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 xml:space="preserve">Nicholas </w:t>
      </w:r>
      <w:proofErr w:type="spellStart"/>
      <w:r w:rsidRPr="00202826">
        <w:rPr>
          <w:rFonts w:eastAsia="Times New Roman" w:cs="Arial"/>
          <w:color w:val="000000"/>
          <w:sz w:val="20"/>
          <w:szCs w:val="20"/>
        </w:rPr>
        <w:t>Walstra</w:t>
      </w:r>
      <w:proofErr w:type="spellEnd"/>
    </w:p>
    <w:p w14:paraId="5520BF38"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Legal Department</w:t>
      </w:r>
    </w:p>
    <w:p w14:paraId="6454B736"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Public Utilities Commission of Ohio</w:t>
      </w:r>
    </w:p>
    <w:p w14:paraId="210573BA"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180 East Broad Street, 12</w:t>
      </w:r>
      <w:r w:rsidRPr="00202826">
        <w:rPr>
          <w:rFonts w:eastAsia="Times New Roman" w:cs="Arial"/>
          <w:color w:val="000000"/>
          <w:sz w:val="20"/>
          <w:szCs w:val="20"/>
          <w:vertAlign w:val="superscript"/>
        </w:rPr>
        <w:t>th</w:t>
      </w:r>
      <w:r w:rsidRPr="00202826">
        <w:rPr>
          <w:rFonts w:eastAsia="Times New Roman" w:cs="Arial"/>
          <w:color w:val="000000"/>
          <w:sz w:val="20"/>
          <w:szCs w:val="20"/>
        </w:rPr>
        <w:t xml:space="preserve"> Floor</w:t>
      </w:r>
    </w:p>
    <w:p w14:paraId="693569A1"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Columbus, OH  43215</w:t>
      </w:r>
    </w:p>
    <w:p w14:paraId="41223522" w14:textId="77777777" w:rsidR="00202826" w:rsidRPr="00202826" w:rsidRDefault="00202826" w:rsidP="00202826">
      <w:pPr>
        <w:rPr>
          <w:rFonts w:eastAsia="Times New Roman" w:cs="Arial"/>
          <w:color w:val="000000"/>
          <w:sz w:val="20"/>
          <w:szCs w:val="20"/>
        </w:rPr>
      </w:pPr>
      <w:proofErr w:type="spellStart"/>
      <w:r w:rsidRPr="00202826">
        <w:rPr>
          <w:rFonts w:eastAsia="Times New Roman" w:cs="Arial"/>
          <w:color w:val="000000"/>
          <w:sz w:val="20"/>
          <w:szCs w:val="20"/>
        </w:rPr>
        <w:t>Patricia.schabo</w:t>
      </w:r>
      <w:proofErr w:type="spellEnd"/>
      <w:r w:rsidRPr="00202826">
        <w:rPr>
          <w:rFonts w:eastAsia="Times New Roman" w:cs="Arial"/>
          <w:color w:val="000000"/>
          <w:sz w:val="20"/>
          <w:szCs w:val="20"/>
        </w:rPr>
        <w:t>@ puc.state.oh.us</w:t>
      </w:r>
    </w:p>
    <w:p w14:paraId="585D258D" w14:textId="77777777" w:rsidR="00202826" w:rsidRPr="00202826" w:rsidRDefault="00202826" w:rsidP="00202826">
      <w:pPr>
        <w:rPr>
          <w:rFonts w:eastAsia="Times New Roman" w:cs="Arial"/>
          <w:color w:val="000000"/>
          <w:sz w:val="20"/>
          <w:szCs w:val="20"/>
        </w:rPr>
      </w:pPr>
      <w:r w:rsidRPr="00202826">
        <w:rPr>
          <w:rFonts w:eastAsia="Times New Roman" w:cs="Arial"/>
          <w:color w:val="000000"/>
          <w:sz w:val="20"/>
          <w:szCs w:val="20"/>
        </w:rPr>
        <w:t>Nicholas.Walstra@puc.state.oh.us</w:t>
      </w:r>
    </w:p>
    <w:p w14:paraId="08768803" w14:textId="77777777" w:rsidR="00202826" w:rsidRPr="00202826" w:rsidRDefault="00202826" w:rsidP="00202826">
      <w:pPr>
        <w:rPr>
          <w:rFonts w:eastAsia="Times New Roman" w:cs="Arial"/>
          <w:color w:val="000000"/>
          <w:sz w:val="20"/>
          <w:szCs w:val="20"/>
        </w:rPr>
      </w:pPr>
    </w:p>
    <w:p w14:paraId="464CA33F" w14:textId="77777777" w:rsidR="00202826" w:rsidRPr="00202826" w:rsidRDefault="00202826" w:rsidP="00202826">
      <w:pPr>
        <w:rPr>
          <w:rFonts w:ascii="Arial Bold" w:eastAsia="Times New Roman" w:hAnsi="Arial Bold" w:cs="Arial"/>
          <w:b/>
          <w:smallCaps/>
          <w:color w:val="000000"/>
          <w:sz w:val="20"/>
          <w:szCs w:val="20"/>
        </w:rPr>
      </w:pPr>
      <w:r w:rsidRPr="00202826">
        <w:rPr>
          <w:rFonts w:ascii="Arial Bold" w:eastAsia="Times New Roman" w:hAnsi="Arial Bold" w:cs="Arial"/>
          <w:b/>
          <w:smallCaps/>
          <w:color w:val="000000"/>
          <w:sz w:val="20"/>
          <w:szCs w:val="20"/>
        </w:rPr>
        <w:t>Attorney Examiners</w:t>
      </w:r>
    </w:p>
    <w:p w14:paraId="051F7EA8" w14:textId="77777777" w:rsidR="00202826" w:rsidRPr="00202826" w:rsidRDefault="00202826" w:rsidP="00202826">
      <w:pPr>
        <w:rPr>
          <w:rFonts w:ascii="Arial Bold" w:eastAsia="Times New Roman" w:hAnsi="Arial Bold" w:cs="Arial"/>
          <w:b/>
          <w:smallCaps/>
          <w:color w:val="000000"/>
          <w:sz w:val="20"/>
          <w:szCs w:val="20"/>
        </w:rPr>
      </w:pPr>
    </w:p>
    <w:p w14:paraId="244AB38C" w14:textId="77777777" w:rsidR="00202826" w:rsidRPr="00202826" w:rsidRDefault="00202826" w:rsidP="00202826">
      <w:pPr>
        <w:rPr>
          <w:rFonts w:ascii="Arial Bold" w:eastAsia="Times New Roman" w:hAnsi="Arial Bold" w:cs="Arial"/>
          <w:b/>
          <w:smallCaps/>
          <w:color w:val="000000"/>
          <w:sz w:val="20"/>
          <w:szCs w:val="20"/>
        </w:rPr>
      </w:pPr>
    </w:p>
    <w:p w14:paraId="60D6C465" w14:textId="77777777" w:rsidR="00202826" w:rsidRPr="00202826" w:rsidRDefault="00202826" w:rsidP="00202826">
      <w:pPr>
        <w:rPr>
          <w:rFonts w:eastAsia="Times New Roman" w:cs="Arial"/>
          <w:color w:val="000000"/>
          <w:sz w:val="20"/>
          <w:szCs w:val="20"/>
        </w:rPr>
      </w:pPr>
    </w:p>
    <w:p w14:paraId="7D0608E0" w14:textId="1530F28B" w:rsidR="00A75DEF" w:rsidRDefault="00A75DEF" w:rsidP="00FC350F"/>
    <w:sectPr w:rsidR="00A75DEF" w:rsidSect="003108FE">
      <w:headerReference w:type="default" r:id="rId30"/>
      <w:footerReference w:type="default" r:id="rId31"/>
      <w:headerReference w:type="first" r:id="rId32"/>
      <w:footerReference w:type="first" r:id="rId33"/>
      <w:type w:val="continuous"/>
      <w:pgSz w:w="12240" w:h="15840" w:code="1"/>
      <w:pgMar w:top="1440" w:right="1440" w:bottom="1440"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DE92" w14:textId="77777777" w:rsidR="00563CEB" w:rsidRDefault="00563CEB" w:rsidP="0079253B">
      <w:r>
        <w:separator/>
      </w:r>
    </w:p>
    <w:p w14:paraId="6F62BF54" w14:textId="77777777" w:rsidR="00563CEB" w:rsidRDefault="00563CEB"/>
  </w:endnote>
  <w:endnote w:type="continuationSeparator" w:id="0">
    <w:p w14:paraId="1DC0CBDF" w14:textId="77777777" w:rsidR="00563CEB" w:rsidRDefault="00563CEB" w:rsidP="0079253B">
      <w:r>
        <w:continuationSeparator/>
      </w:r>
    </w:p>
    <w:p w14:paraId="0389980A" w14:textId="77777777" w:rsidR="00563CEB" w:rsidRDefault="0056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AE8B" w14:textId="77777777" w:rsidR="00563CEB" w:rsidRDefault="00563CEB">
    <w:pPr>
      <w:pStyle w:val="Footer"/>
    </w:pPr>
  </w:p>
  <w:p w14:paraId="1A4AA512" w14:textId="77777777" w:rsidR="00563CEB" w:rsidRDefault="00563CE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0B0D" w14:textId="13BE8AEB" w:rsidR="00563CEB" w:rsidRDefault="00711FBC" w:rsidP="00202826">
    <w:pPr>
      <w:pStyle w:val="Footer"/>
    </w:pPr>
    <w:r w:rsidRPr="00711FBC">
      <w:rPr>
        <w:noProof/>
        <w:sz w:val="16"/>
      </w:rPr>
      <w:t>C0105584:1</w:t>
    </w:r>
    <w:r w:rsidR="00563CEB" w:rsidRPr="00B52D30">
      <w:rPr>
        <w:noProof/>
        <w:sz w:val="16"/>
      </w:rPr>
      <w:tab/>
    </w:r>
    <w:r w:rsidR="00563CEB" w:rsidRPr="00B52D30">
      <w:rPr>
        <w:noProof/>
        <w:sz w:val="16"/>
      </w:rPr>
      <w:fldChar w:fldCharType="begin"/>
    </w:r>
    <w:r w:rsidR="00563CEB" w:rsidRPr="00B52D30">
      <w:rPr>
        <w:noProof/>
        <w:sz w:val="16"/>
      </w:rPr>
      <w:instrText xml:space="preserve"> PAGE   \* MERGEFORMAT </w:instrText>
    </w:r>
    <w:r w:rsidR="00563CEB" w:rsidRPr="00B52D30">
      <w:rPr>
        <w:noProof/>
        <w:sz w:val="16"/>
      </w:rPr>
      <w:fldChar w:fldCharType="separate"/>
    </w:r>
    <w:r w:rsidR="00581A1B">
      <w:rPr>
        <w:noProof/>
        <w:sz w:val="16"/>
      </w:rPr>
      <w:t>1</w:t>
    </w:r>
    <w:r w:rsidR="00563CEB" w:rsidRPr="00B52D30">
      <w:rPr>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C172" w14:textId="15AB8145" w:rsidR="00563CEB" w:rsidRPr="0079253B" w:rsidRDefault="00711FBC" w:rsidP="0079253B">
    <w:pPr>
      <w:pStyle w:val="Footer"/>
    </w:pPr>
    <w:r w:rsidRPr="00711FBC">
      <w:rPr>
        <w:noProof/>
        <w:sz w:val="16"/>
      </w:rPr>
      <w:t>C0105584:1</w:t>
    </w:r>
    <w:r w:rsidR="00563CEB">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C2DC" w14:textId="56A0415B" w:rsidR="00563CEB" w:rsidRDefault="00711FBC" w:rsidP="00202826">
    <w:pPr>
      <w:pStyle w:val="Footer"/>
    </w:pPr>
    <w:r w:rsidRPr="00711FBC">
      <w:rPr>
        <w:noProof/>
        <w:sz w:val="16"/>
      </w:rPr>
      <w:t>C0105584:1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0538" w14:textId="16E2B194" w:rsidR="00563CEB" w:rsidRPr="0079253B" w:rsidRDefault="00711FBC" w:rsidP="0079253B">
    <w:pPr>
      <w:pStyle w:val="Footer"/>
    </w:pPr>
    <w:r w:rsidRPr="00711FBC">
      <w:rPr>
        <w:noProof/>
        <w:sz w:val="16"/>
      </w:rPr>
      <w:t>C0105584:1</w:t>
    </w:r>
    <w:r w:rsidR="00563CE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F13B" w14:textId="4B2A3E09" w:rsidR="00563CEB" w:rsidRDefault="00711FBC" w:rsidP="00202826">
    <w:pPr>
      <w:pStyle w:val="Footer"/>
    </w:pPr>
    <w:r w:rsidRPr="00711FBC">
      <w:rPr>
        <w:noProof/>
        <w:sz w:val="16"/>
      </w:rPr>
      <w:t>C0105584:1</w:t>
    </w:r>
    <w:r w:rsidR="00563CEB" w:rsidRPr="00B52D30">
      <w:rPr>
        <w:noProof/>
        <w:sz w:val="16"/>
      </w:rPr>
      <w:tab/>
    </w:r>
    <w:r w:rsidR="00563CEB" w:rsidRPr="00EE1C81">
      <w:rPr>
        <w:noProof/>
        <w:sz w:val="22"/>
        <w:szCs w:val="22"/>
      </w:rPr>
      <w:fldChar w:fldCharType="begin"/>
    </w:r>
    <w:r w:rsidR="00563CEB" w:rsidRPr="00EE1C81">
      <w:rPr>
        <w:noProof/>
        <w:sz w:val="22"/>
        <w:szCs w:val="22"/>
      </w:rPr>
      <w:instrText xml:space="preserve"> PAGE   \* MERGEFORMAT </w:instrText>
    </w:r>
    <w:r w:rsidR="00563CEB" w:rsidRPr="00EE1C81">
      <w:rPr>
        <w:noProof/>
        <w:sz w:val="22"/>
        <w:szCs w:val="22"/>
      </w:rPr>
      <w:fldChar w:fldCharType="separate"/>
    </w:r>
    <w:r w:rsidR="00581A1B">
      <w:rPr>
        <w:noProof/>
        <w:sz w:val="22"/>
        <w:szCs w:val="22"/>
      </w:rPr>
      <w:t>i</w:t>
    </w:r>
    <w:r w:rsidR="00563CEB" w:rsidRPr="00EE1C81">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2829" w14:textId="69C440B5" w:rsidR="00563CEB" w:rsidRPr="0079253B" w:rsidRDefault="00711FBC" w:rsidP="0079253B">
    <w:pPr>
      <w:pStyle w:val="Footer"/>
    </w:pPr>
    <w:r w:rsidRPr="00711FBC">
      <w:rPr>
        <w:noProof/>
        <w:sz w:val="16"/>
      </w:rPr>
      <w:t>C0105584:1</w:t>
    </w:r>
    <w:r w:rsidR="00563CE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D673" w14:textId="00859B4E" w:rsidR="00563CEB" w:rsidRDefault="00711FBC" w:rsidP="00202826">
    <w:pPr>
      <w:pStyle w:val="Footer"/>
    </w:pPr>
    <w:r w:rsidRPr="00711FBC">
      <w:rPr>
        <w:noProof/>
        <w:sz w:val="16"/>
      </w:rPr>
      <w:t>C0105584:1</w:t>
    </w:r>
    <w:r w:rsidR="00563CEB" w:rsidRPr="00B52D30">
      <w:rPr>
        <w:noProof/>
        <w:sz w:val="16"/>
      </w:rPr>
      <w:tab/>
    </w:r>
    <w:r w:rsidR="00563CEB" w:rsidRPr="00EE1C81">
      <w:rPr>
        <w:noProof/>
        <w:sz w:val="22"/>
        <w:szCs w:val="22"/>
      </w:rPr>
      <w:fldChar w:fldCharType="begin"/>
    </w:r>
    <w:r w:rsidR="00563CEB" w:rsidRPr="00EE1C81">
      <w:rPr>
        <w:noProof/>
        <w:sz w:val="22"/>
        <w:szCs w:val="22"/>
      </w:rPr>
      <w:instrText xml:space="preserve"> PAGE   \* MERGEFORMAT </w:instrText>
    </w:r>
    <w:r w:rsidR="00563CEB" w:rsidRPr="00EE1C81">
      <w:rPr>
        <w:noProof/>
        <w:sz w:val="22"/>
        <w:szCs w:val="22"/>
      </w:rPr>
      <w:fldChar w:fldCharType="separate"/>
    </w:r>
    <w:r w:rsidR="00581A1B">
      <w:rPr>
        <w:noProof/>
        <w:sz w:val="22"/>
        <w:szCs w:val="22"/>
      </w:rPr>
      <w:t>i</w:t>
    </w:r>
    <w:r w:rsidR="00563CEB" w:rsidRPr="00EE1C81">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F702" w14:textId="07FC1C41" w:rsidR="00563CEB" w:rsidRPr="0079253B" w:rsidRDefault="00711FBC" w:rsidP="0079253B">
    <w:pPr>
      <w:pStyle w:val="Footer"/>
    </w:pPr>
    <w:r w:rsidRPr="00711FBC">
      <w:rPr>
        <w:noProof/>
        <w:sz w:val="16"/>
      </w:rPr>
      <w:t>C0105584:1</w:t>
    </w:r>
    <w:r w:rsidR="00563CEB">
      <w:tab/>
    </w:r>
    <w:r w:rsidR="00563CEB">
      <w:fldChar w:fldCharType="begin"/>
    </w:r>
    <w:r w:rsidR="00563CEB">
      <w:instrText xml:space="preserve"> PAGE   \* MERGEFORMAT </w:instrText>
    </w:r>
    <w:r w:rsidR="00563CEB">
      <w:fldChar w:fldCharType="separate"/>
    </w:r>
    <w:r w:rsidR="00581A1B">
      <w:rPr>
        <w:noProof/>
      </w:rPr>
      <w:t>i</w:t>
    </w:r>
    <w:r w:rsidR="00563CE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B1C6" w14:textId="20303050" w:rsidR="00563CEB" w:rsidRDefault="00711FBC" w:rsidP="00202826">
    <w:pPr>
      <w:pStyle w:val="Footer"/>
    </w:pPr>
    <w:r w:rsidRPr="00711FBC">
      <w:rPr>
        <w:noProof/>
        <w:sz w:val="16"/>
      </w:rPr>
      <w:t>C0105584:1</w:t>
    </w:r>
    <w:r w:rsidR="00563CEB" w:rsidRPr="00B52D30">
      <w:rPr>
        <w:noProof/>
        <w:sz w:val="16"/>
      </w:rPr>
      <w:tab/>
    </w:r>
    <w:r w:rsidR="00563CEB" w:rsidRPr="00EE1C81">
      <w:rPr>
        <w:noProof/>
        <w:sz w:val="22"/>
        <w:szCs w:val="22"/>
      </w:rPr>
      <w:fldChar w:fldCharType="begin"/>
    </w:r>
    <w:r w:rsidR="00563CEB" w:rsidRPr="00EE1C81">
      <w:rPr>
        <w:noProof/>
        <w:sz w:val="22"/>
        <w:szCs w:val="22"/>
      </w:rPr>
      <w:instrText xml:space="preserve"> PAGE   \* MERGEFORMAT </w:instrText>
    </w:r>
    <w:r w:rsidR="00563CEB" w:rsidRPr="00EE1C81">
      <w:rPr>
        <w:noProof/>
        <w:sz w:val="22"/>
        <w:szCs w:val="22"/>
      </w:rPr>
      <w:fldChar w:fldCharType="separate"/>
    </w:r>
    <w:r w:rsidR="00581A1B">
      <w:rPr>
        <w:noProof/>
        <w:sz w:val="22"/>
        <w:szCs w:val="22"/>
      </w:rPr>
      <w:t>20</w:t>
    </w:r>
    <w:r w:rsidR="00563CEB" w:rsidRPr="00EE1C81">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227F" w14:textId="37CA0C3E" w:rsidR="00563CEB" w:rsidRPr="0079253B" w:rsidRDefault="00711FBC" w:rsidP="0079253B">
    <w:pPr>
      <w:pStyle w:val="Footer"/>
    </w:pPr>
    <w:r w:rsidRPr="00711FBC">
      <w:rPr>
        <w:noProof/>
        <w:sz w:val="16"/>
      </w:rPr>
      <w:t>C0105584:1</w:t>
    </w:r>
    <w:r w:rsidR="00563CEB">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96B1" w14:textId="69F84EDF" w:rsidR="00563CEB" w:rsidRDefault="00711FBC" w:rsidP="00202826">
    <w:pPr>
      <w:pStyle w:val="Footer"/>
    </w:pPr>
    <w:r w:rsidRPr="00711FBC">
      <w:rPr>
        <w:noProof/>
        <w:sz w:val="16"/>
      </w:rPr>
      <w:t>C0105584:1</w:t>
    </w:r>
    <w:r w:rsidR="00563CEB" w:rsidRPr="00B52D30">
      <w:rPr>
        <w:noProof/>
        <w:sz w:val="16"/>
      </w:rPr>
      <w:tab/>
    </w:r>
    <w:r w:rsidR="00563CEB" w:rsidRPr="00B52D30">
      <w:rPr>
        <w:noProof/>
        <w:sz w:val="16"/>
      </w:rPr>
      <w:fldChar w:fldCharType="begin"/>
    </w:r>
    <w:r w:rsidR="00563CEB" w:rsidRPr="00B52D30">
      <w:rPr>
        <w:noProof/>
        <w:sz w:val="16"/>
      </w:rPr>
      <w:instrText xml:space="preserve"> PAGE   \* MERGEFORMAT </w:instrText>
    </w:r>
    <w:r w:rsidR="00563CEB" w:rsidRPr="00B52D30">
      <w:rPr>
        <w:noProof/>
        <w:sz w:val="16"/>
      </w:rPr>
      <w:fldChar w:fldCharType="separate"/>
    </w:r>
    <w:r w:rsidR="00581A1B">
      <w:rPr>
        <w:noProof/>
        <w:sz w:val="16"/>
      </w:rPr>
      <w:t>1</w:t>
    </w:r>
    <w:r w:rsidR="00563CEB" w:rsidRPr="00B52D30">
      <w:rPr>
        <w:noProo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29CA" w14:textId="770EBF59" w:rsidR="00563CEB" w:rsidRPr="0079253B" w:rsidRDefault="00711FBC" w:rsidP="0079253B">
    <w:pPr>
      <w:pStyle w:val="Footer"/>
    </w:pPr>
    <w:r w:rsidRPr="00711FBC">
      <w:rPr>
        <w:noProof/>
        <w:sz w:val="16"/>
      </w:rPr>
      <w:t>C0105584:1</w:t>
    </w:r>
    <w:r w:rsidR="00563C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F693" w14:textId="217E4691" w:rsidR="00563CEB" w:rsidRDefault="00563CEB">
      <w:pPr>
        <w:rPr>
          <w:noProof/>
        </w:rPr>
      </w:pPr>
      <w:r>
        <w:rPr>
          <w:noProof/>
        </w:rPr>
        <w:separator/>
      </w:r>
    </w:p>
  </w:footnote>
  <w:footnote w:type="continuationSeparator" w:id="0">
    <w:p w14:paraId="3C44DBF2" w14:textId="77777777" w:rsidR="00563CEB" w:rsidRDefault="00563CEB" w:rsidP="0079253B">
      <w:r>
        <w:continuationSeparator/>
      </w:r>
    </w:p>
    <w:p w14:paraId="5ABE391B" w14:textId="77777777" w:rsidR="00563CEB" w:rsidRDefault="00563CEB"/>
  </w:footnote>
  <w:footnote w:id="1">
    <w:p w14:paraId="78BC67F6" w14:textId="5D12B5BA" w:rsidR="00563CEB" w:rsidRPr="0085781D" w:rsidRDefault="00563CEB" w:rsidP="00283360">
      <w:pPr>
        <w:pStyle w:val="FootnoteText"/>
        <w:spacing w:after="120"/>
      </w:pPr>
      <w:r>
        <w:rPr>
          <w:rStyle w:val="FootnoteReference"/>
        </w:rPr>
        <w:footnoteRef/>
      </w:r>
      <w:r>
        <w:t xml:space="preserve"> </w:t>
      </w:r>
      <w:r w:rsidRPr="00627C58">
        <w:rPr>
          <w:i/>
        </w:rPr>
        <w:t>In the Matter of the Application of Duke Energy Ohio, Inc. for Authority to Establish a Standard Service Offer Pursuant to R.C. 4928.143 in the Form of an Electric Security Plan, Accounting Modifications, and Tariffs for Generation Service</w:t>
      </w:r>
      <w:r>
        <w:t xml:space="preserve">, Case Nos. 14-841-EL-SSO, </w:t>
      </w:r>
      <w:r>
        <w:rPr>
          <w:i/>
        </w:rPr>
        <w:t xml:space="preserve">et </w:t>
      </w:r>
      <w:r w:rsidRPr="00E85FF9">
        <w:rPr>
          <w:i/>
        </w:rPr>
        <w:t>al</w:t>
      </w:r>
      <w:r>
        <w:t xml:space="preserve">., </w:t>
      </w:r>
      <w:r w:rsidRPr="00EE1C81">
        <w:t>Opinion</w:t>
      </w:r>
      <w:r>
        <w:t xml:space="preserve"> and Order at 15 (Apr. 2, 2015) (“</w:t>
      </w:r>
      <w:r>
        <w:rPr>
          <w:i/>
        </w:rPr>
        <w:t>ESP III Case</w:t>
      </w:r>
      <w:r>
        <w:t>” or “ESP III Order,” as applicable).</w:t>
      </w:r>
    </w:p>
  </w:footnote>
  <w:footnote w:id="2">
    <w:p w14:paraId="4C367DDC" w14:textId="38D85B32" w:rsidR="00563CEB" w:rsidRPr="00C904FA" w:rsidRDefault="00563CEB" w:rsidP="00EB2B03">
      <w:pPr>
        <w:pStyle w:val="FootnoteText"/>
        <w:spacing w:after="120"/>
        <w:rPr>
          <w:i/>
        </w:rPr>
      </w:pPr>
      <w:r>
        <w:rPr>
          <w:rStyle w:val="FootnoteReference"/>
        </w:rPr>
        <w:footnoteRef/>
      </w:r>
      <w:r>
        <w:t xml:space="preserve"> </w:t>
      </w:r>
      <w:r>
        <w:rPr>
          <w:i/>
        </w:rPr>
        <w:t>Id.</w:t>
      </w:r>
    </w:p>
  </w:footnote>
  <w:footnote w:id="3">
    <w:p w14:paraId="642CEDC6" w14:textId="48963550" w:rsidR="00563CEB" w:rsidRPr="00C904FA" w:rsidRDefault="00563CEB" w:rsidP="00EB2B03">
      <w:pPr>
        <w:pStyle w:val="FootnoteText"/>
        <w:spacing w:after="120"/>
        <w:rPr>
          <w:i/>
        </w:rPr>
      </w:pPr>
      <w:r>
        <w:rPr>
          <w:rStyle w:val="FootnoteReference"/>
        </w:rPr>
        <w:footnoteRef/>
      </w:r>
      <w:r>
        <w:t xml:space="preserve"> </w:t>
      </w:r>
      <w:r>
        <w:rPr>
          <w:i/>
        </w:rPr>
        <w:t>Id.</w:t>
      </w:r>
    </w:p>
  </w:footnote>
  <w:footnote w:id="4">
    <w:p w14:paraId="111DE9B0" w14:textId="3A7E14FC" w:rsidR="00563CEB" w:rsidRPr="0085781D" w:rsidRDefault="00563CEB" w:rsidP="00277960">
      <w:pPr>
        <w:pStyle w:val="FootnoteText"/>
        <w:spacing w:after="120"/>
      </w:pPr>
      <w:r>
        <w:rPr>
          <w:rStyle w:val="FootnoteReference"/>
        </w:rPr>
        <w:footnoteRef/>
      </w:r>
      <w:r>
        <w:t xml:space="preserve"> </w:t>
      </w:r>
      <w:r>
        <w:rPr>
          <w:i/>
        </w:rPr>
        <w:t>Id.</w:t>
      </w:r>
      <w:r>
        <w:t xml:space="preserve"> at 45.</w:t>
      </w:r>
    </w:p>
  </w:footnote>
  <w:footnote w:id="5">
    <w:p w14:paraId="5049E85E" w14:textId="79173CE1" w:rsidR="00563CEB" w:rsidRPr="00277960" w:rsidRDefault="00563CEB" w:rsidP="00563CEB">
      <w:pPr>
        <w:pStyle w:val="FootnoteText"/>
        <w:spacing w:after="120"/>
      </w:pPr>
      <w:r>
        <w:rPr>
          <w:rStyle w:val="FootnoteReference"/>
        </w:rPr>
        <w:footnoteRef/>
      </w:r>
      <w:r>
        <w:t xml:space="preserve"> </w:t>
      </w:r>
      <w:r>
        <w:rPr>
          <w:i/>
        </w:rPr>
        <w:t>Id.</w:t>
      </w:r>
      <w:r>
        <w:t xml:space="preserve"> at 45-48.</w:t>
      </w:r>
    </w:p>
  </w:footnote>
  <w:footnote w:id="6">
    <w:p w14:paraId="6C5DB258" w14:textId="1D9CF16E" w:rsidR="00563CEB" w:rsidRPr="0085781D" w:rsidRDefault="00563CEB" w:rsidP="00277960">
      <w:pPr>
        <w:pStyle w:val="FootnoteText"/>
        <w:spacing w:after="120"/>
      </w:pPr>
      <w:r>
        <w:rPr>
          <w:rStyle w:val="FootnoteReference"/>
        </w:rPr>
        <w:footnoteRef/>
      </w:r>
      <w:r>
        <w:t xml:space="preserve"> </w:t>
      </w:r>
      <w:r>
        <w:rPr>
          <w:i/>
        </w:rPr>
        <w:t>Id.</w:t>
      </w:r>
      <w:r>
        <w:t xml:space="preserve"> </w:t>
      </w:r>
    </w:p>
  </w:footnote>
  <w:footnote w:id="7">
    <w:p w14:paraId="37040087" w14:textId="77777777" w:rsidR="00563CEB" w:rsidRDefault="00563CEB" w:rsidP="00EB2B03">
      <w:pPr>
        <w:pStyle w:val="FootnoteText"/>
        <w:spacing w:after="120"/>
      </w:pPr>
      <w:r>
        <w:rPr>
          <w:rStyle w:val="FootnoteReference"/>
        </w:rPr>
        <w:footnoteRef/>
      </w:r>
      <w:r>
        <w:t xml:space="preserve"> Civ.R. 12(B)(6).</w:t>
      </w:r>
    </w:p>
  </w:footnote>
  <w:footnote w:id="8">
    <w:p w14:paraId="2F950FF0" w14:textId="77777777" w:rsidR="00563CEB" w:rsidRDefault="00563CEB" w:rsidP="00254B9A">
      <w:pPr>
        <w:pStyle w:val="FootnoteText"/>
        <w:spacing w:after="120"/>
      </w:pPr>
      <w:r>
        <w:rPr>
          <w:rStyle w:val="FootnoteReference"/>
        </w:rPr>
        <w:footnoteRef/>
      </w:r>
      <w:r>
        <w:t xml:space="preserve"> </w:t>
      </w:r>
      <w:r>
        <w:rPr>
          <w:i/>
        </w:rPr>
        <w:t>City of Cincinnati v. Beretta U.S.A. Corp.</w:t>
      </w:r>
      <w:r>
        <w:t>, 95 Ohio St.3d 416, 2002-Ohio-2480, ¶ 5.</w:t>
      </w:r>
    </w:p>
  </w:footnote>
  <w:footnote w:id="9">
    <w:p w14:paraId="04913C50" w14:textId="77777777" w:rsidR="00563CEB" w:rsidRDefault="00563CEB" w:rsidP="000C6562">
      <w:pPr>
        <w:pStyle w:val="FootnoteText"/>
        <w:spacing w:after="120"/>
      </w:pPr>
      <w:r>
        <w:rPr>
          <w:rStyle w:val="FootnoteReference"/>
        </w:rPr>
        <w:footnoteRef/>
      </w:r>
      <w:r>
        <w:t xml:space="preserve"> </w:t>
      </w:r>
      <w:r>
        <w:rPr>
          <w:i/>
        </w:rPr>
        <w:t>Id.</w:t>
      </w:r>
      <w:r>
        <w:t xml:space="preserve"> (</w:t>
      </w:r>
      <w:r>
        <w:rPr>
          <w:i/>
        </w:rPr>
        <w:t>citing</w:t>
      </w:r>
      <w:r>
        <w:t xml:space="preserve"> </w:t>
      </w:r>
      <w:r>
        <w:rPr>
          <w:i/>
        </w:rPr>
        <w:t>O'Brien v. Univ. Community Tenants Union, Inc.</w:t>
      </w:r>
      <w:r>
        <w:t>, 42 Ohio St.2d 242, syllabus (1975)).</w:t>
      </w:r>
    </w:p>
  </w:footnote>
  <w:footnote w:id="10">
    <w:p w14:paraId="52C37F89" w14:textId="77777777" w:rsidR="00563CEB" w:rsidRDefault="00563CEB" w:rsidP="000C6562">
      <w:pPr>
        <w:pStyle w:val="FootnoteText"/>
        <w:spacing w:after="120"/>
      </w:pPr>
      <w:r>
        <w:rPr>
          <w:rStyle w:val="FootnoteReference"/>
        </w:rPr>
        <w:footnoteRef/>
      </w:r>
      <w:r>
        <w:t xml:space="preserve"> </w:t>
      </w:r>
      <w:r>
        <w:rPr>
          <w:i/>
        </w:rPr>
        <w:t>Id.</w:t>
      </w:r>
      <w:r>
        <w:t xml:space="preserve"> (</w:t>
      </w:r>
      <w:r>
        <w:rPr>
          <w:i/>
        </w:rPr>
        <w:t>quoting</w:t>
      </w:r>
      <w:r>
        <w:t xml:space="preserve"> </w:t>
      </w:r>
      <w:r>
        <w:rPr>
          <w:i/>
        </w:rPr>
        <w:t>Mitchell v. Lawson Milk Co</w:t>
      </w:r>
      <w:r>
        <w:t>., 40 Ohio St.3d 190, 192 (1988)).</w:t>
      </w:r>
    </w:p>
  </w:footnote>
  <w:footnote w:id="11">
    <w:p w14:paraId="310086A2" w14:textId="77777777" w:rsidR="00563CEB" w:rsidRDefault="00563CEB" w:rsidP="000C6562">
      <w:pPr>
        <w:pStyle w:val="FootnoteText"/>
        <w:spacing w:after="120"/>
      </w:pPr>
      <w:r>
        <w:rPr>
          <w:rStyle w:val="FootnoteReference"/>
        </w:rPr>
        <w:footnoteRef/>
      </w:r>
      <w:r>
        <w:t xml:space="preserve"> </w:t>
      </w:r>
      <w:r>
        <w:rPr>
          <w:i/>
        </w:rPr>
        <w:t>In the Matter of the Application of Duke Energy Ohio, Inc., for the Establishment of a Charge Pursuant to Section 4909.18, Revised Code</w:t>
      </w:r>
      <w:r>
        <w:t xml:space="preserve">, Case Nos. 12-2400-EL-UNC, </w:t>
      </w:r>
      <w:r>
        <w:rPr>
          <w:i/>
        </w:rPr>
        <w:t>et al.,</w:t>
      </w:r>
      <w:r>
        <w:t xml:space="preserve"> Opinion and Order, Concurring Opinion of Commissioner Lynn </w:t>
      </w:r>
      <w:proofErr w:type="spellStart"/>
      <w:r>
        <w:t>Slaby</w:t>
      </w:r>
      <w:proofErr w:type="spellEnd"/>
      <w:r>
        <w:t xml:space="preserve"> (Feb. 13, 2014).</w:t>
      </w:r>
    </w:p>
  </w:footnote>
  <w:footnote w:id="12">
    <w:p w14:paraId="4EF50268" w14:textId="3363FC8A" w:rsidR="00563CEB" w:rsidRDefault="00563CEB" w:rsidP="000C6562">
      <w:pPr>
        <w:pStyle w:val="FootnoteText"/>
        <w:spacing w:after="120"/>
      </w:pPr>
      <w:r>
        <w:rPr>
          <w:rStyle w:val="FootnoteReference"/>
        </w:rPr>
        <w:footnoteRef/>
      </w:r>
      <w:r>
        <w:t xml:space="preserve"> Rule 4901:1-35-03(C)(1), O.A.C.</w:t>
      </w:r>
    </w:p>
  </w:footnote>
  <w:footnote w:id="13">
    <w:p w14:paraId="1ADA9E50" w14:textId="0A7F03B1" w:rsidR="00563CEB" w:rsidRPr="005C37D5" w:rsidRDefault="00563CEB" w:rsidP="000C6562">
      <w:pPr>
        <w:pStyle w:val="FootnoteText"/>
        <w:spacing w:after="120"/>
      </w:pPr>
      <w:r>
        <w:rPr>
          <w:rStyle w:val="FootnoteReference"/>
        </w:rPr>
        <w:footnoteRef/>
      </w:r>
      <w:r>
        <w:t xml:space="preserve"> </w:t>
      </w:r>
      <w:r w:rsidRPr="00F43465">
        <w:rPr>
          <w:i/>
        </w:rPr>
        <w:t>In the Matter of the Application of Ohio Power Company for Authority to Establish a Standard Service Offer Pursuant to R.C. 4928.143, in the Form of an Electric Security Plan</w:t>
      </w:r>
      <w:r w:rsidRPr="00F43465">
        <w:t xml:space="preserve">, Case Nos. 13-2385-EL-SSO, </w:t>
      </w:r>
      <w:r w:rsidRPr="00F43465">
        <w:rPr>
          <w:i/>
        </w:rPr>
        <w:t>et al.</w:t>
      </w:r>
      <w:r w:rsidRPr="00F43465">
        <w:t xml:space="preserve">, Opinion and Order at </w:t>
      </w:r>
      <w:r>
        <w:t>59-</w:t>
      </w:r>
      <w:r w:rsidRPr="00F43465">
        <w:t>62 (Feb. 25, 2015) (“</w:t>
      </w:r>
      <w:r w:rsidRPr="00F43465">
        <w:rPr>
          <w:i/>
        </w:rPr>
        <w:t>AEP-Ohio ESP III Case</w:t>
      </w:r>
      <w:r w:rsidRPr="00F43465">
        <w:t>”)</w:t>
      </w:r>
      <w:r>
        <w:t>.</w:t>
      </w:r>
    </w:p>
  </w:footnote>
  <w:footnote w:id="14">
    <w:p w14:paraId="42ABE85A" w14:textId="55CD85CB" w:rsidR="00563CEB" w:rsidRDefault="00563CEB" w:rsidP="000C6562">
      <w:pPr>
        <w:pStyle w:val="FootnoteText"/>
        <w:spacing w:after="120"/>
      </w:pPr>
      <w:r>
        <w:rPr>
          <w:rStyle w:val="FootnoteReference"/>
        </w:rPr>
        <w:footnoteRef/>
      </w:r>
      <w:r>
        <w:t xml:space="preserve"> </w:t>
      </w:r>
      <w:r>
        <w:rPr>
          <w:i/>
        </w:rPr>
        <w:t>Id</w:t>
      </w:r>
      <w:r w:rsidRPr="00B641A6">
        <w:rPr>
          <w:i/>
        </w:rPr>
        <w:t>. at 59-62</w:t>
      </w:r>
      <w:r w:rsidRPr="00B641A6">
        <w:t>;</w:t>
      </w:r>
      <w:r>
        <w:t xml:space="preserve"> </w:t>
      </w:r>
      <w:r w:rsidRPr="00756CA5">
        <w:rPr>
          <w:i/>
        </w:rPr>
        <w:t>AEP-Ohio ESP III Case</w:t>
      </w:r>
      <w:r w:rsidRPr="00756CA5">
        <w:t>, Appli</w:t>
      </w:r>
      <w:r>
        <w:t xml:space="preserve">cation at 11-12 (Dec. 20, 2013); </w:t>
      </w:r>
      <w:r w:rsidRPr="001919D4">
        <w:rPr>
          <w:i/>
        </w:rPr>
        <w:t>AEP-Ohio ESP III Case</w:t>
      </w:r>
      <w:r w:rsidRPr="001919D4">
        <w:t>, Direct Testimony of Pablo Vegas at 13-18 (Dec. 20, 2013).</w:t>
      </w:r>
    </w:p>
  </w:footnote>
  <w:footnote w:id="15">
    <w:p w14:paraId="66191427" w14:textId="2CBEE903" w:rsidR="00563CEB" w:rsidRPr="00C904FA" w:rsidRDefault="00563CEB" w:rsidP="000C6562">
      <w:pPr>
        <w:pStyle w:val="FootnoteText"/>
        <w:spacing w:after="120"/>
        <w:rPr>
          <w:i/>
        </w:rPr>
      </w:pPr>
      <w:r>
        <w:rPr>
          <w:rStyle w:val="FootnoteReference"/>
        </w:rPr>
        <w:footnoteRef/>
      </w:r>
      <w:r>
        <w:t xml:space="preserve"> </w:t>
      </w:r>
      <w:r>
        <w:rPr>
          <w:i/>
        </w:rPr>
        <w:t>Id.</w:t>
      </w:r>
    </w:p>
  </w:footnote>
  <w:footnote w:id="16">
    <w:p w14:paraId="52E96CA0" w14:textId="58A6C451" w:rsidR="00563CEB" w:rsidRPr="00C904FA" w:rsidRDefault="00563CEB" w:rsidP="000C6562">
      <w:pPr>
        <w:pStyle w:val="FootnoteText"/>
        <w:spacing w:after="120"/>
        <w:rPr>
          <w:i/>
        </w:rPr>
      </w:pPr>
      <w:r>
        <w:rPr>
          <w:rStyle w:val="FootnoteReference"/>
        </w:rPr>
        <w:footnoteRef/>
      </w:r>
      <w:r>
        <w:t xml:space="preserve"> </w:t>
      </w:r>
      <w:r>
        <w:rPr>
          <w:i/>
        </w:rPr>
        <w:t>Id.</w:t>
      </w:r>
    </w:p>
  </w:footnote>
  <w:footnote w:id="17">
    <w:p w14:paraId="1FD27E91" w14:textId="20158BD7" w:rsidR="00563CEB" w:rsidRPr="00C904FA" w:rsidRDefault="00563CEB" w:rsidP="000C6562">
      <w:pPr>
        <w:pStyle w:val="FootnoteText"/>
        <w:spacing w:after="120"/>
        <w:rPr>
          <w:i/>
        </w:rPr>
      </w:pPr>
      <w:r>
        <w:rPr>
          <w:rStyle w:val="FootnoteReference"/>
        </w:rPr>
        <w:footnoteRef/>
      </w:r>
      <w:r>
        <w:t xml:space="preserve"> </w:t>
      </w:r>
      <w:r>
        <w:rPr>
          <w:i/>
        </w:rPr>
        <w:t>Id.</w:t>
      </w:r>
    </w:p>
  </w:footnote>
  <w:footnote w:id="18">
    <w:p w14:paraId="7D0A57E6" w14:textId="71C3DEA3" w:rsidR="00563CEB" w:rsidRDefault="00563CEB" w:rsidP="000C6562">
      <w:pPr>
        <w:pStyle w:val="FootnoteText"/>
        <w:spacing w:after="120"/>
      </w:pPr>
      <w:r>
        <w:rPr>
          <w:rStyle w:val="FootnoteReference"/>
        </w:rPr>
        <w:footnoteRef/>
      </w:r>
      <w:r>
        <w:t xml:space="preserve"> Application at 10 (June 1, 2017).</w:t>
      </w:r>
    </w:p>
  </w:footnote>
  <w:footnote w:id="19">
    <w:p w14:paraId="10DAFFA7" w14:textId="12887D9F" w:rsidR="00563CEB" w:rsidRPr="00B641A6" w:rsidRDefault="00563CEB" w:rsidP="000C6562">
      <w:pPr>
        <w:pStyle w:val="FootnoteText"/>
        <w:spacing w:after="120"/>
        <w:rPr>
          <w:i/>
        </w:rPr>
      </w:pPr>
      <w:r w:rsidRPr="00B641A6">
        <w:rPr>
          <w:rStyle w:val="FootnoteReference"/>
        </w:rPr>
        <w:footnoteRef/>
      </w:r>
      <w:r w:rsidRPr="00B641A6">
        <w:t xml:space="preserve"> </w:t>
      </w:r>
      <w:r w:rsidRPr="00B641A6">
        <w:rPr>
          <w:i/>
        </w:rPr>
        <w:t>Id.</w:t>
      </w:r>
    </w:p>
  </w:footnote>
  <w:footnote w:id="20">
    <w:p w14:paraId="3C8E6F21" w14:textId="790D38B1" w:rsidR="00563CEB" w:rsidRPr="00137A10" w:rsidRDefault="00563CEB" w:rsidP="00D66D62">
      <w:pPr>
        <w:pStyle w:val="FootnoteText"/>
        <w:spacing w:after="120"/>
        <w:rPr>
          <w:i/>
        </w:rPr>
      </w:pPr>
      <w:r w:rsidRPr="00B641A6">
        <w:rPr>
          <w:rStyle w:val="FootnoteReference"/>
        </w:rPr>
        <w:footnoteRef/>
      </w:r>
      <w:r w:rsidRPr="00B641A6">
        <w:t xml:space="preserve"> </w:t>
      </w:r>
      <w:r w:rsidRPr="00B641A6">
        <w:rPr>
          <w:i/>
        </w:rPr>
        <w:t xml:space="preserve">Id. </w:t>
      </w:r>
    </w:p>
  </w:footnote>
  <w:footnote w:id="21">
    <w:p w14:paraId="3F4A0713" w14:textId="67281328" w:rsidR="00563CEB" w:rsidRDefault="00563CEB" w:rsidP="00D66D62">
      <w:pPr>
        <w:pStyle w:val="FootnoteText"/>
        <w:spacing w:after="120"/>
      </w:pPr>
      <w:r>
        <w:rPr>
          <w:rStyle w:val="FootnoteReference"/>
        </w:rPr>
        <w:footnoteRef/>
      </w:r>
      <w:r>
        <w:t xml:space="preserve"> Direct Testimony of William Don Wathen Jr. at 30 (June 1, 2017).</w:t>
      </w:r>
    </w:p>
  </w:footnote>
  <w:footnote w:id="22">
    <w:p w14:paraId="15FE45B0" w14:textId="77777777" w:rsidR="00563CEB" w:rsidRPr="00082790" w:rsidRDefault="00563CEB" w:rsidP="00D66D62">
      <w:pPr>
        <w:pStyle w:val="FootnoteText"/>
        <w:spacing w:after="120"/>
        <w:rPr>
          <w:i/>
        </w:rPr>
      </w:pPr>
      <w:r>
        <w:rPr>
          <w:rStyle w:val="FootnoteReference"/>
        </w:rPr>
        <w:footnoteRef/>
      </w:r>
      <w:r>
        <w:t xml:space="preserve"> </w:t>
      </w:r>
      <w:r>
        <w:rPr>
          <w:i/>
        </w:rPr>
        <w:t>Id.</w:t>
      </w:r>
    </w:p>
  </w:footnote>
  <w:footnote w:id="23">
    <w:p w14:paraId="56C425FC" w14:textId="77777777" w:rsidR="00563CEB" w:rsidRDefault="00563CEB" w:rsidP="00D66D62">
      <w:pPr>
        <w:pStyle w:val="FootnoteText"/>
        <w:spacing w:after="120"/>
      </w:pPr>
      <w:r>
        <w:rPr>
          <w:rStyle w:val="FootnoteReference"/>
        </w:rPr>
        <w:footnoteRef/>
      </w:r>
      <w:r>
        <w:t xml:space="preserve"> R.C. 4928.143(C)(1) (burden of proof in an ESP proceeding is on the EDU).</w:t>
      </w:r>
    </w:p>
  </w:footnote>
  <w:footnote w:id="24">
    <w:p w14:paraId="568D0F7C" w14:textId="2D4954F4" w:rsidR="00563CEB" w:rsidRDefault="00563CEB" w:rsidP="00D66D62">
      <w:pPr>
        <w:pStyle w:val="FootnoteText"/>
        <w:spacing w:after="120"/>
      </w:pPr>
      <w:r>
        <w:rPr>
          <w:rStyle w:val="FootnoteReference"/>
        </w:rPr>
        <w:footnoteRef/>
      </w:r>
      <w:r>
        <w:t xml:space="preserve"> Application at 17-18, n. 23 (June 1, 2017).</w:t>
      </w:r>
    </w:p>
  </w:footnote>
  <w:footnote w:id="25">
    <w:p w14:paraId="7C97F4EA" w14:textId="77777777" w:rsidR="00563CEB" w:rsidRPr="009F7D57" w:rsidRDefault="00563CEB" w:rsidP="00D66D62">
      <w:pPr>
        <w:pStyle w:val="FootnoteText"/>
        <w:spacing w:after="120"/>
        <w:rPr>
          <w:i/>
        </w:rPr>
      </w:pPr>
      <w:r>
        <w:rPr>
          <w:rStyle w:val="FootnoteReference"/>
        </w:rPr>
        <w:footnoteRef/>
      </w:r>
      <w:r>
        <w:t xml:space="preserve"> </w:t>
      </w:r>
      <w:r w:rsidRPr="00627C58">
        <w:rPr>
          <w:i/>
        </w:rPr>
        <w:t>ESP III Case</w:t>
      </w:r>
      <w:r>
        <w:t>, Opinion and Order at 44 (Apr. 2, 2015).</w:t>
      </w:r>
    </w:p>
  </w:footnote>
  <w:footnote w:id="26">
    <w:p w14:paraId="6C9BB249" w14:textId="7144668B" w:rsidR="00563CEB" w:rsidRPr="00F94138" w:rsidRDefault="00563CEB" w:rsidP="00D66D62">
      <w:pPr>
        <w:pStyle w:val="FootnoteText"/>
        <w:spacing w:after="120"/>
      </w:pPr>
      <w:r w:rsidRPr="00C7311C">
        <w:rPr>
          <w:rStyle w:val="FootnoteReference"/>
        </w:rPr>
        <w:footnoteRef/>
      </w:r>
      <w:r w:rsidRPr="00C7311C">
        <w:t xml:space="preserve"> </w:t>
      </w:r>
      <w:r w:rsidRPr="00627C58">
        <w:rPr>
          <w:i/>
        </w:rPr>
        <w:t xml:space="preserve">In the Matter of the Application of Columbus Southern Power Company and Ohio Power Company for Authority to Establish a Standard Service Offer Pursuant to Section </w:t>
      </w:r>
      <w:r>
        <w:rPr>
          <w:i/>
        </w:rPr>
        <w:t>4928.143, Revised Code, in the F</w:t>
      </w:r>
      <w:r w:rsidRPr="00627C58">
        <w:rPr>
          <w:i/>
        </w:rPr>
        <w:t>orm of an Electric Security Plan</w:t>
      </w:r>
      <w:r w:rsidRPr="00627C58">
        <w:t>,</w:t>
      </w:r>
      <w:r w:rsidRPr="00627C58">
        <w:rPr>
          <w:i/>
        </w:rPr>
        <w:t xml:space="preserve"> </w:t>
      </w:r>
      <w:r w:rsidRPr="00627C58">
        <w:t xml:space="preserve">Case Nos. 11-346-EL-SSO, </w:t>
      </w:r>
      <w:r w:rsidRPr="00627C58">
        <w:rPr>
          <w:i/>
        </w:rPr>
        <w:t>et al.</w:t>
      </w:r>
      <w:r w:rsidRPr="00627C58">
        <w:t xml:space="preserve">, </w:t>
      </w:r>
      <w:r w:rsidRPr="00C7311C">
        <w:t>Opinion and Order at 32, 37 (Aug. 8, 2012) (“</w:t>
      </w:r>
      <w:r w:rsidRPr="00627C58">
        <w:rPr>
          <w:i/>
        </w:rPr>
        <w:t>AEP</w:t>
      </w:r>
      <w:r w:rsidRPr="00C7311C">
        <w:rPr>
          <w:i/>
        </w:rPr>
        <w:t>-Ohio ESP II Case</w:t>
      </w:r>
      <w:r w:rsidRPr="00C7311C">
        <w:t xml:space="preserve">”); </w:t>
      </w:r>
      <w:r>
        <w:rPr>
          <w:i/>
        </w:rPr>
        <w:t xml:space="preserve">In the Matter of the Application of The Dayton Power and Light Company for Approval of Its Electric Security </w:t>
      </w:r>
      <w:r w:rsidRPr="00C7311C">
        <w:rPr>
          <w:i/>
        </w:rPr>
        <w:t>Plan</w:t>
      </w:r>
      <w:r>
        <w:t xml:space="preserve">, Case Nos. 12-426-EL-SSO, </w:t>
      </w:r>
      <w:r>
        <w:rPr>
          <w:i/>
        </w:rPr>
        <w:t>et al.</w:t>
      </w:r>
      <w:r>
        <w:t>, Opinion and Order at 21-22 (Sep. 4, 2013)</w:t>
      </w:r>
      <w:r>
        <w:rPr>
          <w:i/>
        </w:rPr>
        <w:t xml:space="preserve"> (“</w:t>
      </w:r>
      <w:r w:rsidRPr="00C7311C">
        <w:rPr>
          <w:i/>
        </w:rPr>
        <w:t>DP&amp;L ESP II Case</w:t>
      </w:r>
      <w:r>
        <w:t xml:space="preserve">”). </w:t>
      </w:r>
    </w:p>
  </w:footnote>
  <w:footnote w:id="27">
    <w:p w14:paraId="1DC0135B" w14:textId="23731663" w:rsidR="00563CEB" w:rsidRDefault="00563CEB" w:rsidP="00D66D62">
      <w:pPr>
        <w:pStyle w:val="FootnoteText"/>
        <w:spacing w:after="120"/>
      </w:pPr>
      <w:r>
        <w:rPr>
          <w:rStyle w:val="FootnoteReference"/>
        </w:rPr>
        <w:footnoteRef/>
      </w:r>
      <w:r>
        <w:t xml:space="preserve"> R.C. 4928.31(A)(5).</w:t>
      </w:r>
    </w:p>
  </w:footnote>
  <w:footnote w:id="28">
    <w:p w14:paraId="3248C65B" w14:textId="1C43AD64" w:rsidR="00563CEB" w:rsidRDefault="00563CEB" w:rsidP="00180BAC">
      <w:pPr>
        <w:pStyle w:val="FootnoteText"/>
        <w:spacing w:after="120"/>
      </w:pPr>
      <w:r>
        <w:rPr>
          <w:rStyle w:val="FootnoteReference"/>
        </w:rPr>
        <w:footnoteRef/>
      </w:r>
      <w:r>
        <w:t xml:space="preserve"> R.C. 49298.39</w:t>
      </w:r>
    </w:p>
  </w:footnote>
  <w:footnote w:id="29">
    <w:p w14:paraId="2C138F56" w14:textId="77777777" w:rsidR="00563CEB" w:rsidRPr="00E21563" w:rsidRDefault="00563CEB" w:rsidP="00180BAC">
      <w:pPr>
        <w:pStyle w:val="FootnoteText"/>
        <w:spacing w:after="120"/>
        <w:rPr>
          <w:i/>
        </w:rPr>
      </w:pPr>
      <w:r>
        <w:rPr>
          <w:rStyle w:val="FootnoteReference"/>
        </w:rPr>
        <w:footnoteRef/>
      </w:r>
      <w:r>
        <w:t xml:space="preserve"> </w:t>
      </w:r>
      <w:r>
        <w:rPr>
          <w:i/>
        </w:rPr>
        <w:t>In re Application of Columbus S. Power Co.</w:t>
      </w:r>
      <w:r>
        <w:t xml:space="preserve">, 147 Ohio St.3d 439, 2016-Ohio-1608, </w:t>
      </w:r>
      <w:r>
        <w:rPr>
          <w:rFonts w:eastAsia="Times New Roman"/>
          <w:bCs/>
          <w:color w:val="000000"/>
        </w:rPr>
        <w:t xml:space="preserve">¶ 16.  </w:t>
      </w:r>
    </w:p>
  </w:footnote>
  <w:footnote w:id="30">
    <w:p w14:paraId="056E909D" w14:textId="77777777" w:rsidR="00563CEB" w:rsidRDefault="00563CEB" w:rsidP="00180BAC">
      <w:pPr>
        <w:pStyle w:val="FootnoteText"/>
        <w:spacing w:after="120"/>
      </w:pPr>
      <w:r>
        <w:rPr>
          <w:rStyle w:val="FootnoteReference"/>
        </w:rPr>
        <w:footnoteRef/>
      </w:r>
      <w:r>
        <w:t xml:space="preserve"> </w:t>
      </w:r>
      <w:r>
        <w:rPr>
          <w:rFonts w:eastAsia="Times New Roman"/>
          <w:bCs/>
          <w:i/>
          <w:color w:val="000000"/>
        </w:rPr>
        <w:t>Id.</w:t>
      </w:r>
    </w:p>
  </w:footnote>
  <w:footnote w:id="31">
    <w:p w14:paraId="7DAE9D9D" w14:textId="77777777" w:rsidR="00563CEB" w:rsidRDefault="00563CEB" w:rsidP="00180BAC">
      <w:pPr>
        <w:pStyle w:val="FootnoteText"/>
        <w:spacing w:after="120"/>
      </w:pPr>
      <w:r>
        <w:rPr>
          <w:rStyle w:val="FootnoteReference"/>
        </w:rPr>
        <w:footnoteRef/>
      </w:r>
      <w:r>
        <w:t xml:space="preserve"> </w:t>
      </w:r>
      <w:r>
        <w:rPr>
          <w:rFonts w:eastAsia="Times New Roman"/>
          <w:bCs/>
          <w:i/>
          <w:color w:val="000000"/>
        </w:rPr>
        <w:t>Id.</w:t>
      </w:r>
      <w:r>
        <w:rPr>
          <w:rFonts w:eastAsia="Times New Roman"/>
          <w:bCs/>
          <w:color w:val="000000"/>
        </w:rPr>
        <w:t xml:space="preserve"> at ¶ 17.</w:t>
      </w:r>
    </w:p>
  </w:footnote>
  <w:footnote w:id="32">
    <w:p w14:paraId="2EE19449" w14:textId="77777777" w:rsidR="00563CEB" w:rsidRPr="00E21563" w:rsidRDefault="00563CEB" w:rsidP="00180BAC">
      <w:pPr>
        <w:pStyle w:val="FootnoteText"/>
        <w:spacing w:after="120"/>
      </w:pPr>
      <w:r>
        <w:rPr>
          <w:rStyle w:val="FootnoteReference"/>
        </w:rPr>
        <w:footnoteRef/>
      </w:r>
      <w:r>
        <w:t xml:space="preserve"> </w:t>
      </w:r>
      <w:r>
        <w:rPr>
          <w:i/>
        </w:rPr>
        <w:t xml:space="preserve">Id. </w:t>
      </w:r>
      <w:r>
        <w:t xml:space="preserve">at </w:t>
      </w:r>
      <w:r>
        <w:rPr>
          <w:rFonts w:cs="Arial"/>
        </w:rPr>
        <w:t>¶</w:t>
      </w:r>
      <w:r>
        <w:t xml:space="preserve"> 23.</w:t>
      </w:r>
    </w:p>
  </w:footnote>
  <w:footnote w:id="33">
    <w:p w14:paraId="1F027EED" w14:textId="77777777" w:rsidR="00563CEB" w:rsidRDefault="00563CEB" w:rsidP="00180BAC">
      <w:pPr>
        <w:pStyle w:val="FootnoteText"/>
        <w:spacing w:after="120"/>
      </w:pPr>
      <w:r>
        <w:rPr>
          <w:rStyle w:val="FootnoteReference"/>
        </w:rPr>
        <w:footnoteRef/>
      </w:r>
      <w:r>
        <w:t xml:space="preserve"> </w:t>
      </w:r>
      <w:r>
        <w:rPr>
          <w:rFonts w:eastAsia="Times New Roman"/>
          <w:bCs/>
          <w:i/>
          <w:color w:val="000000"/>
        </w:rPr>
        <w:t>Id.</w:t>
      </w:r>
      <w:r>
        <w:rPr>
          <w:rFonts w:eastAsia="Times New Roman"/>
          <w:bCs/>
          <w:color w:val="000000"/>
        </w:rPr>
        <w:t xml:space="preserve"> at ¶ 23-24.  </w:t>
      </w:r>
    </w:p>
  </w:footnote>
  <w:footnote w:id="34">
    <w:p w14:paraId="3DCC0BBC" w14:textId="77777777" w:rsidR="00563CEB" w:rsidRDefault="00563CEB" w:rsidP="005903D2">
      <w:pPr>
        <w:pStyle w:val="FootnoteText"/>
        <w:spacing w:after="120"/>
      </w:pPr>
      <w:r>
        <w:rPr>
          <w:rStyle w:val="FootnoteReference"/>
        </w:rPr>
        <w:footnoteRef/>
      </w:r>
      <w:r>
        <w:t xml:space="preserve"> </w:t>
      </w:r>
      <w:r>
        <w:rPr>
          <w:rFonts w:eastAsia="Times New Roman"/>
          <w:bCs/>
          <w:i/>
          <w:color w:val="000000"/>
        </w:rPr>
        <w:t>Id.</w:t>
      </w:r>
      <w:r>
        <w:rPr>
          <w:rFonts w:eastAsia="Times New Roman"/>
          <w:bCs/>
          <w:color w:val="000000"/>
        </w:rPr>
        <w:t xml:space="preserve"> at ¶ 23.  </w:t>
      </w:r>
    </w:p>
  </w:footnote>
  <w:footnote w:id="35">
    <w:p w14:paraId="57EB09A1" w14:textId="77777777" w:rsidR="00563CEB" w:rsidRDefault="00563CEB" w:rsidP="00F634BD">
      <w:pPr>
        <w:pStyle w:val="FootnoteText"/>
        <w:spacing w:after="120"/>
      </w:pPr>
      <w:r>
        <w:rPr>
          <w:rStyle w:val="FootnoteReference"/>
        </w:rPr>
        <w:footnoteRef/>
      </w:r>
      <w:r>
        <w:t xml:space="preserve"> </w:t>
      </w:r>
      <w:r>
        <w:rPr>
          <w:rFonts w:eastAsia="Times New Roman"/>
          <w:bCs/>
          <w:i/>
          <w:color w:val="000000"/>
        </w:rPr>
        <w:t>Id.</w:t>
      </w:r>
      <w:r>
        <w:rPr>
          <w:rFonts w:eastAsia="Times New Roman"/>
          <w:bCs/>
          <w:color w:val="000000"/>
        </w:rPr>
        <w:t xml:space="preserve"> at ¶ 8.</w:t>
      </w:r>
    </w:p>
  </w:footnote>
  <w:footnote w:id="36">
    <w:p w14:paraId="6EDD59A0" w14:textId="77777777" w:rsidR="00563CEB" w:rsidRDefault="00563CEB" w:rsidP="00F634BD">
      <w:pPr>
        <w:pStyle w:val="FootnoteText"/>
        <w:spacing w:after="120"/>
      </w:pPr>
      <w:r>
        <w:rPr>
          <w:rStyle w:val="FootnoteReference"/>
        </w:rPr>
        <w:footnoteRef/>
      </w:r>
      <w:r>
        <w:t xml:space="preserve"> </w:t>
      </w:r>
      <w:r>
        <w:rPr>
          <w:rFonts w:eastAsia="Times New Roman"/>
          <w:bCs/>
          <w:i/>
          <w:color w:val="000000"/>
        </w:rPr>
        <w:t>Id.</w:t>
      </w:r>
      <w:r>
        <w:rPr>
          <w:rFonts w:eastAsia="Times New Roman"/>
          <w:bCs/>
          <w:color w:val="000000"/>
        </w:rPr>
        <w:t xml:space="preserve"> at ¶ 22.  </w:t>
      </w:r>
    </w:p>
  </w:footnote>
  <w:footnote w:id="37">
    <w:p w14:paraId="6E7EFC38" w14:textId="69A09DD7" w:rsidR="00563CEB" w:rsidRDefault="00563CEB" w:rsidP="00627C58">
      <w:pPr>
        <w:pStyle w:val="FootnoteText"/>
        <w:spacing w:after="120"/>
      </w:pPr>
      <w:r>
        <w:rPr>
          <w:rStyle w:val="FootnoteReference"/>
        </w:rPr>
        <w:footnoteRef/>
      </w:r>
      <w:r>
        <w:t xml:space="preserve"> </w:t>
      </w:r>
      <w:r w:rsidRPr="00627C58">
        <w:rPr>
          <w:i/>
        </w:rPr>
        <w:t>Id.</w:t>
      </w:r>
      <w:r>
        <w:t xml:space="preserve"> at ¶ 21.</w:t>
      </w:r>
    </w:p>
  </w:footnote>
  <w:footnote w:id="38">
    <w:p w14:paraId="3CC43DCB" w14:textId="77777777" w:rsidR="00563CEB" w:rsidRDefault="00563CEB" w:rsidP="00180BAC">
      <w:pPr>
        <w:pStyle w:val="FootnoteText"/>
        <w:spacing w:after="120"/>
      </w:pPr>
      <w:r>
        <w:rPr>
          <w:rStyle w:val="FootnoteReference"/>
        </w:rPr>
        <w:footnoteRef/>
      </w:r>
      <w:r>
        <w:t xml:space="preserve"> </w:t>
      </w:r>
      <w:r>
        <w:rPr>
          <w:rFonts w:eastAsia="Times New Roman"/>
          <w:bCs/>
          <w:i/>
          <w:color w:val="000000"/>
        </w:rPr>
        <w:t xml:space="preserve">Id. </w:t>
      </w:r>
      <w:r>
        <w:rPr>
          <w:rFonts w:eastAsia="Times New Roman"/>
          <w:bCs/>
          <w:color w:val="000000"/>
        </w:rPr>
        <w:t>at ¶ 22-23.</w:t>
      </w:r>
    </w:p>
  </w:footnote>
  <w:footnote w:id="39">
    <w:p w14:paraId="4F837986" w14:textId="77777777" w:rsidR="00563CEB" w:rsidRDefault="00563CEB" w:rsidP="00180BAC">
      <w:pPr>
        <w:pStyle w:val="FootnoteText"/>
        <w:spacing w:after="120"/>
      </w:pPr>
      <w:r>
        <w:rPr>
          <w:rStyle w:val="FootnoteReference"/>
        </w:rPr>
        <w:footnoteRef/>
      </w:r>
      <w:r>
        <w:t xml:space="preserve"> </w:t>
      </w:r>
      <w:r>
        <w:rPr>
          <w:rFonts w:eastAsia="Times New Roman"/>
          <w:bCs/>
          <w:i/>
          <w:color w:val="000000"/>
        </w:rPr>
        <w:t xml:space="preserve">Id. </w:t>
      </w:r>
      <w:r>
        <w:rPr>
          <w:rFonts w:eastAsia="Times New Roman"/>
          <w:bCs/>
          <w:color w:val="000000"/>
        </w:rPr>
        <w:t>at</w:t>
      </w:r>
      <w:r>
        <w:rPr>
          <w:rFonts w:eastAsia="Times New Roman"/>
          <w:bCs/>
          <w:i/>
          <w:color w:val="000000"/>
        </w:rPr>
        <w:t xml:space="preserve"> ¶ 25.</w:t>
      </w:r>
    </w:p>
  </w:footnote>
  <w:footnote w:id="40">
    <w:p w14:paraId="01D9EF49" w14:textId="56D4D668" w:rsidR="00563CEB" w:rsidRDefault="00563CEB" w:rsidP="004D6E7C">
      <w:pPr>
        <w:pStyle w:val="FootnoteText"/>
        <w:spacing w:after="120"/>
      </w:pPr>
      <w:r>
        <w:rPr>
          <w:rStyle w:val="FootnoteReference"/>
        </w:rPr>
        <w:footnoteRef/>
      </w:r>
      <w:r>
        <w:t xml:space="preserve"> </w:t>
      </w:r>
      <w:r>
        <w:rPr>
          <w:i/>
        </w:rPr>
        <w:t>DP&amp;L ESP II Case</w:t>
      </w:r>
      <w:r>
        <w:t>, Opinion and Order at 25-26 (Sept. 4, 2013).</w:t>
      </w:r>
    </w:p>
  </w:footnote>
  <w:footnote w:id="41">
    <w:p w14:paraId="20BD82B0" w14:textId="77777777" w:rsidR="00563CEB" w:rsidRPr="00023D68" w:rsidRDefault="00563CEB" w:rsidP="005903D2">
      <w:pPr>
        <w:pStyle w:val="FootnoteText"/>
        <w:spacing w:after="120"/>
      </w:pPr>
      <w:r>
        <w:rPr>
          <w:rStyle w:val="FootnoteReference"/>
        </w:rPr>
        <w:footnoteRef/>
      </w:r>
      <w:r>
        <w:t xml:space="preserve"> </w:t>
      </w:r>
      <w:r>
        <w:rPr>
          <w:i/>
        </w:rPr>
        <w:t>Id.</w:t>
      </w:r>
      <w:r>
        <w:t xml:space="preserve"> at 17.</w:t>
      </w:r>
    </w:p>
  </w:footnote>
  <w:footnote w:id="42">
    <w:p w14:paraId="214B5223" w14:textId="77777777" w:rsidR="00563CEB" w:rsidRPr="00023D68" w:rsidRDefault="00563CEB" w:rsidP="002703C5">
      <w:pPr>
        <w:pStyle w:val="FootnoteText"/>
        <w:spacing w:after="120"/>
      </w:pPr>
      <w:r>
        <w:rPr>
          <w:rStyle w:val="FootnoteReference"/>
        </w:rPr>
        <w:footnoteRef/>
      </w:r>
      <w:r>
        <w:t xml:space="preserve"> </w:t>
      </w:r>
      <w:r>
        <w:rPr>
          <w:i/>
        </w:rPr>
        <w:t>In re Application of Dayton Power &amp; Light Co.</w:t>
      </w:r>
      <w:r>
        <w:t xml:space="preserve">, 147 Ohio St.3d 166, 2016-Ohio-3490, </w:t>
      </w:r>
      <w:r>
        <w:rPr>
          <w:rFonts w:cs="Arial"/>
        </w:rPr>
        <w:t>¶</w:t>
      </w:r>
      <w:r>
        <w:t xml:space="preserve"> 1.</w:t>
      </w:r>
    </w:p>
  </w:footnote>
  <w:footnote w:id="43">
    <w:p w14:paraId="619ADC09" w14:textId="21E41D14" w:rsidR="00563CEB" w:rsidRDefault="00563CEB" w:rsidP="00F634BD">
      <w:pPr>
        <w:pStyle w:val="FootnoteText"/>
        <w:spacing w:after="120"/>
        <w:rPr>
          <w:rFonts w:cs="Arial"/>
        </w:rPr>
      </w:pPr>
      <w:r>
        <w:rPr>
          <w:rStyle w:val="FootnoteReference"/>
        </w:rPr>
        <w:footnoteRef/>
      </w:r>
      <w:r>
        <w:rPr>
          <w:rFonts w:cs="Arial"/>
        </w:rPr>
        <w:t xml:space="preserve"> </w:t>
      </w:r>
      <w:r w:rsidRPr="00B42A9E">
        <w:rPr>
          <w:rFonts w:cs="Arial"/>
          <w:i/>
        </w:rPr>
        <w:t>ESP III Case</w:t>
      </w:r>
      <w:r>
        <w:rPr>
          <w:rFonts w:cs="Arial"/>
        </w:rPr>
        <w:t>, Duke Ex. 6 at 13-14.</w:t>
      </w:r>
    </w:p>
  </w:footnote>
  <w:footnote w:id="44">
    <w:p w14:paraId="0CF81E83" w14:textId="77777777" w:rsidR="00563CEB" w:rsidRDefault="00563CEB" w:rsidP="00F634BD">
      <w:pPr>
        <w:pStyle w:val="FootnoteText"/>
        <w:spacing w:after="120"/>
        <w:rPr>
          <w:rFonts w:cs="Arial"/>
        </w:rPr>
      </w:pPr>
      <w:r>
        <w:rPr>
          <w:rStyle w:val="FootnoteReference"/>
        </w:rPr>
        <w:footnoteRef/>
      </w:r>
      <w:r>
        <w:rPr>
          <w:rFonts w:cs="Arial"/>
        </w:rPr>
        <w:t xml:space="preserve"> R.C. 4928.39(C).</w:t>
      </w:r>
    </w:p>
  </w:footnote>
  <w:footnote w:id="45">
    <w:p w14:paraId="188CB081" w14:textId="3E323C75" w:rsidR="00563CEB" w:rsidRDefault="00563CEB" w:rsidP="00627C58">
      <w:pPr>
        <w:pStyle w:val="FootnoteText"/>
        <w:spacing w:after="120"/>
      </w:pPr>
      <w:r w:rsidRPr="00C7311C">
        <w:rPr>
          <w:rStyle w:val="FootnoteReference"/>
        </w:rPr>
        <w:footnoteRef/>
      </w:r>
      <w:r w:rsidRPr="00C7311C">
        <w:t xml:space="preserve"> </w:t>
      </w:r>
      <w:r w:rsidRPr="00C7311C">
        <w:rPr>
          <w:i/>
        </w:rPr>
        <w:t xml:space="preserve">Hughes v. Talen Energy Marketing </w:t>
      </w:r>
      <w:r w:rsidRPr="00C7311C">
        <w:t>LLC</w:t>
      </w:r>
      <w:r w:rsidRPr="00457646">
        <w:rPr>
          <w:i/>
        </w:rPr>
        <w:t xml:space="preserve">, </w:t>
      </w:r>
      <w:r w:rsidRPr="00457646">
        <w:t>578 U.S. __, (2016) (slip op., at 7) (“</w:t>
      </w:r>
      <w:r w:rsidRPr="00457646">
        <w:rPr>
          <w:i/>
        </w:rPr>
        <w:t>Hughes”)</w:t>
      </w:r>
      <w:r w:rsidRPr="00BC7FAD">
        <w:t>.</w:t>
      </w:r>
    </w:p>
  </w:footnote>
  <w:footnote w:id="46">
    <w:p w14:paraId="3EF976EB" w14:textId="77777777" w:rsidR="00563CEB" w:rsidRDefault="00563CEB" w:rsidP="005903D2">
      <w:pPr>
        <w:pStyle w:val="Footnotes"/>
      </w:pPr>
      <w:r>
        <w:rPr>
          <w:rStyle w:val="FootnoteReference"/>
          <w:rFonts w:cs="Arial"/>
          <w:szCs w:val="20"/>
        </w:rPr>
        <w:footnoteRef/>
      </w:r>
      <w:r>
        <w:rPr>
          <w:szCs w:val="20"/>
        </w:rPr>
        <w:t xml:space="preserve"> </w:t>
      </w:r>
      <w:proofErr w:type="spellStart"/>
      <w:r>
        <w:rPr>
          <w:i/>
          <w:szCs w:val="20"/>
        </w:rPr>
        <w:t>Gade</w:t>
      </w:r>
      <w:proofErr w:type="spellEnd"/>
      <w:r>
        <w:rPr>
          <w:i/>
          <w:szCs w:val="20"/>
        </w:rPr>
        <w:t xml:space="preserve"> v. National Solid Wastes Management </w:t>
      </w:r>
      <w:proofErr w:type="spellStart"/>
      <w:r>
        <w:rPr>
          <w:i/>
          <w:szCs w:val="20"/>
        </w:rPr>
        <w:t>Ass'n</w:t>
      </w:r>
      <w:proofErr w:type="spellEnd"/>
      <w:r>
        <w:rPr>
          <w:szCs w:val="20"/>
        </w:rPr>
        <w:t>, 505 U.S. 88, 98 (1992).</w:t>
      </w:r>
    </w:p>
  </w:footnote>
  <w:footnote w:id="47">
    <w:p w14:paraId="0353EB3E" w14:textId="77777777" w:rsidR="00563CEB" w:rsidRDefault="00563CEB" w:rsidP="005903D2">
      <w:pPr>
        <w:pStyle w:val="Footnotes"/>
      </w:pPr>
      <w:r>
        <w:rPr>
          <w:rStyle w:val="FootnoteReference"/>
          <w:rFonts w:cs="Arial"/>
          <w:szCs w:val="20"/>
        </w:rPr>
        <w:footnoteRef/>
      </w:r>
      <w:r>
        <w:rPr>
          <w:szCs w:val="20"/>
        </w:rPr>
        <w:t xml:space="preserve"> </w:t>
      </w:r>
      <w:r>
        <w:rPr>
          <w:i/>
          <w:szCs w:val="20"/>
        </w:rPr>
        <w:t xml:space="preserve">Id. </w:t>
      </w:r>
      <w:r>
        <w:rPr>
          <w:szCs w:val="20"/>
        </w:rPr>
        <w:t>at 98.</w:t>
      </w:r>
    </w:p>
  </w:footnote>
  <w:footnote w:id="48">
    <w:p w14:paraId="45746325" w14:textId="25FFA811" w:rsidR="00563CEB" w:rsidRDefault="00563CEB" w:rsidP="005903D2">
      <w:pPr>
        <w:pStyle w:val="Footnotes"/>
        <w:rPr>
          <w:i/>
        </w:rPr>
      </w:pPr>
      <w:r>
        <w:rPr>
          <w:rStyle w:val="FootnoteReference"/>
          <w:rFonts w:cs="Arial"/>
          <w:szCs w:val="20"/>
        </w:rPr>
        <w:footnoteRef/>
      </w:r>
      <w:r>
        <w:rPr>
          <w:szCs w:val="20"/>
        </w:rPr>
        <w:t xml:space="preserve"> </w:t>
      </w:r>
      <w:r>
        <w:rPr>
          <w:i/>
          <w:szCs w:val="20"/>
        </w:rPr>
        <w:t>Id.</w:t>
      </w:r>
      <w:r>
        <w:rPr>
          <w:szCs w:val="20"/>
        </w:rPr>
        <w:t xml:space="preserve"> (</w:t>
      </w:r>
      <w:r>
        <w:rPr>
          <w:i/>
          <w:szCs w:val="20"/>
        </w:rPr>
        <w:t>quoting Rice v. Santa Fe Elevator Corp., 331 U.S. 218, 230 (1947)</w:t>
      </w:r>
      <w:r>
        <w:rPr>
          <w:szCs w:val="20"/>
        </w:rPr>
        <w:t>).</w:t>
      </w:r>
    </w:p>
  </w:footnote>
  <w:footnote w:id="49">
    <w:p w14:paraId="1D0C5012" w14:textId="77777777" w:rsidR="00563CEB" w:rsidRDefault="00563CEB" w:rsidP="002703C5">
      <w:pPr>
        <w:pStyle w:val="Footnotes"/>
        <w:rPr>
          <w:i/>
        </w:rPr>
      </w:pPr>
      <w:r>
        <w:rPr>
          <w:rStyle w:val="FootnoteReference"/>
          <w:rFonts w:cs="Arial"/>
          <w:szCs w:val="20"/>
        </w:rPr>
        <w:footnoteRef/>
      </w:r>
      <w:r>
        <w:rPr>
          <w:szCs w:val="20"/>
        </w:rPr>
        <w:t xml:space="preserve"> </w:t>
      </w:r>
      <w:r>
        <w:rPr>
          <w:i/>
          <w:szCs w:val="20"/>
        </w:rPr>
        <w:t>Id.</w:t>
      </w:r>
      <w:r>
        <w:rPr>
          <w:szCs w:val="20"/>
        </w:rPr>
        <w:t xml:space="preserve"> (</w:t>
      </w:r>
      <w:r>
        <w:rPr>
          <w:i/>
          <w:szCs w:val="20"/>
        </w:rPr>
        <w:t>quoting Florida Lime &amp; Avocado Growers, Inc. v. Paul</w:t>
      </w:r>
      <w:r>
        <w:rPr>
          <w:szCs w:val="20"/>
        </w:rPr>
        <w:t>, 373 U.S. 132, 142-43 (1963)).</w:t>
      </w:r>
    </w:p>
  </w:footnote>
  <w:footnote w:id="50">
    <w:p w14:paraId="7C6893E8" w14:textId="626455C8" w:rsidR="00563CEB" w:rsidRDefault="00563CEB" w:rsidP="00F634BD">
      <w:pPr>
        <w:pStyle w:val="Footnotes"/>
      </w:pPr>
      <w:r>
        <w:rPr>
          <w:rStyle w:val="FootnoteReference"/>
          <w:rFonts w:cs="Arial"/>
          <w:szCs w:val="20"/>
        </w:rPr>
        <w:footnoteRef/>
      </w:r>
      <w:r>
        <w:rPr>
          <w:szCs w:val="20"/>
        </w:rPr>
        <w:t xml:space="preserve"> </w:t>
      </w:r>
      <w:r>
        <w:rPr>
          <w:i/>
        </w:rPr>
        <w:t xml:space="preserve">Hughes, </w:t>
      </w:r>
      <w:r>
        <w:t>(</w:t>
      </w:r>
      <w:r>
        <w:rPr>
          <w:szCs w:val="20"/>
        </w:rPr>
        <w:t>slip op., at 7).</w:t>
      </w:r>
    </w:p>
  </w:footnote>
  <w:footnote w:id="51">
    <w:p w14:paraId="52FF3586" w14:textId="77777777" w:rsidR="00563CEB" w:rsidRDefault="00563CEB" w:rsidP="00F634BD">
      <w:pPr>
        <w:pStyle w:val="Footnotes"/>
        <w:rPr>
          <w:i/>
        </w:rPr>
      </w:pPr>
      <w:r>
        <w:rPr>
          <w:rStyle w:val="FootnoteReference"/>
          <w:rFonts w:cs="Arial"/>
          <w:szCs w:val="20"/>
        </w:rPr>
        <w:footnoteRef/>
      </w:r>
      <w:r>
        <w:rPr>
          <w:szCs w:val="20"/>
        </w:rPr>
        <w:t xml:space="preserve"> </w:t>
      </w:r>
      <w:r>
        <w:rPr>
          <w:i/>
          <w:szCs w:val="20"/>
        </w:rPr>
        <w:t>Id.</w:t>
      </w:r>
    </w:p>
  </w:footnote>
  <w:footnote w:id="52">
    <w:p w14:paraId="23B53477" w14:textId="77777777" w:rsidR="00563CEB" w:rsidRDefault="00563CEB" w:rsidP="00F634BD">
      <w:pPr>
        <w:pStyle w:val="Footnotes"/>
        <w:rPr>
          <w:i/>
        </w:rPr>
      </w:pPr>
      <w:r>
        <w:rPr>
          <w:rStyle w:val="FootnoteReference"/>
          <w:rFonts w:cs="Arial"/>
          <w:szCs w:val="20"/>
        </w:rPr>
        <w:footnoteRef/>
      </w:r>
      <w:r>
        <w:rPr>
          <w:szCs w:val="20"/>
        </w:rPr>
        <w:t xml:space="preserve"> </w:t>
      </w:r>
      <w:r>
        <w:rPr>
          <w:i/>
          <w:szCs w:val="20"/>
        </w:rPr>
        <w:t>Id.</w:t>
      </w:r>
    </w:p>
  </w:footnote>
  <w:footnote w:id="53">
    <w:p w14:paraId="79AA8A73" w14:textId="77777777" w:rsidR="00563CEB" w:rsidRDefault="00563CEB" w:rsidP="00F634BD">
      <w:pPr>
        <w:pStyle w:val="Footnotes"/>
        <w:rPr>
          <w:i/>
        </w:rPr>
      </w:pPr>
      <w:r>
        <w:rPr>
          <w:rStyle w:val="FootnoteReference"/>
          <w:rFonts w:cs="Arial"/>
          <w:szCs w:val="20"/>
        </w:rPr>
        <w:footnoteRef/>
      </w:r>
      <w:r>
        <w:rPr>
          <w:szCs w:val="20"/>
        </w:rPr>
        <w:t xml:space="preserve"> </w:t>
      </w:r>
      <w:r>
        <w:rPr>
          <w:i/>
          <w:szCs w:val="20"/>
        </w:rPr>
        <w:t>Id.</w:t>
      </w:r>
    </w:p>
  </w:footnote>
  <w:footnote w:id="54">
    <w:p w14:paraId="1E8E5A16" w14:textId="77777777" w:rsidR="00563CEB" w:rsidRDefault="00563CEB" w:rsidP="00F634BD">
      <w:pPr>
        <w:pStyle w:val="Footnotes"/>
      </w:pPr>
      <w:r>
        <w:rPr>
          <w:rStyle w:val="FootnoteReference"/>
          <w:rFonts w:cs="Arial"/>
          <w:szCs w:val="20"/>
        </w:rPr>
        <w:footnoteRef/>
      </w:r>
      <w:r>
        <w:rPr>
          <w:szCs w:val="20"/>
        </w:rPr>
        <w:t xml:space="preserve"> </w:t>
      </w:r>
      <w:r>
        <w:rPr>
          <w:i/>
          <w:szCs w:val="20"/>
        </w:rPr>
        <w:t>Id.</w:t>
      </w:r>
      <w:r>
        <w:rPr>
          <w:szCs w:val="20"/>
        </w:rPr>
        <w:t xml:space="preserve"> (slip op., at 12).</w:t>
      </w:r>
    </w:p>
  </w:footnote>
  <w:footnote w:id="55">
    <w:p w14:paraId="5622BEA7" w14:textId="77777777" w:rsidR="00563CEB" w:rsidRDefault="00563CEB" w:rsidP="00F634BD">
      <w:pPr>
        <w:pStyle w:val="Footnotes"/>
      </w:pPr>
      <w:r>
        <w:rPr>
          <w:rStyle w:val="FootnoteReference"/>
          <w:rFonts w:cs="Arial"/>
          <w:szCs w:val="20"/>
        </w:rPr>
        <w:footnoteRef/>
      </w:r>
      <w:r>
        <w:rPr>
          <w:szCs w:val="20"/>
        </w:rPr>
        <w:t xml:space="preserve"> </w:t>
      </w:r>
      <w:r>
        <w:rPr>
          <w:i/>
          <w:szCs w:val="20"/>
        </w:rPr>
        <w:t>Id.</w:t>
      </w:r>
      <w:r>
        <w:rPr>
          <w:szCs w:val="20"/>
        </w:rPr>
        <w:t xml:space="preserve"> (slip op., at 13-14).</w:t>
      </w:r>
    </w:p>
  </w:footnote>
  <w:footnote w:id="56">
    <w:p w14:paraId="0DF90382" w14:textId="77777777" w:rsidR="00563CEB" w:rsidRDefault="00563CEB" w:rsidP="00F634BD">
      <w:pPr>
        <w:pStyle w:val="Footnotes"/>
        <w:rPr>
          <w:i/>
        </w:rPr>
      </w:pPr>
      <w:r>
        <w:rPr>
          <w:rStyle w:val="FootnoteReference"/>
          <w:rFonts w:cs="Arial"/>
          <w:szCs w:val="20"/>
        </w:rPr>
        <w:footnoteRef/>
      </w:r>
      <w:r>
        <w:rPr>
          <w:szCs w:val="20"/>
        </w:rPr>
        <w:t xml:space="preserve"> </w:t>
      </w:r>
      <w:r>
        <w:rPr>
          <w:i/>
          <w:szCs w:val="20"/>
        </w:rPr>
        <w:t>Id.</w:t>
      </w:r>
      <w:r>
        <w:rPr>
          <w:szCs w:val="20"/>
        </w:rPr>
        <w:t xml:space="preserve"> (slip op., at 12) (c</w:t>
      </w:r>
      <w:r>
        <w:rPr>
          <w:i/>
          <w:szCs w:val="20"/>
        </w:rPr>
        <w:t>iting FERC v. EPSA</w:t>
      </w:r>
      <w:r>
        <w:rPr>
          <w:szCs w:val="20"/>
        </w:rPr>
        <w:t>, 577 U.S. __, __ (2016) (slip op., at 26)).</w:t>
      </w:r>
    </w:p>
  </w:footnote>
  <w:footnote w:id="57">
    <w:p w14:paraId="17A91CF7" w14:textId="7ACCC9D2" w:rsidR="00563CEB" w:rsidRPr="00BC3A39" w:rsidRDefault="00563CEB" w:rsidP="00457646">
      <w:pPr>
        <w:pStyle w:val="FootnoteText"/>
        <w:spacing w:after="120"/>
      </w:pPr>
      <w:r w:rsidRPr="00627C58">
        <w:rPr>
          <w:rStyle w:val="FootnoteReference"/>
        </w:rPr>
        <w:footnoteRef/>
      </w:r>
      <w:r w:rsidRPr="00627C58">
        <w:t xml:space="preserve"> </w:t>
      </w:r>
      <w:r w:rsidRPr="00627C58">
        <w:rPr>
          <w:i/>
        </w:rPr>
        <w:t>Id.</w:t>
      </w:r>
      <w:r w:rsidRPr="00627C58">
        <w:t xml:space="preserve"> </w:t>
      </w:r>
      <w:r>
        <w:t>(slip. op., at 12-15).</w:t>
      </w:r>
    </w:p>
  </w:footnote>
  <w:footnote w:id="58">
    <w:p w14:paraId="250848DA" w14:textId="64D9C84E" w:rsidR="00563CEB" w:rsidRDefault="00563CEB">
      <w:pPr>
        <w:pStyle w:val="FootnoteText"/>
        <w:spacing w:after="120"/>
      </w:pPr>
      <w:r>
        <w:rPr>
          <w:rStyle w:val="FootnoteReference"/>
        </w:rPr>
        <w:footnoteRef/>
      </w:r>
      <w:r>
        <w:t xml:space="preserve"> </w:t>
      </w:r>
      <w:r>
        <w:rPr>
          <w:rFonts w:cs="Arial"/>
          <w:i/>
        </w:rPr>
        <w:t xml:space="preserve">In the Matter of the Application of Ohio Power Company for Approval of the Shutdown of Unit 5 of the Philip </w:t>
      </w:r>
      <w:proofErr w:type="spellStart"/>
      <w:r>
        <w:rPr>
          <w:rFonts w:cs="Arial"/>
          <w:i/>
        </w:rPr>
        <w:t>Sporn</w:t>
      </w:r>
      <w:proofErr w:type="spellEnd"/>
      <w:r>
        <w:rPr>
          <w:rFonts w:cs="Arial"/>
          <w:i/>
        </w:rPr>
        <w:t xml:space="preserve"> Generating Station and to Establish a Plant Shutdown Rider</w:t>
      </w:r>
      <w:r>
        <w:rPr>
          <w:rFonts w:cs="Arial"/>
        </w:rPr>
        <w:t>, Case No. 10-1454-EL-RDR, Finding and Order at 6 (Jan. 11, 2012) (“</w:t>
      </w:r>
      <w:proofErr w:type="spellStart"/>
      <w:r>
        <w:rPr>
          <w:rFonts w:cs="Arial"/>
          <w:i/>
        </w:rPr>
        <w:t>Sporn</w:t>
      </w:r>
      <w:proofErr w:type="spellEnd"/>
      <w:r>
        <w:rPr>
          <w:rFonts w:cs="Arial"/>
        </w:rPr>
        <w:t>”).</w:t>
      </w:r>
    </w:p>
  </w:footnote>
  <w:footnote w:id="59">
    <w:p w14:paraId="49DF96A1" w14:textId="77777777" w:rsidR="00563CEB" w:rsidRDefault="00563CEB">
      <w:pPr>
        <w:pStyle w:val="Footnotes"/>
      </w:pPr>
      <w:r>
        <w:rPr>
          <w:rStyle w:val="FootnoteReference"/>
          <w:rFonts w:cs="Arial"/>
          <w:szCs w:val="20"/>
        </w:rPr>
        <w:footnoteRef/>
      </w:r>
      <w:r>
        <w:rPr>
          <w:szCs w:val="20"/>
        </w:rPr>
        <w:t xml:space="preserve"> </w:t>
      </w:r>
      <w:r>
        <w:rPr>
          <w:i/>
          <w:szCs w:val="20"/>
        </w:rPr>
        <w:t>See, e.g.,</w:t>
      </w:r>
      <w:r>
        <w:rPr>
          <w:szCs w:val="20"/>
        </w:rPr>
        <w:t xml:space="preserve"> R.C. 4928.01(A)(6) &amp; (7) &amp; 4928.05(A) (defining the Commission’s jurisdiction to supervise and regulate competitive and noncompetitive retail electric service supplied by an electric utility).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15E5" w14:textId="77777777" w:rsidR="00563CEB" w:rsidRDefault="00563CEB">
    <w:pPr>
      <w:pStyle w:val="Header"/>
    </w:pPr>
  </w:p>
  <w:p w14:paraId="7AE1B869" w14:textId="77777777" w:rsidR="00563CEB" w:rsidRDefault="00563CE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917" w14:textId="77777777" w:rsidR="00563CEB" w:rsidRDefault="00563C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752A" w14:textId="77777777" w:rsidR="00563CEB" w:rsidRDefault="00563C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AA93" w14:textId="77777777" w:rsidR="00563CEB" w:rsidRDefault="00563C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CD66" w14:textId="77777777" w:rsidR="00563CEB" w:rsidRDefault="0056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0BE4" w14:textId="77777777" w:rsidR="00E07B78" w:rsidRDefault="00E07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5908" w14:textId="77777777" w:rsidR="00E07B78" w:rsidRDefault="00E07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A726" w14:textId="77777777" w:rsidR="00563CEB" w:rsidRDefault="00563C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FAED" w14:textId="77777777" w:rsidR="00563CEB" w:rsidRDefault="00563C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A911" w14:textId="77777777" w:rsidR="00563CEB" w:rsidRDefault="00563C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F9BD" w14:textId="77777777" w:rsidR="00563CEB" w:rsidRDefault="00563C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74AE" w14:textId="77777777" w:rsidR="00563CEB" w:rsidRDefault="00563C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A675" w14:textId="77777777" w:rsidR="00563CEB" w:rsidRDefault="0056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A6A88"/>
    <w:multiLevelType w:val="multilevel"/>
    <w:tmpl w:val="A3163284"/>
    <w:name w:val="IEU-Ohio PUCO Basic-Scheme 1"/>
    <w:lvl w:ilvl="0">
      <w:start w:val="1"/>
      <w:numFmt w:val="upperRoman"/>
      <w:pStyle w:val="Heading1"/>
      <w:lvlText w:val="%1."/>
      <w:lvlJc w:val="left"/>
      <w:pPr>
        <w:tabs>
          <w:tab w:val="num" w:pos="720"/>
        </w:tabs>
        <w:ind w:left="720" w:hanging="720"/>
      </w:pPr>
      <w:rPr>
        <w:b/>
        <w:caps w:val="0"/>
        <w:strike w:val="0"/>
        <w:dstrike w:val="0"/>
        <w:vanish w:val="0"/>
        <w:webHidden w:val="0"/>
        <w:color w:val="010000"/>
        <w:u w:val="none"/>
        <w:effect w:val="none"/>
        <w:specVanish w:val="0"/>
      </w:rPr>
    </w:lvl>
    <w:lvl w:ilvl="1">
      <w:start w:val="1"/>
      <w:numFmt w:val="upperLetter"/>
      <w:pStyle w:val="Heading2"/>
      <w:lvlText w:val="%2."/>
      <w:lvlJc w:val="left"/>
      <w:pPr>
        <w:tabs>
          <w:tab w:val="num" w:pos="1440"/>
        </w:tabs>
        <w:ind w:left="1440" w:hanging="720"/>
      </w:pPr>
      <w:rPr>
        <w:b/>
        <w:caps w:val="0"/>
        <w:strike w:val="0"/>
        <w:dstrike w:val="0"/>
        <w:vanish w:val="0"/>
        <w:webHidden w:val="0"/>
        <w:color w:val="010000"/>
        <w:u w:val="none"/>
        <w:effect w:val="none"/>
        <w:specVanish w:val="0"/>
      </w:rPr>
    </w:lvl>
    <w:lvl w:ilvl="2">
      <w:start w:val="1"/>
      <w:numFmt w:val="decimal"/>
      <w:pStyle w:val="Heading3"/>
      <w:lvlText w:val="%3."/>
      <w:lvlJc w:val="left"/>
      <w:pPr>
        <w:tabs>
          <w:tab w:val="num" w:pos="2160"/>
        </w:tabs>
        <w:ind w:left="2160" w:hanging="720"/>
      </w:pPr>
      <w:rPr>
        <w:b/>
        <w:i w:val="0"/>
        <w:caps w:val="0"/>
        <w:strike w:val="0"/>
        <w:dstrike w:val="0"/>
        <w:vanish w:val="0"/>
        <w:webHidden w:val="0"/>
        <w:color w:val="010000"/>
        <w:u w:val="none"/>
        <w:effect w:val="none"/>
        <w:specVanish w:val="0"/>
      </w:rPr>
    </w:lvl>
    <w:lvl w:ilvl="3">
      <w:start w:val="1"/>
      <w:numFmt w:val="lowerLetter"/>
      <w:pStyle w:val="Heading4"/>
      <w:lvlText w:val="%4."/>
      <w:lvlJc w:val="left"/>
      <w:pPr>
        <w:tabs>
          <w:tab w:val="num" w:pos="2880"/>
        </w:tabs>
        <w:ind w:left="2880" w:hanging="720"/>
      </w:pPr>
      <w:rPr>
        <w:b/>
        <w:i/>
        <w:caps w:val="0"/>
        <w:strike w:val="0"/>
        <w:dstrike w:val="0"/>
        <w:vanish w:val="0"/>
        <w:webHidden w:val="0"/>
        <w:color w:val="010000"/>
        <w:u w:val="none"/>
        <w:effect w:val="none"/>
        <w:specVanish w:val="0"/>
      </w:rPr>
    </w:lvl>
    <w:lvl w:ilvl="4">
      <w:start w:val="1"/>
      <w:numFmt w:val="lowerRoman"/>
      <w:pStyle w:val="Heading5"/>
      <w:lvlText w:val="%5."/>
      <w:lvlJc w:val="left"/>
      <w:pPr>
        <w:tabs>
          <w:tab w:val="num" w:pos="3600"/>
        </w:tabs>
        <w:ind w:left="3600" w:hanging="720"/>
      </w:pPr>
      <w:rPr>
        <w:caps w:val="0"/>
        <w:strike w:val="0"/>
        <w:dstrike w:val="0"/>
        <w:vanish w:val="0"/>
        <w:webHidden w:val="0"/>
        <w:color w:val="010000"/>
        <w:u w:val="none"/>
        <w:effect w:val="none"/>
        <w:specVanish w:val="0"/>
      </w:rPr>
    </w:lvl>
    <w:lvl w:ilvl="5">
      <w:start w:val="1"/>
      <w:numFmt w:val="lowerLetter"/>
      <w:pStyle w:val="Heading6"/>
      <w:lvlText w:val="(%6)"/>
      <w:lvlJc w:val="left"/>
      <w:pPr>
        <w:tabs>
          <w:tab w:val="num" w:pos="4320"/>
        </w:tabs>
        <w:ind w:left="4320" w:hanging="72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5040"/>
        </w:tabs>
        <w:ind w:left="5040" w:hanging="72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760"/>
        </w:tabs>
        <w:ind w:left="5760" w:hanging="720"/>
      </w:pPr>
      <w:rPr>
        <w:caps w:val="0"/>
        <w:strike w:val="0"/>
        <w:dstrike w:val="0"/>
        <w:vanish w:val="0"/>
        <w:webHidden w:val="0"/>
        <w:color w:val="010000"/>
        <w:u w:val="none"/>
        <w:effect w:val="none"/>
        <w:specVanish w:val="0"/>
      </w:rPr>
    </w:lvl>
    <w:lvl w:ilvl="8">
      <w:start w:val="1"/>
      <w:numFmt w:val="lowerLetter"/>
      <w:pStyle w:val="Heading9"/>
      <w:lvlText w:val="%9)"/>
      <w:lvlJc w:val="left"/>
      <w:pPr>
        <w:tabs>
          <w:tab w:val="num" w:pos="6480"/>
        </w:tabs>
        <w:ind w:left="6480" w:hanging="720"/>
      </w:pPr>
      <w:rPr>
        <w:caps w:val="0"/>
        <w:strike w:val="0"/>
        <w:dstrike w:val="0"/>
        <w:vanish w:val="0"/>
        <w:webHidden w:val="0"/>
        <w:color w:val="010000"/>
        <w:u w:val="none"/>
        <w:effect w:val="none"/>
        <w:specVanish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EF"/>
    <w:rsid w:val="000117ED"/>
    <w:rsid w:val="00023D68"/>
    <w:rsid w:val="00027C94"/>
    <w:rsid w:val="00075A1B"/>
    <w:rsid w:val="00082790"/>
    <w:rsid w:val="00085D74"/>
    <w:rsid w:val="00092BD4"/>
    <w:rsid w:val="000A7BE4"/>
    <w:rsid w:val="000C6562"/>
    <w:rsid w:val="000D60B9"/>
    <w:rsid w:val="000F31FE"/>
    <w:rsid w:val="000F49C6"/>
    <w:rsid w:val="00100CF1"/>
    <w:rsid w:val="00107525"/>
    <w:rsid w:val="001123CA"/>
    <w:rsid w:val="00133FB3"/>
    <w:rsid w:val="001361CD"/>
    <w:rsid w:val="00137A10"/>
    <w:rsid w:val="00141309"/>
    <w:rsid w:val="00142932"/>
    <w:rsid w:val="0015019A"/>
    <w:rsid w:val="00157366"/>
    <w:rsid w:val="0017628D"/>
    <w:rsid w:val="00180BAC"/>
    <w:rsid w:val="00192C09"/>
    <w:rsid w:val="001A1010"/>
    <w:rsid w:val="001B3E53"/>
    <w:rsid w:val="001B5200"/>
    <w:rsid w:val="001F01F4"/>
    <w:rsid w:val="001F1445"/>
    <w:rsid w:val="001F21A0"/>
    <w:rsid w:val="00202826"/>
    <w:rsid w:val="00204C29"/>
    <w:rsid w:val="00210049"/>
    <w:rsid w:val="00214FD6"/>
    <w:rsid w:val="00217E3F"/>
    <w:rsid w:val="00231338"/>
    <w:rsid w:val="00233C6D"/>
    <w:rsid w:val="00240D6D"/>
    <w:rsid w:val="00254B9A"/>
    <w:rsid w:val="002703C5"/>
    <w:rsid w:val="00270E7B"/>
    <w:rsid w:val="00277960"/>
    <w:rsid w:val="00283360"/>
    <w:rsid w:val="002B035E"/>
    <w:rsid w:val="002B1AF1"/>
    <w:rsid w:val="002D394C"/>
    <w:rsid w:val="002F2892"/>
    <w:rsid w:val="003108FE"/>
    <w:rsid w:val="00312CEE"/>
    <w:rsid w:val="00320B83"/>
    <w:rsid w:val="003307E8"/>
    <w:rsid w:val="00341205"/>
    <w:rsid w:val="00342E4D"/>
    <w:rsid w:val="00350F4E"/>
    <w:rsid w:val="003859E9"/>
    <w:rsid w:val="00392A92"/>
    <w:rsid w:val="00396899"/>
    <w:rsid w:val="003A7616"/>
    <w:rsid w:val="003B4474"/>
    <w:rsid w:val="003C051B"/>
    <w:rsid w:val="003C5C21"/>
    <w:rsid w:val="003C67A4"/>
    <w:rsid w:val="003D2FA3"/>
    <w:rsid w:val="003E22A9"/>
    <w:rsid w:val="003E71B3"/>
    <w:rsid w:val="003F067F"/>
    <w:rsid w:val="004058F2"/>
    <w:rsid w:val="00410360"/>
    <w:rsid w:val="00425231"/>
    <w:rsid w:val="00427696"/>
    <w:rsid w:val="004278CB"/>
    <w:rsid w:val="00432473"/>
    <w:rsid w:val="00433299"/>
    <w:rsid w:val="004449D3"/>
    <w:rsid w:val="00454E0B"/>
    <w:rsid w:val="00457646"/>
    <w:rsid w:val="004705D7"/>
    <w:rsid w:val="004B5D68"/>
    <w:rsid w:val="004D5D4D"/>
    <w:rsid w:val="004D6E7C"/>
    <w:rsid w:val="004F7248"/>
    <w:rsid w:val="00503A98"/>
    <w:rsid w:val="00507968"/>
    <w:rsid w:val="00514861"/>
    <w:rsid w:val="00517CF2"/>
    <w:rsid w:val="0052477D"/>
    <w:rsid w:val="0052611A"/>
    <w:rsid w:val="00530337"/>
    <w:rsid w:val="0053080B"/>
    <w:rsid w:val="00531D36"/>
    <w:rsid w:val="00532719"/>
    <w:rsid w:val="00540404"/>
    <w:rsid w:val="00543008"/>
    <w:rsid w:val="005522E2"/>
    <w:rsid w:val="00555C7F"/>
    <w:rsid w:val="00557512"/>
    <w:rsid w:val="005622F1"/>
    <w:rsid w:val="00563CEB"/>
    <w:rsid w:val="005650E5"/>
    <w:rsid w:val="00581A1B"/>
    <w:rsid w:val="005903D2"/>
    <w:rsid w:val="005A5996"/>
    <w:rsid w:val="005C37D5"/>
    <w:rsid w:val="005D43BD"/>
    <w:rsid w:val="005D6C4A"/>
    <w:rsid w:val="005E0840"/>
    <w:rsid w:val="005E3B3C"/>
    <w:rsid w:val="005E437D"/>
    <w:rsid w:val="005F0D4F"/>
    <w:rsid w:val="006072AB"/>
    <w:rsid w:val="0062345C"/>
    <w:rsid w:val="00624879"/>
    <w:rsid w:val="00627C58"/>
    <w:rsid w:val="006374C1"/>
    <w:rsid w:val="006524BC"/>
    <w:rsid w:val="00652A8B"/>
    <w:rsid w:val="00655963"/>
    <w:rsid w:val="0066070C"/>
    <w:rsid w:val="00673771"/>
    <w:rsid w:val="0067575C"/>
    <w:rsid w:val="00680EBC"/>
    <w:rsid w:val="006813DF"/>
    <w:rsid w:val="0069497A"/>
    <w:rsid w:val="006C1CF4"/>
    <w:rsid w:val="006C2362"/>
    <w:rsid w:val="006C66F7"/>
    <w:rsid w:val="006C6A52"/>
    <w:rsid w:val="006D2B83"/>
    <w:rsid w:val="006E116F"/>
    <w:rsid w:val="006E175B"/>
    <w:rsid w:val="006F377F"/>
    <w:rsid w:val="00704B75"/>
    <w:rsid w:val="007052B1"/>
    <w:rsid w:val="00705E2A"/>
    <w:rsid w:val="00711FBC"/>
    <w:rsid w:val="00717F6C"/>
    <w:rsid w:val="007278F6"/>
    <w:rsid w:val="00730BB5"/>
    <w:rsid w:val="00732B45"/>
    <w:rsid w:val="007478C3"/>
    <w:rsid w:val="00762F49"/>
    <w:rsid w:val="00764BCF"/>
    <w:rsid w:val="007724DF"/>
    <w:rsid w:val="007776A9"/>
    <w:rsid w:val="00784D40"/>
    <w:rsid w:val="0079253B"/>
    <w:rsid w:val="007B3F11"/>
    <w:rsid w:val="007C6D8C"/>
    <w:rsid w:val="007E0F65"/>
    <w:rsid w:val="00804CD3"/>
    <w:rsid w:val="00813055"/>
    <w:rsid w:val="008245D7"/>
    <w:rsid w:val="00834369"/>
    <w:rsid w:val="00841F48"/>
    <w:rsid w:val="00856726"/>
    <w:rsid w:val="0085781D"/>
    <w:rsid w:val="008617D7"/>
    <w:rsid w:val="008640D0"/>
    <w:rsid w:val="00881E85"/>
    <w:rsid w:val="00892662"/>
    <w:rsid w:val="0089388A"/>
    <w:rsid w:val="008958C6"/>
    <w:rsid w:val="00895F4A"/>
    <w:rsid w:val="008A4879"/>
    <w:rsid w:val="008A7A18"/>
    <w:rsid w:val="008E3BF4"/>
    <w:rsid w:val="008F77B8"/>
    <w:rsid w:val="00901A00"/>
    <w:rsid w:val="00904C6E"/>
    <w:rsid w:val="009116C6"/>
    <w:rsid w:val="00916DDE"/>
    <w:rsid w:val="009266F1"/>
    <w:rsid w:val="00927F45"/>
    <w:rsid w:val="00930309"/>
    <w:rsid w:val="00933D12"/>
    <w:rsid w:val="00934F6B"/>
    <w:rsid w:val="009373FB"/>
    <w:rsid w:val="00940E6C"/>
    <w:rsid w:val="00944939"/>
    <w:rsid w:val="009467A8"/>
    <w:rsid w:val="00951A06"/>
    <w:rsid w:val="0095229F"/>
    <w:rsid w:val="0097216E"/>
    <w:rsid w:val="0097665C"/>
    <w:rsid w:val="0097712C"/>
    <w:rsid w:val="00983587"/>
    <w:rsid w:val="00984EF5"/>
    <w:rsid w:val="0099104E"/>
    <w:rsid w:val="009B3BD4"/>
    <w:rsid w:val="009C1349"/>
    <w:rsid w:val="009C1DA6"/>
    <w:rsid w:val="009C6494"/>
    <w:rsid w:val="009C770C"/>
    <w:rsid w:val="009E0DB1"/>
    <w:rsid w:val="009E7416"/>
    <w:rsid w:val="009F144F"/>
    <w:rsid w:val="009F188F"/>
    <w:rsid w:val="009F3DCD"/>
    <w:rsid w:val="009F47E3"/>
    <w:rsid w:val="009F7D57"/>
    <w:rsid w:val="00A01A5C"/>
    <w:rsid w:val="00A166AF"/>
    <w:rsid w:val="00A27506"/>
    <w:rsid w:val="00A40D32"/>
    <w:rsid w:val="00A473DC"/>
    <w:rsid w:val="00A60FE5"/>
    <w:rsid w:val="00A63B9A"/>
    <w:rsid w:val="00A65F1E"/>
    <w:rsid w:val="00A6653B"/>
    <w:rsid w:val="00A75BA1"/>
    <w:rsid w:val="00A75DEF"/>
    <w:rsid w:val="00A86B88"/>
    <w:rsid w:val="00A909E5"/>
    <w:rsid w:val="00A93FBA"/>
    <w:rsid w:val="00AA3EDB"/>
    <w:rsid w:val="00AB0355"/>
    <w:rsid w:val="00AB0BA2"/>
    <w:rsid w:val="00B01842"/>
    <w:rsid w:val="00B0634A"/>
    <w:rsid w:val="00B15DDD"/>
    <w:rsid w:val="00B27DC8"/>
    <w:rsid w:val="00B42A9E"/>
    <w:rsid w:val="00B50908"/>
    <w:rsid w:val="00B52D30"/>
    <w:rsid w:val="00B549E8"/>
    <w:rsid w:val="00B57E77"/>
    <w:rsid w:val="00B641A6"/>
    <w:rsid w:val="00B659B1"/>
    <w:rsid w:val="00B66967"/>
    <w:rsid w:val="00B83D0B"/>
    <w:rsid w:val="00B9538D"/>
    <w:rsid w:val="00BA3696"/>
    <w:rsid w:val="00BB0D3E"/>
    <w:rsid w:val="00BB16CA"/>
    <w:rsid w:val="00BB5287"/>
    <w:rsid w:val="00BB720F"/>
    <w:rsid w:val="00BC3A39"/>
    <w:rsid w:val="00BC7FAD"/>
    <w:rsid w:val="00BE7DCC"/>
    <w:rsid w:val="00BF698C"/>
    <w:rsid w:val="00C02D22"/>
    <w:rsid w:val="00C0405A"/>
    <w:rsid w:val="00C36B24"/>
    <w:rsid w:val="00C475A8"/>
    <w:rsid w:val="00C56854"/>
    <w:rsid w:val="00C60149"/>
    <w:rsid w:val="00C71861"/>
    <w:rsid w:val="00C7311C"/>
    <w:rsid w:val="00C768E1"/>
    <w:rsid w:val="00C81FD7"/>
    <w:rsid w:val="00C86A89"/>
    <w:rsid w:val="00C904FA"/>
    <w:rsid w:val="00C91C4E"/>
    <w:rsid w:val="00C928A7"/>
    <w:rsid w:val="00C9790F"/>
    <w:rsid w:val="00CA0F77"/>
    <w:rsid w:val="00CA1CD9"/>
    <w:rsid w:val="00CA2185"/>
    <w:rsid w:val="00CB4405"/>
    <w:rsid w:val="00CC5102"/>
    <w:rsid w:val="00CC76E4"/>
    <w:rsid w:val="00CD2100"/>
    <w:rsid w:val="00CE4AF4"/>
    <w:rsid w:val="00CE4B59"/>
    <w:rsid w:val="00D01B8A"/>
    <w:rsid w:val="00D077FF"/>
    <w:rsid w:val="00D13A5D"/>
    <w:rsid w:val="00D23228"/>
    <w:rsid w:val="00D32228"/>
    <w:rsid w:val="00D464A5"/>
    <w:rsid w:val="00D5357A"/>
    <w:rsid w:val="00D66D62"/>
    <w:rsid w:val="00D706A6"/>
    <w:rsid w:val="00D72841"/>
    <w:rsid w:val="00D736C3"/>
    <w:rsid w:val="00D7471E"/>
    <w:rsid w:val="00D844F3"/>
    <w:rsid w:val="00DA56EF"/>
    <w:rsid w:val="00DD6963"/>
    <w:rsid w:val="00E07B78"/>
    <w:rsid w:val="00E156A7"/>
    <w:rsid w:val="00E1662F"/>
    <w:rsid w:val="00E20DB4"/>
    <w:rsid w:val="00E21563"/>
    <w:rsid w:val="00E24987"/>
    <w:rsid w:val="00E37C71"/>
    <w:rsid w:val="00E423B6"/>
    <w:rsid w:val="00E45702"/>
    <w:rsid w:val="00E52675"/>
    <w:rsid w:val="00E75915"/>
    <w:rsid w:val="00E85FF9"/>
    <w:rsid w:val="00E91362"/>
    <w:rsid w:val="00EA509D"/>
    <w:rsid w:val="00EB2B03"/>
    <w:rsid w:val="00ED1B01"/>
    <w:rsid w:val="00EE139C"/>
    <w:rsid w:val="00EE1C81"/>
    <w:rsid w:val="00EE7481"/>
    <w:rsid w:val="00EF2CA8"/>
    <w:rsid w:val="00F01BA2"/>
    <w:rsid w:val="00F07733"/>
    <w:rsid w:val="00F1126F"/>
    <w:rsid w:val="00F1481C"/>
    <w:rsid w:val="00F224B9"/>
    <w:rsid w:val="00F4075E"/>
    <w:rsid w:val="00F516DD"/>
    <w:rsid w:val="00F51F1D"/>
    <w:rsid w:val="00F60279"/>
    <w:rsid w:val="00F634BD"/>
    <w:rsid w:val="00F71F97"/>
    <w:rsid w:val="00F72F0E"/>
    <w:rsid w:val="00F77BB1"/>
    <w:rsid w:val="00F87BF2"/>
    <w:rsid w:val="00F94138"/>
    <w:rsid w:val="00FA7133"/>
    <w:rsid w:val="00FC1E05"/>
    <w:rsid w:val="00FC350F"/>
    <w:rsid w:val="00FF34DA"/>
    <w:rsid w:val="00FF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4CABA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899"/>
  </w:style>
  <w:style w:type="paragraph" w:styleId="Heading1">
    <w:name w:val="heading 1"/>
    <w:basedOn w:val="Normal"/>
    <w:next w:val="Normal"/>
    <w:link w:val="Heading1Char"/>
    <w:uiPriority w:val="9"/>
    <w:qFormat/>
    <w:rsid w:val="00092BD4"/>
    <w:pPr>
      <w:numPr>
        <w:numId w:val="1"/>
      </w:numPr>
      <w:spacing w:before="18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092BD4"/>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unhideWhenUsed/>
    <w:qFormat/>
    <w:rsid w:val="00092BD4"/>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unhideWhenUsed/>
    <w:qFormat/>
    <w:rsid w:val="00092BD4"/>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092BD4"/>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092BD4"/>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092BD4"/>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092BD4"/>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092BD4"/>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53B"/>
    <w:pPr>
      <w:tabs>
        <w:tab w:val="center" w:pos="4680"/>
        <w:tab w:val="right" w:pos="9360"/>
      </w:tabs>
    </w:pPr>
  </w:style>
  <w:style w:type="character" w:customStyle="1" w:styleId="HeaderChar">
    <w:name w:val="Header Char"/>
    <w:basedOn w:val="DefaultParagraphFont"/>
    <w:link w:val="Header"/>
    <w:uiPriority w:val="99"/>
    <w:rsid w:val="0079253B"/>
  </w:style>
  <w:style w:type="paragraph" w:styleId="Footer">
    <w:name w:val="footer"/>
    <w:basedOn w:val="Normal"/>
    <w:link w:val="FooterChar"/>
    <w:uiPriority w:val="99"/>
    <w:unhideWhenUsed/>
    <w:rsid w:val="0079253B"/>
    <w:pPr>
      <w:tabs>
        <w:tab w:val="center" w:pos="4680"/>
        <w:tab w:val="right" w:pos="9360"/>
      </w:tabs>
    </w:pPr>
  </w:style>
  <w:style w:type="character" w:customStyle="1" w:styleId="FooterChar">
    <w:name w:val="Footer Char"/>
    <w:basedOn w:val="DefaultParagraphFont"/>
    <w:link w:val="Footer"/>
    <w:uiPriority w:val="99"/>
    <w:rsid w:val="0079253B"/>
  </w:style>
  <w:style w:type="character" w:customStyle="1" w:styleId="Heading1Char">
    <w:name w:val="Heading 1 Char"/>
    <w:basedOn w:val="DefaultParagraphFont"/>
    <w:link w:val="Heading1"/>
    <w:uiPriority w:val="9"/>
    <w:rsid w:val="00092BD4"/>
    <w:rPr>
      <w:rFonts w:eastAsiaTheme="majorEastAsia" w:cs="Arial"/>
      <w:b/>
      <w:caps/>
      <w:szCs w:val="32"/>
      <w:u w:val="single"/>
    </w:rPr>
  </w:style>
  <w:style w:type="character" w:customStyle="1" w:styleId="Heading2Char">
    <w:name w:val="Heading 2 Char"/>
    <w:basedOn w:val="DefaultParagraphFont"/>
    <w:link w:val="Heading2"/>
    <w:uiPriority w:val="9"/>
    <w:rsid w:val="00092BD4"/>
    <w:rPr>
      <w:rFonts w:eastAsiaTheme="majorEastAsia" w:cs="Arial"/>
      <w:b/>
      <w:szCs w:val="26"/>
    </w:rPr>
  </w:style>
  <w:style w:type="character" w:customStyle="1" w:styleId="Heading3Char">
    <w:name w:val="Heading 3 Char"/>
    <w:basedOn w:val="DefaultParagraphFont"/>
    <w:link w:val="Heading3"/>
    <w:uiPriority w:val="9"/>
    <w:rsid w:val="00092BD4"/>
    <w:rPr>
      <w:rFonts w:eastAsiaTheme="majorEastAsia" w:cs="Arial"/>
      <w:b/>
    </w:rPr>
  </w:style>
  <w:style w:type="character" w:customStyle="1" w:styleId="Heading4Char">
    <w:name w:val="Heading 4 Char"/>
    <w:basedOn w:val="DefaultParagraphFont"/>
    <w:link w:val="Heading4"/>
    <w:uiPriority w:val="9"/>
    <w:rsid w:val="00092BD4"/>
    <w:rPr>
      <w:rFonts w:eastAsiaTheme="majorEastAsia" w:cs="Arial"/>
      <w:b/>
      <w:i/>
      <w:iCs/>
    </w:rPr>
  </w:style>
  <w:style w:type="character" w:customStyle="1" w:styleId="Heading5Char">
    <w:name w:val="Heading 5 Char"/>
    <w:basedOn w:val="DefaultParagraphFont"/>
    <w:link w:val="Heading5"/>
    <w:uiPriority w:val="9"/>
    <w:semiHidden/>
    <w:rsid w:val="00092BD4"/>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092BD4"/>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092BD4"/>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092BD4"/>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092BD4"/>
    <w:rPr>
      <w:rFonts w:eastAsiaTheme="majorEastAsia" w:cs="Arial"/>
      <w:iCs/>
      <w:color w:val="404040" w:themeColor="text1" w:themeTint="BF"/>
      <w:szCs w:val="21"/>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 Char Char1"/>
    <w:basedOn w:val="DefaultParagraphFont"/>
    <w:link w:val="FootnoteText"/>
    <w:uiPriority w:val="99"/>
    <w:locked/>
    <w:rsid w:val="00951A06"/>
    <w:rPr>
      <w:sz w:val="20"/>
      <w:szCs w:val="20"/>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 Char,ft Char,fn,char,ft"/>
    <w:basedOn w:val="Normal"/>
    <w:link w:val="FootnoteTextChar"/>
    <w:uiPriority w:val="99"/>
    <w:unhideWhenUsed/>
    <w:qFormat/>
    <w:rsid w:val="00951A06"/>
    <w:pPr>
      <w:jc w:val="both"/>
    </w:pPr>
    <w:rPr>
      <w:sz w:val="20"/>
      <w:szCs w:val="20"/>
    </w:rPr>
  </w:style>
  <w:style w:type="character" w:customStyle="1" w:styleId="FootnoteTextChar1">
    <w:name w:val="Footnote Text Char1"/>
    <w:basedOn w:val="DefaultParagraphFont"/>
    <w:uiPriority w:val="99"/>
    <w:semiHidden/>
    <w:rsid w:val="00092BD4"/>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semiHidden/>
    <w:unhideWhenUsed/>
    <w:rsid w:val="00092BD4"/>
    <w:rPr>
      <w:vertAlign w:val="superscript"/>
    </w:rPr>
  </w:style>
  <w:style w:type="paragraph" w:customStyle="1" w:styleId="Footnotes">
    <w:name w:val="Footnotes"/>
    <w:basedOn w:val="Normal"/>
    <w:qFormat/>
    <w:rsid w:val="00881E85"/>
    <w:pPr>
      <w:spacing w:after="120"/>
      <w:jc w:val="both"/>
    </w:pPr>
    <w:rPr>
      <w:rFonts w:cs="Times New Roman"/>
      <w:sz w:val="20"/>
    </w:rPr>
  </w:style>
  <w:style w:type="character" w:customStyle="1" w:styleId="ssrfcpassagedeactivated">
    <w:name w:val="ss_rfcpassage_deactivated"/>
    <w:basedOn w:val="DefaultParagraphFont"/>
    <w:rsid w:val="00142932"/>
  </w:style>
  <w:style w:type="character" w:customStyle="1" w:styleId="sssh">
    <w:name w:val="ss_sh"/>
    <w:basedOn w:val="DefaultParagraphFont"/>
    <w:rsid w:val="00142932"/>
  </w:style>
  <w:style w:type="paragraph" w:styleId="BalloonText">
    <w:name w:val="Balloon Text"/>
    <w:basedOn w:val="Normal"/>
    <w:link w:val="BalloonTextChar"/>
    <w:uiPriority w:val="99"/>
    <w:semiHidden/>
    <w:unhideWhenUsed/>
    <w:rsid w:val="002F2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2"/>
    <w:rPr>
      <w:rFonts w:ascii="Segoe UI" w:hAnsi="Segoe UI" w:cs="Segoe UI"/>
      <w:sz w:val="18"/>
      <w:szCs w:val="18"/>
    </w:rPr>
  </w:style>
  <w:style w:type="character" w:styleId="CommentReference">
    <w:name w:val="annotation reference"/>
    <w:basedOn w:val="DefaultParagraphFont"/>
    <w:uiPriority w:val="99"/>
    <w:semiHidden/>
    <w:unhideWhenUsed/>
    <w:rsid w:val="00F72F0E"/>
    <w:rPr>
      <w:sz w:val="16"/>
      <w:szCs w:val="16"/>
    </w:rPr>
  </w:style>
  <w:style w:type="paragraph" w:styleId="CommentText">
    <w:name w:val="annotation text"/>
    <w:basedOn w:val="Normal"/>
    <w:link w:val="CommentTextChar"/>
    <w:uiPriority w:val="99"/>
    <w:semiHidden/>
    <w:unhideWhenUsed/>
    <w:rsid w:val="00F72F0E"/>
    <w:rPr>
      <w:sz w:val="20"/>
      <w:szCs w:val="20"/>
    </w:rPr>
  </w:style>
  <w:style w:type="character" w:customStyle="1" w:styleId="CommentTextChar">
    <w:name w:val="Comment Text Char"/>
    <w:basedOn w:val="DefaultParagraphFont"/>
    <w:link w:val="CommentText"/>
    <w:uiPriority w:val="99"/>
    <w:semiHidden/>
    <w:rsid w:val="00F72F0E"/>
    <w:rPr>
      <w:sz w:val="20"/>
      <w:szCs w:val="20"/>
    </w:rPr>
  </w:style>
  <w:style w:type="paragraph" w:styleId="CommentSubject">
    <w:name w:val="annotation subject"/>
    <w:basedOn w:val="CommentText"/>
    <w:next w:val="CommentText"/>
    <w:link w:val="CommentSubjectChar"/>
    <w:uiPriority w:val="99"/>
    <w:semiHidden/>
    <w:unhideWhenUsed/>
    <w:rsid w:val="00F72F0E"/>
    <w:rPr>
      <w:b/>
      <w:bCs/>
    </w:rPr>
  </w:style>
  <w:style w:type="character" w:customStyle="1" w:styleId="CommentSubjectChar">
    <w:name w:val="Comment Subject Char"/>
    <w:basedOn w:val="CommentTextChar"/>
    <w:link w:val="CommentSubject"/>
    <w:uiPriority w:val="99"/>
    <w:semiHidden/>
    <w:rsid w:val="00F72F0E"/>
    <w:rPr>
      <w:b/>
      <w:bCs/>
      <w:sz w:val="20"/>
      <w:szCs w:val="20"/>
    </w:rPr>
  </w:style>
  <w:style w:type="character" w:styleId="PageNumber">
    <w:name w:val="page number"/>
    <w:basedOn w:val="DefaultParagraphFont"/>
    <w:rsid w:val="004B5D68"/>
  </w:style>
  <w:style w:type="table" w:styleId="TableGrid">
    <w:name w:val="Table Grid"/>
    <w:basedOn w:val="TableNormal"/>
    <w:uiPriority w:val="59"/>
    <w:rsid w:val="004B5D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Paragraph">
    <w:name w:val="DS Paragraph"/>
    <w:basedOn w:val="Normal"/>
    <w:link w:val="DSParagraphChar"/>
    <w:qFormat/>
    <w:rsid w:val="00396899"/>
    <w:pPr>
      <w:spacing w:line="480" w:lineRule="auto"/>
      <w:ind w:firstLine="720"/>
      <w:jc w:val="both"/>
    </w:pPr>
    <w:rPr>
      <w:rFonts w:eastAsia="Times New Roman" w:cs="Arial"/>
      <w:lang w:eastAsia="x-none"/>
    </w:rPr>
  </w:style>
  <w:style w:type="character" w:customStyle="1" w:styleId="DSParagraphChar">
    <w:name w:val="DS Paragraph Char"/>
    <w:basedOn w:val="DefaultParagraphFont"/>
    <w:link w:val="DSParagraph"/>
    <w:rsid w:val="00396899"/>
    <w:rPr>
      <w:rFonts w:eastAsia="Times New Roman" w:cs="Arial"/>
      <w:lang w:eastAsia="x-none"/>
    </w:rPr>
  </w:style>
  <w:style w:type="paragraph" w:styleId="TOC1">
    <w:name w:val="toc 1"/>
    <w:basedOn w:val="Normal"/>
    <w:next w:val="Normal"/>
    <w:autoRedefine/>
    <w:uiPriority w:val="39"/>
    <w:unhideWhenUsed/>
    <w:rsid w:val="00517CF2"/>
    <w:pPr>
      <w:tabs>
        <w:tab w:val="left" w:pos="720"/>
        <w:tab w:val="right" w:leader="dot" w:pos="9350"/>
      </w:tabs>
      <w:spacing w:after="100"/>
    </w:pPr>
  </w:style>
  <w:style w:type="paragraph" w:styleId="TOC2">
    <w:name w:val="toc 2"/>
    <w:basedOn w:val="Normal"/>
    <w:next w:val="Normal"/>
    <w:autoRedefine/>
    <w:uiPriority w:val="39"/>
    <w:unhideWhenUsed/>
    <w:rsid w:val="00A40D32"/>
    <w:pPr>
      <w:tabs>
        <w:tab w:val="left" w:pos="1440"/>
        <w:tab w:val="right" w:leader="dot" w:pos="9360"/>
      </w:tabs>
      <w:spacing w:after="100"/>
      <w:ind w:left="1440" w:right="720" w:hanging="720"/>
      <w:jc w:val="both"/>
    </w:pPr>
  </w:style>
  <w:style w:type="paragraph" w:styleId="TOC3">
    <w:name w:val="toc 3"/>
    <w:basedOn w:val="Normal"/>
    <w:next w:val="Normal"/>
    <w:autoRedefine/>
    <w:uiPriority w:val="39"/>
    <w:unhideWhenUsed/>
    <w:rsid w:val="00A40D32"/>
    <w:pPr>
      <w:tabs>
        <w:tab w:val="left" w:pos="2160"/>
        <w:tab w:val="right" w:leader="dot" w:pos="9350"/>
      </w:tabs>
      <w:spacing w:after="100"/>
      <w:ind w:left="2160" w:right="720" w:hanging="720"/>
      <w:jc w:val="both"/>
    </w:pPr>
  </w:style>
  <w:style w:type="character" w:styleId="Hyperlink">
    <w:name w:val="Hyperlink"/>
    <w:basedOn w:val="DefaultParagraphFont"/>
    <w:uiPriority w:val="99"/>
    <w:unhideWhenUsed/>
    <w:rsid w:val="00517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4650">
      <w:bodyDiv w:val="1"/>
      <w:marLeft w:val="0"/>
      <w:marRight w:val="0"/>
      <w:marTop w:val="0"/>
      <w:marBottom w:val="0"/>
      <w:divBdr>
        <w:top w:val="none" w:sz="0" w:space="0" w:color="auto"/>
        <w:left w:val="none" w:sz="0" w:space="0" w:color="auto"/>
        <w:bottom w:val="none" w:sz="0" w:space="0" w:color="auto"/>
        <w:right w:val="none" w:sz="0" w:space="0" w:color="auto"/>
      </w:divBdr>
    </w:div>
    <w:div w:id="462771952">
      <w:bodyDiv w:val="1"/>
      <w:marLeft w:val="0"/>
      <w:marRight w:val="0"/>
      <w:marTop w:val="0"/>
      <w:marBottom w:val="0"/>
      <w:divBdr>
        <w:top w:val="none" w:sz="0" w:space="0" w:color="auto"/>
        <w:left w:val="none" w:sz="0" w:space="0" w:color="auto"/>
        <w:bottom w:val="none" w:sz="0" w:space="0" w:color="auto"/>
        <w:right w:val="none" w:sz="0" w:space="0" w:color="auto"/>
      </w:divBdr>
    </w:div>
    <w:div w:id="565340374">
      <w:bodyDiv w:val="1"/>
      <w:marLeft w:val="0"/>
      <w:marRight w:val="0"/>
      <w:marTop w:val="0"/>
      <w:marBottom w:val="0"/>
      <w:divBdr>
        <w:top w:val="none" w:sz="0" w:space="0" w:color="auto"/>
        <w:left w:val="none" w:sz="0" w:space="0" w:color="auto"/>
        <w:bottom w:val="none" w:sz="0" w:space="0" w:color="auto"/>
        <w:right w:val="none" w:sz="0" w:space="0" w:color="auto"/>
      </w:divBdr>
    </w:div>
    <w:div w:id="608393938">
      <w:bodyDiv w:val="1"/>
      <w:marLeft w:val="0"/>
      <w:marRight w:val="0"/>
      <w:marTop w:val="0"/>
      <w:marBottom w:val="0"/>
      <w:divBdr>
        <w:top w:val="none" w:sz="0" w:space="0" w:color="auto"/>
        <w:left w:val="none" w:sz="0" w:space="0" w:color="auto"/>
        <w:bottom w:val="none" w:sz="0" w:space="0" w:color="auto"/>
        <w:right w:val="none" w:sz="0" w:space="0" w:color="auto"/>
      </w:divBdr>
    </w:div>
    <w:div w:id="957955733">
      <w:bodyDiv w:val="1"/>
      <w:marLeft w:val="0"/>
      <w:marRight w:val="0"/>
      <w:marTop w:val="0"/>
      <w:marBottom w:val="0"/>
      <w:divBdr>
        <w:top w:val="none" w:sz="0" w:space="0" w:color="auto"/>
        <w:left w:val="none" w:sz="0" w:space="0" w:color="auto"/>
        <w:bottom w:val="none" w:sz="0" w:space="0" w:color="auto"/>
        <w:right w:val="none" w:sz="0" w:space="0" w:color="auto"/>
      </w:divBdr>
    </w:div>
    <w:div w:id="1141536778">
      <w:bodyDiv w:val="1"/>
      <w:marLeft w:val="0"/>
      <w:marRight w:val="0"/>
      <w:marTop w:val="0"/>
      <w:marBottom w:val="0"/>
      <w:divBdr>
        <w:top w:val="none" w:sz="0" w:space="0" w:color="auto"/>
        <w:left w:val="none" w:sz="0" w:space="0" w:color="auto"/>
        <w:bottom w:val="none" w:sz="0" w:space="0" w:color="auto"/>
        <w:right w:val="none" w:sz="0" w:space="0" w:color="auto"/>
      </w:divBdr>
    </w:div>
    <w:div w:id="1260913978">
      <w:bodyDiv w:val="1"/>
      <w:marLeft w:val="0"/>
      <w:marRight w:val="0"/>
      <w:marTop w:val="0"/>
      <w:marBottom w:val="0"/>
      <w:divBdr>
        <w:top w:val="none" w:sz="0" w:space="0" w:color="auto"/>
        <w:left w:val="none" w:sz="0" w:space="0" w:color="auto"/>
        <w:bottom w:val="none" w:sz="0" w:space="0" w:color="auto"/>
        <w:right w:val="none" w:sz="0" w:space="0" w:color="auto"/>
      </w:divBdr>
    </w:div>
    <w:div w:id="1386219809">
      <w:bodyDiv w:val="1"/>
      <w:marLeft w:val="0"/>
      <w:marRight w:val="0"/>
      <w:marTop w:val="0"/>
      <w:marBottom w:val="0"/>
      <w:divBdr>
        <w:top w:val="none" w:sz="0" w:space="0" w:color="auto"/>
        <w:left w:val="none" w:sz="0" w:space="0" w:color="auto"/>
        <w:bottom w:val="none" w:sz="0" w:space="0" w:color="auto"/>
        <w:right w:val="none" w:sz="0" w:space="0" w:color="auto"/>
      </w:divBdr>
    </w:div>
    <w:div w:id="1831678896">
      <w:bodyDiv w:val="1"/>
      <w:marLeft w:val="0"/>
      <w:marRight w:val="0"/>
      <w:marTop w:val="0"/>
      <w:marBottom w:val="0"/>
      <w:divBdr>
        <w:top w:val="none" w:sz="0" w:space="0" w:color="auto"/>
        <w:left w:val="none" w:sz="0" w:space="0" w:color="auto"/>
        <w:bottom w:val="none" w:sz="0" w:space="0" w:color="auto"/>
        <w:right w:val="none" w:sz="0" w:space="0" w:color="auto"/>
      </w:divBdr>
    </w:div>
    <w:div w:id="1931771534">
      <w:bodyDiv w:val="1"/>
      <w:marLeft w:val="0"/>
      <w:marRight w:val="0"/>
      <w:marTop w:val="0"/>
      <w:marBottom w:val="0"/>
      <w:divBdr>
        <w:top w:val="none" w:sz="0" w:space="0" w:color="auto"/>
        <w:left w:val="none" w:sz="0" w:space="0" w:color="auto"/>
        <w:bottom w:val="none" w:sz="0" w:space="0" w:color="auto"/>
        <w:right w:val="none" w:sz="0" w:space="0" w:color="auto"/>
      </w:divBdr>
    </w:div>
    <w:div w:id="1994986489">
      <w:bodyDiv w:val="1"/>
      <w:marLeft w:val="0"/>
      <w:marRight w:val="0"/>
      <w:marTop w:val="0"/>
      <w:marBottom w:val="0"/>
      <w:divBdr>
        <w:top w:val="none" w:sz="0" w:space="0" w:color="auto"/>
        <w:left w:val="none" w:sz="0" w:space="0" w:color="auto"/>
        <w:bottom w:val="none" w:sz="0" w:space="0" w:color="auto"/>
        <w:right w:val="none" w:sz="0" w:space="0" w:color="auto"/>
      </w:divBdr>
    </w:div>
    <w:div w:id="2118938568">
      <w:bodyDiv w:val="1"/>
      <w:marLeft w:val="0"/>
      <w:marRight w:val="0"/>
      <w:marTop w:val="0"/>
      <w:marBottom w:val="0"/>
      <w:divBdr>
        <w:top w:val="none" w:sz="0" w:space="0" w:color="auto"/>
        <w:left w:val="none" w:sz="0" w:space="0" w:color="auto"/>
        <w:bottom w:val="none" w:sz="0" w:space="0" w:color="auto"/>
        <w:right w:val="none" w:sz="0" w:space="0" w:color="auto"/>
      </w:divBdr>
    </w:div>
    <w:div w:id="21384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8DE2-82A8-4449-8E32-50B8B0C6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5625</Words>
  <Characters>31569</Characters>
  <Application>Microsoft Office Word</Application>
  <DocSecurity>0</DocSecurity>
  <PresentationFormat>15|.DOCX</PresentationFormat>
  <Lines>846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2017-10-13T15:14:00Z</dcterms:created>
  <dcterms:modified xsi:type="dcterms:W3CDTF">2017-10-13T15:18:00Z</dcterms:modified>
</cp:coreProperties>
</file>