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52273" w:rsidRPr="00DB0C4C" w:rsidP="00952273" w14:paraId="7F44DCA9" w14:textId="77777777">
      <w:pPr>
        <w:pStyle w:val="List"/>
        <w:ind w:left="0" w:firstLine="0"/>
        <w:jc w:val="center"/>
        <w:rPr>
          <w:b/>
          <w:szCs w:val="24"/>
        </w:rPr>
      </w:pPr>
      <w:r w:rsidRPr="00DB0C4C">
        <w:rPr>
          <w:b/>
          <w:szCs w:val="24"/>
        </w:rPr>
        <w:t>BEFORE</w:t>
      </w:r>
    </w:p>
    <w:p w:rsidR="00952273" w:rsidRPr="00DB0C4C" w:rsidP="00952273" w14:paraId="0FD243CC" w14:textId="77777777">
      <w:pPr>
        <w:pStyle w:val="List"/>
        <w:ind w:left="0" w:firstLine="0"/>
        <w:jc w:val="center"/>
        <w:rPr>
          <w:b/>
          <w:szCs w:val="24"/>
        </w:rPr>
      </w:pPr>
      <w:r w:rsidRPr="00DB0C4C">
        <w:rPr>
          <w:b/>
          <w:szCs w:val="24"/>
        </w:rPr>
        <w:t>THE PUBLIC UTILITIES COMMISSION OF OHIO</w:t>
      </w:r>
    </w:p>
    <w:p w:rsidR="00952273" w:rsidRPr="00DB0C4C" w:rsidP="00952273" w14:paraId="107F9B17" w14:textId="77777777">
      <w:pPr>
        <w:pStyle w:val="List"/>
        <w:ind w:left="0" w:firstLine="0"/>
        <w:jc w:val="center"/>
        <w:rPr>
          <w:b/>
          <w:szCs w:val="24"/>
        </w:rPr>
      </w:pPr>
    </w:p>
    <w:tbl>
      <w:tblPr>
        <w:tblW w:w="9360" w:type="dxa"/>
        <w:tblLook w:val="01E0"/>
      </w:tblPr>
      <w:tblGrid>
        <w:gridCol w:w="4230"/>
        <w:gridCol w:w="630"/>
        <w:gridCol w:w="4500"/>
      </w:tblGrid>
      <w:tr w14:paraId="0C250D34" w14:textId="77777777" w:rsidTr="00265755">
        <w:tblPrEx>
          <w:tblW w:w="9360" w:type="dxa"/>
          <w:tblLook w:val="01E0"/>
        </w:tblPrEx>
        <w:trPr>
          <w:trHeight w:val="807"/>
        </w:trPr>
        <w:tc>
          <w:tcPr>
            <w:tcW w:w="4230" w:type="dxa"/>
            <w:shd w:val="clear" w:color="auto" w:fill="auto"/>
          </w:tcPr>
          <w:p w:rsidR="00952273" w:rsidRPr="00DB0C4C" w:rsidP="00265755" w14:paraId="0A6D7AC1"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952273" w:rsidRPr="00DB0C4C" w:rsidP="00265755" w14:paraId="250AF6D6"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952273" w:rsidRPr="00DB0C4C" w:rsidP="00265755" w14:paraId="30AC367A"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952273" w:rsidRPr="00DB0C4C" w:rsidP="00265755" w14:paraId="59B2ABC7"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952273" w:rsidRPr="00DB0C4C" w:rsidP="00265755" w14:paraId="3674D9BE"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952273" w:rsidRPr="00DB0C4C" w:rsidP="00265755" w14:paraId="3BD22FCE"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952273" w:rsidRPr="00DB0C4C" w:rsidP="00265755" w14:paraId="0980CD41"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tc>
        <w:tc>
          <w:tcPr>
            <w:tcW w:w="4500" w:type="dxa"/>
            <w:shd w:val="clear" w:color="auto" w:fill="auto"/>
          </w:tcPr>
          <w:p w:rsidR="00952273" w:rsidRPr="00DB0C4C" w:rsidP="00265755" w14:paraId="2D4EDACE" w14:textId="77777777">
            <w:pPr>
              <w:pStyle w:val="HTMLPreformatted"/>
              <w:rPr>
                <w:rFonts w:ascii="Times New Roman" w:hAnsi="Times New Roman" w:cs="Times New Roman"/>
                <w:sz w:val="24"/>
                <w:szCs w:val="24"/>
              </w:rPr>
            </w:pPr>
          </w:p>
          <w:p w:rsidR="00952273" w:rsidRPr="00DB0C4C" w:rsidP="00265755" w14:paraId="452CE069" w14:textId="77777777">
            <w:pPr>
              <w:pStyle w:val="HTMLPreformatted"/>
              <w:rPr>
                <w:rFonts w:ascii="Times New Roman" w:hAnsi="Times New Roman" w:cs="Times New Roman"/>
                <w:sz w:val="24"/>
                <w:szCs w:val="24"/>
              </w:rPr>
            </w:pPr>
          </w:p>
          <w:p w:rsidR="00952273" w:rsidRPr="00DB0C4C" w:rsidP="00265755" w14:paraId="65A9F23C"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Case No. 17-974-EL-UNC</w:t>
            </w:r>
          </w:p>
          <w:p w:rsidR="00952273" w:rsidRPr="00DB0C4C" w:rsidP="00265755" w14:paraId="43BEDCAF" w14:textId="77777777">
            <w:pPr>
              <w:pStyle w:val="HTMLPreformatted"/>
              <w:rPr>
                <w:rFonts w:ascii="Times New Roman" w:hAnsi="Times New Roman" w:cs="Times New Roman"/>
                <w:sz w:val="24"/>
                <w:szCs w:val="24"/>
              </w:rPr>
            </w:pPr>
          </w:p>
        </w:tc>
      </w:tr>
    </w:tbl>
    <w:p w:rsidR="00952273" w:rsidRPr="00DB0C4C" w:rsidP="00952273" w14:paraId="04783F63" w14:textId="77777777">
      <w:pPr>
        <w:pBdr>
          <w:bottom w:val="single" w:sz="12" w:space="1" w:color="auto"/>
        </w:pBdr>
        <w:rPr>
          <w:szCs w:val="24"/>
        </w:rPr>
      </w:pPr>
    </w:p>
    <w:p w:rsidR="00952273" w:rsidRPr="00DB0C4C" w:rsidP="00952273" w14:paraId="142474FC" w14:textId="77777777">
      <w:pPr>
        <w:rPr>
          <w:b/>
          <w:bCs/>
          <w:szCs w:val="24"/>
        </w:rPr>
      </w:pPr>
    </w:p>
    <w:p w:rsidR="00952273" w:rsidRPr="00DB0C4C" w:rsidP="00952273" w14:paraId="55A8ADFA" w14:textId="77777777">
      <w:pPr>
        <w:jc w:val="center"/>
        <w:rPr>
          <w:b/>
          <w:bCs/>
          <w:szCs w:val="24"/>
        </w:rPr>
      </w:pPr>
      <w:r w:rsidRPr="00DB0C4C">
        <w:rPr>
          <w:b/>
          <w:bCs/>
          <w:szCs w:val="24"/>
        </w:rPr>
        <w:t>MEMORANDUM CONTRA TO</w:t>
      </w:r>
      <w:r w:rsidRPr="00DB0C4C">
        <w:rPr>
          <w:b/>
          <w:szCs w:val="24"/>
        </w:rPr>
        <w:t xml:space="preserve"> THE </w:t>
      </w:r>
      <w:r w:rsidRPr="00DB0C4C">
        <w:rPr>
          <w:b/>
          <w:bCs/>
          <w:szCs w:val="24"/>
        </w:rPr>
        <w:t xml:space="preserve">FIRSTENERGY UTILITIES’ </w:t>
      </w:r>
      <w:r w:rsidRPr="00DB0C4C">
        <w:rPr>
          <w:b/>
          <w:szCs w:val="24"/>
        </w:rPr>
        <w:t xml:space="preserve">MOTION </w:t>
      </w:r>
      <w:r w:rsidRPr="00DB0C4C">
        <w:rPr>
          <w:b/>
          <w:bCs/>
          <w:szCs w:val="24"/>
        </w:rPr>
        <w:t xml:space="preserve">FOR A PROTECTIVE ORDER </w:t>
      </w:r>
    </w:p>
    <w:p w:rsidR="00952273" w:rsidRPr="00DB0C4C" w:rsidP="00952273" w14:paraId="43274622" w14:textId="77777777">
      <w:pPr>
        <w:jc w:val="center"/>
        <w:rPr>
          <w:b/>
          <w:bCs/>
          <w:szCs w:val="24"/>
        </w:rPr>
      </w:pPr>
      <w:r w:rsidRPr="00DB0C4C">
        <w:rPr>
          <w:b/>
          <w:szCs w:val="24"/>
        </w:rPr>
        <w:t>BY</w:t>
      </w:r>
    </w:p>
    <w:p w:rsidR="00952273" w:rsidRPr="00DB0C4C" w:rsidP="00952273" w14:paraId="54BA58EC" w14:textId="305E1CE6">
      <w:pPr>
        <w:pBdr>
          <w:bottom w:val="single" w:sz="12" w:space="1" w:color="auto"/>
        </w:pBdr>
        <w:jc w:val="center"/>
        <w:rPr>
          <w:b/>
          <w:szCs w:val="24"/>
        </w:rPr>
      </w:pPr>
      <w:r w:rsidRPr="00DB0C4C">
        <w:rPr>
          <w:b/>
          <w:szCs w:val="24"/>
        </w:rPr>
        <w:t>OFFICE OF THE OHIO CONSUMERS’ COUNSEL</w:t>
      </w:r>
    </w:p>
    <w:p w:rsidR="00903356" w:rsidRPr="00DB0C4C" w:rsidP="00952273" w14:paraId="25877E25" w14:textId="77777777">
      <w:pPr>
        <w:pBdr>
          <w:bottom w:val="single" w:sz="12" w:space="1" w:color="auto"/>
        </w:pBdr>
        <w:jc w:val="center"/>
        <w:rPr>
          <w:b/>
          <w:bCs/>
          <w:szCs w:val="24"/>
        </w:rPr>
      </w:pPr>
    </w:p>
    <w:p w:rsidR="00952273" w:rsidRPr="00DB0C4C" w:rsidP="005D2D59" w14:paraId="1DC6BF0A" w14:textId="77777777">
      <w:pPr>
        <w:pStyle w:val="List"/>
        <w:ind w:left="0" w:firstLine="0"/>
        <w:jc w:val="center"/>
        <w:rPr>
          <w:b/>
          <w:szCs w:val="24"/>
        </w:rPr>
      </w:pPr>
    </w:p>
    <w:p w:rsidR="00952273" w:rsidRPr="00DB0C4C" w:rsidP="00952273" w14:paraId="17720813" w14:textId="77777777">
      <w:pPr>
        <w:ind w:left="3600"/>
        <w:rPr>
          <w:szCs w:val="24"/>
        </w:rPr>
      </w:pPr>
      <w:r w:rsidRPr="00DB0C4C">
        <w:rPr>
          <w:szCs w:val="24"/>
        </w:rPr>
        <w:t>Bruce Weston (0016973)</w:t>
      </w:r>
    </w:p>
    <w:p w:rsidR="00952273" w:rsidRPr="00DB0C4C" w:rsidP="00952273" w14:paraId="0CAC7282" w14:textId="634B9AD2">
      <w:pPr>
        <w:ind w:left="3600"/>
        <w:rPr>
          <w:szCs w:val="24"/>
        </w:rPr>
      </w:pPr>
      <w:r w:rsidRPr="00DB0C4C">
        <w:rPr>
          <w:szCs w:val="24"/>
        </w:rPr>
        <w:t>Ohio Consumers’ Counsel</w:t>
      </w:r>
    </w:p>
    <w:p w:rsidR="00952273" w:rsidRPr="00DB0C4C" w:rsidP="00406BCB" w14:paraId="0FA632C5" w14:textId="2D86E7B3">
      <w:pPr>
        <w:ind w:left="3600"/>
        <w:rPr>
          <w:szCs w:val="24"/>
        </w:rPr>
      </w:pPr>
      <w:r w:rsidRPr="00DB0C4C">
        <w:rPr>
          <w:szCs w:val="24"/>
        </w:rPr>
        <w:t xml:space="preserve"> </w:t>
      </w:r>
    </w:p>
    <w:p w:rsidR="00952273" w:rsidRPr="00DB0C4C" w:rsidP="00952273" w14:paraId="75F6746C" w14:textId="77777777">
      <w:pPr>
        <w:suppressLineNumbers/>
        <w:ind w:left="3600"/>
        <w:rPr>
          <w:szCs w:val="24"/>
        </w:rPr>
      </w:pPr>
      <w:r w:rsidRPr="00DB0C4C">
        <w:rPr>
          <w:szCs w:val="24"/>
        </w:rPr>
        <w:t xml:space="preserve">Maureen R. Willis (0020847) </w:t>
      </w:r>
    </w:p>
    <w:p w:rsidR="00952273" w:rsidRPr="00DB0C4C" w:rsidP="00952273" w14:paraId="0ADD50AB" w14:textId="77777777">
      <w:pPr>
        <w:suppressLineNumbers/>
        <w:ind w:left="3600"/>
        <w:rPr>
          <w:szCs w:val="24"/>
        </w:rPr>
      </w:pPr>
      <w:r w:rsidRPr="00DB0C4C">
        <w:rPr>
          <w:szCs w:val="24"/>
        </w:rPr>
        <w:t xml:space="preserve">Counsel of Record </w:t>
      </w:r>
    </w:p>
    <w:p w:rsidR="00952273" w:rsidRPr="00DB0C4C" w:rsidP="00952273" w14:paraId="676C664B" w14:textId="77777777">
      <w:pPr>
        <w:suppressLineNumbers/>
        <w:ind w:left="3600"/>
        <w:rPr>
          <w:szCs w:val="24"/>
        </w:rPr>
      </w:pPr>
      <w:r w:rsidRPr="00DB0C4C">
        <w:rPr>
          <w:szCs w:val="24"/>
        </w:rPr>
        <w:t>John Finnigan (0018689)</w:t>
      </w:r>
    </w:p>
    <w:p w:rsidR="00952273" w:rsidRPr="00DB0C4C" w:rsidP="00952273" w14:paraId="449D3199" w14:textId="77777777">
      <w:pPr>
        <w:suppressLineNumbers/>
        <w:ind w:left="3600"/>
        <w:rPr>
          <w:szCs w:val="24"/>
        </w:rPr>
      </w:pPr>
      <w:r w:rsidRPr="00DB0C4C">
        <w:rPr>
          <w:szCs w:val="24"/>
        </w:rPr>
        <w:t>Connor D. Semple (0101102)</w:t>
      </w:r>
    </w:p>
    <w:p w:rsidR="00952273" w:rsidRPr="00DB0C4C" w:rsidP="00952273" w14:paraId="5D849911" w14:textId="77777777">
      <w:pPr>
        <w:suppressLineNumbers/>
        <w:ind w:left="3600"/>
        <w:rPr>
          <w:szCs w:val="24"/>
        </w:rPr>
      </w:pPr>
      <w:r w:rsidRPr="00DB0C4C">
        <w:rPr>
          <w:szCs w:val="24"/>
        </w:rPr>
        <w:t>Assistant Consumers’ Counsel</w:t>
      </w:r>
    </w:p>
    <w:p w:rsidR="00952273" w:rsidRPr="00DB0C4C" w:rsidP="00952273" w14:paraId="42F0FCE3" w14:textId="77777777">
      <w:pPr>
        <w:suppressLineNumbers/>
        <w:ind w:left="3600"/>
        <w:rPr>
          <w:szCs w:val="24"/>
        </w:rPr>
      </w:pPr>
      <w:r w:rsidRPr="00DB0C4C">
        <w:rPr>
          <w:szCs w:val="24"/>
        </w:rPr>
        <w:tab/>
      </w:r>
    </w:p>
    <w:p w:rsidR="00952273" w:rsidRPr="00DB0C4C" w:rsidP="00952273" w14:paraId="322276E5" w14:textId="77777777">
      <w:pPr>
        <w:suppressLineNumbers/>
        <w:ind w:left="3600"/>
        <w:rPr>
          <w:b/>
          <w:bCs/>
          <w:szCs w:val="24"/>
        </w:rPr>
      </w:pPr>
      <w:r w:rsidRPr="00DB0C4C">
        <w:rPr>
          <w:b/>
          <w:szCs w:val="24"/>
        </w:rPr>
        <w:t>Office of the Ohio Consumers’ Counsel</w:t>
      </w:r>
    </w:p>
    <w:p w:rsidR="00952273" w:rsidRPr="00DB0C4C" w:rsidP="00952273" w14:paraId="6F37EE47" w14:textId="77777777">
      <w:pPr>
        <w:suppressLineNumbers/>
        <w:ind w:left="3600"/>
        <w:rPr>
          <w:bCs/>
          <w:szCs w:val="24"/>
        </w:rPr>
      </w:pPr>
      <w:r w:rsidRPr="00DB0C4C">
        <w:rPr>
          <w:szCs w:val="24"/>
        </w:rPr>
        <w:t>65 East State Street, Suite 700</w:t>
      </w:r>
    </w:p>
    <w:p w:rsidR="00952273" w:rsidRPr="00DB0C4C" w:rsidP="00952273" w14:paraId="4FBD17BF" w14:textId="77777777">
      <w:pPr>
        <w:suppressLineNumbers/>
        <w:ind w:left="3600"/>
        <w:rPr>
          <w:bCs/>
          <w:szCs w:val="24"/>
        </w:rPr>
      </w:pPr>
      <w:r w:rsidRPr="00DB0C4C">
        <w:rPr>
          <w:szCs w:val="24"/>
        </w:rPr>
        <w:t>Columbus, Ohio 43215</w:t>
      </w:r>
    </w:p>
    <w:p w:rsidR="00952273" w:rsidRPr="00DB0C4C" w:rsidP="00952273" w14:paraId="2444E144" w14:textId="77777777">
      <w:pPr>
        <w:suppressLineNumbers/>
        <w:ind w:left="3600"/>
        <w:rPr>
          <w:szCs w:val="24"/>
        </w:rPr>
      </w:pPr>
      <w:r w:rsidRPr="00DB0C4C">
        <w:rPr>
          <w:szCs w:val="24"/>
        </w:rPr>
        <w:t>Telephone [Willis]: (614) 466-9567</w:t>
      </w:r>
    </w:p>
    <w:p w:rsidR="00952273" w:rsidRPr="00DB0C4C" w:rsidP="00952273" w14:paraId="0182B03E" w14:textId="77777777">
      <w:pPr>
        <w:suppressLineNumbers/>
        <w:ind w:left="3600"/>
        <w:rPr>
          <w:szCs w:val="24"/>
        </w:rPr>
      </w:pPr>
      <w:r w:rsidRPr="00DB0C4C">
        <w:rPr>
          <w:szCs w:val="24"/>
        </w:rPr>
        <w:t>Telephone [Finnigan]: (614) 466-9585</w:t>
      </w:r>
    </w:p>
    <w:p w:rsidR="00952273" w:rsidRPr="00DB0C4C" w:rsidP="00952273" w14:paraId="0DAFF964" w14:textId="77777777">
      <w:pPr>
        <w:suppressLineNumbers/>
        <w:ind w:left="3600"/>
        <w:rPr>
          <w:szCs w:val="24"/>
        </w:rPr>
      </w:pPr>
      <w:r w:rsidRPr="00DB0C4C">
        <w:rPr>
          <w:szCs w:val="24"/>
        </w:rPr>
        <w:t>Telephone [Semple]: (614) 466-9565</w:t>
      </w:r>
    </w:p>
    <w:p w:rsidR="00952273" w:rsidRPr="00DB0C4C" w:rsidP="00952273" w14:paraId="32FF3404" w14:textId="77777777">
      <w:pPr>
        <w:suppressLineNumbers/>
        <w:ind w:left="3600"/>
        <w:rPr>
          <w:color w:val="0000FF"/>
          <w:szCs w:val="24"/>
        </w:rPr>
      </w:pPr>
      <w:hyperlink r:id="rId6" w:history="1">
        <w:r w:rsidRPr="00DB0C4C">
          <w:rPr>
            <w:rStyle w:val="Hyperlink"/>
            <w:color w:val="0000FF"/>
            <w:szCs w:val="24"/>
          </w:rPr>
          <w:t>maureen.willis@occ.ohio.gov</w:t>
        </w:r>
      </w:hyperlink>
    </w:p>
    <w:p w:rsidR="00952273" w:rsidRPr="00DB0C4C" w:rsidP="00952273" w14:paraId="037B55C3" w14:textId="77777777">
      <w:pPr>
        <w:suppressLineNumbers/>
        <w:ind w:left="3600"/>
        <w:rPr>
          <w:color w:val="0000FF"/>
          <w:szCs w:val="24"/>
        </w:rPr>
      </w:pPr>
      <w:hyperlink r:id="rId7" w:history="1">
        <w:r w:rsidRPr="00DB0C4C">
          <w:rPr>
            <w:rStyle w:val="Hyperlink"/>
            <w:color w:val="0000FF"/>
            <w:szCs w:val="24"/>
          </w:rPr>
          <w:t>john.finnigan@occ.ohio.gov</w:t>
        </w:r>
      </w:hyperlink>
    </w:p>
    <w:p w:rsidR="00952273" w:rsidRPr="00DB0C4C" w:rsidP="00952273" w14:paraId="2D95BC92" w14:textId="77777777">
      <w:pPr>
        <w:suppressLineNumbers/>
        <w:ind w:left="3600"/>
        <w:rPr>
          <w:color w:val="0000FF"/>
          <w:szCs w:val="24"/>
        </w:rPr>
      </w:pPr>
      <w:hyperlink r:id="rId8" w:history="1">
        <w:r w:rsidRPr="00DB0C4C">
          <w:rPr>
            <w:rStyle w:val="Hyperlink"/>
            <w:color w:val="0000FF"/>
            <w:szCs w:val="24"/>
          </w:rPr>
          <w:t>connor.semple@occ.ohio.gov</w:t>
        </w:r>
      </w:hyperlink>
    </w:p>
    <w:p w:rsidR="00952273" w:rsidRPr="00DB0C4C" w:rsidP="00952273" w14:paraId="646FFB00" w14:textId="23274D13">
      <w:pPr>
        <w:suppressLineNumbers/>
        <w:ind w:left="3600"/>
        <w:rPr>
          <w:szCs w:val="24"/>
        </w:rPr>
      </w:pPr>
      <w:r w:rsidRPr="00DB0C4C">
        <w:rPr>
          <w:szCs w:val="24"/>
        </w:rPr>
        <w:t>(willing to accept service by email)</w:t>
      </w:r>
    </w:p>
    <w:p w:rsidR="00952273" w:rsidRPr="00DB0C4C" w:rsidP="00952273" w14:paraId="272480D4" w14:textId="77777777">
      <w:pPr>
        <w:ind w:left="3600"/>
        <w:rPr>
          <w:i/>
          <w:iCs/>
          <w:szCs w:val="24"/>
        </w:rPr>
      </w:pPr>
    </w:p>
    <w:p w:rsidR="00952273" w:rsidRPr="00DB0C4C" w:rsidP="00952273" w14:paraId="4575E675" w14:textId="247F9A4C">
      <w:pPr>
        <w:ind w:left="3600"/>
        <w:rPr>
          <w:b/>
          <w:bCs/>
          <w:szCs w:val="24"/>
        </w:rPr>
      </w:pPr>
      <w:r w:rsidRPr="00DB0C4C">
        <w:rPr>
          <w:b/>
          <w:bCs/>
          <w:szCs w:val="24"/>
        </w:rPr>
        <w:t>Isaac Wiles &amp; Burkholder, LLC</w:t>
      </w:r>
    </w:p>
    <w:p w:rsidR="00952273" w:rsidRPr="00DB0C4C" w:rsidP="00952273" w14:paraId="5716FA88" w14:textId="77777777">
      <w:pPr>
        <w:ind w:left="3600"/>
        <w:rPr>
          <w:b/>
          <w:bCs/>
          <w:szCs w:val="24"/>
        </w:rPr>
      </w:pPr>
      <w:r w:rsidRPr="00DB0C4C">
        <w:rPr>
          <w:szCs w:val="24"/>
        </w:rPr>
        <w:t>Brian M. Zets (0066544)</w:t>
      </w:r>
    </w:p>
    <w:p w:rsidR="00952273" w:rsidRPr="00DB0C4C" w:rsidP="00952273" w14:paraId="2796200E" w14:textId="77777777">
      <w:pPr>
        <w:ind w:left="3600"/>
        <w:rPr>
          <w:b/>
          <w:bCs/>
          <w:szCs w:val="24"/>
        </w:rPr>
      </w:pPr>
      <w:r w:rsidRPr="00DB0C4C">
        <w:rPr>
          <w:szCs w:val="24"/>
        </w:rPr>
        <w:t>Two Miranova Place, Suite 700</w:t>
      </w:r>
    </w:p>
    <w:p w:rsidR="00952273" w:rsidRPr="00DB0C4C" w:rsidP="00952273" w14:paraId="45587B19" w14:textId="77777777">
      <w:pPr>
        <w:ind w:left="3600"/>
        <w:rPr>
          <w:szCs w:val="24"/>
        </w:rPr>
      </w:pPr>
      <w:r w:rsidRPr="00DB0C4C">
        <w:rPr>
          <w:szCs w:val="24"/>
        </w:rPr>
        <w:t>Columbus, Ohio 43215</w:t>
      </w:r>
    </w:p>
    <w:p w:rsidR="00952273" w:rsidRPr="00DB0C4C" w:rsidP="00952273" w14:paraId="6E7748E5" w14:textId="77777777">
      <w:pPr>
        <w:ind w:left="3600"/>
        <w:rPr>
          <w:szCs w:val="24"/>
        </w:rPr>
      </w:pPr>
      <w:r w:rsidRPr="00DB0C4C">
        <w:rPr>
          <w:szCs w:val="24"/>
        </w:rPr>
        <w:t>Telephone: (614) 221-2121</w:t>
      </w:r>
    </w:p>
    <w:p w:rsidR="00952273" w:rsidRPr="00DB0C4C" w:rsidP="00952273" w14:paraId="713458B9" w14:textId="77777777">
      <w:pPr>
        <w:ind w:left="3600"/>
        <w:rPr>
          <w:color w:val="0000FF"/>
          <w:szCs w:val="24"/>
        </w:rPr>
      </w:pPr>
      <w:hyperlink r:id="rId9" w:history="1">
        <w:r w:rsidRPr="00DB0C4C">
          <w:rPr>
            <w:rStyle w:val="Hyperlink"/>
            <w:color w:val="0000FF"/>
            <w:szCs w:val="24"/>
          </w:rPr>
          <w:t>bzets@isaacwiles.com</w:t>
        </w:r>
      </w:hyperlink>
    </w:p>
    <w:p w:rsidR="00952273" w:rsidRPr="00DB0C4C" w:rsidP="00952273" w14:paraId="003CA1D4" w14:textId="77777777">
      <w:pPr>
        <w:ind w:left="3600"/>
        <w:rPr>
          <w:szCs w:val="24"/>
        </w:rPr>
      </w:pPr>
      <w:r w:rsidRPr="00DB0C4C">
        <w:rPr>
          <w:szCs w:val="24"/>
        </w:rPr>
        <w:t>(willing to accept service by e-mail)</w:t>
      </w:r>
    </w:p>
    <w:p w:rsidR="00952273" w:rsidRPr="00DB0C4C" w:rsidP="00952273" w14:paraId="3118F5CB" w14:textId="77777777">
      <w:pPr>
        <w:ind w:left="3600"/>
        <w:rPr>
          <w:i/>
          <w:iCs/>
          <w:szCs w:val="24"/>
        </w:rPr>
      </w:pPr>
    </w:p>
    <w:p w:rsidR="00867805" w:rsidRPr="00DB0C4C" w:rsidP="00E45488" w14:paraId="0E7D2868" w14:textId="77777777">
      <w:pPr>
        <w:ind w:left="3600" w:hanging="3600"/>
        <w:rPr>
          <w:i/>
          <w:iCs/>
          <w:szCs w:val="24"/>
        </w:rPr>
        <w:sectPr w:rsidSect="00867805">
          <w:pgSz w:w="12240" w:h="15840"/>
          <w:pgMar w:top="1440" w:right="1800" w:bottom="1440" w:left="1800" w:header="720" w:footer="720" w:gutter="0"/>
          <w:pgNumType w:fmt="lowerRoman" w:start="1"/>
          <w:cols w:space="720"/>
          <w:docGrid w:linePitch="360"/>
        </w:sectPr>
      </w:pPr>
      <w:r w:rsidRPr="00DB0C4C">
        <w:rPr>
          <w:szCs w:val="24"/>
        </w:rPr>
        <w:t>May 24, 2022</w:t>
      </w:r>
      <w:r w:rsidRPr="00DB0C4C">
        <w:rPr>
          <w:i/>
          <w:iCs/>
          <w:szCs w:val="24"/>
        </w:rPr>
        <w:tab/>
      </w:r>
      <w:r w:rsidRPr="00DB0C4C" w:rsidR="00952273">
        <w:rPr>
          <w:i/>
          <w:iCs/>
          <w:szCs w:val="24"/>
        </w:rPr>
        <w:t>Counsel for Office of the Ohio Consumers’ Counsel</w:t>
      </w:r>
    </w:p>
    <w:p w:rsidR="00DB51AB" w:rsidRPr="00DB0C4C" w:rsidP="00DB51AB" w14:paraId="4E5E5B6A" w14:textId="77777777">
      <w:pPr>
        <w:jc w:val="center"/>
        <w:rPr>
          <w:b/>
          <w:caps/>
          <w:szCs w:val="24"/>
          <w:u w:val="single"/>
          <w:lang w:eastAsia="ja-JP"/>
        </w:rPr>
      </w:pPr>
      <w:r w:rsidRPr="00DB0C4C">
        <w:rPr>
          <w:b/>
          <w:caps/>
          <w:szCs w:val="24"/>
          <w:u w:val="single"/>
          <w:lang w:eastAsia="ja-JP"/>
        </w:rPr>
        <w:t>TABLE OF CONTENTS</w:t>
      </w:r>
    </w:p>
    <w:p w:rsidR="00DB51AB" w:rsidRPr="00DB0C4C" w:rsidP="00DB51AB" w14:paraId="14E5D5D7" w14:textId="77777777">
      <w:pPr>
        <w:jc w:val="right"/>
        <w:rPr>
          <w:b/>
          <w:caps/>
          <w:szCs w:val="24"/>
          <w:lang w:eastAsia="ja-JP"/>
        </w:rPr>
      </w:pPr>
      <w:r w:rsidRPr="00DB0C4C">
        <w:rPr>
          <w:b/>
          <w:caps/>
          <w:szCs w:val="24"/>
          <w:lang w:eastAsia="ja-JP"/>
        </w:rPr>
        <w:t>PAGE</w:t>
      </w:r>
    </w:p>
    <w:p w:rsidR="00DB51AB" w:rsidRPr="00DB0C4C" w:rsidP="00DB51AB" w14:paraId="504954E6" w14:textId="77777777">
      <w:pPr>
        <w:rPr>
          <w:szCs w:val="24"/>
        </w:rPr>
      </w:pPr>
    </w:p>
    <w:p w:rsidR="00EE23A7" w14:paraId="4ED5E863" w14:textId="612258A2">
      <w:pPr>
        <w:pStyle w:val="TOC1"/>
        <w:rPr>
          <w:rFonts w:asciiTheme="minorHAnsi" w:eastAsiaTheme="minorEastAsia" w:hAnsiTheme="minorHAnsi" w:cstheme="minorBidi"/>
          <w:caps w:val="0"/>
          <w:noProof/>
          <w:sz w:val="22"/>
          <w:szCs w:val="22"/>
        </w:rPr>
      </w:pPr>
      <w:r w:rsidRPr="00DB0C4C">
        <w:rPr>
          <w:szCs w:val="24"/>
        </w:rPr>
        <w:fldChar w:fldCharType="begin"/>
      </w:r>
      <w:r w:rsidRPr="00DB0C4C">
        <w:rPr>
          <w:szCs w:val="24"/>
        </w:rPr>
        <w:instrText xml:space="preserve"> TOC \o "1-3" \h \z \u </w:instrText>
      </w:r>
      <w:r w:rsidRPr="00DB0C4C">
        <w:rPr>
          <w:szCs w:val="24"/>
        </w:rPr>
        <w:fldChar w:fldCharType="separate"/>
      </w:r>
      <w:hyperlink w:anchor="_Toc104302064" w:history="1">
        <w:r w:rsidRPr="00A61D75">
          <w:rPr>
            <w:rStyle w:val="Hyperlink"/>
            <w:noProof/>
          </w:rPr>
          <w:t>I.</w:t>
        </w:r>
        <w:r>
          <w:rPr>
            <w:rFonts w:asciiTheme="minorHAnsi" w:eastAsiaTheme="minorEastAsia" w:hAnsiTheme="minorHAnsi" w:cstheme="minorBidi"/>
            <w:caps w:val="0"/>
            <w:noProof/>
            <w:sz w:val="22"/>
            <w:szCs w:val="22"/>
          </w:rPr>
          <w:tab/>
        </w:r>
        <w:r w:rsidRPr="00A61D75">
          <w:rPr>
            <w:rStyle w:val="Hyperlink"/>
            <w:noProof/>
          </w:rPr>
          <w:t>Introduction</w:t>
        </w:r>
        <w:r>
          <w:rPr>
            <w:noProof/>
            <w:webHidden/>
          </w:rPr>
          <w:tab/>
        </w:r>
        <w:r>
          <w:rPr>
            <w:noProof/>
            <w:webHidden/>
          </w:rPr>
          <w:fldChar w:fldCharType="begin"/>
        </w:r>
        <w:r>
          <w:rPr>
            <w:noProof/>
            <w:webHidden/>
          </w:rPr>
          <w:instrText xml:space="preserve"> PAGEREF _Toc104302064 \h </w:instrText>
        </w:r>
        <w:r>
          <w:rPr>
            <w:noProof/>
            <w:webHidden/>
          </w:rPr>
          <w:fldChar w:fldCharType="separate"/>
        </w:r>
        <w:r>
          <w:rPr>
            <w:noProof/>
            <w:webHidden/>
          </w:rPr>
          <w:t>1</w:t>
        </w:r>
        <w:r>
          <w:rPr>
            <w:noProof/>
            <w:webHidden/>
          </w:rPr>
          <w:fldChar w:fldCharType="end"/>
        </w:r>
      </w:hyperlink>
    </w:p>
    <w:p w:rsidR="00EE23A7" w14:paraId="7F410271" w14:textId="270EB309">
      <w:pPr>
        <w:pStyle w:val="TOC1"/>
        <w:rPr>
          <w:rFonts w:asciiTheme="minorHAnsi" w:eastAsiaTheme="minorEastAsia" w:hAnsiTheme="minorHAnsi" w:cstheme="minorBidi"/>
          <w:caps w:val="0"/>
          <w:noProof/>
          <w:sz w:val="22"/>
          <w:szCs w:val="22"/>
        </w:rPr>
      </w:pPr>
      <w:hyperlink w:anchor="_Toc104302065" w:history="1">
        <w:r w:rsidRPr="00A61D75">
          <w:rPr>
            <w:rStyle w:val="Hyperlink"/>
            <w:noProof/>
          </w:rPr>
          <w:t>II.</w:t>
        </w:r>
        <w:r>
          <w:rPr>
            <w:rFonts w:asciiTheme="minorHAnsi" w:eastAsiaTheme="minorEastAsia" w:hAnsiTheme="minorHAnsi" w:cstheme="minorBidi"/>
            <w:caps w:val="0"/>
            <w:noProof/>
            <w:sz w:val="22"/>
            <w:szCs w:val="22"/>
          </w:rPr>
          <w:tab/>
        </w:r>
        <w:r w:rsidRPr="00A61D75">
          <w:rPr>
            <w:rStyle w:val="Hyperlink"/>
            <w:noProof/>
          </w:rPr>
          <w:t>Argument</w:t>
        </w:r>
        <w:r>
          <w:rPr>
            <w:noProof/>
            <w:webHidden/>
          </w:rPr>
          <w:tab/>
        </w:r>
        <w:r>
          <w:rPr>
            <w:noProof/>
            <w:webHidden/>
          </w:rPr>
          <w:fldChar w:fldCharType="begin"/>
        </w:r>
        <w:r>
          <w:rPr>
            <w:noProof/>
            <w:webHidden/>
          </w:rPr>
          <w:instrText xml:space="preserve"> PAGEREF _Toc104302065 \h </w:instrText>
        </w:r>
        <w:r>
          <w:rPr>
            <w:noProof/>
            <w:webHidden/>
          </w:rPr>
          <w:fldChar w:fldCharType="separate"/>
        </w:r>
        <w:r>
          <w:rPr>
            <w:noProof/>
            <w:webHidden/>
          </w:rPr>
          <w:t>3</w:t>
        </w:r>
        <w:r>
          <w:rPr>
            <w:noProof/>
            <w:webHidden/>
          </w:rPr>
          <w:fldChar w:fldCharType="end"/>
        </w:r>
      </w:hyperlink>
    </w:p>
    <w:p w:rsidR="00EE23A7" w14:paraId="7C079924" w14:textId="5A2499B1">
      <w:pPr>
        <w:pStyle w:val="TOC2"/>
        <w:tabs>
          <w:tab w:val="left" w:pos="1440"/>
        </w:tabs>
        <w:rPr>
          <w:rFonts w:asciiTheme="minorHAnsi" w:eastAsiaTheme="minorEastAsia" w:hAnsiTheme="minorHAnsi" w:cstheme="minorBidi"/>
          <w:noProof/>
          <w:sz w:val="22"/>
          <w:szCs w:val="22"/>
        </w:rPr>
      </w:pPr>
      <w:hyperlink w:anchor="_Toc104302066" w:history="1">
        <w:r w:rsidRPr="00A61D75">
          <w:rPr>
            <w:rStyle w:val="Hyperlink"/>
            <w:noProof/>
          </w:rPr>
          <w:t>A.</w:t>
        </w:r>
        <w:r>
          <w:rPr>
            <w:rFonts w:asciiTheme="minorHAnsi" w:eastAsiaTheme="minorEastAsia" w:hAnsiTheme="minorHAnsi" w:cstheme="minorBidi"/>
            <w:noProof/>
            <w:sz w:val="22"/>
            <w:szCs w:val="22"/>
          </w:rPr>
          <w:tab/>
        </w:r>
        <w:r w:rsidRPr="00A61D75">
          <w:rPr>
            <w:rStyle w:val="Hyperlink"/>
            <w:noProof/>
          </w:rPr>
          <w:t xml:space="preserve">The FirstEnergy Utilities violated O.A.C. 4901-1-24(B)(3) by </w:t>
        </w:r>
        <w:r>
          <w:rPr>
            <w:rStyle w:val="Hyperlink"/>
            <w:noProof/>
          </w:rPr>
          <w:br/>
        </w:r>
        <w:r w:rsidRPr="00A61D75">
          <w:rPr>
            <w:rStyle w:val="Hyperlink"/>
            <w:noProof/>
          </w:rPr>
          <w:t xml:space="preserve">failing to file an affidavit of counsel setting forth efforts it </w:t>
        </w:r>
        <w:r>
          <w:rPr>
            <w:rStyle w:val="Hyperlink"/>
            <w:noProof/>
          </w:rPr>
          <w:br/>
        </w:r>
        <w:r w:rsidRPr="00A61D75">
          <w:rPr>
            <w:rStyle w:val="Hyperlink"/>
            <w:noProof/>
          </w:rPr>
          <w:t>undertook to resolve the discovery dispute.</w:t>
        </w:r>
        <w:r>
          <w:rPr>
            <w:noProof/>
            <w:webHidden/>
          </w:rPr>
          <w:tab/>
        </w:r>
        <w:r>
          <w:rPr>
            <w:noProof/>
            <w:webHidden/>
          </w:rPr>
          <w:fldChar w:fldCharType="begin"/>
        </w:r>
        <w:r>
          <w:rPr>
            <w:noProof/>
            <w:webHidden/>
          </w:rPr>
          <w:instrText xml:space="preserve"> PAGEREF _Toc104302066 \h </w:instrText>
        </w:r>
        <w:r>
          <w:rPr>
            <w:noProof/>
            <w:webHidden/>
          </w:rPr>
          <w:fldChar w:fldCharType="separate"/>
        </w:r>
        <w:r>
          <w:rPr>
            <w:noProof/>
            <w:webHidden/>
          </w:rPr>
          <w:t>3</w:t>
        </w:r>
        <w:r>
          <w:rPr>
            <w:noProof/>
            <w:webHidden/>
          </w:rPr>
          <w:fldChar w:fldCharType="end"/>
        </w:r>
      </w:hyperlink>
    </w:p>
    <w:p w:rsidR="00EE23A7" w14:paraId="4A8AF017" w14:textId="4928FEBB">
      <w:pPr>
        <w:pStyle w:val="TOC2"/>
        <w:tabs>
          <w:tab w:val="left" w:pos="1440"/>
        </w:tabs>
        <w:rPr>
          <w:rFonts w:asciiTheme="minorHAnsi" w:eastAsiaTheme="minorEastAsia" w:hAnsiTheme="minorHAnsi" w:cstheme="minorBidi"/>
          <w:noProof/>
          <w:sz w:val="22"/>
          <w:szCs w:val="22"/>
        </w:rPr>
      </w:pPr>
      <w:hyperlink w:anchor="_Toc104302067" w:history="1">
        <w:r w:rsidRPr="00A61D75">
          <w:rPr>
            <w:rStyle w:val="Hyperlink"/>
            <w:noProof/>
          </w:rPr>
          <w:t>B.</w:t>
        </w:r>
        <w:r>
          <w:rPr>
            <w:rFonts w:asciiTheme="minorHAnsi" w:eastAsiaTheme="minorEastAsia" w:hAnsiTheme="minorHAnsi" w:cstheme="minorBidi"/>
            <w:noProof/>
            <w:sz w:val="22"/>
            <w:szCs w:val="22"/>
          </w:rPr>
          <w:tab/>
        </w:r>
        <w:r w:rsidRPr="00A61D75">
          <w:rPr>
            <w:rStyle w:val="Hyperlink"/>
            <w:noProof/>
          </w:rPr>
          <w:t xml:space="preserve">OCC’s document requests are in consumers’ interest and do not </w:t>
        </w:r>
        <w:r>
          <w:rPr>
            <w:rStyle w:val="Hyperlink"/>
            <w:noProof/>
          </w:rPr>
          <w:br/>
        </w:r>
        <w:r w:rsidRPr="00A61D75">
          <w:rPr>
            <w:rStyle w:val="Hyperlink"/>
            <w:noProof/>
          </w:rPr>
          <w:t>violate the procedural schedule for discovery in this case, as the FirstEnergy Utilities wrongly assert.</w:t>
        </w:r>
        <w:r>
          <w:rPr>
            <w:noProof/>
            <w:webHidden/>
          </w:rPr>
          <w:tab/>
        </w:r>
        <w:r>
          <w:rPr>
            <w:noProof/>
            <w:webHidden/>
          </w:rPr>
          <w:fldChar w:fldCharType="begin"/>
        </w:r>
        <w:r>
          <w:rPr>
            <w:noProof/>
            <w:webHidden/>
          </w:rPr>
          <w:instrText xml:space="preserve"> PAGEREF _Toc104302067 \h </w:instrText>
        </w:r>
        <w:r>
          <w:rPr>
            <w:noProof/>
            <w:webHidden/>
          </w:rPr>
          <w:fldChar w:fldCharType="separate"/>
        </w:r>
        <w:r>
          <w:rPr>
            <w:noProof/>
            <w:webHidden/>
          </w:rPr>
          <w:t>3</w:t>
        </w:r>
        <w:r>
          <w:rPr>
            <w:noProof/>
            <w:webHidden/>
          </w:rPr>
          <w:fldChar w:fldCharType="end"/>
        </w:r>
      </w:hyperlink>
    </w:p>
    <w:p w:rsidR="00EE23A7" w14:paraId="4F297F7E" w14:textId="44C12732">
      <w:pPr>
        <w:pStyle w:val="TOC2"/>
        <w:tabs>
          <w:tab w:val="left" w:pos="1440"/>
        </w:tabs>
        <w:rPr>
          <w:rFonts w:asciiTheme="minorHAnsi" w:eastAsiaTheme="minorEastAsia" w:hAnsiTheme="minorHAnsi" w:cstheme="minorBidi"/>
          <w:noProof/>
          <w:sz w:val="22"/>
          <w:szCs w:val="22"/>
        </w:rPr>
      </w:pPr>
      <w:hyperlink w:anchor="_Toc104302068" w:history="1">
        <w:r w:rsidRPr="00A61D75">
          <w:rPr>
            <w:rStyle w:val="Hyperlink"/>
            <w:noProof/>
          </w:rPr>
          <w:t>C.</w:t>
        </w:r>
        <w:r>
          <w:rPr>
            <w:rFonts w:asciiTheme="minorHAnsi" w:eastAsiaTheme="minorEastAsia" w:hAnsiTheme="minorHAnsi" w:cstheme="minorBidi"/>
            <w:noProof/>
            <w:sz w:val="22"/>
            <w:szCs w:val="22"/>
          </w:rPr>
          <w:tab/>
        </w:r>
        <w:r w:rsidRPr="00A61D75">
          <w:rPr>
            <w:rStyle w:val="Hyperlink"/>
            <w:noProof/>
          </w:rPr>
          <w:t xml:space="preserve">The FirstEnergy Utilities’ Motion asks the PUCO to violate </w:t>
        </w:r>
        <w:r>
          <w:rPr>
            <w:rStyle w:val="Hyperlink"/>
            <w:noProof/>
          </w:rPr>
          <w:br/>
        </w:r>
        <w:r w:rsidRPr="00A61D75">
          <w:rPr>
            <w:rStyle w:val="Hyperlink"/>
            <w:noProof/>
          </w:rPr>
          <w:t>OCC’s discovery and case preparation rights.</w:t>
        </w:r>
        <w:r>
          <w:rPr>
            <w:noProof/>
            <w:webHidden/>
          </w:rPr>
          <w:tab/>
        </w:r>
        <w:r>
          <w:rPr>
            <w:noProof/>
            <w:webHidden/>
          </w:rPr>
          <w:fldChar w:fldCharType="begin"/>
        </w:r>
        <w:r>
          <w:rPr>
            <w:noProof/>
            <w:webHidden/>
          </w:rPr>
          <w:instrText xml:space="preserve"> PAGEREF _Toc104302068 \h </w:instrText>
        </w:r>
        <w:r>
          <w:rPr>
            <w:noProof/>
            <w:webHidden/>
          </w:rPr>
          <w:fldChar w:fldCharType="separate"/>
        </w:r>
        <w:r>
          <w:rPr>
            <w:noProof/>
            <w:webHidden/>
          </w:rPr>
          <w:t>4</w:t>
        </w:r>
        <w:r>
          <w:rPr>
            <w:noProof/>
            <w:webHidden/>
          </w:rPr>
          <w:fldChar w:fldCharType="end"/>
        </w:r>
      </w:hyperlink>
    </w:p>
    <w:p w:rsidR="00EE23A7" w14:paraId="060CD626" w14:textId="777D5F78">
      <w:pPr>
        <w:pStyle w:val="TOC2"/>
        <w:tabs>
          <w:tab w:val="left" w:pos="1440"/>
        </w:tabs>
        <w:rPr>
          <w:rFonts w:asciiTheme="minorHAnsi" w:eastAsiaTheme="minorEastAsia" w:hAnsiTheme="minorHAnsi" w:cstheme="minorBidi"/>
          <w:noProof/>
          <w:sz w:val="22"/>
          <w:szCs w:val="22"/>
        </w:rPr>
      </w:pPr>
      <w:hyperlink w:anchor="_Toc104302069" w:history="1">
        <w:r w:rsidRPr="00A61D75">
          <w:rPr>
            <w:rStyle w:val="Hyperlink"/>
            <w:noProof/>
          </w:rPr>
          <w:t>D.</w:t>
        </w:r>
        <w:r>
          <w:rPr>
            <w:rFonts w:asciiTheme="minorHAnsi" w:eastAsiaTheme="minorEastAsia" w:hAnsiTheme="minorHAnsi" w:cstheme="minorBidi"/>
            <w:noProof/>
            <w:sz w:val="22"/>
            <w:szCs w:val="22"/>
          </w:rPr>
          <w:tab/>
        </w:r>
        <w:r w:rsidRPr="00A61D75">
          <w:rPr>
            <w:rStyle w:val="Hyperlink"/>
            <w:noProof/>
          </w:rPr>
          <w:t>OCC’s document requests are relevant and not overly burdensome.</w:t>
        </w:r>
        <w:r>
          <w:rPr>
            <w:noProof/>
            <w:webHidden/>
          </w:rPr>
          <w:tab/>
        </w:r>
        <w:r>
          <w:rPr>
            <w:noProof/>
            <w:webHidden/>
          </w:rPr>
          <w:fldChar w:fldCharType="begin"/>
        </w:r>
        <w:r>
          <w:rPr>
            <w:noProof/>
            <w:webHidden/>
          </w:rPr>
          <w:instrText xml:space="preserve"> PAGEREF _Toc104302069 \h </w:instrText>
        </w:r>
        <w:r>
          <w:rPr>
            <w:noProof/>
            <w:webHidden/>
          </w:rPr>
          <w:fldChar w:fldCharType="separate"/>
        </w:r>
        <w:r>
          <w:rPr>
            <w:noProof/>
            <w:webHidden/>
          </w:rPr>
          <w:t>5</w:t>
        </w:r>
        <w:r>
          <w:rPr>
            <w:noProof/>
            <w:webHidden/>
          </w:rPr>
          <w:fldChar w:fldCharType="end"/>
        </w:r>
      </w:hyperlink>
    </w:p>
    <w:p w:rsidR="00EE23A7" w14:paraId="35802D52" w14:textId="5D099C69">
      <w:pPr>
        <w:pStyle w:val="TOC1"/>
        <w:rPr>
          <w:rFonts w:asciiTheme="minorHAnsi" w:eastAsiaTheme="minorEastAsia" w:hAnsiTheme="minorHAnsi" w:cstheme="minorBidi"/>
          <w:caps w:val="0"/>
          <w:noProof/>
          <w:sz w:val="22"/>
          <w:szCs w:val="22"/>
        </w:rPr>
      </w:pPr>
      <w:hyperlink w:anchor="_Toc104302070" w:history="1">
        <w:r w:rsidRPr="00A61D75">
          <w:rPr>
            <w:rStyle w:val="Hyperlink"/>
            <w:noProof/>
          </w:rPr>
          <w:t>III.</w:t>
        </w:r>
        <w:r>
          <w:rPr>
            <w:rFonts w:asciiTheme="minorHAnsi" w:eastAsiaTheme="minorEastAsia" w:hAnsiTheme="minorHAnsi" w:cstheme="minorBidi"/>
            <w:caps w:val="0"/>
            <w:noProof/>
            <w:sz w:val="22"/>
            <w:szCs w:val="22"/>
          </w:rPr>
          <w:tab/>
        </w:r>
        <w:r w:rsidRPr="00A61D75">
          <w:rPr>
            <w:rStyle w:val="Hyperlink"/>
            <w:noProof/>
          </w:rPr>
          <w:t>Conclusion</w:t>
        </w:r>
        <w:r>
          <w:rPr>
            <w:noProof/>
            <w:webHidden/>
          </w:rPr>
          <w:tab/>
        </w:r>
        <w:r>
          <w:rPr>
            <w:noProof/>
            <w:webHidden/>
          </w:rPr>
          <w:fldChar w:fldCharType="begin"/>
        </w:r>
        <w:r>
          <w:rPr>
            <w:noProof/>
            <w:webHidden/>
          </w:rPr>
          <w:instrText xml:space="preserve"> PAGEREF _Toc104302070 \h </w:instrText>
        </w:r>
        <w:r>
          <w:rPr>
            <w:noProof/>
            <w:webHidden/>
          </w:rPr>
          <w:fldChar w:fldCharType="separate"/>
        </w:r>
        <w:r>
          <w:rPr>
            <w:noProof/>
            <w:webHidden/>
          </w:rPr>
          <w:t>10</w:t>
        </w:r>
        <w:r>
          <w:rPr>
            <w:noProof/>
            <w:webHidden/>
          </w:rPr>
          <w:fldChar w:fldCharType="end"/>
        </w:r>
      </w:hyperlink>
    </w:p>
    <w:p w:rsidR="00952273" w:rsidRPr="00DB0C4C" w:rsidP="00DB51AB" w14:paraId="4D9288C5" w14:textId="11578180">
      <w:pPr>
        <w:pStyle w:val="List"/>
        <w:ind w:left="0" w:firstLine="0"/>
        <w:jc w:val="center"/>
        <w:rPr>
          <w:szCs w:val="24"/>
        </w:rPr>
      </w:pPr>
      <w:r w:rsidRPr="00DB0C4C">
        <w:rPr>
          <w:szCs w:val="24"/>
        </w:rPr>
        <w:fldChar w:fldCharType="end"/>
      </w:r>
    </w:p>
    <w:p w:rsidR="006E7560" w:rsidRPr="00DB0C4C" w:rsidP="006E7560" w14:paraId="4BA80905" w14:textId="77777777">
      <w:pPr>
        <w:rPr>
          <w:szCs w:val="24"/>
        </w:rPr>
      </w:pPr>
    </w:p>
    <w:p w:rsidR="006E7560" w:rsidRPr="00DB0C4C" w:rsidP="006E7560" w14:paraId="21BF54ED" w14:textId="77777777">
      <w:pPr>
        <w:rPr>
          <w:szCs w:val="24"/>
        </w:rPr>
      </w:pPr>
    </w:p>
    <w:p w:rsidR="006E7560" w:rsidRPr="00DB0C4C" w:rsidP="006E7560" w14:paraId="15210D9F" w14:textId="77777777">
      <w:pPr>
        <w:rPr>
          <w:szCs w:val="24"/>
        </w:rPr>
      </w:pPr>
    </w:p>
    <w:p w:rsidR="006E7560" w:rsidRPr="00DB0C4C" w:rsidP="006E7560" w14:paraId="166F5920" w14:textId="77777777">
      <w:pPr>
        <w:rPr>
          <w:szCs w:val="24"/>
        </w:rPr>
      </w:pPr>
    </w:p>
    <w:p w:rsidR="006E7560" w:rsidRPr="00DB0C4C" w:rsidP="006E7560" w14:paraId="4336B1CE" w14:textId="77777777">
      <w:pPr>
        <w:rPr>
          <w:szCs w:val="24"/>
        </w:rPr>
      </w:pPr>
    </w:p>
    <w:p w:rsidR="006E7560" w:rsidRPr="00DB0C4C" w:rsidP="006E7560" w14:paraId="2E6C3EB5" w14:textId="77777777">
      <w:pPr>
        <w:rPr>
          <w:rFonts w:eastAsia="Times New Roman"/>
          <w:bCs/>
          <w:color w:val="auto"/>
          <w:szCs w:val="24"/>
        </w:rPr>
      </w:pPr>
    </w:p>
    <w:p w:rsidR="006E7560" w:rsidRPr="00DB0C4C" w:rsidP="006E7560" w14:paraId="4C203C00" w14:textId="37EA779A">
      <w:pPr>
        <w:tabs>
          <w:tab w:val="left" w:pos="6412"/>
        </w:tabs>
        <w:rPr>
          <w:rFonts w:eastAsia="Times New Roman"/>
          <w:bCs/>
          <w:color w:val="auto"/>
          <w:szCs w:val="24"/>
        </w:rPr>
      </w:pPr>
      <w:r w:rsidRPr="00DB0C4C">
        <w:rPr>
          <w:rFonts w:eastAsia="Times New Roman"/>
          <w:bCs/>
          <w:color w:val="auto"/>
          <w:szCs w:val="24"/>
        </w:rPr>
        <w:tab/>
      </w:r>
    </w:p>
    <w:p w:rsidR="006E7560" w:rsidRPr="00DB0C4C" w:rsidP="006E7560" w14:paraId="528624F6" w14:textId="28A40898">
      <w:pPr>
        <w:tabs>
          <w:tab w:val="left" w:pos="6412"/>
        </w:tabs>
        <w:rPr>
          <w:szCs w:val="24"/>
        </w:rPr>
        <w:sectPr w:rsidSect="00867805">
          <w:footerReference w:type="default" r:id="rId10"/>
          <w:pgSz w:w="12240" w:h="15840"/>
          <w:pgMar w:top="1440" w:right="1800" w:bottom="1440" w:left="1800" w:header="720" w:footer="720" w:gutter="0"/>
          <w:pgNumType w:fmt="lowerRoman" w:start="1"/>
          <w:cols w:space="720"/>
          <w:docGrid w:linePitch="360"/>
        </w:sectPr>
      </w:pPr>
      <w:r w:rsidRPr="00DB0C4C">
        <w:rPr>
          <w:szCs w:val="24"/>
        </w:rPr>
        <w:tab/>
      </w:r>
    </w:p>
    <w:p w:rsidR="00322352" w:rsidRPr="00DB0C4C" w:rsidP="005D2D59" w14:paraId="1B5D9726" w14:textId="77777777">
      <w:pPr>
        <w:pStyle w:val="List"/>
        <w:ind w:left="0" w:firstLine="0"/>
        <w:jc w:val="center"/>
        <w:rPr>
          <w:b/>
          <w:szCs w:val="24"/>
        </w:rPr>
      </w:pPr>
      <w:r w:rsidRPr="00DB0C4C">
        <w:rPr>
          <w:b/>
          <w:szCs w:val="24"/>
        </w:rPr>
        <w:t>BEFORE</w:t>
      </w:r>
    </w:p>
    <w:p w:rsidR="00322352" w:rsidRPr="00DB0C4C" w:rsidP="005D2D59" w14:paraId="707C539C" w14:textId="77777777">
      <w:pPr>
        <w:pStyle w:val="List"/>
        <w:ind w:left="0" w:firstLine="0"/>
        <w:jc w:val="center"/>
        <w:rPr>
          <w:b/>
          <w:szCs w:val="24"/>
        </w:rPr>
      </w:pPr>
      <w:r w:rsidRPr="00DB0C4C">
        <w:rPr>
          <w:b/>
          <w:szCs w:val="24"/>
        </w:rPr>
        <w:t>THE PUBLIC UTILITIES COMMISSION OF OHIO</w:t>
      </w:r>
    </w:p>
    <w:p w:rsidR="00414C8B" w:rsidRPr="00DB0C4C" w:rsidP="005D2D59" w14:paraId="6CA07A76" w14:textId="77777777">
      <w:pPr>
        <w:pStyle w:val="List"/>
        <w:ind w:left="0" w:firstLine="0"/>
        <w:jc w:val="center"/>
        <w:rPr>
          <w:b/>
          <w:szCs w:val="24"/>
        </w:rPr>
      </w:pPr>
    </w:p>
    <w:tbl>
      <w:tblPr>
        <w:tblW w:w="9360" w:type="dxa"/>
        <w:tblLook w:val="01E0"/>
      </w:tblPr>
      <w:tblGrid>
        <w:gridCol w:w="4230"/>
        <w:gridCol w:w="630"/>
        <w:gridCol w:w="4500"/>
      </w:tblGrid>
      <w:tr w14:paraId="35DCAC7D" w14:textId="77777777" w:rsidTr="00265755">
        <w:tblPrEx>
          <w:tblW w:w="9360" w:type="dxa"/>
          <w:tblLook w:val="01E0"/>
        </w:tblPrEx>
        <w:trPr>
          <w:trHeight w:val="807"/>
        </w:trPr>
        <w:tc>
          <w:tcPr>
            <w:tcW w:w="4230" w:type="dxa"/>
            <w:shd w:val="clear" w:color="auto" w:fill="auto"/>
          </w:tcPr>
          <w:p w:rsidR="00C969C5" w:rsidRPr="00DB0C4C" w:rsidP="00265755" w14:paraId="6717DC05"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C969C5" w:rsidRPr="00DB0C4C" w:rsidP="00265755" w14:paraId="1960A235"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C969C5" w:rsidRPr="00DB0C4C" w:rsidP="00265755" w14:paraId="2B3B7E6E"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C969C5" w:rsidRPr="00DB0C4C" w:rsidP="00265755" w14:paraId="246E1E20"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C969C5" w:rsidRPr="00DB0C4C" w:rsidP="00265755" w14:paraId="2F867523"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C969C5" w:rsidRPr="00DB0C4C" w:rsidP="00265755" w14:paraId="54488C71"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p w:rsidR="00C969C5" w:rsidRPr="00DB0C4C" w:rsidP="00265755" w14:paraId="7E40A4E3"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w:t>
            </w:r>
          </w:p>
        </w:tc>
        <w:tc>
          <w:tcPr>
            <w:tcW w:w="4500" w:type="dxa"/>
            <w:shd w:val="clear" w:color="auto" w:fill="auto"/>
          </w:tcPr>
          <w:p w:rsidR="00C969C5" w:rsidRPr="00DB0C4C" w:rsidP="00265755" w14:paraId="11029081" w14:textId="77777777">
            <w:pPr>
              <w:pStyle w:val="HTMLPreformatted"/>
              <w:rPr>
                <w:rFonts w:ascii="Times New Roman" w:hAnsi="Times New Roman" w:cs="Times New Roman"/>
                <w:sz w:val="24"/>
                <w:szCs w:val="24"/>
              </w:rPr>
            </w:pPr>
          </w:p>
          <w:p w:rsidR="00C969C5" w:rsidRPr="00DB0C4C" w:rsidP="00265755" w14:paraId="2A6E580A" w14:textId="77777777">
            <w:pPr>
              <w:pStyle w:val="HTMLPreformatted"/>
              <w:rPr>
                <w:rFonts w:ascii="Times New Roman" w:hAnsi="Times New Roman" w:cs="Times New Roman"/>
                <w:sz w:val="24"/>
                <w:szCs w:val="24"/>
              </w:rPr>
            </w:pPr>
          </w:p>
          <w:p w:rsidR="00C969C5" w:rsidRPr="00DB0C4C" w:rsidP="00265755" w14:paraId="663453CB" w14:textId="77777777">
            <w:pPr>
              <w:pStyle w:val="HTMLPreformatted"/>
              <w:rPr>
                <w:rFonts w:ascii="Times New Roman" w:hAnsi="Times New Roman" w:cs="Times New Roman"/>
                <w:sz w:val="24"/>
                <w:szCs w:val="24"/>
              </w:rPr>
            </w:pPr>
            <w:r w:rsidRPr="00DB0C4C">
              <w:rPr>
                <w:rFonts w:ascii="Times New Roman" w:hAnsi="Times New Roman" w:cs="Times New Roman"/>
                <w:sz w:val="24"/>
                <w:szCs w:val="24"/>
              </w:rPr>
              <w:t>Case No. 17-974-EL-UNC</w:t>
            </w:r>
          </w:p>
          <w:p w:rsidR="00C969C5" w:rsidRPr="00DB0C4C" w:rsidP="00265755" w14:paraId="007F7CA0" w14:textId="77777777">
            <w:pPr>
              <w:pStyle w:val="HTMLPreformatted"/>
              <w:rPr>
                <w:rFonts w:ascii="Times New Roman" w:hAnsi="Times New Roman" w:cs="Times New Roman"/>
                <w:sz w:val="24"/>
                <w:szCs w:val="24"/>
              </w:rPr>
            </w:pPr>
          </w:p>
        </w:tc>
      </w:tr>
    </w:tbl>
    <w:p w:rsidR="003932EA" w:rsidRPr="00DB0C4C" w:rsidP="005D2D59" w14:paraId="76B44074" w14:textId="77777777">
      <w:pPr>
        <w:pBdr>
          <w:bottom w:val="single" w:sz="12" w:space="1" w:color="auto"/>
        </w:pBdr>
        <w:rPr>
          <w:szCs w:val="24"/>
        </w:rPr>
      </w:pPr>
    </w:p>
    <w:p w:rsidR="003932EA" w:rsidRPr="00DB0C4C" w:rsidP="005D2D59" w14:paraId="7C199035" w14:textId="77777777">
      <w:pPr>
        <w:rPr>
          <w:b/>
          <w:bCs/>
          <w:szCs w:val="24"/>
        </w:rPr>
      </w:pPr>
    </w:p>
    <w:p w:rsidR="003D42FD" w:rsidRPr="00DB0C4C" w:rsidP="000E141B" w14:paraId="0B6243E9" w14:textId="4717BF08">
      <w:pPr>
        <w:jc w:val="center"/>
        <w:rPr>
          <w:b/>
          <w:bCs/>
          <w:szCs w:val="24"/>
        </w:rPr>
      </w:pPr>
      <w:r w:rsidRPr="00DB0C4C">
        <w:rPr>
          <w:b/>
          <w:bCs/>
          <w:szCs w:val="24"/>
        </w:rPr>
        <w:t>MEMORANDUM CONTRA TO</w:t>
      </w:r>
      <w:r w:rsidRPr="00DB0C4C">
        <w:rPr>
          <w:b/>
          <w:szCs w:val="24"/>
        </w:rPr>
        <w:t xml:space="preserve"> </w:t>
      </w:r>
      <w:r w:rsidRPr="00DB0C4C" w:rsidR="00363678">
        <w:rPr>
          <w:b/>
          <w:szCs w:val="24"/>
        </w:rPr>
        <w:t xml:space="preserve">THE </w:t>
      </w:r>
      <w:r w:rsidRPr="00DB0C4C">
        <w:rPr>
          <w:b/>
          <w:bCs/>
          <w:szCs w:val="24"/>
        </w:rPr>
        <w:t>FIRSTENERGY</w:t>
      </w:r>
      <w:r w:rsidRPr="00DB0C4C" w:rsidR="00363678">
        <w:rPr>
          <w:b/>
          <w:bCs/>
          <w:szCs w:val="24"/>
        </w:rPr>
        <w:t xml:space="preserve"> UTILITIES’</w:t>
      </w:r>
      <w:r w:rsidRPr="00DB0C4C" w:rsidR="00686350">
        <w:rPr>
          <w:b/>
          <w:bCs/>
          <w:szCs w:val="24"/>
        </w:rPr>
        <w:t xml:space="preserve"> </w:t>
      </w:r>
      <w:r w:rsidRPr="00DB0C4C">
        <w:rPr>
          <w:b/>
          <w:szCs w:val="24"/>
        </w:rPr>
        <w:t xml:space="preserve">MOTION </w:t>
      </w:r>
      <w:r w:rsidRPr="00DB0C4C">
        <w:rPr>
          <w:b/>
          <w:bCs/>
          <w:szCs w:val="24"/>
        </w:rPr>
        <w:t>FOR A PROTECTIVE ORDER</w:t>
      </w:r>
      <w:r w:rsidRPr="00DB0C4C" w:rsidR="00C56561">
        <w:rPr>
          <w:b/>
          <w:bCs/>
          <w:szCs w:val="24"/>
        </w:rPr>
        <w:t xml:space="preserve"> </w:t>
      </w:r>
    </w:p>
    <w:p w:rsidR="000E141B" w:rsidRPr="00DB0C4C" w:rsidP="000E141B" w14:paraId="51B43B1F" w14:textId="77777777">
      <w:pPr>
        <w:jc w:val="center"/>
        <w:rPr>
          <w:b/>
          <w:bCs/>
          <w:szCs w:val="24"/>
        </w:rPr>
      </w:pPr>
      <w:r w:rsidRPr="00DB0C4C">
        <w:rPr>
          <w:b/>
          <w:szCs w:val="24"/>
        </w:rPr>
        <w:t>BY</w:t>
      </w:r>
    </w:p>
    <w:p w:rsidR="000E141B" w:rsidRPr="00DB0C4C" w:rsidP="000E141B" w14:paraId="0A4CFB11" w14:textId="77777777">
      <w:pPr>
        <w:pBdr>
          <w:bottom w:val="single" w:sz="12" w:space="1" w:color="auto"/>
        </w:pBdr>
        <w:jc w:val="center"/>
        <w:rPr>
          <w:b/>
          <w:bCs/>
          <w:szCs w:val="24"/>
        </w:rPr>
      </w:pPr>
      <w:r w:rsidRPr="00DB0C4C">
        <w:rPr>
          <w:b/>
          <w:szCs w:val="24"/>
        </w:rPr>
        <w:t>OFFICE OF THE OHIO CONSUMERS’ COUNSEL</w:t>
      </w:r>
    </w:p>
    <w:p w:rsidR="00AD6D16" w:rsidRPr="00DB0C4C" w:rsidP="005D2D59" w14:paraId="0EA927F1" w14:textId="77777777">
      <w:pPr>
        <w:pBdr>
          <w:bottom w:val="single" w:sz="12" w:space="1" w:color="auto"/>
        </w:pBdr>
        <w:jc w:val="center"/>
        <w:rPr>
          <w:b/>
          <w:bCs/>
          <w:szCs w:val="24"/>
        </w:rPr>
      </w:pPr>
    </w:p>
    <w:p w:rsidR="000E141B" w:rsidRPr="00DB0C4C" w:rsidP="009E593D" w14:paraId="3FC8FCE3" w14:textId="3DF28855">
      <w:pPr>
        <w:pStyle w:val="ListParagraph"/>
        <w:ind w:left="4320"/>
        <w:rPr>
          <w:szCs w:val="24"/>
        </w:rPr>
      </w:pPr>
    </w:p>
    <w:p w:rsidR="009E593D" w:rsidRPr="00DB0C4C" w:rsidP="00A87CE4" w14:paraId="61532736" w14:textId="16E8CEAC">
      <w:pPr>
        <w:pStyle w:val="Heading1"/>
        <w:rPr>
          <w:rFonts w:ascii="Times New Roman" w:hAnsi="Times New Roman" w:cs="Times New Roman"/>
          <w:szCs w:val="24"/>
        </w:rPr>
      </w:pPr>
      <w:bookmarkStart w:id="0" w:name="_Toc104302064"/>
      <w:r w:rsidRPr="00DB0C4C">
        <w:rPr>
          <w:rFonts w:ascii="Times New Roman" w:hAnsi="Times New Roman" w:cs="Times New Roman"/>
          <w:szCs w:val="24"/>
        </w:rPr>
        <w:t>I.</w:t>
      </w:r>
      <w:r w:rsidRPr="00DB0C4C">
        <w:rPr>
          <w:rFonts w:ascii="Times New Roman" w:hAnsi="Times New Roman" w:cs="Times New Roman"/>
          <w:szCs w:val="24"/>
        </w:rPr>
        <w:tab/>
        <w:t>Introduction</w:t>
      </w:r>
      <w:bookmarkEnd w:id="0"/>
    </w:p>
    <w:p w:rsidR="002A194A" w:rsidRPr="00DB0C4C" w:rsidP="002A194A" w14:paraId="2C99AE5A" w14:textId="489E5FAB">
      <w:pPr>
        <w:spacing w:line="480" w:lineRule="auto"/>
        <w:ind w:firstLine="720"/>
        <w:rPr>
          <w:szCs w:val="24"/>
        </w:rPr>
      </w:pPr>
      <w:r w:rsidRPr="00DB0C4C">
        <w:rPr>
          <w:szCs w:val="24"/>
        </w:rPr>
        <w:t xml:space="preserve">Ohio Attorney General Yost wrote, </w:t>
      </w:r>
      <w:r w:rsidRPr="00DB0C4C" w:rsidR="00FA389A">
        <w:rPr>
          <w:szCs w:val="24"/>
        </w:rPr>
        <w:t>“</w:t>
      </w:r>
      <w:r w:rsidRPr="00DB0C4C">
        <w:rPr>
          <w:szCs w:val="24"/>
        </w:rPr>
        <w:t xml:space="preserve">[g]overnment of, by and for the people also must be </w:t>
      </w:r>
      <w:r w:rsidRPr="00DB0C4C">
        <w:rPr>
          <w:i/>
          <w:iCs/>
          <w:szCs w:val="24"/>
        </w:rPr>
        <w:t>open</w:t>
      </w:r>
      <w:r w:rsidRPr="00DB0C4C">
        <w:rPr>
          <w:szCs w:val="24"/>
        </w:rPr>
        <w:t xml:space="preserve"> to the people.”</w:t>
      </w:r>
      <w:r>
        <w:rPr>
          <w:rStyle w:val="FootnoteReference"/>
          <w:szCs w:val="24"/>
        </w:rPr>
        <w:footnoteReference w:id="3"/>
      </w:r>
      <w:r w:rsidRPr="00DB0C4C">
        <w:rPr>
          <w:szCs w:val="24"/>
        </w:rPr>
        <w:t xml:space="preserve"> In the last year and a half, Ohioans have learned a lot about FirstEnergy’s </w:t>
      </w:r>
      <w:r w:rsidRPr="00DB0C4C">
        <w:rPr>
          <w:i/>
          <w:iCs/>
          <w:szCs w:val="24"/>
        </w:rPr>
        <w:t>closed</w:t>
      </w:r>
      <w:r w:rsidRPr="00DB0C4C">
        <w:rPr>
          <w:szCs w:val="24"/>
        </w:rPr>
        <w:t xml:space="preserve"> world with the former leaders of the Ohio House and the PUCO. </w:t>
      </w:r>
    </w:p>
    <w:p w:rsidR="00F82D6D" w:rsidRPr="00DB0C4C" w:rsidP="002A194A" w14:paraId="7EF19CC8" w14:textId="17ABE696">
      <w:pPr>
        <w:spacing w:line="480" w:lineRule="auto"/>
        <w:ind w:firstLine="720"/>
        <w:rPr>
          <w:rFonts w:eastAsia="Times New Roman"/>
          <w:color w:val="auto"/>
          <w:szCs w:val="24"/>
        </w:rPr>
      </w:pPr>
      <w:r w:rsidRPr="00DB0C4C">
        <w:rPr>
          <w:szCs w:val="24"/>
        </w:rPr>
        <w:t xml:space="preserve">FirstEnergy Corp. </w:t>
      </w:r>
      <w:r w:rsidRPr="00DB0C4C" w:rsidR="002A194A">
        <w:rPr>
          <w:szCs w:val="24"/>
        </w:rPr>
        <w:t>now stands</w:t>
      </w:r>
      <w:r w:rsidRPr="00DB0C4C" w:rsidR="00DB329E">
        <w:rPr>
          <w:szCs w:val="24"/>
        </w:rPr>
        <w:t xml:space="preserve"> </w:t>
      </w:r>
      <w:r w:rsidRPr="00DB0C4C" w:rsidR="0025070D">
        <w:rPr>
          <w:szCs w:val="24"/>
        </w:rPr>
        <w:t xml:space="preserve">charged with a </w:t>
      </w:r>
      <w:r w:rsidRPr="00DB0C4C" w:rsidR="002A194A">
        <w:rPr>
          <w:szCs w:val="24"/>
        </w:rPr>
        <w:t xml:space="preserve">federal </w:t>
      </w:r>
      <w:r w:rsidRPr="00DB0C4C" w:rsidR="009B7954">
        <w:rPr>
          <w:szCs w:val="24"/>
        </w:rPr>
        <w:t xml:space="preserve">corruption-related </w:t>
      </w:r>
      <w:r w:rsidRPr="00DB0C4C" w:rsidR="0025070D">
        <w:rPr>
          <w:szCs w:val="24"/>
        </w:rPr>
        <w:t>crime</w:t>
      </w:r>
      <w:r w:rsidRPr="00DB0C4C" w:rsidR="00F22A27">
        <w:rPr>
          <w:szCs w:val="24"/>
        </w:rPr>
        <w:t xml:space="preserve">. It </w:t>
      </w:r>
      <w:r w:rsidRPr="00DB0C4C" w:rsidR="009B7954">
        <w:rPr>
          <w:szCs w:val="24"/>
        </w:rPr>
        <w:t>agreed</w:t>
      </w:r>
      <w:r w:rsidRPr="00DB0C4C" w:rsidR="002A194A">
        <w:rPr>
          <w:szCs w:val="24"/>
        </w:rPr>
        <w:t xml:space="preserve"> that</w:t>
      </w:r>
      <w:r w:rsidRPr="00DB0C4C" w:rsidR="00DB329E">
        <w:rPr>
          <w:szCs w:val="24"/>
        </w:rPr>
        <w:t xml:space="preserve"> </w:t>
      </w:r>
      <w:r w:rsidRPr="00DB0C4C" w:rsidR="000A797B">
        <w:rPr>
          <w:rFonts w:eastAsia="Times New Roman"/>
          <w:color w:val="auto"/>
          <w:szCs w:val="24"/>
        </w:rPr>
        <w:t>“the United States would prove the facts set forth below beyond a reasonable doubt</w:t>
      </w:r>
      <w:r w:rsidRPr="00DB0C4C" w:rsidR="00DB329E">
        <w:rPr>
          <w:rFonts w:eastAsia="Times New Roman"/>
          <w:color w:val="auto"/>
          <w:szCs w:val="24"/>
        </w:rPr>
        <w:t>…</w:t>
      </w:r>
      <w:r w:rsidRPr="00DB0C4C" w:rsidR="000A797B">
        <w:rPr>
          <w:rFonts w:eastAsia="Times New Roman"/>
          <w:color w:val="auto"/>
          <w:szCs w:val="24"/>
        </w:rPr>
        <w:t>if this case had proceeded to trial.”</w:t>
      </w:r>
      <w:r w:rsidRPr="00DB0C4C" w:rsidR="00F34CF6">
        <w:rPr>
          <w:rStyle w:val="FootnoteReference"/>
          <w:rFonts w:eastAsia="Times New Roman"/>
          <w:color w:val="auto"/>
          <w:szCs w:val="24"/>
        </w:rPr>
        <w:t xml:space="preserve"> </w:t>
      </w:r>
      <w:r>
        <w:rPr>
          <w:rStyle w:val="FootnoteReference"/>
          <w:rFonts w:eastAsia="Times New Roman"/>
          <w:color w:val="auto"/>
          <w:szCs w:val="24"/>
        </w:rPr>
        <w:footnoteReference w:id="4"/>
      </w:r>
    </w:p>
    <w:p w:rsidR="002A194A" w:rsidRPr="00DB0C4C" w:rsidP="00C969C5" w14:paraId="3E7049CF" w14:textId="775A9C8A">
      <w:pPr>
        <w:spacing w:line="480" w:lineRule="auto"/>
        <w:ind w:firstLine="720"/>
        <w:rPr>
          <w:rFonts w:eastAsia="Times New Roman"/>
          <w:color w:val="auto"/>
          <w:szCs w:val="24"/>
        </w:rPr>
      </w:pPr>
      <w:r w:rsidRPr="00DB0C4C">
        <w:rPr>
          <w:rFonts w:eastAsia="Times New Roman"/>
          <w:color w:val="auto"/>
          <w:szCs w:val="24"/>
        </w:rPr>
        <w:t xml:space="preserve">That brings us to </w:t>
      </w:r>
      <w:r w:rsidRPr="00DB0C4C" w:rsidR="006944EA">
        <w:rPr>
          <w:rFonts w:eastAsia="Times New Roman"/>
          <w:color w:val="auto"/>
          <w:szCs w:val="24"/>
        </w:rPr>
        <w:t xml:space="preserve">the </w:t>
      </w:r>
      <w:r w:rsidRPr="00DB0C4C">
        <w:rPr>
          <w:rFonts w:eastAsia="Times New Roman"/>
          <w:color w:val="auto"/>
          <w:szCs w:val="24"/>
        </w:rPr>
        <w:t>FirstEnergy</w:t>
      </w:r>
      <w:r w:rsidRPr="00DB0C4C" w:rsidR="006944EA">
        <w:rPr>
          <w:rFonts w:eastAsia="Times New Roman"/>
          <w:color w:val="auto"/>
          <w:szCs w:val="24"/>
        </w:rPr>
        <w:t xml:space="preserve"> </w:t>
      </w:r>
      <w:r w:rsidRPr="00DB0C4C" w:rsidR="00197472">
        <w:rPr>
          <w:rFonts w:eastAsia="Times New Roman"/>
          <w:color w:val="auto"/>
          <w:szCs w:val="24"/>
        </w:rPr>
        <w:t>U</w:t>
      </w:r>
      <w:r w:rsidRPr="00DB0C4C" w:rsidR="006944EA">
        <w:rPr>
          <w:rFonts w:eastAsia="Times New Roman"/>
          <w:color w:val="auto"/>
          <w:szCs w:val="24"/>
        </w:rPr>
        <w:t>tilities’</w:t>
      </w:r>
      <w:r w:rsidRPr="00DB0C4C">
        <w:rPr>
          <w:rFonts w:eastAsia="Times New Roman"/>
          <w:color w:val="auto"/>
          <w:szCs w:val="24"/>
        </w:rPr>
        <w:t xml:space="preserve"> latest bid </w:t>
      </w:r>
      <w:r w:rsidR="005D4D0E">
        <w:rPr>
          <w:rFonts w:eastAsia="Times New Roman"/>
          <w:color w:val="auto"/>
          <w:szCs w:val="24"/>
        </w:rPr>
        <w:t xml:space="preserve">to </w:t>
      </w:r>
      <w:r w:rsidRPr="00DB0C4C" w:rsidR="005D4D0E">
        <w:rPr>
          <w:bCs/>
          <w:szCs w:val="24"/>
        </w:rPr>
        <w:t xml:space="preserve">deny OCC its ample rights of discovery </w:t>
      </w:r>
      <w:r w:rsidR="005D4D0E">
        <w:rPr>
          <w:bCs/>
          <w:szCs w:val="24"/>
        </w:rPr>
        <w:t xml:space="preserve">necessary </w:t>
      </w:r>
      <w:r w:rsidRPr="00DB0C4C" w:rsidR="005D4D0E">
        <w:rPr>
          <w:bCs/>
          <w:szCs w:val="24"/>
        </w:rPr>
        <w:t>to</w:t>
      </w:r>
      <w:r w:rsidR="005D4D0E">
        <w:rPr>
          <w:bCs/>
          <w:szCs w:val="24"/>
        </w:rPr>
        <w:t xml:space="preserve"> adequately</w:t>
      </w:r>
      <w:r w:rsidRPr="00DB0C4C" w:rsidR="005D4D0E">
        <w:rPr>
          <w:bCs/>
          <w:szCs w:val="24"/>
        </w:rPr>
        <w:t xml:space="preserve"> </w:t>
      </w:r>
      <w:r w:rsidR="005D4D0E">
        <w:rPr>
          <w:bCs/>
          <w:szCs w:val="24"/>
        </w:rPr>
        <w:t>prepare its case</w:t>
      </w:r>
      <w:r w:rsidRPr="00DB0C4C" w:rsidR="00745D82">
        <w:rPr>
          <w:rFonts w:eastAsia="Times New Roman"/>
          <w:color w:val="auto"/>
          <w:szCs w:val="24"/>
        </w:rPr>
        <w:t xml:space="preserve"> –</w:t>
      </w:r>
      <w:r w:rsidRPr="00DB0C4C">
        <w:rPr>
          <w:rFonts w:eastAsia="Times New Roman"/>
          <w:color w:val="auto"/>
          <w:szCs w:val="24"/>
        </w:rPr>
        <w:t xml:space="preserve"> </w:t>
      </w:r>
      <w:r w:rsidRPr="00DB0C4C" w:rsidR="006944EA">
        <w:rPr>
          <w:rFonts w:eastAsia="Times New Roman"/>
          <w:color w:val="auto"/>
          <w:szCs w:val="24"/>
        </w:rPr>
        <w:t>their</w:t>
      </w:r>
      <w:r w:rsidRPr="00DB0C4C">
        <w:rPr>
          <w:rFonts w:eastAsia="Times New Roman"/>
          <w:color w:val="auto"/>
          <w:szCs w:val="24"/>
        </w:rPr>
        <w:t xml:space="preserve"> motion for protection related to </w:t>
      </w:r>
      <w:r w:rsidRPr="00DB0C4C" w:rsidR="00FC7332">
        <w:rPr>
          <w:rFonts w:eastAsia="Times New Roman"/>
          <w:color w:val="auto"/>
          <w:szCs w:val="24"/>
        </w:rPr>
        <w:t>OCC’s request to produce documents at the deposition of Robert Mattiuz</w:t>
      </w:r>
      <w:r w:rsidRPr="00DB0C4C">
        <w:rPr>
          <w:rFonts w:eastAsia="Times New Roman"/>
          <w:color w:val="auto"/>
          <w:szCs w:val="24"/>
        </w:rPr>
        <w:t>.</w:t>
      </w:r>
      <w:r w:rsidRPr="00DB0C4C" w:rsidR="00EF1D0E">
        <w:rPr>
          <w:rFonts w:eastAsia="Times New Roman"/>
          <w:color w:val="auto"/>
          <w:szCs w:val="24"/>
        </w:rPr>
        <w:t xml:space="preserve"> They do not want to produce the documents to OCC.</w:t>
      </w:r>
      <w:r w:rsidRPr="00DB0C4C">
        <w:rPr>
          <w:rFonts w:eastAsia="Times New Roman"/>
          <w:color w:val="auto"/>
          <w:szCs w:val="24"/>
        </w:rPr>
        <w:t xml:space="preserve"> </w:t>
      </w:r>
      <w:r w:rsidRPr="00DB0C4C" w:rsidR="005A55BA">
        <w:rPr>
          <w:rFonts w:eastAsia="Times New Roman"/>
          <w:color w:val="auto"/>
          <w:szCs w:val="24"/>
        </w:rPr>
        <w:t xml:space="preserve">Mr. Mattiuz </w:t>
      </w:r>
      <w:r w:rsidRPr="00DB0C4C" w:rsidR="00356F1E">
        <w:rPr>
          <w:rFonts w:eastAsia="Times New Roman"/>
          <w:color w:val="auto"/>
          <w:szCs w:val="24"/>
        </w:rPr>
        <w:t>is</w:t>
      </w:r>
      <w:r w:rsidRPr="00DB0C4C">
        <w:rPr>
          <w:rFonts w:eastAsia="Times New Roman"/>
          <w:color w:val="auto"/>
          <w:szCs w:val="24"/>
        </w:rPr>
        <w:t xml:space="preserve"> the former </w:t>
      </w:r>
      <w:r w:rsidRPr="00DB0C4C" w:rsidR="005A55BA">
        <w:rPr>
          <w:rFonts w:eastAsia="Times New Roman"/>
          <w:color w:val="auto"/>
          <w:szCs w:val="24"/>
        </w:rPr>
        <w:t>Vice President, Compliance and Regulated Services, who served as the FirstEnergy Utilities’ compliance officer on corporate separation matters</w:t>
      </w:r>
      <w:r w:rsidRPr="00DB0C4C">
        <w:rPr>
          <w:rFonts w:eastAsia="Times New Roman"/>
          <w:color w:val="auto"/>
          <w:szCs w:val="24"/>
        </w:rPr>
        <w:t xml:space="preserve">. </w:t>
      </w:r>
    </w:p>
    <w:p w:rsidR="004C785D" w:rsidRPr="00DB0C4C" w:rsidP="00D13E50" w14:paraId="787EED4F" w14:textId="335D5C5C">
      <w:pPr>
        <w:spacing w:line="480" w:lineRule="auto"/>
        <w:ind w:firstLine="720"/>
        <w:rPr>
          <w:rFonts w:eastAsia="Times New Roman"/>
          <w:color w:val="auto"/>
          <w:szCs w:val="24"/>
        </w:rPr>
      </w:pPr>
      <w:r w:rsidRPr="00DB0C4C">
        <w:rPr>
          <w:rFonts w:eastAsia="Times New Roman"/>
          <w:color w:val="auto"/>
          <w:szCs w:val="24"/>
        </w:rPr>
        <w:t>The documents OCC requests are</w:t>
      </w:r>
      <w:r w:rsidRPr="00DB0C4C" w:rsidR="001E7E89">
        <w:rPr>
          <w:rFonts w:eastAsia="Times New Roman"/>
          <w:color w:val="auto"/>
          <w:szCs w:val="24"/>
        </w:rPr>
        <w:t xml:space="preserve"> imbued with the public interest and the public domain. </w:t>
      </w:r>
      <w:r w:rsidRPr="00DB0C4C" w:rsidR="00D13E50">
        <w:rPr>
          <w:rFonts w:eastAsia="Times New Roman"/>
          <w:color w:val="auto"/>
          <w:szCs w:val="24"/>
        </w:rPr>
        <w:t>But the FirstEnergy Utilities assert that OCC’s document requests are “untimely”</w:t>
      </w:r>
      <w:r>
        <w:rPr>
          <w:rStyle w:val="FootnoteReference"/>
          <w:rFonts w:eastAsia="Times New Roman"/>
          <w:color w:val="auto"/>
          <w:szCs w:val="24"/>
        </w:rPr>
        <w:footnoteReference w:id="5"/>
      </w:r>
      <w:r w:rsidRPr="00DB0C4C" w:rsidR="00D13E50">
        <w:rPr>
          <w:rFonts w:eastAsia="Times New Roman"/>
          <w:color w:val="auto"/>
          <w:szCs w:val="24"/>
        </w:rPr>
        <w:t xml:space="preserve"> and “irrelevant and overly burdensome.”</w:t>
      </w:r>
      <w:r>
        <w:rPr>
          <w:rStyle w:val="FootnoteReference"/>
          <w:rFonts w:eastAsia="Times New Roman"/>
          <w:color w:val="auto"/>
          <w:szCs w:val="24"/>
        </w:rPr>
        <w:footnoteReference w:id="6"/>
      </w:r>
      <w:r w:rsidRPr="00DB0C4C" w:rsidR="00216538">
        <w:rPr>
          <w:rFonts w:eastAsia="Times New Roman"/>
          <w:color w:val="auto"/>
          <w:szCs w:val="24"/>
        </w:rPr>
        <w:t xml:space="preserve"> </w:t>
      </w:r>
      <w:r w:rsidRPr="00DB0C4C" w:rsidR="001C3BB8">
        <w:rPr>
          <w:rFonts w:eastAsia="Times New Roman"/>
          <w:color w:val="auto"/>
          <w:szCs w:val="24"/>
        </w:rPr>
        <w:t>They do not want to produce the documents. Further, FirstEnergy wants the PUCO to deny OCC its legal rights to discovery. Already, the PUCO has denied OCC its legal rights for case preparation by denying written discovery after November 2021.</w:t>
      </w:r>
      <w:r w:rsidRPr="00DB0C4C" w:rsidR="00BF0993">
        <w:rPr>
          <w:rFonts w:eastAsia="Times New Roman"/>
          <w:color w:val="auto"/>
          <w:szCs w:val="24"/>
        </w:rPr>
        <w:t xml:space="preserve"> </w:t>
      </w:r>
      <w:r w:rsidRPr="00DB0C4C" w:rsidR="00D13E50">
        <w:rPr>
          <w:rFonts w:eastAsia="Times New Roman"/>
          <w:color w:val="auto"/>
          <w:szCs w:val="24"/>
        </w:rPr>
        <w:t>The PUCO shouldn’t stand for</w:t>
      </w:r>
      <w:r w:rsidRPr="00DB0C4C" w:rsidR="001C3BB8">
        <w:rPr>
          <w:rFonts w:eastAsia="Times New Roman"/>
          <w:color w:val="auto"/>
          <w:szCs w:val="24"/>
        </w:rPr>
        <w:t xml:space="preserve"> any of this</w:t>
      </w:r>
      <w:r w:rsidRPr="00DB0C4C" w:rsidR="00D13E50">
        <w:rPr>
          <w:rFonts w:eastAsia="Times New Roman"/>
          <w:color w:val="auto"/>
          <w:szCs w:val="24"/>
        </w:rPr>
        <w:t>.</w:t>
      </w:r>
      <w:r w:rsidRPr="00DB0C4C" w:rsidR="00216538">
        <w:rPr>
          <w:rFonts w:eastAsia="Times New Roman"/>
          <w:color w:val="auto"/>
          <w:szCs w:val="24"/>
        </w:rPr>
        <w:t xml:space="preserve"> </w:t>
      </w:r>
    </w:p>
    <w:p w:rsidR="00D21C02" w:rsidRPr="00DB0C4C" w:rsidP="00BF0993" w14:paraId="476C485B" w14:textId="10FF1E14">
      <w:pPr>
        <w:keepNext/>
        <w:spacing w:line="480" w:lineRule="auto"/>
        <w:ind w:firstLine="720"/>
        <w:rPr>
          <w:rFonts w:eastAsia="Times New Roman"/>
          <w:color w:val="auto"/>
          <w:szCs w:val="24"/>
        </w:rPr>
      </w:pPr>
      <w:r w:rsidRPr="00DB0C4C">
        <w:rPr>
          <w:rFonts w:eastAsia="Times New Roman"/>
          <w:color w:val="auto"/>
          <w:szCs w:val="24"/>
        </w:rPr>
        <w:t xml:space="preserve">Further, the FirstEnergy Utilities’ Motion is </w:t>
      </w:r>
      <w:r w:rsidRPr="00DB0C4C" w:rsidR="001C3BB8">
        <w:rPr>
          <w:rFonts w:eastAsia="Times New Roman"/>
          <w:color w:val="auto"/>
          <w:szCs w:val="24"/>
        </w:rPr>
        <w:t>defective</w:t>
      </w:r>
      <w:r w:rsidRPr="00DB0C4C">
        <w:rPr>
          <w:rFonts w:eastAsia="Times New Roman"/>
          <w:color w:val="auto"/>
          <w:szCs w:val="24"/>
        </w:rPr>
        <w:t>.</w:t>
      </w:r>
      <w:r w:rsidR="00DB0C4C">
        <w:rPr>
          <w:rFonts w:eastAsia="Times New Roman"/>
          <w:color w:val="auto"/>
          <w:szCs w:val="24"/>
        </w:rPr>
        <w:t xml:space="preserve"> </w:t>
      </w:r>
      <w:r w:rsidRPr="00DB0C4C" w:rsidR="00F32C45">
        <w:rPr>
          <w:rFonts w:eastAsia="Times New Roman"/>
          <w:color w:val="auto"/>
          <w:szCs w:val="24"/>
        </w:rPr>
        <w:t>T</w:t>
      </w:r>
      <w:r w:rsidRPr="00DB0C4C">
        <w:rPr>
          <w:rFonts w:eastAsia="Times New Roman"/>
          <w:color w:val="auto"/>
          <w:szCs w:val="24"/>
        </w:rPr>
        <w:t>heir</w:t>
      </w:r>
      <w:r w:rsidRPr="00DB0C4C" w:rsidR="001E7E89">
        <w:rPr>
          <w:rFonts w:eastAsia="Times New Roman"/>
          <w:color w:val="auto"/>
          <w:szCs w:val="24"/>
        </w:rPr>
        <w:t xml:space="preserve"> Motion is </w:t>
      </w:r>
      <w:r w:rsidRPr="00DB0C4C" w:rsidR="00737447">
        <w:rPr>
          <w:rFonts w:eastAsia="Times New Roman"/>
          <w:color w:val="auto"/>
          <w:szCs w:val="24"/>
        </w:rPr>
        <w:t xml:space="preserve">filed under </w:t>
      </w:r>
      <w:r w:rsidRPr="00DB0C4C" w:rsidR="001E7E89">
        <w:rPr>
          <w:rFonts w:eastAsia="Times New Roman"/>
          <w:color w:val="auto"/>
          <w:szCs w:val="24"/>
        </w:rPr>
        <w:t>O.A.C. 4901-1-24.</w:t>
      </w:r>
      <w:r w:rsidR="00DB0C4C">
        <w:rPr>
          <w:rFonts w:eastAsia="Times New Roman"/>
          <w:color w:val="auto"/>
          <w:szCs w:val="24"/>
        </w:rPr>
        <w:t xml:space="preserve"> </w:t>
      </w:r>
      <w:r w:rsidRPr="00DB0C4C" w:rsidR="001E7E89">
        <w:rPr>
          <w:rFonts w:eastAsia="Times New Roman"/>
          <w:color w:val="auto"/>
          <w:szCs w:val="24"/>
        </w:rPr>
        <w:t>O.A.C. 4901-1-24</w:t>
      </w:r>
      <w:r w:rsidRPr="00DB0C4C" w:rsidR="00737447">
        <w:rPr>
          <w:rFonts w:eastAsia="Times New Roman"/>
          <w:color w:val="auto"/>
          <w:szCs w:val="24"/>
        </w:rPr>
        <w:t>(B)</w:t>
      </w:r>
      <w:r w:rsidRPr="00DB0C4C" w:rsidR="004C785D">
        <w:rPr>
          <w:rFonts w:eastAsia="Times New Roman"/>
          <w:color w:val="auto"/>
          <w:szCs w:val="24"/>
        </w:rPr>
        <w:t>(3)</w:t>
      </w:r>
      <w:r w:rsidRPr="00DB0C4C" w:rsidR="002E0DF9">
        <w:rPr>
          <w:rFonts w:eastAsia="Times New Roman"/>
          <w:color w:val="auto"/>
          <w:szCs w:val="24"/>
        </w:rPr>
        <w:t xml:space="preserve"> </w:t>
      </w:r>
      <w:r w:rsidRPr="00DB0C4C" w:rsidR="004C785D">
        <w:rPr>
          <w:rFonts w:eastAsia="Times New Roman"/>
          <w:color w:val="auto"/>
          <w:szCs w:val="24"/>
        </w:rPr>
        <w:t xml:space="preserve">requires </w:t>
      </w:r>
      <w:r w:rsidRPr="00DB0C4C" w:rsidR="00197472">
        <w:rPr>
          <w:rFonts w:eastAsia="Times New Roman"/>
          <w:color w:val="auto"/>
          <w:szCs w:val="24"/>
        </w:rPr>
        <w:t xml:space="preserve">the </w:t>
      </w:r>
      <w:r w:rsidRPr="00DB0C4C" w:rsidR="004C785D">
        <w:rPr>
          <w:rFonts w:eastAsia="Times New Roman"/>
          <w:color w:val="auto"/>
          <w:szCs w:val="24"/>
        </w:rPr>
        <w:t xml:space="preserve">FirstEnergy </w:t>
      </w:r>
      <w:r w:rsidRPr="00DB0C4C" w:rsidR="00197472">
        <w:rPr>
          <w:rFonts w:eastAsia="Times New Roman"/>
          <w:color w:val="auto"/>
          <w:szCs w:val="24"/>
        </w:rPr>
        <w:t xml:space="preserve">Utilities </w:t>
      </w:r>
      <w:r w:rsidRPr="00DB0C4C" w:rsidR="004C785D">
        <w:rPr>
          <w:rFonts w:eastAsia="Times New Roman"/>
          <w:color w:val="auto"/>
          <w:szCs w:val="24"/>
        </w:rPr>
        <w:t xml:space="preserve">to </w:t>
      </w:r>
      <w:r w:rsidRPr="00DB0C4C" w:rsidR="00096FBC">
        <w:rPr>
          <w:rFonts w:eastAsia="Times New Roman"/>
          <w:color w:val="auto"/>
          <w:szCs w:val="24"/>
        </w:rPr>
        <w:t>file</w:t>
      </w:r>
      <w:r w:rsidRPr="00DB0C4C" w:rsidR="004C785D">
        <w:rPr>
          <w:rFonts w:eastAsia="Times New Roman"/>
          <w:color w:val="auto"/>
          <w:szCs w:val="24"/>
        </w:rPr>
        <w:t xml:space="preserve"> an “affidavit of counsel</w:t>
      </w:r>
      <w:r w:rsidRPr="00DB0C4C" w:rsidR="000E24A5">
        <w:rPr>
          <w:rFonts w:eastAsia="Times New Roman"/>
          <w:color w:val="auto"/>
          <w:szCs w:val="24"/>
        </w:rPr>
        <w:t>.”</w:t>
      </w:r>
      <w:r w:rsidR="00DB0C4C">
        <w:rPr>
          <w:rFonts w:eastAsia="Times New Roman"/>
          <w:color w:val="auto"/>
          <w:szCs w:val="24"/>
        </w:rPr>
        <w:t xml:space="preserve"> </w:t>
      </w:r>
      <w:r w:rsidRPr="00DB0C4C" w:rsidR="00541545">
        <w:rPr>
          <w:rFonts w:eastAsia="Times New Roman"/>
          <w:color w:val="auto"/>
          <w:szCs w:val="24"/>
        </w:rPr>
        <w:t>But FirstEnergy didn’t file the required affidavit.</w:t>
      </w:r>
      <w:r w:rsidRPr="00DB0C4C" w:rsidR="003D42FD">
        <w:rPr>
          <w:rFonts w:eastAsia="Times New Roman"/>
          <w:color w:val="auto"/>
          <w:szCs w:val="24"/>
        </w:rPr>
        <w:t xml:space="preserve"> </w:t>
      </w:r>
      <w:r w:rsidRPr="00DB0C4C">
        <w:rPr>
          <w:rFonts w:eastAsia="Times New Roman"/>
          <w:color w:val="auto"/>
          <w:szCs w:val="24"/>
        </w:rPr>
        <w:t>The FirstEnergy Utilities’</w:t>
      </w:r>
      <w:r w:rsidRPr="00DB0C4C" w:rsidR="00B86076">
        <w:rPr>
          <w:rFonts w:eastAsia="Times New Roman"/>
          <w:color w:val="auto"/>
          <w:szCs w:val="24"/>
        </w:rPr>
        <w:t xml:space="preserve"> Motion should be struck</w:t>
      </w:r>
      <w:r w:rsidRPr="00DB0C4C" w:rsidR="00371A08">
        <w:rPr>
          <w:rFonts w:eastAsia="Times New Roman"/>
          <w:color w:val="auto"/>
          <w:szCs w:val="24"/>
        </w:rPr>
        <w:t xml:space="preserve"> from the record.</w:t>
      </w:r>
      <w:r w:rsidRPr="00DB0C4C" w:rsidR="0041743D">
        <w:rPr>
          <w:rFonts w:eastAsia="Times New Roman"/>
          <w:color w:val="auto"/>
          <w:szCs w:val="24"/>
        </w:rPr>
        <w:t xml:space="preserve"> </w:t>
      </w:r>
    </w:p>
    <w:p w:rsidR="00860258" w:rsidP="00C815E4" w14:paraId="7B415550" w14:textId="49ADB0BB">
      <w:pPr>
        <w:spacing w:line="480" w:lineRule="auto"/>
        <w:ind w:firstLine="720"/>
        <w:rPr>
          <w:szCs w:val="24"/>
        </w:rPr>
      </w:pPr>
      <w:r w:rsidRPr="00DB0C4C">
        <w:rPr>
          <w:szCs w:val="24"/>
        </w:rPr>
        <w:t xml:space="preserve">The PUCO should deny </w:t>
      </w:r>
      <w:r w:rsidRPr="00DB0C4C" w:rsidR="00BF0993">
        <w:rPr>
          <w:szCs w:val="24"/>
        </w:rPr>
        <w:t xml:space="preserve">the </w:t>
      </w:r>
      <w:r w:rsidRPr="00DB0C4C">
        <w:rPr>
          <w:szCs w:val="24"/>
        </w:rPr>
        <w:t>FirstEnergy</w:t>
      </w:r>
      <w:r w:rsidRPr="00DB0C4C" w:rsidR="00BF0993">
        <w:rPr>
          <w:szCs w:val="24"/>
        </w:rPr>
        <w:t xml:space="preserve"> Utilities’</w:t>
      </w:r>
      <w:r w:rsidRPr="00DB0C4C">
        <w:rPr>
          <w:szCs w:val="24"/>
        </w:rPr>
        <w:t xml:space="preserve"> Motion for failing to conform to the Ohio Administrative Code</w:t>
      </w:r>
      <w:r w:rsidRPr="00DB0C4C" w:rsidR="00470CB2">
        <w:rPr>
          <w:szCs w:val="24"/>
        </w:rPr>
        <w:t xml:space="preserve"> regarding the affidavit</w:t>
      </w:r>
      <w:r w:rsidR="00B04647">
        <w:rPr>
          <w:szCs w:val="24"/>
        </w:rPr>
        <w:t xml:space="preserve"> and</w:t>
      </w:r>
      <w:r w:rsidRPr="00DB0C4C" w:rsidR="00470CB2">
        <w:rPr>
          <w:szCs w:val="24"/>
        </w:rPr>
        <w:t xml:space="preserve"> for violating OCC’s discovery rights</w:t>
      </w:r>
      <w:r w:rsidR="00B04647">
        <w:rPr>
          <w:szCs w:val="24"/>
        </w:rPr>
        <w:t xml:space="preserve"> necessary for case preparation</w:t>
      </w:r>
      <w:r w:rsidRPr="00DB0C4C">
        <w:rPr>
          <w:szCs w:val="24"/>
        </w:rPr>
        <w:t>.</w:t>
      </w:r>
      <w:r w:rsidRPr="00DB0C4C" w:rsidR="0041743D">
        <w:rPr>
          <w:szCs w:val="24"/>
        </w:rPr>
        <w:t xml:space="preserve"> </w:t>
      </w:r>
    </w:p>
    <w:p w:rsidR="00746F2A" w:rsidP="00746F2A" w14:paraId="2761C3F0" w14:textId="77777777">
      <w:pPr>
        <w:ind w:firstLine="720"/>
        <w:rPr>
          <w:szCs w:val="24"/>
        </w:rPr>
      </w:pPr>
    </w:p>
    <w:p w:rsidR="009E593D" w:rsidRPr="00DB0C4C" w:rsidP="00575A23" w14:paraId="693FC938" w14:textId="06C32E21">
      <w:pPr>
        <w:pStyle w:val="Heading1"/>
        <w:rPr>
          <w:rFonts w:ascii="Times New Roman" w:hAnsi="Times New Roman" w:cs="Times New Roman"/>
          <w:szCs w:val="24"/>
        </w:rPr>
      </w:pPr>
      <w:bookmarkStart w:id="1" w:name="_Toc104302065"/>
      <w:r w:rsidRPr="00DB0C4C">
        <w:rPr>
          <w:rFonts w:ascii="Times New Roman" w:hAnsi="Times New Roman" w:cs="Times New Roman"/>
          <w:szCs w:val="24"/>
        </w:rPr>
        <w:t>II.</w:t>
      </w:r>
      <w:r w:rsidRPr="00DB0C4C">
        <w:rPr>
          <w:rFonts w:ascii="Times New Roman" w:hAnsi="Times New Roman" w:cs="Times New Roman"/>
          <w:szCs w:val="24"/>
        </w:rPr>
        <w:tab/>
        <w:t>Argument</w:t>
      </w:r>
      <w:bookmarkEnd w:id="1"/>
    </w:p>
    <w:p w:rsidR="00582D86" w:rsidRPr="00DB0C4C" w:rsidP="00CE43A2" w14:paraId="2945EC01" w14:textId="2ADCD452">
      <w:pPr>
        <w:pStyle w:val="Heading2"/>
      </w:pPr>
      <w:bookmarkStart w:id="2" w:name="_Toc104302066"/>
      <w:r w:rsidRPr="00DB0C4C">
        <w:t>A.</w:t>
      </w:r>
      <w:r w:rsidRPr="00DB0C4C">
        <w:tab/>
      </w:r>
      <w:r w:rsidRPr="00DB0C4C" w:rsidR="00B87C27">
        <w:t xml:space="preserve">The FirstEnergy </w:t>
      </w:r>
      <w:r w:rsidRPr="00DB0C4C">
        <w:t>Utilities</w:t>
      </w:r>
      <w:r w:rsidRPr="00DB0C4C" w:rsidR="00B87C27">
        <w:t xml:space="preserve"> </w:t>
      </w:r>
      <w:r w:rsidRPr="00DB0C4C" w:rsidR="002617AF">
        <w:t xml:space="preserve">violated </w:t>
      </w:r>
      <w:r w:rsidRPr="00DB0C4C" w:rsidR="008509CF">
        <w:t xml:space="preserve">O.A.C. 4901-1-24(B)(3) </w:t>
      </w:r>
      <w:r w:rsidRPr="00DB0C4C" w:rsidR="002617AF">
        <w:t xml:space="preserve">by failing </w:t>
      </w:r>
      <w:r w:rsidRPr="00DB0C4C" w:rsidR="00B87C27">
        <w:t xml:space="preserve">to </w:t>
      </w:r>
      <w:r w:rsidRPr="00DB0C4C" w:rsidR="008509CF">
        <w:t xml:space="preserve">file </w:t>
      </w:r>
      <w:r w:rsidRPr="00DB0C4C" w:rsidR="00B87C27">
        <w:t>a</w:t>
      </w:r>
      <w:r w:rsidRPr="00DB0C4C" w:rsidR="002617AF">
        <w:t>n</w:t>
      </w:r>
      <w:r w:rsidRPr="00DB0C4C" w:rsidR="00B87C27">
        <w:t xml:space="preserve"> affidavit</w:t>
      </w:r>
      <w:r w:rsidRPr="00DB0C4C">
        <w:t xml:space="preserve"> of </w:t>
      </w:r>
      <w:r w:rsidRPr="00DB0C4C" w:rsidR="008509CF">
        <w:t>c</w:t>
      </w:r>
      <w:r w:rsidRPr="00DB0C4C">
        <w:t>ounsel setting forth efforts it undertook to resolve the discovery dispute</w:t>
      </w:r>
      <w:r w:rsidRPr="00DB0C4C" w:rsidR="005718E5">
        <w:t>.</w:t>
      </w:r>
      <w:bookmarkEnd w:id="2"/>
    </w:p>
    <w:p w:rsidR="00686350" w:rsidRPr="00DB0C4C" w:rsidP="00221B24" w14:paraId="22B02D73" w14:textId="4C46617F">
      <w:pPr>
        <w:spacing w:line="480" w:lineRule="auto"/>
        <w:ind w:firstLine="720"/>
        <w:rPr>
          <w:szCs w:val="24"/>
        </w:rPr>
      </w:pPr>
      <w:r w:rsidRPr="00DB0C4C">
        <w:rPr>
          <w:szCs w:val="24"/>
        </w:rPr>
        <w:t>Before a party files a motion for protective order, it must have “exhausted all other reasonable means of resolving any differences with the party seeking discovery.”</w:t>
      </w:r>
      <w:r>
        <w:rPr>
          <w:rStyle w:val="FootnoteReference"/>
          <w:szCs w:val="24"/>
        </w:rPr>
        <w:footnoteReference w:id="7"/>
      </w:r>
      <w:r w:rsidRPr="00DB0C4C" w:rsidR="00221B24">
        <w:rPr>
          <w:szCs w:val="24"/>
        </w:rPr>
        <w:t xml:space="preserve"> </w:t>
      </w:r>
      <w:r w:rsidRPr="00DB0C4C">
        <w:rPr>
          <w:szCs w:val="24"/>
        </w:rPr>
        <w:t>O.A.C. 4901-1-24(B) requires an affidavit of counsel setting forth the efforts the parties have made to resolve discovery differences.</w:t>
      </w:r>
      <w:r>
        <w:rPr>
          <w:rStyle w:val="FootnoteReference"/>
          <w:szCs w:val="24"/>
        </w:rPr>
        <w:footnoteReference w:id="8"/>
      </w:r>
      <w:r w:rsidRPr="00DB0C4C" w:rsidR="00221B24">
        <w:rPr>
          <w:szCs w:val="24"/>
        </w:rPr>
        <w:t xml:space="preserve"> </w:t>
      </w:r>
    </w:p>
    <w:p w:rsidR="008509CF" w:rsidRPr="00DB0C4C" w:rsidP="008509CF" w14:paraId="11CD23A8" w14:textId="4856C44D">
      <w:pPr>
        <w:spacing w:line="480" w:lineRule="auto"/>
        <w:ind w:firstLine="720"/>
        <w:rPr>
          <w:szCs w:val="24"/>
        </w:rPr>
      </w:pPr>
      <w:r w:rsidRPr="00DB0C4C">
        <w:rPr>
          <w:szCs w:val="24"/>
        </w:rPr>
        <w:t>The FirstEnergy Utilities make a make a vague assertion that they “attempted to negotiate a resolution with OCC as to the scope of its document requests[.]”</w:t>
      </w:r>
      <w:r>
        <w:rPr>
          <w:rStyle w:val="FootnoteReference"/>
          <w:szCs w:val="24"/>
        </w:rPr>
        <w:footnoteReference w:id="9"/>
      </w:r>
      <w:r w:rsidRPr="00DB0C4C" w:rsidR="00216538">
        <w:rPr>
          <w:szCs w:val="24"/>
        </w:rPr>
        <w:t xml:space="preserve"> </w:t>
      </w:r>
      <w:r w:rsidRPr="00DB0C4C" w:rsidR="001E7E89">
        <w:rPr>
          <w:szCs w:val="24"/>
        </w:rPr>
        <w:t>But the Motion is missing the required affidavit of counsel attesting to resolution efforts.</w:t>
      </w:r>
      <w:r w:rsidRPr="00DB0C4C" w:rsidR="00221B24">
        <w:rPr>
          <w:szCs w:val="24"/>
        </w:rPr>
        <w:t xml:space="preserve"> </w:t>
      </w:r>
    </w:p>
    <w:p w:rsidR="00686350" w:rsidRPr="00DB0C4C" w:rsidP="006A1EBB" w14:paraId="7DEB8AE7" w14:textId="0136D090">
      <w:pPr>
        <w:spacing w:line="480" w:lineRule="auto"/>
        <w:ind w:firstLine="720"/>
        <w:rPr>
          <w:szCs w:val="24"/>
        </w:rPr>
      </w:pPr>
      <w:r w:rsidRPr="00DB0C4C">
        <w:rPr>
          <w:szCs w:val="24"/>
        </w:rPr>
        <w:t xml:space="preserve">The FirstEnergy Utilities </w:t>
      </w:r>
      <w:r w:rsidRPr="00DB0C4C" w:rsidR="00857076">
        <w:rPr>
          <w:szCs w:val="24"/>
        </w:rPr>
        <w:t>violated the Ohio Administrative Code</w:t>
      </w:r>
      <w:r w:rsidRPr="00DB0C4C">
        <w:rPr>
          <w:szCs w:val="24"/>
        </w:rPr>
        <w:t xml:space="preserve">. </w:t>
      </w:r>
      <w:r w:rsidRPr="00DB0C4C" w:rsidR="00BD17DB">
        <w:rPr>
          <w:szCs w:val="24"/>
        </w:rPr>
        <w:t>For this reason alone, the PUCO should deny the FirstEnergy Utilities</w:t>
      </w:r>
      <w:r w:rsidRPr="00DB0C4C" w:rsidR="006A1EBB">
        <w:rPr>
          <w:szCs w:val="24"/>
        </w:rPr>
        <w:t>’</w:t>
      </w:r>
      <w:r w:rsidRPr="00DB0C4C" w:rsidR="00BD17DB">
        <w:rPr>
          <w:szCs w:val="24"/>
        </w:rPr>
        <w:t xml:space="preserve"> </w:t>
      </w:r>
      <w:r w:rsidRPr="00DB0C4C" w:rsidR="006B032B">
        <w:rPr>
          <w:szCs w:val="24"/>
        </w:rPr>
        <w:t>Motion</w:t>
      </w:r>
      <w:r w:rsidRPr="00DB0C4C" w:rsidR="00BD17DB">
        <w:rPr>
          <w:szCs w:val="24"/>
        </w:rPr>
        <w:t>.</w:t>
      </w:r>
      <w:r w:rsidRPr="00DB0C4C" w:rsidR="00221B24">
        <w:rPr>
          <w:szCs w:val="24"/>
        </w:rPr>
        <w:t xml:space="preserve"> </w:t>
      </w:r>
    </w:p>
    <w:p w:rsidR="000C5EF1" w:rsidRPr="00DB0C4C" w:rsidP="00CE43A2" w14:paraId="0599C5FC" w14:textId="649530B8">
      <w:pPr>
        <w:pStyle w:val="Heading2"/>
      </w:pPr>
      <w:bookmarkStart w:id="3" w:name="_Toc104302067"/>
      <w:r w:rsidRPr="00DB0C4C">
        <w:t>B</w:t>
      </w:r>
      <w:r w:rsidRPr="00DB0C4C" w:rsidR="005C2057">
        <w:t>.</w:t>
      </w:r>
      <w:r w:rsidRPr="00DB0C4C" w:rsidR="005C2057">
        <w:tab/>
      </w:r>
      <w:r w:rsidRPr="00DB0C4C" w:rsidR="006B032B">
        <w:t xml:space="preserve">OCC’s document requests are in consumers’ interest and do not violate the procedural schedule for discovery in this case, as </w:t>
      </w:r>
      <w:r w:rsidRPr="00DB0C4C" w:rsidR="007A5BA5">
        <w:t xml:space="preserve">the </w:t>
      </w:r>
      <w:r w:rsidRPr="00DB0C4C" w:rsidR="006B032B">
        <w:t xml:space="preserve">FirstEnergy </w:t>
      </w:r>
      <w:r w:rsidRPr="00DB0C4C" w:rsidR="007A5BA5">
        <w:t xml:space="preserve">Utilities </w:t>
      </w:r>
      <w:r w:rsidRPr="00DB0C4C" w:rsidR="006B032B">
        <w:t>wrongly assert.</w:t>
      </w:r>
      <w:bookmarkEnd w:id="3"/>
    </w:p>
    <w:p w:rsidR="007A5BA5" w:rsidRPr="00DB0C4C" w:rsidP="000E554C" w14:paraId="6787CAB3" w14:textId="55257360">
      <w:pPr>
        <w:spacing w:line="480" w:lineRule="auto"/>
        <w:ind w:firstLine="720"/>
        <w:rPr>
          <w:szCs w:val="24"/>
        </w:rPr>
      </w:pPr>
      <w:r w:rsidRPr="00DB0C4C">
        <w:rPr>
          <w:szCs w:val="24"/>
        </w:rPr>
        <w:t>The FirstEnergy Utilities assert that OCC’s document requests are “untimely” because discovery is closed.</w:t>
      </w:r>
      <w:r>
        <w:rPr>
          <w:rStyle w:val="FootnoteReference"/>
          <w:szCs w:val="24"/>
        </w:rPr>
        <w:footnoteReference w:id="10"/>
      </w:r>
      <w:r w:rsidRPr="00DB0C4C">
        <w:rPr>
          <w:szCs w:val="24"/>
        </w:rPr>
        <w:t xml:space="preserve"> The FirstEnergy Utilities’ effort to prevent OCC’s fact-finding </w:t>
      </w:r>
      <w:r w:rsidRPr="00DB0C4C" w:rsidR="005E14AD">
        <w:rPr>
          <w:szCs w:val="24"/>
        </w:rPr>
        <w:t>would violate the law allowing discovery and case preparation for OCC</w:t>
      </w:r>
      <w:r w:rsidRPr="00DB0C4C">
        <w:rPr>
          <w:szCs w:val="24"/>
        </w:rPr>
        <w:t xml:space="preserve">. </w:t>
      </w:r>
    </w:p>
    <w:p w:rsidR="00627BA5" w:rsidRPr="00DB0C4C" w:rsidP="000E554C" w14:paraId="25EAE5F6" w14:textId="4A7AE3F3">
      <w:pPr>
        <w:spacing w:line="480" w:lineRule="auto"/>
        <w:ind w:firstLine="720"/>
        <w:rPr>
          <w:szCs w:val="24"/>
        </w:rPr>
      </w:pPr>
      <w:r w:rsidRPr="00DB0C4C">
        <w:rPr>
          <w:szCs w:val="24"/>
        </w:rPr>
        <w:t>The FirstEnergy Utilities ignore the fact that that in the very Entries which set a discovery cut-off, the Attorney Examiner expressly exempted depositions.</w:t>
      </w:r>
      <w:r>
        <w:rPr>
          <w:rStyle w:val="FootnoteReference"/>
          <w:szCs w:val="24"/>
        </w:rPr>
        <w:footnoteReference w:id="11"/>
      </w:r>
      <w:r w:rsidRPr="00DB0C4C">
        <w:rPr>
          <w:szCs w:val="24"/>
        </w:rPr>
        <w:t xml:space="preserve"> The </w:t>
      </w:r>
      <w:r w:rsidRPr="00DB0C4C" w:rsidR="00F11D00">
        <w:rPr>
          <w:szCs w:val="24"/>
        </w:rPr>
        <w:t>A</w:t>
      </w:r>
      <w:r w:rsidRPr="00DB0C4C">
        <w:rPr>
          <w:szCs w:val="24"/>
        </w:rPr>
        <w:t>ttorney Examiner stated: “The deadline for the service of discovery, except for notices of deposition, shall be set for November 1, 2021.”</w:t>
      </w:r>
      <w:r>
        <w:rPr>
          <w:rStyle w:val="FootnoteReference"/>
          <w:szCs w:val="24"/>
        </w:rPr>
        <w:footnoteReference w:id="12"/>
      </w:r>
      <w:r w:rsidRPr="00DB0C4C">
        <w:rPr>
          <w:szCs w:val="24"/>
        </w:rPr>
        <w:t xml:space="preserve"> Depositions were expressly exempted from the discovery cut</w:t>
      </w:r>
      <w:r w:rsidRPr="00DB0C4C" w:rsidR="00F11D00">
        <w:rPr>
          <w:szCs w:val="24"/>
        </w:rPr>
        <w:t>-off.</w:t>
      </w:r>
    </w:p>
    <w:p w:rsidR="00627BA5" w:rsidRPr="00DB0C4C" w:rsidP="000E554C" w14:paraId="57CD4FF7" w14:textId="77777777">
      <w:pPr>
        <w:spacing w:line="480" w:lineRule="auto"/>
        <w:ind w:firstLine="720"/>
        <w:rPr>
          <w:szCs w:val="24"/>
        </w:rPr>
      </w:pPr>
      <w:r w:rsidRPr="00DB0C4C">
        <w:rPr>
          <w:szCs w:val="24"/>
        </w:rPr>
        <w:t xml:space="preserve">Further, O.A.C. 4901-1-25(A) allows the PUCO (and those acting on its behalf) to issue a subpoena to command such person to produce “books, papers, documents, or other tangible things.” O.A.C. 4901-1-25(D) allows parties to subpoena a person to attend and give testimony at a deposition, and “to produce designated books, papers, documents, or other tangible things within the scope of discovery.” That is just what OCC has done, consistent with the Entries allowing depositions to go forward, despite a discovery cut-off. </w:t>
      </w:r>
    </w:p>
    <w:p w:rsidR="00956119" w:rsidRPr="00DB0C4C" w:rsidP="008A702C" w14:paraId="5D164203" w14:textId="18C80BA9">
      <w:pPr>
        <w:spacing w:line="480" w:lineRule="auto"/>
        <w:ind w:firstLine="720"/>
        <w:rPr>
          <w:szCs w:val="24"/>
        </w:rPr>
      </w:pPr>
      <w:r w:rsidRPr="00DB0C4C">
        <w:rPr>
          <w:szCs w:val="24"/>
        </w:rPr>
        <w:t xml:space="preserve">The Attorney Examiner did not </w:t>
      </w:r>
      <w:r w:rsidRPr="00DB0C4C" w:rsidR="005E14AD">
        <w:rPr>
          <w:szCs w:val="24"/>
        </w:rPr>
        <w:t xml:space="preserve">deny parties </w:t>
      </w:r>
      <w:r w:rsidRPr="00DB0C4C">
        <w:rPr>
          <w:szCs w:val="24"/>
        </w:rPr>
        <w:t>their right to ask for documents to be produced at depositions. Nor did the FirstEnergy Utilities seek clarification of the Examiner’s ruling.</w:t>
      </w:r>
    </w:p>
    <w:p w:rsidR="00934FE5" w:rsidRPr="00DB0C4C" w:rsidP="000E554C" w14:paraId="6DE918D4" w14:textId="4D897C82">
      <w:pPr>
        <w:spacing w:line="480" w:lineRule="auto"/>
        <w:ind w:firstLine="720"/>
        <w:rPr>
          <w:szCs w:val="24"/>
        </w:rPr>
      </w:pPr>
      <w:r w:rsidRPr="00DB0C4C">
        <w:rPr>
          <w:bCs/>
          <w:szCs w:val="24"/>
        </w:rPr>
        <w:t>The FirstEnergy Utilities’ efforts to involve the PUCO in denying OCC its ample rights of discovery to prepare its case should be rejected.</w:t>
      </w:r>
      <w:r w:rsidRPr="00DB0C4C" w:rsidR="00CF2E0B">
        <w:rPr>
          <w:szCs w:val="24"/>
        </w:rPr>
        <w:t xml:space="preserve"> The FirstEnergy Utilities’ Motion should be denied.</w:t>
      </w:r>
    </w:p>
    <w:p w:rsidR="00CE43A2" w:rsidRPr="00D47888" w:rsidP="00CE43A2" w14:paraId="4A4CE9D2" w14:textId="557F0EF0">
      <w:pPr>
        <w:pStyle w:val="Heading2"/>
      </w:pPr>
      <w:bookmarkStart w:id="4" w:name="_Toc104302068"/>
      <w:r>
        <w:t>C</w:t>
      </w:r>
      <w:r w:rsidRPr="00DB0C4C">
        <w:t>.</w:t>
      </w:r>
      <w:r w:rsidRPr="00DB0C4C">
        <w:tab/>
        <w:t xml:space="preserve">The FirstEnergy Utilities’ Motion </w:t>
      </w:r>
      <w:r>
        <w:t>a</w:t>
      </w:r>
      <w:r w:rsidRPr="00DB0C4C">
        <w:t xml:space="preserve">sks </w:t>
      </w:r>
      <w:r>
        <w:t>t</w:t>
      </w:r>
      <w:r w:rsidRPr="00DB0C4C">
        <w:t xml:space="preserve">he PUCO to </w:t>
      </w:r>
      <w:r>
        <w:t>v</w:t>
      </w:r>
      <w:r w:rsidRPr="00DB0C4C">
        <w:t xml:space="preserve">iolate OCC’s </w:t>
      </w:r>
      <w:r>
        <w:t>d</w:t>
      </w:r>
      <w:r w:rsidRPr="00DB0C4C">
        <w:t xml:space="preserve">iscovery and </w:t>
      </w:r>
      <w:r>
        <w:t>c</w:t>
      </w:r>
      <w:r w:rsidRPr="00DB0C4C">
        <w:t xml:space="preserve">ase </w:t>
      </w:r>
      <w:r>
        <w:t>p</w:t>
      </w:r>
      <w:r w:rsidRPr="00DB0C4C">
        <w:t xml:space="preserve">reparation </w:t>
      </w:r>
      <w:r>
        <w:t>r</w:t>
      </w:r>
      <w:r w:rsidRPr="00DB0C4C">
        <w:t>ights</w:t>
      </w:r>
      <w:r>
        <w:t>.</w:t>
      </w:r>
      <w:bookmarkEnd w:id="4"/>
    </w:p>
    <w:p w:rsidR="00CE43A2" w:rsidRPr="00DB0C4C" w:rsidP="00CE43A2" w14:paraId="03B2FC01" w14:textId="77777777">
      <w:pPr>
        <w:pStyle w:val="FootnoteText"/>
        <w:spacing w:line="480" w:lineRule="auto"/>
        <w:ind w:firstLine="720"/>
        <w:rPr>
          <w:b w:val="0"/>
          <w:bCs/>
          <w:sz w:val="24"/>
          <w:szCs w:val="24"/>
        </w:rPr>
      </w:pPr>
      <w:r w:rsidRPr="00DB0C4C">
        <w:rPr>
          <w:b w:val="0"/>
          <w:bCs/>
          <w:sz w:val="24"/>
          <w:szCs w:val="24"/>
        </w:rPr>
        <w:t>The FirstEnergy Utilities Motion asks the PUCO to violate OCC’s discovery and case preparation rights.</w:t>
      </w:r>
      <w:r>
        <w:rPr>
          <w:b w:val="0"/>
          <w:bCs/>
          <w:sz w:val="24"/>
          <w:szCs w:val="24"/>
        </w:rPr>
        <w:t xml:space="preserve"> </w:t>
      </w:r>
      <w:r w:rsidRPr="00DB0C4C">
        <w:rPr>
          <w:b w:val="0"/>
          <w:bCs/>
          <w:sz w:val="24"/>
          <w:szCs w:val="24"/>
        </w:rPr>
        <w:t xml:space="preserve">OCC’s discovery and case preparation rights are protected by R.C. 4903.082, which states that “[a]ll parties and intervenors shall be granted ample rights of discovery.” </w:t>
      </w:r>
      <w:r w:rsidRPr="00DB0C4C">
        <w:rPr>
          <w:b w:val="0"/>
          <w:bCs/>
          <w:i/>
          <w:iCs/>
          <w:sz w:val="24"/>
          <w:szCs w:val="24"/>
        </w:rPr>
        <w:t>See</w:t>
      </w:r>
      <w:r w:rsidRPr="00DB0C4C">
        <w:rPr>
          <w:b w:val="0"/>
          <w:bCs/>
          <w:sz w:val="24"/>
          <w:szCs w:val="24"/>
        </w:rPr>
        <w:t xml:space="preserve"> </w:t>
      </w:r>
      <w:r w:rsidRPr="00DB0C4C">
        <w:rPr>
          <w:b w:val="0"/>
          <w:bCs/>
          <w:i/>
          <w:iCs/>
          <w:sz w:val="24"/>
          <w:szCs w:val="24"/>
        </w:rPr>
        <w:t>OCC v. PUC</w:t>
      </w:r>
      <w:r w:rsidRPr="00DB0C4C">
        <w:rPr>
          <w:b w:val="0"/>
          <w:bCs/>
          <w:sz w:val="24"/>
          <w:szCs w:val="24"/>
        </w:rPr>
        <w:t>, 111 Ohio St.3d 300 (2006). The PUCO has also adopted rules that broadly define the scope of discovery and case preparation. O.A.C. 4901-1-16(B) provides:</w:t>
      </w:r>
    </w:p>
    <w:p w:rsidR="00CE43A2" w:rsidP="00CE43A2" w14:paraId="047A5642" w14:textId="77777777">
      <w:pPr>
        <w:pStyle w:val="FootnoteText"/>
        <w:ind w:left="1440" w:right="1440"/>
        <w:rPr>
          <w:b w:val="0"/>
          <w:bCs/>
          <w:sz w:val="24"/>
          <w:szCs w:val="24"/>
        </w:rPr>
      </w:pPr>
      <w:r w:rsidRPr="00DB0C4C">
        <w:rPr>
          <w:b w:val="0"/>
          <w:bCs/>
          <w:sz w:val="24"/>
          <w:szCs w:val="24"/>
        </w:rPr>
        <w:t xml:space="preserve">any party to a commission proceeding may obtain discovery of any matter, not privileged, which is relevant to the subject matter of the proceeding. It is not a ground for objection that the information sought would be inadmissible at the hearing, if the information sought </w:t>
      </w:r>
      <w:r w:rsidRPr="00DB0C4C">
        <w:rPr>
          <w:b w:val="0"/>
          <w:bCs/>
          <w:i/>
          <w:iCs/>
          <w:sz w:val="24"/>
          <w:szCs w:val="24"/>
        </w:rPr>
        <w:t>appears</w:t>
      </w:r>
      <w:r w:rsidRPr="00DB0C4C">
        <w:rPr>
          <w:b w:val="0"/>
          <w:bCs/>
          <w:sz w:val="24"/>
          <w:szCs w:val="24"/>
        </w:rPr>
        <w:t xml:space="preserve"> reasonably calculated to lead to the discovery of admissible evidence. (Emphasis added.)</w:t>
      </w:r>
    </w:p>
    <w:p w:rsidR="00CE43A2" w:rsidRPr="00DB0C4C" w:rsidP="00CE43A2" w14:paraId="644BD5AD" w14:textId="77777777">
      <w:pPr>
        <w:pStyle w:val="FootnoteText"/>
        <w:ind w:left="1440" w:right="1440"/>
        <w:rPr>
          <w:b w:val="0"/>
          <w:bCs/>
          <w:sz w:val="24"/>
          <w:szCs w:val="24"/>
        </w:rPr>
      </w:pPr>
    </w:p>
    <w:p w:rsidR="00CE43A2" w:rsidRPr="00DB0C4C" w:rsidP="00CE43A2" w14:paraId="4C51346D" w14:textId="77777777">
      <w:pPr>
        <w:pStyle w:val="FootnoteText"/>
        <w:spacing w:line="480" w:lineRule="auto"/>
        <w:ind w:firstLine="720"/>
        <w:rPr>
          <w:b w:val="0"/>
          <w:bCs/>
          <w:sz w:val="24"/>
          <w:szCs w:val="24"/>
        </w:rPr>
      </w:pPr>
      <w:r w:rsidRPr="00DB0C4C">
        <w:rPr>
          <w:b w:val="0"/>
          <w:bCs/>
          <w:sz w:val="24"/>
          <w:szCs w:val="24"/>
        </w:rPr>
        <w:t>The FirstEnergy Utilities’ efforts to involve the PUCO in denying OCC its ample rights of discovery to prepare its case should be rejected.</w:t>
      </w:r>
      <w:r>
        <w:rPr>
          <w:b w:val="0"/>
          <w:bCs/>
          <w:sz w:val="24"/>
          <w:szCs w:val="24"/>
        </w:rPr>
        <w:t xml:space="preserve"> </w:t>
      </w:r>
      <w:r w:rsidRPr="00DB0C4C">
        <w:rPr>
          <w:b w:val="0"/>
          <w:bCs/>
          <w:sz w:val="24"/>
          <w:szCs w:val="24"/>
        </w:rPr>
        <w:t>It would require the PUCO to violate rights guaranteed by Ohio statue, rule, and Supreme Court precedent.</w:t>
      </w:r>
    </w:p>
    <w:p w:rsidR="00F63E70" w:rsidRPr="00DB0C4C" w:rsidP="00CE43A2" w14:paraId="4A4CC2E1" w14:textId="5F64404E">
      <w:pPr>
        <w:pStyle w:val="Heading2"/>
      </w:pPr>
      <w:bookmarkStart w:id="5" w:name="_Toc104302069"/>
      <w:r>
        <w:t>D</w:t>
      </w:r>
      <w:r w:rsidRPr="00DB0C4C">
        <w:t>.</w:t>
      </w:r>
      <w:r w:rsidRPr="00DB0C4C">
        <w:tab/>
        <w:t>OCC’s document requests are relevant and not overly burdensome.</w:t>
      </w:r>
      <w:bookmarkEnd w:id="5"/>
    </w:p>
    <w:p w:rsidR="00F63E70" w:rsidRPr="00DB0C4C" w:rsidP="007D1968" w14:paraId="6D92C8A8" w14:textId="340CEA36">
      <w:pPr>
        <w:spacing w:line="480" w:lineRule="auto"/>
        <w:ind w:firstLine="720"/>
        <w:rPr>
          <w:szCs w:val="24"/>
        </w:rPr>
      </w:pPr>
      <w:r w:rsidRPr="00DB0C4C">
        <w:rPr>
          <w:szCs w:val="24"/>
        </w:rPr>
        <w:t xml:space="preserve">The FirstEnergy Utilities assert that </w:t>
      </w:r>
      <w:r w:rsidRPr="00DB0C4C" w:rsidR="00572F34">
        <w:rPr>
          <w:szCs w:val="24"/>
        </w:rPr>
        <w:t xml:space="preserve">some of </w:t>
      </w:r>
      <w:r w:rsidRPr="00DB0C4C">
        <w:rPr>
          <w:szCs w:val="24"/>
        </w:rPr>
        <w:t>OCC’s document requests are irrelevant and overly burdensome.</w:t>
      </w:r>
      <w:r>
        <w:rPr>
          <w:rStyle w:val="FootnoteReference"/>
          <w:szCs w:val="24"/>
        </w:rPr>
        <w:footnoteReference w:id="13"/>
      </w:r>
      <w:r w:rsidRPr="00DB0C4C" w:rsidR="00216538">
        <w:rPr>
          <w:szCs w:val="24"/>
        </w:rPr>
        <w:t xml:space="preserve"> </w:t>
      </w:r>
      <w:r w:rsidRPr="00DB0C4C" w:rsidR="00293269">
        <w:rPr>
          <w:szCs w:val="24"/>
        </w:rPr>
        <w:t xml:space="preserve">Specifically, </w:t>
      </w:r>
      <w:r w:rsidRPr="00DB0C4C" w:rsidR="004532C3">
        <w:rPr>
          <w:szCs w:val="24"/>
        </w:rPr>
        <w:t xml:space="preserve">the </w:t>
      </w:r>
      <w:r w:rsidRPr="00DB0C4C" w:rsidR="00293269">
        <w:rPr>
          <w:szCs w:val="24"/>
        </w:rPr>
        <w:t>FirstEnergy Utilities refer to OCC’s requests for documents about political and charitable spending,</w:t>
      </w:r>
      <w:r>
        <w:rPr>
          <w:rStyle w:val="FootnoteReference"/>
          <w:szCs w:val="24"/>
        </w:rPr>
        <w:footnoteReference w:id="14"/>
      </w:r>
      <w:r w:rsidRPr="00DB0C4C" w:rsidR="00293269">
        <w:rPr>
          <w:szCs w:val="24"/>
        </w:rPr>
        <w:t xml:space="preserve"> Ms. Yeboah-Amankwah,</w:t>
      </w:r>
      <w:r>
        <w:rPr>
          <w:rStyle w:val="FootnoteReference"/>
          <w:szCs w:val="24"/>
        </w:rPr>
        <w:footnoteReference w:id="15"/>
      </w:r>
      <w:r w:rsidRPr="00DB0C4C" w:rsidR="00293269">
        <w:rPr>
          <w:szCs w:val="24"/>
        </w:rPr>
        <w:t xml:space="preserve"> and FERC-related documents.</w:t>
      </w:r>
      <w:r>
        <w:rPr>
          <w:rStyle w:val="FootnoteReference"/>
          <w:szCs w:val="24"/>
        </w:rPr>
        <w:footnoteReference w:id="16"/>
      </w:r>
      <w:r w:rsidRPr="00DB0C4C" w:rsidR="00293269">
        <w:rPr>
          <w:szCs w:val="24"/>
        </w:rPr>
        <w:t xml:space="preserve"> </w:t>
      </w:r>
      <w:r w:rsidRPr="00DB0C4C">
        <w:rPr>
          <w:szCs w:val="24"/>
        </w:rPr>
        <w:t>The FirstEnergy Utilities’ assertion to prevent OCC’s fact-finding is, once again, wrong.</w:t>
      </w:r>
    </w:p>
    <w:p w:rsidR="007D1968" w:rsidRPr="00DB0C4C" w:rsidP="007D1968" w14:paraId="0909EBD6" w14:textId="4081C776">
      <w:pPr>
        <w:spacing w:line="480" w:lineRule="auto"/>
        <w:rPr>
          <w:szCs w:val="24"/>
        </w:rPr>
      </w:pPr>
      <w:r w:rsidRPr="00DB0C4C">
        <w:rPr>
          <w:szCs w:val="24"/>
        </w:rPr>
        <w:tab/>
      </w:r>
      <w:r w:rsidRPr="00DB0C4C" w:rsidR="00293269">
        <w:rPr>
          <w:szCs w:val="24"/>
        </w:rPr>
        <w:t>All of the documents that OCC seeks are relevant.</w:t>
      </w:r>
      <w:r w:rsidRPr="00DB0C4C">
        <w:rPr>
          <w:szCs w:val="24"/>
        </w:rPr>
        <w:t xml:space="preserve"> Here is some context for OCC’s discovery for “FERC-related” information and </w:t>
      </w:r>
      <w:r w:rsidRPr="00DB0C4C" w:rsidR="004532C3">
        <w:rPr>
          <w:szCs w:val="24"/>
        </w:rPr>
        <w:t xml:space="preserve">FirstEnergy’s </w:t>
      </w:r>
      <w:r w:rsidRPr="00DB0C4C">
        <w:rPr>
          <w:szCs w:val="24"/>
        </w:rPr>
        <w:t>efforts to avoid this discovery. Under Ohio law, the FirstEnergy Utilities must implement and operate under a corporate separation plan that “satisfies the public interest” and is “sufficient” to protect Ohioans from undue preference or advantage being given to the utilities’ affiliate(s).</w:t>
      </w:r>
      <w:r>
        <w:rPr>
          <w:rStyle w:val="FootnoteReference"/>
          <w:szCs w:val="24"/>
        </w:rPr>
        <w:footnoteReference w:id="17"/>
      </w:r>
      <w:r w:rsidRPr="00DB0C4C">
        <w:rPr>
          <w:szCs w:val="24"/>
        </w:rPr>
        <w:t xml:space="preserve"> </w:t>
      </w:r>
    </w:p>
    <w:p w:rsidR="007D1968" w:rsidRPr="00DB0C4C" w:rsidP="007D1968" w14:paraId="5CA922DE" w14:textId="77777777">
      <w:pPr>
        <w:spacing w:line="480" w:lineRule="auto"/>
        <w:ind w:firstLine="720"/>
        <w:rPr>
          <w:szCs w:val="24"/>
        </w:rPr>
      </w:pPr>
      <w:r w:rsidRPr="00DB0C4C">
        <w:rPr>
          <w:szCs w:val="24"/>
        </w:rPr>
        <w:t>The PUCO-appointed auditor (Daymark) noted that FirstEnergy’s compliance approach to corporate separation was set up to meet FERC requirements. It found that “FirstEnergy leans heavily on compliance with FERC requirements as a way to meet Ohio corporate separation requirements.”</w:t>
      </w:r>
      <w:r>
        <w:rPr>
          <w:rStyle w:val="FootnoteReference"/>
          <w:szCs w:val="24"/>
        </w:rPr>
        <w:footnoteReference w:id="18"/>
      </w:r>
      <w:r w:rsidRPr="00DB0C4C">
        <w:rPr>
          <w:szCs w:val="24"/>
        </w:rPr>
        <w:t xml:space="preserve"> Daymark reported that “[i]n many cases, FirstEnergy had no Ohio-specific processes or documentation; rather they relied on procedures developed to meet FERC’s Affiliate Restrictions rules that are laid out in 18 CFR §35.39.”</w:t>
      </w:r>
      <w:r>
        <w:rPr>
          <w:rStyle w:val="FootnoteReference"/>
          <w:szCs w:val="24"/>
        </w:rPr>
        <w:footnoteReference w:id="19"/>
      </w:r>
      <w:r w:rsidRPr="00DB0C4C">
        <w:rPr>
          <w:szCs w:val="24"/>
        </w:rPr>
        <w:t xml:space="preserve"> Thus, FirstEnergy Corp.’s insistence that FERC regulations on corporate separation compliance are distinct from Ohio corporate separation rules is without merit and should be rejected. </w:t>
      </w:r>
    </w:p>
    <w:p w:rsidR="007D1968" w:rsidRPr="00DB0C4C" w:rsidP="007D1968" w14:paraId="5FAB8C58" w14:textId="77777777">
      <w:pPr>
        <w:spacing w:line="480" w:lineRule="auto"/>
        <w:ind w:firstLine="720"/>
        <w:rPr>
          <w:szCs w:val="24"/>
        </w:rPr>
      </w:pPr>
      <w:r w:rsidRPr="00DB0C4C">
        <w:rPr>
          <w:szCs w:val="24"/>
        </w:rPr>
        <w:t>Recently, FERC’s Division of Audits and Accounting undertook and completed an audit of FirstEnergy Corp., including its service companies and other companies in the FirstEnergy holding company system.</w:t>
      </w:r>
      <w:r>
        <w:rPr>
          <w:rStyle w:val="FootnoteReference"/>
          <w:szCs w:val="24"/>
        </w:rPr>
        <w:footnoteReference w:id="20"/>
      </w:r>
      <w:r w:rsidRPr="00DB0C4C">
        <w:rPr>
          <w:szCs w:val="24"/>
        </w:rPr>
        <w:t xml:space="preserve"> That audit covered a five-year period and evaluated, among other things, compliance with cross-subsidization restrictions on affiliate transactions, service companies accounting and recordkeeping, and accounting and reporting for franchised public utilities for their transactions with associated entities.</w:t>
      </w:r>
      <w:r>
        <w:rPr>
          <w:rStyle w:val="FootnoteReference"/>
          <w:szCs w:val="24"/>
        </w:rPr>
        <w:footnoteReference w:id="21"/>
      </w:r>
    </w:p>
    <w:p w:rsidR="007D1968" w:rsidRPr="00DB0C4C" w:rsidP="007D1968" w14:paraId="5333E2CF" w14:textId="77777777">
      <w:pPr>
        <w:spacing w:line="480" w:lineRule="auto"/>
        <w:ind w:firstLine="720"/>
        <w:rPr>
          <w:szCs w:val="24"/>
        </w:rPr>
      </w:pPr>
      <w:r w:rsidRPr="00DB0C4C">
        <w:rPr>
          <w:szCs w:val="24"/>
        </w:rPr>
        <w:t xml:space="preserve">Note that FERC’s audit findings included “significant shortcomings” in FirstEnergy and its subsidiaries’ internal controls over financial reporting for expenses relating to civic, political and lobbying activities. FERC additionally noted that: </w:t>
      </w:r>
    </w:p>
    <w:p w:rsidR="007D1968" w:rsidRPr="00DB0C4C" w:rsidP="007D1968" w14:paraId="08910D0C" w14:textId="77777777">
      <w:pPr>
        <w:ind w:left="1440" w:right="1440"/>
        <w:rPr>
          <w:szCs w:val="24"/>
        </w:rPr>
      </w:pPr>
      <w:r w:rsidRPr="00DB0C4C">
        <w:rPr>
          <w:szCs w:val="24"/>
        </w:rPr>
        <w:t xml:space="preserve">[e]ven more concerning, several factual assertions agreed to by FirstEnergy in DPA [deferred prosecution agreement] and the remedies FirstEnergy agreed to undertake, point towards </w:t>
      </w:r>
      <w:r w:rsidRPr="00DB0C4C">
        <w:rPr>
          <w:i/>
          <w:iCs/>
          <w:szCs w:val="24"/>
        </w:rPr>
        <w:t>internal controls having been possibly obfuscated or circumvented to conceal or mislea</w:t>
      </w:r>
      <w:r w:rsidRPr="00DB0C4C">
        <w:rPr>
          <w:szCs w:val="24"/>
        </w:rPr>
        <w:t>d as to the actual amounts, nature, and purpose of the lobbying expenditures made, and as a result, the improper inclusion of lobbying and other nonutility costs in wholesale transmission billing rates. (Emphasis added.)</w:t>
      </w:r>
      <w:r>
        <w:rPr>
          <w:rStyle w:val="FootnoteReference"/>
          <w:szCs w:val="24"/>
        </w:rPr>
        <w:footnoteReference w:id="22"/>
      </w:r>
      <w:r w:rsidRPr="00DB0C4C">
        <w:rPr>
          <w:szCs w:val="24"/>
        </w:rPr>
        <w:t xml:space="preserve"> </w:t>
      </w:r>
    </w:p>
    <w:p w:rsidR="007D1968" w:rsidRPr="00DB0C4C" w:rsidP="007D1968" w14:paraId="3FAE43C6" w14:textId="77777777">
      <w:pPr>
        <w:ind w:left="1440" w:right="1440"/>
        <w:rPr>
          <w:szCs w:val="24"/>
        </w:rPr>
      </w:pPr>
    </w:p>
    <w:p w:rsidR="007D1968" w:rsidRPr="00DB0C4C" w:rsidP="007D1968" w14:paraId="1B6AE889" w14:textId="5291435A">
      <w:pPr>
        <w:spacing w:line="480" w:lineRule="auto"/>
        <w:ind w:firstLine="720"/>
        <w:rPr>
          <w:szCs w:val="24"/>
        </w:rPr>
      </w:pPr>
      <w:r w:rsidRPr="00DB0C4C">
        <w:rPr>
          <w:szCs w:val="24"/>
        </w:rPr>
        <w:t>Given the FirstEnergy Utilities’ heavy reliance on maintaining a corporate separation plan that meets FERC requirements, it is crucial to understand whether and to what extent FirstEnergy Corp. and the FirstEnergy Utilities are complying with FERC’s rules and regulations on corporate separation. The “FERC-related” documents are highly relevant to this case involving corporate separation compliance. FirstEnergy Corp. and the FirstEnergy Utilities have themselves made them highly relevant.</w:t>
      </w:r>
    </w:p>
    <w:p w:rsidR="007D1968" w:rsidRPr="00DB0C4C" w:rsidP="007D1968" w14:paraId="6F678EEE" w14:textId="11152F93">
      <w:pPr>
        <w:spacing w:line="480" w:lineRule="auto"/>
        <w:ind w:firstLine="720"/>
        <w:rPr>
          <w:szCs w:val="24"/>
        </w:rPr>
      </w:pPr>
      <w:r w:rsidRPr="00DB0C4C">
        <w:rPr>
          <w:szCs w:val="24"/>
        </w:rPr>
        <w:t>The Attorney Examiner in Case No. 20-1502 recently issued a ruling on a similar issue where OCC had filed a motion to compel discovery seeking FERC audit related documents.</w:t>
      </w:r>
      <w:r>
        <w:rPr>
          <w:rStyle w:val="FootnoteReference"/>
          <w:szCs w:val="24"/>
        </w:rPr>
        <w:footnoteReference w:id="23"/>
      </w:r>
      <w:r w:rsidRPr="00DB0C4C">
        <w:rPr>
          <w:szCs w:val="24"/>
        </w:rPr>
        <w:t xml:space="preserve"> The examiner ruled that OCC is entitled to all documents and communications provided to FERC Staff by all FirstEnergy entities during the course of the FERC audit, pertaining to the FirstEnergy Utilities.</w:t>
      </w:r>
      <w:r>
        <w:rPr>
          <w:rStyle w:val="FootnoteReference"/>
          <w:szCs w:val="24"/>
        </w:rPr>
        <w:footnoteReference w:id="24"/>
      </w:r>
      <w:r w:rsidRPr="00DB0C4C">
        <w:rPr>
          <w:szCs w:val="24"/>
        </w:rPr>
        <w:t xml:space="preserve"> That ruling was affirmed by the PUCO, when it denied the FirstEnergy Utilities</w:t>
      </w:r>
      <w:r w:rsidRPr="00DB0C4C" w:rsidR="00EB328B">
        <w:rPr>
          <w:szCs w:val="24"/>
        </w:rPr>
        <w:t>’</w:t>
      </w:r>
      <w:r w:rsidRPr="00DB0C4C">
        <w:rPr>
          <w:szCs w:val="24"/>
        </w:rPr>
        <w:t xml:space="preserve"> request for an interlocutory appeal.</w:t>
      </w:r>
      <w:r>
        <w:rPr>
          <w:rStyle w:val="FootnoteReference"/>
          <w:szCs w:val="24"/>
        </w:rPr>
        <w:footnoteReference w:id="25"/>
      </w:r>
    </w:p>
    <w:p w:rsidR="007D1968" w:rsidRPr="00DB0C4C" w:rsidP="007D1968" w14:paraId="72E34562" w14:textId="4D1271D8">
      <w:pPr>
        <w:spacing w:line="480" w:lineRule="auto"/>
        <w:ind w:firstLine="720"/>
        <w:rPr>
          <w:szCs w:val="24"/>
        </w:rPr>
      </w:pPr>
      <w:r w:rsidRPr="00DB0C4C">
        <w:rPr>
          <w:szCs w:val="24"/>
        </w:rPr>
        <w:t xml:space="preserve">We note this ruling for several reasons. The utilities (unlike FirstEnergy Corp.) did not claim the information was not relevant to the proceeding. Additionally, the FERC documents at issue here pertain to the same audit. The PUCO should, consistent with its ruling in Case No. 20-1502, require the production of these documents </w:t>
      </w:r>
      <w:r w:rsidRPr="00DB0C4C" w:rsidR="00EB328B">
        <w:rPr>
          <w:szCs w:val="24"/>
        </w:rPr>
        <w:t>at the deposition</w:t>
      </w:r>
      <w:r w:rsidRPr="00DB0C4C">
        <w:rPr>
          <w:szCs w:val="24"/>
        </w:rPr>
        <w:t>.</w:t>
      </w:r>
    </w:p>
    <w:p w:rsidR="007D1968" w:rsidRPr="00DB0C4C" w:rsidP="007D1968" w14:paraId="1C802070" w14:textId="4DCDD14F">
      <w:pPr>
        <w:pStyle w:val="FootnoteText"/>
        <w:spacing w:line="480" w:lineRule="auto"/>
        <w:ind w:firstLine="720"/>
        <w:rPr>
          <w:b w:val="0"/>
          <w:bCs/>
          <w:sz w:val="24"/>
          <w:szCs w:val="24"/>
        </w:rPr>
      </w:pPr>
      <w:r w:rsidRPr="00DB0C4C">
        <w:rPr>
          <w:b w:val="0"/>
          <w:sz w:val="24"/>
          <w:szCs w:val="24"/>
        </w:rPr>
        <w:t xml:space="preserve">Regarding OCC’s request for </w:t>
      </w:r>
      <w:r w:rsidRPr="00DB0C4C" w:rsidR="006A4572">
        <w:rPr>
          <w:b w:val="0"/>
          <w:sz w:val="24"/>
          <w:szCs w:val="24"/>
        </w:rPr>
        <w:t xml:space="preserve">documents regarding </w:t>
      </w:r>
      <w:r w:rsidRPr="00DB0C4C" w:rsidR="006A4572">
        <w:rPr>
          <w:b w:val="0"/>
          <w:bCs/>
          <w:sz w:val="24"/>
          <w:szCs w:val="24"/>
        </w:rPr>
        <w:t>Ms. Yeboah-Amankwah, they are</w:t>
      </w:r>
      <w:r w:rsidRPr="00DB0C4C">
        <w:rPr>
          <w:b w:val="0"/>
          <w:sz w:val="24"/>
          <w:szCs w:val="24"/>
        </w:rPr>
        <w:t xml:space="preserve"> equally relevant. OCC has explained in detail the importance of obtaining information (testimony and documents) concerning Ms. Yeboah-Amankwah, who was FirstEnergy Corp.’s former Vice President, General Counsel and Chief Ethics Officer.</w:t>
      </w:r>
      <w:r>
        <w:rPr>
          <w:rStyle w:val="FootnoteReference"/>
          <w:b w:val="0"/>
          <w:sz w:val="24"/>
          <w:szCs w:val="24"/>
        </w:rPr>
        <w:footnoteReference w:id="26"/>
      </w:r>
      <w:r w:rsidRPr="00DB0C4C">
        <w:rPr>
          <w:b w:val="0"/>
          <w:sz w:val="24"/>
          <w:szCs w:val="24"/>
        </w:rPr>
        <w:t xml:space="preserve"> Reiterating, Ms. Yeboah-Amankwah was ultimately responsible for corporate separation compliance during most of the time-period being investigated here.</w:t>
      </w:r>
      <w:r>
        <w:rPr>
          <w:rStyle w:val="FootnoteReference"/>
          <w:b w:val="0"/>
          <w:sz w:val="24"/>
          <w:szCs w:val="24"/>
        </w:rPr>
        <w:footnoteReference w:id="27"/>
      </w:r>
      <w:r w:rsidRPr="00DB0C4C">
        <w:rPr>
          <w:b w:val="0"/>
          <w:sz w:val="24"/>
          <w:szCs w:val="24"/>
        </w:rPr>
        <w:t xml:space="preserve"> OCC’s explanation is equally applicable here in response to </w:t>
      </w:r>
      <w:r w:rsidRPr="00DB0C4C" w:rsidR="006A4572">
        <w:rPr>
          <w:b w:val="0"/>
          <w:sz w:val="24"/>
          <w:szCs w:val="24"/>
        </w:rPr>
        <w:t>the FirstEnergy Utilities’</w:t>
      </w:r>
      <w:r w:rsidRPr="00DB0C4C">
        <w:rPr>
          <w:b w:val="0"/>
          <w:sz w:val="24"/>
          <w:szCs w:val="24"/>
        </w:rPr>
        <w:t xml:space="preserve"> objection to us obtaining information concerning Ms. Yeboah-Amankwah.</w:t>
      </w:r>
    </w:p>
    <w:p w:rsidR="007D1968" w:rsidRPr="00DB0C4C" w:rsidP="00AC7D91" w14:paraId="040FB066" w14:textId="3187C2F3">
      <w:pPr>
        <w:pStyle w:val="FootnoteText"/>
        <w:spacing w:line="480" w:lineRule="auto"/>
        <w:ind w:firstLine="720"/>
        <w:rPr>
          <w:b w:val="0"/>
          <w:sz w:val="24"/>
          <w:szCs w:val="24"/>
        </w:rPr>
      </w:pPr>
      <w:r w:rsidRPr="00DB0C4C">
        <w:rPr>
          <w:b w:val="0"/>
          <w:sz w:val="24"/>
          <w:szCs w:val="24"/>
        </w:rPr>
        <w:t>The importance of obtaining information concerning Ms. Yeboah-Amankwah is highlighted by the finger-pointing between her and FirstEnergy Corp. in response to OCC subpoenas. Ms. Yeboah-Amankwah has asserted that documents we subpoenaed from her are FirstEnergy Corp.’s property and that she returned all documents to FirstEnergy Corp. at the time of her separation.</w:t>
      </w:r>
      <w:r>
        <w:rPr>
          <w:rStyle w:val="FootnoteReference"/>
          <w:b w:val="0"/>
          <w:sz w:val="24"/>
          <w:szCs w:val="24"/>
        </w:rPr>
        <w:footnoteReference w:id="28"/>
      </w:r>
      <w:r w:rsidRPr="00DB0C4C">
        <w:rPr>
          <w:b w:val="0"/>
          <w:sz w:val="24"/>
          <w:szCs w:val="24"/>
        </w:rPr>
        <w:t xml:space="preserve"> </w:t>
      </w:r>
      <w:r w:rsidRPr="00DB0C4C" w:rsidR="006A4572">
        <w:rPr>
          <w:b w:val="0"/>
          <w:sz w:val="24"/>
          <w:szCs w:val="24"/>
        </w:rPr>
        <w:t>The FirstEnergy Utilities are</w:t>
      </w:r>
      <w:r w:rsidRPr="00DB0C4C">
        <w:rPr>
          <w:b w:val="0"/>
          <w:sz w:val="24"/>
          <w:szCs w:val="24"/>
        </w:rPr>
        <w:t xml:space="preserve"> now asserting that Ms. Yeboah-Amankwah has the documents.</w:t>
      </w:r>
      <w:r>
        <w:rPr>
          <w:rStyle w:val="FootnoteReference"/>
          <w:b w:val="0"/>
          <w:sz w:val="24"/>
          <w:szCs w:val="24"/>
        </w:rPr>
        <w:footnoteReference w:id="29"/>
      </w:r>
      <w:r w:rsidRPr="00DB0C4C">
        <w:rPr>
          <w:b w:val="0"/>
          <w:sz w:val="24"/>
          <w:szCs w:val="24"/>
        </w:rPr>
        <w:t xml:space="preserve"> </w:t>
      </w:r>
    </w:p>
    <w:p w:rsidR="001330AE" w:rsidRPr="00DB0C4C" w:rsidP="00AC7D91" w14:paraId="404EB08E" w14:textId="504AB373">
      <w:pPr>
        <w:pStyle w:val="FootnoteText"/>
        <w:spacing w:line="480" w:lineRule="auto"/>
        <w:ind w:firstLine="720"/>
        <w:rPr>
          <w:b w:val="0"/>
          <w:sz w:val="24"/>
          <w:szCs w:val="24"/>
        </w:rPr>
      </w:pPr>
      <w:r w:rsidRPr="00DB0C4C">
        <w:rPr>
          <w:b w:val="0"/>
          <w:sz w:val="24"/>
          <w:szCs w:val="24"/>
        </w:rPr>
        <w:t>Regarding OCC’s requests for documents concerning political and charitable spending, the FirstEnergy Utilities get it flat wrong.</w:t>
      </w:r>
      <w:r w:rsidR="00DB0C4C">
        <w:rPr>
          <w:b w:val="0"/>
          <w:sz w:val="24"/>
          <w:szCs w:val="24"/>
        </w:rPr>
        <w:t xml:space="preserve"> </w:t>
      </w:r>
      <w:r w:rsidRPr="00DB0C4C">
        <w:rPr>
          <w:b w:val="0"/>
          <w:sz w:val="24"/>
          <w:szCs w:val="24"/>
        </w:rPr>
        <w:t>In support of their objection to these document requests, the FirstEnergy Utilities cite to request numbers 11 and 15-17.</w:t>
      </w:r>
      <w:r>
        <w:rPr>
          <w:rStyle w:val="FootnoteReference"/>
          <w:b w:val="0"/>
          <w:sz w:val="24"/>
          <w:szCs w:val="24"/>
        </w:rPr>
        <w:footnoteReference w:id="30"/>
      </w:r>
      <w:r w:rsidR="00DB0C4C">
        <w:rPr>
          <w:b w:val="0"/>
          <w:sz w:val="24"/>
          <w:szCs w:val="24"/>
        </w:rPr>
        <w:t xml:space="preserve"> </w:t>
      </w:r>
      <w:r w:rsidRPr="00DB0C4C">
        <w:rPr>
          <w:b w:val="0"/>
          <w:sz w:val="24"/>
          <w:szCs w:val="24"/>
        </w:rPr>
        <w:t xml:space="preserve">Request number 11 relates to Ms. Yeboah-Amankwah – </w:t>
      </w:r>
      <w:r w:rsidRPr="00DB0C4C">
        <w:rPr>
          <w:b w:val="0"/>
          <w:i/>
          <w:iCs/>
          <w:sz w:val="24"/>
          <w:szCs w:val="24"/>
        </w:rPr>
        <w:t>not</w:t>
      </w:r>
      <w:r w:rsidRPr="00DB0C4C">
        <w:rPr>
          <w:b w:val="0"/>
          <w:sz w:val="24"/>
          <w:szCs w:val="24"/>
        </w:rPr>
        <w:t xml:space="preserve"> political and charitable spending.</w:t>
      </w:r>
      <w:r>
        <w:rPr>
          <w:rStyle w:val="FootnoteReference"/>
          <w:b w:val="0"/>
          <w:sz w:val="24"/>
          <w:szCs w:val="24"/>
        </w:rPr>
        <w:footnoteReference w:id="31"/>
      </w:r>
      <w:r w:rsidR="00DB0C4C">
        <w:rPr>
          <w:b w:val="0"/>
          <w:sz w:val="24"/>
          <w:szCs w:val="24"/>
        </w:rPr>
        <w:t xml:space="preserve"> </w:t>
      </w:r>
      <w:r w:rsidRPr="00DB0C4C">
        <w:rPr>
          <w:b w:val="0"/>
          <w:sz w:val="24"/>
          <w:szCs w:val="24"/>
        </w:rPr>
        <w:t xml:space="preserve">Request numbers 15-17 all relate to </w:t>
      </w:r>
      <w:r w:rsidRPr="00DB0C4C" w:rsidR="0045114E">
        <w:rPr>
          <w:b w:val="0"/>
          <w:sz w:val="24"/>
          <w:szCs w:val="24"/>
        </w:rPr>
        <w:t xml:space="preserve">charges or allocations for political and charitable spending </w:t>
      </w:r>
      <w:r w:rsidRPr="00DB0C4C" w:rsidR="0045114E">
        <w:rPr>
          <w:b w:val="0"/>
          <w:i/>
          <w:iCs/>
          <w:sz w:val="24"/>
          <w:szCs w:val="24"/>
        </w:rPr>
        <w:t>to the FirstEnergy Utilities.</w:t>
      </w:r>
      <w:r>
        <w:rPr>
          <w:rStyle w:val="FootnoteReference"/>
          <w:b w:val="0"/>
          <w:sz w:val="24"/>
          <w:szCs w:val="24"/>
        </w:rPr>
        <w:footnoteReference w:id="32"/>
      </w:r>
      <w:r w:rsidR="00DB0C4C">
        <w:rPr>
          <w:b w:val="0"/>
          <w:sz w:val="24"/>
          <w:szCs w:val="24"/>
        </w:rPr>
        <w:t xml:space="preserve"> </w:t>
      </w:r>
      <w:r w:rsidRPr="00DB0C4C" w:rsidR="0045114E">
        <w:rPr>
          <w:b w:val="0"/>
          <w:sz w:val="24"/>
          <w:szCs w:val="24"/>
        </w:rPr>
        <w:t xml:space="preserve">Clearly, whether political and charitable contributions that benefited FirstEnergy Corp. or non-Ohio affiliates were charged to the FirstEnergy Utilities is relevant in this corporate separation proceeding. </w:t>
      </w:r>
    </w:p>
    <w:p w:rsidR="006B71C0" w:rsidRPr="00DB0C4C" w:rsidP="00AC7D91" w14:paraId="4AB3E53C" w14:textId="4369F6EF">
      <w:pPr>
        <w:pStyle w:val="FootnoteText"/>
        <w:spacing w:line="480" w:lineRule="auto"/>
        <w:ind w:firstLine="720"/>
        <w:rPr>
          <w:b w:val="0"/>
          <w:bCs/>
          <w:sz w:val="24"/>
          <w:szCs w:val="24"/>
        </w:rPr>
      </w:pPr>
      <w:r w:rsidRPr="00DB0C4C">
        <w:rPr>
          <w:b w:val="0"/>
          <w:bCs/>
          <w:sz w:val="24"/>
          <w:szCs w:val="24"/>
        </w:rPr>
        <w:t>Finally, the FirstEnergy Utilities make a flawed claim that “many” of OCC’s discovery requests are vague, ambiguous, and overbroad.</w:t>
      </w:r>
      <w:r>
        <w:rPr>
          <w:rStyle w:val="FootnoteReference"/>
          <w:b w:val="0"/>
          <w:bCs/>
          <w:sz w:val="24"/>
          <w:szCs w:val="24"/>
        </w:rPr>
        <w:footnoteReference w:id="33"/>
      </w:r>
      <w:r w:rsidRPr="00DB0C4C">
        <w:rPr>
          <w:b w:val="0"/>
          <w:bCs/>
          <w:sz w:val="24"/>
          <w:szCs w:val="24"/>
        </w:rPr>
        <w:t xml:space="preserve"> This statement is conclusory at best. The FirstEnergy Utilities must do more than simply repeat the familiar litany that the discovery is vague, ambiguous, and overbroad. Federal case law</w:t>
      </w:r>
      <w:r>
        <w:rPr>
          <w:rStyle w:val="FootnoteReference"/>
          <w:b w:val="0"/>
          <w:bCs/>
          <w:sz w:val="24"/>
          <w:szCs w:val="24"/>
        </w:rPr>
        <w:footnoteReference w:id="34"/>
      </w:r>
      <w:r w:rsidRPr="00DB0C4C">
        <w:rPr>
          <w:b w:val="0"/>
          <w:bCs/>
          <w:sz w:val="24"/>
          <w:szCs w:val="24"/>
        </w:rPr>
        <w:t xml:space="preserve"> has held that, when a party objects to an interrogatory based on being overly broad or an undue burden, that party must show specifically how, despite the broad and liberal construction afforded discovery rules, each interrogatory is overly broad, burdensome, or oppressive.</w:t>
      </w:r>
      <w:r>
        <w:rPr>
          <w:rStyle w:val="FootnoteReference"/>
          <w:b w:val="0"/>
          <w:bCs/>
          <w:sz w:val="24"/>
          <w:szCs w:val="24"/>
        </w:rPr>
        <w:footnoteReference w:id="35"/>
      </w:r>
      <w:r w:rsidRPr="00DB0C4C">
        <w:rPr>
          <w:b w:val="0"/>
          <w:bCs/>
          <w:sz w:val="24"/>
          <w:szCs w:val="24"/>
        </w:rPr>
        <w:t xml:space="preserve"> Here, other than offering conclusory statements, </w:t>
      </w:r>
      <w:r w:rsidRPr="00DB0C4C" w:rsidR="009874D5">
        <w:rPr>
          <w:b w:val="0"/>
          <w:bCs/>
          <w:sz w:val="24"/>
          <w:szCs w:val="24"/>
        </w:rPr>
        <w:t xml:space="preserve">the </w:t>
      </w:r>
      <w:r w:rsidRPr="00DB0C4C">
        <w:rPr>
          <w:b w:val="0"/>
          <w:bCs/>
          <w:sz w:val="24"/>
          <w:szCs w:val="24"/>
        </w:rPr>
        <w:t xml:space="preserve">FirstEnergy </w:t>
      </w:r>
      <w:r w:rsidRPr="00DB0C4C" w:rsidR="009874D5">
        <w:rPr>
          <w:b w:val="0"/>
          <w:bCs/>
          <w:sz w:val="24"/>
          <w:szCs w:val="24"/>
        </w:rPr>
        <w:t>Utilities have</w:t>
      </w:r>
      <w:r w:rsidRPr="00DB0C4C">
        <w:rPr>
          <w:b w:val="0"/>
          <w:bCs/>
          <w:sz w:val="24"/>
          <w:szCs w:val="24"/>
        </w:rPr>
        <w:t xml:space="preserve"> failed to show how the discovery requests are overly broad or vague. Because the burden falls upon the party</w:t>
      </w:r>
      <w:r w:rsidRPr="00DB0C4C" w:rsidR="009874D5">
        <w:rPr>
          <w:b w:val="0"/>
          <w:bCs/>
          <w:sz w:val="24"/>
          <w:szCs w:val="24"/>
        </w:rPr>
        <w:t xml:space="preserve"> resisting discovery to clarify and explain its objections and to provide support</w:t>
      </w:r>
      <w:r>
        <w:rPr>
          <w:rStyle w:val="FootnoteReference"/>
          <w:b w:val="0"/>
          <w:bCs/>
          <w:sz w:val="24"/>
          <w:szCs w:val="24"/>
        </w:rPr>
        <w:footnoteReference w:id="36"/>
      </w:r>
      <w:r w:rsidRPr="00DB0C4C" w:rsidR="009874D5">
        <w:rPr>
          <w:b w:val="0"/>
          <w:bCs/>
          <w:sz w:val="24"/>
          <w:szCs w:val="24"/>
        </w:rPr>
        <w:t xml:space="preserve"> and the FirstEnergy Utilities have failed to do so, the PUCO should reject the Motion.</w:t>
      </w:r>
    </w:p>
    <w:p w:rsidR="00965B99" w:rsidRPr="00DB0C4C" w:rsidP="009659DB" w14:paraId="6D61D188" w14:textId="77777777">
      <w:pPr>
        <w:rPr>
          <w:bCs/>
          <w:szCs w:val="24"/>
        </w:rPr>
      </w:pPr>
    </w:p>
    <w:p w:rsidR="009E593D" w:rsidRPr="00DB0C4C" w:rsidP="007E2F58" w14:paraId="43FA5D8F" w14:textId="4319B989">
      <w:pPr>
        <w:pStyle w:val="Heading1"/>
        <w:rPr>
          <w:rFonts w:ascii="Times New Roman" w:hAnsi="Times New Roman" w:cs="Times New Roman"/>
          <w:szCs w:val="24"/>
        </w:rPr>
      </w:pPr>
      <w:bookmarkStart w:id="6" w:name="_Toc104302070"/>
      <w:r w:rsidRPr="00DB0C4C">
        <w:rPr>
          <w:rFonts w:ascii="Times New Roman" w:hAnsi="Times New Roman" w:cs="Times New Roman"/>
          <w:szCs w:val="24"/>
        </w:rPr>
        <w:t>III.</w:t>
      </w:r>
      <w:r w:rsidRPr="00DB0C4C">
        <w:rPr>
          <w:rFonts w:ascii="Times New Roman" w:hAnsi="Times New Roman" w:cs="Times New Roman"/>
          <w:szCs w:val="24"/>
        </w:rPr>
        <w:tab/>
        <w:t>Conclusion</w:t>
      </w:r>
      <w:bookmarkEnd w:id="6"/>
    </w:p>
    <w:p w:rsidR="000F6CC0" w:rsidRPr="00DB0C4C" w:rsidP="000F6CC0" w14:paraId="196DA96C" w14:textId="32B956A1">
      <w:pPr>
        <w:spacing w:line="480" w:lineRule="auto"/>
        <w:ind w:firstLine="720"/>
        <w:rPr>
          <w:szCs w:val="24"/>
        </w:rPr>
      </w:pPr>
      <w:r w:rsidRPr="00DB0C4C">
        <w:rPr>
          <w:szCs w:val="24"/>
        </w:rPr>
        <w:t>“Sunlight is said to be the best of disinfectants.”</w:t>
      </w:r>
      <w:r w:rsidRPr="00DB0C4C" w:rsidR="00183676">
        <w:rPr>
          <w:rStyle w:val="FootnoteReference"/>
          <w:szCs w:val="24"/>
        </w:rPr>
        <w:t xml:space="preserve"> </w:t>
      </w:r>
      <w:r>
        <w:rPr>
          <w:rStyle w:val="FootnoteReference"/>
          <w:szCs w:val="24"/>
        </w:rPr>
        <w:footnoteReference w:id="37"/>
      </w:r>
      <w:r w:rsidRPr="00DB0C4C" w:rsidR="00686350">
        <w:rPr>
          <w:szCs w:val="24"/>
        </w:rPr>
        <w:t xml:space="preserve"> T</w:t>
      </w:r>
      <w:r w:rsidRPr="00DB0C4C">
        <w:rPr>
          <w:szCs w:val="24"/>
        </w:rPr>
        <w:t xml:space="preserve">hese words were written by Louis Brandeis before his appointment to the U.S. Supreme Court. </w:t>
      </w:r>
    </w:p>
    <w:p w:rsidR="008835BE" w:rsidRPr="00DB0C4C" w:rsidP="009874D5" w14:paraId="20681A15" w14:textId="1FB70460">
      <w:pPr>
        <w:spacing w:line="480" w:lineRule="auto"/>
        <w:ind w:firstLine="720"/>
        <w:rPr>
          <w:szCs w:val="24"/>
        </w:rPr>
      </w:pPr>
      <w:r w:rsidRPr="00DB0C4C">
        <w:rPr>
          <w:szCs w:val="24"/>
        </w:rPr>
        <w:t>FirstEnergy</w:t>
      </w:r>
      <w:r w:rsidRPr="00DB0C4C" w:rsidR="00E74797">
        <w:rPr>
          <w:szCs w:val="24"/>
        </w:rPr>
        <w:t xml:space="preserve"> has </w:t>
      </w:r>
      <w:r w:rsidRPr="00DB0C4C" w:rsidR="00450619">
        <w:rPr>
          <w:szCs w:val="24"/>
        </w:rPr>
        <w:t>violated the Ohio Administrative Code by failing</w:t>
      </w:r>
      <w:r w:rsidRPr="00DB0C4C" w:rsidR="00737447">
        <w:rPr>
          <w:szCs w:val="24"/>
        </w:rPr>
        <w:t xml:space="preserve"> </w:t>
      </w:r>
      <w:r w:rsidRPr="00DB0C4C" w:rsidR="00450619">
        <w:rPr>
          <w:szCs w:val="24"/>
        </w:rPr>
        <w:t>to</w:t>
      </w:r>
      <w:r w:rsidRPr="00DB0C4C" w:rsidR="00737447">
        <w:rPr>
          <w:szCs w:val="24"/>
        </w:rPr>
        <w:t xml:space="preserve"> </w:t>
      </w:r>
      <w:r w:rsidRPr="00DB0C4C" w:rsidR="00450619">
        <w:rPr>
          <w:szCs w:val="24"/>
        </w:rPr>
        <w:t>file a</w:t>
      </w:r>
      <w:r w:rsidRPr="00DB0C4C" w:rsidR="00100D3C">
        <w:rPr>
          <w:szCs w:val="24"/>
        </w:rPr>
        <w:t xml:space="preserve"> required</w:t>
      </w:r>
      <w:r w:rsidRPr="00DB0C4C" w:rsidR="00450619">
        <w:rPr>
          <w:szCs w:val="24"/>
        </w:rPr>
        <w:t xml:space="preserve"> affidavit of counsel</w:t>
      </w:r>
      <w:r w:rsidRPr="00DB0C4C" w:rsidR="00737447">
        <w:rPr>
          <w:szCs w:val="24"/>
        </w:rPr>
        <w:t xml:space="preserve"> explaining efforts</w:t>
      </w:r>
      <w:r w:rsidRPr="00DB0C4C" w:rsidR="00CF2E0B">
        <w:rPr>
          <w:szCs w:val="24"/>
        </w:rPr>
        <w:t xml:space="preserve"> to resolve the discovery dispute</w:t>
      </w:r>
      <w:r w:rsidRPr="00DB0C4C" w:rsidR="00450619">
        <w:rPr>
          <w:szCs w:val="24"/>
        </w:rPr>
        <w:t>.</w:t>
      </w:r>
      <w:r w:rsidRPr="00DB0C4C" w:rsidR="00221B24">
        <w:rPr>
          <w:szCs w:val="24"/>
        </w:rPr>
        <w:t xml:space="preserve"> </w:t>
      </w:r>
      <w:r w:rsidRPr="00DB0C4C" w:rsidR="00450619">
        <w:rPr>
          <w:szCs w:val="24"/>
        </w:rPr>
        <w:t xml:space="preserve">And </w:t>
      </w:r>
      <w:r w:rsidRPr="00DB0C4C" w:rsidR="00CF2E0B">
        <w:rPr>
          <w:szCs w:val="24"/>
        </w:rPr>
        <w:t>OCC’s document requests are timely, relevant, and not overly burdensome</w:t>
      </w:r>
      <w:r w:rsidRPr="00DB0C4C" w:rsidR="00E74797">
        <w:rPr>
          <w:szCs w:val="24"/>
        </w:rPr>
        <w:t>.</w:t>
      </w:r>
      <w:r w:rsidRPr="00DB0C4C" w:rsidR="00BE3400">
        <w:rPr>
          <w:szCs w:val="24"/>
        </w:rPr>
        <w:t xml:space="preserve"> </w:t>
      </w:r>
      <w:r w:rsidRPr="00DB0C4C" w:rsidR="00100D3C">
        <w:rPr>
          <w:szCs w:val="24"/>
        </w:rPr>
        <w:t>I</w:t>
      </w:r>
      <w:r w:rsidRPr="00DB0C4C">
        <w:rPr>
          <w:szCs w:val="24"/>
        </w:rPr>
        <w:t>ts</w:t>
      </w:r>
      <w:r w:rsidRPr="00DB0C4C" w:rsidR="000A797B">
        <w:rPr>
          <w:szCs w:val="24"/>
        </w:rPr>
        <w:t xml:space="preserve"> Motion should </w:t>
      </w:r>
      <w:r w:rsidRPr="00DB0C4C" w:rsidR="00686350">
        <w:rPr>
          <w:szCs w:val="24"/>
        </w:rPr>
        <w:t xml:space="preserve">be </w:t>
      </w:r>
      <w:r w:rsidRPr="00DB0C4C" w:rsidR="00450619">
        <w:rPr>
          <w:szCs w:val="24"/>
        </w:rPr>
        <w:t xml:space="preserve">struck and, if not struck, then </w:t>
      </w:r>
      <w:r w:rsidRPr="00DB0C4C" w:rsidR="000A797B">
        <w:rPr>
          <w:szCs w:val="24"/>
        </w:rPr>
        <w:t>denied</w:t>
      </w:r>
      <w:r w:rsidRPr="00DB0C4C">
        <w:rPr>
          <w:szCs w:val="24"/>
        </w:rPr>
        <w:t>.</w:t>
      </w:r>
    </w:p>
    <w:p w:rsidR="008C47B8" w14:paraId="7CCF65FB" w14:textId="77777777">
      <w:pPr>
        <w:rPr>
          <w:szCs w:val="24"/>
        </w:rPr>
      </w:pPr>
      <w:r>
        <w:rPr>
          <w:szCs w:val="24"/>
        </w:rPr>
        <w:br w:type="page"/>
      </w:r>
    </w:p>
    <w:p w:rsidR="00871C49" w:rsidRPr="00DB0C4C" w:rsidP="00871C49" w14:paraId="325BDC7A" w14:textId="144A2DE5">
      <w:pPr>
        <w:ind w:left="3780"/>
        <w:rPr>
          <w:szCs w:val="24"/>
        </w:rPr>
      </w:pPr>
      <w:r w:rsidRPr="00DB0C4C">
        <w:rPr>
          <w:szCs w:val="24"/>
        </w:rPr>
        <w:t>Respectfully submitted,</w:t>
      </w:r>
    </w:p>
    <w:p w:rsidR="00871C49" w:rsidRPr="00DB0C4C" w:rsidP="00871C49" w14:paraId="0925F67C" w14:textId="77777777">
      <w:pPr>
        <w:ind w:left="3780"/>
        <w:rPr>
          <w:szCs w:val="24"/>
        </w:rPr>
      </w:pPr>
    </w:p>
    <w:p w:rsidR="0064673E" w:rsidRPr="00DB0C4C" w:rsidP="0064673E" w14:paraId="368E4670" w14:textId="77777777">
      <w:pPr>
        <w:ind w:left="3780"/>
        <w:rPr>
          <w:szCs w:val="24"/>
        </w:rPr>
      </w:pPr>
      <w:r w:rsidRPr="00DB0C4C">
        <w:rPr>
          <w:szCs w:val="24"/>
        </w:rPr>
        <w:t>Bruce Weston (0016973)</w:t>
      </w:r>
    </w:p>
    <w:p w:rsidR="0064673E" w:rsidRPr="00DB0C4C" w:rsidP="0064673E" w14:paraId="0B30F6E8" w14:textId="77777777">
      <w:pPr>
        <w:ind w:left="3780"/>
        <w:rPr>
          <w:szCs w:val="24"/>
        </w:rPr>
      </w:pPr>
      <w:r w:rsidRPr="00DB0C4C">
        <w:rPr>
          <w:szCs w:val="24"/>
        </w:rPr>
        <w:t>Ohio Consumers’ Counsel</w:t>
      </w:r>
    </w:p>
    <w:p w:rsidR="0064673E" w:rsidRPr="00DB0C4C" w:rsidP="0064673E" w14:paraId="707CC8F1" w14:textId="77777777">
      <w:pPr>
        <w:ind w:left="3780"/>
        <w:rPr>
          <w:szCs w:val="24"/>
        </w:rPr>
      </w:pPr>
      <w:r w:rsidRPr="00DB0C4C">
        <w:rPr>
          <w:szCs w:val="24"/>
        </w:rPr>
        <w:t xml:space="preserve"> </w:t>
      </w:r>
    </w:p>
    <w:p w:rsidR="0064673E" w:rsidRPr="00DB0C4C" w:rsidP="0064673E" w14:paraId="7E35BB42" w14:textId="77777777">
      <w:pPr>
        <w:suppressLineNumbers/>
        <w:ind w:left="3780"/>
        <w:rPr>
          <w:szCs w:val="24"/>
        </w:rPr>
      </w:pPr>
      <w:r w:rsidRPr="00DB0C4C">
        <w:rPr>
          <w:i/>
          <w:iCs/>
          <w:szCs w:val="24"/>
          <w:u w:val="single"/>
        </w:rPr>
        <w:t>/s/ Maureen R. Willis</w:t>
      </w:r>
    </w:p>
    <w:p w:rsidR="0064673E" w:rsidRPr="00DB0C4C" w:rsidP="0064673E" w14:paraId="6E5DE0F7" w14:textId="77777777">
      <w:pPr>
        <w:suppressLineNumbers/>
        <w:ind w:left="3780"/>
        <w:rPr>
          <w:szCs w:val="24"/>
        </w:rPr>
      </w:pPr>
      <w:r w:rsidRPr="00DB0C4C">
        <w:rPr>
          <w:szCs w:val="24"/>
        </w:rPr>
        <w:t xml:space="preserve">Maureen R. Willis (0020847) </w:t>
      </w:r>
    </w:p>
    <w:p w:rsidR="0064673E" w:rsidRPr="00DB0C4C" w:rsidP="0064673E" w14:paraId="228C45AA" w14:textId="77777777">
      <w:pPr>
        <w:suppressLineNumbers/>
        <w:ind w:left="3780"/>
        <w:rPr>
          <w:szCs w:val="24"/>
        </w:rPr>
      </w:pPr>
      <w:r w:rsidRPr="00DB0C4C">
        <w:rPr>
          <w:szCs w:val="24"/>
        </w:rPr>
        <w:t xml:space="preserve">Counsel of Record </w:t>
      </w:r>
    </w:p>
    <w:p w:rsidR="0064673E" w:rsidRPr="00DB0C4C" w:rsidP="0064673E" w14:paraId="7A594DD1" w14:textId="77777777">
      <w:pPr>
        <w:suppressLineNumbers/>
        <w:ind w:left="3780"/>
        <w:rPr>
          <w:szCs w:val="24"/>
        </w:rPr>
      </w:pPr>
      <w:r w:rsidRPr="00DB0C4C">
        <w:rPr>
          <w:szCs w:val="24"/>
        </w:rPr>
        <w:t>John Finnigan (0018689)</w:t>
      </w:r>
    </w:p>
    <w:p w:rsidR="0064673E" w:rsidRPr="00DB0C4C" w:rsidP="0064673E" w14:paraId="4F0B3A91" w14:textId="77777777">
      <w:pPr>
        <w:suppressLineNumbers/>
        <w:ind w:left="3780"/>
        <w:rPr>
          <w:szCs w:val="24"/>
        </w:rPr>
      </w:pPr>
      <w:r w:rsidRPr="00DB0C4C">
        <w:rPr>
          <w:szCs w:val="24"/>
        </w:rPr>
        <w:t>Connor D. Semple (0101102)</w:t>
      </w:r>
    </w:p>
    <w:p w:rsidR="0064673E" w:rsidRPr="00DB0C4C" w:rsidP="0064673E" w14:paraId="7CD2BF63" w14:textId="77777777">
      <w:pPr>
        <w:suppressLineNumbers/>
        <w:ind w:left="3780"/>
        <w:rPr>
          <w:szCs w:val="24"/>
        </w:rPr>
      </w:pPr>
      <w:r w:rsidRPr="00DB0C4C">
        <w:rPr>
          <w:szCs w:val="24"/>
        </w:rPr>
        <w:t>Assistant Consumers’ Counsel</w:t>
      </w:r>
    </w:p>
    <w:p w:rsidR="0064673E" w:rsidRPr="00DB0C4C" w:rsidP="0064673E" w14:paraId="3C053CB0" w14:textId="77777777">
      <w:pPr>
        <w:suppressLineNumbers/>
        <w:ind w:left="3780"/>
        <w:rPr>
          <w:szCs w:val="24"/>
        </w:rPr>
      </w:pPr>
      <w:r w:rsidRPr="00DB0C4C">
        <w:rPr>
          <w:szCs w:val="24"/>
        </w:rPr>
        <w:tab/>
      </w:r>
    </w:p>
    <w:p w:rsidR="0064673E" w:rsidRPr="00DB0C4C" w:rsidP="0064673E" w14:paraId="2FF6125E" w14:textId="77777777">
      <w:pPr>
        <w:suppressLineNumbers/>
        <w:ind w:left="3780"/>
        <w:rPr>
          <w:b/>
          <w:bCs/>
          <w:szCs w:val="24"/>
        </w:rPr>
      </w:pPr>
      <w:r w:rsidRPr="00DB0C4C">
        <w:rPr>
          <w:b/>
          <w:szCs w:val="24"/>
        </w:rPr>
        <w:t>Office of the Ohio Consumers’ Counsel</w:t>
      </w:r>
    </w:p>
    <w:p w:rsidR="0064673E" w:rsidRPr="00DB0C4C" w:rsidP="0064673E" w14:paraId="0E2B5F3E" w14:textId="77777777">
      <w:pPr>
        <w:suppressLineNumbers/>
        <w:ind w:left="3780"/>
        <w:rPr>
          <w:bCs/>
          <w:szCs w:val="24"/>
        </w:rPr>
      </w:pPr>
      <w:r w:rsidRPr="00DB0C4C">
        <w:rPr>
          <w:szCs w:val="24"/>
        </w:rPr>
        <w:t>65 East State Street, Suite 700</w:t>
      </w:r>
    </w:p>
    <w:p w:rsidR="0064673E" w:rsidRPr="00DB0C4C" w:rsidP="0064673E" w14:paraId="30F17EC1" w14:textId="77777777">
      <w:pPr>
        <w:suppressLineNumbers/>
        <w:ind w:left="3780"/>
        <w:rPr>
          <w:bCs/>
          <w:szCs w:val="24"/>
        </w:rPr>
      </w:pPr>
      <w:r w:rsidRPr="00DB0C4C">
        <w:rPr>
          <w:szCs w:val="24"/>
        </w:rPr>
        <w:t>Columbus, Ohio 43215</w:t>
      </w:r>
    </w:p>
    <w:p w:rsidR="0064673E" w:rsidRPr="00DB0C4C" w:rsidP="0064673E" w14:paraId="3B98728D" w14:textId="77777777">
      <w:pPr>
        <w:suppressLineNumbers/>
        <w:ind w:left="3780"/>
        <w:rPr>
          <w:szCs w:val="24"/>
        </w:rPr>
      </w:pPr>
      <w:r w:rsidRPr="00DB0C4C">
        <w:rPr>
          <w:szCs w:val="24"/>
        </w:rPr>
        <w:t>Telephone [Willis]: (614) 466-9567</w:t>
      </w:r>
    </w:p>
    <w:p w:rsidR="0064673E" w:rsidRPr="00DB0C4C" w:rsidP="0064673E" w14:paraId="626F6D27" w14:textId="77777777">
      <w:pPr>
        <w:suppressLineNumbers/>
        <w:ind w:left="3780"/>
        <w:rPr>
          <w:szCs w:val="24"/>
        </w:rPr>
      </w:pPr>
      <w:r w:rsidRPr="00DB0C4C">
        <w:rPr>
          <w:szCs w:val="24"/>
        </w:rPr>
        <w:t>Telephone [Finnigan]: (614) 466-9585</w:t>
      </w:r>
    </w:p>
    <w:p w:rsidR="0064673E" w:rsidRPr="00DB0C4C" w:rsidP="0064673E" w14:paraId="67BB5A84" w14:textId="77777777">
      <w:pPr>
        <w:suppressLineNumbers/>
        <w:ind w:left="3780"/>
        <w:rPr>
          <w:szCs w:val="24"/>
        </w:rPr>
      </w:pPr>
      <w:r w:rsidRPr="00DB0C4C">
        <w:rPr>
          <w:szCs w:val="24"/>
        </w:rPr>
        <w:t>Telephone [Semple]: (614) 466-9565</w:t>
      </w:r>
    </w:p>
    <w:p w:rsidR="0064673E" w:rsidRPr="00DB0C4C" w:rsidP="0064673E" w14:paraId="198C62A1" w14:textId="77777777">
      <w:pPr>
        <w:suppressLineNumbers/>
        <w:ind w:left="3780"/>
        <w:rPr>
          <w:color w:val="0000FF"/>
          <w:szCs w:val="24"/>
        </w:rPr>
      </w:pPr>
      <w:hyperlink r:id="rId6" w:history="1">
        <w:r w:rsidRPr="00DB0C4C">
          <w:rPr>
            <w:rStyle w:val="Hyperlink"/>
            <w:color w:val="0000FF"/>
            <w:szCs w:val="24"/>
          </w:rPr>
          <w:t>maureen.willis@occ.ohio.gov</w:t>
        </w:r>
      </w:hyperlink>
    </w:p>
    <w:p w:rsidR="0064673E" w:rsidRPr="00DB0C4C" w:rsidP="0064673E" w14:paraId="39B08AD0" w14:textId="77777777">
      <w:pPr>
        <w:suppressLineNumbers/>
        <w:ind w:left="3780"/>
        <w:rPr>
          <w:color w:val="0000FF"/>
          <w:szCs w:val="24"/>
        </w:rPr>
      </w:pPr>
      <w:hyperlink r:id="rId7" w:history="1">
        <w:r w:rsidRPr="00DB0C4C">
          <w:rPr>
            <w:rStyle w:val="Hyperlink"/>
            <w:color w:val="0000FF"/>
            <w:szCs w:val="24"/>
          </w:rPr>
          <w:t>john.finnigan@occ.ohio.gov</w:t>
        </w:r>
      </w:hyperlink>
    </w:p>
    <w:p w:rsidR="0064673E" w:rsidRPr="00DB0C4C" w:rsidP="0064673E" w14:paraId="44CA1C9D" w14:textId="77777777">
      <w:pPr>
        <w:suppressLineNumbers/>
        <w:ind w:left="3780"/>
        <w:rPr>
          <w:color w:val="0000FF"/>
          <w:szCs w:val="24"/>
        </w:rPr>
      </w:pPr>
      <w:hyperlink r:id="rId8" w:history="1">
        <w:r w:rsidRPr="00DB0C4C">
          <w:rPr>
            <w:rStyle w:val="Hyperlink"/>
            <w:color w:val="0000FF"/>
            <w:szCs w:val="24"/>
          </w:rPr>
          <w:t>connor.semple@occ.ohio.gov</w:t>
        </w:r>
      </w:hyperlink>
    </w:p>
    <w:p w:rsidR="0064673E" w:rsidRPr="00DB0C4C" w:rsidP="0064673E" w14:paraId="18B87EB7" w14:textId="164B91D9">
      <w:pPr>
        <w:suppressLineNumbers/>
        <w:ind w:left="3780"/>
        <w:rPr>
          <w:szCs w:val="24"/>
        </w:rPr>
      </w:pPr>
      <w:r w:rsidRPr="00DB0C4C">
        <w:rPr>
          <w:szCs w:val="24"/>
        </w:rPr>
        <w:t>(willing to accept service by email)</w:t>
      </w:r>
    </w:p>
    <w:p w:rsidR="0064673E" w:rsidRPr="00DB0C4C" w:rsidP="0064673E" w14:paraId="0FE05B6B" w14:textId="77777777">
      <w:pPr>
        <w:rPr>
          <w:i/>
          <w:iCs/>
          <w:szCs w:val="24"/>
        </w:rPr>
      </w:pPr>
    </w:p>
    <w:p w:rsidR="0064673E" w:rsidRPr="00DB0C4C" w:rsidP="0064673E" w14:paraId="36EE70D5" w14:textId="15486B5D">
      <w:pPr>
        <w:ind w:left="3780"/>
        <w:rPr>
          <w:b/>
          <w:bCs/>
          <w:szCs w:val="24"/>
        </w:rPr>
      </w:pPr>
      <w:r w:rsidRPr="00DB0C4C">
        <w:rPr>
          <w:b/>
          <w:bCs/>
          <w:szCs w:val="24"/>
        </w:rPr>
        <w:t>Isaac Wiles &amp; Burkholder, LLC</w:t>
      </w:r>
    </w:p>
    <w:p w:rsidR="0064673E" w:rsidRPr="00DB0C4C" w:rsidP="0064673E" w14:paraId="746B7B0F" w14:textId="77777777">
      <w:pPr>
        <w:ind w:left="3780"/>
        <w:rPr>
          <w:b/>
          <w:bCs/>
          <w:szCs w:val="24"/>
        </w:rPr>
      </w:pPr>
      <w:r w:rsidRPr="00DB0C4C">
        <w:rPr>
          <w:szCs w:val="24"/>
        </w:rPr>
        <w:t>Brian M. Zets (0066544)</w:t>
      </w:r>
    </w:p>
    <w:p w:rsidR="0064673E" w:rsidRPr="00DB0C4C" w:rsidP="0064673E" w14:paraId="5A5CECED" w14:textId="77777777">
      <w:pPr>
        <w:ind w:left="3780"/>
        <w:rPr>
          <w:b/>
          <w:bCs/>
          <w:szCs w:val="24"/>
        </w:rPr>
      </w:pPr>
      <w:r w:rsidRPr="00DB0C4C">
        <w:rPr>
          <w:szCs w:val="24"/>
        </w:rPr>
        <w:t>Two Miranova Place, Suite 700</w:t>
      </w:r>
    </w:p>
    <w:p w:rsidR="0064673E" w:rsidRPr="00DB0C4C" w:rsidP="0064673E" w14:paraId="39FA3151" w14:textId="77777777">
      <w:pPr>
        <w:ind w:left="3780"/>
        <w:rPr>
          <w:szCs w:val="24"/>
        </w:rPr>
      </w:pPr>
      <w:r w:rsidRPr="00DB0C4C">
        <w:rPr>
          <w:szCs w:val="24"/>
        </w:rPr>
        <w:t>Columbus, Ohio 43215</w:t>
      </w:r>
    </w:p>
    <w:p w:rsidR="0064673E" w:rsidRPr="00DB0C4C" w:rsidP="0064673E" w14:paraId="4E42B582" w14:textId="77777777">
      <w:pPr>
        <w:ind w:left="3780"/>
        <w:rPr>
          <w:szCs w:val="24"/>
        </w:rPr>
      </w:pPr>
      <w:r w:rsidRPr="00DB0C4C">
        <w:rPr>
          <w:szCs w:val="24"/>
        </w:rPr>
        <w:t>Telephone: (614) 221-2121</w:t>
      </w:r>
    </w:p>
    <w:p w:rsidR="0064673E" w:rsidRPr="00DB0C4C" w:rsidP="0064673E" w14:paraId="703A2832" w14:textId="77777777">
      <w:pPr>
        <w:ind w:left="3780"/>
        <w:rPr>
          <w:color w:val="0000FF"/>
          <w:szCs w:val="24"/>
        </w:rPr>
      </w:pPr>
      <w:hyperlink r:id="rId9" w:history="1">
        <w:r w:rsidRPr="00DB0C4C">
          <w:rPr>
            <w:rStyle w:val="Hyperlink"/>
            <w:color w:val="0000FF"/>
            <w:szCs w:val="24"/>
          </w:rPr>
          <w:t>bzets@isaacwiles.com</w:t>
        </w:r>
      </w:hyperlink>
    </w:p>
    <w:p w:rsidR="0064673E" w:rsidRPr="00DB0C4C" w:rsidP="0064673E" w14:paraId="0224FC8E" w14:textId="77777777">
      <w:pPr>
        <w:ind w:left="3780"/>
        <w:rPr>
          <w:szCs w:val="24"/>
        </w:rPr>
      </w:pPr>
      <w:r w:rsidRPr="00DB0C4C">
        <w:rPr>
          <w:szCs w:val="24"/>
        </w:rPr>
        <w:t>(willing to accept service by e-mail)</w:t>
      </w:r>
    </w:p>
    <w:p w:rsidR="0064673E" w:rsidRPr="00DB0C4C" w:rsidP="0064673E" w14:paraId="5FF986C3" w14:textId="77777777">
      <w:pPr>
        <w:ind w:left="3780"/>
        <w:rPr>
          <w:i/>
          <w:iCs/>
          <w:szCs w:val="24"/>
        </w:rPr>
      </w:pPr>
    </w:p>
    <w:p w:rsidR="0064673E" w:rsidRPr="00DB0C4C" w:rsidP="0064673E" w14:paraId="02B3C302" w14:textId="77777777">
      <w:pPr>
        <w:ind w:left="3780"/>
        <w:rPr>
          <w:i/>
          <w:iCs/>
          <w:szCs w:val="24"/>
        </w:rPr>
      </w:pPr>
      <w:r w:rsidRPr="00DB0C4C">
        <w:rPr>
          <w:i/>
          <w:iCs/>
          <w:szCs w:val="24"/>
        </w:rPr>
        <w:t>Counsel for Office of the Ohio Consumers’ Counsel</w:t>
      </w:r>
    </w:p>
    <w:p w:rsidR="007549E4" w:rsidRPr="00DB0C4C" w:rsidP="007549E4" w14:paraId="01012ECE" w14:textId="19E9B9EC">
      <w:pPr>
        <w:suppressLineNumbers/>
        <w:ind w:left="3780"/>
        <w:rPr>
          <w:szCs w:val="24"/>
        </w:rPr>
      </w:pPr>
      <w:r w:rsidRPr="00DB0C4C">
        <w:rPr>
          <w:szCs w:val="24"/>
        </w:rPr>
        <w:br w:type="page"/>
      </w:r>
    </w:p>
    <w:p w:rsidR="009030AA" w:rsidRPr="00DB0C4C" w:rsidP="007549E4" w14:paraId="162B0B53" w14:textId="7C37BAAB">
      <w:pPr>
        <w:suppressLineNumbers/>
        <w:jc w:val="center"/>
        <w:rPr>
          <w:b/>
          <w:bCs/>
          <w:szCs w:val="24"/>
          <w:u w:val="single"/>
        </w:rPr>
      </w:pPr>
      <w:r w:rsidRPr="00DB0C4C">
        <w:rPr>
          <w:b/>
          <w:szCs w:val="24"/>
          <w:u w:val="single"/>
        </w:rPr>
        <w:t>CERTIFICATE OF SERVICE</w:t>
      </w:r>
    </w:p>
    <w:p w:rsidR="009030AA" w:rsidRPr="00DB0C4C" w:rsidP="005D2D59" w14:paraId="0C5E1F8F" w14:textId="77777777">
      <w:pPr>
        <w:jc w:val="center"/>
        <w:rPr>
          <w:szCs w:val="24"/>
          <w:u w:val="single"/>
        </w:rPr>
      </w:pPr>
    </w:p>
    <w:p w:rsidR="009030AA" w:rsidRPr="00DB0C4C" w:rsidP="00621E34" w14:paraId="11ED7177" w14:textId="4B2B2EC3">
      <w:pPr>
        <w:spacing w:line="480" w:lineRule="auto"/>
        <w:rPr>
          <w:szCs w:val="24"/>
        </w:rPr>
      </w:pPr>
      <w:r w:rsidRPr="00DB0C4C">
        <w:rPr>
          <w:szCs w:val="24"/>
        </w:rPr>
        <w:tab/>
        <w:t>I hereby certify that a copy of th</w:t>
      </w:r>
      <w:r w:rsidRPr="00DB0C4C" w:rsidR="003379E1">
        <w:rPr>
          <w:szCs w:val="24"/>
        </w:rPr>
        <w:t>is</w:t>
      </w:r>
      <w:r w:rsidRPr="00DB0C4C">
        <w:rPr>
          <w:szCs w:val="24"/>
        </w:rPr>
        <w:t xml:space="preserve"> </w:t>
      </w:r>
      <w:r w:rsidRPr="00DB0C4C" w:rsidR="00C32954">
        <w:rPr>
          <w:szCs w:val="24"/>
        </w:rPr>
        <w:t xml:space="preserve">Memorandum Contra to the FirstEnergy Utilities’ Motion for a Protective Order </w:t>
      </w:r>
      <w:r w:rsidRPr="00DB0C4C">
        <w:rPr>
          <w:szCs w:val="24"/>
        </w:rPr>
        <w:t>was served on the persons stated below via electric transmission this</w:t>
      </w:r>
      <w:r w:rsidRPr="00DB0C4C" w:rsidR="0094683F">
        <w:rPr>
          <w:szCs w:val="24"/>
        </w:rPr>
        <w:t xml:space="preserve"> </w:t>
      </w:r>
      <w:r w:rsidRPr="00DB0C4C" w:rsidR="009B3A20">
        <w:rPr>
          <w:szCs w:val="24"/>
        </w:rPr>
        <w:t>24</w:t>
      </w:r>
      <w:r w:rsidRPr="00DB0C4C" w:rsidR="009B3A20">
        <w:rPr>
          <w:szCs w:val="24"/>
          <w:vertAlign w:val="superscript"/>
        </w:rPr>
        <w:t>th</w:t>
      </w:r>
      <w:r w:rsidRPr="00DB0C4C" w:rsidR="009B3A20">
        <w:rPr>
          <w:szCs w:val="24"/>
        </w:rPr>
        <w:t xml:space="preserve"> </w:t>
      </w:r>
      <w:r w:rsidRPr="00DB0C4C">
        <w:rPr>
          <w:szCs w:val="24"/>
        </w:rPr>
        <w:t xml:space="preserve">day of </w:t>
      </w:r>
      <w:r w:rsidRPr="00DB0C4C" w:rsidR="001A7D6F">
        <w:rPr>
          <w:szCs w:val="24"/>
        </w:rPr>
        <w:t>M</w:t>
      </w:r>
      <w:r w:rsidRPr="00DB0C4C" w:rsidR="001D4F3E">
        <w:rPr>
          <w:szCs w:val="24"/>
        </w:rPr>
        <w:t>ay</w:t>
      </w:r>
      <w:r w:rsidRPr="00DB0C4C" w:rsidR="007004E3">
        <w:rPr>
          <w:szCs w:val="24"/>
        </w:rPr>
        <w:t xml:space="preserve"> </w:t>
      </w:r>
      <w:r w:rsidRPr="00DB0C4C">
        <w:rPr>
          <w:szCs w:val="24"/>
        </w:rPr>
        <w:t>202</w:t>
      </w:r>
      <w:r w:rsidRPr="00DB0C4C" w:rsidR="00FE0DA0">
        <w:rPr>
          <w:szCs w:val="24"/>
        </w:rPr>
        <w:t>2</w:t>
      </w:r>
      <w:r w:rsidRPr="00DB0C4C">
        <w:rPr>
          <w:szCs w:val="24"/>
        </w:rPr>
        <w:t>.</w:t>
      </w:r>
    </w:p>
    <w:p w:rsidR="009030AA" w:rsidRPr="00DB0C4C" w:rsidP="005D2D59" w14:paraId="5D26A4C4" w14:textId="77777777">
      <w:pPr>
        <w:rPr>
          <w:b/>
          <w:bCs/>
          <w:i/>
          <w:iCs/>
          <w:szCs w:val="24"/>
          <w:u w:val="single"/>
        </w:rPr>
      </w:pPr>
      <w:bookmarkStart w:id="7" w:name="_Hlk60904023"/>
      <w:r w:rsidRPr="00DB0C4C">
        <w:rPr>
          <w:szCs w:val="24"/>
        </w:rPr>
        <w:tab/>
      </w:r>
      <w:r w:rsidRPr="00DB0C4C">
        <w:rPr>
          <w:szCs w:val="24"/>
        </w:rPr>
        <w:tab/>
      </w:r>
      <w:r w:rsidRPr="00DB0C4C">
        <w:rPr>
          <w:szCs w:val="24"/>
        </w:rPr>
        <w:tab/>
      </w:r>
      <w:r w:rsidRPr="00DB0C4C">
        <w:rPr>
          <w:szCs w:val="24"/>
        </w:rPr>
        <w:tab/>
      </w:r>
      <w:r w:rsidRPr="00DB0C4C">
        <w:rPr>
          <w:szCs w:val="24"/>
        </w:rPr>
        <w:tab/>
      </w:r>
      <w:r w:rsidRPr="00DB0C4C">
        <w:rPr>
          <w:szCs w:val="24"/>
        </w:rPr>
        <w:tab/>
      </w:r>
      <w:r w:rsidRPr="00DB0C4C">
        <w:rPr>
          <w:i/>
          <w:iCs/>
          <w:szCs w:val="24"/>
          <w:u w:val="single"/>
        </w:rPr>
        <w:t xml:space="preserve">/s/ </w:t>
      </w:r>
      <w:r w:rsidRPr="00DB0C4C" w:rsidR="00304F7E">
        <w:rPr>
          <w:i/>
          <w:iCs/>
          <w:szCs w:val="24"/>
          <w:u w:val="single"/>
        </w:rPr>
        <w:t>Maureen R. Willis</w:t>
      </w:r>
      <w:r w:rsidRPr="00DB0C4C" w:rsidR="00DC167B">
        <w:rPr>
          <w:i/>
          <w:iCs/>
          <w:szCs w:val="24"/>
          <w:u w:val="single"/>
        </w:rPr>
        <w:tab/>
      </w:r>
      <w:r w:rsidRPr="00DB0C4C" w:rsidR="00DC167B">
        <w:rPr>
          <w:i/>
          <w:iCs/>
          <w:szCs w:val="24"/>
          <w:u w:val="single"/>
        </w:rPr>
        <w:tab/>
      </w:r>
      <w:r w:rsidRPr="00DB0C4C" w:rsidR="00304F7E">
        <w:rPr>
          <w:i/>
          <w:iCs/>
          <w:szCs w:val="24"/>
          <w:u w:val="single"/>
        </w:rPr>
        <w:t xml:space="preserve"> </w:t>
      </w:r>
    </w:p>
    <w:p w:rsidR="00304F7E" w:rsidRPr="00DB0C4C" w:rsidP="005D2D59" w14:paraId="2E8BD86F" w14:textId="77777777">
      <w:pPr>
        <w:rPr>
          <w:b/>
          <w:bCs/>
          <w:szCs w:val="24"/>
        </w:rPr>
      </w:pPr>
      <w:r w:rsidRPr="00DB0C4C">
        <w:rPr>
          <w:szCs w:val="24"/>
        </w:rPr>
        <w:tab/>
      </w:r>
      <w:r w:rsidRPr="00DB0C4C">
        <w:rPr>
          <w:szCs w:val="24"/>
        </w:rPr>
        <w:tab/>
      </w:r>
      <w:r w:rsidRPr="00DB0C4C">
        <w:rPr>
          <w:szCs w:val="24"/>
        </w:rPr>
        <w:tab/>
      </w:r>
      <w:r w:rsidRPr="00DB0C4C">
        <w:rPr>
          <w:szCs w:val="24"/>
        </w:rPr>
        <w:tab/>
      </w:r>
      <w:r w:rsidRPr="00DB0C4C">
        <w:rPr>
          <w:szCs w:val="24"/>
        </w:rPr>
        <w:tab/>
      </w:r>
      <w:r w:rsidRPr="00DB0C4C">
        <w:rPr>
          <w:szCs w:val="24"/>
        </w:rPr>
        <w:tab/>
        <w:t>Maureen R. Willis</w:t>
      </w:r>
      <w:r w:rsidRPr="00DB0C4C" w:rsidR="00C01BBA">
        <w:rPr>
          <w:szCs w:val="24"/>
        </w:rPr>
        <w:t xml:space="preserve"> </w:t>
      </w:r>
    </w:p>
    <w:p w:rsidR="009030AA" w:rsidRPr="00DB0C4C" w:rsidP="005D2D59" w14:paraId="45FADD03" w14:textId="05182CA5">
      <w:pPr>
        <w:ind w:left="3600" w:firstLine="720"/>
        <w:rPr>
          <w:b/>
          <w:bCs/>
          <w:szCs w:val="24"/>
        </w:rPr>
      </w:pPr>
      <w:r w:rsidRPr="00DB0C4C">
        <w:rPr>
          <w:szCs w:val="24"/>
        </w:rPr>
        <w:t>Senior</w:t>
      </w:r>
      <w:r w:rsidRPr="00DB0C4C" w:rsidR="000A797B">
        <w:rPr>
          <w:szCs w:val="24"/>
        </w:rPr>
        <w:t xml:space="preserve"> Counsel</w:t>
      </w:r>
    </w:p>
    <w:bookmarkEnd w:id="7"/>
    <w:p w:rsidR="009030AA" w:rsidRPr="00DB0C4C" w:rsidP="005D2D59" w14:paraId="43FD88E4" w14:textId="77777777">
      <w:pPr>
        <w:rPr>
          <w:b/>
          <w:bCs/>
          <w:szCs w:val="24"/>
        </w:rPr>
      </w:pPr>
    </w:p>
    <w:p w:rsidR="009030AA" w:rsidRPr="00DB0C4C" w:rsidP="005D2D59" w14:paraId="707973A2" w14:textId="77777777">
      <w:pPr>
        <w:rPr>
          <w:b/>
          <w:bCs/>
          <w:szCs w:val="24"/>
        </w:rPr>
      </w:pPr>
      <w:r w:rsidRPr="00DB0C4C">
        <w:rPr>
          <w:szCs w:val="24"/>
        </w:rPr>
        <w:t>The PUCO’s e-filing system will electronically serve notice of the filing of this document on the following parties:</w:t>
      </w:r>
    </w:p>
    <w:p w:rsidR="009030AA" w:rsidRPr="00DB0C4C" w:rsidP="005D2D59" w14:paraId="7E5601C3" w14:textId="77777777">
      <w:pPr>
        <w:rPr>
          <w:b/>
          <w:bCs/>
          <w:szCs w:val="24"/>
        </w:rPr>
      </w:pPr>
    </w:p>
    <w:p w:rsidR="00922AF8" w:rsidRPr="00DB0C4C" w:rsidP="005D2D59" w14:paraId="448E960B" w14:textId="77777777">
      <w:pPr>
        <w:pStyle w:val="CommentText"/>
        <w:jc w:val="center"/>
        <w:rPr>
          <w:b/>
          <w:sz w:val="24"/>
          <w:szCs w:val="24"/>
          <w:u w:val="single"/>
        </w:rPr>
      </w:pPr>
      <w:r w:rsidRPr="00DB0C4C">
        <w:rPr>
          <w:b/>
          <w:sz w:val="24"/>
          <w:szCs w:val="24"/>
          <w:u w:val="single"/>
        </w:rPr>
        <w:t>SERVICE LIST</w:t>
      </w:r>
    </w:p>
    <w:p w:rsidR="001930AB" w:rsidRPr="00DB0C4C" w:rsidP="005D2D59" w14:paraId="2D1EF5BF" w14:textId="77777777">
      <w:pPr>
        <w:pStyle w:val="CommentText"/>
        <w:jc w:val="center"/>
        <w:rPr>
          <w:b/>
          <w:sz w:val="24"/>
          <w:szCs w:val="24"/>
          <w:u w:val="single"/>
        </w:rPr>
      </w:pPr>
    </w:p>
    <w:tbl>
      <w:tblPr>
        <w:tblW w:w="0" w:type="auto"/>
        <w:tblLook w:val="04A0"/>
      </w:tblPr>
      <w:tblGrid>
        <w:gridCol w:w="4257"/>
        <w:gridCol w:w="4383"/>
      </w:tblGrid>
      <w:tr w14:paraId="413007D9" w14:textId="77777777" w:rsidTr="00265755">
        <w:tblPrEx>
          <w:tblW w:w="0" w:type="auto"/>
          <w:tblLook w:val="04A0"/>
        </w:tblPrEx>
        <w:trPr>
          <w:trHeight w:val="6912"/>
        </w:trPr>
        <w:tc>
          <w:tcPr>
            <w:tcW w:w="4257" w:type="dxa"/>
          </w:tcPr>
          <w:bookmarkStart w:id="8" w:name="_Hlk92973184"/>
          <w:p w:rsidR="00B758B5" w:rsidRPr="00DB0C4C" w:rsidP="00265755" w14:paraId="6E94C502" w14:textId="77777777">
            <w:pPr>
              <w:widowControl w:val="0"/>
              <w:autoSpaceDE w:val="0"/>
              <w:autoSpaceDN w:val="0"/>
              <w:adjustRightInd w:val="0"/>
              <w:rPr>
                <w:rFonts w:eastAsia="Calibri"/>
                <w:bCs/>
                <w:color w:val="0000FF"/>
                <w:szCs w:val="24"/>
                <w:u w:val="single"/>
              </w:rPr>
            </w:pPr>
            <w:hyperlink r:id="rId11" w:history="1">
              <w:r w:rsidRPr="00DB0C4C">
                <w:rPr>
                  <w:rFonts w:eastAsia="Calibri"/>
                  <w:color w:val="0000FF"/>
                  <w:szCs w:val="24"/>
                  <w:u w:val="single"/>
                </w:rPr>
                <w:t>thomas.lindgren@ohioAGO.gov</w:t>
              </w:r>
            </w:hyperlink>
          </w:p>
          <w:p w:rsidR="00B758B5" w:rsidRPr="00DB0C4C" w:rsidP="00265755" w14:paraId="5C56DCBB" w14:textId="77777777">
            <w:pPr>
              <w:widowControl w:val="0"/>
              <w:autoSpaceDE w:val="0"/>
              <w:autoSpaceDN w:val="0"/>
              <w:adjustRightInd w:val="0"/>
              <w:rPr>
                <w:rFonts w:eastAsia="Calibri"/>
                <w:bCs/>
                <w:color w:val="0000FF"/>
                <w:szCs w:val="24"/>
                <w:u w:val="single"/>
              </w:rPr>
            </w:pPr>
            <w:hyperlink r:id="rId12" w:history="1">
              <w:r w:rsidRPr="00DB0C4C">
                <w:rPr>
                  <w:rFonts w:eastAsia="Calibri"/>
                  <w:color w:val="0000FF"/>
                  <w:szCs w:val="24"/>
                  <w:u w:val="single"/>
                </w:rPr>
                <w:t>werner.margard@ohioAGO.gov</w:t>
              </w:r>
            </w:hyperlink>
          </w:p>
          <w:p w:rsidR="00B758B5" w:rsidRPr="00DB0C4C" w:rsidP="00265755" w14:paraId="0B5EDE35" w14:textId="77777777">
            <w:pPr>
              <w:widowControl w:val="0"/>
              <w:autoSpaceDE w:val="0"/>
              <w:autoSpaceDN w:val="0"/>
              <w:adjustRightInd w:val="0"/>
              <w:rPr>
                <w:rFonts w:eastAsia="Calibri"/>
                <w:color w:val="0000FF"/>
                <w:szCs w:val="24"/>
              </w:rPr>
            </w:pPr>
            <w:hyperlink r:id="rId13" w:history="1">
              <w:r w:rsidRPr="00DB0C4C">
                <w:rPr>
                  <w:rFonts w:eastAsia="Calibri"/>
                  <w:color w:val="0000FF"/>
                  <w:szCs w:val="24"/>
                  <w:u w:val="single"/>
                </w:rPr>
                <w:t>joliker@igsenergy.com</w:t>
              </w:r>
            </w:hyperlink>
          </w:p>
          <w:p w:rsidR="00B758B5" w:rsidRPr="00DB0C4C" w:rsidP="00265755" w14:paraId="517F5CC9" w14:textId="77777777">
            <w:pPr>
              <w:widowControl w:val="0"/>
              <w:autoSpaceDE w:val="0"/>
              <w:autoSpaceDN w:val="0"/>
              <w:adjustRightInd w:val="0"/>
              <w:rPr>
                <w:rFonts w:eastAsia="Calibri"/>
                <w:color w:val="0000FF"/>
                <w:szCs w:val="24"/>
                <w:u w:val="single"/>
              </w:rPr>
            </w:pPr>
            <w:hyperlink r:id="rId14" w:history="1">
              <w:r w:rsidRPr="00DB0C4C">
                <w:rPr>
                  <w:rFonts w:eastAsia="Calibri"/>
                  <w:color w:val="0000FF"/>
                  <w:szCs w:val="24"/>
                  <w:u w:val="single"/>
                </w:rPr>
                <w:t>Mnugent@igsenergy.com</w:t>
              </w:r>
            </w:hyperlink>
          </w:p>
          <w:p w:rsidR="00B758B5" w:rsidRPr="00DB0C4C" w:rsidP="00265755" w14:paraId="1E177A71" w14:textId="77777777">
            <w:pPr>
              <w:widowControl w:val="0"/>
              <w:autoSpaceDE w:val="0"/>
              <w:autoSpaceDN w:val="0"/>
              <w:adjustRightInd w:val="0"/>
              <w:rPr>
                <w:rFonts w:eastAsia="Calibri"/>
                <w:color w:val="0000FF"/>
                <w:szCs w:val="24"/>
                <w:u w:val="single"/>
              </w:rPr>
            </w:pPr>
            <w:hyperlink r:id="rId15" w:history="1">
              <w:r w:rsidRPr="00DB0C4C">
                <w:rPr>
                  <w:rFonts w:eastAsia="Calibri"/>
                  <w:color w:val="0000FF"/>
                  <w:szCs w:val="24"/>
                  <w:u w:val="single"/>
                </w:rPr>
                <w:t>bethany.allen@igs.com</w:t>
              </w:r>
            </w:hyperlink>
          </w:p>
          <w:p w:rsidR="00B758B5" w:rsidRPr="00DB0C4C" w:rsidP="00265755" w14:paraId="05C0F85A" w14:textId="77777777">
            <w:pPr>
              <w:widowControl w:val="0"/>
              <w:autoSpaceDE w:val="0"/>
              <w:autoSpaceDN w:val="0"/>
              <w:adjustRightInd w:val="0"/>
              <w:rPr>
                <w:rFonts w:eastAsia="Calibri"/>
                <w:color w:val="0000FF"/>
                <w:szCs w:val="24"/>
              </w:rPr>
            </w:pPr>
            <w:hyperlink r:id="rId16" w:history="1">
              <w:r w:rsidRPr="00DB0C4C">
                <w:rPr>
                  <w:rFonts w:eastAsia="Calibri"/>
                  <w:color w:val="0000FF"/>
                  <w:szCs w:val="24"/>
                  <w:u w:val="single"/>
                </w:rPr>
                <w:t>evan.betterton@igs.com</w:t>
              </w:r>
            </w:hyperlink>
          </w:p>
          <w:p w:rsidR="00B758B5" w:rsidRPr="00DB0C4C" w:rsidP="00265755" w14:paraId="57044A1E" w14:textId="77777777">
            <w:pPr>
              <w:widowControl w:val="0"/>
              <w:autoSpaceDE w:val="0"/>
              <w:autoSpaceDN w:val="0"/>
              <w:adjustRightInd w:val="0"/>
              <w:rPr>
                <w:rFonts w:eastAsia="Calibri"/>
                <w:color w:val="0000FF"/>
                <w:szCs w:val="24"/>
              </w:rPr>
            </w:pPr>
            <w:hyperlink r:id="rId17" w:history="1">
              <w:r w:rsidRPr="00DB0C4C">
                <w:rPr>
                  <w:rFonts w:eastAsia="Calibri"/>
                  <w:color w:val="0000FF"/>
                  <w:szCs w:val="24"/>
                  <w:u w:val="single"/>
                </w:rPr>
                <w:t>gkrassen@bricker.com</w:t>
              </w:r>
            </w:hyperlink>
          </w:p>
          <w:p w:rsidR="00B758B5" w:rsidRPr="00DB0C4C" w:rsidP="00265755" w14:paraId="5A9C4E4B" w14:textId="77777777">
            <w:pPr>
              <w:widowControl w:val="0"/>
              <w:autoSpaceDE w:val="0"/>
              <w:autoSpaceDN w:val="0"/>
              <w:adjustRightInd w:val="0"/>
              <w:rPr>
                <w:rFonts w:eastAsia="Calibri"/>
                <w:color w:val="0000FF"/>
                <w:szCs w:val="24"/>
                <w:u w:val="single"/>
              </w:rPr>
            </w:pPr>
            <w:hyperlink r:id="rId18" w:history="1">
              <w:r w:rsidRPr="00DB0C4C">
                <w:rPr>
                  <w:rFonts w:eastAsia="Calibri"/>
                  <w:color w:val="0000FF"/>
                  <w:szCs w:val="24"/>
                  <w:u w:val="single"/>
                </w:rPr>
                <w:t>dstinson@bricker.com</w:t>
              </w:r>
            </w:hyperlink>
          </w:p>
          <w:p w:rsidR="00B758B5" w:rsidRPr="00DB0C4C" w:rsidP="00265755" w14:paraId="39747494" w14:textId="77777777">
            <w:pPr>
              <w:widowControl w:val="0"/>
              <w:autoSpaceDE w:val="0"/>
              <w:autoSpaceDN w:val="0"/>
              <w:adjustRightInd w:val="0"/>
              <w:rPr>
                <w:rFonts w:eastAsia="Calibri"/>
                <w:color w:val="0000FF"/>
                <w:szCs w:val="24"/>
                <w:u w:val="single"/>
              </w:rPr>
            </w:pPr>
            <w:hyperlink r:id="rId19" w:history="1">
              <w:r w:rsidRPr="00DB0C4C">
                <w:rPr>
                  <w:rStyle w:val="Hyperlink"/>
                  <w:rFonts w:eastAsia="Calibri"/>
                  <w:color w:val="0000FF"/>
                  <w:szCs w:val="24"/>
                </w:rPr>
                <w:t>whitt@whitt-sturtevant.com</w:t>
              </w:r>
            </w:hyperlink>
          </w:p>
          <w:p w:rsidR="00B758B5" w:rsidRPr="00DB0C4C" w:rsidP="00265755" w14:paraId="43A929BB" w14:textId="77777777">
            <w:pPr>
              <w:widowControl w:val="0"/>
              <w:autoSpaceDE w:val="0"/>
              <w:autoSpaceDN w:val="0"/>
              <w:adjustRightInd w:val="0"/>
              <w:rPr>
                <w:rFonts w:eastAsia="Calibri"/>
                <w:color w:val="0000FF"/>
                <w:szCs w:val="24"/>
                <w:u w:val="single"/>
              </w:rPr>
            </w:pPr>
            <w:hyperlink r:id="rId20" w:history="1">
              <w:r w:rsidRPr="00DB0C4C">
                <w:rPr>
                  <w:rStyle w:val="Hyperlink"/>
                  <w:rFonts w:eastAsia="Calibri"/>
                  <w:color w:val="0000FF"/>
                  <w:szCs w:val="24"/>
                </w:rPr>
                <w:t>fykes@whitt-sturtevant.com</w:t>
              </w:r>
            </w:hyperlink>
          </w:p>
          <w:p w:rsidR="00B758B5" w:rsidRPr="00DB0C4C" w:rsidP="00265755" w14:paraId="4BB2CE37" w14:textId="77777777">
            <w:pPr>
              <w:pStyle w:val="CommentText"/>
              <w:rPr>
                <w:rStyle w:val="Hyperlink"/>
                <w:color w:val="0000FF"/>
                <w:sz w:val="24"/>
                <w:szCs w:val="24"/>
              </w:rPr>
            </w:pPr>
            <w:r w:rsidRPr="00DB0C4C">
              <w:rPr>
                <w:rStyle w:val="Hyperlink"/>
                <w:color w:val="0000FF"/>
                <w:sz w:val="24"/>
                <w:szCs w:val="24"/>
              </w:rPr>
              <w:t>trent@hubaydougherty.com</w:t>
            </w:r>
          </w:p>
          <w:p w:rsidR="00B758B5" w:rsidRPr="00DB0C4C" w:rsidP="00265755" w14:paraId="259DE14F" w14:textId="77777777">
            <w:pPr>
              <w:widowControl w:val="0"/>
              <w:rPr>
                <w:color w:val="0000FF"/>
                <w:szCs w:val="24"/>
                <w:u w:val="single"/>
              </w:rPr>
            </w:pPr>
            <w:hyperlink r:id="rId21" w:history="1">
              <w:r w:rsidRPr="00DB0C4C">
                <w:rPr>
                  <w:rStyle w:val="Hyperlink"/>
                  <w:color w:val="0000FF"/>
                  <w:szCs w:val="24"/>
                </w:rPr>
                <w:t>mwise@mcdonaldhopkins.com</w:t>
              </w:r>
            </w:hyperlink>
          </w:p>
          <w:p w:rsidR="00B758B5" w:rsidRPr="00DB0C4C" w:rsidP="00265755" w14:paraId="34D9588F" w14:textId="77777777">
            <w:pPr>
              <w:pStyle w:val="CommentText"/>
              <w:rPr>
                <w:rStyle w:val="Hyperlink"/>
                <w:color w:val="0000FF"/>
                <w:sz w:val="24"/>
                <w:szCs w:val="24"/>
              </w:rPr>
            </w:pPr>
            <w:hyperlink r:id="rId22" w:history="1">
              <w:r w:rsidRPr="00DB0C4C">
                <w:rPr>
                  <w:rStyle w:val="Hyperlink"/>
                  <w:color w:val="0000FF"/>
                  <w:sz w:val="24"/>
                  <w:szCs w:val="24"/>
                </w:rPr>
                <w:t>mkurtz@BKLlawfirm.com</w:t>
              </w:r>
            </w:hyperlink>
          </w:p>
          <w:p w:rsidR="00B758B5" w:rsidRPr="00DB0C4C" w:rsidP="00265755" w14:paraId="11273D05" w14:textId="77777777">
            <w:pPr>
              <w:pStyle w:val="CommentText"/>
              <w:rPr>
                <w:rStyle w:val="Hyperlink"/>
                <w:color w:val="0000FF"/>
                <w:sz w:val="24"/>
                <w:szCs w:val="24"/>
              </w:rPr>
            </w:pPr>
            <w:hyperlink r:id="rId23" w:history="1">
              <w:r w:rsidRPr="00DB0C4C">
                <w:rPr>
                  <w:rStyle w:val="Hyperlink"/>
                  <w:color w:val="0000FF"/>
                  <w:sz w:val="24"/>
                  <w:szCs w:val="24"/>
                </w:rPr>
                <w:t>kboehm@BKLlawfirm.com</w:t>
              </w:r>
            </w:hyperlink>
          </w:p>
          <w:p w:rsidR="00B758B5" w:rsidRPr="00DB0C4C" w:rsidP="00265755" w14:paraId="295C9ED7" w14:textId="77777777">
            <w:pPr>
              <w:pStyle w:val="CommentText"/>
              <w:rPr>
                <w:rStyle w:val="Hyperlink"/>
                <w:color w:val="0000FF"/>
                <w:sz w:val="24"/>
                <w:szCs w:val="24"/>
              </w:rPr>
            </w:pPr>
            <w:hyperlink r:id="rId24" w:history="1">
              <w:r w:rsidRPr="00DB0C4C">
                <w:rPr>
                  <w:rStyle w:val="Hyperlink"/>
                  <w:color w:val="0000FF"/>
                  <w:sz w:val="24"/>
                  <w:szCs w:val="24"/>
                </w:rPr>
                <w:t>jkylercohn@BKLlawfirm.com</w:t>
              </w:r>
            </w:hyperlink>
          </w:p>
          <w:p w:rsidR="00B758B5" w:rsidRPr="00DB0C4C" w:rsidP="00265755" w14:paraId="61467685" w14:textId="77777777">
            <w:pPr>
              <w:pStyle w:val="CommentText"/>
              <w:rPr>
                <w:rStyle w:val="Hyperlink"/>
                <w:color w:val="0000FF"/>
                <w:sz w:val="24"/>
                <w:szCs w:val="24"/>
              </w:rPr>
            </w:pPr>
            <w:hyperlink r:id="rId25" w:history="1">
              <w:r w:rsidRPr="00DB0C4C">
                <w:rPr>
                  <w:rStyle w:val="Hyperlink"/>
                  <w:color w:val="0000FF"/>
                  <w:sz w:val="24"/>
                  <w:szCs w:val="24"/>
                </w:rPr>
                <w:t>talexander@beneschlaw.com</w:t>
              </w:r>
            </w:hyperlink>
          </w:p>
          <w:p w:rsidR="00B758B5" w:rsidRPr="00DB0C4C" w:rsidP="00BC2CEE" w14:paraId="450A87F6" w14:textId="7042F6B0">
            <w:pPr>
              <w:widowControl w:val="0"/>
              <w:rPr>
                <w:color w:val="0000FF"/>
                <w:szCs w:val="24"/>
                <w:u w:val="single"/>
              </w:rPr>
            </w:pPr>
            <w:r w:rsidRPr="00DB0C4C">
              <w:rPr>
                <w:rStyle w:val="Hyperlink"/>
                <w:color w:val="0000FF"/>
                <w:szCs w:val="24"/>
              </w:rPr>
              <w:t>khehmeyer@beneschlaw.com</w:t>
            </w:r>
          </w:p>
          <w:p w:rsidR="00B758B5" w:rsidRPr="00DB0C4C" w:rsidP="00265755" w14:paraId="400EAF79" w14:textId="77777777">
            <w:pPr>
              <w:widowControl w:val="0"/>
              <w:rPr>
                <w:color w:val="0000FF"/>
                <w:szCs w:val="24"/>
              </w:rPr>
            </w:pPr>
          </w:p>
          <w:p w:rsidR="00B758B5" w:rsidRPr="00DB0C4C" w:rsidP="00265755" w14:paraId="0E6E9D43" w14:textId="77777777">
            <w:pPr>
              <w:widowControl w:val="0"/>
              <w:suppressLineNumbers/>
              <w:ind w:left="-19"/>
              <w:rPr>
                <w:szCs w:val="24"/>
              </w:rPr>
            </w:pPr>
            <w:r w:rsidRPr="00DB0C4C">
              <w:rPr>
                <w:szCs w:val="24"/>
              </w:rPr>
              <w:t>Attorney Examiners:</w:t>
            </w:r>
          </w:p>
          <w:p w:rsidR="00B758B5" w:rsidRPr="00DB0C4C" w:rsidP="00265755" w14:paraId="4493C0D2" w14:textId="77777777">
            <w:pPr>
              <w:widowControl w:val="0"/>
              <w:suppressLineNumbers/>
              <w:ind w:left="-19"/>
              <w:rPr>
                <w:color w:val="0000FF"/>
                <w:szCs w:val="24"/>
                <w:u w:val="single"/>
              </w:rPr>
            </w:pPr>
            <w:hyperlink r:id="rId26" w:history="1">
              <w:r w:rsidRPr="00DB0C4C">
                <w:rPr>
                  <w:rStyle w:val="Hyperlink"/>
                  <w:color w:val="0000FF"/>
                  <w:szCs w:val="24"/>
                </w:rPr>
                <w:t>megan.addison@puco.ohio.gov</w:t>
              </w:r>
            </w:hyperlink>
          </w:p>
          <w:p w:rsidR="00B758B5" w:rsidRPr="00DB0C4C" w:rsidP="00265755" w14:paraId="73591BF1" w14:textId="77777777">
            <w:pPr>
              <w:widowControl w:val="0"/>
              <w:suppressLineNumbers/>
              <w:ind w:left="-19"/>
              <w:rPr>
                <w:bCs/>
                <w:color w:val="0000FF"/>
                <w:szCs w:val="24"/>
              </w:rPr>
            </w:pPr>
            <w:r w:rsidRPr="00DB0C4C">
              <w:rPr>
                <w:color w:val="0000FF"/>
                <w:szCs w:val="24"/>
                <w:u w:val="single"/>
              </w:rPr>
              <w:t>jacqueline.st.john@puco.ohio.gov</w:t>
            </w:r>
          </w:p>
        </w:tc>
        <w:tc>
          <w:tcPr>
            <w:tcW w:w="4383" w:type="dxa"/>
          </w:tcPr>
          <w:p w:rsidR="00B758B5" w:rsidRPr="00DB0C4C" w:rsidP="00265755" w14:paraId="3C91DCB8" w14:textId="77777777">
            <w:pPr>
              <w:widowControl w:val="0"/>
              <w:ind w:left="804"/>
              <w:rPr>
                <w:color w:val="0000FF"/>
                <w:szCs w:val="24"/>
              </w:rPr>
            </w:pPr>
            <w:hyperlink r:id="rId27" w:history="1">
              <w:r w:rsidRPr="00DB0C4C">
                <w:rPr>
                  <w:rStyle w:val="Hyperlink"/>
                  <w:color w:val="0000FF"/>
                  <w:szCs w:val="24"/>
                </w:rPr>
                <w:t>edanford@firstenergycorp.com</w:t>
              </w:r>
            </w:hyperlink>
          </w:p>
          <w:p w:rsidR="00B758B5" w:rsidRPr="00DB0C4C" w:rsidP="00265755" w14:paraId="42CD5589" w14:textId="77777777">
            <w:pPr>
              <w:widowControl w:val="0"/>
              <w:ind w:left="804"/>
              <w:rPr>
                <w:color w:val="0000FF"/>
                <w:szCs w:val="24"/>
              </w:rPr>
            </w:pPr>
            <w:hyperlink r:id="rId28" w:history="1">
              <w:r w:rsidRPr="00DB0C4C">
                <w:rPr>
                  <w:rStyle w:val="Hyperlink"/>
                  <w:color w:val="0000FF"/>
                  <w:szCs w:val="24"/>
                </w:rPr>
                <w:t>cwatchorn@firstenergycorp.com</w:t>
              </w:r>
            </w:hyperlink>
          </w:p>
          <w:p w:rsidR="00B758B5" w:rsidRPr="00DB0C4C" w:rsidP="00265755" w14:paraId="5A5748AD" w14:textId="77777777">
            <w:pPr>
              <w:widowControl w:val="0"/>
              <w:ind w:left="804"/>
              <w:rPr>
                <w:rFonts w:eastAsia="Calibri"/>
                <w:bCs/>
                <w:color w:val="0000FF"/>
                <w:szCs w:val="24"/>
              </w:rPr>
            </w:pPr>
            <w:hyperlink r:id="rId29" w:history="1">
              <w:r w:rsidRPr="00DB0C4C">
                <w:rPr>
                  <w:rStyle w:val="Hyperlink"/>
                  <w:rFonts w:eastAsia="Calibri"/>
                  <w:color w:val="0000FF"/>
                  <w:szCs w:val="24"/>
                </w:rPr>
                <w:t>bknipe@firstenergycorp.com</w:t>
              </w:r>
            </w:hyperlink>
          </w:p>
          <w:p w:rsidR="00B758B5" w:rsidRPr="00DB0C4C" w:rsidP="00265755" w14:paraId="618C01DE" w14:textId="77777777">
            <w:pPr>
              <w:widowControl w:val="0"/>
              <w:autoSpaceDE w:val="0"/>
              <w:autoSpaceDN w:val="0"/>
              <w:adjustRightInd w:val="0"/>
              <w:ind w:left="804"/>
              <w:rPr>
                <w:rFonts w:eastAsia="Calibri"/>
                <w:color w:val="0000FF"/>
                <w:szCs w:val="24"/>
              </w:rPr>
            </w:pPr>
            <w:hyperlink r:id="rId30" w:history="1">
              <w:r w:rsidRPr="00DB0C4C">
                <w:rPr>
                  <w:rFonts w:eastAsia="Calibri"/>
                  <w:color w:val="0000FF"/>
                  <w:szCs w:val="24"/>
                  <w:u w:val="single"/>
                </w:rPr>
                <w:t>mrgladman@jonesday.com</w:t>
              </w:r>
            </w:hyperlink>
          </w:p>
          <w:p w:rsidR="00B758B5" w:rsidRPr="00DB0C4C" w:rsidP="00265755" w14:paraId="53308680" w14:textId="77777777">
            <w:pPr>
              <w:widowControl w:val="0"/>
              <w:autoSpaceDE w:val="0"/>
              <w:autoSpaceDN w:val="0"/>
              <w:adjustRightInd w:val="0"/>
              <w:ind w:left="804"/>
              <w:rPr>
                <w:rFonts w:eastAsia="Calibri"/>
                <w:color w:val="0000FF"/>
                <w:szCs w:val="24"/>
              </w:rPr>
            </w:pPr>
            <w:hyperlink r:id="rId31" w:history="1">
              <w:r w:rsidRPr="00DB0C4C">
                <w:rPr>
                  <w:rFonts w:eastAsia="Calibri"/>
                  <w:color w:val="0000FF"/>
                  <w:szCs w:val="24"/>
                  <w:u w:val="single"/>
                </w:rPr>
                <w:t>mdengler@jonesday.com</w:t>
              </w:r>
            </w:hyperlink>
          </w:p>
          <w:p w:rsidR="00B758B5" w:rsidRPr="00DB0C4C" w:rsidP="00265755" w14:paraId="07A4C913" w14:textId="77777777">
            <w:pPr>
              <w:widowControl w:val="0"/>
              <w:ind w:left="804"/>
              <w:rPr>
                <w:rFonts w:eastAsia="Calibri"/>
                <w:color w:val="0000FF"/>
                <w:szCs w:val="24"/>
                <w:u w:val="single"/>
              </w:rPr>
            </w:pPr>
            <w:hyperlink r:id="rId32" w:history="1">
              <w:r w:rsidRPr="00DB0C4C">
                <w:rPr>
                  <w:rFonts w:eastAsia="Calibri"/>
                  <w:color w:val="0000FF"/>
                  <w:szCs w:val="24"/>
                  <w:u w:val="single"/>
                </w:rPr>
                <w:t>radoringo@jonesday.com</w:t>
              </w:r>
            </w:hyperlink>
          </w:p>
          <w:p w:rsidR="00B758B5" w:rsidRPr="00DB0C4C" w:rsidP="00265755" w14:paraId="57C298F2" w14:textId="77777777">
            <w:pPr>
              <w:widowControl w:val="0"/>
              <w:ind w:left="804"/>
              <w:rPr>
                <w:rFonts w:eastAsia="Calibri"/>
                <w:color w:val="0000FF"/>
                <w:szCs w:val="24"/>
              </w:rPr>
            </w:pPr>
            <w:hyperlink r:id="rId33" w:history="1">
              <w:r w:rsidRPr="00DB0C4C">
                <w:rPr>
                  <w:rStyle w:val="Hyperlink"/>
                  <w:rFonts w:eastAsia="Calibri"/>
                  <w:color w:val="0000FF"/>
                  <w:szCs w:val="24"/>
                </w:rPr>
                <w:t>marcie.lape@skadden.com</w:t>
              </w:r>
            </w:hyperlink>
          </w:p>
          <w:p w:rsidR="00B758B5" w:rsidRPr="00DB0C4C" w:rsidP="00265755" w14:paraId="5F725AD9" w14:textId="77777777">
            <w:pPr>
              <w:widowControl w:val="0"/>
              <w:autoSpaceDE w:val="0"/>
              <w:autoSpaceDN w:val="0"/>
              <w:adjustRightInd w:val="0"/>
              <w:ind w:left="804"/>
              <w:rPr>
                <w:rFonts w:eastAsia="Calibri"/>
                <w:color w:val="0000FF"/>
                <w:szCs w:val="24"/>
                <w:u w:val="single"/>
              </w:rPr>
            </w:pPr>
            <w:hyperlink r:id="rId34" w:history="1">
              <w:r w:rsidRPr="00DB0C4C">
                <w:rPr>
                  <w:rFonts w:eastAsia="Calibri"/>
                  <w:color w:val="0000FF"/>
                  <w:szCs w:val="24"/>
                  <w:u w:val="single"/>
                </w:rPr>
                <w:t>iavalon@taftlaw.com</w:t>
              </w:r>
            </w:hyperlink>
          </w:p>
          <w:p w:rsidR="00B758B5" w:rsidRPr="00DB0C4C" w:rsidP="00265755" w14:paraId="411415FE" w14:textId="77777777">
            <w:pPr>
              <w:widowControl w:val="0"/>
              <w:autoSpaceDE w:val="0"/>
              <w:autoSpaceDN w:val="0"/>
              <w:adjustRightInd w:val="0"/>
              <w:ind w:left="804"/>
              <w:rPr>
                <w:rFonts w:eastAsia="Calibri"/>
                <w:color w:val="0000FF"/>
                <w:szCs w:val="24"/>
                <w:u w:val="single"/>
              </w:rPr>
            </w:pPr>
            <w:r w:rsidRPr="00DB0C4C">
              <w:rPr>
                <w:rFonts w:eastAsia="Calibri"/>
                <w:color w:val="0000FF"/>
                <w:szCs w:val="24"/>
                <w:u w:val="single"/>
              </w:rPr>
              <w:t>kverhalen@taftlaw.com</w:t>
            </w:r>
          </w:p>
          <w:p w:rsidR="00B758B5" w:rsidRPr="00DB0C4C" w:rsidP="00265755" w14:paraId="3A9C7EFA" w14:textId="77777777">
            <w:pPr>
              <w:widowControl w:val="0"/>
              <w:autoSpaceDE w:val="0"/>
              <w:autoSpaceDN w:val="0"/>
              <w:adjustRightInd w:val="0"/>
              <w:ind w:left="804"/>
              <w:rPr>
                <w:rFonts w:eastAsia="Calibri"/>
                <w:color w:val="0000FF"/>
                <w:szCs w:val="24"/>
              </w:rPr>
            </w:pPr>
            <w:hyperlink r:id="rId35" w:history="1">
              <w:r w:rsidRPr="00DB0C4C">
                <w:rPr>
                  <w:rFonts w:eastAsia="Calibri"/>
                  <w:color w:val="0000FF"/>
                  <w:szCs w:val="24"/>
                  <w:u w:val="single"/>
                </w:rPr>
                <w:t>mpritchard@mcneeslaw.com</w:t>
              </w:r>
            </w:hyperlink>
          </w:p>
          <w:p w:rsidR="00B758B5" w:rsidRPr="00DB0C4C" w:rsidP="00265755" w14:paraId="20BFFE29" w14:textId="77777777">
            <w:pPr>
              <w:widowControl w:val="0"/>
              <w:autoSpaceDE w:val="0"/>
              <w:autoSpaceDN w:val="0"/>
              <w:adjustRightInd w:val="0"/>
              <w:ind w:left="804"/>
              <w:rPr>
                <w:rFonts w:eastAsia="Calibri"/>
                <w:color w:val="0000FF"/>
                <w:szCs w:val="24"/>
                <w:u w:val="single"/>
              </w:rPr>
            </w:pPr>
            <w:hyperlink r:id="rId36" w:history="1">
              <w:r w:rsidRPr="00DB0C4C">
                <w:rPr>
                  <w:rFonts w:eastAsia="Calibri"/>
                  <w:color w:val="0000FF"/>
                  <w:szCs w:val="24"/>
                  <w:u w:val="single"/>
                </w:rPr>
                <w:t>rdove@keglerbrown.com</w:t>
              </w:r>
            </w:hyperlink>
          </w:p>
          <w:p w:rsidR="00B758B5" w:rsidRPr="00DB0C4C" w:rsidP="00265755" w14:paraId="00862D5C" w14:textId="77777777">
            <w:pPr>
              <w:widowControl w:val="0"/>
              <w:autoSpaceDE w:val="0"/>
              <w:autoSpaceDN w:val="0"/>
              <w:adjustRightInd w:val="0"/>
              <w:ind w:left="804"/>
              <w:rPr>
                <w:rFonts w:eastAsia="Calibri"/>
                <w:color w:val="0000FF"/>
                <w:szCs w:val="24"/>
                <w:u w:val="single"/>
              </w:rPr>
            </w:pPr>
            <w:hyperlink r:id="rId37" w:history="1">
              <w:r w:rsidRPr="00DB0C4C">
                <w:rPr>
                  <w:rFonts w:eastAsia="Calibri"/>
                  <w:color w:val="0000FF"/>
                  <w:szCs w:val="24"/>
                  <w:u w:val="single"/>
                </w:rPr>
                <w:t>bojko@carpenterlipps.com</w:t>
              </w:r>
            </w:hyperlink>
          </w:p>
          <w:p w:rsidR="00B758B5" w:rsidRPr="00DB0C4C" w:rsidP="00265755" w14:paraId="3686DA52" w14:textId="77777777">
            <w:pPr>
              <w:widowControl w:val="0"/>
              <w:autoSpaceDE w:val="0"/>
              <w:autoSpaceDN w:val="0"/>
              <w:adjustRightInd w:val="0"/>
              <w:ind w:left="804"/>
              <w:rPr>
                <w:rFonts w:eastAsia="Calibri"/>
                <w:color w:val="0000FF"/>
                <w:szCs w:val="24"/>
              </w:rPr>
            </w:pPr>
            <w:hyperlink r:id="rId38" w:history="1">
              <w:r w:rsidRPr="00DB0C4C">
                <w:rPr>
                  <w:rFonts w:eastAsia="Calibri"/>
                  <w:color w:val="0000FF"/>
                  <w:szCs w:val="24"/>
                  <w:u w:val="single"/>
                </w:rPr>
                <w:t>tdougherty@theOEC.org</w:t>
              </w:r>
            </w:hyperlink>
          </w:p>
          <w:p w:rsidR="00B758B5" w:rsidRPr="00DB0C4C" w:rsidP="00265755" w14:paraId="6E724298" w14:textId="77777777">
            <w:pPr>
              <w:widowControl w:val="0"/>
              <w:autoSpaceDE w:val="0"/>
              <w:autoSpaceDN w:val="0"/>
              <w:adjustRightInd w:val="0"/>
              <w:ind w:left="804"/>
              <w:rPr>
                <w:rFonts w:eastAsia="Calibri"/>
                <w:color w:val="0000FF"/>
                <w:szCs w:val="24"/>
                <w:u w:val="single"/>
              </w:rPr>
            </w:pPr>
            <w:hyperlink r:id="rId39" w:history="1">
              <w:r w:rsidRPr="00DB0C4C">
                <w:rPr>
                  <w:rFonts w:eastAsia="Calibri"/>
                  <w:color w:val="0000FF"/>
                  <w:szCs w:val="24"/>
                  <w:u w:val="single"/>
                </w:rPr>
                <w:t>ctavenor@theOEC.org</w:t>
              </w:r>
            </w:hyperlink>
          </w:p>
          <w:p w:rsidR="00B758B5" w:rsidRPr="00DB0C4C" w:rsidP="00265755" w14:paraId="3071BF79" w14:textId="77777777">
            <w:pPr>
              <w:widowControl w:val="0"/>
              <w:autoSpaceDE w:val="0"/>
              <w:autoSpaceDN w:val="0"/>
              <w:adjustRightInd w:val="0"/>
              <w:ind w:left="804"/>
              <w:rPr>
                <w:rStyle w:val="Hyperlink"/>
                <w:rFonts w:eastAsia="Calibri"/>
                <w:color w:val="0000FF"/>
                <w:szCs w:val="24"/>
              </w:rPr>
            </w:pPr>
            <w:hyperlink r:id="rId40" w:history="1">
              <w:r w:rsidRPr="00DB0C4C">
                <w:rPr>
                  <w:rStyle w:val="Hyperlink"/>
                  <w:rFonts w:eastAsia="Calibri"/>
                  <w:color w:val="0000FF"/>
                  <w:szCs w:val="24"/>
                </w:rPr>
                <w:t>jweber@elpc.org</w:t>
              </w:r>
            </w:hyperlink>
          </w:p>
          <w:p w:rsidR="00B758B5" w:rsidRPr="00DB0C4C" w:rsidP="00265755" w14:paraId="16CB6159" w14:textId="77777777">
            <w:pPr>
              <w:widowControl w:val="0"/>
              <w:ind w:left="804"/>
              <w:rPr>
                <w:color w:val="0000FF"/>
                <w:szCs w:val="24"/>
                <w:u w:val="single"/>
              </w:rPr>
            </w:pPr>
            <w:r w:rsidRPr="00DB0C4C">
              <w:rPr>
                <w:color w:val="0000FF"/>
                <w:szCs w:val="24"/>
                <w:u w:val="single"/>
              </w:rPr>
              <w:t>trhayslaw@gmail.com</w:t>
            </w:r>
          </w:p>
          <w:p w:rsidR="00B758B5" w:rsidRPr="00DB0C4C" w:rsidP="00265755" w14:paraId="13624563" w14:textId="77777777">
            <w:pPr>
              <w:widowControl w:val="0"/>
              <w:ind w:left="804"/>
              <w:rPr>
                <w:color w:val="0000FF"/>
                <w:szCs w:val="24"/>
                <w:u w:val="single"/>
              </w:rPr>
            </w:pPr>
            <w:r w:rsidRPr="00DB0C4C">
              <w:rPr>
                <w:color w:val="0000FF"/>
                <w:szCs w:val="24"/>
                <w:u w:val="single"/>
              </w:rPr>
              <w:t>leslie.kovacik@toledo.oh.gov</w:t>
            </w:r>
          </w:p>
          <w:p w:rsidR="00B758B5" w:rsidRPr="00DB0C4C" w:rsidP="00265755" w14:paraId="3C0CA754" w14:textId="77777777">
            <w:pPr>
              <w:ind w:left="804"/>
              <w:rPr>
                <w:color w:val="0000FF"/>
                <w:szCs w:val="24"/>
              </w:rPr>
            </w:pPr>
            <w:hyperlink r:id="rId41" w:history="1">
              <w:r w:rsidRPr="00DB0C4C">
                <w:rPr>
                  <w:rStyle w:val="Hyperlink"/>
                  <w:color w:val="0000FF"/>
                  <w:szCs w:val="24"/>
                </w:rPr>
                <w:t>sgoyal@jonesday.com</w:t>
              </w:r>
            </w:hyperlink>
          </w:p>
          <w:p w:rsidR="00B758B5" w:rsidRPr="00DB0C4C" w:rsidP="00265755" w14:paraId="4C7C1C7A" w14:textId="77777777">
            <w:pPr>
              <w:pStyle w:val="CommentText"/>
              <w:ind w:left="804"/>
              <w:rPr>
                <w:color w:val="0000FF"/>
                <w:sz w:val="24"/>
                <w:szCs w:val="24"/>
              </w:rPr>
            </w:pPr>
            <w:hyperlink r:id="rId42" w:history="1">
              <w:r w:rsidRPr="00DB0C4C">
                <w:rPr>
                  <w:rStyle w:val="Hyperlink"/>
                  <w:color w:val="0000FF"/>
                  <w:sz w:val="24"/>
                  <w:szCs w:val="24"/>
                </w:rPr>
                <w:t>calee@jonesday.com</w:t>
              </w:r>
            </w:hyperlink>
          </w:p>
          <w:p w:rsidR="00B758B5" w:rsidRPr="00DB0C4C" w:rsidP="00265755" w14:paraId="505D61CA" w14:textId="77777777">
            <w:pPr>
              <w:widowControl w:val="0"/>
              <w:ind w:left="777"/>
              <w:rPr>
                <w:color w:val="0000FF"/>
                <w:szCs w:val="24"/>
                <w:u w:val="single"/>
              </w:rPr>
            </w:pPr>
            <w:r w:rsidRPr="00DB0C4C">
              <w:rPr>
                <w:color w:val="0000FF"/>
                <w:szCs w:val="24"/>
                <w:u w:val="single"/>
              </w:rPr>
              <w:t>glpetrucci@vorys.com</w:t>
            </w:r>
          </w:p>
          <w:p w:rsidR="00B758B5" w:rsidRPr="00DB0C4C" w:rsidP="00265755" w14:paraId="297D6AAF" w14:textId="77777777">
            <w:pPr>
              <w:widowControl w:val="0"/>
              <w:ind w:left="777"/>
              <w:rPr>
                <w:color w:val="0000FF"/>
                <w:szCs w:val="24"/>
                <w:u w:val="single"/>
              </w:rPr>
            </w:pPr>
            <w:r w:rsidRPr="00DB0C4C">
              <w:rPr>
                <w:color w:val="0000FF"/>
                <w:szCs w:val="24"/>
                <w:u w:val="single"/>
              </w:rPr>
              <w:t>dparram@bricker.com</w:t>
            </w:r>
          </w:p>
          <w:p w:rsidR="00B758B5" w:rsidRPr="00DB0C4C" w:rsidP="00265755" w14:paraId="4B728F6B" w14:textId="77777777">
            <w:pPr>
              <w:widowControl w:val="0"/>
              <w:ind w:left="777"/>
              <w:rPr>
                <w:color w:val="0000FF"/>
                <w:szCs w:val="24"/>
                <w:u w:val="single"/>
              </w:rPr>
            </w:pPr>
            <w:r w:rsidRPr="00DB0C4C">
              <w:rPr>
                <w:color w:val="0000FF"/>
                <w:szCs w:val="24"/>
                <w:u w:val="single"/>
              </w:rPr>
              <w:t>rmains@bricker.com</w:t>
            </w:r>
          </w:p>
          <w:p w:rsidR="00B758B5" w:rsidRPr="00DB0C4C" w:rsidP="00265755" w14:paraId="04F4DF88" w14:textId="77777777">
            <w:pPr>
              <w:pStyle w:val="CommentText"/>
              <w:ind w:left="804"/>
              <w:rPr>
                <w:color w:val="0000FF"/>
                <w:sz w:val="24"/>
                <w:szCs w:val="24"/>
                <w:u w:val="single"/>
              </w:rPr>
            </w:pPr>
          </w:p>
        </w:tc>
      </w:tr>
      <w:bookmarkEnd w:id="8"/>
    </w:tbl>
    <w:p w:rsidR="009B34A2" w:rsidRPr="00DB0C4C" w:rsidP="005D2D59" w14:paraId="6F828E2C" w14:textId="77777777">
      <w:pPr>
        <w:pStyle w:val="CommentText"/>
        <w:rPr>
          <w:sz w:val="24"/>
          <w:szCs w:val="24"/>
          <w:u w:val="single"/>
        </w:rPr>
      </w:pPr>
    </w:p>
    <w:sectPr w:rsidSect="00CE3BD8">
      <w:footerReference w:type="default" r:id="rId4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6651768"/>
      <w:docPartObj>
        <w:docPartGallery w:val="Page Numbers (Bottom of Page)"/>
        <w:docPartUnique/>
      </w:docPartObj>
    </w:sdtPr>
    <w:sdtEndPr>
      <w:rPr>
        <w:noProof/>
      </w:rPr>
    </w:sdtEndPr>
    <w:sdtContent>
      <w:p w:rsidR="00867805" w14:paraId="362BA07F" w14:textId="335E3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4032432"/>
      <w:docPartObj>
        <w:docPartGallery w:val="Page Numbers (Bottom of Page)"/>
        <w:docPartUnique/>
      </w:docPartObj>
    </w:sdtPr>
    <w:sdtEndPr>
      <w:rPr>
        <w:noProof/>
      </w:rPr>
    </w:sdtEndPr>
    <w:sdtContent>
      <w:p w:rsidR="00CE3BD8" w14:paraId="60EBA80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61B4" w:rsidP="00F219D1" w14:paraId="04C30952" w14:textId="77777777">
      <w:r>
        <w:separator/>
      </w:r>
    </w:p>
  </w:footnote>
  <w:footnote w:type="continuationSeparator" w:id="1">
    <w:p w:rsidR="001461B4" w:rsidP="00F219D1" w14:paraId="1C06EACA" w14:textId="77777777">
      <w:r>
        <w:continuationSeparator/>
      </w:r>
    </w:p>
  </w:footnote>
  <w:footnote w:type="continuationNotice" w:id="2">
    <w:p w:rsidR="001461B4" w14:paraId="0EF74282" w14:textId="77777777"/>
  </w:footnote>
  <w:footnote w:id="3">
    <w:p w:rsidR="00463A4A" w:rsidRPr="00216538" w:rsidP="00ED5CF3" w14:paraId="7A00B4E9"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Protecting the unprotected</w:t>
      </w:r>
      <w:r w:rsidRPr="00216538">
        <w:rPr>
          <w:b w:val="0"/>
          <w:bCs/>
        </w:rPr>
        <w:t>, Ohio Sunshine laws at i (2022).</w:t>
      </w:r>
    </w:p>
  </w:footnote>
  <w:footnote w:id="4">
    <w:p w:rsidR="00463A4A" w:rsidRPr="00216538" w:rsidP="00ED5CF3" w14:paraId="6F8C5F4A" w14:textId="29451699">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United States of America v. FirstEnergy Corp</w:t>
      </w:r>
      <w:r w:rsidRPr="00216538">
        <w:rPr>
          <w:b w:val="0"/>
          <w:bCs/>
        </w:rPr>
        <w:t>., Case No. 1:21-cr-86, Deferred Prosecution Agreement at 14 (Jul. 22, 2021).</w:t>
      </w:r>
    </w:p>
  </w:footnote>
  <w:footnote w:id="5">
    <w:p w:rsidR="00D13E50" w:rsidRPr="00216538" w:rsidP="00ED5CF3" w14:paraId="0A7627B9" w14:textId="17A5BCBD">
      <w:pPr>
        <w:pStyle w:val="FootnoteText"/>
        <w:spacing w:after="120"/>
        <w:rPr>
          <w:b w:val="0"/>
          <w:bCs/>
        </w:rPr>
      </w:pPr>
      <w:r w:rsidRPr="00216538">
        <w:rPr>
          <w:rStyle w:val="FootnoteReference"/>
          <w:b w:val="0"/>
          <w:bCs/>
        </w:rPr>
        <w:footnoteRef/>
      </w:r>
      <w:r w:rsidRPr="00216538">
        <w:rPr>
          <w:b w:val="0"/>
          <w:bCs/>
        </w:rPr>
        <w:t xml:space="preserve"> FirstEnergy</w:t>
      </w:r>
      <w:r w:rsidR="00BF0993">
        <w:rPr>
          <w:b w:val="0"/>
          <w:bCs/>
        </w:rPr>
        <w:t xml:space="preserve"> Utilities</w:t>
      </w:r>
      <w:r w:rsidRPr="00216538">
        <w:rPr>
          <w:b w:val="0"/>
          <w:bCs/>
        </w:rPr>
        <w:t>’ Motion (May 9, 2022) at 2-4.</w:t>
      </w:r>
    </w:p>
  </w:footnote>
  <w:footnote w:id="6">
    <w:p w:rsidR="00D13E50" w:rsidRPr="00216538" w:rsidP="00ED5CF3" w14:paraId="5F328CE1" w14:textId="49CC3E94">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Id. </w:t>
      </w:r>
      <w:r w:rsidRPr="00216538">
        <w:rPr>
          <w:b w:val="0"/>
          <w:bCs/>
        </w:rPr>
        <w:t>at 4-6.</w:t>
      </w:r>
    </w:p>
  </w:footnote>
  <w:footnote w:id="7">
    <w:p w:rsidR="00686350" w:rsidRPr="00216538" w:rsidP="00ED5CF3" w14:paraId="0CAFA68E" w14:textId="77777777">
      <w:pPr>
        <w:pStyle w:val="FootnoteText"/>
        <w:spacing w:after="120"/>
        <w:rPr>
          <w:b w:val="0"/>
          <w:bCs/>
        </w:rPr>
      </w:pPr>
      <w:r w:rsidRPr="00216538">
        <w:rPr>
          <w:rStyle w:val="FootnoteReference"/>
          <w:b w:val="0"/>
          <w:bCs/>
        </w:rPr>
        <w:footnoteRef/>
      </w:r>
      <w:r w:rsidRPr="00216538">
        <w:rPr>
          <w:b w:val="0"/>
          <w:bCs/>
        </w:rPr>
        <w:t xml:space="preserve"> O.A.C. 4901-1-24(B). </w:t>
      </w:r>
    </w:p>
  </w:footnote>
  <w:footnote w:id="8">
    <w:p w:rsidR="00686350" w:rsidRPr="00216538" w:rsidP="00ED5CF3" w14:paraId="499542D8" w14:textId="4C2EE873">
      <w:pPr>
        <w:pStyle w:val="FootnoteText"/>
        <w:spacing w:after="120"/>
        <w:rPr>
          <w:b w:val="0"/>
          <w:bCs/>
        </w:rPr>
      </w:pPr>
      <w:r w:rsidRPr="00216538">
        <w:rPr>
          <w:rStyle w:val="FootnoteReference"/>
          <w:b w:val="0"/>
          <w:bCs/>
        </w:rPr>
        <w:footnoteRef/>
      </w:r>
      <w:r w:rsidRPr="00216538" w:rsidR="00C745A9">
        <w:rPr>
          <w:b w:val="0"/>
          <w:bCs/>
        </w:rPr>
        <w:t xml:space="preserve"> </w:t>
      </w:r>
      <w:r w:rsidRPr="00216538">
        <w:rPr>
          <w:b w:val="0"/>
          <w:bCs/>
        </w:rPr>
        <w:t>O.A.C. 4901-1-24(B)(3).</w:t>
      </w:r>
      <w:r w:rsidRPr="00216538" w:rsidR="00221B24">
        <w:rPr>
          <w:b w:val="0"/>
          <w:bCs/>
        </w:rPr>
        <w:t xml:space="preserve"> </w:t>
      </w:r>
    </w:p>
  </w:footnote>
  <w:footnote w:id="9">
    <w:p w:rsidR="006B032B" w:rsidRPr="00216538" w:rsidP="00ED5CF3" w14:paraId="598FA389" w14:textId="71B0787E">
      <w:pPr>
        <w:pStyle w:val="FootnoteText"/>
        <w:spacing w:after="120"/>
        <w:rPr>
          <w:b w:val="0"/>
          <w:bCs/>
        </w:rPr>
      </w:pPr>
      <w:r w:rsidRPr="00216538">
        <w:rPr>
          <w:rStyle w:val="FootnoteReference"/>
          <w:b w:val="0"/>
          <w:bCs/>
        </w:rPr>
        <w:footnoteRef/>
      </w:r>
      <w:r w:rsidRPr="00216538">
        <w:rPr>
          <w:b w:val="0"/>
          <w:bCs/>
        </w:rPr>
        <w:t xml:space="preserve"> FirstEnergy</w:t>
      </w:r>
      <w:r w:rsidR="007A5BA5">
        <w:rPr>
          <w:b w:val="0"/>
          <w:bCs/>
        </w:rPr>
        <w:t xml:space="preserve"> Utilities’</w:t>
      </w:r>
      <w:r w:rsidRPr="00216538">
        <w:rPr>
          <w:b w:val="0"/>
          <w:bCs/>
        </w:rPr>
        <w:t xml:space="preserve"> Motion at 1.</w:t>
      </w:r>
    </w:p>
  </w:footnote>
  <w:footnote w:id="10">
    <w:p w:rsidR="00310CCD" w:rsidRPr="00216538" w:rsidP="00ED5CF3" w14:paraId="0E9C1931" w14:textId="2ADF6BB9">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Id. </w:t>
      </w:r>
      <w:r w:rsidRPr="00216538">
        <w:rPr>
          <w:b w:val="0"/>
          <w:bCs/>
        </w:rPr>
        <w:t>at 2-4.</w:t>
      </w:r>
    </w:p>
  </w:footnote>
  <w:footnote w:id="11">
    <w:p w:rsidR="00310CCD" w:rsidRPr="00216538" w:rsidP="00ED5CF3" w14:paraId="3FDE9A7C" w14:textId="4B2ECD4E">
      <w:pPr>
        <w:pStyle w:val="FootnoteText"/>
        <w:spacing w:after="120"/>
        <w:rPr>
          <w:b w:val="0"/>
          <w:bCs/>
        </w:rPr>
      </w:pPr>
      <w:r w:rsidRPr="00216538">
        <w:rPr>
          <w:rStyle w:val="FootnoteReference"/>
          <w:b w:val="0"/>
          <w:bCs/>
        </w:rPr>
        <w:footnoteRef/>
      </w:r>
      <w:r w:rsidRPr="00216538">
        <w:rPr>
          <w:b w:val="0"/>
          <w:bCs/>
        </w:rPr>
        <w:t xml:space="preserve"> </w:t>
      </w:r>
      <w:r w:rsidRPr="00216538" w:rsidR="00F11D00">
        <w:rPr>
          <w:b w:val="0"/>
          <w:bCs/>
        </w:rPr>
        <w:t>Case No. 17-974-EL-UNC, Entry, at ¶ 18(a) (Sept. 17, 2021) (“The deadline for the service of discovery, except for notices of deposition, shall be set for November 1, 2021.”); Case No. 17-974-EL-UNC, Entry, at ¶ 24(a) (Oct. 12, 2021) (extending discovery cut-off to Nov. 24, 2021).</w:t>
      </w:r>
    </w:p>
  </w:footnote>
  <w:footnote w:id="12">
    <w:p w:rsidR="00F11D00" w:rsidRPr="00216538" w:rsidP="00ED5CF3" w14:paraId="08C683FB" w14:textId="718AA28F">
      <w:pPr>
        <w:pStyle w:val="FootnoteText"/>
        <w:spacing w:after="120"/>
        <w:rPr>
          <w:b w:val="0"/>
          <w:bCs/>
        </w:rPr>
      </w:pPr>
      <w:r w:rsidRPr="00216538">
        <w:rPr>
          <w:rStyle w:val="FootnoteReference"/>
          <w:b w:val="0"/>
          <w:bCs/>
        </w:rPr>
        <w:footnoteRef/>
      </w:r>
      <w:r w:rsidRPr="00216538">
        <w:rPr>
          <w:b w:val="0"/>
          <w:bCs/>
        </w:rPr>
        <w:t xml:space="preserve"> Case No. 17-974-EL-UNC, Entry, at ¶ 18(a) (Sept. 17, 2021).</w:t>
      </w:r>
    </w:p>
  </w:footnote>
  <w:footnote w:id="13">
    <w:p w:rsidR="00F63E70" w:rsidRPr="00216538" w:rsidP="00ED5CF3" w14:paraId="461D6DB9" w14:textId="137C0571">
      <w:pPr>
        <w:pStyle w:val="FootnoteText"/>
        <w:spacing w:after="120"/>
        <w:rPr>
          <w:b w:val="0"/>
          <w:bCs/>
        </w:rPr>
      </w:pPr>
      <w:r w:rsidRPr="00216538">
        <w:rPr>
          <w:rStyle w:val="FootnoteReference"/>
          <w:b w:val="0"/>
          <w:bCs/>
        </w:rPr>
        <w:footnoteRef/>
      </w:r>
      <w:r w:rsidRPr="00216538">
        <w:rPr>
          <w:b w:val="0"/>
          <w:bCs/>
        </w:rPr>
        <w:t xml:space="preserve"> FirstEnergy</w:t>
      </w:r>
      <w:r w:rsidR="007A5BA5">
        <w:rPr>
          <w:b w:val="0"/>
          <w:bCs/>
        </w:rPr>
        <w:t xml:space="preserve"> Utilities’</w:t>
      </w:r>
      <w:r w:rsidRPr="00216538">
        <w:rPr>
          <w:b w:val="0"/>
          <w:bCs/>
        </w:rPr>
        <w:t xml:space="preserve"> Motion at 4-6.</w:t>
      </w:r>
    </w:p>
  </w:footnote>
  <w:footnote w:id="14">
    <w:p w:rsidR="00293269" w:rsidRPr="00216538" w:rsidP="00ED5CF3" w14:paraId="28DEC033" w14:textId="16B0C0C5">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Id. </w:t>
      </w:r>
      <w:r w:rsidRPr="00216538">
        <w:rPr>
          <w:b w:val="0"/>
          <w:bCs/>
        </w:rPr>
        <w:t>at 5.</w:t>
      </w:r>
    </w:p>
  </w:footnote>
  <w:footnote w:id="15">
    <w:p w:rsidR="00293269" w:rsidRPr="00216538" w:rsidP="00ED5CF3" w14:paraId="27BA927D" w14:textId="6FD733BF">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Id. </w:t>
      </w:r>
      <w:r w:rsidRPr="00216538">
        <w:rPr>
          <w:b w:val="0"/>
          <w:bCs/>
        </w:rPr>
        <w:t>at 6.</w:t>
      </w:r>
    </w:p>
  </w:footnote>
  <w:footnote w:id="16">
    <w:p w:rsidR="00293269" w:rsidRPr="00216538" w:rsidP="00ED5CF3" w14:paraId="28D41DDC" w14:textId="0B9CB68D">
      <w:pPr>
        <w:pStyle w:val="FootnoteText"/>
        <w:spacing w:after="120"/>
        <w:rPr>
          <w:b w:val="0"/>
          <w:bCs/>
          <w:i/>
          <w:iCs/>
        </w:rPr>
      </w:pPr>
      <w:r w:rsidRPr="00216538">
        <w:rPr>
          <w:rStyle w:val="FootnoteReference"/>
          <w:b w:val="0"/>
          <w:bCs/>
        </w:rPr>
        <w:footnoteRef/>
      </w:r>
      <w:r w:rsidRPr="00216538">
        <w:rPr>
          <w:b w:val="0"/>
          <w:bCs/>
        </w:rPr>
        <w:t xml:space="preserve"> </w:t>
      </w:r>
      <w:r w:rsidRPr="00216538">
        <w:rPr>
          <w:b w:val="0"/>
          <w:bCs/>
          <w:i/>
          <w:iCs/>
        </w:rPr>
        <w:t>Id.</w:t>
      </w:r>
    </w:p>
  </w:footnote>
  <w:footnote w:id="17">
    <w:p w:rsidR="007D1968" w:rsidRPr="00216538" w:rsidP="00ED5CF3" w14:paraId="7F6E687A" w14:textId="77777777">
      <w:pPr>
        <w:pStyle w:val="FootnoteText"/>
        <w:spacing w:after="120"/>
        <w:rPr>
          <w:b w:val="0"/>
          <w:bCs/>
        </w:rPr>
      </w:pPr>
      <w:r w:rsidRPr="00216538">
        <w:rPr>
          <w:rStyle w:val="FootnoteReference"/>
          <w:b w:val="0"/>
          <w:bCs/>
        </w:rPr>
        <w:footnoteRef/>
      </w:r>
      <w:r w:rsidRPr="00216538">
        <w:rPr>
          <w:b w:val="0"/>
          <w:bCs/>
        </w:rPr>
        <w:t xml:space="preserve"> R.C. 4928.17.</w:t>
      </w:r>
    </w:p>
  </w:footnote>
  <w:footnote w:id="18">
    <w:p w:rsidR="007D1968" w:rsidRPr="00216538" w:rsidP="00ED5CF3" w14:paraId="49AB0BCD" w14:textId="77777777">
      <w:pPr>
        <w:pStyle w:val="FootnoteText"/>
        <w:spacing w:after="120"/>
        <w:rPr>
          <w:b w:val="0"/>
          <w:bCs/>
        </w:rPr>
      </w:pPr>
      <w:r w:rsidRPr="00216538">
        <w:rPr>
          <w:rStyle w:val="FootnoteReference"/>
          <w:b w:val="0"/>
          <w:bCs/>
        </w:rPr>
        <w:footnoteRef/>
      </w:r>
      <w:r w:rsidRPr="00216538">
        <w:rPr>
          <w:b w:val="0"/>
          <w:bCs/>
        </w:rPr>
        <w:t xml:space="preserve"> Daymark Audit at 28 (Sept. 13, 2021). </w:t>
      </w:r>
    </w:p>
  </w:footnote>
  <w:footnote w:id="19">
    <w:p w:rsidR="007D1968" w:rsidRPr="00216538" w:rsidP="00ED5CF3" w14:paraId="41F09E80"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Id</w:t>
      </w:r>
      <w:r w:rsidRPr="00216538">
        <w:rPr>
          <w:b w:val="0"/>
          <w:bCs/>
        </w:rPr>
        <w:t xml:space="preserve">. at 29. </w:t>
      </w:r>
    </w:p>
  </w:footnote>
  <w:footnote w:id="20">
    <w:p w:rsidR="007D1968" w:rsidRPr="00216538" w:rsidP="00ED5CF3" w14:paraId="46FD64F9"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szCs w:val="24"/>
        </w:rPr>
        <w:t xml:space="preserve">(Docket No. FA19-1-000). </w:t>
      </w:r>
    </w:p>
  </w:footnote>
  <w:footnote w:id="21">
    <w:p w:rsidR="007D1968" w:rsidRPr="00216538" w:rsidP="00ED5CF3" w14:paraId="02178172"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See</w:t>
      </w:r>
      <w:r w:rsidRPr="00216538">
        <w:rPr>
          <w:b w:val="0"/>
          <w:bCs/>
        </w:rPr>
        <w:t xml:space="preserve"> link to FERC Audit: </w:t>
      </w:r>
      <w:hyperlink r:id="rId1" w:history="1">
        <w:r w:rsidRPr="00216538">
          <w:rPr>
            <w:rStyle w:val="Hyperlink"/>
            <w:b w:val="0"/>
            <w:bCs/>
          </w:rPr>
          <w:t>https://elibrary.ferc.gov/eLibrary/filedownload?fileid=9DDE513A-470F-CAC6-97AD-7EC4D2800000</w:t>
        </w:r>
      </w:hyperlink>
      <w:r w:rsidRPr="00216538">
        <w:rPr>
          <w:b w:val="0"/>
          <w:bCs/>
        </w:rPr>
        <w:t>.</w:t>
      </w:r>
    </w:p>
  </w:footnote>
  <w:footnote w:id="22">
    <w:p w:rsidR="007D1968" w:rsidRPr="00216538" w:rsidP="00ED5CF3" w14:paraId="5ACDB5D9" w14:textId="77777777">
      <w:pPr>
        <w:pStyle w:val="FootnoteText"/>
        <w:spacing w:after="120"/>
        <w:rPr>
          <w:b w:val="0"/>
          <w:bCs/>
        </w:rPr>
      </w:pPr>
      <w:r w:rsidRPr="00216538">
        <w:rPr>
          <w:rStyle w:val="FootnoteReference"/>
          <w:b w:val="0"/>
          <w:bCs/>
        </w:rPr>
        <w:footnoteRef/>
      </w:r>
      <w:r w:rsidRPr="00216538">
        <w:rPr>
          <w:b w:val="0"/>
          <w:bCs/>
          <w:i/>
          <w:iCs/>
        </w:rPr>
        <w:t xml:space="preserve"> Id.</w:t>
      </w:r>
      <w:r w:rsidRPr="00216538">
        <w:rPr>
          <w:b w:val="0"/>
          <w:bCs/>
        </w:rPr>
        <w:t xml:space="preserve">, Audit Report at 48 (Feb. 4, 2022). </w:t>
      </w:r>
    </w:p>
  </w:footnote>
  <w:footnote w:id="23">
    <w:p w:rsidR="007D1968" w:rsidRPr="00216538" w:rsidP="00ED5CF3" w14:paraId="20C631F5"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In the Matter of the Review of the Political and Charitable Spending by Ohio Edison Company et al.,</w:t>
      </w:r>
      <w:r w:rsidRPr="00216538">
        <w:rPr>
          <w:b w:val="0"/>
          <w:bCs/>
        </w:rPr>
        <w:t xml:space="preserve"> Case No. 20-1502-EL-UNC, Prehearing Conference, Tr. 55-59 (Mar. 11, 2022). </w:t>
      </w:r>
    </w:p>
  </w:footnote>
  <w:footnote w:id="24">
    <w:p w:rsidR="007D1968" w:rsidRPr="00216538" w:rsidP="00ED5CF3" w14:paraId="6E77529A"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Id</w:t>
      </w:r>
      <w:r w:rsidRPr="00216538">
        <w:rPr>
          <w:b w:val="0"/>
          <w:bCs/>
        </w:rPr>
        <w:t xml:space="preserve">. Tr. 37, 56-59. </w:t>
      </w:r>
    </w:p>
  </w:footnote>
  <w:footnote w:id="25">
    <w:p w:rsidR="007D1968" w:rsidRPr="00216538" w:rsidP="00ED5CF3" w14:paraId="72A8CC89" w14:textId="77777777">
      <w:pPr>
        <w:pStyle w:val="FootnoteText"/>
        <w:spacing w:after="120"/>
        <w:rPr>
          <w:b w:val="0"/>
          <w:bCs/>
        </w:rPr>
      </w:pPr>
      <w:r w:rsidRPr="00216538">
        <w:rPr>
          <w:rStyle w:val="FootnoteReference"/>
          <w:b w:val="0"/>
          <w:bCs/>
        </w:rPr>
        <w:footnoteRef/>
      </w:r>
      <w:r w:rsidRPr="00216538">
        <w:rPr>
          <w:b w:val="0"/>
          <w:bCs/>
          <w:i/>
          <w:iCs/>
        </w:rPr>
        <w:t xml:space="preserve"> In the Matter of the Review of the Political and Charitable Spending by Ohio Edison Company, the Cleveland Electric Illuminating Company, and the Toledo Edison Company</w:t>
      </w:r>
      <w:r w:rsidRPr="00216538">
        <w:rPr>
          <w:b w:val="0"/>
          <w:bCs/>
        </w:rPr>
        <w:t xml:space="preserve">, Case No. 20-1502-EL-UNC, Entry (Apr. 6, 2022). </w:t>
      </w:r>
    </w:p>
  </w:footnote>
  <w:footnote w:id="26">
    <w:p w:rsidR="007D1968" w:rsidRPr="00216538" w:rsidP="00ED5CF3" w14:paraId="4F220D07"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See </w:t>
      </w:r>
      <w:r w:rsidRPr="00216538">
        <w:rPr>
          <w:b w:val="0"/>
          <w:bCs/>
        </w:rPr>
        <w:t>OCC’s Memorandum Contra Motion to Quash (Mar. 22, 2022).</w:t>
      </w:r>
    </w:p>
  </w:footnote>
  <w:footnote w:id="27">
    <w:p w:rsidR="007D1968" w:rsidRPr="00216538" w:rsidP="00ED5CF3" w14:paraId="685AA67F" w14:textId="77777777">
      <w:pPr>
        <w:pStyle w:val="FootnoteText"/>
        <w:spacing w:after="120"/>
        <w:rPr>
          <w:b w:val="0"/>
          <w:bCs/>
          <w:i/>
          <w:iCs/>
        </w:rPr>
      </w:pPr>
      <w:r w:rsidRPr="00216538">
        <w:rPr>
          <w:rStyle w:val="FootnoteReference"/>
          <w:b w:val="0"/>
          <w:bCs/>
        </w:rPr>
        <w:footnoteRef/>
      </w:r>
      <w:r w:rsidRPr="00216538">
        <w:rPr>
          <w:b w:val="0"/>
          <w:bCs/>
        </w:rPr>
        <w:t xml:space="preserve"> </w:t>
      </w:r>
      <w:r w:rsidRPr="00216538">
        <w:rPr>
          <w:b w:val="0"/>
          <w:bCs/>
          <w:i/>
          <w:iCs/>
        </w:rPr>
        <w:t>See generally Id.</w:t>
      </w:r>
    </w:p>
  </w:footnote>
  <w:footnote w:id="28">
    <w:p w:rsidR="007D1968" w:rsidRPr="00216538" w:rsidP="00ED5CF3" w14:paraId="78B257FC" w14:textId="77777777">
      <w:pPr>
        <w:pStyle w:val="FootnoteText"/>
        <w:spacing w:after="120"/>
        <w:rPr>
          <w:b w:val="0"/>
          <w:bCs/>
        </w:rPr>
      </w:pPr>
      <w:r w:rsidRPr="00216538">
        <w:rPr>
          <w:rStyle w:val="FootnoteReference"/>
          <w:b w:val="0"/>
          <w:bCs/>
        </w:rPr>
        <w:footnoteRef/>
      </w:r>
      <w:r w:rsidRPr="00216538">
        <w:rPr>
          <w:b w:val="0"/>
          <w:bCs/>
        </w:rPr>
        <w:t xml:space="preserve"> </w:t>
      </w:r>
      <w:r w:rsidRPr="00216538">
        <w:rPr>
          <w:b w:val="0"/>
          <w:bCs/>
          <w:i/>
          <w:iCs/>
        </w:rPr>
        <w:t xml:space="preserve">See </w:t>
      </w:r>
      <w:r w:rsidRPr="00216538">
        <w:rPr>
          <w:b w:val="0"/>
          <w:bCs/>
        </w:rPr>
        <w:t>Ebony Yeboah-Amankwah’s Motion to Quash the Office of the Ohio Consumer Counsel’s Subpoena (Mar. 7, 2022) at 6.</w:t>
      </w:r>
    </w:p>
  </w:footnote>
  <w:footnote w:id="29">
    <w:p w:rsidR="007D1968" w:rsidRPr="00216538" w:rsidP="00ED5CF3" w14:paraId="6CE6566E" w14:textId="3A8639D5">
      <w:pPr>
        <w:pStyle w:val="FootnoteText"/>
        <w:spacing w:after="120"/>
        <w:rPr>
          <w:b w:val="0"/>
          <w:bCs/>
        </w:rPr>
      </w:pPr>
      <w:r w:rsidRPr="00216538">
        <w:rPr>
          <w:rStyle w:val="FootnoteReference"/>
          <w:b w:val="0"/>
          <w:bCs/>
        </w:rPr>
        <w:footnoteRef/>
      </w:r>
      <w:r w:rsidRPr="00216538">
        <w:rPr>
          <w:b w:val="0"/>
          <w:bCs/>
        </w:rPr>
        <w:t xml:space="preserve"> </w:t>
      </w:r>
      <w:r w:rsidRPr="00216538" w:rsidR="006A4572">
        <w:rPr>
          <w:b w:val="0"/>
          <w:bCs/>
        </w:rPr>
        <w:t>FirstEnergy</w:t>
      </w:r>
      <w:r w:rsidR="006B71C0">
        <w:rPr>
          <w:b w:val="0"/>
          <w:bCs/>
        </w:rPr>
        <w:t xml:space="preserve"> Utilities’</w:t>
      </w:r>
      <w:r w:rsidRPr="00216538" w:rsidR="006A4572">
        <w:rPr>
          <w:b w:val="0"/>
          <w:bCs/>
        </w:rPr>
        <w:t xml:space="preserve"> Motion at 6.</w:t>
      </w:r>
    </w:p>
  </w:footnote>
  <w:footnote w:id="30">
    <w:p w:rsidR="001330AE" w:rsidRPr="001330AE" w:rsidP="00ED5CF3" w14:paraId="058BE428" w14:textId="61D35790">
      <w:pPr>
        <w:pStyle w:val="FootnoteText"/>
        <w:spacing w:after="120"/>
        <w:rPr>
          <w:b w:val="0"/>
          <w:bCs/>
        </w:rPr>
      </w:pPr>
      <w:r w:rsidRPr="001330AE">
        <w:rPr>
          <w:rStyle w:val="FootnoteReference"/>
          <w:b w:val="0"/>
          <w:bCs/>
        </w:rPr>
        <w:footnoteRef/>
      </w:r>
      <w:r w:rsidRPr="001330AE">
        <w:rPr>
          <w:b w:val="0"/>
          <w:bCs/>
        </w:rPr>
        <w:t xml:space="preserve"> </w:t>
      </w:r>
      <w:r>
        <w:rPr>
          <w:b w:val="0"/>
          <w:bCs/>
          <w:i/>
          <w:iCs/>
        </w:rPr>
        <w:t xml:space="preserve">Id. </w:t>
      </w:r>
      <w:r>
        <w:rPr>
          <w:b w:val="0"/>
          <w:bCs/>
        </w:rPr>
        <w:t>at 5, n. 21</w:t>
      </w:r>
      <w:r w:rsidR="0045114E">
        <w:rPr>
          <w:b w:val="0"/>
          <w:bCs/>
        </w:rPr>
        <w:t xml:space="preserve">; </w:t>
      </w:r>
      <w:r w:rsidR="0045114E">
        <w:rPr>
          <w:b w:val="0"/>
          <w:bCs/>
          <w:i/>
          <w:iCs/>
        </w:rPr>
        <w:t xml:space="preserve">see also </w:t>
      </w:r>
      <w:r w:rsidR="00ED5CF3">
        <w:rPr>
          <w:b w:val="0"/>
          <w:bCs/>
          <w:i/>
          <w:iCs/>
        </w:rPr>
        <w:t>I</w:t>
      </w:r>
      <w:r w:rsidR="0045114E">
        <w:rPr>
          <w:b w:val="0"/>
          <w:bCs/>
          <w:i/>
          <w:iCs/>
        </w:rPr>
        <w:t xml:space="preserve">d. </w:t>
      </w:r>
      <w:r w:rsidR="0045114E">
        <w:rPr>
          <w:b w:val="0"/>
          <w:bCs/>
        </w:rPr>
        <w:t>at Ex. A (OCC’s Notice), request numbers 11; 15-17</w:t>
      </w:r>
      <w:r>
        <w:rPr>
          <w:b w:val="0"/>
          <w:bCs/>
        </w:rPr>
        <w:t>.</w:t>
      </w:r>
    </w:p>
  </w:footnote>
  <w:footnote w:id="31">
    <w:p w:rsidR="0045114E" w:rsidRPr="0045114E" w:rsidP="00ED5CF3" w14:paraId="2AB6F326" w14:textId="2679F837">
      <w:pPr>
        <w:pStyle w:val="FootnoteText"/>
        <w:spacing w:after="120"/>
        <w:rPr>
          <w:b w:val="0"/>
          <w:bCs/>
        </w:rPr>
      </w:pPr>
      <w:r w:rsidRPr="0045114E">
        <w:rPr>
          <w:rStyle w:val="FootnoteReference"/>
          <w:b w:val="0"/>
          <w:bCs/>
        </w:rPr>
        <w:footnoteRef/>
      </w:r>
      <w:r w:rsidRPr="0045114E">
        <w:rPr>
          <w:b w:val="0"/>
          <w:bCs/>
        </w:rPr>
        <w:t xml:space="preserve"> </w:t>
      </w:r>
      <w:r>
        <w:rPr>
          <w:b w:val="0"/>
          <w:bCs/>
          <w:i/>
          <w:iCs/>
        </w:rPr>
        <w:t xml:space="preserve">Id. </w:t>
      </w:r>
      <w:r>
        <w:rPr>
          <w:b w:val="0"/>
          <w:bCs/>
        </w:rPr>
        <w:t>at request number 11.</w:t>
      </w:r>
    </w:p>
  </w:footnote>
  <w:footnote w:id="32">
    <w:p w:rsidR="0045114E" w:rsidRPr="0045114E" w:rsidP="00ED5CF3" w14:paraId="493BB03E" w14:textId="1EB798D0">
      <w:pPr>
        <w:pStyle w:val="FootnoteText"/>
        <w:spacing w:after="120"/>
        <w:rPr>
          <w:b w:val="0"/>
          <w:bCs/>
        </w:rPr>
      </w:pPr>
      <w:r w:rsidRPr="0045114E">
        <w:rPr>
          <w:rStyle w:val="FootnoteReference"/>
          <w:b w:val="0"/>
          <w:bCs/>
        </w:rPr>
        <w:footnoteRef/>
      </w:r>
      <w:r w:rsidRPr="0045114E">
        <w:rPr>
          <w:b w:val="0"/>
          <w:bCs/>
        </w:rPr>
        <w:t xml:space="preserve"> </w:t>
      </w:r>
      <w:r>
        <w:rPr>
          <w:b w:val="0"/>
          <w:bCs/>
          <w:i/>
          <w:iCs/>
        </w:rPr>
        <w:t xml:space="preserve">Id. </w:t>
      </w:r>
      <w:r>
        <w:rPr>
          <w:b w:val="0"/>
          <w:bCs/>
        </w:rPr>
        <w:t>at request number 15-17.</w:t>
      </w:r>
    </w:p>
  </w:footnote>
  <w:footnote w:id="33">
    <w:p w:rsidR="006B71C0" w:rsidRPr="006B71C0" w:rsidP="00ED5CF3" w14:paraId="0E49BACA" w14:textId="4BE23411">
      <w:pPr>
        <w:pStyle w:val="FootnoteText"/>
        <w:spacing w:after="120"/>
        <w:rPr>
          <w:b w:val="0"/>
          <w:bCs/>
        </w:rPr>
      </w:pPr>
      <w:r w:rsidRPr="006B71C0">
        <w:rPr>
          <w:rStyle w:val="FootnoteReference"/>
          <w:b w:val="0"/>
          <w:bCs/>
        </w:rPr>
        <w:footnoteRef/>
      </w:r>
      <w:r w:rsidRPr="006B71C0">
        <w:rPr>
          <w:b w:val="0"/>
          <w:bCs/>
        </w:rPr>
        <w:t xml:space="preserve"> </w:t>
      </w:r>
      <w:r>
        <w:rPr>
          <w:b w:val="0"/>
          <w:bCs/>
          <w:i/>
          <w:iCs/>
        </w:rPr>
        <w:t xml:space="preserve">Id. </w:t>
      </w:r>
      <w:r>
        <w:rPr>
          <w:b w:val="0"/>
          <w:bCs/>
        </w:rPr>
        <w:t>at 5-6.</w:t>
      </w:r>
    </w:p>
  </w:footnote>
  <w:footnote w:id="34">
    <w:p w:rsidR="006B71C0" w:rsidRPr="006B71C0" w:rsidP="00ED5CF3" w14:paraId="638C95B5" w14:textId="699947AE">
      <w:pPr>
        <w:pStyle w:val="FootnoteText"/>
        <w:spacing w:after="120"/>
        <w:rPr>
          <w:b w:val="0"/>
          <w:bCs/>
        </w:rPr>
      </w:pPr>
      <w:r w:rsidRPr="006B71C0">
        <w:rPr>
          <w:rStyle w:val="FootnoteReference"/>
          <w:b w:val="0"/>
          <w:bCs/>
        </w:rPr>
        <w:footnoteRef/>
      </w:r>
      <w:r w:rsidRPr="006B71C0">
        <w:rPr>
          <w:b w:val="0"/>
          <w:bCs/>
        </w:rPr>
        <w:t xml:space="preserve"> Although federal case law is not binding upon the PUCO with regard to interpreting the Ohio Civil Rules of Practice (upon which the PUCO discovery rules are based), it is instructive where, as here, Ohio's rule is similar to the federal rules. Ohio Adm. Code 4901-1-24 allows a protective order to limit discovery to protect against "undue burden and expense." C.R. 26(c) similarly allows a protective order to limit discovery “to protect against undue burden and expense</w:t>
      </w:r>
      <w:r w:rsidRPr="009874D5">
        <w:rPr>
          <w:b w:val="0"/>
          <w:bCs/>
          <w:i/>
          <w:iCs/>
        </w:rPr>
        <w:t>." Cf. In the Matter of the Investigation into Perry Nuclear Power Station</w:t>
      </w:r>
      <w:r w:rsidRPr="006B71C0">
        <w:rPr>
          <w:b w:val="0"/>
          <w:bCs/>
        </w:rPr>
        <w:t>, Case No. 85-521-ELCOI, Entry at 14-15 (Mar. 17,</w:t>
      </w:r>
      <w:r w:rsidR="00C6586F">
        <w:rPr>
          <w:b w:val="0"/>
          <w:bCs/>
        </w:rPr>
        <w:t xml:space="preserve"> </w:t>
      </w:r>
      <w:r w:rsidRPr="006B71C0">
        <w:rPr>
          <w:b w:val="0"/>
          <w:bCs/>
        </w:rPr>
        <w:t>1987), where the Commission opined that a motion for protective order on discovery must be "specific and detailed as to the reasons why providing the responses to matters***will be unduly burdensome."</w:t>
      </w:r>
    </w:p>
  </w:footnote>
  <w:footnote w:id="35">
    <w:p w:rsidR="006B71C0" w:rsidRPr="006B71C0" w:rsidP="00ED5CF3" w14:paraId="24D36972" w14:textId="7A56F1F5">
      <w:pPr>
        <w:pStyle w:val="FootnoteText"/>
        <w:spacing w:after="120"/>
        <w:rPr>
          <w:b w:val="0"/>
          <w:bCs/>
        </w:rPr>
      </w:pPr>
      <w:r w:rsidRPr="006B71C0">
        <w:rPr>
          <w:rStyle w:val="FootnoteReference"/>
          <w:b w:val="0"/>
          <w:bCs/>
        </w:rPr>
        <w:footnoteRef/>
      </w:r>
      <w:r w:rsidRPr="006B71C0">
        <w:rPr>
          <w:b w:val="0"/>
          <w:bCs/>
        </w:rPr>
        <w:t xml:space="preserve"> </w:t>
      </w:r>
      <w:r w:rsidRPr="009874D5">
        <w:rPr>
          <w:b w:val="0"/>
          <w:bCs/>
          <w:i/>
          <w:iCs/>
        </w:rPr>
        <w:t>Trabon Engineering Corp. v. Eaton Manufacturing Co</w:t>
      </w:r>
      <w:r w:rsidRPr="006B71C0">
        <w:rPr>
          <w:b w:val="0"/>
          <w:bCs/>
        </w:rPr>
        <w:t>., (N.D. Ohio 1964), 37 F.R.D. 51, 54.</w:t>
      </w:r>
    </w:p>
  </w:footnote>
  <w:footnote w:id="36">
    <w:p w:rsidR="009874D5" w:rsidRPr="009874D5" w:rsidP="00ED5CF3" w14:paraId="36BD6989" w14:textId="0B9D70DE">
      <w:pPr>
        <w:pStyle w:val="FootnoteText"/>
        <w:spacing w:after="120"/>
        <w:rPr>
          <w:b w:val="0"/>
          <w:bCs/>
        </w:rPr>
      </w:pPr>
      <w:r w:rsidRPr="009874D5">
        <w:rPr>
          <w:rStyle w:val="FootnoteReference"/>
          <w:b w:val="0"/>
          <w:bCs/>
        </w:rPr>
        <w:footnoteRef/>
      </w:r>
      <w:r w:rsidRPr="009874D5">
        <w:rPr>
          <w:b w:val="0"/>
          <w:bCs/>
        </w:rPr>
        <w:t xml:space="preserve"> </w:t>
      </w:r>
      <w:r w:rsidRPr="009874D5">
        <w:rPr>
          <w:b w:val="0"/>
          <w:bCs/>
          <w:i/>
          <w:iCs/>
        </w:rPr>
        <w:t>Gulf Oil Corp, v Schlesinger</w:t>
      </w:r>
      <w:r w:rsidRPr="009874D5">
        <w:rPr>
          <w:b w:val="0"/>
          <w:bCs/>
        </w:rPr>
        <w:t>, (E.D.Pa. 1979), 465 F.Supp. 913, 916-917.</w:t>
      </w:r>
    </w:p>
  </w:footnote>
  <w:footnote w:id="37">
    <w:p w:rsidR="00183676" w:rsidRPr="00216538" w:rsidP="00ED5CF3" w14:paraId="5FCAB68A" w14:textId="10023C32">
      <w:pPr>
        <w:pStyle w:val="FootnoteText"/>
        <w:spacing w:after="120"/>
        <w:rPr>
          <w:b w:val="0"/>
          <w:bCs/>
        </w:rPr>
      </w:pPr>
      <w:r w:rsidRPr="00216538">
        <w:rPr>
          <w:rStyle w:val="FootnoteReference"/>
          <w:b w:val="0"/>
          <w:bCs/>
        </w:rPr>
        <w:footnoteRef/>
      </w:r>
      <w:r w:rsidRPr="00216538">
        <w:rPr>
          <w:b w:val="0"/>
          <w:bCs/>
        </w:rPr>
        <w:t xml:space="preserve"> Louis D. Brandeis, </w:t>
      </w:r>
      <w:r w:rsidRPr="00216538">
        <w:rPr>
          <w:b w:val="0"/>
          <w:bCs/>
          <w:i/>
          <w:iCs/>
        </w:rPr>
        <w:t>What Publicity Can Do</w:t>
      </w:r>
      <w:r w:rsidRPr="00216538">
        <w:rPr>
          <w:b w:val="0"/>
          <w:bCs/>
        </w:rPr>
        <w:t>, Harpers Weekly, Vol. 58, No. 2974 (Dec. 20, 1913).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95AD6"/>
    <w:multiLevelType w:val="hybridMultilevel"/>
    <w:tmpl w:val="062AFB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C72CDC"/>
    <w:multiLevelType w:val="hybridMultilevel"/>
    <w:tmpl w:val="84182E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4E47EED"/>
    <w:multiLevelType w:val="hybridMultilevel"/>
    <w:tmpl w:val="81F8A4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D072D03"/>
    <w:multiLevelType w:val="hybridMultilevel"/>
    <w:tmpl w:val="A5CAD1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43C0E4B"/>
    <w:multiLevelType w:val="hybridMultilevel"/>
    <w:tmpl w:val="F9AE361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D4D0421"/>
    <w:multiLevelType w:val="hybridMultilevel"/>
    <w:tmpl w:val="CAC468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1">
    <w:nsid w:val="413B2DC6"/>
    <w:multiLevelType w:val="hybridMultilevel"/>
    <w:tmpl w:val="84BC8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3E16EF"/>
    <w:multiLevelType w:val="hybridMultilevel"/>
    <w:tmpl w:val="2540804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740678A"/>
    <w:multiLevelType w:val="hybridMultilevel"/>
    <w:tmpl w:val="C994AD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5">
    <w:nsid w:val="5EF81B1A"/>
    <w:multiLevelType w:val="hybridMultilevel"/>
    <w:tmpl w:val="F1E696F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BD7F31"/>
    <w:multiLevelType w:val="hybridMultilevel"/>
    <w:tmpl w:val="BA74AE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8"/>
  </w:num>
  <w:num w:numId="2">
    <w:abstractNumId w:val="19"/>
  </w:num>
  <w:num w:numId="3">
    <w:abstractNumId w:val="8"/>
  </w:num>
  <w:num w:numId="4">
    <w:abstractNumId w:val="5"/>
  </w:num>
  <w:num w:numId="5">
    <w:abstractNumId w:val="1"/>
  </w:num>
  <w:num w:numId="6">
    <w:abstractNumId w:val="1"/>
    <w:lvlOverride w:ilvl="0">
      <w:startOverride w:val="1"/>
    </w:lvlOverride>
  </w:num>
  <w:num w:numId="7">
    <w:abstractNumId w:val="1"/>
    <w:lvlOverride w:ilvl="0">
      <w:startOverride w:val="1"/>
    </w:lvlOverride>
  </w:num>
  <w:num w:numId="8">
    <w:abstractNumId w:val="3"/>
  </w:num>
  <w:num w:numId="9">
    <w:abstractNumId w:val="22"/>
  </w:num>
  <w:num w:numId="10">
    <w:abstractNumId w:val="21"/>
  </w:num>
  <w:num w:numId="11">
    <w:abstractNumId w:val="17"/>
  </w:num>
  <w:num w:numId="12">
    <w:abstractNumId w:val="20"/>
  </w:num>
  <w:num w:numId="13">
    <w:abstractNumId w:val="23"/>
  </w:num>
  <w:num w:numId="14">
    <w:abstractNumId w:val="14"/>
  </w:num>
  <w:num w:numId="15">
    <w:abstractNumId w:val="10"/>
  </w:num>
  <w:num w:numId="16">
    <w:abstractNumId w:val="14"/>
    <w:lvlOverride w:ilvl="0">
      <w:startOverride w:val="1"/>
    </w:lvlOverride>
  </w:num>
  <w:num w:numId="17">
    <w:abstractNumId w:val="4"/>
  </w:num>
  <w:num w:numId="18">
    <w:abstractNumId w:val="11"/>
  </w:num>
  <w:num w:numId="19">
    <w:abstractNumId w:val="6"/>
  </w:num>
  <w:num w:numId="20">
    <w:abstractNumId w:val="2"/>
  </w:num>
  <w:num w:numId="21">
    <w:abstractNumId w:val="15"/>
  </w:num>
  <w:num w:numId="22">
    <w:abstractNumId w:val="16"/>
  </w:num>
  <w:num w:numId="23">
    <w:abstractNumId w:val="0"/>
  </w:num>
  <w:num w:numId="24">
    <w:abstractNumId w:val="13"/>
  </w:num>
  <w:num w:numId="25">
    <w:abstractNumId w:val="9"/>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053C"/>
    <w:rsid w:val="00000F6F"/>
    <w:rsid w:val="00001BAF"/>
    <w:rsid w:val="00004D0A"/>
    <w:rsid w:val="00005108"/>
    <w:rsid w:val="000064CA"/>
    <w:rsid w:val="0000683D"/>
    <w:rsid w:val="00012B24"/>
    <w:rsid w:val="00013800"/>
    <w:rsid w:val="0001513F"/>
    <w:rsid w:val="000152B0"/>
    <w:rsid w:val="00015A12"/>
    <w:rsid w:val="00016A85"/>
    <w:rsid w:val="00017972"/>
    <w:rsid w:val="000203A9"/>
    <w:rsid w:val="0002177F"/>
    <w:rsid w:val="00024882"/>
    <w:rsid w:val="00025E6F"/>
    <w:rsid w:val="0002629A"/>
    <w:rsid w:val="000313BB"/>
    <w:rsid w:val="000315CF"/>
    <w:rsid w:val="00032005"/>
    <w:rsid w:val="00032099"/>
    <w:rsid w:val="00032AD4"/>
    <w:rsid w:val="000360CC"/>
    <w:rsid w:val="00037221"/>
    <w:rsid w:val="00037357"/>
    <w:rsid w:val="000377FE"/>
    <w:rsid w:val="00037EC2"/>
    <w:rsid w:val="00040A34"/>
    <w:rsid w:val="00041AE8"/>
    <w:rsid w:val="00043006"/>
    <w:rsid w:val="000438AF"/>
    <w:rsid w:val="00043E50"/>
    <w:rsid w:val="00044CA0"/>
    <w:rsid w:val="00045BF0"/>
    <w:rsid w:val="0005217A"/>
    <w:rsid w:val="000551AB"/>
    <w:rsid w:val="00055A1C"/>
    <w:rsid w:val="00057EC7"/>
    <w:rsid w:val="00060274"/>
    <w:rsid w:val="00061C44"/>
    <w:rsid w:val="00063D3D"/>
    <w:rsid w:val="000644AE"/>
    <w:rsid w:val="00064762"/>
    <w:rsid w:val="0006540C"/>
    <w:rsid w:val="000655CA"/>
    <w:rsid w:val="00065AC3"/>
    <w:rsid w:val="00065D7B"/>
    <w:rsid w:val="00065E72"/>
    <w:rsid w:val="00066725"/>
    <w:rsid w:val="00067CEC"/>
    <w:rsid w:val="00070701"/>
    <w:rsid w:val="00072899"/>
    <w:rsid w:val="000729A6"/>
    <w:rsid w:val="0007352B"/>
    <w:rsid w:val="00074DD3"/>
    <w:rsid w:val="000818A9"/>
    <w:rsid w:val="000835B2"/>
    <w:rsid w:val="00087869"/>
    <w:rsid w:val="00091451"/>
    <w:rsid w:val="00091692"/>
    <w:rsid w:val="00091DDC"/>
    <w:rsid w:val="00092E7F"/>
    <w:rsid w:val="0009319D"/>
    <w:rsid w:val="00093263"/>
    <w:rsid w:val="00093882"/>
    <w:rsid w:val="00095A93"/>
    <w:rsid w:val="00096478"/>
    <w:rsid w:val="00096867"/>
    <w:rsid w:val="000969A8"/>
    <w:rsid w:val="00096FBC"/>
    <w:rsid w:val="00097E7A"/>
    <w:rsid w:val="000A1DED"/>
    <w:rsid w:val="000A293B"/>
    <w:rsid w:val="000A2F56"/>
    <w:rsid w:val="000A47AA"/>
    <w:rsid w:val="000A6653"/>
    <w:rsid w:val="000A7290"/>
    <w:rsid w:val="000A797B"/>
    <w:rsid w:val="000B0E98"/>
    <w:rsid w:val="000B1D1F"/>
    <w:rsid w:val="000B2075"/>
    <w:rsid w:val="000B2DD5"/>
    <w:rsid w:val="000B2FE2"/>
    <w:rsid w:val="000B5DEF"/>
    <w:rsid w:val="000B6760"/>
    <w:rsid w:val="000B7475"/>
    <w:rsid w:val="000B7479"/>
    <w:rsid w:val="000C099B"/>
    <w:rsid w:val="000C0A43"/>
    <w:rsid w:val="000C3048"/>
    <w:rsid w:val="000C3A86"/>
    <w:rsid w:val="000C5EF1"/>
    <w:rsid w:val="000C7E23"/>
    <w:rsid w:val="000C7E80"/>
    <w:rsid w:val="000D0EC3"/>
    <w:rsid w:val="000D18C7"/>
    <w:rsid w:val="000D1C5E"/>
    <w:rsid w:val="000D2F76"/>
    <w:rsid w:val="000D3B7C"/>
    <w:rsid w:val="000D40A1"/>
    <w:rsid w:val="000D5E27"/>
    <w:rsid w:val="000D614E"/>
    <w:rsid w:val="000D68F5"/>
    <w:rsid w:val="000D6C27"/>
    <w:rsid w:val="000E141B"/>
    <w:rsid w:val="000E1A1F"/>
    <w:rsid w:val="000E1C1B"/>
    <w:rsid w:val="000E1E95"/>
    <w:rsid w:val="000E24A5"/>
    <w:rsid w:val="000E33F7"/>
    <w:rsid w:val="000E41A6"/>
    <w:rsid w:val="000E554C"/>
    <w:rsid w:val="000E5CD9"/>
    <w:rsid w:val="000E60A0"/>
    <w:rsid w:val="000E7A47"/>
    <w:rsid w:val="000F0156"/>
    <w:rsid w:val="000F0F5F"/>
    <w:rsid w:val="000F1514"/>
    <w:rsid w:val="000F1B21"/>
    <w:rsid w:val="000F2C57"/>
    <w:rsid w:val="000F4783"/>
    <w:rsid w:val="000F4ACD"/>
    <w:rsid w:val="000F6CC0"/>
    <w:rsid w:val="000F6DFE"/>
    <w:rsid w:val="000F747E"/>
    <w:rsid w:val="000F74D3"/>
    <w:rsid w:val="00100D3C"/>
    <w:rsid w:val="0010152B"/>
    <w:rsid w:val="0010262B"/>
    <w:rsid w:val="001029A4"/>
    <w:rsid w:val="00102EBB"/>
    <w:rsid w:val="00104905"/>
    <w:rsid w:val="00107C26"/>
    <w:rsid w:val="00112988"/>
    <w:rsid w:val="00113322"/>
    <w:rsid w:val="00113715"/>
    <w:rsid w:val="00116E70"/>
    <w:rsid w:val="0011745F"/>
    <w:rsid w:val="00117595"/>
    <w:rsid w:val="00120478"/>
    <w:rsid w:val="00120C08"/>
    <w:rsid w:val="00120DBC"/>
    <w:rsid w:val="00122435"/>
    <w:rsid w:val="00122815"/>
    <w:rsid w:val="00123326"/>
    <w:rsid w:val="00126CB5"/>
    <w:rsid w:val="001277BC"/>
    <w:rsid w:val="00130D01"/>
    <w:rsid w:val="00131CEE"/>
    <w:rsid w:val="001330AE"/>
    <w:rsid w:val="001334D1"/>
    <w:rsid w:val="00134A5D"/>
    <w:rsid w:val="001357A9"/>
    <w:rsid w:val="00135E70"/>
    <w:rsid w:val="001364C8"/>
    <w:rsid w:val="00136645"/>
    <w:rsid w:val="00137700"/>
    <w:rsid w:val="00137CD6"/>
    <w:rsid w:val="00140B90"/>
    <w:rsid w:val="00141533"/>
    <w:rsid w:val="00141B3F"/>
    <w:rsid w:val="00145FB3"/>
    <w:rsid w:val="001461B4"/>
    <w:rsid w:val="00146228"/>
    <w:rsid w:val="001467CA"/>
    <w:rsid w:val="00146BD1"/>
    <w:rsid w:val="00146D57"/>
    <w:rsid w:val="001474F6"/>
    <w:rsid w:val="001479F2"/>
    <w:rsid w:val="00151E96"/>
    <w:rsid w:val="0015486C"/>
    <w:rsid w:val="00155A7B"/>
    <w:rsid w:val="00160181"/>
    <w:rsid w:val="0016079F"/>
    <w:rsid w:val="00163AF0"/>
    <w:rsid w:val="00164E67"/>
    <w:rsid w:val="00165A92"/>
    <w:rsid w:val="0017046E"/>
    <w:rsid w:val="00170553"/>
    <w:rsid w:val="001709B9"/>
    <w:rsid w:val="00171CD8"/>
    <w:rsid w:val="00171DAD"/>
    <w:rsid w:val="0017497F"/>
    <w:rsid w:val="00174FD5"/>
    <w:rsid w:val="00175A10"/>
    <w:rsid w:val="00175EA2"/>
    <w:rsid w:val="001775AC"/>
    <w:rsid w:val="00177979"/>
    <w:rsid w:val="0018031A"/>
    <w:rsid w:val="00180959"/>
    <w:rsid w:val="0018269A"/>
    <w:rsid w:val="0018294C"/>
    <w:rsid w:val="00183676"/>
    <w:rsid w:val="00183E36"/>
    <w:rsid w:val="001862C2"/>
    <w:rsid w:val="00186607"/>
    <w:rsid w:val="00186FB2"/>
    <w:rsid w:val="00190518"/>
    <w:rsid w:val="001908F6"/>
    <w:rsid w:val="00190E01"/>
    <w:rsid w:val="001930AB"/>
    <w:rsid w:val="00193DDA"/>
    <w:rsid w:val="001965D3"/>
    <w:rsid w:val="00197020"/>
    <w:rsid w:val="001973A1"/>
    <w:rsid w:val="00197472"/>
    <w:rsid w:val="001978B4"/>
    <w:rsid w:val="001A02AF"/>
    <w:rsid w:val="001A0455"/>
    <w:rsid w:val="001A093E"/>
    <w:rsid w:val="001A0DA2"/>
    <w:rsid w:val="001A15D8"/>
    <w:rsid w:val="001A1ADB"/>
    <w:rsid w:val="001A21F1"/>
    <w:rsid w:val="001A52B2"/>
    <w:rsid w:val="001A6C43"/>
    <w:rsid w:val="001A7D6F"/>
    <w:rsid w:val="001B0797"/>
    <w:rsid w:val="001B19CC"/>
    <w:rsid w:val="001B2113"/>
    <w:rsid w:val="001B256A"/>
    <w:rsid w:val="001B2F02"/>
    <w:rsid w:val="001B4EE5"/>
    <w:rsid w:val="001B580C"/>
    <w:rsid w:val="001B616C"/>
    <w:rsid w:val="001B77D9"/>
    <w:rsid w:val="001B77E5"/>
    <w:rsid w:val="001C1270"/>
    <w:rsid w:val="001C389B"/>
    <w:rsid w:val="001C3BB8"/>
    <w:rsid w:val="001C4AF0"/>
    <w:rsid w:val="001C4B65"/>
    <w:rsid w:val="001C7147"/>
    <w:rsid w:val="001C799F"/>
    <w:rsid w:val="001C79B2"/>
    <w:rsid w:val="001C7CBF"/>
    <w:rsid w:val="001D115B"/>
    <w:rsid w:val="001D177D"/>
    <w:rsid w:val="001D1E48"/>
    <w:rsid w:val="001D38E8"/>
    <w:rsid w:val="001D409A"/>
    <w:rsid w:val="001D4F3E"/>
    <w:rsid w:val="001D5323"/>
    <w:rsid w:val="001D5906"/>
    <w:rsid w:val="001D5D8C"/>
    <w:rsid w:val="001D6014"/>
    <w:rsid w:val="001D7401"/>
    <w:rsid w:val="001E07A6"/>
    <w:rsid w:val="001E1DE0"/>
    <w:rsid w:val="001E2832"/>
    <w:rsid w:val="001E7C1C"/>
    <w:rsid w:val="001E7E89"/>
    <w:rsid w:val="001F00B3"/>
    <w:rsid w:val="001F4AAE"/>
    <w:rsid w:val="001F53AB"/>
    <w:rsid w:val="001F6B05"/>
    <w:rsid w:val="002004DA"/>
    <w:rsid w:val="0020073C"/>
    <w:rsid w:val="002008A8"/>
    <w:rsid w:val="002010C3"/>
    <w:rsid w:val="00201CFA"/>
    <w:rsid w:val="00203E24"/>
    <w:rsid w:val="00204E98"/>
    <w:rsid w:val="002052E9"/>
    <w:rsid w:val="00212805"/>
    <w:rsid w:val="00212CAF"/>
    <w:rsid w:val="00213019"/>
    <w:rsid w:val="002135BF"/>
    <w:rsid w:val="00214355"/>
    <w:rsid w:val="00216499"/>
    <w:rsid w:val="00216538"/>
    <w:rsid w:val="00216E45"/>
    <w:rsid w:val="002178F3"/>
    <w:rsid w:val="00220800"/>
    <w:rsid w:val="00221B24"/>
    <w:rsid w:val="00221B7B"/>
    <w:rsid w:val="0022201E"/>
    <w:rsid w:val="002232D8"/>
    <w:rsid w:val="00224930"/>
    <w:rsid w:val="00225D30"/>
    <w:rsid w:val="00226283"/>
    <w:rsid w:val="002268B9"/>
    <w:rsid w:val="00226B2E"/>
    <w:rsid w:val="00227213"/>
    <w:rsid w:val="002277B6"/>
    <w:rsid w:val="002326CA"/>
    <w:rsid w:val="002371AB"/>
    <w:rsid w:val="00243468"/>
    <w:rsid w:val="00246EED"/>
    <w:rsid w:val="0025070D"/>
    <w:rsid w:val="002521DB"/>
    <w:rsid w:val="00252F69"/>
    <w:rsid w:val="00253841"/>
    <w:rsid w:val="00253E76"/>
    <w:rsid w:val="00254CEB"/>
    <w:rsid w:val="00254D5B"/>
    <w:rsid w:val="00255992"/>
    <w:rsid w:val="002604FA"/>
    <w:rsid w:val="00260723"/>
    <w:rsid w:val="0026150A"/>
    <w:rsid w:val="002617AF"/>
    <w:rsid w:val="0026217A"/>
    <w:rsid w:val="00262784"/>
    <w:rsid w:val="0026389F"/>
    <w:rsid w:val="002643BE"/>
    <w:rsid w:val="002644BD"/>
    <w:rsid w:val="002650B9"/>
    <w:rsid w:val="00265755"/>
    <w:rsid w:val="00266256"/>
    <w:rsid w:val="0027041E"/>
    <w:rsid w:val="00271435"/>
    <w:rsid w:val="0027499C"/>
    <w:rsid w:val="002752FB"/>
    <w:rsid w:val="00277B14"/>
    <w:rsid w:val="00281A60"/>
    <w:rsid w:val="002845B8"/>
    <w:rsid w:val="00285AFD"/>
    <w:rsid w:val="00286088"/>
    <w:rsid w:val="002865C3"/>
    <w:rsid w:val="0028669A"/>
    <w:rsid w:val="002900A1"/>
    <w:rsid w:val="0029145D"/>
    <w:rsid w:val="00292D92"/>
    <w:rsid w:val="00292F68"/>
    <w:rsid w:val="00293269"/>
    <w:rsid w:val="002932B7"/>
    <w:rsid w:val="002A00BA"/>
    <w:rsid w:val="002A194A"/>
    <w:rsid w:val="002A261C"/>
    <w:rsid w:val="002A54B7"/>
    <w:rsid w:val="002A6EAF"/>
    <w:rsid w:val="002A7ECB"/>
    <w:rsid w:val="002B0AE1"/>
    <w:rsid w:val="002B1C52"/>
    <w:rsid w:val="002B48E2"/>
    <w:rsid w:val="002B49BE"/>
    <w:rsid w:val="002B539C"/>
    <w:rsid w:val="002B581C"/>
    <w:rsid w:val="002C256E"/>
    <w:rsid w:val="002C4933"/>
    <w:rsid w:val="002C58F3"/>
    <w:rsid w:val="002C594A"/>
    <w:rsid w:val="002C6236"/>
    <w:rsid w:val="002C6944"/>
    <w:rsid w:val="002C7156"/>
    <w:rsid w:val="002C79E0"/>
    <w:rsid w:val="002C7DA8"/>
    <w:rsid w:val="002D1093"/>
    <w:rsid w:val="002D1E7B"/>
    <w:rsid w:val="002D2FD9"/>
    <w:rsid w:val="002D4AB1"/>
    <w:rsid w:val="002D54C1"/>
    <w:rsid w:val="002D716C"/>
    <w:rsid w:val="002E0DF9"/>
    <w:rsid w:val="002E14B0"/>
    <w:rsid w:val="002E2A07"/>
    <w:rsid w:val="002E2DA8"/>
    <w:rsid w:val="002E4256"/>
    <w:rsid w:val="002E596C"/>
    <w:rsid w:val="002E6602"/>
    <w:rsid w:val="002E75F1"/>
    <w:rsid w:val="002F0842"/>
    <w:rsid w:val="002F34D5"/>
    <w:rsid w:val="002F4D14"/>
    <w:rsid w:val="002F57BE"/>
    <w:rsid w:val="002F5944"/>
    <w:rsid w:val="002F6AF5"/>
    <w:rsid w:val="002F700D"/>
    <w:rsid w:val="002F7997"/>
    <w:rsid w:val="00300E16"/>
    <w:rsid w:val="003024E6"/>
    <w:rsid w:val="00302580"/>
    <w:rsid w:val="00302D3F"/>
    <w:rsid w:val="0030383E"/>
    <w:rsid w:val="00303D3F"/>
    <w:rsid w:val="00304F7E"/>
    <w:rsid w:val="003062AA"/>
    <w:rsid w:val="0030768E"/>
    <w:rsid w:val="00310CCD"/>
    <w:rsid w:val="00315987"/>
    <w:rsid w:val="003159AC"/>
    <w:rsid w:val="00316FB5"/>
    <w:rsid w:val="00317B9B"/>
    <w:rsid w:val="00317EA3"/>
    <w:rsid w:val="00320A0A"/>
    <w:rsid w:val="00322213"/>
    <w:rsid w:val="00322352"/>
    <w:rsid w:val="00323813"/>
    <w:rsid w:val="00324D22"/>
    <w:rsid w:val="003251BF"/>
    <w:rsid w:val="0032557B"/>
    <w:rsid w:val="00326642"/>
    <w:rsid w:val="00326F5B"/>
    <w:rsid w:val="003279A6"/>
    <w:rsid w:val="0033153E"/>
    <w:rsid w:val="00331871"/>
    <w:rsid w:val="00332847"/>
    <w:rsid w:val="003330D2"/>
    <w:rsid w:val="00335924"/>
    <w:rsid w:val="00336061"/>
    <w:rsid w:val="003360BF"/>
    <w:rsid w:val="003379E1"/>
    <w:rsid w:val="003403CA"/>
    <w:rsid w:val="0034206D"/>
    <w:rsid w:val="00343F10"/>
    <w:rsid w:val="00350484"/>
    <w:rsid w:val="0035164C"/>
    <w:rsid w:val="00351728"/>
    <w:rsid w:val="00356F1E"/>
    <w:rsid w:val="00356FD4"/>
    <w:rsid w:val="0035739A"/>
    <w:rsid w:val="00357E6A"/>
    <w:rsid w:val="00357F44"/>
    <w:rsid w:val="003614AA"/>
    <w:rsid w:val="0036167C"/>
    <w:rsid w:val="00362A91"/>
    <w:rsid w:val="003635AC"/>
    <w:rsid w:val="00363678"/>
    <w:rsid w:val="003637BC"/>
    <w:rsid w:val="0036413E"/>
    <w:rsid w:val="00366615"/>
    <w:rsid w:val="003677F2"/>
    <w:rsid w:val="003703DA"/>
    <w:rsid w:val="00370DE9"/>
    <w:rsid w:val="0037143E"/>
    <w:rsid w:val="00371A08"/>
    <w:rsid w:val="00372876"/>
    <w:rsid w:val="003754F0"/>
    <w:rsid w:val="00375E11"/>
    <w:rsid w:val="00375E2D"/>
    <w:rsid w:val="003762E1"/>
    <w:rsid w:val="00376316"/>
    <w:rsid w:val="0037696B"/>
    <w:rsid w:val="00384988"/>
    <w:rsid w:val="00384D72"/>
    <w:rsid w:val="0038588B"/>
    <w:rsid w:val="00386DD7"/>
    <w:rsid w:val="003875F6"/>
    <w:rsid w:val="00387C86"/>
    <w:rsid w:val="003932EA"/>
    <w:rsid w:val="00393A0A"/>
    <w:rsid w:val="00394390"/>
    <w:rsid w:val="003948DA"/>
    <w:rsid w:val="003A0753"/>
    <w:rsid w:val="003A07D2"/>
    <w:rsid w:val="003A0B46"/>
    <w:rsid w:val="003A2641"/>
    <w:rsid w:val="003A3AA6"/>
    <w:rsid w:val="003A3F62"/>
    <w:rsid w:val="003A5451"/>
    <w:rsid w:val="003A57F1"/>
    <w:rsid w:val="003A5836"/>
    <w:rsid w:val="003A6394"/>
    <w:rsid w:val="003A6E86"/>
    <w:rsid w:val="003B0510"/>
    <w:rsid w:val="003B09C2"/>
    <w:rsid w:val="003B1B2E"/>
    <w:rsid w:val="003B4221"/>
    <w:rsid w:val="003B5E77"/>
    <w:rsid w:val="003B6E16"/>
    <w:rsid w:val="003B70DB"/>
    <w:rsid w:val="003B72CB"/>
    <w:rsid w:val="003B7464"/>
    <w:rsid w:val="003B7566"/>
    <w:rsid w:val="003B7D4B"/>
    <w:rsid w:val="003C0F3D"/>
    <w:rsid w:val="003C29B0"/>
    <w:rsid w:val="003C5F82"/>
    <w:rsid w:val="003C60F7"/>
    <w:rsid w:val="003C6948"/>
    <w:rsid w:val="003D0D32"/>
    <w:rsid w:val="003D2593"/>
    <w:rsid w:val="003D33FF"/>
    <w:rsid w:val="003D41DE"/>
    <w:rsid w:val="003D42FD"/>
    <w:rsid w:val="003D5002"/>
    <w:rsid w:val="003E127F"/>
    <w:rsid w:val="003E3061"/>
    <w:rsid w:val="003E6EBF"/>
    <w:rsid w:val="003E75CF"/>
    <w:rsid w:val="003F1E55"/>
    <w:rsid w:val="003F1E72"/>
    <w:rsid w:val="003F2BE6"/>
    <w:rsid w:val="003F2FFD"/>
    <w:rsid w:val="003F7232"/>
    <w:rsid w:val="004000BC"/>
    <w:rsid w:val="0040068F"/>
    <w:rsid w:val="004008B4"/>
    <w:rsid w:val="00402C52"/>
    <w:rsid w:val="00403814"/>
    <w:rsid w:val="0040516F"/>
    <w:rsid w:val="00406BCB"/>
    <w:rsid w:val="00410724"/>
    <w:rsid w:val="00410ED7"/>
    <w:rsid w:val="00411382"/>
    <w:rsid w:val="004113FC"/>
    <w:rsid w:val="0041201B"/>
    <w:rsid w:val="00414C8B"/>
    <w:rsid w:val="004166D3"/>
    <w:rsid w:val="00416A44"/>
    <w:rsid w:val="0041743D"/>
    <w:rsid w:val="004236E5"/>
    <w:rsid w:val="004236E8"/>
    <w:rsid w:val="004249D9"/>
    <w:rsid w:val="00424E46"/>
    <w:rsid w:val="00425C33"/>
    <w:rsid w:val="00426455"/>
    <w:rsid w:val="00430DCE"/>
    <w:rsid w:val="0043128A"/>
    <w:rsid w:val="00435759"/>
    <w:rsid w:val="00435951"/>
    <w:rsid w:val="00436C05"/>
    <w:rsid w:val="00437608"/>
    <w:rsid w:val="00437B9B"/>
    <w:rsid w:val="0044331A"/>
    <w:rsid w:val="00443CB0"/>
    <w:rsid w:val="00444A99"/>
    <w:rsid w:val="00450619"/>
    <w:rsid w:val="00450B06"/>
    <w:rsid w:val="0045114E"/>
    <w:rsid w:val="00451E0C"/>
    <w:rsid w:val="004527C7"/>
    <w:rsid w:val="004532C3"/>
    <w:rsid w:val="00454933"/>
    <w:rsid w:val="004549AD"/>
    <w:rsid w:val="00454EC9"/>
    <w:rsid w:val="00454EDF"/>
    <w:rsid w:val="0045650B"/>
    <w:rsid w:val="004574B2"/>
    <w:rsid w:val="00460041"/>
    <w:rsid w:val="00463951"/>
    <w:rsid w:val="00463A4A"/>
    <w:rsid w:val="00463D79"/>
    <w:rsid w:val="00463F89"/>
    <w:rsid w:val="00464DC6"/>
    <w:rsid w:val="00464F4C"/>
    <w:rsid w:val="00465701"/>
    <w:rsid w:val="00465FE5"/>
    <w:rsid w:val="00466893"/>
    <w:rsid w:val="0046751F"/>
    <w:rsid w:val="004676DB"/>
    <w:rsid w:val="00470CB2"/>
    <w:rsid w:val="00470D58"/>
    <w:rsid w:val="00472552"/>
    <w:rsid w:val="00474C2B"/>
    <w:rsid w:val="00475D3A"/>
    <w:rsid w:val="00477A19"/>
    <w:rsid w:val="0048026A"/>
    <w:rsid w:val="00480443"/>
    <w:rsid w:val="004806D0"/>
    <w:rsid w:val="004827DE"/>
    <w:rsid w:val="00482B92"/>
    <w:rsid w:val="0048520C"/>
    <w:rsid w:val="00486423"/>
    <w:rsid w:val="00487B4A"/>
    <w:rsid w:val="00490C08"/>
    <w:rsid w:val="0049253A"/>
    <w:rsid w:val="00492A3E"/>
    <w:rsid w:val="00492AFE"/>
    <w:rsid w:val="00494681"/>
    <w:rsid w:val="00494F12"/>
    <w:rsid w:val="004967F4"/>
    <w:rsid w:val="004978AB"/>
    <w:rsid w:val="004A188B"/>
    <w:rsid w:val="004A199D"/>
    <w:rsid w:val="004A2301"/>
    <w:rsid w:val="004A26CD"/>
    <w:rsid w:val="004A3104"/>
    <w:rsid w:val="004A4B13"/>
    <w:rsid w:val="004A550B"/>
    <w:rsid w:val="004A5A15"/>
    <w:rsid w:val="004A5B55"/>
    <w:rsid w:val="004A68B5"/>
    <w:rsid w:val="004A6E82"/>
    <w:rsid w:val="004B2895"/>
    <w:rsid w:val="004B2DE3"/>
    <w:rsid w:val="004B3AD5"/>
    <w:rsid w:val="004B4315"/>
    <w:rsid w:val="004B4BC8"/>
    <w:rsid w:val="004B4E5E"/>
    <w:rsid w:val="004B514D"/>
    <w:rsid w:val="004B5C71"/>
    <w:rsid w:val="004B6C08"/>
    <w:rsid w:val="004B76AB"/>
    <w:rsid w:val="004C0E8B"/>
    <w:rsid w:val="004C1145"/>
    <w:rsid w:val="004C1FE5"/>
    <w:rsid w:val="004C6B46"/>
    <w:rsid w:val="004C785D"/>
    <w:rsid w:val="004C7A47"/>
    <w:rsid w:val="004D027B"/>
    <w:rsid w:val="004D1C05"/>
    <w:rsid w:val="004D2592"/>
    <w:rsid w:val="004D2632"/>
    <w:rsid w:val="004D320B"/>
    <w:rsid w:val="004D4CED"/>
    <w:rsid w:val="004D5374"/>
    <w:rsid w:val="004D7F77"/>
    <w:rsid w:val="004E125D"/>
    <w:rsid w:val="004E517B"/>
    <w:rsid w:val="004E5944"/>
    <w:rsid w:val="004E5DF0"/>
    <w:rsid w:val="004E609D"/>
    <w:rsid w:val="004E6490"/>
    <w:rsid w:val="004E69A3"/>
    <w:rsid w:val="004E7A8D"/>
    <w:rsid w:val="004E7B62"/>
    <w:rsid w:val="004F1A72"/>
    <w:rsid w:val="004F1CA3"/>
    <w:rsid w:val="004F1EC9"/>
    <w:rsid w:val="004F23A3"/>
    <w:rsid w:val="004F2730"/>
    <w:rsid w:val="004F5265"/>
    <w:rsid w:val="004F5268"/>
    <w:rsid w:val="004F5DD3"/>
    <w:rsid w:val="004F6201"/>
    <w:rsid w:val="005002CD"/>
    <w:rsid w:val="005056D9"/>
    <w:rsid w:val="00505CBB"/>
    <w:rsid w:val="00506D9E"/>
    <w:rsid w:val="005071A7"/>
    <w:rsid w:val="00510A6D"/>
    <w:rsid w:val="00510BCC"/>
    <w:rsid w:val="0051132F"/>
    <w:rsid w:val="00511404"/>
    <w:rsid w:val="00511BFC"/>
    <w:rsid w:val="00516BC5"/>
    <w:rsid w:val="005173D2"/>
    <w:rsid w:val="005179EC"/>
    <w:rsid w:val="00517C19"/>
    <w:rsid w:val="00520C68"/>
    <w:rsid w:val="0052110B"/>
    <w:rsid w:val="0052370A"/>
    <w:rsid w:val="00523725"/>
    <w:rsid w:val="00525BFC"/>
    <w:rsid w:val="005262CF"/>
    <w:rsid w:val="0052647C"/>
    <w:rsid w:val="005267E0"/>
    <w:rsid w:val="00526F44"/>
    <w:rsid w:val="00527620"/>
    <w:rsid w:val="00527F79"/>
    <w:rsid w:val="00530075"/>
    <w:rsid w:val="00531953"/>
    <w:rsid w:val="005319CF"/>
    <w:rsid w:val="0053390C"/>
    <w:rsid w:val="00534558"/>
    <w:rsid w:val="00535039"/>
    <w:rsid w:val="00536BE7"/>
    <w:rsid w:val="00540469"/>
    <w:rsid w:val="00541545"/>
    <w:rsid w:val="0054169A"/>
    <w:rsid w:val="00542F15"/>
    <w:rsid w:val="0054329A"/>
    <w:rsid w:val="00543E37"/>
    <w:rsid w:val="00544DD2"/>
    <w:rsid w:val="005469AB"/>
    <w:rsid w:val="005476B8"/>
    <w:rsid w:val="0054773A"/>
    <w:rsid w:val="005477C9"/>
    <w:rsid w:val="00547B4D"/>
    <w:rsid w:val="0055025C"/>
    <w:rsid w:val="00550434"/>
    <w:rsid w:val="00550C6A"/>
    <w:rsid w:val="00550DE9"/>
    <w:rsid w:val="00551B51"/>
    <w:rsid w:val="00551CA1"/>
    <w:rsid w:val="00552ED4"/>
    <w:rsid w:val="005530E1"/>
    <w:rsid w:val="005533EE"/>
    <w:rsid w:val="00555CB9"/>
    <w:rsid w:val="005569DF"/>
    <w:rsid w:val="00556A1F"/>
    <w:rsid w:val="00556FBE"/>
    <w:rsid w:val="0056013E"/>
    <w:rsid w:val="00560179"/>
    <w:rsid w:val="00560619"/>
    <w:rsid w:val="00560FD5"/>
    <w:rsid w:val="00562AD5"/>
    <w:rsid w:val="00562D6B"/>
    <w:rsid w:val="00563EA6"/>
    <w:rsid w:val="00564704"/>
    <w:rsid w:val="005674F9"/>
    <w:rsid w:val="005718E5"/>
    <w:rsid w:val="00571A19"/>
    <w:rsid w:val="00572F34"/>
    <w:rsid w:val="005737FE"/>
    <w:rsid w:val="005759D6"/>
    <w:rsid w:val="00575A23"/>
    <w:rsid w:val="00576388"/>
    <w:rsid w:val="00580576"/>
    <w:rsid w:val="0058098D"/>
    <w:rsid w:val="00580ECF"/>
    <w:rsid w:val="00580F2B"/>
    <w:rsid w:val="00582536"/>
    <w:rsid w:val="00582D86"/>
    <w:rsid w:val="00583507"/>
    <w:rsid w:val="00583774"/>
    <w:rsid w:val="00583A9A"/>
    <w:rsid w:val="00583B35"/>
    <w:rsid w:val="00583EF3"/>
    <w:rsid w:val="005846B4"/>
    <w:rsid w:val="00584E21"/>
    <w:rsid w:val="005901C9"/>
    <w:rsid w:val="0059155A"/>
    <w:rsid w:val="005931EE"/>
    <w:rsid w:val="005944FB"/>
    <w:rsid w:val="00594693"/>
    <w:rsid w:val="005A087E"/>
    <w:rsid w:val="005A19B8"/>
    <w:rsid w:val="005A1E45"/>
    <w:rsid w:val="005A22AE"/>
    <w:rsid w:val="005A267C"/>
    <w:rsid w:val="005A2FA6"/>
    <w:rsid w:val="005A42B8"/>
    <w:rsid w:val="005A55BA"/>
    <w:rsid w:val="005A7590"/>
    <w:rsid w:val="005B051A"/>
    <w:rsid w:val="005B15BD"/>
    <w:rsid w:val="005B1A38"/>
    <w:rsid w:val="005B1F4C"/>
    <w:rsid w:val="005B3D08"/>
    <w:rsid w:val="005B3F02"/>
    <w:rsid w:val="005B6848"/>
    <w:rsid w:val="005B74FF"/>
    <w:rsid w:val="005B7828"/>
    <w:rsid w:val="005B7AF7"/>
    <w:rsid w:val="005C0613"/>
    <w:rsid w:val="005C2057"/>
    <w:rsid w:val="005C3F48"/>
    <w:rsid w:val="005C5626"/>
    <w:rsid w:val="005C57D7"/>
    <w:rsid w:val="005C6133"/>
    <w:rsid w:val="005C79BA"/>
    <w:rsid w:val="005C7BDD"/>
    <w:rsid w:val="005D0B1B"/>
    <w:rsid w:val="005D1CE3"/>
    <w:rsid w:val="005D2D59"/>
    <w:rsid w:val="005D4D06"/>
    <w:rsid w:val="005D4D0E"/>
    <w:rsid w:val="005D4E8D"/>
    <w:rsid w:val="005D5C93"/>
    <w:rsid w:val="005D79F2"/>
    <w:rsid w:val="005E03E1"/>
    <w:rsid w:val="005E14AD"/>
    <w:rsid w:val="005E1553"/>
    <w:rsid w:val="005E50B3"/>
    <w:rsid w:val="005E5E4D"/>
    <w:rsid w:val="005E5F14"/>
    <w:rsid w:val="005E79F6"/>
    <w:rsid w:val="005F0C26"/>
    <w:rsid w:val="005F112E"/>
    <w:rsid w:val="005F19B3"/>
    <w:rsid w:val="005F211B"/>
    <w:rsid w:val="005F2CD3"/>
    <w:rsid w:val="005F575C"/>
    <w:rsid w:val="005F6536"/>
    <w:rsid w:val="0060145B"/>
    <w:rsid w:val="00602351"/>
    <w:rsid w:val="00603580"/>
    <w:rsid w:val="00605694"/>
    <w:rsid w:val="00607BDD"/>
    <w:rsid w:val="006120B6"/>
    <w:rsid w:val="00612136"/>
    <w:rsid w:val="00612492"/>
    <w:rsid w:val="0061608D"/>
    <w:rsid w:val="00616CCF"/>
    <w:rsid w:val="00616D4B"/>
    <w:rsid w:val="006170B9"/>
    <w:rsid w:val="00617BF5"/>
    <w:rsid w:val="00621814"/>
    <w:rsid w:val="00621E34"/>
    <w:rsid w:val="0062420E"/>
    <w:rsid w:val="0062434E"/>
    <w:rsid w:val="00624790"/>
    <w:rsid w:val="00624885"/>
    <w:rsid w:val="00625FAB"/>
    <w:rsid w:val="00626A65"/>
    <w:rsid w:val="00627720"/>
    <w:rsid w:val="00627BA5"/>
    <w:rsid w:val="0063018B"/>
    <w:rsid w:val="0063190B"/>
    <w:rsid w:val="00631AE2"/>
    <w:rsid w:val="00632EB9"/>
    <w:rsid w:val="0063523A"/>
    <w:rsid w:val="006356E7"/>
    <w:rsid w:val="006360EE"/>
    <w:rsid w:val="006363B6"/>
    <w:rsid w:val="00637B9B"/>
    <w:rsid w:val="0064187A"/>
    <w:rsid w:val="00641BE8"/>
    <w:rsid w:val="00642046"/>
    <w:rsid w:val="00643349"/>
    <w:rsid w:val="00645FB8"/>
    <w:rsid w:val="00646454"/>
    <w:rsid w:val="0064673E"/>
    <w:rsid w:val="006468BB"/>
    <w:rsid w:val="006527AC"/>
    <w:rsid w:val="00652CB6"/>
    <w:rsid w:val="0065353B"/>
    <w:rsid w:val="00653A42"/>
    <w:rsid w:val="00655EC0"/>
    <w:rsid w:val="00656633"/>
    <w:rsid w:val="00656B4A"/>
    <w:rsid w:val="006572D2"/>
    <w:rsid w:val="00657FE2"/>
    <w:rsid w:val="00660188"/>
    <w:rsid w:val="00660C8D"/>
    <w:rsid w:val="00660D37"/>
    <w:rsid w:val="00662F13"/>
    <w:rsid w:val="006640C7"/>
    <w:rsid w:val="006642A5"/>
    <w:rsid w:val="006648A3"/>
    <w:rsid w:val="00664962"/>
    <w:rsid w:val="00665448"/>
    <w:rsid w:val="006656DB"/>
    <w:rsid w:val="00665707"/>
    <w:rsid w:val="006663B8"/>
    <w:rsid w:val="006671E6"/>
    <w:rsid w:val="006704B8"/>
    <w:rsid w:val="00670514"/>
    <w:rsid w:val="006713FA"/>
    <w:rsid w:val="00671A30"/>
    <w:rsid w:val="00674312"/>
    <w:rsid w:val="00674B4F"/>
    <w:rsid w:val="00674BAF"/>
    <w:rsid w:val="00675484"/>
    <w:rsid w:val="006756C7"/>
    <w:rsid w:val="00676F98"/>
    <w:rsid w:val="006775FF"/>
    <w:rsid w:val="0068009C"/>
    <w:rsid w:val="00680810"/>
    <w:rsid w:val="00681A80"/>
    <w:rsid w:val="00682DE1"/>
    <w:rsid w:val="00686350"/>
    <w:rsid w:val="006868C2"/>
    <w:rsid w:val="00686DE0"/>
    <w:rsid w:val="00690E56"/>
    <w:rsid w:val="00691014"/>
    <w:rsid w:val="00692F1D"/>
    <w:rsid w:val="00693117"/>
    <w:rsid w:val="006944EA"/>
    <w:rsid w:val="00694651"/>
    <w:rsid w:val="00694BAF"/>
    <w:rsid w:val="006963ED"/>
    <w:rsid w:val="006A002F"/>
    <w:rsid w:val="006A16DF"/>
    <w:rsid w:val="006A1EBB"/>
    <w:rsid w:val="006A1FB5"/>
    <w:rsid w:val="006A20E6"/>
    <w:rsid w:val="006A29E5"/>
    <w:rsid w:val="006A33F4"/>
    <w:rsid w:val="006A4572"/>
    <w:rsid w:val="006A4C9A"/>
    <w:rsid w:val="006A5237"/>
    <w:rsid w:val="006A616B"/>
    <w:rsid w:val="006B032B"/>
    <w:rsid w:val="006B09FE"/>
    <w:rsid w:val="006B2111"/>
    <w:rsid w:val="006B2A39"/>
    <w:rsid w:val="006B2A51"/>
    <w:rsid w:val="006B640A"/>
    <w:rsid w:val="006B71C0"/>
    <w:rsid w:val="006C0B2B"/>
    <w:rsid w:val="006C2099"/>
    <w:rsid w:val="006C2514"/>
    <w:rsid w:val="006C30E1"/>
    <w:rsid w:val="006C37E3"/>
    <w:rsid w:val="006C59F6"/>
    <w:rsid w:val="006C6DDD"/>
    <w:rsid w:val="006D0355"/>
    <w:rsid w:val="006D10EF"/>
    <w:rsid w:val="006D17BF"/>
    <w:rsid w:val="006D1B1C"/>
    <w:rsid w:val="006D2275"/>
    <w:rsid w:val="006D2609"/>
    <w:rsid w:val="006D3BE2"/>
    <w:rsid w:val="006D3E66"/>
    <w:rsid w:val="006D4D67"/>
    <w:rsid w:val="006D5988"/>
    <w:rsid w:val="006D6B47"/>
    <w:rsid w:val="006E053D"/>
    <w:rsid w:val="006E0941"/>
    <w:rsid w:val="006E10AC"/>
    <w:rsid w:val="006E145C"/>
    <w:rsid w:val="006E3B97"/>
    <w:rsid w:val="006E3D2E"/>
    <w:rsid w:val="006E7560"/>
    <w:rsid w:val="006F02C2"/>
    <w:rsid w:val="006F053B"/>
    <w:rsid w:val="006F1AAF"/>
    <w:rsid w:val="006F2547"/>
    <w:rsid w:val="006F2811"/>
    <w:rsid w:val="006F4B50"/>
    <w:rsid w:val="006F648A"/>
    <w:rsid w:val="006F78D8"/>
    <w:rsid w:val="0070041D"/>
    <w:rsid w:val="007004E3"/>
    <w:rsid w:val="00702604"/>
    <w:rsid w:val="00702D8B"/>
    <w:rsid w:val="00703740"/>
    <w:rsid w:val="007037CD"/>
    <w:rsid w:val="00703BE2"/>
    <w:rsid w:val="00704728"/>
    <w:rsid w:val="00704955"/>
    <w:rsid w:val="00706648"/>
    <w:rsid w:val="007068AF"/>
    <w:rsid w:val="00707FA3"/>
    <w:rsid w:val="0071055A"/>
    <w:rsid w:val="00710C7A"/>
    <w:rsid w:val="00712279"/>
    <w:rsid w:val="00712D7D"/>
    <w:rsid w:val="0071344F"/>
    <w:rsid w:val="00714F9F"/>
    <w:rsid w:val="007162BB"/>
    <w:rsid w:val="00717815"/>
    <w:rsid w:val="00721C91"/>
    <w:rsid w:val="00722290"/>
    <w:rsid w:val="00722585"/>
    <w:rsid w:val="00724D98"/>
    <w:rsid w:val="00725131"/>
    <w:rsid w:val="00725FB4"/>
    <w:rsid w:val="00727217"/>
    <w:rsid w:val="007277B6"/>
    <w:rsid w:val="00727B88"/>
    <w:rsid w:val="00730C6B"/>
    <w:rsid w:val="007316B2"/>
    <w:rsid w:val="00733489"/>
    <w:rsid w:val="00734B3D"/>
    <w:rsid w:val="007358EA"/>
    <w:rsid w:val="0073660E"/>
    <w:rsid w:val="007366AD"/>
    <w:rsid w:val="00737447"/>
    <w:rsid w:val="00737BDE"/>
    <w:rsid w:val="007407A1"/>
    <w:rsid w:val="007418CA"/>
    <w:rsid w:val="00741DCE"/>
    <w:rsid w:val="00742252"/>
    <w:rsid w:val="00743712"/>
    <w:rsid w:val="00744229"/>
    <w:rsid w:val="00745D82"/>
    <w:rsid w:val="00746654"/>
    <w:rsid w:val="00746842"/>
    <w:rsid w:val="00746C9E"/>
    <w:rsid w:val="00746F2A"/>
    <w:rsid w:val="00753C8A"/>
    <w:rsid w:val="007549E4"/>
    <w:rsid w:val="00754ABD"/>
    <w:rsid w:val="007555FD"/>
    <w:rsid w:val="007568EF"/>
    <w:rsid w:val="007573AA"/>
    <w:rsid w:val="00757851"/>
    <w:rsid w:val="00760078"/>
    <w:rsid w:val="00761FC4"/>
    <w:rsid w:val="00762CB3"/>
    <w:rsid w:val="00763922"/>
    <w:rsid w:val="007652A3"/>
    <w:rsid w:val="007657AA"/>
    <w:rsid w:val="00765FF0"/>
    <w:rsid w:val="00766D5C"/>
    <w:rsid w:val="007675F4"/>
    <w:rsid w:val="00767B1C"/>
    <w:rsid w:val="007710FC"/>
    <w:rsid w:val="00772F59"/>
    <w:rsid w:val="00773CB5"/>
    <w:rsid w:val="00774AEF"/>
    <w:rsid w:val="00775351"/>
    <w:rsid w:val="007754A0"/>
    <w:rsid w:val="00775542"/>
    <w:rsid w:val="0077798C"/>
    <w:rsid w:val="007801D9"/>
    <w:rsid w:val="0078176C"/>
    <w:rsid w:val="007826DB"/>
    <w:rsid w:val="0078556A"/>
    <w:rsid w:val="00785714"/>
    <w:rsid w:val="0078661A"/>
    <w:rsid w:val="00786A93"/>
    <w:rsid w:val="00787C34"/>
    <w:rsid w:val="00790A2D"/>
    <w:rsid w:val="00790CC7"/>
    <w:rsid w:val="0079105F"/>
    <w:rsid w:val="00792A6C"/>
    <w:rsid w:val="007932B5"/>
    <w:rsid w:val="007936F3"/>
    <w:rsid w:val="0079742C"/>
    <w:rsid w:val="0079763D"/>
    <w:rsid w:val="00797DB5"/>
    <w:rsid w:val="007A10AF"/>
    <w:rsid w:val="007A23D8"/>
    <w:rsid w:val="007A2923"/>
    <w:rsid w:val="007A2E23"/>
    <w:rsid w:val="007A35C1"/>
    <w:rsid w:val="007A5BA5"/>
    <w:rsid w:val="007A6FBA"/>
    <w:rsid w:val="007B156D"/>
    <w:rsid w:val="007B198E"/>
    <w:rsid w:val="007B2036"/>
    <w:rsid w:val="007B23D4"/>
    <w:rsid w:val="007B27A5"/>
    <w:rsid w:val="007B462D"/>
    <w:rsid w:val="007B6E32"/>
    <w:rsid w:val="007B7E3B"/>
    <w:rsid w:val="007C010B"/>
    <w:rsid w:val="007C018C"/>
    <w:rsid w:val="007C08D1"/>
    <w:rsid w:val="007C14CF"/>
    <w:rsid w:val="007C2A63"/>
    <w:rsid w:val="007C3903"/>
    <w:rsid w:val="007C3A13"/>
    <w:rsid w:val="007C3DD5"/>
    <w:rsid w:val="007C4A49"/>
    <w:rsid w:val="007C5F92"/>
    <w:rsid w:val="007C63DE"/>
    <w:rsid w:val="007C6944"/>
    <w:rsid w:val="007C7F06"/>
    <w:rsid w:val="007D13B1"/>
    <w:rsid w:val="007D1968"/>
    <w:rsid w:val="007D23A2"/>
    <w:rsid w:val="007D34A9"/>
    <w:rsid w:val="007D42BC"/>
    <w:rsid w:val="007D4800"/>
    <w:rsid w:val="007D5944"/>
    <w:rsid w:val="007D5C48"/>
    <w:rsid w:val="007E2339"/>
    <w:rsid w:val="007E288E"/>
    <w:rsid w:val="007E2F58"/>
    <w:rsid w:val="007E4322"/>
    <w:rsid w:val="007E4803"/>
    <w:rsid w:val="007E4E23"/>
    <w:rsid w:val="007E4F0C"/>
    <w:rsid w:val="007E563D"/>
    <w:rsid w:val="007E6EDF"/>
    <w:rsid w:val="007E7C28"/>
    <w:rsid w:val="007E7F55"/>
    <w:rsid w:val="007F0993"/>
    <w:rsid w:val="007F0B8C"/>
    <w:rsid w:val="007F1C33"/>
    <w:rsid w:val="007F424D"/>
    <w:rsid w:val="007F4D31"/>
    <w:rsid w:val="007F5123"/>
    <w:rsid w:val="007F56BE"/>
    <w:rsid w:val="007F5C52"/>
    <w:rsid w:val="007F63E8"/>
    <w:rsid w:val="00800032"/>
    <w:rsid w:val="008007E6"/>
    <w:rsid w:val="00801106"/>
    <w:rsid w:val="00801201"/>
    <w:rsid w:val="008026A0"/>
    <w:rsid w:val="008041E3"/>
    <w:rsid w:val="00804B50"/>
    <w:rsid w:val="008057AE"/>
    <w:rsid w:val="00805D30"/>
    <w:rsid w:val="00806055"/>
    <w:rsid w:val="00810AA8"/>
    <w:rsid w:val="00810B42"/>
    <w:rsid w:val="00811693"/>
    <w:rsid w:val="00811D15"/>
    <w:rsid w:val="0081365F"/>
    <w:rsid w:val="00813EA8"/>
    <w:rsid w:val="00815411"/>
    <w:rsid w:val="00817644"/>
    <w:rsid w:val="0082137E"/>
    <w:rsid w:val="00821458"/>
    <w:rsid w:val="00821609"/>
    <w:rsid w:val="00821738"/>
    <w:rsid w:val="00822265"/>
    <w:rsid w:val="00822AF2"/>
    <w:rsid w:val="00822D55"/>
    <w:rsid w:val="0082302A"/>
    <w:rsid w:val="0082469B"/>
    <w:rsid w:val="00825935"/>
    <w:rsid w:val="00827068"/>
    <w:rsid w:val="008279A7"/>
    <w:rsid w:val="00827A7F"/>
    <w:rsid w:val="00830EFE"/>
    <w:rsid w:val="00831317"/>
    <w:rsid w:val="00832491"/>
    <w:rsid w:val="00833437"/>
    <w:rsid w:val="00837041"/>
    <w:rsid w:val="008438E7"/>
    <w:rsid w:val="00844A02"/>
    <w:rsid w:val="00845710"/>
    <w:rsid w:val="008457D0"/>
    <w:rsid w:val="00850957"/>
    <w:rsid w:val="008509CF"/>
    <w:rsid w:val="008517AD"/>
    <w:rsid w:val="008520F8"/>
    <w:rsid w:val="00852C1A"/>
    <w:rsid w:val="00852EB3"/>
    <w:rsid w:val="0085360C"/>
    <w:rsid w:val="00853E38"/>
    <w:rsid w:val="00854F25"/>
    <w:rsid w:val="00855F71"/>
    <w:rsid w:val="00857076"/>
    <w:rsid w:val="00857F27"/>
    <w:rsid w:val="00860258"/>
    <w:rsid w:val="008606BA"/>
    <w:rsid w:val="008628EE"/>
    <w:rsid w:val="00863653"/>
    <w:rsid w:val="00863C7A"/>
    <w:rsid w:val="00864529"/>
    <w:rsid w:val="00864943"/>
    <w:rsid w:val="00865606"/>
    <w:rsid w:val="00866A6C"/>
    <w:rsid w:val="00866AB5"/>
    <w:rsid w:val="00866B89"/>
    <w:rsid w:val="0086700A"/>
    <w:rsid w:val="008677C4"/>
    <w:rsid w:val="00867805"/>
    <w:rsid w:val="008705CF"/>
    <w:rsid w:val="00870847"/>
    <w:rsid w:val="00870C01"/>
    <w:rsid w:val="00870D5E"/>
    <w:rsid w:val="00871C49"/>
    <w:rsid w:val="00871E9E"/>
    <w:rsid w:val="008720A2"/>
    <w:rsid w:val="0087302F"/>
    <w:rsid w:val="00873153"/>
    <w:rsid w:val="0087608B"/>
    <w:rsid w:val="008768AB"/>
    <w:rsid w:val="00876AA8"/>
    <w:rsid w:val="008808FD"/>
    <w:rsid w:val="008814EA"/>
    <w:rsid w:val="008819CE"/>
    <w:rsid w:val="00881E85"/>
    <w:rsid w:val="008822BE"/>
    <w:rsid w:val="008831F0"/>
    <w:rsid w:val="008835BE"/>
    <w:rsid w:val="00883674"/>
    <w:rsid w:val="00883EB1"/>
    <w:rsid w:val="00884667"/>
    <w:rsid w:val="00885EB2"/>
    <w:rsid w:val="00886CD5"/>
    <w:rsid w:val="00887A13"/>
    <w:rsid w:val="0089060D"/>
    <w:rsid w:val="00891033"/>
    <w:rsid w:val="008922BA"/>
    <w:rsid w:val="00897192"/>
    <w:rsid w:val="008972A1"/>
    <w:rsid w:val="008A1555"/>
    <w:rsid w:val="008A26DA"/>
    <w:rsid w:val="008A2C3E"/>
    <w:rsid w:val="008A3A66"/>
    <w:rsid w:val="008A6FF4"/>
    <w:rsid w:val="008A702C"/>
    <w:rsid w:val="008B365B"/>
    <w:rsid w:val="008B48B1"/>
    <w:rsid w:val="008B4FDE"/>
    <w:rsid w:val="008C02BE"/>
    <w:rsid w:val="008C1396"/>
    <w:rsid w:val="008C27F6"/>
    <w:rsid w:val="008C2830"/>
    <w:rsid w:val="008C3330"/>
    <w:rsid w:val="008C3AB4"/>
    <w:rsid w:val="008C47B8"/>
    <w:rsid w:val="008C4A7D"/>
    <w:rsid w:val="008C72D1"/>
    <w:rsid w:val="008C7F9C"/>
    <w:rsid w:val="008D257B"/>
    <w:rsid w:val="008D25E5"/>
    <w:rsid w:val="008D3175"/>
    <w:rsid w:val="008D33D6"/>
    <w:rsid w:val="008D43AD"/>
    <w:rsid w:val="008D58E3"/>
    <w:rsid w:val="008D705C"/>
    <w:rsid w:val="008E100D"/>
    <w:rsid w:val="008E1AA3"/>
    <w:rsid w:val="008E2623"/>
    <w:rsid w:val="008E2AD7"/>
    <w:rsid w:val="008E5153"/>
    <w:rsid w:val="008E51D8"/>
    <w:rsid w:val="008E5617"/>
    <w:rsid w:val="008E6C4D"/>
    <w:rsid w:val="008E7218"/>
    <w:rsid w:val="008F0087"/>
    <w:rsid w:val="008F041A"/>
    <w:rsid w:val="008F06B9"/>
    <w:rsid w:val="008F110F"/>
    <w:rsid w:val="008F1B19"/>
    <w:rsid w:val="008F1F04"/>
    <w:rsid w:val="008F27E7"/>
    <w:rsid w:val="008F4764"/>
    <w:rsid w:val="008F49DD"/>
    <w:rsid w:val="008F7E9E"/>
    <w:rsid w:val="009016AE"/>
    <w:rsid w:val="00902512"/>
    <w:rsid w:val="00902808"/>
    <w:rsid w:val="009030AA"/>
    <w:rsid w:val="0090329F"/>
    <w:rsid w:val="00903356"/>
    <w:rsid w:val="009049A3"/>
    <w:rsid w:val="00906CCB"/>
    <w:rsid w:val="00907FA9"/>
    <w:rsid w:val="00910F3A"/>
    <w:rsid w:val="00911F29"/>
    <w:rsid w:val="00914CDD"/>
    <w:rsid w:val="0091537A"/>
    <w:rsid w:val="0091586E"/>
    <w:rsid w:val="00915FB6"/>
    <w:rsid w:val="0091663B"/>
    <w:rsid w:val="00917B14"/>
    <w:rsid w:val="00917FAC"/>
    <w:rsid w:val="00922461"/>
    <w:rsid w:val="00922AF8"/>
    <w:rsid w:val="0092323C"/>
    <w:rsid w:val="0092490B"/>
    <w:rsid w:val="00925738"/>
    <w:rsid w:val="00927191"/>
    <w:rsid w:val="0093306C"/>
    <w:rsid w:val="0093339D"/>
    <w:rsid w:val="0093437E"/>
    <w:rsid w:val="00934FE5"/>
    <w:rsid w:val="009352E0"/>
    <w:rsid w:val="009355AF"/>
    <w:rsid w:val="0093562C"/>
    <w:rsid w:val="00935D4C"/>
    <w:rsid w:val="0093721E"/>
    <w:rsid w:val="0094027C"/>
    <w:rsid w:val="009419F2"/>
    <w:rsid w:val="009424DF"/>
    <w:rsid w:val="00943240"/>
    <w:rsid w:val="00943330"/>
    <w:rsid w:val="00943933"/>
    <w:rsid w:val="00943FB5"/>
    <w:rsid w:val="00944206"/>
    <w:rsid w:val="00944F6B"/>
    <w:rsid w:val="00945291"/>
    <w:rsid w:val="009455F1"/>
    <w:rsid w:val="0094683F"/>
    <w:rsid w:val="009514A8"/>
    <w:rsid w:val="00951B1C"/>
    <w:rsid w:val="00952273"/>
    <w:rsid w:val="009524B6"/>
    <w:rsid w:val="00953B99"/>
    <w:rsid w:val="00955549"/>
    <w:rsid w:val="00956119"/>
    <w:rsid w:val="00957115"/>
    <w:rsid w:val="00960C02"/>
    <w:rsid w:val="00961516"/>
    <w:rsid w:val="009640C3"/>
    <w:rsid w:val="00964192"/>
    <w:rsid w:val="0096465F"/>
    <w:rsid w:val="0096476B"/>
    <w:rsid w:val="009657D2"/>
    <w:rsid w:val="009659DB"/>
    <w:rsid w:val="00965B99"/>
    <w:rsid w:val="00965E39"/>
    <w:rsid w:val="00967960"/>
    <w:rsid w:val="00970769"/>
    <w:rsid w:val="00971193"/>
    <w:rsid w:val="009721AA"/>
    <w:rsid w:val="00972D33"/>
    <w:rsid w:val="0097425E"/>
    <w:rsid w:val="00974A42"/>
    <w:rsid w:val="009863FA"/>
    <w:rsid w:val="00986621"/>
    <w:rsid w:val="009869AB"/>
    <w:rsid w:val="009869B7"/>
    <w:rsid w:val="00987202"/>
    <w:rsid w:val="009874D5"/>
    <w:rsid w:val="00990EC3"/>
    <w:rsid w:val="0099105D"/>
    <w:rsid w:val="00991B31"/>
    <w:rsid w:val="009936FA"/>
    <w:rsid w:val="00993EBC"/>
    <w:rsid w:val="00994C5B"/>
    <w:rsid w:val="00997D55"/>
    <w:rsid w:val="009A1AA7"/>
    <w:rsid w:val="009A1EBA"/>
    <w:rsid w:val="009A2360"/>
    <w:rsid w:val="009A516D"/>
    <w:rsid w:val="009A5771"/>
    <w:rsid w:val="009A586C"/>
    <w:rsid w:val="009A5957"/>
    <w:rsid w:val="009A6405"/>
    <w:rsid w:val="009A7DF0"/>
    <w:rsid w:val="009B34A2"/>
    <w:rsid w:val="009B3925"/>
    <w:rsid w:val="009B3A20"/>
    <w:rsid w:val="009B41E6"/>
    <w:rsid w:val="009B49F5"/>
    <w:rsid w:val="009B77A7"/>
    <w:rsid w:val="009B7954"/>
    <w:rsid w:val="009C0BFB"/>
    <w:rsid w:val="009C16BF"/>
    <w:rsid w:val="009C1B61"/>
    <w:rsid w:val="009C384A"/>
    <w:rsid w:val="009C3C41"/>
    <w:rsid w:val="009C49EB"/>
    <w:rsid w:val="009C779F"/>
    <w:rsid w:val="009D0008"/>
    <w:rsid w:val="009D0068"/>
    <w:rsid w:val="009D043E"/>
    <w:rsid w:val="009D1848"/>
    <w:rsid w:val="009D211E"/>
    <w:rsid w:val="009D2FA1"/>
    <w:rsid w:val="009D4FE4"/>
    <w:rsid w:val="009D5594"/>
    <w:rsid w:val="009D578D"/>
    <w:rsid w:val="009E0BD4"/>
    <w:rsid w:val="009E14AE"/>
    <w:rsid w:val="009E437C"/>
    <w:rsid w:val="009E50E4"/>
    <w:rsid w:val="009E5267"/>
    <w:rsid w:val="009E593D"/>
    <w:rsid w:val="009E66C0"/>
    <w:rsid w:val="009E79D5"/>
    <w:rsid w:val="009F1286"/>
    <w:rsid w:val="009F321A"/>
    <w:rsid w:val="009F3AC6"/>
    <w:rsid w:val="009F4071"/>
    <w:rsid w:val="009F4735"/>
    <w:rsid w:val="009F4ED9"/>
    <w:rsid w:val="009F51C4"/>
    <w:rsid w:val="009F551F"/>
    <w:rsid w:val="009F5668"/>
    <w:rsid w:val="009F687A"/>
    <w:rsid w:val="009F6CDA"/>
    <w:rsid w:val="00A00AC3"/>
    <w:rsid w:val="00A02688"/>
    <w:rsid w:val="00A027F2"/>
    <w:rsid w:val="00A03321"/>
    <w:rsid w:val="00A036B1"/>
    <w:rsid w:val="00A03942"/>
    <w:rsid w:val="00A03990"/>
    <w:rsid w:val="00A0535B"/>
    <w:rsid w:val="00A06DA7"/>
    <w:rsid w:val="00A105A3"/>
    <w:rsid w:val="00A13237"/>
    <w:rsid w:val="00A15CD5"/>
    <w:rsid w:val="00A2196E"/>
    <w:rsid w:val="00A23D70"/>
    <w:rsid w:val="00A27D71"/>
    <w:rsid w:val="00A30907"/>
    <w:rsid w:val="00A32419"/>
    <w:rsid w:val="00A325C1"/>
    <w:rsid w:val="00A33238"/>
    <w:rsid w:val="00A3372E"/>
    <w:rsid w:val="00A35285"/>
    <w:rsid w:val="00A35E4C"/>
    <w:rsid w:val="00A361C5"/>
    <w:rsid w:val="00A372E0"/>
    <w:rsid w:val="00A37804"/>
    <w:rsid w:val="00A404DE"/>
    <w:rsid w:val="00A409E7"/>
    <w:rsid w:val="00A4142C"/>
    <w:rsid w:val="00A418CC"/>
    <w:rsid w:val="00A41E45"/>
    <w:rsid w:val="00A4400B"/>
    <w:rsid w:val="00A44199"/>
    <w:rsid w:val="00A449F3"/>
    <w:rsid w:val="00A4738B"/>
    <w:rsid w:val="00A47A07"/>
    <w:rsid w:val="00A47D11"/>
    <w:rsid w:val="00A520A8"/>
    <w:rsid w:val="00A533B4"/>
    <w:rsid w:val="00A55525"/>
    <w:rsid w:val="00A55956"/>
    <w:rsid w:val="00A5635E"/>
    <w:rsid w:val="00A600ED"/>
    <w:rsid w:val="00A61028"/>
    <w:rsid w:val="00A613BB"/>
    <w:rsid w:val="00A6171F"/>
    <w:rsid w:val="00A61D75"/>
    <w:rsid w:val="00A62DE2"/>
    <w:rsid w:val="00A63276"/>
    <w:rsid w:val="00A64944"/>
    <w:rsid w:val="00A6551A"/>
    <w:rsid w:val="00A66606"/>
    <w:rsid w:val="00A7018D"/>
    <w:rsid w:val="00A7112B"/>
    <w:rsid w:val="00A71474"/>
    <w:rsid w:val="00A738DE"/>
    <w:rsid w:val="00A73AB2"/>
    <w:rsid w:val="00A746CD"/>
    <w:rsid w:val="00A75524"/>
    <w:rsid w:val="00A76D16"/>
    <w:rsid w:val="00A77A25"/>
    <w:rsid w:val="00A80C25"/>
    <w:rsid w:val="00A831F6"/>
    <w:rsid w:val="00A8438A"/>
    <w:rsid w:val="00A84C37"/>
    <w:rsid w:val="00A84CD6"/>
    <w:rsid w:val="00A87CE4"/>
    <w:rsid w:val="00A91A25"/>
    <w:rsid w:val="00A927CE"/>
    <w:rsid w:val="00A95C8C"/>
    <w:rsid w:val="00A961DF"/>
    <w:rsid w:val="00A96716"/>
    <w:rsid w:val="00A96A7F"/>
    <w:rsid w:val="00A97BB1"/>
    <w:rsid w:val="00AA0C07"/>
    <w:rsid w:val="00AA3F11"/>
    <w:rsid w:val="00AA5398"/>
    <w:rsid w:val="00AA5544"/>
    <w:rsid w:val="00AA56D7"/>
    <w:rsid w:val="00AA6330"/>
    <w:rsid w:val="00AA6B14"/>
    <w:rsid w:val="00AB0871"/>
    <w:rsid w:val="00AB16B5"/>
    <w:rsid w:val="00AB22D7"/>
    <w:rsid w:val="00AB22E8"/>
    <w:rsid w:val="00AB7DA1"/>
    <w:rsid w:val="00AC0627"/>
    <w:rsid w:val="00AC0646"/>
    <w:rsid w:val="00AC0F57"/>
    <w:rsid w:val="00AC1643"/>
    <w:rsid w:val="00AC2DE9"/>
    <w:rsid w:val="00AC3781"/>
    <w:rsid w:val="00AC66BB"/>
    <w:rsid w:val="00AC6E66"/>
    <w:rsid w:val="00AC7118"/>
    <w:rsid w:val="00AC7941"/>
    <w:rsid w:val="00AC7D91"/>
    <w:rsid w:val="00AD0991"/>
    <w:rsid w:val="00AD0D4F"/>
    <w:rsid w:val="00AD338E"/>
    <w:rsid w:val="00AD395D"/>
    <w:rsid w:val="00AD3F0B"/>
    <w:rsid w:val="00AD5F83"/>
    <w:rsid w:val="00AD6D16"/>
    <w:rsid w:val="00AD7999"/>
    <w:rsid w:val="00AD7DC6"/>
    <w:rsid w:val="00AE0FAE"/>
    <w:rsid w:val="00AE38C0"/>
    <w:rsid w:val="00AE5FA0"/>
    <w:rsid w:val="00AE7249"/>
    <w:rsid w:val="00AE7327"/>
    <w:rsid w:val="00AE76F5"/>
    <w:rsid w:val="00AF0FA4"/>
    <w:rsid w:val="00AF2B74"/>
    <w:rsid w:val="00AF2FB7"/>
    <w:rsid w:val="00AF3442"/>
    <w:rsid w:val="00AF4EDA"/>
    <w:rsid w:val="00AF5BC5"/>
    <w:rsid w:val="00AF640D"/>
    <w:rsid w:val="00AF6496"/>
    <w:rsid w:val="00AF6567"/>
    <w:rsid w:val="00AF6F9A"/>
    <w:rsid w:val="00AF71FA"/>
    <w:rsid w:val="00AF74D0"/>
    <w:rsid w:val="00AF7C93"/>
    <w:rsid w:val="00B0280F"/>
    <w:rsid w:val="00B04647"/>
    <w:rsid w:val="00B04661"/>
    <w:rsid w:val="00B04A8D"/>
    <w:rsid w:val="00B05558"/>
    <w:rsid w:val="00B057F1"/>
    <w:rsid w:val="00B060DE"/>
    <w:rsid w:val="00B10F5E"/>
    <w:rsid w:val="00B13180"/>
    <w:rsid w:val="00B13FFF"/>
    <w:rsid w:val="00B14634"/>
    <w:rsid w:val="00B165B3"/>
    <w:rsid w:val="00B16A7B"/>
    <w:rsid w:val="00B209E5"/>
    <w:rsid w:val="00B21451"/>
    <w:rsid w:val="00B223CE"/>
    <w:rsid w:val="00B22723"/>
    <w:rsid w:val="00B234E0"/>
    <w:rsid w:val="00B249FA"/>
    <w:rsid w:val="00B25128"/>
    <w:rsid w:val="00B25DDE"/>
    <w:rsid w:val="00B27358"/>
    <w:rsid w:val="00B27C6D"/>
    <w:rsid w:val="00B27D1B"/>
    <w:rsid w:val="00B33901"/>
    <w:rsid w:val="00B35D70"/>
    <w:rsid w:val="00B367FC"/>
    <w:rsid w:val="00B3726C"/>
    <w:rsid w:val="00B401B6"/>
    <w:rsid w:val="00B4315B"/>
    <w:rsid w:val="00B4371F"/>
    <w:rsid w:val="00B43F03"/>
    <w:rsid w:val="00B47EBC"/>
    <w:rsid w:val="00B51C58"/>
    <w:rsid w:val="00B52DE5"/>
    <w:rsid w:val="00B54ECC"/>
    <w:rsid w:val="00B551AE"/>
    <w:rsid w:val="00B55286"/>
    <w:rsid w:val="00B553BD"/>
    <w:rsid w:val="00B56AB9"/>
    <w:rsid w:val="00B5715E"/>
    <w:rsid w:val="00B57A2E"/>
    <w:rsid w:val="00B61CE4"/>
    <w:rsid w:val="00B6216C"/>
    <w:rsid w:val="00B6439F"/>
    <w:rsid w:val="00B701D1"/>
    <w:rsid w:val="00B72136"/>
    <w:rsid w:val="00B744B9"/>
    <w:rsid w:val="00B758B5"/>
    <w:rsid w:val="00B81D86"/>
    <w:rsid w:val="00B8224A"/>
    <w:rsid w:val="00B828A5"/>
    <w:rsid w:val="00B8401D"/>
    <w:rsid w:val="00B84098"/>
    <w:rsid w:val="00B84CBD"/>
    <w:rsid w:val="00B84DE6"/>
    <w:rsid w:val="00B854DB"/>
    <w:rsid w:val="00B86076"/>
    <w:rsid w:val="00B8720D"/>
    <w:rsid w:val="00B872A0"/>
    <w:rsid w:val="00B8738F"/>
    <w:rsid w:val="00B879A1"/>
    <w:rsid w:val="00B87C27"/>
    <w:rsid w:val="00B87E8A"/>
    <w:rsid w:val="00B90241"/>
    <w:rsid w:val="00B90AEB"/>
    <w:rsid w:val="00B91966"/>
    <w:rsid w:val="00B92CD6"/>
    <w:rsid w:val="00B97B72"/>
    <w:rsid w:val="00B97D14"/>
    <w:rsid w:val="00BA0659"/>
    <w:rsid w:val="00BA113A"/>
    <w:rsid w:val="00BA1DE9"/>
    <w:rsid w:val="00BA24D3"/>
    <w:rsid w:val="00BA5798"/>
    <w:rsid w:val="00BB12A6"/>
    <w:rsid w:val="00BB207A"/>
    <w:rsid w:val="00BB2680"/>
    <w:rsid w:val="00BB58A4"/>
    <w:rsid w:val="00BB6E5D"/>
    <w:rsid w:val="00BC09C0"/>
    <w:rsid w:val="00BC0F3D"/>
    <w:rsid w:val="00BC2672"/>
    <w:rsid w:val="00BC2CEE"/>
    <w:rsid w:val="00BC5591"/>
    <w:rsid w:val="00BC6ED9"/>
    <w:rsid w:val="00BD0DA6"/>
    <w:rsid w:val="00BD17DB"/>
    <w:rsid w:val="00BD1AA7"/>
    <w:rsid w:val="00BD51F8"/>
    <w:rsid w:val="00BD522D"/>
    <w:rsid w:val="00BD5CC5"/>
    <w:rsid w:val="00BD6D02"/>
    <w:rsid w:val="00BD6E0E"/>
    <w:rsid w:val="00BE06E8"/>
    <w:rsid w:val="00BE0D21"/>
    <w:rsid w:val="00BE15B1"/>
    <w:rsid w:val="00BE1994"/>
    <w:rsid w:val="00BE19D8"/>
    <w:rsid w:val="00BE29B7"/>
    <w:rsid w:val="00BE3400"/>
    <w:rsid w:val="00BE5FF3"/>
    <w:rsid w:val="00BE61E2"/>
    <w:rsid w:val="00BE6526"/>
    <w:rsid w:val="00BE73AF"/>
    <w:rsid w:val="00BE7D6F"/>
    <w:rsid w:val="00BF0993"/>
    <w:rsid w:val="00BF1BBD"/>
    <w:rsid w:val="00BF2197"/>
    <w:rsid w:val="00BF270A"/>
    <w:rsid w:val="00BF3207"/>
    <w:rsid w:val="00BF3292"/>
    <w:rsid w:val="00BF496D"/>
    <w:rsid w:val="00BF4A1C"/>
    <w:rsid w:val="00BF5F76"/>
    <w:rsid w:val="00C001D1"/>
    <w:rsid w:val="00C009B8"/>
    <w:rsid w:val="00C01BBA"/>
    <w:rsid w:val="00C01C0E"/>
    <w:rsid w:val="00C024A1"/>
    <w:rsid w:val="00C02C8C"/>
    <w:rsid w:val="00C05918"/>
    <w:rsid w:val="00C0686A"/>
    <w:rsid w:val="00C073E6"/>
    <w:rsid w:val="00C07639"/>
    <w:rsid w:val="00C10DD8"/>
    <w:rsid w:val="00C11765"/>
    <w:rsid w:val="00C12B07"/>
    <w:rsid w:val="00C1723C"/>
    <w:rsid w:val="00C2066A"/>
    <w:rsid w:val="00C209AA"/>
    <w:rsid w:val="00C20D05"/>
    <w:rsid w:val="00C22FF0"/>
    <w:rsid w:val="00C24031"/>
    <w:rsid w:val="00C241DA"/>
    <w:rsid w:val="00C24212"/>
    <w:rsid w:val="00C250AB"/>
    <w:rsid w:val="00C26C16"/>
    <w:rsid w:val="00C31253"/>
    <w:rsid w:val="00C31E85"/>
    <w:rsid w:val="00C32954"/>
    <w:rsid w:val="00C335FB"/>
    <w:rsid w:val="00C35FA4"/>
    <w:rsid w:val="00C3793D"/>
    <w:rsid w:val="00C40DB5"/>
    <w:rsid w:val="00C441B1"/>
    <w:rsid w:val="00C44295"/>
    <w:rsid w:val="00C44302"/>
    <w:rsid w:val="00C44A22"/>
    <w:rsid w:val="00C44E84"/>
    <w:rsid w:val="00C46288"/>
    <w:rsid w:val="00C47FA3"/>
    <w:rsid w:val="00C51916"/>
    <w:rsid w:val="00C51B31"/>
    <w:rsid w:val="00C51BDE"/>
    <w:rsid w:val="00C522D7"/>
    <w:rsid w:val="00C53330"/>
    <w:rsid w:val="00C557B4"/>
    <w:rsid w:val="00C559B4"/>
    <w:rsid w:val="00C56561"/>
    <w:rsid w:val="00C56ED2"/>
    <w:rsid w:val="00C631AC"/>
    <w:rsid w:val="00C649BA"/>
    <w:rsid w:val="00C6586F"/>
    <w:rsid w:val="00C709A8"/>
    <w:rsid w:val="00C70DFD"/>
    <w:rsid w:val="00C715E8"/>
    <w:rsid w:val="00C72D6E"/>
    <w:rsid w:val="00C732EC"/>
    <w:rsid w:val="00C739C1"/>
    <w:rsid w:val="00C73EB0"/>
    <w:rsid w:val="00C745A9"/>
    <w:rsid w:val="00C757FE"/>
    <w:rsid w:val="00C76B6E"/>
    <w:rsid w:val="00C77504"/>
    <w:rsid w:val="00C815E4"/>
    <w:rsid w:val="00C82593"/>
    <w:rsid w:val="00C83623"/>
    <w:rsid w:val="00C86C4B"/>
    <w:rsid w:val="00C87B0B"/>
    <w:rsid w:val="00C90166"/>
    <w:rsid w:val="00C90A01"/>
    <w:rsid w:val="00C910CB"/>
    <w:rsid w:val="00C93225"/>
    <w:rsid w:val="00C94300"/>
    <w:rsid w:val="00C9485E"/>
    <w:rsid w:val="00C969C5"/>
    <w:rsid w:val="00C9746F"/>
    <w:rsid w:val="00CA11F1"/>
    <w:rsid w:val="00CA12F5"/>
    <w:rsid w:val="00CA2645"/>
    <w:rsid w:val="00CA367C"/>
    <w:rsid w:val="00CA390B"/>
    <w:rsid w:val="00CA53EF"/>
    <w:rsid w:val="00CA6139"/>
    <w:rsid w:val="00CA6322"/>
    <w:rsid w:val="00CA7B5F"/>
    <w:rsid w:val="00CB11E5"/>
    <w:rsid w:val="00CB12B0"/>
    <w:rsid w:val="00CB1C44"/>
    <w:rsid w:val="00CB2917"/>
    <w:rsid w:val="00CB2E08"/>
    <w:rsid w:val="00CB7402"/>
    <w:rsid w:val="00CC03C5"/>
    <w:rsid w:val="00CC0CFC"/>
    <w:rsid w:val="00CC20B0"/>
    <w:rsid w:val="00CC26CB"/>
    <w:rsid w:val="00CC3CF0"/>
    <w:rsid w:val="00CC48C0"/>
    <w:rsid w:val="00CC570E"/>
    <w:rsid w:val="00CC6D47"/>
    <w:rsid w:val="00CC77EA"/>
    <w:rsid w:val="00CD1645"/>
    <w:rsid w:val="00CD3539"/>
    <w:rsid w:val="00CD382F"/>
    <w:rsid w:val="00CD5DEE"/>
    <w:rsid w:val="00CD5FD9"/>
    <w:rsid w:val="00CD680F"/>
    <w:rsid w:val="00CD6F30"/>
    <w:rsid w:val="00CD7EC1"/>
    <w:rsid w:val="00CD7F51"/>
    <w:rsid w:val="00CE0854"/>
    <w:rsid w:val="00CE23BE"/>
    <w:rsid w:val="00CE270E"/>
    <w:rsid w:val="00CE3BD8"/>
    <w:rsid w:val="00CE43A2"/>
    <w:rsid w:val="00CE4D6F"/>
    <w:rsid w:val="00CE4E1E"/>
    <w:rsid w:val="00CF25D0"/>
    <w:rsid w:val="00CF2E0B"/>
    <w:rsid w:val="00CF32EC"/>
    <w:rsid w:val="00CF33AC"/>
    <w:rsid w:val="00CF4752"/>
    <w:rsid w:val="00CF54F1"/>
    <w:rsid w:val="00CF65C5"/>
    <w:rsid w:val="00CF6F02"/>
    <w:rsid w:val="00CF6FC2"/>
    <w:rsid w:val="00D00F6D"/>
    <w:rsid w:val="00D04C8C"/>
    <w:rsid w:val="00D051F0"/>
    <w:rsid w:val="00D109B1"/>
    <w:rsid w:val="00D1150B"/>
    <w:rsid w:val="00D1311B"/>
    <w:rsid w:val="00D13DA8"/>
    <w:rsid w:val="00D13E50"/>
    <w:rsid w:val="00D143B7"/>
    <w:rsid w:val="00D16453"/>
    <w:rsid w:val="00D1720F"/>
    <w:rsid w:val="00D1757C"/>
    <w:rsid w:val="00D218B5"/>
    <w:rsid w:val="00D21C02"/>
    <w:rsid w:val="00D258DD"/>
    <w:rsid w:val="00D25DED"/>
    <w:rsid w:val="00D27FD4"/>
    <w:rsid w:val="00D301DC"/>
    <w:rsid w:val="00D305CC"/>
    <w:rsid w:val="00D31889"/>
    <w:rsid w:val="00D332D2"/>
    <w:rsid w:val="00D3383F"/>
    <w:rsid w:val="00D33B7F"/>
    <w:rsid w:val="00D35D9D"/>
    <w:rsid w:val="00D37480"/>
    <w:rsid w:val="00D40A51"/>
    <w:rsid w:val="00D410FC"/>
    <w:rsid w:val="00D42882"/>
    <w:rsid w:val="00D43CDB"/>
    <w:rsid w:val="00D43F20"/>
    <w:rsid w:val="00D44204"/>
    <w:rsid w:val="00D445FD"/>
    <w:rsid w:val="00D447C6"/>
    <w:rsid w:val="00D44B86"/>
    <w:rsid w:val="00D45ADD"/>
    <w:rsid w:val="00D45D2A"/>
    <w:rsid w:val="00D47168"/>
    <w:rsid w:val="00D47842"/>
    <w:rsid w:val="00D47888"/>
    <w:rsid w:val="00D50154"/>
    <w:rsid w:val="00D5060A"/>
    <w:rsid w:val="00D5123B"/>
    <w:rsid w:val="00D5128F"/>
    <w:rsid w:val="00D5219E"/>
    <w:rsid w:val="00D53906"/>
    <w:rsid w:val="00D53D56"/>
    <w:rsid w:val="00D54825"/>
    <w:rsid w:val="00D54C37"/>
    <w:rsid w:val="00D5581E"/>
    <w:rsid w:val="00D55F5B"/>
    <w:rsid w:val="00D56D2A"/>
    <w:rsid w:val="00D57113"/>
    <w:rsid w:val="00D571CC"/>
    <w:rsid w:val="00D60048"/>
    <w:rsid w:val="00D60A35"/>
    <w:rsid w:val="00D64313"/>
    <w:rsid w:val="00D64D30"/>
    <w:rsid w:val="00D65075"/>
    <w:rsid w:val="00D652DF"/>
    <w:rsid w:val="00D66390"/>
    <w:rsid w:val="00D66397"/>
    <w:rsid w:val="00D66787"/>
    <w:rsid w:val="00D66D04"/>
    <w:rsid w:val="00D66F0D"/>
    <w:rsid w:val="00D70F50"/>
    <w:rsid w:val="00D71100"/>
    <w:rsid w:val="00D723F7"/>
    <w:rsid w:val="00D72616"/>
    <w:rsid w:val="00D745EC"/>
    <w:rsid w:val="00D750F4"/>
    <w:rsid w:val="00D75485"/>
    <w:rsid w:val="00D81D66"/>
    <w:rsid w:val="00D81FDB"/>
    <w:rsid w:val="00D87991"/>
    <w:rsid w:val="00D90F7A"/>
    <w:rsid w:val="00D9177E"/>
    <w:rsid w:val="00D91807"/>
    <w:rsid w:val="00D92AF7"/>
    <w:rsid w:val="00D92DF0"/>
    <w:rsid w:val="00D93552"/>
    <w:rsid w:val="00D94878"/>
    <w:rsid w:val="00D94E3C"/>
    <w:rsid w:val="00D94F77"/>
    <w:rsid w:val="00D950BD"/>
    <w:rsid w:val="00D96285"/>
    <w:rsid w:val="00DA06CD"/>
    <w:rsid w:val="00DA1AB0"/>
    <w:rsid w:val="00DA1E1D"/>
    <w:rsid w:val="00DA689A"/>
    <w:rsid w:val="00DA7CFC"/>
    <w:rsid w:val="00DB003C"/>
    <w:rsid w:val="00DB08B7"/>
    <w:rsid w:val="00DB0C4C"/>
    <w:rsid w:val="00DB1072"/>
    <w:rsid w:val="00DB2ACB"/>
    <w:rsid w:val="00DB329E"/>
    <w:rsid w:val="00DB4171"/>
    <w:rsid w:val="00DB51AB"/>
    <w:rsid w:val="00DC0102"/>
    <w:rsid w:val="00DC018D"/>
    <w:rsid w:val="00DC020F"/>
    <w:rsid w:val="00DC167B"/>
    <w:rsid w:val="00DC50EF"/>
    <w:rsid w:val="00DC77B5"/>
    <w:rsid w:val="00DD0302"/>
    <w:rsid w:val="00DD1029"/>
    <w:rsid w:val="00DD1917"/>
    <w:rsid w:val="00DD1DDD"/>
    <w:rsid w:val="00DD4514"/>
    <w:rsid w:val="00DD6FC3"/>
    <w:rsid w:val="00DD7F4A"/>
    <w:rsid w:val="00DE0148"/>
    <w:rsid w:val="00DE194E"/>
    <w:rsid w:val="00DE1A6E"/>
    <w:rsid w:val="00DE417A"/>
    <w:rsid w:val="00DE4D0C"/>
    <w:rsid w:val="00DE7451"/>
    <w:rsid w:val="00DF113D"/>
    <w:rsid w:val="00DF318B"/>
    <w:rsid w:val="00DF54FC"/>
    <w:rsid w:val="00DF5C55"/>
    <w:rsid w:val="00DF7E05"/>
    <w:rsid w:val="00E008F9"/>
    <w:rsid w:val="00E00CF7"/>
    <w:rsid w:val="00E044F2"/>
    <w:rsid w:val="00E04B01"/>
    <w:rsid w:val="00E04C6E"/>
    <w:rsid w:val="00E05474"/>
    <w:rsid w:val="00E05B0A"/>
    <w:rsid w:val="00E05B8A"/>
    <w:rsid w:val="00E05E4F"/>
    <w:rsid w:val="00E06906"/>
    <w:rsid w:val="00E07002"/>
    <w:rsid w:val="00E0783C"/>
    <w:rsid w:val="00E1023B"/>
    <w:rsid w:val="00E11267"/>
    <w:rsid w:val="00E12946"/>
    <w:rsid w:val="00E134DA"/>
    <w:rsid w:val="00E142F0"/>
    <w:rsid w:val="00E15389"/>
    <w:rsid w:val="00E1582B"/>
    <w:rsid w:val="00E16825"/>
    <w:rsid w:val="00E20A26"/>
    <w:rsid w:val="00E212F8"/>
    <w:rsid w:val="00E21BB5"/>
    <w:rsid w:val="00E22037"/>
    <w:rsid w:val="00E222F8"/>
    <w:rsid w:val="00E274E0"/>
    <w:rsid w:val="00E30114"/>
    <w:rsid w:val="00E31DF2"/>
    <w:rsid w:val="00E32367"/>
    <w:rsid w:val="00E328B0"/>
    <w:rsid w:val="00E33AC2"/>
    <w:rsid w:val="00E341D2"/>
    <w:rsid w:val="00E358EF"/>
    <w:rsid w:val="00E369A1"/>
    <w:rsid w:val="00E36ED4"/>
    <w:rsid w:val="00E37AB4"/>
    <w:rsid w:val="00E37B27"/>
    <w:rsid w:val="00E4000D"/>
    <w:rsid w:val="00E40C40"/>
    <w:rsid w:val="00E41240"/>
    <w:rsid w:val="00E417B3"/>
    <w:rsid w:val="00E41CBC"/>
    <w:rsid w:val="00E42A67"/>
    <w:rsid w:val="00E44841"/>
    <w:rsid w:val="00E44CF7"/>
    <w:rsid w:val="00E45028"/>
    <w:rsid w:val="00E45488"/>
    <w:rsid w:val="00E46067"/>
    <w:rsid w:val="00E46184"/>
    <w:rsid w:val="00E46E5C"/>
    <w:rsid w:val="00E47F49"/>
    <w:rsid w:val="00E511D4"/>
    <w:rsid w:val="00E51266"/>
    <w:rsid w:val="00E52951"/>
    <w:rsid w:val="00E5372A"/>
    <w:rsid w:val="00E551E8"/>
    <w:rsid w:val="00E55B3F"/>
    <w:rsid w:val="00E60811"/>
    <w:rsid w:val="00E616ED"/>
    <w:rsid w:val="00E61BE3"/>
    <w:rsid w:val="00E63D0B"/>
    <w:rsid w:val="00E6523C"/>
    <w:rsid w:val="00E66100"/>
    <w:rsid w:val="00E66116"/>
    <w:rsid w:val="00E66F13"/>
    <w:rsid w:val="00E70A4A"/>
    <w:rsid w:val="00E73127"/>
    <w:rsid w:val="00E74797"/>
    <w:rsid w:val="00E82C28"/>
    <w:rsid w:val="00E8431B"/>
    <w:rsid w:val="00E8441D"/>
    <w:rsid w:val="00E856A6"/>
    <w:rsid w:val="00E85ED1"/>
    <w:rsid w:val="00E92341"/>
    <w:rsid w:val="00E928A4"/>
    <w:rsid w:val="00E92EB8"/>
    <w:rsid w:val="00E92FEC"/>
    <w:rsid w:val="00E9335E"/>
    <w:rsid w:val="00E93D44"/>
    <w:rsid w:val="00E946EB"/>
    <w:rsid w:val="00E96338"/>
    <w:rsid w:val="00EA1DF3"/>
    <w:rsid w:val="00EA1DF5"/>
    <w:rsid w:val="00EA52BA"/>
    <w:rsid w:val="00EA67AC"/>
    <w:rsid w:val="00EA6942"/>
    <w:rsid w:val="00EA706B"/>
    <w:rsid w:val="00EB0CD0"/>
    <w:rsid w:val="00EB1261"/>
    <w:rsid w:val="00EB1660"/>
    <w:rsid w:val="00EB2590"/>
    <w:rsid w:val="00EB328B"/>
    <w:rsid w:val="00EB3A59"/>
    <w:rsid w:val="00EB45AD"/>
    <w:rsid w:val="00EB5A6D"/>
    <w:rsid w:val="00EB65B3"/>
    <w:rsid w:val="00EC0345"/>
    <w:rsid w:val="00EC04B1"/>
    <w:rsid w:val="00EC08BD"/>
    <w:rsid w:val="00EC21E5"/>
    <w:rsid w:val="00EC2236"/>
    <w:rsid w:val="00EC32E4"/>
    <w:rsid w:val="00EC344E"/>
    <w:rsid w:val="00EC4499"/>
    <w:rsid w:val="00EC5458"/>
    <w:rsid w:val="00ED118D"/>
    <w:rsid w:val="00ED135D"/>
    <w:rsid w:val="00ED1F04"/>
    <w:rsid w:val="00ED4987"/>
    <w:rsid w:val="00ED5ACD"/>
    <w:rsid w:val="00ED5CF3"/>
    <w:rsid w:val="00ED5D34"/>
    <w:rsid w:val="00ED6EC9"/>
    <w:rsid w:val="00EE0829"/>
    <w:rsid w:val="00EE1AB2"/>
    <w:rsid w:val="00EE23A7"/>
    <w:rsid w:val="00EE23F2"/>
    <w:rsid w:val="00EE2FAA"/>
    <w:rsid w:val="00EE3695"/>
    <w:rsid w:val="00EE5173"/>
    <w:rsid w:val="00EE5B94"/>
    <w:rsid w:val="00EE5E11"/>
    <w:rsid w:val="00EE60DA"/>
    <w:rsid w:val="00EF1D0E"/>
    <w:rsid w:val="00EF2613"/>
    <w:rsid w:val="00EF4155"/>
    <w:rsid w:val="00EF5849"/>
    <w:rsid w:val="00EF6402"/>
    <w:rsid w:val="00EF6DCB"/>
    <w:rsid w:val="00F01119"/>
    <w:rsid w:val="00F0178B"/>
    <w:rsid w:val="00F04F85"/>
    <w:rsid w:val="00F04FAF"/>
    <w:rsid w:val="00F050B9"/>
    <w:rsid w:val="00F05ECE"/>
    <w:rsid w:val="00F072DA"/>
    <w:rsid w:val="00F07ACF"/>
    <w:rsid w:val="00F1098B"/>
    <w:rsid w:val="00F114E1"/>
    <w:rsid w:val="00F11D00"/>
    <w:rsid w:val="00F12350"/>
    <w:rsid w:val="00F13390"/>
    <w:rsid w:val="00F1441D"/>
    <w:rsid w:val="00F15144"/>
    <w:rsid w:val="00F163E1"/>
    <w:rsid w:val="00F209CA"/>
    <w:rsid w:val="00F20A40"/>
    <w:rsid w:val="00F210C3"/>
    <w:rsid w:val="00F219D1"/>
    <w:rsid w:val="00F220A1"/>
    <w:rsid w:val="00F22542"/>
    <w:rsid w:val="00F22A27"/>
    <w:rsid w:val="00F22D3E"/>
    <w:rsid w:val="00F234BE"/>
    <w:rsid w:val="00F237E5"/>
    <w:rsid w:val="00F23ABE"/>
    <w:rsid w:val="00F241EC"/>
    <w:rsid w:val="00F24E2F"/>
    <w:rsid w:val="00F24F27"/>
    <w:rsid w:val="00F251A2"/>
    <w:rsid w:val="00F257F7"/>
    <w:rsid w:val="00F2738B"/>
    <w:rsid w:val="00F27B3B"/>
    <w:rsid w:val="00F302F3"/>
    <w:rsid w:val="00F31424"/>
    <w:rsid w:val="00F32C45"/>
    <w:rsid w:val="00F32C83"/>
    <w:rsid w:val="00F33871"/>
    <w:rsid w:val="00F33EC6"/>
    <w:rsid w:val="00F34CF6"/>
    <w:rsid w:val="00F34E14"/>
    <w:rsid w:val="00F36B07"/>
    <w:rsid w:val="00F37041"/>
    <w:rsid w:val="00F373EB"/>
    <w:rsid w:val="00F4001B"/>
    <w:rsid w:val="00F41A08"/>
    <w:rsid w:val="00F42A1A"/>
    <w:rsid w:val="00F42D6F"/>
    <w:rsid w:val="00F442DC"/>
    <w:rsid w:val="00F44A35"/>
    <w:rsid w:val="00F45112"/>
    <w:rsid w:val="00F46537"/>
    <w:rsid w:val="00F46C66"/>
    <w:rsid w:val="00F5023F"/>
    <w:rsid w:val="00F50379"/>
    <w:rsid w:val="00F51103"/>
    <w:rsid w:val="00F51414"/>
    <w:rsid w:val="00F51514"/>
    <w:rsid w:val="00F5203A"/>
    <w:rsid w:val="00F53D83"/>
    <w:rsid w:val="00F54469"/>
    <w:rsid w:val="00F54FD1"/>
    <w:rsid w:val="00F55CE0"/>
    <w:rsid w:val="00F60F38"/>
    <w:rsid w:val="00F61FE8"/>
    <w:rsid w:val="00F628A2"/>
    <w:rsid w:val="00F63E70"/>
    <w:rsid w:val="00F63FE7"/>
    <w:rsid w:val="00F653F2"/>
    <w:rsid w:val="00F657D0"/>
    <w:rsid w:val="00F705CB"/>
    <w:rsid w:val="00F728C2"/>
    <w:rsid w:val="00F73603"/>
    <w:rsid w:val="00F74BD2"/>
    <w:rsid w:val="00F77B12"/>
    <w:rsid w:val="00F77D55"/>
    <w:rsid w:val="00F80357"/>
    <w:rsid w:val="00F80CB6"/>
    <w:rsid w:val="00F81D2D"/>
    <w:rsid w:val="00F82136"/>
    <w:rsid w:val="00F82D6D"/>
    <w:rsid w:val="00F82F78"/>
    <w:rsid w:val="00F83735"/>
    <w:rsid w:val="00F8468C"/>
    <w:rsid w:val="00F85477"/>
    <w:rsid w:val="00F85DD3"/>
    <w:rsid w:val="00F86C9A"/>
    <w:rsid w:val="00F873E3"/>
    <w:rsid w:val="00F87C16"/>
    <w:rsid w:val="00F87E78"/>
    <w:rsid w:val="00F905B8"/>
    <w:rsid w:val="00F917B4"/>
    <w:rsid w:val="00F92351"/>
    <w:rsid w:val="00F9589E"/>
    <w:rsid w:val="00F95DE5"/>
    <w:rsid w:val="00F96B3A"/>
    <w:rsid w:val="00F97099"/>
    <w:rsid w:val="00FA0C0F"/>
    <w:rsid w:val="00FA389A"/>
    <w:rsid w:val="00FA4FC5"/>
    <w:rsid w:val="00FA50BB"/>
    <w:rsid w:val="00FA534A"/>
    <w:rsid w:val="00FA583A"/>
    <w:rsid w:val="00FA6CB9"/>
    <w:rsid w:val="00FA6F1C"/>
    <w:rsid w:val="00FA7ECE"/>
    <w:rsid w:val="00FB0374"/>
    <w:rsid w:val="00FB12C4"/>
    <w:rsid w:val="00FB2922"/>
    <w:rsid w:val="00FB5CDC"/>
    <w:rsid w:val="00FB6A71"/>
    <w:rsid w:val="00FC0132"/>
    <w:rsid w:val="00FC5087"/>
    <w:rsid w:val="00FC5827"/>
    <w:rsid w:val="00FC6CFB"/>
    <w:rsid w:val="00FC70BF"/>
    <w:rsid w:val="00FC7332"/>
    <w:rsid w:val="00FD2259"/>
    <w:rsid w:val="00FD3652"/>
    <w:rsid w:val="00FD402C"/>
    <w:rsid w:val="00FD6B5F"/>
    <w:rsid w:val="00FE0952"/>
    <w:rsid w:val="00FE0DA0"/>
    <w:rsid w:val="00FE0EDD"/>
    <w:rsid w:val="00FE0F1F"/>
    <w:rsid w:val="00FE2A4C"/>
    <w:rsid w:val="00FE2BC8"/>
    <w:rsid w:val="00FE35BF"/>
    <w:rsid w:val="00FE692B"/>
    <w:rsid w:val="00FE705D"/>
    <w:rsid w:val="00FE7F16"/>
    <w:rsid w:val="00FF0E69"/>
    <w:rsid w:val="00FF2BBB"/>
    <w:rsid w:val="00FF3816"/>
    <w:rsid w:val="00FF399D"/>
    <w:rsid w:val="00FF6925"/>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1B"/>
  </w:style>
  <w:style w:type="paragraph" w:styleId="Heading1">
    <w:name w:val="heading 1"/>
    <w:basedOn w:val="Normal"/>
    <w:next w:val="Normal"/>
    <w:link w:val="Heading1Char"/>
    <w:autoRedefine/>
    <w:uiPriority w:val="9"/>
    <w:qFormat/>
    <w:rsid w:val="00A87CE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CE43A2"/>
    <w:pPr>
      <w:keepNext/>
      <w:keepLines/>
      <w:spacing w:after="24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paragraph" w:styleId="Heading4">
    <w:name w:val="heading 4"/>
    <w:basedOn w:val="Normal"/>
    <w:next w:val="Normal"/>
    <w:link w:val="Heading4Char"/>
    <w:uiPriority w:val="9"/>
    <w:semiHidden/>
    <w:unhideWhenUsed/>
    <w:qFormat/>
    <w:rsid w:val="00C059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A87CE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aliases w:val=" Char,Char"/>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color w:val="auto"/>
      <w:sz w:val="20"/>
      <w:szCs w:val="20"/>
    </w:rPr>
  </w:style>
  <w:style w:type="character" w:customStyle="1" w:styleId="HTMLPreformattedChar">
    <w:name w:val="HTML Preformatted Char"/>
    <w:aliases w:val=" Char Char,Char Char"/>
    <w:basedOn w:val="DefaultParagraphFont"/>
    <w:link w:val="HTMLPreformatted"/>
    <w:rsid w:val="00322352"/>
    <w:rPr>
      <w:rFonts w:ascii="Courier New" w:eastAsia="Courier New" w:hAnsi="Courier New" w:cs="Courier New"/>
      <w:bCs/>
      <w:color w:val="auto"/>
      <w:sz w:val="20"/>
      <w:szCs w:val="20"/>
    </w:rPr>
  </w:style>
  <w:style w:type="paragraph" w:styleId="List">
    <w:name w:val="List"/>
    <w:basedOn w:val="Normal"/>
    <w:rsid w:val="00322352"/>
    <w:pPr>
      <w:ind w:left="360" w:hanging="360"/>
    </w:pPr>
    <w:rPr>
      <w:rFonts w:eastAsia="Times New Roman"/>
      <w:bCs/>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color w:val="auto"/>
      <w:szCs w:val="24"/>
    </w:rPr>
  </w:style>
  <w:style w:type="character" w:customStyle="1" w:styleId="BodyTextChar">
    <w:name w:val="Body Text Char"/>
    <w:basedOn w:val="DefaultParagraphFont"/>
    <w:link w:val="BodyText"/>
    <w:uiPriority w:val="99"/>
    <w:rsid w:val="00322352"/>
    <w:rPr>
      <w:rFonts w:eastAsia="Times New Roman"/>
      <w:bCs/>
      <w:color w:val="auto"/>
      <w:szCs w:val="24"/>
    </w:rPr>
  </w:style>
  <w:style w:type="table" w:styleId="TableGrid">
    <w:name w:val="Table Grid"/>
    <w:basedOn w:val="TableNormal"/>
    <w:uiPriority w:val="5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583EF3"/>
    <w:pPr>
      <w:tabs>
        <w:tab w:val="decimal" w:leader="dot" w:pos="9360"/>
      </w:tabs>
      <w:spacing w:after="240"/>
      <w:ind w:left="720" w:hanging="720"/>
    </w:pPr>
    <w:rPr>
      <w:caps/>
      <w:color w:val="auto"/>
    </w:rPr>
  </w:style>
  <w:style w:type="paragraph" w:styleId="TOC2">
    <w:name w:val="toc 2"/>
    <w:basedOn w:val="Normal"/>
    <w:next w:val="Normal"/>
    <w:autoRedefine/>
    <w:uiPriority w:val="39"/>
    <w:unhideWhenUsed/>
    <w:qFormat/>
    <w:rsid w:val="00583EF3"/>
    <w:pPr>
      <w:tabs>
        <w:tab w:val="decimal" w:leader="dot" w:pos="9360"/>
      </w:tabs>
      <w:spacing w:after="240"/>
      <w:ind w:left="1440" w:hanging="720"/>
    </w:pPr>
    <w:rPr>
      <w:color w:val="auto"/>
    </w:rPr>
  </w:style>
  <w:style w:type="paragraph" w:styleId="TOC3">
    <w:name w:val="toc 3"/>
    <w:basedOn w:val="Normal"/>
    <w:next w:val="Normal"/>
    <w:autoRedefine/>
    <w:uiPriority w:val="39"/>
    <w:unhideWhenUsed/>
    <w:qFormat/>
    <w:rsid w:val="00583EF3"/>
    <w:pPr>
      <w:tabs>
        <w:tab w:val="decimal" w:leader="dot" w:pos="9360"/>
      </w:tabs>
      <w:spacing w:after="240"/>
      <w:ind w:left="2160" w:hanging="720"/>
    </w:pPr>
    <w:rPr>
      <w:color w:val="auto"/>
    </w:rPr>
  </w:style>
  <w:style w:type="character" w:customStyle="1" w:styleId="Heading2Char">
    <w:name w:val="Heading 2 Char"/>
    <w:basedOn w:val="DefaultParagraphFont"/>
    <w:link w:val="Heading2"/>
    <w:uiPriority w:val="9"/>
    <w:rsid w:val="00CE43A2"/>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2">
    <w:name w:val="Unresolved Mention2"/>
    <w:basedOn w:val="DefaultParagraphFont"/>
    <w:uiPriority w:val="99"/>
    <w:semiHidden/>
    <w:unhideWhenUsed/>
    <w:rsid w:val="003B72CB"/>
    <w:rPr>
      <w:color w:val="605E5C"/>
      <w:shd w:val="clear" w:color="auto" w:fill="E1DFDD"/>
    </w:rPr>
  </w:style>
  <w:style w:type="character" w:customStyle="1" w:styleId="UnresolvedMention3">
    <w:name w:val="Unresolved Mention3"/>
    <w:basedOn w:val="DefaultParagraphFont"/>
    <w:uiPriority w:val="99"/>
    <w:rsid w:val="00B16A7B"/>
    <w:rPr>
      <w:color w:val="605E5C"/>
      <w:shd w:val="clear" w:color="auto" w:fill="E1DFDD"/>
    </w:rPr>
  </w:style>
  <w:style w:type="character" w:customStyle="1" w:styleId="markedcontent">
    <w:name w:val="markedcontent"/>
    <w:basedOn w:val="DefaultParagraphFont"/>
    <w:rsid w:val="000064CA"/>
  </w:style>
  <w:style w:type="character" w:customStyle="1" w:styleId="ssleftalign">
    <w:name w:val="ss_leftalign"/>
    <w:basedOn w:val="DefaultParagraphFont"/>
    <w:rsid w:val="002A7ECB"/>
  </w:style>
  <w:style w:type="character" w:customStyle="1" w:styleId="ssprior">
    <w:name w:val="ss_prior"/>
    <w:basedOn w:val="DefaultParagraphFont"/>
    <w:rsid w:val="002A7ECB"/>
  </w:style>
  <w:style w:type="character" w:customStyle="1" w:styleId="UnresolvedMention4">
    <w:name w:val="Unresolved Mention4"/>
    <w:basedOn w:val="DefaultParagraphFont"/>
    <w:uiPriority w:val="99"/>
    <w:rsid w:val="00C01BBA"/>
    <w:rPr>
      <w:color w:val="605E5C"/>
      <w:shd w:val="clear" w:color="auto" w:fill="E1DFDD"/>
    </w:rPr>
  </w:style>
  <w:style w:type="paragraph" w:styleId="BodyTextIndent3">
    <w:name w:val="Body Text Indent 3"/>
    <w:basedOn w:val="Normal"/>
    <w:link w:val="BodyTextIndent3Char"/>
    <w:uiPriority w:val="99"/>
    <w:semiHidden/>
    <w:unhideWhenUsed/>
    <w:rsid w:val="00D94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4878"/>
    <w:rPr>
      <w:sz w:val="16"/>
      <w:szCs w:val="16"/>
    </w:rPr>
  </w:style>
  <w:style w:type="character" w:customStyle="1" w:styleId="Heading4Char">
    <w:name w:val="Heading 4 Char"/>
    <w:basedOn w:val="DefaultParagraphFont"/>
    <w:link w:val="Heading4"/>
    <w:uiPriority w:val="9"/>
    <w:semiHidden/>
    <w:rsid w:val="00C05918"/>
    <w:rPr>
      <w:rFonts w:asciiTheme="majorHAnsi" w:eastAsiaTheme="majorEastAsia" w:hAnsiTheme="majorHAnsi" w:cstheme="majorBidi"/>
      <w:i/>
      <w:iCs/>
      <w:color w:val="2F5496" w:themeColor="accent1" w:themeShade="BF"/>
    </w:rPr>
  </w:style>
  <w:style w:type="character" w:customStyle="1" w:styleId="UnresolvedMention5">
    <w:name w:val="Unresolved Mention5"/>
    <w:basedOn w:val="DefaultParagraphFont"/>
    <w:uiPriority w:val="99"/>
    <w:rsid w:val="00AD3F0B"/>
    <w:rPr>
      <w:color w:val="605E5C"/>
      <w:shd w:val="clear" w:color="auto" w:fill="E1DFDD"/>
    </w:rPr>
  </w:style>
  <w:style w:type="character" w:customStyle="1" w:styleId="ssit">
    <w:name w:val="ss_it"/>
    <w:basedOn w:val="DefaultParagraphFont"/>
    <w:rsid w:val="007555FD"/>
  </w:style>
  <w:style w:type="character" w:customStyle="1" w:styleId="UnresolvedMention6">
    <w:name w:val="Unresolved Mention6"/>
    <w:basedOn w:val="DefaultParagraphFont"/>
    <w:uiPriority w:val="99"/>
    <w:rsid w:val="0079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thomas.lindgren@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joliker@igsenergy.com" TargetMode="External" /><Relationship Id="rId14" Type="http://schemas.openxmlformats.org/officeDocument/2006/relationships/hyperlink" Target="mailto:Mnugent@igsenergy.com" TargetMode="External" /><Relationship Id="rId15" Type="http://schemas.openxmlformats.org/officeDocument/2006/relationships/hyperlink" Target="mailto:bethany.allen@igs.com" TargetMode="External" /><Relationship Id="rId16" Type="http://schemas.openxmlformats.org/officeDocument/2006/relationships/hyperlink" Target="mailto:evan.betterton@igs.com" TargetMode="External" /><Relationship Id="rId17" Type="http://schemas.openxmlformats.org/officeDocument/2006/relationships/hyperlink" Target="mailto:gkrassen@bricker.com" TargetMode="External" /><Relationship Id="rId18" Type="http://schemas.openxmlformats.org/officeDocument/2006/relationships/hyperlink" Target="mailto:dstinson@bricker.com"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fykes@whitt-sturtevant.com" TargetMode="External" /><Relationship Id="rId21" Type="http://schemas.openxmlformats.org/officeDocument/2006/relationships/hyperlink" Target="mailto:mwise@mcdonaldhopkins.com" TargetMode="External" /><Relationship Id="rId22" Type="http://schemas.openxmlformats.org/officeDocument/2006/relationships/hyperlink" Target="mailto:mkurtz@BKLlawfirm.com" TargetMode="External" /><Relationship Id="rId23" Type="http://schemas.openxmlformats.org/officeDocument/2006/relationships/hyperlink" Target="mailto:kboehm@BKLlawfirm.com" TargetMode="External" /><Relationship Id="rId24" Type="http://schemas.openxmlformats.org/officeDocument/2006/relationships/hyperlink" Target="mailto:jkylercohn@BKLlawfirm.com" TargetMode="External" /><Relationship Id="rId25" Type="http://schemas.openxmlformats.org/officeDocument/2006/relationships/hyperlink" Target="mailto:talexander@beneschlaw.com" TargetMode="External" /><Relationship Id="rId26" Type="http://schemas.openxmlformats.org/officeDocument/2006/relationships/hyperlink" Target="mailto:megan.addison@puco.ohio.gov" TargetMode="External" /><Relationship Id="rId27" Type="http://schemas.openxmlformats.org/officeDocument/2006/relationships/hyperlink" Target="mailto:edanford@firstenergycorp.com" TargetMode="External" /><Relationship Id="rId28" Type="http://schemas.openxmlformats.org/officeDocument/2006/relationships/hyperlink" Target="mailto:cwatchorn@firstenergycorp.com" TargetMode="External" /><Relationship Id="rId29" Type="http://schemas.openxmlformats.org/officeDocument/2006/relationships/hyperlink" Target="mailto:bknipe@firstenergycorp.com" TargetMode="External" /><Relationship Id="rId3" Type="http://schemas.openxmlformats.org/officeDocument/2006/relationships/webSettings" Target="webSettings.xml" /><Relationship Id="rId30" Type="http://schemas.openxmlformats.org/officeDocument/2006/relationships/hyperlink" Target="mailto:mrgladman@jonesday.com" TargetMode="External" /><Relationship Id="rId31" Type="http://schemas.openxmlformats.org/officeDocument/2006/relationships/hyperlink" Target="mailto:mdengler@jonesday.com" TargetMode="External" /><Relationship Id="rId32" Type="http://schemas.openxmlformats.org/officeDocument/2006/relationships/hyperlink" Target="mailto:radoringo@jonesday.com" TargetMode="External" /><Relationship Id="rId33" Type="http://schemas.openxmlformats.org/officeDocument/2006/relationships/hyperlink" Target="mailto:marcie.lape@skadden.com" TargetMode="External" /><Relationship Id="rId34" Type="http://schemas.openxmlformats.org/officeDocument/2006/relationships/hyperlink" Target="mailto:iavalon@taftlaw.com" TargetMode="External" /><Relationship Id="rId35" Type="http://schemas.openxmlformats.org/officeDocument/2006/relationships/hyperlink" Target="mailto:mpritchard@mcneeslaw.com" TargetMode="External" /><Relationship Id="rId36" Type="http://schemas.openxmlformats.org/officeDocument/2006/relationships/hyperlink" Target="mailto:rdove@keglerbrown.com" TargetMode="External" /><Relationship Id="rId37" Type="http://schemas.openxmlformats.org/officeDocument/2006/relationships/hyperlink" Target="mailto:bojko@carpenterlipps.com" TargetMode="External" /><Relationship Id="rId38" Type="http://schemas.openxmlformats.org/officeDocument/2006/relationships/hyperlink" Target="mailto:tdougherty@theOEC.org" TargetMode="External" /><Relationship Id="rId39" Type="http://schemas.openxmlformats.org/officeDocument/2006/relationships/hyperlink" Target="mailto:ctavenor@theOEC.org" TargetMode="External" /><Relationship Id="rId4" Type="http://schemas.openxmlformats.org/officeDocument/2006/relationships/fontTable" Target="fontTable.xml" /><Relationship Id="rId40" Type="http://schemas.openxmlformats.org/officeDocument/2006/relationships/hyperlink" Target="mailto:jweber@elpc.org" TargetMode="External" /><Relationship Id="rId41" Type="http://schemas.openxmlformats.org/officeDocument/2006/relationships/hyperlink" Target="mailto:sgoyal@jonesday.com-" TargetMode="External" /><Relationship Id="rId42" Type="http://schemas.openxmlformats.org/officeDocument/2006/relationships/hyperlink" Target="mailto:calee@jonesday.com-" TargetMode="Externa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hyperlink" Target="mailto:bzets@isaacwiles.com"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elibrary.ferc.gov/eLibrary/filedownload?fileid=9DDE513A-470F-CAC6-97AD-7EC4D280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F13-BE5D-4B1B-A089-29EE1C3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2022-05-24T20:30:12Z</dcterms:created>
  <dcterms:modified xsi:type="dcterms:W3CDTF">2022-05-24T20:30:12Z</dcterms:modified>
</cp:coreProperties>
</file>