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1C" w:rsidRPr="00DD3E1C" w:rsidRDefault="00DD3E1C" w:rsidP="00DD3E1C">
      <w:pPr>
        <w:jc w:val="center"/>
        <w:rPr>
          <w:rFonts w:ascii="Arial Bold" w:hAnsi="Arial Bold" w:cs="Arial"/>
          <w:b/>
          <w:smallCaps/>
          <w:sz w:val="32"/>
          <w:szCs w:val="32"/>
        </w:rPr>
      </w:pPr>
      <w:r w:rsidRPr="00DD3E1C">
        <w:rPr>
          <w:rFonts w:ascii="Arial Bold" w:hAnsi="Arial Bold" w:cs="Arial"/>
          <w:b/>
          <w:smallCaps/>
          <w:sz w:val="32"/>
          <w:szCs w:val="32"/>
        </w:rPr>
        <w:t>Before</w:t>
      </w:r>
    </w:p>
    <w:p w:rsidR="00DD3E1C" w:rsidRPr="00DD3E1C" w:rsidRDefault="00DD3E1C" w:rsidP="00DD3E1C">
      <w:pPr>
        <w:jc w:val="center"/>
        <w:rPr>
          <w:rFonts w:ascii="Arial Bold" w:hAnsi="Arial Bold" w:cs="Arial"/>
          <w:b/>
          <w:smallCaps/>
          <w:sz w:val="32"/>
          <w:szCs w:val="32"/>
        </w:rPr>
      </w:pPr>
      <w:r w:rsidRPr="00DD3E1C">
        <w:rPr>
          <w:rFonts w:ascii="Arial Bold" w:hAnsi="Arial Bold" w:cs="Arial"/>
          <w:b/>
          <w:smallCaps/>
          <w:sz w:val="32"/>
          <w:szCs w:val="32"/>
        </w:rPr>
        <w:t>The Public Utilities Commission of Ohio</w:t>
      </w:r>
    </w:p>
    <w:p w:rsidR="00DD3E1C" w:rsidRDefault="00DD3E1C" w:rsidP="00DD3E1C">
      <w:pPr>
        <w:rPr>
          <w:rFonts w:cs="Arial"/>
        </w:rPr>
      </w:pPr>
    </w:p>
    <w:p w:rsidR="00DD3E1C" w:rsidRPr="00F70F85" w:rsidRDefault="00DD3E1C" w:rsidP="00DD3E1C">
      <w:pPr>
        <w:rPr>
          <w:rFonts w:cs="Arial"/>
        </w:rPr>
      </w:pPr>
    </w:p>
    <w:p w:rsidR="00DD3E1C" w:rsidRPr="00F70F85" w:rsidRDefault="00DD3E1C" w:rsidP="00DD3E1C">
      <w:pPr>
        <w:tabs>
          <w:tab w:val="left" w:pos="4680"/>
          <w:tab w:val="left" w:pos="5400"/>
        </w:tabs>
        <w:rPr>
          <w:rFonts w:cs="Arial"/>
        </w:rPr>
      </w:pPr>
      <w:r w:rsidRPr="00F70F85">
        <w:rPr>
          <w:rFonts w:cs="Arial"/>
        </w:rPr>
        <w:t xml:space="preserve">In the Matter of the </w:t>
      </w:r>
      <w:r>
        <w:rPr>
          <w:rFonts w:cs="Arial"/>
        </w:rPr>
        <w:t>Implementation of</w:t>
      </w:r>
      <w:r>
        <w:rPr>
          <w:rFonts w:cs="Arial"/>
        </w:rPr>
        <w:tab/>
        <w:t>)</w:t>
      </w:r>
    </w:p>
    <w:p w:rsidR="00DD3E1C" w:rsidRPr="00F70F85" w:rsidRDefault="00DD3E1C" w:rsidP="00DD3E1C">
      <w:pPr>
        <w:tabs>
          <w:tab w:val="left" w:pos="4680"/>
          <w:tab w:val="left" w:pos="5400"/>
        </w:tabs>
        <w:rPr>
          <w:rFonts w:cs="Arial"/>
        </w:rPr>
      </w:pPr>
      <w:r>
        <w:rPr>
          <w:rFonts w:cs="Arial"/>
        </w:rPr>
        <w:t xml:space="preserve">Sections 4928.54 and 4928.544 of the </w:t>
      </w:r>
      <w:r w:rsidRPr="00F70F85">
        <w:rPr>
          <w:rFonts w:cs="Arial"/>
        </w:rPr>
        <w:tab/>
      </w:r>
      <w:r>
        <w:rPr>
          <w:rFonts w:cs="Arial"/>
        </w:rPr>
        <w:t>)</w:t>
      </w:r>
      <w:r>
        <w:rPr>
          <w:rFonts w:cs="Arial"/>
        </w:rPr>
        <w:tab/>
      </w:r>
      <w:r w:rsidRPr="00F70F85">
        <w:rPr>
          <w:rFonts w:cs="Arial"/>
        </w:rPr>
        <w:t xml:space="preserve">Case No. </w:t>
      </w:r>
      <w:r>
        <w:rPr>
          <w:rFonts w:cs="Arial"/>
        </w:rPr>
        <w:t>16-247</w:t>
      </w:r>
      <w:r w:rsidRPr="00F70F85">
        <w:rPr>
          <w:rFonts w:cs="Arial"/>
        </w:rPr>
        <w:t>-EL-</w:t>
      </w:r>
      <w:r>
        <w:rPr>
          <w:rFonts w:cs="Arial"/>
        </w:rPr>
        <w:t>UNC</w:t>
      </w:r>
    </w:p>
    <w:p w:rsidR="00DD3E1C" w:rsidRDefault="00DD3E1C" w:rsidP="00DD3E1C">
      <w:pPr>
        <w:tabs>
          <w:tab w:val="left" w:pos="4680"/>
          <w:tab w:val="left" w:pos="5400"/>
        </w:tabs>
        <w:rPr>
          <w:rFonts w:cs="Arial"/>
        </w:rPr>
      </w:pPr>
      <w:r>
        <w:rPr>
          <w:rFonts w:cs="Arial"/>
        </w:rPr>
        <w:t>Revised Code.</w:t>
      </w:r>
      <w:r>
        <w:rPr>
          <w:rFonts w:cs="Arial"/>
        </w:rPr>
        <w:tab/>
        <w:t>)</w:t>
      </w:r>
    </w:p>
    <w:p w:rsidR="00DD3E1C" w:rsidRDefault="00DD3E1C" w:rsidP="00DD3E1C">
      <w:pPr>
        <w:tabs>
          <w:tab w:val="left" w:pos="4320"/>
          <w:tab w:val="left" w:pos="5040"/>
        </w:tabs>
        <w:rPr>
          <w:rFonts w:cs="Arial"/>
        </w:rPr>
      </w:pPr>
    </w:p>
    <w:p w:rsidR="00DD3E1C" w:rsidRDefault="00DD3E1C" w:rsidP="00DD3E1C">
      <w:pPr>
        <w:pStyle w:val="BodyText"/>
        <w:tabs>
          <w:tab w:val="left" w:pos="5040"/>
        </w:tabs>
      </w:pPr>
    </w:p>
    <w:p w:rsidR="00DD3E1C" w:rsidRDefault="00DD3E1C" w:rsidP="00DD3E1C">
      <w:pPr>
        <w:pStyle w:val="BodyText"/>
        <w:tabs>
          <w:tab w:val="left" w:pos="5040"/>
        </w:tabs>
        <w:rPr>
          <w:sz w:val="28"/>
        </w:rPr>
      </w:pPr>
    </w:p>
    <w:p w:rsidR="00DD3E1C" w:rsidRDefault="00DD3E1C" w:rsidP="00DD3E1C">
      <w:pPr>
        <w:pStyle w:val="Title"/>
        <w:pBdr>
          <w:bottom w:val="single" w:sz="12" w:space="1" w:color="auto"/>
        </w:pBdr>
        <w:rPr>
          <w:sz w:val="28"/>
          <w:u w:val="single"/>
        </w:rPr>
      </w:pPr>
    </w:p>
    <w:p w:rsidR="00DD3E1C" w:rsidRDefault="00DD3E1C" w:rsidP="00DD3E1C"/>
    <w:p w:rsidR="00DD3E1C" w:rsidRPr="00DD3E1C" w:rsidRDefault="00DD3E1C" w:rsidP="00DD3E1C">
      <w:pPr>
        <w:jc w:val="center"/>
        <w:rPr>
          <w:rFonts w:ascii="Arial Bold" w:hAnsi="Arial Bold"/>
          <w:b/>
          <w:smallCaps/>
          <w:sz w:val="32"/>
          <w:szCs w:val="32"/>
        </w:rPr>
      </w:pPr>
      <w:r w:rsidRPr="00DD3E1C">
        <w:rPr>
          <w:rFonts w:ascii="Arial Bold" w:hAnsi="Arial Bold"/>
          <w:b/>
          <w:smallCaps/>
          <w:sz w:val="32"/>
          <w:szCs w:val="32"/>
        </w:rPr>
        <w:t>Industrial Energy Users-Ohio’s Comments</w:t>
      </w:r>
    </w:p>
    <w:p w:rsidR="00DD3E1C" w:rsidRDefault="00DD3E1C" w:rsidP="00DD3E1C">
      <w:pPr>
        <w:pStyle w:val="Title"/>
        <w:pBdr>
          <w:bottom w:val="single" w:sz="12" w:space="1" w:color="auto"/>
        </w:pBdr>
        <w:rPr>
          <w:sz w:val="28"/>
          <w:u w:val="single"/>
        </w:rPr>
      </w:pPr>
    </w:p>
    <w:p w:rsidR="00DD3E1C" w:rsidRDefault="00DD3E1C" w:rsidP="00DD3E1C">
      <w:pPr>
        <w:pStyle w:val="Title"/>
        <w:rPr>
          <w:sz w:val="28"/>
          <w:u w:val="single"/>
        </w:rPr>
      </w:pPr>
    </w:p>
    <w:p w:rsidR="00DD3E1C" w:rsidRDefault="00DD3E1C" w:rsidP="00DD3E1C">
      <w:pPr>
        <w:pStyle w:val="Title"/>
        <w:rPr>
          <w:sz w:val="28"/>
          <w:u w:val="single"/>
        </w:rPr>
      </w:pPr>
    </w:p>
    <w:p w:rsidR="00DD3E1C" w:rsidRDefault="00DD3E1C" w:rsidP="00DD3E1C">
      <w:pPr>
        <w:pStyle w:val="Title"/>
        <w:rPr>
          <w:sz w:val="28"/>
          <w:u w:val="single"/>
        </w:rPr>
      </w:pPr>
    </w:p>
    <w:p w:rsidR="00DD3E1C" w:rsidRDefault="00DD3E1C" w:rsidP="00DD3E1C">
      <w:pPr>
        <w:pStyle w:val="Title"/>
        <w:rPr>
          <w:sz w:val="28"/>
          <w:u w:val="single"/>
        </w:rPr>
      </w:pPr>
    </w:p>
    <w:p w:rsidR="00DD3E1C" w:rsidRDefault="00DD3E1C" w:rsidP="00DD3E1C">
      <w:pPr>
        <w:pStyle w:val="Title"/>
        <w:rPr>
          <w:sz w:val="28"/>
          <w:u w:val="single"/>
        </w:rPr>
      </w:pPr>
    </w:p>
    <w:p w:rsidR="00DD3E1C" w:rsidRDefault="00DD3E1C" w:rsidP="00DD3E1C">
      <w:pPr>
        <w:pStyle w:val="Title"/>
        <w:rPr>
          <w:sz w:val="28"/>
          <w:u w:val="single"/>
        </w:rPr>
      </w:pPr>
    </w:p>
    <w:p w:rsidR="00DD3E1C" w:rsidRDefault="00DD3E1C" w:rsidP="00DD3E1C">
      <w:pPr>
        <w:pStyle w:val="Title"/>
        <w:rPr>
          <w:sz w:val="28"/>
          <w:u w:val="single"/>
        </w:rPr>
      </w:pPr>
    </w:p>
    <w:p w:rsidR="00DD3E1C" w:rsidRDefault="00DD3E1C" w:rsidP="00DD3E1C">
      <w:pPr>
        <w:pStyle w:val="Title"/>
        <w:rPr>
          <w:sz w:val="28"/>
          <w:u w:val="single"/>
        </w:rPr>
      </w:pPr>
    </w:p>
    <w:p w:rsidR="00DD3E1C" w:rsidRDefault="00DD3E1C" w:rsidP="00DD3E1C">
      <w:pPr>
        <w:tabs>
          <w:tab w:val="left" w:pos="4320"/>
          <w:tab w:val="left" w:pos="5040"/>
        </w:tabs>
        <w:rPr>
          <w:rFonts w:cs="Arial"/>
        </w:rPr>
      </w:pPr>
    </w:p>
    <w:p w:rsidR="00DD3E1C" w:rsidRDefault="00DD3E1C" w:rsidP="00DD3E1C">
      <w:pPr>
        <w:tabs>
          <w:tab w:val="left" w:pos="4320"/>
          <w:tab w:val="left" w:pos="5040"/>
        </w:tabs>
        <w:rPr>
          <w:rFonts w:cs="Arial"/>
        </w:rPr>
      </w:pPr>
    </w:p>
    <w:p w:rsidR="00DD3E1C" w:rsidRDefault="00DD3E1C" w:rsidP="00DD3E1C">
      <w:pPr>
        <w:tabs>
          <w:tab w:val="left" w:pos="4320"/>
          <w:tab w:val="left" w:pos="5040"/>
        </w:tabs>
        <w:rPr>
          <w:rFonts w:cs="Arial"/>
        </w:rPr>
      </w:pPr>
    </w:p>
    <w:p w:rsidR="00651D78" w:rsidRDefault="00651D78" w:rsidP="00DD3E1C">
      <w:pPr>
        <w:tabs>
          <w:tab w:val="left" w:pos="4320"/>
          <w:tab w:val="left" w:pos="5040"/>
        </w:tabs>
        <w:rPr>
          <w:rFonts w:cs="Arial"/>
        </w:rPr>
      </w:pPr>
    </w:p>
    <w:p w:rsidR="00C61909" w:rsidRDefault="00C61909" w:rsidP="00C61909">
      <w:pPr>
        <w:spacing w:line="480" w:lineRule="auto"/>
        <w:jc w:val="right"/>
        <w:rPr>
          <w:rFonts w:cs="Arial"/>
        </w:rPr>
      </w:pPr>
    </w:p>
    <w:p w:rsidR="00DD3E1C" w:rsidRDefault="00DD3E1C" w:rsidP="00C61909">
      <w:pPr>
        <w:spacing w:line="480" w:lineRule="auto"/>
        <w:jc w:val="right"/>
        <w:rPr>
          <w:rFonts w:cs="Arial"/>
        </w:rPr>
      </w:pPr>
    </w:p>
    <w:p w:rsidR="00DD3E1C" w:rsidRDefault="00DD3E1C" w:rsidP="00DD3E1C">
      <w:pPr>
        <w:pStyle w:val="BodyText3"/>
        <w:widowControl w:val="0"/>
        <w:ind w:left="4140"/>
        <w:jc w:val="both"/>
        <w:rPr>
          <w:rFonts w:ascii="Arial" w:hAnsi="Arial" w:cs="Arial"/>
          <w:b w:val="0"/>
          <w:bCs/>
        </w:rPr>
      </w:pPr>
      <w:r>
        <w:rPr>
          <w:rFonts w:ascii="Arial" w:hAnsi="Arial" w:cs="Arial"/>
          <w:b w:val="0"/>
          <w:bCs/>
        </w:rPr>
        <w:t>Samuel C. Randazzo (Reg. No. 0016386)</w:t>
      </w:r>
    </w:p>
    <w:p w:rsidR="00DD3E1C" w:rsidRDefault="00DD3E1C" w:rsidP="00DD3E1C">
      <w:pPr>
        <w:tabs>
          <w:tab w:val="right" w:pos="8640"/>
        </w:tabs>
        <w:ind w:left="4140"/>
        <w:jc w:val="both"/>
        <w:rPr>
          <w:rFonts w:cs="Arial"/>
        </w:rPr>
      </w:pPr>
      <w:r>
        <w:rPr>
          <w:rFonts w:cs="Arial"/>
        </w:rPr>
        <w:t>(Counsel of Record)</w:t>
      </w:r>
    </w:p>
    <w:p w:rsidR="00DD3E1C" w:rsidRDefault="00DD3E1C" w:rsidP="00DD3E1C">
      <w:pPr>
        <w:pStyle w:val="BodyText3"/>
        <w:widowControl w:val="0"/>
        <w:ind w:left="4140"/>
        <w:jc w:val="both"/>
        <w:rPr>
          <w:rFonts w:ascii="Arial" w:hAnsi="Arial" w:cs="Arial"/>
          <w:b w:val="0"/>
          <w:bCs/>
        </w:rPr>
      </w:pPr>
      <w:r>
        <w:rPr>
          <w:rFonts w:ascii="Arial" w:hAnsi="Arial" w:cs="Arial"/>
          <w:b w:val="0"/>
          <w:bCs/>
        </w:rPr>
        <w:t>Frank P. Darr (Reg. No. 0025469)</w:t>
      </w:r>
    </w:p>
    <w:p w:rsidR="00DD3E1C" w:rsidRDefault="00DD3E1C" w:rsidP="00DD3E1C">
      <w:pPr>
        <w:pStyle w:val="BodyText3"/>
        <w:widowControl w:val="0"/>
        <w:ind w:left="4140"/>
        <w:jc w:val="both"/>
        <w:rPr>
          <w:rFonts w:ascii="Arial" w:hAnsi="Arial" w:cs="Arial"/>
          <w:b w:val="0"/>
          <w:bCs/>
        </w:rPr>
      </w:pPr>
      <w:r>
        <w:rPr>
          <w:rFonts w:ascii="Arial" w:hAnsi="Arial" w:cs="Arial"/>
          <w:b w:val="0"/>
          <w:bCs/>
        </w:rPr>
        <w:t>Matthew R. Pritchard (Reg. No. 0088070)</w:t>
      </w:r>
    </w:p>
    <w:p w:rsidR="00DD3E1C" w:rsidRDefault="00DD3E1C" w:rsidP="00DD3E1C">
      <w:pPr>
        <w:pStyle w:val="BodyText3"/>
        <w:widowControl w:val="0"/>
        <w:ind w:left="414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DD3E1C" w:rsidRDefault="00DD3E1C" w:rsidP="00DD3E1C">
      <w:pPr>
        <w:pStyle w:val="BodyText3"/>
        <w:widowControl w:val="0"/>
        <w:ind w:left="414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DD3E1C" w:rsidRDefault="00DD3E1C" w:rsidP="00DD3E1C">
      <w:pPr>
        <w:pStyle w:val="BodyText"/>
        <w:ind w:left="4140"/>
      </w:pPr>
      <w:r>
        <w:t>Columbus, OH  43215</w:t>
      </w:r>
    </w:p>
    <w:p w:rsidR="00DD3E1C" w:rsidRDefault="00DD3E1C" w:rsidP="00DD3E1C">
      <w:pPr>
        <w:pStyle w:val="BodyText"/>
        <w:ind w:left="4140"/>
      </w:pPr>
      <w:r>
        <w:t>Telephone:  (614) 469-8000</w:t>
      </w:r>
    </w:p>
    <w:p w:rsidR="00DD3E1C" w:rsidRDefault="00DD3E1C" w:rsidP="00DD3E1C">
      <w:pPr>
        <w:pStyle w:val="BodyText"/>
        <w:ind w:left="4140"/>
      </w:pPr>
      <w:proofErr w:type="spellStart"/>
      <w:r>
        <w:t>Telecopier</w:t>
      </w:r>
      <w:proofErr w:type="spellEnd"/>
      <w:r>
        <w:t>:  (614) 469-4653</w:t>
      </w:r>
    </w:p>
    <w:p w:rsidR="00DD3E1C" w:rsidRDefault="00DD3E1C" w:rsidP="00DD3E1C">
      <w:pPr>
        <w:pStyle w:val="BodyText"/>
        <w:ind w:left="4140"/>
      </w:pPr>
      <w:r>
        <w:t>sam@mwncmh.com</w:t>
      </w:r>
    </w:p>
    <w:p w:rsidR="00DD3E1C" w:rsidRDefault="00DD3E1C" w:rsidP="00DD3E1C">
      <w:pPr>
        <w:pStyle w:val="BodyText"/>
        <w:ind w:left="4140"/>
      </w:pPr>
      <w:r>
        <w:t>fdarr@mwncmh.com</w:t>
      </w:r>
    </w:p>
    <w:p w:rsidR="00DD3E1C" w:rsidRDefault="00DD3E1C" w:rsidP="00DD3E1C">
      <w:pPr>
        <w:pStyle w:val="BodyText"/>
        <w:ind w:left="4140"/>
      </w:pPr>
      <w:r>
        <w:t>mpritchard@mwncmh.com</w:t>
      </w:r>
    </w:p>
    <w:p w:rsidR="00DD3E1C" w:rsidRDefault="00DD3E1C" w:rsidP="00DD3E1C">
      <w:pPr>
        <w:tabs>
          <w:tab w:val="left" w:pos="4320"/>
          <w:tab w:val="right" w:pos="8640"/>
        </w:tabs>
        <w:ind w:left="4140"/>
        <w:jc w:val="both"/>
      </w:pPr>
    </w:p>
    <w:p w:rsidR="00DD3E1C" w:rsidRDefault="00DD3E1C" w:rsidP="00DD3E1C">
      <w:pPr>
        <w:pStyle w:val="Title"/>
        <w:tabs>
          <w:tab w:val="left" w:pos="4320"/>
        </w:tabs>
        <w:ind w:left="4140" w:hanging="4320"/>
        <w:jc w:val="left"/>
        <w:rPr>
          <w:smallCaps w:val="0"/>
          <w:sz w:val="24"/>
        </w:rPr>
        <w:sectPr w:rsidR="00DD3E1C" w:rsidSect="00651D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pgNumType w:start="1"/>
          <w:cols w:space="720"/>
          <w:titlePg/>
          <w:docGrid w:linePitch="326"/>
        </w:sectPr>
      </w:pPr>
      <w:r w:rsidRPr="00651D78">
        <w:rPr>
          <w:rFonts w:ascii="Arial Bold" w:hAnsi="Arial Bold"/>
          <w:sz w:val="24"/>
        </w:rPr>
        <w:t>February 8, 2016</w:t>
      </w:r>
      <w:r>
        <w:rPr>
          <w:smallCaps w:val="0"/>
          <w:sz w:val="24"/>
        </w:rPr>
        <w:tab/>
      </w:r>
      <w:r w:rsidRPr="00DD3E1C">
        <w:rPr>
          <w:rFonts w:ascii="Arial Bold" w:hAnsi="Arial Bold"/>
          <w:sz w:val="24"/>
        </w:rPr>
        <w:t>Attorneys for Industrial Energy Users-Ohio</w:t>
      </w:r>
    </w:p>
    <w:p w:rsidR="00DD3E1C" w:rsidRPr="00DD3E1C" w:rsidRDefault="00DD3E1C" w:rsidP="00DD3E1C">
      <w:pPr>
        <w:jc w:val="center"/>
        <w:rPr>
          <w:rFonts w:ascii="Arial Bold" w:hAnsi="Arial Bold" w:cs="Arial"/>
          <w:b/>
          <w:smallCaps/>
          <w:sz w:val="28"/>
          <w:szCs w:val="28"/>
        </w:rPr>
      </w:pPr>
      <w:r w:rsidRPr="00DD3E1C">
        <w:rPr>
          <w:rFonts w:ascii="Arial Bold" w:hAnsi="Arial Bold" w:cs="Arial"/>
          <w:b/>
          <w:smallCaps/>
          <w:sz w:val="28"/>
          <w:szCs w:val="28"/>
        </w:rPr>
        <w:lastRenderedPageBreak/>
        <w:t>Before</w:t>
      </w:r>
    </w:p>
    <w:p w:rsidR="00DD3E1C" w:rsidRPr="00DD3E1C" w:rsidRDefault="00DD3E1C" w:rsidP="00DD3E1C">
      <w:pPr>
        <w:jc w:val="center"/>
        <w:rPr>
          <w:rFonts w:ascii="Arial Bold" w:hAnsi="Arial Bold" w:cs="Arial"/>
          <w:b/>
          <w:smallCaps/>
          <w:sz w:val="28"/>
          <w:szCs w:val="28"/>
        </w:rPr>
      </w:pPr>
      <w:r w:rsidRPr="00DD3E1C">
        <w:rPr>
          <w:rFonts w:ascii="Arial Bold" w:hAnsi="Arial Bold" w:cs="Arial"/>
          <w:b/>
          <w:smallCaps/>
          <w:sz w:val="28"/>
          <w:szCs w:val="28"/>
        </w:rPr>
        <w:t>The Public Utilities Commission of Ohio</w:t>
      </w:r>
    </w:p>
    <w:p w:rsidR="00DD3E1C" w:rsidRDefault="00DD3E1C" w:rsidP="00DD3E1C">
      <w:pPr>
        <w:rPr>
          <w:rFonts w:cs="Arial"/>
        </w:rPr>
      </w:pPr>
    </w:p>
    <w:p w:rsidR="00DD3E1C" w:rsidRPr="00F70F85" w:rsidRDefault="00DD3E1C" w:rsidP="00DD3E1C">
      <w:pPr>
        <w:rPr>
          <w:rFonts w:cs="Arial"/>
        </w:rPr>
      </w:pPr>
    </w:p>
    <w:p w:rsidR="00DD3E1C" w:rsidRPr="00F70F85" w:rsidRDefault="00DD3E1C" w:rsidP="00DD3E1C">
      <w:pPr>
        <w:tabs>
          <w:tab w:val="left" w:pos="4680"/>
          <w:tab w:val="left" w:pos="5400"/>
        </w:tabs>
        <w:rPr>
          <w:rFonts w:cs="Arial"/>
        </w:rPr>
      </w:pPr>
      <w:r w:rsidRPr="00F70F85">
        <w:rPr>
          <w:rFonts w:cs="Arial"/>
        </w:rPr>
        <w:t xml:space="preserve">In the Matter of the </w:t>
      </w:r>
      <w:r>
        <w:rPr>
          <w:rFonts w:cs="Arial"/>
        </w:rPr>
        <w:t>Implementation of</w:t>
      </w:r>
      <w:r>
        <w:rPr>
          <w:rFonts w:cs="Arial"/>
        </w:rPr>
        <w:tab/>
        <w:t>)</w:t>
      </w:r>
    </w:p>
    <w:p w:rsidR="00DD3E1C" w:rsidRPr="00F70F85" w:rsidRDefault="00DD3E1C" w:rsidP="00DD3E1C">
      <w:pPr>
        <w:tabs>
          <w:tab w:val="left" w:pos="4680"/>
          <w:tab w:val="left" w:pos="5400"/>
        </w:tabs>
        <w:rPr>
          <w:rFonts w:cs="Arial"/>
        </w:rPr>
      </w:pPr>
      <w:r>
        <w:rPr>
          <w:rFonts w:cs="Arial"/>
        </w:rPr>
        <w:t xml:space="preserve">Sections 4928.54 and 4928.544 of the </w:t>
      </w:r>
      <w:r w:rsidRPr="00F70F85">
        <w:rPr>
          <w:rFonts w:cs="Arial"/>
        </w:rPr>
        <w:tab/>
      </w:r>
      <w:r>
        <w:rPr>
          <w:rFonts w:cs="Arial"/>
        </w:rPr>
        <w:t>)</w:t>
      </w:r>
      <w:r>
        <w:rPr>
          <w:rFonts w:cs="Arial"/>
        </w:rPr>
        <w:tab/>
      </w:r>
      <w:r w:rsidRPr="00F70F85">
        <w:rPr>
          <w:rFonts w:cs="Arial"/>
        </w:rPr>
        <w:t xml:space="preserve">Case No. </w:t>
      </w:r>
      <w:r>
        <w:rPr>
          <w:rFonts w:cs="Arial"/>
        </w:rPr>
        <w:t>16-247</w:t>
      </w:r>
      <w:r w:rsidRPr="00F70F85">
        <w:rPr>
          <w:rFonts w:cs="Arial"/>
        </w:rPr>
        <w:t>-EL-</w:t>
      </w:r>
      <w:r>
        <w:rPr>
          <w:rFonts w:cs="Arial"/>
        </w:rPr>
        <w:t>UNC</w:t>
      </w:r>
    </w:p>
    <w:p w:rsidR="00DD3E1C" w:rsidRDefault="00DD3E1C" w:rsidP="00DD3E1C">
      <w:pPr>
        <w:tabs>
          <w:tab w:val="left" w:pos="4680"/>
          <w:tab w:val="left" w:pos="5400"/>
        </w:tabs>
        <w:rPr>
          <w:rFonts w:cs="Arial"/>
        </w:rPr>
      </w:pPr>
      <w:r>
        <w:rPr>
          <w:rFonts w:cs="Arial"/>
        </w:rPr>
        <w:t>Revised Code.</w:t>
      </w:r>
      <w:r>
        <w:rPr>
          <w:rFonts w:cs="Arial"/>
        </w:rPr>
        <w:tab/>
        <w:t>)</w:t>
      </w:r>
    </w:p>
    <w:p w:rsidR="00DD3E1C" w:rsidRDefault="00DD3E1C" w:rsidP="00DD3E1C">
      <w:pPr>
        <w:tabs>
          <w:tab w:val="left" w:pos="4320"/>
          <w:tab w:val="left" w:pos="5040"/>
        </w:tabs>
        <w:rPr>
          <w:rFonts w:cs="Arial"/>
        </w:rPr>
      </w:pPr>
    </w:p>
    <w:p w:rsidR="00DD3E1C" w:rsidRDefault="00DD3E1C" w:rsidP="00DD3E1C">
      <w:pPr>
        <w:pStyle w:val="Title"/>
        <w:pBdr>
          <w:bottom w:val="single" w:sz="12" w:space="1" w:color="auto"/>
        </w:pBdr>
        <w:rPr>
          <w:sz w:val="28"/>
          <w:u w:val="single"/>
        </w:rPr>
      </w:pPr>
    </w:p>
    <w:p w:rsidR="00DD3E1C" w:rsidRDefault="00DD3E1C" w:rsidP="00DD3E1C"/>
    <w:p w:rsidR="00DD3E1C" w:rsidRPr="00DD3E1C" w:rsidRDefault="00DD3E1C" w:rsidP="00DD3E1C">
      <w:pPr>
        <w:jc w:val="center"/>
        <w:rPr>
          <w:rFonts w:ascii="Arial Bold" w:hAnsi="Arial Bold"/>
          <w:b/>
          <w:smallCaps/>
          <w:sz w:val="28"/>
          <w:szCs w:val="28"/>
        </w:rPr>
      </w:pPr>
      <w:r w:rsidRPr="00DD3E1C">
        <w:rPr>
          <w:rFonts w:ascii="Arial Bold" w:hAnsi="Arial Bold"/>
          <w:b/>
          <w:smallCaps/>
          <w:sz w:val="28"/>
          <w:szCs w:val="28"/>
        </w:rPr>
        <w:t>Industrial Energy Users-Ohio’s Comments</w:t>
      </w:r>
    </w:p>
    <w:p w:rsidR="00DD3E1C" w:rsidRDefault="00DD3E1C" w:rsidP="00DD3E1C">
      <w:pPr>
        <w:pStyle w:val="Title"/>
        <w:pBdr>
          <w:bottom w:val="single" w:sz="12" w:space="1" w:color="auto"/>
        </w:pBdr>
        <w:rPr>
          <w:sz w:val="28"/>
          <w:u w:val="single"/>
        </w:rPr>
      </w:pPr>
    </w:p>
    <w:p w:rsidR="00DF56EB" w:rsidRDefault="00DF56EB" w:rsidP="00A84450"/>
    <w:p w:rsidR="00E91E51" w:rsidRDefault="00DA40BF" w:rsidP="00881D8B">
      <w:pPr>
        <w:spacing w:line="480" w:lineRule="auto"/>
        <w:ind w:firstLine="720"/>
        <w:jc w:val="both"/>
        <w:rPr>
          <w:rFonts w:cs="Arial"/>
        </w:rPr>
      </w:pPr>
      <w:r>
        <w:rPr>
          <w:rFonts w:cs="Arial"/>
        </w:rPr>
        <w:t xml:space="preserve">In 2015, the General Assembly </w:t>
      </w:r>
      <w:r w:rsidR="00353B81">
        <w:rPr>
          <w:rFonts w:cs="Arial"/>
        </w:rPr>
        <w:t>modified R.C. 4928.54</w:t>
      </w:r>
      <w:r w:rsidR="00E91E51">
        <w:rPr>
          <w:rFonts w:cs="Arial"/>
        </w:rPr>
        <w:t>.  R.C. 4928.54</w:t>
      </w:r>
      <w:r w:rsidR="00353B81">
        <w:rPr>
          <w:rFonts w:cs="Arial"/>
        </w:rPr>
        <w:t xml:space="preserve"> </w:t>
      </w:r>
      <w:r w:rsidR="0029628A">
        <w:rPr>
          <w:rFonts w:cs="Arial"/>
        </w:rPr>
        <w:t>originally delegated authority and discretion to the Director of the now Ohio Development Services Agency (“DSA”)</w:t>
      </w:r>
      <w:r w:rsidR="00E91E51">
        <w:rPr>
          <w:rFonts w:cs="Arial"/>
        </w:rPr>
        <w:t xml:space="preserve">.  This authority permits the Director </w:t>
      </w:r>
      <w:r w:rsidR="0029628A">
        <w:rPr>
          <w:rFonts w:cs="Arial"/>
        </w:rPr>
        <w:t xml:space="preserve">to use competitive retail electric service </w:t>
      </w:r>
      <w:r w:rsidR="00E91E51">
        <w:rPr>
          <w:rFonts w:cs="Arial"/>
        </w:rPr>
        <w:t xml:space="preserve">(“CRES”) </w:t>
      </w:r>
      <w:r w:rsidR="0029628A">
        <w:rPr>
          <w:rFonts w:cs="Arial"/>
        </w:rPr>
        <w:t xml:space="preserve">aggregation to satisfy the needs of </w:t>
      </w:r>
      <w:r w:rsidR="00E91E51">
        <w:rPr>
          <w:rFonts w:cs="Arial"/>
        </w:rPr>
        <w:t xml:space="preserve">residential </w:t>
      </w:r>
      <w:r w:rsidR="0029628A">
        <w:rPr>
          <w:rFonts w:cs="Arial"/>
        </w:rPr>
        <w:t xml:space="preserve">customers receiving bill payment assistance funded by the Universal Service Fund (“USF”).  </w:t>
      </w:r>
    </w:p>
    <w:p w:rsidR="0029628A" w:rsidRDefault="0029628A" w:rsidP="00881D8B">
      <w:pPr>
        <w:spacing w:line="480" w:lineRule="auto"/>
        <w:ind w:firstLine="720"/>
        <w:jc w:val="both"/>
        <w:rPr>
          <w:rFonts w:cs="Arial"/>
        </w:rPr>
      </w:pPr>
      <w:r>
        <w:rPr>
          <w:rFonts w:cs="Arial"/>
        </w:rPr>
        <w:t xml:space="preserve">The recent modifications to R.C. 4928.54 now compel the Director to test whether this aggregation authority can </w:t>
      </w:r>
      <w:r w:rsidR="00F25F8C">
        <w:rPr>
          <w:rFonts w:cs="Arial"/>
        </w:rPr>
        <w:t xml:space="preserve">be utilized </w:t>
      </w:r>
      <w:r>
        <w:rPr>
          <w:rFonts w:cs="Arial"/>
        </w:rPr>
        <w:t xml:space="preserve">to reduce the electric bill payments made by customers receiving such assistance and </w:t>
      </w:r>
      <w:r w:rsidR="00F25F8C">
        <w:rPr>
          <w:rFonts w:cs="Arial"/>
        </w:rPr>
        <w:t xml:space="preserve">reduce </w:t>
      </w:r>
      <w:r>
        <w:rPr>
          <w:rFonts w:cs="Arial"/>
        </w:rPr>
        <w:t xml:space="preserve">the assistance funding tab (now approaching $500,000,000 annually) picked up by Ohio’s electric distribution utility (“EDU”) </w:t>
      </w:r>
      <w:r w:rsidR="00E91E51">
        <w:rPr>
          <w:rFonts w:cs="Arial"/>
        </w:rPr>
        <w:t xml:space="preserve">residential, commercial and industrial </w:t>
      </w:r>
      <w:r>
        <w:rPr>
          <w:rFonts w:cs="Arial"/>
        </w:rPr>
        <w:t>customers.</w:t>
      </w:r>
    </w:p>
    <w:p w:rsidR="0029628A" w:rsidRDefault="0029628A" w:rsidP="00881D8B">
      <w:pPr>
        <w:spacing w:line="480" w:lineRule="auto"/>
        <w:ind w:firstLine="720"/>
        <w:jc w:val="both"/>
        <w:rPr>
          <w:rFonts w:cs="Arial"/>
        </w:rPr>
      </w:pPr>
      <w:r>
        <w:rPr>
          <w:rFonts w:cs="Arial"/>
        </w:rPr>
        <w:t xml:space="preserve">On February 1, 2016, </w:t>
      </w:r>
      <w:r w:rsidR="00F25F8C">
        <w:rPr>
          <w:rFonts w:cs="Arial"/>
        </w:rPr>
        <w:t xml:space="preserve">the </w:t>
      </w:r>
      <w:r>
        <w:rPr>
          <w:rFonts w:cs="Arial"/>
        </w:rPr>
        <w:t xml:space="preserve">Staff </w:t>
      </w:r>
      <w:r w:rsidR="00F25F8C">
        <w:rPr>
          <w:rFonts w:cs="Arial"/>
        </w:rPr>
        <w:t xml:space="preserve">of the Public Utilities Commission of Ohio (“Commission”) </w:t>
      </w:r>
      <w:r>
        <w:rPr>
          <w:rFonts w:cs="Arial"/>
        </w:rPr>
        <w:t xml:space="preserve">filed a Staff </w:t>
      </w:r>
      <w:r w:rsidR="00EE1712">
        <w:rPr>
          <w:rFonts w:cs="Arial"/>
        </w:rPr>
        <w:t>Report</w:t>
      </w:r>
      <w:r w:rsidR="00EE1712">
        <w:rPr>
          <w:rStyle w:val="FootnoteReference"/>
          <w:rFonts w:cs="Arial"/>
        </w:rPr>
        <w:footnoteReference w:id="1"/>
      </w:r>
      <w:r w:rsidR="00EE1712">
        <w:rPr>
          <w:rFonts w:cs="Arial"/>
        </w:rPr>
        <w:t xml:space="preserve"> </w:t>
      </w:r>
      <w:r w:rsidR="00F25F8C">
        <w:rPr>
          <w:rFonts w:cs="Arial"/>
        </w:rPr>
        <w:t xml:space="preserve">in this proceeding.  The Staff </w:t>
      </w:r>
      <w:r w:rsidR="00EE1712">
        <w:rPr>
          <w:rFonts w:cs="Arial"/>
        </w:rPr>
        <w:t xml:space="preserve">Report </w:t>
      </w:r>
      <w:r w:rsidR="00F25F8C">
        <w:rPr>
          <w:rFonts w:cs="Arial"/>
        </w:rPr>
        <w:t xml:space="preserve">briefly </w:t>
      </w:r>
      <w:proofErr w:type="gramStart"/>
      <w:r w:rsidR="00F25F8C">
        <w:rPr>
          <w:rFonts w:cs="Arial"/>
        </w:rPr>
        <w:t>describes</w:t>
      </w:r>
      <w:proofErr w:type="gramEnd"/>
      <w:r w:rsidR="00F25F8C">
        <w:rPr>
          <w:rFonts w:cs="Arial"/>
        </w:rPr>
        <w:t xml:space="preserve"> two </w:t>
      </w:r>
      <w:r w:rsidR="00E91E51">
        <w:rPr>
          <w:rFonts w:cs="Arial"/>
        </w:rPr>
        <w:t>options</w:t>
      </w:r>
      <w:r w:rsidR="00F25F8C">
        <w:rPr>
          <w:rFonts w:cs="Arial"/>
        </w:rPr>
        <w:t xml:space="preserve">.  </w:t>
      </w:r>
      <w:r w:rsidR="00E91E51">
        <w:rPr>
          <w:rFonts w:cs="Arial"/>
        </w:rPr>
        <w:t xml:space="preserve">It does not identify all the options that were considered or the reasons for selecting the options briefly described in the Staff </w:t>
      </w:r>
      <w:r w:rsidR="00EE1712">
        <w:rPr>
          <w:rFonts w:cs="Arial"/>
        </w:rPr>
        <w:t>Report</w:t>
      </w:r>
      <w:r w:rsidR="00E91E51">
        <w:rPr>
          <w:rFonts w:cs="Arial"/>
        </w:rPr>
        <w:t>.</w:t>
      </w:r>
    </w:p>
    <w:p w:rsidR="00C34B90" w:rsidRDefault="0029628A" w:rsidP="00881D8B">
      <w:pPr>
        <w:spacing w:line="480" w:lineRule="auto"/>
        <w:ind w:firstLine="720"/>
        <w:jc w:val="both"/>
        <w:rPr>
          <w:rFonts w:cs="Arial"/>
        </w:rPr>
      </w:pPr>
      <w:r>
        <w:rPr>
          <w:rFonts w:cs="Arial"/>
        </w:rPr>
        <w:lastRenderedPageBreak/>
        <w:t xml:space="preserve">The comments below flow from the public interest purpose that is </w:t>
      </w:r>
      <w:r w:rsidR="002039AB">
        <w:rPr>
          <w:rFonts w:cs="Arial"/>
        </w:rPr>
        <w:t xml:space="preserve">the foundation for </w:t>
      </w:r>
      <w:r>
        <w:rPr>
          <w:rFonts w:cs="Arial"/>
        </w:rPr>
        <w:t>the recent changes to R.C. 4928.54.</w:t>
      </w:r>
      <w:r w:rsidR="00F25F8C">
        <w:rPr>
          <w:rFonts w:cs="Arial"/>
        </w:rPr>
        <w:t xml:space="preserve">  More specifically, the comments of the Industrial Energy Users-Ohio (“IEU-Ohio”) focus on </w:t>
      </w:r>
      <w:r w:rsidR="00E91E51">
        <w:rPr>
          <w:rFonts w:cs="Arial"/>
        </w:rPr>
        <w:t xml:space="preserve">an application of </w:t>
      </w:r>
      <w:r w:rsidR="00F25F8C">
        <w:rPr>
          <w:rFonts w:cs="Arial"/>
        </w:rPr>
        <w:t xml:space="preserve">the Director’s aggregation authority </w:t>
      </w:r>
      <w:r w:rsidR="00E91E51">
        <w:rPr>
          <w:rFonts w:cs="Arial"/>
        </w:rPr>
        <w:t xml:space="preserve">(and use of </w:t>
      </w:r>
      <w:r w:rsidR="002039AB">
        <w:rPr>
          <w:rFonts w:cs="Arial"/>
        </w:rPr>
        <w:t>the tools available to the Commission</w:t>
      </w:r>
      <w:r w:rsidR="00E91E51">
        <w:rPr>
          <w:rFonts w:cs="Arial"/>
        </w:rPr>
        <w:t>)</w:t>
      </w:r>
      <w:r w:rsidR="002039AB">
        <w:rPr>
          <w:rFonts w:cs="Arial"/>
        </w:rPr>
        <w:t xml:space="preserve"> to reduce the electric bill payments made by customers receiving USF assistance and reduce the funding tab picked up by Ohio’s EDU customers.  Ultimately, the means selected must be derived from th</w:t>
      </w:r>
      <w:r w:rsidR="00E91E51">
        <w:rPr>
          <w:rFonts w:cs="Arial"/>
        </w:rPr>
        <w:t xml:space="preserve">ese </w:t>
      </w:r>
      <w:r w:rsidR="002039AB">
        <w:rPr>
          <w:rFonts w:cs="Arial"/>
        </w:rPr>
        <w:t xml:space="preserve">important </w:t>
      </w:r>
      <w:r w:rsidR="00E91E51">
        <w:rPr>
          <w:rFonts w:cs="Arial"/>
        </w:rPr>
        <w:t xml:space="preserve">and related </w:t>
      </w:r>
      <w:r w:rsidR="002039AB">
        <w:rPr>
          <w:rFonts w:cs="Arial"/>
        </w:rPr>
        <w:t>purpose</w:t>
      </w:r>
      <w:r w:rsidR="00E91E51">
        <w:rPr>
          <w:rFonts w:cs="Arial"/>
        </w:rPr>
        <w:t>s</w:t>
      </w:r>
      <w:r w:rsidR="002039AB">
        <w:rPr>
          <w:rFonts w:cs="Arial"/>
        </w:rPr>
        <w:t>.</w:t>
      </w:r>
    </w:p>
    <w:p w:rsidR="002039AB" w:rsidRPr="005F5D36" w:rsidRDefault="002039AB" w:rsidP="00CC0622">
      <w:pPr>
        <w:pStyle w:val="Heading1"/>
      </w:pPr>
      <w:r w:rsidRPr="005F5D36">
        <w:t>Option One – PIPP</w:t>
      </w:r>
      <w:r w:rsidR="0064004B" w:rsidRPr="00EE1712">
        <w:rPr>
          <w:rStyle w:val="FootnoteReference"/>
        </w:rPr>
        <w:footnoteReference w:id="2"/>
      </w:r>
      <w:r w:rsidRPr="005F5D36">
        <w:t>-Separate Procurement</w:t>
      </w:r>
    </w:p>
    <w:p w:rsidR="00F25F8C" w:rsidRDefault="002039AB" w:rsidP="00881D8B">
      <w:pPr>
        <w:spacing w:line="480" w:lineRule="auto"/>
        <w:ind w:firstLine="720"/>
        <w:jc w:val="both"/>
        <w:rPr>
          <w:rFonts w:cs="Arial"/>
        </w:rPr>
      </w:pPr>
      <w:r>
        <w:rPr>
          <w:rFonts w:cs="Arial"/>
        </w:rPr>
        <w:t>The Staff Report, beginning at page 3, briefly describe</w:t>
      </w:r>
      <w:r w:rsidR="00400ECE">
        <w:rPr>
          <w:rFonts w:cs="Arial"/>
        </w:rPr>
        <w:t>s the key parameters of Option One</w:t>
      </w:r>
      <w:r>
        <w:rPr>
          <w:rFonts w:cs="Arial"/>
        </w:rPr>
        <w:t xml:space="preserve">.  Given the brevity of the Staff Report and the </w:t>
      </w:r>
      <w:r w:rsidR="0054384B">
        <w:rPr>
          <w:rFonts w:cs="Arial"/>
        </w:rPr>
        <w:t xml:space="preserve">short </w:t>
      </w:r>
      <w:r>
        <w:rPr>
          <w:rFonts w:cs="Arial"/>
        </w:rPr>
        <w:t xml:space="preserve">amount of time available to </w:t>
      </w:r>
      <w:r w:rsidR="0054384B">
        <w:rPr>
          <w:rFonts w:cs="Arial"/>
        </w:rPr>
        <w:t xml:space="preserve">submit comments, </w:t>
      </w:r>
      <w:r>
        <w:rPr>
          <w:rFonts w:cs="Arial"/>
        </w:rPr>
        <w:t>IEU-Ohio</w:t>
      </w:r>
      <w:r w:rsidR="005F5D36">
        <w:rPr>
          <w:rFonts w:cs="Arial"/>
        </w:rPr>
        <w:t>’s</w:t>
      </w:r>
      <w:r>
        <w:rPr>
          <w:rFonts w:cs="Arial"/>
        </w:rPr>
        <w:t xml:space="preserve"> </w:t>
      </w:r>
      <w:r w:rsidR="0054384B">
        <w:rPr>
          <w:rFonts w:cs="Arial"/>
        </w:rPr>
        <w:t xml:space="preserve">Option One </w:t>
      </w:r>
      <w:r>
        <w:rPr>
          <w:rFonts w:cs="Arial"/>
        </w:rPr>
        <w:t>comments f</w:t>
      </w:r>
      <w:r w:rsidR="00186F07">
        <w:rPr>
          <w:rFonts w:cs="Arial"/>
        </w:rPr>
        <w:t>ocus on the Procurement Plan,</w:t>
      </w:r>
      <w:r>
        <w:rPr>
          <w:rFonts w:cs="Arial"/>
        </w:rPr>
        <w:t xml:space="preserve"> Effect on Existing</w:t>
      </w:r>
      <w:r w:rsidR="0054384B">
        <w:rPr>
          <w:rFonts w:cs="Arial"/>
        </w:rPr>
        <w:t xml:space="preserve"> Contracts </w:t>
      </w:r>
      <w:r w:rsidR="00186F07">
        <w:rPr>
          <w:rFonts w:cs="Arial"/>
        </w:rPr>
        <w:t xml:space="preserve">and the Load Separation </w:t>
      </w:r>
      <w:r w:rsidR="0054384B">
        <w:rPr>
          <w:rFonts w:cs="Arial"/>
        </w:rPr>
        <w:t>parameters.</w:t>
      </w:r>
    </w:p>
    <w:p w:rsidR="0054384B" w:rsidRDefault="0054384B" w:rsidP="00881D8B">
      <w:pPr>
        <w:spacing w:line="480" w:lineRule="auto"/>
        <w:ind w:firstLine="720"/>
        <w:jc w:val="both"/>
        <w:rPr>
          <w:rFonts w:cs="Arial"/>
        </w:rPr>
      </w:pPr>
      <w:r>
        <w:rPr>
          <w:rFonts w:cs="Arial"/>
        </w:rPr>
        <w:t>The Procurement Plan parameter indicates that the currently</w:t>
      </w:r>
      <w:r w:rsidR="005F5D36">
        <w:rPr>
          <w:rFonts w:cs="Arial"/>
        </w:rPr>
        <w:t>-</w:t>
      </w:r>
      <w:r>
        <w:rPr>
          <w:rFonts w:cs="Arial"/>
        </w:rPr>
        <w:t xml:space="preserve">approved EDU standard service offer (“SSO”) competitive bidding process </w:t>
      </w:r>
      <w:r w:rsidR="005F5D36">
        <w:rPr>
          <w:rFonts w:cs="Arial"/>
        </w:rPr>
        <w:t xml:space="preserve">(“CBP”) </w:t>
      </w:r>
      <w:r>
        <w:rPr>
          <w:rFonts w:cs="Arial"/>
        </w:rPr>
        <w:t>plans w</w:t>
      </w:r>
      <w:r w:rsidR="0064004B">
        <w:rPr>
          <w:rFonts w:cs="Arial"/>
        </w:rPr>
        <w:t xml:space="preserve">ill be used to construct </w:t>
      </w:r>
      <w:r>
        <w:rPr>
          <w:rFonts w:cs="Arial"/>
        </w:rPr>
        <w:t>a separate</w:t>
      </w:r>
      <w:r w:rsidR="00E91E51">
        <w:rPr>
          <w:rFonts w:cs="Arial"/>
        </w:rPr>
        <w:t xml:space="preserve"> </w:t>
      </w:r>
      <w:r w:rsidR="00B62D95">
        <w:rPr>
          <w:rFonts w:cs="Arial"/>
        </w:rPr>
        <w:t>C</w:t>
      </w:r>
      <w:r w:rsidR="0002620F">
        <w:rPr>
          <w:rFonts w:cs="Arial"/>
        </w:rPr>
        <w:t>B</w:t>
      </w:r>
      <w:r w:rsidR="00B62D95">
        <w:rPr>
          <w:rFonts w:cs="Arial"/>
        </w:rPr>
        <w:t xml:space="preserve">P </w:t>
      </w:r>
      <w:r w:rsidR="00E91E51">
        <w:rPr>
          <w:rFonts w:cs="Arial"/>
        </w:rPr>
        <w:t xml:space="preserve">module.  The Staff Report suggests that this </w:t>
      </w:r>
      <w:r w:rsidR="00B62D95">
        <w:rPr>
          <w:rFonts w:cs="Arial"/>
        </w:rPr>
        <w:t>separate CB</w:t>
      </w:r>
      <w:r w:rsidR="005F5D36">
        <w:rPr>
          <w:rFonts w:cs="Arial"/>
        </w:rPr>
        <w:t>P</w:t>
      </w:r>
      <w:r w:rsidR="00B62D95">
        <w:rPr>
          <w:rFonts w:cs="Arial"/>
        </w:rPr>
        <w:t xml:space="preserve"> module will be used </w:t>
      </w:r>
      <w:r>
        <w:rPr>
          <w:rFonts w:cs="Arial"/>
        </w:rPr>
        <w:t xml:space="preserve">to test whether the Director’s aggregation authority can produce a better outcome </w:t>
      </w:r>
      <w:r w:rsidR="0064004B">
        <w:rPr>
          <w:rFonts w:cs="Arial"/>
        </w:rPr>
        <w:t xml:space="preserve">than </w:t>
      </w:r>
      <w:r>
        <w:rPr>
          <w:rFonts w:cs="Arial"/>
        </w:rPr>
        <w:t>the otherwise applicable SSO result.  This approach will, however, delay or p</w:t>
      </w:r>
      <w:r w:rsidR="00B62D95">
        <w:rPr>
          <w:rFonts w:cs="Arial"/>
        </w:rPr>
        <w:t>hase-</w:t>
      </w:r>
      <w:r>
        <w:rPr>
          <w:rFonts w:cs="Arial"/>
        </w:rPr>
        <w:t xml:space="preserve">in any beneficial effects of a PIPP-Separate CBP.  </w:t>
      </w:r>
    </w:p>
    <w:p w:rsidR="0054384B" w:rsidRDefault="0054384B" w:rsidP="00881D8B">
      <w:pPr>
        <w:spacing w:line="480" w:lineRule="auto"/>
        <w:ind w:firstLine="720"/>
        <w:jc w:val="both"/>
        <w:rPr>
          <w:rFonts w:cs="Arial"/>
        </w:rPr>
      </w:pPr>
      <w:r>
        <w:rPr>
          <w:rFonts w:cs="Arial"/>
        </w:rPr>
        <w:t xml:space="preserve">Given current market conditions, IEU-Ohio recommends that the PIPP-Separate CBP include 100% of each EDU’s PIPP load and that multiple terms or lengths of the PIPP load supply contract be tested.  </w:t>
      </w:r>
      <w:r w:rsidR="0064004B">
        <w:rPr>
          <w:rFonts w:cs="Arial"/>
        </w:rPr>
        <w:t xml:space="preserve">Current market conditions indicate that a CBP focused on 100% of the PIPP load and </w:t>
      </w:r>
      <w:r w:rsidR="00B62D95">
        <w:rPr>
          <w:rFonts w:cs="Arial"/>
        </w:rPr>
        <w:t xml:space="preserve">the use of </w:t>
      </w:r>
      <w:r w:rsidR="0064004B">
        <w:rPr>
          <w:rFonts w:cs="Arial"/>
        </w:rPr>
        <w:t xml:space="preserve">longer term supply contracts offer the </w:t>
      </w:r>
      <w:r w:rsidR="0064004B">
        <w:rPr>
          <w:rFonts w:cs="Arial"/>
        </w:rPr>
        <w:lastRenderedPageBreak/>
        <w:t xml:space="preserve">best opportunity to reduce the electric bill payments made by customers receiving USF assistance and reduce the funding tab picked up by </w:t>
      </w:r>
      <w:r w:rsidR="00EE1712">
        <w:rPr>
          <w:rFonts w:cs="Arial"/>
        </w:rPr>
        <w:t xml:space="preserve">the customers of </w:t>
      </w:r>
      <w:r w:rsidR="0064004B">
        <w:rPr>
          <w:rFonts w:cs="Arial"/>
        </w:rPr>
        <w:t>Ohio’s EDUs.</w:t>
      </w:r>
    </w:p>
    <w:p w:rsidR="00186F07" w:rsidRDefault="0064004B" w:rsidP="00881D8B">
      <w:pPr>
        <w:spacing w:line="480" w:lineRule="auto"/>
        <w:ind w:firstLine="720"/>
        <w:jc w:val="both"/>
        <w:rPr>
          <w:rFonts w:cs="Arial"/>
        </w:rPr>
      </w:pPr>
      <w:r>
        <w:rPr>
          <w:rFonts w:cs="Arial"/>
        </w:rPr>
        <w:t xml:space="preserve">The Effect of Existing Contracts parameter also anticipates transitioning the PIPP load out of the SSO population.  This “transitioning” element is also mentioned in the Aggregation parameter.  </w:t>
      </w:r>
    </w:p>
    <w:p w:rsidR="0064004B" w:rsidRDefault="0064004B" w:rsidP="00881D8B">
      <w:pPr>
        <w:spacing w:line="480" w:lineRule="auto"/>
        <w:ind w:firstLine="720"/>
        <w:jc w:val="both"/>
        <w:rPr>
          <w:rFonts w:cs="Arial"/>
        </w:rPr>
      </w:pPr>
      <w:r>
        <w:rPr>
          <w:rFonts w:cs="Arial"/>
        </w:rPr>
        <w:t>As already mentioned, th</w:t>
      </w:r>
      <w:r w:rsidR="00EE1712">
        <w:rPr>
          <w:rFonts w:cs="Arial"/>
        </w:rPr>
        <w:t>e</w:t>
      </w:r>
      <w:r>
        <w:rPr>
          <w:rFonts w:cs="Arial"/>
        </w:rPr>
        <w:t xml:space="preserve"> transition feature of Option </w:t>
      </w:r>
      <w:r w:rsidR="00B62D95">
        <w:rPr>
          <w:rFonts w:cs="Arial"/>
        </w:rPr>
        <w:t xml:space="preserve">One </w:t>
      </w:r>
      <w:r>
        <w:rPr>
          <w:rFonts w:cs="Arial"/>
        </w:rPr>
        <w:t xml:space="preserve">will delay the introduction of </w:t>
      </w:r>
      <w:r w:rsidR="00EE1712">
        <w:rPr>
          <w:rFonts w:cs="Arial"/>
        </w:rPr>
        <w:t xml:space="preserve">the </w:t>
      </w:r>
      <w:r>
        <w:rPr>
          <w:rFonts w:cs="Arial"/>
        </w:rPr>
        <w:t>beneficial effect of a PIPP-Separate CBP.  It also suggests a</w:t>
      </w:r>
      <w:r w:rsidR="00186F07">
        <w:rPr>
          <w:rFonts w:cs="Arial"/>
        </w:rPr>
        <w:t>n</w:t>
      </w:r>
      <w:r>
        <w:rPr>
          <w:rFonts w:cs="Arial"/>
        </w:rPr>
        <w:t xml:space="preserve"> unwarranted deference to existing SSO supply contracts.  After all, </w:t>
      </w:r>
      <w:r w:rsidR="00186F07">
        <w:rPr>
          <w:rFonts w:cs="Arial"/>
        </w:rPr>
        <w:t>the PIPP load for certain EDUs has already been separated from the SSO load.</w:t>
      </w:r>
      <w:r w:rsidR="00186F07">
        <w:rPr>
          <w:rStyle w:val="FootnoteReference"/>
          <w:rFonts w:cs="Arial"/>
        </w:rPr>
        <w:footnoteReference w:id="3"/>
      </w:r>
    </w:p>
    <w:p w:rsidR="00B62D95" w:rsidRDefault="00186F07" w:rsidP="00881D8B">
      <w:pPr>
        <w:spacing w:line="480" w:lineRule="auto"/>
        <w:ind w:firstLine="720"/>
        <w:jc w:val="both"/>
        <w:rPr>
          <w:rFonts w:cs="Arial"/>
        </w:rPr>
      </w:pPr>
      <w:r>
        <w:rPr>
          <w:rFonts w:cs="Arial"/>
        </w:rPr>
        <w:t xml:space="preserve">The Load Separation Parameter indicated that the PIPP-Separate CBP is to be broken into 100 tranches.  This structural element appears to flow from </w:t>
      </w:r>
      <w:r w:rsidR="00B62D95">
        <w:rPr>
          <w:rFonts w:cs="Arial"/>
        </w:rPr>
        <w:t xml:space="preserve">misplaced reliance on </w:t>
      </w:r>
      <w:r>
        <w:rPr>
          <w:rFonts w:cs="Arial"/>
        </w:rPr>
        <w:t>the SSO CBP model.</w:t>
      </w:r>
      <w:r w:rsidR="00551AA7">
        <w:rPr>
          <w:rStyle w:val="FootnoteReference"/>
          <w:rFonts w:cs="Arial"/>
        </w:rPr>
        <w:footnoteReference w:id="4"/>
      </w:r>
      <w:r>
        <w:rPr>
          <w:rFonts w:cs="Arial"/>
        </w:rPr>
        <w:t xml:space="preserve"> </w:t>
      </w:r>
    </w:p>
    <w:p w:rsidR="00186F07" w:rsidRDefault="00B62D95" w:rsidP="00881D8B">
      <w:pPr>
        <w:spacing w:line="480" w:lineRule="auto"/>
        <w:ind w:firstLine="720"/>
        <w:jc w:val="both"/>
        <w:rPr>
          <w:rFonts w:cs="Arial"/>
        </w:rPr>
      </w:pPr>
      <w:r>
        <w:rPr>
          <w:rFonts w:cs="Arial"/>
        </w:rPr>
        <w:t>T</w:t>
      </w:r>
      <w:r w:rsidR="00186F07">
        <w:rPr>
          <w:rFonts w:cs="Arial"/>
        </w:rPr>
        <w:t xml:space="preserve">he Director’s aggregation authority is </w:t>
      </w:r>
      <w:r w:rsidR="00400ECE">
        <w:rPr>
          <w:rFonts w:cs="Arial"/>
        </w:rPr>
        <w:t xml:space="preserve">similar to </w:t>
      </w:r>
      <w:r w:rsidR="00186F07">
        <w:rPr>
          <w:rFonts w:cs="Arial"/>
        </w:rPr>
        <w:t xml:space="preserve">the governmental aggregation authority that has been used by Ohio’s local governmental authorities for about </w:t>
      </w:r>
      <w:r w:rsidR="005F5D36">
        <w:rPr>
          <w:rFonts w:cs="Arial"/>
        </w:rPr>
        <w:t xml:space="preserve">15 </w:t>
      </w:r>
      <w:r w:rsidR="00186F07">
        <w:rPr>
          <w:rFonts w:cs="Arial"/>
        </w:rPr>
        <w:t xml:space="preserve">years.  </w:t>
      </w:r>
      <w:r w:rsidR="00400ECE">
        <w:rPr>
          <w:rFonts w:cs="Arial"/>
        </w:rPr>
        <w:t xml:space="preserve">This aggregation authority is designed to test the value of a group buy </w:t>
      </w:r>
      <w:r w:rsidR="005F5D36">
        <w:rPr>
          <w:rFonts w:cs="Arial"/>
        </w:rPr>
        <w:t xml:space="preserve">-- </w:t>
      </w:r>
      <w:r w:rsidR="00400ECE">
        <w:rPr>
          <w:rFonts w:cs="Arial"/>
        </w:rPr>
        <w:t xml:space="preserve">not create a separate default generation supply </w:t>
      </w:r>
      <w:r w:rsidR="00551AA7">
        <w:rPr>
          <w:rFonts w:cs="Arial"/>
        </w:rPr>
        <w:t xml:space="preserve">product </w:t>
      </w:r>
      <w:r w:rsidR="00400ECE">
        <w:rPr>
          <w:rFonts w:cs="Arial"/>
        </w:rPr>
        <w:t xml:space="preserve">for the PIPP load.  </w:t>
      </w:r>
      <w:r w:rsidR="00551AA7">
        <w:rPr>
          <w:rFonts w:cs="Arial"/>
        </w:rPr>
        <w:t xml:space="preserve">Accordingly, </w:t>
      </w:r>
      <w:r w:rsidR="00367A33">
        <w:rPr>
          <w:rFonts w:cs="Arial"/>
        </w:rPr>
        <w:t xml:space="preserve">the Staff’s recommended </w:t>
      </w:r>
      <w:r w:rsidR="00186F07">
        <w:rPr>
          <w:rFonts w:cs="Arial"/>
        </w:rPr>
        <w:t xml:space="preserve">reliance on the SSO CBP model may exclude approaches that offer the </w:t>
      </w:r>
      <w:r w:rsidR="00186F07">
        <w:rPr>
          <w:rFonts w:cs="Arial"/>
        </w:rPr>
        <w:lastRenderedPageBreak/>
        <w:t xml:space="preserve">best opportunity to reduce the electric bill payments made by customers receiving USF assistance and reduce the funding tab picked up by </w:t>
      </w:r>
      <w:r w:rsidR="00EE1712">
        <w:rPr>
          <w:rFonts w:cs="Arial"/>
        </w:rPr>
        <w:t xml:space="preserve">the customers of </w:t>
      </w:r>
      <w:r w:rsidR="00186F07">
        <w:rPr>
          <w:rFonts w:cs="Arial"/>
        </w:rPr>
        <w:t xml:space="preserve">Ohio’s EDUs.  </w:t>
      </w:r>
    </w:p>
    <w:p w:rsidR="00400ECE" w:rsidRPr="00400ECE" w:rsidRDefault="00400ECE" w:rsidP="00CC0622">
      <w:pPr>
        <w:pStyle w:val="Heading1"/>
      </w:pPr>
      <w:r w:rsidRPr="00400ECE">
        <w:t>Option Two</w:t>
      </w:r>
      <w:r w:rsidR="00551AA7">
        <w:t xml:space="preserve"> </w:t>
      </w:r>
      <w:r w:rsidRPr="00400ECE">
        <w:t>-</w:t>
      </w:r>
      <w:r w:rsidR="00551AA7">
        <w:t xml:space="preserve"> </w:t>
      </w:r>
      <w:r w:rsidRPr="00400ECE">
        <w:t>Administrative Discount</w:t>
      </w:r>
    </w:p>
    <w:p w:rsidR="00551AA7" w:rsidRDefault="00400ECE" w:rsidP="00881D8B">
      <w:pPr>
        <w:spacing w:line="480" w:lineRule="auto"/>
        <w:ind w:firstLine="720"/>
        <w:jc w:val="both"/>
        <w:rPr>
          <w:rFonts w:cs="Arial"/>
        </w:rPr>
      </w:pPr>
      <w:r>
        <w:rPr>
          <w:rFonts w:cs="Arial"/>
        </w:rPr>
        <w:t xml:space="preserve">The Staff Report contains one short paragraph on Option Two.  </w:t>
      </w:r>
      <w:r w:rsidR="00B62D95">
        <w:rPr>
          <w:rFonts w:cs="Arial"/>
        </w:rPr>
        <w:t xml:space="preserve">For purposes of these comments, </w:t>
      </w:r>
      <w:r>
        <w:rPr>
          <w:rFonts w:cs="Arial"/>
        </w:rPr>
        <w:t xml:space="preserve">IEU-Ohio assumes that </w:t>
      </w:r>
      <w:r w:rsidR="005F5D36">
        <w:rPr>
          <w:rFonts w:cs="Arial"/>
        </w:rPr>
        <w:t xml:space="preserve">the </w:t>
      </w:r>
      <w:r w:rsidR="00B62D95">
        <w:rPr>
          <w:rFonts w:cs="Arial"/>
        </w:rPr>
        <w:t xml:space="preserve">Option Two </w:t>
      </w:r>
      <w:r>
        <w:rPr>
          <w:rFonts w:cs="Arial"/>
        </w:rPr>
        <w:t>approach is similar to the “percent off” approach that the Commission has approved as part of electric security plans (“ESP”).</w:t>
      </w:r>
      <w:r w:rsidR="00EE1712">
        <w:rPr>
          <w:rStyle w:val="FootnoteReference"/>
          <w:rFonts w:cs="Arial"/>
        </w:rPr>
        <w:footnoteReference w:id="5"/>
      </w:r>
      <w:r>
        <w:rPr>
          <w:rFonts w:cs="Arial"/>
        </w:rPr>
        <w:t xml:space="preserve">  </w:t>
      </w:r>
    </w:p>
    <w:p w:rsidR="00400ECE" w:rsidRDefault="00400ECE" w:rsidP="00881D8B">
      <w:pPr>
        <w:spacing w:line="480" w:lineRule="auto"/>
        <w:ind w:firstLine="720"/>
        <w:jc w:val="both"/>
        <w:rPr>
          <w:rFonts w:cs="Arial"/>
        </w:rPr>
      </w:pPr>
      <w:r>
        <w:rPr>
          <w:rFonts w:cs="Arial"/>
        </w:rPr>
        <w:t>In th</w:t>
      </w:r>
      <w:r w:rsidR="00551AA7">
        <w:rPr>
          <w:rFonts w:cs="Arial"/>
        </w:rPr>
        <w:t xml:space="preserve">e Commission’s prior use of the </w:t>
      </w:r>
      <w:r>
        <w:rPr>
          <w:rFonts w:cs="Arial"/>
        </w:rPr>
        <w:t xml:space="preserve">“percent off” approach, the Director retained his aggregation authority but, in the interim, the purpose of this aggregation authority was </w:t>
      </w:r>
      <w:r w:rsidR="00551AA7">
        <w:rPr>
          <w:rFonts w:cs="Arial"/>
        </w:rPr>
        <w:t xml:space="preserve">advanced </w:t>
      </w:r>
      <w:r>
        <w:rPr>
          <w:rFonts w:cs="Arial"/>
        </w:rPr>
        <w:t xml:space="preserve">by </w:t>
      </w:r>
      <w:r w:rsidR="00551AA7">
        <w:rPr>
          <w:rFonts w:cs="Arial"/>
        </w:rPr>
        <w:t xml:space="preserve">obtaining generation supply for the </w:t>
      </w:r>
      <w:r>
        <w:rPr>
          <w:rFonts w:cs="Arial"/>
        </w:rPr>
        <w:t xml:space="preserve">PIPP load </w:t>
      </w:r>
      <w:r w:rsidR="00551AA7">
        <w:rPr>
          <w:rFonts w:cs="Arial"/>
        </w:rPr>
        <w:t xml:space="preserve">from </w:t>
      </w:r>
      <w:r>
        <w:rPr>
          <w:rFonts w:cs="Arial"/>
        </w:rPr>
        <w:t xml:space="preserve">a CRES provider willing to </w:t>
      </w:r>
      <w:r w:rsidR="00551AA7">
        <w:rPr>
          <w:rFonts w:cs="Arial"/>
        </w:rPr>
        <w:t xml:space="preserve">meet the full requirements of the PIPP customers at a price lower than the otherwise applicable SSO.  </w:t>
      </w:r>
      <w:r w:rsidR="00EE1712">
        <w:rPr>
          <w:rFonts w:cs="Arial"/>
        </w:rPr>
        <w:t xml:space="preserve">The opportunity was created by a CRES provider </w:t>
      </w:r>
      <w:r w:rsidR="00CC0622">
        <w:rPr>
          <w:rFonts w:cs="Arial"/>
        </w:rPr>
        <w:t>making an offer to provide generation supply to the PIPP</w:t>
      </w:r>
      <w:r w:rsidR="002E0B5D">
        <w:rPr>
          <w:rFonts w:cs="Arial"/>
        </w:rPr>
        <w:t xml:space="preserve"> </w:t>
      </w:r>
      <w:r w:rsidR="00CC0622">
        <w:rPr>
          <w:rFonts w:cs="Arial"/>
        </w:rPr>
        <w:t xml:space="preserve">load at price discounted relative to the otherwise applicable generation supply price.  </w:t>
      </w:r>
    </w:p>
    <w:p w:rsidR="00F33E91" w:rsidRDefault="00CC0622" w:rsidP="00881D8B">
      <w:pPr>
        <w:spacing w:line="480" w:lineRule="auto"/>
        <w:ind w:firstLine="720"/>
        <w:jc w:val="both"/>
        <w:rPr>
          <w:rFonts w:cs="Arial"/>
        </w:rPr>
      </w:pPr>
      <w:r>
        <w:rPr>
          <w:rFonts w:cs="Arial"/>
        </w:rPr>
        <w:t>As already noted, t</w:t>
      </w:r>
      <w:r w:rsidR="00551AA7">
        <w:rPr>
          <w:rFonts w:cs="Arial"/>
        </w:rPr>
        <w:t xml:space="preserve">he Commission has </w:t>
      </w:r>
      <w:r>
        <w:rPr>
          <w:rFonts w:cs="Arial"/>
        </w:rPr>
        <w:t xml:space="preserve">previously approved the </w:t>
      </w:r>
      <w:r w:rsidR="00551AA7">
        <w:rPr>
          <w:rFonts w:cs="Arial"/>
        </w:rPr>
        <w:t>use of the Administrative Discou</w:t>
      </w:r>
      <w:r w:rsidR="0081190D">
        <w:rPr>
          <w:rFonts w:cs="Arial"/>
        </w:rPr>
        <w:t>nt approach</w:t>
      </w:r>
      <w:r w:rsidR="00F33E91">
        <w:rPr>
          <w:rFonts w:cs="Arial"/>
        </w:rPr>
        <w:t>.</w:t>
      </w:r>
      <w:r w:rsidR="0081190D">
        <w:rPr>
          <w:rFonts w:cs="Arial"/>
        </w:rPr>
        <w:t xml:space="preserve"> </w:t>
      </w:r>
      <w:r w:rsidR="00F33E91">
        <w:rPr>
          <w:rFonts w:cs="Arial"/>
        </w:rPr>
        <w:t xml:space="preserve"> T</w:t>
      </w:r>
      <w:r w:rsidR="0081190D">
        <w:rPr>
          <w:rFonts w:cs="Arial"/>
        </w:rPr>
        <w:t>h</w:t>
      </w:r>
      <w:r w:rsidR="00F400AF">
        <w:rPr>
          <w:rFonts w:cs="Arial"/>
        </w:rPr>
        <w:t xml:space="preserve">is </w:t>
      </w:r>
      <w:r w:rsidR="0081190D">
        <w:rPr>
          <w:rFonts w:cs="Arial"/>
        </w:rPr>
        <w:t xml:space="preserve">approach could </w:t>
      </w:r>
      <w:r w:rsidR="00551AA7">
        <w:rPr>
          <w:rFonts w:cs="Arial"/>
        </w:rPr>
        <w:t>continue to operate as an element of ESPs</w:t>
      </w:r>
      <w:r w:rsidR="0081190D">
        <w:rPr>
          <w:rFonts w:cs="Arial"/>
        </w:rPr>
        <w:t xml:space="preserve"> (at least on an interim basis) until</w:t>
      </w:r>
      <w:r w:rsidR="00551AA7">
        <w:rPr>
          <w:rFonts w:cs="Arial"/>
        </w:rPr>
        <w:t xml:space="preserve"> further </w:t>
      </w:r>
      <w:r w:rsidR="0081190D">
        <w:rPr>
          <w:rFonts w:cs="Arial"/>
        </w:rPr>
        <w:t xml:space="preserve">work is </w:t>
      </w:r>
      <w:r w:rsidR="00367A33">
        <w:rPr>
          <w:rFonts w:cs="Arial"/>
        </w:rPr>
        <w:t xml:space="preserve">done </w:t>
      </w:r>
      <w:r w:rsidR="0081190D">
        <w:rPr>
          <w:rFonts w:cs="Arial"/>
        </w:rPr>
        <w:t xml:space="preserve">to determine </w:t>
      </w:r>
      <w:r w:rsidR="00551AA7">
        <w:rPr>
          <w:rFonts w:cs="Arial"/>
        </w:rPr>
        <w:t xml:space="preserve">how best </w:t>
      </w:r>
      <w:r w:rsidR="005F5D36">
        <w:rPr>
          <w:rFonts w:cs="Arial"/>
        </w:rPr>
        <w:t xml:space="preserve">to </w:t>
      </w:r>
      <w:r w:rsidR="00551AA7">
        <w:rPr>
          <w:rFonts w:cs="Arial"/>
        </w:rPr>
        <w:t>exercise the Director’s aggregation authority</w:t>
      </w:r>
      <w:r w:rsidR="0081190D">
        <w:rPr>
          <w:rFonts w:cs="Arial"/>
        </w:rPr>
        <w:t xml:space="preserve">.  </w:t>
      </w:r>
    </w:p>
    <w:p w:rsidR="00F400AF" w:rsidRDefault="00F400AF" w:rsidP="00881D8B">
      <w:pPr>
        <w:spacing w:line="480" w:lineRule="auto"/>
        <w:ind w:firstLine="720"/>
        <w:jc w:val="both"/>
        <w:rPr>
          <w:rFonts w:cs="Arial"/>
        </w:rPr>
      </w:pPr>
      <w:r>
        <w:rPr>
          <w:rFonts w:cs="Arial"/>
        </w:rPr>
        <w:t>The Administrative Approach may offer a prompt step in the right direction.  Given the huge escalation in the annual amount of USF funding that is occurring year-to-year, tak</w:t>
      </w:r>
      <w:r w:rsidR="00F33E91">
        <w:rPr>
          <w:rFonts w:cs="Arial"/>
        </w:rPr>
        <w:t xml:space="preserve">ing </w:t>
      </w:r>
      <w:r>
        <w:rPr>
          <w:rFonts w:cs="Arial"/>
        </w:rPr>
        <w:t xml:space="preserve">a prompt step in the right direction </w:t>
      </w:r>
      <w:r w:rsidR="00F33E91">
        <w:rPr>
          <w:rFonts w:cs="Arial"/>
        </w:rPr>
        <w:t xml:space="preserve">has virtue relative to the </w:t>
      </w:r>
      <w:r w:rsidR="00F33E91" w:rsidRPr="00F33E91">
        <w:rPr>
          <w:rFonts w:cs="Arial"/>
          <w:i/>
        </w:rPr>
        <w:t>status quo</w:t>
      </w:r>
      <w:r w:rsidR="00F33E91">
        <w:rPr>
          <w:rFonts w:cs="Arial"/>
        </w:rPr>
        <w:t xml:space="preserve">.  </w:t>
      </w:r>
    </w:p>
    <w:p w:rsidR="00F33E91" w:rsidRDefault="0081190D" w:rsidP="00F33E91">
      <w:pPr>
        <w:spacing w:line="480" w:lineRule="auto"/>
        <w:ind w:firstLine="720"/>
        <w:jc w:val="both"/>
        <w:rPr>
          <w:rFonts w:cs="Arial"/>
        </w:rPr>
      </w:pPr>
      <w:r>
        <w:rPr>
          <w:rFonts w:cs="Arial"/>
        </w:rPr>
        <w:lastRenderedPageBreak/>
        <w:t xml:space="preserve">As discussed above with regard to Option One, </w:t>
      </w:r>
      <w:r w:rsidR="00F400AF">
        <w:rPr>
          <w:rFonts w:cs="Arial"/>
        </w:rPr>
        <w:t xml:space="preserve">mirroring the approach taken to pick suppliers for the default SSO product and to establish a price for default supply may exclude administrative approaches that offer a better opportunity to reduce the electric bill payments made by customers receiving USF assistance and reduce the funding tab picked up by </w:t>
      </w:r>
      <w:r w:rsidR="00CC0622">
        <w:rPr>
          <w:rFonts w:cs="Arial"/>
        </w:rPr>
        <w:t xml:space="preserve">the customers of </w:t>
      </w:r>
      <w:r w:rsidR="00F400AF">
        <w:rPr>
          <w:rFonts w:cs="Arial"/>
        </w:rPr>
        <w:t>Ohio’s EDUs.</w:t>
      </w:r>
      <w:r w:rsidR="00F33E91">
        <w:rPr>
          <w:rFonts w:cs="Arial"/>
        </w:rPr>
        <w:t xml:space="preserve">  </w:t>
      </w:r>
    </w:p>
    <w:p w:rsidR="00F33E91" w:rsidRPr="00F33E91" w:rsidRDefault="00F33E91" w:rsidP="00CC0622">
      <w:pPr>
        <w:pStyle w:val="Heading1"/>
      </w:pPr>
      <w:r w:rsidRPr="00F33E91">
        <w:t xml:space="preserve">Conclusion </w:t>
      </w:r>
    </w:p>
    <w:p w:rsidR="00F33E91" w:rsidRDefault="00F33E91" w:rsidP="00F33E91">
      <w:pPr>
        <w:spacing w:line="480" w:lineRule="auto"/>
        <w:ind w:firstLine="720"/>
        <w:jc w:val="both"/>
        <w:rPr>
          <w:rFonts w:cs="Arial"/>
        </w:rPr>
      </w:pPr>
      <w:r>
        <w:rPr>
          <w:rFonts w:cs="Arial"/>
        </w:rPr>
        <w:t>Implementation of the Director’s aggregation authority and use of the tools available to the Commission must be guided by the General Assembly’s obvious desire to reduce the electric bill payments made by customers receiving USF assistance and reduce the funding tab picked up by “EDU” customers.  The Staff Report’s Option One and Option Two are not mutually exclusive and, most likely, not the exclusive or best means by which to advance the public interest.</w:t>
      </w:r>
    </w:p>
    <w:p w:rsidR="00DD3E1C" w:rsidRDefault="00DD3E1C" w:rsidP="00651D78">
      <w:pPr>
        <w:tabs>
          <w:tab w:val="right" w:pos="8640"/>
        </w:tabs>
        <w:ind w:left="3960"/>
        <w:jc w:val="both"/>
        <w:rPr>
          <w:rFonts w:cs="Arial"/>
        </w:rPr>
      </w:pPr>
      <w:r>
        <w:rPr>
          <w:rFonts w:cs="Arial"/>
        </w:rPr>
        <w:t>Respectfully submitted,</w:t>
      </w:r>
    </w:p>
    <w:p w:rsidR="00DD3E1C" w:rsidRDefault="00DD3E1C" w:rsidP="00651D78">
      <w:pPr>
        <w:tabs>
          <w:tab w:val="right" w:pos="8640"/>
        </w:tabs>
        <w:ind w:left="3960"/>
        <w:jc w:val="both"/>
        <w:rPr>
          <w:rFonts w:cs="Arial"/>
        </w:rPr>
      </w:pPr>
    </w:p>
    <w:p w:rsidR="00DD3E1C" w:rsidRPr="00320E03" w:rsidRDefault="00DD3E1C" w:rsidP="00651D78">
      <w:pPr>
        <w:tabs>
          <w:tab w:val="left" w:pos="3960"/>
          <w:tab w:val="right" w:pos="8640"/>
        </w:tabs>
        <w:jc w:val="both"/>
        <w:rPr>
          <w:rFonts w:cs="Arial"/>
          <w:i/>
          <w:u w:val="single"/>
        </w:rPr>
      </w:pPr>
      <w:r w:rsidRPr="00320E03">
        <w:rPr>
          <w:rFonts w:cs="Arial"/>
          <w:i/>
        </w:rPr>
        <w:tab/>
      </w:r>
      <w:r w:rsidRPr="00320E03">
        <w:rPr>
          <w:rFonts w:cs="Arial"/>
          <w:i/>
          <w:u w:val="single"/>
        </w:rPr>
        <w:t xml:space="preserve">/s/ </w:t>
      </w:r>
      <w:r>
        <w:rPr>
          <w:rFonts w:cs="Arial"/>
          <w:i/>
          <w:u w:val="single"/>
        </w:rPr>
        <w:t>Samuel C. Randazzo</w:t>
      </w:r>
      <w:r w:rsidRPr="00320E03">
        <w:rPr>
          <w:rFonts w:cs="Arial"/>
          <w:i/>
          <w:u w:val="single"/>
        </w:rPr>
        <w:tab/>
      </w:r>
    </w:p>
    <w:p w:rsidR="00DD3E1C" w:rsidRDefault="00DD3E1C" w:rsidP="00651D78">
      <w:pPr>
        <w:pStyle w:val="BodyText3"/>
        <w:widowControl w:val="0"/>
        <w:ind w:left="3960"/>
        <w:jc w:val="both"/>
        <w:rPr>
          <w:rFonts w:ascii="Arial" w:hAnsi="Arial" w:cs="Arial"/>
          <w:b w:val="0"/>
          <w:bCs/>
        </w:rPr>
      </w:pPr>
      <w:r>
        <w:rPr>
          <w:rFonts w:ascii="Arial" w:hAnsi="Arial" w:cs="Arial"/>
          <w:b w:val="0"/>
          <w:bCs/>
        </w:rPr>
        <w:t>Samuel C. Randazzo (Reg. No. 0016386)</w:t>
      </w:r>
    </w:p>
    <w:p w:rsidR="00DD3E1C" w:rsidRDefault="00DD3E1C" w:rsidP="00651D78">
      <w:pPr>
        <w:tabs>
          <w:tab w:val="right" w:pos="8640"/>
        </w:tabs>
        <w:ind w:left="3960"/>
        <w:jc w:val="both"/>
        <w:rPr>
          <w:rFonts w:cs="Arial"/>
        </w:rPr>
      </w:pPr>
      <w:r>
        <w:rPr>
          <w:rFonts w:cs="Arial"/>
        </w:rPr>
        <w:t>(Counsel of Record)</w:t>
      </w:r>
    </w:p>
    <w:p w:rsidR="00DD3E1C" w:rsidRDefault="00DD3E1C" w:rsidP="00651D78">
      <w:pPr>
        <w:pStyle w:val="BodyText3"/>
        <w:widowControl w:val="0"/>
        <w:ind w:left="3960"/>
        <w:jc w:val="both"/>
        <w:rPr>
          <w:rFonts w:ascii="Arial" w:hAnsi="Arial" w:cs="Arial"/>
          <w:b w:val="0"/>
          <w:bCs/>
        </w:rPr>
      </w:pPr>
      <w:r>
        <w:rPr>
          <w:rFonts w:ascii="Arial" w:hAnsi="Arial" w:cs="Arial"/>
          <w:b w:val="0"/>
          <w:bCs/>
        </w:rPr>
        <w:t>Frank P. Darr (Reg. No. 0025469)</w:t>
      </w:r>
    </w:p>
    <w:p w:rsidR="00DD3E1C" w:rsidRDefault="00DD3E1C" w:rsidP="00651D78">
      <w:pPr>
        <w:pStyle w:val="BodyText3"/>
        <w:widowControl w:val="0"/>
        <w:ind w:left="3960"/>
        <w:jc w:val="both"/>
        <w:rPr>
          <w:rFonts w:ascii="Arial" w:hAnsi="Arial" w:cs="Arial"/>
          <w:b w:val="0"/>
          <w:bCs/>
        </w:rPr>
      </w:pPr>
      <w:r>
        <w:rPr>
          <w:rFonts w:ascii="Arial" w:hAnsi="Arial" w:cs="Arial"/>
          <w:b w:val="0"/>
          <w:bCs/>
        </w:rPr>
        <w:t>Matthew R. Pritchard (Reg. No. 0088070)</w:t>
      </w:r>
    </w:p>
    <w:p w:rsidR="00DD3E1C" w:rsidRDefault="00DD3E1C" w:rsidP="00651D78">
      <w:pPr>
        <w:pStyle w:val="BodyText3"/>
        <w:widowControl w:val="0"/>
        <w:ind w:left="396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rsidR="00DD3E1C" w:rsidRDefault="00DD3E1C" w:rsidP="00651D78">
      <w:pPr>
        <w:pStyle w:val="BodyText3"/>
        <w:widowControl w:val="0"/>
        <w:ind w:left="396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rsidR="00DD3E1C" w:rsidRDefault="00DD3E1C" w:rsidP="00651D78">
      <w:pPr>
        <w:pStyle w:val="BodyText"/>
        <w:ind w:left="3960"/>
      </w:pPr>
      <w:r>
        <w:t>Columbus, OH  43215</w:t>
      </w:r>
    </w:p>
    <w:p w:rsidR="00DD3E1C" w:rsidRDefault="00DD3E1C" w:rsidP="00651D78">
      <w:pPr>
        <w:pStyle w:val="BodyText"/>
        <w:ind w:left="3960"/>
      </w:pPr>
      <w:r>
        <w:t>Telephone:  (614) 469-8000</w:t>
      </w:r>
    </w:p>
    <w:p w:rsidR="00DD3E1C" w:rsidRDefault="00DD3E1C" w:rsidP="00651D78">
      <w:pPr>
        <w:pStyle w:val="BodyText"/>
        <w:ind w:left="3960"/>
      </w:pPr>
      <w:proofErr w:type="spellStart"/>
      <w:r>
        <w:t>Telecopier</w:t>
      </w:r>
      <w:proofErr w:type="spellEnd"/>
      <w:r>
        <w:t>:  (614) 469-4653</w:t>
      </w:r>
    </w:p>
    <w:p w:rsidR="00DD3E1C" w:rsidRDefault="00DD3E1C" w:rsidP="00651D78">
      <w:pPr>
        <w:pStyle w:val="BodyText"/>
        <w:ind w:left="3960"/>
      </w:pPr>
      <w:r>
        <w:t>sam@mwncmh.com</w:t>
      </w:r>
    </w:p>
    <w:p w:rsidR="00DD3E1C" w:rsidRDefault="00DD3E1C" w:rsidP="00651D78">
      <w:pPr>
        <w:pStyle w:val="BodyText"/>
        <w:ind w:left="3960"/>
      </w:pPr>
      <w:r>
        <w:t>fdarr@mwncmh.com</w:t>
      </w:r>
    </w:p>
    <w:p w:rsidR="00DD3E1C" w:rsidRDefault="00DD3E1C" w:rsidP="00651D78">
      <w:pPr>
        <w:pStyle w:val="BodyText"/>
        <w:ind w:left="3960"/>
      </w:pPr>
      <w:r>
        <w:t>mpritchard@mwncmh.com</w:t>
      </w:r>
    </w:p>
    <w:p w:rsidR="00DD3E1C" w:rsidRDefault="00DD3E1C" w:rsidP="00651D78">
      <w:pPr>
        <w:pStyle w:val="BodyText"/>
        <w:ind w:left="3960"/>
      </w:pPr>
    </w:p>
    <w:p w:rsidR="00DD3E1C" w:rsidRPr="00651D78" w:rsidRDefault="00DD3E1C" w:rsidP="00651D78">
      <w:pPr>
        <w:pStyle w:val="Title"/>
        <w:ind w:left="3960"/>
        <w:jc w:val="left"/>
        <w:rPr>
          <w:rFonts w:ascii="Arial Bold" w:hAnsi="Arial Bold"/>
          <w:sz w:val="24"/>
        </w:rPr>
      </w:pPr>
      <w:r w:rsidRPr="00651D78">
        <w:rPr>
          <w:rFonts w:ascii="Arial Bold" w:hAnsi="Arial Bold"/>
          <w:sz w:val="24"/>
        </w:rPr>
        <w:t>Attorneys for Industrial Energy Users-Ohio</w:t>
      </w:r>
    </w:p>
    <w:p w:rsidR="00DD3E1C" w:rsidRDefault="00DD3E1C" w:rsidP="00DD3E1C">
      <w:pPr>
        <w:tabs>
          <w:tab w:val="left" w:pos="2160"/>
          <w:tab w:val="left" w:pos="2280"/>
        </w:tabs>
        <w:jc w:val="center"/>
        <w:rPr>
          <w:rFonts w:cs="Arial"/>
          <w:b/>
        </w:rPr>
        <w:sectPr w:rsidR="00DD3E1C" w:rsidSect="008A7B6A">
          <w:pgSz w:w="12240" w:h="15840" w:code="1"/>
          <w:pgMar w:top="1440" w:right="1440" w:bottom="1296" w:left="1440" w:header="720" w:footer="720" w:gutter="0"/>
          <w:pgNumType w:start="1"/>
          <w:cols w:space="720"/>
          <w:titlePg/>
          <w:docGrid w:linePitch="326"/>
        </w:sectPr>
      </w:pPr>
    </w:p>
    <w:p w:rsidR="00DD3E1C" w:rsidRDefault="00DD3E1C" w:rsidP="00DD3E1C">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rsidR="00DD3E1C" w:rsidRDefault="00DD3E1C" w:rsidP="00DD3E1C">
      <w:pPr>
        <w:rPr>
          <w:rFonts w:cs="Arial"/>
        </w:rPr>
      </w:pPr>
    </w:p>
    <w:p w:rsidR="00DD3E1C" w:rsidRPr="00E66B49" w:rsidRDefault="00DD3E1C" w:rsidP="00DD3E1C">
      <w:pPr>
        <w:pStyle w:val="BodyText"/>
        <w:spacing w:line="480" w:lineRule="auto"/>
        <w:ind w:firstLine="720"/>
      </w:pPr>
      <w:r w:rsidRPr="00E66B49">
        <w:t>In accordance with Rule 4901-1-05, Ohio Ad</w:t>
      </w:r>
      <w:r>
        <w:t>ministrative Code, the PUCO's e</w:t>
      </w:r>
      <w:r>
        <w:noBreakHyphen/>
      </w:r>
      <w:r w:rsidRPr="00E66B49">
        <w:t xml:space="preserve">filing system will electronically serve notice of the filing of this document upon the following parties.  In addition, I hereby certify that a service copy of the foregoing </w:t>
      </w:r>
      <w:r>
        <w:rPr>
          <w:i/>
        </w:rPr>
        <w:t xml:space="preserve">Industrial Energy Users-Ohio’s Comments </w:t>
      </w:r>
      <w:r w:rsidRPr="00E66B49">
        <w:t xml:space="preserve">was sent by, or on behalf of, the undersigned counsel for IEU-Ohio to the following parties of record this </w:t>
      </w:r>
      <w:r>
        <w:t>8</w:t>
      </w:r>
      <w:r w:rsidRPr="00DD3E1C">
        <w:rPr>
          <w:vertAlign w:val="superscript"/>
        </w:rPr>
        <w:t>th</w:t>
      </w:r>
      <w:r>
        <w:t xml:space="preserve"> </w:t>
      </w:r>
      <w:r w:rsidRPr="00E66B49">
        <w:t xml:space="preserve">day of </w:t>
      </w:r>
      <w:r>
        <w:t>February 201</w:t>
      </w:r>
      <w:r w:rsidR="00A07681">
        <w:t>6</w:t>
      </w:r>
      <w:r>
        <w:t xml:space="preserve">, </w:t>
      </w:r>
      <w:r w:rsidRPr="00E66B49">
        <w:rPr>
          <w:i/>
        </w:rPr>
        <w:t>via</w:t>
      </w:r>
      <w:r w:rsidRPr="00E66B49">
        <w:t xml:space="preserve"> electronic transmission. </w:t>
      </w:r>
    </w:p>
    <w:p w:rsidR="00DD3E1C" w:rsidRPr="00320E03" w:rsidRDefault="00DD3E1C" w:rsidP="00DD3E1C">
      <w:pPr>
        <w:tabs>
          <w:tab w:val="center" w:pos="7200"/>
          <w:tab w:val="right" w:pos="9360"/>
        </w:tabs>
        <w:ind w:left="5040"/>
        <w:rPr>
          <w:rFonts w:cs="Arial"/>
          <w:i/>
          <w:u w:val="single"/>
        </w:rPr>
      </w:pPr>
      <w:r w:rsidRPr="00320E03">
        <w:rPr>
          <w:rFonts w:cs="Arial"/>
          <w:i/>
          <w:u w:val="single"/>
        </w:rPr>
        <w:t xml:space="preserve">/s/ </w:t>
      </w:r>
      <w:r>
        <w:rPr>
          <w:rFonts w:cs="Arial"/>
          <w:i/>
          <w:u w:val="single"/>
        </w:rPr>
        <w:t>Samuel C. Randazzo</w:t>
      </w:r>
      <w:r w:rsidRPr="00320E03">
        <w:rPr>
          <w:rFonts w:cs="Arial"/>
          <w:i/>
          <w:u w:val="single"/>
        </w:rPr>
        <w:tab/>
      </w:r>
    </w:p>
    <w:p w:rsidR="00DD3E1C" w:rsidRDefault="00DD3E1C" w:rsidP="00DD3E1C">
      <w:pPr>
        <w:tabs>
          <w:tab w:val="center" w:pos="7200"/>
          <w:tab w:val="right" w:pos="9360"/>
        </w:tabs>
        <w:ind w:left="5760"/>
        <w:rPr>
          <w:rFonts w:cs="Arial"/>
        </w:rPr>
      </w:pPr>
      <w:r>
        <w:rPr>
          <w:rFonts w:cs="Arial"/>
        </w:rPr>
        <w:t>Samuel C. Randazzo</w:t>
      </w:r>
    </w:p>
    <w:p w:rsidR="00E26E46" w:rsidRDefault="00E26E46" w:rsidP="00DD3E1C">
      <w:pPr>
        <w:tabs>
          <w:tab w:val="left" w:pos="2160"/>
          <w:tab w:val="left" w:pos="2280"/>
        </w:tabs>
        <w:rPr>
          <w:rFonts w:cs="Arial"/>
        </w:rPr>
        <w:sectPr w:rsidR="00E26E46" w:rsidSect="00C0405A">
          <w:footerReference w:type="default" r:id="rId13"/>
          <w:footerReference w:type="first" r:id="rId14"/>
          <w:pgSz w:w="12240" w:h="15840" w:code="1"/>
          <w:pgMar w:top="1440" w:right="1440" w:bottom="1440" w:left="1440" w:header="720" w:footer="720" w:gutter="0"/>
          <w:cols w:space="720"/>
          <w:titlePg/>
          <w:docGrid w:linePitch="360"/>
        </w:sectPr>
      </w:pPr>
    </w:p>
    <w:p w:rsidR="00DD3E1C" w:rsidRPr="00E26E46" w:rsidRDefault="00D806A6" w:rsidP="00DD3E1C">
      <w:pPr>
        <w:tabs>
          <w:tab w:val="left" w:pos="2160"/>
          <w:tab w:val="left" w:pos="2280"/>
        </w:tabs>
        <w:rPr>
          <w:rFonts w:cs="Arial"/>
        </w:rPr>
      </w:pPr>
      <w:r w:rsidRPr="00E26E46">
        <w:rPr>
          <w:rFonts w:cs="Arial"/>
        </w:rPr>
        <w:lastRenderedPageBreak/>
        <w:t>William Wright</w:t>
      </w:r>
    </w:p>
    <w:p w:rsidR="00DD3E1C" w:rsidRPr="00E26E46" w:rsidRDefault="00DD3E1C" w:rsidP="00DD3E1C">
      <w:pPr>
        <w:tabs>
          <w:tab w:val="left" w:pos="2160"/>
          <w:tab w:val="left" w:pos="2280"/>
        </w:tabs>
        <w:rPr>
          <w:rFonts w:cs="Arial"/>
        </w:rPr>
      </w:pPr>
      <w:r w:rsidRPr="00E26E46">
        <w:rPr>
          <w:rFonts w:cs="Arial"/>
        </w:rPr>
        <w:t xml:space="preserve">Assistant Attorney General </w:t>
      </w:r>
    </w:p>
    <w:p w:rsidR="00DD3E1C" w:rsidRPr="00E26E46" w:rsidRDefault="00D806A6" w:rsidP="00DD3E1C">
      <w:pPr>
        <w:tabs>
          <w:tab w:val="left" w:pos="2160"/>
          <w:tab w:val="left" w:pos="2280"/>
        </w:tabs>
        <w:rPr>
          <w:rFonts w:cs="Arial"/>
        </w:rPr>
      </w:pPr>
      <w:r w:rsidRPr="00E26E46">
        <w:rPr>
          <w:rFonts w:cs="Arial"/>
        </w:rPr>
        <w:t xml:space="preserve">Chief, </w:t>
      </w:r>
      <w:r w:rsidR="00DD3E1C" w:rsidRPr="00E26E46">
        <w:rPr>
          <w:rFonts w:cs="Arial"/>
        </w:rPr>
        <w:t>Public Utilities Section</w:t>
      </w:r>
    </w:p>
    <w:p w:rsidR="00DD3E1C" w:rsidRPr="00E26E46" w:rsidRDefault="00DD3E1C" w:rsidP="00DD3E1C">
      <w:pPr>
        <w:tabs>
          <w:tab w:val="left" w:pos="2160"/>
          <w:tab w:val="left" w:pos="2280"/>
        </w:tabs>
        <w:rPr>
          <w:rFonts w:cs="Arial"/>
        </w:rPr>
      </w:pPr>
      <w:r w:rsidRPr="00E26E46">
        <w:rPr>
          <w:rFonts w:cs="Arial"/>
        </w:rPr>
        <w:t>180 East Broad Street</w:t>
      </w:r>
    </w:p>
    <w:p w:rsidR="00DD3E1C" w:rsidRPr="00E26E46" w:rsidRDefault="00DD3E1C" w:rsidP="00DD3E1C">
      <w:pPr>
        <w:tabs>
          <w:tab w:val="left" w:pos="2160"/>
          <w:tab w:val="left" w:pos="2280"/>
        </w:tabs>
        <w:rPr>
          <w:rFonts w:cs="Arial"/>
        </w:rPr>
      </w:pPr>
      <w:r w:rsidRPr="00E26E46">
        <w:rPr>
          <w:rFonts w:cs="Arial"/>
        </w:rPr>
        <w:t>Columbus, OH  43215</w:t>
      </w:r>
    </w:p>
    <w:p w:rsidR="00DD3E1C" w:rsidRPr="00E26E46" w:rsidRDefault="00E26E46" w:rsidP="00DD3E1C">
      <w:pPr>
        <w:autoSpaceDE w:val="0"/>
        <w:autoSpaceDN w:val="0"/>
        <w:adjustRightInd w:val="0"/>
        <w:rPr>
          <w:rFonts w:ascii="Arial Bold" w:hAnsi="Arial Bold" w:cs="Arial"/>
          <w:b/>
          <w:smallCaps/>
        </w:rPr>
      </w:pPr>
      <w:r w:rsidRPr="00E26E46">
        <w:rPr>
          <w:rFonts w:cs="Arial"/>
        </w:rPr>
        <w:t>william.wright@puc.state.oh.us</w:t>
      </w:r>
    </w:p>
    <w:p w:rsidR="00E26E46" w:rsidRPr="00E26E46" w:rsidRDefault="00E26E46" w:rsidP="00DD3E1C">
      <w:pPr>
        <w:autoSpaceDE w:val="0"/>
        <w:autoSpaceDN w:val="0"/>
        <w:adjustRightInd w:val="0"/>
        <w:rPr>
          <w:rFonts w:ascii="Arial Bold" w:hAnsi="Arial Bold" w:cs="Arial"/>
        </w:rPr>
      </w:pPr>
    </w:p>
    <w:p w:rsidR="00DD3E1C" w:rsidRPr="00E26E46" w:rsidRDefault="00DD3E1C" w:rsidP="00DD3E1C">
      <w:pPr>
        <w:autoSpaceDE w:val="0"/>
        <w:autoSpaceDN w:val="0"/>
        <w:adjustRightInd w:val="0"/>
        <w:rPr>
          <w:rFonts w:ascii="Arial Bold" w:hAnsi="Arial Bold" w:cs="Arial"/>
          <w:b/>
          <w:smallCaps/>
        </w:rPr>
      </w:pPr>
      <w:r w:rsidRPr="00E26E46">
        <w:rPr>
          <w:rFonts w:ascii="Arial Bold" w:hAnsi="Arial Bold" w:cs="Arial"/>
          <w:b/>
          <w:smallCaps/>
        </w:rPr>
        <w:t>On Behalf of the Staff of the Public Utilities Commission of Ohio</w:t>
      </w:r>
    </w:p>
    <w:p w:rsidR="00DD3E1C" w:rsidRPr="00E26E46" w:rsidRDefault="00DD3E1C" w:rsidP="00DD3E1C">
      <w:pPr>
        <w:autoSpaceDE w:val="0"/>
        <w:autoSpaceDN w:val="0"/>
        <w:adjustRightInd w:val="0"/>
        <w:rPr>
          <w:rFonts w:ascii="Arial Bold" w:hAnsi="Arial Bold" w:cs="Arial"/>
          <w:b/>
          <w:smallCaps/>
        </w:rPr>
      </w:pPr>
    </w:p>
    <w:p w:rsidR="00DD3E1C" w:rsidRPr="00E26E46" w:rsidRDefault="00D806A6" w:rsidP="00DD3E1C">
      <w:pPr>
        <w:autoSpaceDE w:val="0"/>
        <w:autoSpaceDN w:val="0"/>
        <w:adjustRightInd w:val="0"/>
        <w:rPr>
          <w:rFonts w:cs="Arial"/>
        </w:rPr>
      </w:pPr>
      <w:r w:rsidRPr="00E26E46">
        <w:rPr>
          <w:rFonts w:cs="Arial"/>
        </w:rPr>
        <w:t>Bryce McKenney</w:t>
      </w:r>
    </w:p>
    <w:p w:rsidR="00DD3E1C" w:rsidRPr="00E26E46" w:rsidRDefault="00DD3E1C" w:rsidP="00DD3E1C">
      <w:pPr>
        <w:autoSpaceDE w:val="0"/>
        <w:autoSpaceDN w:val="0"/>
        <w:adjustRightInd w:val="0"/>
        <w:rPr>
          <w:rFonts w:cs="Arial"/>
        </w:rPr>
      </w:pPr>
      <w:r w:rsidRPr="00E26E46">
        <w:rPr>
          <w:rFonts w:cs="Arial"/>
        </w:rPr>
        <w:t>Public Utilities Commiss</w:t>
      </w:r>
      <w:bookmarkStart w:id="0" w:name="_GoBack"/>
      <w:bookmarkEnd w:id="0"/>
      <w:r w:rsidRPr="00E26E46">
        <w:rPr>
          <w:rFonts w:cs="Arial"/>
        </w:rPr>
        <w:t>ion of Ohio</w:t>
      </w:r>
    </w:p>
    <w:p w:rsidR="00DD3E1C" w:rsidRPr="00E26E46" w:rsidRDefault="00DD3E1C" w:rsidP="00DD3E1C">
      <w:pPr>
        <w:autoSpaceDE w:val="0"/>
        <w:autoSpaceDN w:val="0"/>
        <w:adjustRightInd w:val="0"/>
        <w:rPr>
          <w:rFonts w:cs="Arial"/>
        </w:rPr>
      </w:pPr>
      <w:r w:rsidRPr="00E26E46">
        <w:rPr>
          <w:rFonts w:cs="Arial"/>
        </w:rPr>
        <w:t>180 East Broad Street</w:t>
      </w:r>
    </w:p>
    <w:p w:rsidR="00DD3E1C" w:rsidRPr="00E26E46" w:rsidRDefault="00DD3E1C" w:rsidP="00DD3E1C">
      <w:pPr>
        <w:autoSpaceDE w:val="0"/>
        <w:autoSpaceDN w:val="0"/>
        <w:adjustRightInd w:val="0"/>
        <w:rPr>
          <w:rFonts w:cs="Arial"/>
        </w:rPr>
      </w:pPr>
      <w:r w:rsidRPr="00E26E46">
        <w:rPr>
          <w:rFonts w:cs="Arial"/>
        </w:rPr>
        <w:t>Columbus, OH  43215</w:t>
      </w:r>
    </w:p>
    <w:p w:rsidR="00DD3E1C" w:rsidRPr="00E26E46" w:rsidRDefault="00D806A6" w:rsidP="00DD3E1C">
      <w:pPr>
        <w:autoSpaceDE w:val="0"/>
        <w:autoSpaceDN w:val="0"/>
        <w:adjustRightInd w:val="0"/>
        <w:rPr>
          <w:rFonts w:cs="Arial"/>
        </w:rPr>
      </w:pPr>
      <w:r w:rsidRPr="00E26E46">
        <w:rPr>
          <w:rFonts w:cs="Arial"/>
        </w:rPr>
        <w:t>bryce.mckenney@puc.state.oh.us</w:t>
      </w:r>
    </w:p>
    <w:p w:rsidR="00D806A6" w:rsidRPr="00E26E46" w:rsidRDefault="00D806A6" w:rsidP="00DD3E1C">
      <w:pPr>
        <w:autoSpaceDE w:val="0"/>
        <w:autoSpaceDN w:val="0"/>
        <w:adjustRightInd w:val="0"/>
        <w:rPr>
          <w:rFonts w:cs="Arial"/>
        </w:rPr>
      </w:pPr>
    </w:p>
    <w:p w:rsidR="00DD3E1C" w:rsidRPr="00E26E46" w:rsidRDefault="00DD3E1C" w:rsidP="00DD3E1C">
      <w:pPr>
        <w:autoSpaceDE w:val="0"/>
        <w:autoSpaceDN w:val="0"/>
        <w:adjustRightInd w:val="0"/>
        <w:rPr>
          <w:rFonts w:ascii="Arial Bold" w:hAnsi="Arial Bold" w:cs="Arial"/>
          <w:b/>
          <w:smallCaps/>
        </w:rPr>
      </w:pPr>
      <w:r w:rsidRPr="00E26E46">
        <w:rPr>
          <w:rFonts w:ascii="Arial Bold" w:hAnsi="Arial Bold" w:cs="Arial"/>
          <w:b/>
          <w:smallCaps/>
        </w:rPr>
        <w:t>Attorney Examiner</w:t>
      </w:r>
    </w:p>
    <w:p w:rsidR="00DD3E1C" w:rsidRPr="00E26E46" w:rsidRDefault="00DD3E1C" w:rsidP="00DD3E1C">
      <w:pPr>
        <w:spacing w:line="480" w:lineRule="auto"/>
        <w:jc w:val="both"/>
        <w:rPr>
          <w:rFonts w:cs="Arial"/>
        </w:rPr>
      </w:pPr>
    </w:p>
    <w:sectPr w:rsidR="00DD3E1C" w:rsidRPr="00E26E46" w:rsidSect="00E26E46">
      <w:type w:val="continuous"/>
      <w:pgSz w:w="12240" w:h="15840" w:code="1"/>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65E" w:rsidRDefault="009D565E" w:rsidP="00C87FCC">
      <w:r>
        <w:separator/>
      </w:r>
    </w:p>
  </w:endnote>
  <w:endnote w:type="continuationSeparator" w:id="0">
    <w:p w:rsidR="009D565E" w:rsidRDefault="009D565E" w:rsidP="00C87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1C" w:rsidRDefault="00DD3E1C">
    <w:pPr>
      <w:pStyle w:val="Footer"/>
      <w:framePr w:wrap="around" w:vAnchor="text" w:hAnchor="margin" w:xAlign="center" w:y="1"/>
      <w:rPr>
        <w:rStyle w:val="PageNumber"/>
        <w:rFonts w:eastAsiaTheme="majorEastAsia"/>
      </w:rPr>
    </w:pPr>
    <w:r>
      <w:rPr>
        <w:rStyle w:val="PageNumber"/>
        <w:rFonts w:eastAsiaTheme="majorEastAsia"/>
        <w:noProof/>
        <w:sz w:val="16"/>
      </w:rPr>
      <w:t>{C29267:2 }</w:t>
    </w: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rsidR="00DD3E1C" w:rsidRDefault="00DD3E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1C" w:rsidRDefault="00DD3E1C">
    <w:pPr>
      <w:pStyle w:val="Footer"/>
      <w:framePr w:wrap="around" w:vAnchor="text" w:hAnchor="margin" w:xAlign="center" w:y="1"/>
      <w:rPr>
        <w:rStyle w:val="PageNumber"/>
        <w:rFonts w:eastAsiaTheme="majorEastAsia" w:cs="Arial"/>
        <w:noProof/>
      </w:rPr>
    </w:pPr>
    <w:r>
      <w:rPr>
        <w:rStyle w:val="PageNumber"/>
        <w:rFonts w:eastAsiaTheme="majorEastAsia" w:cs="Arial"/>
        <w:noProof/>
      </w:rPr>
      <w:fldChar w:fldCharType="begin"/>
    </w:r>
    <w:r>
      <w:rPr>
        <w:rStyle w:val="PageNumber"/>
        <w:rFonts w:eastAsiaTheme="majorEastAsia" w:cs="Arial"/>
        <w:noProof/>
      </w:rPr>
      <w:instrText xml:space="preserve">PAGE  </w:instrText>
    </w:r>
    <w:r>
      <w:rPr>
        <w:rStyle w:val="PageNumber"/>
        <w:rFonts w:eastAsiaTheme="majorEastAsia" w:cs="Arial"/>
        <w:noProof/>
      </w:rPr>
      <w:fldChar w:fldCharType="separate"/>
    </w:r>
    <w:r w:rsidR="00DE38B8">
      <w:rPr>
        <w:rStyle w:val="PageNumber"/>
        <w:rFonts w:eastAsiaTheme="majorEastAsia" w:cs="Arial"/>
        <w:noProof/>
      </w:rPr>
      <w:t>5</w:t>
    </w:r>
    <w:r>
      <w:rPr>
        <w:rStyle w:val="PageNumber"/>
        <w:rFonts w:eastAsiaTheme="majorEastAsia" w:cs="Arial"/>
        <w:noProof/>
      </w:rPr>
      <w:fldChar w:fldCharType="end"/>
    </w:r>
  </w:p>
  <w:p w:rsidR="00DD3E1C" w:rsidRDefault="00906306">
    <w:pPr>
      <w:pStyle w:val="Footer"/>
      <w:rPr>
        <w:rFonts w:cs="Arial"/>
      </w:rPr>
    </w:pPr>
    <w:r w:rsidRPr="00906306">
      <w:rPr>
        <w:rFonts w:cs="Arial"/>
        <w:sz w:val="16"/>
      </w:rPr>
      <w:t>{</w:t>
    </w:r>
    <w:proofErr w:type="gramStart"/>
    <w:r w:rsidRPr="00906306">
      <w:rPr>
        <w:rFonts w:cs="Arial"/>
        <w:sz w:val="16"/>
      </w:rPr>
      <w:t>C49340:2 }</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E1C" w:rsidRDefault="00906306">
    <w:pPr>
      <w:pStyle w:val="Footer"/>
      <w:rPr>
        <w:rFonts w:cs="Arial"/>
      </w:rPr>
    </w:pPr>
    <w:r w:rsidRPr="00906306">
      <w:rPr>
        <w:rFonts w:cs="Arial"/>
        <w:noProof/>
        <w:sz w:val="16"/>
      </w:rPr>
      <w:t>{C49340:2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F0" w:rsidRPr="006E45F0" w:rsidRDefault="00906306">
    <w:pPr>
      <w:pStyle w:val="Footer"/>
    </w:pPr>
    <w:r w:rsidRPr="00906306">
      <w:rPr>
        <w:noProof/>
        <w:sz w:val="16"/>
      </w:rPr>
      <w:t>{C49340:2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E51" w:rsidRPr="008B717F" w:rsidRDefault="00906306">
    <w:pPr>
      <w:pStyle w:val="Footer"/>
    </w:pPr>
    <w:r w:rsidRPr="00906306">
      <w:rPr>
        <w:noProof/>
        <w:sz w:val="16"/>
      </w:rPr>
      <w:t>{C49340:2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65E" w:rsidRDefault="009D565E" w:rsidP="00C87FCC">
      <w:pPr>
        <w:rPr>
          <w:noProof/>
        </w:rPr>
      </w:pPr>
      <w:r>
        <w:rPr>
          <w:noProof/>
        </w:rPr>
        <w:separator/>
      </w:r>
    </w:p>
  </w:footnote>
  <w:footnote w:type="continuationSeparator" w:id="0">
    <w:p w:rsidR="009D565E" w:rsidRDefault="009D565E" w:rsidP="00C87FCC">
      <w:r>
        <w:continuationSeparator/>
      </w:r>
    </w:p>
  </w:footnote>
  <w:footnote w:id="1">
    <w:p w:rsidR="00EE1712" w:rsidRDefault="00EE1712">
      <w:pPr>
        <w:pStyle w:val="FootnoteText"/>
      </w:pPr>
      <w:r>
        <w:rPr>
          <w:rStyle w:val="FootnoteReference"/>
        </w:rPr>
        <w:footnoteRef/>
      </w:r>
      <w:r>
        <w:t xml:space="preserve"> The document filed in this proceeding on February 1, 2016 contains a “Staff Recommendation” title.  However, it is referred to as a “Staff Report” in the Entry issued the same day and inviting the submission of comments on or before February 8, 2016.  The February 1, 2016 filing by the Commission’s Staff is referred to as a “Staff Report” for purposes of these comments.</w:t>
      </w:r>
    </w:p>
  </w:footnote>
  <w:footnote w:id="2">
    <w:p w:rsidR="00E91E51" w:rsidRDefault="00E91E51">
      <w:pPr>
        <w:pStyle w:val="FootnoteText"/>
      </w:pPr>
      <w:r>
        <w:rPr>
          <w:rStyle w:val="FootnoteReference"/>
        </w:rPr>
        <w:footnoteRef/>
      </w:r>
      <w:r>
        <w:t xml:space="preserve"> Percentage of Income Payment Plan (“PIPP”).</w:t>
      </w:r>
    </w:p>
  </w:footnote>
  <w:footnote w:id="3">
    <w:p w:rsidR="00367A33" w:rsidRPr="00367A33" w:rsidRDefault="00E91E51" w:rsidP="00790C16">
      <w:pPr>
        <w:spacing w:after="120"/>
        <w:jc w:val="both"/>
      </w:pPr>
      <w:r w:rsidRPr="00CC0622">
        <w:rPr>
          <w:rStyle w:val="FootnoteReference"/>
          <w:sz w:val="20"/>
          <w:szCs w:val="20"/>
        </w:rPr>
        <w:footnoteRef/>
      </w:r>
      <w:r w:rsidRPr="00CC0622">
        <w:rPr>
          <w:sz w:val="20"/>
          <w:szCs w:val="20"/>
        </w:rPr>
        <w:t xml:space="preserve"> </w:t>
      </w:r>
      <w:r w:rsidR="005F5D36" w:rsidRPr="00CC0622">
        <w:rPr>
          <w:i/>
          <w:sz w:val="20"/>
          <w:szCs w:val="20"/>
        </w:rPr>
        <w:t>In the Matter of the Application of Duke Energy Ohio, Inc. for Authority to Establish a Standard Service Offer Pursuant to Section 4928.143, Revised Code, in the Form of an Electric Security Plan, Accounting Modifications, and Tariffs for Generation Service</w:t>
      </w:r>
      <w:r w:rsidR="005F5D36" w:rsidRPr="00CC0622">
        <w:rPr>
          <w:sz w:val="20"/>
          <w:szCs w:val="20"/>
        </w:rPr>
        <w:t xml:space="preserve">, Case No. 11-3549-EL-SSO, </w:t>
      </w:r>
      <w:r w:rsidR="005F5D36" w:rsidRPr="00CC0622">
        <w:rPr>
          <w:i/>
          <w:sz w:val="20"/>
          <w:szCs w:val="20"/>
        </w:rPr>
        <w:t>et al</w:t>
      </w:r>
      <w:r w:rsidR="005F5D36" w:rsidRPr="00CC0622">
        <w:rPr>
          <w:sz w:val="20"/>
          <w:szCs w:val="20"/>
        </w:rPr>
        <w:t>., Opinion and Order at 22 (Nov</w:t>
      </w:r>
      <w:r w:rsidR="005F5D36">
        <w:rPr>
          <w:sz w:val="20"/>
          <w:szCs w:val="20"/>
        </w:rPr>
        <w:t>ember</w:t>
      </w:r>
      <w:r w:rsidR="005F5D36" w:rsidRPr="005F5D36">
        <w:rPr>
          <w:sz w:val="20"/>
          <w:szCs w:val="20"/>
        </w:rPr>
        <w:t xml:space="preserve"> 22, 2011)</w:t>
      </w:r>
      <w:r w:rsidR="005F5D36">
        <w:rPr>
          <w:sz w:val="20"/>
          <w:szCs w:val="20"/>
        </w:rPr>
        <w:t xml:space="preserve">; </w:t>
      </w:r>
      <w:r w:rsidR="005F5D36" w:rsidRPr="00CC0622">
        <w:rPr>
          <w:i/>
          <w:sz w:val="20"/>
          <w:szCs w:val="20"/>
        </w:rPr>
        <w:t>In the Matter of the Ohio Edison Company, The Cleveland Electric Illuminating Company, and The Toledo Edison Company for Authority to Provide a Standard Service Offer Pursuant to Section 4928.143, Revised Code, in the Form of an Electric Security Plan</w:t>
      </w:r>
      <w:r w:rsidR="005F5D36" w:rsidRPr="00CC0622">
        <w:rPr>
          <w:sz w:val="20"/>
          <w:szCs w:val="20"/>
        </w:rPr>
        <w:t>, Case No. 12-1230-EL-SSO, Opinion and Order at 30 and 42 (July 18, 2012).</w:t>
      </w:r>
    </w:p>
  </w:footnote>
  <w:footnote w:id="4">
    <w:p w:rsidR="00E91E51" w:rsidRDefault="00E91E51">
      <w:pPr>
        <w:pStyle w:val="FootnoteText"/>
      </w:pPr>
      <w:r>
        <w:rPr>
          <w:rStyle w:val="FootnoteReference"/>
        </w:rPr>
        <w:footnoteRef/>
      </w:r>
      <w:r>
        <w:t xml:space="preserve"> The preoccupation with the SSO </w:t>
      </w:r>
      <w:r w:rsidR="00CC0622">
        <w:t xml:space="preserve">CBP </w:t>
      </w:r>
      <w:r>
        <w:t>model that is implied by the Staff Report may also be a tendency arising from the reliance placed on the Commission’s SSO consultant.</w:t>
      </w:r>
      <w:r w:rsidR="00CC0622">
        <w:t xml:space="preserve">  On a practical level, testing the application of the Director’s aggregation authority by reference to </w:t>
      </w:r>
      <w:r w:rsidR="00733415">
        <w:t xml:space="preserve">a </w:t>
      </w:r>
      <w:r w:rsidR="00CC0622">
        <w:t xml:space="preserve">CBP that mimics the SSO CBP increases the likelihood that the application of the Director’s aggregation authority will </w:t>
      </w:r>
      <w:r w:rsidR="00CC0622" w:rsidRPr="00CC0622">
        <w:rPr>
          <w:b/>
          <w:u w:val="single"/>
        </w:rPr>
        <w:t>not</w:t>
      </w:r>
      <w:r w:rsidR="00CC0622">
        <w:t xml:space="preserve"> produce a benefit relative to the SSO CBP outcome.  </w:t>
      </w:r>
    </w:p>
  </w:footnote>
  <w:footnote w:id="5">
    <w:p w:rsidR="00EE1712" w:rsidRDefault="00EE1712">
      <w:pPr>
        <w:pStyle w:val="FootnoteText"/>
      </w:pPr>
      <w:r>
        <w:rPr>
          <w:rStyle w:val="FootnoteReference"/>
        </w:rPr>
        <w:footnoteRef/>
      </w:r>
      <w:r>
        <w:t xml:space="preserve"> See footnote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06" w:rsidRDefault="009063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06" w:rsidRDefault="009063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06" w:rsidRDefault="009063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C90A91"/>
    <w:multiLevelType w:val="multilevel"/>
    <w:tmpl w:val="EEB058D2"/>
    <w:name w:val="IEU Basic-PUCO-Scheme 1"/>
    <w:lvl w:ilvl="0">
      <w:start w:val="1"/>
      <w:numFmt w:val="upperRoman"/>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CC"/>
    <w:rsid w:val="0002620F"/>
    <w:rsid w:val="001675E1"/>
    <w:rsid w:val="00186F07"/>
    <w:rsid w:val="00196D7E"/>
    <w:rsid w:val="002039AB"/>
    <w:rsid w:val="00217E3F"/>
    <w:rsid w:val="00242B05"/>
    <w:rsid w:val="00243D3A"/>
    <w:rsid w:val="00256943"/>
    <w:rsid w:val="00257DB3"/>
    <w:rsid w:val="0029628A"/>
    <w:rsid w:val="002A63D5"/>
    <w:rsid w:val="002B6B0E"/>
    <w:rsid w:val="002E0B5D"/>
    <w:rsid w:val="00353B81"/>
    <w:rsid w:val="00367A33"/>
    <w:rsid w:val="0037189E"/>
    <w:rsid w:val="00381288"/>
    <w:rsid w:val="00400D5C"/>
    <w:rsid w:val="00400ECE"/>
    <w:rsid w:val="00404DE9"/>
    <w:rsid w:val="00485485"/>
    <w:rsid w:val="004930AC"/>
    <w:rsid w:val="004A789D"/>
    <w:rsid w:val="004F4A50"/>
    <w:rsid w:val="00524373"/>
    <w:rsid w:val="0054384B"/>
    <w:rsid w:val="00551AA7"/>
    <w:rsid w:val="00585F8B"/>
    <w:rsid w:val="005F5D36"/>
    <w:rsid w:val="00602A6B"/>
    <w:rsid w:val="00627EDD"/>
    <w:rsid w:val="0064004B"/>
    <w:rsid w:val="00651D78"/>
    <w:rsid w:val="00691A62"/>
    <w:rsid w:val="006C4C9E"/>
    <w:rsid w:val="006E45F0"/>
    <w:rsid w:val="00733415"/>
    <w:rsid w:val="007359DA"/>
    <w:rsid w:val="00735E3A"/>
    <w:rsid w:val="0078073C"/>
    <w:rsid w:val="00790C16"/>
    <w:rsid w:val="007F3692"/>
    <w:rsid w:val="0081190D"/>
    <w:rsid w:val="00881D8B"/>
    <w:rsid w:val="00892BFB"/>
    <w:rsid w:val="008A0704"/>
    <w:rsid w:val="008A7B6A"/>
    <w:rsid w:val="008B717F"/>
    <w:rsid w:val="008E3BF4"/>
    <w:rsid w:val="008E4869"/>
    <w:rsid w:val="00906306"/>
    <w:rsid w:val="009344F9"/>
    <w:rsid w:val="009A2094"/>
    <w:rsid w:val="009D565E"/>
    <w:rsid w:val="009E0E33"/>
    <w:rsid w:val="00A07681"/>
    <w:rsid w:val="00A34192"/>
    <w:rsid w:val="00A3671C"/>
    <w:rsid w:val="00A5474D"/>
    <w:rsid w:val="00A84450"/>
    <w:rsid w:val="00AE74B7"/>
    <w:rsid w:val="00B162E8"/>
    <w:rsid w:val="00B548DF"/>
    <w:rsid w:val="00B62D95"/>
    <w:rsid w:val="00BD4358"/>
    <w:rsid w:val="00C0405A"/>
    <w:rsid w:val="00C34B90"/>
    <w:rsid w:val="00C46CC4"/>
    <w:rsid w:val="00C5427A"/>
    <w:rsid w:val="00C61909"/>
    <w:rsid w:val="00C84EA7"/>
    <w:rsid w:val="00C87FCC"/>
    <w:rsid w:val="00CA1D6D"/>
    <w:rsid w:val="00CB3C4B"/>
    <w:rsid w:val="00CC0622"/>
    <w:rsid w:val="00D1126A"/>
    <w:rsid w:val="00D24BA8"/>
    <w:rsid w:val="00D268D0"/>
    <w:rsid w:val="00D33EF6"/>
    <w:rsid w:val="00D43F64"/>
    <w:rsid w:val="00D7544F"/>
    <w:rsid w:val="00D806A6"/>
    <w:rsid w:val="00DA40BF"/>
    <w:rsid w:val="00DD3E1C"/>
    <w:rsid w:val="00DD72A6"/>
    <w:rsid w:val="00DE38B8"/>
    <w:rsid w:val="00DF52C6"/>
    <w:rsid w:val="00DF56EB"/>
    <w:rsid w:val="00E21C3B"/>
    <w:rsid w:val="00E26E46"/>
    <w:rsid w:val="00E33B55"/>
    <w:rsid w:val="00E66E12"/>
    <w:rsid w:val="00E91E51"/>
    <w:rsid w:val="00EE1712"/>
    <w:rsid w:val="00EE4D99"/>
    <w:rsid w:val="00F07719"/>
    <w:rsid w:val="00F25F8C"/>
    <w:rsid w:val="00F33E91"/>
    <w:rsid w:val="00F400AF"/>
    <w:rsid w:val="00F406FD"/>
    <w:rsid w:val="00F67C54"/>
    <w:rsid w:val="00F77AD8"/>
    <w:rsid w:val="00F77DB7"/>
    <w:rsid w:val="00FB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3EBEE47-FA7F-4D3F-8E70-7D644C30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C3B"/>
    <w:pPr>
      <w:jc w:val="left"/>
    </w:pPr>
    <w:rPr>
      <w:rFonts w:eastAsia="Times New Roman" w:cs="Times New Roman"/>
    </w:rPr>
  </w:style>
  <w:style w:type="paragraph" w:styleId="Heading1">
    <w:name w:val="heading 1"/>
    <w:basedOn w:val="Normal"/>
    <w:next w:val="Normal"/>
    <w:link w:val="Heading1Char"/>
    <w:uiPriority w:val="9"/>
    <w:qFormat/>
    <w:rsid w:val="005F5D36"/>
    <w:pPr>
      <w:spacing w:line="480" w:lineRule="auto"/>
      <w:jc w:val="both"/>
      <w:outlineLvl w:val="0"/>
    </w:pPr>
    <w:rPr>
      <w:rFonts w:ascii="Arial Bold" w:hAnsi="Arial Bold" w:cs="Arial"/>
      <w:b/>
      <w:smallCaps/>
      <w:sz w:val="28"/>
      <w:szCs w:val="28"/>
      <w:u w:val="single"/>
    </w:rPr>
  </w:style>
  <w:style w:type="paragraph" w:styleId="Heading2">
    <w:name w:val="heading 2"/>
    <w:basedOn w:val="Normal"/>
    <w:next w:val="Normal"/>
    <w:link w:val="Heading2Char"/>
    <w:uiPriority w:val="9"/>
    <w:unhideWhenUsed/>
    <w:qFormat/>
    <w:rsid w:val="00A84450"/>
    <w:pPr>
      <w:numPr>
        <w:ilvl w:val="1"/>
        <w:numId w:val="1"/>
      </w:numPr>
      <w:tabs>
        <w:tab w:val="left" w:pos="1440"/>
      </w:tabs>
      <w:spacing w:after="240"/>
      <w:jc w:val="both"/>
      <w:outlineLvl w:val="1"/>
    </w:pPr>
    <w:rPr>
      <w:rFonts w:eastAsiaTheme="majorEastAsia"/>
      <w:b/>
      <w:szCs w:val="26"/>
    </w:rPr>
  </w:style>
  <w:style w:type="paragraph" w:styleId="Heading3">
    <w:name w:val="heading 3"/>
    <w:basedOn w:val="Normal"/>
    <w:next w:val="Normal"/>
    <w:link w:val="Heading3Char"/>
    <w:uiPriority w:val="9"/>
    <w:semiHidden/>
    <w:unhideWhenUsed/>
    <w:qFormat/>
    <w:rsid w:val="00A84450"/>
    <w:pPr>
      <w:numPr>
        <w:ilvl w:val="2"/>
        <w:numId w:val="1"/>
      </w:numPr>
      <w:tabs>
        <w:tab w:val="left" w:pos="2160"/>
      </w:tabs>
      <w:spacing w:after="240"/>
      <w:jc w:val="both"/>
      <w:outlineLvl w:val="2"/>
    </w:pPr>
    <w:rPr>
      <w:rFonts w:eastAsiaTheme="majorEastAsia"/>
      <w:b/>
    </w:rPr>
  </w:style>
  <w:style w:type="paragraph" w:styleId="Heading4">
    <w:name w:val="heading 4"/>
    <w:basedOn w:val="Normal"/>
    <w:next w:val="Normal"/>
    <w:link w:val="Heading4Char"/>
    <w:uiPriority w:val="9"/>
    <w:semiHidden/>
    <w:unhideWhenUsed/>
    <w:qFormat/>
    <w:rsid w:val="00A84450"/>
    <w:pPr>
      <w:numPr>
        <w:ilvl w:val="3"/>
        <w:numId w:val="1"/>
      </w:numPr>
      <w:tabs>
        <w:tab w:val="left" w:pos="2880"/>
      </w:tabs>
      <w:spacing w:after="240"/>
      <w:jc w:val="both"/>
      <w:outlineLvl w:val="3"/>
    </w:pPr>
    <w:rPr>
      <w:rFonts w:eastAsiaTheme="majorEastAsia"/>
      <w:b/>
      <w:i/>
      <w:iCs/>
    </w:rPr>
  </w:style>
  <w:style w:type="paragraph" w:styleId="Heading5">
    <w:name w:val="heading 5"/>
    <w:basedOn w:val="Normal"/>
    <w:next w:val="Normal"/>
    <w:link w:val="Heading5Char"/>
    <w:uiPriority w:val="9"/>
    <w:semiHidden/>
    <w:unhideWhenUsed/>
    <w:qFormat/>
    <w:rsid w:val="00A84450"/>
    <w:pPr>
      <w:numPr>
        <w:ilvl w:val="4"/>
        <w:numId w:val="1"/>
      </w:numPr>
      <w:tabs>
        <w:tab w:val="left" w:pos="3600"/>
      </w:tabs>
      <w:spacing w:after="240"/>
      <w:jc w:val="both"/>
      <w:outlineLvl w:val="4"/>
    </w:pPr>
    <w:rPr>
      <w:rFonts w:eastAsiaTheme="majorEastAsia"/>
      <w:color w:val="243F60" w:themeColor="accent1" w:themeShade="7F"/>
    </w:rPr>
  </w:style>
  <w:style w:type="paragraph" w:styleId="Heading6">
    <w:name w:val="heading 6"/>
    <w:basedOn w:val="Normal"/>
    <w:next w:val="Normal"/>
    <w:link w:val="Heading6Char"/>
    <w:uiPriority w:val="9"/>
    <w:semiHidden/>
    <w:unhideWhenUsed/>
    <w:qFormat/>
    <w:rsid w:val="00A84450"/>
    <w:pPr>
      <w:numPr>
        <w:ilvl w:val="5"/>
        <w:numId w:val="1"/>
      </w:numPr>
      <w:tabs>
        <w:tab w:val="left" w:pos="4320"/>
      </w:tabs>
      <w:spacing w:after="240"/>
      <w:jc w:val="both"/>
      <w:outlineLvl w:val="5"/>
    </w:pPr>
    <w:rPr>
      <w:rFonts w:eastAsiaTheme="majorEastAsia"/>
      <w:color w:val="243F60" w:themeColor="accent1" w:themeShade="7F"/>
    </w:rPr>
  </w:style>
  <w:style w:type="paragraph" w:styleId="Heading7">
    <w:name w:val="heading 7"/>
    <w:basedOn w:val="Normal"/>
    <w:next w:val="Normal"/>
    <w:link w:val="Heading7Char"/>
    <w:uiPriority w:val="9"/>
    <w:semiHidden/>
    <w:unhideWhenUsed/>
    <w:qFormat/>
    <w:rsid w:val="00A84450"/>
    <w:pPr>
      <w:numPr>
        <w:ilvl w:val="6"/>
        <w:numId w:val="1"/>
      </w:numPr>
      <w:tabs>
        <w:tab w:val="left" w:pos="5040"/>
      </w:tabs>
      <w:spacing w:after="240"/>
      <w:jc w:val="both"/>
      <w:outlineLvl w:val="6"/>
    </w:pPr>
    <w:rPr>
      <w:rFonts w:eastAsiaTheme="majorEastAsia"/>
      <w:iCs/>
      <w:color w:val="404040" w:themeColor="text1" w:themeTint="BF"/>
    </w:rPr>
  </w:style>
  <w:style w:type="paragraph" w:styleId="Heading8">
    <w:name w:val="heading 8"/>
    <w:basedOn w:val="Normal"/>
    <w:next w:val="Normal"/>
    <w:link w:val="Heading8Char"/>
    <w:uiPriority w:val="9"/>
    <w:semiHidden/>
    <w:unhideWhenUsed/>
    <w:qFormat/>
    <w:rsid w:val="00A84450"/>
    <w:pPr>
      <w:numPr>
        <w:ilvl w:val="7"/>
        <w:numId w:val="1"/>
      </w:numPr>
      <w:tabs>
        <w:tab w:val="left" w:pos="5760"/>
      </w:tabs>
      <w:spacing w:after="240"/>
      <w:jc w:val="both"/>
      <w:outlineLvl w:val="7"/>
    </w:pPr>
    <w:rPr>
      <w:rFonts w:eastAsiaTheme="majorEastAsia"/>
      <w:color w:val="404040" w:themeColor="text1" w:themeTint="BF"/>
      <w:szCs w:val="21"/>
    </w:rPr>
  </w:style>
  <w:style w:type="paragraph" w:styleId="Heading9">
    <w:name w:val="heading 9"/>
    <w:basedOn w:val="Normal"/>
    <w:next w:val="Normal"/>
    <w:link w:val="Heading9Char"/>
    <w:uiPriority w:val="9"/>
    <w:semiHidden/>
    <w:unhideWhenUsed/>
    <w:qFormat/>
    <w:rsid w:val="00A84450"/>
    <w:pPr>
      <w:numPr>
        <w:ilvl w:val="8"/>
        <w:numId w:val="1"/>
      </w:numPr>
      <w:tabs>
        <w:tab w:val="left" w:pos="6480"/>
      </w:tabs>
      <w:spacing w:after="240"/>
      <w:jc w:val="both"/>
      <w:outlineLvl w:val="8"/>
    </w:pPr>
    <w:rPr>
      <w:rFonts w:eastAsiaTheme="majorEastAsia"/>
      <w:iCs/>
      <w:color w:val="404040" w:themeColor="text1"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1 Char Char Char1,Footnote Text Char Char Char Char Char1,Footnote Text Char2 Char1 Char Char Char Char,Footnote Text Char1,Footnote Text Char Char,ft,ft Char,fn,char"/>
    <w:basedOn w:val="Normal"/>
    <w:link w:val="FootnoteTextChar"/>
    <w:uiPriority w:val="99"/>
    <w:unhideWhenUsed/>
    <w:qFormat/>
    <w:rsid w:val="00C87FCC"/>
    <w:pPr>
      <w:spacing w:after="120"/>
      <w:jc w:val="both"/>
    </w:pPr>
    <w:rPr>
      <w:rFonts w:eastAsia="Calibri"/>
      <w:sz w:val="20"/>
      <w:szCs w:val="20"/>
    </w:rPr>
  </w:style>
  <w:style w:type="character" w:customStyle="1" w:styleId="FootnoteTextChar">
    <w:name w:val="Footnote Text Char"/>
    <w:aliases w:val="Footnote Text Char1 Char Char,Footnote Text Char Char Char Char,Footnote Text Char1 Char Char Char1 Char,Footnote Text Char Char Char Char Char1 Char,Footnote Text Char2 Char1 Char Char Char Char Char,Footnote Text Char1 Char1,fn Char"/>
    <w:basedOn w:val="DefaultParagraphFont"/>
    <w:link w:val="FootnoteText"/>
    <w:uiPriority w:val="99"/>
    <w:rsid w:val="00C87FCC"/>
    <w:rPr>
      <w:rFonts w:eastAsia="Calibri" w:cs="Times New Roman"/>
      <w:sz w:val="20"/>
      <w:szCs w:val="20"/>
    </w:rPr>
  </w:style>
  <w:style w:type="character" w:styleId="FootnoteReference">
    <w:name w:val="footnote reference"/>
    <w:basedOn w:val="DefaultParagraphFont"/>
    <w:uiPriority w:val="99"/>
    <w:unhideWhenUsed/>
    <w:rsid w:val="00C87FCC"/>
    <w:rPr>
      <w:vertAlign w:val="superscript"/>
    </w:rPr>
  </w:style>
  <w:style w:type="character" w:customStyle="1" w:styleId="Heading1Char">
    <w:name w:val="Heading 1 Char"/>
    <w:basedOn w:val="DefaultParagraphFont"/>
    <w:link w:val="Heading1"/>
    <w:uiPriority w:val="9"/>
    <w:rsid w:val="005F5D36"/>
    <w:rPr>
      <w:rFonts w:ascii="Arial Bold" w:eastAsia="Times New Roman" w:hAnsi="Arial Bold"/>
      <w:b/>
      <w:smallCaps/>
      <w:sz w:val="28"/>
      <w:szCs w:val="28"/>
      <w:u w:val="single"/>
    </w:rPr>
  </w:style>
  <w:style w:type="character" w:customStyle="1" w:styleId="Heading2Char">
    <w:name w:val="Heading 2 Char"/>
    <w:basedOn w:val="DefaultParagraphFont"/>
    <w:link w:val="Heading2"/>
    <w:uiPriority w:val="9"/>
    <w:rsid w:val="00DF56EB"/>
    <w:rPr>
      <w:rFonts w:ascii="Times New Roman" w:eastAsiaTheme="majorEastAsia" w:hAnsi="Times New Roman" w:cs="Times New Roman"/>
      <w:b/>
      <w:szCs w:val="26"/>
    </w:rPr>
  </w:style>
  <w:style w:type="character" w:customStyle="1" w:styleId="Heading3Char">
    <w:name w:val="Heading 3 Char"/>
    <w:basedOn w:val="DefaultParagraphFont"/>
    <w:link w:val="Heading3"/>
    <w:uiPriority w:val="9"/>
    <w:semiHidden/>
    <w:rsid w:val="00DF56EB"/>
    <w:rPr>
      <w:rFonts w:ascii="Times New Roman" w:eastAsiaTheme="majorEastAsia" w:hAnsi="Times New Roman" w:cs="Times New Roman"/>
      <w:b/>
    </w:rPr>
  </w:style>
  <w:style w:type="character" w:customStyle="1" w:styleId="Heading4Char">
    <w:name w:val="Heading 4 Char"/>
    <w:basedOn w:val="DefaultParagraphFont"/>
    <w:link w:val="Heading4"/>
    <w:uiPriority w:val="9"/>
    <w:semiHidden/>
    <w:rsid w:val="00DF56EB"/>
    <w:rPr>
      <w:rFonts w:ascii="Times New Roman" w:eastAsiaTheme="majorEastAsia" w:hAnsi="Times New Roman" w:cs="Times New Roman"/>
      <w:b/>
      <w:i/>
      <w:iCs/>
    </w:rPr>
  </w:style>
  <w:style w:type="character" w:customStyle="1" w:styleId="Heading5Char">
    <w:name w:val="Heading 5 Char"/>
    <w:basedOn w:val="DefaultParagraphFont"/>
    <w:link w:val="Heading5"/>
    <w:uiPriority w:val="9"/>
    <w:semiHidden/>
    <w:rsid w:val="00DF56EB"/>
    <w:rPr>
      <w:rFonts w:ascii="Times New Roman" w:eastAsiaTheme="majorEastAsia" w:hAnsi="Times New Roman" w:cs="Times New Roman"/>
      <w:color w:val="243F60" w:themeColor="accent1" w:themeShade="7F"/>
    </w:rPr>
  </w:style>
  <w:style w:type="character" w:customStyle="1" w:styleId="Heading6Char">
    <w:name w:val="Heading 6 Char"/>
    <w:basedOn w:val="DefaultParagraphFont"/>
    <w:link w:val="Heading6"/>
    <w:uiPriority w:val="9"/>
    <w:semiHidden/>
    <w:rsid w:val="00DF56EB"/>
    <w:rPr>
      <w:rFonts w:ascii="Times New Roman" w:eastAsiaTheme="majorEastAsia" w:hAnsi="Times New Roman" w:cs="Times New Roman"/>
      <w:color w:val="243F60" w:themeColor="accent1" w:themeShade="7F"/>
    </w:rPr>
  </w:style>
  <w:style w:type="character" w:customStyle="1" w:styleId="Heading7Char">
    <w:name w:val="Heading 7 Char"/>
    <w:basedOn w:val="DefaultParagraphFont"/>
    <w:link w:val="Heading7"/>
    <w:uiPriority w:val="9"/>
    <w:semiHidden/>
    <w:rsid w:val="00DF56EB"/>
    <w:rPr>
      <w:rFonts w:ascii="Times New Roman" w:eastAsiaTheme="majorEastAsia" w:hAnsi="Times New Roman" w:cs="Times New Roman"/>
      <w:iCs/>
      <w:color w:val="404040" w:themeColor="text1" w:themeTint="BF"/>
    </w:rPr>
  </w:style>
  <w:style w:type="character" w:customStyle="1" w:styleId="Heading8Char">
    <w:name w:val="Heading 8 Char"/>
    <w:basedOn w:val="DefaultParagraphFont"/>
    <w:link w:val="Heading8"/>
    <w:uiPriority w:val="9"/>
    <w:semiHidden/>
    <w:rsid w:val="00DF56EB"/>
    <w:rPr>
      <w:rFonts w:ascii="Times New Roman" w:eastAsiaTheme="majorEastAsia" w:hAnsi="Times New Roman" w:cs="Times New Roman"/>
      <w:color w:val="404040" w:themeColor="text1" w:themeTint="BF"/>
      <w:szCs w:val="21"/>
    </w:rPr>
  </w:style>
  <w:style w:type="character" w:customStyle="1" w:styleId="Heading9Char">
    <w:name w:val="Heading 9 Char"/>
    <w:basedOn w:val="DefaultParagraphFont"/>
    <w:link w:val="Heading9"/>
    <w:uiPriority w:val="9"/>
    <w:semiHidden/>
    <w:rsid w:val="00DF56EB"/>
    <w:rPr>
      <w:rFonts w:ascii="Times New Roman" w:eastAsiaTheme="majorEastAsia" w:hAnsi="Times New Roman" w:cs="Times New Roman"/>
      <w:iCs/>
      <w:color w:val="404040" w:themeColor="text1" w:themeTint="BF"/>
      <w:szCs w:val="21"/>
    </w:rPr>
  </w:style>
  <w:style w:type="paragraph" w:styleId="Header">
    <w:name w:val="header"/>
    <w:basedOn w:val="Normal"/>
    <w:link w:val="HeaderChar"/>
    <w:unhideWhenUsed/>
    <w:rsid w:val="008B717F"/>
    <w:pPr>
      <w:tabs>
        <w:tab w:val="center" w:pos="4680"/>
        <w:tab w:val="right" w:pos="9360"/>
      </w:tabs>
    </w:pPr>
  </w:style>
  <w:style w:type="character" w:customStyle="1" w:styleId="HeaderChar">
    <w:name w:val="Header Char"/>
    <w:basedOn w:val="DefaultParagraphFont"/>
    <w:link w:val="Header"/>
    <w:rsid w:val="008B717F"/>
    <w:rPr>
      <w:rFonts w:eastAsia="Times New Roman" w:cs="Times New Roman"/>
    </w:rPr>
  </w:style>
  <w:style w:type="paragraph" w:styleId="Footer">
    <w:name w:val="footer"/>
    <w:basedOn w:val="Normal"/>
    <w:link w:val="FooterChar"/>
    <w:unhideWhenUsed/>
    <w:rsid w:val="008B717F"/>
    <w:pPr>
      <w:tabs>
        <w:tab w:val="center" w:pos="4680"/>
        <w:tab w:val="right" w:pos="9360"/>
      </w:tabs>
    </w:pPr>
  </w:style>
  <w:style w:type="character" w:customStyle="1" w:styleId="FooterChar">
    <w:name w:val="Footer Char"/>
    <w:basedOn w:val="DefaultParagraphFont"/>
    <w:link w:val="Footer"/>
    <w:rsid w:val="008B717F"/>
    <w:rPr>
      <w:rFonts w:eastAsia="Times New Roman" w:cs="Times New Roman"/>
    </w:rPr>
  </w:style>
  <w:style w:type="character" w:styleId="Hyperlink">
    <w:name w:val="Hyperlink"/>
    <w:basedOn w:val="DefaultParagraphFont"/>
    <w:uiPriority w:val="99"/>
    <w:unhideWhenUsed/>
    <w:rsid w:val="004A789D"/>
    <w:rPr>
      <w:color w:val="0000FF" w:themeColor="hyperlink"/>
      <w:u w:val="single"/>
    </w:rPr>
  </w:style>
  <w:style w:type="paragraph" w:styleId="BalloonText">
    <w:name w:val="Balloon Text"/>
    <w:basedOn w:val="Normal"/>
    <w:link w:val="BalloonTextChar"/>
    <w:uiPriority w:val="99"/>
    <w:semiHidden/>
    <w:unhideWhenUsed/>
    <w:rsid w:val="00602A6B"/>
    <w:rPr>
      <w:rFonts w:ascii="Tahoma" w:hAnsi="Tahoma" w:cs="Tahoma"/>
      <w:sz w:val="16"/>
      <w:szCs w:val="16"/>
    </w:rPr>
  </w:style>
  <w:style w:type="character" w:customStyle="1" w:styleId="BalloonTextChar">
    <w:name w:val="Balloon Text Char"/>
    <w:basedOn w:val="DefaultParagraphFont"/>
    <w:link w:val="BalloonText"/>
    <w:uiPriority w:val="99"/>
    <w:semiHidden/>
    <w:rsid w:val="00602A6B"/>
    <w:rPr>
      <w:rFonts w:ascii="Tahoma" w:eastAsia="Times New Roman" w:hAnsi="Tahoma" w:cs="Tahoma"/>
      <w:sz w:val="16"/>
      <w:szCs w:val="16"/>
    </w:rPr>
  </w:style>
  <w:style w:type="paragraph" w:styleId="BodyText">
    <w:name w:val="Body Text"/>
    <w:basedOn w:val="Normal"/>
    <w:link w:val="BodyTextChar"/>
    <w:rsid w:val="00DD3E1C"/>
    <w:pPr>
      <w:jc w:val="both"/>
    </w:pPr>
    <w:rPr>
      <w:rFonts w:cs="Arial"/>
    </w:rPr>
  </w:style>
  <w:style w:type="character" w:customStyle="1" w:styleId="BodyTextChar">
    <w:name w:val="Body Text Char"/>
    <w:basedOn w:val="DefaultParagraphFont"/>
    <w:link w:val="BodyText"/>
    <w:rsid w:val="00DD3E1C"/>
    <w:rPr>
      <w:rFonts w:eastAsia="Times New Roman"/>
    </w:rPr>
  </w:style>
  <w:style w:type="character" w:styleId="PageNumber">
    <w:name w:val="page number"/>
    <w:basedOn w:val="DefaultParagraphFont"/>
    <w:rsid w:val="00DD3E1C"/>
  </w:style>
  <w:style w:type="paragraph" w:styleId="BodyText3">
    <w:name w:val="Body Text 3"/>
    <w:basedOn w:val="Normal"/>
    <w:link w:val="BodyText3Char"/>
    <w:rsid w:val="00DD3E1C"/>
    <w:rPr>
      <w:rFonts w:ascii="Times New Roman" w:hAnsi="Times New Roman"/>
      <w:b/>
      <w:szCs w:val="20"/>
    </w:rPr>
  </w:style>
  <w:style w:type="character" w:customStyle="1" w:styleId="BodyText3Char">
    <w:name w:val="Body Text 3 Char"/>
    <w:basedOn w:val="DefaultParagraphFont"/>
    <w:link w:val="BodyText3"/>
    <w:rsid w:val="00DD3E1C"/>
    <w:rPr>
      <w:rFonts w:ascii="Times New Roman" w:eastAsia="Times New Roman" w:hAnsi="Times New Roman" w:cs="Times New Roman"/>
      <w:b/>
      <w:szCs w:val="20"/>
    </w:rPr>
  </w:style>
  <w:style w:type="paragraph" w:styleId="Title">
    <w:name w:val="Title"/>
    <w:basedOn w:val="Normal"/>
    <w:link w:val="TitleChar"/>
    <w:qFormat/>
    <w:rsid w:val="00DD3E1C"/>
    <w:pPr>
      <w:jc w:val="center"/>
    </w:pPr>
    <w:rPr>
      <w:rFonts w:cs="Arial"/>
      <w:b/>
      <w:smallCaps/>
      <w:sz w:val="32"/>
    </w:rPr>
  </w:style>
  <w:style w:type="character" w:customStyle="1" w:styleId="TitleChar">
    <w:name w:val="Title Char"/>
    <w:basedOn w:val="DefaultParagraphFont"/>
    <w:link w:val="Title"/>
    <w:rsid w:val="00DD3E1C"/>
    <w:rPr>
      <w:rFonts w:eastAsia="Times New Roman"/>
      <w:b/>
      <w:smallCaps/>
      <w:sz w:val="32"/>
    </w:rPr>
  </w:style>
  <w:style w:type="character" w:styleId="CommentReference">
    <w:name w:val="annotation reference"/>
    <w:basedOn w:val="DefaultParagraphFont"/>
    <w:uiPriority w:val="99"/>
    <w:semiHidden/>
    <w:unhideWhenUsed/>
    <w:rsid w:val="005F5D36"/>
    <w:rPr>
      <w:sz w:val="16"/>
      <w:szCs w:val="16"/>
    </w:rPr>
  </w:style>
  <w:style w:type="paragraph" w:styleId="CommentText">
    <w:name w:val="annotation text"/>
    <w:basedOn w:val="Normal"/>
    <w:link w:val="CommentTextChar"/>
    <w:uiPriority w:val="99"/>
    <w:semiHidden/>
    <w:unhideWhenUsed/>
    <w:rsid w:val="005F5D36"/>
    <w:rPr>
      <w:sz w:val="20"/>
      <w:szCs w:val="20"/>
    </w:rPr>
  </w:style>
  <w:style w:type="character" w:customStyle="1" w:styleId="CommentTextChar">
    <w:name w:val="Comment Text Char"/>
    <w:basedOn w:val="DefaultParagraphFont"/>
    <w:link w:val="CommentText"/>
    <w:uiPriority w:val="99"/>
    <w:semiHidden/>
    <w:rsid w:val="005F5D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5D36"/>
    <w:rPr>
      <w:b/>
      <w:bCs/>
    </w:rPr>
  </w:style>
  <w:style w:type="character" w:customStyle="1" w:styleId="CommentSubjectChar">
    <w:name w:val="Comment Subject Char"/>
    <w:basedOn w:val="CommentTextChar"/>
    <w:link w:val="CommentSubject"/>
    <w:uiPriority w:val="99"/>
    <w:semiHidden/>
    <w:rsid w:val="005F5D36"/>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0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1324</Words>
  <Characters>7367</Characters>
  <Application>Microsoft Office Word</Application>
  <DocSecurity>0</DocSecurity>
  <PresentationFormat>14|.DOCX</PresentationFormat>
  <Lines>193</Lines>
  <Paragraphs>91</Paragraphs>
  <ScaleCrop>false</ScaleCrop>
  <HeadingPairs>
    <vt:vector size="2" baseType="variant">
      <vt:variant>
        <vt:lpstr>Title</vt:lpstr>
      </vt:variant>
      <vt:variant>
        <vt:i4>1</vt:i4>
      </vt:variant>
    </vt:vector>
  </HeadingPairs>
  <TitlesOfParts>
    <vt:vector size="1" baseType="lpstr">
      <vt:lpstr>16-247-EL-UNC IEU-Ohio Comments (C49340-2).DOCX</vt:lpstr>
    </vt:vector>
  </TitlesOfParts>
  <Company/>
  <LinksUpToDate>false</LinksUpToDate>
  <CharactersWithSpaces>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16-247-EL-UNC IEU-Ohio Comments (C49340-2).DOCX</dc:title>
  <dc:subject>C49340:2 /font=8</dc:subject>
  <dc:creator>Debbie Ryan</dc:creator>
  <cp:keywords/>
  <dc:description/>
  <cp:lastModifiedBy>Debbie Ryan</cp:lastModifiedBy>
  <cp:revision>3</cp:revision>
  <cp:lastPrinted>2016-02-08T20:20:00Z</cp:lastPrinted>
  <dcterms:created xsi:type="dcterms:W3CDTF">2016-02-08T20:20:00Z</dcterms:created>
  <dcterms:modified xsi:type="dcterms:W3CDTF">2016-02-08T20:22:00Z</dcterms:modified>
</cp:coreProperties>
</file>