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D047C" w:rsidRPr="001A21F1" w:rsidP="00AD047C" w14:paraId="111245C4" w14:textId="10E49A9E">
      <w:pPr>
        <w:spacing w:after="0"/>
        <w:jc w:val="center"/>
        <w:rPr>
          <w:rFonts w:cs="Times New Roman"/>
          <w:b/>
          <w:bCs/>
          <w:szCs w:val="24"/>
        </w:rPr>
      </w:pPr>
      <w:r w:rsidRPr="001A21F1">
        <w:rPr>
          <w:rFonts w:cs="Times New Roman"/>
          <w:b/>
          <w:szCs w:val="24"/>
        </w:rPr>
        <w:t>BEFORE</w:t>
      </w:r>
    </w:p>
    <w:p w:rsidR="00C46911" w:rsidP="00754612" w14:paraId="5DFBFBB6" w14:textId="0A8465CA">
      <w:pPr>
        <w:spacing w:after="0" w:line="240" w:lineRule="auto"/>
        <w:jc w:val="center"/>
        <w:rPr>
          <w:rFonts w:cs="Times New Roman"/>
          <w:b/>
          <w:szCs w:val="24"/>
        </w:rPr>
      </w:pPr>
      <w:r w:rsidRPr="001A21F1">
        <w:rPr>
          <w:rFonts w:cs="Times New Roman"/>
          <w:b/>
          <w:szCs w:val="24"/>
        </w:rPr>
        <w:t>THE</w:t>
      </w:r>
      <w:r w:rsidRPr="001A21F1">
        <w:rPr>
          <w:rFonts w:cs="Times New Roman"/>
          <w:b/>
          <w:spacing w:val="-10"/>
          <w:szCs w:val="24"/>
        </w:rPr>
        <w:t xml:space="preserve"> </w:t>
      </w:r>
      <w:r w:rsidRPr="001A21F1">
        <w:rPr>
          <w:rFonts w:cs="Times New Roman"/>
          <w:b/>
          <w:spacing w:val="-1"/>
          <w:szCs w:val="24"/>
        </w:rPr>
        <w:t>PUBLIC</w:t>
      </w:r>
      <w:r w:rsidRPr="001A21F1">
        <w:rPr>
          <w:rFonts w:cs="Times New Roman"/>
          <w:b/>
          <w:spacing w:val="-12"/>
          <w:szCs w:val="24"/>
        </w:rPr>
        <w:t xml:space="preserve"> </w:t>
      </w:r>
      <w:r w:rsidRPr="001A21F1">
        <w:rPr>
          <w:rFonts w:cs="Times New Roman"/>
          <w:b/>
          <w:szCs w:val="24"/>
        </w:rPr>
        <w:t>UTILITIES</w:t>
      </w:r>
      <w:r w:rsidRPr="001A21F1">
        <w:rPr>
          <w:rFonts w:cs="Times New Roman"/>
          <w:b/>
          <w:spacing w:val="-10"/>
          <w:szCs w:val="24"/>
        </w:rPr>
        <w:t xml:space="preserve"> </w:t>
      </w:r>
      <w:r w:rsidRPr="001A21F1">
        <w:rPr>
          <w:rFonts w:cs="Times New Roman"/>
          <w:b/>
          <w:spacing w:val="-1"/>
          <w:szCs w:val="24"/>
        </w:rPr>
        <w:t>COMMISSION</w:t>
      </w:r>
      <w:r w:rsidRPr="001A21F1">
        <w:rPr>
          <w:rFonts w:cs="Times New Roman"/>
          <w:b/>
          <w:spacing w:val="-11"/>
          <w:szCs w:val="24"/>
        </w:rPr>
        <w:t xml:space="preserve"> </w:t>
      </w:r>
      <w:r w:rsidRPr="001A21F1">
        <w:rPr>
          <w:rFonts w:cs="Times New Roman"/>
          <w:b/>
          <w:spacing w:val="-1"/>
          <w:szCs w:val="24"/>
        </w:rPr>
        <w:t>OF</w:t>
      </w:r>
      <w:r w:rsidRPr="001A21F1">
        <w:rPr>
          <w:rFonts w:cs="Times New Roman"/>
          <w:b/>
          <w:spacing w:val="-13"/>
          <w:szCs w:val="24"/>
        </w:rPr>
        <w:t xml:space="preserve"> O</w:t>
      </w:r>
      <w:r w:rsidRPr="001A21F1">
        <w:rPr>
          <w:rFonts w:cs="Times New Roman"/>
          <w:b/>
          <w:szCs w:val="24"/>
        </w:rPr>
        <w:t>HIO</w:t>
      </w:r>
    </w:p>
    <w:p w:rsidR="00754612" w:rsidRPr="0057602B" w:rsidP="00754612" w14:paraId="1441AA63" w14:textId="77777777">
      <w:pPr>
        <w:spacing w:after="0" w:line="240" w:lineRule="auto"/>
        <w:jc w:val="center"/>
        <w:rPr>
          <w:b/>
          <w:bCs/>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450"/>
        <w:gridCol w:w="3870"/>
      </w:tblGrid>
      <w:tr w14:paraId="0EFAD366" w14:textId="77777777" w:rsidTr="00C46911">
        <w:tblPrEx>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5"/>
        </w:trPr>
        <w:tc>
          <w:tcPr>
            <w:tcW w:w="4320" w:type="dxa"/>
            <w:tcBorders>
              <w:top w:val="nil"/>
              <w:left w:val="nil"/>
              <w:bottom w:val="nil"/>
              <w:right w:val="nil"/>
            </w:tcBorders>
          </w:tcPr>
          <w:p w:rsidR="00C46911" w:rsidRPr="0057602B" w:rsidP="00C46911" w14:paraId="26F45195" w14:textId="77777777">
            <w:pPr>
              <w:autoSpaceDE w:val="0"/>
              <w:autoSpaceDN w:val="0"/>
              <w:adjustRightInd w:val="0"/>
              <w:rPr>
                <w:szCs w:val="24"/>
              </w:rPr>
            </w:pPr>
            <w:r w:rsidRPr="0057602B">
              <w:rPr>
                <w:szCs w:val="24"/>
              </w:rPr>
              <w:br w:type="page"/>
              <w:t>In the Matter of the Review of th</w:t>
            </w:r>
            <w:r>
              <w:rPr>
                <w:szCs w:val="24"/>
              </w:rPr>
              <w:t xml:space="preserve">e Reconciliation Rider of The Dayton Power and Light Company. </w:t>
            </w:r>
          </w:p>
        </w:tc>
        <w:tc>
          <w:tcPr>
            <w:tcW w:w="450" w:type="dxa"/>
            <w:tcBorders>
              <w:top w:val="nil"/>
              <w:left w:val="nil"/>
              <w:bottom w:val="nil"/>
              <w:right w:val="nil"/>
            </w:tcBorders>
          </w:tcPr>
          <w:p w:rsidR="00C46911" w:rsidRPr="0057602B" w:rsidP="00C87956" w14:paraId="05EA7A27" w14:textId="77777777">
            <w:pPr>
              <w:contextualSpacing/>
              <w:rPr>
                <w:szCs w:val="24"/>
              </w:rPr>
            </w:pPr>
            <w:r w:rsidRPr="0057602B">
              <w:rPr>
                <w:szCs w:val="24"/>
              </w:rPr>
              <w:t>)</w:t>
            </w:r>
          </w:p>
          <w:p w:rsidR="00C46911" w:rsidRPr="0057602B" w:rsidP="00C87956" w14:paraId="0F5CE66A" w14:textId="77777777">
            <w:pPr>
              <w:contextualSpacing/>
              <w:rPr>
                <w:szCs w:val="24"/>
              </w:rPr>
            </w:pPr>
            <w:r w:rsidRPr="0057602B">
              <w:rPr>
                <w:szCs w:val="24"/>
              </w:rPr>
              <w:t>)</w:t>
            </w:r>
          </w:p>
          <w:p w:rsidR="00C46911" w:rsidRPr="0057602B" w:rsidP="00C87956" w14:paraId="7A00257B" w14:textId="77777777">
            <w:pPr>
              <w:contextualSpacing/>
              <w:rPr>
                <w:szCs w:val="24"/>
              </w:rPr>
            </w:pPr>
            <w:r w:rsidRPr="0057602B">
              <w:rPr>
                <w:szCs w:val="24"/>
              </w:rPr>
              <w:t>)</w:t>
            </w:r>
          </w:p>
        </w:tc>
        <w:tc>
          <w:tcPr>
            <w:tcW w:w="3870" w:type="dxa"/>
            <w:tcBorders>
              <w:top w:val="nil"/>
              <w:left w:val="nil"/>
              <w:bottom w:val="nil"/>
              <w:right w:val="nil"/>
            </w:tcBorders>
          </w:tcPr>
          <w:p w:rsidR="00C46911" w:rsidRPr="0057602B" w:rsidP="00C87956" w14:paraId="72AAC9A1" w14:textId="77777777">
            <w:pPr>
              <w:contextualSpacing/>
              <w:rPr>
                <w:szCs w:val="24"/>
              </w:rPr>
            </w:pPr>
          </w:p>
          <w:p w:rsidR="00C46911" w:rsidRPr="0057602B" w:rsidP="00C87956" w14:paraId="1D061FB3" w14:textId="77777777">
            <w:pPr>
              <w:autoSpaceDE w:val="0"/>
              <w:autoSpaceDN w:val="0"/>
              <w:adjustRightInd w:val="0"/>
              <w:rPr>
                <w:szCs w:val="24"/>
              </w:rPr>
            </w:pPr>
            <w:r w:rsidRPr="0057602B">
              <w:rPr>
                <w:szCs w:val="24"/>
              </w:rPr>
              <w:t xml:space="preserve">Case No. </w:t>
            </w:r>
            <w:r>
              <w:rPr>
                <w:szCs w:val="24"/>
              </w:rPr>
              <w:t>20-165</w:t>
            </w:r>
            <w:r w:rsidRPr="0057602B">
              <w:rPr>
                <w:szCs w:val="24"/>
              </w:rPr>
              <w:t xml:space="preserve">-EL-RDR </w:t>
            </w:r>
          </w:p>
        </w:tc>
      </w:tr>
    </w:tbl>
    <w:p w:rsidR="00AD047C" w:rsidRPr="001A21F1" w:rsidP="00AD047C" w14:paraId="21A30031" w14:textId="77777777">
      <w:pPr>
        <w:pBdr>
          <w:bottom w:val="single" w:sz="12" w:space="1" w:color="auto"/>
        </w:pBdr>
        <w:spacing w:after="0" w:line="240" w:lineRule="auto"/>
        <w:rPr>
          <w:rFonts w:cs="Times New Roman"/>
          <w:szCs w:val="24"/>
        </w:rPr>
      </w:pPr>
    </w:p>
    <w:p w:rsidR="00AD047C" w:rsidRPr="001A21F1" w:rsidP="00AD047C" w14:paraId="054B10E6" w14:textId="77777777">
      <w:pPr>
        <w:pStyle w:val="HTMLPreformatted"/>
        <w:rPr>
          <w:rFonts w:ascii="Times New Roman" w:hAnsi="Times New Roman" w:cs="Times New Roman"/>
          <w:b/>
          <w:bCs/>
          <w:i/>
          <w:sz w:val="24"/>
          <w:szCs w:val="24"/>
        </w:rPr>
      </w:pPr>
    </w:p>
    <w:p w:rsidR="003D4F1B" w:rsidP="00AD047C" w14:paraId="3B030342" w14:textId="662AF212">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REPLY MEMORANDUM IN SUPPORT OF</w:t>
      </w:r>
    </w:p>
    <w:p w:rsidR="00AD047C" w:rsidP="00AD047C" w14:paraId="2BD40AC4" w14:textId="1E848A8D">
      <w:pPr>
        <w:pStyle w:val="HTMLPreformatted"/>
        <w:pBdr>
          <w:bottom w:val="single" w:sz="12" w:space="1" w:color="auto"/>
        </w:pBdr>
        <w:jc w:val="center"/>
        <w:rPr>
          <w:rFonts w:ascii="Times New Roman" w:hAnsi="Times New Roman" w:cs="Times New Roman"/>
          <w:b/>
          <w:bCs/>
          <w:sz w:val="24"/>
          <w:szCs w:val="24"/>
        </w:rPr>
      </w:pPr>
      <w:r w:rsidRPr="001A21F1">
        <w:rPr>
          <w:rFonts w:ascii="Times New Roman" w:hAnsi="Times New Roman" w:cs="Times New Roman"/>
          <w:b/>
          <w:bCs/>
          <w:sz w:val="24"/>
          <w:szCs w:val="24"/>
        </w:rPr>
        <w:t xml:space="preserve">JOINT </w:t>
      </w:r>
      <w:r w:rsidRPr="001A21F1" w:rsidR="002D13D1">
        <w:rPr>
          <w:rFonts w:ascii="Times New Roman" w:hAnsi="Times New Roman" w:cs="Times New Roman"/>
          <w:b/>
          <w:bCs/>
          <w:sz w:val="24"/>
          <w:szCs w:val="24"/>
        </w:rPr>
        <w:t xml:space="preserve">MOTION TO COMPEL </w:t>
      </w:r>
      <w:r w:rsidR="003D4F1B">
        <w:rPr>
          <w:rFonts w:ascii="Times New Roman" w:hAnsi="Times New Roman" w:cs="Times New Roman"/>
          <w:b/>
          <w:bCs/>
          <w:sz w:val="24"/>
          <w:szCs w:val="24"/>
        </w:rPr>
        <w:t>DEPOSITION OF DP&amp;L</w:t>
      </w:r>
    </w:p>
    <w:p w:rsidR="00AD047C" w:rsidRPr="001A21F1" w:rsidP="00AD047C" w14:paraId="00ADD86D" w14:textId="77777777">
      <w:pPr>
        <w:pStyle w:val="HTMLPreformatted"/>
        <w:pBdr>
          <w:bottom w:val="single" w:sz="12" w:space="1" w:color="auto"/>
        </w:pBdr>
        <w:jc w:val="center"/>
        <w:rPr>
          <w:rFonts w:ascii="Times New Roman" w:hAnsi="Times New Roman" w:cs="Times New Roman"/>
          <w:b/>
          <w:bCs/>
          <w:sz w:val="24"/>
          <w:szCs w:val="24"/>
        </w:rPr>
      </w:pPr>
      <w:r w:rsidRPr="001A21F1">
        <w:rPr>
          <w:rFonts w:ascii="Times New Roman" w:hAnsi="Times New Roman" w:cs="Times New Roman"/>
          <w:b/>
          <w:bCs/>
          <w:sz w:val="24"/>
          <w:szCs w:val="24"/>
        </w:rPr>
        <w:t xml:space="preserve">BY </w:t>
      </w:r>
    </w:p>
    <w:p w:rsidR="00547D51" w:rsidRPr="001A21F1" w:rsidP="00AD047C" w14:paraId="6FC4BC0C" w14:textId="516AA895">
      <w:pPr>
        <w:pStyle w:val="HTMLPreformatted"/>
        <w:pBdr>
          <w:bottom w:val="single" w:sz="12" w:space="1" w:color="auto"/>
        </w:pBdr>
        <w:jc w:val="center"/>
        <w:rPr>
          <w:rFonts w:ascii="Times New Roman" w:hAnsi="Times New Roman" w:cs="Times New Roman"/>
          <w:b/>
          <w:bCs/>
          <w:sz w:val="24"/>
          <w:szCs w:val="24"/>
        </w:rPr>
      </w:pPr>
      <w:r w:rsidRPr="001A21F1">
        <w:rPr>
          <w:rFonts w:ascii="Times New Roman" w:hAnsi="Times New Roman" w:cs="Times New Roman"/>
          <w:b/>
          <w:bCs/>
          <w:sz w:val="24"/>
          <w:szCs w:val="24"/>
        </w:rPr>
        <w:t xml:space="preserve">OFFICE OF THE OHIO CONSUMERS' COUNSEL </w:t>
      </w:r>
    </w:p>
    <w:p w:rsidR="00F75195" w:rsidP="00AD047C" w14:paraId="5586BB43" w14:textId="77777777">
      <w:pPr>
        <w:pStyle w:val="HTMLPreformatted"/>
        <w:pBdr>
          <w:bottom w:val="single" w:sz="12" w:space="1" w:color="auto"/>
        </w:pBdr>
        <w:jc w:val="center"/>
        <w:rPr>
          <w:rFonts w:ascii="Times New Roman" w:hAnsi="Times New Roman" w:cs="Times New Roman"/>
          <w:b/>
          <w:bCs/>
          <w:sz w:val="24"/>
          <w:szCs w:val="24"/>
        </w:rPr>
      </w:pPr>
      <w:r w:rsidRPr="001A21F1">
        <w:rPr>
          <w:rFonts w:ascii="Times New Roman" w:hAnsi="Times New Roman" w:cs="Times New Roman"/>
          <w:b/>
          <w:bCs/>
          <w:sz w:val="24"/>
          <w:szCs w:val="24"/>
        </w:rPr>
        <w:t xml:space="preserve">AND </w:t>
      </w:r>
    </w:p>
    <w:p w:rsidR="00AD047C" w:rsidRPr="001A21F1" w:rsidP="00AD047C" w14:paraId="28546B32" w14:textId="03D23479">
      <w:pPr>
        <w:pStyle w:val="HTMLPreformatted"/>
        <w:pBdr>
          <w:bottom w:val="single" w:sz="12" w:space="1" w:color="auto"/>
        </w:pBdr>
        <w:jc w:val="center"/>
        <w:rPr>
          <w:rFonts w:ascii="Times New Roman" w:hAnsi="Times New Roman" w:cs="Times New Roman"/>
          <w:b/>
          <w:bCs/>
          <w:sz w:val="24"/>
          <w:szCs w:val="24"/>
        </w:rPr>
      </w:pPr>
      <w:r w:rsidRPr="001A21F1">
        <w:rPr>
          <w:rFonts w:ascii="Times New Roman" w:hAnsi="Times New Roman" w:cs="Times New Roman"/>
          <w:b/>
          <w:bCs/>
          <w:sz w:val="24"/>
          <w:szCs w:val="24"/>
        </w:rPr>
        <w:t>OHIO MANUFACTURERS’ ASSOCIATION ENERGY GROUP</w:t>
      </w:r>
    </w:p>
    <w:p w:rsidR="00AD047C" w:rsidRPr="001A21F1" w:rsidP="00AD047C" w14:paraId="49A12D57" w14:textId="77777777">
      <w:pPr>
        <w:pStyle w:val="HTMLPreformatted"/>
        <w:pBdr>
          <w:bottom w:val="single" w:sz="12" w:space="1" w:color="auto"/>
        </w:pBdr>
        <w:jc w:val="center"/>
        <w:rPr>
          <w:rFonts w:ascii="Times New Roman" w:hAnsi="Times New Roman" w:cs="Times New Roman"/>
          <w:b/>
          <w:bCs/>
          <w:sz w:val="24"/>
          <w:szCs w:val="24"/>
        </w:rPr>
      </w:pPr>
    </w:p>
    <w:p w:rsidR="00AD047C" w:rsidRPr="001A21F1" w:rsidP="00AD047C" w14:paraId="47552F38" w14:textId="77777777">
      <w:pPr>
        <w:pStyle w:val="BodyTextIndent3"/>
        <w:widowControl w:val="0"/>
        <w:spacing w:after="0" w:line="240" w:lineRule="auto"/>
        <w:ind w:left="0"/>
        <w:rPr>
          <w:rFonts w:cs="Times New Roman"/>
          <w:sz w:val="24"/>
          <w:szCs w:val="24"/>
        </w:rPr>
      </w:pPr>
      <w:r w:rsidRPr="001A21F1">
        <w:rPr>
          <w:rFonts w:cs="Times New Roman"/>
          <w:sz w:val="24"/>
          <w:szCs w:val="24"/>
        </w:rPr>
        <w:t xml:space="preserve"> </w:t>
      </w:r>
      <w:r w:rsidRPr="001A21F1">
        <w:rPr>
          <w:rFonts w:cs="Times New Roman"/>
          <w:sz w:val="24"/>
          <w:szCs w:val="24"/>
        </w:rPr>
        <w:tab/>
      </w:r>
    </w:p>
    <w:p w:rsidR="00913FB0" w:rsidP="003D4F1B" w14:paraId="66CA5CAF" w14:textId="081C3B43">
      <w:pPr>
        <w:pStyle w:val="Footer"/>
        <w:numPr>
          <w:ilvl w:val="0"/>
          <w:numId w:val="12"/>
        </w:numPr>
        <w:tabs>
          <w:tab w:val="clear" w:pos="4680"/>
          <w:tab w:val="clear" w:pos="9360"/>
        </w:tabs>
        <w:ind w:left="0" w:firstLine="0"/>
        <w:rPr>
          <w:rFonts w:cs="Times New Roman"/>
          <w:b/>
          <w:bCs/>
          <w:szCs w:val="24"/>
        </w:rPr>
      </w:pPr>
      <w:r>
        <w:rPr>
          <w:rFonts w:cs="Times New Roman"/>
          <w:b/>
          <w:bCs/>
          <w:szCs w:val="24"/>
        </w:rPr>
        <w:t>INTRODUCTION</w:t>
      </w:r>
    </w:p>
    <w:p w:rsidR="003D4F1B" w:rsidP="003D4F1B" w14:paraId="3E1A3EA6" w14:textId="0FE240D2">
      <w:pPr>
        <w:pStyle w:val="Footer"/>
        <w:tabs>
          <w:tab w:val="clear" w:pos="4680"/>
          <w:tab w:val="clear" w:pos="9360"/>
        </w:tabs>
        <w:rPr>
          <w:rFonts w:cs="Times New Roman"/>
          <w:b/>
          <w:bCs/>
          <w:szCs w:val="24"/>
        </w:rPr>
      </w:pPr>
    </w:p>
    <w:p w:rsidR="00D06947" w:rsidP="00953767" w14:paraId="4D3257BD" w14:textId="02EA6853">
      <w:pPr>
        <w:pStyle w:val="Footer"/>
        <w:tabs>
          <w:tab w:val="clear" w:pos="4680"/>
          <w:tab w:val="clear" w:pos="9360"/>
        </w:tabs>
        <w:spacing w:line="480" w:lineRule="auto"/>
        <w:ind w:firstLine="720"/>
        <w:rPr>
          <w:rFonts w:cs="Times New Roman"/>
          <w:szCs w:val="24"/>
        </w:rPr>
      </w:pPr>
      <w:r>
        <w:rPr>
          <w:rFonts w:cs="Times New Roman"/>
          <w:szCs w:val="24"/>
        </w:rPr>
        <w:t>The Dayton Power and Light Company (“</w:t>
      </w:r>
      <w:r w:rsidR="007655D2">
        <w:rPr>
          <w:rFonts w:cs="Times New Roman"/>
          <w:szCs w:val="24"/>
        </w:rPr>
        <w:t>AES/DP&amp;L</w:t>
      </w:r>
      <w:r>
        <w:rPr>
          <w:rFonts w:cs="Times New Roman"/>
          <w:szCs w:val="24"/>
        </w:rPr>
        <w:t>”)</w:t>
      </w:r>
      <w:r w:rsidR="007655D2">
        <w:rPr>
          <w:rFonts w:cs="Times New Roman"/>
          <w:szCs w:val="24"/>
        </w:rPr>
        <w:t xml:space="preserve"> wants to prevent the </w:t>
      </w:r>
      <w:r>
        <w:rPr>
          <w:rFonts w:cs="Times New Roman"/>
          <w:szCs w:val="24"/>
        </w:rPr>
        <w:t>intervening parties</w:t>
      </w:r>
      <w:r w:rsidR="007655D2">
        <w:rPr>
          <w:rFonts w:cs="Times New Roman"/>
          <w:szCs w:val="24"/>
        </w:rPr>
        <w:t xml:space="preserve"> from</w:t>
      </w:r>
      <w:r>
        <w:rPr>
          <w:rFonts w:cs="Times New Roman"/>
          <w:szCs w:val="24"/>
        </w:rPr>
        <w:t xml:space="preserve"> deposing company witnesses to obtain more information about issues raised in the audit report.</w:t>
      </w:r>
      <w:r w:rsidR="00B457A2">
        <w:rPr>
          <w:rFonts w:cs="Times New Roman"/>
          <w:szCs w:val="24"/>
        </w:rPr>
        <w:t xml:space="preserve"> </w:t>
      </w:r>
      <w:r>
        <w:rPr>
          <w:rFonts w:cs="Times New Roman"/>
          <w:szCs w:val="24"/>
        </w:rPr>
        <w:t>The Public Utilities Commission of Ohio (“PUCO”) should reject AES/DP&amp;L’s efforts to block the depositions and allow the parties to go forward with their investigation so as to better inform the PUCO’s decision in this case.</w:t>
      </w:r>
    </w:p>
    <w:p w:rsidR="00C46911" w:rsidP="00953767" w14:paraId="0F0A42BA" w14:textId="10CD7F08">
      <w:pPr>
        <w:pStyle w:val="Footer"/>
        <w:tabs>
          <w:tab w:val="clear" w:pos="4680"/>
          <w:tab w:val="clear" w:pos="9360"/>
        </w:tabs>
        <w:spacing w:line="480" w:lineRule="auto"/>
        <w:ind w:firstLine="720"/>
        <w:rPr>
          <w:rFonts w:cs="Times New Roman"/>
          <w:szCs w:val="24"/>
        </w:rPr>
        <w:sectPr w:rsidSect="00451714">
          <w:footerReference w:type="default" r:id="rId6"/>
          <w:pgSz w:w="12240" w:h="15840"/>
          <w:pgMar w:top="1440" w:right="1800" w:bottom="1440" w:left="1800" w:header="720" w:footer="720" w:gutter="0"/>
          <w:pgNumType w:fmt="lowerRoman" w:start="1"/>
          <w:cols w:space="720"/>
          <w:docGrid w:linePitch="360"/>
        </w:sectPr>
      </w:pPr>
      <w:r>
        <w:rPr>
          <w:rFonts w:cs="Times New Roman"/>
          <w:szCs w:val="24"/>
        </w:rPr>
        <w:t xml:space="preserve">The present case involves </w:t>
      </w:r>
      <w:r w:rsidR="00D06947">
        <w:rPr>
          <w:rFonts w:cs="Times New Roman"/>
          <w:szCs w:val="24"/>
        </w:rPr>
        <w:t>Ohio Valley Electric Corporation (“</w:t>
      </w:r>
      <w:r>
        <w:rPr>
          <w:rFonts w:cs="Times New Roman"/>
          <w:szCs w:val="24"/>
        </w:rPr>
        <w:t>OVEC</w:t>
      </w:r>
      <w:r w:rsidR="00D06947">
        <w:rPr>
          <w:rFonts w:cs="Times New Roman"/>
          <w:szCs w:val="24"/>
        </w:rPr>
        <w:t>”)</w:t>
      </w:r>
      <w:r>
        <w:rPr>
          <w:rFonts w:cs="Times New Roman"/>
          <w:szCs w:val="24"/>
        </w:rPr>
        <w:t xml:space="preserve"> subsidies for 2019</w:t>
      </w:r>
      <w:r w:rsidR="00E22C6C">
        <w:rPr>
          <w:rFonts w:cs="Times New Roman"/>
          <w:szCs w:val="24"/>
        </w:rPr>
        <w:t xml:space="preserve"> under a rider</w:t>
      </w:r>
      <w:r w:rsidR="004261A7">
        <w:rPr>
          <w:rFonts w:cs="Times New Roman"/>
          <w:szCs w:val="24"/>
        </w:rPr>
        <w:t xml:space="preserve"> approved by the PUCO</w:t>
      </w:r>
      <w:r w:rsidR="00133A1E">
        <w:rPr>
          <w:rFonts w:cs="Times New Roman"/>
          <w:szCs w:val="24"/>
        </w:rPr>
        <w:t>, prior to the effective date of H.B. 6</w:t>
      </w:r>
      <w:r w:rsidR="00E22C6C">
        <w:rPr>
          <w:rFonts w:cs="Times New Roman"/>
          <w:szCs w:val="24"/>
        </w:rPr>
        <w:t>.</w:t>
      </w:r>
      <w:r>
        <w:rPr>
          <w:rFonts w:cs="Times New Roman"/>
          <w:szCs w:val="24"/>
        </w:rPr>
        <w:t xml:space="preserve"> </w:t>
      </w:r>
    </w:p>
    <w:p w:rsidR="00133A1E" w:rsidP="00953767" w14:paraId="01D071FE" w14:textId="5FAB3594">
      <w:pPr>
        <w:pStyle w:val="Footer"/>
        <w:tabs>
          <w:tab w:val="clear" w:pos="4680"/>
          <w:tab w:val="clear" w:pos="9360"/>
        </w:tabs>
        <w:spacing w:line="480" w:lineRule="auto"/>
        <w:ind w:firstLine="720"/>
        <w:rPr>
          <w:rFonts w:cs="Times New Roman"/>
          <w:szCs w:val="24"/>
        </w:rPr>
      </w:pPr>
      <w:r>
        <w:rPr>
          <w:rFonts w:cs="Times New Roman"/>
          <w:szCs w:val="24"/>
        </w:rPr>
        <w:t xml:space="preserve">The </w:t>
      </w:r>
      <w:r w:rsidR="00324825">
        <w:rPr>
          <w:rFonts w:cs="Times New Roman"/>
          <w:szCs w:val="24"/>
        </w:rPr>
        <w:t>q</w:t>
      </w:r>
      <w:r>
        <w:rPr>
          <w:rFonts w:cs="Times New Roman"/>
          <w:szCs w:val="24"/>
        </w:rPr>
        <w:t>uestion the PUCO must answer is</w:t>
      </w:r>
      <w:r w:rsidR="00F11108">
        <w:rPr>
          <w:rFonts w:cs="Times New Roman"/>
          <w:szCs w:val="24"/>
        </w:rPr>
        <w:t>:</w:t>
      </w:r>
      <w:r w:rsidR="00E22C6C">
        <w:rPr>
          <w:rFonts w:cs="Times New Roman"/>
          <w:szCs w:val="24"/>
        </w:rPr>
        <w:t xml:space="preserve"> were the plants prudently </w:t>
      </w:r>
      <w:r w:rsidR="004261A7">
        <w:rPr>
          <w:rFonts w:cs="Times New Roman"/>
          <w:szCs w:val="24"/>
        </w:rPr>
        <w:t>managed?</w:t>
      </w:r>
      <w:r w:rsidR="00C46911">
        <w:rPr>
          <w:rFonts w:cs="Times New Roman"/>
          <w:szCs w:val="24"/>
        </w:rPr>
        <w:t xml:space="preserve"> </w:t>
      </w:r>
      <w:r w:rsidR="00E22C6C">
        <w:rPr>
          <w:rFonts w:cs="Times New Roman"/>
          <w:szCs w:val="24"/>
        </w:rPr>
        <w:t xml:space="preserve">The auditors’ reports in the </w:t>
      </w:r>
      <w:r w:rsidR="003F494D">
        <w:rPr>
          <w:rFonts w:cs="Times New Roman"/>
          <w:szCs w:val="24"/>
        </w:rPr>
        <w:t>Ohio Power Company (“</w:t>
      </w:r>
      <w:r w:rsidR="00E22C6C">
        <w:rPr>
          <w:rFonts w:cs="Times New Roman"/>
          <w:szCs w:val="24"/>
        </w:rPr>
        <w:t>AEP</w:t>
      </w:r>
      <w:r w:rsidR="003F494D">
        <w:rPr>
          <w:rFonts w:cs="Times New Roman"/>
          <w:szCs w:val="24"/>
        </w:rPr>
        <w:t>”)</w:t>
      </w:r>
      <w:r w:rsidR="00E22C6C">
        <w:rPr>
          <w:rFonts w:cs="Times New Roman"/>
          <w:szCs w:val="24"/>
        </w:rPr>
        <w:t xml:space="preserve"> and </w:t>
      </w:r>
      <w:r w:rsidR="003F494D">
        <w:rPr>
          <w:rFonts w:cs="Times New Roman"/>
          <w:szCs w:val="24"/>
        </w:rPr>
        <w:t>Duke Energy Ohio, Inc. (</w:t>
      </w:r>
      <w:r w:rsidR="004261A7">
        <w:rPr>
          <w:rFonts w:cs="Times New Roman"/>
          <w:szCs w:val="24"/>
        </w:rPr>
        <w:t>“</w:t>
      </w:r>
      <w:r w:rsidR="00E22C6C">
        <w:rPr>
          <w:rFonts w:cs="Times New Roman"/>
          <w:szCs w:val="24"/>
        </w:rPr>
        <w:t>Duke</w:t>
      </w:r>
      <w:r w:rsidR="004261A7">
        <w:rPr>
          <w:rFonts w:cs="Times New Roman"/>
          <w:szCs w:val="24"/>
        </w:rPr>
        <w:t>”</w:t>
      </w:r>
      <w:r w:rsidR="003F494D">
        <w:rPr>
          <w:rFonts w:cs="Times New Roman"/>
          <w:szCs w:val="24"/>
        </w:rPr>
        <w:t>)</w:t>
      </w:r>
      <w:r w:rsidR="00E22C6C">
        <w:rPr>
          <w:rFonts w:cs="Times New Roman"/>
          <w:szCs w:val="24"/>
        </w:rPr>
        <w:t xml:space="preserve"> OVEC cases strongly suggest that </w:t>
      </w:r>
      <w:r>
        <w:rPr>
          <w:rFonts w:cs="Times New Roman"/>
          <w:szCs w:val="24"/>
        </w:rPr>
        <w:t>they were not because the plants were designated as</w:t>
      </w:r>
      <w:r w:rsidR="00B457A2">
        <w:rPr>
          <w:rFonts w:cs="Times New Roman"/>
          <w:szCs w:val="24"/>
        </w:rPr>
        <w:t xml:space="preserve"> </w:t>
      </w:r>
      <w:r w:rsidR="00E22C6C">
        <w:rPr>
          <w:rFonts w:cs="Times New Roman"/>
          <w:szCs w:val="24"/>
        </w:rPr>
        <w:t>a must-run for the entire year</w:t>
      </w:r>
      <w:r>
        <w:rPr>
          <w:rFonts w:cs="Times New Roman"/>
          <w:szCs w:val="24"/>
        </w:rPr>
        <w:t>, and that</w:t>
      </w:r>
      <w:r w:rsidR="00E22C6C">
        <w:rPr>
          <w:rFonts w:cs="Times New Roman"/>
          <w:szCs w:val="24"/>
        </w:rPr>
        <w:t xml:space="preserve"> was imprudent.</w:t>
      </w:r>
      <w:r w:rsidR="00C46911">
        <w:rPr>
          <w:rFonts w:cs="Times New Roman"/>
          <w:szCs w:val="24"/>
        </w:rPr>
        <w:t xml:space="preserve"> </w:t>
      </w:r>
      <w:r w:rsidR="00E22C6C">
        <w:rPr>
          <w:rFonts w:cs="Times New Roman"/>
          <w:szCs w:val="24"/>
        </w:rPr>
        <w:t>In fact, th</w:t>
      </w:r>
      <w:r w:rsidR="00A7667A">
        <w:rPr>
          <w:rFonts w:cs="Times New Roman"/>
          <w:szCs w:val="24"/>
        </w:rPr>
        <w:t>e must-run strategy</w:t>
      </w:r>
      <w:r w:rsidR="00E22C6C">
        <w:rPr>
          <w:rFonts w:cs="Times New Roman"/>
          <w:szCs w:val="24"/>
        </w:rPr>
        <w:t xml:space="preserve"> </w:t>
      </w:r>
      <w:r w:rsidR="00CD3A47">
        <w:rPr>
          <w:rFonts w:cs="Times New Roman"/>
          <w:szCs w:val="24"/>
        </w:rPr>
        <w:t xml:space="preserve">caused losses of approximately $70 million for the customers of </w:t>
      </w:r>
      <w:r w:rsidR="00324825">
        <w:rPr>
          <w:rFonts w:cs="Times New Roman"/>
          <w:szCs w:val="24"/>
        </w:rPr>
        <w:t>AES/</w:t>
      </w:r>
      <w:r w:rsidR="00CD3A47">
        <w:rPr>
          <w:rFonts w:cs="Times New Roman"/>
          <w:szCs w:val="24"/>
        </w:rPr>
        <w:t>DP&amp;L, AEP</w:t>
      </w:r>
      <w:r w:rsidR="00EA1D1B">
        <w:rPr>
          <w:rFonts w:cs="Times New Roman"/>
          <w:szCs w:val="24"/>
        </w:rPr>
        <w:t>,</w:t>
      </w:r>
      <w:r w:rsidR="00CD3A47">
        <w:rPr>
          <w:rFonts w:cs="Times New Roman"/>
          <w:szCs w:val="24"/>
        </w:rPr>
        <w:t xml:space="preserve"> and Duke in 2019.</w:t>
      </w:r>
      <w:r>
        <w:rPr>
          <w:rStyle w:val="FootnoteReference"/>
          <w:rFonts w:cs="Times New Roman"/>
          <w:szCs w:val="24"/>
        </w:rPr>
        <w:footnoteReference w:id="2"/>
      </w:r>
      <w:r w:rsidR="00C46911">
        <w:rPr>
          <w:rFonts w:cs="Times New Roman"/>
          <w:szCs w:val="24"/>
        </w:rPr>
        <w:t xml:space="preserve"> </w:t>
      </w:r>
    </w:p>
    <w:p w:rsidR="00F13F4F" w:rsidP="00953767" w14:paraId="309E60DA" w14:textId="74D839A6">
      <w:pPr>
        <w:pStyle w:val="Footer"/>
        <w:tabs>
          <w:tab w:val="clear" w:pos="4680"/>
          <w:tab w:val="clear" w:pos="9360"/>
        </w:tabs>
        <w:spacing w:line="480" w:lineRule="auto"/>
        <w:ind w:firstLine="720"/>
        <w:rPr>
          <w:rFonts w:cs="Times New Roman"/>
          <w:szCs w:val="24"/>
        </w:rPr>
      </w:pPr>
      <w:r>
        <w:rPr>
          <w:rFonts w:cs="Times New Roman"/>
          <w:szCs w:val="24"/>
        </w:rPr>
        <w:t>The Office of the Ohio Consumers’ Counsel (“</w:t>
      </w:r>
      <w:r w:rsidR="00CD3A47">
        <w:rPr>
          <w:rFonts w:cs="Times New Roman"/>
          <w:szCs w:val="24"/>
        </w:rPr>
        <w:t>OCC</w:t>
      </w:r>
      <w:r>
        <w:rPr>
          <w:rFonts w:cs="Times New Roman"/>
          <w:szCs w:val="24"/>
        </w:rPr>
        <w:t>”)</w:t>
      </w:r>
      <w:r w:rsidR="00CD3A47">
        <w:rPr>
          <w:rFonts w:cs="Times New Roman"/>
          <w:szCs w:val="24"/>
        </w:rPr>
        <w:t xml:space="preserve"> and </w:t>
      </w:r>
      <w:r>
        <w:rPr>
          <w:rFonts w:cs="Times New Roman"/>
          <w:szCs w:val="24"/>
        </w:rPr>
        <w:t>the Ohio Manufacturers</w:t>
      </w:r>
      <w:r w:rsidR="00324825">
        <w:rPr>
          <w:rFonts w:cs="Times New Roman"/>
          <w:szCs w:val="24"/>
        </w:rPr>
        <w:t>’</w:t>
      </w:r>
      <w:r w:rsidR="00EA1D1B">
        <w:rPr>
          <w:rFonts w:cs="Times New Roman"/>
          <w:szCs w:val="24"/>
        </w:rPr>
        <w:t xml:space="preserve"> Association</w:t>
      </w:r>
      <w:r>
        <w:rPr>
          <w:rFonts w:cs="Times New Roman"/>
          <w:szCs w:val="24"/>
        </w:rPr>
        <w:t xml:space="preserve"> Energy Group (“</w:t>
      </w:r>
      <w:r w:rsidR="00CD3A47">
        <w:rPr>
          <w:rFonts w:cs="Times New Roman"/>
          <w:szCs w:val="24"/>
        </w:rPr>
        <w:t>OMAEG</w:t>
      </w:r>
      <w:r>
        <w:rPr>
          <w:rFonts w:cs="Times New Roman"/>
          <w:szCs w:val="24"/>
        </w:rPr>
        <w:t>”)</w:t>
      </w:r>
      <w:r w:rsidR="00CD3A47">
        <w:rPr>
          <w:rFonts w:cs="Times New Roman"/>
          <w:szCs w:val="24"/>
        </w:rPr>
        <w:t xml:space="preserve"> sought to depose a</w:t>
      </w:r>
      <w:r w:rsidR="00324825">
        <w:rPr>
          <w:rFonts w:cs="Times New Roman"/>
          <w:szCs w:val="24"/>
        </w:rPr>
        <w:t>n</w:t>
      </w:r>
      <w:r w:rsidR="00CD3A47">
        <w:rPr>
          <w:rFonts w:cs="Times New Roman"/>
          <w:szCs w:val="24"/>
        </w:rPr>
        <w:t xml:space="preserve"> </w:t>
      </w:r>
      <w:r w:rsidR="00324825">
        <w:rPr>
          <w:rFonts w:cs="Times New Roman"/>
          <w:szCs w:val="24"/>
        </w:rPr>
        <w:t>AES/</w:t>
      </w:r>
      <w:r w:rsidR="00CD3A47">
        <w:rPr>
          <w:rFonts w:cs="Times New Roman"/>
          <w:szCs w:val="24"/>
        </w:rPr>
        <w:t>DP&amp;L witness on the</w:t>
      </w:r>
      <w:r w:rsidR="00A1584A">
        <w:rPr>
          <w:rFonts w:cs="Times New Roman"/>
          <w:szCs w:val="24"/>
        </w:rPr>
        <w:t>se matters.</w:t>
      </w:r>
      <w:r w:rsidR="00B457A2">
        <w:rPr>
          <w:rFonts w:cs="Times New Roman"/>
          <w:szCs w:val="24"/>
        </w:rPr>
        <w:t xml:space="preserve"> </w:t>
      </w:r>
      <w:r>
        <w:rPr>
          <w:rFonts w:cs="Times New Roman"/>
          <w:szCs w:val="24"/>
        </w:rPr>
        <w:t xml:space="preserve">A deposition is also needed to </w:t>
      </w:r>
      <w:r w:rsidR="00030948">
        <w:rPr>
          <w:rFonts w:cs="Times New Roman"/>
          <w:szCs w:val="24"/>
        </w:rPr>
        <w:t>determine</w:t>
      </w:r>
      <w:r>
        <w:rPr>
          <w:rFonts w:cs="Times New Roman"/>
          <w:szCs w:val="24"/>
        </w:rPr>
        <w:t xml:space="preserve"> whether</w:t>
      </w:r>
      <w:r w:rsidR="00030948">
        <w:rPr>
          <w:rFonts w:cs="Times New Roman"/>
          <w:szCs w:val="24"/>
        </w:rPr>
        <w:t xml:space="preserve"> </w:t>
      </w:r>
      <w:r w:rsidR="00324825">
        <w:rPr>
          <w:rFonts w:cs="Times New Roman"/>
          <w:szCs w:val="24"/>
        </w:rPr>
        <w:t>AES/</w:t>
      </w:r>
      <w:r w:rsidR="00030948">
        <w:rPr>
          <w:rFonts w:cs="Times New Roman"/>
          <w:szCs w:val="24"/>
        </w:rPr>
        <w:t xml:space="preserve">DP&amp;L’s customers were adversely impacted by </w:t>
      </w:r>
      <w:r w:rsidR="00324825">
        <w:rPr>
          <w:rFonts w:cs="Times New Roman"/>
          <w:szCs w:val="24"/>
        </w:rPr>
        <w:t>AES/</w:t>
      </w:r>
      <w:r w:rsidR="00030948">
        <w:rPr>
          <w:rFonts w:cs="Times New Roman"/>
          <w:szCs w:val="24"/>
        </w:rPr>
        <w:t xml:space="preserve">DP&amp;L’s decision to accept </w:t>
      </w:r>
      <w:r w:rsidR="00133A1E">
        <w:rPr>
          <w:rFonts w:cs="Times New Roman"/>
          <w:szCs w:val="24"/>
        </w:rPr>
        <w:t>a</w:t>
      </w:r>
      <w:r w:rsidR="00030948">
        <w:rPr>
          <w:rFonts w:cs="Times New Roman"/>
          <w:szCs w:val="24"/>
        </w:rPr>
        <w:t xml:space="preserve"> share of the FirstEnergy Solutions</w:t>
      </w:r>
      <w:r w:rsidR="00C320EF">
        <w:rPr>
          <w:rFonts w:cs="Times New Roman"/>
          <w:szCs w:val="24"/>
        </w:rPr>
        <w:t xml:space="preserve">’ </w:t>
      </w:r>
      <w:r w:rsidR="00030948">
        <w:rPr>
          <w:rFonts w:cs="Times New Roman"/>
          <w:szCs w:val="24"/>
        </w:rPr>
        <w:t>(“FES”) OVEC entitlement after FES filed for bankruptcy.</w:t>
      </w:r>
    </w:p>
    <w:p w:rsidR="00953767" w:rsidP="004213B2" w14:paraId="3FF37CE9" w14:textId="7B2DCE4D">
      <w:pPr>
        <w:pStyle w:val="Footer"/>
        <w:tabs>
          <w:tab w:val="clear" w:pos="4680"/>
          <w:tab w:val="clear" w:pos="9360"/>
        </w:tabs>
        <w:spacing w:line="480" w:lineRule="auto"/>
        <w:ind w:firstLine="720"/>
        <w:rPr>
          <w:rFonts w:cs="Times New Roman"/>
          <w:szCs w:val="24"/>
        </w:rPr>
      </w:pPr>
      <w:r>
        <w:rPr>
          <w:rFonts w:cs="Times New Roman"/>
          <w:szCs w:val="24"/>
        </w:rPr>
        <w:t>Despite the</w:t>
      </w:r>
      <w:r w:rsidR="00A1584A">
        <w:rPr>
          <w:rFonts w:cs="Times New Roman"/>
          <w:szCs w:val="24"/>
        </w:rPr>
        <w:t xml:space="preserve"> relevancy of these issues and the significant cost to </w:t>
      </w:r>
      <w:r>
        <w:rPr>
          <w:rFonts w:cs="Times New Roman"/>
          <w:szCs w:val="24"/>
        </w:rPr>
        <w:t xml:space="preserve">customers, </w:t>
      </w:r>
      <w:r w:rsidR="00324825">
        <w:rPr>
          <w:rFonts w:cs="Times New Roman"/>
          <w:szCs w:val="24"/>
        </w:rPr>
        <w:t>AES/</w:t>
      </w:r>
      <w:r w:rsidR="00CD3A47">
        <w:rPr>
          <w:rFonts w:cs="Times New Roman"/>
          <w:szCs w:val="24"/>
        </w:rPr>
        <w:t>DP&amp;L continues to resist a deposition.</w:t>
      </w:r>
      <w:r w:rsidR="00C46911">
        <w:rPr>
          <w:rFonts w:cs="Times New Roman"/>
          <w:szCs w:val="24"/>
        </w:rPr>
        <w:t xml:space="preserve"> </w:t>
      </w:r>
      <w:r w:rsidR="00CD3A47">
        <w:rPr>
          <w:rFonts w:cs="Times New Roman"/>
          <w:szCs w:val="24"/>
        </w:rPr>
        <w:t>OCC</w:t>
      </w:r>
      <w:r w:rsidR="003F494D">
        <w:rPr>
          <w:rFonts w:cs="Times New Roman"/>
          <w:szCs w:val="24"/>
        </w:rPr>
        <w:t xml:space="preserve"> and </w:t>
      </w:r>
      <w:r w:rsidR="00CD3A47">
        <w:rPr>
          <w:rFonts w:cs="Times New Roman"/>
          <w:szCs w:val="24"/>
        </w:rPr>
        <w:t xml:space="preserve">OMAEG </w:t>
      </w:r>
      <w:r w:rsidR="004618CE">
        <w:rPr>
          <w:rFonts w:cs="Times New Roman"/>
          <w:szCs w:val="24"/>
        </w:rPr>
        <w:t xml:space="preserve">need the PUCO to </w:t>
      </w:r>
      <w:r w:rsidR="00A1584A">
        <w:rPr>
          <w:rFonts w:cs="Times New Roman"/>
          <w:szCs w:val="24"/>
        </w:rPr>
        <w:t xml:space="preserve">grant </w:t>
      </w:r>
      <w:r w:rsidR="004618CE">
        <w:rPr>
          <w:rFonts w:cs="Times New Roman"/>
          <w:szCs w:val="24"/>
        </w:rPr>
        <w:t xml:space="preserve">their motion to compel </w:t>
      </w:r>
      <w:r w:rsidR="00324825">
        <w:rPr>
          <w:rFonts w:cs="Times New Roman"/>
          <w:szCs w:val="24"/>
        </w:rPr>
        <w:t>AES/</w:t>
      </w:r>
      <w:r w:rsidR="004618CE">
        <w:rPr>
          <w:rFonts w:cs="Times New Roman"/>
          <w:szCs w:val="24"/>
        </w:rPr>
        <w:t xml:space="preserve">DP&amp;L to produce a witness </w:t>
      </w:r>
      <w:r w:rsidR="00133A1E">
        <w:rPr>
          <w:rFonts w:cs="Times New Roman"/>
          <w:szCs w:val="24"/>
        </w:rPr>
        <w:t>for</w:t>
      </w:r>
      <w:r w:rsidR="004618CE">
        <w:rPr>
          <w:rFonts w:cs="Times New Roman"/>
          <w:szCs w:val="24"/>
        </w:rPr>
        <w:t xml:space="preserve"> deposition</w:t>
      </w:r>
      <w:r w:rsidR="00A1584A">
        <w:rPr>
          <w:rFonts w:cs="Times New Roman"/>
          <w:szCs w:val="24"/>
        </w:rPr>
        <w:t>.</w:t>
      </w:r>
      <w:r w:rsidR="00B457A2">
        <w:rPr>
          <w:rFonts w:cs="Times New Roman"/>
          <w:szCs w:val="24"/>
        </w:rPr>
        <w:t xml:space="preserve"> </w:t>
      </w:r>
      <w:r w:rsidR="00A1584A">
        <w:rPr>
          <w:rFonts w:cs="Times New Roman"/>
          <w:szCs w:val="24"/>
        </w:rPr>
        <w:t xml:space="preserve">Allowing the deposition to go forward will facilitate OCC’s preparation </w:t>
      </w:r>
      <w:r w:rsidR="00400C6D">
        <w:rPr>
          <w:rFonts w:cs="Times New Roman"/>
          <w:szCs w:val="24"/>
        </w:rPr>
        <w:t xml:space="preserve">of comments and better inform the PUCO of the matters in this case. </w:t>
      </w:r>
    </w:p>
    <w:p w:rsidR="00C46911" w:rsidRPr="003D4F1B" w:rsidP="00C46911" w14:paraId="5A05FD86" w14:textId="77777777">
      <w:pPr>
        <w:pStyle w:val="Footer"/>
        <w:tabs>
          <w:tab w:val="clear" w:pos="4680"/>
          <w:tab w:val="clear" w:pos="9360"/>
        </w:tabs>
        <w:ind w:firstLine="720"/>
        <w:rPr>
          <w:rFonts w:cs="Times New Roman"/>
          <w:szCs w:val="24"/>
        </w:rPr>
      </w:pPr>
    </w:p>
    <w:p w:rsidR="00913FB0" w:rsidP="004618CE" w14:paraId="043F5390" w14:textId="4AF7D9B4">
      <w:pPr>
        <w:pStyle w:val="Footer"/>
        <w:numPr>
          <w:ilvl w:val="0"/>
          <w:numId w:val="12"/>
        </w:numPr>
        <w:tabs>
          <w:tab w:val="clear" w:pos="4680"/>
          <w:tab w:val="clear" w:pos="9360"/>
        </w:tabs>
        <w:spacing w:line="480" w:lineRule="auto"/>
        <w:ind w:left="0" w:firstLine="0"/>
        <w:rPr>
          <w:rFonts w:cs="Times New Roman"/>
          <w:b/>
          <w:bCs/>
          <w:szCs w:val="24"/>
        </w:rPr>
      </w:pPr>
      <w:r>
        <w:rPr>
          <w:rFonts w:cs="Times New Roman"/>
          <w:b/>
          <w:bCs/>
          <w:szCs w:val="24"/>
        </w:rPr>
        <w:t>BACKGROUND</w:t>
      </w:r>
    </w:p>
    <w:p w:rsidR="004213B2" w:rsidP="004213B2" w14:paraId="5D8FD57F" w14:textId="51ABCE56">
      <w:pPr>
        <w:pStyle w:val="Footer"/>
        <w:tabs>
          <w:tab w:val="clear" w:pos="4680"/>
          <w:tab w:val="clear" w:pos="9360"/>
        </w:tabs>
        <w:spacing w:line="480" w:lineRule="auto"/>
        <w:ind w:firstLine="720"/>
        <w:rPr>
          <w:szCs w:val="24"/>
        </w:rPr>
      </w:pPr>
      <w:r>
        <w:rPr>
          <w:rFonts w:cs="Times New Roman"/>
          <w:szCs w:val="24"/>
        </w:rPr>
        <w:t xml:space="preserve">How the OVEC plants were committed into the PJM Day-Ahead Energy Market is an important issue in </w:t>
      </w:r>
      <w:r w:rsidR="00400C6D">
        <w:rPr>
          <w:rFonts w:cs="Times New Roman"/>
          <w:szCs w:val="24"/>
        </w:rPr>
        <w:t xml:space="preserve">not just this proceeding, but in </w:t>
      </w:r>
      <w:r w:rsidR="00C320EF">
        <w:rPr>
          <w:rFonts w:cs="Times New Roman"/>
          <w:szCs w:val="24"/>
        </w:rPr>
        <w:t xml:space="preserve">in the </w:t>
      </w:r>
      <w:r w:rsidR="006D526E">
        <w:rPr>
          <w:rFonts w:cs="Times New Roman"/>
          <w:szCs w:val="24"/>
        </w:rPr>
        <w:t xml:space="preserve">related </w:t>
      </w:r>
      <w:r w:rsidR="00C320EF">
        <w:rPr>
          <w:rFonts w:cs="Times New Roman"/>
          <w:szCs w:val="24"/>
        </w:rPr>
        <w:t>AEP and Duke OVEC Audit Cases</w:t>
      </w:r>
      <w:r w:rsidR="00D5651D">
        <w:rPr>
          <w:rFonts w:cs="Times New Roman"/>
          <w:szCs w:val="24"/>
        </w:rPr>
        <w:t xml:space="preserve"> (Case Nos. 18-1004, et al. and Case No. 20-165-EL-RDR, respectively).</w:t>
      </w:r>
      <w:r w:rsidR="00B457A2">
        <w:rPr>
          <w:rFonts w:cs="Times New Roman"/>
          <w:szCs w:val="24"/>
        </w:rPr>
        <w:t xml:space="preserve"> </w:t>
      </w:r>
      <w:r>
        <w:rPr>
          <w:rFonts w:cs="Times New Roman"/>
          <w:szCs w:val="24"/>
        </w:rPr>
        <w:t>T</w:t>
      </w:r>
      <w:r w:rsidRPr="00BD2652">
        <w:rPr>
          <w:szCs w:val="24"/>
        </w:rPr>
        <w:t xml:space="preserve">he auditor </w:t>
      </w:r>
      <w:r w:rsidR="006D526E">
        <w:rPr>
          <w:szCs w:val="24"/>
        </w:rPr>
        <w:t xml:space="preserve">in the </w:t>
      </w:r>
      <w:r w:rsidRPr="00BD2652">
        <w:rPr>
          <w:szCs w:val="24"/>
        </w:rPr>
        <w:t>AEP</w:t>
      </w:r>
      <w:r w:rsidR="006D526E">
        <w:rPr>
          <w:szCs w:val="24"/>
        </w:rPr>
        <w:t xml:space="preserve"> OVEC Audit C</w:t>
      </w:r>
      <w:r w:rsidR="00D5651D">
        <w:rPr>
          <w:szCs w:val="24"/>
        </w:rPr>
        <w:t>ase</w:t>
      </w:r>
      <w:r w:rsidR="00C46911">
        <w:rPr>
          <w:szCs w:val="24"/>
        </w:rPr>
        <w:t xml:space="preserve"> </w:t>
      </w:r>
      <w:r w:rsidRPr="00BD2652">
        <w:rPr>
          <w:szCs w:val="24"/>
        </w:rPr>
        <w:t>concluded that “some of the time, the PJM</w:t>
      </w:r>
      <w:r w:rsidR="00C46911">
        <w:rPr>
          <w:szCs w:val="24"/>
        </w:rPr>
        <w:t xml:space="preserve"> </w:t>
      </w:r>
      <w:r w:rsidRPr="00BD2652">
        <w:rPr>
          <w:szCs w:val="24"/>
        </w:rPr>
        <w:t>energy price did not cover fuel and variable cost.”</w:t>
      </w:r>
      <w:r>
        <w:rPr>
          <w:rStyle w:val="FootnoteReference"/>
          <w:szCs w:val="24"/>
        </w:rPr>
        <w:footnoteReference w:id="3"/>
      </w:r>
      <w:r w:rsidR="00C46911">
        <w:rPr>
          <w:szCs w:val="24"/>
        </w:rPr>
        <w:t xml:space="preserve"> </w:t>
      </w:r>
      <w:r w:rsidRPr="00BD2652">
        <w:rPr>
          <w:szCs w:val="24"/>
        </w:rPr>
        <w:t>And the auditor of AEP recommended that “OVEC reconsider its ‘must-run’ offer strategy.”</w:t>
      </w:r>
      <w:r>
        <w:rPr>
          <w:rStyle w:val="FootnoteReference"/>
          <w:szCs w:val="24"/>
        </w:rPr>
        <w:footnoteReference w:id="4"/>
      </w:r>
      <w:r w:rsidRPr="00BD2652">
        <w:rPr>
          <w:szCs w:val="24"/>
        </w:rPr>
        <w:t xml:space="preserve"> </w:t>
      </w:r>
    </w:p>
    <w:p w:rsidR="004213B2" w:rsidRPr="00BD2652" w:rsidP="004213B2" w14:paraId="561AB75F" w14:textId="422D7073">
      <w:pPr>
        <w:pStyle w:val="Footer"/>
        <w:tabs>
          <w:tab w:val="clear" w:pos="4680"/>
          <w:tab w:val="clear" w:pos="9360"/>
        </w:tabs>
        <w:spacing w:line="480" w:lineRule="auto"/>
        <w:ind w:firstLine="720"/>
        <w:rPr>
          <w:szCs w:val="24"/>
        </w:rPr>
      </w:pPr>
      <w:r w:rsidRPr="00BD2652">
        <w:rPr>
          <w:szCs w:val="24"/>
        </w:rPr>
        <w:t>The auditor’s too-polite words</w:t>
      </w:r>
      <w:r w:rsidR="00D5651D">
        <w:rPr>
          <w:szCs w:val="24"/>
        </w:rPr>
        <w:t xml:space="preserve"> support that</w:t>
      </w:r>
      <w:r w:rsidRPr="00BD2652">
        <w:rPr>
          <w:szCs w:val="24"/>
        </w:rPr>
        <w:t xml:space="preserve"> </w:t>
      </w:r>
      <w:r w:rsidR="00D5651D">
        <w:rPr>
          <w:szCs w:val="24"/>
        </w:rPr>
        <w:t xml:space="preserve">the PUCO </w:t>
      </w:r>
      <w:r w:rsidR="00400C6D">
        <w:rPr>
          <w:szCs w:val="24"/>
        </w:rPr>
        <w:t xml:space="preserve">in </w:t>
      </w:r>
      <w:r w:rsidR="00D5651D">
        <w:rPr>
          <w:szCs w:val="24"/>
        </w:rPr>
        <w:t xml:space="preserve">the three </w:t>
      </w:r>
      <w:r w:rsidR="00A455C6">
        <w:rPr>
          <w:szCs w:val="24"/>
        </w:rPr>
        <w:t xml:space="preserve">AEP, Duke and </w:t>
      </w:r>
      <w:r w:rsidR="00324825">
        <w:rPr>
          <w:szCs w:val="24"/>
        </w:rPr>
        <w:t>AES/</w:t>
      </w:r>
      <w:r w:rsidR="00A455C6">
        <w:rPr>
          <w:szCs w:val="24"/>
        </w:rPr>
        <w:t>DP&amp;L (</w:t>
      </w:r>
      <w:r w:rsidR="00D5651D">
        <w:rPr>
          <w:szCs w:val="24"/>
        </w:rPr>
        <w:t>OVEC</w:t>
      </w:r>
      <w:r w:rsidR="00A455C6">
        <w:rPr>
          <w:szCs w:val="24"/>
        </w:rPr>
        <w:t>)</w:t>
      </w:r>
      <w:r w:rsidR="00D5651D">
        <w:rPr>
          <w:szCs w:val="24"/>
        </w:rPr>
        <w:t xml:space="preserve"> Audit Cases</w:t>
      </w:r>
      <w:r w:rsidRPr="00BD2652">
        <w:rPr>
          <w:szCs w:val="24"/>
        </w:rPr>
        <w:t xml:space="preserve"> should </w:t>
      </w:r>
      <w:r w:rsidR="00D5651D">
        <w:rPr>
          <w:szCs w:val="24"/>
        </w:rPr>
        <w:t xml:space="preserve">consider </w:t>
      </w:r>
      <w:r w:rsidRPr="00BD2652">
        <w:rPr>
          <w:szCs w:val="24"/>
        </w:rPr>
        <w:t>whether the utilities are acting in the best interests of</w:t>
      </w:r>
      <w:r w:rsidR="00400C6D">
        <w:rPr>
          <w:szCs w:val="24"/>
        </w:rPr>
        <w:t xml:space="preserve"> </w:t>
      </w:r>
      <w:r w:rsidRPr="00BD2652">
        <w:rPr>
          <w:szCs w:val="24"/>
        </w:rPr>
        <w:t>consumers to minimize the coal subsid</w:t>
      </w:r>
      <w:r w:rsidR="00F11108">
        <w:rPr>
          <w:szCs w:val="24"/>
        </w:rPr>
        <w:t xml:space="preserve">ies </w:t>
      </w:r>
      <w:r w:rsidRPr="00BD2652">
        <w:rPr>
          <w:szCs w:val="24"/>
        </w:rPr>
        <w:t>that the PUCO enabled.</w:t>
      </w:r>
      <w:r w:rsidR="00C46911">
        <w:rPr>
          <w:szCs w:val="24"/>
        </w:rPr>
        <w:t xml:space="preserve"> </w:t>
      </w:r>
      <w:r w:rsidRPr="00BD2652">
        <w:rPr>
          <w:szCs w:val="24"/>
        </w:rPr>
        <w:t xml:space="preserve">Interestingly, a similar issue involving </w:t>
      </w:r>
      <w:r w:rsidR="00400C6D">
        <w:rPr>
          <w:szCs w:val="24"/>
        </w:rPr>
        <w:t xml:space="preserve">Indiana </w:t>
      </w:r>
      <w:r w:rsidRPr="00BD2652">
        <w:rPr>
          <w:szCs w:val="24"/>
        </w:rPr>
        <w:t>coal-fired power plants recently has been addressed by MISO’s market monitor (Potomac Economics),</w:t>
      </w:r>
      <w:r w:rsidR="00B457A2">
        <w:rPr>
          <w:szCs w:val="24"/>
        </w:rPr>
        <w:t xml:space="preserve"> </w:t>
      </w:r>
      <w:r w:rsidRPr="00BD2652">
        <w:rPr>
          <w:szCs w:val="24"/>
        </w:rPr>
        <w:t>Potomac concluded that “</w:t>
      </w:r>
      <w:r w:rsidR="00D5651D">
        <w:rPr>
          <w:szCs w:val="24"/>
        </w:rPr>
        <w:t>[u]</w:t>
      </w:r>
      <w:r w:rsidRPr="00BD2652">
        <w:rPr>
          <w:szCs w:val="24"/>
        </w:rPr>
        <w:t>nfortunately, a small share of integrated utilities operate much less efficiently than others.”</w:t>
      </w:r>
      <w:r>
        <w:rPr>
          <w:rStyle w:val="FootnoteReference"/>
          <w:szCs w:val="24"/>
        </w:rPr>
        <w:footnoteReference w:id="5"/>
      </w:r>
      <w:r w:rsidR="00B457A2">
        <w:rPr>
          <w:szCs w:val="24"/>
        </w:rPr>
        <w:t xml:space="preserve"> </w:t>
      </w:r>
      <w:r w:rsidR="004261A7">
        <w:rPr>
          <w:szCs w:val="24"/>
        </w:rPr>
        <w:t>Although OVEC is in PJM, this description certainly seems apt for OVEC’s staggering losses.</w:t>
      </w:r>
    </w:p>
    <w:p w:rsidR="004213B2" w:rsidRPr="00BD2652" w:rsidP="004213B2" w14:paraId="5621BD2D" w14:textId="5EAF31F0">
      <w:pPr>
        <w:spacing w:after="0" w:line="480" w:lineRule="auto"/>
        <w:ind w:firstLine="720"/>
        <w:rPr>
          <w:szCs w:val="24"/>
        </w:rPr>
      </w:pPr>
      <w:bookmarkStart w:id="0" w:name="_Hlk63693949"/>
      <w:r>
        <w:rPr>
          <w:szCs w:val="24"/>
        </w:rPr>
        <w:t>Moreover, t</w:t>
      </w:r>
      <w:r w:rsidRPr="00BD2652">
        <w:rPr>
          <w:szCs w:val="24"/>
        </w:rPr>
        <w:t>he PUCO has asserted that it will closely scrutinize OVEC’s operations to ensure OVEC’s practices are “in the best interest of retail [customers].”</w:t>
      </w:r>
      <w:r>
        <w:rPr>
          <w:rStyle w:val="FootnoteReference"/>
          <w:szCs w:val="24"/>
        </w:rPr>
        <w:footnoteReference w:id="6"/>
      </w:r>
      <w:r w:rsidRPr="00BD2652">
        <w:rPr>
          <w:szCs w:val="24"/>
        </w:rPr>
        <w:t xml:space="preserve"> The PUCO has also stated that when reviewing OVEC costs it will hold the utilities and OVEC to the following standard:</w:t>
      </w:r>
    </w:p>
    <w:p w:rsidR="004213B2" w:rsidRPr="00BD2652" w:rsidP="004213B2" w14:paraId="67635411" w14:textId="77777777">
      <w:pPr>
        <w:ind w:left="1440" w:right="1440"/>
        <w:rPr>
          <w:szCs w:val="24"/>
        </w:rPr>
      </w:pPr>
      <w:r w:rsidRPr="00BD2652">
        <w:rPr>
          <w:szCs w:val="24"/>
        </w:rPr>
        <w:t>Retail cost recovery may be disallowed as a result of the annual prudency review if the output from the plants is not bid in a manner that is consistent with participation in a broader competitive marketplace comprised of sellers attempting to maximize revenues.</w:t>
      </w:r>
      <w:r>
        <w:rPr>
          <w:rStyle w:val="FootnoteReference"/>
          <w:szCs w:val="24"/>
        </w:rPr>
        <w:footnoteReference w:id="7"/>
      </w:r>
    </w:p>
    <w:p w:rsidR="004213B2" w:rsidRPr="00BD2652" w:rsidP="00754612" w14:paraId="6A036802" w14:textId="654813D6">
      <w:pPr>
        <w:spacing w:after="0" w:line="480" w:lineRule="auto"/>
        <w:rPr>
          <w:szCs w:val="24"/>
        </w:rPr>
      </w:pPr>
      <w:r>
        <w:rPr>
          <w:szCs w:val="24"/>
        </w:rPr>
        <w:t>Th</w:t>
      </w:r>
      <w:r w:rsidRPr="00BD2652">
        <w:rPr>
          <w:szCs w:val="24"/>
        </w:rPr>
        <w:t>e PUCO adopted t</w:t>
      </w:r>
      <w:r w:rsidR="00400C6D">
        <w:rPr>
          <w:szCs w:val="24"/>
        </w:rPr>
        <w:t xml:space="preserve">his </w:t>
      </w:r>
      <w:r w:rsidRPr="00BD2652">
        <w:rPr>
          <w:szCs w:val="24"/>
        </w:rPr>
        <w:t xml:space="preserve">standard of review in response to </w:t>
      </w:r>
      <w:r>
        <w:rPr>
          <w:szCs w:val="24"/>
        </w:rPr>
        <w:t>a point that PJM raised in an amicus brief.</w:t>
      </w:r>
      <w:r w:rsidR="00C46911">
        <w:rPr>
          <w:szCs w:val="24"/>
        </w:rPr>
        <w:t xml:space="preserve"> </w:t>
      </w:r>
      <w:r>
        <w:rPr>
          <w:szCs w:val="24"/>
        </w:rPr>
        <w:t xml:space="preserve">More specifically, PJM </w:t>
      </w:r>
      <w:r w:rsidR="00C46911">
        <w:rPr>
          <w:szCs w:val="24"/>
        </w:rPr>
        <w:t xml:space="preserve">urged </w:t>
      </w:r>
      <w:r w:rsidRPr="00BD2652" w:rsidR="00C46911">
        <w:rPr>
          <w:szCs w:val="24"/>
        </w:rPr>
        <w:t>the</w:t>
      </w:r>
      <w:r w:rsidRPr="00BD2652">
        <w:rPr>
          <w:szCs w:val="24"/>
        </w:rPr>
        <w:t xml:space="preserve"> PUCO</w:t>
      </w:r>
      <w:r>
        <w:rPr>
          <w:szCs w:val="24"/>
        </w:rPr>
        <w:t xml:space="preserve"> to</w:t>
      </w:r>
      <w:r w:rsidRPr="00BD2652">
        <w:rPr>
          <w:szCs w:val="24"/>
        </w:rPr>
        <w:t xml:space="preserve"> hold OVEC and the utilities</w:t>
      </w:r>
      <w:r w:rsidR="00A455C6">
        <w:rPr>
          <w:szCs w:val="24"/>
        </w:rPr>
        <w:t xml:space="preserve"> (AEP, Duke and </w:t>
      </w:r>
      <w:r w:rsidR="00324825">
        <w:rPr>
          <w:szCs w:val="24"/>
        </w:rPr>
        <w:t>AES/</w:t>
      </w:r>
      <w:r w:rsidR="00A455C6">
        <w:rPr>
          <w:szCs w:val="24"/>
        </w:rPr>
        <w:t>DP&amp;L)</w:t>
      </w:r>
      <w:r w:rsidRPr="00BD2652">
        <w:rPr>
          <w:szCs w:val="24"/>
        </w:rPr>
        <w:t xml:space="preserve"> to the same</w:t>
      </w:r>
      <w:r w:rsidR="00400C6D">
        <w:rPr>
          <w:szCs w:val="24"/>
        </w:rPr>
        <w:t xml:space="preserve"> conduct expected of a</w:t>
      </w:r>
      <w:r w:rsidRPr="00BD2652">
        <w:rPr>
          <w:szCs w:val="24"/>
        </w:rPr>
        <w:t xml:space="preserve"> competitive generator</w:t>
      </w:r>
      <w:r w:rsidRPr="00BD2652">
        <w:rPr>
          <w:szCs w:val="24"/>
        </w:rPr>
        <w:t>.</w:t>
      </w:r>
      <w:r w:rsidR="00C46911">
        <w:rPr>
          <w:szCs w:val="24"/>
        </w:rPr>
        <w:t xml:space="preserve"> </w:t>
      </w:r>
      <w:r w:rsidRPr="00BD2652">
        <w:rPr>
          <w:szCs w:val="24"/>
        </w:rPr>
        <w:t xml:space="preserve">PJM noted in its </w:t>
      </w:r>
      <w:r w:rsidRPr="00F11108">
        <w:rPr>
          <w:i/>
          <w:iCs/>
          <w:szCs w:val="24"/>
        </w:rPr>
        <w:t>amicus</w:t>
      </w:r>
      <w:r w:rsidRPr="00BD2652">
        <w:rPr>
          <w:szCs w:val="24"/>
        </w:rPr>
        <w:t xml:space="preserve"> brief that the PUCO would need to follow this standard to ensure that companies would build new power plants in Ohio because: </w:t>
      </w:r>
    </w:p>
    <w:p w:rsidR="004213B2" w:rsidP="00715A38" w14:paraId="1FB9F4A3" w14:textId="7548E5BA">
      <w:pPr>
        <w:spacing w:after="0" w:line="240" w:lineRule="auto"/>
        <w:ind w:left="1440" w:right="1440"/>
        <w:rPr>
          <w:szCs w:val="24"/>
        </w:rPr>
      </w:pPr>
      <w:r w:rsidRPr="00BD2652">
        <w:rPr>
          <w:szCs w:val="24"/>
        </w:rPr>
        <w:t>[T]he PUCO Oversight Provision, more than any other in the Stipulation, has the greatest potential to impact the effectiveness of the wholesale market in Ohio for stimulating new investment.</w:t>
      </w:r>
      <w:r w:rsidR="00C46911">
        <w:rPr>
          <w:szCs w:val="24"/>
        </w:rPr>
        <w:t xml:space="preserve"> </w:t>
      </w:r>
      <w:r w:rsidRPr="00BD2652">
        <w:rPr>
          <w:szCs w:val="24"/>
        </w:rPr>
        <w:t>Moreover, since the Commission has stated that the PJM marketplace remains the primary vehicle it intends to utilize to attract and incent new generation resources, how this Commission implements this provision is critically important to whether those Ohio-specific goals can be achieved.</w:t>
      </w:r>
      <w:r>
        <w:rPr>
          <w:rStyle w:val="FootnoteReference"/>
          <w:szCs w:val="24"/>
        </w:rPr>
        <w:footnoteReference w:id="8"/>
      </w:r>
    </w:p>
    <w:p w:rsidR="004213B2" w:rsidRPr="00BD2652" w:rsidP="004213B2" w14:paraId="609DF47E" w14:textId="77777777">
      <w:pPr>
        <w:spacing w:after="0" w:line="240" w:lineRule="auto"/>
        <w:ind w:left="1166" w:right="907"/>
        <w:rPr>
          <w:szCs w:val="24"/>
        </w:rPr>
      </w:pPr>
    </w:p>
    <w:bookmarkEnd w:id="0"/>
    <w:p w:rsidR="004618CE" w:rsidP="004213B2" w14:paraId="5F9697D0" w14:textId="0E5BEB26">
      <w:pPr>
        <w:spacing w:after="0" w:line="480" w:lineRule="auto"/>
        <w:ind w:firstLine="720"/>
        <w:rPr>
          <w:szCs w:val="24"/>
        </w:rPr>
      </w:pPr>
      <w:r w:rsidRPr="00BD2652">
        <w:rPr>
          <w:szCs w:val="24"/>
        </w:rPr>
        <w:t xml:space="preserve">The </w:t>
      </w:r>
      <w:r w:rsidR="00CC0599">
        <w:rPr>
          <w:szCs w:val="24"/>
        </w:rPr>
        <w:t xml:space="preserve">cost of producing </w:t>
      </w:r>
      <w:r w:rsidRPr="00BD2652">
        <w:rPr>
          <w:szCs w:val="24"/>
        </w:rPr>
        <w:t xml:space="preserve">electricity from the two </w:t>
      </w:r>
      <w:r w:rsidR="00324825">
        <w:rPr>
          <w:szCs w:val="24"/>
        </w:rPr>
        <w:t>AES/</w:t>
      </w:r>
      <w:r w:rsidRPr="00BD2652">
        <w:rPr>
          <w:szCs w:val="24"/>
        </w:rPr>
        <w:t>DP&amp;L/OVEC coal plants is much higher than the</w:t>
      </w:r>
      <w:r w:rsidR="00CC0599">
        <w:rPr>
          <w:szCs w:val="24"/>
        </w:rPr>
        <w:t xml:space="preserve"> cost of </w:t>
      </w:r>
      <w:r w:rsidRPr="00BD2652">
        <w:rPr>
          <w:szCs w:val="24"/>
        </w:rPr>
        <w:t>electricity obtained from competitive wholesale auctions.</w:t>
      </w:r>
      <w:r w:rsidR="00C46911">
        <w:rPr>
          <w:szCs w:val="24"/>
        </w:rPr>
        <w:t xml:space="preserve"> </w:t>
      </w:r>
      <w:r w:rsidR="00F11108">
        <w:rPr>
          <w:szCs w:val="24"/>
        </w:rPr>
        <w:t>A</w:t>
      </w:r>
      <w:r w:rsidRPr="00BD2652">
        <w:rPr>
          <w:szCs w:val="24"/>
        </w:rPr>
        <w:t xml:space="preserve">nd that significant </w:t>
      </w:r>
      <w:r w:rsidR="00A455C6">
        <w:rPr>
          <w:szCs w:val="24"/>
        </w:rPr>
        <w:t xml:space="preserve">above-market </w:t>
      </w:r>
      <w:r w:rsidRPr="00BD2652">
        <w:rPr>
          <w:szCs w:val="24"/>
        </w:rPr>
        <w:t xml:space="preserve">cost is subsidized for the benefit of </w:t>
      </w:r>
      <w:r w:rsidR="00A455C6">
        <w:rPr>
          <w:szCs w:val="24"/>
        </w:rPr>
        <w:t xml:space="preserve">AEP, Duke and </w:t>
      </w:r>
      <w:r w:rsidR="00324825">
        <w:rPr>
          <w:szCs w:val="24"/>
        </w:rPr>
        <w:t>AES/</w:t>
      </w:r>
      <w:r w:rsidR="00A455C6">
        <w:rPr>
          <w:szCs w:val="24"/>
        </w:rPr>
        <w:t>DP&amp;L who</w:t>
      </w:r>
      <w:r w:rsidR="00CC0599">
        <w:rPr>
          <w:szCs w:val="24"/>
        </w:rPr>
        <w:t xml:space="preserve"> own the plants </w:t>
      </w:r>
      <w:r w:rsidRPr="00BD2652">
        <w:rPr>
          <w:szCs w:val="24"/>
        </w:rPr>
        <w:t xml:space="preserve">through charges to consumers, per a PUCO-approved nonbypassable charge that is part </w:t>
      </w:r>
      <w:r w:rsidR="00CC0599">
        <w:rPr>
          <w:szCs w:val="24"/>
        </w:rPr>
        <w:t xml:space="preserve">the utilities’ </w:t>
      </w:r>
      <w:r w:rsidRPr="00BD2652">
        <w:rPr>
          <w:szCs w:val="24"/>
        </w:rPr>
        <w:t>standard offers.</w:t>
      </w:r>
      <w:r w:rsidR="00C46911">
        <w:rPr>
          <w:szCs w:val="24"/>
        </w:rPr>
        <w:t xml:space="preserve"> </w:t>
      </w:r>
      <w:r>
        <w:rPr>
          <w:szCs w:val="24"/>
        </w:rPr>
        <w:t>OCC</w:t>
      </w:r>
      <w:r w:rsidR="00A943F7">
        <w:rPr>
          <w:szCs w:val="24"/>
        </w:rPr>
        <w:t xml:space="preserve"> and</w:t>
      </w:r>
      <w:r w:rsidR="00D5651D">
        <w:rPr>
          <w:szCs w:val="24"/>
        </w:rPr>
        <w:t xml:space="preserve"> </w:t>
      </w:r>
      <w:r>
        <w:rPr>
          <w:szCs w:val="24"/>
        </w:rPr>
        <w:t xml:space="preserve">OMAEG need to depose </w:t>
      </w:r>
      <w:r w:rsidR="00324825">
        <w:rPr>
          <w:szCs w:val="24"/>
        </w:rPr>
        <w:t>an</w:t>
      </w:r>
      <w:r>
        <w:rPr>
          <w:szCs w:val="24"/>
        </w:rPr>
        <w:t xml:space="preserve"> </w:t>
      </w:r>
      <w:r w:rsidR="00324825">
        <w:rPr>
          <w:szCs w:val="24"/>
        </w:rPr>
        <w:t>AES/</w:t>
      </w:r>
      <w:r>
        <w:rPr>
          <w:szCs w:val="24"/>
        </w:rPr>
        <w:t xml:space="preserve">DP&amp;L witness to </w:t>
      </w:r>
      <w:r w:rsidR="00CC0599">
        <w:rPr>
          <w:szCs w:val="24"/>
        </w:rPr>
        <w:t>explore</w:t>
      </w:r>
      <w:r>
        <w:rPr>
          <w:szCs w:val="24"/>
        </w:rPr>
        <w:t xml:space="preserve"> whether the plants were operated </w:t>
      </w:r>
      <w:r w:rsidR="00D5651D">
        <w:rPr>
          <w:szCs w:val="24"/>
        </w:rPr>
        <w:t>in accordance with</w:t>
      </w:r>
      <w:r>
        <w:rPr>
          <w:szCs w:val="24"/>
        </w:rPr>
        <w:t xml:space="preserve"> the same standards </w:t>
      </w:r>
      <w:r w:rsidR="00D5651D">
        <w:rPr>
          <w:szCs w:val="24"/>
        </w:rPr>
        <w:t xml:space="preserve">that </w:t>
      </w:r>
      <w:r>
        <w:rPr>
          <w:szCs w:val="24"/>
        </w:rPr>
        <w:t>a competitive generator would have used</w:t>
      </w:r>
      <w:r w:rsidR="007F49B9">
        <w:rPr>
          <w:szCs w:val="24"/>
        </w:rPr>
        <w:t>.</w:t>
      </w:r>
    </w:p>
    <w:p w:rsidR="007F49B9" w:rsidP="004261A7" w14:paraId="0CF695AB" w14:textId="7C81BC18">
      <w:pPr>
        <w:spacing w:after="0" w:line="480" w:lineRule="auto"/>
        <w:ind w:firstLine="720"/>
        <w:rPr>
          <w:rFonts w:cs="Times New Roman"/>
          <w:szCs w:val="24"/>
        </w:rPr>
      </w:pPr>
      <w:r>
        <w:rPr>
          <w:rFonts w:cs="Times New Roman"/>
          <w:szCs w:val="24"/>
        </w:rPr>
        <w:t xml:space="preserve">Another issue is whether </w:t>
      </w:r>
      <w:r w:rsidR="00324825">
        <w:rPr>
          <w:rFonts w:cs="Times New Roman"/>
          <w:szCs w:val="24"/>
        </w:rPr>
        <w:t>AES/</w:t>
      </w:r>
      <w:r>
        <w:rPr>
          <w:rFonts w:cs="Times New Roman"/>
          <w:szCs w:val="24"/>
        </w:rPr>
        <w:t xml:space="preserve">DP&amp;L customers were adversely impacted by </w:t>
      </w:r>
      <w:r w:rsidR="00324825">
        <w:rPr>
          <w:rFonts w:cs="Times New Roman"/>
          <w:szCs w:val="24"/>
        </w:rPr>
        <w:t>AES/</w:t>
      </w:r>
      <w:r>
        <w:rPr>
          <w:rFonts w:cs="Times New Roman"/>
          <w:szCs w:val="24"/>
        </w:rPr>
        <w:t>DP&amp;L’s decision to accept a share of the FES</w:t>
      </w:r>
      <w:r w:rsidR="00D5651D">
        <w:rPr>
          <w:rFonts w:cs="Times New Roman"/>
          <w:szCs w:val="24"/>
        </w:rPr>
        <w:t>’</w:t>
      </w:r>
      <w:r>
        <w:rPr>
          <w:rFonts w:cs="Times New Roman"/>
          <w:szCs w:val="24"/>
        </w:rPr>
        <w:t xml:space="preserve"> OVEC entitlement when FES filed for bankruptcy.</w:t>
      </w:r>
      <w:r w:rsidR="00C46911">
        <w:rPr>
          <w:rFonts w:cs="Times New Roman"/>
          <w:szCs w:val="24"/>
        </w:rPr>
        <w:t xml:space="preserve"> </w:t>
      </w:r>
      <w:r w:rsidRPr="001A21F1">
        <w:rPr>
          <w:rFonts w:cs="Times New Roman"/>
          <w:szCs w:val="24"/>
        </w:rPr>
        <w:t xml:space="preserve">The </w:t>
      </w:r>
      <w:r w:rsidR="00D5651D">
        <w:rPr>
          <w:rFonts w:cs="Times New Roman"/>
          <w:szCs w:val="24"/>
        </w:rPr>
        <w:t>a</w:t>
      </w:r>
      <w:r w:rsidRPr="001A21F1">
        <w:rPr>
          <w:rFonts w:cs="Times New Roman"/>
          <w:szCs w:val="24"/>
        </w:rPr>
        <w:t>uditor</w:t>
      </w:r>
      <w:r>
        <w:rPr>
          <w:rFonts w:cs="Times New Roman"/>
          <w:szCs w:val="24"/>
        </w:rPr>
        <w:t xml:space="preserve"> </w:t>
      </w:r>
      <w:r w:rsidR="00D5651D">
        <w:rPr>
          <w:rFonts w:cs="Times New Roman"/>
          <w:szCs w:val="24"/>
        </w:rPr>
        <w:t>in the</w:t>
      </w:r>
      <w:r>
        <w:rPr>
          <w:rFonts w:cs="Times New Roman"/>
          <w:szCs w:val="24"/>
        </w:rPr>
        <w:t xml:space="preserve"> AEP</w:t>
      </w:r>
      <w:r w:rsidR="00D5651D">
        <w:rPr>
          <w:rFonts w:cs="Times New Roman"/>
          <w:szCs w:val="24"/>
        </w:rPr>
        <w:t xml:space="preserve"> OVEC Audit Case</w:t>
      </w:r>
      <w:r w:rsidRPr="001A21F1">
        <w:rPr>
          <w:rFonts w:cs="Times New Roman"/>
          <w:szCs w:val="24"/>
        </w:rPr>
        <w:t xml:space="preserve"> noted that “the FirstEnergy Solutions bankruptcy impacted OVEC and AEP Ohio charges.”</w:t>
      </w:r>
      <w:r>
        <w:rPr>
          <w:rStyle w:val="FootnoteReference"/>
          <w:rFonts w:cs="Times New Roman"/>
          <w:szCs w:val="24"/>
        </w:rPr>
        <w:footnoteReference w:id="9"/>
      </w:r>
      <w:r w:rsidR="00B457A2">
        <w:rPr>
          <w:rFonts w:cs="Times New Roman"/>
          <w:szCs w:val="24"/>
        </w:rPr>
        <w:t xml:space="preserve"> </w:t>
      </w:r>
      <w:r>
        <w:rPr>
          <w:rFonts w:cs="Times New Roman"/>
          <w:szCs w:val="24"/>
        </w:rPr>
        <w:t>OCC</w:t>
      </w:r>
      <w:r w:rsidR="00A943F7">
        <w:rPr>
          <w:rFonts w:cs="Times New Roman"/>
          <w:szCs w:val="24"/>
        </w:rPr>
        <w:t xml:space="preserve"> and </w:t>
      </w:r>
      <w:r>
        <w:rPr>
          <w:rFonts w:cs="Times New Roman"/>
          <w:szCs w:val="24"/>
        </w:rPr>
        <w:t>OMAEG need to depose a</w:t>
      </w:r>
      <w:r w:rsidR="00324825">
        <w:rPr>
          <w:rFonts w:cs="Times New Roman"/>
          <w:szCs w:val="24"/>
        </w:rPr>
        <w:t>n AES/</w:t>
      </w:r>
      <w:r>
        <w:rPr>
          <w:rFonts w:cs="Times New Roman"/>
          <w:szCs w:val="24"/>
        </w:rPr>
        <w:t>DP&amp;L witness to resolve</w:t>
      </w:r>
      <w:r w:rsidR="00A943F7">
        <w:rPr>
          <w:rFonts w:cs="Times New Roman"/>
          <w:szCs w:val="24"/>
        </w:rPr>
        <w:t xml:space="preserve"> </w:t>
      </w:r>
      <w:r>
        <w:rPr>
          <w:rFonts w:cs="Times New Roman"/>
          <w:szCs w:val="24"/>
        </w:rPr>
        <w:t>this issue</w:t>
      </w:r>
      <w:r w:rsidR="00D5651D">
        <w:rPr>
          <w:rFonts w:cs="Times New Roman"/>
          <w:szCs w:val="24"/>
        </w:rPr>
        <w:t xml:space="preserve"> and determine whether any costs to customers should be disallowed. </w:t>
      </w:r>
    </w:p>
    <w:p w:rsidR="00C46911" w:rsidP="00C46911" w14:paraId="397D143F" w14:textId="77777777">
      <w:pPr>
        <w:spacing w:after="0" w:line="240" w:lineRule="auto"/>
        <w:ind w:firstLine="720"/>
        <w:rPr>
          <w:rFonts w:cs="Times New Roman"/>
          <w:szCs w:val="24"/>
        </w:rPr>
      </w:pPr>
    </w:p>
    <w:p w:rsidR="007F49B9" w:rsidP="007F49B9" w14:paraId="10C50CD0" w14:textId="72893903">
      <w:pPr>
        <w:pStyle w:val="Footer"/>
        <w:numPr>
          <w:ilvl w:val="0"/>
          <w:numId w:val="12"/>
        </w:numPr>
        <w:tabs>
          <w:tab w:val="clear" w:pos="4680"/>
          <w:tab w:val="clear" w:pos="9360"/>
        </w:tabs>
        <w:spacing w:line="480" w:lineRule="auto"/>
        <w:ind w:left="0" w:firstLine="0"/>
        <w:rPr>
          <w:rFonts w:cs="Times New Roman"/>
          <w:b/>
          <w:bCs/>
          <w:szCs w:val="24"/>
        </w:rPr>
      </w:pPr>
      <w:r>
        <w:rPr>
          <w:rFonts w:cs="Times New Roman"/>
          <w:b/>
          <w:bCs/>
          <w:szCs w:val="24"/>
        </w:rPr>
        <w:t>ARGUMENT</w:t>
      </w:r>
    </w:p>
    <w:p w:rsidR="007F49B9" w:rsidP="00C46911" w14:paraId="2882A01A" w14:textId="5CF2C5E1">
      <w:pPr>
        <w:pStyle w:val="Footer"/>
        <w:numPr>
          <w:ilvl w:val="0"/>
          <w:numId w:val="14"/>
        </w:numPr>
        <w:tabs>
          <w:tab w:val="clear" w:pos="4680"/>
          <w:tab w:val="clear" w:pos="9360"/>
        </w:tabs>
        <w:ind w:left="1440" w:hanging="720"/>
        <w:rPr>
          <w:rFonts w:cs="Times New Roman"/>
          <w:b/>
          <w:bCs/>
          <w:szCs w:val="24"/>
        </w:rPr>
      </w:pPr>
      <w:r>
        <w:rPr>
          <w:rFonts w:cs="Times New Roman"/>
          <w:b/>
          <w:bCs/>
          <w:szCs w:val="24"/>
        </w:rPr>
        <w:t>Intervening parties have a right to ample discovery under law, including cases where no evidentiary hearing has been scheduled</w:t>
      </w:r>
      <w:r w:rsidR="00C46911">
        <w:rPr>
          <w:rFonts w:cs="Times New Roman"/>
          <w:b/>
          <w:bCs/>
          <w:szCs w:val="24"/>
        </w:rPr>
        <w:t>.</w:t>
      </w:r>
    </w:p>
    <w:p w:rsidR="007F49B9" w:rsidP="007F49B9" w14:paraId="5A88DD9D" w14:textId="4FAAAA8C">
      <w:pPr>
        <w:pStyle w:val="Footer"/>
        <w:tabs>
          <w:tab w:val="clear" w:pos="4680"/>
          <w:tab w:val="clear" w:pos="9360"/>
        </w:tabs>
        <w:rPr>
          <w:rFonts w:cs="Times New Roman"/>
          <w:b/>
          <w:bCs/>
          <w:szCs w:val="24"/>
        </w:rPr>
      </w:pPr>
    </w:p>
    <w:p w:rsidR="00D50C20" w:rsidP="00D50C20" w14:paraId="1183B31A" w14:textId="49271809">
      <w:pPr>
        <w:autoSpaceDE w:val="0"/>
        <w:autoSpaceDN w:val="0"/>
        <w:adjustRightInd w:val="0"/>
        <w:spacing w:after="0" w:line="480" w:lineRule="auto"/>
        <w:ind w:firstLine="720"/>
        <w:rPr>
          <w:rFonts w:cs="Times New Roman"/>
          <w:szCs w:val="24"/>
        </w:rPr>
      </w:pPr>
      <w:r>
        <w:rPr>
          <w:rFonts w:cs="Times New Roman"/>
          <w:szCs w:val="24"/>
        </w:rPr>
        <w:t>As OCC</w:t>
      </w:r>
      <w:r w:rsidR="00E72628">
        <w:rPr>
          <w:rFonts w:cs="Times New Roman"/>
          <w:szCs w:val="24"/>
        </w:rPr>
        <w:t xml:space="preserve"> and</w:t>
      </w:r>
      <w:r w:rsidR="00A943F7">
        <w:rPr>
          <w:rFonts w:cs="Times New Roman"/>
          <w:szCs w:val="24"/>
        </w:rPr>
        <w:t xml:space="preserve"> </w:t>
      </w:r>
      <w:r>
        <w:rPr>
          <w:rFonts w:cs="Times New Roman"/>
          <w:szCs w:val="24"/>
        </w:rPr>
        <w:t xml:space="preserve">OMAEG noted in their Motion to Compel, </w:t>
      </w:r>
      <w:r w:rsidRPr="001A21F1">
        <w:rPr>
          <w:rFonts w:cs="Times New Roman"/>
          <w:szCs w:val="24"/>
        </w:rPr>
        <w:t>R.C. 4903.082 states that “[a]ll parties and intervenors shall be granted ample rights of discovery.”</w:t>
      </w:r>
      <w:r>
        <w:rPr>
          <w:rStyle w:val="FootnoteReference"/>
          <w:rFonts w:cs="Times New Roman"/>
          <w:szCs w:val="24"/>
        </w:rPr>
        <w:footnoteReference w:id="10"/>
      </w:r>
      <w:r w:rsidR="00C46911">
        <w:rPr>
          <w:rFonts w:cs="Times New Roman"/>
          <w:i/>
          <w:iCs/>
          <w:szCs w:val="24"/>
        </w:rPr>
        <w:t xml:space="preserve"> </w:t>
      </w:r>
      <w:r w:rsidRPr="001A21F1">
        <w:rPr>
          <w:rFonts w:cs="Times New Roman"/>
          <w:szCs w:val="24"/>
        </w:rPr>
        <w:t>The discovery statute was effective in 1983 as part of a more comprehensive regulatory reform.</w:t>
      </w:r>
      <w:r w:rsidR="00C46911">
        <w:rPr>
          <w:rFonts w:cs="Times New Roman"/>
          <w:szCs w:val="24"/>
        </w:rPr>
        <w:t xml:space="preserve"> </w:t>
      </w:r>
      <w:r w:rsidRPr="001A21F1">
        <w:rPr>
          <w:rFonts w:cs="Times New Roman"/>
          <w:szCs w:val="24"/>
        </w:rPr>
        <w:t>R.C. 4903.082 was intended to protect discovery rights for parties in PUCO cases.</w:t>
      </w:r>
    </w:p>
    <w:p w:rsidR="007B0E92" w:rsidP="00D50C20" w14:paraId="0515B29E" w14:textId="23C3A1FB">
      <w:pPr>
        <w:autoSpaceDE w:val="0"/>
        <w:autoSpaceDN w:val="0"/>
        <w:adjustRightInd w:val="0"/>
        <w:spacing w:after="0" w:line="480" w:lineRule="auto"/>
        <w:ind w:firstLine="720"/>
        <w:rPr>
          <w:rFonts w:cs="Times New Roman"/>
          <w:szCs w:val="24"/>
        </w:rPr>
      </w:pPr>
      <w:r>
        <w:rPr>
          <w:rFonts w:cs="Times New Roman"/>
          <w:szCs w:val="24"/>
        </w:rPr>
        <w:t xml:space="preserve">Despite OCC and OMAEG’s ample discovery rights afforded by statute, </w:t>
      </w:r>
      <w:r w:rsidR="00324825">
        <w:rPr>
          <w:rFonts w:cs="Times New Roman"/>
          <w:szCs w:val="24"/>
        </w:rPr>
        <w:t>AES/</w:t>
      </w:r>
      <w:r w:rsidR="00D50C20">
        <w:rPr>
          <w:rFonts w:cs="Times New Roman"/>
          <w:szCs w:val="24"/>
        </w:rPr>
        <w:t>DP&amp;L asserts that intervening parties have no right to depose witnesses in a PUCO case where no evidentiary hearing has been scheduled</w:t>
      </w:r>
      <w:r>
        <w:rPr>
          <w:rFonts w:cs="Times New Roman"/>
          <w:szCs w:val="24"/>
        </w:rPr>
        <w:t>.</w:t>
      </w:r>
      <w:r w:rsidR="00B457A2">
        <w:rPr>
          <w:rFonts w:cs="Times New Roman"/>
          <w:szCs w:val="24"/>
        </w:rPr>
        <w:t xml:space="preserve"> </w:t>
      </w:r>
      <w:r w:rsidR="00CC0599">
        <w:rPr>
          <w:rFonts w:cs="Times New Roman"/>
          <w:szCs w:val="24"/>
        </w:rPr>
        <w:t xml:space="preserve">This view is contrary to the PUCO’s rules on depositions. O.A.C. 4901-1-21 states that “Any party to </w:t>
      </w:r>
      <w:r w:rsidRPr="00F11108" w:rsidR="00CC0599">
        <w:rPr>
          <w:rFonts w:cs="Times New Roman"/>
          <w:i/>
          <w:iCs/>
          <w:szCs w:val="24"/>
        </w:rPr>
        <w:t>a pending commission proceedi</w:t>
      </w:r>
      <w:r w:rsidRPr="00CC0599" w:rsidR="00CC0599">
        <w:rPr>
          <w:rFonts w:cs="Times New Roman"/>
          <w:szCs w:val="24"/>
        </w:rPr>
        <w:t xml:space="preserve">ng </w:t>
      </w:r>
      <w:r w:rsidR="00CC0599">
        <w:rPr>
          <w:rFonts w:cs="Times New Roman"/>
          <w:szCs w:val="24"/>
        </w:rPr>
        <w:t>may take the testimony of any other party, or person*** with respect to any matter within the scope of discovery set forth in rule 4901-1-16 of the Administrative Code</w:t>
      </w:r>
      <w:r w:rsidR="00EA1D1B">
        <w:rPr>
          <w:rFonts w:cs="Times New Roman"/>
          <w:szCs w:val="24"/>
        </w:rPr>
        <w:t>.</w:t>
      </w:r>
      <w:r w:rsidR="00CC0599">
        <w:rPr>
          <w:rFonts w:cs="Times New Roman"/>
          <w:szCs w:val="24"/>
        </w:rPr>
        <w:t xml:space="preserve">” This is a pending commission proceeding. </w:t>
      </w:r>
      <w:r>
        <w:rPr>
          <w:rFonts w:cs="Times New Roman"/>
          <w:szCs w:val="24"/>
        </w:rPr>
        <w:t xml:space="preserve">The PUCO has ordered an audit, commencing the proceeding and the audit </w:t>
      </w:r>
      <w:r w:rsidR="00EA1D1B">
        <w:rPr>
          <w:rFonts w:cs="Times New Roman"/>
          <w:szCs w:val="24"/>
        </w:rPr>
        <w:t>i</w:t>
      </w:r>
      <w:r>
        <w:rPr>
          <w:rFonts w:cs="Times New Roman"/>
          <w:szCs w:val="24"/>
        </w:rPr>
        <w:t>s subject to review and adjudication.</w:t>
      </w:r>
      <w:r w:rsidR="00B457A2">
        <w:rPr>
          <w:rFonts w:cs="Times New Roman"/>
          <w:szCs w:val="24"/>
        </w:rPr>
        <w:t xml:space="preserve"> </w:t>
      </w:r>
    </w:p>
    <w:p w:rsidR="007B0E92" w:rsidP="007B0E92" w14:paraId="6A2EE800" w14:textId="0B4AA38A">
      <w:pPr>
        <w:autoSpaceDE w:val="0"/>
        <w:autoSpaceDN w:val="0"/>
        <w:adjustRightInd w:val="0"/>
        <w:spacing w:after="0" w:line="480" w:lineRule="auto"/>
        <w:rPr>
          <w:rFonts w:cs="Times New Roman"/>
          <w:szCs w:val="24"/>
        </w:rPr>
      </w:pPr>
      <w:r>
        <w:rPr>
          <w:rFonts w:cs="Times New Roman"/>
          <w:szCs w:val="24"/>
        </w:rPr>
        <w:t xml:space="preserve">Contrary to </w:t>
      </w:r>
      <w:r w:rsidR="00324825">
        <w:rPr>
          <w:rFonts w:cs="Times New Roman"/>
          <w:szCs w:val="24"/>
        </w:rPr>
        <w:t>AES/</w:t>
      </w:r>
      <w:r>
        <w:rPr>
          <w:rFonts w:cs="Times New Roman"/>
          <w:szCs w:val="24"/>
        </w:rPr>
        <w:t xml:space="preserve">DP&amp;L’s assertion otherwise, there is no prohibition on conducting a deposition in pending commission proceeding that does not have a scheduled hearing. </w:t>
      </w:r>
    </w:p>
    <w:p w:rsidR="007B0E92" w:rsidP="00F11108" w14:paraId="4AFF1C4F" w14:textId="1647A607">
      <w:pPr>
        <w:autoSpaceDE w:val="0"/>
        <w:autoSpaceDN w:val="0"/>
        <w:adjustRightInd w:val="0"/>
        <w:spacing w:after="0" w:line="480" w:lineRule="auto"/>
        <w:ind w:firstLine="720"/>
        <w:rPr>
          <w:rFonts w:cs="Times New Roman"/>
          <w:szCs w:val="24"/>
        </w:rPr>
      </w:pPr>
      <w:r>
        <w:rPr>
          <w:rFonts w:cs="Times New Roman"/>
          <w:szCs w:val="24"/>
        </w:rPr>
        <w:t xml:space="preserve">And yet, </w:t>
      </w:r>
      <w:r w:rsidR="00324825">
        <w:rPr>
          <w:rFonts w:cs="Times New Roman"/>
          <w:szCs w:val="24"/>
        </w:rPr>
        <w:t>AES/</w:t>
      </w:r>
      <w:r>
        <w:rPr>
          <w:rFonts w:cs="Times New Roman"/>
          <w:szCs w:val="24"/>
        </w:rPr>
        <w:t xml:space="preserve">DP&amp;L ignores the PUCO deposition rule and persists in opposing the deposition without any case law </w:t>
      </w:r>
      <w:r w:rsidR="00D50C20">
        <w:rPr>
          <w:rFonts w:cs="Times New Roman"/>
          <w:szCs w:val="24"/>
        </w:rPr>
        <w:t xml:space="preserve">to support </w:t>
      </w:r>
      <w:r w:rsidR="00D5651D">
        <w:rPr>
          <w:rFonts w:cs="Times New Roman"/>
          <w:szCs w:val="24"/>
        </w:rPr>
        <w:t xml:space="preserve">its </w:t>
      </w:r>
      <w:r w:rsidR="00D50C20">
        <w:rPr>
          <w:rFonts w:cs="Times New Roman"/>
          <w:szCs w:val="24"/>
        </w:rPr>
        <w:t>argument.</w:t>
      </w:r>
      <w:r w:rsidR="00C46911">
        <w:rPr>
          <w:rFonts w:cs="Times New Roman"/>
          <w:szCs w:val="24"/>
        </w:rPr>
        <w:t xml:space="preserve"> </w:t>
      </w:r>
      <w:r w:rsidR="00D50C20">
        <w:rPr>
          <w:rFonts w:cs="Times New Roman"/>
          <w:szCs w:val="24"/>
        </w:rPr>
        <w:t xml:space="preserve">The reason </w:t>
      </w:r>
      <w:r w:rsidR="00324825">
        <w:rPr>
          <w:rFonts w:cs="Times New Roman"/>
          <w:szCs w:val="24"/>
        </w:rPr>
        <w:t>AES/</w:t>
      </w:r>
      <w:r w:rsidR="00D50C20">
        <w:rPr>
          <w:rFonts w:cs="Times New Roman"/>
          <w:szCs w:val="24"/>
        </w:rPr>
        <w:t>DP&amp;L cites no cases is because the PUCO has</w:t>
      </w:r>
      <w:r>
        <w:rPr>
          <w:rFonts w:cs="Times New Roman"/>
          <w:szCs w:val="24"/>
        </w:rPr>
        <w:t xml:space="preserve"> never adopted </w:t>
      </w:r>
      <w:r w:rsidR="00324825">
        <w:rPr>
          <w:rFonts w:cs="Times New Roman"/>
          <w:szCs w:val="24"/>
        </w:rPr>
        <w:t>AES/</w:t>
      </w:r>
      <w:r>
        <w:rPr>
          <w:rFonts w:cs="Times New Roman"/>
          <w:szCs w:val="24"/>
        </w:rPr>
        <w:t>DP&amp;L’s restrictive view</w:t>
      </w:r>
      <w:r w:rsidR="00EA1D1B">
        <w:rPr>
          <w:rFonts w:cs="Times New Roman"/>
          <w:szCs w:val="24"/>
        </w:rPr>
        <w:t>,</w:t>
      </w:r>
      <w:r>
        <w:rPr>
          <w:rFonts w:cs="Times New Roman"/>
          <w:szCs w:val="24"/>
        </w:rPr>
        <w:t xml:space="preserve"> which would preclude discovery by deposition in this pending PUCO proceeding</w:t>
      </w:r>
    </w:p>
    <w:p w:rsidR="00D50C20" w:rsidP="007B0E92" w14:paraId="40CBBF86" w14:textId="55B92360">
      <w:pPr>
        <w:autoSpaceDE w:val="0"/>
        <w:autoSpaceDN w:val="0"/>
        <w:adjustRightInd w:val="0"/>
        <w:spacing w:after="0" w:line="480" w:lineRule="auto"/>
        <w:ind w:firstLine="720"/>
        <w:rPr>
          <w:rFonts w:cs="Times New Roman"/>
          <w:szCs w:val="24"/>
        </w:rPr>
      </w:pPr>
      <w:r>
        <w:rPr>
          <w:rFonts w:cs="Times New Roman"/>
          <w:szCs w:val="24"/>
        </w:rPr>
        <w:t>In fact, the PUCO has allowed depositions in cases where no evidentiary hearing has been scheduled.</w:t>
      </w:r>
      <w:r w:rsidR="00C46911">
        <w:rPr>
          <w:rFonts w:cs="Times New Roman"/>
          <w:szCs w:val="24"/>
        </w:rPr>
        <w:t xml:space="preserve"> </w:t>
      </w:r>
      <w:r>
        <w:rPr>
          <w:rFonts w:cs="Times New Roman"/>
          <w:szCs w:val="24"/>
        </w:rPr>
        <w:t>The most recent example is a case exploring</w:t>
      </w:r>
      <w:r w:rsidR="00D5651D">
        <w:rPr>
          <w:rFonts w:cs="Times New Roman"/>
          <w:szCs w:val="24"/>
        </w:rPr>
        <w:t xml:space="preserve"> Ohio Edison Company, The Cleveland Electric Illuminating Company, and The Toledo Edison Company</w:t>
      </w:r>
      <w:r w:rsidR="00423526">
        <w:rPr>
          <w:rFonts w:cs="Times New Roman"/>
          <w:szCs w:val="24"/>
        </w:rPr>
        <w:t xml:space="preserve">’s (collectively, </w:t>
      </w:r>
      <w:r w:rsidR="00324825">
        <w:rPr>
          <w:rFonts w:cs="Times New Roman"/>
          <w:szCs w:val="24"/>
        </w:rPr>
        <w:t>“</w:t>
      </w:r>
      <w:r>
        <w:rPr>
          <w:rFonts w:cs="Times New Roman"/>
          <w:szCs w:val="24"/>
        </w:rPr>
        <w:t>FirstEnergy</w:t>
      </w:r>
      <w:r w:rsidR="00324825">
        <w:rPr>
          <w:rFonts w:cs="Times New Roman"/>
          <w:szCs w:val="24"/>
        </w:rPr>
        <w:t>”</w:t>
      </w:r>
      <w:r w:rsidR="00423526">
        <w:rPr>
          <w:rFonts w:cs="Times New Roman"/>
          <w:szCs w:val="24"/>
        </w:rPr>
        <w:t>)</w:t>
      </w:r>
      <w:r w:rsidR="00D22311">
        <w:rPr>
          <w:rFonts w:cs="Times New Roman"/>
          <w:szCs w:val="24"/>
        </w:rPr>
        <w:t xml:space="preserve"> potential</w:t>
      </w:r>
      <w:r w:rsidR="00423526">
        <w:rPr>
          <w:rFonts w:cs="Times New Roman"/>
          <w:szCs w:val="24"/>
        </w:rPr>
        <w:t xml:space="preserve"> </w:t>
      </w:r>
      <w:r>
        <w:rPr>
          <w:rFonts w:cs="Times New Roman"/>
          <w:szCs w:val="24"/>
        </w:rPr>
        <w:t xml:space="preserve">political and charitable spending in </w:t>
      </w:r>
      <w:r w:rsidR="00423526">
        <w:rPr>
          <w:rFonts w:cs="Times New Roman"/>
          <w:szCs w:val="24"/>
        </w:rPr>
        <w:t>support</w:t>
      </w:r>
      <w:r>
        <w:rPr>
          <w:rFonts w:cs="Times New Roman"/>
          <w:szCs w:val="24"/>
        </w:rPr>
        <w:t xml:space="preserve"> of H.B. 6</w:t>
      </w:r>
      <w:r w:rsidR="00423526">
        <w:rPr>
          <w:rFonts w:cs="Times New Roman"/>
          <w:szCs w:val="24"/>
        </w:rPr>
        <w:t>.</w:t>
      </w:r>
      <w:r w:rsidR="00C46911">
        <w:rPr>
          <w:rFonts w:cs="Times New Roman"/>
          <w:szCs w:val="24"/>
        </w:rPr>
        <w:t xml:space="preserve"> </w:t>
      </w:r>
      <w:r>
        <w:rPr>
          <w:rFonts w:cs="Times New Roman"/>
          <w:szCs w:val="24"/>
        </w:rPr>
        <w:t xml:space="preserve">In that case, intervening parties deposed FirstEnergy </w:t>
      </w:r>
      <w:r w:rsidR="00423526">
        <w:rPr>
          <w:rFonts w:cs="Times New Roman"/>
          <w:szCs w:val="24"/>
        </w:rPr>
        <w:t xml:space="preserve">affiant </w:t>
      </w:r>
      <w:r>
        <w:rPr>
          <w:rFonts w:cs="Times New Roman"/>
          <w:szCs w:val="24"/>
        </w:rPr>
        <w:t>Mr. Santino Fanelli even though no evidentiary hearing has been scheduled.</w:t>
      </w:r>
      <w:r>
        <w:rPr>
          <w:rStyle w:val="FootnoteReference"/>
          <w:rFonts w:cs="Times New Roman"/>
          <w:szCs w:val="24"/>
        </w:rPr>
        <w:footnoteReference w:id="11"/>
      </w:r>
      <w:r w:rsidR="00C46911">
        <w:rPr>
          <w:rFonts w:cs="Times New Roman"/>
          <w:szCs w:val="24"/>
        </w:rPr>
        <w:t xml:space="preserve"> </w:t>
      </w:r>
    </w:p>
    <w:p w:rsidR="00D50C20" w:rsidP="00D50C20" w14:paraId="048D41D4" w14:textId="3A8EF9A2">
      <w:pPr>
        <w:autoSpaceDE w:val="0"/>
        <w:autoSpaceDN w:val="0"/>
        <w:adjustRightInd w:val="0"/>
        <w:spacing w:after="0" w:line="480" w:lineRule="auto"/>
        <w:ind w:firstLine="720"/>
        <w:rPr>
          <w:rFonts w:cs="Times New Roman"/>
          <w:szCs w:val="24"/>
        </w:rPr>
      </w:pPr>
      <w:r>
        <w:rPr>
          <w:rFonts w:cs="Times New Roman"/>
          <w:szCs w:val="24"/>
        </w:rPr>
        <w:t>AES/</w:t>
      </w:r>
      <w:r>
        <w:rPr>
          <w:rFonts w:cs="Times New Roman"/>
          <w:szCs w:val="24"/>
        </w:rPr>
        <w:t>DP&amp;L’s argument that the PUCO does not allow depositions in such cases is without merit and contrary to PUCO</w:t>
      </w:r>
      <w:r w:rsidR="00C661B8">
        <w:rPr>
          <w:rFonts w:cs="Times New Roman"/>
          <w:szCs w:val="24"/>
        </w:rPr>
        <w:t xml:space="preserve"> rule and </w:t>
      </w:r>
      <w:r>
        <w:rPr>
          <w:rFonts w:cs="Times New Roman"/>
          <w:szCs w:val="24"/>
        </w:rPr>
        <w:t>precedent.</w:t>
      </w:r>
      <w:r w:rsidR="00C46911">
        <w:rPr>
          <w:rFonts w:cs="Times New Roman"/>
          <w:szCs w:val="24"/>
        </w:rPr>
        <w:t xml:space="preserve"> </w:t>
      </w:r>
      <w:r>
        <w:rPr>
          <w:rFonts w:cs="Times New Roman"/>
          <w:szCs w:val="24"/>
        </w:rPr>
        <w:t>The PUCO should therefore reject this argument.</w:t>
      </w:r>
    </w:p>
    <w:p w:rsidR="004126EC" w:rsidP="00C46911" w14:paraId="2CC8978A" w14:textId="27ED5B3D">
      <w:pPr>
        <w:autoSpaceDE w:val="0"/>
        <w:autoSpaceDN w:val="0"/>
        <w:adjustRightInd w:val="0"/>
        <w:spacing w:after="0" w:line="240" w:lineRule="auto"/>
        <w:ind w:left="1440" w:hanging="720"/>
        <w:rPr>
          <w:rFonts w:cs="Times New Roman"/>
          <w:b/>
          <w:bCs/>
          <w:szCs w:val="24"/>
        </w:rPr>
      </w:pPr>
      <w:r>
        <w:rPr>
          <w:rFonts w:cs="Times New Roman"/>
          <w:b/>
          <w:bCs/>
          <w:szCs w:val="24"/>
        </w:rPr>
        <w:t>B.</w:t>
      </w:r>
      <w:r w:rsidR="00C46911">
        <w:rPr>
          <w:rFonts w:cs="Times New Roman"/>
          <w:b/>
          <w:bCs/>
          <w:szCs w:val="24"/>
        </w:rPr>
        <w:tab/>
      </w:r>
      <w:r>
        <w:rPr>
          <w:rFonts w:cs="Times New Roman"/>
          <w:b/>
          <w:bCs/>
          <w:szCs w:val="24"/>
        </w:rPr>
        <w:t>Intervening parties have a right to depose witnesses in cases where the PUCO has hired an independent auditor and the intervening parties have issue</w:t>
      </w:r>
      <w:r w:rsidR="00E72628">
        <w:rPr>
          <w:rFonts w:cs="Times New Roman"/>
          <w:b/>
          <w:bCs/>
          <w:szCs w:val="24"/>
        </w:rPr>
        <w:t>d</w:t>
      </w:r>
      <w:r>
        <w:rPr>
          <w:rFonts w:cs="Times New Roman"/>
          <w:b/>
          <w:bCs/>
          <w:szCs w:val="24"/>
        </w:rPr>
        <w:t xml:space="preserve"> written discovery requests</w:t>
      </w:r>
      <w:r w:rsidR="00B457A2">
        <w:rPr>
          <w:rFonts w:cs="Times New Roman"/>
          <w:b/>
          <w:bCs/>
          <w:szCs w:val="24"/>
        </w:rPr>
        <w:t>.</w:t>
      </w:r>
    </w:p>
    <w:p w:rsidR="004126EC" w:rsidP="004126EC" w14:paraId="2B09F8A0" w14:textId="3893E9A4">
      <w:pPr>
        <w:autoSpaceDE w:val="0"/>
        <w:autoSpaceDN w:val="0"/>
        <w:adjustRightInd w:val="0"/>
        <w:spacing w:after="0" w:line="240" w:lineRule="auto"/>
        <w:ind w:left="1080" w:hanging="360"/>
        <w:rPr>
          <w:rFonts w:cs="Times New Roman"/>
          <w:b/>
          <w:bCs/>
          <w:szCs w:val="24"/>
        </w:rPr>
      </w:pPr>
    </w:p>
    <w:p w:rsidR="004126EC" w:rsidP="004126EC" w14:paraId="1D77186A" w14:textId="6B4B671F">
      <w:pPr>
        <w:autoSpaceDE w:val="0"/>
        <w:autoSpaceDN w:val="0"/>
        <w:adjustRightInd w:val="0"/>
        <w:spacing w:after="0" w:line="480" w:lineRule="auto"/>
        <w:ind w:firstLine="720"/>
        <w:rPr>
          <w:rFonts w:cs="Times New Roman"/>
          <w:szCs w:val="24"/>
        </w:rPr>
      </w:pPr>
      <w:r>
        <w:rPr>
          <w:rFonts w:cs="Times New Roman"/>
          <w:szCs w:val="24"/>
        </w:rPr>
        <w:t>AES/</w:t>
      </w:r>
      <w:r>
        <w:rPr>
          <w:rFonts w:cs="Times New Roman"/>
          <w:szCs w:val="24"/>
        </w:rPr>
        <w:t>DP&amp;L next argues that intervening parties are not entitled to take depositions in cases where the PUCO has hired an independent auditor and the intervening parties have issued written discovery requests.</w:t>
      </w:r>
      <w:r w:rsidR="00C46911">
        <w:rPr>
          <w:rFonts w:cs="Times New Roman"/>
          <w:szCs w:val="24"/>
        </w:rPr>
        <w:t xml:space="preserve"> </w:t>
      </w:r>
      <w:r>
        <w:rPr>
          <w:rFonts w:cs="Times New Roman"/>
          <w:szCs w:val="24"/>
        </w:rPr>
        <w:t xml:space="preserve">Once again, </w:t>
      </w:r>
      <w:r>
        <w:rPr>
          <w:rFonts w:cs="Times New Roman"/>
          <w:szCs w:val="24"/>
        </w:rPr>
        <w:t>AES/</w:t>
      </w:r>
      <w:r>
        <w:rPr>
          <w:rFonts w:cs="Times New Roman"/>
          <w:szCs w:val="24"/>
        </w:rPr>
        <w:t>DP&amp;L cites no cases to support this novel proposition</w:t>
      </w:r>
      <w:r w:rsidR="00E72628">
        <w:rPr>
          <w:rFonts w:cs="Times New Roman"/>
          <w:szCs w:val="24"/>
        </w:rPr>
        <w:t>, which</w:t>
      </w:r>
      <w:r>
        <w:rPr>
          <w:rFonts w:cs="Times New Roman"/>
          <w:szCs w:val="24"/>
        </w:rPr>
        <w:t xml:space="preserve"> </w:t>
      </w:r>
      <w:r w:rsidR="00423526">
        <w:rPr>
          <w:rFonts w:cs="Times New Roman"/>
          <w:szCs w:val="24"/>
        </w:rPr>
        <w:t xml:space="preserve">is </w:t>
      </w:r>
      <w:r>
        <w:rPr>
          <w:rFonts w:cs="Times New Roman"/>
          <w:szCs w:val="24"/>
        </w:rPr>
        <w:t xml:space="preserve">contrary to established PUCO </w:t>
      </w:r>
      <w:r w:rsidR="00C661B8">
        <w:rPr>
          <w:rFonts w:cs="Times New Roman"/>
          <w:szCs w:val="24"/>
        </w:rPr>
        <w:t xml:space="preserve">rule and </w:t>
      </w:r>
      <w:r>
        <w:rPr>
          <w:rFonts w:cs="Times New Roman"/>
          <w:szCs w:val="24"/>
        </w:rPr>
        <w:t>precedent.</w:t>
      </w:r>
    </w:p>
    <w:p w:rsidR="004126EC" w:rsidP="004126EC" w14:paraId="1E6AF67C" w14:textId="3D3E6BEB">
      <w:pPr>
        <w:autoSpaceDE w:val="0"/>
        <w:autoSpaceDN w:val="0"/>
        <w:adjustRightInd w:val="0"/>
        <w:spacing w:after="0" w:line="480" w:lineRule="auto"/>
        <w:ind w:firstLine="720"/>
        <w:rPr>
          <w:rFonts w:cs="Times New Roman"/>
          <w:szCs w:val="24"/>
        </w:rPr>
      </w:pPr>
      <w:r>
        <w:rPr>
          <w:rFonts w:cs="Times New Roman"/>
          <w:szCs w:val="24"/>
        </w:rPr>
        <w:t xml:space="preserve">An example is the pending Duke OVEC </w:t>
      </w:r>
      <w:r w:rsidR="00423526">
        <w:rPr>
          <w:rFonts w:cs="Times New Roman"/>
          <w:szCs w:val="24"/>
        </w:rPr>
        <w:t>Audit C</w:t>
      </w:r>
      <w:r>
        <w:rPr>
          <w:rFonts w:cs="Times New Roman"/>
          <w:szCs w:val="24"/>
        </w:rPr>
        <w:t>ase.</w:t>
      </w:r>
      <w:r w:rsidR="00C46911">
        <w:rPr>
          <w:rFonts w:cs="Times New Roman"/>
          <w:szCs w:val="24"/>
        </w:rPr>
        <w:t xml:space="preserve"> </w:t>
      </w:r>
      <w:r>
        <w:rPr>
          <w:rFonts w:cs="Times New Roman"/>
          <w:szCs w:val="24"/>
        </w:rPr>
        <w:t>In that case, the PUCO hired an independent auditor to examine the Duke OVEC charges.</w:t>
      </w:r>
      <w:r w:rsidR="00C46911">
        <w:rPr>
          <w:rFonts w:cs="Times New Roman"/>
          <w:szCs w:val="24"/>
        </w:rPr>
        <w:t xml:space="preserve"> </w:t>
      </w:r>
      <w:r>
        <w:rPr>
          <w:rFonts w:cs="Times New Roman"/>
          <w:szCs w:val="24"/>
        </w:rPr>
        <w:t>OCC</w:t>
      </w:r>
      <w:r w:rsidR="00E72628">
        <w:rPr>
          <w:rFonts w:cs="Times New Roman"/>
          <w:szCs w:val="24"/>
        </w:rPr>
        <w:t xml:space="preserve"> and</w:t>
      </w:r>
      <w:r w:rsidR="00A943F7">
        <w:rPr>
          <w:rFonts w:cs="Times New Roman"/>
          <w:szCs w:val="24"/>
        </w:rPr>
        <w:t xml:space="preserve"> </w:t>
      </w:r>
      <w:r>
        <w:rPr>
          <w:rFonts w:cs="Times New Roman"/>
          <w:szCs w:val="24"/>
        </w:rPr>
        <w:t>OMAEG intervened in that case and issued written discovery requests.</w:t>
      </w:r>
      <w:r w:rsidR="00C46911">
        <w:rPr>
          <w:rFonts w:cs="Times New Roman"/>
          <w:szCs w:val="24"/>
        </w:rPr>
        <w:t xml:space="preserve"> </w:t>
      </w:r>
      <w:r w:rsidR="00423526">
        <w:rPr>
          <w:rFonts w:cs="Times New Roman"/>
          <w:szCs w:val="24"/>
        </w:rPr>
        <w:t xml:space="preserve">Subsequently, </w:t>
      </w:r>
      <w:r>
        <w:rPr>
          <w:rFonts w:cs="Times New Roman"/>
          <w:szCs w:val="24"/>
        </w:rPr>
        <w:t>OCC</w:t>
      </w:r>
      <w:r w:rsidR="00E72628">
        <w:rPr>
          <w:rFonts w:cs="Times New Roman"/>
          <w:szCs w:val="24"/>
        </w:rPr>
        <w:t xml:space="preserve"> and </w:t>
      </w:r>
      <w:r>
        <w:rPr>
          <w:rFonts w:cs="Times New Roman"/>
          <w:szCs w:val="24"/>
        </w:rPr>
        <w:t>OMAEG also took the deposition of John Swez, a Duke witness</w:t>
      </w:r>
      <w:r w:rsidR="004261A7">
        <w:rPr>
          <w:rFonts w:cs="Times New Roman"/>
          <w:szCs w:val="24"/>
        </w:rPr>
        <w:t>, and Duke voluntarily submitted to the deposition</w:t>
      </w:r>
      <w:r>
        <w:rPr>
          <w:rFonts w:cs="Times New Roman"/>
          <w:szCs w:val="24"/>
        </w:rPr>
        <w:t>.</w:t>
      </w:r>
      <w:r>
        <w:rPr>
          <w:rStyle w:val="FootnoteReference"/>
          <w:rFonts w:cs="Times New Roman"/>
          <w:szCs w:val="24"/>
        </w:rPr>
        <w:footnoteReference w:id="12"/>
      </w:r>
      <w:r w:rsidR="00C46911">
        <w:rPr>
          <w:rFonts w:cs="Times New Roman"/>
          <w:szCs w:val="24"/>
        </w:rPr>
        <w:t xml:space="preserve"> </w:t>
      </w:r>
      <w:r>
        <w:rPr>
          <w:rFonts w:cs="Times New Roman"/>
          <w:szCs w:val="24"/>
        </w:rPr>
        <w:t>In fact, OCC</w:t>
      </w:r>
      <w:r w:rsidR="00E72628">
        <w:rPr>
          <w:rFonts w:cs="Times New Roman"/>
          <w:szCs w:val="24"/>
        </w:rPr>
        <w:t xml:space="preserve"> and</w:t>
      </w:r>
      <w:r w:rsidR="00A943F7">
        <w:rPr>
          <w:rFonts w:cs="Times New Roman"/>
          <w:szCs w:val="24"/>
        </w:rPr>
        <w:t xml:space="preserve"> </w:t>
      </w:r>
      <w:r>
        <w:rPr>
          <w:rFonts w:cs="Times New Roman"/>
          <w:szCs w:val="24"/>
        </w:rPr>
        <w:t>OMAEG discussed Mr. Swez’s deposition at page 5 of their Memorandum in Support of Motion to Compel.</w:t>
      </w:r>
      <w:r w:rsidR="00C46911">
        <w:rPr>
          <w:rFonts w:cs="Times New Roman"/>
          <w:szCs w:val="24"/>
        </w:rPr>
        <w:t xml:space="preserve"> </w:t>
      </w:r>
    </w:p>
    <w:p w:rsidR="004126EC" w:rsidP="004126EC" w14:paraId="63B66B66" w14:textId="47855C51">
      <w:pPr>
        <w:autoSpaceDE w:val="0"/>
        <w:autoSpaceDN w:val="0"/>
        <w:adjustRightInd w:val="0"/>
        <w:spacing w:after="0" w:line="480" w:lineRule="auto"/>
        <w:ind w:firstLine="720"/>
        <w:rPr>
          <w:rFonts w:cs="Times New Roman"/>
          <w:szCs w:val="24"/>
        </w:rPr>
      </w:pPr>
      <w:r>
        <w:rPr>
          <w:rFonts w:cs="Times New Roman"/>
          <w:szCs w:val="24"/>
        </w:rPr>
        <w:t>AES/</w:t>
      </w:r>
      <w:r>
        <w:rPr>
          <w:rFonts w:cs="Times New Roman"/>
          <w:szCs w:val="24"/>
        </w:rPr>
        <w:t>DP&amp;L’s argument that the PUCO does not allow depositions in cases where an independent auditor has been hired</w:t>
      </w:r>
      <w:r w:rsidR="00F11108">
        <w:rPr>
          <w:rFonts w:cs="Times New Roman"/>
          <w:szCs w:val="24"/>
        </w:rPr>
        <w:t xml:space="preserve"> and written discovery has been issued</w:t>
      </w:r>
      <w:r>
        <w:rPr>
          <w:rFonts w:cs="Times New Roman"/>
          <w:szCs w:val="24"/>
        </w:rPr>
        <w:t xml:space="preserve"> is baseless and contrary to </w:t>
      </w:r>
      <w:r w:rsidR="00C661B8">
        <w:rPr>
          <w:rFonts w:cs="Times New Roman"/>
          <w:szCs w:val="24"/>
        </w:rPr>
        <w:t xml:space="preserve">PUCO rule and </w:t>
      </w:r>
      <w:r>
        <w:rPr>
          <w:rFonts w:cs="Times New Roman"/>
          <w:szCs w:val="24"/>
        </w:rPr>
        <w:t>precedent.</w:t>
      </w:r>
      <w:r w:rsidR="00C46911">
        <w:rPr>
          <w:rFonts w:cs="Times New Roman"/>
          <w:szCs w:val="24"/>
        </w:rPr>
        <w:t xml:space="preserve"> </w:t>
      </w:r>
      <w:r>
        <w:rPr>
          <w:rFonts w:cs="Times New Roman"/>
          <w:szCs w:val="24"/>
        </w:rPr>
        <w:t>The PUCO should therefore reject this argument.</w:t>
      </w:r>
    </w:p>
    <w:p w:rsidR="004126EC" w:rsidP="00C46911" w14:paraId="0C173549" w14:textId="57D1FEFD">
      <w:pPr>
        <w:autoSpaceDE w:val="0"/>
        <w:autoSpaceDN w:val="0"/>
        <w:adjustRightInd w:val="0"/>
        <w:spacing w:after="0" w:line="240" w:lineRule="auto"/>
        <w:ind w:left="1440" w:hanging="720"/>
        <w:rPr>
          <w:rFonts w:cs="Times New Roman"/>
          <w:b/>
          <w:bCs/>
          <w:szCs w:val="24"/>
        </w:rPr>
      </w:pPr>
      <w:r>
        <w:rPr>
          <w:rFonts w:cs="Times New Roman"/>
          <w:b/>
          <w:bCs/>
          <w:szCs w:val="24"/>
        </w:rPr>
        <w:t>C.</w:t>
      </w:r>
      <w:r w:rsidR="00C46911">
        <w:rPr>
          <w:rFonts w:cs="Times New Roman"/>
          <w:b/>
          <w:bCs/>
          <w:szCs w:val="24"/>
        </w:rPr>
        <w:tab/>
      </w:r>
      <w:r>
        <w:rPr>
          <w:rFonts w:cs="Times New Roman"/>
          <w:b/>
          <w:bCs/>
          <w:szCs w:val="24"/>
        </w:rPr>
        <w:t>Seeking to depose a company witness is a lawful exercise of intervening parties’ discovery rights and does not amount to unlawful harassment</w:t>
      </w:r>
      <w:r w:rsidR="00B457A2">
        <w:rPr>
          <w:rFonts w:cs="Times New Roman"/>
          <w:b/>
          <w:bCs/>
          <w:szCs w:val="24"/>
        </w:rPr>
        <w:t>.</w:t>
      </w:r>
    </w:p>
    <w:p w:rsidR="00C9753E" w:rsidP="00C9753E" w14:paraId="1E3BB6B3" w14:textId="77777777">
      <w:pPr>
        <w:autoSpaceDE w:val="0"/>
        <w:autoSpaceDN w:val="0"/>
        <w:adjustRightInd w:val="0"/>
        <w:spacing w:after="0" w:line="240" w:lineRule="auto"/>
        <w:ind w:firstLine="720"/>
        <w:rPr>
          <w:rFonts w:cs="Times New Roman"/>
          <w:szCs w:val="24"/>
        </w:rPr>
      </w:pPr>
    </w:p>
    <w:p w:rsidR="004126EC" w:rsidP="00C9753E" w14:paraId="38710AC1" w14:textId="4A43AFEB">
      <w:pPr>
        <w:autoSpaceDE w:val="0"/>
        <w:autoSpaceDN w:val="0"/>
        <w:adjustRightInd w:val="0"/>
        <w:spacing w:after="0" w:line="480" w:lineRule="auto"/>
        <w:ind w:firstLine="720"/>
        <w:rPr>
          <w:rFonts w:cs="Times New Roman"/>
          <w:szCs w:val="24"/>
        </w:rPr>
      </w:pPr>
      <w:r>
        <w:rPr>
          <w:rFonts w:cs="Times New Roman"/>
          <w:szCs w:val="24"/>
        </w:rPr>
        <w:t xml:space="preserve">Finally, </w:t>
      </w:r>
      <w:r w:rsidR="00B46ECD">
        <w:rPr>
          <w:rFonts w:cs="Times New Roman"/>
          <w:szCs w:val="24"/>
        </w:rPr>
        <w:t>AES/</w:t>
      </w:r>
      <w:r>
        <w:rPr>
          <w:rFonts w:cs="Times New Roman"/>
          <w:szCs w:val="24"/>
        </w:rPr>
        <w:t>DP&amp;L argues that OCC</w:t>
      </w:r>
      <w:r w:rsidR="00423526">
        <w:rPr>
          <w:rFonts w:cs="Times New Roman"/>
          <w:szCs w:val="24"/>
        </w:rPr>
        <w:t xml:space="preserve"> and </w:t>
      </w:r>
      <w:r>
        <w:rPr>
          <w:rFonts w:cs="Times New Roman"/>
          <w:szCs w:val="24"/>
        </w:rPr>
        <w:t>OMAEG are engaging in unlawful harassment by seeking to depose a</w:t>
      </w:r>
      <w:r w:rsidR="00B46ECD">
        <w:rPr>
          <w:rFonts w:cs="Times New Roman"/>
          <w:szCs w:val="24"/>
        </w:rPr>
        <w:t>n</w:t>
      </w:r>
      <w:r>
        <w:rPr>
          <w:rFonts w:cs="Times New Roman"/>
          <w:szCs w:val="24"/>
        </w:rPr>
        <w:t xml:space="preserve"> </w:t>
      </w:r>
      <w:r w:rsidR="00B46ECD">
        <w:rPr>
          <w:rFonts w:cs="Times New Roman"/>
          <w:szCs w:val="24"/>
        </w:rPr>
        <w:t>AES/</w:t>
      </w:r>
      <w:r>
        <w:rPr>
          <w:rFonts w:cs="Times New Roman"/>
          <w:szCs w:val="24"/>
        </w:rPr>
        <w:t>DP&amp;L witness.</w:t>
      </w:r>
      <w:r w:rsidR="00C46911">
        <w:rPr>
          <w:rFonts w:cs="Times New Roman"/>
          <w:szCs w:val="24"/>
        </w:rPr>
        <w:t xml:space="preserve"> </w:t>
      </w:r>
      <w:r>
        <w:rPr>
          <w:rFonts w:cs="Times New Roman"/>
          <w:szCs w:val="24"/>
        </w:rPr>
        <w:t>Once again,</w:t>
      </w:r>
      <w:r w:rsidR="00B46ECD">
        <w:rPr>
          <w:rFonts w:cs="Times New Roman"/>
          <w:szCs w:val="24"/>
        </w:rPr>
        <w:t xml:space="preserve"> AES/</w:t>
      </w:r>
      <w:r>
        <w:rPr>
          <w:rFonts w:cs="Times New Roman"/>
          <w:szCs w:val="24"/>
        </w:rPr>
        <w:t xml:space="preserve">DP&amp;L cites no cases to support this astounding proposition and </w:t>
      </w:r>
      <w:r w:rsidR="00B46ECD">
        <w:rPr>
          <w:rFonts w:cs="Times New Roman"/>
          <w:szCs w:val="24"/>
        </w:rPr>
        <w:t>AES/</w:t>
      </w:r>
      <w:r>
        <w:rPr>
          <w:rFonts w:cs="Times New Roman"/>
          <w:szCs w:val="24"/>
        </w:rPr>
        <w:t>DP&amp;L’s argument is contrary to established PUCO precedent.</w:t>
      </w:r>
    </w:p>
    <w:p w:rsidR="00C9753E" w:rsidP="00C9753E" w14:paraId="7EEBAC79" w14:textId="1B5091C5">
      <w:pPr>
        <w:spacing w:after="0" w:line="480" w:lineRule="auto"/>
        <w:ind w:firstLine="720"/>
        <w:rPr>
          <w:rFonts w:cs="Times New Roman"/>
          <w:szCs w:val="24"/>
        </w:rPr>
      </w:pPr>
      <w:r>
        <w:rPr>
          <w:rFonts w:cs="Times New Roman"/>
          <w:szCs w:val="24"/>
        </w:rPr>
        <w:t>As OCC</w:t>
      </w:r>
      <w:r w:rsidR="00A943F7">
        <w:rPr>
          <w:rFonts w:cs="Times New Roman"/>
          <w:szCs w:val="24"/>
        </w:rPr>
        <w:t xml:space="preserve"> and </w:t>
      </w:r>
      <w:r>
        <w:rPr>
          <w:rFonts w:cs="Times New Roman"/>
          <w:szCs w:val="24"/>
        </w:rPr>
        <w:t>OMAEG noted in their Motion to Compel, d</w:t>
      </w:r>
      <w:r w:rsidRPr="001A21F1">
        <w:rPr>
          <w:rFonts w:cs="Times New Roman"/>
          <w:szCs w:val="24"/>
        </w:rPr>
        <w:t xml:space="preserve">epositions are often </w:t>
      </w:r>
      <w:r>
        <w:rPr>
          <w:rFonts w:cs="Times New Roman"/>
          <w:szCs w:val="24"/>
        </w:rPr>
        <w:t>an important method for attorneys to obtain information.</w:t>
      </w:r>
      <w:r w:rsidR="00C46911">
        <w:rPr>
          <w:rFonts w:cs="Times New Roman"/>
          <w:szCs w:val="24"/>
        </w:rPr>
        <w:t xml:space="preserve"> </w:t>
      </w:r>
      <w:r w:rsidRPr="001A21F1">
        <w:rPr>
          <w:rFonts w:cs="Times New Roman"/>
          <w:szCs w:val="24"/>
        </w:rPr>
        <w:t xml:space="preserve">They allow </w:t>
      </w:r>
      <w:r>
        <w:rPr>
          <w:rFonts w:cs="Times New Roman"/>
          <w:szCs w:val="24"/>
        </w:rPr>
        <w:t xml:space="preserve">for </w:t>
      </w:r>
      <w:r w:rsidRPr="001A21F1">
        <w:rPr>
          <w:rFonts w:cs="Times New Roman"/>
          <w:szCs w:val="24"/>
        </w:rPr>
        <w:t xml:space="preserve">more </w:t>
      </w:r>
      <w:r>
        <w:rPr>
          <w:rFonts w:cs="Times New Roman"/>
          <w:szCs w:val="24"/>
        </w:rPr>
        <w:t xml:space="preserve">thorough and probing examination </w:t>
      </w:r>
      <w:r w:rsidRPr="001A21F1">
        <w:rPr>
          <w:rFonts w:cs="Times New Roman"/>
          <w:szCs w:val="24"/>
        </w:rPr>
        <w:t>as compared to written discovery.</w:t>
      </w:r>
      <w:r w:rsidR="00C46911">
        <w:rPr>
          <w:rFonts w:cs="Times New Roman"/>
          <w:szCs w:val="24"/>
        </w:rPr>
        <w:t xml:space="preserve"> </w:t>
      </w:r>
      <w:r w:rsidRPr="001A21F1">
        <w:rPr>
          <w:rFonts w:cs="Times New Roman"/>
          <w:szCs w:val="24"/>
        </w:rPr>
        <w:t>Depositions, most importantly, allow for instantaneous follow-up to questions that are posed.</w:t>
      </w:r>
      <w:r w:rsidR="00C46911">
        <w:rPr>
          <w:rFonts w:cs="Times New Roman"/>
          <w:szCs w:val="24"/>
        </w:rPr>
        <w:t xml:space="preserve"> </w:t>
      </w:r>
      <w:r w:rsidRPr="001A21F1">
        <w:rPr>
          <w:rFonts w:cs="Times New Roman"/>
          <w:szCs w:val="24"/>
        </w:rPr>
        <w:t>Depositions allow attorneys to press for more information if answers are not detailed or forthcoming.</w:t>
      </w:r>
      <w:r w:rsidR="00C46911">
        <w:rPr>
          <w:rFonts w:cs="Times New Roman"/>
          <w:szCs w:val="24"/>
        </w:rPr>
        <w:t xml:space="preserve"> </w:t>
      </w:r>
      <w:r w:rsidRPr="001A21F1">
        <w:rPr>
          <w:rFonts w:cs="Times New Roman"/>
          <w:szCs w:val="24"/>
        </w:rPr>
        <w:t xml:space="preserve">In reality, these well-known fundamentals of the deposition as a discovery tool explain why </w:t>
      </w:r>
      <w:r w:rsidR="00B46ECD">
        <w:rPr>
          <w:rFonts w:cs="Times New Roman"/>
          <w:szCs w:val="24"/>
        </w:rPr>
        <w:t>AES/</w:t>
      </w:r>
      <w:r>
        <w:rPr>
          <w:rFonts w:cs="Times New Roman"/>
          <w:szCs w:val="24"/>
        </w:rPr>
        <w:t>DP&amp;L</w:t>
      </w:r>
      <w:r w:rsidRPr="001A21F1">
        <w:rPr>
          <w:rFonts w:cs="Times New Roman"/>
          <w:szCs w:val="24"/>
        </w:rPr>
        <w:t xml:space="preserve"> wants the PUCO to prevent </w:t>
      </w:r>
      <w:r>
        <w:rPr>
          <w:rFonts w:cs="Times New Roman"/>
          <w:szCs w:val="24"/>
        </w:rPr>
        <w:t>the intervenors</w:t>
      </w:r>
      <w:r w:rsidRPr="001A21F1">
        <w:rPr>
          <w:rFonts w:cs="Times New Roman"/>
          <w:szCs w:val="24"/>
        </w:rPr>
        <w:t xml:space="preserve"> from taking depositions.</w:t>
      </w:r>
    </w:p>
    <w:p w:rsidR="006D3212" w:rsidP="00754612" w14:paraId="4480B37A" w14:textId="66105317">
      <w:pPr>
        <w:spacing w:after="0" w:line="480" w:lineRule="auto"/>
        <w:ind w:firstLine="720"/>
      </w:pPr>
      <w:r>
        <w:t xml:space="preserve">When OCC submitted written discovery requests on these issues, </w:t>
      </w:r>
      <w:r w:rsidR="00B46ECD">
        <w:t>AES/</w:t>
      </w:r>
      <w:r>
        <w:t>DP&amp;L stated that OCC should have used depositions to investigate complex issues, as shown below:</w:t>
      </w:r>
    </w:p>
    <w:p w:rsidR="006D3212" w:rsidP="006D3212" w14:paraId="18723B5F" w14:textId="77777777">
      <w:pPr>
        <w:pStyle w:val="Default"/>
        <w:ind w:left="1440" w:right="1440"/>
      </w:pPr>
      <w:r w:rsidRPr="00843F8F">
        <w:t xml:space="preserve">DP&amp;L objects to each and every interrogatory that can be answered more efficiently by the production of documents </w:t>
      </w:r>
      <w:r w:rsidRPr="000A4C89">
        <w:t>or</w:t>
      </w:r>
      <w:r w:rsidRPr="000A4C89">
        <w:rPr>
          <w:b/>
        </w:rPr>
        <w:t xml:space="preserve"> by</w:t>
      </w:r>
      <w:r w:rsidRPr="000A4C89">
        <w:t xml:space="preserve"> </w:t>
      </w:r>
      <w:r w:rsidRPr="00E10FA6">
        <w:rPr>
          <w:b/>
        </w:rPr>
        <w:t>the taking of depositions</w:t>
      </w:r>
      <w:r w:rsidRPr="00843F8F">
        <w:t xml:space="preserve">. Under the comparable Ohio Civil Rules, "[a]n interrogatory seeks an admission, or it seeks information of major significance in the trial or in the preparation for trial. It does not contemplate an array of details or outlines of evidence, a function reserved by rules for depositions." Penn Cent. Transp. Co. v. Armco Steel Corp., 27 Ohio Misc. 76, 77, 272 N.E.2d 877, 878 (Montgomery Cty. 1971). As Penn further noted, interrogatories that ask one to "describe in detail," "state in detail," or "describe in particulars" are "open end invitation[s] without limit on its comprehensive nature with no guide for the court to determine if the voluminous response is what the party sought in the first place." Id., 272 N.E.2d at 878. </w:t>
      </w:r>
      <w:r>
        <w:rPr>
          <w:rStyle w:val="FootnoteReference"/>
        </w:rPr>
        <w:footnoteReference w:id="13"/>
      </w:r>
    </w:p>
    <w:p w:rsidR="00B46ECD" w:rsidP="00B457A2" w14:paraId="5991AC85" w14:textId="77777777">
      <w:pPr>
        <w:pStyle w:val="Default"/>
      </w:pPr>
    </w:p>
    <w:p w:rsidR="006D3212" w:rsidP="006D3212" w14:paraId="7F47A67E" w14:textId="0DBCDD05">
      <w:pPr>
        <w:pStyle w:val="Default"/>
        <w:spacing w:line="480" w:lineRule="auto"/>
      </w:pPr>
      <w:r>
        <w:tab/>
        <w:t>Now that OCC</w:t>
      </w:r>
      <w:r w:rsidR="00A943F7">
        <w:t xml:space="preserve"> and </w:t>
      </w:r>
      <w:r>
        <w:t xml:space="preserve">OMAEG seek a deposition, </w:t>
      </w:r>
      <w:r w:rsidR="00B46ECD">
        <w:t>AES/</w:t>
      </w:r>
      <w:r>
        <w:t xml:space="preserve">DP&amp;L whipsaws the parties by arguing that a deposition would amount to </w:t>
      </w:r>
      <w:r w:rsidR="0078103F">
        <w:t xml:space="preserve">unlawful </w:t>
      </w:r>
      <w:r>
        <w:t xml:space="preserve">harassment </w:t>
      </w:r>
      <w:r w:rsidR="0078103F">
        <w:t xml:space="preserve">(even though </w:t>
      </w:r>
      <w:r w:rsidR="00B46ECD">
        <w:t>AES/</w:t>
      </w:r>
      <w:r w:rsidR="0078103F">
        <w:t>DP&amp;L suggested that OCC/OMAEG should take in lieu of written discovery).</w:t>
      </w:r>
      <w:r w:rsidR="00C46911">
        <w:t xml:space="preserve"> </w:t>
      </w:r>
      <w:r>
        <w:t xml:space="preserve">By objecting to a party’s written discovery and now objecting to parties’ attempt to take a deposition, </w:t>
      </w:r>
      <w:r w:rsidR="00B46ECD">
        <w:t>AES/</w:t>
      </w:r>
      <w:r>
        <w:t>DP&amp;L would leave no method of discovery available to parties</w:t>
      </w:r>
      <w:r w:rsidR="00C661B8">
        <w:t>, contrary to Ohio law and PUCO rules</w:t>
      </w:r>
      <w:r>
        <w:t>.</w:t>
      </w:r>
      <w:r w:rsidR="00C46911">
        <w:t xml:space="preserve"> </w:t>
      </w:r>
      <w:r w:rsidR="00423526">
        <w:t xml:space="preserve">Accepting </w:t>
      </w:r>
      <w:r w:rsidR="00B46ECD">
        <w:t>AES/</w:t>
      </w:r>
      <w:r w:rsidR="00A943F7">
        <w:t>DP&amp;</w:t>
      </w:r>
      <w:r w:rsidR="00D22311">
        <w:t>L’s refusal</w:t>
      </w:r>
      <w:r w:rsidR="00423526">
        <w:t xml:space="preserve"> to provide discovery</w:t>
      </w:r>
      <w:r w:rsidR="00C46911">
        <w:t xml:space="preserve"> </w:t>
      </w:r>
      <w:r>
        <w:t xml:space="preserve">would not </w:t>
      </w:r>
      <w:r w:rsidR="00423526">
        <w:t>afford</w:t>
      </w:r>
      <w:r>
        <w:t xml:space="preserve"> OCC</w:t>
      </w:r>
      <w:r w:rsidR="00A943F7">
        <w:t xml:space="preserve"> and </w:t>
      </w:r>
      <w:r>
        <w:t>OMAEG the</w:t>
      </w:r>
      <w:r w:rsidR="00423526">
        <w:t>ir</w:t>
      </w:r>
      <w:r>
        <w:t xml:space="preserve"> ample rights </w:t>
      </w:r>
      <w:r w:rsidR="00423526">
        <w:t xml:space="preserve">to </w:t>
      </w:r>
      <w:r>
        <w:t>discovery to which they are entitled by law</w:t>
      </w:r>
      <w:r w:rsidR="00C661B8">
        <w:t xml:space="preserve"> and rules</w:t>
      </w:r>
      <w:r>
        <w:t>.</w:t>
      </w:r>
      <w:r w:rsidR="00C46911">
        <w:t xml:space="preserve"> </w:t>
      </w:r>
      <w:r>
        <w:t xml:space="preserve">The PUCO should therefore reject </w:t>
      </w:r>
      <w:r w:rsidR="00B46ECD">
        <w:t>AES/</w:t>
      </w:r>
      <w:r w:rsidR="00A943F7">
        <w:t xml:space="preserve">DP&amp;L’s </w:t>
      </w:r>
      <w:r>
        <w:t>argument and allow the deposition to procee</w:t>
      </w:r>
      <w:r w:rsidR="00423526">
        <w:t xml:space="preserve">d. </w:t>
      </w:r>
    </w:p>
    <w:p w:rsidR="00C46911" w:rsidP="00C46911" w14:paraId="439710BC" w14:textId="77777777">
      <w:pPr>
        <w:pStyle w:val="Default"/>
      </w:pPr>
    </w:p>
    <w:p w:rsidR="006D3212" w:rsidP="006D3212" w14:paraId="0564D8F5" w14:textId="6A7744F3">
      <w:pPr>
        <w:pStyle w:val="Default"/>
        <w:numPr>
          <w:ilvl w:val="0"/>
          <w:numId w:val="12"/>
        </w:numPr>
        <w:spacing w:line="480" w:lineRule="auto"/>
        <w:ind w:left="0" w:firstLine="0"/>
        <w:rPr>
          <w:b/>
          <w:bCs w:val="0"/>
        </w:rPr>
      </w:pPr>
      <w:r>
        <w:rPr>
          <w:b/>
          <w:bCs w:val="0"/>
        </w:rPr>
        <w:t>CONCLUSION</w:t>
      </w:r>
    </w:p>
    <w:p w:rsidR="006D3212" w:rsidRPr="006D3212" w:rsidP="006D3212" w14:paraId="7C9D0B72" w14:textId="56C6224D">
      <w:pPr>
        <w:pStyle w:val="Default"/>
        <w:spacing w:line="480" w:lineRule="auto"/>
        <w:ind w:firstLine="720"/>
      </w:pPr>
      <w:r>
        <w:t>For the reasons discussed above, the PUCO should grant OCC</w:t>
      </w:r>
      <w:r w:rsidR="00A943F7">
        <w:t xml:space="preserve"> and </w:t>
      </w:r>
      <w:r>
        <w:t xml:space="preserve">OMAEG’s Motion to Compel and require </w:t>
      </w:r>
      <w:r w:rsidR="00B46ECD">
        <w:t>AES/</w:t>
      </w:r>
      <w:r>
        <w:t>DP&amp;L to produce a witness for deposition.</w:t>
      </w:r>
    </w:p>
    <w:p w:rsidR="00913FB0" w:rsidRPr="001A21F1" w:rsidP="00CD5990" w14:paraId="7789C6C2" w14:textId="77777777">
      <w:pPr>
        <w:pStyle w:val="Footer"/>
        <w:tabs>
          <w:tab w:val="left" w:pos="4320"/>
        </w:tabs>
        <w:ind w:left="4320"/>
        <w:rPr>
          <w:rFonts w:cs="Times New Roman"/>
          <w:szCs w:val="24"/>
        </w:rPr>
      </w:pPr>
    </w:p>
    <w:p w:rsidR="00CD5990" w:rsidRPr="001A21F1" w:rsidP="004260EA" w14:paraId="5A035267" w14:textId="05004CAA">
      <w:pPr>
        <w:pStyle w:val="Footer"/>
        <w:ind w:left="3600"/>
        <w:rPr>
          <w:rFonts w:cs="Times New Roman"/>
          <w:szCs w:val="24"/>
        </w:rPr>
      </w:pPr>
      <w:r w:rsidRPr="001A21F1">
        <w:rPr>
          <w:rFonts w:cs="Times New Roman"/>
          <w:szCs w:val="24"/>
        </w:rPr>
        <w:t>Bruce Weston (0016973)</w:t>
      </w:r>
    </w:p>
    <w:p w:rsidR="00CD5990" w:rsidRPr="001A21F1" w:rsidP="004260EA" w14:paraId="4C7D17C1" w14:textId="77777777">
      <w:pPr>
        <w:pStyle w:val="ListParagraph"/>
        <w:spacing w:after="0" w:line="240" w:lineRule="auto"/>
        <w:ind w:left="3600"/>
        <w:rPr>
          <w:rFonts w:ascii="Times New Roman" w:hAnsi="Times New Roman" w:cs="Times New Roman"/>
          <w:sz w:val="24"/>
          <w:szCs w:val="24"/>
        </w:rPr>
      </w:pPr>
      <w:r w:rsidRPr="001A21F1">
        <w:rPr>
          <w:rFonts w:ascii="Times New Roman" w:hAnsi="Times New Roman" w:cs="Times New Roman"/>
          <w:sz w:val="24"/>
          <w:szCs w:val="24"/>
        </w:rPr>
        <w:t>Ohio Consumers’ Counsel</w:t>
      </w:r>
    </w:p>
    <w:p w:rsidR="00CD5990" w:rsidRPr="001A21F1" w:rsidP="00CD5990" w14:paraId="760514E3" w14:textId="77777777">
      <w:pPr>
        <w:pStyle w:val="ListParagraph"/>
        <w:tabs>
          <w:tab w:val="left" w:pos="4320"/>
        </w:tabs>
        <w:spacing w:after="0" w:line="240" w:lineRule="auto"/>
        <w:ind w:left="4320"/>
        <w:rPr>
          <w:rFonts w:ascii="Times New Roman" w:hAnsi="Times New Roman" w:cs="Times New Roman"/>
          <w:sz w:val="24"/>
          <w:szCs w:val="24"/>
        </w:rPr>
      </w:pPr>
      <w:r w:rsidRPr="001A21F1">
        <w:rPr>
          <w:rFonts w:ascii="Times New Roman" w:hAnsi="Times New Roman" w:cs="Times New Roman"/>
          <w:sz w:val="24"/>
          <w:szCs w:val="24"/>
        </w:rPr>
        <w:tab/>
      </w:r>
    </w:p>
    <w:p w:rsidR="0086596D" w:rsidP="004260EA" w14:paraId="2D99455B" w14:textId="4969452B">
      <w:pPr>
        <w:spacing w:after="0" w:line="240" w:lineRule="auto"/>
        <w:ind w:left="3600"/>
        <w:rPr>
          <w:rFonts w:cs="Times New Roman"/>
          <w:szCs w:val="24"/>
        </w:rPr>
      </w:pPr>
      <w:r w:rsidRPr="00BD2652">
        <w:rPr>
          <w:i/>
          <w:iCs/>
          <w:szCs w:val="24"/>
          <w:u w:val="single"/>
        </w:rPr>
        <w:t>/s/ John Finnigan</w:t>
      </w:r>
      <w:r>
        <w:rPr>
          <w:i/>
          <w:iCs/>
          <w:szCs w:val="24"/>
          <w:u w:val="single"/>
        </w:rPr>
        <w:tab/>
      </w:r>
      <w:r w:rsidRPr="00BD2652">
        <w:rPr>
          <w:i/>
          <w:iCs/>
          <w:szCs w:val="24"/>
          <w:u w:val="single"/>
        </w:rPr>
        <w:tab/>
      </w:r>
    </w:p>
    <w:p w:rsidR="004260EA" w:rsidRPr="005D4EA5" w:rsidP="004260EA" w14:paraId="28AB59AF" w14:textId="77777777">
      <w:pPr>
        <w:spacing w:after="0" w:line="240" w:lineRule="auto"/>
        <w:ind w:left="3600"/>
        <w:rPr>
          <w:rFonts w:eastAsia="Times New Roman"/>
          <w:b/>
          <w:bCs/>
        </w:rPr>
      </w:pPr>
      <w:r w:rsidRPr="005D4EA5">
        <w:rPr>
          <w:rFonts w:eastAsia="Times New Roman"/>
        </w:rPr>
        <w:t>William J. Michael (0070921)</w:t>
      </w:r>
    </w:p>
    <w:p w:rsidR="004260EA" w:rsidRPr="005D4EA5" w:rsidP="004260EA" w14:paraId="509C5621" w14:textId="77777777">
      <w:pPr>
        <w:spacing w:after="0" w:line="240" w:lineRule="auto"/>
        <w:ind w:left="3600"/>
        <w:rPr>
          <w:rFonts w:eastAsia="Times New Roman"/>
          <w:b/>
          <w:bCs/>
        </w:rPr>
      </w:pPr>
      <w:r w:rsidRPr="005D4EA5">
        <w:rPr>
          <w:rFonts w:eastAsia="Times New Roman"/>
        </w:rPr>
        <w:t>Counsel of Record</w:t>
      </w:r>
    </w:p>
    <w:p w:rsidR="004260EA" w:rsidRPr="005D4EA5" w:rsidP="004260EA" w14:paraId="18A11BBD" w14:textId="77777777">
      <w:pPr>
        <w:spacing w:after="0" w:line="240" w:lineRule="auto"/>
        <w:ind w:left="3600"/>
        <w:rPr>
          <w:rFonts w:eastAsia="Times New Roman"/>
          <w:b/>
          <w:bCs/>
        </w:rPr>
      </w:pPr>
      <w:r w:rsidRPr="005D4EA5">
        <w:rPr>
          <w:rFonts w:eastAsia="Times New Roman"/>
        </w:rPr>
        <w:t xml:space="preserve">Amy Botschner O’Brien (0074423) </w:t>
      </w:r>
    </w:p>
    <w:p w:rsidR="004260EA" w:rsidRPr="005D4EA5" w:rsidP="004260EA" w14:paraId="77B1DCC7" w14:textId="77777777">
      <w:pPr>
        <w:spacing w:after="0" w:line="240" w:lineRule="auto"/>
        <w:ind w:left="3600"/>
        <w:rPr>
          <w:rFonts w:eastAsia="Times New Roman"/>
          <w:b/>
          <w:bCs/>
        </w:rPr>
      </w:pPr>
      <w:r w:rsidRPr="005D4EA5">
        <w:rPr>
          <w:rFonts w:eastAsia="Times New Roman"/>
        </w:rPr>
        <w:t>John Finnigan (0018689)</w:t>
      </w:r>
    </w:p>
    <w:p w:rsidR="004260EA" w:rsidRPr="005D4EA5" w:rsidP="004260EA" w14:paraId="7D6FA431" w14:textId="77777777">
      <w:pPr>
        <w:spacing w:after="0" w:line="240" w:lineRule="auto"/>
        <w:ind w:left="3600"/>
        <w:rPr>
          <w:rFonts w:eastAsia="Times New Roman"/>
          <w:b/>
          <w:bCs/>
        </w:rPr>
      </w:pPr>
      <w:r w:rsidRPr="005D4EA5">
        <w:rPr>
          <w:rFonts w:eastAsia="Times New Roman"/>
        </w:rPr>
        <w:t>Assistant Consumers’ Counsel</w:t>
      </w:r>
    </w:p>
    <w:p w:rsidR="004260EA" w:rsidRPr="005D4EA5" w:rsidP="004260EA" w14:paraId="3EFAED34" w14:textId="77777777">
      <w:pPr>
        <w:tabs>
          <w:tab w:val="left" w:pos="4320"/>
        </w:tabs>
        <w:spacing w:line="240" w:lineRule="auto"/>
        <w:ind w:left="4320"/>
        <w:contextualSpacing/>
        <w:rPr>
          <w:rFonts w:eastAsia="Calibri"/>
          <w:b/>
          <w:bCs/>
        </w:rPr>
      </w:pPr>
    </w:p>
    <w:p w:rsidR="004260EA" w:rsidRPr="005D4EA5" w:rsidP="004260EA" w14:paraId="3B6AB20B" w14:textId="77777777">
      <w:pPr>
        <w:spacing w:after="0" w:line="240" w:lineRule="auto"/>
        <w:ind w:left="3600"/>
        <w:contextualSpacing/>
        <w:rPr>
          <w:rFonts w:eastAsia="Calibri"/>
        </w:rPr>
      </w:pPr>
      <w:r w:rsidRPr="005D4EA5">
        <w:rPr>
          <w:rFonts w:eastAsia="Calibri"/>
        </w:rPr>
        <w:t>Office of the Ohio Consumers’ Counsel</w:t>
      </w:r>
    </w:p>
    <w:p w:rsidR="004260EA" w:rsidRPr="005D4EA5" w:rsidP="004260EA" w14:paraId="073D14C9" w14:textId="77777777">
      <w:pPr>
        <w:spacing w:after="0" w:line="240" w:lineRule="auto"/>
        <w:ind w:left="3600"/>
        <w:rPr>
          <w:rFonts w:eastAsia="Times New Roman"/>
          <w:b/>
          <w:bCs/>
          <w:szCs w:val="20"/>
        </w:rPr>
      </w:pPr>
      <w:r w:rsidRPr="005D4EA5">
        <w:rPr>
          <w:rFonts w:eastAsia="Times New Roman"/>
          <w:szCs w:val="20"/>
        </w:rPr>
        <w:t>65 East State Street, 7th Floor</w:t>
      </w:r>
    </w:p>
    <w:p w:rsidR="004260EA" w:rsidRPr="005D4EA5" w:rsidP="004260EA" w14:paraId="4D530CC1" w14:textId="77777777">
      <w:pPr>
        <w:spacing w:after="0" w:line="240" w:lineRule="auto"/>
        <w:ind w:left="3600"/>
        <w:rPr>
          <w:rFonts w:eastAsia="Times New Roman"/>
          <w:b/>
          <w:bCs/>
          <w:szCs w:val="20"/>
        </w:rPr>
      </w:pPr>
      <w:r w:rsidRPr="005D4EA5">
        <w:rPr>
          <w:rFonts w:eastAsia="Times New Roman"/>
          <w:szCs w:val="20"/>
        </w:rPr>
        <w:t>Columbus, Ohio 43215</w:t>
      </w:r>
    </w:p>
    <w:p w:rsidR="004260EA" w:rsidRPr="005D4EA5" w:rsidP="004260EA" w14:paraId="061D28A0" w14:textId="77777777">
      <w:pPr>
        <w:autoSpaceDE w:val="0"/>
        <w:autoSpaceDN w:val="0"/>
        <w:adjustRightInd w:val="0"/>
        <w:spacing w:after="0" w:line="240" w:lineRule="auto"/>
        <w:ind w:left="3600"/>
        <w:rPr>
          <w:rFonts w:eastAsia="Times New Roman"/>
          <w:b/>
          <w:bCs/>
        </w:rPr>
      </w:pPr>
      <w:r w:rsidRPr="005D4EA5">
        <w:rPr>
          <w:rFonts w:eastAsia="Times New Roman"/>
        </w:rPr>
        <w:t>Telephone [Michael]: (614) 466-1291</w:t>
      </w:r>
    </w:p>
    <w:p w:rsidR="004260EA" w:rsidRPr="005D4EA5" w:rsidP="004260EA" w14:paraId="27AC33CE" w14:textId="77777777">
      <w:pPr>
        <w:autoSpaceDE w:val="0"/>
        <w:autoSpaceDN w:val="0"/>
        <w:adjustRightInd w:val="0"/>
        <w:spacing w:after="0" w:line="240" w:lineRule="auto"/>
        <w:ind w:left="3600"/>
        <w:rPr>
          <w:rFonts w:eastAsia="Times New Roman"/>
          <w:b/>
          <w:bCs/>
        </w:rPr>
      </w:pPr>
      <w:r w:rsidRPr="005D4EA5">
        <w:rPr>
          <w:rFonts w:eastAsia="Times New Roman"/>
        </w:rPr>
        <w:t>Telephone [Botschner O’Brien]: (614) 466-9575</w:t>
      </w:r>
    </w:p>
    <w:p w:rsidR="004260EA" w:rsidRPr="005D4EA5" w:rsidP="004260EA" w14:paraId="144C29B9" w14:textId="77777777">
      <w:pPr>
        <w:autoSpaceDE w:val="0"/>
        <w:autoSpaceDN w:val="0"/>
        <w:adjustRightInd w:val="0"/>
        <w:spacing w:after="0" w:line="240" w:lineRule="auto"/>
        <w:ind w:left="3600"/>
        <w:contextualSpacing/>
        <w:rPr>
          <w:rFonts w:eastAsia="Calibri"/>
          <w:b/>
          <w:bCs/>
        </w:rPr>
      </w:pPr>
      <w:r w:rsidRPr="005D4EA5">
        <w:rPr>
          <w:rFonts w:eastAsia="Calibri"/>
        </w:rPr>
        <w:t>Telephone [Finnigan]: (614) 466-9585</w:t>
      </w:r>
    </w:p>
    <w:p w:rsidR="004260EA" w:rsidRPr="005D4EA5" w:rsidP="004260EA" w14:paraId="48E96769" w14:textId="77777777">
      <w:pPr>
        <w:autoSpaceDE w:val="0"/>
        <w:autoSpaceDN w:val="0"/>
        <w:adjustRightInd w:val="0"/>
        <w:spacing w:after="0" w:line="240" w:lineRule="auto"/>
        <w:contextualSpacing/>
        <w:rPr>
          <w:rFonts w:eastAsia="Calibri"/>
          <w:b/>
          <w:bCs/>
        </w:rPr>
      </w:pPr>
      <w:r w:rsidRPr="005D4EA5">
        <w:rPr>
          <w:rFonts w:eastAsia="Calibri"/>
        </w:rPr>
        <w:tab/>
      </w:r>
      <w:r w:rsidRPr="005D4EA5">
        <w:rPr>
          <w:rFonts w:eastAsia="Calibri"/>
        </w:rPr>
        <w:tab/>
      </w:r>
      <w:r w:rsidRPr="005D4EA5">
        <w:rPr>
          <w:rFonts w:eastAsia="Calibri"/>
        </w:rPr>
        <w:tab/>
      </w:r>
      <w:r w:rsidRPr="005D4EA5">
        <w:rPr>
          <w:rFonts w:eastAsia="Calibri"/>
        </w:rPr>
        <w:tab/>
      </w:r>
      <w:r w:rsidRPr="005D4EA5">
        <w:rPr>
          <w:rFonts w:eastAsia="Calibri"/>
        </w:rPr>
        <w:tab/>
      </w:r>
      <w:hyperlink r:id="rId7" w:history="1">
        <w:r w:rsidRPr="005D4EA5">
          <w:rPr>
            <w:rFonts w:eastAsia="Calibri"/>
            <w:color w:val="0000FF"/>
            <w:u w:val="single"/>
          </w:rPr>
          <w:t>william.michael@occ.ohio.gov</w:t>
        </w:r>
      </w:hyperlink>
    </w:p>
    <w:p w:rsidR="004260EA" w:rsidRPr="005D4EA5" w:rsidP="004260EA" w14:paraId="3D3112BE" w14:textId="77777777">
      <w:pPr>
        <w:autoSpaceDE w:val="0"/>
        <w:autoSpaceDN w:val="0"/>
        <w:adjustRightInd w:val="0"/>
        <w:spacing w:after="0" w:line="240" w:lineRule="auto"/>
        <w:ind w:left="2880" w:firstLine="720"/>
        <w:rPr>
          <w:rFonts w:eastAsia="Times New Roman"/>
          <w:b/>
          <w:bCs/>
          <w:color w:val="0000FF"/>
          <w:u w:val="single"/>
        </w:rPr>
      </w:pPr>
      <w:r w:rsidRPr="005D4EA5">
        <w:rPr>
          <w:rFonts w:eastAsia="Times New Roman"/>
          <w:color w:val="0000FF"/>
          <w:u w:val="single"/>
        </w:rPr>
        <w:t xml:space="preserve">amy.botschner.obrien@occ.ohio.gov </w:t>
      </w:r>
    </w:p>
    <w:p w:rsidR="004260EA" w:rsidRPr="005D4EA5" w:rsidP="004260EA" w14:paraId="1EA8D692" w14:textId="77777777">
      <w:pPr>
        <w:autoSpaceDE w:val="0"/>
        <w:autoSpaceDN w:val="0"/>
        <w:adjustRightInd w:val="0"/>
        <w:spacing w:after="0" w:line="240" w:lineRule="auto"/>
        <w:contextualSpacing/>
        <w:rPr>
          <w:rFonts w:eastAsia="Calibri"/>
          <w:b/>
          <w:bCs/>
          <w:color w:val="0000FF"/>
          <w:u w:val="single"/>
        </w:rPr>
      </w:pPr>
      <w:r w:rsidRPr="005D4EA5">
        <w:rPr>
          <w:rFonts w:eastAsia="Calibri"/>
          <w:color w:val="0000FF"/>
        </w:rPr>
        <w:tab/>
      </w:r>
      <w:r w:rsidRPr="005D4EA5">
        <w:rPr>
          <w:rFonts w:eastAsia="Calibri"/>
          <w:color w:val="0000FF"/>
        </w:rPr>
        <w:tab/>
      </w:r>
      <w:r w:rsidRPr="005D4EA5">
        <w:rPr>
          <w:rFonts w:eastAsia="Calibri"/>
          <w:color w:val="0000FF"/>
        </w:rPr>
        <w:tab/>
      </w:r>
      <w:r w:rsidRPr="005D4EA5">
        <w:rPr>
          <w:rFonts w:eastAsia="Calibri"/>
          <w:color w:val="0000FF"/>
        </w:rPr>
        <w:tab/>
      </w:r>
      <w:r w:rsidRPr="005D4EA5">
        <w:rPr>
          <w:rFonts w:eastAsia="Calibri"/>
          <w:color w:val="0000FF"/>
        </w:rPr>
        <w:tab/>
      </w:r>
      <w:hyperlink r:id="rId8" w:history="1">
        <w:r w:rsidRPr="005D4EA5">
          <w:rPr>
            <w:rFonts w:eastAsia="Calibri"/>
            <w:color w:val="0000FF"/>
            <w:u w:val="single"/>
          </w:rPr>
          <w:t>john.finnigan@occ.ohio.gov</w:t>
        </w:r>
      </w:hyperlink>
    </w:p>
    <w:p w:rsidR="004260EA" w:rsidRPr="005D4EA5" w:rsidP="004260EA" w14:paraId="4E3C66D2" w14:textId="77777777">
      <w:pPr>
        <w:autoSpaceDE w:val="0"/>
        <w:autoSpaceDN w:val="0"/>
        <w:adjustRightInd w:val="0"/>
        <w:spacing w:after="0" w:line="240" w:lineRule="auto"/>
        <w:ind w:left="3600"/>
        <w:contextualSpacing/>
        <w:rPr>
          <w:rFonts w:eastAsia="Calibri"/>
          <w:b/>
          <w:bCs/>
        </w:rPr>
      </w:pPr>
      <w:r w:rsidRPr="005D4EA5">
        <w:rPr>
          <w:rFonts w:eastAsia="Calibri"/>
        </w:rPr>
        <w:t>(willing to accept service by e-mail)</w:t>
      </w:r>
    </w:p>
    <w:p w:rsidR="00754612" w:rsidP="00715A38" w14:paraId="43E54A83" w14:textId="50B4F264">
      <w:pPr>
        <w:spacing w:after="0"/>
        <w:rPr>
          <w:rFonts w:cs="Times New Roman"/>
          <w:szCs w:val="24"/>
        </w:rPr>
      </w:pPr>
    </w:p>
    <w:p w:rsidR="0086596D" w:rsidRPr="00BD2652" w:rsidP="004260EA" w14:paraId="05CE3415" w14:textId="77777777">
      <w:pPr>
        <w:spacing w:after="0" w:line="240" w:lineRule="auto"/>
        <w:ind w:left="3600"/>
        <w:contextualSpacing/>
        <w:rPr>
          <w:szCs w:val="24"/>
          <w:u w:val="single"/>
        </w:rPr>
      </w:pPr>
      <w:r w:rsidRPr="00BD2652">
        <w:rPr>
          <w:szCs w:val="24"/>
          <w:u w:val="single"/>
        </w:rPr>
        <w:t xml:space="preserve">/s/ </w:t>
      </w:r>
      <w:r w:rsidRPr="00BD2652">
        <w:rPr>
          <w:i/>
          <w:szCs w:val="24"/>
          <w:u w:val="single"/>
        </w:rPr>
        <w:t>Kimberly W. Bojko</w:t>
      </w:r>
      <w:r w:rsidRPr="00BD2652">
        <w:rPr>
          <w:szCs w:val="24"/>
          <w:u w:val="single"/>
        </w:rPr>
        <w:tab/>
      </w:r>
    </w:p>
    <w:p w:rsidR="00547D51" w:rsidRPr="001A21F1" w:rsidP="004260EA" w14:paraId="55EB7660" w14:textId="1F1D6DC1">
      <w:pPr>
        <w:spacing w:after="0" w:line="240" w:lineRule="auto"/>
        <w:ind w:left="3600"/>
        <w:contextualSpacing/>
        <w:rPr>
          <w:rFonts w:cs="Times New Roman"/>
          <w:szCs w:val="24"/>
        </w:rPr>
      </w:pPr>
      <w:r w:rsidRPr="001A21F1">
        <w:rPr>
          <w:rFonts w:cs="Times New Roman"/>
          <w:szCs w:val="24"/>
        </w:rPr>
        <w:t xml:space="preserve">Kimberly W. Bojko (0069402) </w:t>
      </w:r>
    </w:p>
    <w:p w:rsidR="00547D51" w:rsidRPr="001A21F1" w:rsidP="004260EA" w14:paraId="7B6FAF9A" w14:textId="6019D946">
      <w:pPr>
        <w:spacing w:after="0" w:line="240" w:lineRule="auto"/>
        <w:ind w:left="3600"/>
        <w:contextualSpacing/>
        <w:rPr>
          <w:rFonts w:cs="Times New Roman"/>
          <w:szCs w:val="24"/>
        </w:rPr>
      </w:pPr>
      <w:r w:rsidRPr="001A21F1">
        <w:rPr>
          <w:rFonts w:cs="Times New Roman"/>
          <w:szCs w:val="24"/>
        </w:rPr>
        <w:t>Counsel of Record</w:t>
      </w:r>
    </w:p>
    <w:p w:rsidR="00547D51" w:rsidRPr="001A21F1" w:rsidP="004260EA" w14:paraId="1296E241" w14:textId="096B7B8E">
      <w:pPr>
        <w:spacing w:after="0" w:line="240" w:lineRule="auto"/>
        <w:ind w:left="3600"/>
        <w:contextualSpacing/>
        <w:rPr>
          <w:rFonts w:cs="Times New Roman"/>
          <w:szCs w:val="24"/>
        </w:rPr>
      </w:pPr>
      <w:r w:rsidRPr="001A21F1">
        <w:rPr>
          <w:rFonts w:cs="Times New Roman"/>
          <w:szCs w:val="24"/>
        </w:rPr>
        <w:t xml:space="preserve">Thomas V. Donadio (0100027) </w:t>
      </w:r>
    </w:p>
    <w:p w:rsidR="00547D51" w:rsidRPr="001A21F1" w:rsidP="004260EA" w14:paraId="417293DB" w14:textId="77777777">
      <w:pPr>
        <w:spacing w:after="0" w:line="240" w:lineRule="auto"/>
        <w:ind w:left="3600"/>
        <w:contextualSpacing/>
        <w:rPr>
          <w:rFonts w:cs="Times New Roman"/>
          <w:szCs w:val="24"/>
        </w:rPr>
      </w:pPr>
      <w:r w:rsidRPr="001A21F1">
        <w:rPr>
          <w:rFonts w:cs="Times New Roman"/>
          <w:szCs w:val="24"/>
        </w:rPr>
        <w:t>Carpenter Lipps &amp; Leland LLP</w:t>
      </w:r>
    </w:p>
    <w:p w:rsidR="00547D51" w:rsidRPr="001A21F1" w:rsidP="004260EA" w14:paraId="639F13E5" w14:textId="0154BF06">
      <w:pPr>
        <w:spacing w:after="0" w:line="240" w:lineRule="auto"/>
        <w:contextualSpacing/>
        <w:jc w:val="both"/>
        <w:rPr>
          <w:rFonts w:cs="Times New Roman"/>
          <w:szCs w:val="24"/>
        </w:rPr>
      </w:pP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t>280 North High Street, Suite 1300</w:t>
      </w:r>
    </w:p>
    <w:p w:rsidR="00547D51" w:rsidRPr="001A21F1" w:rsidP="004260EA" w14:paraId="68CB2223" w14:textId="2B30E74D">
      <w:pPr>
        <w:spacing w:after="0" w:line="240" w:lineRule="auto"/>
        <w:contextualSpacing/>
        <w:jc w:val="both"/>
        <w:rPr>
          <w:rFonts w:cs="Times New Roman"/>
          <w:szCs w:val="24"/>
        </w:rPr>
      </w:pP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t>Columbus, Ohio 43215</w:t>
      </w:r>
    </w:p>
    <w:p w:rsidR="00547D51" w:rsidRPr="001A21F1" w:rsidP="004260EA" w14:paraId="53E992C6" w14:textId="0E264F91">
      <w:pPr>
        <w:spacing w:after="0" w:line="240" w:lineRule="auto"/>
        <w:contextualSpacing/>
        <w:jc w:val="both"/>
        <w:rPr>
          <w:rFonts w:cs="Times New Roman"/>
          <w:szCs w:val="24"/>
        </w:rPr>
      </w:pP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t>Telephone:</w:t>
      </w:r>
      <w:r w:rsidR="00C46911">
        <w:rPr>
          <w:rFonts w:cs="Times New Roman"/>
          <w:szCs w:val="24"/>
        </w:rPr>
        <w:t xml:space="preserve"> </w:t>
      </w:r>
      <w:r w:rsidRPr="001A21F1">
        <w:rPr>
          <w:rFonts w:cs="Times New Roman"/>
          <w:szCs w:val="24"/>
        </w:rPr>
        <w:t xml:space="preserve">(614) 365-4100 </w:t>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hyperlink r:id="rId9" w:history="1">
        <w:r w:rsidRPr="001A21F1">
          <w:rPr>
            <w:rStyle w:val="Hyperlink"/>
            <w:rFonts w:cs="Times New Roman"/>
            <w:szCs w:val="24"/>
          </w:rPr>
          <w:t>bojko@carpenterlipps.com</w:t>
        </w:r>
      </w:hyperlink>
      <w:r w:rsidRPr="001A21F1">
        <w:rPr>
          <w:rFonts w:cs="Times New Roman"/>
          <w:szCs w:val="24"/>
        </w:rPr>
        <w:t xml:space="preserve"> </w:t>
      </w:r>
    </w:p>
    <w:p w:rsidR="00547D51" w:rsidRPr="001A21F1" w:rsidP="004260EA" w14:paraId="42B08BA6" w14:textId="15600941">
      <w:pPr>
        <w:spacing w:after="0" w:line="240" w:lineRule="auto"/>
        <w:contextualSpacing/>
        <w:jc w:val="both"/>
        <w:rPr>
          <w:rFonts w:cs="Times New Roman"/>
          <w:color w:val="0000FF" w:themeColor="hyperlink"/>
          <w:szCs w:val="24"/>
          <w:u w:val="single"/>
        </w:rPr>
      </w:pP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hyperlink r:id="rId10" w:history="1">
        <w:r w:rsidRPr="00155797" w:rsidR="004260EA">
          <w:rPr>
            <w:rStyle w:val="Hyperlink"/>
            <w:rFonts w:cs="Times New Roman"/>
            <w:szCs w:val="24"/>
          </w:rPr>
          <w:t>donadio@carpenterlipps.com</w:t>
        </w:r>
      </w:hyperlink>
      <w:r w:rsidRPr="001A21F1">
        <w:rPr>
          <w:rFonts w:cs="Times New Roman"/>
          <w:szCs w:val="24"/>
        </w:rPr>
        <w:t xml:space="preserve"> </w:t>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sidR="006E3F1D">
        <w:rPr>
          <w:rFonts w:cs="Times New Roman"/>
          <w:szCs w:val="24"/>
        </w:rPr>
        <w:tab/>
      </w:r>
      <w:r w:rsidRPr="001A21F1" w:rsidR="006E3F1D">
        <w:rPr>
          <w:rFonts w:cs="Times New Roman"/>
          <w:szCs w:val="24"/>
        </w:rPr>
        <w:tab/>
      </w:r>
      <w:r w:rsidRPr="001A21F1" w:rsidR="006E3F1D">
        <w:rPr>
          <w:rFonts w:cs="Times New Roman"/>
          <w:szCs w:val="24"/>
        </w:rPr>
        <w:tab/>
      </w:r>
      <w:r w:rsidRPr="001A21F1">
        <w:rPr>
          <w:rFonts w:cs="Times New Roman"/>
          <w:szCs w:val="24"/>
        </w:rPr>
        <w:t>(willing to accept service by e-mail)</w:t>
      </w:r>
    </w:p>
    <w:p w:rsidR="00913FB0" w:rsidRPr="001A21F1" w:rsidP="004260EA" w14:paraId="190C9AFB" w14:textId="4E2A94A9">
      <w:pPr>
        <w:spacing w:after="0" w:line="240" w:lineRule="auto"/>
        <w:ind w:left="2880" w:firstLine="720"/>
        <w:contextualSpacing/>
        <w:rPr>
          <w:rFonts w:cs="Times New Roman"/>
          <w:bCs/>
          <w:i/>
          <w:iCs/>
          <w:szCs w:val="24"/>
        </w:rPr>
      </w:pPr>
      <w:r w:rsidRPr="001A21F1">
        <w:rPr>
          <w:rFonts w:cs="Times New Roman"/>
          <w:bCs/>
          <w:i/>
          <w:iCs/>
          <w:szCs w:val="24"/>
        </w:rPr>
        <w:t xml:space="preserve">Ohio Manufacturers’ Association </w:t>
      </w:r>
    </w:p>
    <w:p w:rsidR="003A6F04" w:rsidP="004260EA" w14:paraId="40287378" w14:textId="3C2F9B48">
      <w:pPr>
        <w:spacing w:after="0" w:line="240" w:lineRule="auto"/>
        <w:ind w:left="3600"/>
        <w:contextualSpacing/>
        <w:rPr>
          <w:rFonts w:cs="Times New Roman"/>
          <w:i/>
          <w:szCs w:val="24"/>
        </w:rPr>
        <w:sectPr w:rsidSect="00C46911">
          <w:footerReference w:type="default" r:id="rId11"/>
          <w:pgSz w:w="12240" w:h="15840"/>
          <w:pgMar w:top="1440" w:right="1800" w:bottom="1440" w:left="1800" w:header="720" w:footer="720" w:gutter="0"/>
          <w:pgNumType w:start="2"/>
          <w:cols w:space="720"/>
          <w:docGrid w:linePitch="360"/>
        </w:sectPr>
      </w:pPr>
      <w:r w:rsidRPr="001A21F1">
        <w:rPr>
          <w:rFonts w:cs="Times New Roman"/>
          <w:bCs/>
          <w:i/>
          <w:iCs/>
          <w:szCs w:val="24"/>
        </w:rPr>
        <w:t xml:space="preserve">Energy Group </w:t>
      </w:r>
      <w:r w:rsidRPr="001A21F1">
        <w:rPr>
          <w:rFonts w:cs="Times New Roman"/>
          <w:szCs w:val="24"/>
        </w:rPr>
        <w:tab/>
      </w:r>
    </w:p>
    <w:p w:rsidR="004E0143" w:rsidRPr="001A21F1" w:rsidP="00A943F7" w14:paraId="2CEC3CFF" w14:textId="77777777">
      <w:pPr>
        <w:jc w:val="center"/>
        <w:rPr>
          <w:rFonts w:cs="Times New Roman"/>
          <w:b/>
          <w:bCs/>
          <w:szCs w:val="24"/>
          <w:u w:val="single"/>
        </w:rPr>
      </w:pPr>
      <w:r w:rsidRPr="001A21F1">
        <w:rPr>
          <w:rFonts w:cs="Times New Roman"/>
          <w:b/>
          <w:szCs w:val="24"/>
          <w:u w:val="single"/>
        </w:rPr>
        <w:t>CERTIFICATE OF SERVICE</w:t>
      </w:r>
    </w:p>
    <w:p w:rsidR="004E0143" w:rsidRPr="001A21F1" w:rsidP="004E0143" w14:paraId="02D02620" w14:textId="28EC3819">
      <w:pPr>
        <w:spacing w:line="480" w:lineRule="auto"/>
        <w:rPr>
          <w:rFonts w:cs="Times New Roman"/>
          <w:b/>
          <w:bCs/>
          <w:szCs w:val="24"/>
        </w:rPr>
      </w:pPr>
      <w:r w:rsidRPr="001A21F1">
        <w:rPr>
          <w:rFonts w:cs="Times New Roman"/>
          <w:szCs w:val="24"/>
        </w:rPr>
        <w:tab/>
        <w:t xml:space="preserve">I hereby certify that a copy of this </w:t>
      </w:r>
      <w:r w:rsidR="00036160">
        <w:rPr>
          <w:rFonts w:cs="Times New Roman"/>
          <w:szCs w:val="24"/>
        </w:rPr>
        <w:t>Reply Memorandum</w:t>
      </w:r>
      <w:r w:rsidRPr="001A21F1">
        <w:rPr>
          <w:rFonts w:cs="Times New Roman"/>
          <w:szCs w:val="24"/>
        </w:rPr>
        <w:t xml:space="preserve"> </w:t>
      </w:r>
      <w:r w:rsidR="00036160">
        <w:rPr>
          <w:rFonts w:cs="Times New Roman"/>
          <w:szCs w:val="24"/>
        </w:rPr>
        <w:t xml:space="preserve">in Support of Joint Motion to Compel Deposition of DP&amp;L </w:t>
      </w:r>
      <w:r w:rsidRPr="001A21F1">
        <w:rPr>
          <w:rFonts w:cs="Times New Roman"/>
          <w:szCs w:val="24"/>
        </w:rPr>
        <w:t xml:space="preserve">was served on the persons stated below via electric transmission this </w:t>
      </w:r>
      <w:r w:rsidR="00C46911">
        <w:rPr>
          <w:rFonts w:cs="Times New Roman"/>
          <w:szCs w:val="24"/>
        </w:rPr>
        <w:t>1st</w:t>
      </w:r>
      <w:r w:rsidRPr="001A21F1">
        <w:rPr>
          <w:rFonts w:cs="Times New Roman"/>
          <w:szCs w:val="24"/>
        </w:rPr>
        <w:t xml:space="preserve"> day of </w:t>
      </w:r>
      <w:r w:rsidR="00C46911">
        <w:rPr>
          <w:rFonts w:cs="Times New Roman"/>
          <w:szCs w:val="24"/>
        </w:rPr>
        <w:t>April</w:t>
      </w:r>
      <w:r w:rsidR="004E2D09">
        <w:rPr>
          <w:rFonts w:cs="Times New Roman"/>
          <w:szCs w:val="24"/>
        </w:rPr>
        <w:t xml:space="preserve"> </w:t>
      </w:r>
      <w:r w:rsidRPr="001A21F1">
        <w:rPr>
          <w:rFonts w:cs="Times New Roman"/>
          <w:szCs w:val="24"/>
        </w:rPr>
        <w:t>2021.</w:t>
      </w:r>
    </w:p>
    <w:p w:rsidR="004E0143" w:rsidRPr="001A21F1" w:rsidP="004E0143" w14:paraId="455169A7" w14:textId="77777777">
      <w:pPr>
        <w:spacing w:after="0" w:line="240" w:lineRule="auto"/>
        <w:rPr>
          <w:rFonts w:cs="Times New Roman"/>
          <w:b/>
          <w:bCs/>
          <w:i/>
          <w:iCs/>
          <w:szCs w:val="24"/>
          <w:u w:val="single"/>
        </w:rPr>
      </w:pPr>
      <w:bookmarkStart w:id="1" w:name="_Hlk60904023"/>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i/>
          <w:iCs/>
          <w:szCs w:val="24"/>
          <w:u w:val="single"/>
        </w:rPr>
        <w:t>/s/ John Finnigan</w:t>
      </w:r>
    </w:p>
    <w:p w:rsidR="004E0143" w:rsidRPr="001A21F1" w:rsidP="004E0143" w14:paraId="5F4F0DD0" w14:textId="77777777">
      <w:pPr>
        <w:spacing w:after="0" w:line="240" w:lineRule="auto"/>
        <w:rPr>
          <w:rFonts w:cs="Times New Roman"/>
          <w:b/>
          <w:bCs/>
          <w:szCs w:val="24"/>
        </w:rPr>
      </w:pP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t>John Finnigan (0018689)</w:t>
      </w:r>
    </w:p>
    <w:p w:rsidR="004E0143" w:rsidRPr="001A21F1" w:rsidP="004E0143" w14:paraId="76D1D387" w14:textId="77777777">
      <w:pPr>
        <w:spacing w:after="0" w:line="240" w:lineRule="auto"/>
        <w:rPr>
          <w:rFonts w:cs="Times New Roman"/>
          <w:b/>
          <w:bCs/>
          <w:szCs w:val="24"/>
        </w:rPr>
      </w:pP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r>
      <w:r w:rsidRPr="001A21F1">
        <w:rPr>
          <w:rFonts w:cs="Times New Roman"/>
          <w:szCs w:val="24"/>
        </w:rPr>
        <w:tab/>
        <w:t>Assistant Consumers’ Counsel</w:t>
      </w:r>
    </w:p>
    <w:bookmarkEnd w:id="1"/>
    <w:p w:rsidR="004E0143" w:rsidRPr="001A21F1" w:rsidP="004E0143" w14:paraId="6AACE29E" w14:textId="77777777">
      <w:pPr>
        <w:rPr>
          <w:rFonts w:cs="Times New Roman"/>
          <w:b/>
          <w:bCs/>
          <w:szCs w:val="24"/>
        </w:rPr>
      </w:pPr>
    </w:p>
    <w:p w:rsidR="004E0143" w:rsidRPr="001A21F1" w:rsidP="004E0143" w14:paraId="057EBBEA" w14:textId="77777777">
      <w:pPr>
        <w:rPr>
          <w:rFonts w:cs="Times New Roman"/>
          <w:b/>
          <w:bCs/>
          <w:szCs w:val="24"/>
        </w:rPr>
      </w:pPr>
      <w:r w:rsidRPr="001A21F1">
        <w:rPr>
          <w:rFonts w:cs="Times New Roman"/>
          <w:szCs w:val="24"/>
        </w:rPr>
        <w:t>The PUCO’s e-filing system will electronically serve notice of the filing of this document on the following parties:</w:t>
      </w:r>
    </w:p>
    <w:p w:rsidR="00A03F02" w:rsidP="00A03F02" w14:paraId="474504EE" w14:textId="77777777">
      <w:pPr>
        <w:pStyle w:val="CommentText"/>
        <w:jc w:val="center"/>
        <w:rPr>
          <w:b/>
          <w:bCs/>
          <w:u w:val="single"/>
        </w:rPr>
      </w:pPr>
      <w:r w:rsidRPr="00C675E3">
        <w:rPr>
          <w:b/>
          <w:u w:val="single"/>
        </w:rPr>
        <w:t>SERVICE LIST</w:t>
      </w:r>
    </w:p>
    <w:p w:rsidR="00A03F02" w:rsidRPr="00C675E3" w:rsidP="00A03F02" w14:paraId="3DDAE844" w14:textId="77777777">
      <w:pPr>
        <w:pStyle w:val="CommentText"/>
        <w:jc w:val="center"/>
        <w:rPr>
          <w:b/>
          <w:bCs/>
          <w:u w:val="single"/>
        </w:rPr>
      </w:pPr>
    </w:p>
    <w:tbl>
      <w:tblPr>
        <w:tblW w:w="0" w:type="auto"/>
        <w:tblLook w:val="01E0"/>
      </w:tblPr>
      <w:tblGrid>
        <w:gridCol w:w="4398"/>
        <w:gridCol w:w="4242"/>
      </w:tblGrid>
      <w:tr w14:paraId="58FF440D" w14:textId="77777777" w:rsidTr="00C46911">
        <w:tblPrEx>
          <w:tblW w:w="0" w:type="auto"/>
          <w:tblLook w:val="01E0"/>
        </w:tblPrEx>
        <w:tc>
          <w:tcPr>
            <w:tcW w:w="4398" w:type="dxa"/>
            <w:shd w:val="clear" w:color="auto" w:fill="auto"/>
          </w:tcPr>
          <w:p w:rsidR="00A03F02" w:rsidRPr="00A03F02" w:rsidP="00A03F02" w14:paraId="120D4F53" w14:textId="77777777">
            <w:pPr>
              <w:pStyle w:val="BodyText"/>
              <w:spacing w:after="0"/>
              <w:rPr>
                <w:rStyle w:val="Hyperlink"/>
                <w:bCs/>
                <w:sz w:val="24"/>
                <w:szCs w:val="24"/>
              </w:rPr>
            </w:pPr>
            <w:hyperlink r:id="rId12" w:history="1">
              <w:r w:rsidRPr="00A03F02" w:rsidR="001F79BE">
                <w:rPr>
                  <w:rStyle w:val="Hyperlink"/>
                  <w:sz w:val="24"/>
                  <w:szCs w:val="24"/>
                </w:rPr>
                <w:t>kyle</w:t>
              </w:r>
              <w:r w:rsidRPr="00A03F02" w:rsidR="001F79BE">
                <w:rPr>
                  <w:rStyle w:val="Hyperlink"/>
                  <w:bCs/>
                  <w:sz w:val="24"/>
                  <w:szCs w:val="24"/>
                </w:rPr>
                <w:t>.kern@ohioattorneygeneral.gov</w:t>
              </w:r>
            </w:hyperlink>
          </w:p>
          <w:p w:rsidR="00A03F02" w:rsidRPr="00A03F02" w:rsidP="00A03F02" w14:paraId="23A8D5BB" w14:textId="77777777">
            <w:pPr>
              <w:pStyle w:val="BodyText"/>
              <w:spacing w:after="0"/>
              <w:rPr>
                <w:rStyle w:val="Hyperlink"/>
                <w:bCs/>
                <w:sz w:val="24"/>
                <w:szCs w:val="24"/>
              </w:rPr>
            </w:pPr>
            <w:hyperlink r:id="rId13" w:history="1">
              <w:r w:rsidRPr="00A03F02" w:rsidR="001F79BE">
                <w:rPr>
                  <w:rStyle w:val="Hyperlink"/>
                  <w:bCs/>
                  <w:sz w:val="24"/>
                  <w:szCs w:val="24"/>
                </w:rPr>
                <w:t>thomas.lindgren@ohioattorneygeneral.gov</w:t>
              </w:r>
            </w:hyperlink>
          </w:p>
          <w:p w:rsidR="00A03F02" w:rsidP="003769EE" w14:paraId="1F1C31B7" w14:textId="77777777">
            <w:pPr>
              <w:pStyle w:val="BodyText"/>
              <w:rPr>
                <w:bCs/>
              </w:rPr>
            </w:pPr>
          </w:p>
          <w:p w:rsidR="00A03F02" w:rsidRPr="004261A7" w:rsidP="003769EE" w14:paraId="17ABF799" w14:textId="77777777">
            <w:pPr>
              <w:pStyle w:val="BodyText"/>
              <w:rPr>
                <w:bCs/>
                <w:sz w:val="24"/>
                <w:szCs w:val="24"/>
              </w:rPr>
            </w:pPr>
            <w:r w:rsidRPr="004261A7">
              <w:rPr>
                <w:bCs/>
                <w:sz w:val="24"/>
                <w:szCs w:val="24"/>
              </w:rPr>
              <w:t>Attorney Examiners:</w:t>
            </w:r>
          </w:p>
          <w:p w:rsidR="00A03F02" w:rsidRPr="00A03F02" w:rsidP="00A03F02" w14:paraId="3B467250" w14:textId="77777777">
            <w:pPr>
              <w:pStyle w:val="BodyText"/>
              <w:spacing w:after="0"/>
              <w:rPr>
                <w:bCs/>
                <w:sz w:val="24"/>
                <w:szCs w:val="24"/>
              </w:rPr>
            </w:pPr>
            <w:hyperlink r:id="rId14" w:history="1">
              <w:r w:rsidRPr="00A03F02" w:rsidR="001F79BE">
                <w:rPr>
                  <w:rStyle w:val="Hyperlink"/>
                  <w:sz w:val="24"/>
                  <w:szCs w:val="24"/>
                </w:rPr>
                <w:t>patricia</w:t>
              </w:r>
              <w:r w:rsidRPr="00A03F02" w:rsidR="001F79BE">
                <w:rPr>
                  <w:rStyle w:val="Hyperlink"/>
                  <w:bCs/>
                  <w:sz w:val="24"/>
                  <w:szCs w:val="24"/>
                </w:rPr>
                <w:t>.schabo@puco.ohio.gov</w:t>
              </w:r>
            </w:hyperlink>
          </w:p>
          <w:p w:rsidR="00A03F02" w:rsidRPr="00A03F02" w:rsidP="00A03F02" w14:paraId="189C36B7" w14:textId="77777777">
            <w:pPr>
              <w:pStyle w:val="BodyText"/>
              <w:spacing w:after="0"/>
              <w:rPr>
                <w:bCs/>
                <w:sz w:val="24"/>
                <w:szCs w:val="24"/>
              </w:rPr>
            </w:pPr>
            <w:hyperlink r:id="rId15" w:history="1">
              <w:r w:rsidRPr="00A03F02" w:rsidR="001F79BE">
                <w:rPr>
                  <w:rStyle w:val="Hyperlink"/>
                  <w:bCs/>
                  <w:sz w:val="24"/>
                  <w:szCs w:val="24"/>
                </w:rPr>
                <w:t>michael.williams@puco.ohio.gov</w:t>
              </w:r>
            </w:hyperlink>
          </w:p>
          <w:p w:rsidR="00A03F02" w:rsidRPr="00E20C06" w:rsidP="003769EE" w14:paraId="3BEBC12E" w14:textId="77777777">
            <w:pPr>
              <w:pStyle w:val="BodyText"/>
              <w:rPr>
                <w:bCs/>
              </w:rPr>
            </w:pPr>
          </w:p>
        </w:tc>
        <w:tc>
          <w:tcPr>
            <w:tcW w:w="4242" w:type="dxa"/>
            <w:shd w:val="clear" w:color="auto" w:fill="auto"/>
          </w:tcPr>
          <w:p w:rsidR="00A03F02" w:rsidP="00C46911" w14:paraId="5E5ECC1D" w14:textId="77777777">
            <w:pPr>
              <w:autoSpaceDE w:val="0"/>
              <w:autoSpaceDN w:val="0"/>
              <w:adjustRightInd w:val="0"/>
              <w:spacing w:after="0" w:line="240" w:lineRule="auto"/>
              <w:ind w:left="809" w:hanging="29"/>
              <w:rPr>
                <w:rStyle w:val="Hyperlink"/>
                <w:bCs/>
                <w:szCs w:val="24"/>
              </w:rPr>
            </w:pPr>
            <w:hyperlink r:id="rId16" w:history="1">
              <w:r w:rsidRPr="00771090" w:rsidR="001F79BE">
                <w:rPr>
                  <w:rStyle w:val="Hyperlink"/>
                  <w:szCs w:val="24"/>
                </w:rPr>
                <w:t>michael.schuler@aes.com</w:t>
              </w:r>
            </w:hyperlink>
          </w:p>
          <w:p w:rsidR="00A03F02" w:rsidP="00C46911" w14:paraId="75C95C88" w14:textId="77777777">
            <w:pPr>
              <w:autoSpaceDE w:val="0"/>
              <w:autoSpaceDN w:val="0"/>
              <w:adjustRightInd w:val="0"/>
              <w:spacing w:after="0" w:line="240" w:lineRule="auto"/>
              <w:ind w:left="809" w:hanging="29"/>
              <w:rPr>
                <w:rStyle w:val="Hyperlink"/>
                <w:bCs/>
                <w:szCs w:val="24"/>
              </w:rPr>
            </w:pPr>
            <w:hyperlink r:id="rId17" w:history="1">
              <w:r w:rsidRPr="00935365" w:rsidR="001F79BE">
                <w:rPr>
                  <w:rStyle w:val="Hyperlink"/>
                  <w:szCs w:val="24"/>
                </w:rPr>
                <w:t>paul@carpenterlipps.com</w:t>
              </w:r>
            </w:hyperlink>
          </w:p>
          <w:p w:rsidR="00A03F02" w:rsidP="00C46911" w14:paraId="48EFD21B" w14:textId="77777777">
            <w:pPr>
              <w:autoSpaceDE w:val="0"/>
              <w:autoSpaceDN w:val="0"/>
              <w:adjustRightInd w:val="0"/>
              <w:spacing w:after="0" w:line="240" w:lineRule="auto"/>
              <w:ind w:left="809" w:hanging="29"/>
              <w:rPr>
                <w:rStyle w:val="Hyperlink"/>
              </w:rPr>
            </w:pPr>
            <w:hyperlink r:id="rId9" w:history="1">
              <w:r w:rsidRPr="00935365" w:rsidR="001F79BE">
                <w:rPr>
                  <w:rStyle w:val="Hyperlink"/>
                </w:rPr>
                <w:t>bojko@carpenterlipps.com</w:t>
              </w:r>
            </w:hyperlink>
          </w:p>
          <w:p w:rsidR="00A03F02" w:rsidP="00C46911" w14:paraId="335C23A9" w14:textId="77777777">
            <w:pPr>
              <w:autoSpaceDE w:val="0"/>
              <w:autoSpaceDN w:val="0"/>
              <w:adjustRightInd w:val="0"/>
              <w:spacing w:after="0" w:line="240" w:lineRule="auto"/>
              <w:ind w:left="809" w:hanging="29"/>
              <w:rPr>
                <w:bCs/>
                <w:szCs w:val="24"/>
              </w:rPr>
            </w:pPr>
            <w:hyperlink r:id="rId10" w:history="1">
              <w:r w:rsidRPr="00935365" w:rsidR="001F79BE">
                <w:rPr>
                  <w:rStyle w:val="Hyperlink"/>
                  <w:szCs w:val="24"/>
                </w:rPr>
                <w:t>donadio@carpenterlipps.com</w:t>
              </w:r>
            </w:hyperlink>
          </w:p>
          <w:p w:rsidR="00A03F02" w:rsidP="00C46911" w14:paraId="70D0D9AA" w14:textId="77777777">
            <w:pPr>
              <w:autoSpaceDE w:val="0"/>
              <w:autoSpaceDN w:val="0"/>
              <w:adjustRightInd w:val="0"/>
              <w:spacing w:after="0" w:line="240" w:lineRule="auto"/>
              <w:ind w:left="809" w:hanging="29"/>
              <w:rPr>
                <w:bCs/>
                <w:szCs w:val="24"/>
              </w:rPr>
            </w:pPr>
            <w:hyperlink r:id="rId18" w:history="1">
              <w:r w:rsidRPr="003D34A7" w:rsidR="001F79BE">
                <w:rPr>
                  <w:rStyle w:val="Hyperlink"/>
                  <w:szCs w:val="24"/>
                </w:rPr>
                <w:t>randall.griffin@aes.com</w:t>
              </w:r>
            </w:hyperlink>
          </w:p>
          <w:p w:rsidR="00A03F02" w:rsidP="003769EE" w14:paraId="173B55B5" w14:textId="77777777">
            <w:pPr>
              <w:autoSpaceDE w:val="0"/>
              <w:autoSpaceDN w:val="0"/>
              <w:adjustRightInd w:val="0"/>
              <w:ind w:left="1247"/>
              <w:rPr>
                <w:bCs/>
                <w:szCs w:val="24"/>
              </w:rPr>
            </w:pPr>
          </w:p>
          <w:p w:rsidR="00A03F02" w:rsidRPr="00E20C06" w:rsidP="003769EE" w14:paraId="5A53B979" w14:textId="77777777">
            <w:pPr>
              <w:autoSpaceDE w:val="0"/>
              <w:autoSpaceDN w:val="0"/>
              <w:adjustRightInd w:val="0"/>
              <w:ind w:left="1247"/>
              <w:rPr>
                <w:bCs/>
                <w:szCs w:val="24"/>
              </w:rPr>
            </w:pPr>
          </w:p>
        </w:tc>
      </w:tr>
    </w:tbl>
    <w:p w:rsidR="004E0143" w:rsidP="00A03F02" w14:paraId="50FCEF83" w14:textId="4F7B936F"/>
    <w:sectPr w:rsidSect="0052413E">
      <w:footerReference w:type="default" r:id="rId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212" w:rsidP="006D3212" w14:paraId="027BF2BC" w14:textId="79E85B92">
    <w:pPr>
      <w:pStyle w:val="Footer"/>
    </w:pPr>
  </w:p>
  <w:p w:rsidR="006D3212" w14:paraId="369332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9629994"/>
      <w:docPartObj>
        <w:docPartGallery w:val="Page Numbers (Bottom of Page)"/>
        <w:docPartUnique/>
      </w:docPartObj>
    </w:sdtPr>
    <w:sdtEndPr>
      <w:rPr>
        <w:noProof/>
      </w:rPr>
    </w:sdtEndPr>
    <w:sdtContent>
      <w:p w:rsidR="00C46911" w14:paraId="1E204F22" w14:textId="0C056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6035438"/>
      <w:docPartObj>
        <w:docPartGallery w:val="Page Numbers (Bottom of Page)"/>
        <w:docPartUnique/>
      </w:docPartObj>
    </w:sdtPr>
    <w:sdtEndPr>
      <w:rPr>
        <w:noProof/>
      </w:rPr>
    </w:sdtEndPr>
    <w:sdtContent>
      <w:p w:rsidR="00CF792A" w14:paraId="04187732" w14:textId="2D6FF7B1">
        <w:pPr>
          <w:pStyle w:val="Footer"/>
          <w:jc w:val="center"/>
        </w:pPr>
        <w:r>
          <w:fldChar w:fldCharType="begin"/>
        </w:r>
        <w:r>
          <w:instrText xml:space="preserve"> PAGE   \* MERGEFORMAT </w:instrText>
        </w:r>
        <w:r>
          <w:fldChar w:fldCharType="separate"/>
        </w:r>
        <w:r w:rsidR="00D22311">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42D8E" w:rsidP="009A2DA8" w14:paraId="5DF711F8" w14:textId="77777777">
      <w:pPr>
        <w:spacing w:after="0" w:line="240" w:lineRule="auto"/>
      </w:pPr>
      <w:r>
        <w:separator/>
      </w:r>
    </w:p>
  </w:footnote>
  <w:footnote w:type="continuationSeparator" w:id="1">
    <w:p w:rsidR="00D42D8E" w:rsidP="009A2DA8" w14:paraId="4B47D998" w14:textId="77777777">
      <w:pPr>
        <w:spacing w:after="0" w:line="240" w:lineRule="auto"/>
      </w:pPr>
      <w:r>
        <w:continuationSeparator/>
      </w:r>
    </w:p>
  </w:footnote>
  <w:footnote w:id="2">
    <w:p w:rsidR="008444E4" w:rsidRPr="00172D49" w:rsidP="00C46911" w14:paraId="0432FF6F" w14:textId="16435354">
      <w:pPr>
        <w:pStyle w:val="FootnoteText"/>
        <w:spacing w:after="120"/>
        <w:rPr>
          <w:rFonts w:ascii="Times New Roman" w:hAnsi="Times New Roman" w:cs="Times New Roman"/>
        </w:rPr>
      </w:pPr>
      <w:r w:rsidRPr="00172D49">
        <w:rPr>
          <w:rStyle w:val="FootnoteReference"/>
          <w:rFonts w:ascii="Times New Roman" w:hAnsi="Times New Roman" w:cs="Times New Roman"/>
        </w:rPr>
        <w:footnoteRef/>
      </w:r>
      <w:r w:rsidRPr="00172D49">
        <w:rPr>
          <w:rFonts w:ascii="Times New Roman" w:hAnsi="Times New Roman" w:cs="Times New Roman"/>
        </w:rPr>
        <w:t xml:space="preserve"> Runnerstone, LLC, </w:t>
      </w:r>
      <w:r w:rsidRPr="00172D49">
        <w:rPr>
          <w:rFonts w:ascii="Times New Roman" w:hAnsi="Times New Roman" w:cs="Times New Roman"/>
          <w:i/>
          <w:iCs/>
        </w:rPr>
        <w:t xml:space="preserve">Ohio’s Costly – and Worsening – OVEC Situation </w:t>
      </w:r>
      <w:r w:rsidRPr="00172D49">
        <w:rPr>
          <w:rFonts w:ascii="Times New Roman" w:hAnsi="Times New Roman" w:cs="Times New Roman"/>
        </w:rPr>
        <w:t xml:space="preserve">at 1 (Nov. 12, 2020), available at: </w:t>
      </w:r>
      <w:hyperlink r:id="rId1" w:history="1">
        <w:r w:rsidRPr="00172D49">
          <w:rPr>
            <w:rStyle w:val="Hyperlink"/>
            <w:rFonts w:ascii="Times New Roman" w:hAnsi="Times New Roman" w:cs="Times New Roman"/>
          </w:rPr>
          <w:t>https://www.ohiomfg.com/wp-content/uploads/Ohios-Worsening-OVEC-Situation-11.9.2020-Final.pdf</w:t>
        </w:r>
      </w:hyperlink>
      <w:r w:rsidRPr="00172D49" w:rsidR="00C46911">
        <w:rPr>
          <w:rStyle w:val="Hyperlink"/>
          <w:rFonts w:ascii="Times New Roman" w:hAnsi="Times New Roman" w:cs="Times New Roman"/>
          <w:u w:val="none"/>
        </w:rPr>
        <w:t>.</w:t>
      </w:r>
    </w:p>
  </w:footnote>
  <w:footnote w:id="3">
    <w:p w:rsidR="004213B2" w:rsidRPr="00172D49" w:rsidP="00C46911" w14:paraId="2FD88CDC" w14:textId="34F97DE9">
      <w:pPr>
        <w:pStyle w:val="FootnoteText"/>
        <w:spacing w:after="120"/>
        <w:rPr>
          <w:rFonts w:ascii="Times New Roman" w:hAnsi="Times New Roman" w:cs="Times New Roman"/>
        </w:rPr>
      </w:pPr>
      <w:r w:rsidRPr="00172D49">
        <w:rPr>
          <w:rStyle w:val="FootnoteReference"/>
          <w:rFonts w:ascii="Times New Roman" w:hAnsi="Times New Roman" w:cs="Times New Roman"/>
        </w:rPr>
        <w:footnoteRef/>
      </w:r>
      <w:r w:rsidRPr="00172D49">
        <w:rPr>
          <w:rFonts w:ascii="Times New Roman" w:hAnsi="Times New Roman" w:cs="Times New Roman"/>
        </w:rPr>
        <w:t xml:space="preserve"> </w:t>
      </w:r>
      <w:r w:rsidRPr="00172D49">
        <w:rPr>
          <w:rFonts w:ascii="Times New Roman" w:hAnsi="Times New Roman" w:cs="Times New Roman"/>
          <w:i/>
          <w:iCs/>
        </w:rPr>
        <w:t>In the Matter of the Review of the Power Purchase Agreement Rider of Ohio Power Company for 2018</w:t>
      </w:r>
      <w:r w:rsidRPr="00172D49" w:rsidR="00C46911">
        <w:rPr>
          <w:rFonts w:ascii="Times New Roman" w:hAnsi="Times New Roman" w:cs="Times New Roman"/>
          <w:i/>
          <w:iCs/>
        </w:rPr>
        <w:t xml:space="preserve"> </w:t>
      </w:r>
      <w:r w:rsidRPr="00172D49">
        <w:rPr>
          <w:rFonts w:ascii="Times New Roman" w:hAnsi="Times New Roman" w:cs="Times New Roman"/>
        </w:rPr>
        <w:t>Case No. 18-1004-EL-RDR Audit Report at 9 (Sept. 16, 2020).</w:t>
      </w:r>
    </w:p>
  </w:footnote>
  <w:footnote w:id="4">
    <w:p w:rsidR="004213B2" w:rsidRPr="00172D49" w:rsidP="00C46911" w14:paraId="21A08EF8" w14:textId="77777777">
      <w:pPr>
        <w:pStyle w:val="FootnoteText"/>
        <w:spacing w:after="120"/>
        <w:rPr>
          <w:rFonts w:ascii="Times New Roman" w:hAnsi="Times New Roman"/>
        </w:rPr>
      </w:pPr>
      <w:r w:rsidRPr="00172D49">
        <w:rPr>
          <w:rStyle w:val="FootnoteReference"/>
          <w:rFonts w:ascii="Times New Roman" w:hAnsi="Times New Roman" w:cs="Times New Roman"/>
        </w:rPr>
        <w:footnoteRef/>
      </w:r>
      <w:r w:rsidRPr="00172D49">
        <w:rPr>
          <w:rFonts w:ascii="Times New Roman" w:hAnsi="Times New Roman" w:cs="Times New Roman"/>
        </w:rPr>
        <w:t xml:space="preserve"> </w:t>
      </w:r>
      <w:r w:rsidRPr="00172D49">
        <w:rPr>
          <w:rFonts w:ascii="Times New Roman" w:hAnsi="Times New Roman" w:cs="Times New Roman"/>
          <w:i/>
          <w:iCs/>
        </w:rPr>
        <w:t>Id.</w:t>
      </w:r>
    </w:p>
  </w:footnote>
  <w:footnote w:id="5">
    <w:p w:rsidR="00870B82" w:rsidRPr="00172D49" w:rsidP="00C46911" w14:paraId="3D7A8E21" w14:textId="537C5273">
      <w:pPr>
        <w:pStyle w:val="FootnoteText"/>
        <w:spacing w:after="120"/>
        <w:rPr>
          <w:rFonts w:ascii="Times New Roman" w:hAnsi="Times New Roman" w:cs="Times New Roman"/>
          <w:b/>
          <w:bCs/>
        </w:rPr>
      </w:pPr>
      <w:r w:rsidRPr="00172D49">
        <w:rPr>
          <w:rStyle w:val="FootnoteReference"/>
          <w:rFonts w:ascii="Times New Roman" w:hAnsi="Times New Roman"/>
        </w:rPr>
        <w:footnoteRef/>
      </w:r>
      <w:r w:rsidRPr="00172D49">
        <w:rPr>
          <w:rFonts w:ascii="Times New Roman" w:hAnsi="Times New Roman"/>
        </w:rPr>
        <w:t xml:space="preserve"> </w:t>
      </w:r>
      <w:r w:rsidRPr="00172D49">
        <w:rPr>
          <w:rFonts w:ascii="Times New Roman" w:hAnsi="Times New Roman" w:cs="Times New Roman"/>
        </w:rPr>
        <w:t xml:space="preserve">Potomac Economics, </w:t>
      </w:r>
      <w:r w:rsidRPr="00172D49">
        <w:rPr>
          <w:rFonts w:ascii="Times New Roman" w:hAnsi="Times New Roman" w:cs="Times New Roman"/>
          <w:i/>
          <w:iCs/>
        </w:rPr>
        <w:t xml:space="preserve">A Review of the Commitment and Dispatch of Coal Generators in MISO </w:t>
      </w:r>
      <w:r w:rsidRPr="00172D49">
        <w:rPr>
          <w:rFonts w:ascii="Times New Roman" w:hAnsi="Times New Roman" w:cs="Times New Roman"/>
        </w:rPr>
        <w:t>at 2 (Sept. 2020).</w:t>
      </w:r>
    </w:p>
  </w:footnote>
  <w:footnote w:id="6">
    <w:p w:rsidR="00870B82" w:rsidRPr="00172D49" w:rsidP="00C46911" w14:paraId="44315214" w14:textId="6373F784">
      <w:pPr>
        <w:pStyle w:val="FootnoteText"/>
        <w:spacing w:after="120"/>
        <w:rPr>
          <w:rFonts w:ascii="Times New Roman" w:hAnsi="Times New Roman" w:cs="Times New Roman"/>
        </w:rPr>
      </w:pPr>
      <w:r w:rsidRPr="00172D49">
        <w:rPr>
          <w:rStyle w:val="FootnoteReference"/>
          <w:rFonts w:ascii="Times New Roman" w:hAnsi="Times New Roman" w:cs="Times New Roman"/>
        </w:rPr>
        <w:footnoteRef/>
      </w:r>
      <w:r w:rsidRPr="00172D49">
        <w:rPr>
          <w:rFonts w:ascii="Times New Roman" w:hAnsi="Times New Roman" w:cs="Times New Roman"/>
        </w:rPr>
        <w:t xml:space="preserve"> </w:t>
      </w:r>
      <w:r w:rsidRPr="00172D49">
        <w:rPr>
          <w:rFonts w:ascii="Times New Roman" w:hAnsi="Times New Roman" w:cs="Times New Roman"/>
          <w:i/>
          <w:iCs/>
        </w:rPr>
        <w:t xml:space="preserve">In re Ohio Power PPA Rider, </w:t>
      </w:r>
      <w:r w:rsidRPr="00172D49">
        <w:rPr>
          <w:rFonts w:ascii="Times New Roman" w:hAnsi="Times New Roman" w:cs="Times New Roman"/>
        </w:rPr>
        <w:t>Case No. 14-1693-EL-RDR Opinion and Order at 89 (Mar. 31, 2016).</w:t>
      </w:r>
    </w:p>
  </w:footnote>
  <w:footnote w:id="7">
    <w:p w:rsidR="004213B2" w:rsidRPr="00172D49" w:rsidP="00C46911" w14:paraId="7811DB3D" w14:textId="601446F8">
      <w:pPr>
        <w:pStyle w:val="FootnoteText"/>
        <w:spacing w:after="120"/>
        <w:rPr>
          <w:rFonts w:ascii="Times New Roman" w:hAnsi="Times New Roman" w:cs="Times New Roman"/>
          <w:b/>
          <w:bCs/>
          <w:i/>
          <w:iCs/>
        </w:rPr>
      </w:pPr>
      <w:r w:rsidRPr="00172D49">
        <w:rPr>
          <w:rStyle w:val="FootnoteReference"/>
          <w:rFonts w:ascii="Times New Roman" w:hAnsi="Times New Roman" w:cs="Times New Roman"/>
        </w:rPr>
        <w:footnoteRef/>
      </w:r>
      <w:r w:rsidRPr="00172D49">
        <w:rPr>
          <w:rFonts w:ascii="Times New Roman" w:hAnsi="Times New Roman" w:cs="Times New Roman"/>
        </w:rPr>
        <w:t xml:space="preserve"> </w:t>
      </w:r>
      <w:r w:rsidRPr="00172D49">
        <w:rPr>
          <w:rFonts w:ascii="Times New Roman" w:hAnsi="Times New Roman" w:cs="Times New Roman"/>
          <w:i/>
          <w:iCs/>
        </w:rPr>
        <w:t>Id.</w:t>
      </w:r>
    </w:p>
  </w:footnote>
  <w:footnote w:id="8">
    <w:p w:rsidR="004213B2" w:rsidRPr="00172D49" w:rsidP="00C46911" w14:paraId="60149BFC" w14:textId="1B3FC7F1">
      <w:pPr>
        <w:pStyle w:val="FootnoteText"/>
        <w:spacing w:after="120"/>
        <w:rPr>
          <w:rFonts w:ascii="Times New Roman" w:hAnsi="Times New Roman"/>
        </w:rPr>
      </w:pPr>
      <w:r w:rsidRPr="00172D49">
        <w:rPr>
          <w:rStyle w:val="FootnoteReference"/>
          <w:rFonts w:ascii="Times New Roman" w:hAnsi="Times New Roman"/>
        </w:rPr>
        <w:footnoteRef/>
      </w:r>
      <w:r w:rsidRPr="00172D49">
        <w:rPr>
          <w:rFonts w:ascii="Times New Roman" w:hAnsi="Times New Roman"/>
        </w:rPr>
        <w:t xml:space="preserve"> </w:t>
      </w:r>
      <w:r w:rsidRPr="00172D49">
        <w:rPr>
          <w:rFonts w:ascii="Times New Roman" w:hAnsi="Times New Roman" w:cs="Times New Roman"/>
          <w:i/>
          <w:iCs/>
        </w:rPr>
        <w:t xml:space="preserve">In re Ohio Power PPA Rider, </w:t>
      </w:r>
      <w:r w:rsidRPr="00172D49">
        <w:rPr>
          <w:rFonts w:ascii="Times New Roman" w:hAnsi="Times New Roman" w:cs="Times New Roman"/>
        </w:rPr>
        <w:t xml:space="preserve">Case No. 14-1693-EL-RDR Brief for </w:t>
      </w:r>
      <w:r w:rsidRPr="00172D49">
        <w:rPr>
          <w:rFonts w:ascii="Times New Roman" w:hAnsi="Times New Roman" w:cs="Times New Roman"/>
          <w:i/>
          <w:iCs/>
        </w:rPr>
        <w:t xml:space="preserve">Amicus Curiae </w:t>
      </w:r>
      <w:r w:rsidRPr="00172D49">
        <w:rPr>
          <w:rFonts w:ascii="Times New Roman" w:hAnsi="Times New Roman" w:cs="Times New Roman"/>
        </w:rPr>
        <w:t>PJM Interconnection, L.L.C. at 4 (Feb. 1, 2016).</w:t>
      </w:r>
      <w:r w:rsidRPr="00172D49" w:rsidR="00C46911">
        <w:rPr>
          <w:rFonts w:ascii="Times New Roman" w:hAnsi="Times New Roman"/>
        </w:rPr>
        <w:t xml:space="preserve"> </w:t>
      </w:r>
    </w:p>
  </w:footnote>
  <w:footnote w:id="9">
    <w:p w:rsidR="007F49B9" w:rsidRPr="00172D49" w:rsidP="00C46911" w14:paraId="3B6518FB" w14:textId="77777777">
      <w:pPr>
        <w:pStyle w:val="FootnoteText"/>
        <w:spacing w:after="120"/>
        <w:rPr>
          <w:rFonts w:ascii="Times New Roman" w:hAnsi="Times New Roman" w:cs="Times New Roman"/>
        </w:rPr>
      </w:pPr>
      <w:r w:rsidRPr="00172D49">
        <w:rPr>
          <w:rStyle w:val="FootnoteReference"/>
          <w:rFonts w:ascii="Times New Roman" w:hAnsi="Times New Roman" w:cs="Times New Roman"/>
        </w:rPr>
        <w:footnoteRef/>
      </w:r>
      <w:r w:rsidRPr="00172D49">
        <w:rPr>
          <w:rFonts w:ascii="Times New Roman" w:hAnsi="Times New Roman" w:cs="Times New Roman"/>
        </w:rPr>
        <w:t xml:space="preserve"> </w:t>
      </w:r>
      <w:r w:rsidRPr="00172D49">
        <w:rPr>
          <w:rFonts w:ascii="Times New Roman" w:hAnsi="Times New Roman" w:cs="Times New Roman"/>
          <w:i/>
        </w:rPr>
        <w:t>In the Matter of the Review of the Power Purchase Agreement Rider of Ohio Power Company for 2018 and 2019</w:t>
      </w:r>
      <w:r w:rsidRPr="00172D49">
        <w:rPr>
          <w:rFonts w:ascii="Times New Roman" w:hAnsi="Times New Roman" w:cs="Times New Roman"/>
          <w:iCs/>
        </w:rPr>
        <w:t xml:space="preserve">, </w:t>
      </w:r>
      <w:r w:rsidRPr="00172D49">
        <w:rPr>
          <w:rFonts w:ascii="Times New Roman" w:hAnsi="Times New Roman" w:cs="Times New Roman"/>
        </w:rPr>
        <w:t>Case Nos. 18-1004-EL-RDR and 18-1759-EL-RDR Audit Report at 16 (Sept. 16, 2020).</w:t>
      </w:r>
    </w:p>
  </w:footnote>
  <w:footnote w:id="10">
    <w:p w:rsidR="00D50C20" w:rsidRPr="00172D49" w:rsidP="00C46911" w14:paraId="72B459F9" w14:textId="77777777">
      <w:pPr>
        <w:pStyle w:val="FootnoteText"/>
        <w:spacing w:after="120"/>
        <w:rPr>
          <w:rFonts w:ascii="Times New Roman" w:hAnsi="Times New Roman" w:cs="Times New Roman"/>
          <w:iCs/>
        </w:rPr>
      </w:pPr>
      <w:r w:rsidRPr="00172D49">
        <w:rPr>
          <w:rStyle w:val="FootnoteReference"/>
          <w:rFonts w:ascii="Times New Roman" w:hAnsi="Times New Roman" w:cs="Times New Roman"/>
        </w:rPr>
        <w:footnoteRef/>
      </w:r>
      <w:r w:rsidRPr="00172D49">
        <w:rPr>
          <w:rFonts w:ascii="Times New Roman" w:hAnsi="Times New Roman" w:cs="Times New Roman"/>
        </w:rPr>
        <w:t xml:space="preserve"> </w:t>
      </w:r>
      <w:r w:rsidRPr="00172D49">
        <w:rPr>
          <w:rFonts w:ascii="Times New Roman" w:hAnsi="Times New Roman" w:cs="Times New Roman"/>
          <w:i/>
        </w:rPr>
        <w:t>See also</w:t>
      </w:r>
      <w:r w:rsidRPr="00172D49">
        <w:rPr>
          <w:rFonts w:ascii="Times New Roman" w:hAnsi="Times New Roman" w:cs="Times New Roman"/>
          <w:szCs w:val="24"/>
        </w:rPr>
        <w:t xml:space="preserve"> </w:t>
      </w:r>
      <w:r w:rsidRPr="00172D49">
        <w:rPr>
          <w:rFonts w:ascii="Times New Roman" w:hAnsi="Times New Roman" w:cs="Times New Roman"/>
          <w:iCs/>
          <w:szCs w:val="24"/>
        </w:rPr>
        <w:t>OCC v. PUC,</w:t>
      </w:r>
      <w:r w:rsidRPr="00172D49">
        <w:rPr>
          <w:rFonts w:ascii="Times New Roman" w:hAnsi="Times New Roman" w:cs="Times New Roman"/>
          <w:szCs w:val="24"/>
        </w:rPr>
        <w:t xml:space="preserve"> 111 Ohio St.3d 300, 2006-Ohio-5789.</w:t>
      </w:r>
    </w:p>
  </w:footnote>
  <w:footnote w:id="11">
    <w:p w:rsidR="00072B33" w:rsidRPr="00172D49" w:rsidP="00C46911" w14:paraId="321EC2C0" w14:textId="31158FF7">
      <w:pPr>
        <w:pStyle w:val="FootnoteText"/>
        <w:spacing w:after="120"/>
        <w:rPr>
          <w:rFonts w:ascii="Times New Roman" w:hAnsi="Times New Roman"/>
        </w:rPr>
      </w:pPr>
      <w:r w:rsidRPr="00172D49">
        <w:rPr>
          <w:rStyle w:val="FootnoteReference"/>
          <w:rFonts w:ascii="Times New Roman" w:hAnsi="Times New Roman"/>
        </w:rPr>
        <w:footnoteRef/>
      </w:r>
      <w:r w:rsidRPr="00172D49" w:rsidR="00C46911">
        <w:rPr>
          <w:rFonts w:ascii="Times New Roman" w:hAnsi="Times New Roman"/>
        </w:rPr>
        <w:t xml:space="preserve"> </w:t>
      </w:r>
      <w:r w:rsidRPr="00172D49">
        <w:rPr>
          <w:rFonts w:ascii="Times New Roman" w:hAnsi="Times New Roman" w:cs="Times New Roman"/>
          <w:i/>
          <w:iCs/>
          <w:szCs w:val="24"/>
        </w:rPr>
        <w:t>In the Matter of the Review of the Political and Charitable Spending by Ohio Edison Company, the Cleveland Electric Illuminating Company and the Toledo Edison Company</w:t>
      </w:r>
      <w:r w:rsidRPr="00172D49">
        <w:rPr>
          <w:rFonts w:ascii="Times New Roman" w:hAnsi="Times New Roman" w:cs="Times New Roman"/>
          <w:szCs w:val="24"/>
        </w:rPr>
        <w:t>, Case No. 20-1502-EL-UNC</w:t>
      </w:r>
      <w:r w:rsidRPr="00172D49" w:rsidR="008748C4">
        <w:rPr>
          <w:rFonts w:ascii="Times New Roman" w:hAnsi="Times New Roman" w:cs="Times New Roman"/>
          <w:szCs w:val="24"/>
        </w:rPr>
        <w:t xml:space="preserve"> Amended Notice to Take Deposition and Request for Production of Documents by the Office of the Ohio Consumers’ Counsel (Jan. 27, 2021).</w:t>
      </w:r>
    </w:p>
  </w:footnote>
  <w:footnote w:id="12">
    <w:p w:rsidR="008748C4" w:rsidRPr="00172D49" w:rsidP="00C46911" w14:paraId="1167D76D" w14:textId="03DCB8C6">
      <w:pPr>
        <w:pStyle w:val="FootnoteText"/>
        <w:spacing w:after="120"/>
        <w:rPr>
          <w:rFonts w:ascii="Times New Roman" w:hAnsi="Times New Roman"/>
        </w:rPr>
      </w:pPr>
      <w:r w:rsidRPr="00172D49">
        <w:rPr>
          <w:rStyle w:val="FootnoteReference"/>
          <w:rFonts w:ascii="Times New Roman" w:hAnsi="Times New Roman"/>
        </w:rPr>
        <w:footnoteRef/>
      </w:r>
      <w:r w:rsidRPr="00172D49">
        <w:rPr>
          <w:rFonts w:ascii="Times New Roman" w:hAnsi="Times New Roman"/>
        </w:rPr>
        <w:t xml:space="preserve"> </w:t>
      </w:r>
      <w:r w:rsidRPr="00172D49">
        <w:rPr>
          <w:rFonts w:ascii="Times New Roman" w:hAnsi="Times New Roman" w:cs="Times New Roman"/>
          <w:i/>
        </w:rPr>
        <w:t>In the Matter of the Review of the Reconciliation Rider of Duke Energy Ohio, Inc.,</w:t>
      </w:r>
      <w:r w:rsidRPr="00172D49">
        <w:rPr>
          <w:rFonts w:ascii="Times New Roman" w:hAnsi="Times New Roman" w:cs="Times New Roman"/>
        </w:rPr>
        <w:t xml:space="preserve"> Case No. 20-167-EL-RDR Deposition of John Swez (Jan. 12, 2021).</w:t>
      </w:r>
      <w:r w:rsidRPr="00172D49" w:rsidR="00C46911">
        <w:rPr>
          <w:rFonts w:ascii="Times New Roman" w:hAnsi="Times New Roman" w:cs="Times New Roman"/>
        </w:rPr>
        <w:t xml:space="preserve"> </w:t>
      </w:r>
    </w:p>
  </w:footnote>
  <w:footnote w:id="13">
    <w:p w:rsidR="006D3212" w:rsidRPr="00172D49" w:rsidP="00C46911" w14:paraId="7ACB32AB" w14:textId="77777777">
      <w:pPr>
        <w:pStyle w:val="FootnoteText"/>
        <w:spacing w:after="120"/>
        <w:rPr>
          <w:rFonts w:ascii="Times New Roman" w:hAnsi="Times New Roman" w:cs="Times New Roman"/>
        </w:rPr>
      </w:pPr>
      <w:r w:rsidRPr="00172D49">
        <w:rPr>
          <w:rStyle w:val="FootnoteReference"/>
          <w:rFonts w:ascii="Times New Roman" w:hAnsi="Times New Roman" w:cs="Times New Roman"/>
        </w:rPr>
        <w:footnoteRef/>
      </w:r>
      <w:r w:rsidRPr="00172D49">
        <w:rPr>
          <w:rFonts w:ascii="Times New Roman" w:hAnsi="Times New Roman" w:cs="Times New Roman"/>
        </w:rPr>
        <w:t xml:space="preserve"> </w:t>
      </w:r>
      <w:r w:rsidRPr="00172D49">
        <w:rPr>
          <w:rFonts w:ascii="Times New Roman" w:hAnsi="Times New Roman" w:cs="Times New Roman"/>
          <w:i/>
          <w:iCs/>
        </w:rPr>
        <w:t>In the Matter of the Review of the Reconciliation Rider of The Dayton Power &amp; Light Company</w:t>
      </w:r>
      <w:r w:rsidRPr="00172D49">
        <w:rPr>
          <w:rFonts w:ascii="Times New Roman" w:hAnsi="Times New Roman" w:cs="Times New Roman"/>
        </w:rPr>
        <w:t xml:space="preserve">, Case No. 20-165-EL-RDR The Dayton Power &amp; Light Company’s Objections and Responses to the Ohio Consumers’ Counsel’s Interrogatories and Requests for Production of Documents (Second Set) at 3 (Jan. 6, 2021) (emphasis added).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117EFD"/>
    <w:multiLevelType w:val="hybridMultilevel"/>
    <w:tmpl w:val="F9D88C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C1D21DD"/>
    <w:multiLevelType w:val="hybridMultilevel"/>
    <w:tmpl w:val="BAB8BD04"/>
    <w:lvl w:ilvl="0">
      <w:start w:val="1"/>
      <w:numFmt w:val="upperLetter"/>
      <w:lvlText w:val="%1."/>
      <w:lvlJc w:val="left"/>
      <w:pPr>
        <w:ind w:left="3060" w:hanging="360"/>
      </w:pPr>
      <w:rPr>
        <w:rFonts w:hint="default"/>
      </w:r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5">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ABE56FE"/>
    <w:multiLevelType w:val="hybridMultilevel"/>
    <w:tmpl w:val="4448F1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B397E05"/>
    <w:multiLevelType w:val="hybridMultilevel"/>
    <w:tmpl w:val="3F8C643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E751A5A"/>
    <w:multiLevelType w:val="hybridMultilevel"/>
    <w:tmpl w:val="B268AE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5893D15"/>
    <w:multiLevelType w:val="hybridMultilevel"/>
    <w:tmpl w:val="6C00BE8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C4471E"/>
    <w:multiLevelType w:val="hybridMultilevel"/>
    <w:tmpl w:val="0EECB84A"/>
    <w:lvl w:ilvl="0">
      <w:start w:val="1"/>
      <w:numFmt w:val="upperRoman"/>
      <w:pStyle w:val="Heading1"/>
      <w:lvlText w:val="%1."/>
      <w:lvlJc w:val="left"/>
      <w:pPr>
        <w:ind w:left="2430" w:hanging="360"/>
      </w:pPr>
      <w:rPr>
        <w:rFonts w:hint="default"/>
      </w:rPr>
    </w:lvl>
    <w:lvl w:ilvl="1">
      <w:start w:val="1"/>
      <w:numFmt w:val="upp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070" w:hanging="360"/>
      </w:pPr>
      <w:rPr>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CBD3744"/>
    <w:multiLevelType w:val="hybridMultilevel"/>
    <w:tmpl w:val="020A8A4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5"/>
  </w:num>
  <w:num w:numId="6">
    <w:abstractNumId w:val="12"/>
  </w:num>
  <w:num w:numId="7">
    <w:abstractNumId w:val="3"/>
  </w:num>
  <w:num w:numId="8">
    <w:abstractNumId w:val="11"/>
  </w:num>
  <w:num w:numId="9">
    <w:abstractNumId w:val="10"/>
  </w:num>
  <w:num w:numId="10">
    <w:abstractNumId w:val="6"/>
  </w:num>
  <w:num w:numId="11">
    <w:abstractNumId w:val="9"/>
  </w:num>
  <w:num w:numId="12">
    <w:abstractNumId w:val="1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8A"/>
    <w:rsid w:val="0000210C"/>
    <w:rsid w:val="00003440"/>
    <w:rsid w:val="00003B4B"/>
    <w:rsid w:val="00006155"/>
    <w:rsid w:val="00021FA7"/>
    <w:rsid w:val="00030948"/>
    <w:rsid w:val="00032800"/>
    <w:rsid w:val="00034C9D"/>
    <w:rsid w:val="0003578A"/>
    <w:rsid w:val="00036160"/>
    <w:rsid w:val="00041B4B"/>
    <w:rsid w:val="00044A02"/>
    <w:rsid w:val="0005003B"/>
    <w:rsid w:val="00052FD0"/>
    <w:rsid w:val="00054415"/>
    <w:rsid w:val="000549EB"/>
    <w:rsid w:val="0006143C"/>
    <w:rsid w:val="00066342"/>
    <w:rsid w:val="00066D29"/>
    <w:rsid w:val="00067292"/>
    <w:rsid w:val="00072B33"/>
    <w:rsid w:val="0007419E"/>
    <w:rsid w:val="00085E5E"/>
    <w:rsid w:val="00087897"/>
    <w:rsid w:val="00092E8F"/>
    <w:rsid w:val="00093FF7"/>
    <w:rsid w:val="00096965"/>
    <w:rsid w:val="00097429"/>
    <w:rsid w:val="000A0033"/>
    <w:rsid w:val="000A44C6"/>
    <w:rsid w:val="000A4C89"/>
    <w:rsid w:val="000A76F7"/>
    <w:rsid w:val="000A78C8"/>
    <w:rsid w:val="000B15CF"/>
    <w:rsid w:val="000B4D40"/>
    <w:rsid w:val="000D0410"/>
    <w:rsid w:val="000D1922"/>
    <w:rsid w:val="000E1A4F"/>
    <w:rsid w:val="000E291B"/>
    <w:rsid w:val="000E2DCC"/>
    <w:rsid w:val="000E635C"/>
    <w:rsid w:val="00104975"/>
    <w:rsid w:val="001072B1"/>
    <w:rsid w:val="00121CA6"/>
    <w:rsid w:val="00123BE9"/>
    <w:rsid w:val="00133688"/>
    <w:rsid w:val="00133A1E"/>
    <w:rsid w:val="001539E3"/>
    <w:rsid w:val="00155182"/>
    <w:rsid w:val="00155797"/>
    <w:rsid w:val="00161491"/>
    <w:rsid w:val="0016768D"/>
    <w:rsid w:val="0017032C"/>
    <w:rsid w:val="00172D49"/>
    <w:rsid w:val="001745EF"/>
    <w:rsid w:val="00174A40"/>
    <w:rsid w:val="00197107"/>
    <w:rsid w:val="001A001C"/>
    <w:rsid w:val="001A21F1"/>
    <w:rsid w:val="001A5FBA"/>
    <w:rsid w:val="001B3D8E"/>
    <w:rsid w:val="001B4746"/>
    <w:rsid w:val="001B590F"/>
    <w:rsid w:val="001B704E"/>
    <w:rsid w:val="001C6983"/>
    <w:rsid w:val="001C7875"/>
    <w:rsid w:val="001E4D10"/>
    <w:rsid w:val="001E71E1"/>
    <w:rsid w:val="001F7235"/>
    <w:rsid w:val="001F79BE"/>
    <w:rsid w:val="00211740"/>
    <w:rsid w:val="0021536E"/>
    <w:rsid w:val="00233AA6"/>
    <w:rsid w:val="00233D62"/>
    <w:rsid w:val="00235EB1"/>
    <w:rsid w:val="002635D8"/>
    <w:rsid w:val="00265306"/>
    <w:rsid w:val="00267DDE"/>
    <w:rsid w:val="00272C9D"/>
    <w:rsid w:val="002802B6"/>
    <w:rsid w:val="002810D2"/>
    <w:rsid w:val="002911D7"/>
    <w:rsid w:val="002A467F"/>
    <w:rsid w:val="002A7BB3"/>
    <w:rsid w:val="002B05E1"/>
    <w:rsid w:val="002C30E1"/>
    <w:rsid w:val="002C3E6E"/>
    <w:rsid w:val="002C66EC"/>
    <w:rsid w:val="002D0764"/>
    <w:rsid w:val="002D13D1"/>
    <w:rsid w:val="002D48B1"/>
    <w:rsid w:val="002E75C1"/>
    <w:rsid w:val="002F495F"/>
    <w:rsid w:val="002F5643"/>
    <w:rsid w:val="002F5CF1"/>
    <w:rsid w:val="002F77DD"/>
    <w:rsid w:val="00303516"/>
    <w:rsid w:val="00303862"/>
    <w:rsid w:val="00320416"/>
    <w:rsid w:val="003212D2"/>
    <w:rsid w:val="00322652"/>
    <w:rsid w:val="00324825"/>
    <w:rsid w:val="00324F28"/>
    <w:rsid w:val="003306E6"/>
    <w:rsid w:val="003343CF"/>
    <w:rsid w:val="0033728C"/>
    <w:rsid w:val="00337836"/>
    <w:rsid w:val="00342642"/>
    <w:rsid w:val="0034352E"/>
    <w:rsid w:val="00347373"/>
    <w:rsid w:val="00363BF3"/>
    <w:rsid w:val="00366881"/>
    <w:rsid w:val="0037381A"/>
    <w:rsid w:val="00373927"/>
    <w:rsid w:val="003769EE"/>
    <w:rsid w:val="003776F2"/>
    <w:rsid w:val="00382D54"/>
    <w:rsid w:val="00387C09"/>
    <w:rsid w:val="00396CA9"/>
    <w:rsid w:val="003A1076"/>
    <w:rsid w:val="003A2E45"/>
    <w:rsid w:val="003A6F04"/>
    <w:rsid w:val="003A7908"/>
    <w:rsid w:val="003A7C2B"/>
    <w:rsid w:val="003B6637"/>
    <w:rsid w:val="003C3378"/>
    <w:rsid w:val="003D2C29"/>
    <w:rsid w:val="003D34A7"/>
    <w:rsid w:val="003D4F1B"/>
    <w:rsid w:val="003D69E0"/>
    <w:rsid w:val="003E7FCF"/>
    <w:rsid w:val="003F494D"/>
    <w:rsid w:val="003F6539"/>
    <w:rsid w:val="00400C6D"/>
    <w:rsid w:val="00401532"/>
    <w:rsid w:val="004024EB"/>
    <w:rsid w:val="00406192"/>
    <w:rsid w:val="004067F3"/>
    <w:rsid w:val="004078BC"/>
    <w:rsid w:val="004126EC"/>
    <w:rsid w:val="00413711"/>
    <w:rsid w:val="00413AA8"/>
    <w:rsid w:val="00420705"/>
    <w:rsid w:val="004213B2"/>
    <w:rsid w:val="004215EB"/>
    <w:rsid w:val="004226F5"/>
    <w:rsid w:val="00423176"/>
    <w:rsid w:val="00423526"/>
    <w:rsid w:val="00425F88"/>
    <w:rsid w:val="004260EA"/>
    <w:rsid w:val="004261A7"/>
    <w:rsid w:val="00427240"/>
    <w:rsid w:val="00433511"/>
    <w:rsid w:val="004421DD"/>
    <w:rsid w:val="004442DA"/>
    <w:rsid w:val="00451714"/>
    <w:rsid w:val="004558B7"/>
    <w:rsid w:val="00456342"/>
    <w:rsid w:val="00456C6F"/>
    <w:rsid w:val="00457EAE"/>
    <w:rsid w:val="004618CE"/>
    <w:rsid w:val="00463262"/>
    <w:rsid w:val="00465ADB"/>
    <w:rsid w:val="0047289F"/>
    <w:rsid w:val="004767C4"/>
    <w:rsid w:val="00482968"/>
    <w:rsid w:val="004918DF"/>
    <w:rsid w:val="0049219B"/>
    <w:rsid w:val="00494F58"/>
    <w:rsid w:val="00497A78"/>
    <w:rsid w:val="004A59E9"/>
    <w:rsid w:val="004A5A97"/>
    <w:rsid w:val="004A6170"/>
    <w:rsid w:val="004B7047"/>
    <w:rsid w:val="004B7B1C"/>
    <w:rsid w:val="004C0310"/>
    <w:rsid w:val="004C0C6C"/>
    <w:rsid w:val="004C3850"/>
    <w:rsid w:val="004C738C"/>
    <w:rsid w:val="004C7C3A"/>
    <w:rsid w:val="004D23A4"/>
    <w:rsid w:val="004E0143"/>
    <w:rsid w:val="004E2D09"/>
    <w:rsid w:val="004E6015"/>
    <w:rsid w:val="004E6992"/>
    <w:rsid w:val="004F2455"/>
    <w:rsid w:val="00502FC7"/>
    <w:rsid w:val="00511626"/>
    <w:rsid w:val="005142AC"/>
    <w:rsid w:val="00514C00"/>
    <w:rsid w:val="0052413E"/>
    <w:rsid w:val="00525CB3"/>
    <w:rsid w:val="00530517"/>
    <w:rsid w:val="00532450"/>
    <w:rsid w:val="00533FCE"/>
    <w:rsid w:val="00537003"/>
    <w:rsid w:val="0054078F"/>
    <w:rsid w:val="0054155F"/>
    <w:rsid w:val="00547D51"/>
    <w:rsid w:val="00563999"/>
    <w:rsid w:val="0056438D"/>
    <w:rsid w:val="00574BC2"/>
    <w:rsid w:val="0057602B"/>
    <w:rsid w:val="00581A2C"/>
    <w:rsid w:val="0058323E"/>
    <w:rsid w:val="00584BA7"/>
    <w:rsid w:val="005978F5"/>
    <w:rsid w:val="00597CE6"/>
    <w:rsid w:val="005A186B"/>
    <w:rsid w:val="005A47F4"/>
    <w:rsid w:val="005B0769"/>
    <w:rsid w:val="005B5509"/>
    <w:rsid w:val="005C1350"/>
    <w:rsid w:val="005C7EDE"/>
    <w:rsid w:val="005D4EA5"/>
    <w:rsid w:val="005E1170"/>
    <w:rsid w:val="005E205C"/>
    <w:rsid w:val="005E6834"/>
    <w:rsid w:val="005F065C"/>
    <w:rsid w:val="005F089C"/>
    <w:rsid w:val="005F163D"/>
    <w:rsid w:val="005F563D"/>
    <w:rsid w:val="005F56D2"/>
    <w:rsid w:val="005F7F7A"/>
    <w:rsid w:val="0060627A"/>
    <w:rsid w:val="00612E28"/>
    <w:rsid w:val="00617286"/>
    <w:rsid w:val="00626159"/>
    <w:rsid w:val="00633AA4"/>
    <w:rsid w:val="00635FF3"/>
    <w:rsid w:val="00645777"/>
    <w:rsid w:val="00654601"/>
    <w:rsid w:val="00655391"/>
    <w:rsid w:val="00655A2C"/>
    <w:rsid w:val="00656B7A"/>
    <w:rsid w:val="0066131F"/>
    <w:rsid w:val="00662553"/>
    <w:rsid w:val="00662CAB"/>
    <w:rsid w:val="0066378C"/>
    <w:rsid w:val="006738A2"/>
    <w:rsid w:val="0067654D"/>
    <w:rsid w:val="00677BBC"/>
    <w:rsid w:val="0068102A"/>
    <w:rsid w:val="006842EE"/>
    <w:rsid w:val="006916BE"/>
    <w:rsid w:val="00696421"/>
    <w:rsid w:val="006964AF"/>
    <w:rsid w:val="006B117A"/>
    <w:rsid w:val="006B23CA"/>
    <w:rsid w:val="006B3DE7"/>
    <w:rsid w:val="006C3978"/>
    <w:rsid w:val="006C3C57"/>
    <w:rsid w:val="006D3212"/>
    <w:rsid w:val="006D4B70"/>
    <w:rsid w:val="006D526E"/>
    <w:rsid w:val="006D7726"/>
    <w:rsid w:val="006E3F1D"/>
    <w:rsid w:val="00704E35"/>
    <w:rsid w:val="007105CA"/>
    <w:rsid w:val="007109BD"/>
    <w:rsid w:val="0071414E"/>
    <w:rsid w:val="00715A38"/>
    <w:rsid w:val="007200FA"/>
    <w:rsid w:val="007323DE"/>
    <w:rsid w:val="0075262B"/>
    <w:rsid w:val="00753902"/>
    <w:rsid w:val="00754612"/>
    <w:rsid w:val="007655D2"/>
    <w:rsid w:val="00771090"/>
    <w:rsid w:val="007774CF"/>
    <w:rsid w:val="0078103F"/>
    <w:rsid w:val="00791207"/>
    <w:rsid w:val="007914D1"/>
    <w:rsid w:val="00797C21"/>
    <w:rsid w:val="007A6EEF"/>
    <w:rsid w:val="007B0E92"/>
    <w:rsid w:val="007B14B2"/>
    <w:rsid w:val="007C248F"/>
    <w:rsid w:val="007C2F91"/>
    <w:rsid w:val="007D533C"/>
    <w:rsid w:val="007D623C"/>
    <w:rsid w:val="007E6588"/>
    <w:rsid w:val="007E79A4"/>
    <w:rsid w:val="007F0112"/>
    <w:rsid w:val="007F15FB"/>
    <w:rsid w:val="007F49B9"/>
    <w:rsid w:val="007F6DAC"/>
    <w:rsid w:val="00806481"/>
    <w:rsid w:val="008142F7"/>
    <w:rsid w:val="0082726A"/>
    <w:rsid w:val="00827624"/>
    <w:rsid w:val="00832469"/>
    <w:rsid w:val="008329FB"/>
    <w:rsid w:val="008418FD"/>
    <w:rsid w:val="00843F8F"/>
    <w:rsid w:val="008444E4"/>
    <w:rsid w:val="00844EB5"/>
    <w:rsid w:val="00845E34"/>
    <w:rsid w:val="00847553"/>
    <w:rsid w:val="00856FB1"/>
    <w:rsid w:val="00864516"/>
    <w:rsid w:val="0086596D"/>
    <w:rsid w:val="00866CBD"/>
    <w:rsid w:val="00870B82"/>
    <w:rsid w:val="008748C4"/>
    <w:rsid w:val="008810E2"/>
    <w:rsid w:val="00881710"/>
    <w:rsid w:val="00882508"/>
    <w:rsid w:val="008871C5"/>
    <w:rsid w:val="008A6D7A"/>
    <w:rsid w:val="008A7E64"/>
    <w:rsid w:val="008B02D6"/>
    <w:rsid w:val="008B5556"/>
    <w:rsid w:val="008B616A"/>
    <w:rsid w:val="008B67B6"/>
    <w:rsid w:val="008B6BA4"/>
    <w:rsid w:val="008D151F"/>
    <w:rsid w:val="008F3042"/>
    <w:rsid w:val="008F4BEF"/>
    <w:rsid w:val="009111FB"/>
    <w:rsid w:val="00912EA3"/>
    <w:rsid w:val="00913FB0"/>
    <w:rsid w:val="00915595"/>
    <w:rsid w:val="00916D22"/>
    <w:rsid w:val="00922D61"/>
    <w:rsid w:val="0092727A"/>
    <w:rsid w:val="00932AF0"/>
    <w:rsid w:val="0093494F"/>
    <w:rsid w:val="00935365"/>
    <w:rsid w:val="009454AD"/>
    <w:rsid w:val="009474FE"/>
    <w:rsid w:val="00952C80"/>
    <w:rsid w:val="00953767"/>
    <w:rsid w:val="00954B6D"/>
    <w:rsid w:val="00955F72"/>
    <w:rsid w:val="009610B2"/>
    <w:rsid w:val="00974972"/>
    <w:rsid w:val="00977C3A"/>
    <w:rsid w:val="009947BC"/>
    <w:rsid w:val="00996E61"/>
    <w:rsid w:val="00997E56"/>
    <w:rsid w:val="009A2DA8"/>
    <w:rsid w:val="009A3BA2"/>
    <w:rsid w:val="009A7B90"/>
    <w:rsid w:val="009B38DC"/>
    <w:rsid w:val="009B6227"/>
    <w:rsid w:val="009B7247"/>
    <w:rsid w:val="009C0062"/>
    <w:rsid w:val="009C1D7D"/>
    <w:rsid w:val="009C79A4"/>
    <w:rsid w:val="009D45C2"/>
    <w:rsid w:val="009D50A4"/>
    <w:rsid w:val="009D688B"/>
    <w:rsid w:val="009D7906"/>
    <w:rsid w:val="009E2810"/>
    <w:rsid w:val="009E3080"/>
    <w:rsid w:val="009F097B"/>
    <w:rsid w:val="009F1315"/>
    <w:rsid w:val="00A0127B"/>
    <w:rsid w:val="00A02067"/>
    <w:rsid w:val="00A028EA"/>
    <w:rsid w:val="00A03F02"/>
    <w:rsid w:val="00A1584A"/>
    <w:rsid w:val="00A16E65"/>
    <w:rsid w:val="00A240A7"/>
    <w:rsid w:val="00A31A8F"/>
    <w:rsid w:val="00A36E47"/>
    <w:rsid w:val="00A37DFD"/>
    <w:rsid w:val="00A455C6"/>
    <w:rsid w:val="00A55084"/>
    <w:rsid w:val="00A55973"/>
    <w:rsid w:val="00A6367C"/>
    <w:rsid w:val="00A7046B"/>
    <w:rsid w:val="00A725FE"/>
    <w:rsid w:val="00A72921"/>
    <w:rsid w:val="00A73FFF"/>
    <w:rsid w:val="00A7667A"/>
    <w:rsid w:val="00A943F7"/>
    <w:rsid w:val="00AA02C6"/>
    <w:rsid w:val="00AB1138"/>
    <w:rsid w:val="00AB1752"/>
    <w:rsid w:val="00AB5FC0"/>
    <w:rsid w:val="00AB64B7"/>
    <w:rsid w:val="00AC4862"/>
    <w:rsid w:val="00AD047C"/>
    <w:rsid w:val="00AD0EE9"/>
    <w:rsid w:val="00AD1706"/>
    <w:rsid w:val="00AD1870"/>
    <w:rsid w:val="00AD569E"/>
    <w:rsid w:val="00AE3CB5"/>
    <w:rsid w:val="00AE47D4"/>
    <w:rsid w:val="00AF0A9B"/>
    <w:rsid w:val="00B06B2B"/>
    <w:rsid w:val="00B071A0"/>
    <w:rsid w:val="00B11D07"/>
    <w:rsid w:val="00B1310E"/>
    <w:rsid w:val="00B138D0"/>
    <w:rsid w:val="00B17DAB"/>
    <w:rsid w:val="00B27B99"/>
    <w:rsid w:val="00B357EC"/>
    <w:rsid w:val="00B43A5E"/>
    <w:rsid w:val="00B457A2"/>
    <w:rsid w:val="00B46ECD"/>
    <w:rsid w:val="00B509D6"/>
    <w:rsid w:val="00B515C4"/>
    <w:rsid w:val="00B52FFB"/>
    <w:rsid w:val="00B6486E"/>
    <w:rsid w:val="00B7127E"/>
    <w:rsid w:val="00B71DEB"/>
    <w:rsid w:val="00B745FC"/>
    <w:rsid w:val="00B85BD1"/>
    <w:rsid w:val="00B90E96"/>
    <w:rsid w:val="00B97198"/>
    <w:rsid w:val="00BA0EB3"/>
    <w:rsid w:val="00BA1F59"/>
    <w:rsid w:val="00BA4CC3"/>
    <w:rsid w:val="00BA4FB7"/>
    <w:rsid w:val="00BA503F"/>
    <w:rsid w:val="00BA7951"/>
    <w:rsid w:val="00BB14A4"/>
    <w:rsid w:val="00BB260F"/>
    <w:rsid w:val="00BB29AA"/>
    <w:rsid w:val="00BB4E25"/>
    <w:rsid w:val="00BD2652"/>
    <w:rsid w:val="00BD2A57"/>
    <w:rsid w:val="00BE1D60"/>
    <w:rsid w:val="00BE772A"/>
    <w:rsid w:val="00BF5206"/>
    <w:rsid w:val="00C03D8E"/>
    <w:rsid w:val="00C057D9"/>
    <w:rsid w:val="00C058D7"/>
    <w:rsid w:val="00C15DAB"/>
    <w:rsid w:val="00C17F0E"/>
    <w:rsid w:val="00C21F76"/>
    <w:rsid w:val="00C22676"/>
    <w:rsid w:val="00C258CE"/>
    <w:rsid w:val="00C27C8A"/>
    <w:rsid w:val="00C27F64"/>
    <w:rsid w:val="00C30D9E"/>
    <w:rsid w:val="00C3141F"/>
    <w:rsid w:val="00C320EF"/>
    <w:rsid w:val="00C37750"/>
    <w:rsid w:val="00C415C9"/>
    <w:rsid w:val="00C46911"/>
    <w:rsid w:val="00C6400A"/>
    <w:rsid w:val="00C661B8"/>
    <w:rsid w:val="00C675E3"/>
    <w:rsid w:val="00C70021"/>
    <w:rsid w:val="00C71943"/>
    <w:rsid w:val="00C87956"/>
    <w:rsid w:val="00C93687"/>
    <w:rsid w:val="00C9435E"/>
    <w:rsid w:val="00C9753E"/>
    <w:rsid w:val="00CC0599"/>
    <w:rsid w:val="00CC45F2"/>
    <w:rsid w:val="00CC62DA"/>
    <w:rsid w:val="00CC6E03"/>
    <w:rsid w:val="00CC7B00"/>
    <w:rsid w:val="00CD3A47"/>
    <w:rsid w:val="00CD5990"/>
    <w:rsid w:val="00CF2299"/>
    <w:rsid w:val="00CF2F78"/>
    <w:rsid w:val="00CF792A"/>
    <w:rsid w:val="00D013D8"/>
    <w:rsid w:val="00D06947"/>
    <w:rsid w:val="00D07437"/>
    <w:rsid w:val="00D164CC"/>
    <w:rsid w:val="00D2094F"/>
    <w:rsid w:val="00D2222A"/>
    <w:rsid w:val="00D22269"/>
    <w:rsid w:val="00D22311"/>
    <w:rsid w:val="00D23B20"/>
    <w:rsid w:val="00D311AD"/>
    <w:rsid w:val="00D41C4D"/>
    <w:rsid w:val="00D42D8E"/>
    <w:rsid w:val="00D4385B"/>
    <w:rsid w:val="00D478D1"/>
    <w:rsid w:val="00D50C20"/>
    <w:rsid w:val="00D516FE"/>
    <w:rsid w:val="00D51CD1"/>
    <w:rsid w:val="00D53FBE"/>
    <w:rsid w:val="00D5651D"/>
    <w:rsid w:val="00D62C01"/>
    <w:rsid w:val="00D637E4"/>
    <w:rsid w:val="00D64631"/>
    <w:rsid w:val="00D6520E"/>
    <w:rsid w:val="00D713A1"/>
    <w:rsid w:val="00D71B55"/>
    <w:rsid w:val="00D721E8"/>
    <w:rsid w:val="00D7368D"/>
    <w:rsid w:val="00D75698"/>
    <w:rsid w:val="00D75FC6"/>
    <w:rsid w:val="00D76435"/>
    <w:rsid w:val="00D77463"/>
    <w:rsid w:val="00D83961"/>
    <w:rsid w:val="00D91228"/>
    <w:rsid w:val="00D97629"/>
    <w:rsid w:val="00D97E23"/>
    <w:rsid w:val="00DA5761"/>
    <w:rsid w:val="00DA6199"/>
    <w:rsid w:val="00DA6A91"/>
    <w:rsid w:val="00DA70FC"/>
    <w:rsid w:val="00DC1DB7"/>
    <w:rsid w:val="00DC3CBF"/>
    <w:rsid w:val="00DC5FF4"/>
    <w:rsid w:val="00DD2D7E"/>
    <w:rsid w:val="00DD4219"/>
    <w:rsid w:val="00DE12BF"/>
    <w:rsid w:val="00DF0473"/>
    <w:rsid w:val="00E01939"/>
    <w:rsid w:val="00E07F74"/>
    <w:rsid w:val="00E10FA6"/>
    <w:rsid w:val="00E14D82"/>
    <w:rsid w:val="00E2084E"/>
    <w:rsid w:val="00E208D3"/>
    <w:rsid w:val="00E20C06"/>
    <w:rsid w:val="00E22C6C"/>
    <w:rsid w:val="00E25711"/>
    <w:rsid w:val="00E354F2"/>
    <w:rsid w:val="00E45ABC"/>
    <w:rsid w:val="00E507D1"/>
    <w:rsid w:val="00E5174E"/>
    <w:rsid w:val="00E5585D"/>
    <w:rsid w:val="00E57199"/>
    <w:rsid w:val="00E64032"/>
    <w:rsid w:val="00E72628"/>
    <w:rsid w:val="00E73CB2"/>
    <w:rsid w:val="00E7577F"/>
    <w:rsid w:val="00E77E4C"/>
    <w:rsid w:val="00E77E8A"/>
    <w:rsid w:val="00E804D5"/>
    <w:rsid w:val="00E82C0A"/>
    <w:rsid w:val="00E8469A"/>
    <w:rsid w:val="00E860CA"/>
    <w:rsid w:val="00EA1D1B"/>
    <w:rsid w:val="00EA548C"/>
    <w:rsid w:val="00EB29A8"/>
    <w:rsid w:val="00EB6FFD"/>
    <w:rsid w:val="00EC1FB5"/>
    <w:rsid w:val="00ED2167"/>
    <w:rsid w:val="00ED674F"/>
    <w:rsid w:val="00EE023B"/>
    <w:rsid w:val="00EE0C0C"/>
    <w:rsid w:val="00EE0D85"/>
    <w:rsid w:val="00EE2BAE"/>
    <w:rsid w:val="00EF653B"/>
    <w:rsid w:val="00F11108"/>
    <w:rsid w:val="00F13F4F"/>
    <w:rsid w:val="00F20DF5"/>
    <w:rsid w:val="00F23920"/>
    <w:rsid w:val="00F2465B"/>
    <w:rsid w:val="00F31560"/>
    <w:rsid w:val="00F334BA"/>
    <w:rsid w:val="00F33A4E"/>
    <w:rsid w:val="00F357F1"/>
    <w:rsid w:val="00F35A83"/>
    <w:rsid w:val="00F4296E"/>
    <w:rsid w:val="00F46E88"/>
    <w:rsid w:val="00F51CC8"/>
    <w:rsid w:val="00F5381E"/>
    <w:rsid w:val="00F545F5"/>
    <w:rsid w:val="00F56378"/>
    <w:rsid w:val="00F742C4"/>
    <w:rsid w:val="00F75195"/>
    <w:rsid w:val="00F77442"/>
    <w:rsid w:val="00F82540"/>
    <w:rsid w:val="00F86629"/>
    <w:rsid w:val="00F94323"/>
    <w:rsid w:val="00FA1728"/>
    <w:rsid w:val="00FA3395"/>
    <w:rsid w:val="00FA3A78"/>
    <w:rsid w:val="00FA4A5E"/>
    <w:rsid w:val="00FA58D2"/>
    <w:rsid w:val="00FA75FD"/>
    <w:rsid w:val="00FB2109"/>
    <w:rsid w:val="00FB3FDB"/>
    <w:rsid w:val="00FC0A26"/>
    <w:rsid w:val="00FD2B5C"/>
    <w:rsid w:val="00FD34EA"/>
    <w:rsid w:val="00FD46BF"/>
    <w:rsid w:val="00FD4ACC"/>
    <w:rsid w:val="00FE0F79"/>
    <w:rsid w:val="00FE5074"/>
    <w:rsid w:val="00FE5219"/>
    <w:rsid w:val="00FE593B"/>
    <w:rsid w:val="00FF42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09"/>
    <w:rPr>
      <w:rFonts w:ascii="Times New Roman" w:hAnsi="Times New Roman"/>
      <w:sz w:val="24"/>
    </w:rPr>
  </w:style>
  <w:style w:type="paragraph" w:styleId="Heading1">
    <w:name w:val="heading 1"/>
    <w:basedOn w:val="Normal"/>
    <w:next w:val="Normal"/>
    <w:link w:val="Heading1Char"/>
    <w:autoRedefine/>
    <w:uiPriority w:val="9"/>
    <w:qFormat/>
    <w:rsid w:val="00FD4ACC"/>
    <w:pPr>
      <w:keepNext/>
      <w:numPr>
        <w:numId w:val="8"/>
      </w:numPr>
      <w:spacing w:after="0" w:line="480" w:lineRule="auto"/>
      <w:ind w:left="720" w:hanging="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autoRedefine/>
    <w:uiPriority w:val="9"/>
    <w:unhideWhenUsed/>
    <w:qFormat/>
    <w:rsid w:val="007914D1"/>
    <w:pPr>
      <w:spacing w:after="240" w:line="240" w:lineRule="auto"/>
      <w:ind w:left="1440" w:right="720" w:hanging="720"/>
      <w:outlineLvl w:val="1"/>
    </w:pPr>
    <w:rPr>
      <w:rFonts w:ascii="Times New Roman Bold" w:hAnsi="Times New Roman Bold" w:eastAsiaTheme="majorEastAsia" w:cs="Times New Roman"/>
      <w:b/>
      <w:szCs w:val="24"/>
    </w:rPr>
  </w:style>
  <w:style w:type="paragraph" w:styleId="Heading3">
    <w:name w:val="heading 3"/>
    <w:basedOn w:val="Normal"/>
    <w:next w:val="Normal"/>
    <w:link w:val="Heading3Char"/>
    <w:autoRedefine/>
    <w:uiPriority w:val="9"/>
    <w:unhideWhenUsed/>
    <w:qFormat/>
    <w:rsid w:val="000E56E0"/>
    <w:pPr>
      <w:keepNext/>
      <w:tabs>
        <w:tab w:val="left" w:pos="720"/>
        <w:tab w:val="left" w:pos="1440"/>
      </w:tabs>
      <w:spacing w:after="240" w:line="240" w:lineRule="auto"/>
      <w:ind w:left="2160" w:right="720" w:hanging="720"/>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6E0"/>
    <w:rPr>
      <w:rFonts w:ascii="Times New Roman Bold" w:hAnsi="Times New Roman Bold" w:eastAsiaTheme="majorEastAsia" w:cstheme="majorBidi"/>
      <w:b/>
      <w:bCs/>
      <w:sz w:val="24"/>
      <w:szCs w:val="20"/>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aliases w:val=" Char,Char"/>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076C62"/>
    <w:pPr>
      <w:spacing w:after="0" w:line="240" w:lineRule="auto"/>
    </w:pPr>
    <w:rPr>
      <w:rFonts w:asciiTheme="minorHAnsi" w:hAnsiTheme="minorHAnsi"/>
      <w:sz w:val="20"/>
      <w:szCs w:val="20"/>
    </w:rPr>
  </w:style>
  <w:style w:type="character" w:customStyle="1" w:styleId="FootnoteTextChar">
    <w:name w:val="Footnote Text Char"/>
    <w:aliases w:val="Car Char,Footnote Text Char Char Char Char Char1,Footnote Text Char Char Char1 Char1,Footnote Text Char Char Char2,Footnote Text Char Char1 Char1,Footnote Text Char1 Char Char Char1,Footnote Text Char1 Char1 Char1,fn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 12,Style 124,Style 13,Style 3,fr,o"/>
    <w:basedOn w:val="DefaultParagraphFont"/>
    <w:uiPriority w:val="99"/>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FD4ACC"/>
    <w:rPr>
      <w:rFonts w:ascii="Times New Roman Bold" w:hAnsi="Times New Roman Bold" w:eastAsiaTheme="majorEastAsia" w:cstheme="majorBidi"/>
      <w:b/>
      <w:bCs/>
      <w:sz w:val="24"/>
      <w:szCs w:val="28"/>
    </w:rPr>
  </w:style>
  <w:style w:type="character" w:customStyle="1" w:styleId="Heading2Char">
    <w:name w:val="Heading 2 Char"/>
    <w:basedOn w:val="DefaultParagraphFont"/>
    <w:link w:val="Heading2"/>
    <w:uiPriority w:val="9"/>
    <w:rsid w:val="007914D1"/>
    <w:rPr>
      <w:rFonts w:ascii="Times New Roman Bold" w:hAnsi="Times New Roman Bold" w:eastAsiaTheme="majorEastAsia" w:cs="Times New Roman"/>
      <w:b/>
      <w:sz w:val="24"/>
      <w:szCs w:val="24"/>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52413E"/>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qFormat/>
    <w:rsid w:val="0052413E"/>
    <w:pPr>
      <w:tabs>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rsid w:val="00F17368"/>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character" w:styleId="FollowedHyperlink">
    <w:name w:val="FollowedHyperlink"/>
    <w:basedOn w:val="DefaultParagraphFont"/>
    <w:uiPriority w:val="99"/>
    <w:semiHidden/>
    <w:unhideWhenUsed/>
    <w:rsid w:val="007200FA"/>
    <w:rPr>
      <w:color w:val="800080" w:themeColor="followedHyperlink"/>
      <w:u w:val="single"/>
    </w:rPr>
  </w:style>
  <w:style w:type="paragraph" w:styleId="BodyText">
    <w:name w:val="Body Text"/>
    <w:basedOn w:val="Normal"/>
    <w:link w:val="BodyTextChar"/>
    <w:rsid w:val="004B7047"/>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4B7047"/>
    <w:rPr>
      <w:rFonts w:ascii="Times New Roman" w:eastAsia="Times New Roman" w:hAnsi="Times New Roman" w:cs="Times New Roman"/>
      <w:sz w:val="20"/>
      <w:szCs w:val="20"/>
    </w:r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
    <w:uiPriority w:val="99"/>
    <w:locked/>
    <w:rsid w:val="00581A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AB64B7"/>
    <w:pPr>
      <w:spacing w:after="120"/>
      <w:ind w:left="360"/>
    </w:pPr>
    <w:rPr>
      <w:sz w:val="16"/>
      <w:szCs w:val="16"/>
    </w:rPr>
  </w:style>
  <w:style w:type="character" w:customStyle="1" w:styleId="BodyTextIndent3Char">
    <w:name w:val="Body Text Indent 3 Char"/>
    <w:basedOn w:val="DefaultParagraphFont"/>
    <w:link w:val="BodyTextIndent3"/>
    <w:uiPriority w:val="99"/>
    <w:rsid w:val="00AB64B7"/>
    <w:rPr>
      <w:rFonts w:ascii="Times New Roman" w:hAnsi="Times New Roman"/>
      <w:sz w:val="16"/>
      <w:szCs w:val="16"/>
    </w:rPr>
  </w:style>
  <w:style w:type="paragraph" w:styleId="EndnoteText">
    <w:name w:val="endnote text"/>
    <w:basedOn w:val="Normal"/>
    <w:link w:val="EndnoteTextChar"/>
    <w:uiPriority w:val="99"/>
    <w:semiHidden/>
    <w:unhideWhenUsed/>
    <w:rsid w:val="003A10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1076"/>
    <w:rPr>
      <w:rFonts w:ascii="Times New Roman" w:hAnsi="Times New Roman"/>
      <w:sz w:val="20"/>
      <w:szCs w:val="20"/>
    </w:rPr>
  </w:style>
  <w:style w:type="character" w:styleId="EndnoteReference">
    <w:name w:val="endnote reference"/>
    <w:basedOn w:val="DefaultParagraphFont"/>
    <w:uiPriority w:val="99"/>
    <w:semiHidden/>
    <w:unhideWhenUsed/>
    <w:rsid w:val="003A1076"/>
    <w:rPr>
      <w:vertAlign w:val="superscript"/>
    </w:rPr>
  </w:style>
  <w:style w:type="character" w:customStyle="1" w:styleId="UnresolvedMention1">
    <w:name w:val="Unresolved Mention1"/>
    <w:basedOn w:val="DefaultParagraphFont"/>
    <w:uiPriority w:val="99"/>
    <w:semiHidden/>
    <w:unhideWhenUsed/>
    <w:rsid w:val="00EA548C"/>
    <w:rPr>
      <w:color w:val="605E5C"/>
      <w:shd w:val="clear" w:color="auto" w:fill="E1DFDD"/>
    </w:rPr>
  </w:style>
  <w:style w:type="paragraph" w:styleId="NormalWeb">
    <w:name w:val="Normal (Web)"/>
    <w:basedOn w:val="Normal"/>
    <w:uiPriority w:val="99"/>
    <w:unhideWhenUsed/>
    <w:rsid w:val="00AB1752"/>
    <w:pPr>
      <w:spacing w:before="100" w:beforeAutospacing="1" w:after="100" w:afterAutospacing="1" w:line="240" w:lineRule="auto"/>
    </w:pPr>
    <w:rPr>
      <w:rFonts w:eastAsia="Times New Roman" w:cs="Times New Roman"/>
      <w:szCs w:val="24"/>
    </w:rPr>
  </w:style>
  <w:style w:type="paragraph" w:customStyle="1" w:styleId="Default">
    <w:name w:val="Default"/>
    <w:rsid w:val="006D3212"/>
    <w:pPr>
      <w:autoSpaceDE w:val="0"/>
      <w:autoSpaceDN w:val="0"/>
      <w:adjustRightInd w:val="0"/>
      <w:spacing w:after="0" w:line="240" w:lineRule="auto"/>
    </w:pPr>
    <w:rPr>
      <w:rFonts w:ascii="Times New Roman" w:hAnsi="Times New Roman" w:cs="Times New Roman"/>
      <w:bCs/>
      <w:color w:val="000000"/>
      <w:sz w:val="24"/>
      <w:szCs w:val="24"/>
    </w:rPr>
  </w:style>
  <w:style w:type="character" w:customStyle="1" w:styleId="UnresolvedMention2">
    <w:name w:val="Unresolved Mention2"/>
    <w:basedOn w:val="DefaultParagraphFont"/>
    <w:uiPriority w:val="99"/>
    <w:rsid w:val="008444E4"/>
    <w:rPr>
      <w:color w:val="605E5C"/>
      <w:shd w:val="clear" w:color="auto" w:fill="E1DFDD"/>
    </w:rPr>
  </w:style>
  <w:style w:type="character" w:customStyle="1" w:styleId="UnresolvedMention">
    <w:name w:val="Unresolved Mention"/>
    <w:basedOn w:val="DefaultParagraphFont"/>
    <w:uiPriority w:val="99"/>
    <w:semiHidden/>
    <w:unhideWhenUsed/>
    <w:rsid w:val="0042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onadio@carpenterlipps.com" TargetMode="External" /><Relationship Id="rId11" Type="http://schemas.openxmlformats.org/officeDocument/2006/relationships/footer" Target="footer2.xml" /><Relationship Id="rId12" Type="http://schemas.openxmlformats.org/officeDocument/2006/relationships/hyperlink" Target="mailto:kyle.kern@ohioattorneygeneral.gov" TargetMode="External" /><Relationship Id="rId13" Type="http://schemas.openxmlformats.org/officeDocument/2006/relationships/hyperlink" Target="mailto:thomas.lindgren@ohioattorneygeneral.gov" TargetMode="External" /><Relationship Id="rId14" Type="http://schemas.openxmlformats.org/officeDocument/2006/relationships/hyperlink" Target="mailto:patricia.schabo@puco.ohio.gov" TargetMode="External" /><Relationship Id="rId15" Type="http://schemas.openxmlformats.org/officeDocument/2006/relationships/hyperlink" Target="mailto:michael.williams@puco.ohio.gov" TargetMode="External" /><Relationship Id="rId16" Type="http://schemas.openxmlformats.org/officeDocument/2006/relationships/hyperlink" Target="mailto:michael.schuler@aes.com" TargetMode="External" /><Relationship Id="rId17" Type="http://schemas.openxmlformats.org/officeDocument/2006/relationships/hyperlink" Target="mailto:paul@carpenterlipps.com" TargetMode="External" /><Relationship Id="rId18" Type="http://schemas.openxmlformats.org/officeDocument/2006/relationships/hyperlink" Target="mailto:randall.griffin@aes.com" TargetMode="Externa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william.michael@occ.ohio.gov" TargetMode="External" /><Relationship Id="rId8" Type="http://schemas.openxmlformats.org/officeDocument/2006/relationships/hyperlink" Target="mailto:john.finnigan@occ.ohio.gov" TargetMode="External" /><Relationship Id="rId9" Type="http://schemas.openxmlformats.org/officeDocument/2006/relationships/hyperlink" Target="mailto:bojko@carpenterlipps.com"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ohiomfg.com/wp-content/uploads/Ohios-Worsening-OVEC-Situation-11.9.2020-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E3F1-9312-4216-8885-85E06D70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20-165 - reply memo in support of motion to compel TD 3.29.21.mrw.dfs  (00151062.DOCX;1)</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2021-04-01T20:03:47Z</dcterms:created>
  <dcterms:modified xsi:type="dcterms:W3CDTF">2021-04-01T20:03:47Z</dcterms:modified>
</cp:coreProperties>
</file>