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93AC2" w:rsidP="00093AC2" w14:paraId="643CF368"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93AC2" w:rsidP="00093AC2" w14:paraId="1152CCC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093AC2" w:rsidP="00093AC2" w14:paraId="30879D28" w14:textId="77777777">
      <w:pPr>
        <w:pStyle w:val="HTMLPreformatted"/>
        <w:rPr>
          <w:rFonts w:ascii="Times New Roman" w:hAnsi="Times New Roman"/>
          <w:sz w:val="24"/>
        </w:rPr>
      </w:pPr>
    </w:p>
    <w:tbl>
      <w:tblPr>
        <w:tblW w:w="9080" w:type="dxa"/>
        <w:tblLook w:val="01E0"/>
      </w:tblPr>
      <w:tblGrid>
        <w:gridCol w:w="4320"/>
        <w:gridCol w:w="360"/>
        <w:gridCol w:w="4400"/>
      </w:tblGrid>
      <w:tr w14:paraId="06D67A95" w14:textId="77777777" w:rsidTr="00085092">
        <w:tblPrEx>
          <w:tblW w:w="9080" w:type="dxa"/>
          <w:tblLook w:val="01E0"/>
        </w:tblPrEx>
        <w:trPr>
          <w:trHeight w:val="807"/>
        </w:trPr>
        <w:tc>
          <w:tcPr>
            <w:tcW w:w="4320" w:type="dxa"/>
            <w:shd w:val="clear" w:color="auto" w:fill="auto"/>
          </w:tcPr>
          <w:p w:rsidR="006D348F" w:rsidRPr="006D348F" w:rsidP="006D348F" w14:paraId="031A0684" w14:textId="77777777">
            <w:pPr>
              <w:autoSpaceDE w:val="0"/>
              <w:autoSpaceDN w:val="0"/>
              <w:adjustRightInd w:val="0"/>
              <w:rPr>
                <w:szCs w:val="24"/>
              </w:rPr>
            </w:pPr>
            <w:r w:rsidRPr="006D348F">
              <w:rPr>
                <w:szCs w:val="24"/>
              </w:rPr>
              <w:t>In the Matter of the Application of Ohio</w:t>
            </w:r>
          </w:p>
          <w:p w:rsidR="006D348F" w:rsidRPr="006D348F" w:rsidP="006D348F" w14:paraId="1878B066" w14:textId="77777777">
            <w:pPr>
              <w:autoSpaceDE w:val="0"/>
              <w:autoSpaceDN w:val="0"/>
              <w:adjustRightInd w:val="0"/>
              <w:rPr>
                <w:szCs w:val="24"/>
              </w:rPr>
            </w:pPr>
            <w:r w:rsidRPr="006D348F">
              <w:rPr>
                <w:szCs w:val="24"/>
              </w:rPr>
              <w:t>Edison Company, The Cleveland Electric</w:t>
            </w:r>
          </w:p>
          <w:p w:rsidR="006D348F" w:rsidRPr="006D348F" w:rsidP="006D348F" w14:paraId="6914069B" w14:textId="77777777">
            <w:pPr>
              <w:autoSpaceDE w:val="0"/>
              <w:autoSpaceDN w:val="0"/>
              <w:adjustRightInd w:val="0"/>
              <w:rPr>
                <w:szCs w:val="24"/>
              </w:rPr>
            </w:pPr>
            <w:r w:rsidRPr="006D348F">
              <w:rPr>
                <w:szCs w:val="24"/>
              </w:rPr>
              <w:t>Illuminating Company, and The Toledo</w:t>
            </w:r>
          </w:p>
          <w:p w:rsidR="006D348F" w:rsidRPr="006D348F" w:rsidP="006D348F" w14:paraId="404E5913" w14:textId="77777777">
            <w:pPr>
              <w:autoSpaceDE w:val="0"/>
              <w:autoSpaceDN w:val="0"/>
              <w:adjustRightInd w:val="0"/>
              <w:rPr>
                <w:szCs w:val="24"/>
              </w:rPr>
            </w:pPr>
            <w:r w:rsidRPr="006D348F">
              <w:rPr>
                <w:szCs w:val="24"/>
              </w:rPr>
              <w:t>Edison Company to update the tariff for</w:t>
            </w:r>
          </w:p>
          <w:p w:rsidR="00093AC2" w:rsidRPr="00376A99" w:rsidP="006D348F" w14:paraId="5DA4C259" w14:textId="18BC15E8">
            <w:pPr>
              <w:autoSpaceDE w:val="0"/>
              <w:autoSpaceDN w:val="0"/>
              <w:adjustRightInd w:val="0"/>
              <w:rPr>
                <w:szCs w:val="24"/>
              </w:rPr>
            </w:pPr>
            <w:r w:rsidRPr="006D348F">
              <w:rPr>
                <w:szCs w:val="24"/>
              </w:rPr>
              <w:t>Rider AMI.</w:t>
            </w:r>
          </w:p>
        </w:tc>
        <w:tc>
          <w:tcPr>
            <w:tcW w:w="360" w:type="dxa"/>
            <w:shd w:val="clear" w:color="auto" w:fill="auto"/>
          </w:tcPr>
          <w:p w:rsidR="00093AC2" w:rsidRPr="00376A99" w:rsidP="005D3FD9" w14:paraId="14C0C0BA" w14:textId="77777777">
            <w:pPr>
              <w:pStyle w:val="HTMLPreformatted"/>
              <w:rPr>
                <w:rFonts w:ascii="Times New Roman" w:hAnsi="Times New Roman"/>
                <w:sz w:val="24"/>
                <w:szCs w:val="24"/>
              </w:rPr>
            </w:pPr>
            <w:r w:rsidRPr="00376A99">
              <w:rPr>
                <w:rFonts w:ascii="Times New Roman" w:hAnsi="Times New Roman"/>
                <w:sz w:val="24"/>
                <w:szCs w:val="24"/>
              </w:rPr>
              <w:t>)</w:t>
            </w:r>
          </w:p>
          <w:p w:rsidR="00093AC2" w:rsidP="005D3FD9" w14:paraId="41AE64BB" w14:textId="77777777">
            <w:pPr>
              <w:pStyle w:val="HTMLPreformatted"/>
              <w:rPr>
                <w:rFonts w:ascii="Times New Roman" w:hAnsi="Times New Roman"/>
                <w:sz w:val="24"/>
                <w:szCs w:val="24"/>
              </w:rPr>
            </w:pPr>
            <w:r w:rsidRPr="00376A99">
              <w:rPr>
                <w:rFonts w:ascii="Times New Roman" w:hAnsi="Times New Roman"/>
                <w:sz w:val="24"/>
                <w:szCs w:val="24"/>
              </w:rPr>
              <w:t>)</w:t>
            </w:r>
          </w:p>
          <w:p w:rsidR="00093AC2" w:rsidP="005D3FD9" w14:paraId="79EC1463" w14:textId="77777777">
            <w:pPr>
              <w:pStyle w:val="HTMLPreformatted"/>
              <w:rPr>
                <w:rFonts w:ascii="Times New Roman" w:hAnsi="Times New Roman"/>
                <w:sz w:val="24"/>
                <w:szCs w:val="24"/>
              </w:rPr>
            </w:pPr>
            <w:r>
              <w:rPr>
                <w:rFonts w:ascii="Times New Roman" w:hAnsi="Times New Roman"/>
                <w:sz w:val="24"/>
                <w:szCs w:val="24"/>
              </w:rPr>
              <w:t>)</w:t>
            </w:r>
          </w:p>
          <w:p w:rsidR="006D348F" w:rsidP="005D3FD9" w14:paraId="51348597" w14:textId="77777777">
            <w:pPr>
              <w:pStyle w:val="HTMLPreformatted"/>
              <w:rPr>
                <w:rFonts w:ascii="Times New Roman" w:hAnsi="Times New Roman"/>
                <w:sz w:val="24"/>
                <w:szCs w:val="24"/>
              </w:rPr>
            </w:pPr>
            <w:r>
              <w:rPr>
                <w:rFonts w:ascii="Times New Roman" w:hAnsi="Times New Roman"/>
                <w:sz w:val="24"/>
                <w:szCs w:val="24"/>
              </w:rPr>
              <w:t>)</w:t>
            </w:r>
          </w:p>
          <w:p w:rsidR="006D348F" w:rsidRPr="00376A99" w:rsidP="005D3FD9" w14:paraId="5A5B2682" w14:textId="66F5E34B">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093AC2" w:rsidRPr="00376A99" w:rsidP="005D3FD9" w14:paraId="75E13B7D" w14:textId="77777777">
            <w:pPr>
              <w:pStyle w:val="HTMLPreformatted"/>
              <w:rPr>
                <w:rFonts w:ascii="Times New Roman" w:hAnsi="Times New Roman"/>
                <w:sz w:val="24"/>
                <w:szCs w:val="24"/>
              </w:rPr>
            </w:pPr>
          </w:p>
          <w:p w:rsidR="006D348F" w:rsidP="005D3FD9" w14:paraId="48A63131" w14:textId="77777777">
            <w:pPr>
              <w:pStyle w:val="HTMLPreformatted"/>
              <w:rPr>
                <w:rFonts w:ascii="Times New Roman" w:hAnsi="Times New Roman"/>
                <w:sz w:val="24"/>
                <w:szCs w:val="24"/>
              </w:rPr>
            </w:pPr>
          </w:p>
          <w:p w:rsidR="00093AC2" w:rsidRPr="00376A99" w:rsidP="005D3FD9" w14:paraId="5CB42AB0" w14:textId="021DB49A">
            <w:pPr>
              <w:pStyle w:val="HTMLPreformatted"/>
              <w:rPr>
                <w:rFonts w:ascii="Times New Roman" w:hAnsi="Times New Roman"/>
                <w:sz w:val="24"/>
                <w:szCs w:val="24"/>
              </w:rPr>
            </w:pPr>
            <w:r w:rsidRPr="00376A99">
              <w:rPr>
                <w:rFonts w:ascii="Times New Roman" w:hAnsi="Times New Roman"/>
                <w:sz w:val="24"/>
                <w:szCs w:val="24"/>
              </w:rPr>
              <w:t xml:space="preserve">Case No. </w:t>
            </w:r>
            <w:r w:rsidR="006D348F">
              <w:rPr>
                <w:rFonts w:ascii="Times New Roman" w:hAnsi="Times New Roman"/>
                <w:sz w:val="24"/>
                <w:szCs w:val="24"/>
              </w:rPr>
              <w:t>17-2276-EL-RDR</w:t>
            </w:r>
          </w:p>
        </w:tc>
      </w:tr>
    </w:tbl>
    <w:p w:rsidR="00093AC2" w:rsidP="00093AC2" w14:paraId="6D295508" w14:textId="77777777">
      <w:pPr>
        <w:pStyle w:val="HTMLPreformatted"/>
        <w:rPr>
          <w:rFonts w:ascii="Times New Roman" w:hAnsi="Times New Roman"/>
          <w:sz w:val="24"/>
        </w:rPr>
      </w:pPr>
    </w:p>
    <w:p w:rsidR="00614CD5" w:rsidP="00614CD5" w14:paraId="65B008DE" w14:textId="77777777">
      <w:pPr>
        <w:pStyle w:val="HTMLPreformatted"/>
        <w:pBdr>
          <w:top w:val="single" w:sz="12" w:space="1" w:color="auto"/>
        </w:pBdr>
        <w:rPr>
          <w:rFonts w:ascii="Times New Roman" w:hAnsi="Times New Roman"/>
          <w:sz w:val="24"/>
        </w:rPr>
      </w:pPr>
    </w:p>
    <w:p w:rsidR="00C360EB" w:rsidP="00C360EB" w14:paraId="65F0924F" w14:textId="77777777">
      <w:pPr>
        <w:jc w:val="center"/>
        <w:rPr>
          <w:b/>
          <w:bCs/>
        </w:rPr>
      </w:pPr>
      <w:r>
        <w:rPr>
          <w:b/>
          <w:bCs/>
        </w:rPr>
        <w:t>COMMENTS FOR CONSUMER PROTECTION</w:t>
      </w:r>
    </w:p>
    <w:p w:rsidR="00C360EB" w:rsidP="00614CD5" w14:paraId="6CE998C3" w14:textId="1BBE7E15">
      <w:pPr>
        <w:jc w:val="center"/>
        <w:rPr>
          <w:b/>
          <w:bCs/>
        </w:rPr>
      </w:pPr>
      <w:r>
        <w:rPr>
          <w:b/>
          <w:bCs/>
        </w:rPr>
        <w:t>IN SUPPORT OF</w:t>
      </w:r>
      <w:r w:rsidR="006D348F">
        <w:rPr>
          <w:b/>
          <w:bCs/>
        </w:rPr>
        <w:t xml:space="preserve"> </w:t>
      </w:r>
      <w:r>
        <w:rPr>
          <w:b/>
          <w:bCs/>
        </w:rPr>
        <w:t>DISALLOWING CERTAIN</w:t>
      </w:r>
      <w:r w:rsidR="006D348F">
        <w:rPr>
          <w:b/>
          <w:bCs/>
        </w:rPr>
        <w:t xml:space="preserve"> EXPENSES FROM </w:t>
      </w:r>
      <w:r>
        <w:rPr>
          <w:b/>
          <w:bCs/>
        </w:rPr>
        <w:t xml:space="preserve">BEING COLLECTED FROM CONSUMERS THROUGH </w:t>
      </w:r>
      <w:r w:rsidR="006D348F">
        <w:rPr>
          <w:b/>
          <w:bCs/>
        </w:rPr>
        <w:t xml:space="preserve">RIDER AMI </w:t>
      </w:r>
    </w:p>
    <w:p w:rsidR="00EC7774" w:rsidP="00614CD5" w14:paraId="1B91D722" w14:textId="77777777">
      <w:pPr>
        <w:jc w:val="center"/>
        <w:rPr>
          <w:b/>
          <w:bCs/>
        </w:rPr>
      </w:pPr>
      <w:r>
        <w:rPr>
          <w:b/>
          <w:bCs/>
        </w:rPr>
        <w:t>BY</w:t>
      </w:r>
    </w:p>
    <w:p w:rsidR="00EC7774" w:rsidP="00614CD5" w14:paraId="44F6EB9F" w14:textId="77777777">
      <w:pPr>
        <w:jc w:val="center"/>
        <w:rPr>
          <w:b/>
          <w:bCs/>
        </w:rPr>
      </w:pPr>
      <w:r>
        <w:rPr>
          <w:b/>
          <w:bCs/>
        </w:rPr>
        <w:t>THE OFFICE OF THE OHIO CONSUMERS' COUNSEL</w:t>
      </w:r>
    </w:p>
    <w:p w:rsidR="00614CD5" w:rsidP="00614CD5" w14:paraId="4FBA1C69" w14:textId="77777777">
      <w:pPr>
        <w:pBdr>
          <w:bottom w:val="single" w:sz="12" w:space="1" w:color="auto"/>
        </w:pBdr>
        <w:tabs>
          <w:tab w:val="left" w:pos="4320"/>
        </w:tabs>
      </w:pPr>
    </w:p>
    <w:p w:rsidR="00614CD5" w:rsidP="00614CD5" w14:paraId="31E0C655" w14:textId="77777777">
      <w:pPr>
        <w:tabs>
          <w:tab w:val="left" w:pos="4320"/>
        </w:tabs>
      </w:pPr>
    </w:p>
    <w:p w:rsidR="00490A98" w:rsidRPr="00490A98" w:rsidP="0067117C" w14:paraId="4E6ACAFC" w14:textId="4E4759C1">
      <w:pPr>
        <w:pStyle w:val="BodyTextIndent3"/>
        <w:widowControl w:val="0"/>
        <w:numPr>
          <w:ilvl w:val="0"/>
          <w:numId w:val="9"/>
        </w:numPr>
        <w:spacing w:line="480" w:lineRule="auto"/>
        <w:ind w:left="720" w:right="-24"/>
        <w:rPr>
          <w:b/>
          <w:bCs/>
        </w:rPr>
      </w:pPr>
      <w:r w:rsidRPr="00490A98">
        <w:rPr>
          <w:b/>
          <w:bCs/>
        </w:rPr>
        <w:t>INTRODUCTION</w:t>
      </w:r>
    </w:p>
    <w:p w:rsidR="00490A98" w:rsidP="00490A98" w14:paraId="5ABA5459" w14:textId="0036AE17">
      <w:pPr>
        <w:pStyle w:val="BodyTextIndent3"/>
        <w:widowControl w:val="0"/>
        <w:spacing w:line="480" w:lineRule="auto"/>
        <w:ind w:right="-24"/>
      </w:pPr>
      <w:r>
        <w:t xml:space="preserve">The Public Utilities PUCO of Ohio (“PUCO”) should protect the 1.9 million residential customers of the </w:t>
      </w:r>
      <w:bookmarkStart w:id="1" w:name="_Hlk32570745"/>
      <w:r>
        <w:t>Ohio Edison Company, The Cleveland Electric Illuminating company, and The Toledo Edison Company</w:t>
      </w:r>
      <w:bookmarkEnd w:id="1"/>
      <w:r>
        <w:t xml:space="preserve"> (collectively, “FirstEnergy”) </w:t>
      </w:r>
      <w:r w:rsidR="00A21F24">
        <w:t xml:space="preserve">by preventing FirstEnergy </w:t>
      </w:r>
      <w:r>
        <w:t xml:space="preserve">from </w:t>
      </w:r>
      <w:r w:rsidR="0020183B">
        <w:t>collecting</w:t>
      </w:r>
      <w:r>
        <w:t xml:space="preserve"> too much grid modernization </w:t>
      </w:r>
      <w:r w:rsidR="0020183B">
        <w:t xml:space="preserve">investment costs </w:t>
      </w:r>
      <w:r>
        <w:t>and new meter</w:t>
      </w:r>
      <w:r w:rsidR="0020183B">
        <w:t xml:space="preserve"> expenses from consumers</w:t>
      </w:r>
      <w:r>
        <w:t>.</w:t>
      </w:r>
    </w:p>
    <w:p w:rsidR="003C520A" w:rsidP="003C520A" w14:paraId="4CC15B28" w14:textId="77777777">
      <w:pPr>
        <w:pStyle w:val="BodyTextIndent3"/>
        <w:widowControl w:val="0"/>
        <w:spacing w:line="240" w:lineRule="auto"/>
        <w:ind w:right="-24"/>
      </w:pPr>
    </w:p>
    <w:p w:rsidR="00A21F24" w:rsidRPr="003C520A" w:rsidP="003C520A" w14:paraId="3B0DE3A3" w14:textId="781BF14E">
      <w:pPr>
        <w:pStyle w:val="BodyTextIndent3"/>
        <w:widowControl w:val="0"/>
        <w:numPr>
          <w:ilvl w:val="0"/>
          <w:numId w:val="9"/>
        </w:numPr>
        <w:spacing w:line="480" w:lineRule="auto"/>
        <w:ind w:left="720" w:right="-24"/>
        <w:rPr>
          <w:b/>
          <w:bCs/>
        </w:rPr>
      </w:pPr>
      <w:r>
        <w:rPr>
          <w:b/>
          <w:bCs/>
        </w:rPr>
        <w:t>RECOMMENDATIONS</w:t>
      </w:r>
    </w:p>
    <w:p w:rsidR="0067117C" w:rsidRPr="003C520A" w:rsidP="003C520A" w14:paraId="17B1CE5D" w14:textId="2F73150E">
      <w:pPr>
        <w:pStyle w:val="BodyTextIndent3"/>
        <w:widowControl w:val="0"/>
        <w:numPr>
          <w:ilvl w:val="0"/>
          <w:numId w:val="10"/>
        </w:numPr>
        <w:spacing w:line="240" w:lineRule="auto"/>
        <w:ind w:left="1440" w:right="-24" w:hanging="720"/>
        <w:rPr>
          <w:b/>
          <w:bCs/>
        </w:rPr>
      </w:pPr>
      <w:r>
        <w:rPr>
          <w:b/>
          <w:bCs/>
        </w:rPr>
        <w:t xml:space="preserve">The </w:t>
      </w:r>
      <w:r w:rsidRPr="003C520A" w:rsidR="0020183B">
        <w:rPr>
          <w:b/>
          <w:bCs/>
        </w:rPr>
        <w:t xml:space="preserve">OCC recommends </w:t>
      </w:r>
      <w:r>
        <w:rPr>
          <w:b/>
          <w:bCs/>
        </w:rPr>
        <w:t xml:space="preserve">that </w:t>
      </w:r>
      <w:r w:rsidRPr="003C520A" w:rsidR="0020183B">
        <w:rPr>
          <w:b/>
          <w:bCs/>
        </w:rPr>
        <w:t xml:space="preserve">the PUCO </w:t>
      </w:r>
      <w:r w:rsidRPr="003C520A" w:rsidR="000B7FE7">
        <w:rPr>
          <w:b/>
          <w:bCs/>
        </w:rPr>
        <w:t>protect consumers</w:t>
      </w:r>
      <w:r w:rsidR="00F424EC">
        <w:rPr>
          <w:b/>
          <w:bCs/>
        </w:rPr>
        <w:t>,</w:t>
      </w:r>
      <w:r w:rsidRPr="003C520A" w:rsidR="000B7FE7">
        <w:rPr>
          <w:b/>
          <w:bCs/>
        </w:rPr>
        <w:t xml:space="preserve"> </w:t>
      </w:r>
      <w:r w:rsidR="00F424EC">
        <w:rPr>
          <w:b/>
          <w:bCs/>
        </w:rPr>
        <w:t xml:space="preserve">now and in the future, </w:t>
      </w:r>
      <w:r w:rsidR="007407A8">
        <w:rPr>
          <w:b/>
          <w:bCs/>
        </w:rPr>
        <w:t>from</w:t>
      </w:r>
      <w:r w:rsidRPr="003C520A" w:rsidR="007407A8">
        <w:rPr>
          <w:b/>
          <w:bCs/>
        </w:rPr>
        <w:t xml:space="preserve"> </w:t>
      </w:r>
      <w:r w:rsidRPr="003C520A" w:rsidR="000B7FE7">
        <w:rPr>
          <w:b/>
          <w:bCs/>
        </w:rPr>
        <w:t xml:space="preserve">paying unjust and unreasonable rates </w:t>
      </w:r>
      <w:r w:rsidRPr="003C520A" w:rsidR="00490A98">
        <w:rPr>
          <w:b/>
          <w:bCs/>
        </w:rPr>
        <w:t xml:space="preserve">for grid modernization and </w:t>
      </w:r>
      <w:r w:rsidRPr="003C520A" w:rsidR="0020183B">
        <w:rPr>
          <w:b/>
          <w:bCs/>
        </w:rPr>
        <w:t xml:space="preserve">smart </w:t>
      </w:r>
      <w:r w:rsidRPr="003C520A" w:rsidR="00490A98">
        <w:rPr>
          <w:b/>
          <w:bCs/>
        </w:rPr>
        <w:t>meter</w:t>
      </w:r>
      <w:r w:rsidR="003E405E">
        <w:rPr>
          <w:b/>
          <w:bCs/>
        </w:rPr>
        <w:t xml:space="preserve"> expenses that are not matched by the Department of </w:t>
      </w:r>
      <w:r w:rsidR="005E605E">
        <w:rPr>
          <w:b/>
          <w:bCs/>
        </w:rPr>
        <w:t>Energy</w:t>
      </w:r>
      <w:r w:rsidR="003E405E">
        <w:rPr>
          <w:b/>
          <w:bCs/>
        </w:rPr>
        <w:t xml:space="preserve"> (</w:t>
      </w:r>
      <w:r w:rsidR="007407A8">
        <w:rPr>
          <w:b/>
          <w:bCs/>
        </w:rPr>
        <w:t>“</w:t>
      </w:r>
      <w:r w:rsidR="003E405E">
        <w:rPr>
          <w:b/>
          <w:bCs/>
        </w:rPr>
        <w:t>DO</w:t>
      </w:r>
      <w:r w:rsidR="005E605E">
        <w:rPr>
          <w:b/>
          <w:bCs/>
        </w:rPr>
        <w:t>E</w:t>
      </w:r>
      <w:r w:rsidR="007407A8">
        <w:rPr>
          <w:b/>
          <w:bCs/>
        </w:rPr>
        <w:t>”</w:t>
      </w:r>
      <w:r w:rsidR="003E405E">
        <w:rPr>
          <w:b/>
          <w:bCs/>
        </w:rPr>
        <w:t>) and not approved by the PUC</w:t>
      </w:r>
      <w:r w:rsidR="00F424EC">
        <w:rPr>
          <w:b/>
          <w:bCs/>
        </w:rPr>
        <w:t>O</w:t>
      </w:r>
      <w:r w:rsidRPr="003C520A" w:rsidR="00490A98">
        <w:rPr>
          <w:b/>
          <w:bCs/>
        </w:rPr>
        <w:t xml:space="preserve">. </w:t>
      </w:r>
    </w:p>
    <w:p w:rsidR="00E60D08" w:rsidP="003C520A" w14:paraId="71905577" w14:textId="262457DF">
      <w:pPr>
        <w:pStyle w:val="BodyTextIndent3"/>
        <w:widowControl w:val="0"/>
        <w:spacing w:before="240" w:line="480" w:lineRule="auto"/>
        <w:ind w:right="-24"/>
      </w:pPr>
      <w:r>
        <w:t xml:space="preserve">On February 28, 2019, FirstEnergy filed its </w:t>
      </w:r>
      <w:r w:rsidR="008E034B">
        <w:t xml:space="preserve">application for the annual review of </w:t>
      </w:r>
      <w:r w:rsidR="00347029">
        <w:t xml:space="preserve">its </w:t>
      </w:r>
      <w:r w:rsidR="008E034B">
        <w:t xml:space="preserve">2018 costs applicable to </w:t>
      </w:r>
      <w:r>
        <w:t>the Advanced Metering Infrastructure/Modern Grid Rider (“Rider AMI”)</w:t>
      </w:r>
      <w:r w:rsidR="008E034B">
        <w:t>.</w:t>
      </w:r>
      <w:r w:rsidR="000B7FE7">
        <w:t xml:space="preserve"> </w:t>
      </w:r>
      <w:r w:rsidR="008E034B">
        <w:t xml:space="preserve">Rider AMI is a non-bypassable rider approved </w:t>
      </w:r>
      <w:r>
        <w:t xml:space="preserve">by the PUCO </w:t>
      </w:r>
      <w:r w:rsidR="008E034B">
        <w:t xml:space="preserve">as the mechanism for </w:t>
      </w:r>
      <w:r w:rsidR="00321BCA">
        <w:t>collecting</w:t>
      </w:r>
      <w:r w:rsidR="008E034B">
        <w:t xml:space="preserve"> costs related to the deployment of smart grid and advanced </w:t>
      </w:r>
      <w:r w:rsidR="008E034B">
        <w:t>metering infrastructure.</w:t>
      </w:r>
      <w:r>
        <w:rPr>
          <w:rStyle w:val="FootnoteReference"/>
        </w:rPr>
        <w:footnoteReference w:id="3"/>
      </w:r>
      <w:r w:rsidR="008E034B">
        <w:t xml:space="preserve"> </w:t>
      </w:r>
      <w:r>
        <w:t>The PUCO directed FirstEnergy to update and reconcile these expenses on a quarterly basis and also to</w:t>
      </w:r>
      <w:r w:rsidR="00D270D1">
        <w:t xml:space="preserve"> annually file an application for </w:t>
      </w:r>
      <w:r>
        <w:t xml:space="preserve">the PUCO Staff </w:t>
      </w:r>
      <w:r w:rsidR="00D270D1">
        <w:t>review of Rider</w:t>
      </w:r>
      <w:r w:rsidR="005435CD">
        <w:t xml:space="preserve"> </w:t>
      </w:r>
      <w:r>
        <w:t>AMI.</w:t>
      </w:r>
      <w:r>
        <w:rPr>
          <w:rStyle w:val="FootnoteReference"/>
        </w:rPr>
        <w:footnoteReference w:id="4"/>
      </w:r>
      <w:r w:rsidR="005435CD">
        <w:t xml:space="preserve"> </w:t>
      </w:r>
    </w:p>
    <w:p w:rsidR="00136635" w:rsidP="00136635" w14:paraId="4B8973F0" w14:textId="02E6263D">
      <w:pPr>
        <w:pStyle w:val="BodyTextIndent3"/>
        <w:widowControl w:val="0"/>
        <w:spacing w:line="480" w:lineRule="auto"/>
        <w:ind w:right="-24"/>
      </w:pPr>
      <w:r>
        <w:t>The</w:t>
      </w:r>
      <w:r w:rsidR="005435CD">
        <w:t xml:space="preserve"> </w:t>
      </w:r>
      <w:r w:rsidR="00E60D08">
        <w:t xml:space="preserve">PUCO </w:t>
      </w:r>
      <w:r w:rsidR="000B7FE7">
        <w:t>Staff</w:t>
      </w:r>
      <w:r w:rsidR="00236CC3">
        <w:t xml:space="preserve"> </w:t>
      </w:r>
      <w:r w:rsidR="000B7FE7">
        <w:t>audited FirstEnergy’s</w:t>
      </w:r>
      <w:r w:rsidR="00236CC3">
        <w:t xml:space="preserve"> </w:t>
      </w:r>
      <w:r w:rsidR="000B7FE7">
        <w:t>financial statements</w:t>
      </w:r>
      <w:r w:rsidR="00E60D08">
        <w:t xml:space="preserve">, which were provided in </w:t>
      </w:r>
      <w:r w:rsidR="00F126CC">
        <w:t>this</w:t>
      </w:r>
      <w:r w:rsidR="00E60D08">
        <w:t xml:space="preserve"> application, </w:t>
      </w:r>
      <w:r w:rsidR="000B7FE7">
        <w:t>to determine if FirstEnergy’s policies and procedures comply with sound ratemaking principles and PUCO policies.</w:t>
      </w:r>
      <w:r>
        <w:rPr>
          <w:rStyle w:val="FootnoteReference"/>
        </w:rPr>
        <w:footnoteReference w:id="5"/>
      </w:r>
      <w:r w:rsidR="00A00F70">
        <w:t xml:space="preserve"> </w:t>
      </w:r>
      <w:r w:rsidR="00CE4DA0">
        <w:t xml:space="preserve">The </w:t>
      </w:r>
      <w:r>
        <w:t xml:space="preserve">Staff also considered the </w:t>
      </w:r>
      <w:r w:rsidR="00EF646A">
        <w:t>PUCO’s</w:t>
      </w:r>
      <w:r w:rsidR="00CE4DA0">
        <w:t xml:space="preserve"> Order in Case No. 10-388-EL-SSO</w:t>
      </w:r>
      <w:r>
        <w:t xml:space="preserve">, which </w:t>
      </w:r>
      <w:r w:rsidR="00CE4DA0">
        <w:t xml:space="preserve">granted </w:t>
      </w:r>
      <w:r w:rsidR="00EF646A">
        <w:t>FirstEnergy’s</w:t>
      </w:r>
      <w:r w:rsidR="00CE4DA0">
        <w:t xml:space="preserve"> application for the establishment of the Ohio Site Deployment of the smart grid initiative.</w:t>
      </w:r>
      <w:r>
        <w:rPr>
          <w:rStyle w:val="FootnoteReference"/>
        </w:rPr>
        <w:footnoteReference w:id="6"/>
      </w:r>
      <w:r w:rsidR="00CE4DA0">
        <w:t xml:space="preserve"> The Order in that case state</w:t>
      </w:r>
      <w:r w:rsidR="00AE5692">
        <w:t>d</w:t>
      </w:r>
      <w:r w:rsidR="00EF646A">
        <w:t xml:space="preserve"> </w:t>
      </w:r>
      <w:r w:rsidR="00CE4DA0">
        <w:t>that “The Companies shall not complete any part of the Ohio Site Deployment that the United States Department of Energy (DOE) does not match funding in an equal amount.”</w:t>
      </w:r>
      <w:r>
        <w:rPr>
          <w:rStyle w:val="FootnoteReference"/>
        </w:rPr>
        <w:footnoteReference w:id="7"/>
      </w:r>
      <w:r>
        <w:t xml:space="preserve"> </w:t>
      </w:r>
    </w:p>
    <w:p w:rsidR="00136635" w:rsidP="00136635" w14:paraId="7331AC1B" w14:textId="56FDC53C">
      <w:pPr>
        <w:pStyle w:val="BodyTextIndent3"/>
        <w:widowControl w:val="0"/>
        <w:spacing w:line="480" w:lineRule="auto"/>
        <w:ind w:right="-24"/>
      </w:pPr>
      <w:r>
        <w:t xml:space="preserve">FirstEnergy </w:t>
      </w:r>
      <w:r w:rsidR="007407A8">
        <w:t xml:space="preserve">is seeking </w:t>
      </w:r>
      <w:r>
        <w:t>to collect more than $2.7 million from customers through Rider AMI.</w:t>
      </w:r>
      <w:r>
        <w:rPr>
          <w:rStyle w:val="FootnoteReference"/>
        </w:rPr>
        <w:footnoteReference w:id="8"/>
      </w:r>
      <w:r>
        <w:t xml:space="preserve"> Based upon its audit, </w:t>
      </w:r>
      <w:r w:rsidR="00AD56DC">
        <w:t xml:space="preserve">the PUCO </w:t>
      </w:r>
      <w:r>
        <w:t>Staff found that expenses totaling $774,535 should be removed from Rider AMI because the expenses were not matched by the DO</w:t>
      </w:r>
      <w:r w:rsidR="005E605E">
        <w:t>E</w:t>
      </w:r>
      <w:r>
        <w:t xml:space="preserve"> </w:t>
      </w:r>
      <w:r>
        <w:t>and were not separately approved by the PUCO.</w:t>
      </w:r>
      <w:r>
        <w:rPr>
          <w:rStyle w:val="FootnoteReference"/>
        </w:rPr>
        <w:footnoteReference w:id="9"/>
      </w:r>
      <w:r>
        <w:t xml:space="preserve"> </w:t>
      </w:r>
      <w:r>
        <w:t xml:space="preserve">The OCC agrees with the PUCO Staff that </w:t>
      </w:r>
      <w:r>
        <w:t xml:space="preserve">FirstEnergy should not be permitted to charge customers for </w:t>
      </w:r>
      <w:r w:rsidR="00B45771">
        <w:t>disallowed</w:t>
      </w:r>
      <w:r>
        <w:t xml:space="preserve"> expenses.</w:t>
      </w:r>
      <w:r>
        <w:rPr>
          <w:rStyle w:val="FootnoteReference"/>
        </w:rPr>
        <w:footnoteReference w:id="10"/>
      </w:r>
      <w:r>
        <w:t xml:space="preserve"> </w:t>
      </w:r>
      <w:r w:rsidR="005E605E">
        <w:t>Ohio law require</w:t>
      </w:r>
      <w:r w:rsidR="00B45771">
        <w:t>s</w:t>
      </w:r>
      <w:r w:rsidR="005E605E">
        <w:t xml:space="preserve"> that rates charged by utilities be just and reasonable </w:t>
      </w:r>
      <w:r w:rsidR="00AD56DC">
        <w:rPr>
          <w:szCs w:val="24"/>
        </w:rPr>
        <w:t>for service that is adequate</w:t>
      </w:r>
      <w:r w:rsidR="005E605E">
        <w:rPr>
          <w:szCs w:val="24"/>
        </w:rPr>
        <w:t>.</w:t>
      </w:r>
      <w:r>
        <w:rPr>
          <w:rStyle w:val="FootnoteReference"/>
        </w:rPr>
        <w:footnoteReference w:id="11"/>
      </w:r>
      <w:r w:rsidR="00AD56DC">
        <w:rPr>
          <w:szCs w:val="24"/>
        </w:rPr>
        <w:t xml:space="preserve"> </w:t>
      </w:r>
      <w:r w:rsidR="00B45771">
        <w:rPr>
          <w:szCs w:val="24"/>
        </w:rPr>
        <w:t xml:space="preserve">Expenses that have been specifically disallowed by the PUCO cannot be just and reasonable. </w:t>
      </w:r>
      <w:r w:rsidR="00FB3596">
        <w:rPr>
          <w:szCs w:val="24"/>
        </w:rPr>
        <w:t xml:space="preserve">The PUCO should adopt its Staff’s recommendation </w:t>
      </w:r>
      <w:r>
        <w:t xml:space="preserve">that the new capital installations expenditures be removed from </w:t>
      </w:r>
      <w:r>
        <w:t>R</w:t>
      </w:r>
      <w:r>
        <w:t>ider</w:t>
      </w:r>
      <w:r>
        <w:t xml:space="preserve"> AMI</w:t>
      </w:r>
      <w:r w:rsidR="00B45771">
        <w:t xml:space="preserve"> to protect customers from </w:t>
      </w:r>
      <w:r w:rsidR="007407A8">
        <w:t xml:space="preserve">paying </w:t>
      </w:r>
      <w:r w:rsidR="00B45771">
        <w:t>unjust and unreasonable rates</w:t>
      </w:r>
      <w:r>
        <w:t>.</w:t>
      </w:r>
      <w:r>
        <w:rPr>
          <w:rStyle w:val="FootnoteReference"/>
        </w:rPr>
        <w:footnoteReference w:id="12"/>
      </w:r>
      <w:r>
        <w:t xml:space="preserve"> </w:t>
      </w:r>
    </w:p>
    <w:p w:rsidR="00136635" w:rsidP="00136635" w14:paraId="69B3240C" w14:textId="43D09072">
      <w:pPr>
        <w:pStyle w:val="BodyTextIndent3"/>
        <w:widowControl w:val="0"/>
        <w:spacing w:line="480" w:lineRule="auto"/>
        <w:ind w:right="-24"/>
        <w:rPr>
          <w:szCs w:val="24"/>
        </w:rPr>
      </w:pPr>
      <w:r>
        <w:rPr>
          <w:szCs w:val="24"/>
        </w:rPr>
        <w:t>The PUCO should also take steps to protect FirstEnergy’s customers from future attempts by FirstEnergy to charge these disallowed expenses.</w:t>
      </w:r>
      <w:r>
        <w:rPr>
          <w:szCs w:val="24"/>
        </w:rPr>
        <w:t xml:space="preserve"> the PUCO approved the continuation of the Ohio Site Deployment pilot program for the period June 1, 2015 through June 1, 2019 subject to annual prudence reviews.</w:t>
      </w:r>
      <w:r>
        <w:rPr>
          <w:rStyle w:val="FootnoteReference"/>
          <w:szCs w:val="24"/>
        </w:rPr>
        <w:footnoteReference w:id="13"/>
      </w:r>
      <w:r>
        <w:rPr>
          <w:szCs w:val="24"/>
        </w:rPr>
        <w:t xml:space="preserve">  The final review by the PUCO will be conducted as part of the 2019 Rider AMI review in 2020. By ending the Ohio Site Deployment pilot program on June 1, 2019, customers will no longer be responsible for paying approximately $8.5 million annually for reports involving the performance of the Distribution Automation Circuit Refiguration (“DACR”) and Volt-Var Optimization (“VVO”) circuits that deployed in 2010.</w:t>
      </w:r>
    </w:p>
    <w:p w:rsidR="00136635" w:rsidP="00136635" w14:paraId="187ABD20" w14:textId="33423909">
      <w:pPr>
        <w:pStyle w:val="BodyTextIndent3"/>
        <w:widowControl w:val="0"/>
        <w:spacing w:line="480" w:lineRule="auto"/>
        <w:ind w:right="-24"/>
        <w:rPr>
          <w:szCs w:val="24"/>
        </w:rPr>
      </w:pPr>
      <w:r>
        <w:rPr>
          <w:szCs w:val="24"/>
        </w:rPr>
        <w:t>According to recent discovery responses, there is reason to believe that First Energy has no intention of terminating the Ohio Site Deployment pilot program and to cease filing these unnecessary and very expensive $8.5 million reports.</w:t>
      </w:r>
      <w:r>
        <w:rPr>
          <w:rStyle w:val="FootnoteReference"/>
          <w:szCs w:val="24"/>
        </w:rPr>
        <w:footnoteReference w:id="14"/>
      </w:r>
      <w:r>
        <w:rPr>
          <w:szCs w:val="24"/>
        </w:rPr>
        <w:t xml:space="preserve"> In fact, </w:t>
      </w:r>
      <w:r w:rsidR="00FB3596">
        <w:rPr>
          <w:szCs w:val="24"/>
        </w:rPr>
        <w:t>FirstEnergy</w:t>
      </w:r>
      <w:r>
        <w:rPr>
          <w:szCs w:val="24"/>
        </w:rPr>
        <w:t xml:space="preserve"> specifically claims that it intends to continue filing these annual reports.</w:t>
      </w:r>
      <w:r>
        <w:rPr>
          <w:rStyle w:val="FootnoteReference"/>
          <w:szCs w:val="24"/>
        </w:rPr>
        <w:footnoteReference w:id="15"/>
      </w:r>
      <w:r>
        <w:rPr>
          <w:szCs w:val="24"/>
        </w:rPr>
        <w:t xml:space="preserve"> </w:t>
      </w:r>
    </w:p>
    <w:p w:rsidR="00136635" w:rsidP="00136635" w14:paraId="37B62328" w14:textId="334F5C45">
      <w:pPr>
        <w:pStyle w:val="BodyTextIndent3"/>
        <w:widowControl w:val="0"/>
        <w:spacing w:line="480" w:lineRule="auto"/>
        <w:ind w:right="-24"/>
        <w:rPr>
          <w:szCs w:val="24"/>
        </w:rPr>
      </w:pPr>
      <w:r>
        <w:rPr>
          <w:szCs w:val="24"/>
        </w:rPr>
        <w:t xml:space="preserve">OCC requests that the PUCO require its Staff, as part of its 2019 prudency review, to verify that FirstEnergy </w:t>
      </w:r>
      <w:r w:rsidR="00FB3596">
        <w:rPr>
          <w:szCs w:val="24"/>
        </w:rPr>
        <w:t>is not continuing to collect</w:t>
      </w:r>
      <w:r>
        <w:rPr>
          <w:szCs w:val="24"/>
        </w:rPr>
        <w:t xml:space="preserve">  money from customers associated with the Ohio Site Deployment pilot program after June 1, 2019. Any funds that have been collected from customers should be returned as a credit </w:t>
      </w:r>
      <w:r w:rsidR="00FB3596">
        <w:rPr>
          <w:szCs w:val="24"/>
        </w:rPr>
        <w:t>through</w:t>
      </w:r>
      <w:r>
        <w:rPr>
          <w:szCs w:val="24"/>
        </w:rPr>
        <w:t xml:space="preserve"> Rider AMI. </w:t>
      </w:r>
    </w:p>
    <w:p w:rsidR="003E405E" w:rsidRPr="003C520A" w:rsidP="003C520A" w14:paraId="45B72330" w14:textId="7320C11F">
      <w:pPr>
        <w:pStyle w:val="BodyTextIndent3"/>
        <w:widowControl w:val="0"/>
        <w:numPr>
          <w:ilvl w:val="0"/>
          <w:numId w:val="10"/>
        </w:numPr>
        <w:spacing w:after="240" w:line="240" w:lineRule="auto"/>
        <w:ind w:left="1440" w:right="-24" w:hanging="720"/>
        <w:rPr>
          <w:b/>
          <w:bCs/>
        </w:rPr>
      </w:pPr>
      <w:r w:rsidRPr="003C520A">
        <w:rPr>
          <w:b/>
          <w:bCs/>
        </w:rPr>
        <w:t xml:space="preserve">The OCC </w:t>
      </w:r>
      <w:r w:rsidRPr="003C520A">
        <w:rPr>
          <w:b/>
          <w:bCs/>
        </w:rPr>
        <w:t xml:space="preserve">also </w:t>
      </w:r>
      <w:r w:rsidRPr="003C520A">
        <w:rPr>
          <w:b/>
          <w:bCs/>
        </w:rPr>
        <w:t>recommends that t</w:t>
      </w:r>
      <w:r w:rsidRPr="003C520A" w:rsidR="00EF646A">
        <w:rPr>
          <w:b/>
          <w:bCs/>
        </w:rPr>
        <w:t xml:space="preserve">he PUCO </w:t>
      </w:r>
      <w:r w:rsidRPr="003C520A">
        <w:rPr>
          <w:b/>
          <w:bCs/>
        </w:rPr>
        <w:t xml:space="preserve">protect consumers against paying unjust and unreasonable rates for </w:t>
      </w:r>
      <w:r w:rsidRPr="003C520A">
        <w:rPr>
          <w:b/>
          <w:bCs/>
        </w:rPr>
        <w:t>smart meter equipment that is outside the scope of Rider AMI.</w:t>
      </w:r>
    </w:p>
    <w:p w:rsidR="00A21F24" w14:paraId="5A6FF061" w14:textId="75F2DFA0">
      <w:pPr>
        <w:pStyle w:val="BodyTextIndent3"/>
        <w:widowControl w:val="0"/>
        <w:spacing w:line="480" w:lineRule="auto"/>
        <w:ind w:right="-24"/>
      </w:pPr>
      <w:r>
        <w:t xml:space="preserve">Staff </w:t>
      </w:r>
      <w:r w:rsidR="00F1355A">
        <w:t>‘s second recommendation is to exclude</w:t>
      </w:r>
      <w:r w:rsidR="00347029">
        <w:t xml:space="preserve"> </w:t>
      </w:r>
      <w:r>
        <w:t xml:space="preserve">FirstEnergy’s capital </w:t>
      </w:r>
      <w:r w:rsidR="00032FDD">
        <w:t>expenditures</w:t>
      </w:r>
      <w:r>
        <w:t xml:space="preserve"> for replacement and repair of smart meters and reclosers from the Rider</w:t>
      </w:r>
      <w:r w:rsidR="007407A8">
        <w:t xml:space="preserve"> because they are outside the scope of Rider AMI</w:t>
      </w:r>
      <w:r>
        <w:t>.</w:t>
      </w:r>
      <w:r>
        <w:rPr>
          <w:rStyle w:val="FootnoteReference"/>
        </w:rPr>
        <w:footnoteReference w:id="16"/>
      </w:r>
      <w:r>
        <w:t xml:space="preserve"> </w:t>
      </w:r>
      <w:r w:rsidR="00F1355A">
        <w:t>T</w:t>
      </w:r>
      <w:r>
        <w:t>he OCC agrees with the PUCO Staff</w:t>
      </w:r>
      <w:r w:rsidR="00F1355A">
        <w:t xml:space="preserve"> that</w:t>
      </w:r>
      <w:r w:rsidR="007407A8">
        <w:t xml:space="preserve"> </w:t>
      </w:r>
      <w:r w:rsidR="00347029">
        <w:t xml:space="preserve">FirstEnergy’s application improperly </w:t>
      </w:r>
      <w:r>
        <w:t>include</w:t>
      </w:r>
      <w:r w:rsidR="004F54A9">
        <w:t>s</w:t>
      </w:r>
      <w:r>
        <w:t xml:space="preserve"> </w:t>
      </w:r>
      <w:r w:rsidR="007407A8">
        <w:t xml:space="preserve">costs </w:t>
      </w:r>
      <w:r w:rsidR="00347029">
        <w:t xml:space="preserve">for </w:t>
      </w:r>
      <w:r>
        <w:t>capital expenditures and expenses</w:t>
      </w:r>
      <w:r w:rsidR="004B00CE">
        <w:t xml:space="preserve"> for the replacement and repair of smart meters, communications devices, and recloser controls for CEI’s pilot program</w:t>
      </w:r>
      <w:r>
        <w:t>.</w:t>
      </w:r>
      <w:r>
        <w:rPr>
          <w:rStyle w:val="FootnoteReference"/>
        </w:rPr>
        <w:footnoteReference w:id="17"/>
      </w:r>
      <w:r>
        <w:t xml:space="preserve"> </w:t>
      </w:r>
      <w:r w:rsidR="008C2FAB">
        <w:t>As Staff found, any capital replacement expenditures should be recognized through the Delivery Capital Recovery Rider (“Rider DCR”)</w:t>
      </w:r>
      <w:r w:rsidR="00647C5B">
        <w:t>, if at all</w:t>
      </w:r>
      <w:r w:rsidR="008C2FAB">
        <w:t>.</w:t>
      </w:r>
      <w:r>
        <w:rPr>
          <w:rStyle w:val="FootnoteReference"/>
        </w:rPr>
        <w:footnoteReference w:id="18"/>
      </w:r>
      <w:r w:rsidR="008C2FAB">
        <w:t xml:space="preserve"> They do not belong in Rider AMI. Moreover, and as th</w:t>
      </w:r>
      <w:r w:rsidR="004B00CE">
        <w:t>e Staff correctly asserted, t</w:t>
      </w:r>
      <w:r w:rsidR="007407A8">
        <w:t>he</w:t>
      </w:r>
      <w:r w:rsidR="004F54A9">
        <w:t xml:space="preserve"> cost of repairs for smart meters and reclosers are typically expensed</w:t>
      </w:r>
      <w:r w:rsidR="00F1355A">
        <w:t xml:space="preserve"> and recovered through base rates</w:t>
      </w:r>
      <w:r w:rsidR="00362396">
        <w:t xml:space="preserve"> because they are </w:t>
      </w:r>
      <w:r w:rsidR="008C2FAB">
        <w:t>ordinary operation and maintenance expenses</w:t>
      </w:r>
      <w:r w:rsidR="004B00CE">
        <w:t>.</w:t>
      </w:r>
      <w:r w:rsidR="004F54A9">
        <w:t xml:space="preserve"> </w:t>
      </w:r>
      <w:r w:rsidR="008C2FAB">
        <w:t>They also do not belong in Rider AMI. To protect FirstEnergy customers from paying unjust and unreasonable rates for smart meters and other equipment that falls outside the scope of Rider AMI, the PUCO should adopt its Staff’s recommendation to disallow these expenses.</w:t>
      </w:r>
    </w:p>
    <w:p w:rsidR="004E6788" w:rsidP="004E6788" w14:paraId="0179E9B3" w14:textId="77777777">
      <w:pPr>
        <w:pStyle w:val="BodyTextIndent3"/>
        <w:widowControl w:val="0"/>
        <w:spacing w:line="240" w:lineRule="auto"/>
        <w:ind w:right="-24"/>
      </w:pPr>
    </w:p>
    <w:p w:rsidR="00A21F24" w:rsidRPr="003C520A" w:rsidP="003C520A" w14:paraId="67B40250" w14:textId="77777777">
      <w:pPr>
        <w:pStyle w:val="BodyTextIndent3"/>
        <w:widowControl w:val="0"/>
        <w:numPr>
          <w:ilvl w:val="0"/>
          <w:numId w:val="9"/>
        </w:numPr>
        <w:spacing w:line="480" w:lineRule="auto"/>
        <w:ind w:left="0" w:right="-24" w:firstLine="0"/>
        <w:rPr>
          <w:b/>
          <w:bCs/>
        </w:rPr>
      </w:pPr>
      <w:r w:rsidRPr="003C520A">
        <w:rPr>
          <w:b/>
          <w:bCs/>
        </w:rPr>
        <w:t>CONCLUSION</w:t>
      </w:r>
    </w:p>
    <w:p w:rsidR="003C51CA" w:rsidP="003C520A" w14:paraId="3EC100D3" w14:textId="4A3315CD">
      <w:pPr>
        <w:pStyle w:val="BodyTextIndent3"/>
        <w:widowControl w:val="0"/>
        <w:spacing w:line="480" w:lineRule="auto"/>
        <w:ind w:right="-24"/>
      </w:pPr>
      <w:r>
        <w:t>T</w:t>
      </w:r>
      <w:r w:rsidR="00FD7359">
        <w:t xml:space="preserve">he PUCO </w:t>
      </w:r>
      <w:r w:rsidR="00347029">
        <w:t xml:space="preserve">should adopt its </w:t>
      </w:r>
      <w:r w:rsidR="00FD7359">
        <w:t>Staff</w:t>
      </w:r>
      <w:r w:rsidR="00347029">
        <w:t>’s recommendation</w:t>
      </w:r>
      <w:r w:rsidR="00FD7359">
        <w:t xml:space="preserve"> </w:t>
      </w:r>
      <w:r w:rsidR="009238EC">
        <w:t>to</w:t>
      </w:r>
      <w:r w:rsidR="00FD7359">
        <w:t xml:space="preserve"> exclud</w:t>
      </w:r>
      <w:r w:rsidR="009238EC">
        <w:t xml:space="preserve">e FirstEnergy’s </w:t>
      </w:r>
      <w:r w:rsidR="00D90F8C">
        <w:t>improper</w:t>
      </w:r>
      <w:r w:rsidR="00FD7359">
        <w:t xml:space="preserve"> capital </w:t>
      </w:r>
      <w:r w:rsidR="00D90F8C">
        <w:t>expenditure</w:t>
      </w:r>
      <w:r w:rsidR="006F2F6C">
        <w:t>s</w:t>
      </w:r>
      <w:r w:rsidR="00D90F8C">
        <w:t xml:space="preserve"> (from capital investment</w:t>
      </w:r>
      <w:r w:rsidR="006F2F6C">
        <w:t>s</w:t>
      </w:r>
      <w:r w:rsidR="00D90F8C">
        <w:t xml:space="preserve"> outside the scope of </w:t>
      </w:r>
      <w:r w:rsidR="005824D2">
        <w:t xml:space="preserve">Rider </w:t>
      </w:r>
      <w:r w:rsidR="00D90F8C">
        <w:t xml:space="preserve">AMI </w:t>
      </w:r>
      <w:r w:rsidR="00A00F70">
        <w:t xml:space="preserve">and </w:t>
      </w:r>
      <w:r w:rsidR="005824D2">
        <w:t xml:space="preserve">the </w:t>
      </w:r>
      <w:r w:rsidR="00E33839">
        <w:t xml:space="preserve">capitalization of repairing costs that should be expensed and recovered from base rates) </w:t>
      </w:r>
      <w:r w:rsidR="00FD7359">
        <w:t>totaling $</w:t>
      </w:r>
      <w:r w:rsidR="00A00F70">
        <w:t>774,535</w:t>
      </w:r>
      <w:r w:rsidR="00FD7359">
        <w:t xml:space="preserve"> to protect consumers from paying unjust and unreasonable rates.</w:t>
      </w:r>
      <w:r w:rsidR="00E33839">
        <w:t xml:space="preserve"> </w:t>
      </w:r>
      <w:r w:rsidR="005824D2">
        <w:t xml:space="preserve">Moreover, </w:t>
      </w:r>
      <w:r w:rsidR="00037B2E">
        <w:t>FirstEnergy</w:t>
      </w:r>
      <w:r w:rsidR="00E33839">
        <w:t xml:space="preserve"> should </w:t>
      </w:r>
      <w:r w:rsidR="003E405E">
        <w:t xml:space="preserve">also </w:t>
      </w:r>
      <w:r w:rsidR="00E33839">
        <w:t>be directed to modify its Application and calculate the reductions of the 2018 AMI revenue requirement of the Ohio Edison Company, The Cleveland Electric Illuminating company, and The Toledo Edison Company. The resulting credits to customers from the 2018 Rider AMI charges should be returned to customers immediately through an adjustment of the AMI Rider charge to be collected in 2020</w:t>
      </w:r>
      <w:r w:rsidR="00FD7359">
        <w:t>.</w:t>
      </w:r>
    </w:p>
    <w:p w:rsidR="002B4D1F" w:rsidP="003C244B" w14:paraId="3FD30E25" w14:textId="77777777">
      <w:pPr>
        <w:pStyle w:val="BodyTextIndent3"/>
        <w:widowControl w:val="0"/>
        <w:spacing w:line="480" w:lineRule="auto"/>
        <w:ind w:right="-24"/>
        <w:rPr>
          <w:szCs w:val="24"/>
        </w:rPr>
      </w:pPr>
    </w:p>
    <w:p w:rsidR="004E6788" w:rsidP="003C244B" w14:paraId="03474C67" w14:textId="74BADD92">
      <w:pPr>
        <w:pStyle w:val="BodyTextIndent3"/>
        <w:widowControl w:val="0"/>
        <w:spacing w:line="480" w:lineRule="auto"/>
        <w:ind w:right="-24"/>
        <w:rPr>
          <w:szCs w:val="24"/>
        </w:rPr>
        <w:sectPr>
          <w:footerReference w:type="default" r:id="rId6"/>
          <w:footerReference w:type="first" r:id="rId7"/>
          <w:pgSz w:w="12240" w:h="15840"/>
          <w:pgMar w:top="1440" w:right="1800" w:bottom="1440" w:left="1800" w:header="720" w:footer="720" w:gutter="0"/>
          <w:pgNumType w:start="1"/>
          <w:cols w:space="720"/>
          <w:titlePg/>
          <w:docGrid w:linePitch="65"/>
        </w:sectPr>
      </w:pPr>
    </w:p>
    <w:p w:rsidR="00614CD5" w:rsidRPr="00B86AAD" w:rsidP="00614CD5" w14:paraId="001130DB" w14:textId="28972A10">
      <w:pPr>
        <w:spacing w:line="480" w:lineRule="auto"/>
        <w:ind w:firstLine="4320"/>
        <w:rPr>
          <w:szCs w:val="24"/>
        </w:rPr>
      </w:pPr>
      <w:r w:rsidRPr="00F257DB">
        <w:rPr>
          <w:szCs w:val="24"/>
        </w:rPr>
        <w:t>Respectfully submitted,</w:t>
      </w:r>
    </w:p>
    <w:p w:rsidR="00856E1B" w:rsidRPr="00F257DB" w:rsidP="00856E1B" w14:paraId="2E8BFC4E" w14:textId="77777777">
      <w:pPr>
        <w:ind w:left="4320"/>
        <w:rPr>
          <w:szCs w:val="24"/>
        </w:rPr>
      </w:pPr>
      <w:r>
        <w:rPr>
          <w:szCs w:val="24"/>
        </w:rPr>
        <w:t>Bruce Weston</w:t>
      </w:r>
      <w:r w:rsidRPr="00F257DB">
        <w:rPr>
          <w:szCs w:val="24"/>
        </w:rPr>
        <w:t xml:space="preserve"> (0016973)</w:t>
      </w:r>
    </w:p>
    <w:p w:rsidR="00856E1B" w:rsidRPr="00F257DB" w:rsidP="00856E1B" w14:paraId="4B5AFF66" w14:textId="77777777">
      <w:pPr>
        <w:tabs>
          <w:tab w:val="left" w:pos="4320"/>
        </w:tabs>
        <w:ind w:left="4320"/>
        <w:rPr>
          <w:szCs w:val="24"/>
        </w:rPr>
      </w:pPr>
      <w:r>
        <w:rPr>
          <w:szCs w:val="24"/>
        </w:rPr>
        <w:t>Ohio Consumers’ Counsel</w:t>
      </w:r>
    </w:p>
    <w:p w:rsidR="00856E1B" w:rsidRPr="00F257DB" w:rsidP="00856E1B" w14:paraId="7D04C2F8" w14:textId="77777777">
      <w:pPr>
        <w:tabs>
          <w:tab w:val="left" w:pos="4320"/>
        </w:tabs>
        <w:ind w:left="4320"/>
        <w:rPr>
          <w:szCs w:val="24"/>
        </w:rPr>
      </w:pPr>
    </w:p>
    <w:p w:rsidR="00B636E0" w:rsidRPr="00F257DB" w:rsidP="00B636E0" w14:paraId="3AB898E8" w14:textId="086D69A6">
      <w:pPr>
        <w:autoSpaceDE w:val="0"/>
        <w:autoSpaceDN w:val="0"/>
        <w:adjustRightInd w:val="0"/>
        <w:ind w:left="4320"/>
        <w:rPr>
          <w:i/>
          <w:szCs w:val="24"/>
        </w:rPr>
      </w:pPr>
      <w:r w:rsidRPr="00F257DB">
        <w:rPr>
          <w:i/>
          <w:szCs w:val="24"/>
          <w:u w:val="single"/>
        </w:rPr>
        <w:t xml:space="preserve">/s/ </w:t>
      </w:r>
      <w:r>
        <w:rPr>
          <w:i/>
          <w:szCs w:val="24"/>
          <w:u w:val="single"/>
        </w:rPr>
        <w:t xml:space="preserve">Ambrosia </w:t>
      </w:r>
      <w:r w:rsidR="00B84242">
        <w:rPr>
          <w:i/>
          <w:szCs w:val="24"/>
          <w:u w:val="single"/>
        </w:rPr>
        <w:t xml:space="preserve">E. </w:t>
      </w:r>
      <w:r>
        <w:rPr>
          <w:i/>
          <w:szCs w:val="24"/>
          <w:u w:val="single"/>
        </w:rPr>
        <w:t>Logsdon</w:t>
      </w:r>
      <w:r w:rsidRPr="00F257DB">
        <w:rPr>
          <w:i/>
          <w:szCs w:val="24"/>
          <w:u w:val="single"/>
        </w:rPr>
        <w:tab/>
      </w:r>
      <w:r w:rsidRPr="00F257DB">
        <w:rPr>
          <w:i/>
          <w:szCs w:val="24"/>
          <w:u w:val="single"/>
        </w:rPr>
        <w:tab/>
      </w:r>
    </w:p>
    <w:p w:rsidR="00FD0F52" w:rsidP="00B636E0" w14:paraId="2FBE9C28" w14:textId="01170842">
      <w:pPr>
        <w:tabs>
          <w:tab w:val="left" w:pos="4320"/>
        </w:tabs>
        <w:ind w:left="4320"/>
        <w:rPr>
          <w:szCs w:val="24"/>
        </w:rPr>
      </w:pPr>
      <w:r>
        <w:rPr>
          <w:szCs w:val="24"/>
        </w:rPr>
        <w:t>Ambrosia E. Logsdon (0096598)</w:t>
      </w:r>
      <w:r w:rsidR="00E0377E">
        <w:rPr>
          <w:szCs w:val="24"/>
        </w:rPr>
        <w:br/>
        <w:t>Counsel of Record</w:t>
      </w:r>
    </w:p>
    <w:p w:rsidR="00EC7EAE" w:rsidP="00B636E0" w14:paraId="3E7974DC" w14:textId="77777777">
      <w:pPr>
        <w:tabs>
          <w:tab w:val="left" w:pos="4320"/>
        </w:tabs>
        <w:ind w:left="4320"/>
        <w:rPr>
          <w:szCs w:val="24"/>
        </w:rPr>
      </w:pPr>
      <w:r>
        <w:rPr>
          <w:szCs w:val="24"/>
        </w:rPr>
        <w:t>Assistant Consumers’ Counsel</w:t>
      </w:r>
    </w:p>
    <w:p w:rsidR="00E14EBC" w:rsidP="00B636E0" w14:paraId="5484FCF4" w14:textId="77777777">
      <w:pPr>
        <w:tabs>
          <w:tab w:val="left" w:pos="4320"/>
        </w:tabs>
        <w:ind w:left="4320"/>
        <w:rPr>
          <w:b/>
          <w:szCs w:val="24"/>
        </w:rPr>
      </w:pPr>
    </w:p>
    <w:p w:rsidR="00B636E0" w:rsidRPr="002C2315" w:rsidP="00B636E0" w14:paraId="0CE8FF1A" w14:textId="77777777">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B636E0" w:rsidP="00B636E0" w14:paraId="618F2F7B" w14:textId="77777777">
      <w:pPr>
        <w:tabs>
          <w:tab w:val="left" w:pos="4320"/>
        </w:tabs>
        <w:ind w:left="4320"/>
        <w:rPr>
          <w:szCs w:val="24"/>
        </w:rPr>
      </w:pPr>
      <w:r>
        <w:rPr>
          <w:szCs w:val="24"/>
        </w:rPr>
        <w:t>65 E. State Street, 7</w:t>
      </w:r>
      <w:r w:rsidRPr="00B84242">
        <w:rPr>
          <w:szCs w:val="24"/>
        </w:rPr>
        <w:t>th</w:t>
      </w:r>
      <w:r>
        <w:rPr>
          <w:szCs w:val="24"/>
        </w:rPr>
        <w:t xml:space="preserve"> Floor</w:t>
      </w:r>
    </w:p>
    <w:p w:rsidR="00B636E0" w:rsidP="00B636E0" w14:paraId="4D1D73E0" w14:textId="77777777">
      <w:pPr>
        <w:tabs>
          <w:tab w:val="left" w:pos="4320"/>
        </w:tabs>
        <w:ind w:left="4320"/>
        <w:rPr>
          <w:szCs w:val="24"/>
        </w:rPr>
      </w:pPr>
      <w:r w:rsidRPr="00F257DB">
        <w:rPr>
          <w:szCs w:val="24"/>
        </w:rPr>
        <w:t xml:space="preserve">Columbus, Ohio </w:t>
      </w:r>
      <w:r>
        <w:rPr>
          <w:szCs w:val="24"/>
        </w:rPr>
        <w:t>43215-4213</w:t>
      </w:r>
    </w:p>
    <w:p w:rsidR="00FD0F52" w:rsidP="00B636E0" w14:paraId="74D1C58C" w14:textId="77777777">
      <w:pPr>
        <w:tabs>
          <w:tab w:val="left" w:pos="4320"/>
        </w:tabs>
        <w:ind w:left="4320"/>
        <w:rPr>
          <w:szCs w:val="24"/>
        </w:rPr>
      </w:pPr>
      <w:r>
        <w:rPr>
          <w:szCs w:val="24"/>
        </w:rPr>
        <w:t>Telephone [Logsdon]: 614-466-1292</w:t>
      </w:r>
    </w:p>
    <w:p w:rsidR="00FD0F52" w:rsidRPr="00B84242" w:rsidP="00B636E0" w14:paraId="13161BD7" w14:textId="77777777">
      <w:pPr>
        <w:ind w:left="4320"/>
        <w:rPr>
          <w:color w:val="0000FF"/>
          <w:szCs w:val="24"/>
          <w:u w:val="single"/>
        </w:rPr>
      </w:pPr>
      <w:r w:rsidRPr="00B84242">
        <w:rPr>
          <w:color w:val="0000FF"/>
          <w:szCs w:val="24"/>
          <w:u w:val="single"/>
        </w:rPr>
        <w:t>ambrosia.logsdon@occ.ohio.gov</w:t>
      </w:r>
    </w:p>
    <w:p w:rsidR="007A62C0" w:rsidP="007A62C0" w14:paraId="36DAEF9B" w14:textId="6A829983">
      <w:pPr>
        <w:ind w:left="4320"/>
        <w:rPr>
          <w:szCs w:val="24"/>
        </w:rPr>
      </w:pPr>
      <w:r w:rsidRPr="00F257DB">
        <w:rPr>
          <w:szCs w:val="24"/>
        </w:rPr>
        <w:t>(</w:t>
      </w:r>
      <w:r>
        <w:rPr>
          <w:szCs w:val="24"/>
        </w:rPr>
        <w:t>will</w:t>
      </w:r>
      <w:r w:rsidR="00B84242">
        <w:rPr>
          <w:szCs w:val="24"/>
        </w:rPr>
        <w:t>ing to</w:t>
      </w:r>
      <w:r w:rsidRPr="00F257DB">
        <w:rPr>
          <w:szCs w:val="24"/>
        </w:rPr>
        <w:t xml:space="preserve"> accept service </w:t>
      </w:r>
      <w:r w:rsidR="00B84242">
        <w:rPr>
          <w:szCs w:val="24"/>
        </w:rPr>
        <w:t>by</w:t>
      </w:r>
      <w:r w:rsidRPr="00F257DB">
        <w:rPr>
          <w:szCs w:val="24"/>
        </w:rPr>
        <w:t xml:space="preserve"> e</w:t>
      </w:r>
      <w:r w:rsidR="00B84242">
        <w:rPr>
          <w:szCs w:val="24"/>
        </w:rPr>
        <w:t>-</w:t>
      </w:r>
      <w:r w:rsidRPr="00F257DB">
        <w:rPr>
          <w:szCs w:val="24"/>
        </w:rPr>
        <w:t>mail)</w:t>
      </w:r>
    </w:p>
    <w:p w:rsidR="007A62C0" w14:paraId="59055CE3" w14:textId="77777777">
      <w:pPr>
        <w:rPr>
          <w:szCs w:val="24"/>
        </w:rPr>
      </w:pPr>
      <w:r>
        <w:rPr>
          <w:szCs w:val="24"/>
        </w:rPr>
        <w:br w:type="page"/>
      </w:r>
    </w:p>
    <w:p w:rsidR="00614CD5" w:rsidP="007A62C0" w14:paraId="18E2D4D4" w14:textId="0826F157">
      <w:pPr>
        <w:ind w:left="4320" w:hanging="4320"/>
        <w:jc w:val="center"/>
        <w:rPr>
          <w:b/>
          <w:bCs/>
          <w:u w:val="single"/>
        </w:rPr>
      </w:pPr>
      <w:r>
        <w:rPr>
          <w:b/>
          <w:bCs/>
          <w:u w:val="single"/>
        </w:rPr>
        <w:t>CERTIFICATE OF SERVICE</w:t>
      </w:r>
    </w:p>
    <w:p w:rsidR="00EC7EAE" w:rsidP="00B31962" w14:paraId="510B9059" w14:textId="77777777">
      <w:pPr>
        <w:jc w:val="center"/>
        <w:rPr>
          <w:b/>
          <w:bCs/>
          <w:u w:val="single"/>
        </w:rPr>
      </w:pPr>
    </w:p>
    <w:p w:rsidR="00614CD5" w:rsidRPr="001E4C2F" w:rsidP="00614CD5" w14:paraId="43AD7D2D" w14:textId="2B166AFA">
      <w:pPr>
        <w:spacing w:line="480" w:lineRule="atLeast"/>
        <w:ind w:firstLine="720"/>
      </w:pPr>
      <w:r w:rsidRPr="001E4C2F">
        <w:t xml:space="preserve">I hereby certify that a copy of </w:t>
      </w:r>
      <w:r>
        <w:t>these Comments</w:t>
      </w:r>
      <w:r w:rsidRPr="001E4C2F">
        <w:t xml:space="preserve"> was served on the persons stated below via electronic transmission, this </w:t>
      </w:r>
      <w:r w:rsidR="002B4D1F">
        <w:t>28th</w:t>
      </w:r>
      <w:r>
        <w:t xml:space="preserve"> </w:t>
      </w:r>
      <w:r w:rsidRPr="001E4C2F">
        <w:t xml:space="preserve">day of </w:t>
      </w:r>
      <w:r w:rsidR="00B31962">
        <w:t>February</w:t>
      </w:r>
      <w:r w:rsidRPr="001E4C2F">
        <w:t xml:space="preserve"> 20</w:t>
      </w:r>
      <w:r w:rsidR="00B31962">
        <w:t>20</w:t>
      </w:r>
      <w:r w:rsidRPr="001E4C2F">
        <w:t>.</w:t>
      </w:r>
    </w:p>
    <w:p w:rsidR="00614CD5" w14:paraId="71A7EED4" w14:textId="77777777">
      <w:pPr>
        <w:spacing w:line="480" w:lineRule="atLeast"/>
      </w:pPr>
    </w:p>
    <w:p w:rsidR="00614CD5" w14:paraId="52821FCB" w14:textId="578BC9EE">
      <w:pPr>
        <w:tabs>
          <w:tab w:val="left" w:pos="4320"/>
        </w:tabs>
      </w:pPr>
      <w:r>
        <w:tab/>
      </w:r>
      <w:r>
        <w:rPr>
          <w:i/>
          <w:u w:val="single"/>
        </w:rPr>
        <w:t xml:space="preserve">/s/ Ambrosia </w:t>
      </w:r>
      <w:r w:rsidR="00B31962">
        <w:rPr>
          <w:i/>
          <w:u w:val="single"/>
        </w:rPr>
        <w:t xml:space="preserve">E. </w:t>
      </w:r>
      <w:r>
        <w:rPr>
          <w:i/>
          <w:u w:val="single"/>
        </w:rPr>
        <w:t>Logsdon</w:t>
      </w:r>
      <w:r>
        <w:rPr>
          <w:i/>
          <w:u w:val="single"/>
        </w:rPr>
        <w:tab/>
      </w:r>
    </w:p>
    <w:p w:rsidR="00614CD5" w14:paraId="650A946C" w14:textId="61FE6F02">
      <w:pPr>
        <w:tabs>
          <w:tab w:val="left" w:pos="4320"/>
        </w:tabs>
      </w:pPr>
      <w:r>
        <w:tab/>
        <w:t>Ambrosia</w:t>
      </w:r>
      <w:r w:rsidR="00B31962">
        <w:t xml:space="preserve"> E. </w:t>
      </w:r>
      <w:r>
        <w:t>Logsdon</w:t>
      </w:r>
    </w:p>
    <w:p w:rsidR="00614CD5" w14:paraId="61ECDFBB" w14:textId="77777777">
      <w:pPr>
        <w:tabs>
          <w:tab w:val="left" w:pos="4320"/>
        </w:tabs>
      </w:pPr>
      <w:r>
        <w:tab/>
        <w:t>Assistant Consumers' Counsel</w:t>
      </w:r>
    </w:p>
    <w:p w:rsidR="00614CD5" w14:paraId="574FE35F" w14:textId="77777777">
      <w:pPr>
        <w:pStyle w:val="CommentSubject"/>
      </w:pPr>
    </w:p>
    <w:p w:rsidR="00B31962" w:rsidP="00B31962" w14:paraId="00D383E6" w14:textId="77777777">
      <w:r>
        <w:t>The PUCO’s e-filing system will electronically serve notice of the filing of this document on the following parties:</w:t>
      </w:r>
    </w:p>
    <w:p w:rsidR="00614CD5" w:rsidP="00614CD5" w14:paraId="2ED29691" w14:textId="77777777">
      <w:pPr>
        <w:pStyle w:val="CommentText"/>
        <w:jc w:val="center"/>
        <w:rPr>
          <w:b/>
          <w:u w:val="single"/>
        </w:rPr>
      </w:pPr>
    </w:p>
    <w:p w:rsidR="002B4D1F" w:rsidP="002B4D1F" w14:paraId="20976E82" w14:textId="77777777">
      <w:pPr>
        <w:pStyle w:val="CommentText"/>
        <w:jc w:val="center"/>
        <w:rPr>
          <w:b/>
          <w:u w:val="single"/>
        </w:rPr>
      </w:pPr>
      <w:r>
        <w:rPr>
          <w:b/>
          <w:u w:val="single"/>
        </w:rPr>
        <w:t>SERVICE LIST</w:t>
      </w:r>
    </w:p>
    <w:p w:rsidR="002B4D1F" w:rsidP="002B4D1F" w14:paraId="6C7729CC" w14:textId="77777777">
      <w:pPr>
        <w:pStyle w:val="CommentText"/>
        <w:jc w:val="center"/>
        <w:rPr>
          <w:b/>
          <w:u w:val="single"/>
        </w:rPr>
      </w:pPr>
    </w:p>
    <w:tbl>
      <w:tblPr>
        <w:tblW w:w="0" w:type="auto"/>
        <w:tblLook w:val="04A0"/>
      </w:tblPr>
      <w:tblGrid>
        <w:gridCol w:w="4330"/>
        <w:gridCol w:w="4310"/>
      </w:tblGrid>
      <w:tr w14:paraId="41DB6FE4" w14:textId="77777777" w:rsidTr="003502A9">
        <w:tblPrEx>
          <w:tblW w:w="0" w:type="auto"/>
          <w:tblLook w:val="04A0"/>
        </w:tblPrEx>
        <w:tc>
          <w:tcPr>
            <w:tcW w:w="4428" w:type="dxa"/>
            <w:shd w:val="clear" w:color="auto" w:fill="auto"/>
          </w:tcPr>
          <w:p w:rsidR="002B4D1F" w:rsidP="003502A9" w14:paraId="328B5645" w14:textId="77777777">
            <w:pPr>
              <w:pStyle w:val="CommentText"/>
              <w:rPr>
                <w:sz w:val="20"/>
              </w:rPr>
            </w:pPr>
            <w:hyperlink r:id="rId8" w:history="1">
              <w:r>
                <w:rPr>
                  <w:rStyle w:val="Hyperlink"/>
                </w:rPr>
                <w:t>john.jones@ohioattorneygeneral.gov</w:t>
              </w:r>
            </w:hyperlink>
          </w:p>
          <w:p w:rsidR="002B4D1F" w:rsidP="003502A9" w14:paraId="267962EB" w14:textId="77777777">
            <w:pPr>
              <w:pStyle w:val="CommentText"/>
            </w:pPr>
          </w:p>
          <w:p w:rsidR="002B4D1F" w:rsidP="003502A9" w14:paraId="19D4A0A6" w14:textId="77777777">
            <w:pPr>
              <w:pStyle w:val="CommentText"/>
            </w:pPr>
            <w:r>
              <w:t>Attorney Examiners:</w:t>
            </w:r>
          </w:p>
          <w:p w:rsidR="002B4D1F" w:rsidP="003502A9" w14:paraId="0D23BA87" w14:textId="77777777">
            <w:pPr>
              <w:pStyle w:val="CommentText"/>
            </w:pPr>
          </w:p>
          <w:p w:rsidR="002B4D1F" w:rsidP="003502A9" w14:paraId="2EB785B1" w14:textId="77777777">
            <w:pPr>
              <w:pStyle w:val="CommentText"/>
            </w:pPr>
            <w:hyperlink r:id="rId9" w:history="1">
              <w:r w:rsidRPr="00FA12D0">
                <w:rPr>
                  <w:rStyle w:val="Hyperlink"/>
                </w:rPr>
                <w:t>Megan.addison@puc.state.oh.us</w:t>
              </w:r>
            </w:hyperlink>
          </w:p>
          <w:p w:rsidR="002B4D1F" w:rsidP="003502A9" w14:paraId="51909710" w14:textId="77777777">
            <w:pPr>
              <w:pStyle w:val="CommentText"/>
            </w:pPr>
            <w:hyperlink r:id="rId10" w:history="1">
              <w:r w:rsidRPr="00FA12D0">
                <w:rPr>
                  <w:rStyle w:val="Hyperlink"/>
                </w:rPr>
                <w:t>Gregory.price@puc.state.oh.us</w:t>
              </w:r>
            </w:hyperlink>
          </w:p>
          <w:p w:rsidR="002B4D1F" w:rsidRPr="0006232A" w:rsidP="003502A9" w14:paraId="330030C2" w14:textId="77777777">
            <w:pPr>
              <w:pStyle w:val="CommentText"/>
            </w:pPr>
          </w:p>
        </w:tc>
        <w:tc>
          <w:tcPr>
            <w:tcW w:w="4428" w:type="dxa"/>
            <w:shd w:val="clear" w:color="auto" w:fill="auto"/>
          </w:tcPr>
          <w:p w:rsidR="002B4D1F" w:rsidP="003502A9" w14:paraId="295B4431" w14:textId="77777777">
            <w:pPr>
              <w:pStyle w:val="CommentText"/>
              <w:ind w:left="612"/>
            </w:pPr>
            <w:hyperlink r:id="rId11" w:history="1">
              <w:r w:rsidRPr="00F41A9D">
                <w:rPr>
                  <w:rStyle w:val="Hyperlink"/>
                </w:rPr>
                <w:t>scasto@firtstenergycorp.com</w:t>
              </w:r>
            </w:hyperlink>
          </w:p>
          <w:p w:rsidR="002B4D1F" w:rsidP="003502A9" w14:paraId="2D53CABE" w14:textId="77777777">
            <w:pPr>
              <w:pStyle w:val="CommentText"/>
              <w:ind w:left="612"/>
            </w:pPr>
          </w:p>
          <w:p w:rsidR="002B4D1F" w:rsidRPr="0006232A" w:rsidP="003502A9" w14:paraId="0295A4AF" w14:textId="77777777">
            <w:pPr>
              <w:pStyle w:val="CommentText"/>
            </w:pPr>
          </w:p>
        </w:tc>
      </w:tr>
    </w:tbl>
    <w:p w:rsidR="00F82766" w:rsidP="00614CD5" w14:paraId="3F7BDB17" w14:textId="77777777">
      <w:pPr>
        <w:pStyle w:val="CommentText"/>
        <w:jc w:val="center"/>
        <w:rPr>
          <w:b/>
          <w:u w:val="single"/>
        </w:rPr>
      </w:pPr>
    </w:p>
    <w:p w:rsidR="00B31962" w:rsidP="00B31962" w14:paraId="718EB59E" w14:textId="77777777">
      <w:pPr>
        <w:pStyle w:val="BodyText"/>
        <w:rPr>
          <w:b/>
          <w:bCs/>
        </w:rPr>
      </w:pPr>
    </w:p>
    <w:p w:rsidR="00614CD5" w14:paraId="1FC452E6" w14:textId="77777777">
      <w:pPr>
        <w:pStyle w:val="BodyText"/>
        <w:rPr>
          <w:b/>
          <w:bCs/>
        </w:rPr>
      </w:pPr>
    </w:p>
    <w:sectPr w:rsidSect="002B4D1F">
      <w:headerReference w:type="first" r:id="rId12"/>
      <w:footerReference w:type="first" r:id="rId13"/>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4B49E2" w14:paraId="26701157" w14:textId="77777777">
    <w:pPr>
      <w:pStyle w:val="Footer"/>
      <w:framePr w:wrap="around" w:vAnchor="text" w:hAnchor="margin" w:xAlign="center" w:y="1"/>
      <w:jc w:val="center"/>
      <w:rPr>
        <w:rStyle w:val="PageNumber"/>
        <w:sz w:val="24"/>
        <w:szCs w:val="24"/>
      </w:rPr>
    </w:pPr>
    <w:r w:rsidRPr="004B49E2">
      <w:rPr>
        <w:rStyle w:val="PageNumber"/>
        <w:sz w:val="24"/>
        <w:szCs w:val="24"/>
      </w:rPr>
      <w:fldChar w:fldCharType="begin"/>
    </w:r>
    <w:r w:rsidRPr="004B49E2">
      <w:rPr>
        <w:rStyle w:val="PageNumber"/>
        <w:sz w:val="24"/>
        <w:szCs w:val="24"/>
      </w:rPr>
      <w:instrText xml:space="preserve">PAGE  </w:instrText>
    </w:r>
    <w:r w:rsidRPr="004B49E2">
      <w:rPr>
        <w:rStyle w:val="PageNumber"/>
        <w:sz w:val="24"/>
        <w:szCs w:val="24"/>
      </w:rPr>
      <w:fldChar w:fldCharType="separate"/>
    </w:r>
    <w:r w:rsidR="003777F5">
      <w:rPr>
        <w:rStyle w:val="PageNumber"/>
        <w:noProof/>
        <w:sz w:val="24"/>
        <w:szCs w:val="24"/>
      </w:rPr>
      <w:t>5</w:t>
    </w:r>
    <w:r w:rsidRPr="004B49E2">
      <w:rPr>
        <w:rStyle w:val="PageNumber"/>
        <w:sz w:val="24"/>
        <w:szCs w:val="24"/>
      </w:rPr>
      <w:fldChar w:fldCharType="end"/>
    </w:r>
  </w:p>
  <w:p w:rsidR="00614CD5" w:rsidRPr="004B49E2" w:rsidP="00240C2A" w14:paraId="345605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D1F" w14:paraId="241A73FE" w14:textId="2A7FE7F8">
    <w:pPr>
      <w:pStyle w:val="Footer"/>
      <w:jc w:val="center"/>
    </w:pPr>
  </w:p>
  <w:p w:rsidR="002B4D1F" w14:paraId="215FF7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4772475"/>
      <w:docPartObj>
        <w:docPartGallery w:val="Page Numbers (Bottom of Page)"/>
        <w:docPartUnique/>
      </w:docPartObj>
    </w:sdtPr>
    <w:sdtEndPr>
      <w:rPr>
        <w:noProof/>
      </w:rPr>
    </w:sdtEndPr>
    <w:sdtContent>
      <w:p w:rsidR="002B4D1F" w14:paraId="43676E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4D1F" w14:paraId="7201B0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4ED4" w14:paraId="73ECD303" w14:textId="77777777">
      <w:r>
        <w:separator/>
      </w:r>
    </w:p>
  </w:footnote>
  <w:footnote w:type="continuationSeparator" w:id="1">
    <w:p w:rsidR="00E64ED4" w14:paraId="35EB3668" w14:textId="77777777">
      <w:r>
        <w:continuationSeparator/>
      </w:r>
    </w:p>
  </w:footnote>
  <w:footnote w:type="continuationNotice" w:id="2">
    <w:p w:rsidR="006F2F6C" w14:paraId="37A3B5CA" w14:textId="77777777"/>
  </w:footnote>
  <w:footnote w:id="3">
    <w:p w:rsidR="00E60D08" w:rsidRPr="00F1355A" w:rsidP="003C520A" w14:paraId="78582FAD" w14:textId="24D83DF4">
      <w:pPr>
        <w:pStyle w:val="FootnoteText"/>
        <w:keepLines/>
        <w:spacing w:after="120"/>
      </w:pPr>
      <w:r w:rsidRPr="00F1355A">
        <w:rPr>
          <w:rStyle w:val="FootnoteReference"/>
        </w:rPr>
        <w:footnoteRef/>
      </w:r>
      <w:r w:rsidRPr="00F1355A">
        <w:t xml:space="preserve"> </w:t>
      </w:r>
      <w:r w:rsidRPr="00F1355A">
        <w:rPr>
          <w:i/>
          <w:iCs/>
        </w:rPr>
        <w:t>See In re the Application of Ohio Edison Company, The Cleveland Electric Illuminating Company, and the Toledo Edison Company for Authority to</w:t>
      </w:r>
      <w:r w:rsidRPr="00F1355A">
        <w:t xml:space="preserve"> </w:t>
      </w:r>
      <w:r w:rsidRPr="00F1355A">
        <w:rPr>
          <w:i/>
          <w:iCs/>
        </w:rPr>
        <w:t>Provide for a Standard Service Offer Pursuant to Section 4928.143, Revised Code, in the Form of an Electric Security Plan,</w:t>
      </w:r>
      <w:r w:rsidRPr="00F1355A">
        <w:t xml:space="preserve"> Case No. 14-1297-EL-SSO, Opinion and Order at 9-10 (March 31, 2016).</w:t>
      </w:r>
    </w:p>
  </w:footnote>
  <w:footnote w:id="4">
    <w:p w:rsidR="00EF646A" w:rsidRPr="00F1355A" w:rsidP="003C520A" w14:paraId="57195BFF" w14:textId="11CBAA3A">
      <w:pPr>
        <w:pStyle w:val="FootnoteText"/>
        <w:keepLines/>
        <w:spacing w:after="120"/>
      </w:pPr>
      <w:r w:rsidRPr="00F1355A">
        <w:rPr>
          <w:rStyle w:val="FootnoteReference"/>
        </w:rPr>
        <w:footnoteRef/>
      </w:r>
      <w:r w:rsidRPr="00F1355A">
        <w:t xml:space="preserve"> </w:t>
      </w:r>
      <w:r w:rsidRPr="00F1355A">
        <w:rPr>
          <w:i/>
          <w:iCs/>
        </w:rPr>
        <w:t>See In re the Application of</w:t>
      </w:r>
      <w:r w:rsidRPr="00F1355A" w:rsidR="005435CD">
        <w:rPr>
          <w:i/>
          <w:iCs/>
        </w:rPr>
        <w:t xml:space="preserve"> Ohio Edison Company, The Cleveland Electric Illuminating Company, and the Toledo Edison Company for Authority to Provide for a Standard Service Offer Pursuant to Section 4928.143, Revised Code, in the Form of an Electric Security Plan</w:t>
      </w:r>
      <w:r w:rsidRPr="00F1355A">
        <w:t xml:space="preserve">, </w:t>
      </w:r>
      <w:r w:rsidRPr="00F1355A" w:rsidR="008E034B">
        <w:t xml:space="preserve">Case No. 12-1230-EL-SSO, </w:t>
      </w:r>
      <w:r w:rsidRPr="00F1355A" w:rsidR="005435CD">
        <w:t>Opinion</w:t>
      </w:r>
      <w:r w:rsidRPr="00F1355A">
        <w:t xml:space="preserve"> and Order at 44 (July 18, 2012)</w:t>
      </w:r>
      <w:r w:rsidRPr="00F1355A" w:rsidR="005435CD">
        <w:t xml:space="preserve"> (“The Commission clarifies that the Companies annually should file applications in separate dockets for the review and audit of Riders DCR, AMI, AER, NMB, and DSE.”).</w:t>
      </w:r>
    </w:p>
  </w:footnote>
  <w:footnote w:id="5">
    <w:p w:rsidR="00F126CC" w:rsidRPr="00F1355A" w:rsidP="003C520A" w14:paraId="3E8EA5D5" w14:textId="16CD835F">
      <w:pPr>
        <w:pStyle w:val="FootnoteText"/>
        <w:keepLines/>
        <w:spacing w:after="120"/>
      </w:pPr>
      <w:r w:rsidRPr="00F1355A">
        <w:rPr>
          <w:rStyle w:val="FootnoteReference"/>
        </w:rPr>
        <w:footnoteRef/>
      </w:r>
      <w:r w:rsidRPr="00F1355A">
        <w:t xml:space="preserve"> Staff Review and Recommendation at 2-3</w:t>
      </w:r>
      <w:r w:rsidRPr="00F1355A" w:rsidR="005E605E">
        <w:t xml:space="preserve">; </w:t>
      </w:r>
      <w:r w:rsidRPr="00F1355A" w:rsidR="005E605E">
        <w:rPr>
          <w:i/>
          <w:iCs/>
        </w:rPr>
        <w:t>See In re the Application of Ohio Edison Company, The Cleveland Electric Illuminating Company, and the Toledo Edison Company for Authority to</w:t>
      </w:r>
      <w:r w:rsidRPr="00F1355A" w:rsidR="005E605E">
        <w:t xml:space="preserve"> </w:t>
      </w:r>
      <w:r w:rsidRPr="00F1355A" w:rsidR="005E605E">
        <w:rPr>
          <w:i/>
          <w:iCs/>
        </w:rPr>
        <w:t xml:space="preserve">Provide for a Standard Service Offer Pursuant to Section 4928.143, Revised Code, in the Form of an Electric Security Plan, </w:t>
      </w:r>
      <w:r w:rsidRPr="00F1355A" w:rsidR="005E605E">
        <w:t>Case No. 10-388-EL-SSO, Opinion and Order at 13-14 (August 25, 2010).</w:t>
      </w:r>
      <w:r w:rsidRPr="00F1355A" w:rsidR="005E605E">
        <w:rPr>
          <w:i/>
          <w:iCs/>
        </w:rPr>
        <w:t xml:space="preserve"> </w:t>
      </w:r>
    </w:p>
  </w:footnote>
  <w:footnote w:id="6">
    <w:p w:rsidR="00F126CC" w:rsidRPr="00F1355A" w:rsidP="003C520A" w14:paraId="7B2C55A8" w14:textId="6CD95F22">
      <w:pPr>
        <w:pStyle w:val="FootnoteText"/>
        <w:keepLines/>
        <w:spacing w:after="120"/>
      </w:pPr>
      <w:r w:rsidRPr="00F1355A">
        <w:rPr>
          <w:rStyle w:val="FootnoteReference"/>
        </w:rPr>
        <w:footnoteRef/>
      </w:r>
      <w:r w:rsidRPr="00F1355A">
        <w:t xml:space="preserve"> </w:t>
      </w:r>
      <w:r w:rsidRPr="00F1355A">
        <w:rPr>
          <w:i/>
          <w:iCs/>
        </w:rPr>
        <w:t xml:space="preserve">Id. </w:t>
      </w:r>
      <w:r w:rsidRPr="00F1355A">
        <w:t>at 3.</w:t>
      </w:r>
    </w:p>
  </w:footnote>
  <w:footnote w:id="7">
    <w:p w:rsidR="007407A8" w:rsidRPr="003C520A" w:rsidP="003C520A" w14:paraId="44736246" w14:textId="21F2C5C4">
      <w:pPr>
        <w:pStyle w:val="FootnoteText"/>
        <w:spacing w:after="120"/>
        <w:rPr>
          <w:i/>
          <w:iCs/>
        </w:rPr>
      </w:pPr>
      <w:r w:rsidRPr="00F1355A">
        <w:rPr>
          <w:rStyle w:val="FootnoteReference"/>
        </w:rPr>
        <w:footnoteRef/>
      </w:r>
      <w:r w:rsidRPr="00F1355A">
        <w:t xml:space="preserve"> </w:t>
      </w:r>
      <w:r w:rsidRPr="00F1355A">
        <w:rPr>
          <w:i/>
          <w:iCs/>
        </w:rPr>
        <w:t>Id.</w:t>
      </w:r>
    </w:p>
  </w:footnote>
  <w:footnote w:id="8">
    <w:p w:rsidR="001C6FF8" w:rsidP="003C520A" w14:paraId="60847885" w14:textId="2E0B2A35">
      <w:pPr>
        <w:pStyle w:val="FootnoteText"/>
        <w:spacing w:after="120"/>
      </w:pPr>
      <w:r>
        <w:rPr>
          <w:rStyle w:val="FootnoteReference"/>
        </w:rPr>
        <w:footnoteRef/>
      </w:r>
      <w:r>
        <w:t xml:space="preserve"> Total expenditures were $2,733,562.08.</w:t>
      </w:r>
    </w:p>
  </w:footnote>
  <w:footnote w:id="9">
    <w:p w:rsidR="00BF75FE" w:rsidRPr="003C520A" w:rsidP="003C520A" w14:paraId="06723F6C" w14:textId="2ECABC95">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w:t>
      </w:r>
      <w:r w:rsidRPr="004E6788">
        <w:rPr>
          <w:rStyle w:val="FootnoteReference"/>
          <w:i/>
          <w:iCs/>
          <w:vertAlign w:val="baseline"/>
        </w:rPr>
        <w:t>Id.</w:t>
      </w:r>
      <w:r w:rsidRPr="003C520A">
        <w:rPr>
          <w:rStyle w:val="FootnoteReference"/>
          <w:vertAlign w:val="baseline"/>
        </w:rPr>
        <w:t xml:space="preserve"> at 4 ($676,912 for new capital installations plus $97,623 for capital expenditures).</w:t>
      </w:r>
    </w:p>
  </w:footnote>
  <w:footnote w:id="10">
    <w:p w:rsidR="00136635" w:rsidRPr="003C520A" w:rsidP="003C520A" w14:paraId="62A15C2F" w14:textId="77777777">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w:t>
      </w:r>
      <w:r w:rsidRPr="004E6788">
        <w:rPr>
          <w:rStyle w:val="FootnoteReference"/>
          <w:i/>
          <w:iCs/>
          <w:vertAlign w:val="baseline"/>
        </w:rPr>
        <w:t>Id.</w:t>
      </w:r>
      <w:r w:rsidRPr="003C520A">
        <w:rPr>
          <w:rStyle w:val="FootnoteReference"/>
          <w:vertAlign w:val="baseline"/>
        </w:rPr>
        <w:t xml:space="preserve"> </w:t>
      </w:r>
    </w:p>
  </w:footnote>
  <w:footnote w:id="11">
    <w:p w:rsidR="00BF75FE" w:rsidRPr="003C520A" w:rsidP="003C520A" w14:paraId="3CEDA72C" w14:textId="39331AA8">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w:t>
      </w:r>
      <w:r w:rsidRPr="003C520A" w:rsidR="00B45771">
        <w:rPr>
          <w:rStyle w:val="FootnoteReference"/>
          <w:vertAlign w:val="baseline"/>
        </w:rPr>
        <w:t>R.C. 4909.17 (No rate or charge shall be effective until the PUCO, by order, determines it to be just and reasonable).</w:t>
      </w:r>
    </w:p>
  </w:footnote>
  <w:footnote w:id="12">
    <w:p w:rsidR="00136635" w:rsidRPr="003C520A" w:rsidP="003C520A" w14:paraId="1C60215A" w14:textId="5BAFD99E">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Staff Review and Recommendation at 3 (The Staff disallowed $676,912 for new capital expenditures. This is a portion of the total disallowance of $)</w:t>
      </w:r>
      <w:r w:rsidRPr="003C520A" w:rsidR="00FB3596">
        <w:rPr>
          <w:rStyle w:val="FootnoteReference"/>
          <w:vertAlign w:val="baseline"/>
        </w:rPr>
        <w:t>.</w:t>
      </w:r>
    </w:p>
  </w:footnote>
  <w:footnote w:id="13">
    <w:p w:rsidR="00136635" w:rsidRPr="003C520A" w:rsidP="003C520A" w14:paraId="7886AE44" w14:textId="3029FCA7">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See FE’s SmartGrid Case, </w:t>
      </w:r>
      <w:r w:rsidRPr="003C520A" w:rsidR="00FB3596">
        <w:rPr>
          <w:rStyle w:val="FootnoteReference"/>
          <w:vertAlign w:val="baseline"/>
        </w:rPr>
        <w:t xml:space="preserve">Case No. 09-1820-EL-ATA, </w:t>
      </w:r>
      <w:r w:rsidRPr="003C520A">
        <w:rPr>
          <w:rStyle w:val="FootnoteReference"/>
          <w:vertAlign w:val="baseline"/>
        </w:rPr>
        <w:t xml:space="preserve">Finding and Order </w:t>
      </w:r>
      <w:r w:rsidRPr="003C520A" w:rsidR="00FB3596">
        <w:rPr>
          <w:rStyle w:val="FootnoteReference"/>
          <w:vertAlign w:val="baseline"/>
        </w:rPr>
        <w:t xml:space="preserve">at 3 </w:t>
      </w:r>
      <w:r w:rsidRPr="003C520A">
        <w:rPr>
          <w:rStyle w:val="FootnoteReference"/>
          <w:vertAlign w:val="baseline"/>
        </w:rPr>
        <w:t>(May 28, 2015).</w:t>
      </w:r>
    </w:p>
  </w:footnote>
  <w:footnote w:id="14">
    <w:p w:rsidR="00136635" w:rsidRPr="003C520A" w:rsidP="003C520A" w14:paraId="61D861CF" w14:textId="5589667F">
      <w:pPr>
        <w:pStyle w:val="FootnoteText"/>
        <w:keepLines/>
        <w:spacing w:after="120"/>
        <w:rPr>
          <w:rStyle w:val="FootnoteReference"/>
          <w:vertAlign w:val="baseline"/>
        </w:rPr>
      </w:pPr>
      <w:r w:rsidRPr="00F1355A">
        <w:rPr>
          <w:rStyle w:val="FootnoteReference"/>
        </w:rPr>
        <w:footnoteRef/>
      </w:r>
      <w:r w:rsidRPr="003C520A">
        <w:rPr>
          <w:rStyle w:val="FootnoteReference"/>
          <w:vertAlign w:val="baseline"/>
        </w:rPr>
        <w:t xml:space="preserve"> FirstEnergy response to OCC INT-1-005.</w:t>
      </w:r>
    </w:p>
  </w:footnote>
  <w:footnote w:id="15">
    <w:p w:rsidR="00136635" w:rsidRPr="00F1355A" w:rsidP="003C520A" w14:paraId="452D2CD2" w14:textId="77777777">
      <w:pPr>
        <w:pStyle w:val="FootnoteText"/>
        <w:spacing w:after="120"/>
      </w:pPr>
      <w:r w:rsidRPr="00F1355A">
        <w:rPr>
          <w:rStyle w:val="FootnoteReference"/>
        </w:rPr>
        <w:footnoteRef/>
      </w:r>
      <w:r w:rsidRPr="00F1355A">
        <w:t xml:space="preserve"> </w:t>
      </w:r>
      <w:r w:rsidRPr="00F1355A">
        <w:rPr>
          <w:i/>
          <w:iCs/>
        </w:rPr>
        <w:t>Id</w:t>
      </w:r>
      <w:r w:rsidRPr="00F1355A">
        <w:t>.</w:t>
      </w:r>
    </w:p>
  </w:footnote>
  <w:footnote w:id="16">
    <w:p w:rsidR="00EF646A" w:rsidRPr="00F1355A" w:rsidP="003C520A" w14:paraId="32A15C89" w14:textId="55C138F4">
      <w:pPr>
        <w:pStyle w:val="FootnoteText"/>
        <w:keepLines/>
        <w:spacing w:after="120"/>
      </w:pPr>
      <w:r w:rsidRPr="00F1355A">
        <w:rPr>
          <w:rStyle w:val="FootnoteReference"/>
        </w:rPr>
        <w:footnoteRef/>
      </w:r>
      <w:r w:rsidRPr="00F1355A">
        <w:t xml:space="preserve"> </w:t>
      </w:r>
      <w:r w:rsidRPr="003C520A" w:rsidR="007407A8">
        <w:t>Staff Review and Recommendation at 4</w:t>
      </w:r>
      <w:r w:rsidRPr="00F1355A" w:rsidR="00F1355A">
        <w:t xml:space="preserve"> (totaling $97,623)</w:t>
      </w:r>
      <w:r w:rsidRPr="003C520A" w:rsidR="007407A8">
        <w:t>.</w:t>
      </w:r>
    </w:p>
  </w:footnote>
  <w:footnote w:id="17">
    <w:p w:rsidR="00347029" w:rsidRPr="00F1355A" w:rsidP="003C520A" w14:paraId="346FD87C" w14:textId="17D71E4C">
      <w:pPr>
        <w:pStyle w:val="FootnoteText"/>
        <w:keepLines/>
        <w:spacing w:after="120"/>
        <w:rPr>
          <w:i/>
          <w:iCs/>
        </w:rPr>
      </w:pPr>
      <w:r w:rsidRPr="00F1355A">
        <w:rPr>
          <w:rStyle w:val="FootnoteReference"/>
        </w:rPr>
        <w:footnoteRef/>
      </w:r>
      <w:r w:rsidRPr="00F1355A">
        <w:t xml:space="preserve"> </w:t>
      </w:r>
      <w:r w:rsidRPr="00F1355A">
        <w:rPr>
          <w:i/>
          <w:iCs/>
        </w:rPr>
        <w:t>Id.</w:t>
      </w:r>
    </w:p>
  </w:footnote>
  <w:footnote w:id="18">
    <w:p w:rsidR="008C2FAB" w:rsidP="003C520A" w14:paraId="549FBE42" w14:textId="77777777">
      <w:pPr>
        <w:pStyle w:val="FootnoteText"/>
        <w:spacing w:after="120"/>
      </w:pPr>
      <w:r>
        <w:rPr>
          <w:rStyle w:val="FootnoteReference"/>
        </w:rPr>
        <w:footnoteRef/>
      </w:r>
      <w:r>
        <w:t xml:space="preserve"> See Combined Stipulation at 13 (March 23, 2010) (Rider DCR will be established to provide the Companies with the opportunity to earn a return on and of plant in service associated with distribution, subtransmission, and general and intangible plants including allocated general plant from FirstEnergy Service Company that supports the Companies, which was not included in the rate base determined in the Opinion and Order of January 21, 2009 in Case No. 07-551-EL-AIR et 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D1F" w14:paraId="20A293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5641FB"/>
    <w:multiLevelType w:val="hybridMultilevel"/>
    <w:tmpl w:val="B4F6EFA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173463D"/>
    <w:multiLevelType w:val="hybridMultilevel"/>
    <w:tmpl w:val="05CE2B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1E385F"/>
    <w:multiLevelType w:val="hybridMultilevel"/>
    <w:tmpl w:val="CED8C2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6A3B2B17"/>
    <w:multiLevelType w:val="hybridMultilevel"/>
    <w:tmpl w:val="17A0B8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0"/>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8"/>
    <w:rsid w:val="00032FDD"/>
    <w:rsid w:val="00036D6A"/>
    <w:rsid w:val="00037B2E"/>
    <w:rsid w:val="00057616"/>
    <w:rsid w:val="0006232A"/>
    <w:rsid w:val="0006454A"/>
    <w:rsid w:val="000721A9"/>
    <w:rsid w:val="00085092"/>
    <w:rsid w:val="00087FF0"/>
    <w:rsid w:val="00093AC2"/>
    <w:rsid w:val="000A199F"/>
    <w:rsid w:val="000B7FE7"/>
    <w:rsid w:val="000F2F69"/>
    <w:rsid w:val="000F516D"/>
    <w:rsid w:val="000F52C1"/>
    <w:rsid w:val="00101E8A"/>
    <w:rsid w:val="00136635"/>
    <w:rsid w:val="001653F2"/>
    <w:rsid w:val="00170273"/>
    <w:rsid w:val="001710D4"/>
    <w:rsid w:val="00173F23"/>
    <w:rsid w:val="00187622"/>
    <w:rsid w:val="00196E79"/>
    <w:rsid w:val="001A4537"/>
    <w:rsid w:val="001C6FF8"/>
    <w:rsid w:val="001D2035"/>
    <w:rsid w:val="001D7ACF"/>
    <w:rsid w:val="001E3AC7"/>
    <w:rsid w:val="001E4C2F"/>
    <w:rsid w:val="0020183B"/>
    <w:rsid w:val="00227817"/>
    <w:rsid w:val="00234700"/>
    <w:rsid w:val="00236CC3"/>
    <w:rsid w:val="00240C2A"/>
    <w:rsid w:val="002644AC"/>
    <w:rsid w:val="002A53B1"/>
    <w:rsid w:val="002B4D1F"/>
    <w:rsid w:val="002B5E33"/>
    <w:rsid w:val="002B6459"/>
    <w:rsid w:val="002C2315"/>
    <w:rsid w:val="002C3C08"/>
    <w:rsid w:val="002C4412"/>
    <w:rsid w:val="002E28A3"/>
    <w:rsid w:val="002F0CCA"/>
    <w:rsid w:val="00321BCA"/>
    <w:rsid w:val="00347029"/>
    <w:rsid w:val="003502A9"/>
    <w:rsid w:val="003525D3"/>
    <w:rsid w:val="00362396"/>
    <w:rsid w:val="003714D3"/>
    <w:rsid w:val="00376A99"/>
    <w:rsid w:val="003777F5"/>
    <w:rsid w:val="00386A56"/>
    <w:rsid w:val="003C244B"/>
    <w:rsid w:val="003C51CA"/>
    <w:rsid w:val="003C520A"/>
    <w:rsid w:val="003C64DC"/>
    <w:rsid w:val="003E405E"/>
    <w:rsid w:val="00402E11"/>
    <w:rsid w:val="0040486F"/>
    <w:rsid w:val="004154D8"/>
    <w:rsid w:val="00423AF1"/>
    <w:rsid w:val="00457D1F"/>
    <w:rsid w:val="00490A98"/>
    <w:rsid w:val="004B00CE"/>
    <w:rsid w:val="004B49E2"/>
    <w:rsid w:val="004C0B53"/>
    <w:rsid w:val="004C13E7"/>
    <w:rsid w:val="004C6BC4"/>
    <w:rsid w:val="004D4093"/>
    <w:rsid w:val="004E6788"/>
    <w:rsid w:val="004F54A9"/>
    <w:rsid w:val="005435CD"/>
    <w:rsid w:val="00565BFA"/>
    <w:rsid w:val="005824D2"/>
    <w:rsid w:val="0058406B"/>
    <w:rsid w:val="005C4C50"/>
    <w:rsid w:val="005D3FD9"/>
    <w:rsid w:val="005E605E"/>
    <w:rsid w:val="00614CD5"/>
    <w:rsid w:val="0062767A"/>
    <w:rsid w:val="00633DAB"/>
    <w:rsid w:val="006423FE"/>
    <w:rsid w:val="00647C5B"/>
    <w:rsid w:val="0067117C"/>
    <w:rsid w:val="006D348F"/>
    <w:rsid w:val="006E414E"/>
    <w:rsid w:val="006F2F6C"/>
    <w:rsid w:val="006F5F48"/>
    <w:rsid w:val="00711B89"/>
    <w:rsid w:val="007407A8"/>
    <w:rsid w:val="00745F72"/>
    <w:rsid w:val="007606DE"/>
    <w:rsid w:val="00767EDD"/>
    <w:rsid w:val="007A489B"/>
    <w:rsid w:val="007A49A3"/>
    <w:rsid w:val="007A5CE2"/>
    <w:rsid w:val="007A62C0"/>
    <w:rsid w:val="007A7E29"/>
    <w:rsid w:val="007B5A48"/>
    <w:rsid w:val="007B5ED9"/>
    <w:rsid w:val="00825990"/>
    <w:rsid w:val="00830500"/>
    <w:rsid w:val="00856E1B"/>
    <w:rsid w:val="008931E8"/>
    <w:rsid w:val="008945E9"/>
    <w:rsid w:val="008B46F8"/>
    <w:rsid w:val="008C2FAB"/>
    <w:rsid w:val="008D7621"/>
    <w:rsid w:val="008E034B"/>
    <w:rsid w:val="008E2479"/>
    <w:rsid w:val="008F559A"/>
    <w:rsid w:val="008F6AD6"/>
    <w:rsid w:val="00902663"/>
    <w:rsid w:val="009238EC"/>
    <w:rsid w:val="009249E4"/>
    <w:rsid w:val="00946607"/>
    <w:rsid w:val="00962B70"/>
    <w:rsid w:val="00982FF9"/>
    <w:rsid w:val="009C0189"/>
    <w:rsid w:val="009C2782"/>
    <w:rsid w:val="009F72F2"/>
    <w:rsid w:val="00A00F70"/>
    <w:rsid w:val="00A044B5"/>
    <w:rsid w:val="00A21F24"/>
    <w:rsid w:val="00A46164"/>
    <w:rsid w:val="00A50F98"/>
    <w:rsid w:val="00A70D4D"/>
    <w:rsid w:val="00A811C5"/>
    <w:rsid w:val="00AA244B"/>
    <w:rsid w:val="00AD20F6"/>
    <w:rsid w:val="00AD56DC"/>
    <w:rsid w:val="00AD7BD0"/>
    <w:rsid w:val="00AE266A"/>
    <w:rsid w:val="00AE5692"/>
    <w:rsid w:val="00AF4642"/>
    <w:rsid w:val="00B217CB"/>
    <w:rsid w:val="00B31962"/>
    <w:rsid w:val="00B45771"/>
    <w:rsid w:val="00B45BEE"/>
    <w:rsid w:val="00B55013"/>
    <w:rsid w:val="00B636E0"/>
    <w:rsid w:val="00B84242"/>
    <w:rsid w:val="00B86AAD"/>
    <w:rsid w:val="00BB776E"/>
    <w:rsid w:val="00BC0CE3"/>
    <w:rsid w:val="00BD1AC6"/>
    <w:rsid w:val="00BE1863"/>
    <w:rsid w:val="00BF75FE"/>
    <w:rsid w:val="00C360EB"/>
    <w:rsid w:val="00C401C3"/>
    <w:rsid w:val="00C4218F"/>
    <w:rsid w:val="00C4481C"/>
    <w:rsid w:val="00C45311"/>
    <w:rsid w:val="00C71BFB"/>
    <w:rsid w:val="00C72117"/>
    <w:rsid w:val="00C862FA"/>
    <w:rsid w:val="00CC14BA"/>
    <w:rsid w:val="00CD7A78"/>
    <w:rsid w:val="00CE4DA0"/>
    <w:rsid w:val="00D1051C"/>
    <w:rsid w:val="00D21B42"/>
    <w:rsid w:val="00D270D1"/>
    <w:rsid w:val="00D51040"/>
    <w:rsid w:val="00D90F8C"/>
    <w:rsid w:val="00D95042"/>
    <w:rsid w:val="00DD0CBE"/>
    <w:rsid w:val="00DD3B88"/>
    <w:rsid w:val="00DE6CE7"/>
    <w:rsid w:val="00E01F89"/>
    <w:rsid w:val="00E0377E"/>
    <w:rsid w:val="00E14EBC"/>
    <w:rsid w:val="00E257A1"/>
    <w:rsid w:val="00E3329E"/>
    <w:rsid w:val="00E33839"/>
    <w:rsid w:val="00E47D22"/>
    <w:rsid w:val="00E60D08"/>
    <w:rsid w:val="00E63F41"/>
    <w:rsid w:val="00E64ED4"/>
    <w:rsid w:val="00E67D3D"/>
    <w:rsid w:val="00EA1DCE"/>
    <w:rsid w:val="00EC766F"/>
    <w:rsid w:val="00EC7774"/>
    <w:rsid w:val="00EC7EAE"/>
    <w:rsid w:val="00EF646A"/>
    <w:rsid w:val="00F126CC"/>
    <w:rsid w:val="00F1355A"/>
    <w:rsid w:val="00F21F5C"/>
    <w:rsid w:val="00F257DB"/>
    <w:rsid w:val="00F41A9D"/>
    <w:rsid w:val="00F424EC"/>
    <w:rsid w:val="00F566DA"/>
    <w:rsid w:val="00F67C7E"/>
    <w:rsid w:val="00F741F8"/>
    <w:rsid w:val="00F7603C"/>
    <w:rsid w:val="00F82766"/>
    <w:rsid w:val="00FA12D0"/>
    <w:rsid w:val="00FB3596"/>
    <w:rsid w:val="00FB3D4D"/>
    <w:rsid w:val="00FB7D74"/>
    <w:rsid w:val="00FD0F52"/>
    <w:rsid w:val="00FD7359"/>
    <w:rsid w:val="00FF574E"/>
    <w:rsid w:val="00FF77D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paragraph" w:styleId="Revision">
    <w:name w:val="Revision"/>
    <w:hidden/>
    <w:uiPriority w:val="99"/>
    <w:semiHidden/>
    <w:rsid w:val="00657CE8"/>
    <w:rPr>
      <w:sz w:val="24"/>
    </w:rPr>
  </w:style>
  <w:style w:type="character" w:customStyle="1" w:styleId="UnresolvedMention1">
    <w:name w:val="Unresolved Mention1"/>
    <w:basedOn w:val="DefaultParagraphFont"/>
    <w:uiPriority w:val="99"/>
    <w:semiHidden/>
    <w:unhideWhenUsed/>
    <w:rsid w:val="00CE6826"/>
    <w:rPr>
      <w:color w:val="605E5C"/>
      <w:shd w:val="clear" w:color="auto" w:fill="E1DFDD"/>
    </w:rPr>
  </w:style>
  <w:style w:type="character" w:customStyle="1" w:styleId="HeaderChar">
    <w:name w:val="Header Char"/>
    <w:basedOn w:val="DefaultParagraphFont"/>
    <w:link w:val="Header"/>
    <w:uiPriority w:val="99"/>
    <w:rsid w:val="002B4D1F"/>
    <w:rPr>
      <w:sz w:val="24"/>
    </w:rPr>
  </w:style>
  <w:style w:type="character" w:customStyle="1" w:styleId="FooterChar">
    <w:name w:val="Footer Char"/>
    <w:basedOn w:val="DefaultParagraphFont"/>
    <w:link w:val="Footer"/>
    <w:uiPriority w:val="99"/>
    <w:rsid w:val="002B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price@puc.state.oh.us" TargetMode="External" /><Relationship Id="rId11" Type="http://schemas.openxmlformats.org/officeDocument/2006/relationships/hyperlink" Target="mailto:scasto@firtstenergycorp.com" TargetMode="Externa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wright@ohioattorneygeneral.gov" TargetMode="External" /><Relationship Id="rId9" Type="http://schemas.openxmlformats.org/officeDocument/2006/relationships/hyperlink" Target="mailto:Megan.addison@puc.state.oh.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4E8A-AF8F-4C8F-8081-22D8B8F8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17-2276-EL-RDR - FE AMA Rider OCC Comments 02182020 w-dfs.docx ls.ael2.docx</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2020-02-28T20:13:02Z</dcterms:created>
  <dcterms:modified xsi:type="dcterms:W3CDTF">2020-02-28T20:13:02Z</dcterms:modified>
</cp:coreProperties>
</file>