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102391" w:rsidRPr="00080650" w:rsidP="00102391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80650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102391" w:rsidRPr="00080650" w:rsidP="00102391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650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102391" w:rsidRPr="00080650" w:rsidP="00102391">
      <w:pPr>
        <w:pStyle w:val="HTMLPreformatted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In the Matter of the Application of Duke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Energy Ohio, Inc. for Approval to Modify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Case No. 17-0872-EL-RDR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Rider PSR.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02391" w:rsidRPr="00080650" w:rsidP="00102391">
      <w:pPr>
        <w:pStyle w:val="HTMLPreformatted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In the Matter of the Application of Duke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Energy Ohio, Inc. for Approval to Amend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Case No. 17-0873-EL-ATA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Rider PSR.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In the Matter of the Application of Duke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Energy Ohio, Inc. for Approval to Change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Case No. 17-0874-EL-AAM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Accounting Methods.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In the Matter of the Application of Duke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Energy Ohio, Inc., for an Increase in Electric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Case No. 17-0032-EL-AIR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Distribution Rates.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 xml:space="preserve">In the Matter of the application of Duke 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Case No. 17-0033-EL-ATA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Energy Ohio, Inc., for Tariff Approval.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In the Matter of the Application of Duke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 xml:space="preserve">Energy Ohio, Inc. for Approval to Change 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Case No. 17-0034-EL-AAM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Accounting Methods.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In the Matter of the Application of Duke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Energy Ohio, Inc. for Authority to Establish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a Standard Service Offer Pursuant to Section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Case No. 17-1263-EL-SSO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4928.143, Revised Code, in the Form of an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 xml:space="preserve">Electric Security Plan, Accounting 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Modifications and Tariffs for Generation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Service.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In the Matter of the Application of Duke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Energy Ohio, Inc. for Authority to Amend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Case No. 17-1264-EL-ATA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Its Certified Supplier Tariff, P.U.C.O. No.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20.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In the Matter of the Application of Duke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Energy Ohio, Inc. for Authority to Defer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Case No. 17-1265-EL-AAM</w:t>
      </w:r>
    </w:p>
    <w:p w:rsidR="00102391" w:rsidRPr="00080650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080650">
        <w:rPr>
          <w:rFonts w:ascii="Times New Roman" w:hAnsi="Times New Roman" w:cs="Times New Roman"/>
          <w:bCs/>
          <w:sz w:val="24"/>
          <w:szCs w:val="24"/>
        </w:rPr>
        <w:t>Vegetation Management Costs.</w:t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</w:r>
      <w:r w:rsidRPr="0008065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102391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:rsidR="00720F8E" w:rsidP="00102391">
      <w:pPr>
        <w:pStyle w:val="HTMLPreformatted"/>
        <w:rPr>
          <w:rFonts w:ascii="Times New Roman" w:hAnsi="Times New Roman" w:cs="Times New Roman"/>
          <w:bCs/>
          <w:sz w:val="24"/>
          <w:szCs w:val="24"/>
        </w:rPr>
        <w:sectPr w:rsidSect="00102391">
          <w:footerReference w:type="default" r:id="rId4"/>
          <w:footerReference w:type="first" r:id="rId5"/>
          <w:pgSz w:w="12240" w:h="15840"/>
          <w:pgMar w:top="1440" w:right="1800" w:bottom="1440" w:left="1800" w:header="720" w:footer="720" w:gutter="0"/>
          <w:pgNumType w:start="2"/>
          <w:cols w:space="720"/>
          <w:titlePg/>
          <w:docGrid w:linePitch="360"/>
        </w:sectPr>
      </w:pPr>
    </w:p>
    <w:p w:rsidR="00720F8E" w:rsidRPr="00720F8E" w:rsidP="00720F8E">
      <w:pPr>
        <w:autoSpaceDE w:val="0"/>
        <w:autoSpaceDN w:val="0"/>
        <w:adjustRightInd w:val="0"/>
        <w:rPr>
          <w:b/>
        </w:rPr>
      </w:pPr>
      <w:r w:rsidRPr="00720F8E">
        <w:rPr>
          <w:b/>
        </w:rPr>
        <w:t>________________________________________________________________________</w:t>
      </w:r>
    </w:p>
    <w:p w:rsidR="00720F8E" w:rsidRPr="00720F8E" w:rsidP="00720F8E">
      <w:pPr>
        <w:autoSpaceDE w:val="0"/>
        <w:autoSpaceDN w:val="0"/>
        <w:adjustRightInd w:val="0"/>
        <w:rPr>
          <w:b/>
        </w:rPr>
      </w:pPr>
    </w:p>
    <w:p w:rsidR="00720F8E" w:rsidRPr="00E35B5D" w:rsidP="00720F8E">
      <w:pPr>
        <w:autoSpaceDE w:val="0"/>
        <w:autoSpaceDN w:val="0"/>
        <w:adjustRightInd w:val="0"/>
        <w:jc w:val="center"/>
        <w:rPr>
          <w:b/>
        </w:rPr>
      </w:pPr>
      <w:r w:rsidRPr="00E35B5D">
        <w:rPr>
          <w:b/>
        </w:rPr>
        <w:t xml:space="preserve">NOTICE OF APPEARANCE OF ADDITIONAL COUNSEL </w:t>
      </w:r>
    </w:p>
    <w:p w:rsidR="00720F8E" w:rsidRPr="00E35B5D" w:rsidP="00720F8E">
      <w:pPr>
        <w:autoSpaceDE w:val="0"/>
        <w:autoSpaceDN w:val="0"/>
        <w:adjustRightInd w:val="0"/>
        <w:jc w:val="center"/>
        <w:rPr>
          <w:b/>
        </w:rPr>
      </w:pPr>
      <w:r w:rsidRPr="00E35B5D">
        <w:rPr>
          <w:b/>
        </w:rPr>
        <w:t xml:space="preserve">BY </w:t>
      </w:r>
    </w:p>
    <w:p w:rsidR="00720F8E" w:rsidP="00720F8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E35B5D">
        <w:rPr>
          <w:b/>
        </w:rPr>
        <w:t xml:space="preserve">THE </w:t>
      </w:r>
      <w:r>
        <w:rPr>
          <w:b/>
        </w:rPr>
        <w:t xml:space="preserve">OFFICE OF THE </w:t>
      </w:r>
      <w:r w:rsidRPr="00E35B5D">
        <w:rPr>
          <w:b/>
        </w:rPr>
        <w:t>OHIO CONSUMERS’ COUNSEL</w:t>
      </w:r>
    </w:p>
    <w:p w:rsidR="00720F8E" w:rsidP="00720F8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</w:p>
    <w:p w:rsidR="00720F8E" w:rsidRPr="00720F8E" w:rsidP="00720F8E">
      <w:pPr>
        <w:autoSpaceDE w:val="0"/>
        <w:autoSpaceDN w:val="0"/>
        <w:adjustRightInd w:val="0"/>
      </w:pPr>
    </w:p>
    <w:p w:rsidR="00720F8E" w:rsidRPr="00E35B5D" w:rsidP="00720F8E">
      <w:pPr>
        <w:autoSpaceDE w:val="0"/>
        <w:autoSpaceDN w:val="0"/>
        <w:adjustRightInd w:val="0"/>
        <w:spacing w:line="480" w:lineRule="auto"/>
        <w:ind w:firstLine="720"/>
      </w:pPr>
      <w:r w:rsidRPr="00E35B5D">
        <w:t xml:space="preserve">The Office of the Ohio Consumers’ Counsel (“OCC”) in accordance with Ohio Adm. Code 4901-1-08, hereby provides notice of the appearance of </w:t>
      </w:r>
      <w:r>
        <w:t xml:space="preserve">Zachary Woltz </w:t>
      </w:r>
      <w:r w:rsidRPr="00E35B5D">
        <w:t>as additional counsel for the Office of the Ohio Consumers’ Counsel in the above-captioned proceedings.  William Michael will remain counsel of record in this matter.  OCC requests that all documents and other communications be served upon all OCC counsel from this point forward.</w:t>
      </w:r>
    </w:p>
    <w:p w:rsidR="00720F8E" w:rsidRPr="00720F8E" w:rsidP="00720F8E">
      <w:pPr>
        <w:pStyle w:val="BodyTextIndent3"/>
        <w:widowControl w:val="0"/>
        <w:ind w:left="3600" w:right="-672"/>
        <w:rPr>
          <w:rFonts w:ascii="Times New Roman" w:hAnsi="Times New Roman" w:cs="Times New Roman"/>
        </w:rPr>
      </w:pPr>
      <w:r w:rsidRPr="00720F8E">
        <w:rPr>
          <w:rFonts w:ascii="Times New Roman" w:hAnsi="Times New Roman" w:cs="Times New Roman"/>
        </w:rPr>
        <w:t>Respectfully submitted,</w:t>
      </w:r>
    </w:p>
    <w:p w:rsidR="00720F8E" w:rsidRPr="00720F8E" w:rsidP="00720F8E">
      <w:pPr>
        <w:pStyle w:val="Footer"/>
        <w:tabs>
          <w:tab w:val="left" w:pos="4320"/>
          <w:tab w:val="clear" w:pos="8640"/>
        </w:tabs>
        <w:spacing w:before="240"/>
      </w:pPr>
      <w:r>
        <w:tab/>
        <w:t>BRUCE WESTON (</w:t>
      </w:r>
      <w:r w:rsidRPr="00720F8E">
        <w:t>0016973)</w:t>
      </w:r>
    </w:p>
    <w:p w:rsidR="00720F8E" w:rsidRPr="00720F8E" w:rsidP="00720F8E">
      <w:pPr>
        <w:tabs>
          <w:tab w:val="left" w:pos="4320"/>
        </w:tabs>
      </w:pPr>
      <w:r w:rsidRPr="00720F8E">
        <w:tab/>
        <w:t>OHIO CONSUMERS’ COUNSEL</w:t>
      </w:r>
    </w:p>
    <w:p w:rsidR="00720F8E" w:rsidRPr="00720F8E" w:rsidP="00720F8E">
      <w:pPr>
        <w:tabs>
          <w:tab w:val="left" w:pos="4320"/>
        </w:tabs>
      </w:pPr>
      <w:r w:rsidRPr="00720F8E">
        <w:tab/>
      </w:r>
    </w:p>
    <w:p w:rsidR="00720F8E" w:rsidRPr="00720F8E" w:rsidP="00720F8E">
      <w:pPr>
        <w:tabs>
          <w:tab w:val="left" w:pos="4320"/>
        </w:tabs>
      </w:pPr>
      <w:r w:rsidRPr="00720F8E">
        <w:tab/>
      </w:r>
      <w:r w:rsidRPr="00720F8E">
        <w:rPr>
          <w:i/>
          <w:u w:val="single"/>
        </w:rPr>
        <w:t>/s/ William J. Michael</w:t>
      </w:r>
    </w:p>
    <w:p w:rsidR="00720F8E" w:rsidRPr="00720F8E" w:rsidP="00720F8E">
      <w:pPr>
        <w:tabs>
          <w:tab w:val="left" w:pos="4320"/>
        </w:tabs>
      </w:pPr>
      <w:r w:rsidRPr="00720F8E">
        <w:tab/>
        <w:t>William J. Michael (0070921)</w:t>
      </w:r>
    </w:p>
    <w:p w:rsidR="00720F8E" w:rsidRPr="00720F8E" w:rsidP="00720F8E">
      <w:pPr>
        <w:tabs>
          <w:tab w:val="left" w:pos="4320"/>
        </w:tabs>
      </w:pPr>
      <w:r w:rsidRPr="00720F8E">
        <w:tab/>
        <w:t>Counsel of Record</w:t>
      </w:r>
      <w:r w:rsidRPr="00720F8E">
        <w:tab/>
      </w:r>
    </w:p>
    <w:p w:rsidR="00720F8E" w:rsidRPr="00720F8E" w:rsidP="00720F8E">
      <w:pPr>
        <w:tabs>
          <w:tab w:val="left" w:pos="4320"/>
        </w:tabs>
      </w:pPr>
      <w:r w:rsidRPr="00720F8E">
        <w:tab/>
        <w:t>Kevin Moore (0089228)</w:t>
      </w:r>
    </w:p>
    <w:p w:rsidR="00720F8E" w:rsidRPr="00720F8E" w:rsidP="00720F8E">
      <w:pPr>
        <w:tabs>
          <w:tab w:val="left" w:pos="4320"/>
        </w:tabs>
      </w:pPr>
      <w:r w:rsidRPr="00720F8E">
        <w:tab/>
        <w:t>Christopher Healey (0086027)</w:t>
      </w:r>
    </w:p>
    <w:p w:rsidR="00720F8E" w:rsidRPr="00720F8E" w:rsidP="00720F8E">
      <w:pPr>
        <w:tabs>
          <w:tab w:val="left" w:pos="4320"/>
        </w:tabs>
      </w:pPr>
      <w:r w:rsidRPr="00720F8E">
        <w:tab/>
        <w:t>Zachary Woltz (0096669)</w:t>
      </w:r>
    </w:p>
    <w:p w:rsidR="00720F8E" w:rsidRPr="00720F8E" w:rsidP="00720F8E">
      <w:pPr>
        <w:tabs>
          <w:tab w:val="left" w:pos="4320"/>
        </w:tabs>
      </w:pPr>
      <w:r w:rsidRPr="00720F8E">
        <w:tab/>
        <w:t>Assistant Consumers’ Counsel</w:t>
      </w:r>
    </w:p>
    <w:p w:rsidR="00720F8E" w:rsidRPr="00720F8E" w:rsidP="00720F8E">
      <w:pPr>
        <w:tabs>
          <w:tab w:val="left" w:pos="4320"/>
        </w:tabs>
      </w:pPr>
    </w:p>
    <w:p w:rsidR="00720F8E" w:rsidRPr="00720F8E" w:rsidP="00720F8E">
      <w:pPr>
        <w:tabs>
          <w:tab w:val="left" w:pos="4320"/>
        </w:tabs>
        <w:rPr>
          <w:b/>
        </w:rPr>
      </w:pPr>
      <w:r w:rsidRPr="00720F8E">
        <w:tab/>
      </w:r>
      <w:r w:rsidRPr="00720F8E">
        <w:rPr>
          <w:b/>
        </w:rPr>
        <w:t>Office of the Ohio Consumers’ Counsel</w:t>
      </w:r>
    </w:p>
    <w:p w:rsidR="00720F8E" w:rsidRPr="00720F8E" w:rsidP="00720F8E">
      <w:pPr>
        <w:tabs>
          <w:tab w:val="left" w:pos="4320"/>
        </w:tabs>
      </w:pPr>
      <w:r w:rsidRPr="00720F8E">
        <w:tab/>
        <w:t>65 East State Street, 7</w:t>
      </w:r>
      <w:r w:rsidRPr="00720F8E">
        <w:rPr>
          <w:vertAlign w:val="superscript"/>
        </w:rPr>
        <w:t>th</w:t>
      </w:r>
      <w:r w:rsidRPr="00720F8E">
        <w:t xml:space="preserve"> Floor</w:t>
      </w:r>
    </w:p>
    <w:p w:rsidR="00720F8E" w:rsidRPr="00720F8E" w:rsidP="00720F8E">
      <w:pPr>
        <w:tabs>
          <w:tab w:val="left" w:pos="4320"/>
        </w:tabs>
      </w:pPr>
      <w:r w:rsidRPr="00720F8E">
        <w:tab/>
        <w:t>Columbus, Ohio 43215</w:t>
      </w:r>
      <w:r w:rsidR="0063225B">
        <w:t>-4213</w:t>
      </w:r>
    </w:p>
    <w:p w:rsidR="00720F8E" w:rsidRPr="00720F8E" w:rsidP="00720F8E">
      <w:pPr>
        <w:autoSpaceDE w:val="0"/>
        <w:autoSpaceDN w:val="0"/>
        <w:adjustRightInd w:val="0"/>
        <w:ind w:left="3600" w:firstLine="720"/>
      </w:pPr>
      <w:r>
        <w:t xml:space="preserve">Telephone [Michael]: </w:t>
      </w:r>
      <w:r w:rsidRPr="00720F8E" w:rsidR="00EF30EA">
        <w:t>(614) 466-1291</w:t>
      </w:r>
    </w:p>
    <w:p w:rsidR="00720F8E" w:rsidRPr="00720F8E" w:rsidP="00720F8E">
      <w:pPr>
        <w:autoSpaceDE w:val="0"/>
        <w:autoSpaceDN w:val="0"/>
        <w:adjustRightInd w:val="0"/>
        <w:ind w:left="3600" w:firstLine="720"/>
      </w:pPr>
      <w:r>
        <w:t xml:space="preserve">Telephone [Moore]: </w:t>
      </w:r>
      <w:r w:rsidRPr="00720F8E" w:rsidR="00EF30EA">
        <w:t>(614) 387-2965</w:t>
      </w:r>
      <w:r w:rsidRPr="00720F8E" w:rsidR="00EF30EA">
        <w:tab/>
      </w:r>
    </w:p>
    <w:p w:rsidR="00720F8E" w:rsidRPr="00720F8E" w:rsidP="00720F8E">
      <w:pPr>
        <w:autoSpaceDE w:val="0"/>
        <w:autoSpaceDN w:val="0"/>
        <w:adjustRightInd w:val="0"/>
        <w:ind w:left="3600" w:firstLine="720"/>
      </w:pPr>
      <w:r>
        <w:t>Telephone [Healey]:</w:t>
      </w:r>
      <w:r w:rsidRPr="00720F8E" w:rsidR="00EF30EA">
        <w:t xml:space="preserve"> (614) 466-9571</w:t>
      </w:r>
      <w:r w:rsidRPr="00720F8E" w:rsidR="00EF30EA">
        <w:tab/>
      </w:r>
    </w:p>
    <w:p w:rsidR="00720F8E" w:rsidRPr="00720F8E" w:rsidP="00720F8E">
      <w:pPr>
        <w:autoSpaceDE w:val="0"/>
        <w:autoSpaceDN w:val="0"/>
        <w:adjustRightInd w:val="0"/>
        <w:ind w:left="3600" w:firstLine="720"/>
      </w:pPr>
      <w:r>
        <w:t xml:space="preserve">Telephone [Woltz]: </w:t>
      </w:r>
      <w:r w:rsidRPr="00720F8E" w:rsidR="00EF30EA">
        <w:t>(614) 466-9565</w:t>
      </w:r>
    </w:p>
    <w:p w:rsidR="00720F8E" w:rsidRPr="00B76BE3" w:rsidP="00720F8E">
      <w:pPr>
        <w:autoSpaceDE w:val="0"/>
        <w:autoSpaceDN w:val="0"/>
        <w:adjustRightInd w:val="0"/>
        <w:ind w:left="3600" w:firstLine="720"/>
      </w:pPr>
      <w:r w:rsidRPr="00B76BE3">
        <w:t>william.michael@occ.ohio.gov</w:t>
      </w:r>
    </w:p>
    <w:p w:rsidR="00720F8E" w:rsidRPr="00B76BE3" w:rsidP="00720F8E">
      <w:pPr>
        <w:autoSpaceDE w:val="0"/>
        <w:autoSpaceDN w:val="0"/>
        <w:adjustRightInd w:val="0"/>
        <w:ind w:left="3600" w:firstLine="720"/>
      </w:pPr>
      <w:r w:rsidRPr="00B76BE3">
        <w:t>Kevin.moore@occ.ohio.gov</w:t>
      </w:r>
    </w:p>
    <w:p w:rsidR="00720F8E" w:rsidRPr="00B76BE3" w:rsidP="00720F8E">
      <w:pPr>
        <w:autoSpaceDE w:val="0"/>
        <w:autoSpaceDN w:val="0"/>
        <w:adjustRightInd w:val="0"/>
        <w:ind w:left="3600" w:firstLine="720"/>
      </w:pPr>
      <w:r w:rsidRPr="00B76BE3">
        <w:t>Christopher.healey@occ.ohio.gov</w:t>
      </w:r>
    </w:p>
    <w:p w:rsidR="00720F8E" w:rsidRPr="00B76BE3" w:rsidP="00720F8E">
      <w:pPr>
        <w:autoSpaceDE w:val="0"/>
        <w:autoSpaceDN w:val="0"/>
        <w:adjustRightInd w:val="0"/>
        <w:ind w:left="3600" w:firstLine="720"/>
      </w:pPr>
      <w:r w:rsidRPr="00B76BE3">
        <w:t>Zachary.woltz@occ.ohio.gov</w:t>
      </w:r>
    </w:p>
    <w:p w:rsidR="00720F8E" w:rsidRPr="00720F8E" w:rsidP="00720F8E">
      <w:pPr>
        <w:autoSpaceDE w:val="0"/>
        <w:autoSpaceDN w:val="0"/>
        <w:adjustRightInd w:val="0"/>
        <w:ind w:left="3600" w:firstLine="720"/>
      </w:pPr>
      <w:r w:rsidRPr="00720F8E">
        <w:t>(</w:t>
      </w:r>
      <w:r>
        <w:t>will accept service via email</w:t>
      </w:r>
      <w:r w:rsidRPr="00720F8E">
        <w:t>)</w:t>
      </w:r>
    </w:p>
    <w:p w:rsidR="00102391" w:rsidRPr="00080650" w:rsidP="00C25B96">
      <w:pPr>
        <w:spacing w:line="480" w:lineRule="auto"/>
        <w:ind w:left="1440" w:hanging="1440"/>
      </w:pPr>
    </w:p>
    <w:p w:rsidR="00102391" w:rsidRPr="00720F8E" w:rsidP="00720F8E">
      <w:pPr>
        <w:spacing w:after="200" w:line="276" w:lineRule="auto"/>
        <w:jc w:val="center"/>
        <w:rPr>
          <w:b/>
        </w:rPr>
      </w:pPr>
      <w:r w:rsidRPr="00080650">
        <w:rPr>
          <w:b/>
          <w:bCs/>
          <w:u w:val="single"/>
        </w:rPr>
        <w:t>CERTIFICATE OF SERVICE</w:t>
      </w:r>
    </w:p>
    <w:p w:rsidR="00102391" w:rsidRPr="00080650" w:rsidP="00102391">
      <w:pPr>
        <w:suppressAutoHyphens/>
        <w:spacing w:line="480" w:lineRule="auto"/>
        <w:ind w:firstLine="720"/>
      </w:pPr>
      <w:r w:rsidRPr="00080650">
        <w:t xml:space="preserve">It is hereby certified that a true copy of the foregoing </w:t>
      </w:r>
      <w:r>
        <w:t xml:space="preserve">Notice of Appearance of Additional Counsel </w:t>
      </w:r>
      <w:r w:rsidRPr="00080650">
        <w:t xml:space="preserve">was served upon the persons listed below via electronic transmission this </w:t>
      </w:r>
      <w:r>
        <w:t>4</w:t>
      </w:r>
      <w:r w:rsidRPr="00720F8E">
        <w:rPr>
          <w:vertAlign w:val="superscript"/>
        </w:rPr>
        <w:t>th</w:t>
      </w:r>
      <w:r>
        <w:t xml:space="preserve"> </w:t>
      </w:r>
      <w:r w:rsidRPr="00080650">
        <w:t xml:space="preserve">day of </w:t>
      </w:r>
      <w:r>
        <w:t>May</w:t>
      </w:r>
      <w:r w:rsidRPr="00080650">
        <w:t xml:space="preserve"> 2018.</w:t>
      </w:r>
    </w:p>
    <w:p w:rsidR="00102391" w:rsidRPr="00080650" w:rsidP="00102391">
      <w:pPr>
        <w:suppressAutoHyphens/>
        <w:ind w:firstLine="720"/>
      </w:pPr>
      <w:r w:rsidRPr="00080650">
        <w:tab/>
      </w:r>
      <w:r w:rsidRPr="00080650">
        <w:tab/>
      </w:r>
      <w:r w:rsidRPr="00080650">
        <w:tab/>
      </w:r>
      <w:r w:rsidRPr="00080650">
        <w:tab/>
      </w:r>
      <w:r w:rsidRPr="00080650">
        <w:tab/>
      </w:r>
      <w:r w:rsidRPr="00080650">
        <w:rPr>
          <w:i/>
          <w:iCs/>
          <w:u w:val="single"/>
        </w:rPr>
        <w:t>/s/ William J. Michael</w:t>
      </w:r>
    </w:p>
    <w:p w:rsidR="00102391" w:rsidRPr="00080650" w:rsidP="00102391">
      <w:pPr>
        <w:tabs>
          <w:tab w:val="left" w:pos="4320"/>
        </w:tabs>
      </w:pPr>
      <w:r w:rsidRPr="00080650">
        <w:tab/>
        <w:t>William J. Michael</w:t>
      </w:r>
    </w:p>
    <w:p w:rsidR="00102391" w:rsidRPr="00080650" w:rsidP="00102391">
      <w:pPr>
        <w:tabs>
          <w:tab w:val="left" w:pos="4320"/>
        </w:tabs>
      </w:pPr>
      <w:r w:rsidRPr="00080650">
        <w:tab/>
        <w:t>Assistant Consumers’ Counsel</w:t>
      </w:r>
    </w:p>
    <w:p w:rsidR="00102391" w:rsidP="00102391">
      <w:pPr>
        <w:pStyle w:val="CommentText"/>
        <w:rPr>
          <w:sz w:val="24"/>
          <w:szCs w:val="24"/>
        </w:rPr>
      </w:pPr>
    </w:p>
    <w:p w:rsidR="00B76BE3" w:rsidRPr="00080650" w:rsidP="00102391">
      <w:pPr>
        <w:pStyle w:val="CommentText"/>
        <w:rPr>
          <w:sz w:val="24"/>
          <w:szCs w:val="24"/>
        </w:rPr>
      </w:pPr>
    </w:p>
    <w:p w:rsidR="00102391" w:rsidRPr="00B76BE3" w:rsidP="00102391">
      <w:pPr>
        <w:pStyle w:val="CommentText"/>
        <w:jc w:val="center"/>
        <w:rPr>
          <w:b/>
          <w:bCs/>
          <w:sz w:val="24"/>
          <w:szCs w:val="24"/>
          <w:u w:val="single"/>
        </w:rPr>
      </w:pPr>
      <w:r w:rsidRPr="00B76BE3">
        <w:rPr>
          <w:b/>
          <w:bCs/>
          <w:sz w:val="24"/>
          <w:szCs w:val="24"/>
          <w:u w:val="single"/>
        </w:rPr>
        <w:t>SERVICE LIST</w:t>
      </w:r>
    </w:p>
    <w:p w:rsidR="00102391" w:rsidRPr="00080650" w:rsidP="00102391">
      <w:pPr>
        <w:pStyle w:val="CommentText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0"/>
        <w:gridCol w:w="4240"/>
      </w:tblGrid>
      <w:tr w:rsidTr="00B76BE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428" w:type="dxa"/>
          </w:tcPr>
          <w:p w:rsidR="00102391" w:rsidRPr="00080650" w:rsidP="00102391">
            <w:pPr>
              <w:pStyle w:val="CommentText"/>
              <w:rPr>
                <w:b/>
                <w:sz w:val="24"/>
                <w:szCs w:val="24"/>
              </w:rPr>
            </w:pPr>
            <w:r w:rsidRPr="00080650">
              <w:rPr>
                <w:b/>
                <w:sz w:val="24"/>
                <w:szCs w:val="24"/>
              </w:rPr>
              <w:t>Case No. 17-0872-EL-RDR et al.</w:t>
            </w:r>
          </w:p>
          <w:p w:rsidR="00102391" w:rsidRPr="00080650" w:rsidP="00102391">
            <w:pPr>
              <w:autoSpaceDE w:val="0"/>
              <w:autoSpaceDN w:val="0"/>
              <w:adjustRightInd w:val="0"/>
            </w:pPr>
          </w:p>
          <w:p w:rsidR="00102391" w:rsidRPr="00080650" w:rsidP="00102391">
            <w:pPr>
              <w:autoSpaceDE w:val="0"/>
              <w:autoSpaceDN w:val="0"/>
              <w:adjustRightInd w:val="0"/>
            </w:pPr>
            <w:r w:rsidRPr="00080650">
              <w:t>Steven.beeler@ohioattorneygeneral.gov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80650">
              <w:t>cmooney@ohiopartners.org</w:t>
            </w:r>
          </w:p>
          <w:p w:rsidR="00102391" w:rsidRPr="00080650" w:rsidP="00102391">
            <w:pPr>
              <w:autoSpaceDE w:val="0"/>
              <w:autoSpaceDN w:val="0"/>
              <w:adjustRightInd w:val="0"/>
            </w:pPr>
            <w:r w:rsidRPr="00080650">
              <w:t>mkurtz@BKLlawfirm.com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</w:pPr>
            <w:r w:rsidRPr="00080650">
              <w:t>kboehm@BKLlawfirm.com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Style w:val="Hyperlink"/>
              </w:rPr>
            </w:pPr>
            <w:r w:rsidRPr="00080650">
              <w:t>jkylercohn@BKLlawfirm.com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</w:rPr>
            </w:pPr>
            <w:r w:rsidRPr="00080650">
              <w:rPr>
                <w:rFonts w:eastAsiaTheme="minorHAnsi"/>
              </w:rPr>
              <w:t>dborchers@bricker.com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</w:rPr>
            </w:pPr>
            <w:r w:rsidRPr="00080650">
              <w:rPr>
                <w:rFonts w:eastAsiaTheme="minorHAnsi"/>
              </w:rPr>
              <w:t>dparram@bricker.com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80650">
              <w:rPr>
                <w:rFonts w:eastAsiaTheme="minorHAnsi"/>
              </w:rPr>
              <w:t>whitt@whitt-sturtevant.com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80650">
              <w:rPr>
                <w:rFonts w:eastAsiaTheme="minorHAnsi"/>
              </w:rPr>
              <w:t>campbell@whitt-sturtevant.com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Style w:val="Hyperlink"/>
                <w:rFonts w:eastAsiaTheme="minorHAnsi"/>
              </w:rPr>
            </w:pPr>
            <w:r w:rsidRPr="00080650">
              <w:rPr>
                <w:rFonts w:eastAsiaTheme="minorHAnsi"/>
              </w:rPr>
              <w:t>glover@whitt-sturtevant.com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Style w:val="Hyperlink"/>
                <w:rFonts w:eastAsiaTheme="minorHAnsi"/>
              </w:rPr>
            </w:pPr>
            <w:r w:rsidRPr="00080650">
              <w:rPr>
                <w:rFonts w:eastAsiaTheme="minorHAnsi"/>
              </w:rPr>
              <w:t>rsahli@columbus.rr.com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80650">
              <w:rPr>
                <w:rFonts w:eastAsiaTheme="minorHAnsi"/>
              </w:rPr>
              <w:t>mleppla@theoec.org</w:t>
            </w:r>
          </w:p>
          <w:p w:rsidR="00102391" w:rsidRPr="00080650" w:rsidP="00102391">
            <w:pPr>
              <w:pStyle w:val="CommentText"/>
              <w:rPr>
                <w:rFonts w:eastAsiaTheme="minorHAnsi"/>
                <w:color w:val="1155CD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tdougherty@theOEC.org</w:t>
            </w:r>
          </w:p>
          <w:p w:rsidR="00102391" w:rsidRPr="00080650" w:rsidP="00102391">
            <w:pPr>
              <w:pStyle w:val="CommentText"/>
              <w:rPr>
                <w:rFonts w:eastAsiaTheme="minorHAnsi"/>
                <w:color w:val="1155CD"/>
                <w:sz w:val="24"/>
                <w:szCs w:val="24"/>
              </w:rPr>
            </w:pPr>
          </w:p>
          <w:p w:rsidR="00102391" w:rsidRPr="00080650" w:rsidP="00102391">
            <w:pPr>
              <w:pStyle w:val="CommentText"/>
              <w:rPr>
                <w:b/>
                <w:sz w:val="24"/>
                <w:szCs w:val="24"/>
              </w:rPr>
            </w:pPr>
            <w:r w:rsidRPr="00080650">
              <w:rPr>
                <w:b/>
                <w:sz w:val="24"/>
                <w:szCs w:val="24"/>
              </w:rPr>
              <w:t>Case No. 17-0032-EL-AIR et al.</w:t>
            </w:r>
          </w:p>
          <w:p w:rsidR="00102391" w:rsidRPr="00080650" w:rsidP="00102391">
            <w:pPr>
              <w:pStyle w:val="CommentText"/>
              <w:rPr>
                <w:b/>
                <w:bCs/>
                <w:sz w:val="24"/>
                <w:szCs w:val="24"/>
              </w:rPr>
            </w:pPr>
          </w:p>
          <w:p w:rsidR="00102391" w:rsidRPr="00080650" w:rsidP="00102391">
            <w:r w:rsidRPr="00080650">
              <w:t xml:space="preserve">Steven.beeler@ohioattorneygeneral.gov </w:t>
            </w:r>
          </w:p>
          <w:p w:rsidR="00102391" w:rsidRPr="00080650" w:rsidP="00102391">
            <w:r w:rsidRPr="00080650">
              <w:t>Robert.eubanks@ohioattorneygeneral.gov</w:t>
            </w:r>
          </w:p>
          <w:p w:rsidR="00102391" w:rsidRPr="00080650" w:rsidP="00102391">
            <w:pPr>
              <w:rPr>
                <w:rFonts w:eastAsia="Calibri"/>
                <w:color w:val="0000FF"/>
              </w:rPr>
            </w:pPr>
            <w:r w:rsidRPr="00080650">
              <w:rPr>
                <w:rFonts w:eastAsia="Calibri"/>
              </w:rPr>
              <w:t>cmooney@ohiopartners.org</w:t>
            </w:r>
          </w:p>
          <w:p w:rsidR="00102391" w:rsidRPr="00080650" w:rsidP="00102391">
            <w:pPr>
              <w:rPr>
                <w:rFonts w:eastAsia="Calibri"/>
                <w:color w:val="0000FF"/>
              </w:rPr>
            </w:pPr>
            <w:r w:rsidRPr="00080650">
              <w:rPr>
                <w:rFonts w:eastAsia="Calibri"/>
              </w:rPr>
              <w:t>mfleisher@elpc.org</w:t>
            </w:r>
          </w:p>
          <w:p w:rsidR="00102391" w:rsidRPr="00080650" w:rsidP="00102391">
            <w:pPr>
              <w:rPr>
                <w:rFonts w:eastAsia="Calibri"/>
              </w:rPr>
            </w:pPr>
            <w:r w:rsidRPr="00080650">
              <w:rPr>
                <w:rFonts w:eastAsia="Calibri"/>
              </w:rPr>
              <w:t>fdarr@mwncmh.com</w:t>
            </w:r>
          </w:p>
          <w:p w:rsidR="00102391" w:rsidRPr="00080650" w:rsidP="00102391">
            <w:pPr>
              <w:rPr>
                <w:rFonts w:eastAsia="Calibri"/>
                <w:color w:val="0000FF"/>
                <w:u w:val="single"/>
              </w:rPr>
            </w:pPr>
            <w:r w:rsidRPr="00080650">
              <w:rPr>
                <w:rFonts w:eastAsia="Calibri"/>
              </w:rPr>
              <w:t>mpritchard@mwncmh.com</w:t>
            </w:r>
          </w:p>
          <w:p w:rsidR="00102391" w:rsidRPr="00080650" w:rsidP="00102391">
            <w:pPr>
              <w:rPr>
                <w:rFonts w:eastAsia="Calibri"/>
              </w:rPr>
            </w:pPr>
            <w:r w:rsidRPr="00080650">
              <w:rPr>
                <w:rFonts w:eastAsia="Calibri"/>
              </w:rPr>
              <w:t>paul@carpenterlipps.com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="Calibri"/>
                <w:color w:val="0000FF"/>
              </w:rPr>
            </w:pPr>
            <w:r w:rsidRPr="00080650">
              <w:rPr>
                <w:rFonts w:eastAsia="Calibri"/>
              </w:rPr>
              <w:t>mleppla@theOEC.org</w:t>
            </w:r>
          </w:p>
          <w:p w:rsidR="00102391" w:rsidRPr="00080650" w:rsidP="00102391">
            <w:pPr>
              <w:rPr>
                <w:rFonts w:eastAsia="Calibri"/>
                <w:color w:val="0000FF"/>
                <w:u w:val="single"/>
              </w:rPr>
            </w:pPr>
            <w:r w:rsidRPr="00080650">
              <w:rPr>
                <w:rFonts w:eastAsia="Calibri"/>
              </w:rPr>
              <w:t>tdougherty@theOEC.org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="Calibri"/>
                <w:color w:val="0000FF"/>
              </w:rPr>
            </w:pPr>
            <w:r w:rsidRPr="00080650">
              <w:rPr>
                <w:rFonts w:eastAsia="Calibri"/>
              </w:rPr>
              <w:t>dborchers@bricker.com</w:t>
            </w:r>
          </w:p>
          <w:p w:rsidR="00102391" w:rsidRPr="00080650" w:rsidP="00102391">
            <w:pPr>
              <w:rPr>
                <w:rFonts w:eastAsia="Calibri"/>
              </w:rPr>
            </w:pPr>
            <w:r w:rsidRPr="00080650">
              <w:rPr>
                <w:rFonts w:eastAsia="Calibri"/>
              </w:rPr>
              <w:t>dparram@bricker.com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80650">
              <w:rPr>
                <w:rFonts w:eastAsia="Calibri"/>
              </w:rPr>
              <w:t>whitt@whitt-sturtevant.com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80650">
              <w:rPr>
                <w:rFonts w:eastAsia="Calibri"/>
              </w:rPr>
              <w:t>campbell@whitt-sturtevant.com</w:t>
            </w:r>
          </w:p>
          <w:p w:rsidR="00102391" w:rsidRPr="00080650" w:rsidP="00102391">
            <w:pPr>
              <w:rPr>
                <w:rStyle w:val="Hyperlink"/>
                <w:rFonts w:eastAsia="Calibri"/>
              </w:rPr>
            </w:pPr>
            <w:r w:rsidRPr="00080650">
              <w:rPr>
                <w:rFonts w:eastAsia="Calibri"/>
              </w:rPr>
              <w:t>glover@whitt-sturtevant.com</w:t>
            </w:r>
          </w:p>
          <w:p w:rsidR="00102391" w:rsidRPr="00080650" w:rsidP="00102391">
            <w:pPr>
              <w:rPr>
                <w:rStyle w:val="Hyperlink"/>
                <w:rFonts w:eastAsiaTheme="minorHAnsi"/>
              </w:rPr>
            </w:pPr>
            <w:r w:rsidRPr="00080650">
              <w:rPr>
                <w:rFonts w:eastAsiaTheme="minorHAnsi"/>
              </w:rPr>
              <w:t>mjsettineri@vorys.com</w:t>
            </w:r>
          </w:p>
          <w:p w:rsidR="00102391" w:rsidRPr="00080650" w:rsidP="00102391">
            <w:pPr>
              <w:rPr>
                <w:rFonts w:eastAsiaTheme="minorHAnsi"/>
                <w:color w:val="0000FF"/>
              </w:rPr>
            </w:pPr>
            <w:r w:rsidRPr="00080650">
              <w:rPr>
                <w:rFonts w:eastAsiaTheme="minorHAnsi"/>
              </w:rPr>
              <w:t>glpetrucci@vorys.com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80650">
              <w:rPr>
                <w:rFonts w:eastAsiaTheme="minorHAnsi"/>
              </w:rPr>
              <w:t>talexander@calfee.com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80650">
              <w:rPr>
                <w:rFonts w:eastAsiaTheme="minorHAnsi"/>
              </w:rPr>
              <w:t>jlang@calfee.com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80650">
              <w:rPr>
                <w:rFonts w:eastAsiaTheme="minorHAnsi"/>
              </w:rPr>
              <w:t>slesser@calfee.com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80650">
              <w:rPr>
                <w:rFonts w:eastAsiaTheme="minorHAnsi"/>
              </w:rPr>
              <w:t>talexander@calfee.com</w:t>
            </w:r>
          </w:p>
          <w:p w:rsidR="00102391" w:rsidRPr="00080650" w:rsidP="00102391">
            <w:pPr>
              <w:rPr>
                <w:rStyle w:val="Hyperlink"/>
                <w:rFonts w:eastAsiaTheme="minorHAnsi"/>
              </w:rPr>
            </w:pPr>
            <w:r w:rsidRPr="00080650">
              <w:rPr>
                <w:rFonts w:eastAsiaTheme="minorHAnsi"/>
              </w:rPr>
              <w:t>mkeaney@calfee.com</w:t>
            </w:r>
          </w:p>
          <w:p w:rsidR="00102391" w:rsidRPr="00080650" w:rsidP="00102391">
            <w:pPr>
              <w:rPr>
                <w:rStyle w:val="Hyperlink"/>
                <w:rFonts w:eastAsiaTheme="minorHAnsi"/>
              </w:rPr>
            </w:pPr>
          </w:p>
          <w:p w:rsidR="00102391" w:rsidRPr="00080650" w:rsidP="00102391">
            <w:pPr>
              <w:pStyle w:val="CommentText"/>
              <w:rPr>
                <w:b/>
                <w:sz w:val="24"/>
                <w:szCs w:val="24"/>
              </w:rPr>
            </w:pPr>
            <w:r w:rsidRPr="00080650">
              <w:rPr>
                <w:b/>
                <w:sz w:val="24"/>
                <w:szCs w:val="24"/>
              </w:rPr>
              <w:t>Case No. 17-1263-EL-SSO et al.</w:t>
            </w:r>
          </w:p>
          <w:p w:rsidR="00102391" w:rsidRPr="00080650" w:rsidP="00102391">
            <w:pPr>
              <w:pStyle w:val="CommentText"/>
              <w:rPr>
                <w:b/>
                <w:sz w:val="24"/>
                <w:szCs w:val="24"/>
              </w:rPr>
            </w:pPr>
          </w:p>
          <w:p w:rsidR="00102391" w:rsidRPr="00080650" w:rsidP="00102391">
            <w:pPr>
              <w:autoSpaceDE w:val="0"/>
              <w:autoSpaceDN w:val="0"/>
              <w:adjustRightInd w:val="0"/>
            </w:pPr>
            <w:r w:rsidRPr="00080650">
              <w:t>Steven.beeler@ohioattorneygeneral.gov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bCs/>
              </w:rPr>
            </w:pPr>
            <w:r w:rsidRPr="00080650">
              <w:t>fdarr@mwncmh.com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bCs/>
              </w:rPr>
            </w:pPr>
            <w:r w:rsidRPr="00080650">
              <w:t>mpritchard@mwncmh.com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</w:pPr>
            <w:r w:rsidRPr="00080650">
              <w:t>mkurtz@BKLlawfirm.com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</w:pPr>
            <w:r w:rsidRPr="00080650">
              <w:t>jkylercohn@BKLlawfirm.com</w:t>
            </w:r>
          </w:p>
          <w:p w:rsidR="00102391" w:rsidRPr="00080650" w:rsidP="00102391">
            <w:pPr>
              <w:pStyle w:val="CommentText"/>
              <w:rPr>
                <w:rFonts w:eastAsiaTheme="minorHAnsi"/>
                <w:color w:val="0000FF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cmooney@ohiopartners.org</w:t>
            </w:r>
          </w:p>
          <w:p w:rsidR="00102391" w:rsidRPr="00080650" w:rsidP="00102391">
            <w:pPr>
              <w:pStyle w:val="CommentText"/>
              <w:rPr>
                <w:rFonts w:eastAsiaTheme="minorHAnsi"/>
                <w:color w:val="0000FF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Bojko@carpenterlipps.com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</w:pPr>
            <w:r w:rsidRPr="00080650">
              <w:t>dressel@carpenterlipps.com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80650">
              <w:rPr>
                <w:rFonts w:eastAsiaTheme="minorHAnsi"/>
              </w:rPr>
              <w:t>slesser@calfee.com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80650">
              <w:rPr>
                <w:rFonts w:eastAsiaTheme="minorHAnsi"/>
              </w:rPr>
              <w:t>jlang@calfee.com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80650">
              <w:rPr>
                <w:rFonts w:eastAsiaTheme="minorHAnsi"/>
              </w:rPr>
              <w:t>talexander@calfee.com</w:t>
            </w:r>
          </w:p>
          <w:p w:rsidR="00102391" w:rsidRPr="00080650" w:rsidP="00102391">
            <w:pPr>
              <w:pStyle w:val="CommentText"/>
              <w:rPr>
                <w:rFonts w:eastAsiaTheme="minorHAnsi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mkeaney@calfee.com</w:t>
            </w:r>
          </w:p>
          <w:p w:rsidR="00102391" w:rsidRPr="00080650" w:rsidP="00102391">
            <w:pPr>
              <w:pStyle w:val="CommentText"/>
              <w:rPr>
                <w:rStyle w:val="Hyperlink"/>
                <w:rFonts w:eastAsiaTheme="minorHAnsi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eakhbari@bricker.com</w:t>
            </w:r>
          </w:p>
          <w:p w:rsidR="00102391" w:rsidRPr="00080650" w:rsidP="00102391">
            <w:pPr>
              <w:pStyle w:val="CommentText"/>
              <w:rPr>
                <w:rFonts w:eastAsiaTheme="minorHAnsi"/>
                <w:color w:val="0000FF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nhewell@bricker.com</w:t>
            </w:r>
          </w:p>
          <w:p w:rsidR="00102391" w:rsidRPr="00080650" w:rsidP="00102391">
            <w:pPr>
              <w:pStyle w:val="CommentText"/>
              <w:rPr>
                <w:rStyle w:val="Hyperlink"/>
                <w:rFonts w:eastAsiaTheme="minorHAnsi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paul@carpenterlipps.com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80650">
              <w:rPr>
                <w:rFonts w:eastAsiaTheme="minorHAnsi"/>
              </w:rPr>
              <w:t>whitt@whitt-sturtevant.com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80650">
              <w:rPr>
                <w:rFonts w:eastAsiaTheme="minorHAnsi"/>
              </w:rPr>
              <w:t>campbell@whitt-sturtevant.com</w:t>
            </w:r>
          </w:p>
          <w:p w:rsidR="00102391" w:rsidRPr="00080650" w:rsidP="00102391">
            <w:pPr>
              <w:pStyle w:val="CommentText"/>
              <w:rPr>
                <w:rStyle w:val="Hyperlink"/>
                <w:rFonts w:eastAsiaTheme="minorHAnsi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glover@whitt-sturtevant.com</w:t>
            </w:r>
          </w:p>
          <w:p w:rsidR="00102391" w:rsidRPr="00080650" w:rsidP="00102391">
            <w:pPr>
              <w:pStyle w:val="CommentText"/>
              <w:rPr>
                <w:rStyle w:val="Hyperlink"/>
                <w:rFonts w:eastAsiaTheme="minorHAnsi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rsahli@columbus.rr.com</w:t>
            </w:r>
          </w:p>
          <w:p w:rsidR="00102391" w:rsidRPr="00080650" w:rsidP="00102391">
            <w:pPr>
              <w:pStyle w:val="CommentText"/>
              <w:rPr>
                <w:b/>
                <w:bCs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tony.mendoza@sierraclub.org</w:t>
            </w:r>
          </w:p>
        </w:tc>
        <w:tc>
          <w:tcPr>
            <w:tcW w:w="4428" w:type="dxa"/>
          </w:tcPr>
          <w:p w:rsidR="00102391" w:rsidRPr="00080650" w:rsidP="00102391">
            <w:pPr>
              <w:pStyle w:val="CommentText"/>
              <w:jc w:val="center"/>
              <w:rPr>
                <w:b/>
                <w:bCs/>
                <w:sz w:val="24"/>
                <w:szCs w:val="24"/>
              </w:rPr>
            </w:pPr>
          </w:p>
          <w:p w:rsidR="00102391" w:rsidRPr="00080650" w:rsidP="00102391">
            <w:pPr>
              <w:pStyle w:val="CommentText"/>
              <w:jc w:val="center"/>
              <w:rPr>
                <w:b/>
                <w:bCs/>
                <w:sz w:val="24"/>
                <w:szCs w:val="24"/>
              </w:rPr>
            </w:pP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bCs/>
              </w:rPr>
            </w:pPr>
            <w:r w:rsidRPr="00080650">
              <w:t>Amy.spiller@duke-energy.com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bCs/>
              </w:rPr>
            </w:pPr>
            <w:r w:rsidRPr="00080650">
              <w:t>Jeanne.kingery@duke-energy.com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bCs/>
              </w:rPr>
            </w:pPr>
            <w:r w:rsidRPr="00080650">
              <w:t>Elizabeth.watts@duke-energy.com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bCs/>
              </w:rPr>
            </w:pPr>
            <w:r w:rsidRPr="00080650">
              <w:t>Rocco.dascenzo@duke-energy.com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bCs/>
              </w:rPr>
            </w:pPr>
            <w:r w:rsidRPr="00080650">
              <w:t>fdarr@mwncmh.com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bCs/>
              </w:rPr>
            </w:pPr>
            <w:r w:rsidRPr="00080650">
              <w:t>mpritchard@mwncmh.com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bCs/>
              </w:rPr>
            </w:pPr>
            <w:r w:rsidRPr="00080650">
              <w:t>Bojko@carpenterlipps.com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bCs/>
              </w:rPr>
            </w:pPr>
            <w:r w:rsidRPr="00080650">
              <w:t>perko@carpenterlipps.com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Style w:val="Hyperlink"/>
                <w:bCs/>
              </w:rPr>
            </w:pPr>
            <w:r w:rsidRPr="00080650">
              <w:t>paul@carpenterlipps.com</w:t>
            </w:r>
          </w:p>
          <w:p w:rsidR="00102391" w:rsidRPr="00080650" w:rsidP="00102391">
            <w:pPr>
              <w:pStyle w:val="CommentText"/>
              <w:rPr>
                <w:rStyle w:val="Hyperlink"/>
                <w:rFonts w:eastAsiaTheme="minorHAnsi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joliker@igsenergy.com</w:t>
            </w:r>
          </w:p>
          <w:p w:rsidR="00102391" w:rsidRPr="00080650" w:rsidP="00102391">
            <w:pPr>
              <w:pStyle w:val="CommentText"/>
              <w:rPr>
                <w:rStyle w:val="Hyperlink"/>
                <w:rFonts w:eastAsiaTheme="minorHAnsi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kboehm@BKLlawfirm.com</w:t>
            </w:r>
          </w:p>
          <w:p w:rsidR="00102391" w:rsidRPr="00080650" w:rsidP="00102391">
            <w:pPr>
              <w:pStyle w:val="CommentText"/>
              <w:rPr>
                <w:rStyle w:val="Hyperlink"/>
                <w:rFonts w:eastAsiaTheme="minorHAnsi"/>
                <w:sz w:val="24"/>
                <w:szCs w:val="24"/>
              </w:rPr>
            </w:pPr>
          </w:p>
          <w:p w:rsidR="00102391" w:rsidRPr="00080650" w:rsidP="00102391">
            <w:pPr>
              <w:pStyle w:val="CommentText"/>
              <w:rPr>
                <w:rStyle w:val="Hyperlink"/>
                <w:rFonts w:eastAsiaTheme="minorHAnsi"/>
                <w:sz w:val="24"/>
                <w:szCs w:val="24"/>
              </w:rPr>
            </w:pPr>
          </w:p>
          <w:p w:rsidR="00102391" w:rsidRPr="00080650" w:rsidP="00102391">
            <w:pPr>
              <w:pStyle w:val="CommentText"/>
              <w:rPr>
                <w:rStyle w:val="Hyperlink"/>
                <w:rFonts w:eastAsiaTheme="minorHAnsi"/>
                <w:sz w:val="24"/>
                <w:szCs w:val="24"/>
              </w:rPr>
            </w:pPr>
          </w:p>
          <w:p w:rsidR="00102391" w:rsidRPr="00080650" w:rsidP="00102391">
            <w:pPr>
              <w:pStyle w:val="CommentText"/>
              <w:rPr>
                <w:rStyle w:val="Hyperlink"/>
                <w:rFonts w:eastAsiaTheme="minorHAnsi"/>
                <w:sz w:val="24"/>
                <w:szCs w:val="24"/>
              </w:rPr>
            </w:pPr>
          </w:p>
          <w:p w:rsidR="00720F8E" w:rsidP="00102391"/>
          <w:p w:rsidR="00102391" w:rsidRPr="00080650" w:rsidP="00102391">
            <w:r w:rsidRPr="00080650">
              <w:t xml:space="preserve">Amy.spiller@duke-energy.com </w:t>
            </w:r>
          </w:p>
          <w:p w:rsidR="00102391" w:rsidRPr="00080650" w:rsidP="00102391">
            <w:r w:rsidRPr="00080650">
              <w:t>Jeanne.kingery@duke-energy.com</w:t>
            </w:r>
          </w:p>
          <w:p w:rsidR="00102391" w:rsidRPr="00080650" w:rsidP="00102391">
            <w:r w:rsidRPr="00080650">
              <w:t xml:space="preserve">Elizabeth.watts@duke-energy.com </w:t>
            </w:r>
          </w:p>
          <w:p w:rsidR="00102391" w:rsidRPr="00080650" w:rsidP="00102391">
            <w:r w:rsidRPr="00080650">
              <w:t xml:space="preserve">Rocco.dascenzo@duke-energy.com  </w:t>
            </w:r>
          </w:p>
          <w:p w:rsidR="00102391" w:rsidRPr="00080650" w:rsidP="00102391">
            <w:r w:rsidRPr="00080650">
              <w:t>mkurtz@BKLlawfirm.com</w:t>
            </w:r>
          </w:p>
          <w:p w:rsidR="00102391" w:rsidRPr="00080650" w:rsidP="00102391">
            <w:r w:rsidRPr="00080650">
              <w:t>kboehm@BKLlawfirm.com</w:t>
            </w:r>
          </w:p>
          <w:p w:rsidR="00102391" w:rsidRPr="00080650" w:rsidP="00102391">
            <w:r w:rsidRPr="00080650">
              <w:t>jkylercohn@BKLlawfirm.com</w:t>
            </w:r>
          </w:p>
          <w:p w:rsidR="00102391" w:rsidRPr="00080650" w:rsidP="00102391">
            <w:pPr>
              <w:rPr>
                <w:rFonts w:eastAsia="Calibri"/>
                <w:color w:val="0000FF"/>
              </w:rPr>
            </w:pPr>
            <w:r w:rsidRPr="00080650">
              <w:rPr>
                <w:rFonts w:eastAsia="Calibri"/>
              </w:rPr>
              <w:t>joliker@igsenergy.com</w:t>
            </w:r>
          </w:p>
          <w:p w:rsidR="00102391" w:rsidRPr="00080650" w:rsidP="00102391">
            <w:pPr>
              <w:rPr>
                <w:rStyle w:val="Hyperlink"/>
                <w:rFonts w:eastAsia="Calibri"/>
              </w:rPr>
            </w:pPr>
            <w:r w:rsidRPr="00080650">
              <w:rPr>
                <w:rFonts w:eastAsia="Calibri"/>
              </w:rPr>
              <w:t>eakhbari@bricker.com</w:t>
            </w:r>
          </w:p>
          <w:p w:rsidR="00102391" w:rsidRPr="00080650" w:rsidP="00102391">
            <w:pPr>
              <w:rPr>
                <w:rFonts w:eastAsiaTheme="minorHAnsi"/>
                <w:color w:val="0000FF"/>
              </w:rPr>
            </w:pPr>
            <w:r w:rsidRPr="00080650">
              <w:rPr>
                <w:rFonts w:eastAsiaTheme="minorHAnsi"/>
              </w:rPr>
              <w:t>nhewell@bricker.com</w:t>
            </w:r>
          </w:p>
          <w:p w:rsidR="00102391" w:rsidRPr="00080650" w:rsidP="00102391">
            <w:pPr>
              <w:rPr>
                <w:rFonts w:eastAsia="Calibri"/>
              </w:rPr>
            </w:pPr>
            <w:r w:rsidRPr="00080650">
              <w:rPr>
                <w:rFonts w:eastAsia="Calibri"/>
              </w:rPr>
              <w:t>mdortch@kravitzllc.com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</w:rPr>
            </w:pPr>
            <w:r w:rsidRPr="00080650">
              <w:rPr>
                <w:rFonts w:eastAsia="Calibri"/>
              </w:rPr>
              <w:t>Bojko@carpenterlipps.com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</w:rPr>
            </w:pPr>
            <w:r w:rsidRPr="00080650">
              <w:rPr>
                <w:rFonts w:eastAsia="Calibri"/>
              </w:rPr>
              <w:t>dressel@carpenterlipps.com</w:t>
            </w:r>
          </w:p>
          <w:p w:rsidR="00102391" w:rsidRPr="00080650" w:rsidP="00102391">
            <w:pPr>
              <w:rPr>
                <w:rFonts w:eastAsia="Calibri"/>
                <w:color w:val="0000FF"/>
                <w:u w:val="single"/>
              </w:rPr>
            </w:pPr>
            <w:r w:rsidRPr="00080650">
              <w:rPr>
                <w:rFonts w:eastAsia="Calibri"/>
              </w:rPr>
              <w:t>mnugent@igsenergy.com</w:t>
            </w:r>
          </w:p>
          <w:p w:rsidR="00102391" w:rsidRPr="00080650" w:rsidP="00102391">
            <w:pPr>
              <w:rPr>
                <w:rFonts w:eastAsia="Calibri"/>
                <w:color w:val="0000FF"/>
                <w:u w:val="single"/>
              </w:rPr>
            </w:pPr>
            <w:r w:rsidRPr="00080650">
              <w:rPr>
                <w:rFonts w:eastAsia="Calibri"/>
              </w:rPr>
              <w:t>swilliams@nrdc.org</w:t>
            </w:r>
          </w:p>
          <w:p w:rsidR="00102391" w:rsidRPr="00080650" w:rsidP="00102391">
            <w:pPr>
              <w:rPr>
                <w:rFonts w:eastAsia="Calibri"/>
                <w:color w:val="0000FF"/>
                <w:u w:val="single"/>
              </w:rPr>
            </w:pPr>
            <w:r w:rsidRPr="00080650">
              <w:t>daltman@environlaw.com</w:t>
            </w:r>
          </w:p>
          <w:p w:rsidR="00102391" w:rsidRPr="00080650" w:rsidP="00102391">
            <w:pPr>
              <w:rPr>
                <w:rFonts w:eastAsia="Calibri"/>
                <w:color w:val="0000FF"/>
                <w:u w:val="single"/>
              </w:rPr>
            </w:pPr>
            <w:r w:rsidRPr="00080650">
              <w:t>jnewman@environlaw.com</w:t>
            </w:r>
          </w:p>
          <w:p w:rsidR="00102391" w:rsidRPr="00080650" w:rsidP="00102391">
            <w:pPr>
              <w:pStyle w:val="CommentText"/>
              <w:rPr>
                <w:rStyle w:val="Hyperlink"/>
                <w:sz w:val="24"/>
                <w:szCs w:val="24"/>
              </w:rPr>
            </w:pPr>
            <w:r w:rsidRPr="00080650">
              <w:rPr>
                <w:sz w:val="24"/>
                <w:szCs w:val="24"/>
              </w:rPr>
              <w:t>jweber@environlaw.com</w:t>
            </w:r>
          </w:p>
          <w:p w:rsidR="00102391" w:rsidRPr="00080650" w:rsidP="00102391">
            <w:pPr>
              <w:pStyle w:val="CommentText"/>
              <w:rPr>
                <w:rFonts w:eastAsiaTheme="minorHAnsi"/>
                <w:color w:val="0000FF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rdove@attorneydove.com</w:t>
            </w:r>
          </w:p>
          <w:p w:rsidR="00102391" w:rsidRPr="00080650" w:rsidP="00102391">
            <w:pPr>
              <w:pStyle w:val="CommentText"/>
              <w:rPr>
                <w:rStyle w:val="Hyperlink"/>
                <w:rFonts w:eastAsiaTheme="minorHAnsi"/>
                <w:sz w:val="24"/>
                <w:szCs w:val="24"/>
              </w:rPr>
            </w:pPr>
          </w:p>
          <w:p w:rsidR="00102391" w:rsidRPr="00080650" w:rsidP="00102391">
            <w:pPr>
              <w:pStyle w:val="CommentText"/>
              <w:rPr>
                <w:rFonts w:eastAsiaTheme="minorHAnsi"/>
                <w:sz w:val="24"/>
                <w:szCs w:val="24"/>
              </w:rPr>
            </w:pPr>
          </w:p>
          <w:p w:rsidR="00102391" w:rsidRPr="00080650" w:rsidP="00102391">
            <w:pPr>
              <w:autoSpaceDE w:val="0"/>
              <w:autoSpaceDN w:val="0"/>
              <w:adjustRightInd w:val="0"/>
            </w:pPr>
          </w:p>
          <w:p w:rsidR="00102391" w:rsidRPr="00080650" w:rsidP="00102391">
            <w:pPr>
              <w:autoSpaceDE w:val="0"/>
              <w:autoSpaceDN w:val="0"/>
              <w:adjustRightInd w:val="0"/>
            </w:pPr>
          </w:p>
          <w:p w:rsidR="00102391" w:rsidRPr="00080650" w:rsidP="00102391">
            <w:pPr>
              <w:autoSpaceDE w:val="0"/>
              <w:autoSpaceDN w:val="0"/>
              <w:adjustRightInd w:val="0"/>
            </w:pP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bCs/>
              </w:rPr>
            </w:pPr>
            <w:r w:rsidRPr="00080650">
              <w:t>Amy.spiller@duke-energy.com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bCs/>
              </w:rPr>
            </w:pPr>
            <w:r w:rsidRPr="00080650">
              <w:t>Jeanne.kingery@duke-energy.com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bCs/>
              </w:rPr>
            </w:pPr>
            <w:r w:rsidRPr="00080650">
              <w:t>Elizabeth.watts@duke-energy.com</w:t>
            </w:r>
          </w:p>
          <w:p w:rsidR="00102391" w:rsidRPr="00080650" w:rsidP="00102391">
            <w:pPr>
              <w:pStyle w:val="CommentText"/>
              <w:rPr>
                <w:rStyle w:val="Hyperlink"/>
                <w:sz w:val="24"/>
                <w:szCs w:val="24"/>
              </w:rPr>
            </w:pPr>
            <w:r w:rsidRPr="00080650">
              <w:rPr>
                <w:sz w:val="24"/>
                <w:szCs w:val="24"/>
              </w:rPr>
              <w:t>Rocco.dascenzo@duke-energy.com</w:t>
            </w:r>
          </w:p>
          <w:p w:rsidR="00102391" w:rsidRPr="00080650" w:rsidP="00102391">
            <w:pPr>
              <w:pStyle w:val="CommentText"/>
              <w:rPr>
                <w:rFonts w:eastAsiaTheme="minorHAnsi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charris@spilmanlaw.com</w:t>
            </w:r>
          </w:p>
          <w:p w:rsidR="00102391" w:rsidRPr="00080650" w:rsidP="00102391">
            <w:pPr>
              <w:pStyle w:val="CommentText"/>
              <w:rPr>
                <w:rFonts w:eastAsiaTheme="minorHAnsi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dwilliamson@spilmanlaw.com</w:t>
            </w:r>
          </w:p>
          <w:p w:rsidR="00102391" w:rsidRPr="00080650" w:rsidP="00102391">
            <w:pPr>
              <w:pStyle w:val="CommentText"/>
              <w:rPr>
                <w:rFonts w:eastAsiaTheme="minorHAnsi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lbrandfass@spilmanlaw.com</w:t>
            </w:r>
          </w:p>
          <w:p w:rsidR="00102391" w:rsidRPr="00080650" w:rsidP="00102391">
            <w:pPr>
              <w:pStyle w:val="CommentText"/>
              <w:rPr>
                <w:rStyle w:val="Hyperlink"/>
                <w:rFonts w:eastAsiaTheme="minorHAnsi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mfleisher@elpc.org</w:t>
            </w: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Theme="minorHAnsi"/>
                <w:color w:val="548ED5"/>
              </w:rPr>
            </w:pPr>
            <w:r w:rsidRPr="00080650">
              <w:rPr>
                <w:rFonts w:eastAsiaTheme="minorHAnsi"/>
              </w:rPr>
              <w:t>tdougherty@theOEC.org</w:t>
            </w:r>
          </w:p>
          <w:p w:rsidR="00102391" w:rsidRPr="00080650" w:rsidP="00102391">
            <w:pPr>
              <w:pStyle w:val="CommentText"/>
              <w:rPr>
                <w:rFonts w:eastAsiaTheme="minorHAnsi"/>
                <w:color w:val="548ED5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mleppla@theOEC.org</w:t>
            </w:r>
          </w:p>
          <w:p w:rsidR="00102391" w:rsidRPr="00080650" w:rsidP="00102391">
            <w:pPr>
              <w:pStyle w:val="CommentText"/>
              <w:rPr>
                <w:rFonts w:eastAsiaTheme="minorHAnsi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joliker@igsenergy.com</w:t>
            </w:r>
          </w:p>
          <w:p w:rsidR="00102391" w:rsidRPr="00080650" w:rsidP="00102391">
            <w:pPr>
              <w:pStyle w:val="CommentText"/>
              <w:rPr>
                <w:rFonts w:eastAsiaTheme="minorHAnsi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mnugent@igsenergy.com</w:t>
            </w:r>
          </w:p>
          <w:p w:rsidR="00102391" w:rsidRPr="0063225B" w:rsidP="0010239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3225B">
              <w:rPr>
                <w:rFonts w:eastAsiaTheme="minorHAnsi"/>
              </w:rPr>
              <w:t>dborchers@bricker.com</w:t>
            </w:r>
          </w:p>
          <w:p w:rsidR="00102391" w:rsidRPr="00080650" w:rsidP="00102391">
            <w:pPr>
              <w:pStyle w:val="CommentText"/>
              <w:rPr>
                <w:rFonts w:eastAsiaTheme="minorHAnsi"/>
                <w:color w:val="0000FF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dparram@bricker.com</w:t>
            </w:r>
          </w:p>
          <w:p w:rsidR="00102391" w:rsidRPr="00080650" w:rsidP="00102391">
            <w:pPr>
              <w:pStyle w:val="CommentText"/>
              <w:rPr>
                <w:rStyle w:val="Hyperlink"/>
                <w:rFonts w:eastAsiaTheme="minorHAnsi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mjsettineri@vorys.com</w:t>
            </w:r>
          </w:p>
          <w:p w:rsidR="00102391" w:rsidRPr="00080650" w:rsidP="00102391">
            <w:pPr>
              <w:pStyle w:val="CommentText"/>
              <w:rPr>
                <w:rFonts w:eastAsiaTheme="minorHAnsi"/>
                <w:color w:val="0000FF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glpetrucci@vorys.com</w:t>
            </w:r>
          </w:p>
          <w:p w:rsidR="00102391" w:rsidRPr="00080650" w:rsidP="00102391">
            <w:pPr>
              <w:pStyle w:val="CommentText"/>
              <w:rPr>
                <w:rStyle w:val="Hyperlink"/>
                <w:rFonts w:eastAsiaTheme="minorHAnsi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mdortch@kravitzllc.com</w:t>
            </w:r>
          </w:p>
          <w:p w:rsidR="00102391" w:rsidRPr="00080650" w:rsidP="00102391">
            <w:pPr>
              <w:pStyle w:val="CommentText"/>
              <w:rPr>
                <w:rFonts w:eastAsiaTheme="minorHAnsi"/>
                <w:color w:val="0000FF"/>
                <w:sz w:val="24"/>
                <w:szCs w:val="24"/>
              </w:rPr>
            </w:pPr>
            <w:r w:rsidRPr="00080650">
              <w:rPr>
                <w:rFonts w:eastAsiaTheme="minorHAnsi"/>
                <w:sz w:val="24"/>
                <w:szCs w:val="24"/>
              </w:rPr>
              <w:t>sean.mcglone@ohiohospitals.org</w:t>
            </w:r>
          </w:p>
          <w:p w:rsidR="00102391" w:rsidRPr="00080650" w:rsidP="00102391">
            <w:pPr>
              <w:pStyle w:val="CommentTex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02391" w:rsidRPr="00080650" w:rsidP="00102391">
      <w:pPr>
        <w:pStyle w:val="CommentText"/>
        <w:jc w:val="center"/>
        <w:rPr>
          <w:b/>
          <w:bCs/>
          <w:sz w:val="24"/>
          <w:szCs w:val="24"/>
        </w:rPr>
      </w:pPr>
    </w:p>
    <w:p w:rsidR="00102391" w:rsidRPr="00080650" w:rsidP="00102391">
      <w:pPr>
        <w:pStyle w:val="CommentText"/>
        <w:jc w:val="center"/>
        <w:rPr>
          <w:b/>
          <w:bCs/>
          <w:sz w:val="24"/>
          <w:szCs w:val="24"/>
        </w:rPr>
      </w:pPr>
    </w:p>
    <w:p w:rsidR="00102391" w:rsidRPr="00080650" w:rsidP="00102391">
      <w:pPr>
        <w:pStyle w:val="CommentText"/>
        <w:jc w:val="center"/>
        <w:rPr>
          <w:b/>
          <w:bCs/>
          <w:sz w:val="24"/>
          <w:szCs w:val="24"/>
        </w:rPr>
      </w:pPr>
    </w:p>
    <w:p w:rsidR="00102391" w:rsidRPr="00080650" w:rsidP="00102391">
      <w:pPr>
        <w:pStyle w:val="CommentText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5"/>
      </w:tblGrid>
      <w:tr w:rsidTr="0010239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415" w:type="dxa"/>
          </w:tcPr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Theme="minorHAnsi"/>
                <w:color w:val="1155CD"/>
              </w:rPr>
            </w:pP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102391" w:rsidRPr="00080650" w:rsidP="0010239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tbl>
            <w:tblPr>
              <w:tblW w:w="0" w:type="auto"/>
              <w:tblLook w:val="04A0"/>
            </w:tblPr>
            <w:tblGrid>
              <w:gridCol w:w="3100"/>
              <w:gridCol w:w="3099"/>
            </w:tblGrid>
            <w:tr w:rsidTr="00102391">
              <w:tblPrEx>
                <w:tblW w:w="0" w:type="auto"/>
                <w:tblLook w:val="04A0"/>
              </w:tblPrEx>
              <w:tc>
                <w:tcPr>
                  <w:tcW w:w="4428" w:type="dxa"/>
                  <w:hideMark/>
                </w:tcPr>
                <w:p w:rsidR="00102391" w:rsidRPr="00080650" w:rsidP="00102391"/>
              </w:tc>
              <w:tc>
                <w:tcPr>
                  <w:tcW w:w="4428" w:type="dxa"/>
                  <w:hideMark/>
                </w:tcPr>
                <w:p w:rsidR="00102391" w:rsidRPr="00080650" w:rsidP="00102391"/>
              </w:tc>
            </w:tr>
          </w:tbl>
          <w:p w:rsidR="00102391" w:rsidRPr="00080650" w:rsidP="0010239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</w:tr>
    </w:tbl>
    <w:p w:rsidR="00102391" w:rsidRPr="00080650" w:rsidP="00102391"/>
    <w:p w:rsidR="00102391" w:rsidRPr="00080650"/>
    <w:sectPr w:rsidSect="00720F8E">
      <w:footerReference w:type="default" r:id="rId6"/>
      <w:footerReference w:type="first" r:id="rId7"/>
      <w:pgSz w:w="12240" w:h="15840"/>
      <w:pgMar w:top="1440" w:right="1800" w:bottom="1440" w:left="1800" w:header="720" w:footer="720" w:gutter="0"/>
      <w:pgNumType w:start="2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37415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5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5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55BB">
    <w:pPr>
      <w:pStyle w:val="Footer"/>
      <w:jc w:val="center"/>
    </w:pPr>
  </w:p>
  <w:p w:rsidR="00DC55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02E5">
    <w:pPr>
      <w:pStyle w:val="Footer"/>
      <w:jc w:val="center"/>
    </w:pPr>
  </w:p>
  <w:p w:rsidR="00A702E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55BB" w:rsidRPr="0004723B" w:rsidP="0010239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D57D8F"/>
    <w:multiLevelType w:val="multilevel"/>
    <w:tmpl w:val="4D984B8A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728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664"/>
        </w:tabs>
        <w:ind w:left="2664" w:hanging="5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58F66C6"/>
    <w:multiLevelType w:val="hybridMultilevel"/>
    <w:tmpl w:val="F5D826F0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8E72A0"/>
    <w:multiLevelType w:val="hybridMultilevel"/>
    <w:tmpl w:val="C746756E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542569"/>
    <w:multiLevelType w:val="hybridMultilevel"/>
    <w:tmpl w:val="80E8C9CA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D97C2F"/>
    <w:multiLevelType w:val="hybridMultilevel"/>
    <w:tmpl w:val="02FCDDE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21F4"/>
    <w:multiLevelType w:val="hybridMultilevel"/>
    <w:tmpl w:val="661CCF2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67768"/>
    <w:multiLevelType w:val="hybridMultilevel"/>
    <w:tmpl w:val="77D6C40A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FD7DBC"/>
    <w:multiLevelType w:val="hybridMultilevel"/>
    <w:tmpl w:val="CC38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B3AEE"/>
    <w:multiLevelType w:val="hybridMultilevel"/>
    <w:tmpl w:val="D73A6DD8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41C1"/>
    <w:multiLevelType w:val="hybridMultilevel"/>
    <w:tmpl w:val="C11AB74C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8A0D26"/>
    <w:multiLevelType w:val="multilevel"/>
    <w:tmpl w:val="4D984B8A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728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664"/>
        </w:tabs>
        <w:ind w:left="2664" w:hanging="5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C3B1CAA"/>
    <w:multiLevelType w:val="hybridMultilevel"/>
    <w:tmpl w:val="7E5C3270"/>
    <w:lvl w:ilvl="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240" w:hanging="360"/>
      </w:p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4614A6"/>
    <w:multiLevelType w:val="hybridMultilevel"/>
    <w:tmpl w:val="CF34970C"/>
    <w:lvl w:ilvl="0">
      <w:start w:val="25"/>
      <w:numFmt w:val="decimal"/>
      <w:lvlText w:val="POD-%1."/>
      <w:lvlJc w:val="left"/>
      <w:pPr>
        <w:ind w:left="3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035"/>
    <w:multiLevelType w:val="hybridMultilevel"/>
    <w:tmpl w:val="7752F388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5DD167B"/>
    <w:multiLevelType w:val="hybridMultilevel"/>
    <w:tmpl w:val="8F4A87C2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8D866F3"/>
    <w:multiLevelType w:val="hybridMultilevel"/>
    <w:tmpl w:val="938842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93F67"/>
    <w:multiLevelType w:val="hybridMultilevel"/>
    <w:tmpl w:val="3D1CBCBC"/>
    <w:lvl w:ilvl="0">
      <w:start w:val="32"/>
      <w:numFmt w:val="decimal"/>
      <w:lvlText w:val="RPD-%1."/>
      <w:lvlJc w:val="left"/>
      <w:pPr>
        <w:ind w:left="3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02F52"/>
    <w:multiLevelType w:val="hybridMultilevel"/>
    <w:tmpl w:val="CE5C5E6C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720F6C"/>
    <w:multiLevelType w:val="hybridMultilevel"/>
    <w:tmpl w:val="89AAA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E09FF"/>
    <w:multiLevelType w:val="hybridMultilevel"/>
    <w:tmpl w:val="4CBADBE0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BBC7F4E"/>
    <w:multiLevelType w:val="hybridMultilevel"/>
    <w:tmpl w:val="25C454D8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423F4"/>
    <w:multiLevelType w:val="hybridMultilevel"/>
    <w:tmpl w:val="A70AB95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A1A43"/>
    <w:multiLevelType w:val="hybridMultilevel"/>
    <w:tmpl w:val="735636A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67269"/>
    <w:multiLevelType w:val="hybridMultilevel"/>
    <w:tmpl w:val="9C0E5356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DC7F2B"/>
    <w:multiLevelType w:val="hybridMultilevel"/>
    <w:tmpl w:val="443643D2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F3A43B7"/>
    <w:multiLevelType w:val="hybridMultilevel"/>
    <w:tmpl w:val="EDC0986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00E20B4"/>
    <w:multiLevelType w:val="hybridMultilevel"/>
    <w:tmpl w:val="1A102A2A"/>
    <w:lvl w:ilvl="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asciiTheme="minorHAnsi" w:eastAsiaTheme="minorEastAsia" w:hAnsiTheme="minorHAnsi" w:cstheme="minorBidi"/>
      </w:r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7CA5EFA"/>
    <w:multiLevelType w:val="hybridMultilevel"/>
    <w:tmpl w:val="74EABF14"/>
    <w:lvl w:ilvl="0">
      <w:start w:val="78"/>
      <w:numFmt w:val="decimal"/>
      <w:lvlText w:val="INT-%1."/>
      <w:lvlJc w:val="left"/>
      <w:pPr>
        <w:ind w:left="3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 w:tentative="1">
      <w:start w:val="1"/>
      <w:numFmt w:val="decimal"/>
      <w:lvlText w:val="%4."/>
      <w:lvlJc w:val="left"/>
      <w:pPr>
        <w:ind w:left="2556" w:hanging="360"/>
      </w:pPr>
    </w:lvl>
    <w:lvl w:ilvl="4" w:tentative="1">
      <w:start w:val="1"/>
      <w:numFmt w:val="lowerLetter"/>
      <w:lvlText w:val="%5."/>
      <w:lvlJc w:val="left"/>
      <w:pPr>
        <w:ind w:left="3276" w:hanging="360"/>
      </w:pPr>
    </w:lvl>
    <w:lvl w:ilvl="5" w:tentative="1">
      <w:start w:val="1"/>
      <w:numFmt w:val="lowerRoman"/>
      <w:lvlText w:val="%6."/>
      <w:lvlJc w:val="right"/>
      <w:pPr>
        <w:ind w:left="3996" w:hanging="180"/>
      </w:pPr>
    </w:lvl>
    <w:lvl w:ilvl="6" w:tentative="1">
      <w:start w:val="1"/>
      <w:numFmt w:val="decimal"/>
      <w:lvlText w:val="%7."/>
      <w:lvlJc w:val="left"/>
      <w:pPr>
        <w:ind w:left="4716" w:hanging="360"/>
      </w:pPr>
    </w:lvl>
    <w:lvl w:ilvl="7" w:tentative="1">
      <w:start w:val="1"/>
      <w:numFmt w:val="lowerLetter"/>
      <w:lvlText w:val="%8."/>
      <w:lvlJc w:val="left"/>
      <w:pPr>
        <w:ind w:left="5436" w:hanging="360"/>
      </w:pPr>
    </w:lvl>
    <w:lvl w:ilvl="8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>
    <w:nsid w:val="7DC25618"/>
    <w:multiLevelType w:val="hybridMultilevel"/>
    <w:tmpl w:val="6F101D8E"/>
    <w:lvl w:ilvl="0">
      <w:start w:val="4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8"/>
  </w:num>
  <w:num w:numId="2">
    <w:abstractNumId w:val="15"/>
  </w:num>
  <w:num w:numId="3">
    <w:abstractNumId w:val="7"/>
  </w:num>
  <w:num w:numId="4">
    <w:abstractNumId w:val="18"/>
  </w:num>
  <w:num w:numId="5">
    <w:abstractNumId w:val="14"/>
  </w:num>
  <w:num w:numId="6">
    <w:abstractNumId w:val="11"/>
  </w:num>
  <w:num w:numId="7">
    <w:abstractNumId w:val="6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4"/>
  </w:num>
  <w:num w:numId="13">
    <w:abstractNumId w:val="5"/>
  </w:num>
  <w:num w:numId="14">
    <w:abstractNumId w:val="22"/>
  </w:num>
  <w:num w:numId="15">
    <w:abstractNumId w:val="12"/>
  </w:num>
  <w:num w:numId="16">
    <w:abstractNumId w:val="10"/>
  </w:num>
  <w:num w:numId="17">
    <w:abstractNumId w:val="0"/>
  </w:num>
  <w:num w:numId="18">
    <w:abstractNumId w:val="27"/>
  </w:num>
  <w:num w:numId="19">
    <w:abstractNumId w:val="16"/>
  </w:num>
  <w:num w:numId="20">
    <w:abstractNumId w:val="25"/>
  </w:num>
  <w:num w:numId="21">
    <w:abstractNumId w:val="9"/>
  </w:num>
  <w:num w:numId="22">
    <w:abstractNumId w:val="17"/>
  </w:num>
  <w:num w:numId="23">
    <w:abstractNumId w:val="2"/>
  </w:num>
  <w:num w:numId="24">
    <w:abstractNumId w:val="21"/>
  </w:num>
  <w:num w:numId="25">
    <w:abstractNumId w:val="8"/>
  </w:num>
  <w:num w:numId="26">
    <w:abstractNumId w:val="20"/>
  </w:num>
  <w:num w:numId="27">
    <w:abstractNumId w:val="23"/>
  </w:num>
  <w:num w:numId="28">
    <w:abstractNumId w:val="24"/>
  </w:num>
  <w:num w:numId="29">
    <w:abstractNumId w:val="26"/>
  </w:num>
  <w:num w:numId="30">
    <w:abstractNumId w:val="26"/>
    <w:lvlOverride w:ilvl="0">
      <w:startOverride w:val="1"/>
    </w:lvlOverride>
  </w:num>
  <w:num w:numId="31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7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3812"/>
    <w:pPr>
      <w:keepNext/>
      <w:tabs>
        <w:tab w:val="center" w:pos="4680"/>
      </w:tabs>
      <w:suppressAutoHyphens/>
      <w:jc w:val="center"/>
      <w:outlineLvl w:val="2"/>
    </w:pPr>
    <w:rPr>
      <w:rFonts w:ascii="Arial" w:hAnsi="Arial" w:cs="Arial"/>
      <w:b/>
      <w:bCs/>
      <w:spacing w:val="-3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3812"/>
    <w:pPr>
      <w:keepNext/>
      <w:tabs>
        <w:tab w:val="center" w:pos="4680"/>
      </w:tabs>
      <w:suppressAutoHyphens/>
      <w:spacing w:before="180" w:line="480" w:lineRule="auto"/>
      <w:jc w:val="both"/>
      <w:outlineLvl w:val="3"/>
    </w:pPr>
    <w:rPr>
      <w:rFonts w:ascii="Arial" w:hAnsi="Arial" w:cs="Arial"/>
      <w:b/>
      <w:bCs/>
      <w:spacing w:val="-3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3812"/>
    <w:pPr>
      <w:keepNext/>
      <w:tabs>
        <w:tab w:val="left" w:pos="-720"/>
      </w:tabs>
      <w:suppressAutoHyphens/>
      <w:jc w:val="center"/>
      <w:outlineLvl w:val="6"/>
    </w:pPr>
    <w:rPr>
      <w:rFonts w:ascii="Arial" w:hAnsi="Arial" w:cs="Arial"/>
      <w:b/>
      <w:bCs/>
      <w:spacing w:val="-3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63812"/>
    <w:rPr>
      <w:rFonts w:ascii="Arial" w:eastAsia="Times New Roman" w:hAnsi="Arial" w:cs="Arial"/>
      <w:b/>
      <w:bCs/>
      <w:spacing w:val="-3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663812"/>
    <w:rPr>
      <w:rFonts w:ascii="Arial" w:eastAsia="Times New Roman" w:hAnsi="Arial" w:cs="Arial"/>
      <w:b/>
      <w:bCs/>
      <w:spacing w:val="-3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663812"/>
    <w:rPr>
      <w:rFonts w:ascii="Arial" w:eastAsia="Times New Roman" w:hAnsi="Arial" w:cs="Arial"/>
      <w:b/>
      <w:bCs/>
      <w:spacing w:val="-3"/>
      <w:sz w:val="28"/>
      <w:szCs w:val="28"/>
      <w:u w:val="single"/>
    </w:rPr>
  </w:style>
  <w:style w:type="paragraph" w:styleId="CommentText">
    <w:name w:val="annotation text"/>
    <w:basedOn w:val="Normal"/>
    <w:link w:val="CommentTextChar"/>
    <w:semiHidden/>
    <w:rsid w:val="006638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381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6381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63812"/>
    <w:pPr>
      <w:tabs>
        <w:tab w:val="left" w:pos="-720"/>
      </w:tabs>
      <w:suppressAutoHyphens/>
      <w:spacing w:line="480" w:lineRule="auto"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rsid w:val="00663812"/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63812"/>
    <w:pPr>
      <w:tabs>
        <w:tab w:val="left" w:pos="-1440"/>
        <w:tab w:val="left" w:pos="-720"/>
      </w:tabs>
      <w:suppressAutoHyphens/>
      <w:spacing w:before="120" w:line="480" w:lineRule="auto"/>
      <w:ind w:left="1440" w:hanging="7"/>
      <w:jc w:val="both"/>
    </w:pPr>
    <w:rPr>
      <w:rFonts w:ascii="Arial" w:hAnsi="Arial" w:cs="Arial"/>
      <w:spacing w:val="-3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63812"/>
    <w:rPr>
      <w:rFonts w:ascii="Arial" w:eastAsia="Times New Roman" w:hAnsi="Arial" w:cs="Arial"/>
      <w:spacing w:val="-3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63812"/>
    <w:pPr>
      <w:tabs>
        <w:tab w:val="left" w:pos="-720"/>
      </w:tabs>
      <w:suppressAutoHyphens/>
      <w:spacing w:line="480" w:lineRule="auto"/>
      <w:ind w:firstLine="720"/>
      <w:jc w:val="both"/>
    </w:pPr>
    <w:rPr>
      <w:rFonts w:ascii="Arial" w:hAnsi="Arial" w:cs="Arial"/>
      <w:spacing w:val="-3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63812"/>
    <w:rPr>
      <w:rFonts w:ascii="Arial" w:eastAsia="Times New Roman" w:hAnsi="Arial" w:cs="Arial"/>
      <w:spacing w:val="-3"/>
      <w:sz w:val="24"/>
      <w:szCs w:val="24"/>
    </w:rPr>
  </w:style>
  <w:style w:type="paragraph" w:styleId="HTMLPreformatted">
    <w:name w:val="HTML Preformatted"/>
    <w:basedOn w:val="Normal"/>
    <w:link w:val="HTMLPreformattedChar"/>
    <w:rsid w:val="00663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6381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63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8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63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38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63812"/>
  </w:style>
  <w:style w:type="paragraph" w:styleId="ListParagraph">
    <w:name w:val="List Paragraph"/>
    <w:basedOn w:val="Normal"/>
    <w:uiPriority w:val="72"/>
    <w:qFormat/>
    <w:rsid w:val="00663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3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7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37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75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2018-05-04T17:20:42Z</dcterms:created>
  <dcterms:modified xsi:type="dcterms:W3CDTF">2018-05-04T17:20:42Z</dcterms:modified>
</cp:coreProperties>
</file>