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58" w:rsidRDefault="00F12158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F12158" w:rsidRDefault="00F12158">
      <w:pPr>
        <w:pStyle w:val="BodyTextIndent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PART 29 - BILLING ADJUSTMENTS</w:t>
      </w: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pStyle w:val="Heading2"/>
        <w:ind w:left="720"/>
        <w:rPr>
          <w:b w:val="0"/>
        </w:rPr>
      </w:pPr>
      <w:r>
        <w:rPr>
          <w:b w:val="0"/>
        </w:rPr>
        <w:t>INTERIM, EMERGENCY AND TEMPORARY</w:t>
      </w:r>
    </w:p>
    <w:p w:rsidR="00F12158" w:rsidRDefault="00F12158">
      <w:pPr>
        <w:pStyle w:val="Heading2"/>
        <w:tabs>
          <w:tab w:val="clear" w:pos="4560"/>
          <w:tab w:val="left" w:pos="-720"/>
        </w:tabs>
        <w:ind w:left="720"/>
      </w:pPr>
      <w:r>
        <w:rPr>
          <w:b w:val="0"/>
        </w:rPr>
        <w:t>PIP PLAN TARIFF SCHEDULE RIDER</w:t>
      </w:r>
    </w:p>
    <w:p w:rsidR="00F12158" w:rsidRDefault="00F12158">
      <w:pPr>
        <w:tabs>
          <w:tab w:val="center" w:pos="4560"/>
        </w:tabs>
        <w:suppressAutoHyphens/>
        <w:rPr>
          <w:b/>
          <w:spacing w:val="-3"/>
        </w:rPr>
      </w:pPr>
    </w:p>
    <w:p w:rsidR="00F12158" w:rsidRDefault="00F12158">
      <w:pPr>
        <w:tabs>
          <w:tab w:val="left" w:pos="-720"/>
        </w:tabs>
        <w:suppressAutoHyphens/>
        <w:rPr>
          <w:b/>
          <w:spacing w:val="-2"/>
        </w:rPr>
      </w:pPr>
      <w:r>
        <w:rPr>
          <w:b/>
          <w:spacing w:val="-2"/>
        </w:rPr>
        <w:t xml:space="preserve">       </w:t>
      </w:r>
    </w:p>
    <w:p w:rsidR="00F12158" w:rsidRDefault="00F12158">
      <w:pPr>
        <w:tabs>
          <w:tab w:val="left" w:pos="-720"/>
        </w:tabs>
        <w:suppressAutoHyphens/>
        <w:ind w:left="720" w:hanging="720"/>
        <w:rPr>
          <w:spacing w:val="-2"/>
        </w:rPr>
      </w:pPr>
      <w:r>
        <w:rPr>
          <w:spacing w:val="-2"/>
        </w:rPr>
        <w:t>29.1</w:t>
      </w:r>
      <w:r>
        <w:rPr>
          <w:spacing w:val="-2"/>
        </w:rPr>
        <w:tab/>
        <w:t>Applicability</w:t>
      </w:r>
    </w:p>
    <w:p w:rsidR="00F12158" w:rsidRDefault="00F12158">
      <w:pPr>
        <w:tabs>
          <w:tab w:val="left" w:pos="-720"/>
        </w:tabs>
        <w:suppressAutoHyphens/>
        <w:rPr>
          <w:spacing w:val="-2"/>
        </w:rPr>
      </w:pPr>
    </w:p>
    <w:p w:rsidR="00F12158" w:rsidRDefault="00F12158" w:rsidP="00065544">
      <w:pPr>
        <w:suppressAutoHyphens/>
        <w:ind w:left="720"/>
        <w:jc w:val="both"/>
        <w:rPr>
          <w:spacing w:val="-3"/>
        </w:rPr>
      </w:pPr>
      <w:r>
        <w:rPr>
          <w:spacing w:val="-2"/>
        </w:rPr>
        <w:t>To all volumes delivered under rate schedules</w:t>
      </w:r>
      <w:r>
        <w:rPr>
          <w:spacing w:val="-3"/>
        </w:rPr>
        <w:t xml:space="preserve"> FRSGTS, FRGTS and FRLGTS</w:t>
      </w:r>
      <w:r w:rsidR="00E266CE">
        <w:rPr>
          <w:spacing w:val="-3"/>
        </w:rPr>
        <w:t xml:space="preserve"> </w:t>
      </w:r>
      <w:r w:rsidR="00476699">
        <w:rPr>
          <w:spacing w:val="-3"/>
        </w:rPr>
        <w:t xml:space="preserve">except </w:t>
      </w:r>
      <w:r w:rsidR="00E266CE">
        <w:rPr>
          <w:spacing w:val="-3"/>
        </w:rPr>
        <w:t xml:space="preserve">for those </w:t>
      </w:r>
      <w:r w:rsidR="004D5F5E">
        <w:rPr>
          <w:spacing w:val="-3"/>
        </w:rPr>
        <w:t>volumes delivered to C</w:t>
      </w:r>
      <w:r w:rsidR="00262FB0">
        <w:rPr>
          <w:spacing w:val="-3"/>
        </w:rPr>
        <w:t xml:space="preserve">ustomers taking service under these rate schedules that were </w:t>
      </w:r>
      <w:r w:rsidR="006A5C18">
        <w:rPr>
          <w:spacing w:val="-3"/>
        </w:rPr>
        <w:t xml:space="preserve">Transportation Service </w:t>
      </w:r>
      <w:r w:rsidR="00262FB0">
        <w:rPr>
          <w:spacing w:val="-3"/>
        </w:rPr>
        <w:t>c</w:t>
      </w:r>
      <w:r w:rsidR="00E266CE">
        <w:rPr>
          <w:spacing w:val="-3"/>
        </w:rPr>
        <w:t>ustomer</w:t>
      </w:r>
      <w:r w:rsidR="00262FB0">
        <w:rPr>
          <w:spacing w:val="-3"/>
        </w:rPr>
        <w:t>s</w:t>
      </w:r>
      <w:r w:rsidR="00E266CE">
        <w:rPr>
          <w:spacing w:val="-3"/>
        </w:rPr>
        <w:t xml:space="preserve"> </w:t>
      </w:r>
      <w:r w:rsidR="00163E52">
        <w:rPr>
          <w:spacing w:val="-3"/>
        </w:rPr>
        <w:t xml:space="preserve">prior to </w:t>
      </w:r>
      <w:r w:rsidR="00847124">
        <w:rPr>
          <w:spacing w:val="-3"/>
        </w:rPr>
        <w:t xml:space="preserve">April </w:t>
      </w:r>
      <w:r w:rsidR="00163E52">
        <w:rPr>
          <w:spacing w:val="-3"/>
        </w:rPr>
        <w:t xml:space="preserve">1, 2012 </w:t>
      </w:r>
      <w:r w:rsidR="00262FB0">
        <w:rPr>
          <w:spacing w:val="-3"/>
        </w:rPr>
        <w:t xml:space="preserve">and were </w:t>
      </w:r>
      <w:r w:rsidR="00476699">
        <w:rPr>
          <w:spacing w:val="-3"/>
        </w:rPr>
        <w:t xml:space="preserve">not subject to payment of the PIPP Rider </w:t>
      </w:r>
      <w:r w:rsidR="00262FB0">
        <w:rPr>
          <w:spacing w:val="-3"/>
        </w:rPr>
        <w:t xml:space="preserve">prior to </w:t>
      </w:r>
      <w:r w:rsidR="00847124">
        <w:rPr>
          <w:spacing w:val="-3"/>
        </w:rPr>
        <w:t>April</w:t>
      </w:r>
      <w:r w:rsidR="006876E5">
        <w:rPr>
          <w:spacing w:val="-3"/>
        </w:rPr>
        <w:t xml:space="preserve"> </w:t>
      </w:r>
      <w:r w:rsidR="00065544">
        <w:rPr>
          <w:spacing w:val="-3"/>
        </w:rPr>
        <w:t>1, 2012</w:t>
      </w:r>
      <w:r>
        <w:rPr>
          <w:spacing w:val="-3"/>
        </w:rPr>
        <w:t>.</w:t>
      </w:r>
    </w:p>
    <w:p w:rsidR="00F12158" w:rsidRDefault="00F12158">
      <w:pPr>
        <w:tabs>
          <w:tab w:val="left" w:pos="-720"/>
        </w:tabs>
        <w:suppressAutoHyphens/>
        <w:jc w:val="both"/>
        <w:rPr>
          <w:spacing w:val="-2"/>
        </w:rPr>
      </w:pPr>
    </w:p>
    <w:p w:rsidR="00F12158" w:rsidRDefault="00F12158">
      <w:pPr>
        <w:tabs>
          <w:tab w:val="left" w:pos="-720"/>
        </w:tabs>
        <w:suppressAutoHyphens/>
        <w:ind w:left="720" w:hanging="720"/>
        <w:rPr>
          <w:spacing w:val="-2"/>
        </w:rPr>
      </w:pPr>
      <w:r>
        <w:rPr>
          <w:spacing w:val="-2"/>
        </w:rPr>
        <w:t>29.2</w:t>
      </w:r>
      <w:r>
        <w:rPr>
          <w:spacing w:val="-2"/>
        </w:rPr>
        <w:tab/>
        <w:t>Rate</w:t>
      </w:r>
    </w:p>
    <w:p w:rsidR="00F12158" w:rsidRDefault="00F12158">
      <w:pPr>
        <w:tabs>
          <w:tab w:val="left" w:pos="-720"/>
        </w:tabs>
        <w:suppressAutoHyphens/>
        <w:rPr>
          <w:spacing w:val="-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4"/>
        <w:gridCol w:w="2377"/>
      </w:tblGrid>
      <w:tr w:rsidR="00B71928" w:rsidRPr="0068293A" w:rsidTr="001D5006">
        <w:trPr>
          <w:trHeight w:val="302"/>
        </w:trPr>
        <w:tc>
          <w:tcPr>
            <w:tcW w:w="4754" w:type="dxa"/>
            <w:shd w:val="clear" w:color="auto" w:fill="auto"/>
          </w:tcPr>
          <w:p w:rsidR="00B71928" w:rsidRPr="0068293A" w:rsidRDefault="00B71928" w:rsidP="0068293A">
            <w:pPr>
              <w:pStyle w:val="BodyTextIndent2"/>
              <w:jc w:val="both"/>
              <w:rPr>
                <w:spacing w:val="-2"/>
              </w:rPr>
            </w:pPr>
            <w:r w:rsidRPr="0068293A">
              <w:rPr>
                <w:spacing w:val="-2"/>
              </w:rPr>
              <w:t>All gas consumed per account per month</w:t>
            </w:r>
          </w:p>
        </w:tc>
        <w:tc>
          <w:tcPr>
            <w:tcW w:w="2377" w:type="dxa"/>
            <w:shd w:val="clear" w:color="auto" w:fill="auto"/>
          </w:tcPr>
          <w:p w:rsidR="00B71928" w:rsidRPr="0068293A" w:rsidRDefault="002171C2" w:rsidP="001745DA">
            <w:pPr>
              <w:pStyle w:val="BodyTextIndent2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126A31">
              <w:rPr>
                <w:spacing w:val="-2"/>
              </w:rPr>
              <w:t>$0.</w:t>
            </w:r>
            <w:r w:rsidR="00155E9F">
              <w:rPr>
                <w:spacing w:val="-2"/>
              </w:rPr>
              <w:t>1427</w:t>
            </w:r>
            <w:r w:rsidR="00106B1A">
              <w:rPr>
                <w:spacing w:val="-2"/>
              </w:rPr>
              <w:t xml:space="preserve"> </w:t>
            </w:r>
            <w:r w:rsidR="00B71928" w:rsidRPr="0068293A">
              <w:rPr>
                <w:spacing w:val="-2"/>
              </w:rPr>
              <w:t xml:space="preserve">per </w:t>
            </w:r>
            <w:proofErr w:type="spellStart"/>
            <w:r w:rsidR="00B71928" w:rsidRPr="0068293A">
              <w:rPr>
                <w:spacing w:val="-2"/>
              </w:rPr>
              <w:t>Mcf</w:t>
            </w:r>
            <w:proofErr w:type="spellEnd"/>
          </w:p>
        </w:tc>
      </w:tr>
    </w:tbl>
    <w:p w:rsidR="00F12158" w:rsidRDefault="00F12158" w:rsidP="00B71928">
      <w:pPr>
        <w:pStyle w:val="BodyTextIndent2"/>
        <w:jc w:val="right"/>
        <w:rPr>
          <w:spacing w:val="-2"/>
        </w:rPr>
      </w:pPr>
    </w:p>
    <w:p w:rsidR="00404D5B" w:rsidRDefault="00404D5B" w:rsidP="00B71928">
      <w:pPr>
        <w:pStyle w:val="BodyTextIndent2"/>
        <w:jc w:val="right"/>
        <w:rPr>
          <w:spacing w:val="-2"/>
        </w:rPr>
      </w:pPr>
    </w:p>
    <w:p w:rsidR="00404D5B" w:rsidRDefault="00404D5B" w:rsidP="00404D5B">
      <w:pPr>
        <w:autoSpaceDE w:val="0"/>
        <w:autoSpaceDN w:val="0"/>
        <w:adjustRightInd w:val="0"/>
      </w:pPr>
      <w:r w:rsidRPr="00404D5B">
        <w:t xml:space="preserve">29.3 </w:t>
      </w:r>
      <w:r w:rsidRPr="00404D5B">
        <w:tab/>
        <w:t>Reconciliation Adjustment</w:t>
      </w:r>
    </w:p>
    <w:p w:rsidR="00404D5B" w:rsidRPr="00404D5B" w:rsidRDefault="00404D5B" w:rsidP="00404D5B">
      <w:pPr>
        <w:autoSpaceDE w:val="0"/>
        <w:autoSpaceDN w:val="0"/>
        <w:adjustRightInd w:val="0"/>
      </w:pPr>
    </w:p>
    <w:p w:rsidR="00404D5B" w:rsidRPr="00404D5B" w:rsidRDefault="00404D5B" w:rsidP="00404D5B">
      <w:pPr>
        <w:autoSpaceDE w:val="0"/>
        <w:autoSpaceDN w:val="0"/>
        <w:adjustRightInd w:val="0"/>
        <w:ind w:firstLine="720"/>
      </w:pPr>
      <w:r w:rsidRPr="00404D5B">
        <w:t>This Rider is subject to reconciliation or adjustment, including but not limited to, increases or refunds. Such</w:t>
      </w:r>
    </w:p>
    <w:p w:rsidR="00404D5B" w:rsidRPr="00404D5B" w:rsidRDefault="00404D5B" w:rsidP="00404D5B">
      <w:pPr>
        <w:autoSpaceDE w:val="0"/>
        <w:autoSpaceDN w:val="0"/>
        <w:adjustRightInd w:val="0"/>
        <w:ind w:left="720"/>
      </w:pPr>
      <w:proofErr w:type="gramStart"/>
      <w:r w:rsidRPr="00404D5B">
        <w:t>reconciliation</w:t>
      </w:r>
      <w:proofErr w:type="gramEnd"/>
      <w:r w:rsidRPr="00404D5B">
        <w:t xml:space="preserve"> or adjustment shall be limited to the twelve-month period of PIP Plan expense upon which the rate</w:t>
      </w:r>
      <w:r>
        <w:t xml:space="preserve"> </w:t>
      </w:r>
      <w:r w:rsidRPr="00404D5B">
        <w:t>was calculated, if determined to be unlawful, unreasonable, or imprudent by the Commission in the docket those rates were approved or the Supreme Court of Ohio.</w:t>
      </w:r>
    </w:p>
    <w:sectPr w:rsidR="00404D5B" w:rsidRPr="00404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4E" w:rsidRDefault="00CD324E">
      <w:r>
        <w:separator/>
      </w:r>
    </w:p>
  </w:endnote>
  <w:endnote w:type="continuationSeparator" w:id="0">
    <w:p w:rsidR="00CD324E" w:rsidRDefault="00CD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9F" w:rsidRDefault="00155E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D4" w:rsidRDefault="00E2619C" w:rsidP="00D763D4">
    <w:pPr>
      <w:pStyle w:val="Footer"/>
      <w:jc w:val="center"/>
      <w:rPr>
        <w:sz w:val="16"/>
      </w:rPr>
    </w:pPr>
    <w:r w:rsidRPr="0009740C">
      <w:rPr>
        <w:sz w:val="16"/>
      </w:rPr>
      <w:t>Filed in accordance with Public Utilities Commission of Ohio Order dated</w:t>
    </w:r>
    <w:r w:rsidR="00847124">
      <w:rPr>
        <w:sz w:val="16"/>
      </w:rPr>
      <w:t xml:space="preserve"> </w:t>
    </w:r>
    <w:r w:rsidR="00313B36">
      <w:rPr>
        <w:sz w:val="16"/>
      </w:rPr>
      <w:t>December 2</w:t>
    </w:r>
    <w:r w:rsidR="005843DD">
      <w:rPr>
        <w:sz w:val="16"/>
      </w:rPr>
      <w:t>, 1993</w:t>
    </w:r>
    <w:r w:rsidR="00965E85">
      <w:rPr>
        <w:sz w:val="16"/>
      </w:rPr>
      <w:t xml:space="preserve"> in Case No. </w:t>
    </w:r>
    <w:r w:rsidR="00313B36">
      <w:rPr>
        <w:sz w:val="16"/>
      </w:rPr>
      <w:t>88</w:t>
    </w:r>
    <w:r w:rsidR="00965E85">
      <w:rPr>
        <w:sz w:val="16"/>
      </w:rPr>
      <w:t>-</w:t>
    </w:r>
    <w:r w:rsidR="005843DD">
      <w:rPr>
        <w:sz w:val="16"/>
      </w:rPr>
      <w:t>1</w:t>
    </w:r>
    <w:r w:rsidR="00313B36">
      <w:rPr>
        <w:sz w:val="16"/>
      </w:rPr>
      <w:t>115-GA</w:t>
    </w:r>
    <w:r w:rsidR="00965E85">
      <w:rPr>
        <w:sz w:val="16"/>
      </w:rPr>
      <w:t>-</w:t>
    </w:r>
    <w:r w:rsidR="00313B36">
      <w:rPr>
        <w:sz w:val="16"/>
      </w:rPr>
      <w:t>PIP</w:t>
    </w:r>
    <w:r w:rsidR="00965E85">
      <w:rPr>
        <w:sz w:val="16"/>
      </w:rPr>
      <w:t>.</w:t>
    </w:r>
  </w:p>
  <w:p w:rsidR="00E2619C" w:rsidRPr="0009740C" w:rsidRDefault="00E2619C" w:rsidP="004A7563">
    <w:pPr>
      <w:pStyle w:val="Footer"/>
      <w:jc w:val="center"/>
      <w:rPr>
        <w:sz w:val="16"/>
      </w:rPr>
    </w:pPr>
  </w:p>
  <w:p w:rsidR="00E2619C" w:rsidRPr="0009740C" w:rsidRDefault="00E2619C" w:rsidP="004A7563">
    <w:pPr>
      <w:pStyle w:val="Footer"/>
      <w:rPr>
        <w:sz w:val="16"/>
      </w:rPr>
    </w:pPr>
  </w:p>
  <w:tbl>
    <w:tblPr>
      <w:tblW w:w="9912" w:type="dxa"/>
      <w:tblInd w:w="108" w:type="dxa"/>
      <w:tblLayout w:type="fixed"/>
      <w:tblLook w:val="0000" w:firstRow="0" w:lastRow="0" w:firstColumn="0" w:lastColumn="0" w:noHBand="0" w:noVBand="0"/>
    </w:tblPr>
    <w:tblGrid>
      <w:gridCol w:w="4575"/>
      <w:gridCol w:w="5337"/>
    </w:tblGrid>
    <w:tr w:rsidR="00E2619C" w:rsidRPr="0009740C" w:rsidTr="000F7AA7">
      <w:trPr>
        <w:trHeight w:val="792"/>
      </w:trPr>
      <w:tc>
        <w:tcPr>
          <w:tcW w:w="4575" w:type="dxa"/>
        </w:tcPr>
        <w:p w:rsidR="00E2619C" w:rsidRPr="0009740C" w:rsidRDefault="00E2619C" w:rsidP="000F7AA7">
          <w:pPr>
            <w:pStyle w:val="Footer"/>
            <w:rPr>
              <w:sz w:val="16"/>
            </w:rPr>
          </w:pPr>
          <w:r w:rsidRPr="0009740C">
            <w:rPr>
              <w:sz w:val="16"/>
            </w:rPr>
            <w:t>Issued:</w:t>
          </w:r>
          <w:r w:rsidR="000E615D">
            <w:rPr>
              <w:sz w:val="16"/>
            </w:rPr>
            <w:t xml:space="preserve">  </w:t>
          </w:r>
          <w:r w:rsidR="00404D5B">
            <w:rPr>
              <w:sz w:val="16"/>
            </w:rPr>
            <w:t>May 30, 201</w:t>
          </w:r>
          <w:r w:rsidR="00155E9F">
            <w:rPr>
              <w:sz w:val="16"/>
            </w:rPr>
            <w:t>9</w:t>
          </w:r>
          <w:r w:rsidR="00EC7F69">
            <w:rPr>
              <w:sz w:val="16"/>
            </w:rPr>
            <w:t xml:space="preserve"> </w:t>
          </w:r>
          <w:r w:rsidR="005E345E">
            <w:rPr>
              <w:sz w:val="16"/>
            </w:rPr>
            <w:t xml:space="preserve"> </w:t>
          </w:r>
        </w:p>
      </w:tc>
      <w:tc>
        <w:tcPr>
          <w:tcW w:w="5337" w:type="dxa"/>
        </w:tcPr>
        <w:p w:rsidR="00EC7F69" w:rsidRDefault="00EC7F69" w:rsidP="005761D9">
          <w:pPr>
            <w:pStyle w:val="Footer"/>
            <w:ind w:left="3132" w:right="-90"/>
            <w:rPr>
              <w:sz w:val="16"/>
            </w:rPr>
          </w:pPr>
          <w:r>
            <w:rPr>
              <w:sz w:val="16"/>
            </w:rPr>
            <w:t>Effective:</w:t>
          </w:r>
          <w:r w:rsidR="00965E85">
            <w:rPr>
              <w:sz w:val="16"/>
            </w:rPr>
            <w:t xml:space="preserve">  </w:t>
          </w:r>
          <w:r w:rsidR="00735CAC">
            <w:rPr>
              <w:sz w:val="16"/>
            </w:rPr>
            <w:t>With meter readings on or after</w:t>
          </w:r>
          <w:r w:rsidR="000E615D">
            <w:rPr>
              <w:sz w:val="16"/>
            </w:rPr>
            <w:t xml:space="preserve"> </w:t>
          </w:r>
          <w:r w:rsidR="00404D5B">
            <w:rPr>
              <w:sz w:val="16"/>
            </w:rPr>
            <w:t>May 31, 201</w:t>
          </w:r>
          <w:r w:rsidR="00155E9F">
            <w:rPr>
              <w:sz w:val="16"/>
            </w:rPr>
            <w:t>9</w:t>
          </w:r>
          <w:r w:rsidR="00735CAC">
            <w:rPr>
              <w:sz w:val="16"/>
            </w:rPr>
            <w:t xml:space="preserve"> </w:t>
          </w:r>
        </w:p>
        <w:p w:rsidR="00E2619C" w:rsidRPr="0009740C" w:rsidRDefault="00E2619C" w:rsidP="00106B1A">
          <w:pPr>
            <w:pStyle w:val="Footer"/>
            <w:ind w:left="3132" w:right="-90"/>
            <w:rPr>
              <w:sz w:val="16"/>
            </w:rPr>
          </w:pPr>
        </w:p>
      </w:tc>
    </w:tr>
  </w:tbl>
  <w:p w:rsidR="00E2619C" w:rsidRPr="0009740C" w:rsidRDefault="00E2619C" w:rsidP="004A7563">
    <w:pPr>
      <w:pStyle w:val="Footer"/>
      <w:rPr>
        <w:sz w:val="16"/>
      </w:rPr>
    </w:pPr>
  </w:p>
  <w:p w:rsidR="00E2619C" w:rsidRPr="0009740C" w:rsidRDefault="00E2619C" w:rsidP="004A7563">
    <w:pPr>
      <w:pStyle w:val="Footer"/>
      <w:jc w:val="center"/>
      <w:rPr>
        <w:sz w:val="16"/>
      </w:rPr>
    </w:pPr>
    <w:r w:rsidRPr="0009740C">
      <w:rPr>
        <w:sz w:val="16"/>
      </w:rPr>
      <w:t>Issued By</w:t>
    </w:r>
  </w:p>
  <w:p w:rsidR="00E2619C" w:rsidRPr="004A7563" w:rsidRDefault="005761D9" w:rsidP="004A7563">
    <w:pPr>
      <w:pStyle w:val="Footer"/>
      <w:jc w:val="center"/>
      <w:rPr>
        <w:szCs w:val="16"/>
      </w:rPr>
    </w:pPr>
    <w:bookmarkStart w:id="0" w:name="_GoBack"/>
    <w:bookmarkEnd w:id="0"/>
    <w:r>
      <w:rPr>
        <w:sz w:val="16"/>
      </w:rPr>
      <w:t xml:space="preserve">Daniel A. Creekmur, </w:t>
    </w:r>
    <w:r w:rsidR="00E2619C" w:rsidRPr="0009740C">
      <w:rPr>
        <w:sz w:val="16"/>
      </w:rPr>
      <w:t>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9F" w:rsidRDefault="00155E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4E" w:rsidRDefault="00CD324E">
      <w:r>
        <w:separator/>
      </w:r>
    </w:p>
  </w:footnote>
  <w:footnote w:type="continuationSeparator" w:id="0">
    <w:p w:rsidR="00CD324E" w:rsidRDefault="00CD3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E2619C">
      <w:tc>
        <w:tcPr>
          <w:tcW w:w="4428" w:type="dxa"/>
        </w:tcPr>
        <w:p w:rsidR="00E2619C" w:rsidRDefault="00E2619C">
          <w:pPr>
            <w:pStyle w:val="Header"/>
          </w:pPr>
        </w:p>
      </w:tc>
      <w:tc>
        <w:tcPr>
          <w:tcW w:w="4428" w:type="dxa"/>
        </w:tcPr>
        <w:p w:rsidR="00E2619C" w:rsidRDefault="00E2619C">
          <w:pPr>
            <w:pStyle w:val="Header"/>
          </w:pPr>
        </w:p>
      </w:tc>
    </w:tr>
  </w:tbl>
  <w:p w:rsidR="00E2619C" w:rsidRDefault="00E261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9C" w:rsidRDefault="00E2619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E2619C" w:rsidRDefault="00E2619C">
    <w:pPr>
      <w:pStyle w:val="Header"/>
      <w:jc w:val="center"/>
      <w:rPr>
        <w:b/>
        <w:sz w:val="22"/>
      </w:rPr>
    </w:pPr>
  </w:p>
  <w:p w:rsidR="00E2619C" w:rsidRDefault="00E2619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E2619C" w:rsidRDefault="00155E9F">
    <w:pPr>
      <w:pStyle w:val="Header"/>
      <w:jc w:val="right"/>
      <w:rPr>
        <w:b/>
        <w:sz w:val="22"/>
      </w:rPr>
    </w:pPr>
    <w:r>
      <w:rPr>
        <w:b/>
        <w:sz w:val="22"/>
      </w:rPr>
      <w:t>Nine</w:t>
    </w:r>
    <w:r w:rsidR="001451AA">
      <w:rPr>
        <w:b/>
        <w:sz w:val="22"/>
      </w:rPr>
      <w:t>teenth</w:t>
    </w:r>
    <w:r w:rsidR="005761D9">
      <w:rPr>
        <w:b/>
        <w:sz w:val="22"/>
      </w:rPr>
      <w:t xml:space="preserve"> </w:t>
    </w:r>
    <w:r w:rsidR="00E2619C">
      <w:rPr>
        <w:b/>
        <w:sz w:val="22"/>
      </w:rPr>
      <w:t>Revised Sheet No. 29</w:t>
    </w:r>
  </w:p>
  <w:p w:rsidR="00E2619C" w:rsidRDefault="00E2619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E2619C" w:rsidRDefault="00155E9F">
    <w:pPr>
      <w:pStyle w:val="Header"/>
      <w:jc w:val="right"/>
      <w:rPr>
        <w:b/>
        <w:sz w:val="22"/>
      </w:rPr>
    </w:pPr>
    <w:r>
      <w:rPr>
        <w:b/>
        <w:sz w:val="22"/>
      </w:rPr>
      <w:t>Eigh</w:t>
    </w:r>
    <w:r w:rsidR="001451AA">
      <w:rPr>
        <w:b/>
        <w:sz w:val="22"/>
      </w:rPr>
      <w:t>teenth</w:t>
    </w:r>
    <w:r w:rsidR="005761D9">
      <w:rPr>
        <w:b/>
        <w:sz w:val="22"/>
      </w:rPr>
      <w:t xml:space="preserve"> </w:t>
    </w:r>
    <w:r w:rsidR="00E2619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E2619C">
      <w:tc>
        <w:tcPr>
          <w:tcW w:w="5148" w:type="dxa"/>
        </w:tcPr>
        <w:p w:rsidR="00E2619C" w:rsidRDefault="00E2619C" w:rsidP="00A2782A">
          <w:pPr>
            <w:pStyle w:val="Header"/>
            <w:rPr>
              <w:b/>
              <w:sz w:val="22"/>
            </w:rPr>
          </w:pPr>
          <w:r>
            <w:rPr>
              <w:b/>
              <w:sz w:val="22"/>
            </w:rPr>
            <w:t>Columbia Gas of Ohio, Inc.</w:t>
          </w:r>
        </w:p>
      </w:tc>
      <w:tc>
        <w:tcPr>
          <w:tcW w:w="5148" w:type="dxa"/>
        </w:tcPr>
        <w:p w:rsidR="00E2619C" w:rsidRDefault="00E2619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    Page 1 of 11</w:t>
          </w:r>
        </w:p>
      </w:tc>
    </w:tr>
  </w:tbl>
  <w:p w:rsidR="00E2619C" w:rsidRDefault="00E2619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9F" w:rsidRDefault="00155E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73"/>
    <w:rsid w:val="00051F4F"/>
    <w:rsid w:val="00065544"/>
    <w:rsid w:val="00084F33"/>
    <w:rsid w:val="0009190C"/>
    <w:rsid w:val="00095F28"/>
    <w:rsid w:val="000E17FA"/>
    <w:rsid w:val="000E4E2F"/>
    <w:rsid w:val="000E615D"/>
    <w:rsid w:val="000F7AA7"/>
    <w:rsid w:val="00106B1A"/>
    <w:rsid w:val="00126A31"/>
    <w:rsid w:val="001451AA"/>
    <w:rsid w:val="00151229"/>
    <w:rsid w:val="00154F62"/>
    <w:rsid w:val="00155E9F"/>
    <w:rsid w:val="00163E52"/>
    <w:rsid w:val="001745DA"/>
    <w:rsid w:val="00174E07"/>
    <w:rsid w:val="001C2DD2"/>
    <w:rsid w:val="001D5006"/>
    <w:rsid w:val="00205C23"/>
    <w:rsid w:val="002171C2"/>
    <w:rsid w:val="002242A1"/>
    <w:rsid w:val="00250687"/>
    <w:rsid w:val="00262FB0"/>
    <w:rsid w:val="002672F0"/>
    <w:rsid w:val="002C0004"/>
    <w:rsid w:val="002C40D3"/>
    <w:rsid w:val="00313B36"/>
    <w:rsid w:val="00331BB0"/>
    <w:rsid w:val="00382489"/>
    <w:rsid w:val="00404D5B"/>
    <w:rsid w:val="0042026E"/>
    <w:rsid w:val="00462A6A"/>
    <w:rsid w:val="004750DF"/>
    <w:rsid w:val="00476699"/>
    <w:rsid w:val="00476A17"/>
    <w:rsid w:val="004A7563"/>
    <w:rsid w:val="004B0DFD"/>
    <w:rsid w:val="004B5B21"/>
    <w:rsid w:val="004D5F5E"/>
    <w:rsid w:val="004E557E"/>
    <w:rsid w:val="00520F99"/>
    <w:rsid w:val="00545FF5"/>
    <w:rsid w:val="005761D9"/>
    <w:rsid w:val="005843DD"/>
    <w:rsid w:val="00585612"/>
    <w:rsid w:val="005B0B1F"/>
    <w:rsid w:val="005C3F5B"/>
    <w:rsid w:val="005D1222"/>
    <w:rsid w:val="005E345E"/>
    <w:rsid w:val="00605D8D"/>
    <w:rsid w:val="006060A7"/>
    <w:rsid w:val="006148D8"/>
    <w:rsid w:val="00635BA0"/>
    <w:rsid w:val="006453F7"/>
    <w:rsid w:val="00671CAD"/>
    <w:rsid w:val="00672A71"/>
    <w:rsid w:val="0068293A"/>
    <w:rsid w:val="006876E5"/>
    <w:rsid w:val="006A17AB"/>
    <w:rsid w:val="006A5C18"/>
    <w:rsid w:val="006F1BE9"/>
    <w:rsid w:val="00735CAC"/>
    <w:rsid w:val="007C6B73"/>
    <w:rsid w:val="007E45E4"/>
    <w:rsid w:val="007F459B"/>
    <w:rsid w:val="008167F8"/>
    <w:rsid w:val="00847124"/>
    <w:rsid w:val="00851A6E"/>
    <w:rsid w:val="008866A9"/>
    <w:rsid w:val="00932865"/>
    <w:rsid w:val="009344AC"/>
    <w:rsid w:val="00950B53"/>
    <w:rsid w:val="00965E85"/>
    <w:rsid w:val="00982DD0"/>
    <w:rsid w:val="00997DC0"/>
    <w:rsid w:val="009B56B6"/>
    <w:rsid w:val="00A03256"/>
    <w:rsid w:val="00A127FE"/>
    <w:rsid w:val="00A2782A"/>
    <w:rsid w:val="00A43C27"/>
    <w:rsid w:val="00A60642"/>
    <w:rsid w:val="00A94217"/>
    <w:rsid w:val="00AA1875"/>
    <w:rsid w:val="00AB212C"/>
    <w:rsid w:val="00AD374E"/>
    <w:rsid w:val="00AE2420"/>
    <w:rsid w:val="00AF3F5E"/>
    <w:rsid w:val="00AF6CFE"/>
    <w:rsid w:val="00B25E6D"/>
    <w:rsid w:val="00B71928"/>
    <w:rsid w:val="00BA4182"/>
    <w:rsid w:val="00BB2042"/>
    <w:rsid w:val="00BC3E53"/>
    <w:rsid w:val="00BE218D"/>
    <w:rsid w:val="00BF46EB"/>
    <w:rsid w:val="00C31F73"/>
    <w:rsid w:val="00C736F3"/>
    <w:rsid w:val="00C91550"/>
    <w:rsid w:val="00C9302D"/>
    <w:rsid w:val="00CD324E"/>
    <w:rsid w:val="00CE546D"/>
    <w:rsid w:val="00CF4E8E"/>
    <w:rsid w:val="00D5017A"/>
    <w:rsid w:val="00D657F5"/>
    <w:rsid w:val="00D66834"/>
    <w:rsid w:val="00D763D4"/>
    <w:rsid w:val="00D92056"/>
    <w:rsid w:val="00E0047F"/>
    <w:rsid w:val="00E07992"/>
    <w:rsid w:val="00E15D88"/>
    <w:rsid w:val="00E2619C"/>
    <w:rsid w:val="00E266CE"/>
    <w:rsid w:val="00EA3FBC"/>
    <w:rsid w:val="00EB7E11"/>
    <w:rsid w:val="00EC4E56"/>
    <w:rsid w:val="00EC7F69"/>
    <w:rsid w:val="00EF1AFF"/>
    <w:rsid w:val="00F12158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A0C70760-4251-41E7-AB8E-C6D79005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table" w:styleId="TableGrid">
    <w:name w:val="Table Grid"/>
    <w:basedOn w:val="TableNormal"/>
    <w:rsid w:val="00B7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4E2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5F2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1.doc</vt:lpstr>
    </vt:vector>
  </TitlesOfParts>
  <Company>NiSource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4</cp:revision>
  <cp:lastPrinted>2015-04-10T19:14:00Z</cp:lastPrinted>
  <dcterms:created xsi:type="dcterms:W3CDTF">2018-04-06T19:02:00Z</dcterms:created>
  <dcterms:modified xsi:type="dcterms:W3CDTF">2019-05-15T13:01:00Z</dcterms:modified>
</cp:coreProperties>
</file>