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:rsidR="00D40596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noProof/>
          <w:spacing w:val="-3"/>
        </w:rPr>
        <w:drawing>
          <wp:inline distT="0" distB="0" distL="0" distR="0" wp14:anchorId="7187F9D7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4D9" w:rsidRDefault="003713A3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May 30</w:t>
      </w:r>
      <w:r w:rsidR="0032537D">
        <w:rPr>
          <w:rFonts w:ascii="Times New Roman" w:hAnsi="Times New Roman"/>
          <w:spacing w:val="-3"/>
        </w:rPr>
        <w:t>, 201</w:t>
      </w:r>
      <w:r>
        <w:rPr>
          <w:rFonts w:ascii="Times New Roman" w:hAnsi="Times New Roman"/>
          <w:spacing w:val="-3"/>
        </w:rPr>
        <w:t>9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Public Utilities Commission of Ohio</w:t>
      </w:r>
    </w:p>
    <w:p w:rsidR="004C404D" w:rsidRDefault="004C404D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ATTN: </w:t>
      </w:r>
      <w:proofErr w:type="spellStart"/>
      <w:r>
        <w:rPr>
          <w:rFonts w:ascii="Times New Roman" w:hAnsi="Times New Roman"/>
          <w:spacing w:val="-3"/>
        </w:rPr>
        <w:t>Barcy</w:t>
      </w:r>
      <w:proofErr w:type="spellEnd"/>
      <w:r>
        <w:rPr>
          <w:rFonts w:ascii="Times New Roman" w:hAnsi="Times New Roman"/>
          <w:spacing w:val="-3"/>
        </w:rPr>
        <w:t xml:space="preserve"> McNeal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 of Administration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Docketing Division – 13</w:t>
      </w:r>
      <w:r w:rsidRPr="0087218B"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Floor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3"/>
            </w:rPr>
            <w:t>180 East Broad Street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Columbus</w:t>
          </w:r>
        </w:smartTag>
        <w:r>
          <w:rPr>
            <w:rFonts w:ascii="Times New Roman" w:hAnsi="Times New Roman"/>
            <w:spacing w:val="-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3"/>
            </w:rPr>
            <w:t>Ohio</w:t>
          </w:r>
        </w:smartTag>
        <w:r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pacing w:val="-3"/>
            </w:rPr>
            <w:t>43215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</w:t>
      </w:r>
    </w:p>
    <w:p w:rsidR="00D40596" w:rsidRPr="00B731E7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Re: </w:t>
      </w:r>
      <w:r w:rsidRPr="00B731E7">
        <w:rPr>
          <w:rFonts w:ascii="Times New Roman" w:hAnsi="Times New Roman"/>
          <w:bCs/>
          <w:spacing w:val="-3"/>
        </w:rPr>
        <w:tab/>
        <w:t xml:space="preserve">Case Number </w:t>
      </w:r>
      <w:r>
        <w:rPr>
          <w:rFonts w:ascii="Times New Roman" w:hAnsi="Times New Roman"/>
          <w:bCs/>
          <w:spacing w:val="-3"/>
        </w:rPr>
        <w:t>1</w:t>
      </w:r>
      <w:r w:rsidR="003713A3">
        <w:rPr>
          <w:rFonts w:ascii="Times New Roman" w:hAnsi="Times New Roman"/>
          <w:bCs/>
          <w:spacing w:val="-3"/>
        </w:rPr>
        <w:t>9</w:t>
      </w:r>
      <w:r w:rsidRPr="00B731E7">
        <w:rPr>
          <w:rFonts w:ascii="Times New Roman" w:hAnsi="Times New Roman"/>
          <w:bCs/>
          <w:spacing w:val="-3"/>
        </w:rPr>
        <w:t>-</w:t>
      </w:r>
      <w:r w:rsidR="005123EA">
        <w:rPr>
          <w:rFonts w:ascii="Times New Roman" w:hAnsi="Times New Roman"/>
          <w:bCs/>
          <w:spacing w:val="-3"/>
        </w:rPr>
        <w:t>421</w:t>
      </w:r>
      <w:r w:rsidRPr="00B731E7">
        <w:rPr>
          <w:rFonts w:ascii="Times New Roman" w:hAnsi="Times New Roman"/>
          <w:bCs/>
          <w:spacing w:val="-3"/>
        </w:rPr>
        <w:t>-GA-PIP</w:t>
      </w:r>
    </w:p>
    <w:p w:rsidR="00D40596" w:rsidRPr="00B731E7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       </w:t>
      </w:r>
      <w:r w:rsidRPr="00B731E7">
        <w:rPr>
          <w:rFonts w:ascii="Times New Roman" w:hAnsi="Times New Roman"/>
          <w:bCs/>
          <w:spacing w:val="-3"/>
        </w:rPr>
        <w:tab/>
        <w:t>Case Number 89-8003-GA-TRF</w:t>
      </w:r>
    </w:p>
    <w:p w:rsidR="00D40596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</w:t>
      </w:r>
    </w:p>
    <w:p w:rsidR="00D40596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Dear Ms. McNeal</w:t>
      </w:r>
      <w:r w:rsidR="00D40596">
        <w:rPr>
          <w:rFonts w:ascii="Times New Roman" w:hAnsi="Times New Roman"/>
          <w:spacing w:val="-3"/>
        </w:rPr>
        <w:t>:</w:t>
      </w: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A</w:t>
      </w:r>
      <w:r w:rsidR="00303176">
        <w:rPr>
          <w:rFonts w:ascii="Times New Roman" w:hAnsi="Times New Roman"/>
          <w:sz w:val="24"/>
        </w:rPr>
        <w:t>pril 1</w:t>
      </w:r>
      <w:r w:rsidR="003713A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 201</w:t>
      </w:r>
      <w:r w:rsidR="003713A3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, Columbia Gas of Ohio, Inc. (“Columbia”) filed an app</w:t>
      </w:r>
      <w:r w:rsidR="004B34BB">
        <w:rPr>
          <w:rFonts w:ascii="Times New Roman" w:hAnsi="Times New Roman"/>
          <w:sz w:val="24"/>
        </w:rPr>
        <w:t>lication seeking authority to in</w:t>
      </w:r>
      <w:r>
        <w:rPr>
          <w:rFonts w:ascii="Times New Roman" w:hAnsi="Times New Roman"/>
          <w:sz w:val="24"/>
        </w:rPr>
        <w:t>crease its Percentage of Income Payment Plan (“PIPP”) rider from</w:t>
      </w:r>
      <w:r w:rsidR="00B36278">
        <w:rPr>
          <w:rFonts w:ascii="Times New Roman" w:hAnsi="Times New Roman"/>
          <w:sz w:val="24"/>
        </w:rPr>
        <w:t xml:space="preserve"> </w:t>
      </w:r>
      <w:r w:rsidR="00AF1D28">
        <w:rPr>
          <w:rFonts w:ascii="Times New Roman" w:hAnsi="Times New Roman"/>
          <w:sz w:val="24"/>
        </w:rPr>
        <w:t>$</w:t>
      </w:r>
      <w:r w:rsidR="003713A3">
        <w:rPr>
          <w:rFonts w:ascii="Times New Roman" w:hAnsi="Times New Roman"/>
          <w:sz w:val="24"/>
        </w:rPr>
        <w:t>0.1053</w:t>
      </w:r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Mcf</w:t>
      </w:r>
      <w:proofErr w:type="spellEnd"/>
      <w:r>
        <w:rPr>
          <w:rFonts w:ascii="Times New Roman" w:hAnsi="Times New Roman"/>
          <w:sz w:val="24"/>
        </w:rPr>
        <w:t xml:space="preserve"> to</w:t>
      </w:r>
      <w:r w:rsidR="00AF1D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$</w:t>
      </w:r>
      <w:r w:rsidR="003713A3">
        <w:rPr>
          <w:rFonts w:ascii="Times New Roman" w:hAnsi="Times New Roman"/>
          <w:sz w:val="24"/>
        </w:rPr>
        <w:t>0.1427</w:t>
      </w:r>
      <w:r>
        <w:rPr>
          <w:rFonts w:ascii="Times New Roman" w:hAnsi="Times New Roman"/>
          <w:sz w:val="24"/>
        </w:rPr>
        <w:t xml:space="preserve"> pe</w:t>
      </w:r>
      <w:r w:rsidR="00B36278">
        <w:rPr>
          <w:rFonts w:ascii="Times New Roman" w:hAnsi="Times New Roman"/>
          <w:sz w:val="24"/>
        </w:rPr>
        <w:t xml:space="preserve">r </w:t>
      </w:r>
      <w:proofErr w:type="spellStart"/>
      <w:r w:rsidR="00B36278">
        <w:rPr>
          <w:rFonts w:ascii="Times New Roman" w:hAnsi="Times New Roman"/>
          <w:sz w:val="24"/>
        </w:rPr>
        <w:t>Mcf</w:t>
      </w:r>
      <w:proofErr w:type="spellEnd"/>
      <w:r w:rsidR="00B36278">
        <w:rPr>
          <w:rFonts w:ascii="Times New Roman" w:hAnsi="Times New Roman"/>
          <w:sz w:val="24"/>
        </w:rPr>
        <w:t xml:space="preserve">, resulting in an overall </w:t>
      </w:r>
      <w:r w:rsidR="004B34BB"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>crease of $</w:t>
      </w:r>
      <w:r w:rsidR="0030317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</w:t>
      </w:r>
      <w:r w:rsidR="003713A3">
        <w:rPr>
          <w:rFonts w:ascii="Times New Roman" w:hAnsi="Times New Roman"/>
          <w:sz w:val="24"/>
        </w:rPr>
        <w:t>0374</w:t>
      </w:r>
      <w:r w:rsidR="00870B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per </w:t>
      </w:r>
      <w:proofErr w:type="spellStart"/>
      <w:r>
        <w:rPr>
          <w:rFonts w:ascii="Times New Roman" w:hAnsi="Times New Roman"/>
          <w:sz w:val="24"/>
        </w:rPr>
        <w:t>Mcf</w:t>
      </w:r>
      <w:proofErr w:type="spellEnd"/>
      <w:r>
        <w:rPr>
          <w:rFonts w:ascii="Times New Roman" w:hAnsi="Times New Roman"/>
          <w:sz w:val="24"/>
        </w:rPr>
        <w:t>. This filing provided for the implementation of a proposed rate designed to recover the projected level of arrears expected to occur during the next twelve-month period</w:t>
      </w:r>
      <w:r w:rsidR="00303176">
        <w:rPr>
          <w:rFonts w:ascii="Times New Roman" w:hAnsi="Times New Roman"/>
          <w:sz w:val="24"/>
        </w:rPr>
        <w:t xml:space="preserve">, </w:t>
      </w:r>
      <w:r w:rsidR="00AB259B">
        <w:rPr>
          <w:rFonts w:ascii="Times New Roman" w:hAnsi="Times New Roman"/>
          <w:sz w:val="24"/>
        </w:rPr>
        <w:t>plus</w:t>
      </w:r>
      <w:r w:rsidR="00303176">
        <w:rPr>
          <w:rFonts w:ascii="Times New Roman" w:hAnsi="Times New Roman"/>
          <w:sz w:val="24"/>
        </w:rPr>
        <w:t xml:space="preserve"> an </w:t>
      </w:r>
      <w:r w:rsidR="004B34BB">
        <w:rPr>
          <w:rFonts w:ascii="Times New Roman" w:hAnsi="Times New Roman"/>
          <w:sz w:val="24"/>
        </w:rPr>
        <w:t>under</w:t>
      </w:r>
      <w:r w:rsidR="00303176">
        <w:rPr>
          <w:rFonts w:ascii="Times New Roman" w:hAnsi="Times New Roman"/>
          <w:sz w:val="24"/>
        </w:rPr>
        <w:t>-collection of $</w:t>
      </w:r>
      <w:r w:rsidR="003713A3">
        <w:rPr>
          <w:rFonts w:ascii="Times New Roman" w:hAnsi="Times New Roman"/>
          <w:sz w:val="24"/>
        </w:rPr>
        <w:t>8</w:t>
      </w:r>
      <w:r w:rsidR="00AB259B">
        <w:rPr>
          <w:rFonts w:ascii="Times New Roman" w:hAnsi="Times New Roman"/>
          <w:sz w:val="24"/>
        </w:rPr>
        <w:t>,</w:t>
      </w:r>
      <w:r w:rsidR="003713A3">
        <w:rPr>
          <w:rFonts w:ascii="Times New Roman" w:hAnsi="Times New Roman"/>
          <w:sz w:val="24"/>
        </w:rPr>
        <w:t>646,251.29</w:t>
      </w:r>
      <w:r>
        <w:rPr>
          <w:rFonts w:ascii="Times New Roman" w:hAnsi="Times New Roman"/>
          <w:sz w:val="24"/>
        </w:rPr>
        <w:t xml:space="preserve">. </w:t>
      </w:r>
    </w:p>
    <w:p w:rsidR="00050106" w:rsidRDefault="00050106" w:rsidP="00D40596">
      <w:pPr>
        <w:pStyle w:val="BodyText"/>
        <w:rPr>
          <w:rFonts w:ascii="Times New Roman" w:hAnsi="Times New Roman"/>
          <w:sz w:val="24"/>
        </w:rPr>
      </w:pP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</w:t>
      </w:r>
      <w:r w:rsidR="003E2514">
        <w:rPr>
          <w:rFonts w:ascii="Times New Roman" w:hAnsi="Times New Roman"/>
          <w:sz w:val="24"/>
        </w:rPr>
        <w:t xml:space="preserve">the Commission’s </w:t>
      </w:r>
      <w:r>
        <w:rPr>
          <w:rFonts w:ascii="Times New Roman" w:hAnsi="Times New Roman"/>
          <w:sz w:val="24"/>
        </w:rPr>
        <w:t xml:space="preserve">December 2, 1993 Finding and Order </w:t>
      </w:r>
      <w:r w:rsidR="00487255">
        <w:rPr>
          <w:rFonts w:ascii="Times New Roman" w:hAnsi="Times New Roman"/>
          <w:sz w:val="24"/>
        </w:rPr>
        <w:t>issued in</w:t>
      </w:r>
      <w:r w:rsidR="003E2514">
        <w:rPr>
          <w:rFonts w:ascii="Times New Roman" w:hAnsi="Times New Roman"/>
          <w:sz w:val="24"/>
        </w:rPr>
        <w:t xml:space="preserve"> Case Nos. 88-1115-GA-PIP, 90-705-GA-PIP and 90-879-GA-PIP </w:t>
      </w:r>
      <w:r w:rsidR="00C21258">
        <w:rPr>
          <w:rFonts w:ascii="Times New Roman" w:hAnsi="Times New Roman"/>
          <w:sz w:val="24"/>
        </w:rPr>
        <w:t xml:space="preserve">(“1993 Order”) </w:t>
      </w:r>
      <w:r w:rsidR="00487255">
        <w:rPr>
          <w:rFonts w:ascii="Times New Roman" w:hAnsi="Times New Roman"/>
          <w:sz w:val="24"/>
        </w:rPr>
        <w:t xml:space="preserve">the Commission established a procedure that </w:t>
      </w:r>
      <w:r w:rsidR="003E2514">
        <w:rPr>
          <w:rFonts w:ascii="Times New Roman" w:hAnsi="Times New Roman"/>
          <w:sz w:val="24"/>
        </w:rPr>
        <w:t xml:space="preserve">permits a utility to implement a new PIP Plan </w:t>
      </w:r>
      <w:r w:rsidR="00C21258">
        <w:rPr>
          <w:rFonts w:ascii="Times New Roman" w:hAnsi="Times New Roman"/>
          <w:sz w:val="24"/>
        </w:rPr>
        <w:t>Rider</w:t>
      </w:r>
      <w:r w:rsidR="003E2514">
        <w:rPr>
          <w:rFonts w:ascii="Times New Roman" w:hAnsi="Times New Roman"/>
          <w:sz w:val="24"/>
        </w:rPr>
        <w:t xml:space="preserve"> on the forty-sixth day after the filing of the application, absent action </w:t>
      </w:r>
      <w:r w:rsidR="00C21258">
        <w:rPr>
          <w:rFonts w:ascii="Times New Roman" w:hAnsi="Times New Roman"/>
          <w:sz w:val="24"/>
        </w:rPr>
        <w:t xml:space="preserve">by </w:t>
      </w:r>
      <w:r w:rsidR="003E2514">
        <w:rPr>
          <w:rFonts w:ascii="Times New Roman" w:hAnsi="Times New Roman"/>
          <w:sz w:val="24"/>
        </w:rPr>
        <w:t xml:space="preserve">the Commission. </w:t>
      </w:r>
    </w:p>
    <w:p w:rsidR="003E2514" w:rsidRDefault="003E2514" w:rsidP="00D40596">
      <w:pPr>
        <w:pStyle w:val="BodyText"/>
        <w:rPr>
          <w:rFonts w:ascii="Times New Roman" w:hAnsi="Times New Roman"/>
          <w:sz w:val="24"/>
        </w:rPr>
      </w:pPr>
    </w:p>
    <w:p w:rsidR="006702FE" w:rsidRDefault="00D40596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Absent action by the Commission during th</w:t>
      </w:r>
      <w:r w:rsidR="00C2125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forty-six day period and in compliance with the Public Utilities Commission of Ohio’s rules governing Tariff Filing Procedures in Case Number 89-500-AU-TRF, Columbia has </w:t>
      </w:r>
      <w:r w:rsidR="00313E85">
        <w:rPr>
          <w:rFonts w:ascii="Times New Roman" w:hAnsi="Times New Roman"/>
        </w:rPr>
        <w:t xml:space="preserve">attached </w:t>
      </w:r>
      <w:r>
        <w:rPr>
          <w:rFonts w:ascii="Times New Roman" w:hAnsi="Times New Roman"/>
        </w:rPr>
        <w:t xml:space="preserve">the following tariff sheets that provides for implementation of this rate change effective with </w:t>
      </w:r>
      <w:r w:rsidR="002F2C8B">
        <w:rPr>
          <w:rFonts w:ascii="Times New Roman" w:hAnsi="Times New Roman"/>
        </w:rPr>
        <w:t>meter readings</w:t>
      </w:r>
      <w:r>
        <w:rPr>
          <w:rFonts w:ascii="Times New Roman" w:hAnsi="Times New Roman"/>
        </w:rPr>
        <w:t xml:space="preserve"> on and after </w:t>
      </w:r>
      <w:r w:rsidR="003713A3">
        <w:rPr>
          <w:rFonts w:ascii="Times New Roman" w:hAnsi="Times New Roman"/>
        </w:rPr>
        <w:t>May 31, 2019</w:t>
      </w:r>
      <w:r w:rsidR="00626592">
        <w:rPr>
          <w:rFonts w:ascii="Times New Roman" w:hAnsi="Times New Roman"/>
        </w:rPr>
        <w:t>.</w:t>
      </w:r>
      <w:r w:rsidR="006702FE">
        <w:rPr>
          <w:rFonts w:ascii="Times New Roman" w:hAnsi="Times New Roman"/>
          <w:spacing w:val="-3"/>
        </w:rPr>
        <w:t xml:space="preserve"> 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1008"/>
        <w:gridCol w:w="3825"/>
        <w:gridCol w:w="236"/>
        <w:gridCol w:w="4464"/>
      </w:tblGrid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Section </w:t>
            </w:r>
          </w:p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t>No.</w:t>
            </w:r>
          </w:p>
        </w:tc>
        <w:tc>
          <w:tcPr>
            <w:tcW w:w="3825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</w:t>
            </w:r>
            <w:r>
              <w:rPr>
                <w:rFonts w:ascii="Times New Roman" w:hAnsi="Times New Roman"/>
                <w:spacing w:val="-3"/>
                <w:u w:val="single"/>
              </w:rPr>
              <w:t>Sheet No.</w:t>
            </w:r>
          </w:p>
        </w:tc>
        <w:tc>
          <w:tcPr>
            <w:tcW w:w="236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6702FE" w:rsidRDefault="006702FE">
            <w:pPr>
              <w:pStyle w:val="Heading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Description              </w:t>
            </w:r>
          </w:p>
        </w:tc>
      </w:tr>
      <w:tr w:rsidR="006702FE" w:rsidTr="006702FE">
        <w:trPr>
          <w:trHeight w:val="80"/>
        </w:trPr>
        <w:tc>
          <w:tcPr>
            <w:tcW w:w="1008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25" w:type="dxa"/>
          </w:tcPr>
          <w:p w:rsidR="006702FE" w:rsidRDefault="00D87E8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Two</w:t>
            </w:r>
            <w:r w:rsidR="00151CB0">
              <w:rPr>
                <w:rFonts w:ascii="Times New Roman" w:hAnsi="Times New Roman"/>
                <w:spacing w:val="-3"/>
              </w:rPr>
              <w:t xml:space="preserve"> </w:t>
            </w:r>
            <w:r w:rsidR="00A80F8E">
              <w:rPr>
                <w:rFonts w:ascii="Times New Roman" w:hAnsi="Times New Roman"/>
                <w:spacing w:val="-3"/>
              </w:rPr>
              <w:t xml:space="preserve">Hundred and </w:t>
            </w:r>
            <w:r w:rsidR="0052200E">
              <w:rPr>
                <w:rFonts w:ascii="Times New Roman" w:hAnsi="Times New Roman"/>
                <w:spacing w:val="-3"/>
              </w:rPr>
              <w:t>Ninetieth</w:t>
            </w:r>
            <w:r w:rsidR="003F20E0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Revised Sheet No. 1a</w:t>
            </w:r>
          </w:p>
        </w:tc>
        <w:tc>
          <w:tcPr>
            <w:tcW w:w="236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6702FE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D87E83" w:rsidTr="006702FE">
        <w:tc>
          <w:tcPr>
            <w:tcW w:w="1008" w:type="dxa"/>
          </w:tcPr>
          <w:p w:rsidR="00D87E83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25" w:type="dxa"/>
          </w:tcPr>
          <w:p w:rsidR="00D87E83" w:rsidRDefault="00AB259B" w:rsidP="00AB259B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Two</w:t>
            </w:r>
            <w:r w:rsidR="003F20E0">
              <w:rPr>
                <w:rFonts w:ascii="Times New Roman" w:hAnsi="Times New Roman"/>
                <w:spacing w:val="-3"/>
              </w:rPr>
              <w:t xml:space="preserve"> Hundred and </w:t>
            </w:r>
            <w:r w:rsidR="00915704">
              <w:rPr>
                <w:rFonts w:ascii="Times New Roman" w:hAnsi="Times New Roman"/>
                <w:spacing w:val="-3"/>
              </w:rPr>
              <w:t>Twenty-Six</w:t>
            </w:r>
            <w:bookmarkStart w:id="0" w:name="_GoBack"/>
            <w:bookmarkEnd w:id="0"/>
            <w:r w:rsidR="0052200E">
              <w:rPr>
                <w:rFonts w:ascii="Times New Roman" w:hAnsi="Times New Roman"/>
                <w:spacing w:val="-3"/>
              </w:rPr>
              <w:t>th</w:t>
            </w:r>
            <w:r w:rsidR="00D87E83">
              <w:rPr>
                <w:rFonts w:ascii="Times New Roman" w:hAnsi="Times New Roman"/>
                <w:spacing w:val="-3"/>
              </w:rPr>
              <w:t xml:space="preserve"> Revised Sheet No. 1b</w:t>
            </w:r>
          </w:p>
        </w:tc>
        <w:tc>
          <w:tcPr>
            <w:tcW w:w="236" w:type="dxa"/>
          </w:tcPr>
          <w:p w:rsidR="00D87E83" w:rsidRDefault="00D87E83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D87E83" w:rsidRDefault="00D87E83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</w:t>
            </w:r>
          </w:p>
        </w:tc>
        <w:tc>
          <w:tcPr>
            <w:tcW w:w="3825" w:type="dxa"/>
            <w:hideMark/>
          </w:tcPr>
          <w:p w:rsidR="006702FE" w:rsidRDefault="0052200E" w:rsidP="00151CB0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Six</w:t>
            </w:r>
            <w:r w:rsidR="00151CB0">
              <w:rPr>
                <w:rFonts w:ascii="Times New Roman" w:hAnsi="Times New Roman"/>
                <w:spacing w:val="-3"/>
              </w:rPr>
              <w:t>teenth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24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VI</w:t>
            </w:r>
          </w:p>
        </w:tc>
        <w:tc>
          <w:tcPr>
            <w:tcW w:w="3825" w:type="dxa"/>
            <w:hideMark/>
          </w:tcPr>
          <w:p w:rsidR="006702FE" w:rsidRDefault="0052200E" w:rsidP="00AF1D28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Eleven</w:t>
            </w:r>
            <w:r w:rsidR="00151CB0">
              <w:rPr>
                <w:rFonts w:ascii="Times New Roman" w:hAnsi="Times New Roman"/>
                <w:spacing w:val="-3"/>
              </w:rPr>
              <w:t>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68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825" w:type="dxa"/>
            <w:hideMark/>
          </w:tcPr>
          <w:p w:rsidR="006702FE" w:rsidRDefault="0052200E" w:rsidP="00151CB0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Nine</w:t>
            </w:r>
            <w:r w:rsidR="00151CB0">
              <w:rPr>
                <w:rFonts w:ascii="Times New Roman" w:hAnsi="Times New Roman"/>
                <w:spacing w:val="-3"/>
              </w:rPr>
              <w:t>teenth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29, Page 1 of 11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Very truly yours,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Larry W. Martin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Director, Regulatory Matters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:rsidR="006702FE" w:rsidRDefault="006702FE" w:rsidP="00AF1D28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Enclosures   </w:t>
      </w:r>
    </w:p>
    <w:sectPr w:rsidR="006702FE" w:rsidSect="00AF1D28">
      <w:endnotePr>
        <w:numFmt w:val="decimal"/>
      </w:endnotePr>
      <w:pgSz w:w="12240" w:h="15840"/>
      <w:pgMar w:top="245" w:right="1152" w:bottom="245" w:left="1296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151CB0"/>
    <w:rsid w:val="00166C99"/>
    <w:rsid w:val="001C6648"/>
    <w:rsid w:val="001E44D9"/>
    <w:rsid w:val="002122CB"/>
    <w:rsid w:val="002C2A25"/>
    <w:rsid w:val="002F2C8B"/>
    <w:rsid w:val="00303176"/>
    <w:rsid w:val="00313E85"/>
    <w:rsid w:val="0031721E"/>
    <w:rsid w:val="0032537D"/>
    <w:rsid w:val="00357E61"/>
    <w:rsid w:val="003713A3"/>
    <w:rsid w:val="003E2514"/>
    <w:rsid w:val="003F20E0"/>
    <w:rsid w:val="004321CA"/>
    <w:rsid w:val="00436CED"/>
    <w:rsid w:val="00472D09"/>
    <w:rsid w:val="004857C1"/>
    <w:rsid w:val="00487255"/>
    <w:rsid w:val="004B34BB"/>
    <w:rsid w:val="004C404D"/>
    <w:rsid w:val="004F3BCE"/>
    <w:rsid w:val="005123EA"/>
    <w:rsid w:val="0052200E"/>
    <w:rsid w:val="00626592"/>
    <w:rsid w:val="006702FE"/>
    <w:rsid w:val="007903FD"/>
    <w:rsid w:val="00870BB7"/>
    <w:rsid w:val="009138B8"/>
    <w:rsid w:val="00915704"/>
    <w:rsid w:val="00A80F8E"/>
    <w:rsid w:val="00A9371C"/>
    <w:rsid w:val="00AB259B"/>
    <w:rsid w:val="00AB6CA3"/>
    <w:rsid w:val="00AF1D28"/>
    <w:rsid w:val="00B36278"/>
    <w:rsid w:val="00B930D6"/>
    <w:rsid w:val="00BA2B71"/>
    <w:rsid w:val="00C03E64"/>
    <w:rsid w:val="00C21258"/>
    <w:rsid w:val="00D40596"/>
    <w:rsid w:val="00D87E83"/>
    <w:rsid w:val="00D9025B"/>
    <w:rsid w:val="00E7257E"/>
    <w:rsid w:val="00EF48EE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3A2F-2CA4-4513-83A1-8484FB0E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4</cp:revision>
  <cp:lastPrinted>2017-05-30T19:56:00Z</cp:lastPrinted>
  <dcterms:created xsi:type="dcterms:W3CDTF">2019-05-15T11:46:00Z</dcterms:created>
  <dcterms:modified xsi:type="dcterms:W3CDTF">2019-05-21T11:47:00Z</dcterms:modified>
</cp:coreProperties>
</file>