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A40F78" w14:paraId="0B74B160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F78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A40F78" w14:paraId="16C566A7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A40F78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A40F78" w14:paraId="2DFFBFA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730" w:type="dxa"/>
        <w:tblLook w:val="01E0"/>
      </w:tblPr>
      <w:tblGrid>
        <w:gridCol w:w="4230"/>
        <w:gridCol w:w="630"/>
        <w:gridCol w:w="3870"/>
      </w:tblGrid>
      <w:tr w14:paraId="3A64049A" w14:textId="77777777" w:rsidTr="00751B9C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907667" w:rsidRPr="00A40F78" w:rsidP="006710D8" w14:paraId="476933BA" w14:textId="759F3E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d/b/a “AES Ohio” to Update its Transmission Cost Recovery Rider – Non-Bypassable</w:t>
            </w:r>
          </w:p>
        </w:tc>
        <w:tc>
          <w:tcPr>
            <w:tcW w:w="630" w:type="dxa"/>
            <w:shd w:val="clear" w:color="auto" w:fill="auto"/>
          </w:tcPr>
          <w:p w:rsidR="00907667" w:rsidRPr="00A40F78" w:rsidP="006710D8" w14:paraId="29F2454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667" w:rsidRPr="00A40F78" w:rsidP="006710D8" w14:paraId="4E58A56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667" w:rsidRPr="00A40F78" w:rsidP="006710D8" w14:paraId="39CE873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667" w:rsidRPr="00A40F78" w:rsidP="006710D8" w14:paraId="4325E2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667" w:rsidRPr="00A40F78" w:rsidP="006710D8" w14:paraId="6C43AF21" w14:textId="496C779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907667" w:rsidRPr="00A40F78" w:rsidP="006710D8" w14:paraId="7BA26C8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67" w:rsidRPr="00A40F78" w:rsidP="006710D8" w14:paraId="00DAF724" w14:textId="715F193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Case No. 2</w:t>
            </w:r>
            <w:r w:rsidR="009D0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9D0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F78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907667" w:rsidRPr="00A40F78" w:rsidP="006710D8" w14:paraId="6B47BE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A40F78" w14:paraId="2A114DB5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A40F78" w14:paraId="74DED059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23316" w:rsidRPr="00A40F78" w14:paraId="22EBDDFF" w14:textId="77777777">
      <w:pPr>
        <w:jc w:val="center"/>
        <w:rPr>
          <w:b/>
          <w:bCs/>
          <w:szCs w:val="24"/>
        </w:rPr>
      </w:pPr>
      <w:r w:rsidRPr="00A40F78">
        <w:rPr>
          <w:b/>
          <w:bCs/>
          <w:szCs w:val="24"/>
        </w:rPr>
        <w:t>CONSUMER PROTECTION COMMENTS</w:t>
      </w:r>
    </w:p>
    <w:p w:rsidR="00A044B5" w:rsidRPr="00A40F78" w14:paraId="4DB03642" w14:textId="77777777">
      <w:pPr>
        <w:jc w:val="center"/>
        <w:rPr>
          <w:b/>
          <w:bCs/>
          <w:szCs w:val="24"/>
        </w:rPr>
      </w:pPr>
      <w:r w:rsidRPr="00A40F78">
        <w:rPr>
          <w:b/>
          <w:bCs/>
          <w:szCs w:val="24"/>
        </w:rPr>
        <w:t>BY</w:t>
      </w:r>
    </w:p>
    <w:p w:rsidR="00A044B5" w:rsidRPr="00A40F78" w14:paraId="7C1E6BC6" w14:textId="77777777">
      <w:pPr>
        <w:jc w:val="center"/>
        <w:rPr>
          <w:b/>
          <w:bCs/>
          <w:szCs w:val="24"/>
        </w:rPr>
      </w:pPr>
      <w:r w:rsidRPr="00A40F78">
        <w:rPr>
          <w:b/>
          <w:bCs/>
          <w:szCs w:val="24"/>
        </w:rPr>
        <w:t>OFFICE OF THE OHIO CONSUMERS’ COUNSEL</w:t>
      </w:r>
    </w:p>
    <w:p w:rsidR="00A044B5" w:rsidRPr="00A40F78" w14:paraId="3619770D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A40F78" w14:paraId="09F90BC3" w14:textId="77777777">
      <w:pPr>
        <w:tabs>
          <w:tab w:val="left" w:pos="4320"/>
        </w:tabs>
        <w:rPr>
          <w:szCs w:val="24"/>
        </w:rPr>
      </w:pPr>
    </w:p>
    <w:p w:rsidR="00723316" w:rsidRPr="00A40F78" w:rsidP="008F52F1" w14:paraId="3244E9BE" w14:textId="77777777">
      <w:pPr>
        <w:pStyle w:val="Heading1"/>
        <w:rPr>
          <w:rFonts w:ascii="Times New Roman" w:hAnsi="Times New Roman"/>
        </w:rPr>
      </w:pPr>
      <w:bookmarkStart w:id="0" w:name="_Toc93504272"/>
      <w:r w:rsidRPr="00A40F78">
        <w:rPr>
          <w:rFonts w:ascii="Times New Roman" w:hAnsi="Times New Roman"/>
        </w:rPr>
        <w:t>INTRODUCTION</w:t>
      </w:r>
      <w:bookmarkEnd w:id="0"/>
      <w:r w:rsidRPr="00A40F78" w:rsidR="008F52F1">
        <w:rPr>
          <w:rFonts w:ascii="Times New Roman" w:hAnsi="Times New Roman"/>
        </w:rPr>
        <w:t xml:space="preserve"> </w:t>
      </w:r>
    </w:p>
    <w:p w:rsidR="00076129" w:rsidRPr="00A40F78" w:rsidP="008F52F1" w14:paraId="6DA63513" w14:textId="41BB5CFF">
      <w:pPr>
        <w:spacing w:line="480" w:lineRule="auto"/>
        <w:ind w:firstLine="720"/>
        <w:rPr>
          <w:szCs w:val="24"/>
        </w:rPr>
      </w:pPr>
      <w:r w:rsidRPr="00A40F78">
        <w:rPr>
          <w:szCs w:val="24"/>
        </w:rPr>
        <w:t>This case is about</w:t>
      </w:r>
      <w:r w:rsidR="006A53C2">
        <w:rPr>
          <w:szCs w:val="24"/>
        </w:rPr>
        <w:t xml:space="preserve"> the Dayton Power and Light Company d/b/a AES Ohio (“DP&amp;L”)</w:t>
      </w:r>
      <w:r w:rsidRPr="00A40F78">
        <w:rPr>
          <w:szCs w:val="24"/>
        </w:rPr>
        <w:t xml:space="preserve"> </w:t>
      </w:r>
      <w:r w:rsidRPr="00A40F78" w:rsidR="00715FD2">
        <w:rPr>
          <w:szCs w:val="24"/>
        </w:rPr>
        <w:t xml:space="preserve">updating the rates charged to consumers under </w:t>
      </w:r>
      <w:r w:rsidR="006A53C2">
        <w:rPr>
          <w:szCs w:val="24"/>
        </w:rPr>
        <w:t>it</w:t>
      </w:r>
      <w:r w:rsidR="0042741F">
        <w:rPr>
          <w:szCs w:val="24"/>
        </w:rPr>
        <w:t>s</w:t>
      </w:r>
      <w:r w:rsidR="006A53C2">
        <w:rPr>
          <w:szCs w:val="24"/>
        </w:rPr>
        <w:t xml:space="preserve"> Transmission Cost Recovery Rider – Non-Bypassable (“TCRR-N” or “</w:t>
      </w:r>
      <w:r w:rsidR="000E7DA0">
        <w:rPr>
          <w:szCs w:val="24"/>
        </w:rPr>
        <w:t>C</w:t>
      </w:r>
      <w:r w:rsidR="006A53C2">
        <w:rPr>
          <w:szCs w:val="24"/>
        </w:rPr>
        <w:t>harge”).</w:t>
      </w:r>
      <w:r w:rsidRPr="00A40F78">
        <w:rPr>
          <w:szCs w:val="24"/>
        </w:rPr>
        <w:t xml:space="preserve"> </w:t>
      </w:r>
      <w:r w:rsidR="006A53C2">
        <w:rPr>
          <w:szCs w:val="24"/>
        </w:rPr>
        <w:t>DP&amp;L</w:t>
      </w:r>
      <w:r w:rsidRPr="00A40F78" w:rsidR="00715FD2">
        <w:rPr>
          <w:szCs w:val="24"/>
        </w:rPr>
        <w:t xml:space="preserve"> seeks approval </w:t>
      </w:r>
      <w:r w:rsidR="0044569C">
        <w:rPr>
          <w:szCs w:val="24"/>
        </w:rPr>
        <w:t xml:space="preserve">to begin </w:t>
      </w:r>
      <w:r w:rsidRPr="00A40F78" w:rsidR="00715FD2">
        <w:rPr>
          <w:szCs w:val="24"/>
        </w:rPr>
        <w:t xml:space="preserve">charging </w:t>
      </w:r>
      <w:r w:rsidR="0044569C">
        <w:rPr>
          <w:szCs w:val="24"/>
        </w:rPr>
        <w:t>the updated rates to</w:t>
      </w:r>
      <w:r w:rsidRPr="00A40F78" w:rsidR="00277CA3">
        <w:rPr>
          <w:szCs w:val="24"/>
        </w:rPr>
        <w:t xml:space="preserve"> consumers</w:t>
      </w:r>
      <w:r w:rsidRPr="00A40F78" w:rsidR="00715FD2">
        <w:rPr>
          <w:szCs w:val="24"/>
        </w:rPr>
        <w:t xml:space="preserve"> beginni</w:t>
      </w:r>
      <w:r w:rsidR="005963CA">
        <w:rPr>
          <w:szCs w:val="24"/>
        </w:rPr>
        <w:t xml:space="preserve">ng </w:t>
      </w:r>
      <w:r w:rsidR="006A53C2">
        <w:rPr>
          <w:szCs w:val="24"/>
        </w:rPr>
        <w:t>June 1, 2022</w:t>
      </w:r>
      <w:r w:rsidR="005963CA">
        <w:rPr>
          <w:szCs w:val="24"/>
        </w:rPr>
        <w:t>.</w:t>
      </w:r>
    </w:p>
    <w:p w:rsidR="007029DE" w:rsidP="00277CA3" w14:paraId="4B56E253" w14:textId="366E9627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DP&amp;L’s </w:t>
      </w:r>
      <w:r w:rsidR="006A53C2">
        <w:rPr>
          <w:szCs w:val="24"/>
        </w:rPr>
        <w:t>TCRR-N</w:t>
      </w:r>
      <w:r w:rsidRPr="00A40F78" w:rsidR="000C55BD">
        <w:rPr>
          <w:szCs w:val="24"/>
        </w:rPr>
        <w:t xml:space="preserve"> </w:t>
      </w:r>
      <w:r w:rsidR="0042741F">
        <w:rPr>
          <w:szCs w:val="24"/>
        </w:rPr>
        <w:t xml:space="preserve">charges consumers for transmission-related costs </w:t>
      </w:r>
      <w:r w:rsidR="005228C2">
        <w:rPr>
          <w:szCs w:val="24"/>
        </w:rPr>
        <w:t xml:space="preserve">that </w:t>
      </w:r>
      <w:r>
        <w:rPr>
          <w:szCs w:val="24"/>
        </w:rPr>
        <w:t xml:space="preserve">are </w:t>
      </w:r>
      <w:r w:rsidR="0042741F">
        <w:rPr>
          <w:szCs w:val="24"/>
        </w:rPr>
        <w:t xml:space="preserve">charged to DP&amp;L </w:t>
      </w:r>
      <w:r w:rsidR="000E7DA0">
        <w:rPr>
          <w:szCs w:val="24"/>
        </w:rPr>
        <w:t xml:space="preserve">by </w:t>
      </w:r>
      <w:r w:rsidR="0042741F">
        <w:rPr>
          <w:szCs w:val="24"/>
        </w:rPr>
        <w:t>PJM Interconnection, LLC (“PJM”)</w:t>
      </w:r>
      <w:r w:rsidR="000E7DA0">
        <w:rPr>
          <w:szCs w:val="24"/>
        </w:rPr>
        <w:t xml:space="preserve"> </w:t>
      </w:r>
      <w:r>
        <w:rPr>
          <w:szCs w:val="24"/>
        </w:rPr>
        <w:t xml:space="preserve">through tariffs </w:t>
      </w:r>
      <w:r w:rsidR="000E7DA0">
        <w:rPr>
          <w:szCs w:val="24"/>
        </w:rPr>
        <w:t>filed at the Federal Energy Regulatory Commission (“FERC”)</w:t>
      </w:r>
      <w:r w:rsidR="0042741F">
        <w:rPr>
          <w:szCs w:val="24"/>
        </w:rPr>
        <w:t>. The TCRR-N is charged to</w:t>
      </w:r>
      <w:r w:rsidRPr="00A40F78" w:rsidR="000C55BD">
        <w:rPr>
          <w:szCs w:val="24"/>
        </w:rPr>
        <w:t xml:space="preserve"> </w:t>
      </w:r>
      <w:r w:rsidR="006B0E3E">
        <w:rPr>
          <w:szCs w:val="24"/>
        </w:rPr>
        <w:t xml:space="preserve">all </w:t>
      </w:r>
      <w:r w:rsidRPr="00A40F78" w:rsidR="000C55BD">
        <w:rPr>
          <w:szCs w:val="24"/>
        </w:rPr>
        <w:t xml:space="preserve">residential </w:t>
      </w:r>
      <w:r w:rsidRPr="00A40F78" w:rsidR="00566A5B">
        <w:rPr>
          <w:szCs w:val="24"/>
        </w:rPr>
        <w:t>consumers</w:t>
      </w:r>
      <w:r w:rsidRPr="00A40F78" w:rsidR="000C55BD">
        <w:rPr>
          <w:szCs w:val="24"/>
        </w:rPr>
        <w:t xml:space="preserve"> and </w:t>
      </w:r>
      <w:r w:rsidRPr="00A40F78" w:rsidR="000F5A87">
        <w:rPr>
          <w:szCs w:val="24"/>
        </w:rPr>
        <w:t>certain</w:t>
      </w:r>
      <w:r w:rsidRPr="00A40F78" w:rsidR="000C55BD">
        <w:rPr>
          <w:szCs w:val="24"/>
        </w:rPr>
        <w:t xml:space="preserve"> </w:t>
      </w:r>
      <w:r w:rsidRPr="00A40F78" w:rsidR="000F5A87">
        <w:rPr>
          <w:szCs w:val="24"/>
        </w:rPr>
        <w:t xml:space="preserve">commercial and </w:t>
      </w:r>
      <w:r w:rsidRPr="00A40F78" w:rsidR="000C55BD">
        <w:rPr>
          <w:szCs w:val="24"/>
        </w:rPr>
        <w:t>industrial consumers</w:t>
      </w:r>
      <w:r w:rsidRPr="00A40F78" w:rsidR="000F5A87">
        <w:rPr>
          <w:szCs w:val="24"/>
        </w:rPr>
        <w:t xml:space="preserve"> that do</w:t>
      </w:r>
      <w:r w:rsidRPr="00A40F78" w:rsidR="000C55BD">
        <w:rPr>
          <w:szCs w:val="24"/>
        </w:rPr>
        <w:t xml:space="preserve"> </w:t>
      </w:r>
      <w:r w:rsidRPr="00A40F78" w:rsidR="000F5A87">
        <w:rPr>
          <w:szCs w:val="24"/>
        </w:rPr>
        <w:t xml:space="preserve">not </w:t>
      </w:r>
      <w:r w:rsidRPr="00A40F78" w:rsidR="000C55BD">
        <w:rPr>
          <w:szCs w:val="24"/>
        </w:rPr>
        <w:t>opt out of the charge by participating in a pilot program</w:t>
      </w:r>
      <w:r>
        <w:rPr>
          <w:szCs w:val="24"/>
        </w:rPr>
        <w:t xml:space="preserve"> enabling the opt-out</w:t>
      </w:r>
      <w:r w:rsidRPr="00A40F78" w:rsidR="000C55BD">
        <w:rPr>
          <w:szCs w:val="24"/>
        </w:rPr>
        <w:t>.</w:t>
      </w:r>
      <w:r w:rsidR="00A40F78">
        <w:rPr>
          <w:szCs w:val="24"/>
        </w:rPr>
        <w:t xml:space="preserve"> </w:t>
      </w:r>
      <w:r w:rsidR="006B0E3E">
        <w:rPr>
          <w:szCs w:val="24"/>
        </w:rPr>
        <w:t>Residential consumers cannot opt out.</w:t>
      </w:r>
      <w:r w:rsidR="009A2F34">
        <w:rPr>
          <w:szCs w:val="24"/>
        </w:rPr>
        <w:t xml:space="preserve"> </w:t>
      </w:r>
    </w:p>
    <w:p w:rsidR="009A2F34" w:rsidP="00277CA3" w14:paraId="787C2FB9" w14:textId="77777777">
      <w:pPr>
        <w:spacing w:line="480" w:lineRule="auto"/>
        <w:ind w:firstLine="720"/>
        <w:rPr>
          <w:szCs w:val="24"/>
        </w:rPr>
        <w:sectPr w:rsidSect="006D6B07">
          <w:footerReference w:type="default" r:id="rId6"/>
          <w:footerReference w:type="first" r:id="rId7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26"/>
        </w:sectPr>
      </w:pPr>
      <w:r>
        <w:rPr>
          <w:szCs w:val="24"/>
        </w:rPr>
        <w:t>DP&amp;L’s TCRR-N opt-out</w:t>
      </w:r>
      <w:r w:rsidRPr="00A40F78" w:rsidR="008F52F1">
        <w:rPr>
          <w:szCs w:val="24"/>
        </w:rPr>
        <w:t xml:space="preserve"> pilot program was</w:t>
      </w:r>
      <w:r w:rsidR="00843DC0">
        <w:rPr>
          <w:szCs w:val="24"/>
        </w:rPr>
        <w:t xml:space="preserve"> initially</w:t>
      </w:r>
      <w:r w:rsidRPr="00A40F78" w:rsidR="008F52F1">
        <w:rPr>
          <w:szCs w:val="24"/>
        </w:rPr>
        <w:t xml:space="preserve"> approved </w:t>
      </w:r>
      <w:r w:rsidR="00843DC0">
        <w:rPr>
          <w:szCs w:val="24"/>
        </w:rPr>
        <w:t xml:space="preserve">in the </w:t>
      </w:r>
      <w:r w:rsidR="000E7DA0">
        <w:rPr>
          <w:szCs w:val="24"/>
        </w:rPr>
        <w:t>Public Utilities Commission of Ohio’s (“</w:t>
      </w:r>
      <w:r w:rsidR="00843DC0">
        <w:rPr>
          <w:szCs w:val="24"/>
        </w:rPr>
        <w:t>PUCO</w:t>
      </w:r>
      <w:r w:rsidR="000E7DA0">
        <w:rPr>
          <w:szCs w:val="24"/>
        </w:rPr>
        <w:t>”)</w:t>
      </w:r>
      <w:r w:rsidR="00843DC0">
        <w:rPr>
          <w:szCs w:val="24"/>
        </w:rPr>
        <w:t xml:space="preserve"> October 20, 2017 Opinion and Order in </w:t>
      </w:r>
      <w:r w:rsidRPr="00A40F78" w:rsidR="008F52F1">
        <w:rPr>
          <w:szCs w:val="24"/>
        </w:rPr>
        <w:t>Case No. 1</w:t>
      </w:r>
      <w:r w:rsidR="00843DC0">
        <w:rPr>
          <w:szCs w:val="24"/>
        </w:rPr>
        <w:t>6-395-EL-SSO</w:t>
      </w:r>
      <w:r w:rsidRPr="00A40F78" w:rsidR="008F52F1">
        <w:rPr>
          <w:szCs w:val="24"/>
        </w:rPr>
        <w:t>.</w:t>
      </w:r>
      <w:r w:rsidRPr="00A40F78" w:rsidR="000C55BD">
        <w:rPr>
          <w:szCs w:val="24"/>
        </w:rPr>
        <w:t xml:space="preserve"> </w:t>
      </w:r>
      <w:r w:rsidR="00843DC0">
        <w:rPr>
          <w:szCs w:val="24"/>
        </w:rPr>
        <w:t>Under the pilot program</w:t>
      </w:r>
      <w:r>
        <w:rPr>
          <w:szCs w:val="24"/>
        </w:rPr>
        <w:t>, certain non-residential consumers can opt out of paying for transmission charges under the TCRR-N and instead pay transmission charges directly to their supplier.</w:t>
      </w:r>
      <w:r w:rsidR="00A0626D">
        <w:rPr>
          <w:szCs w:val="24"/>
        </w:rPr>
        <w:t xml:space="preserve"> </w:t>
      </w:r>
    </w:p>
    <w:p w:rsidR="00F44B6C" w:rsidP="00F44B6C" w14:paraId="60DF7977" w14:textId="35605714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This </w:t>
      </w:r>
      <w:r>
        <w:rPr>
          <w:szCs w:val="24"/>
        </w:rPr>
        <w:t xml:space="preserve">program </w:t>
      </w:r>
      <w:r w:rsidR="006B0E3E">
        <w:rPr>
          <w:szCs w:val="24"/>
        </w:rPr>
        <w:t xml:space="preserve">can </w:t>
      </w:r>
      <w:r>
        <w:rPr>
          <w:szCs w:val="24"/>
        </w:rPr>
        <w:t>result</w:t>
      </w:r>
      <w:r>
        <w:rPr>
          <w:szCs w:val="24"/>
        </w:rPr>
        <w:t xml:space="preserve"> </w:t>
      </w:r>
      <w:r>
        <w:rPr>
          <w:szCs w:val="24"/>
        </w:rPr>
        <w:t>in cost</w:t>
      </w:r>
      <w:r>
        <w:rPr>
          <w:szCs w:val="24"/>
        </w:rPr>
        <w:t>-</w:t>
      </w:r>
      <w:r>
        <w:rPr>
          <w:szCs w:val="24"/>
        </w:rPr>
        <w:t>shifting</w:t>
      </w:r>
      <w:r>
        <w:rPr>
          <w:szCs w:val="24"/>
        </w:rPr>
        <w:t xml:space="preserve"> (meaning higher </w:t>
      </w:r>
      <w:r w:rsidR="006B0E3E">
        <w:rPr>
          <w:szCs w:val="24"/>
        </w:rPr>
        <w:t>rates</w:t>
      </w:r>
      <w:r>
        <w:rPr>
          <w:szCs w:val="24"/>
        </w:rPr>
        <w:t>)</w:t>
      </w:r>
      <w:r w:rsidR="006B0E3E">
        <w:rPr>
          <w:szCs w:val="24"/>
        </w:rPr>
        <w:t xml:space="preserve"> to residential consumers and </w:t>
      </w:r>
      <w:r>
        <w:rPr>
          <w:szCs w:val="24"/>
        </w:rPr>
        <w:t>business</w:t>
      </w:r>
      <w:r w:rsidR="006B0E3E">
        <w:rPr>
          <w:szCs w:val="24"/>
        </w:rPr>
        <w:t xml:space="preserve"> consumers that are not part of the pilot program</w:t>
      </w:r>
      <w:r>
        <w:rPr>
          <w:szCs w:val="24"/>
        </w:rPr>
        <w:t xml:space="preserve">. </w:t>
      </w:r>
      <w:r w:rsidRPr="00A40F78" w:rsidR="005E602E">
        <w:rPr>
          <w:szCs w:val="24"/>
        </w:rPr>
        <w:t xml:space="preserve">The </w:t>
      </w:r>
      <w:r>
        <w:rPr>
          <w:szCs w:val="24"/>
        </w:rPr>
        <w:t>PUCO should conduct a</w:t>
      </w:r>
      <w:r w:rsidRPr="00A40F78" w:rsidR="005E602E">
        <w:rPr>
          <w:szCs w:val="24"/>
        </w:rPr>
        <w:t xml:space="preserve"> comprehensive review and analysis of the cost</w:t>
      </w:r>
      <w:r>
        <w:rPr>
          <w:szCs w:val="24"/>
        </w:rPr>
        <w:t>-</w:t>
      </w:r>
      <w:r w:rsidRPr="00A40F78" w:rsidR="005E602E">
        <w:rPr>
          <w:szCs w:val="24"/>
        </w:rPr>
        <w:t xml:space="preserve">shifting </w:t>
      </w:r>
      <w:r>
        <w:rPr>
          <w:szCs w:val="24"/>
        </w:rPr>
        <w:t xml:space="preserve">to residential and business </w:t>
      </w:r>
      <w:r w:rsidRPr="00A40F78" w:rsidR="005E602E">
        <w:rPr>
          <w:szCs w:val="24"/>
        </w:rPr>
        <w:t>consumer</w:t>
      </w:r>
      <w:r>
        <w:rPr>
          <w:szCs w:val="24"/>
        </w:rPr>
        <w:t>s</w:t>
      </w:r>
      <w:r w:rsidRPr="00A40F78" w:rsidR="005E602E">
        <w:rPr>
          <w:szCs w:val="24"/>
        </w:rPr>
        <w:t xml:space="preserve"> </w:t>
      </w:r>
      <w:r>
        <w:rPr>
          <w:szCs w:val="24"/>
        </w:rPr>
        <w:t xml:space="preserve">as a result of </w:t>
      </w:r>
      <w:r w:rsidR="006B0E3E">
        <w:rPr>
          <w:szCs w:val="24"/>
        </w:rPr>
        <w:t xml:space="preserve">DP&amp;L’s </w:t>
      </w:r>
      <w:r>
        <w:rPr>
          <w:szCs w:val="24"/>
        </w:rPr>
        <w:t>pilot program</w:t>
      </w:r>
      <w:r w:rsidRPr="00A40F78" w:rsidR="005E602E">
        <w:rPr>
          <w:szCs w:val="24"/>
        </w:rPr>
        <w:t xml:space="preserve">. </w:t>
      </w:r>
      <w:r w:rsidR="006B0E3E">
        <w:rPr>
          <w:szCs w:val="24"/>
        </w:rPr>
        <w:t>Such an analysis has been ordered</w:t>
      </w:r>
      <w:r>
        <w:rPr>
          <w:szCs w:val="24"/>
        </w:rPr>
        <w:t xml:space="preserve"> for consumer protection</w:t>
      </w:r>
      <w:r w:rsidR="006B0E3E">
        <w:rPr>
          <w:szCs w:val="24"/>
        </w:rPr>
        <w:t xml:space="preserve"> </w:t>
      </w:r>
      <w:r>
        <w:rPr>
          <w:szCs w:val="24"/>
        </w:rPr>
        <w:t>regarding</w:t>
      </w:r>
      <w:r w:rsidR="006B0E3E">
        <w:rPr>
          <w:szCs w:val="24"/>
        </w:rPr>
        <w:t xml:space="preserve"> FirstEnergy’s similar pilot program.</w:t>
      </w:r>
      <w:r>
        <w:rPr>
          <w:rStyle w:val="FootnoteReference"/>
          <w:szCs w:val="24"/>
        </w:rPr>
        <w:footnoteReference w:id="2"/>
      </w:r>
      <w:r w:rsidR="006B0E3E">
        <w:rPr>
          <w:szCs w:val="24"/>
        </w:rPr>
        <w:t xml:space="preserve"> </w:t>
      </w:r>
    </w:p>
    <w:p w:rsidR="00E04F5D" w:rsidRPr="00A40F78" w:rsidP="000D4B59" w14:paraId="22630793" w14:textId="28B60AEE">
      <w:pPr>
        <w:spacing w:line="480" w:lineRule="auto"/>
        <w:ind w:firstLine="720"/>
        <w:rPr>
          <w:szCs w:val="24"/>
        </w:rPr>
      </w:pPr>
      <w:r w:rsidRPr="00A40F78">
        <w:rPr>
          <w:szCs w:val="24"/>
        </w:rPr>
        <w:t xml:space="preserve">To </w:t>
      </w:r>
      <w:r w:rsidRPr="00A40F78" w:rsidR="002832D7">
        <w:rPr>
          <w:szCs w:val="24"/>
        </w:rPr>
        <w:t xml:space="preserve">protect consumers from overpaying for </w:t>
      </w:r>
      <w:r w:rsidR="001550F8">
        <w:rPr>
          <w:szCs w:val="24"/>
        </w:rPr>
        <w:t>non-market</w:t>
      </w:r>
      <w:r w:rsidR="007029DE">
        <w:rPr>
          <w:szCs w:val="24"/>
        </w:rPr>
        <w:t>-</w:t>
      </w:r>
      <w:r w:rsidR="001550F8">
        <w:rPr>
          <w:szCs w:val="24"/>
        </w:rPr>
        <w:t xml:space="preserve">based transmission </w:t>
      </w:r>
      <w:r w:rsidRPr="00A40F78" w:rsidR="002832D7">
        <w:rPr>
          <w:szCs w:val="24"/>
        </w:rPr>
        <w:t xml:space="preserve">charges, the PUCO should require its Staff to </w:t>
      </w:r>
      <w:r w:rsidRPr="00A40F78">
        <w:rPr>
          <w:szCs w:val="24"/>
        </w:rPr>
        <w:t xml:space="preserve">conduct a comprehensive </w:t>
      </w:r>
      <w:r w:rsidRPr="00A40F78" w:rsidR="002832D7">
        <w:rPr>
          <w:szCs w:val="24"/>
        </w:rPr>
        <w:t>review</w:t>
      </w:r>
      <w:r w:rsidR="00F44B6C">
        <w:rPr>
          <w:szCs w:val="24"/>
        </w:rPr>
        <w:t xml:space="preserve"> of</w:t>
      </w:r>
      <w:r w:rsidRPr="00A40F78" w:rsidR="002832D7">
        <w:rPr>
          <w:szCs w:val="24"/>
        </w:rPr>
        <w:t xml:space="preserve"> the pilot program</w:t>
      </w:r>
      <w:r w:rsidR="00F44B6C">
        <w:rPr>
          <w:szCs w:val="24"/>
        </w:rPr>
        <w:t xml:space="preserve">. The PUCO Staff should then publicly file a </w:t>
      </w:r>
      <w:r w:rsidRPr="00A40F78" w:rsidR="002832D7">
        <w:rPr>
          <w:szCs w:val="24"/>
        </w:rPr>
        <w:t>report to the PUCO</w:t>
      </w:r>
      <w:r w:rsidR="00F44B6C">
        <w:rPr>
          <w:szCs w:val="24"/>
        </w:rPr>
        <w:t xml:space="preserve"> on</w:t>
      </w:r>
      <w:r w:rsidRPr="00A40F78" w:rsidR="002832D7">
        <w:rPr>
          <w:szCs w:val="24"/>
        </w:rPr>
        <w:t xml:space="preserve"> the extent </w:t>
      </w:r>
      <w:r w:rsidR="00F44B6C">
        <w:rPr>
          <w:szCs w:val="24"/>
        </w:rPr>
        <w:t>of</w:t>
      </w:r>
      <w:r w:rsidRPr="00A40F78" w:rsidR="002832D7">
        <w:rPr>
          <w:szCs w:val="24"/>
        </w:rPr>
        <w:t xml:space="preserve"> “cost</w:t>
      </w:r>
      <w:r w:rsidRPr="00A40F78">
        <w:rPr>
          <w:szCs w:val="24"/>
        </w:rPr>
        <w:t xml:space="preserve"> </w:t>
      </w:r>
      <w:r w:rsidRPr="00A40F78" w:rsidR="002832D7">
        <w:rPr>
          <w:szCs w:val="24"/>
        </w:rPr>
        <w:t xml:space="preserve">shifting” </w:t>
      </w:r>
      <w:r w:rsidR="00F44B6C">
        <w:rPr>
          <w:szCs w:val="24"/>
        </w:rPr>
        <w:t xml:space="preserve">and higher charges </w:t>
      </w:r>
      <w:r w:rsidRPr="00A40F78" w:rsidR="002832D7">
        <w:rPr>
          <w:szCs w:val="24"/>
        </w:rPr>
        <w:t xml:space="preserve">to </w:t>
      </w:r>
      <w:r w:rsidRPr="00A40F78" w:rsidR="000F5A87">
        <w:rPr>
          <w:szCs w:val="24"/>
        </w:rPr>
        <w:t>residential consumers</w:t>
      </w:r>
      <w:r w:rsidR="00F44B6C">
        <w:rPr>
          <w:szCs w:val="24"/>
        </w:rPr>
        <w:t xml:space="preserve"> and business consumers</w:t>
      </w:r>
      <w:r w:rsidRPr="00A40F78" w:rsidR="002832D7">
        <w:rPr>
          <w:szCs w:val="24"/>
        </w:rPr>
        <w:t xml:space="preserve"> </w:t>
      </w:r>
      <w:r w:rsidR="00F44B6C">
        <w:rPr>
          <w:szCs w:val="24"/>
        </w:rPr>
        <w:t>that have</w:t>
      </w:r>
      <w:r w:rsidRPr="00A40F78" w:rsidR="002832D7">
        <w:rPr>
          <w:szCs w:val="24"/>
        </w:rPr>
        <w:t xml:space="preserve"> resulted from the </w:t>
      </w:r>
      <w:r w:rsidR="000E7DA0">
        <w:rPr>
          <w:szCs w:val="24"/>
        </w:rPr>
        <w:t xml:space="preserve">opt-out </w:t>
      </w:r>
      <w:r w:rsidRPr="00A40F78" w:rsidR="002832D7">
        <w:rPr>
          <w:szCs w:val="24"/>
        </w:rPr>
        <w:t>pilot program</w:t>
      </w:r>
      <w:r w:rsidRPr="00A40F78" w:rsidR="00C620F8">
        <w:rPr>
          <w:szCs w:val="24"/>
        </w:rPr>
        <w:t xml:space="preserve"> </w:t>
      </w:r>
      <w:r w:rsidR="00A0626D">
        <w:rPr>
          <w:szCs w:val="24"/>
        </w:rPr>
        <w:t xml:space="preserve">since its inception. </w:t>
      </w:r>
      <w:r w:rsidR="00F44B6C">
        <w:rPr>
          <w:szCs w:val="24"/>
        </w:rPr>
        <w:t xml:space="preserve">The PUCO should then conduct a public process with opportunities for advocacy including </w:t>
      </w:r>
      <w:r w:rsidR="000D63B9">
        <w:rPr>
          <w:szCs w:val="24"/>
        </w:rPr>
        <w:t>on behalf of</w:t>
      </w:r>
      <w:r w:rsidR="00F44B6C">
        <w:rPr>
          <w:szCs w:val="24"/>
        </w:rPr>
        <w:t xml:space="preserve"> residential consumer</w:t>
      </w:r>
      <w:r w:rsidR="000D63B9">
        <w:rPr>
          <w:szCs w:val="24"/>
        </w:rPr>
        <w:t>s</w:t>
      </w:r>
      <w:r w:rsidR="00F44B6C">
        <w:rPr>
          <w:szCs w:val="24"/>
        </w:rPr>
        <w:t xml:space="preserve">. </w:t>
      </w:r>
    </w:p>
    <w:p w:rsidR="005D54EE" w:rsidRPr="00A40F78" w:rsidP="00A0626D" w14:paraId="376C4AAB" w14:textId="28E4B81C">
      <w:pPr>
        <w:spacing w:line="480" w:lineRule="auto"/>
        <w:rPr>
          <w:szCs w:val="24"/>
        </w:rPr>
      </w:pPr>
      <w:r>
        <w:rPr>
          <w:szCs w:val="24"/>
        </w:rPr>
        <w:tab/>
        <w:t>In addition, the PUCO should examine the extent to which DP&amp;L charges consumers for supplemental transmission projects through the TCRR-N.</w:t>
      </w:r>
      <w:r w:rsidRPr="00A40F78" w:rsidR="00E50C66">
        <w:rPr>
          <w:szCs w:val="24"/>
        </w:rPr>
        <w:t xml:space="preserve"> </w:t>
      </w:r>
      <w:r w:rsidR="000D63B9">
        <w:rPr>
          <w:szCs w:val="24"/>
        </w:rPr>
        <w:t>That means dollar amounts for supplemental transmission projects should be identified and the projects should be described.</w:t>
      </w:r>
    </w:p>
    <w:p w:rsidR="00066DD2" w:rsidRPr="00A40F78" w:rsidP="00066DD2" w14:paraId="3D110594" w14:textId="77777777">
      <w:pPr>
        <w:ind w:firstLine="720"/>
        <w:rPr>
          <w:szCs w:val="24"/>
        </w:rPr>
      </w:pPr>
    </w:p>
    <w:p w:rsidR="00962A18" w:rsidP="00962A18" w14:paraId="70A984F8" w14:textId="6938DFB4">
      <w:pPr>
        <w:pStyle w:val="Heading1"/>
        <w:rPr>
          <w:rFonts w:ascii="Times New Roman" w:hAnsi="Times New Roman"/>
        </w:rPr>
      </w:pPr>
      <w:bookmarkStart w:id="1" w:name="_Toc93504274"/>
      <w:r w:rsidRPr="00A40F78">
        <w:rPr>
          <w:rFonts w:ascii="Times New Roman" w:hAnsi="Times New Roman"/>
        </w:rPr>
        <w:t>COMMENTS</w:t>
      </w:r>
      <w:bookmarkEnd w:id="1"/>
    </w:p>
    <w:p w:rsidR="00B67956" w:rsidRPr="00B67956" w:rsidP="00B67956" w14:paraId="45EAFB2B" w14:textId="2CABD2E8">
      <w:pPr>
        <w:spacing w:line="480" w:lineRule="auto"/>
        <w:ind w:firstLine="720"/>
      </w:pPr>
      <w:r>
        <w:t xml:space="preserve">Consumers will see a reduction in the TCRR-N </w:t>
      </w:r>
      <w:r w:rsidR="000E7DA0">
        <w:t xml:space="preserve">charges </w:t>
      </w:r>
      <w:r>
        <w:t>this year.</w:t>
      </w:r>
      <w:r w:rsidR="00CF6325">
        <w:t xml:space="preserve"> </w:t>
      </w:r>
      <w:r>
        <w:t xml:space="preserve">This is not due to any actions by DP&amp;L other than reconciling </w:t>
      </w:r>
      <w:r w:rsidR="000E7DA0">
        <w:t xml:space="preserve">the </w:t>
      </w:r>
      <w:r>
        <w:t>overcharg</w:t>
      </w:r>
      <w:r w:rsidR="001550F8">
        <w:t>es to</w:t>
      </w:r>
      <w:r>
        <w:t xml:space="preserve"> consumers in previous years.</w:t>
      </w:r>
      <w:r w:rsidR="003A28E4">
        <w:t xml:space="preserve"> Although there is a decrease</w:t>
      </w:r>
      <w:r w:rsidR="000E7DA0">
        <w:t xml:space="preserve"> in rates</w:t>
      </w:r>
      <w:r w:rsidR="001550F8">
        <w:t>,</w:t>
      </w:r>
      <w:r w:rsidR="003A28E4">
        <w:t xml:space="preserve"> PJM</w:t>
      </w:r>
      <w:r w:rsidR="005F7585">
        <w:t>-</w:t>
      </w:r>
      <w:r w:rsidR="003A28E4">
        <w:t xml:space="preserve">related costs </w:t>
      </w:r>
      <w:r w:rsidR="0075516A">
        <w:t xml:space="preserve">(the basis for the TCRR-N charges) </w:t>
      </w:r>
      <w:r w:rsidR="003A28E4">
        <w:t>have been increasing for consumers over the last three years.</w:t>
      </w:r>
      <w:r w:rsidR="00CF6325">
        <w:t xml:space="preserve"> </w:t>
      </w:r>
      <w:r w:rsidR="003A28E4">
        <w:t>In 2019</w:t>
      </w:r>
      <w:r w:rsidR="001550F8">
        <w:t>,</w:t>
      </w:r>
      <w:r w:rsidR="003A28E4">
        <w:t xml:space="preserve"> the TCRR-N costs before reconciliations were $46.8 million</w:t>
      </w:r>
      <w:r>
        <w:rPr>
          <w:rStyle w:val="FootnoteReference"/>
        </w:rPr>
        <w:footnoteReference w:id="3"/>
      </w:r>
      <w:r w:rsidR="003A28E4">
        <w:t xml:space="preserve"> </w:t>
      </w:r>
      <w:r w:rsidR="001550F8">
        <w:t xml:space="preserve">and </w:t>
      </w:r>
      <w:r w:rsidR="003A28E4">
        <w:t>in 2022 they are $71.8 million</w:t>
      </w:r>
      <w:r w:rsidR="001550F8">
        <w:t>,</w:t>
      </w:r>
      <w:r>
        <w:rPr>
          <w:rStyle w:val="FootnoteReference"/>
        </w:rPr>
        <w:footnoteReference w:id="4"/>
      </w:r>
      <w:r w:rsidR="003A28E4">
        <w:t xml:space="preserve"> an increase of 53.4%. </w:t>
      </w:r>
      <w:r w:rsidR="004524EF">
        <w:t xml:space="preserve">The PUCO needs to protect consumers by finding ways to control these </w:t>
      </w:r>
      <w:r w:rsidR="0075516A">
        <w:t xml:space="preserve">transmission </w:t>
      </w:r>
      <w:r w:rsidR="004524EF">
        <w:t>costs that are rising at an alarming rate.</w:t>
      </w:r>
      <w:r w:rsidR="009A2F34">
        <w:t xml:space="preserve"> </w:t>
      </w:r>
      <w:r>
        <w:t xml:space="preserve"> </w:t>
      </w:r>
    </w:p>
    <w:p w:rsidR="00962A18" w:rsidRPr="00325D28" w:rsidP="00751B9C" w14:paraId="49621B9A" w14:textId="074D7427">
      <w:pPr>
        <w:pStyle w:val="ListParagraph"/>
        <w:numPr>
          <w:ilvl w:val="1"/>
          <w:numId w:val="7"/>
        </w:numPr>
        <w:spacing w:after="240"/>
        <w:ind w:left="1440" w:hanging="720"/>
        <w:contextualSpacing w:val="0"/>
        <w:rPr>
          <w:b/>
          <w:bCs/>
        </w:rPr>
      </w:pPr>
      <w:r>
        <w:rPr>
          <w:b/>
          <w:bCs/>
        </w:rPr>
        <w:t>T</w:t>
      </w:r>
      <w:r w:rsidR="007029DE">
        <w:rPr>
          <w:b/>
          <w:bCs/>
        </w:rPr>
        <w:t>o protect consumers, t</w:t>
      </w:r>
      <w:r>
        <w:rPr>
          <w:b/>
          <w:bCs/>
        </w:rPr>
        <w:t xml:space="preserve">he </w:t>
      </w:r>
      <w:r w:rsidRPr="00325D28" w:rsidR="00360356">
        <w:rPr>
          <w:b/>
          <w:bCs/>
        </w:rPr>
        <w:t xml:space="preserve">PUCO Staff </w:t>
      </w:r>
      <w:r w:rsidR="00C52CCE">
        <w:rPr>
          <w:b/>
          <w:bCs/>
        </w:rPr>
        <w:t>s</w:t>
      </w:r>
      <w:r w:rsidRPr="00325D28" w:rsidR="00360356">
        <w:rPr>
          <w:b/>
          <w:bCs/>
        </w:rPr>
        <w:t xml:space="preserve">hould </w:t>
      </w:r>
      <w:r w:rsidR="00C52CCE">
        <w:rPr>
          <w:b/>
          <w:bCs/>
        </w:rPr>
        <w:t>c</w:t>
      </w:r>
      <w:r w:rsidRPr="00325D28" w:rsidR="00360356">
        <w:rPr>
          <w:b/>
          <w:bCs/>
        </w:rPr>
        <w:t xml:space="preserve">onduct </w:t>
      </w:r>
      <w:r w:rsidR="003841EC">
        <w:rPr>
          <w:b/>
          <w:bCs/>
        </w:rPr>
        <w:t xml:space="preserve">a </w:t>
      </w:r>
      <w:r w:rsidR="00C52CCE">
        <w:rPr>
          <w:b/>
          <w:bCs/>
        </w:rPr>
        <w:t>r</w:t>
      </w:r>
      <w:r w:rsidR="003841EC">
        <w:rPr>
          <w:b/>
          <w:bCs/>
        </w:rPr>
        <w:t>eview</w:t>
      </w:r>
      <w:r w:rsidRPr="00325D28" w:rsidR="00360356">
        <w:rPr>
          <w:b/>
          <w:bCs/>
        </w:rPr>
        <w:t xml:space="preserve"> of the TCRR-N </w:t>
      </w:r>
      <w:r w:rsidR="0075516A">
        <w:rPr>
          <w:b/>
          <w:bCs/>
        </w:rPr>
        <w:t xml:space="preserve">Opt-Out </w:t>
      </w:r>
      <w:r w:rsidRPr="00325D28" w:rsidR="00360356">
        <w:rPr>
          <w:b/>
          <w:bCs/>
        </w:rPr>
        <w:t>Pilot Program</w:t>
      </w:r>
      <w:r w:rsidR="007029DE">
        <w:rPr>
          <w:b/>
          <w:bCs/>
        </w:rPr>
        <w:t xml:space="preserve"> to quantify the cost-shifting that is occurring</w:t>
      </w:r>
      <w:r w:rsidRPr="00325D28" w:rsidR="00360356">
        <w:rPr>
          <w:b/>
          <w:bCs/>
        </w:rPr>
        <w:t>.</w:t>
      </w:r>
    </w:p>
    <w:p w:rsidR="00360356" w:rsidP="00360356" w14:paraId="1C2D8BF5" w14:textId="26598F3B">
      <w:pPr>
        <w:spacing w:line="480" w:lineRule="auto"/>
        <w:ind w:firstLine="720"/>
      </w:pPr>
      <w:r>
        <w:t xml:space="preserve">In PUCO Case </w:t>
      </w:r>
      <w:r w:rsidR="001550F8">
        <w:t xml:space="preserve">No. </w:t>
      </w:r>
      <w:r>
        <w:t>16-395-EL-SSO</w:t>
      </w:r>
      <w:r w:rsidR="001550F8">
        <w:t>,</w:t>
      </w:r>
      <w:r>
        <w:t xml:space="preserve"> the PUCO approved the TCRR-N Pilot Program that allowed certain customers to opt out of the TCRR-N and obtain all transmission and ancillary services through a Certified Retail Electric Service</w:t>
      </w:r>
      <w:r w:rsidR="009A2F34">
        <w:t xml:space="preserve"> </w:t>
      </w:r>
      <w:r>
        <w:t>provider</w:t>
      </w:r>
      <w:r w:rsidR="00C52CCE">
        <w:t xml:space="preserve"> (“Marketer”)</w:t>
      </w:r>
      <w:r>
        <w:t>.</w:t>
      </w:r>
      <w:r>
        <w:rPr>
          <w:rStyle w:val="FootnoteReference"/>
        </w:rPr>
        <w:footnoteReference w:id="5"/>
      </w:r>
      <w:r w:rsidR="00B94605">
        <w:t xml:space="preserve"> During th</w:t>
      </w:r>
      <w:r w:rsidR="0075516A">
        <w:t>at</w:t>
      </w:r>
      <w:r w:rsidR="00B94605">
        <w:t xml:space="preserve"> proceeding</w:t>
      </w:r>
      <w:r w:rsidR="001550F8">
        <w:t>,</w:t>
      </w:r>
      <w:r w:rsidR="00B94605">
        <w:t xml:space="preserve"> OCC </w:t>
      </w:r>
      <w:r w:rsidR="001550F8">
        <w:t>raised co</w:t>
      </w:r>
      <w:r w:rsidR="00B94605">
        <w:t xml:space="preserve">ncerns </w:t>
      </w:r>
      <w:r w:rsidR="007029DE">
        <w:t>with the</w:t>
      </w:r>
      <w:r w:rsidR="00B94605">
        <w:t xml:space="preserve"> shifting of </w:t>
      </w:r>
      <w:r w:rsidR="001550F8">
        <w:t>costs</w:t>
      </w:r>
      <w:r w:rsidR="00B94605">
        <w:t xml:space="preserve"> from those </w:t>
      </w:r>
      <w:r w:rsidR="0075516A">
        <w:t>participants of the pilot program (</w:t>
      </w:r>
      <w:r w:rsidR="00B94605">
        <w:t xml:space="preserve">that opt-out </w:t>
      </w:r>
      <w:r w:rsidR="00C52CCE">
        <w:t xml:space="preserve">of </w:t>
      </w:r>
      <w:r w:rsidR="0075516A">
        <w:t xml:space="preserve">the TCRR-N) </w:t>
      </w:r>
      <w:r w:rsidR="00B94605">
        <w:t xml:space="preserve">to those </w:t>
      </w:r>
      <w:r w:rsidR="0075516A">
        <w:t xml:space="preserve">non-participants </w:t>
      </w:r>
      <w:r w:rsidR="00B94605">
        <w:t xml:space="preserve">that </w:t>
      </w:r>
      <w:r w:rsidR="0075516A">
        <w:t>continue receiving transmission services from DP&amp;</w:t>
      </w:r>
      <w:r w:rsidR="000D4B59">
        <w:t>L</w:t>
      </w:r>
      <w:r w:rsidR="007029DE">
        <w:t>. This is</w:t>
      </w:r>
      <w:r w:rsidR="00B94605">
        <w:t xml:space="preserve"> especially </w:t>
      </w:r>
      <w:r w:rsidR="007029DE">
        <w:t xml:space="preserve">concerning for </w:t>
      </w:r>
      <w:r w:rsidR="00B94605">
        <w:t xml:space="preserve">residential consumers </w:t>
      </w:r>
      <w:r w:rsidR="001550F8">
        <w:t>who are</w:t>
      </w:r>
      <w:r w:rsidR="00B94605">
        <w:t xml:space="preserve"> </w:t>
      </w:r>
      <w:r w:rsidR="001550F8">
        <w:t>un</w:t>
      </w:r>
      <w:r w:rsidR="00B94605">
        <w:t>able to opt-out. The PUCO recognized this and ordered “DP&amp;L and Staff to continuously review the actual results of the pilot program and periodically report their findings to the Commission.”</w:t>
      </w:r>
      <w:r>
        <w:rPr>
          <w:rStyle w:val="FootnoteReference"/>
        </w:rPr>
        <w:footnoteReference w:id="6"/>
      </w:r>
      <w:r w:rsidR="00B94605">
        <w:t xml:space="preserve"> </w:t>
      </w:r>
      <w:r w:rsidR="007029DE">
        <w:t xml:space="preserve">The </w:t>
      </w:r>
      <w:r w:rsidR="00B94605">
        <w:t>PUCO Staff has filed Staff Review</w:t>
      </w:r>
      <w:r w:rsidR="00DB0794">
        <w:t>s</w:t>
      </w:r>
      <w:r w:rsidR="00B94605">
        <w:t xml:space="preserve"> and Recommendations in the annual TCRR-N</w:t>
      </w:r>
      <w:r w:rsidR="007029DE">
        <w:t xml:space="preserve"> cases</w:t>
      </w:r>
      <w:r w:rsidR="00325D28">
        <w:t>.</w:t>
      </w:r>
      <w:r>
        <w:rPr>
          <w:rStyle w:val="FootnoteReference"/>
        </w:rPr>
        <w:footnoteReference w:id="7"/>
      </w:r>
      <w:r w:rsidR="00325D28">
        <w:t xml:space="preserve"> </w:t>
      </w:r>
      <w:r w:rsidR="007029DE">
        <w:t>But, t</w:t>
      </w:r>
      <w:r w:rsidR="00325D28">
        <w:t xml:space="preserve">hese reports contain little more than a description of the </w:t>
      </w:r>
      <w:r w:rsidR="00F85B07">
        <w:t>p</w:t>
      </w:r>
      <w:r w:rsidR="00325D28">
        <w:t xml:space="preserve">ilot </w:t>
      </w:r>
      <w:r w:rsidR="00F85B07">
        <w:t>p</w:t>
      </w:r>
      <w:r w:rsidR="00325D28">
        <w:t xml:space="preserve">rogram and the number of customers that are in the </w:t>
      </w:r>
      <w:r w:rsidR="0075516A">
        <w:t xml:space="preserve">pilot </w:t>
      </w:r>
      <w:r w:rsidR="00325D28">
        <w:t xml:space="preserve">program. According to the most recent report there is only one customer that is enrolled in the </w:t>
      </w:r>
      <w:r w:rsidR="00F85B07">
        <w:t>p</w:t>
      </w:r>
      <w:r w:rsidR="00325D28">
        <w:t xml:space="preserve">ilot </w:t>
      </w:r>
      <w:r w:rsidR="00F85B07">
        <w:t>p</w:t>
      </w:r>
      <w:r w:rsidR="00325D28">
        <w:t>rogram.</w:t>
      </w:r>
      <w:r>
        <w:rPr>
          <w:rStyle w:val="FootnoteReference"/>
        </w:rPr>
        <w:footnoteReference w:id="8"/>
      </w:r>
      <w:r w:rsidR="00CF6325">
        <w:t xml:space="preserve"> </w:t>
      </w:r>
    </w:p>
    <w:p w:rsidR="00325D28" w:rsidP="00360356" w14:paraId="7CCFCD42" w14:textId="136582A9">
      <w:pPr>
        <w:spacing w:line="480" w:lineRule="auto"/>
        <w:ind w:firstLine="720"/>
      </w:pPr>
      <w:r>
        <w:t xml:space="preserve">The PUCO Staff has already agreed to a review of a similar pilot program in </w:t>
      </w:r>
      <w:r w:rsidR="005735EA">
        <w:t xml:space="preserve">FirstEnergy Ohio </w:t>
      </w:r>
      <w:r w:rsidR="00DB0794">
        <w:t>utilities’</w:t>
      </w:r>
      <w:r w:rsidR="005735EA">
        <w:t xml:space="preserve"> transmission rider.</w:t>
      </w:r>
      <w:r>
        <w:rPr>
          <w:rStyle w:val="FootnoteReference"/>
        </w:rPr>
        <w:footnoteReference w:id="9"/>
      </w:r>
      <w:r w:rsidR="005735EA">
        <w:t xml:space="preserve"> And a request for proposal has been issued to hire a consultant to review that program.</w:t>
      </w:r>
      <w:r>
        <w:rPr>
          <w:rStyle w:val="FootnoteReference"/>
        </w:rPr>
        <w:footnoteReference w:id="10"/>
      </w:r>
      <w:r>
        <w:t xml:space="preserve"> </w:t>
      </w:r>
      <w:r w:rsidR="005735EA">
        <w:t xml:space="preserve">OCC understands given the size of the DP&amp;L program that an </w:t>
      </w:r>
      <w:r w:rsidR="0075516A">
        <w:t xml:space="preserve">outside </w:t>
      </w:r>
      <w:r w:rsidR="005735EA">
        <w:t xml:space="preserve">auditor </w:t>
      </w:r>
      <w:r w:rsidR="0075516A">
        <w:t xml:space="preserve">may </w:t>
      </w:r>
      <w:r w:rsidR="005735EA">
        <w:t xml:space="preserve">not be necessary. But that does not mean that </w:t>
      </w:r>
      <w:r w:rsidR="00DB0794">
        <w:t xml:space="preserve">DP&amp;L’s program </w:t>
      </w:r>
      <w:r w:rsidR="005735EA">
        <w:t>should</w:t>
      </w:r>
      <w:r w:rsidR="00DB0794">
        <w:t xml:space="preserve"> not</w:t>
      </w:r>
      <w:r w:rsidR="005735EA">
        <w:t xml:space="preserve"> be continuously reviewed by Staff and DP&amp;L. </w:t>
      </w:r>
      <w:r w:rsidR="004518BA">
        <w:t>Consumers deserve to know if th</w:t>
      </w:r>
      <w:r w:rsidR="0075516A">
        <w:t xml:space="preserve">is opt-out pilot </w:t>
      </w:r>
      <w:r w:rsidR="004518BA">
        <w:t>program</w:t>
      </w:r>
      <w:r w:rsidR="0075516A">
        <w:t xml:space="preserve"> of DP&amp;L</w:t>
      </w:r>
      <w:r w:rsidR="004518BA">
        <w:t xml:space="preserve"> </w:t>
      </w:r>
      <w:r w:rsidR="003F4132">
        <w:t>is</w:t>
      </w:r>
      <w:r w:rsidR="0048024D">
        <w:t xml:space="preserve"> causing increased rates to consumers that cannot participate in the program, including all residential consumers and certain non-residential consumers.</w:t>
      </w:r>
      <w:r w:rsidR="009A2F34">
        <w:t xml:space="preserve"> </w:t>
      </w:r>
    </w:p>
    <w:p w:rsidR="007F630D" w:rsidP="00360356" w14:paraId="481A6E48" w14:textId="0423D20D">
      <w:pPr>
        <w:spacing w:line="480" w:lineRule="auto"/>
        <w:ind w:firstLine="720"/>
      </w:pPr>
      <w:r>
        <w:t>Because</w:t>
      </w:r>
      <w:r w:rsidR="004518BA">
        <w:t xml:space="preserve"> there is only one </w:t>
      </w:r>
      <w:r w:rsidR="003F4132">
        <w:t xml:space="preserve">consumer </w:t>
      </w:r>
      <w:r w:rsidR="004518BA">
        <w:t>that has opted into the pilot program</w:t>
      </w:r>
      <w:r w:rsidR="00DB0794">
        <w:t>,</w:t>
      </w:r>
      <w:r w:rsidR="004518BA">
        <w:t xml:space="preserve"> the first consideration </w:t>
      </w:r>
      <w:r w:rsidR="00DB0794">
        <w:t xml:space="preserve">should be </w:t>
      </w:r>
      <w:r>
        <w:t>whether</w:t>
      </w:r>
      <w:r w:rsidR="004518BA">
        <w:t xml:space="preserve"> th</w:t>
      </w:r>
      <w:r>
        <w:t>e</w:t>
      </w:r>
      <w:r w:rsidR="004518BA">
        <w:t xml:space="preserve"> program is providing any benefits to consumers. Supporters of the </w:t>
      </w:r>
      <w:r>
        <w:t>p</w:t>
      </w:r>
      <w:r w:rsidR="004518BA">
        <w:t xml:space="preserve">ilot </w:t>
      </w:r>
      <w:r>
        <w:t>p</w:t>
      </w:r>
      <w:r w:rsidR="004518BA">
        <w:t xml:space="preserve">rogram stated </w:t>
      </w:r>
      <w:r w:rsidR="00EF6143">
        <w:t>it would reduce costs to</w:t>
      </w:r>
      <w:r w:rsidR="003F4132">
        <w:t xml:space="preserve"> consumers</w:t>
      </w:r>
      <w:r w:rsidR="00EF6143">
        <w:t>.</w:t>
      </w:r>
      <w:r>
        <w:rPr>
          <w:rStyle w:val="FootnoteReference"/>
        </w:rPr>
        <w:footnoteReference w:id="11"/>
      </w:r>
      <w:r w:rsidR="00EF6143">
        <w:t xml:space="preserve"> This should be much easier to review with only one </w:t>
      </w:r>
      <w:r w:rsidR="003F4132">
        <w:t>consumer</w:t>
      </w:r>
      <w:r w:rsidR="00EF6143">
        <w:t xml:space="preserve"> in the program. </w:t>
      </w:r>
      <w:r>
        <w:t>The PUCO should also</w:t>
      </w:r>
      <w:r w:rsidR="00EF6143">
        <w:t xml:space="preserve"> </w:t>
      </w:r>
      <w:r>
        <w:t>consider whether</w:t>
      </w:r>
      <w:r w:rsidR="00EF6143">
        <w:t xml:space="preserve"> the program provid</w:t>
      </w:r>
      <w:r>
        <w:t>es</w:t>
      </w:r>
      <w:r w:rsidR="00EF6143">
        <w:t xml:space="preserve"> </w:t>
      </w:r>
      <w:r w:rsidR="0075516A">
        <w:t xml:space="preserve">sufficient and reliable </w:t>
      </w:r>
      <w:r w:rsidR="00EF6143">
        <w:t xml:space="preserve">data </w:t>
      </w:r>
      <w:r>
        <w:t>demonstrating</w:t>
      </w:r>
      <w:r w:rsidR="00EF6143">
        <w:t xml:space="preserve"> benefits to non-participating consumers and</w:t>
      </w:r>
      <w:r>
        <w:t xml:space="preserve"> whether the program</w:t>
      </w:r>
      <w:r w:rsidR="00EF6143">
        <w:t xml:space="preserve"> should continue. </w:t>
      </w:r>
    </w:p>
    <w:p w:rsidR="004518BA" w:rsidP="00360356" w14:paraId="6A1923C4" w14:textId="7E4635E0">
      <w:pPr>
        <w:spacing w:line="480" w:lineRule="auto"/>
        <w:ind w:firstLine="720"/>
      </w:pPr>
      <w:r>
        <w:t xml:space="preserve">In the Order approving the </w:t>
      </w:r>
      <w:r w:rsidR="005C0BFB">
        <w:t>p</w:t>
      </w:r>
      <w:r>
        <w:t xml:space="preserve">ilot </w:t>
      </w:r>
      <w:r w:rsidR="005C0BFB">
        <w:t>p</w:t>
      </w:r>
      <w:r>
        <w:t>rogram</w:t>
      </w:r>
      <w:r w:rsidR="005C0BFB">
        <w:t>,</w:t>
      </w:r>
      <w:r>
        <w:t xml:space="preserve"> the PUCO questioned if the program should be terminated and replaced.</w:t>
      </w:r>
      <w:r>
        <w:rPr>
          <w:rStyle w:val="FootnoteReference"/>
        </w:rPr>
        <w:footnoteReference w:id="12"/>
      </w:r>
      <w:r>
        <w:t xml:space="preserve"> A pilot program is meant to provide information to see if a larger program c</w:t>
      </w:r>
      <w:r w:rsidR="00811995">
        <w:t>an</w:t>
      </w:r>
      <w:r>
        <w:t xml:space="preserve"> work. </w:t>
      </w:r>
      <w:r w:rsidR="00C739B3">
        <w:t xml:space="preserve">If </w:t>
      </w:r>
      <w:r w:rsidR="00811995">
        <w:t>the program does not</w:t>
      </w:r>
      <w:r w:rsidR="00C739B3">
        <w:t xml:space="preserve"> benefit the system</w:t>
      </w:r>
      <w:r w:rsidR="00811995">
        <w:t>,</w:t>
      </w:r>
      <w:r w:rsidR="00C739B3">
        <w:t xml:space="preserve"> then consumers will not see the saving</w:t>
      </w:r>
      <w:r w:rsidR="00811995">
        <w:t>s</w:t>
      </w:r>
      <w:r w:rsidR="00C739B3">
        <w:t xml:space="preserve"> the program</w:t>
      </w:r>
      <w:r w:rsidR="00811995">
        <w:t xml:space="preserve">’s </w:t>
      </w:r>
      <w:r w:rsidR="00C739B3">
        <w:t xml:space="preserve">proponents touted. </w:t>
      </w:r>
      <w:r w:rsidR="003841EC">
        <w:t>If only one customer participate</w:t>
      </w:r>
      <w:r w:rsidR="00811995">
        <w:t>s,</w:t>
      </w:r>
      <w:r w:rsidR="003841EC">
        <w:t xml:space="preserve"> the PUCO should </w:t>
      </w:r>
      <w:r w:rsidR="00811995">
        <w:t>consider whether</w:t>
      </w:r>
      <w:r w:rsidR="003841EC">
        <w:t xml:space="preserve"> the program is providing </w:t>
      </w:r>
      <w:r w:rsidR="00811995">
        <w:t>the</w:t>
      </w:r>
      <w:r w:rsidR="003841EC">
        <w:t xml:space="preserve"> system</w:t>
      </w:r>
      <w:r w:rsidR="00811995">
        <w:t>-</w:t>
      </w:r>
      <w:r w:rsidR="003841EC">
        <w:t xml:space="preserve">wide benefits or savings that were promised. </w:t>
      </w:r>
    </w:p>
    <w:p w:rsidR="003841EC" w:rsidP="00360356" w14:paraId="33CA3B46" w14:textId="52295B5A">
      <w:pPr>
        <w:spacing w:line="480" w:lineRule="auto"/>
        <w:ind w:firstLine="720"/>
      </w:pPr>
      <w:r>
        <w:t xml:space="preserve">The PUCO should require a full review and evaluation to determine if the </w:t>
      </w:r>
      <w:r w:rsidR="00811995">
        <w:t>p</w:t>
      </w:r>
      <w:r>
        <w:t xml:space="preserve">ilot </w:t>
      </w:r>
      <w:r w:rsidR="00811995">
        <w:t>p</w:t>
      </w:r>
      <w:r>
        <w:t xml:space="preserve">rogram is offering any benefits to consumers and if it should continue. </w:t>
      </w:r>
    </w:p>
    <w:p w:rsidR="003841EC" w:rsidP="00751B9C" w14:paraId="464A3F57" w14:textId="0EE1B4A1">
      <w:pPr>
        <w:pStyle w:val="ListParagraph"/>
        <w:numPr>
          <w:ilvl w:val="1"/>
          <w:numId w:val="7"/>
        </w:numPr>
        <w:ind w:left="1440" w:hanging="720"/>
        <w:rPr>
          <w:b/>
          <w:bCs/>
        </w:rPr>
      </w:pPr>
      <w:r w:rsidRPr="00BA25FB">
        <w:rPr>
          <w:b/>
          <w:bCs/>
        </w:rPr>
        <w:t>T</w:t>
      </w:r>
      <w:r w:rsidR="007F630D">
        <w:rPr>
          <w:b/>
          <w:bCs/>
        </w:rPr>
        <w:t>o protect consumers, t</w:t>
      </w:r>
      <w:r w:rsidRPr="00BA25FB">
        <w:rPr>
          <w:b/>
          <w:bCs/>
        </w:rPr>
        <w:t xml:space="preserve">he PUCO </w:t>
      </w:r>
      <w:r w:rsidR="00844976">
        <w:rPr>
          <w:b/>
          <w:bCs/>
        </w:rPr>
        <w:t>s</w:t>
      </w:r>
      <w:r w:rsidRPr="00BA25FB">
        <w:rPr>
          <w:b/>
          <w:bCs/>
        </w:rPr>
        <w:t xml:space="preserve">hould </w:t>
      </w:r>
      <w:r w:rsidR="00844976">
        <w:rPr>
          <w:b/>
          <w:bCs/>
        </w:rPr>
        <w:t>o</w:t>
      </w:r>
      <w:r w:rsidRPr="00BA25FB">
        <w:rPr>
          <w:b/>
          <w:bCs/>
        </w:rPr>
        <w:t xml:space="preserve">rder DP&amp;L to </w:t>
      </w:r>
      <w:r w:rsidR="00844976">
        <w:rPr>
          <w:b/>
          <w:bCs/>
        </w:rPr>
        <w:t>r</w:t>
      </w:r>
      <w:r w:rsidRPr="00BA25FB">
        <w:rPr>
          <w:b/>
          <w:bCs/>
        </w:rPr>
        <w:t xml:space="preserve">eport </w:t>
      </w:r>
      <w:r>
        <w:rPr>
          <w:b/>
          <w:bCs/>
        </w:rPr>
        <w:t>o</w:t>
      </w:r>
      <w:r w:rsidRPr="00BA25FB">
        <w:rPr>
          <w:b/>
          <w:bCs/>
        </w:rPr>
        <w:t xml:space="preserve">n </w:t>
      </w:r>
      <w:r w:rsidR="00844976">
        <w:rPr>
          <w:b/>
          <w:bCs/>
        </w:rPr>
        <w:t>s</w:t>
      </w:r>
      <w:r w:rsidRPr="00BA25FB">
        <w:rPr>
          <w:b/>
          <w:bCs/>
        </w:rPr>
        <w:t xml:space="preserve">upplemental </w:t>
      </w:r>
      <w:r w:rsidR="00844976">
        <w:rPr>
          <w:b/>
          <w:bCs/>
        </w:rPr>
        <w:t>t</w:t>
      </w:r>
      <w:r w:rsidRPr="00BA25FB">
        <w:rPr>
          <w:b/>
          <w:bCs/>
        </w:rPr>
        <w:t xml:space="preserve">ransmission </w:t>
      </w:r>
      <w:r w:rsidR="00844976">
        <w:rPr>
          <w:b/>
          <w:bCs/>
        </w:rPr>
        <w:t>p</w:t>
      </w:r>
      <w:r w:rsidRPr="00BA25FB">
        <w:rPr>
          <w:b/>
          <w:bCs/>
        </w:rPr>
        <w:t xml:space="preserve">rojects and </w:t>
      </w:r>
      <w:r w:rsidR="00844976">
        <w:rPr>
          <w:b/>
          <w:bCs/>
        </w:rPr>
        <w:t>t</w:t>
      </w:r>
      <w:r w:rsidRPr="00BA25FB">
        <w:rPr>
          <w:b/>
          <w:bCs/>
        </w:rPr>
        <w:t xml:space="preserve">he </w:t>
      </w:r>
      <w:r w:rsidR="00844976">
        <w:rPr>
          <w:b/>
          <w:bCs/>
        </w:rPr>
        <w:t>c</w:t>
      </w:r>
      <w:r w:rsidRPr="00BA25FB">
        <w:rPr>
          <w:b/>
          <w:bCs/>
        </w:rPr>
        <w:t xml:space="preserve">ost </w:t>
      </w:r>
      <w:r w:rsidR="00844976">
        <w:rPr>
          <w:b/>
          <w:bCs/>
        </w:rPr>
        <w:t>i</w:t>
      </w:r>
      <w:r w:rsidRPr="00BA25FB">
        <w:rPr>
          <w:b/>
          <w:bCs/>
        </w:rPr>
        <w:t xml:space="preserve">mpact to </w:t>
      </w:r>
      <w:r w:rsidR="00844976">
        <w:rPr>
          <w:b/>
          <w:bCs/>
        </w:rPr>
        <w:t>c</w:t>
      </w:r>
      <w:r w:rsidRPr="00BA25FB">
        <w:rPr>
          <w:b/>
          <w:bCs/>
        </w:rPr>
        <w:t xml:space="preserve">onsumers. </w:t>
      </w:r>
    </w:p>
    <w:p w:rsidR="00751B9C" w:rsidRPr="00BA25FB" w:rsidP="00751B9C" w14:paraId="4B849967" w14:textId="77777777">
      <w:pPr>
        <w:pStyle w:val="ListParagraph"/>
        <w:ind w:left="1440"/>
        <w:rPr>
          <w:b/>
          <w:bCs/>
        </w:rPr>
      </w:pPr>
    </w:p>
    <w:p w:rsidR="007F630D" w:rsidP="004524EF" w14:paraId="6A89B697" w14:textId="1776A54C">
      <w:pPr>
        <w:spacing w:line="480" w:lineRule="auto"/>
        <w:ind w:firstLine="720"/>
        <w:rPr>
          <w:szCs w:val="24"/>
        </w:rPr>
      </w:pPr>
      <w:r>
        <w:rPr>
          <w:szCs w:val="24"/>
        </w:rPr>
        <w:t>The number and costs of s</w:t>
      </w:r>
      <w:r w:rsidR="00BA25FB">
        <w:rPr>
          <w:szCs w:val="24"/>
        </w:rPr>
        <w:t>upplemental transmission projects in Ohio have skyrocketed in recent years. A report by the Ohio Power Siting Board showed over five billion dollars in supplemental projects charged to Ohio consumers.</w:t>
      </w:r>
      <w:r>
        <w:rPr>
          <w:rStyle w:val="FootnoteReference"/>
          <w:szCs w:val="24"/>
        </w:rPr>
        <w:footnoteReference w:id="13"/>
      </w:r>
      <w:r w:rsidR="00BA25FB">
        <w:rPr>
          <w:szCs w:val="24"/>
        </w:rPr>
        <w:t xml:space="preserve"> </w:t>
      </w:r>
      <w:r w:rsidR="008C4F11">
        <w:rPr>
          <w:szCs w:val="24"/>
        </w:rPr>
        <w:t>A search on PJM’s website lists the supplemental</w:t>
      </w:r>
      <w:r w:rsidR="00811995">
        <w:rPr>
          <w:szCs w:val="24"/>
        </w:rPr>
        <w:t xml:space="preserve"> transmission projects</w:t>
      </w:r>
      <w:r w:rsidR="008C4F11">
        <w:rPr>
          <w:szCs w:val="24"/>
        </w:rPr>
        <w:t xml:space="preserve"> for DP&amp;L’s transmission affiliate. The list shows 56 projects totaling almost $250 million.</w:t>
      </w:r>
      <w:r>
        <w:rPr>
          <w:rStyle w:val="FootnoteReference"/>
          <w:szCs w:val="24"/>
        </w:rPr>
        <w:footnoteReference w:id="14"/>
      </w:r>
      <w:r w:rsidR="008C4F11">
        <w:rPr>
          <w:szCs w:val="24"/>
        </w:rPr>
        <w:t xml:space="preserve"> </w:t>
      </w:r>
    </w:p>
    <w:p w:rsidR="00081520" w:rsidP="004524EF" w14:paraId="59E0641A" w14:textId="6B44A5C5">
      <w:pPr>
        <w:spacing w:line="480" w:lineRule="auto"/>
        <w:ind w:firstLine="720"/>
        <w:rPr>
          <w:szCs w:val="24"/>
        </w:rPr>
      </w:pPr>
      <w:r>
        <w:rPr>
          <w:szCs w:val="24"/>
        </w:rPr>
        <w:t>Supplemental project</w:t>
      </w:r>
      <w:r w:rsidR="00E14A4F">
        <w:rPr>
          <w:szCs w:val="24"/>
        </w:rPr>
        <w:t>s</w:t>
      </w:r>
      <w:r>
        <w:rPr>
          <w:szCs w:val="24"/>
        </w:rPr>
        <w:t xml:space="preserve"> at PJM are considered transmission enhancements or expansions that are not required for compliance with system reliability, operational performance or </w:t>
      </w:r>
      <w:r w:rsidR="00EE3B0D">
        <w:rPr>
          <w:szCs w:val="24"/>
        </w:rPr>
        <w:t>economic criteria.</w:t>
      </w:r>
      <w:r>
        <w:rPr>
          <w:rStyle w:val="FootnoteReference"/>
          <w:szCs w:val="24"/>
        </w:rPr>
        <w:footnoteReference w:id="15"/>
      </w:r>
      <w:r w:rsidR="00CF6325">
        <w:rPr>
          <w:szCs w:val="24"/>
        </w:rPr>
        <w:t xml:space="preserve"> </w:t>
      </w:r>
      <w:r w:rsidR="00EE3B0D">
        <w:rPr>
          <w:szCs w:val="24"/>
        </w:rPr>
        <w:t xml:space="preserve">These projects are not </w:t>
      </w:r>
      <w:r w:rsidR="007A544D">
        <w:rPr>
          <w:szCs w:val="24"/>
        </w:rPr>
        <w:t xml:space="preserve">reviewed or </w:t>
      </w:r>
      <w:r w:rsidR="00EE3B0D">
        <w:rPr>
          <w:szCs w:val="24"/>
        </w:rPr>
        <w:t xml:space="preserve">approved by the PJM Board nor are they </w:t>
      </w:r>
      <w:r w:rsidR="007A544D">
        <w:rPr>
          <w:szCs w:val="24"/>
        </w:rPr>
        <w:t xml:space="preserve">reviewed or </w:t>
      </w:r>
      <w:r w:rsidR="00EE3B0D">
        <w:rPr>
          <w:szCs w:val="24"/>
        </w:rPr>
        <w:t>approved by the FERC.</w:t>
      </w:r>
      <w:r w:rsidR="007F630D">
        <w:rPr>
          <w:szCs w:val="24"/>
        </w:rPr>
        <w:t xml:space="preserve"> The PUCO is also not reviewing.</w:t>
      </w:r>
      <w:r w:rsidR="00EE3B0D">
        <w:rPr>
          <w:szCs w:val="24"/>
        </w:rPr>
        <w:t xml:space="preserve"> These projects have found a regulatory loophole that is being exploited by Ohio transmission owners. This issue was brought before the Ohio Power Siting Board and that agency decided to pass on overseeing these projects.</w:t>
      </w:r>
      <w:r>
        <w:rPr>
          <w:rStyle w:val="FootnoteReference"/>
          <w:szCs w:val="24"/>
        </w:rPr>
        <w:footnoteReference w:id="16"/>
      </w:r>
      <w:r w:rsidR="00EE3B0D">
        <w:rPr>
          <w:szCs w:val="24"/>
        </w:rPr>
        <w:t xml:space="preserve"> Consumers should have some protection from</w:t>
      </w:r>
      <w:r w:rsidR="007F630D">
        <w:rPr>
          <w:szCs w:val="24"/>
        </w:rPr>
        <w:t xml:space="preserve"> paying skyrocketing transmission costs because of</w:t>
      </w:r>
      <w:r w:rsidR="00EE3B0D">
        <w:rPr>
          <w:szCs w:val="24"/>
        </w:rPr>
        <w:t xml:space="preserve"> this loophole in the regulatory process. </w:t>
      </w:r>
    </w:p>
    <w:p w:rsidR="004B24B2" w:rsidP="00BA25FB" w14:paraId="645E04A9" w14:textId="6EABACA3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DP&amp;L </w:t>
      </w:r>
      <w:r w:rsidR="00E14A4F">
        <w:rPr>
          <w:szCs w:val="24"/>
        </w:rPr>
        <w:t xml:space="preserve">may assert that it </w:t>
      </w:r>
      <w:r>
        <w:rPr>
          <w:szCs w:val="24"/>
        </w:rPr>
        <w:t xml:space="preserve">does not have control over the actions of its transmission affiliate and is merely passing through the costs of these supplemental projects. But </w:t>
      </w:r>
      <w:r w:rsidR="00E14A4F">
        <w:rPr>
          <w:szCs w:val="24"/>
        </w:rPr>
        <w:t>whe</w:t>
      </w:r>
      <w:r w:rsidR="005B650B">
        <w:rPr>
          <w:szCs w:val="24"/>
        </w:rPr>
        <w:t>n</w:t>
      </w:r>
      <w:r w:rsidR="00E14A4F">
        <w:rPr>
          <w:szCs w:val="24"/>
        </w:rPr>
        <w:t xml:space="preserve"> no agency</w:t>
      </w:r>
      <w:r w:rsidR="00EE3B0D">
        <w:rPr>
          <w:szCs w:val="24"/>
        </w:rPr>
        <w:t xml:space="preserve"> oversee</w:t>
      </w:r>
      <w:r w:rsidR="00E14A4F">
        <w:rPr>
          <w:szCs w:val="24"/>
        </w:rPr>
        <w:t>s</w:t>
      </w:r>
      <w:r w:rsidR="00EE3B0D">
        <w:rPr>
          <w:szCs w:val="24"/>
        </w:rPr>
        <w:t xml:space="preserve"> t</w:t>
      </w:r>
      <w:r w:rsidR="00E14A4F">
        <w:rPr>
          <w:szCs w:val="24"/>
        </w:rPr>
        <w:t>he</w:t>
      </w:r>
      <w:r w:rsidR="00EE3B0D">
        <w:rPr>
          <w:szCs w:val="24"/>
        </w:rPr>
        <w:t xml:space="preserve"> process</w:t>
      </w:r>
      <w:r w:rsidR="007A544D">
        <w:rPr>
          <w:szCs w:val="24"/>
        </w:rPr>
        <w:t xml:space="preserve"> of constructing supplemental transmission projects</w:t>
      </w:r>
      <w:r w:rsidR="00E14A4F">
        <w:rPr>
          <w:szCs w:val="24"/>
        </w:rPr>
        <w:t>,</w:t>
      </w:r>
      <w:r w:rsidR="00EE3B0D">
        <w:rPr>
          <w:szCs w:val="24"/>
        </w:rPr>
        <w:t xml:space="preserve"> the PUCO should require DP&amp;L to report the impact on consumers of all the supplemental transmission project</w:t>
      </w:r>
      <w:r w:rsidR="00B67956">
        <w:rPr>
          <w:szCs w:val="24"/>
        </w:rPr>
        <w:t xml:space="preserve"> costs</w:t>
      </w:r>
      <w:r>
        <w:rPr>
          <w:szCs w:val="24"/>
        </w:rPr>
        <w:t xml:space="preserve"> it is passing through on consumers’ bills.</w:t>
      </w:r>
      <w:r w:rsidR="00EE3B0D">
        <w:rPr>
          <w:szCs w:val="24"/>
        </w:rPr>
        <w:t xml:space="preserve"> This information will provide consumers information about </w:t>
      </w:r>
      <w:r w:rsidR="00051D81">
        <w:rPr>
          <w:szCs w:val="24"/>
        </w:rPr>
        <w:t>how much they are being charged for transmission projects that are not being reviewed for necessity or prudence</w:t>
      </w:r>
      <w:r w:rsidR="00EE3B0D">
        <w:rPr>
          <w:szCs w:val="24"/>
        </w:rPr>
        <w:t>.</w:t>
      </w:r>
      <w:r w:rsidR="00051D81">
        <w:rPr>
          <w:szCs w:val="24"/>
        </w:rPr>
        <w:t xml:space="preserve"> Although this will not </w:t>
      </w:r>
      <w:r w:rsidR="007A544D">
        <w:rPr>
          <w:szCs w:val="24"/>
        </w:rPr>
        <w:t xml:space="preserve">necessarily </w:t>
      </w:r>
      <w:r w:rsidR="00051D81">
        <w:rPr>
          <w:szCs w:val="24"/>
        </w:rPr>
        <w:t xml:space="preserve">close the regulatory loophole in Ohio law it will provide information to consumers to help them understand why their </w:t>
      </w:r>
      <w:r w:rsidR="005B650B">
        <w:rPr>
          <w:szCs w:val="24"/>
        </w:rPr>
        <w:t xml:space="preserve">transmission charges </w:t>
      </w:r>
      <w:r w:rsidR="00051D81">
        <w:rPr>
          <w:szCs w:val="24"/>
        </w:rPr>
        <w:t>continue to increase every year.</w:t>
      </w:r>
      <w:r w:rsidR="009A2F34">
        <w:rPr>
          <w:szCs w:val="24"/>
        </w:rPr>
        <w:t xml:space="preserve">  </w:t>
      </w:r>
    </w:p>
    <w:p w:rsidR="002E6932" w:rsidRPr="00A40F78" w:rsidP="002E6932" w14:paraId="504BFA10" w14:textId="77777777">
      <w:pPr>
        <w:ind w:firstLine="720"/>
        <w:rPr>
          <w:szCs w:val="24"/>
        </w:rPr>
      </w:pPr>
    </w:p>
    <w:p w:rsidR="00B8243C" w:rsidRPr="00A40F78" w:rsidP="008F52F1" w14:paraId="76078600" w14:textId="77777777">
      <w:pPr>
        <w:pStyle w:val="Heading1"/>
        <w:rPr>
          <w:rFonts w:ascii="Times New Roman" w:hAnsi="Times New Roman"/>
        </w:rPr>
      </w:pPr>
      <w:bookmarkStart w:id="2" w:name="_Toc93504276"/>
      <w:r w:rsidRPr="00A40F78">
        <w:rPr>
          <w:rFonts w:ascii="Times New Roman" w:hAnsi="Times New Roman"/>
        </w:rPr>
        <w:t>CONCLUSION</w:t>
      </w:r>
      <w:bookmarkEnd w:id="2"/>
    </w:p>
    <w:p w:rsidR="00727FEF" w:rsidP="00522A91" w14:paraId="10B0FC84" w14:textId="5C179079">
      <w:pPr>
        <w:spacing w:line="480" w:lineRule="auto"/>
        <w:ind w:firstLine="720"/>
        <w:rPr>
          <w:szCs w:val="24"/>
        </w:rPr>
      </w:pPr>
      <w:r>
        <w:rPr>
          <w:szCs w:val="24"/>
        </w:rPr>
        <w:t>Consumers</w:t>
      </w:r>
      <w:r w:rsidR="005B650B">
        <w:rPr>
          <w:szCs w:val="24"/>
        </w:rPr>
        <w:t>’</w:t>
      </w:r>
      <w:r>
        <w:rPr>
          <w:szCs w:val="24"/>
        </w:rPr>
        <w:t xml:space="preserve"> transmission costs have been increasing at an </w:t>
      </w:r>
      <w:r w:rsidR="007A544D">
        <w:rPr>
          <w:szCs w:val="24"/>
        </w:rPr>
        <w:t xml:space="preserve">alarming </w:t>
      </w:r>
      <w:r>
        <w:rPr>
          <w:szCs w:val="24"/>
        </w:rPr>
        <w:t xml:space="preserve">rate with little to no protections. </w:t>
      </w:r>
      <w:r w:rsidR="005B650B">
        <w:rPr>
          <w:szCs w:val="24"/>
        </w:rPr>
        <w:t>T</w:t>
      </w:r>
      <w:r w:rsidR="00957801">
        <w:rPr>
          <w:szCs w:val="24"/>
        </w:rPr>
        <w:t xml:space="preserve">hese increasing </w:t>
      </w:r>
      <w:r w:rsidR="005B650B">
        <w:rPr>
          <w:szCs w:val="24"/>
        </w:rPr>
        <w:t>charges to consumers</w:t>
      </w:r>
      <w:r w:rsidR="00957801">
        <w:rPr>
          <w:szCs w:val="24"/>
        </w:rPr>
        <w:t xml:space="preserve"> should</w:t>
      </w:r>
      <w:r w:rsidR="005B650B">
        <w:rPr>
          <w:szCs w:val="24"/>
        </w:rPr>
        <w:t xml:space="preserve"> not</w:t>
      </w:r>
      <w:r w:rsidR="00957801">
        <w:rPr>
          <w:szCs w:val="24"/>
        </w:rPr>
        <w:t xml:space="preserve"> be ignored. The PUCO </w:t>
      </w:r>
      <w:r w:rsidR="005B650B">
        <w:rPr>
          <w:szCs w:val="24"/>
        </w:rPr>
        <w:t>should</w:t>
      </w:r>
      <w:r w:rsidR="00C739B3">
        <w:rPr>
          <w:szCs w:val="24"/>
        </w:rPr>
        <w:t xml:space="preserve"> protect consumers from </w:t>
      </w:r>
      <w:r w:rsidR="005B650B">
        <w:rPr>
          <w:szCs w:val="24"/>
        </w:rPr>
        <w:t>costs of supplemental transmission projects that are largely</w:t>
      </w:r>
      <w:r w:rsidR="00C739B3">
        <w:rPr>
          <w:szCs w:val="24"/>
        </w:rPr>
        <w:t xml:space="preserve"> unregulated. </w:t>
      </w:r>
      <w:r w:rsidR="005B650B">
        <w:rPr>
          <w:szCs w:val="24"/>
        </w:rPr>
        <w:t xml:space="preserve">The </w:t>
      </w:r>
      <w:r w:rsidR="00C739B3">
        <w:rPr>
          <w:szCs w:val="24"/>
        </w:rPr>
        <w:t xml:space="preserve">PUCO </w:t>
      </w:r>
      <w:r w:rsidR="005B650B">
        <w:rPr>
          <w:szCs w:val="24"/>
        </w:rPr>
        <w:t>should also</w:t>
      </w:r>
      <w:r w:rsidR="00C739B3">
        <w:rPr>
          <w:szCs w:val="24"/>
        </w:rPr>
        <w:t xml:space="preserve"> require</w:t>
      </w:r>
      <w:r w:rsidR="005B650B">
        <w:rPr>
          <w:szCs w:val="24"/>
        </w:rPr>
        <w:t xml:space="preserve"> its</w:t>
      </w:r>
      <w:r w:rsidR="00C739B3">
        <w:rPr>
          <w:szCs w:val="24"/>
        </w:rPr>
        <w:t xml:space="preserve"> Staff to conduct a review of the </w:t>
      </w:r>
      <w:r w:rsidR="007A544D">
        <w:rPr>
          <w:szCs w:val="24"/>
        </w:rPr>
        <w:t xml:space="preserve">TCRR-N </w:t>
      </w:r>
      <w:r w:rsidR="000C67DE">
        <w:rPr>
          <w:szCs w:val="24"/>
        </w:rPr>
        <w:t>O</w:t>
      </w:r>
      <w:r w:rsidR="007A544D">
        <w:rPr>
          <w:szCs w:val="24"/>
        </w:rPr>
        <w:t>pt-</w:t>
      </w:r>
      <w:r w:rsidR="000C67DE">
        <w:rPr>
          <w:szCs w:val="24"/>
        </w:rPr>
        <w:t>O</w:t>
      </w:r>
      <w:r w:rsidR="007A544D">
        <w:rPr>
          <w:szCs w:val="24"/>
        </w:rPr>
        <w:t xml:space="preserve">ut </w:t>
      </w:r>
      <w:r w:rsidR="000C67DE">
        <w:rPr>
          <w:szCs w:val="24"/>
        </w:rPr>
        <w:t>P</w:t>
      </w:r>
      <w:r w:rsidR="00C739B3">
        <w:rPr>
          <w:szCs w:val="24"/>
        </w:rPr>
        <w:t xml:space="preserve">ilot </w:t>
      </w:r>
      <w:r w:rsidR="000C67DE">
        <w:rPr>
          <w:szCs w:val="24"/>
        </w:rPr>
        <w:t>P</w:t>
      </w:r>
      <w:r w:rsidR="00C739B3">
        <w:rPr>
          <w:szCs w:val="24"/>
        </w:rPr>
        <w:t>rogram</w:t>
      </w:r>
      <w:r w:rsidR="005B650B">
        <w:rPr>
          <w:szCs w:val="24"/>
        </w:rPr>
        <w:t xml:space="preserve">, </w:t>
      </w:r>
      <w:r w:rsidR="007F630D">
        <w:rPr>
          <w:szCs w:val="24"/>
        </w:rPr>
        <w:t>to quantify cost-shifting that is occurring</w:t>
      </w:r>
      <w:r w:rsidR="00C739B3">
        <w:rPr>
          <w:szCs w:val="24"/>
        </w:rPr>
        <w:t xml:space="preserve">. The </w:t>
      </w:r>
      <w:r w:rsidR="00BF08E4">
        <w:rPr>
          <w:szCs w:val="24"/>
        </w:rPr>
        <w:t>PUCO should review</w:t>
      </w:r>
      <w:r w:rsidR="00C739B3">
        <w:rPr>
          <w:szCs w:val="24"/>
        </w:rPr>
        <w:t xml:space="preserve"> cost</w:t>
      </w:r>
      <w:r w:rsidR="00BF08E4">
        <w:rPr>
          <w:szCs w:val="24"/>
        </w:rPr>
        <w:t>s</w:t>
      </w:r>
      <w:r w:rsidR="00C739B3">
        <w:rPr>
          <w:szCs w:val="24"/>
        </w:rPr>
        <w:t xml:space="preserve"> shift</w:t>
      </w:r>
      <w:r w:rsidR="00BF08E4">
        <w:rPr>
          <w:szCs w:val="24"/>
        </w:rPr>
        <w:t>ed</w:t>
      </w:r>
      <w:r w:rsidR="00C739B3">
        <w:rPr>
          <w:szCs w:val="24"/>
        </w:rPr>
        <w:t xml:space="preserve"> to non-participating consumers and</w:t>
      </w:r>
      <w:r w:rsidR="00BF08E4">
        <w:rPr>
          <w:szCs w:val="24"/>
        </w:rPr>
        <w:t xml:space="preserve"> </w:t>
      </w:r>
      <w:r w:rsidR="007F630D">
        <w:rPr>
          <w:szCs w:val="24"/>
        </w:rPr>
        <w:t xml:space="preserve">determine </w:t>
      </w:r>
      <w:r w:rsidR="00BF08E4">
        <w:rPr>
          <w:szCs w:val="24"/>
        </w:rPr>
        <w:t>whether</w:t>
      </w:r>
      <w:r w:rsidR="00C739B3">
        <w:rPr>
          <w:szCs w:val="24"/>
        </w:rPr>
        <w:t xml:space="preserve"> the program should be terminated. </w:t>
      </w:r>
    </w:p>
    <w:p w:rsidR="0055512A" w:rsidRPr="00A40F78" w:rsidP="0055512A" w14:paraId="1D8EDF0D" w14:textId="362DA8C9">
      <w:pPr>
        <w:pStyle w:val="BodyTextIndent3"/>
        <w:widowControl w:val="0"/>
        <w:ind w:left="3600" w:right="-672" w:firstLine="0"/>
        <w:rPr>
          <w:szCs w:val="24"/>
        </w:rPr>
      </w:pPr>
      <w:r w:rsidRPr="00A40F78">
        <w:rPr>
          <w:szCs w:val="24"/>
        </w:rPr>
        <w:t>Respectfully submitted,</w:t>
      </w:r>
    </w:p>
    <w:p w:rsidR="0055512A" w:rsidRPr="00A40F78" w:rsidP="0055512A" w14:paraId="0D0FA5C1" w14:textId="77777777">
      <w:pPr>
        <w:pStyle w:val="Footer"/>
        <w:tabs>
          <w:tab w:val="clear" w:pos="4320"/>
          <w:tab w:val="clear" w:pos="8640"/>
        </w:tabs>
        <w:spacing w:before="240"/>
        <w:ind w:firstLine="3600"/>
        <w:rPr>
          <w:sz w:val="24"/>
          <w:szCs w:val="24"/>
        </w:rPr>
      </w:pPr>
      <w:r w:rsidRPr="00A40F78">
        <w:rPr>
          <w:sz w:val="24"/>
          <w:szCs w:val="24"/>
        </w:rPr>
        <w:t>Bruce Weston (0016973)</w:t>
      </w:r>
    </w:p>
    <w:p w:rsidR="0055512A" w:rsidRPr="00A40F78" w:rsidP="0055512A" w14:paraId="2C56A126" w14:textId="77777777">
      <w:pPr>
        <w:tabs>
          <w:tab w:val="left" w:pos="4320"/>
        </w:tabs>
        <w:ind w:firstLine="3600"/>
        <w:rPr>
          <w:szCs w:val="24"/>
        </w:rPr>
      </w:pPr>
      <w:r w:rsidRPr="00A40F78">
        <w:rPr>
          <w:szCs w:val="24"/>
        </w:rPr>
        <w:t>Ohio Consumers’ Counsel</w:t>
      </w:r>
    </w:p>
    <w:p w:rsidR="0055512A" w:rsidRPr="00A40F78" w:rsidP="0055512A" w14:paraId="127105F3" w14:textId="77777777">
      <w:pPr>
        <w:tabs>
          <w:tab w:val="left" w:pos="4320"/>
        </w:tabs>
        <w:ind w:firstLine="3600"/>
        <w:rPr>
          <w:szCs w:val="24"/>
        </w:rPr>
      </w:pPr>
    </w:p>
    <w:p w:rsidR="00BF759D" w:rsidRPr="00A40F78" w:rsidP="00BF759D" w14:paraId="14FDF846" w14:textId="5F22DB56">
      <w:pPr>
        <w:ind w:left="3600"/>
        <w:rPr>
          <w:szCs w:val="24"/>
          <w:u w:val="single"/>
        </w:rPr>
      </w:pPr>
      <w:r w:rsidRPr="00A40F78">
        <w:rPr>
          <w:szCs w:val="24"/>
          <w:u w:val="single"/>
        </w:rPr>
        <w:t xml:space="preserve">/s/ </w:t>
      </w:r>
      <w:r w:rsidRPr="00A40F78">
        <w:rPr>
          <w:i/>
          <w:iCs/>
          <w:szCs w:val="24"/>
          <w:u w:val="single"/>
        </w:rPr>
        <w:t>Angela D. O’Brien</w:t>
      </w:r>
      <w:r w:rsidRPr="00A40F78" w:rsidR="00AA0F74">
        <w:rPr>
          <w:i/>
          <w:iCs/>
          <w:szCs w:val="24"/>
          <w:u w:val="single"/>
        </w:rPr>
        <w:tab/>
      </w:r>
      <w:r w:rsidRPr="00A40F78" w:rsidR="00AA0F74">
        <w:rPr>
          <w:i/>
          <w:iCs/>
          <w:szCs w:val="24"/>
          <w:u w:val="single"/>
        </w:rPr>
        <w:tab/>
      </w:r>
      <w:r w:rsidRPr="00A40F78">
        <w:rPr>
          <w:szCs w:val="24"/>
          <w:u w:val="single"/>
        </w:rPr>
        <w:t xml:space="preserve"> </w:t>
      </w:r>
    </w:p>
    <w:p w:rsidR="00BF759D" w:rsidRPr="00A40F78" w:rsidP="00BF759D" w14:paraId="6E2A435C" w14:textId="77777777">
      <w:pPr>
        <w:ind w:left="3600"/>
        <w:rPr>
          <w:szCs w:val="24"/>
        </w:rPr>
      </w:pPr>
      <w:r w:rsidRPr="00A40F78">
        <w:rPr>
          <w:szCs w:val="24"/>
        </w:rPr>
        <w:t xml:space="preserve">Angela D. O’Brien (0097579) </w:t>
      </w:r>
    </w:p>
    <w:p w:rsidR="00BF759D" w:rsidRPr="00A40F78" w:rsidP="00BF759D" w14:paraId="66670785" w14:textId="77777777">
      <w:pPr>
        <w:ind w:left="3600"/>
        <w:rPr>
          <w:szCs w:val="24"/>
        </w:rPr>
      </w:pPr>
      <w:r w:rsidRPr="00A40F78">
        <w:rPr>
          <w:szCs w:val="24"/>
        </w:rPr>
        <w:t xml:space="preserve">Counsel of Record </w:t>
      </w:r>
    </w:p>
    <w:p w:rsidR="00A709D1" w:rsidP="00BF759D" w14:paraId="6F691EC1" w14:textId="77777777">
      <w:pPr>
        <w:ind w:left="3600"/>
        <w:rPr>
          <w:szCs w:val="24"/>
        </w:rPr>
      </w:pPr>
      <w:r>
        <w:rPr>
          <w:szCs w:val="24"/>
        </w:rPr>
        <w:t xml:space="preserve">John Finnigan </w:t>
      </w:r>
      <w:r w:rsidRPr="006759E0">
        <w:rPr>
          <w:szCs w:val="24"/>
        </w:rPr>
        <w:t xml:space="preserve">(0018689) </w:t>
      </w:r>
    </w:p>
    <w:p w:rsidR="00BF759D" w:rsidRPr="00A40F78" w:rsidP="00BF759D" w14:paraId="091EB921" w14:textId="086D97E7">
      <w:pPr>
        <w:ind w:left="3600"/>
        <w:rPr>
          <w:szCs w:val="24"/>
        </w:rPr>
      </w:pPr>
      <w:r w:rsidRPr="00A40F78">
        <w:rPr>
          <w:szCs w:val="24"/>
        </w:rPr>
        <w:t xml:space="preserve">Assistant Consumers’ Counsel </w:t>
      </w:r>
    </w:p>
    <w:p w:rsidR="00BF759D" w:rsidRPr="00A40F78" w:rsidP="00BF759D" w14:paraId="7AB0EACC" w14:textId="77777777">
      <w:pPr>
        <w:ind w:left="3600"/>
        <w:rPr>
          <w:szCs w:val="24"/>
        </w:rPr>
      </w:pPr>
    </w:p>
    <w:p w:rsidR="00BF759D" w:rsidRPr="00A40F78" w:rsidP="00BF759D" w14:paraId="702C7CB5" w14:textId="77777777">
      <w:pPr>
        <w:ind w:left="3600"/>
        <w:rPr>
          <w:b/>
          <w:bCs/>
          <w:szCs w:val="24"/>
        </w:rPr>
      </w:pPr>
      <w:r w:rsidRPr="00A40F78">
        <w:rPr>
          <w:b/>
          <w:bCs/>
          <w:szCs w:val="24"/>
        </w:rPr>
        <w:t xml:space="preserve">Office of the Ohio Consumers’ Counsel </w:t>
      </w:r>
    </w:p>
    <w:p w:rsidR="00BF759D" w:rsidRPr="00A40F78" w:rsidP="00BF759D" w14:paraId="75B91B78" w14:textId="77777777">
      <w:pPr>
        <w:ind w:left="3600"/>
        <w:rPr>
          <w:szCs w:val="24"/>
        </w:rPr>
      </w:pPr>
      <w:r w:rsidRPr="00A40F78">
        <w:rPr>
          <w:szCs w:val="24"/>
        </w:rPr>
        <w:t xml:space="preserve">65 East State Street, Suite 700 </w:t>
      </w:r>
    </w:p>
    <w:p w:rsidR="00BF759D" w:rsidRPr="00A40F78" w:rsidP="00BF759D" w14:paraId="595FC433" w14:textId="7BD37545">
      <w:pPr>
        <w:ind w:left="3600"/>
        <w:rPr>
          <w:szCs w:val="24"/>
        </w:rPr>
      </w:pPr>
      <w:r w:rsidRPr="00A40F78">
        <w:rPr>
          <w:szCs w:val="24"/>
        </w:rPr>
        <w:t>Columbus, Ohio 43215</w:t>
      </w:r>
    </w:p>
    <w:p w:rsidR="00BF759D" w:rsidRPr="00A40F78" w:rsidP="00BF759D" w14:paraId="49F6D13D" w14:textId="77777777">
      <w:pPr>
        <w:ind w:left="3600"/>
        <w:rPr>
          <w:szCs w:val="24"/>
        </w:rPr>
      </w:pPr>
      <w:r w:rsidRPr="00A40F78">
        <w:rPr>
          <w:szCs w:val="24"/>
        </w:rPr>
        <w:t xml:space="preserve">Telephone: [O’Brien] 614-466-9531 </w:t>
      </w:r>
    </w:p>
    <w:p w:rsidR="00BF759D" w:rsidP="00BF759D" w14:paraId="1CC5DC8A" w14:textId="45C41FE2">
      <w:pPr>
        <w:ind w:left="3600"/>
        <w:rPr>
          <w:szCs w:val="24"/>
        </w:rPr>
      </w:pPr>
      <w:r w:rsidRPr="00A40F78">
        <w:rPr>
          <w:szCs w:val="24"/>
        </w:rPr>
        <w:t>Telephone: [</w:t>
      </w:r>
      <w:r w:rsidR="00BF08E4">
        <w:rPr>
          <w:szCs w:val="24"/>
        </w:rPr>
        <w:t>Finnigan</w:t>
      </w:r>
      <w:r w:rsidRPr="00A40F78">
        <w:rPr>
          <w:szCs w:val="24"/>
        </w:rPr>
        <w:t>] 614-466-</w:t>
      </w:r>
      <w:r w:rsidR="00A709D1">
        <w:rPr>
          <w:szCs w:val="24"/>
        </w:rPr>
        <w:t>9585</w:t>
      </w:r>
      <w:r w:rsidRPr="00A40F78">
        <w:rPr>
          <w:szCs w:val="24"/>
        </w:rPr>
        <w:t xml:space="preserve"> </w:t>
      </w:r>
      <w:hyperlink r:id="rId8" w:history="1">
        <w:r w:rsidRPr="00A40F78">
          <w:rPr>
            <w:rStyle w:val="Hyperlink"/>
            <w:szCs w:val="24"/>
          </w:rPr>
          <w:t>angela.obrien@occ.ohio.gov</w:t>
        </w:r>
      </w:hyperlink>
    </w:p>
    <w:p w:rsidR="00BF08E4" w:rsidRPr="00A40F78" w:rsidP="00BF759D" w14:paraId="14177657" w14:textId="2933EC52">
      <w:pPr>
        <w:ind w:left="3600"/>
        <w:rPr>
          <w:szCs w:val="24"/>
        </w:rPr>
      </w:pPr>
      <w:hyperlink r:id="rId9" w:history="1">
        <w:r w:rsidRPr="00CF1898" w:rsidR="00A709D1">
          <w:rPr>
            <w:rStyle w:val="Hyperlink"/>
            <w:szCs w:val="24"/>
          </w:rPr>
          <w:t>john.finnigan@occ.ohio.gov</w:t>
        </w:r>
      </w:hyperlink>
      <w:r>
        <w:rPr>
          <w:szCs w:val="24"/>
        </w:rPr>
        <w:t xml:space="preserve"> </w:t>
      </w:r>
    </w:p>
    <w:p w:rsidR="00BF759D" w:rsidRPr="00A40F78" w:rsidP="00BF759D" w14:paraId="6DAA69A1" w14:textId="77777777">
      <w:pPr>
        <w:ind w:left="3600"/>
        <w:rPr>
          <w:szCs w:val="24"/>
        </w:rPr>
      </w:pPr>
      <w:r w:rsidRPr="00A40F78">
        <w:rPr>
          <w:szCs w:val="24"/>
        </w:rPr>
        <w:t>(willing to accept service by e-mail)</w:t>
      </w:r>
    </w:p>
    <w:p w:rsidR="00BF759D" w:rsidRPr="00A40F78" w:rsidP="00BF759D" w14:paraId="3DA33AFA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B5" w:rsidRPr="00A40F78" w14:paraId="3A1A5B78" w14:textId="77777777">
      <w:pPr>
        <w:jc w:val="center"/>
        <w:rPr>
          <w:b/>
          <w:bCs/>
          <w:szCs w:val="24"/>
          <w:u w:val="single"/>
        </w:rPr>
      </w:pPr>
      <w:r w:rsidRPr="00A40F78">
        <w:rPr>
          <w:szCs w:val="24"/>
        </w:rPr>
        <w:br w:type="page"/>
      </w:r>
      <w:r w:rsidRPr="00A40F78">
        <w:rPr>
          <w:b/>
          <w:bCs/>
          <w:szCs w:val="24"/>
          <w:u w:val="single"/>
        </w:rPr>
        <w:t>CERTIFICATE OF SERVICE</w:t>
      </w:r>
    </w:p>
    <w:p w:rsidR="00A044B5" w:rsidRPr="00A40F78" w14:paraId="2033CB7C" w14:textId="60F97148">
      <w:pPr>
        <w:spacing w:line="480" w:lineRule="atLeast"/>
        <w:rPr>
          <w:szCs w:val="24"/>
        </w:rPr>
      </w:pPr>
      <w:r w:rsidRPr="00A40F78">
        <w:rPr>
          <w:szCs w:val="24"/>
        </w:rPr>
        <w:tab/>
        <w:t>I hereby certify that a copy of th</w:t>
      </w:r>
      <w:r w:rsidRPr="00A40F78" w:rsidR="00C539FB">
        <w:rPr>
          <w:szCs w:val="24"/>
        </w:rPr>
        <w:t xml:space="preserve">ese </w:t>
      </w:r>
      <w:r w:rsidRPr="00A40F78" w:rsidR="00932A86">
        <w:rPr>
          <w:szCs w:val="24"/>
        </w:rPr>
        <w:t>Consumer Protection Comments</w:t>
      </w:r>
      <w:r w:rsidRPr="00A40F78" w:rsidR="008437E7">
        <w:rPr>
          <w:szCs w:val="24"/>
        </w:rPr>
        <w:t xml:space="preserve"> </w:t>
      </w:r>
      <w:r w:rsidRPr="00A40F78">
        <w:rPr>
          <w:szCs w:val="24"/>
        </w:rPr>
        <w:t xml:space="preserve">was served on the persons stated below </w:t>
      </w:r>
      <w:r w:rsidRPr="00A40F78">
        <w:rPr>
          <w:iCs/>
          <w:szCs w:val="24"/>
        </w:rPr>
        <w:t>via</w:t>
      </w:r>
      <w:r w:rsidRPr="00A40F78" w:rsidR="002A4912">
        <w:rPr>
          <w:szCs w:val="24"/>
        </w:rPr>
        <w:t xml:space="preserve"> electronic transmission</w:t>
      </w:r>
      <w:r w:rsidRPr="00A40F78">
        <w:rPr>
          <w:szCs w:val="24"/>
        </w:rPr>
        <w:t xml:space="preserve">, this </w:t>
      </w:r>
      <w:r w:rsidRPr="00A40F78" w:rsidR="000802ED">
        <w:rPr>
          <w:szCs w:val="24"/>
        </w:rPr>
        <w:t>2</w:t>
      </w:r>
      <w:r w:rsidRPr="00A40F78" w:rsidR="00C539FB">
        <w:rPr>
          <w:szCs w:val="24"/>
        </w:rPr>
        <w:t>5</w:t>
      </w:r>
      <w:r w:rsidRPr="00A40F78" w:rsidR="000802ED">
        <w:rPr>
          <w:szCs w:val="24"/>
        </w:rPr>
        <w:t>th</w:t>
      </w:r>
      <w:r w:rsidRPr="00A40F78" w:rsidR="008437E7">
        <w:rPr>
          <w:szCs w:val="24"/>
        </w:rPr>
        <w:t xml:space="preserve"> </w:t>
      </w:r>
      <w:r w:rsidRPr="00A40F78">
        <w:rPr>
          <w:szCs w:val="24"/>
        </w:rPr>
        <w:t xml:space="preserve">day of </w:t>
      </w:r>
      <w:r w:rsidR="00BF08E4">
        <w:rPr>
          <w:szCs w:val="24"/>
        </w:rPr>
        <w:t>April</w:t>
      </w:r>
      <w:r w:rsidRPr="00A40F78">
        <w:rPr>
          <w:szCs w:val="24"/>
        </w:rPr>
        <w:t xml:space="preserve"> 20</w:t>
      </w:r>
      <w:r w:rsidRPr="00A40F78" w:rsidR="00480607">
        <w:rPr>
          <w:szCs w:val="24"/>
        </w:rPr>
        <w:t>2</w:t>
      </w:r>
      <w:r w:rsidRPr="00A40F78" w:rsidR="00C539FB">
        <w:rPr>
          <w:szCs w:val="24"/>
        </w:rPr>
        <w:t>2</w:t>
      </w:r>
      <w:r w:rsidRPr="00A40F78">
        <w:rPr>
          <w:szCs w:val="24"/>
        </w:rPr>
        <w:t>.</w:t>
      </w:r>
    </w:p>
    <w:p w:rsidR="00A044B5" w:rsidRPr="00A40F78" w14:paraId="7E12130F" w14:textId="77777777">
      <w:pPr>
        <w:spacing w:line="480" w:lineRule="atLeast"/>
        <w:rPr>
          <w:szCs w:val="24"/>
        </w:rPr>
      </w:pPr>
    </w:p>
    <w:p w:rsidR="00A0516E" w:rsidRPr="00A40F78" w:rsidP="00A0516E" w14:paraId="16721D70" w14:textId="3E368777">
      <w:pPr>
        <w:ind w:left="3600"/>
        <w:rPr>
          <w:szCs w:val="24"/>
          <w:u w:val="single"/>
        </w:rPr>
      </w:pPr>
      <w:r w:rsidRPr="00A40F78">
        <w:rPr>
          <w:szCs w:val="24"/>
        </w:rPr>
        <w:tab/>
      </w:r>
      <w:r w:rsidRPr="00A40F78">
        <w:rPr>
          <w:i/>
          <w:iCs/>
          <w:szCs w:val="24"/>
          <w:u w:val="single"/>
        </w:rPr>
        <w:t>/s/</w:t>
      </w:r>
      <w:r w:rsidRPr="00A40F78">
        <w:rPr>
          <w:szCs w:val="24"/>
          <w:u w:val="single"/>
        </w:rPr>
        <w:t xml:space="preserve"> </w:t>
      </w:r>
      <w:r w:rsidRPr="00A40F78">
        <w:rPr>
          <w:i/>
          <w:iCs/>
          <w:szCs w:val="24"/>
          <w:u w:val="single"/>
        </w:rPr>
        <w:t>Angela D. O’Brien</w:t>
      </w:r>
      <w:r w:rsidRPr="00A40F78" w:rsidR="00932A86">
        <w:rPr>
          <w:i/>
          <w:iCs/>
          <w:szCs w:val="24"/>
          <w:u w:val="single"/>
        </w:rPr>
        <w:tab/>
      </w:r>
      <w:r w:rsidRPr="00A40F78" w:rsidR="00932A86">
        <w:rPr>
          <w:i/>
          <w:iCs/>
          <w:szCs w:val="24"/>
          <w:u w:val="single"/>
        </w:rPr>
        <w:tab/>
      </w:r>
      <w:r w:rsidRPr="00A40F78">
        <w:rPr>
          <w:szCs w:val="24"/>
          <w:u w:val="single"/>
        </w:rPr>
        <w:t xml:space="preserve"> </w:t>
      </w:r>
    </w:p>
    <w:p w:rsidR="00A044B5" w:rsidRPr="00A40F78" w14:paraId="32E0163F" w14:textId="77777777">
      <w:pPr>
        <w:tabs>
          <w:tab w:val="left" w:pos="4320"/>
        </w:tabs>
        <w:rPr>
          <w:szCs w:val="24"/>
        </w:rPr>
      </w:pPr>
      <w:r w:rsidRPr="00A40F78">
        <w:rPr>
          <w:szCs w:val="24"/>
        </w:rPr>
        <w:tab/>
      </w:r>
      <w:r w:rsidRPr="00A40F78" w:rsidR="00A0516E">
        <w:rPr>
          <w:szCs w:val="24"/>
        </w:rPr>
        <w:t>Angela D. O’Brien</w:t>
      </w:r>
    </w:p>
    <w:p w:rsidR="00A044B5" w:rsidRPr="00A40F78" w14:paraId="59C25071" w14:textId="77777777">
      <w:pPr>
        <w:tabs>
          <w:tab w:val="left" w:pos="4320"/>
        </w:tabs>
        <w:rPr>
          <w:szCs w:val="24"/>
        </w:rPr>
      </w:pPr>
      <w:r w:rsidRPr="00A40F78">
        <w:rPr>
          <w:szCs w:val="24"/>
        </w:rPr>
        <w:tab/>
        <w:t>Assistant Consumers’ Counsel</w:t>
      </w:r>
    </w:p>
    <w:p w:rsidR="00A044B5" w:rsidRPr="00A40F78" w14:paraId="0E94EBED" w14:textId="77777777">
      <w:pPr>
        <w:pStyle w:val="CommentSubject"/>
        <w:rPr>
          <w:szCs w:val="24"/>
        </w:rPr>
      </w:pPr>
    </w:p>
    <w:p w:rsidR="009F067A" w:rsidRPr="00A40F78" w:rsidP="009F067A" w14:paraId="022B93A8" w14:textId="77777777">
      <w:pPr>
        <w:pStyle w:val="CommentText"/>
      </w:pPr>
      <w:r w:rsidRPr="00A40F78">
        <w:t>The PUCO’s e-filing system will electronically serve notice of the filing of this document on the following parties:</w:t>
      </w:r>
    </w:p>
    <w:p w:rsidR="009F067A" w:rsidRPr="00A40F78" w:rsidP="00480607" w14:paraId="5CCC3C1E" w14:textId="77777777">
      <w:pPr>
        <w:pStyle w:val="CommentText"/>
      </w:pPr>
    </w:p>
    <w:p w:rsidR="00A044B5" w:rsidRPr="00A40F78" w14:paraId="222B2B8F" w14:textId="77777777">
      <w:pPr>
        <w:pStyle w:val="CommentText"/>
      </w:pPr>
    </w:p>
    <w:p w:rsidR="00A044B5" w:rsidRPr="00A40F78" w14:paraId="6D32E390" w14:textId="77777777">
      <w:pPr>
        <w:pStyle w:val="CommentText"/>
        <w:jc w:val="center"/>
        <w:rPr>
          <w:b/>
          <w:u w:val="single"/>
        </w:rPr>
      </w:pPr>
      <w:r w:rsidRPr="00A40F78">
        <w:rPr>
          <w:b/>
          <w:u w:val="single"/>
        </w:rPr>
        <w:t>SERVICE LIST</w:t>
      </w:r>
    </w:p>
    <w:p w:rsidR="00871725" w:rsidRPr="00A40F78" w14:paraId="54510A9D" w14:textId="77777777">
      <w:pPr>
        <w:pStyle w:val="CommentText"/>
        <w:jc w:val="center"/>
        <w:rPr>
          <w:b/>
          <w:u w:val="single"/>
        </w:rPr>
      </w:pPr>
    </w:p>
    <w:p w:rsidR="00871725" w:rsidRPr="00A40F78" w14:paraId="5863093D" w14:textId="77777777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225821EB" w14:textId="77777777" w:rsidTr="00332A9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A709D1" w:rsidP="00332A9D" w14:paraId="392AA358" w14:textId="77777777">
            <w:pPr>
              <w:pStyle w:val="CommentText"/>
              <w:rPr>
                <w:bCs/>
              </w:rPr>
            </w:pPr>
            <w:hyperlink r:id="rId10" w:history="1">
              <w:r w:rsidRPr="009D7933">
                <w:rPr>
                  <w:rStyle w:val="Hyperlink"/>
                  <w:bCs/>
                </w:rPr>
                <w:t>John.jones@ohioAGO.gov</w:t>
              </w:r>
            </w:hyperlink>
          </w:p>
          <w:p w:rsidR="00A709D1" w:rsidP="00332A9D" w14:paraId="33C92F47" w14:textId="77777777">
            <w:pPr>
              <w:pStyle w:val="CommentText"/>
              <w:rPr>
                <w:bCs/>
              </w:rPr>
            </w:pPr>
          </w:p>
          <w:p w:rsidR="00A709D1" w:rsidP="00332A9D" w14:paraId="48277522" w14:textId="77777777">
            <w:pPr>
              <w:pStyle w:val="CommentText"/>
              <w:rPr>
                <w:bCs/>
              </w:rPr>
            </w:pPr>
            <w:r>
              <w:rPr>
                <w:bCs/>
              </w:rPr>
              <w:t>Attorney Examiners:</w:t>
            </w:r>
          </w:p>
          <w:p w:rsidR="00A709D1" w:rsidP="00332A9D" w14:paraId="2CC577FD" w14:textId="77777777">
            <w:pPr>
              <w:pStyle w:val="CommentText"/>
              <w:rPr>
                <w:bCs/>
              </w:rPr>
            </w:pPr>
          </w:p>
          <w:p w:rsidR="00A709D1" w:rsidRPr="000002F7" w:rsidP="00332A9D" w14:paraId="2E98E832" w14:textId="77777777">
            <w:pPr>
              <w:adjustRightInd w:val="0"/>
              <w:rPr>
                <w:color w:val="0000FF"/>
                <w:szCs w:val="24"/>
                <w:u w:val="single"/>
              </w:rPr>
            </w:pPr>
            <w:hyperlink r:id="rId11" w:history="1">
              <w:r w:rsidRPr="000002F7">
                <w:rPr>
                  <w:color w:val="0000FF"/>
                  <w:szCs w:val="24"/>
                  <w:u w:val="single"/>
                </w:rPr>
                <w:t>patricia.schabo@puco.ohio.gov</w:t>
              </w:r>
            </w:hyperlink>
          </w:p>
          <w:p w:rsidR="00A709D1" w:rsidRPr="000002F7" w:rsidP="00332A9D" w14:paraId="3B10A459" w14:textId="77777777">
            <w:pPr>
              <w:rPr>
                <w:color w:val="0000FF"/>
                <w:szCs w:val="24"/>
                <w:u w:val="single"/>
              </w:rPr>
            </w:pPr>
            <w:r w:rsidRPr="000002F7">
              <w:rPr>
                <w:color w:val="0000FF"/>
                <w:szCs w:val="24"/>
                <w:u w:val="single"/>
              </w:rPr>
              <w:t>Michael.williams@puco.ohio.gov</w:t>
            </w:r>
          </w:p>
          <w:p w:rsidR="00A709D1" w:rsidRPr="00243DD9" w:rsidP="00332A9D" w14:paraId="087DD08A" w14:textId="77777777">
            <w:pPr>
              <w:pStyle w:val="CommentText"/>
              <w:rPr>
                <w:bCs/>
              </w:rPr>
            </w:pPr>
          </w:p>
        </w:tc>
        <w:tc>
          <w:tcPr>
            <w:tcW w:w="4315" w:type="dxa"/>
          </w:tcPr>
          <w:p w:rsidR="00A709D1" w:rsidRPr="004B418A" w:rsidP="00332A9D" w14:paraId="5DB5E851" w14:textId="77777777">
            <w:pPr>
              <w:pStyle w:val="CommentText"/>
              <w:rPr>
                <w:bCs/>
                <w:u w:val="single"/>
              </w:rPr>
            </w:pPr>
            <w:hyperlink r:id="rId12" w:history="1">
              <w:r w:rsidRPr="004B418A">
                <w:rPr>
                  <w:rStyle w:val="Hyperlink"/>
                  <w:bCs/>
                </w:rPr>
                <w:t>Christopher.hollon@aes.com</w:t>
              </w:r>
            </w:hyperlink>
          </w:p>
          <w:p w:rsidR="00A709D1" w:rsidP="00332A9D" w14:paraId="65C1B0F3" w14:textId="59E466AA">
            <w:pPr>
              <w:pStyle w:val="CommentText"/>
              <w:rPr>
                <w:bCs/>
              </w:rPr>
            </w:pPr>
            <w:hyperlink r:id="rId13" w:history="1">
              <w:r w:rsidRPr="00CF1898">
                <w:rPr>
                  <w:rStyle w:val="Hyperlink"/>
                  <w:bCs/>
                </w:rPr>
                <w:t>Stacie.cathcart@igs.com</w:t>
              </w:r>
            </w:hyperlink>
          </w:p>
          <w:p w:rsidR="00A709D1" w:rsidP="00332A9D" w14:paraId="1E9BBBC0" w14:textId="5C708E2B">
            <w:pPr>
              <w:pStyle w:val="CommentText"/>
              <w:rPr>
                <w:bCs/>
              </w:rPr>
            </w:pPr>
            <w:hyperlink r:id="rId14" w:history="1">
              <w:r w:rsidRPr="00CF1898">
                <w:rPr>
                  <w:rStyle w:val="Hyperlink"/>
                  <w:bCs/>
                </w:rPr>
                <w:t>Evan.betterton@igs.com</w:t>
              </w:r>
            </w:hyperlink>
          </w:p>
          <w:p w:rsidR="00A709D1" w:rsidP="00332A9D" w14:paraId="62415BAF" w14:textId="107CE037">
            <w:pPr>
              <w:pStyle w:val="CommentText"/>
              <w:rPr>
                <w:bCs/>
              </w:rPr>
            </w:pPr>
            <w:hyperlink r:id="rId15" w:history="1">
              <w:r w:rsidRPr="00CF1898">
                <w:rPr>
                  <w:rStyle w:val="Hyperlink"/>
                  <w:bCs/>
                </w:rPr>
                <w:t>Michael.nugent@igs.com</w:t>
              </w:r>
            </w:hyperlink>
          </w:p>
          <w:p w:rsidR="00A709D1" w:rsidRPr="004B418A" w:rsidP="00332A9D" w14:paraId="269E4F62" w14:textId="55275DAB">
            <w:pPr>
              <w:pStyle w:val="CommentText"/>
              <w:rPr>
                <w:bCs/>
                <w:u w:val="single"/>
              </w:rPr>
            </w:pPr>
          </w:p>
        </w:tc>
      </w:tr>
    </w:tbl>
    <w:p w:rsidR="00A044B5" w:rsidRPr="00A40F78" w14:paraId="6A6642B2" w14:textId="77777777">
      <w:pPr>
        <w:pStyle w:val="BodyText"/>
        <w:rPr>
          <w:b/>
          <w:bCs/>
          <w:szCs w:val="24"/>
        </w:rPr>
      </w:pPr>
    </w:p>
    <w:p w:rsidR="00A044B5" w:rsidRPr="00A40F78" w14:paraId="7D62D014" w14:textId="77777777">
      <w:pPr>
        <w:pStyle w:val="BodyText"/>
        <w:rPr>
          <w:b/>
          <w:bCs/>
          <w:szCs w:val="24"/>
        </w:rPr>
      </w:pPr>
    </w:p>
    <w:sectPr w:rsidSect="006D6B07">
      <w:footerReference w:type="first" r:id="rId16"/>
      <w:pgSz w:w="12240" w:h="15840"/>
      <w:pgMar w:top="1440" w:right="1800" w:bottom="1440" w:left="1800" w:header="720" w:footer="720" w:gutter="0"/>
      <w:pgNumType w:start="2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066345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A2F34" w:rsidRPr="009A2F34" w14:paraId="3516D00B" w14:textId="4B23892A">
        <w:pPr>
          <w:pStyle w:val="Footer"/>
          <w:jc w:val="center"/>
          <w:rPr>
            <w:sz w:val="24"/>
            <w:szCs w:val="24"/>
          </w:rPr>
        </w:pPr>
        <w:r w:rsidRPr="009A2F34">
          <w:rPr>
            <w:sz w:val="24"/>
            <w:szCs w:val="24"/>
          </w:rPr>
          <w:fldChar w:fldCharType="begin"/>
        </w:r>
        <w:r w:rsidRPr="009A2F34">
          <w:rPr>
            <w:sz w:val="24"/>
            <w:szCs w:val="24"/>
          </w:rPr>
          <w:instrText xml:space="preserve"> PAGE   \* MERGEFORMAT </w:instrText>
        </w:r>
        <w:r w:rsidRPr="009A2F34">
          <w:rPr>
            <w:sz w:val="24"/>
            <w:szCs w:val="24"/>
          </w:rPr>
          <w:fldChar w:fldCharType="separate"/>
        </w:r>
        <w:r w:rsidRPr="009A2F34">
          <w:rPr>
            <w:noProof/>
            <w:sz w:val="24"/>
            <w:szCs w:val="24"/>
          </w:rPr>
          <w:t>2</w:t>
        </w:r>
        <w:r w:rsidRPr="009A2F34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59260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709D1" w:rsidRPr="00A709D1" w14:paraId="790E2EE7" w14:textId="4F3FD16E">
        <w:pPr>
          <w:pStyle w:val="Footer"/>
          <w:jc w:val="center"/>
          <w:rPr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033708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A2F34" w:rsidRPr="009A2F34" w14:paraId="3813C432" w14:textId="51131B89">
        <w:pPr>
          <w:pStyle w:val="Footer"/>
          <w:jc w:val="center"/>
          <w:rPr>
            <w:sz w:val="24"/>
            <w:szCs w:val="24"/>
          </w:rPr>
        </w:pPr>
        <w:r w:rsidRPr="009A2F34">
          <w:rPr>
            <w:sz w:val="24"/>
            <w:szCs w:val="24"/>
          </w:rPr>
          <w:fldChar w:fldCharType="begin"/>
        </w:r>
        <w:r w:rsidRPr="009A2F34">
          <w:rPr>
            <w:sz w:val="24"/>
            <w:szCs w:val="24"/>
          </w:rPr>
          <w:instrText xml:space="preserve"> PAGE   \* MERGEFORMAT </w:instrText>
        </w:r>
        <w:r w:rsidRPr="009A2F34">
          <w:rPr>
            <w:sz w:val="24"/>
            <w:szCs w:val="24"/>
          </w:rPr>
          <w:fldChar w:fldCharType="separate"/>
        </w:r>
        <w:r w:rsidRPr="009A2F34">
          <w:rPr>
            <w:noProof/>
            <w:sz w:val="24"/>
            <w:szCs w:val="24"/>
          </w:rPr>
          <w:t>2</w:t>
        </w:r>
        <w:r w:rsidRPr="009A2F34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F3C63" w14:paraId="7255006B" w14:textId="77777777">
      <w:r>
        <w:separator/>
      </w:r>
    </w:p>
  </w:footnote>
  <w:footnote w:type="continuationSeparator" w:id="1">
    <w:p w:rsidR="009F3C63" w14:paraId="46FA2EE4" w14:textId="77777777">
      <w:r>
        <w:continuationSeparator/>
      </w:r>
    </w:p>
  </w:footnote>
  <w:footnote w:id="2">
    <w:p w:rsidR="00290546" w:rsidP="009A2F34" w14:paraId="451B7A01" w14:textId="6F8C63A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0D4B59">
        <w:rPr>
          <w:i/>
          <w:iCs/>
        </w:rPr>
        <w:t>In the Matter of the Review of the Non-Market-Based Services Rider Pilot Program Established by Ohio Edison Company, The Cleveland Electric Illuminating Company, and The Toledo Edison Company</w:t>
      </w:r>
      <w:r>
        <w:t>, Case No. 22-391</w:t>
      </w:r>
      <w:r w:rsidR="00C52CCE">
        <w:t>-</w:t>
      </w:r>
      <w:r>
        <w:t xml:space="preserve">EL-RDR, </w:t>
      </w:r>
      <w:r w:rsidRPr="00290546">
        <w:t>Entry directing Staff to issue a request for proposals for auditing services to assist Staff with the review of Rider NMB Pilot Program</w:t>
      </w:r>
      <w:r>
        <w:t xml:space="preserve"> (April 20, 2022)</w:t>
      </w:r>
      <w:r w:rsidR="00C52CCE">
        <w:t>.</w:t>
      </w:r>
    </w:p>
  </w:footnote>
  <w:footnote w:id="3">
    <w:p w:rsidR="003A28E4" w:rsidP="009A2F34" w14:paraId="3A6F2461" w14:textId="32F1EA9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A28E4">
        <w:rPr>
          <w:i/>
          <w:iCs/>
        </w:rPr>
        <w:t>In the Matter of the Application of The Dayton Power and Light Company to Update its Transmission Cost Recovery Rider – Non-Bypassable</w:t>
      </w:r>
      <w:r>
        <w:rPr>
          <w:i/>
          <w:iCs/>
        </w:rPr>
        <w:t>,</w:t>
      </w:r>
      <w:r>
        <w:t xml:space="preserve"> Case No. 19-577-EL-RDR Application Schedule B-1 (March 15,</w:t>
      </w:r>
      <w:r w:rsidR="009A2F34">
        <w:t xml:space="preserve"> </w:t>
      </w:r>
      <w:r>
        <w:t>2019)</w:t>
      </w:r>
      <w:r w:rsidR="00CF6325">
        <w:t>.</w:t>
      </w:r>
    </w:p>
  </w:footnote>
  <w:footnote w:id="4">
    <w:p w:rsidR="003A28E4" w:rsidP="009A2F34" w14:paraId="51508302" w14:textId="13694C2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Schedule B-1</w:t>
      </w:r>
      <w:r w:rsidR="00CF6325">
        <w:t>.</w:t>
      </w:r>
    </w:p>
  </w:footnote>
  <w:footnote w:id="5">
    <w:p w:rsidR="00360356" w:rsidRPr="00B94605" w:rsidP="009A2F34" w14:paraId="7407ED8C" w14:textId="499B58B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B94605" w:rsidR="00B94605">
        <w:rPr>
          <w:i/>
          <w:iCs/>
        </w:rPr>
        <w:t>In the Matter of the Application of The Dayton Power and Light Company for Approval of Its Electric Security Plan</w:t>
      </w:r>
      <w:r w:rsidR="00B94605">
        <w:rPr>
          <w:i/>
          <w:iCs/>
        </w:rPr>
        <w:t xml:space="preserve"> </w:t>
      </w:r>
      <w:r w:rsidR="00B94605">
        <w:t>Case No. 16-395-EL-SSO Opinion and Order at page 33 (March 13, 2017)</w:t>
      </w:r>
      <w:r w:rsidR="00CF6325">
        <w:t>.</w:t>
      </w:r>
    </w:p>
  </w:footnote>
  <w:footnote w:id="6">
    <w:p w:rsidR="00B94605" w:rsidP="009A2F34" w14:paraId="770D526A" w14:textId="6F231B3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DB0794">
        <w:rPr>
          <w:i/>
          <w:iCs/>
        </w:rPr>
        <w:t>Id</w:t>
      </w:r>
      <w:r w:rsidRPr="00DB0794" w:rsidR="00DB0794">
        <w:rPr>
          <w:i/>
          <w:iCs/>
        </w:rPr>
        <w:t>.</w:t>
      </w:r>
      <w:r>
        <w:t xml:space="preserve"> at page 34.</w:t>
      </w:r>
    </w:p>
  </w:footnote>
  <w:footnote w:id="7">
    <w:p w:rsidR="00325D28" w:rsidP="009A2F34" w14:paraId="12C6DC73" w14:textId="2D4C9CA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DB0794">
        <w:rPr>
          <w:i/>
          <w:iCs/>
        </w:rPr>
        <w:t>See</w:t>
      </w:r>
      <w:r>
        <w:t xml:space="preserve"> PUCO Case Nos. 21-224-EL-RDR, 20-547-EL-RDR, 19-577-EL-RDR and 18-447-EL-RDR</w:t>
      </w:r>
      <w:r w:rsidR="00DB0794">
        <w:t>.</w:t>
      </w:r>
    </w:p>
  </w:footnote>
  <w:footnote w:id="8">
    <w:p w:rsidR="00325D28" w:rsidRPr="00325D28" w:rsidP="009A2F34" w14:paraId="51D3175E" w14:textId="11D0222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25D28">
        <w:rPr>
          <w:i/>
          <w:iCs/>
        </w:rPr>
        <w:t>In the Matter of the Application of Dayton Power and Light Company d/b/a AES Ohio (AES Ohio), to Update its Transmission Cost Recovery Rider – Non-bypassable (TCRR</w:t>
      </w:r>
      <w:r w:rsidR="003F4132">
        <w:rPr>
          <w:i/>
          <w:iCs/>
        </w:rPr>
        <w:t>-</w:t>
      </w:r>
      <w:r w:rsidRPr="00325D28">
        <w:rPr>
          <w:i/>
          <w:iCs/>
        </w:rPr>
        <w:t>N),</w:t>
      </w:r>
      <w:r>
        <w:rPr>
          <w:i/>
          <w:iCs/>
        </w:rPr>
        <w:t xml:space="preserve"> </w:t>
      </w:r>
      <w:r w:rsidR="003F4132">
        <w:t xml:space="preserve">Case No. </w:t>
      </w:r>
      <w:r w:rsidR="00844976">
        <w:t xml:space="preserve">21-224-EL-RDR, </w:t>
      </w:r>
      <w:r w:rsidRPr="00325D28">
        <w:t>Staff’s Review and Recommendations</w:t>
      </w:r>
      <w:r>
        <w:t xml:space="preserve"> at page 2 (May 7, 2021)</w:t>
      </w:r>
      <w:r w:rsidR="00CF6325">
        <w:t>.</w:t>
      </w:r>
    </w:p>
  </w:footnote>
  <w:footnote w:id="9">
    <w:p w:rsidR="005735EA" w:rsidP="009A2F34" w14:paraId="469B014B" w14:textId="202F6CD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735EA">
        <w:rPr>
          <w:i/>
          <w:iCs/>
        </w:rPr>
        <w:t>In the Matter of the Review of the Non-Market Based Services Rider contained in the Tariffs of Ohio Edison, The Cleveland Electric Illuminating Company and The Toledo Edison Company</w:t>
      </w:r>
      <w:r w:rsidRPr="005735EA">
        <w:t>,</w:t>
      </w:r>
      <w:r>
        <w:t xml:space="preserve"> Case No. 21-1225-EL-RDR, </w:t>
      </w:r>
      <w:r w:rsidRPr="005735EA">
        <w:t>Staff’s Review and Recommendations</w:t>
      </w:r>
      <w:r>
        <w:t xml:space="preserve"> at page 2 (February 14, 2022)</w:t>
      </w:r>
      <w:r w:rsidR="00CF6325">
        <w:t>.</w:t>
      </w:r>
    </w:p>
  </w:footnote>
  <w:footnote w:id="10">
    <w:p w:rsidR="005735EA" w:rsidP="009A2F34" w14:paraId="5445B041" w14:textId="566E1EA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735EA">
        <w:rPr>
          <w:i/>
          <w:iCs/>
        </w:rPr>
        <w:t xml:space="preserve">In the Matter of the Review of the Non-Market Based Services Rider </w:t>
      </w:r>
      <w:r>
        <w:rPr>
          <w:i/>
          <w:iCs/>
        </w:rPr>
        <w:t>Pilot Program Established by</w:t>
      </w:r>
      <w:r w:rsidRPr="005735EA">
        <w:rPr>
          <w:i/>
          <w:iCs/>
        </w:rPr>
        <w:t xml:space="preserve"> Ohio Edison, The Cleveland Electric Illuminating Company and The Toledo Edison Company</w:t>
      </w:r>
      <w:r w:rsidRPr="005735EA">
        <w:t>,</w:t>
      </w:r>
      <w:r>
        <w:t xml:space="preserve"> Case No. 22-391-EL-RDR</w:t>
      </w:r>
      <w:r w:rsidR="00CF6325">
        <w:t>.</w:t>
      </w:r>
    </w:p>
  </w:footnote>
  <w:footnote w:id="11">
    <w:p w:rsidR="00EF6143" w:rsidP="009A2F34" w14:paraId="107C9BC1" w14:textId="2BB667F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Case No. 16-395-EL-SSO Opinion and Order</w:t>
      </w:r>
      <w:r w:rsidR="00811995">
        <w:t>, at p.</w:t>
      </w:r>
      <w:r>
        <w:t xml:space="preserve"> 31</w:t>
      </w:r>
      <w:r w:rsidR="00811995">
        <w:t>.</w:t>
      </w:r>
    </w:p>
  </w:footnote>
  <w:footnote w:id="12">
    <w:p w:rsidR="00EF6143" w:rsidP="009A2F34" w14:paraId="3C614DF1" w14:textId="599A1A1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11995">
        <w:rPr>
          <w:i/>
          <w:iCs/>
        </w:rPr>
        <w:t>Id</w:t>
      </w:r>
      <w:r w:rsidR="00811995">
        <w:t>.</w:t>
      </w:r>
      <w:r>
        <w:t xml:space="preserve"> at page 34</w:t>
      </w:r>
      <w:r w:rsidR="00CF6325">
        <w:t>.</w:t>
      </w:r>
    </w:p>
  </w:footnote>
  <w:footnote w:id="13">
    <w:p w:rsidR="00826E9C" w:rsidRPr="00826E9C" w:rsidP="009A2F34" w14:paraId="4101A903" w14:textId="30CD32B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In the Matter of the Ohio Power Siting Board’s Report to the General Assembly Regarding the Power Transmission System</w:t>
      </w:r>
      <w:r>
        <w:t>, Case No. 21-796-EL-UNC</w:t>
      </w:r>
      <w:r w:rsidR="00613CD0">
        <w:t>, OPSB Final Report (Nov</w:t>
      </w:r>
      <w:r w:rsidR="009A2F34">
        <w:t>ember</w:t>
      </w:r>
      <w:r w:rsidR="00613CD0">
        <w:t xml:space="preserve"> 16, 2021).</w:t>
      </w:r>
    </w:p>
  </w:footnote>
  <w:footnote w:id="14">
    <w:p w:rsidR="008C4F11" w:rsidP="009A2F34" w14:paraId="1AFDAEDE" w14:textId="07E8047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4650B">
          <w:rPr>
            <w:rStyle w:val="Hyperlink"/>
          </w:rPr>
          <w:t>https://www.pjm.com/planning/project-construction</w:t>
        </w:r>
      </w:hyperlink>
      <w:r w:rsidR="00CF6325">
        <w:rPr>
          <w:rStyle w:val="Hyperlink"/>
          <w:u w:val="none"/>
        </w:rPr>
        <w:t>.</w:t>
      </w:r>
      <w:r>
        <w:t xml:space="preserve"> </w:t>
      </w:r>
    </w:p>
  </w:footnote>
  <w:footnote w:id="15">
    <w:p w:rsidR="00EE3B0D" w:rsidP="009A2F34" w14:paraId="095D9E29" w14:textId="494B926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EE3B0D">
        <w:t>1.5.9(a)(ii) of Schedule 6 of the PJM Operating Agreement</w:t>
      </w:r>
      <w:r w:rsidR="00CF6325">
        <w:t>.</w:t>
      </w:r>
    </w:p>
  </w:footnote>
  <w:footnote w:id="16">
    <w:p w:rsidR="00C80E97" w:rsidP="009A2F34" w14:paraId="4C3C4229" w14:textId="7F55B2B1">
      <w:pPr>
        <w:pStyle w:val="FootnoteText"/>
        <w:spacing w:after="120"/>
      </w:pPr>
      <w:r>
        <w:rPr>
          <w:rStyle w:val="FootnoteReference"/>
        </w:rPr>
        <w:footnoteRef/>
      </w:r>
      <w:r w:rsidR="009A2F34">
        <w:rPr>
          <w:i/>
          <w:iCs/>
        </w:rPr>
        <w:t xml:space="preserve"> </w:t>
      </w:r>
      <w:r w:rsidRPr="00F37F36">
        <w:rPr>
          <w:i/>
          <w:iCs/>
        </w:rPr>
        <w:t>In the Matter of the Ohio Power Siting Board’s Report to the General Assembly Regarding the Power Transmission System</w:t>
      </w:r>
      <w:r>
        <w:t>, Case No. 21-796-EL-UNC Ohio Power Siting Board Report to the General Assembly Regarding the Power Transmission System at page 12 (November 16, 2021)</w:t>
      </w:r>
      <w:r w:rsidR="009A2F3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A062B"/>
    <w:multiLevelType w:val="hybridMultilevel"/>
    <w:tmpl w:val="0788338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F00FB"/>
    <w:multiLevelType w:val="hybridMultilevel"/>
    <w:tmpl w:val="B9B4CF66"/>
    <w:lvl w:ilvl="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CA"/>
    <w:multiLevelType w:val="multilevel"/>
    <w:tmpl w:val="E2EE3EB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7A83EF2"/>
    <w:multiLevelType w:val="hybridMultilevel"/>
    <w:tmpl w:val="3E3878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02F7"/>
    <w:rsid w:val="000014A2"/>
    <w:rsid w:val="0000674A"/>
    <w:rsid w:val="0001594F"/>
    <w:rsid w:val="00037A75"/>
    <w:rsid w:val="00051D81"/>
    <w:rsid w:val="00066DD2"/>
    <w:rsid w:val="00076129"/>
    <w:rsid w:val="000802ED"/>
    <w:rsid w:val="00081520"/>
    <w:rsid w:val="00082870"/>
    <w:rsid w:val="000938C7"/>
    <w:rsid w:val="000C409E"/>
    <w:rsid w:val="000C55BD"/>
    <w:rsid w:val="000C67DE"/>
    <w:rsid w:val="000D4B59"/>
    <w:rsid w:val="000D63B9"/>
    <w:rsid w:val="000E7DA0"/>
    <w:rsid w:val="000F0096"/>
    <w:rsid w:val="000F5A87"/>
    <w:rsid w:val="00103C7B"/>
    <w:rsid w:val="0011056E"/>
    <w:rsid w:val="00121E6A"/>
    <w:rsid w:val="00126533"/>
    <w:rsid w:val="00143083"/>
    <w:rsid w:val="00150FC8"/>
    <w:rsid w:val="00152415"/>
    <w:rsid w:val="001534E4"/>
    <w:rsid w:val="001550F8"/>
    <w:rsid w:val="00156383"/>
    <w:rsid w:val="001603EB"/>
    <w:rsid w:val="00173629"/>
    <w:rsid w:val="001908A2"/>
    <w:rsid w:val="0019224E"/>
    <w:rsid w:val="0019750D"/>
    <w:rsid w:val="001A6638"/>
    <w:rsid w:val="001C3274"/>
    <w:rsid w:val="001D0897"/>
    <w:rsid w:val="001E558E"/>
    <w:rsid w:val="001F40A2"/>
    <w:rsid w:val="002011D3"/>
    <w:rsid w:val="002115F3"/>
    <w:rsid w:val="00231B15"/>
    <w:rsid w:val="00243DD9"/>
    <w:rsid w:val="002465DB"/>
    <w:rsid w:val="002478FE"/>
    <w:rsid w:val="00270856"/>
    <w:rsid w:val="0027577A"/>
    <w:rsid w:val="002757EC"/>
    <w:rsid w:val="002775BF"/>
    <w:rsid w:val="00277CA3"/>
    <w:rsid w:val="002832D7"/>
    <w:rsid w:val="00290546"/>
    <w:rsid w:val="002A4912"/>
    <w:rsid w:val="002B3E98"/>
    <w:rsid w:val="002E6932"/>
    <w:rsid w:val="002E6AB3"/>
    <w:rsid w:val="002F66D4"/>
    <w:rsid w:val="0031242C"/>
    <w:rsid w:val="00317043"/>
    <w:rsid w:val="00325D28"/>
    <w:rsid w:val="00332A9D"/>
    <w:rsid w:val="00333873"/>
    <w:rsid w:val="00335950"/>
    <w:rsid w:val="003420C3"/>
    <w:rsid w:val="00354F02"/>
    <w:rsid w:val="003576D8"/>
    <w:rsid w:val="00360356"/>
    <w:rsid w:val="00372550"/>
    <w:rsid w:val="003841EC"/>
    <w:rsid w:val="003979FC"/>
    <w:rsid w:val="003A28E4"/>
    <w:rsid w:val="003B7CA8"/>
    <w:rsid w:val="003D0AF2"/>
    <w:rsid w:val="003F0FBF"/>
    <w:rsid w:val="003F4132"/>
    <w:rsid w:val="003F623E"/>
    <w:rsid w:val="00405BE1"/>
    <w:rsid w:val="00406438"/>
    <w:rsid w:val="004075B4"/>
    <w:rsid w:val="00410085"/>
    <w:rsid w:val="0041057F"/>
    <w:rsid w:val="00425E9F"/>
    <w:rsid w:val="0042741F"/>
    <w:rsid w:val="00434271"/>
    <w:rsid w:val="0044569C"/>
    <w:rsid w:val="0044650B"/>
    <w:rsid w:val="004518BA"/>
    <w:rsid w:val="00452339"/>
    <w:rsid w:val="004524EF"/>
    <w:rsid w:val="00476981"/>
    <w:rsid w:val="00477711"/>
    <w:rsid w:val="0048024D"/>
    <w:rsid w:val="00480607"/>
    <w:rsid w:val="004811E4"/>
    <w:rsid w:val="004900DD"/>
    <w:rsid w:val="00491849"/>
    <w:rsid w:val="00495844"/>
    <w:rsid w:val="004B24B2"/>
    <w:rsid w:val="004B418A"/>
    <w:rsid w:val="004E122E"/>
    <w:rsid w:val="004E31AD"/>
    <w:rsid w:val="004F34AF"/>
    <w:rsid w:val="005103C6"/>
    <w:rsid w:val="00512B71"/>
    <w:rsid w:val="0051520D"/>
    <w:rsid w:val="00520391"/>
    <w:rsid w:val="005228C2"/>
    <w:rsid w:val="00522A91"/>
    <w:rsid w:val="00526CB7"/>
    <w:rsid w:val="005270F0"/>
    <w:rsid w:val="00535E7A"/>
    <w:rsid w:val="00550479"/>
    <w:rsid w:val="0055107B"/>
    <w:rsid w:val="0055483D"/>
    <w:rsid w:val="0055512A"/>
    <w:rsid w:val="00564E26"/>
    <w:rsid w:val="00566A5B"/>
    <w:rsid w:val="005735EA"/>
    <w:rsid w:val="005963CA"/>
    <w:rsid w:val="005A6744"/>
    <w:rsid w:val="005A7D5C"/>
    <w:rsid w:val="005A7F3B"/>
    <w:rsid w:val="005B650B"/>
    <w:rsid w:val="005C0BFB"/>
    <w:rsid w:val="005D4F26"/>
    <w:rsid w:val="005D54EE"/>
    <w:rsid w:val="005D56B6"/>
    <w:rsid w:val="005E212C"/>
    <w:rsid w:val="005E602E"/>
    <w:rsid w:val="005E6800"/>
    <w:rsid w:val="005F01FA"/>
    <w:rsid w:val="005F12D7"/>
    <w:rsid w:val="005F273B"/>
    <w:rsid w:val="005F58CE"/>
    <w:rsid w:val="005F7585"/>
    <w:rsid w:val="00613CD0"/>
    <w:rsid w:val="00614D2A"/>
    <w:rsid w:val="00614D6F"/>
    <w:rsid w:val="00614DBF"/>
    <w:rsid w:val="0062108F"/>
    <w:rsid w:val="0062586C"/>
    <w:rsid w:val="0062677C"/>
    <w:rsid w:val="00631DB6"/>
    <w:rsid w:val="00635D19"/>
    <w:rsid w:val="00641070"/>
    <w:rsid w:val="00642969"/>
    <w:rsid w:val="006548B3"/>
    <w:rsid w:val="00667573"/>
    <w:rsid w:val="006710D8"/>
    <w:rsid w:val="006759E0"/>
    <w:rsid w:val="006764BC"/>
    <w:rsid w:val="00680DE8"/>
    <w:rsid w:val="006908AC"/>
    <w:rsid w:val="006919E6"/>
    <w:rsid w:val="006946D4"/>
    <w:rsid w:val="006A2F84"/>
    <w:rsid w:val="006A53C2"/>
    <w:rsid w:val="006B0E3E"/>
    <w:rsid w:val="006B110A"/>
    <w:rsid w:val="006B3F88"/>
    <w:rsid w:val="006C3A1E"/>
    <w:rsid w:val="006C5784"/>
    <w:rsid w:val="006C5841"/>
    <w:rsid w:val="006C7F27"/>
    <w:rsid w:val="006D6B07"/>
    <w:rsid w:val="006E00E8"/>
    <w:rsid w:val="006E0196"/>
    <w:rsid w:val="006E154C"/>
    <w:rsid w:val="006E49F7"/>
    <w:rsid w:val="006E53E4"/>
    <w:rsid w:val="006F5F7D"/>
    <w:rsid w:val="006F6C88"/>
    <w:rsid w:val="0070103B"/>
    <w:rsid w:val="007029DE"/>
    <w:rsid w:val="00715FD2"/>
    <w:rsid w:val="0071728C"/>
    <w:rsid w:val="00721484"/>
    <w:rsid w:val="00723316"/>
    <w:rsid w:val="00725ED1"/>
    <w:rsid w:val="00727FEF"/>
    <w:rsid w:val="00730C0C"/>
    <w:rsid w:val="0074794B"/>
    <w:rsid w:val="00751B9C"/>
    <w:rsid w:val="0075516A"/>
    <w:rsid w:val="00760DE9"/>
    <w:rsid w:val="00772E83"/>
    <w:rsid w:val="00773735"/>
    <w:rsid w:val="0078452A"/>
    <w:rsid w:val="00786CB7"/>
    <w:rsid w:val="0079132A"/>
    <w:rsid w:val="007931E9"/>
    <w:rsid w:val="00796526"/>
    <w:rsid w:val="0079768A"/>
    <w:rsid w:val="007A544D"/>
    <w:rsid w:val="007B1462"/>
    <w:rsid w:val="007D7C68"/>
    <w:rsid w:val="007E2F6C"/>
    <w:rsid w:val="007E791E"/>
    <w:rsid w:val="007F3D40"/>
    <w:rsid w:val="007F630D"/>
    <w:rsid w:val="00811995"/>
    <w:rsid w:val="0082395B"/>
    <w:rsid w:val="00826011"/>
    <w:rsid w:val="00826E9C"/>
    <w:rsid w:val="00835FEB"/>
    <w:rsid w:val="008437E7"/>
    <w:rsid w:val="00843DC0"/>
    <w:rsid w:val="00844976"/>
    <w:rsid w:val="00846C58"/>
    <w:rsid w:val="008612A0"/>
    <w:rsid w:val="00864009"/>
    <w:rsid w:val="00870685"/>
    <w:rsid w:val="00871725"/>
    <w:rsid w:val="008A3E60"/>
    <w:rsid w:val="008B2201"/>
    <w:rsid w:val="008C4F11"/>
    <w:rsid w:val="008C7D0E"/>
    <w:rsid w:val="008D27D4"/>
    <w:rsid w:val="008D3A4F"/>
    <w:rsid w:val="008F4272"/>
    <w:rsid w:val="008F52F1"/>
    <w:rsid w:val="00907667"/>
    <w:rsid w:val="00920D99"/>
    <w:rsid w:val="00932A86"/>
    <w:rsid w:val="009369F1"/>
    <w:rsid w:val="009421A5"/>
    <w:rsid w:val="009512E6"/>
    <w:rsid w:val="00956684"/>
    <w:rsid w:val="00957801"/>
    <w:rsid w:val="0096154D"/>
    <w:rsid w:val="00962A18"/>
    <w:rsid w:val="0098281B"/>
    <w:rsid w:val="00982913"/>
    <w:rsid w:val="00992E47"/>
    <w:rsid w:val="00997E16"/>
    <w:rsid w:val="009A2F34"/>
    <w:rsid w:val="009B0E83"/>
    <w:rsid w:val="009B6712"/>
    <w:rsid w:val="009B6D8B"/>
    <w:rsid w:val="009B79D5"/>
    <w:rsid w:val="009D0515"/>
    <w:rsid w:val="009D7933"/>
    <w:rsid w:val="009F067A"/>
    <w:rsid w:val="009F3C63"/>
    <w:rsid w:val="00A00887"/>
    <w:rsid w:val="00A02832"/>
    <w:rsid w:val="00A02EAA"/>
    <w:rsid w:val="00A04397"/>
    <w:rsid w:val="00A044B5"/>
    <w:rsid w:val="00A0516E"/>
    <w:rsid w:val="00A0626D"/>
    <w:rsid w:val="00A07593"/>
    <w:rsid w:val="00A110F7"/>
    <w:rsid w:val="00A1345C"/>
    <w:rsid w:val="00A36A02"/>
    <w:rsid w:val="00A371FC"/>
    <w:rsid w:val="00A40F78"/>
    <w:rsid w:val="00A4327B"/>
    <w:rsid w:val="00A50857"/>
    <w:rsid w:val="00A5514C"/>
    <w:rsid w:val="00A709D1"/>
    <w:rsid w:val="00A77784"/>
    <w:rsid w:val="00A97857"/>
    <w:rsid w:val="00AA0F74"/>
    <w:rsid w:val="00AA6372"/>
    <w:rsid w:val="00AC102B"/>
    <w:rsid w:val="00AC2672"/>
    <w:rsid w:val="00AC4179"/>
    <w:rsid w:val="00AC5C21"/>
    <w:rsid w:val="00AD135E"/>
    <w:rsid w:val="00AD1703"/>
    <w:rsid w:val="00AE437E"/>
    <w:rsid w:val="00AE7489"/>
    <w:rsid w:val="00AF7F27"/>
    <w:rsid w:val="00B01877"/>
    <w:rsid w:val="00B578D0"/>
    <w:rsid w:val="00B606A6"/>
    <w:rsid w:val="00B67956"/>
    <w:rsid w:val="00B8243C"/>
    <w:rsid w:val="00B84496"/>
    <w:rsid w:val="00B84701"/>
    <w:rsid w:val="00B90053"/>
    <w:rsid w:val="00B94605"/>
    <w:rsid w:val="00B95720"/>
    <w:rsid w:val="00BA25FB"/>
    <w:rsid w:val="00BA335C"/>
    <w:rsid w:val="00BB4604"/>
    <w:rsid w:val="00BC5346"/>
    <w:rsid w:val="00BC7AB9"/>
    <w:rsid w:val="00BD575E"/>
    <w:rsid w:val="00BE275A"/>
    <w:rsid w:val="00BE6D23"/>
    <w:rsid w:val="00BF08E4"/>
    <w:rsid w:val="00BF759D"/>
    <w:rsid w:val="00C05398"/>
    <w:rsid w:val="00C163F9"/>
    <w:rsid w:val="00C206E9"/>
    <w:rsid w:val="00C30559"/>
    <w:rsid w:val="00C45C01"/>
    <w:rsid w:val="00C52CCE"/>
    <w:rsid w:val="00C5378E"/>
    <w:rsid w:val="00C539FB"/>
    <w:rsid w:val="00C57465"/>
    <w:rsid w:val="00C620F8"/>
    <w:rsid w:val="00C6286A"/>
    <w:rsid w:val="00C67E1F"/>
    <w:rsid w:val="00C702FB"/>
    <w:rsid w:val="00C72434"/>
    <w:rsid w:val="00C7280F"/>
    <w:rsid w:val="00C739B3"/>
    <w:rsid w:val="00C80E97"/>
    <w:rsid w:val="00C86B6A"/>
    <w:rsid w:val="00C910AC"/>
    <w:rsid w:val="00C91CE6"/>
    <w:rsid w:val="00CA3F81"/>
    <w:rsid w:val="00CE58C4"/>
    <w:rsid w:val="00CF1898"/>
    <w:rsid w:val="00CF6325"/>
    <w:rsid w:val="00CF7611"/>
    <w:rsid w:val="00D21405"/>
    <w:rsid w:val="00D26315"/>
    <w:rsid w:val="00D27E9B"/>
    <w:rsid w:val="00D3336F"/>
    <w:rsid w:val="00D5309F"/>
    <w:rsid w:val="00D55177"/>
    <w:rsid w:val="00D55F50"/>
    <w:rsid w:val="00D57504"/>
    <w:rsid w:val="00D6185E"/>
    <w:rsid w:val="00D63273"/>
    <w:rsid w:val="00D74BAB"/>
    <w:rsid w:val="00D86D99"/>
    <w:rsid w:val="00D924AD"/>
    <w:rsid w:val="00D93590"/>
    <w:rsid w:val="00DA722E"/>
    <w:rsid w:val="00DB0794"/>
    <w:rsid w:val="00DB1A1B"/>
    <w:rsid w:val="00DE24F5"/>
    <w:rsid w:val="00DE3BDA"/>
    <w:rsid w:val="00DE61F2"/>
    <w:rsid w:val="00DF1D7F"/>
    <w:rsid w:val="00DF2EC7"/>
    <w:rsid w:val="00E02E4B"/>
    <w:rsid w:val="00E04F5D"/>
    <w:rsid w:val="00E14A4F"/>
    <w:rsid w:val="00E21916"/>
    <w:rsid w:val="00E269A2"/>
    <w:rsid w:val="00E317FF"/>
    <w:rsid w:val="00E444D2"/>
    <w:rsid w:val="00E50C66"/>
    <w:rsid w:val="00E520B0"/>
    <w:rsid w:val="00E668A0"/>
    <w:rsid w:val="00E75D2C"/>
    <w:rsid w:val="00E7627E"/>
    <w:rsid w:val="00E86EC5"/>
    <w:rsid w:val="00E94E3E"/>
    <w:rsid w:val="00E96AA6"/>
    <w:rsid w:val="00EA25DA"/>
    <w:rsid w:val="00EA7C68"/>
    <w:rsid w:val="00ED0B67"/>
    <w:rsid w:val="00ED5D0F"/>
    <w:rsid w:val="00ED7502"/>
    <w:rsid w:val="00EE3B0D"/>
    <w:rsid w:val="00EE5F3E"/>
    <w:rsid w:val="00EF35AD"/>
    <w:rsid w:val="00EF3AD6"/>
    <w:rsid w:val="00EF3C87"/>
    <w:rsid w:val="00EF6143"/>
    <w:rsid w:val="00F10117"/>
    <w:rsid w:val="00F1341B"/>
    <w:rsid w:val="00F35442"/>
    <w:rsid w:val="00F37F36"/>
    <w:rsid w:val="00F40BDE"/>
    <w:rsid w:val="00F44B6C"/>
    <w:rsid w:val="00F479B2"/>
    <w:rsid w:val="00F610E1"/>
    <w:rsid w:val="00F661B9"/>
    <w:rsid w:val="00F71BAC"/>
    <w:rsid w:val="00F71E02"/>
    <w:rsid w:val="00F83B55"/>
    <w:rsid w:val="00F841E6"/>
    <w:rsid w:val="00F85B07"/>
    <w:rsid w:val="00FA35F7"/>
    <w:rsid w:val="00FD12B3"/>
    <w:rsid w:val="00FE05A8"/>
    <w:rsid w:val="00FE65AD"/>
    <w:rsid w:val="00FE76FC"/>
    <w:rsid w:val="00FF2A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8F52F1"/>
    <w:pPr>
      <w:keepNext/>
      <w:numPr>
        <w:numId w:val="7"/>
      </w:numPr>
      <w:spacing w:after="240"/>
      <w:ind w:left="720" w:hanging="720"/>
      <w:outlineLvl w:val="0"/>
    </w:pPr>
    <w:rPr>
      <w:rFonts w:ascii="Times New Roman Bold" w:hAnsi="Times New Roman Bold"/>
      <w:b/>
      <w:caps/>
      <w:szCs w:val="24"/>
    </w:rPr>
  </w:style>
  <w:style w:type="paragraph" w:styleId="Heading2">
    <w:name w:val="heading 2"/>
    <w:basedOn w:val="Normal"/>
    <w:next w:val="Normal"/>
    <w:autoRedefine/>
    <w:qFormat/>
    <w:rsid w:val="00BF759D"/>
    <w:pPr>
      <w:keepNext/>
      <w:spacing w:after="240"/>
      <w:ind w:left="720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52F1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52F1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52F1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52F1"/>
    <w:pPr>
      <w:numPr>
        <w:ilvl w:val="6"/>
        <w:numId w:val="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52F1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52F1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CommentTextChar">
    <w:name w:val="Comment Text Char"/>
    <w:link w:val="CommentText"/>
    <w:rsid w:val="009F067A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55512A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1534E4"/>
  </w:style>
  <w:style w:type="paragraph" w:styleId="Revision">
    <w:name w:val="Revision"/>
    <w:hidden/>
    <w:uiPriority w:val="99"/>
    <w:semiHidden/>
    <w:rsid w:val="000802ED"/>
    <w:rPr>
      <w:sz w:val="24"/>
    </w:rPr>
  </w:style>
  <w:style w:type="paragraph" w:customStyle="1" w:styleId="Default">
    <w:name w:val="Default"/>
    <w:rsid w:val="00871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5784"/>
  </w:style>
  <w:style w:type="paragraph" w:styleId="TOC1">
    <w:name w:val="toc 1"/>
    <w:basedOn w:val="Normal"/>
    <w:next w:val="Normal"/>
    <w:autoRedefine/>
    <w:uiPriority w:val="39"/>
    <w:qFormat/>
    <w:rsid w:val="006548B3"/>
    <w:pPr>
      <w:tabs>
        <w:tab w:val="decimal" w:leader="dot" w:pos="9360"/>
      </w:tabs>
      <w:spacing w:after="240"/>
      <w:ind w:left="720" w:hanging="720"/>
      <w:outlineLvl w:val="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6548B3"/>
    <w:pPr>
      <w:tabs>
        <w:tab w:val="decimal" w:leader="dot" w:pos="9360"/>
      </w:tabs>
      <w:spacing w:after="240"/>
      <w:ind w:left="1440" w:hanging="720"/>
      <w:outlineLvl w:val="1"/>
    </w:pPr>
  </w:style>
  <w:style w:type="character" w:customStyle="1" w:styleId="Heading4Char">
    <w:name w:val="Heading 4 Char"/>
    <w:link w:val="Heading4"/>
    <w:semiHidden/>
    <w:rsid w:val="008F52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F52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F52F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F52F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F52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F52F1"/>
    <w:rPr>
      <w:rFonts w:ascii="Calibri Light" w:eastAsia="Times New Roman" w:hAnsi="Calibri Light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62A18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C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hn.jones@ohioAGO.gov" TargetMode="External" /><Relationship Id="rId11" Type="http://schemas.openxmlformats.org/officeDocument/2006/relationships/hyperlink" Target="mailto:patricia.schabo@puco.ohio.gov" TargetMode="External" /><Relationship Id="rId12" Type="http://schemas.openxmlformats.org/officeDocument/2006/relationships/hyperlink" Target="mailto:Christopher.hollon@aes.com" TargetMode="External" /><Relationship Id="rId13" Type="http://schemas.openxmlformats.org/officeDocument/2006/relationships/hyperlink" Target="mailto:Stacie.cathcart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Michael.nugent@igs.com" TargetMode="Externa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angela.obrien@occ.ohio.gov" TargetMode="External" /><Relationship Id="rId9" Type="http://schemas.openxmlformats.org/officeDocument/2006/relationships/hyperlink" Target="mailto:john.finnigan@occ.ohio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pjm.com/planning/project-constr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ABF7-FADF-4105-B9E1-FA5A342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DP&amp;L 22-152 Comments  (00547808.DOCX;1)</vt:lpstr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2022-04-25T18:57:05Z</dcterms:created>
  <dcterms:modified xsi:type="dcterms:W3CDTF">2022-04-25T18:57:05Z</dcterms:modified>
</cp:coreProperties>
</file>