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36BDA" w:rsidRPr="00B012A9" w:rsidP="00D4185C" w14:paraId="0FDE94D0" w14:textId="77777777">
      <w:pPr>
        <w:pStyle w:val="HTMLPreformatted"/>
        <w:jc w:val="center"/>
        <w:rPr>
          <w:rFonts w:ascii="Times New Roman" w:hAnsi="Times New Roman" w:cs="Times New Roman"/>
          <w:b/>
          <w:bCs/>
          <w:sz w:val="24"/>
          <w:szCs w:val="24"/>
        </w:rPr>
      </w:pPr>
      <w:r w:rsidRPr="00B012A9">
        <w:rPr>
          <w:rFonts w:ascii="Times New Roman" w:hAnsi="Times New Roman" w:cs="Times New Roman"/>
          <w:b/>
          <w:bCs/>
          <w:sz w:val="24"/>
          <w:szCs w:val="24"/>
        </w:rPr>
        <w:t>BEFORE</w:t>
      </w:r>
    </w:p>
    <w:p w:rsidR="00836BDA" w:rsidRPr="00B012A9" w:rsidP="00D4185C" w14:paraId="68FF964C" w14:textId="77777777">
      <w:pPr>
        <w:pStyle w:val="HTMLPreformatted"/>
        <w:jc w:val="center"/>
        <w:rPr>
          <w:rFonts w:ascii="Times New Roman" w:hAnsi="Times New Roman" w:cs="Times New Roman"/>
          <w:sz w:val="24"/>
          <w:szCs w:val="24"/>
        </w:rPr>
      </w:pPr>
      <w:r w:rsidRPr="00B012A9">
        <w:rPr>
          <w:rFonts w:ascii="Times New Roman" w:hAnsi="Times New Roman" w:cs="Times New Roman"/>
          <w:b/>
          <w:bCs/>
          <w:sz w:val="24"/>
          <w:szCs w:val="24"/>
        </w:rPr>
        <w:t>THE PUBLIC UTILITIES COMMISSION OF OHIO</w:t>
      </w:r>
    </w:p>
    <w:p w:rsidR="00836BDA" w:rsidRPr="00B012A9" w:rsidP="00D4185C" w14:paraId="3035DE4B" w14:textId="77777777">
      <w:pPr>
        <w:pStyle w:val="HTMLPreformatted"/>
        <w:rPr>
          <w:rFonts w:ascii="Times New Roman" w:hAnsi="Times New Roman" w:cs="Times New Roman"/>
          <w:sz w:val="24"/>
          <w:szCs w:val="24"/>
        </w:rPr>
      </w:pPr>
    </w:p>
    <w:tbl>
      <w:tblPr>
        <w:tblW w:w="8730" w:type="dxa"/>
        <w:tblLook w:val="01E0"/>
      </w:tblPr>
      <w:tblGrid>
        <w:gridCol w:w="4122"/>
        <w:gridCol w:w="720"/>
        <w:gridCol w:w="3888"/>
      </w:tblGrid>
      <w:tr w14:paraId="3FDA18C2" w14:textId="77777777" w:rsidTr="00961305">
        <w:tblPrEx>
          <w:tblW w:w="8730" w:type="dxa"/>
          <w:tblLook w:val="01E0"/>
        </w:tblPrEx>
        <w:trPr>
          <w:trHeight w:val="807"/>
        </w:trPr>
        <w:tc>
          <w:tcPr>
            <w:tcW w:w="4122" w:type="dxa"/>
            <w:shd w:val="clear" w:color="auto" w:fill="auto"/>
          </w:tcPr>
          <w:p w:rsidR="00997E23" w:rsidRPr="00F126CD" w:rsidP="00997E23" w14:paraId="0F705245" w14:textId="77777777">
            <w:pPr>
              <w:suppressLineNumbers/>
              <w:ind w:right="342"/>
            </w:pPr>
            <w:r w:rsidRPr="00F126CD">
              <w:t>I</w:t>
            </w:r>
            <w:r>
              <w:t>n</w:t>
            </w:r>
            <w:r w:rsidRPr="00F126CD">
              <w:t xml:space="preserve"> the Matter of the Application of Duke Energy Ohio, Inc., for an Increase in Natural Gas Rates.</w:t>
            </w:r>
          </w:p>
          <w:p w:rsidR="00997E23" w:rsidRPr="00F126CD" w:rsidP="00997E23" w14:paraId="6310CB40" w14:textId="77777777">
            <w:pPr>
              <w:suppressLineNumbers/>
              <w:ind w:right="342"/>
            </w:pPr>
          </w:p>
          <w:p w:rsidR="00997E23" w:rsidRPr="00F126CD" w:rsidP="00997E23" w14:paraId="16523A35" w14:textId="77777777">
            <w:pPr>
              <w:suppressLineNumbers/>
              <w:ind w:right="342"/>
            </w:pPr>
            <w:r w:rsidRPr="00F126CD">
              <w:t>In the Matter of the Application of Duke Energy Ohio, Inc., for Approval of an Alternative Form of Regulation.</w:t>
            </w:r>
          </w:p>
          <w:p w:rsidR="00997E23" w:rsidRPr="00F126CD" w:rsidP="00997E23" w14:paraId="6B8FC291" w14:textId="77777777">
            <w:pPr>
              <w:suppressLineNumbers/>
              <w:ind w:right="342"/>
            </w:pPr>
          </w:p>
          <w:p w:rsidR="00997E23" w:rsidRPr="00F126CD" w:rsidP="00997E23" w14:paraId="0528212D" w14:textId="77777777">
            <w:pPr>
              <w:suppressLineNumbers/>
              <w:ind w:right="342"/>
            </w:pPr>
            <w:r w:rsidRPr="00F126CD">
              <w:t>In the Matter of the Application of Duke Energy Ohio, Inc., for Tariff Approval.</w:t>
            </w:r>
          </w:p>
          <w:p w:rsidR="00997E23" w:rsidRPr="00F126CD" w:rsidP="00997E23" w14:paraId="6F8D6F6C" w14:textId="77777777">
            <w:pPr>
              <w:suppressLineNumbers/>
              <w:ind w:right="342"/>
            </w:pPr>
          </w:p>
          <w:p w:rsidR="00997E23" w:rsidRPr="00B012A9" w:rsidP="00997E23" w14:paraId="6DAD0F86" w14:textId="1FF8654B">
            <w:pPr>
              <w:autoSpaceDE w:val="0"/>
              <w:autoSpaceDN w:val="0"/>
              <w:adjustRightInd w:val="0"/>
              <w:ind w:left="-37" w:right="82"/>
              <w:rPr>
                <w:szCs w:val="24"/>
              </w:rPr>
            </w:pPr>
            <w:r w:rsidRPr="00F126CD">
              <w:t>In the Matter of the Application of Duke Energy Ohio, Inc., for Approval to Change Accounting Methods.</w:t>
            </w:r>
          </w:p>
        </w:tc>
        <w:tc>
          <w:tcPr>
            <w:tcW w:w="720" w:type="dxa"/>
            <w:shd w:val="clear" w:color="auto" w:fill="auto"/>
          </w:tcPr>
          <w:p w:rsidR="00997E23" w:rsidRPr="00F126CD" w:rsidP="00997E23" w14:paraId="58D67F1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997E23" w:rsidRPr="00F126CD" w:rsidP="00997E23" w14:paraId="37D63C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997E23" w:rsidRPr="00F126CD" w:rsidP="00997E23" w14:paraId="30E33A0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997E23" w:rsidRPr="00F126CD" w:rsidP="00997E23" w14:paraId="1834FA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997E23" w:rsidRPr="00F126CD" w:rsidP="00997E23" w14:paraId="43874EE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997E23" w:rsidRPr="00F126CD" w:rsidP="00997E23" w14:paraId="38EB2D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997E23" w:rsidRPr="00F126CD" w:rsidP="00997E23" w14:paraId="314977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997E23" w:rsidRPr="00F126CD" w:rsidP="00997E23" w14:paraId="6A749C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997E23" w:rsidRPr="00F126CD" w:rsidP="00997E23" w14:paraId="169274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997E23" w:rsidRPr="00F126CD" w:rsidP="00997E23" w14:paraId="0B85DF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997E23" w:rsidRPr="00F126CD" w:rsidP="00997E23" w14:paraId="29CDF7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997E23" w:rsidRPr="00F126CD" w:rsidP="00997E23" w14:paraId="5DA3063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997E23" w:rsidRPr="00F126CD" w:rsidP="00997E23" w14:paraId="5231E3B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997E23" w:rsidRPr="00F126CD" w:rsidP="00997E23" w14:paraId="5EFAA4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FD7C06" w:rsidRPr="00F126CD" w:rsidP="00FD7C06" w14:paraId="54EED1B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FD7C06" w:rsidRPr="00F126CD" w:rsidP="00FD7C06" w14:paraId="5A7889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997E23" w:rsidRPr="00B012A9" w:rsidP="00997E23" w14:paraId="7B71E8D7" w14:textId="2576AD9B">
            <w:pPr>
              <w:pStyle w:val="HTMLPreformatted"/>
              <w:rPr>
                <w:rFonts w:ascii="Times New Roman" w:hAnsi="Times New Roman" w:cs="Times New Roman"/>
                <w:sz w:val="24"/>
                <w:szCs w:val="24"/>
              </w:rPr>
            </w:pPr>
          </w:p>
        </w:tc>
        <w:tc>
          <w:tcPr>
            <w:tcW w:w="3888" w:type="dxa"/>
            <w:shd w:val="clear" w:color="auto" w:fill="auto"/>
          </w:tcPr>
          <w:p w:rsidR="00997E23" w:rsidRPr="00F126CD" w:rsidP="00997E23" w14:paraId="3E948F48" w14:textId="77777777">
            <w:pPr>
              <w:autoSpaceDE w:val="0"/>
              <w:autoSpaceDN w:val="0"/>
              <w:adjustRightInd w:val="0"/>
            </w:pPr>
          </w:p>
          <w:p w:rsidR="00997E23" w:rsidRPr="00F126CD" w:rsidP="00997E23" w14:paraId="64498F20" w14:textId="77777777">
            <w:pPr>
              <w:autoSpaceDE w:val="0"/>
              <w:autoSpaceDN w:val="0"/>
              <w:adjustRightInd w:val="0"/>
            </w:pPr>
            <w:r w:rsidRPr="00F126CD">
              <w:t>Case No. 22-507-GA-AIR</w:t>
            </w:r>
          </w:p>
          <w:p w:rsidR="00997E23" w:rsidRPr="00F126CD" w:rsidP="00997E23" w14:paraId="7504B3E3" w14:textId="77777777">
            <w:pPr>
              <w:autoSpaceDE w:val="0"/>
              <w:autoSpaceDN w:val="0"/>
              <w:adjustRightInd w:val="0"/>
            </w:pPr>
          </w:p>
          <w:p w:rsidR="00997E23" w:rsidRPr="00F126CD" w:rsidP="00997E23" w14:paraId="5075EF92" w14:textId="77777777">
            <w:pPr>
              <w:autoSpaceDE w:val="0"/>
              <w:autoSpaceDN w:val="0"/>
              <w:adjustRightInd w:val="0"/>
            </w:pPr>
          </w:p>
          <w:p w:rsidR="00997E23" w:rsidRPr="00F126CD" w:rsidP="00997E23" w14:paraId="5774814A" w14:textId="77777777">
            <w:pPr>
              <w:autoSpaceDE w:val="0"/>
              <w:autoSpaceDN w:val="0"/>
              <w:adjustRightInd w:val="0"/>
            </w:pPr>
          </w:p>
          <w:p w:rsidR="00997E23" w:rsidRPr="00F126CD" w:rsidP="00997E23" w14:paraId="2B90D823" w14:textId="77777777">
            <w:pPr>
              <w:autoSpaceDE w:val="0"/>
              <w:autoSpaceDN w:val="0"/>
              <w:adjustRightInd w:val="0"/>
            </w:pPr>
            <w:r w:rsidRPr="00F126CD">
              <w:t>Case No. 22-508-GA-ALT</w:t>
            </w:r>
          </w:p>
          <w:p w:rsidR="00997E23" w:rsidRPr="00F126CD" w:rsidP="00997E23" w14:paraId="6EC091E6" w14:textId="77777777">
            <w:pPr>
              <w:autoSpaceDE w:val="0"/>
              <w:autoSpaceDN w:val="0"/>
              <w:adjustRightInd w:val="0"/>
            </w:pPr>
          </w:p>
          <w:p w:rsidR="00997E23" w:rsidRPr="00F126CD" w:rsidP="00997E23" w14:paraId="6CAA26ED" w14:textId="77777777">
            <w:pPr>
              <w:autoSpaceDE w:val="0"/>
              <w:autoSpaceDN w:val="0"/>
              <w:adjustRightInd w:val="0"/>
            </w:pPr>
          </w:p>
          <w:p w:rsidR="00997E23" w:rsidRPr="00F126CD" w:rsidP="00997E23" w14:paraId="56A45466" w14:textId="77777777">
            <w:pPr>
              <w:autoSpaceDE w:val="0"/>
              <w:autoSpaceDN w:val="0"/>
              <w:adjustRightInd w:val="0"/>
            </w:pPr>
          </w:p>
          <w:p w:rsidR="00997E23" w:rsidRPr="00F126CD" w:rsidP="00997E23" w14:paraId="7946A218" w14:textId="77777777">
            <w:pPr>
              <w:autoSpaceDE w:val="0"/>
              <w:autoSpaceDN w:val="0"/>
              <w:adjustRightInd w:val="0"/>
            </w:pPr>
            <w:r w:rsidRPr="00F126CD">
              <w:t>Case No. 22-509-GA-ATA</w:t>
            </w:r>
          </w:p>
          <w:p w:rsidR="00997E23" w:rsidRPr="00F126CD" w:rsidP="00997E23" w14:paraId="25C57924" w14:textId="77777777">
            <w:pPr>
              <w:autoSpaceDE w:val="0"/>
              <w:autoSpaceDN w:val="0"/>
              <w:adjustRightInd w:val="0"/>
            </w:pPr>
          </w:p>
          <w:p w:rsidR="00997E23" w:rsidRPr="00F126CD" w:rsidP="00997E23" w14:paraId="23C52ED3" w14:textId="77777777">
            <w:pPr>
              <w:autoSpaceDE w:val="0"/>
              <w:autoSpaceDN w:val="0"/>
              <w:adjustRightInd w:val="0"/>
            </w:pPr>
          </w:p>
          <w:p w:rsidR="00997E23" w:rsidRPr="00F126CD" w:rsidP="00997E23" w14:paraId="5EA218D6" w14:textId="77777777">
            <w:pPr>
              <w:autoSpaceDE w:val="0"/>
              <w:autoSpaceDN w:val="0"/>
              <w:adjustRightInd w:val="0"/>
            </w:pPr>
          </w:p>
          <w:p w:rsidR="00997E23" w:rsidRPr="00F126CD" w:rsidP="00997E23" w14:paraId="0B9FAED3" w14:textId="77777777">
            <w:pPr>
              <w:autoSpaceDE w:val="0"/>
              <w:autoSpaceDN w:val="0"/>
              <w:adjustRightInd w:val="0"/>
            </w:pPr>
            <w:r w:rsidRPr="00F126CD">
              <w:t>Case No. 22-510-GA-AAM</w:t>
            </w:r>
          </w:p>
          <w:p w:rsidR="00997E23" w:rsidRPr="00B012A9" w:rsidP="00997E23" w14:paraId="70386DD3" w14:textId="77777777">
            <w:pPr>
              <w:pStyle w:val="HTMLPreformatted"/>
              <w:rPr>
                <w:rFonts w:ascii="Times New Roman" w:hAnsi="Times New Roman" w:cs="Times New Roman"/>
                <w:sz w:val="24"/>
                <w:szCs w:val="24"/>
              </w:rPr>
            </w:pPr>
          </w:p>
        </w:tc>
      </w:tr>
    </w:tbl>
    <w:p w:rsidR="00836BDA" w:rsidRPr="00B012A9" w:rsidP="00D4185C" w14:paraId="01168CE6" w14:textId="77777777">
      <w:pPr>
        <w:pStyle w:val="HTMLPreformatted"/>
        <w:rPr>
          <w:rFonts w:ascii="Times New Roman" w:hAnsi="Times New Roman" w:cs="Times New Roman"/>
          <w:sz w:val="24"/>
          <w:szCs w:val="24"/>
        </w:rPr>
      </w:pPr>
    </w:p>
    <w:p w:rsidR="00836BDA" w:rsidRPr="00B012A9" w:rsidP="00D4185C" w14:paraId="592801EF" w14:textId="77777777">
      <w:pPr>
        <w:pStyle w:val="HTMLPreformatted"/>
        <w:pBdr>
          <w:top w:val="single" w:sz="12" w:space="1" w:color="auto"/>
        </w:pBdr>
        <w:rPr>
          <w:rFonts w:ascii="Times New Roman" w:hAnsi="Times New Roman" w:cs="Times New Roman"/>
          <w:sz w:val="24"/>
          <w:szCs w:val="24"/>
        </w:rPr>
      </w:pPr>
    </w:p>
    <w:p w:rsidR="00B20BB6" w:rsidRPr="00B012A9" w:rsidP="00B20BB6" w14:paraId="3474001A" w14:textId="0CAE2C92">
      <w:pPr>
        <w:jc w:val="center"/>
        <w:rPr>
          <w:b/>
          <w:bCs/>
          <w:szCs w:val="24"/>
        </w:rPr>
      </w:pPr>
      <w:r w:rsidRPr="00B012A9">
        <w:rPr>
          <w:b/>
          <w:bCs/>
          <w:szCs w:val="24"/>
        </w:rPr>
        <w:t>APPLICATION FOR REHEARING</w:t>
      </w:r>
    </w:p>
    <w:p w:rsidR="00836BDA" w:rsidRPr="00B012A9" w:rsidP="00D4185C" w14:paraId="7FB6E50D" w14:textId="77777777">
      <w:pPr>
        <w:jc w:val="center"/>
        <w:rPr>
          <w:b/>
          <w:bCs/>
          <w:szCs w:val="24"/>
        </w:rPr>
      </w:pPr>
      <w:r w:rsidRPr="00B012A9">
        <w:rPr>
          <w:b/>
          <w:bCs/>
          <w:szCs w:val="24"/>
        </w:rPr>
        <w:t>BY</w:t>
      </w:r>
    </w:p>
    <w:p w:rsidR="00836BDA" w:rsidRPr="00B012A9" w:rsidP="00D4185C" w14:paraId="267E1D55" w14:textId="43EF8A2A">
      <w:pPr>
        <w:jc w:val="center"/>
        <w:rPr>
          <w:b/>
          <w:bCs/>
          <w:szCs w:val="24"/>
        </w:rPr>
      </w:pPr>
      <w:r w:rsidRPr="00B012A9">
        <w:rPr>
          <w:b/>
          <w:bCs/>
          <w:szCs w:val="24"/>
        </w:rPr>
        <w:t>OFFICE OF THE OHIO CONSUMERS’ COUNSEL</w:t>
      </w:r>
    </w:p>
    <w:p w:rsidR="00836BDA" w:rsidRPr="00B012A9" w:rsidP="00D4185C" w14:paraId="4F381839" w14:textId="77777777">
      <w:pPr>
        <w:pBdr>
          <w:bottom w:val="single" w:sz="12" w:space="1" w:color="auto"/>
        </w:pBdr>
        <w:tabs>
          <w:tab w:val="left" w:pos="4320"/>
        </w:tabs>
        <w:rPr>
          <w:szCs w:val="24"/>
        </w:rPr>
      </w:pPr>
    </w:p>
    <w:p w:rsidR="00FA44E5" w:rsidRPr="00B012A9" w:rsidP="00FA44E5" w14:paraId="52EE639F" w14:textId="77777777">
      <w:pPr>
        <w:pStyle w:val="Footer"/>
        <w:tabs>
          <w:tab w:val="left" w:pos="4320"/>
          <w:tab w:val="clear" w:pos="8640"/>
        </w:tabs>
        <w:spacing w:before="240"/>
        <w:ind w:firstLine="4320"/>
        <w:rPr>
          <w:sz w:val="24"/>
          <w:szCs w:val="24"/>
        </w:rPr>
      </w:pPr>
    </w:p>
    <w:p w:rsidR="008633E2" w:rsidRPr="00B012A9" w:rsidP="00997E23" w14:paraId="08AC9A8E" w14:textId="583CA76D">
      <w:pPr>
        <w:pStyle w:val="Footer"/>
        <w:tabs>
          <w:tab w:val="clear" w:pos="4320"/>
          <w:tab w:val="clear" w:pos="8640"/>
        </w:tabs>
        <w:spacing w:before="240"/>
        <w:ind w:firstLine="4320"/>
        <w:rPr>
          <w:sz w:val="24"/>
          <w:szCs w:val="24"/>
        </w:rPr>
      </w:pPr>
      <w:r>
        <w:rPr>
          <w:sz w:val="24"/>
          <w:szCs w:val="24"/>
        </w:rPr>
        <w:t>Maureen R. Willis</w:t>
      </w:r>
      <w:r w:rsidRPr="00B012A9">
        <w:rPr>
          <w:sz w:val="24"/>
          <w:szCs w:val="24"/>
        </w:rPr>
        <w:t xml:space="preserve"> (00</w:t>
      </w:r>
      <w:r w:rsidR="00C16133">
        <w:rPr>
          <w:sz w:val="24"/>
          <w:szCs w:val="24"/>
        </w:rPr>
        <w:t>20847</w:t>
      </w:r>
      <w:r w:rsidRPr="00B012A9">
        <w:rPr>
          <w:sz w:val="24"/>
          <w:szCs w:val="24"/>
        </w:rPr>
        <w:t>)</w:t>
      </w:r>
    </w:p>
    <w:p w:rsidR="008633E2" w:rsidRPr="00B012A9" w:rsidP="00997E23" w14:paraId="60B1FBF9" w14:textId="74682CF4">
      <w:pPr>
        <w:ind w:firstLine="4320"/>
        <w:rPr>
          <w:szCs w:val="24"/>
        </w:rPr>
      </w:pPr>
      <w:r w:rsidRPr="00B012A9">
        <w:rPr>
          <w:szCs w:val="24"/>
        </w:rPr>
        <w:t>Ohio Consumers’ Counsel</w:t>
      </w:r>
    </w:p>
    <w:p w:rsidR="008633E2" w:rsidRPr="00B012A9" w:rsidP="00997E23" w14:paraId="271C56C0" w14:textId="77777777">
      <w:pPr>
        <w:ind w:firstLine="4320"/>
        <w:rPr>
          <w:szCs w:val="24"/>
        </w:rPr>
      </w:pPr>
      <w:r w:rsidRPr="00B012A9">
        <w:rPr>
          <w:szCs w:val="24"/>
        </w:rPr>
        <w:tab/>
      </w:r>
    </w:p>
    <w:p w:rsidR="00997E23" w:rsidRPr="00997E23" w:rsidP="00997E23" w14:paraId="25946946" w14:textId="77777777">
      <w:pPr>
        <w:tabs>
          <w:tab w:val="left" w:pos="4320"/>
        </w:tabs>
        <w:ind w:left="4320"/>
        <w:rPr>
          <w:color w:val="000000"/>
          <w:szCs w:val="24"/>
          <w:lang w:bidi="en-US"/>
        </w:rPr>
      </w:pPr>
      <w:bookmarkStart w:id="0" w:name="_Hlk151026000"/>
      <w:r w:rsidRPr="00997E23">
        <w:rPr>
          <w:color w:val="000000"/>
          <w:szCs w:val="24"/>
          <w:lang w:bidi="en-US"/>
        </w:rPr>
        <w:t>William J. Michael (0070921)</w:t>
      </w:r>
    </w:p>
    <w:p w:rsidR="00997E23" w:rsidRPr="00997E23" w:rsidP="00997E23" w14:paraId="49976604" w14:textId="77777777">
      <w:pPr>
        <w:ind w:left="4320"/>
        <w:rPr>
          <w:color w:val="000000"/>
          <w:szCs w:val="24"/>
          <w:lang w:bidi="en-US"/>
        </w:rPr>
      </w:pPr>
      <w:r w:rsidRPr="00997E23">
        <w:rPr>
          <w:color w:val="000000"/>
          <w:szCs w:val="24"/>
          <w:lang w:bidi="en-US"/>
        </w:rPr>
        <w:t xml:space="preserve">Counsel of Record </w:t>
      </w:r>
    </w:p>
    <w:p w:rsidR="00997E23" w:rsidRPr="00997E23" w:rsidP="00997E23" w14:paraId="50317B26" w14:textId="77777777">
      <w:pPr>
        <w:ind w:left="4320"/>
        <w:rPr>
          <w:szCs w:val="24"/>
          <w:lang w:bidi="en-US"/>
        </w:rPr>
      </w:pPr>
      <w:r w:rsidRPr="00997E23">
        <w:rPr>
          <w:szCs w:val="24"/>
          <w:lang w:bidi="en-US"/>
        </w:rPr>
        <w:t>John Finnigan (0018689)</w:t>
      </w:r>
    </w:p>
    <w:p w:rsidR="00997E23" w:rsidRPr="00997E23" w:rsidP="00997E23" w14:paraId="748E84B9" w14:textId="77777777">
      <w:pPr>
        <w:ind w:left="4320"/>
        <w:rPr>
          <w:color w:val="000000"/>
          <w:szCs w:val="24"/>
          <w:lang w:bidi="en-US"/>
        </w:rPr>
      </w:pPr>
      <w:r w:rsidRPr="00997E23">
        <w:rPr>
          <w:color w:val="000000"/>
          <w:szCs w:val="24"/>
          <w:lang w:bidi="en-US"/>
        </w:rPr>
        <w:t>Assistant Consumers’ Counsel</w:t>
      </w:r>
    </w:p>
    <w:p w:rsidR="00997E23" w:rsidRPr="00997E23" w:rsidP="00997E23" w14:paraId="1A86A971" w14:textId="77777777">
      <w:pPr>
        <w:ind w:left="4320"/>
        <w:rPr>
          <w:b/>
          <w:color w:val="000000"/>
          <w:szCs w:val="24"/>
          <w:lang w:bidi="en-US"/>
        </w:rPr>
      </w:pPr>
    </w:p>
    <w:p w:rsidR="00997E23" w:rsidRPr="00997E23" w:rsidP="00997E23" w14:paraId="3B1F0DD2" w14:textId="77777777">
      <w:pPr>
        <w:ind w:left="4320"/>
        <w:rPr>
          <w:b/>
          <w:color w:val="000000"/>
          <w:szCs w:val="24"/>
          <w:lang w:bidi="en-US"/>
        </w:rPr>
      </w:pPr>
      <w:r w:rsidRPr="00997E23">
        <w:rPr>
          <w:b/>
          <w:color w:val="000000"/>
          <w:szCs w:val="24"/>
          <w:lang w:bidi="en-US"/>
        </w:rPr>
        <w:t>Office of the Ohio Consumers’ Counsel</w:t>
      </w:r>
    </w:p>
    <w:p w:rsidR="00997E23" w:rsidRPr="00997E23" w:rsidP="00997E23" w14:paraId="31620CDA" w14:textId="77777777">
      <w:pPr>
        <w:ind w:left="4320"/>
        <w:rPr>
          <w:color w:val="000000"/>
          <w:szCs w:val="24"/>
          <w:lang w:bidi="en-US"/>
        </w:rPr>
      </w:pPr>
      <w:r w:rsidRPr="00997E23">
        <w:rPr>
          <w:color w:val="000000"/>
          <w:szCs w:val="24"/>
          <w:lang w:bidi="en-US"/>
        </w:rPr>
        <w:t>65 East State Street, Suite 700</w:t>
      </w:r>
    </w:p>
    <w:p w:rsidR="00997E23" w:rsidRPr="00997E23" w:rsidP="00997E23" w14:paraId="1993DFB0" w14:textId="77777777">
      <w:pPr>
        <w:ind w:left="4320"/>
        <w:rPr>
          <w:color w:val="000000"/>
          <w:szCs w:val="24"/>
          <w:lang w:bidi="en-US"/>
        </w:rPr>
      </w:pPr>
      <w:r w:rsidRPr="00997E23">
        <w:rPr>
          <w:color w:val="000000"/>
          <w:szCs w:val="24"/>
          <w:lang w:bidi="en-US"/>
        </w:rPr>
        <w:t>Columbus, Ohio 43215</w:t>
      </w:r>
      <w:r w:rsidRPr="00997E23">
        <w:rPr>
          <w:color w:val="000000"/>
          <w:szCs w:val="24"/>
          <w:lang w:bidi="en-US"/>
        </w:rPr>
        <w:tab/>
      </w:r>
    </w:p>
    <w:p w:rsidR="00997E23" w:rsidRPr="00997E23" w:rsidP="00997E23" w14:paraId="58F92A45" w14:textId="77777777">
      <w:pPr>
        <w:ind w:left="4320"/>
        <w:rPr>
          <w:color w:val="000000"/>
          <w:szCs w:val="24"/>
          <w:lang w:bidi="en-US"/>
        </w:rPr>
      </w:pPr>
      <w:r w:rsidRPr="00997E23">
        <w:rPr>
          <w:color w:val="000000"/>
          <w:szCs w:val="24"/>
          <w:lang w:bidi="en-US"/>
        </w:rPr>
        <w:t>Telephone [Michael]: (614) 466-1291</w:t>
      </w:r>
    </w:p>
    <w:p w:rsidR="00997E23" w:rsidRPr="00997E23" w:rsidP="00997E23" w14:paraId="69D76FE8" w14:textId="77777777">
      <w:pPr>
        <w:ind w:left="3600" w:firstLine="720"/>
        <w:rPr>
          <w:szCs w:val="24"/>
          <w:lang w:bidi="en-US"/>
        </w:rPr>
      </w:pPr>
      <w:r w:rsidRPr="00997E23">
        <w:rPr>
          <w:szCs w:val="24"/>
          <w:lang w:bidi="en-US"/>
        </w:rPr>
        <w:t>Telephone: [Finnigan]: (614) 466-9585</w:t>
      </w:r>
    </w:p>
    <w:p w:rsidR="00997E23" w:rsidRPr="00997E23" w:rsidP="00997E23" w14:paraId="07EA8168" w14:textId="77777777">
      <w:pPr>
        <w:ind w:left="4320"/>
        <w:rPr>
          <w:rFonts w:eastAsia="Courier New"/>
          <w:color w:val="FF0000"/>
          <w:szCs w:val="24"/>
          <w:lang w:bidi="en-US"/>
        </w:rPr>
      </w:pPr>
      <w:hyperlink r:id="rId6" w:history="1">
        <w:r w:rsidRPr="00997E23" w:rsidR="00D07BEE">
          <w:rPr>
            <w:rFonts w:eastAsia="Courier New"/>
            <w:color w:val="0000FF"/>
            <w:szCs w:val="24"/>
            <w:u w:val="single"/>
            <w:lang w:bidi="en-US"/>
          </w:rPr>
          <w:t>william.michael@occ.ohio.gov</w:t>
        </w:r>
      </w:hyperlink>
    </w:p>
    <w:p w:rsidR="00997E23" w:rsidRPr="00997E23" w:rsidP="00997E23" w14:paraId="4A733205" w14:textId="77777777">
      <w:pPr>
        <w:ind w:left="4320"/>
        <w:rPr>
          <w:rFonts w:eastAsia="Courier New"/>
          <w:color w:val="FF0000"/>
          <w:szCs w:val="24"/>
          <w:lang w:bidi="en-US"/>
        </w:rPr>
      </w:pPr>
      <w:hyperlink r:id="rId7" w:history="1">
        <w:r w:rsidRPr="00997E23" w:rsidR="00D07BEE">
          <w:rPr>
            <w:rFonts w:eastAsia="Courier New"/>
            <w:color w:val="0000FF"/>
            <w:szCs w:val="24"/>
            <w:u w:val="single"/>
            <w:lang w:bidi="en-US"/>
          </w:rPr>
          <w:t>john.finnigan@occ.ohio.gov</w:t>
        </w:r>
      </w:hyperlink>
    </w:p>
    <w:p w:rsidR="00997E23" w:rsidP="00997E23" w14:paraId="43E94187" w14:textId="59CFA171">
      <w:pPr>
        <w:rPr>
          <w:szCs w:val="24"/>
          <w:lang w:bidi="en-US"/>
        </w:rPr>
      </w:pPr>
      <w:r>
        <w:rPr>
          <w:szCs w:val="24"/>
          <w:lang w:bidi="en-US"/>
        </w:rPr>
        <w:t>December 1,</w:t>
      </w:r>
      <w:r w:rsidR="00AC7F70">
        <w:rPr>
          <w:szCs w:val="24"/>
          <w:lang w:bidi="en-US"/>
        </w:rPr>
        <w:t xml:space="preserve"> </w:t>
      </w:r>
      <w:r w:rsidRPr="00997E23">
        <w:rPr>
          <w:szCs w:val="24"/>
          <w:lang w:bidi="en-US"/>
        </w:rPr>
        <w:t>2023</w:t>
      </w:r>
      <w:r w:rsidRPr="00997E23">
        <w:rPr>
          <w:szCs w:val="24"/>
          <w:lang w:bidi="en-US"/>
        </w:rPr>
        <w:tab/>
      </w:r>
      <w:r w:rsidRPr="00997E23">
        <w:rPr>
          <w:szCs w:val="24"/>
          <w:lang w:bidi="en-US"/>
        </w:rPr>
        <w:tab/>
      </w:r>
      <w:r w:rsidRPr="00997E23">
        <w:rPr>
          <w:szCs w:val="24"/>
          <w:lang w:bidi="en-US"/>
        </w:rPr>
        <w:tab/>
      </w:r>
      <w:r w:rsidRPr="00997E23">
        <w:rPr>
          <w:szCs w:val="24"/>
          <w:lang w:bidi="en-US"/>
        </w:rPr>
        <w:tab/>
        <w:t>(willing to accept service by e-mail)</w:t>
      </w:r>
    </w:p>
    <w:bookmarkEnd w:id="0"/>
    <w:p w:rsidR="009A61A3" w:rsidP="00997E23" w14:paraId="3BBF3A4B" w14:textId="77777777">
      <w:pPr>
        <w:rPr>
          <w:szCs w:val="24"/>
          <w:lang w:bidi="en-US"/>
        </w:rPr>
        <w:sectPr w:rsidSect="009A61A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26"/>
        </w:sectPr>
      </w:pPr>
    </w:p>
    <w:p w:rsidR="00D8474B" w:rsidRPr="00B012A9" w:rsidP="00D8474B" w14:paraId="72F1483F" w14:textId="3C81F86A">
      <w:pPr>
        <w:pStyle w:val="HTMLPreformatted"/>
        <w:jc w:val="center"/>
        <w:rPr>
          <w:rFonts w:ascii="Times New Roman" w:hAnsi="Times New Roman" w:cs="Times New Roman"/>
          <w:b/>
          <w:bCs/>
          <w:sz w:val="24"/>
          <w:szCs w:val="24"/>
        </w:rPr>
      </w:pPr>
      <w:r w:rsidRPr="00B012A9">
        <w:rPr>
          <w:rFonts w:ascii="Times New Roman" w:hAnsi="Times New Roman" w:cs="Times New Roman"/>
          <w:b/>
          <w:bCs/>
          <w:sz w:val="24"/>
          <w:szCs w:val="24"/>
        </w:rPr>
        <w:t>BEFORE</w:t>
      </w:r>
    </w:p>
    <w:p w:rsidR="00D8474B" w:rsidRPr="00B012A9" w:rsidP="00D8474B" w14:paraId="2D6D8516" w14:textId="77777777">
      <w:pPr>
        <w:pStyle w:val="HTMLPreformatted"/>
        <w:jc w:val="center"/>
        <w:rPr>
          <w:rFonts w:ascii="Times New Roman" w:hAnsi="Times New Roman" w:cs="Times New Roman"/>
          <w:sz w:val="24"/>
          <w:szCs w:val="24"/>
        </w:rPr>
      </w:pPr>
      <w:r w:rsidRPr="00B012A9">
        <w:rPr>
          <w:rFonts w:ascii="Times New Roman" w:hAnsi="Times New Roman" w:cs="Times New Roman"/>
          <w:b/>
          <w:bCs/>
          <w:sz w:val="24"/>
          <w:szCs w:val="24"/>
        </w:rPr>
        <w:t>THE PUBLIC UTILITIES COMMISSION OF OHIO</w:t>
      </w:r>
    </w:p>
    <w:p w:rsidR="00D8474B" w:rsidRPr="00B012A9" w:rsidP="00D8474B" w14:paraId="5D975B8E" w14:textId="77777777">
      <w:pPr>
        <w:pStyle w:val="HTMLPreformatted"/>
        <w:rPr>
          <w:rFonts w:ascii="Times New Roman" w:hAnsi="Times New Roman" w:cs="Times New Roman"/>
          <w:sz w:val="24"/>
          <w:szCs w:val="24"/>
        </w:rPr>
      </w:pPr>
    </w:p>
    <w:tbl>
      <w:tblPr>
        <w:tblW w:w="8730" w:type="dxa"/>
        <w:tblLook w:val="01E0"/>
      </w:tblPr>
      <w:tblGrid>
        <w:gridCol w:w="4122"/>
        <w:gridCol w:w="720"/>
        <w:gridCol w:w="3888"/>
      </w:tblGrid>
      <w:tr w14:paraId="27886B6D" w14:textId="77777777" w:rsidTr="00961305">
        <w:tblPrEx>
          <w:tblW w:w="8730" w:type="dxa"/>
          <w:tblLook w:val="01E0"/>
        </w:tblPrEx>
        <w:trPr>
          <w:trHeight w:val="807"/>
        </w:trPr>
        <w:tc>
          <w:tcPr>
            <w:tcW w:w="4122" w:type="dxa"/>
            <w:shd w:val="clear" w:color="auto" w:fill="auto"/>
          </w:tcPr>
          <w:p w:rsidR="00A37D54" w:rsidRPr="00F126CD" w:rsidP="00A37D54" w14:paraId="3E8A9AB7" w14:textId="77777777">
            <w:pPr>
              <w:suppressLineNumbers/>
              <w:ind w:right="342"/>
            </w:pPr>
            <w:r w:rsidRPr="00F126CD">
              <w:t>I</w:t>
            </w:r>
            <w:r>
              <w:t>n</w:t>
            </w:r>
            <w:r w:rsidRPr="00F126CD">
              <w:t xml:space="preserve"> the Matter of the Application of Duke Energy Ohio, Inc., for an Increase in Natural Gas Rates.</w:t>
            </w:r>
          </w:p>
          <w:p w:rsidR="00A37D54" w:rsidRPr="00F126CD" w:rsidP="00A37D54" w14:paraId="665E38EB" w14:textId="77777777">
            <w:pPr>
              <w:suppressLineNumbers/>
              <w:ind w:right="342"/>
            </w:pPr>
          </w:p>
          <w:p w:rsidR="00A37D54" w:rsidRPr="00F126CD" w:rsidP="00A37D54" w14:paraId="47BA726D" w14:textId="77777777">
            <w:pPr>
              <w:suppressLineNumbers/>
              <w:ind w:right="342"/>
            </w:pPr>
            <w:r w:rsidRPr="00F126CD">
              <w:t>In the Matter of the Application of Duke Energy Ohio, Inc., for Approval of an Alternative Form of Regulation.</w:t>
            </w:r>
          </w:p>
          <w:p w:rsidR="00A37D54" w:rsidRPr="00F126CD" w:rsidP="00A37D54" w14:paraId="56C49E62" w14:textId="77777777">
            <w:pPr>
              <w:suppressLineNumbers/>
              <w:ind w:right="342"/>
            </w:pPr>
          </w:p>
          <w:p w:rsidR="00A37D54" w:rsidRPr="00F126CD" w:rsidP="00A37D54" w14:paraId="4FFCE6D3" w14:textId="77777777">
            <w:pPr>
              <w:suppressLineNumbers/>
              <w:ind w:right="342"/>
            </w:pPr>
            <w:r w:rsidRPr="00F126CD">
              <w:t>In the Matter of the Application of Duke Energy Ohio, Inc., for Tariff Approval.</w:t>
            </w:r>
          </w:p>
          <w:p w:rsidR="00A37D54" w:rsidRPr="00F126CD" w:rsidP="00A37D54" w14:paraId="34300299" w14:textId="77777777">
            <w:pPr>
              <w:suppressLineNumbers/>
              <w:ind w:right="342"/>
            </w:pPr>
          </w:p>
          <w:p w:rsidR="00A37D54" w:rsidRPr="00B012A9" w:rsidP="00A37D54" w14:paraId="61D82ED3" w14:textId="30E0682C">
            <w:pPr>
              <w:autoSpaceDE w:val="0"/>
              <w:autoSpaceDN w:val="0"/>
              <w:adjustRightInd w:val="0"/>
              <w:ind w:left="-37" w:right="82"/>
              <w:rPr>
                <w:szCs w:val="24"/>
              </w:rPr>
            </w:pPr>
            <w:r w:rsidRPr="00F126CD">
              <w:t>In the Matter of the Application of Duke Energy Ohio, Inc., for Approval to Change Accounting Methods.</w:t>
            </w:r>
          </w:p>
        </w:tc>
        <w:tc>
          <w:tcPr>
            <w:tcW w:w="720" w:type="dxa"/>
            <w:shd w:val="clear" w:color="auto" w:fill="auto"/>
          </w:tcPr>
          <w:p w:rsidR="00A37D54" w:rsidRPr="00F126CD" w:rsidP="00A37D54" w14:paraId="7689818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143A8E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2574E89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110BE26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37D54" w:rsidRPr="00F126CD" w:rsidP="00A37D54" w14:paraId="0FF8E1A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59F4CC6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1F519ED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1947BD1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37D54" w:rsidRPr="00F126CD" w:rsidP="00A37D54" w14:paraId="702E79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41ED2C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42E2CE7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12181A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37D54" w:rsidRPr="00F126CD" w:rsidP="00A37D54" w14:paraId="41CAF2B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21CD2D7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FD7C06" w:rsidRPr="00FD7C06" w:rsidP="00FD7C06" w14:paraId="32A6CF78" w14:textId="77777777">
            <w:pPr>
              <w:pStyle w:val="HTMLPreformatted"/>
              <w:rPr>
                <w:rFonts w:ascii="Times New Roman" w:hAnsi="Times New Roman" w:cs="Times New Roman"/>
                <w:sz w:val="24"/>
                <w:szCs w:val="24"/>
              </w:rPr>
            </w:pPr>
            <w:r w:rsidRPr="00FD7C06">
              <w:rPr>
                <w:rFonts w:ascii="Times New Roman" w:hAnsi="Times New Roman" w:cs="Times New Roman"/>
                <w:sz w:val="24"/>
                <w:szCs w:val="24"/>
              </w:rPr>
              <w:t>)</w:t>
            </w:r>
          </w:p>
          <w:p w:rsidR="00A37D54" w:rsidRPr="00B012A9" w:rsidP="00A37D54" w14:paraId="064335CF" w14:textId="2D76CDEB">
            <w:pPr>
              <w:pStyle w:val="HTMLPreformatted"/>
              <w:rPr>
                <w:rFonts w:ascii="Times New Roman" w:hAnsi="Times New Roman" w:cs="Times New Roman"/>
                <w:sz w:val="24"/>
                <w:szCs w:val="24"/>
              </w:rPr>
            </w:pPr>
            <w:r w:rsidRPr="00FD7C06">
              <w:rPr>
                <w:rFonts w:ascii="Times New Roman" w:hAnsi="Times New Roman" w:cs="Times New Roman"/>
                <w:sz w:val="24"/>
                <w:szCs w:val="24"/>
              </w:rPr>
              <w:t>)</w:t>
            </w:r>
          </w:p>
        </w:tc>
        <w:tc>
          <w:tcPr>
            <w:tcW w:w="3888" w:type="dxa"/>
            <w:shd w:val="clear" w:color="auto" w:fill="auto"/>
          </w:tcPr>
          <w:p w:rsidR="00A37D54" w:rsidRPr="00F126CD" w:rsidP="00A37D54" w14:paraId="7943EB03" w14:textId="77777777">
            <w:pPr>
              <w:autoSpaceDE w:val="0"/>
              <w:autoSpaceDN w:val="0"/>
              <w:adjustRightInd w:val="0"/>
            </w:pPr>
          </w:p>
          <w:p w:rsidR="00A37D54" w:rsidRPr="00F126CD" w:rsidP="00A37D54" w14:paraId="3D9BD0A5" w14:textId="77777777">
            <w:pPr>
              <w:autoSpaceDE w:val="0"/>
              <w:autoSpaceDN w:val="0"/>
              <w:adjustRightInd w:val="0"/>
            </w:pPr>
            <w:r w:rsidRPr="00F126CD">
              <w:t>Case No. 22-507-GA-AIR</w:t>
            </w:r>
          </w:p>
          <w:p w:rsidR="00A37D54" w:rsidRPr="00F126CD" w:rsidP="00A37D54" w14:paraId="1DA01BD7" w14:textId="77777777">
            <w:pPr>
              <w:autoSpaceDE w:val="0"/>
              <w:autoSpaceDN w:val="0"/>
              <w:adjustRightInd w:val="0"/>
            </w:pPr>
          </w:p>
          <w:p w:rsidR="00A37D54" w:rsidRPr="00F126CD" w:rsidP="00A37D54" w14:paraId="2258CF0A" w14:textId="77777777">
            <w:pPr>
              <w:autoSpaceDE w:val="0"/>
              <w:autoSpaceDN w:val="0"/>
              <w:adjustRightInd w:val="0"/>
            </w:pPr>
          </w:p>
          <w:p w:rsidR="00A37D54" w:rsidRPr="00F126CD" w:rsidP="00A37D54" w14:paraId="440B747F" w14:textId="77777777">
            <w:pPr>
              <w:autoSpaceDE w:val="0"/>
              <w:autoSpaceDN w:val="0"/>
              <w:adjustRightInd w:val="0"/>
            </w:pPr>
          </w:p>
          <w:p w:rsidR="00A37D54" w:rsidRPr="00F126CD" w:rsidP="00A37D54" w14:paraId="0680F904" w14:textId="77777777">
            <w:pPr>
              <w:autoSpaceDE w:val="0"/>
              <w:autoSpaceDN w:val="0"/>
              <w:adjustRightInd w:val="0"/>
            </w:pPr>
            <w:r w:rsidRPr="00F126CD">
              <w:t>Case No. 22-508-GA-ALT</w:t>
            </w:r>
          </w:p>
          <w:p w:rsidR="00A37D54" w:rsidRPr="00F126CD" w:rsidP="00A37D54" w14:paraId="1CDDCFDE" w14:textId="77777777">
            <w:pPr>
              <w:autoSpaceDE w:val="0"/>
              <w:autoSpaceDN w:val="0"/>
              <w:adjustRightInd w:val="0"/>
            </w:pPr>
          </w:p>
          <w:p w:rsidR="00A37D54" w:rsidRPr="00F126CD" w:rsidP="00A37D54" w14:paraId="047C4115" w14:textId="77777777">
            <w:pPr>
              <w:autoSpaceDE w:val="0"/>
              <w:autoSpaceDN w:val="0"/>
              <w:adjustRightInd w:val="0"/>
            </w:pPr>
          </w:p>
          <w:p w:rsidR="00A37D54" w:rsidRPr="00F126CD" w:rsidP="00A37D54" w14:paraId="2DD97668" w14:textId="77777777">
            <w:pPr>
              <w:autoSpaceDE w:val="0"/>
              <w:autoSpaceDN w:val="0"/>
              <w:adjustRightInd w:val="0"/>
            </w:pPr>
          </w:p>
          <w:p w:rsidR="00A37D54" w:rsidRPr="00F126CD" w:rsidP="00A37D54" w14:paraId="0AA03AF7" w14:textId="77777777">
            <w:pPr>
              <w:autoSpaceDE w:val="0"/>
              <w:autoSpaceDN w:val="0"/>
              <w:adjustRightInd w:val="0"/>
            </w:pPr>
            <w:r w:rsidRPr="00F126CD">
              <w:t>Case No. 22-509-GA-ATA</w:t>
            </w:r>
          </w:p>
          <w:p w:rsidR="00A37D54" w:rsidRPr="00F126CD" w:rsidP="00A37D54" w14:paraId="4002DEA3" w14:textId="77777777">
            <w:pPr>
              <w:autoSpaceDE w:val="0"/>
              <w:autoSpaceDN w:val="0"/>
              <w:adjustRightInd w:val="0"/>
            </w:pPr>
          </w:p>
          <w:p w:rsidR="00A37D54" w:rsidRPr="00F126CD" w:rsidP="00A37D54" w14:paraId="4923E2F0" w14:textId="77777777">
            <w:pPr>
              <w:autoSpaceDE w:val="0"/>
              <w:autoSpaceDN w:val="0"/>
              <w:adjustRightInd w:val="0"/>
            </w:pPr>
          </w:p>
          <w:p w:rsidR="00A37D54" w:rsidRPr="00F126CD" w:rsidP="00A37D54" w14:paraId="00C5F539" w14:textId="77777777">
            <w:pPr>
              <w:autoSpaceDE w:val="0"/>
              <w:autoSpaceDN w:val="0"/>
              <w:adjustRightInd w:val="0"/>
            </w:pPr>
          </w:p>
          <w:p w:rsidR="00A37D54" w:rsidRPr="00F126CD" w:rsidP="00A37D54" w14:paraId="455D2BA0" w14:textId="77777777">
            <w:pPr>
              <w:autoSpaceDE w:val="0"/>
              <w:autoSpaceDN w:val="0"/>
              <w:adjustRightInd w:val="0"/>
            </w:pPr>
            <w:r w:rsidRPr="00F126CD">
              <w:t>Case No. 22-510-GA-AAM</w:t>
            </w:r>
          </w:p>
          <w:p w:rsidR="00A37D54" w:rsidRPr="00B012A9" w:rsidP="00A37D54" w14:paraId="54B10E8F" w14:textId="77777777">
            <w:pPr>
              <w:pStyle w:val="HTMLPreformatted"/>
              <w:rPr>
                <w:rFonts w:ascii="Times New Roman" w:hAnsi="Times New Roman" w:cs="Times New Roman"/>
                <w:sz w:val="24"/>
                <w:szCs w:val="24"/>
              </w:rPr>
            </w:pPr>
          </w:p>
        </w:tc>
      </w:tr>
    </w:tbl>
    <w:p w:rsidR="00D8474B" w:rsidRPr="00B012A9" w:rsidP="00D8474B" w14:paraId="60455277" w14:textId="77777777">
      <w:pPr>
        <w:pStyle w:val="HTMLPreformatted"/>
        <w:rPr>
          <w:rFonts w:ascii="Times New Roman" w:hAnsi="Times New Roman" w:cs="Times New Roman"/>
          <w:sz w:val="24"/>
          <w:szCs w:val="24"/>
        </w:rPr>
      </w:pPr>
    </w:p>
    <w:p w:rsidR="00D8474B" w:rsidRPr="00B012A9" w:rsidP="00D8474B" w14:paraId="5E798774" w14:textId="77777777">
      <w:pPr>
        <w:pStyle w:val="HTMLPreformatted"/>
        <w:pBdr>
          <w:top w:val="single" w:sz="12" w:space="1" w:color="auto"/>
        </w:pBdr>
        <w:rPr>
          <w:rFonts w:ascii="Times New Roman" w:hAnsi="Times New Roman" w:cs="Times New Roman"/>
          <w:sz w:val="24"/>
          <w:szCs w:val="24"/>
        </w:rPr>
      </w:pPr>
    </w:p>
    <w:p w:rsidR="00545D7B" w:rsidRPr="00B012A9" w:rsidP="00D8474B" w14:paraId="6054E4CC" w14:textId="77777777">
      <w:pPr>
        <w:jc w:val="center"/>
        <w:rPr>
          <w:b/>
          <w:bCs/>
          <w:szCs w:val="24"/>
        </w:rPr>
      </w:pPr>
      <w:r w:rsidRPr="00B012A9">
        <w:rPr>
          <w:b/>
          <w:bCs/>
          <w:szCs w:val="24"/>
        </w:rPr>
        <w:t>APPLICATION FOR REHEARING</w:t>
      </w:r>
    </w:p>
    <w:p w:rsidR="00D8474B" w:rsidRPr="00B012A9" w:rsidP="00D8474B" w14:paraId="14D45104" w14:textId="33DA438C">
      <w:pPr>
        <w:jc w:val="center"/>
        <w:rPr>
          <w:b/>
          <w:bCs/>
          <w:szCs w:val="24"/>
        </w:rPr>
      </w:pPr>
      <w:r w:rsidRPr="00B012A9">
        <w:rPr>
          <w:b/>
          <w:bCs/>
          <w:szCs w:val="24"/>
        </w:rPr>
        <w:t>B</w:t>
      </w:r>
      <w:r w:rsidRPr="00B012A9" w:rsidR="00DB58A9">
        <w:rPr>
          <w:b/>
          <w:bCs/>
          <w:szCs w:val="24"/>
        </w:rPr>
        <w:t>Y</w:t>
      </w:r>
    </w:p>
    <w:p w:rsidR="00D8474B" w:rsidRPr="00B012A9" w:rsidP="00D8474B" w14:paraId="3034CFF6" w14:textId="77777777">
      <w:pPr>
        <w:jc w:val="center"/>
        <w:rPr>
          <w:b/>
          <w:bCs/>
          <w:szCs w:val="24"/>
        </w:rPr>
      </w:pPr>
      <w:r w:rsidRPr="00B012A9">
        <w:rPr>
          <w:b/>
          <w:bCs/>
          <w:szCs w:val="24"/>
        </w:rPr>
        <w:t>OFFICE OF THE OHIO CONSUMERS’ COUNSEL</w:t>
      </w:r>
    </w:p>
    <w:p w:rsidR="00D8474B" w:rsidRPr="00B012A9" w:rsidP="004014B1" w14:paraId="751ACB1C" w14:textId="77777777">
      <w:pPr>
        <w:pBdr>
          <w:bottom w:val="single" w:sz="12" w:space="1" w:color="auto"/>
        </w:pBdr>
        <w:tabs>
          <w:tab w:val="left" w:pos="4320"/>
        </w:tabs>
        <w:spacing w:after="240"/>
        <w:rPr>
          <w:szCs w:val="24"/>
        </w:rPr>
      </w:pPr>
    </w:p>
    <w:p w:rsidR="00E4022F" w:rsidP="00E4022F" w14:paraId="454C4816" w14:textId="14107D32">
      <w:pPr>
        <w:pBdr>
          <w:top w:val="nil"/>
          <w:left w:val="nil"/>
          <w:bottom w:val="nil"/>
          <w:right w:val="nil"/>
          <w:between w:val="nil"/>
          <w:bar w:val="nil"/>
        </w:pBdr>
        <w:spacing w:line="480" w:lineRule="auto"/>
        <w:ind w:firstLine="720"/>
        <w:contextualSpacing/>
        <w:rPr>
          <w:rFonts w:eastAsia="Arial Unicode MS"/>
          <w:bCs/>
          <w:iCs/>
          <w:szCs w:val="24"/>
          <w:bdr w:val="nil"/>
        </w:rPr>
      </w:pPr>
      <w:r w:rsidRPr="00B012A9">
        <w:rPr>
          <w:szCs w:val="24"/>
        </w:rPr>
        <w:t>The PUCO</w:t>
      </w:r>
      <w:r w:rsidRPr="00B012A9" w:rsidR="005D5BD4">
        <w:rPr>
          <w:szCs w:val="24"/>
        </w:rPr>
        <w:t xml:space="preserve">’s </w:t>
      </w:r>
      <w:r w:rsidR="004B5404">
        <w:rPr>
          <w:szCs w:val="24"/>
        </w:rPr>
        <w:t xml:space="preserve">November 1, 2023, </w:t>
      </w:r>
      <w:r w:rsidRPr="00B012A9">
        <w:rPr>
          <w:szCs w:val="24"/>
        </w:rPr>
        <w:t>Opinion and Order adopt</w:t>
      </w:r>
      <w:r w:rsidR="009549C0">
        <w:rPr>
          <w:szCs w:val="24"/>
        </w:rPr>
        <w:t>s</w:t>
      </w:r>
      <w:r w:rsidRPr="00B012A9">
        <w:rPr>
          <w:szCs w:val="24"/>
        </w:rPr>
        <w:t xml:space="preserve"> </w:t>
      </w:r>
      <w:r w:rsidR="009549C0">
        <w:rPr>
          <w:szCs w:val="24"/>
        </w:rPr>
        <w:t>a</w:t>
      </w:r>
      <w:r w:rsidRPr="00B012A9" w:rsidR="005D5BD4">
        <w:rPr>
          <w:szCs w:val="24"/>
        </w:rPr>
        <w:t xml:space="preserve"> Settlement</w:t>
      </w:r>
      <w:r w:rsidR="009549C0">
        <w:rPr>
          <w:szCs w:val="24"/>
        </w:rPr>
        <w:t xml:space="preserve"> between Duke, the PUCO Staff and others that</w:t>
      </w:r>
      <w:r w:rsidRPr="00B012A9" w:rsidR="005D5BD4">
        <w:rPr>
          <w:szCs w:val="24"/>
        </w:rPr>
        <w:t xml:space="preserve"> </w:t>
      </w:r>
      <w:r w:rsidRPr="00B012A9">
        <w:rPr>
          <w:szCs w:val="24"/>
        </w:rPr>
        <w:t>allows D</w:t>
      </w:r>
      <w:r w:rsidR="00392CDE">
        <w:rPr>
          <w:szCs w:val="24"/>
        </w:rPr>
        <w:t>uke</w:t>
      </w:r>
      <w:r w:rsidRPr="00B012A9">
        <w:rPr>
          <w:szCs w:val="24"/>
        </w:rPr>
        <w:t xml:space="preserve"> to </w:t>
      </w:r>
      <w:r w:rsidRPr="00FA2895" w:rsidR="00392CDE">
        <w:rPr>
          <w:szCs w:val="24"/>
          <w:lang w:bidi="en-US"/>
        </w:rPr>
        <w:t xml:space="preserve">charge consumers </w:t>
      </w:r>
      <w:r w:rsidR="00104E6B">
        <w:rPr>
          <w:szCs w:val="24"/>
          <w:lang w:bidi="en-US"/>
        </w:rPr>
        <w:t xml:space="preserve">approximately </w:t>
      </w:r>
      <w:r w:rsidRPr="00FA2895" w:rsidR="00392CDE">
        <w:rPr>
          <w:szCs w:val="24"/>
          <w:lang w:bidi="en-US"/>
        </w:rPr>
        <w:t xml:space="preserve">$29 million for deferred </w:t>
      </w:r>
      <w:r w:rsidR="00736299">
        <w:rPr>
          <w:szCs w:val="24"/>
          <w:lang w:bidi="en-US"/>
        </w:rPr>
        <w:t>“</w:t>
      </w:r>
      <w:r w:rsidRPr="00FA2895" w:rsidR="00392CDE">
        <w:rPr>
          <w:szCs w:val="24"/>
          <w:lang w:bidi="en-US"/>
        </w:rPr>
        <w:t>costs</w:t>
      </w:r>
      <w:r w:rsidR="00736299">
        <w:rPr>
          <w:szCs w:val="24"/>
          <w:lang w:bidi="en-US"/>
        </w:rPr>
        <w:t>”</w:t>
      </w:r>
      <w:r w:rsidRPr="00FA2895" w:rsidR="00392CDE">
        <w:rPr>
          <w:szCs w:val="24"/>
          <w:lang w:bidi="en-US"/>
        </w:rPr>
        <w:t xml:space="preserve"> related to </w:t>
      </w:r>
      <w:r w:rsidR="00535964">
        <w:rPr>
          <w:szCs w:val="24"/>
          <w:lang w:bidi="en-US"/>
        </w:rPr>
        <w:t>propane facilities</w:t>
      </w:r>
      <w:r w:rsidR="001051CC">
        <w:rPr>
          <w:szCs w:val="24"/>
          <w:lang w:bidi="en-US"/>
        </w:rPr>
        <w:t xml:space="preserve"> that are not used and useful in providing service to Duke’s </w:t>
      </w:r>
      <w:r w:rsidR="001371C3">
        <w:rPr>
          <w:szCs w:val="24"/>
          <w:lang w:bidi="en-US"/>
        </w:rPr>
        <w:t xml:space="preserve">411,000 </w:t>
      </w:r>
      <w:r w:rsidR="006B0ADA">
        <w:rPr>
          <w:szCs w:val="24"/>
          <w:lang w:bidi="en-US"/>
        </w:rPr>
        <w:t>Cincinnati</w:t>
      </w:r>
      <w:r w:rsidR="001371C3">
        <w:rPr>
          <w:szCs w:val="24"/>
          <w:lang w:bidi="en-US"/>
        </w:rPr>
        <w:t>-area</w:t>
      </w:r>
      <w:r w:rsidR="001051CC">
        <w:rPr>
          <w:szCs w:val="24"/>
          <w:lang w:bidi="en-US"/>
        </w:rPr>
        <w:t xml:space="preserve"> consumers.</w:t>
      </w:r>
      <w:r w:rsidR="00271E6F">
        <w:rPr>
          <w:szCs w:val="24"/>
          <w:lang w:bidi="en-US"/>
        </w:rPr>
        <w:t xml:space="preserve"> </w:t>
      </w:r>
      <w:r w:rsidR="009C6AC5">
        <w:rPr>
          <w:szCs w:val="24"/>
          <w:lang w:bidi="en-US"/>
        </w:rPr>
        <w:t xml:space="preserve">And </w:t>
      </w:r>
      <w:r w:rsidR="00736299">
        <w:rPr>
          <w:szCs w:val="24"/>
          <w:lang w:bidi="en-US"/>
        </w:rPr>
        <w:t>the Settlement</w:t>
      </w:r>
      <w:r w:rsidR="00DF6AA5">
        <w:rPr>
          <w:szCs w:val="24"/>
          <w:lang w:bidi="en-US"/>
        </w:rPr>
        <w:t xml:space="preserve"> </w:t>
      </w:r>
      <w:r w:rsidR="009C6AC5">
        <w:rPr>
          <w:szCs w:val="24"/>
          <w:lang w:bidi="en-US"/>
        </w:rPr>
        <w:t>allows Duke to charge consumers</w:t>
      </w:r>
      <w:r w:rsidR="001F59AA">
        <w:rPr>
          <w:szCs w:val="24"/>
        </w:rPr>
        <w:t xml:space="preserve"> </w:t>
      </w:r>
      <w:r w:rsidRPr="00FA2895">
        <w:rPr>
          <w:rFonts w:eastAsia="Arial Unicode MS"/>
          <w:bCs/>
          <w:iCs/>
          <w:szCs w:val="24"/>
          <w:bdr w:val="nil"/>
        </w:rPr>
        <w:t xml:space="preserve">$2,132,937 </w:t>
      </w:r>
      <w:r>
        <w:rPr>
          <w:rFonts w:eastAsia="Arial Unicode MS"/>
          <w:bCs/>
          <w:iCs/>
          <w:szCs w:val="24"/>
          <w:bdr w:val="nil"/>
        </w:rPr>
        <w:t xml:space="preserve">to </w:t>
      </w:r>
      <w:bookmarkStart w:id="1" w:name="_Hlk151045988"/>
      <w:r>
        <w:rPr>
          <w:rFonts w:eastAsia="Arial Unicode MS"/>
          <w:bCs/>
          <w:iCs/>
          <w:szCs w:val="24"/>
          <w:bdr w:val="nil"/>
        </w:rPr>
        <w:t xml:space="preserve">fund </w:t>
      </w:r>
      <w:r>
        <w:rPr>
          <w:szCs w:val="24"/>
          <w:lang w:bidi="en-US"/>
        </w:rPr>
        <w:t xml:space="preserve">financial performance incentives </w:t>
      </w:r>
      <w:r w:rsidR="009C6AC5">
        <w:rPr>
          <w:rFonts w:eastAsia="Arial Unicode MS"/>
          <w:bCs/>
          <w:iCs/>
          <w:szCs w:val="24"/>
          <w:bdr w:val="nil"/>
        </w:rPr>
        <w:t>that</w:t>
      </w:r>
      <w:r>
        <w:rPr>
          <w:rFonts w:eastAsia="Arial Unicode MS"/>
          <w:bCs/>
          <w:iCs/>
          <w:szCs w:val="24"/>
          <w:bdr w:val="nil"/>
        </w:rPr>
        <w:t xml:space="preserve"> do not benefit consumers</w:t>
      </w:r>
      <w:r w:rsidR="00736299">
        <w:rPr>
          <w:rFonts w:eastAsia="Arial Unicode MS"/>
          <w:bCs/>
          <w:iCs/>
          <w:szCs w:val="24"/>
          <w:bdr w:val="nil"/>
        </w:rPr>
        <w:t xml:space="preserve"> and are not necessary in providing utility service</w:t>
      </w:r>
      <w:r>
        <w:rPr>
          <w:rFonts w:eastAsia="Arial Unicode MS"/>
          <w:bCs/>
          <w:iCs/>
          <w:szCs w:val="24"/>
          <w:bdr w:val="nil"/>
        </w:rPr>
        <w:t>.</w:t>
      </w:r>
      <w:bookmarkEnd w:id="1"/>
    </w:p>
    <w:p w:rsidR="0042350A" w:rsidRPr="00B012A9" w:rsidP="00ED4695" w14:paraId="382F8072" w14:textId="5B5E3BAC">
      <w:pPr>
        <w:pBdr>
          <w:top w:val="nil"/>
          <w:left w:val="nil"/>
          <w:bottom w:val="nil"/>
          <w:right w:val="nil"/>
          <w:between w:val="nil"/>
          <w:bar w:val="nil"/>
        </w:pBdr>
        <w:spacing w:line="480" w:lineRule="auto"/>
        <w:contextualSpacing/>
        <w:rPr>
          <w:szCs w:val="24"/>
        </w:rPr>
      </w:pPr>
      <w:r>
        <w:rPr>
          <w:rFonts w:eastAsia="Arial Unicode MS"/>
          <w:bCs/>
          <w:iCs/>
          <w:szCs w:val="24"/>
          <w:bdr w:val="nil"/>
        </w:rPr>
        <w:tab/>
      </w:r>
      <w:r w:rsidRPr="00B012A9">
        <w:rPr>
          <w:szCs w:val="24"/>
        </w:rPr>
        <w:t xml:space="preserve">The Opinion and Order </w:t>
      </w:r>
      <w:r w:rsidRPr="00B012A9" w:rsidR="006840FA">
        <w:rPr>
          <w:szCs w:val="24"/>
        </w:rPr>
        <w:t xml:space="preserve">adopting the Settlement </w:t>
      </w:r>
      <w:r w:rsidRPr="00B012A9">
        <w:rPr>
          <w:szCs w:val="24"/>
        </w:rPr>
        <w:t xml:space="preserve">is unreasonable and unlawful and contrary to the public interest. </w:t>
      </w:r>
      <w:r w:rsidRPr="00B012A9" w:rsidR="00E20EB4">
        <w:rPr>
          <w:szCs w:val="24"/>
        </w:rPr>
        <w:t xml:space="preserve">The Settlement also violates </w:t>
      </w:r>
      <w:r w:rsidR="004B5404">
        <w:rPr>
          <w:szCs w:val="24"/>
        </w:rPr>
        <w:t>R.C. 4909.15, R.C. 4903.09</w:t>
      </w:r>
      <w:r w:rsidR="009C6AC5">
        <w:rPr>
          <w:szCs w:val="24"/>
        </w:rPr>
        <w:t>,</w:t>
      </w:r>
      <w:r w:rsidR="004B5404">
        <w:rPr>
          <w:szCs w:val="24"/>
        </w:rPr>
        <w:t xml:space="preserve"> and </w:t>
      </w:r>
      <w:r w:rsidRPr="00B012A9" w:rsidR="00E20EB4">
        <w:rPr>
          <w:szCs w:val="24"/>
        </w:rPr>
        <w:t xml:space="preserve">important regulatory </w:t>
      </w:r>
      <w:r w:rsidRPr="00B012A9" w:rsidR="003C7D4D">
        <w:rPr>
          <w:szCs w:val="24"/>
        </w:rPr>
        <w:t>principles</w:t>
      </w:r>
      <w:r w:rsidR="009C6AC5">
        <w:rPr>
          <w:szCs w:val="24"/>
        </w:rPr>
        <w:t xml:space="preserve">. </w:t>
      </w:r>
      <w:r w:rsidRPr="00B012A9">
        <w:rPr>
          <w:szCs w:val="24"/>
        </w:rPr>
        <w:t xml:space="preserve">Accordingly, under R.C. 4903.10, OCC applies for rehearing of the Order. </w:t>
      </w:r>
      <w:r>
        <w:rPr>
          <w:szCs w:val="24"/>
        </w:rPr>
        <w:t xml:space="preserve">The </w:t>
      </w:r>
      <w:r w:rsidRPr="00B012A9">
        <w:rPr>
          <w:szCs w:val="24"/>
        </w:rPr>
        <w:t xml:space="preserve">PUCO’s Order </w:t>
      </w:r>
      <w:r>
        <w:rPr>
          <w:szCs w:val="24"/>
        </w:rPr>
        <w:t xml:space="preserve">issued on November 1, 2023 </w:t>
      </w:r>
      <w:r w:rsidRPr="00B012A9">
        <w:rPr>
          <w:szCs w:val="24"/>
        </w:rPr>
        <w:t xml:space="preserve">was </w:t>
      </w:r>
      <w:r>
        <w:rPr>
          <w:szCs w:val="24"/>
        </w:rPr>
        <w:t>unreasonable and unlawful</w:t>
      </w:r>
      <w:r w:rsidRPr="00B012A9">
        <w:rPr>
          <w:szCs w:val="24"/>
        </w:rPr>
        <w:t xml:space="preserve"> in the following </w:t>
      </w:r>
      <w:r>
        <w:rPr>
          <w:szCs w:val="24"/>
        </w:rPr>
        <w:t>particulars</w:t>
      </w:r>
      <w:r w:rsidRPr="00B012A9">
        <w:rPr>
          <w:szCs w:val="24"/>
        </w:rPr>
        <w:t xml:space="preserve">: </w:t>
      </w:r>
    </w:p>
    <w:p w:rsidR="004920F9" w:rsidP="004A4611" w14:paraId="27063346" w14:textId="492425A7">
      <w:pPr>
        <w:widowControl w:val="0"/>
        <w:ind w:left="720"/>
        <w:rPr>
          <w:szCs w:val="24"/>
        </w:rPr>
      </w:pPr>
      <w:bookmarkStart w:id="2" w:name="_Hlk98511697"/>
      <w:bookmarkStart w:id="3" w:name="_Hlk151915643"/>
      <w:r w:rsidRPr="00C26D22">
        <w:rPr>
          <w:szCs w:val="24"/>
        </w:rPr>
        <w:t>ASSIGNMENT OF ERROR NO. 1: The PUCO erred by approving a Settlement that does not benefit consumers and the public interest and violates R.C. 4909.15</w:t>
      </w:r>
      <w:r w:rsidR="00736299">
        <w:rPr>
          <w:szCs w:val="24"/>
        </w:rPr>
        <w:t>.</w:t>
      </w:r>
      <w:r w:rsidRPr="00C26D22">
        <w:rPr>
          <w:szCs w:val="24"/>
        </w:rPr>
        <w:t xml:space="preserve"> </w:t>
      </w:r>
      <w:r w:rsidR="009A1321">
        <w:rPr>
          <w:szCs w:val="24"/>
        </w:rPr>
        <w:t xml:space="preserve">The PUCO’s Order </w:t>
      </w:r>
      <w:r w:rsidR="00736299">
        <w:rPr>
          <w:szCs w:val="24"/>
        </w:rPr>
        <w:t xml:space="preserve">wrongfully </w:t>
      </w:r>
      <w:r w:rsidR="00887561">
        <w:rPr>
          <w:szCs w:val="24"/>
        </w:rPr>
        <w:t xml:space="preserve">found that Duke’s propane </w:t>
      </w:r>
      <w:r w:rsidR="001371C3">
        <w:rPr>
          <w:szCs w:val="24"/>
        </w:rPr>
        <w:t>facilities</w:t>
      </w:r>
      <w:r w:rsidR="00887561">
        <w:rPr>
          <w:szCs w:val="24"/>
        </w:rPr>
        <w:t xml:space="preserve"> were used and useful at date certain in providing service to Duke’s consumers when they were not and allowed Duke </w:t>
      </w:r>
      <w:r w:rsidRPr="00C26D22">
        <w:rPr>
          <w:szCs w:val="24"/>
        </w:rPr>
        <w:t xml:space="preserve">to charge consumers for </w:t>
      </w:r>
      <w:r w:rsidR="00887561">
        <w:rPr>
          <w:szCs w:val="24"/>
        </w:rPr>
        <w:t xml:space="preserve">the </w:t>
      </w:r>
      <w:r w:rsidR="00E82907">
        <w:rPr>
          <w:szCs w:val="24"/>
        </w:rPr>
        <w:t>plant</w:t>
      </w:r>
      <w:r w:rsidR="00887561">
        <w:rPr>
          <w:szCs w:val="24"/>
        </w:rPr>
        <w:t>.</w:t>
      </w:r>
      <w:r w:rsidR="00E82907">
        <w:rPr>
          <w:szCs w:val="24"/>
        </w:rPr>
        <w:t xml:space="preserve"> </w:t>
      </w:r>
      <w:r w:rsidR="001371C3">
        <w:rPr>
          <w:szCs w:val="24"/>
        </w:rPr>
        <w:t xml:space="preserve">The PUCO’s decision was wrong and against the manifest weight of the evidence </w:t>
      </w:r>
      <w:r w:rsidR="00736299">
        <w:rPr>
          <w:szCs w:val="24"/>
        </w:rPr>
        <w:t xml:space="preserve">contrary to R.C. 4903.09 and Supreme Court precedent, </w:t>
      </w:r>
      <w:r w:rsidRPr="003858B5" w:rsidR="00F947B6">
        <w:rPr>
          <w:i/>
          <w:iCs/>
          <w:szCs w:val="24"/>
        </w:rPr>
        <w:t>Consumers’ Counsel</w:t>
      </w:r>
      <w:r w:rsidR="00F947B6">
        <w:rPr>
          <w:szCs w:val="24"/>
        </w:rPr>
        <w:t xml:space="preserve"> and </w:t>
      </w:r>
      <w:r w:rsidRPr="003858B5" w:rsidR="00F947B6">
        <w:rPr>
          <w:i/>
          <w:iCs/>
          <w:szCs w:val="24"/>
        </w:rPr>
        <w:t>AK Steel</w:t>
      </w:r>
      <w:r w:rsidR="00F947B6">
        <w:rPr>
          <w:szCs w:val="24"/>
        </w:rPr>
        <w:t>.</w:t>
      </w:r>
      <w:r>
        <w:rPr>
          <w:rStyle w:val="FootnoteReference"/>
          <w:szCs w:val="24"/>
        </w:rPr>
        <w:footnoteReference w:id="2"/>
      </w:r>
    </w:p>
    <w:p w:rsidR="00C26D22" w:rsidP="004A4611" w14:paraId="4F8CE132" w14:textId="77777777">
      <w:pPr>
        <w:widowControl w:val="0"/>
        <w:ind w:left="720"/>
        <w:rPr>
          <w:szCs w:val="24"/>
        </w:rPr>
      </w:pPr>
    </w:p>
    <w:p w:rsidR="00C26D22" w:rsidP="00214647" w14:paraId="33DEB75D" w14:textId="372046E3">
      <w:pPr>
        <w:widowControl w:val="0"/>
        <w:ind w:left="720"/>
        <w:rPr>
          <w:szCs w:val="24"/>
        </w:rPr>
      </w:pPr>
      <w:bookmarkStart w:id="4" w:name="_Hlk151047035"/>
      <w:bookmarkEnd w:id="2"/>
      <w:bookmarkEnd w:id="3"/>
      <w:r w:rsidRPr="00C26D22">
        <w:rPr>
          <w:szCs w:val="24"/>
        </w:rPr>
        <w:t xml:space="preserve">ASSIGNMENT OF ERROR NO. </w:t>
      </w:r>
      <w:r w:rsidR="00736299">
        <w:rPr>
          <w:szCs w:val="24"/>
        </w:rPr>
        <w:t>2</w:t>
      </w:r>
      <w:r w:rsidR="00214647">
        <w:rPr>
          <w:szCs w:val="24"/>
        </w:rPr>
        <w:t xml:space="preserve">: </w:t>
      </w:r>
      <w:r w:rsidR="00887561">
        <w:rPr>
          <w:szCs w:val="24"/>
        </w:rPr>
        <w:t>The PUCO erred in using accounting deferrals to change utility assets into expenses, and then treated the assets as expenses</w:t>
      </w:r>
      <w:r w:rsidR="00DC37B8">
        <w:rPr>
          <w:szCs w:val="24"/>
        </w:rPr>
        <w:t xml:space="preserve"> to be c</w:t>
      </w:r>
      <w:r w:rsidR="00887561">
        <w:rPr>
          <w:szCs w:val="24"/>
        </w:rPr>
        <w:t>ollected from cons</w:t>
      </w:r>
      <w:r w:rsidR="00214647">
        <w:rPr>
          <w:szCs w:val="24"/>
        </w:rPr>
        <w:t>u</w:t>
      </w:r>
      <w:r w:rsidR="00887561">
        <w:rPr>
          <w:szCs w:val="24"/>
        </w:rPr>
        <w:t>mers over a ten</w:t>
      </w:r>
      <w:r w:rsidR="00214647">
        <w:rPr>
          <w:szCs w:val="24"/>
        </w:rPr>
        <w:t>-</w:t>
      </w:r>
      <w:r w:rsidR="00887561">
        <w:rPr>
          <w:szCs w:val="24"/>
        </w:rPr>
        <w:t>year period.</w:t>
      </w:r>
      <w:r w:rsidR="00AC7F70">
        <w:rPr>
          <w:szCs w:val="24"/>
        </w:rPr>
        <w:t xml:space="preserve"> </w:t>
      </w:r>
      <w:r w:rsidR="009A1321">
        <w:rPr>
          <w:szCs w:val="24"/>
        </w:rPr>
        <w:t>The PUCO’s Order unreasonably and unlawfully a</w:t>
      </w:r>
      <w:r w:rsidRPr="00C26D22">
        <w:rPr>
          <w:szCs w:val="24"/>
        </w:rPr>
        <w:t>llow</w:t>
      </w:r>
      <w:r w:rsidR="009A1321">
        <w:rPr>
          <w:szCs w:val="24"/>
        </w:rPr>
        <w:t>s</w:t>
      </w:r>
      <w:r w:rsidRPr="00C26D22">
        <w:rPr>
          <w:szCs w:val="24"/>
        </w:rPr>
        <w:t xml:space="preserve"> Duke to treat the propane </w:t>
      </w:r>
      <w:r w:rsidR="008D2920">
        <w:rPr>
          <w:szCs w:val="24"/>
        </w:rPr>
        <w:t xml:space="preserve">facilities </w:t>
      </w:r>
      <w:r w:rsidR="00DC37B8">
        <w:rPr>
          <w:szCs w:val="24"/>
        </w:rPr>
        <w:t xml:space="preserve">(plant assets) </w:t>
      </w:r>
      <w:r w:rsidRPr="00C26D22">
        <w:rPr>
          <w:szCs w:val="24"/>
        </w:rPr>
        <w:t xml:space="preserve">as a “cost” of “rendering the public utility service for the test period,” </w:t>
      </w:r>
      <w:r w:rsidR="009A1321">
        <w:rPr>
          <w:szCs w:val="24"/>
        </w:rPr>
        <w:t>in violation of</w:t>
      </w:r>
      <w:r w:rsidRPr="00C26D22">
        <w:rPr>
          <w:szCs w:val="24"/>
        </w:rPr>
        <w:t xml:space="preserve"> R.C. </w:t>
      </w:r>
      <w:r w:rsidR="009A1321">
        <w:rPr>
          <w:szCs w:val="24"/>
        </w:rPr>
        <w:t>4</w:t>
      </w:r>
      <w:r w:rsidRPr="00C26D22">
        <w:rPr>
          <w:szCs w:val="24"/>
        </w:rPr>
        <w:t>909.15</w:t>
      </w:r>
      <w:r w:rsidR="00271E6F">
        <w:rPr>
          <w:szCs w:val="24"/>
        </w:rPr>
        <w:t>.</w:t>
      </w:r>
      <w:r w:rsidR="00DF6AA5">
        <w:rPr>
          <w:szCs w:val="24"/>
        </w:rPr>
        <w:t xml:space="preserve"> </w:t>
      </w:r>
      <w:r w:rsidRPr="00C26D22">
        <w:rPr>
          <w:szCs w:val="24"/>
        </w:rPr>
        <w:t>The PUCO</w:t>
      </w:r>
      <w:r w:rsidR="00214647">
        <w:rPr>
          <w:szCs w:val="24"/>
        </w:rPr>
        <w:t>’</w:t>
      </w:r>
      <w:r w:rsidR="00754C15">
        <w:rPr>
          <w:szCs w:val="24"/>
        </w:rPr>
        <w:t>s action</w:t>
      </w:r>
      <w:r w:rsidR="00AC7F70">
        <w:rPr>
          <w:szCs w:val="24"/>
        </w:rPr>
        <w:t xml:space="preserve"> </w:t>
      </w:r>
      <w:r w:rsidRPr="00C26D22">
        <w:rPr>
          <w:szCs w:val="24"/>
        </w:rPr>
        <w:t>circumvent</w:t>
      </w:r>
      <w:r w:rsidR="00754C15">
        <w:rPr>
          <w:szCs w:val="24"/>
        </w:rPr>
        <w:t>ed</w:t>
      </w:r>
      <w:r w:rsidRPr="00C26D22">
        <w:rPr>
          <w:szCs w:val="24"/>
        </w:rPr>
        <w:t xml:space="preserve"> Ohio ratemaking law</w:t>
      </w:r>
      <w:r>
        <w:rPr>
          <w:szCs w:val="24"/>
        </w:rPr>
        <w:t>.</w:t>
      </w:r>
    </w:p>
    <w:p w:rsidR="00736299" w:rsidP="00214647" w14:paraId="05551EFA" w14:textId="77777777">
      <w:pPr>
        <w:widowControl w:val="0"/>
        <w:ind w:left="720"/>
        <w:rPr>
          <w:szCs w:val="24"/>
        </w:rPr>
      </w:pPr>
    </w:p>
    <w:p w:rsidR="00736299" w:rsidP="00736299" w14:paraId="06C2EE46" w14:textId="36FD1712">
      <w:pPr>
        <w:widowControl w:val="0"/>
        <w:ind w:left="720"/>
        <w:rPr>
          <w:szCs w:val="24"/>
        </w:rPr>
      </w:pPr>
      <w:r w:rsidRPr="00C26D22">
        <w:rPr>
          <w:szCs w:val="24"/>
        </w:rPr>
        <w:t xml:space="preserve">ASSIGNMENT OF ERROR NO. </w:t>
      </w:r>
      <w:r>
        <w:rPr>
          <w:szCs w:val="24"/>
        </w:rPr>
        <w:t>3</w:t>
      </w:r>
      <w:r w:rsidRPr="00C26D22">
        <w:rPr>
          <w:szCs w:val="24"/>
        </w:rPr>
        <w:t>: The PUCO erred by approving a Settlement that does not benefit consumers and the public interest</w:t>
      </w:r>
      <w:r>
        <w:rPr>
          <w:szCs w:val="24"/>
        </w:rPr>
        <w:t xml:space="preserve"> and also violates PUCO precedent and the important regulatory principle of cost causation. The PUCO’s Order </w:t>
      </w:r>
      <w:r w:rsidRPr="00C26D22">
        <w:rPr>
          <w:szCs w:val="24"/>
        </w:rPr>
        <w:t>unreasonabl</w:t>
      </w:r>
      <w:r>
        <w:rPr>
          <w:szCs w:val="24"/>
        </w:rPr>
        <w:t>y</w:t>
      </w:r>
      <w:r w:rsidRPr="00C26D22">
        <w:rPr>
          <w:szCs w:val="24"/>
        </w:rPr>
        <w:t xml:space="preserve"> and unlawful</w:t>
      </w:r>
      <w:r>
        <w:rPr>
          <w:szCs w:val="24"/>
        </w:rPr>
        <w:t>ly</w:t>
      </w:r>
      <w:r w:rsidRPr="00C26D22">
        <w:rPr>
          <w:szCs w:val="24"/>
        </w:rPr>
        <w:t xml:space="preserve"> allows Duke to charge consumers for costs related to</w:t>
      </w:r>
      <w:r w:rsidRPr="00C26D22">
        <w:rPr>
          <w:szCs w:val="24"/>
          <w:lang w:bidi="en-US"/>
        </w:rPr>
        <w:t xml:space="preserve"> employee financial performance incentives </w:t>
      </w:r>
      <w:r w:rsidRPr="00C26D22">
        <w:rPr>
          <w:szCs w:val="24"/>
        </w:rPr>
        <w:t>which do not benefit consumers</w:t>
      </w:r>
      <w:r>
        <w:rPr>
          <w:szCs w:val="24"/>
        </w:rPr>
        <w:t xml:space="preserve"> and are not necessary in providing utility service to consumers.</w:t>
      </w:r>
    </w:p>
    <w:p w:rsidR="00062D1B" w:rsidP="00736299" w14:paraId="21BFBD57" w14:textId="77777777">
      <w:pPr>
        <w:widowControl w:val="0"/>
        <w:ind w:left="720"/>
        <w:rPr>
          <w:szCs w:val="24"/>
        </w:rPr>
      </w:pPr>
    </w:p>
    <w:p w:rsidR="00062D1B" w:rsidP="00062D1B" w14:paraId="28193E58" w14:textId="6747D4D4">
      <w:pPr>
        <w:widowControl w:val="0"/>
        <w:ind w:left="720"/>
        <w:rPr>
          <w:rFonts w:eastAsia="Calibri"/>
          <w:szCs w:val="22"/>
        </w:rPr>
      </w:pPr>
      <w:r w:rsidRPr="00C26D22">
        <w:rPr>
          <w:szCs w:val="24"/>
        </w:rPr>
        <w:t xml:space="preserve">ASSIGNMENT OF ERROR NO. </w:t>
      </w:r>
      <w:r>
        <w:rPr>
          <w:szCs w:val="24"/>
        </w:rPr>
        <w:t>4</w:t>
      </w:r>
      <w:r w:rsidRPr="00C26D22">
        <w:rPr>
          <w:szCs w:val="24"/>
        </w:rPr>
        <w:t xml:space="preserve">: </w:t>
      </w:r>
      <w:r w:rsidRPr="00695C41">
        <w:rPr>
          <w:rFonts w:eastAsia="Calibri"/>
          <w:szCs w:val="22"/>
        </w:rPr>
        <w:t>The PUCO</w:t>
      </w:r>
      <w:r>
        <w:rPr>
          <w:rFonts w:eastAsia="Calibri"/>
          <w:szCs w:val="22"/>
        </w:rPr>
        <w:t xml:space="preserve"> erred when it failed to make</w:t>
      </w:r>
      <w:r w:rsidRPr="00695C41">
        <w:rPr>
          <w:rFonts w:eastAsia="Calibri"/>
          <w:szCs w:val="22"/>
        </w:rPr>
        <w:t xml:space="preserve"> the</w:t>
      </w:r>
      <w:r>
        <w:rPr>
          <w:rFonts w:eastAsia="Calibri"/>
          <w:szCs w:val="22"/>
        </w:rPr>
        <w:t xml:space="preserve"> charges for the amortized propane facilities</w:t>
      </w:r>
      <w:r w:rsidR="00143104">
        <w:rPr>
          <w:rFonts w:eastAsia="Calibri"/>
          <w:szCs w:val="22"/>
        </w:rPr>
        <w:t xml:space="preserve"> </w:t>
      </w:r>
      <w:r w:rsidRPr="00695C41">
        <w:rPr>
          <w:rFonts w:eastAsia="Calibri"/>
          <w:szCs w:val="22"/>
        </w:rPr>
        <w:t>subject to refund</w:t>
      </w:r>
      <w:r w:rsidR="00143104">
        <w:rPr>
          <w:rFonts w:eastAsia="Calibri"/>
          <w:szCs w:val="22"/>
        </w:rPr>
        <w:t>.</w:t>
      </w:r>
    </w:p>
    <w:p w:rsidR="00CD543B" w:rsidP="00DF61D2" w14:paraId="61B15257" w14:textId="119C18D8">
      <w:pPr>
        <w:widowControl w:val="0"/>
        <w:rPr>
          <w:szCs w:val="24"/>
        </w:rPr>
      </w:pPr>
      <w:bookmarkStart w:id="5" w:name="_Hlk151583409"/>
      <w:bookmarkEnd w:id="4"/>
      <w:r>
        <w:rPr>
          <w:szCs w:val="24"/>
        </w:rPr>
        <w:t xml:space="preserve"> </w:t>
      </w:r>
      <w:bookmarkEnd w:id="5"/>
    </w:p>
    <w:p w:rsidR="00ED4695" w:rsidP="003673B8" w14:paraId="58A94A4A" w14:textId="53B01A25">
      <w:pPr>
        <w:spacing w:line="480" w:lineRule="auto"/>
        <w:ind w:firstLine="720"/>
        <w:rPr>
          <w:rFonts w:eastAsiaTheme="minorHAnsi"/>
          <w:color w:val="000000"/>
          <w:szCs w:val="24"/>
        </w:rPr>
      </w:pPr>
      <w:r w:rsidRPr="003673B8">
        <w:rPr>
          <w:rFonts w:eastAsiaTheme="minorHAnsi"/>
          <w:color w:val="000000"/>
          <w:szCs w:val="24"/>
        </w:rPr>
        <w:t>The reasons for granting this Application for Rehearing are more fully set forth in the attached Memorandum in Support.</w:t>
      </w:r>
    </w:p>
    <w:p w:rsidR="00ED4695" w14:paraId="25E7E61E" w14:textId="77777777">
      <w:pPr>
        <w:rPr>
          <w:rFonts w:eastAsiaTheme="minorHAnsi"/>
          <w:color w:val="000000"/>
          <w:szCs w:val="24"/>
        </w:rPr>
      </w:pPr>
      <w:r>
        <w:rPr>
          <w:rFonts w:eastAsiaTheme="minorHAnsi"/>
          <w:color w:val="000000"/>
          <w:szCs w:val="24"/>
        </w:rPr>
        <w:br w:type="page"/>
      </w:r>
    </w:p>
    <w:p w:rsidR="0042350A" w:rsidRPr="00B012A9" w:rsidP="00535964" w14:paraId="17519B36" w14:textId="119871ED">
      <w:pPr>
        <w:ind w:left="3600" w:firstLine="720"/>
        <w:rPr>
          <w:szCs w:val="24"/>
        </w:rPr>
      </w:pPr>
      <w:r w:rsidRPr="00B012A9">
        <w:rPr>
          <w:szCs w:val="24"/>
        </w:rPr>
        <w:t>Respectfully submitted,</w:t>
      </w:r>
    </w:p>
    <w:p w:rsidR="0042350A" w:rsidP="00FA2895" w14:paraId="30BC294E" w14:textId="77777777">
      <w:pPr>
        <w:widowControl w:val="0"/>
        <w:ind w:left="4320"/>
        <w:rPr>
          <w:szCs w:val="24"/>
        </w:rPr>
      </w:pPr>
    </w:p>
    <w:p w:rsidR="00DF61D2" w:rsidRPr="00B012A9" w:rsidP="00FA2895" w14:paraId="2465BA33" w14:textId="77777777">
      <w:pPr>
        <w:widowControl w:val="0"/>
        <w:ind w:left="4320"/>
        <w:rPr>
          <w:szCs w:val="24"/>
        </w:rPr>
      </w:pPr>
    </w:p>
    <w:p w:rsidR="00160662" w:rsidRPr="00B012A9" w:rsidP="00FA2895" w14:paraId="1DCA255E" w14:textId="41BE0320">
      <w:pPr>
        <w:pStyle w:val="Footer"/>
        <w:tabs>
          <w:tab w:val="left" w:pos="4320"/>
          <w:tab w:val="clear" w:pos="8640"/>
        </w:tabs>
        <w:ind w:left="4320"/>
        <w:rPr>
          <w:sz w:val="24"/>
          <w:szCs w:val="24"/>
        </w:rPr>
      </w:pPr>
      <w:r>
        <w:rPr>
          <w:sz w:val="24"/>
          <w:szCs w:val="24"/>
        </w:rPr>
        <w:t>Maureen R. Willis (0020847</w:t>
      </w:r>
      <w:r w:rsidRPr="00B012A9">
        <w:rPr>
          <w:sz w:val="24"/>
          <w:szCs w:val="24"/>
        </w:rPr>
        <w:t>)</w:t>
      </w:r>
    </w:p>
    <w:p w:rsidR="00160662" w:rsidRPr="00B012A9" w:rsidP="00FA2895" w14:paraId="6F08451D" w14:textId="77777777">
      <w:pPr>
        <w:tabs>
          <w:tab w:val="left" w:pos="4320"/>
        </w:tabs>
        <w:ind w:left="4320"/>
        <w:rPr>
          <w:szCs w:val="24"/>
        </w:rPr>
      </w:pPr>
      <w:r w:rsidRPr="00B012A9">
        <w:rPr>
          <w:szCs w:val="24"/>
        </w:rPr>
        <w:t>Ohio Consumers’ Counsel</w:t>
      </w:r>
    </w:p>
    <w:p w:rsidR="00A31534" w:rsidP="00FA2895" w14:paraId="2336F6BE" w14:textId="77777777">
      <w:pPr>
        <w:tabs>
          <w:tab w:val="left" w:pos="4320"/>
        </w:tabs>
        <w:ind w:left="4320"/>
        <w:rPr>
          <w:szCs w:val="24"/>
        </w:rPr>
      </w:pPr>
    </w:p>
    <w:p w:rsidR="00160662" w:rsidRPr="00B012A9" w:rsidP="00FA2895" w14:paraId="2B504BB1" w14:textId="38CF3DD4">
      <w:pPr>
        <w:tabs>
          <w:tab w:val="left" w:pos="4320"/>
        </w:tabs>
        <w:ind w:left="4320"/>
        <w:rPr>
          <w:szCs w:val="24"/>
        </w:rPr>
      </w:pPr>
      <w:r>
        <w:rPr>
          <w:i/>
          <w:iCs/>
          <w:szCs w:val="24"/>
          <w:u w:val="single"/>
        </w:rPr>
        <w:t>/s/ William J. Michael</w:t>
      </w:r>
      <w:r>
        <w:rPr>
          <w:i/>
          <w:iCs/>
          <w:szCs w:val="24"/>
          <w:u w:val="single"/>
        </w:rPr>
        <w:tab/>
      </w:r>
      <w:r>
        <w:rPr>
          <w:i/>
          <w:iCs/>
          <w:szCs w:val="24"/>
          <w:u w:val="single"/>
        </w:rPr>
        <w:tab/>
      </w:r>
      <w:r w:rsidRPr="00B012A9" w:rsidR="00EE48E2">
        <w:rPr>
          <w:szCs w:val="24"/>
        </w:rPr>
        <w:tab/>
      </w:r>
    </w:p>
    <w:p w:rsidR="00FA2895" w:rsidRPr="00997E23" w:rsidP="00FA2895" w14:paraId="209C0C68" w14:textId="77777777">
      <w:pPr>
        <w:tabs>
          <w:tab w:val="left" w:pos="4320"/>
        </w:tabs>
        <w:ind w:left="4320"/>
        <w:rPr>
          <w:color w:val="000000"/>
          <w:szCs w:val="24"/>
          <w:lang w:bidi="en-US"/>
        </w:rPr>
      </w:pPr>
      <w:r w:rsidRPr="00997E23">
        <w:rPr>
          <w:color w:val="000000"/>
          <w:szCs w:val="24"/>
          <w:lang w:bidi="en-US"/>
        </w:rPr>
        <w:t>William J. Michael (0070921)</w:t>
      </w:r>
    </w:p>
    <w:p w:rsidR="00FA2895" w:rsidRPr="00997E23" w:rsidP="00FA2895" w14:paraId="1D94BBE3" w14:textId="77777777">
      <w:pPr>
        <w:ind w:left="4320"/>
        <w:rPr>
          <w:color w:val="000000"/>
          <w:szCs w:val="24"/>
          <w:lang w:bidi="en-US"/>
        </w:rPr>
      </w:pPr>
      <w:r w:rsidRPr="00997E23">
        <w:rPr>
          <w:color w:val="000000"/>
          <w:szCs w:val="24"/>
          <w:lang w:bidi="en-US"/>
        </w:rPr>
        <w:t xml:space="preserve">Counsel of Record </w:t>
      </w:r>
    </w:p>
    <w:p w:rsidR="00FA2895" w:rsidRPr="00997E23" w:rsidP="00FA2895" w14:paraId="6DF8BF97" w14:textId="77777777">
      <w:pPr>
        <w:ind w:left="4320"/>
        <w:rPr>
          <w:szCs w:val="24"/>
          <w:lang w:bidi="en-US"/>
        </w:rPr>
      </w:pPr>
      <w:r w:rsidRPr="00997E23">
        <w:rPr>
          <w:szCs w:val="24"/>
          <w:lang w:bidi="en-US"/>
        </w:rPr>
        <w:t>John Finnigan (0018689)</w:t>
      </w:r>
    </w:p>
    <w:p w:rsidR="00FA2895" w:rsidRPr="00997E23" w:rsidP="00FA2895" w14:paraId="7ADAF2AC" w14:textId="77777777">
      <w:pPr>
        <w:ind w:left="4320"/>
        <w:rPr>
          <w:color w:val="000000"/>
          <w:szCs w:val="24"/>
          <w:lang w:bidi="en-US"/>
        </w:rPr>
      </w:pPr>
      <w:r w:rsidRPr="00997E23">
        <w:rPr>
          <w:color w:val="000000"/>
          <w:szCs w:val="24"/>
          <w:lang w:bidi="en-US"/>
        </w:rPr>
        <w:t>Assistant Consumers’ Counsel</w:t>
      </w:r>
    </w:p>
    <w:p w:rsidR="00FA2895" w:rsidRPr="00997E23" w:rsidP="00FA2895" w14:paraId="3C9CA333" w14:textId="77777777">
      <w:pPr>
        <w:ind w:left="4320"/>
        <w:rPr>
          <w:b/>
          <w:color w:val="000000"/>
          <w:szCs w:val="24"/>
          <w:lang w:bidi="en-US"/>
        </w:rPr>
      </w:pPr>
    </w:p>
    <w:p w:rsidR="00FA2895" w:rsidRPr="00997E23" w:rsidP="00FA2895" w14:paraId="602DB8F6" w14:textId="77777777">
      <w:pPr>
        <w:ind w:left="4320"/>
        <w:rPr>
          <w:b/>
          <w:color w:val="000000"/>
          <w:szCs w:val="24"/>
          <w:lang w:bidi="en-US"/>
        </w:rPr>
      </w:pPr>
      <w:r w:rsidRPr="00997E23">
        <w:rPr>
          <w:b/>
          <w:color w:val="000000"/>
          <w:szCs w:val="24"/>
          <w:lang w:bidi="en-US"/>
        </w:rPr>
        <w:t>Office of the Ohio Consumers’ Counsel</w:t>
      </w:r>
    </w:p>
    <w:p w:rsidR="00FA2895" w:rsidRPr="00997E23" w:rsidP="00FA2895" w14:paraId="551DA29D" w14:textId="77777777">
      <w:pPr>
        <w:ind w:left="4320"/>
        <w:rPr>
          <w:color w:val="000000"/>
          <w:szCs w:val="24"/>
          <w:lang w:bidi="en-US"/>
        </w:rPr>
      </w:pPr>
      <w:r w:rsidRPr="00997E23">
        <w:rPr>
          <w:color w:val="000000"/>
          <w:szCs w:val="24"/>
          <w:lang w:bidi="en-US"/>
        </w:rPr>
        <w:t>65 East State Street, Suite 700</w:t>
      </w:r>
    </w:p>
    <w:p w:rsidR="00FA2895" w:rsidRPr="00997E23" w:rsidP="00FA2895" w14:paraId="6CF4346E" w14:textId="77777777">
      <w:pPr>
        <w:ind w:left="4320"/>
        <w:rPr>
          <w:color w:val="000000"/>
          <w:szCs w:val="24"/>
          <w:lang w:bidi="en-US"/>
        </w:rPr>
      </w:pPr>
      <w:r w:rsidRPr="00997E23">
        <w:rPr>
          <w:color w:val="000000"/>
          <w:szCs w:val="24"/>
          <w:lang w:bidi="en-US"/>
        </w:rPr>
        <w:t>Columbus, Ohio 43215</w:t>
      </w:r>
      <w:r w:rsidRPr="00997E23">
        <w:rPr>
          <w:color w:val="000000"/>
          <w:szCs w:val="24"/>
          <w:lang w:bidi="en-US"/>
        </w:rPr>
        <w:tab/>
      </w:r>
    </w:p>
    <w:p w:rsidR="00FA2895" w:rsidRPr="00997E23" w:rsidP="00FA2895" w14:paraId="6F8C402B" w14:textId="77777777">
      <w:pPr>
        <w:ind w:left="4320"/>
        <w:rPr>
          <w:color w:val="000000"/>
          <w:szCs w:val="24"/>
          <w:lang w:bidi="en-US"/>
        </w:rPr>
      </w:pPr>
      <w:r w:rsidRPr="00997E23">
        <w:rPr>
          <w:color w:val="000000"/>
          <w:szCs w:val="24"/>
          <w:lang w:bidi="en-US"/>
        </w:rPr>
        <w:t>Telephone [Michael]: (614) 466-1291</w:t>
      </w:r>
    </w:p>
    <w:p w:rsidR="00FA2895" w:rsidRPr="00997E23" w:rsidP="00FA2895" w14:paraId="72869426" w14:textId="77777777">
      <w:pPr>
        <w:ind w:left="4320"/>
        <w:rPr>
          <w:szCs w:val="24"/>
          <w:lang w:bidi="en-US"/>
        </w:rPr>
      </w:pPr>
      <w:r w:rsidRPr="00997E23">
        <w:rPr>
          <w:szCs w:val="24"/>
          <w:lang w:bidi="en-US"/>
        </w:rPr>
        <w:t>Telephone: [Finnigan]: (614) 466-9585</w:t>
      </w:r>
    </w:p>
    <w:p w:rsidR="00FA2895" w:rsidRPr="00997E23" w:rsidP="00FA2895" w14:paraId="2FEE709D" w14:textId="77777777">
      <w:pPr>
        <w:ind w:left="4320"/>
        <w:rPr>
          <w:rFonts w:eastAsia="Courier New"/>
          <w:color w:val="FF0000"/>
          <w:szCs w:val="24"/>
          <w:lang w:bidi="en-US"/>
        </w:rPr>
      </w:pPr>
      <w:hyperlink r:id="rId6" w:history="1">
        <w:r w:rsidRPr="00997E23" w:rsidR="00D07BEE">
          <w:rPr>
            <w:rFonts w:eastAsia="Courier New"/>
            <w:color w:val="0000FF"/>
            <w:szCs w:val="24"/>
            <w:u w:val="single"/>
            <w:lang w:bidi="en-US"/>
          </w:rPr>
          <w:t>william.michael@occ.ohio.gov</w:t>
        </w:r>
      </w:hyperlink>
    </w:p>
    <w:p w:rsidR="00FA2895" w:rsidRPr="00997E23" w:rsidP="00FA2895" w14:paraId="696305C8" w14:textId="77777777">
      <w:pPr>
        <w:ind w:left="4320"/>
        <w:rPr>
          <w:rFonts w:eastAsia="Courier New"/>
          <w:color w:val="FF0000"/>
          <w:szCs w:val="24"/>
          <w:lang w:bidi="en-US"/>
        </w:rPr>
      </w:pPr>
      <w:hyperlink r:id="rId7" w:history="1">
        <w:r w:rsidRPr="00997E23" w:rsidR="00D07BEE">
          <w:rPr>
            <w:rFonts w:eastAsia="Courier New"/>
            <w:color w:val="0000FF"/>
            <w:szCs w:val="24"/>
            <w:u w:val="single"/>
            <w:lang w:bidi="en-US"/>
          </w:rPr>
          <w:t>john.finnigan@occ.ohio.gov</w:t>
        </w:r>
      </w:hyperlink>
    </w:p>
    <w:p w:rsidR="00FA2895" w:rsidP="00FA2895" w14:paraId="16E1C631" w14:textId="28608A4C">
      <w:pPr>
        <w:ind w:left="4320"/>
        <w:rPr>
          <w:szCs w:val="24"/>
          <w:lang w:bidi="en-US"/>
        </w:rPr>
      </w:pPr>
      <w:r w:rsidRPr="00997E23">
        <w:rPr>
          <w:szCs w:val="24"/>
          <w:lang w:bidi="en-US"/>
        </w:rPr>
        <w:t>(willing to accept service by e-mail)</w:t>
      </w:r>
    </w:p>
    <w:p w:rsidR="002C6AC1" w:rsidP="00FA2895" w14:paraId="476DF770" w14:textId="77777777">
      <w:pPr>
        <w:ind w:left="4320"/>
        <w:rPr>
          <w:szCs w:val="24"/>
          <w:lang w:bidi="en-US"/>
        </w:rPr>
      </w:pPr>
    </w:p>
    <w:p w:rsidR="002C6AC1" w:rsidP="00FA2895" w14:paraId="60BA6791" w14:textId="77777777">
      <w:pPr>
        <w:rPr>
          <w:szCs w:val="24"/>
          <w:lang w:bidi="en-US"/>
        </w:rPr>
        <w:sectPr w:rsidSect="00DF6AA5">
          <w:footerReference w:type="first" r:id="rId14"/>
          <w:pgSz w:w="12240" w:h="15840"/>
          <w:pgMar w:top="1440" w:right="1800" w:bottom="1440" w:left="1800" w:header="720" w:footer="720" w:gutter="0"/>
          <w:pgNumType w:start="1"/>
          <w:cols w:space="720"/>
          <w:titlePg/>
          <w:docGrid w:linePitch="326"/>
        </w:sectPr>
      </w:pPr>
    </w:p>
    <w:p w:rsidR="00453ABC" w:rsidRPr="00B012A9" w:rsidP="00453ABC" w14:paraId="6BF379BF" w14:textId="77777777">
      <w:pPr>
        <w:jc w:val="center"/>
        <w:rPr>
          <w:b/>
          <w:bCs/>
          <w:szCs w:val="24"/>
          <w:u w:val="single"/>
        </w:rPr>
      </w:pPr>
      <w:r w:rsidRPr="00B012A9">
        <w:rPr>
          <w:b/>
          <w:bCs/>
          <w:szCs w:val="24"/>
          <w:u w:val="single"/>
        </w:rPr>
        <w:t>TABLE OF CONTENTS</w:t>
      </w:r>
    </w:p>
    <w:p w:rsidR="00453ABC" w:rsidRPr="00B012A9" w:rsidP="00453ABC" w14:paraId="769276B1" w14:textId="77777777">
      <w:pPr>
        <w:tabs>
          <w:tab w:val="left" w:pos="4320"/>
        </w:tabs>
        <w:jc w:val="right"/>
        <w:rPr>
          <w:b/>
          <w:bCs/>
          <w:szCs w:val="24"/>
        </w:rPr>
      </w:pPr>
      <w:r w:rsidRPr="00B012A9">
        <w:rPr>
          <w:b/>
          <w:bCs/>
          <w:szCs w:val="24"/>
        </w:rPr>
        <w:t>PAGE</w:t>
      </w:r>
    </w:p>
    <w:p w:rsidR="00453ABC" w:rsidRPr="00B012A9" w:rsidP="00453ABC" w14:paraId="6BE04A20" w14:textId="77777777">
      <w:pPr>
        <w:tabs>
          <w:tab w:val="left" w:pos="4320"/>
        </w:tabs>
        <w:jc w:val="right"/>
        <w:rPr>
          <w:b/>
          <w:bCs/>
          <w:szCs w:val="24"/>
        </w:rPr>
      </w:pPr>
    </w:p>
    <w:p w:rsidR="005339B2" w14:paraId="1CEAA462" w14:textId="6B4E1AC3">
      <w:pPr>
        <w:pStyle w:val="TOC1"/>
        <w:rPr>
          <w:rFonts w:asciiTheme="minorHAnsi" w:eastAsiaTheme="minorEastAsia" w:hAnsiTheme="minorHAnsi" w:cstheme="minorBidi"/>
          <w:noProof/>
          <w:kern w:val="2"/>
          <w:sz w:val="22"/>
          <w:szCs w:val="22"/>
          <w14:ligatures w14:val="standardContextual"/>
        </w:rPr>
      </w:pPr>
      <w:r>
        <w:rPr>
          <w:szCs w:val="24"/>
        </w:rPr>
        <w:fldChar w:fldCharType="begin"/>
      </w:r>
      <w:r>
        <w:rPr>
          <w:szCs w:val="24"/>
        </w:rPr>
        <w:instrText xml:space="preserve"> TOC \o "1-3" \h \z \u </w:instrText>
      </w:r>
      <w:r>
        <w:rPr>
          <w:szCs w:val="24"/>
        </w:rPr>
        <w:fldChar w:fldCharType="separate"/>
      </w:r>
      <w:hyperlink w:anchor="_Toc152337692" w:history="1">
        <w:r w:rsidRPr="00EB223A">
          <w:rPr>
            <w:rStyle w:val="Hyperlink"/>
            <w:noProof/>
            <w:lang w:bidi="en-US"/>
          </w:rPr>
          <w:t>I.</w:t>
        </w:r>
        <w:r>
          <w:rPr>
            <w:rFonts w:asciiTheme="minorHAnsi" w:eastAsiaTheme="minorEastAsia" w:hAnsiTheme="minorHAnsi" w:cstheme="minorBidi"/>
            <w:noProof/>
            <w:kern w:val="2"/>
            <w:sz w:val="22"/>
            <w:szCs w:val="22"/>
            <w14:ligatures w14:val="standardContextual"/>
          </w:rPr>
          <w:tab/>
        </w:r>
        <w:r w:rsidRPr="00EB223A">
          <w:rPr>
            <w:rStyle w:val="Hyperlink"/>
            <w:noProof/>
            <w:lang w:bidi="en-US"/>
          </w:rPr>
          <w:t>INTRODUCTION</w:t>
        </w:r>
        <w:r>
          <w:rPr>
            <w:noProof/>
            <w:webHidden/>
          </w:rPr>
          <w:tab/>
        </w:r>
        <w:r>
          <w:rPr>
            <w:noProof/>
            <w:webHidden/>
          </w:rPr>
          <w:fldChar w:fldCharType="begin"/>
        </w:r>
        <w:r>
          <w:rPr>
            <w:noProof/>
            <w:webHidden/>
          </w:rPr>
          <w:instrText xml:space="preserve"> PAGEREF _Toc152337692 \h </w:instrText>
        </w:r>
        <w:r>
          <w:rPr>
            <w:noProof/>
            <w:webHidden/>
          </w:rPr>
          <w:fldChar w:fldCharType="separate"/>
        </w:r>
        <w:r>
          <w:rPr>
            <w:noProof/>
            <w:webHidden/>
          </w:rPr>
          <w:t>1</w:t>
        </w:r>
        <w:r>
          <w:rPr>
            <w:noProof/>
            <w:webHidden/>
          </w:rPr>
          <w:fldChar w:fldCharType="end"/>
        </w:r>
      </w:hyperlink>
    </w:p>
    <w:p w:rsidR="005339B2" w14:paraId="70B10550" w14:textId="72D69389">
      <w:pPr>
        <w:pStyle w:val="TOC1"/>
        <w:rPr>
          <w:rFonts w:asciiTheme="minorHAnsi" w:eastAsiaTheme="minorEastAsia" w:hAnsiTheme="minorHAnsi" w:cstheme="minorBidi"/>
          <w:noProof/>
          <w:kern w:val="2"/>
          <w:sz w:val="22"/>
          <w:szCs w:val="22"/>
          <w14:ligatures w14:val="standardContextual"/>
        </w:rPr>
      </w:pPr>
      <w:hyperlink w:anchor="_Toc152337693" w:history="1">
        <w:r w:rsidRPr="00EB223A">
          <w:rPr>
            <w:rStyle w:val="Hyperlink"/>
            <w:noProof/>
          </w:rPr>
          <w:t>II.</w:t>
        </w:r>
        <w:r>
          <w:rPr>
            <w:rFonts w:asciiTheme="minorHAnsi" w:eastAsiaTheme="minorEastAsia" w:hAnsiTheme="minorHAnsi" w:cstheme="minorBidi"/>
            <w:noProof/>
            <w:kern w:val="2"/>
            <w:sz w:val="22"/>
            <w:szCs w:val="22"/>
            <w14:ligatures w14:val="standardContextual"/>
          </w:rPr>
          <w:tab/>
        </w:r>
        <w:r w:rsidRPr="00EB223A">
          <w:rPr>
            <w:rStyle w:val="Hyperlink"/>
            <w:noProof/>
          </w:rPr>
          <w:t>MATTERS FOR CONSIDERATION</w:t>
        </w:r>
        <w:r>
          <w:rPr>
            <w:noProof/>
            <w:webHidden/>
          </w:rPr>
          <w:tab/>
        </w:r>
        <w:r>
          <w:rPr>
            <w:noProof/>
            <w:webHidden/>
          </w:rPr>
          <w:fldChar w:fldCharType="begin"/>
        </w:r>
        <w:r>
          <w:rPr>
            <w:noProof/>
            <w:webHidden/>
          </w:rPr>
          <w:instrText xml:space="preserve"> PAGEREF _Toc152337693 \h </w:instrText>
        </w:r>
        <w:r>
          <w:rPr>
            <w:noProof/>
            <w:webHidden/>
          </w:rPr>
          <w:fldChar w:fldCharType="separate"/>
        </w:r>
        <w:r>
          <w:rPr>
            <w:noProof/>
            <w:webHidden/>
          </w:rPr>
          <w:t>3</w:t>
        </w:r>
        <w:r>
          <w:rPr>
            <w:noProof/>
            <w:webHidden/>
          </w:rPr>
          <w:fldChar w:fldCharType="end"/>
        </w:r>
      </w:hyperlink>
    </w:p>
    <w:p w:rsidR="005339B2" w14:paraId="5225B35D" w14:textId="41DF3FA4">
      <w:pPr>
        <w:pStyle w:val="TOC2"/>
        <w:rPr>
          <w:rFonts w:asciiTheme="minorHAnsi" w:eastAsiaTheme="minorEastAsia" w:hAnsiTheme="minorHAnsi" w:cstheme="minorBidi"/>
          <w:noProof/>
          <w:kern w:val="2"/>
          <w:sz w:val="22"/>
          <w:szCs w:val="22"/>
          <w14:ligatures w14:val="standardContextual"/>
        </w:rPr>
      </w:pPr>
      <w:hyperlink w:anchor="_Toc152337694" w:history="1">
        <w:r w:rsidRPr="00EB223A">
          <w:rPr>
            <w:rStyle w:val="Hyperlink"/>
            <w:noProof/>
          </w:rPr>
          <w:t xml:space="preserve">ASSIGNMENT OF ERROR NO. 1: The PUCO erred by approving a Settlement that does not benefit consumers and the public interest and violates R.C. 4909.15. The PUCO’s Order wrongfully found that Duke’s propane facilities were used and useful at date certain in providing service to Duke’s consumers when </w:t>
        </w:r>
        <w:r w:rsidR="00CE57F6">
          <w:rPr>
            <w:rStyle w:val="Hyperlink"/>
            <w:noProof/>
          </w:rPr>
          <w:br/>
        </w:r>
        <w:r w:rsidRPr="00EB223A">
          <w:rPr>
            <w:rStyle w:val="Hyperlink"/>
            <w:noProof/>
          </w:rPr>
          <w:t xml:space="preserve">they were not and allowed Duke to charge consumers for the plant. The </w:t>
        </w:r>
        <w:r w:rsidR="00CE57F6">
          <w:rPr>
            <w:rStyle w:val="Hyperlink"/>
            <w:noProof/>
          </w:rPr>
          <w:br/>
        </w:r>
        <w:r w:rsidRPr="00EB223A">
          <w:rPr>
            <w:rStyle w:val="Hyperlink"/>
            <w:noProof/>
          </w:rPr>
          <w:t xml:space="preserve">PUCO’s decision was wrong and against the manifest weight of the evidence contrary to R.C. 4903.09 and Supreme Court precedent, </w:t>
        </w:r>
        <w:r w:rsidRPr="00EB223A">
          <w:rPr>
            <w:rStyle w:val="Hyperlink"/>
            <w:i/>
            <w:iCs/>
            <w:noProof/>
          </w:rPr>
          <w:t>Consumers’ Counsel</w:t>
        </w:r>
        <w:r w:rsidRPr="00EB223A">
          <w:rPr>
            <w:rStyle w:val="Hyperlink"/>
            <w:noProof/>
          </w:rPr>
          <w:t xml:space="preserve"> and </w:t>
        </w:r>
        <w:r w:rsidRPr="00EB223A">
          <w:rPr>
            <w:rStyle w:val="Hyperlink"/>
            <w:i/>
            <w:iCs/>
            <w:noProof/>
          </w:rPr>
          <w:t>AK Steel</w:t>
        </w:r>
        <w:r w:rsidRPr="00EB223A">
          <w:rPr>
            <w:rStyle w:val="Hyperlink"/>
            <w:noProof/>
          </w:rPr>
          <w:t>.</w:t>
        </w:r>
        <w:r>
          <w:rPr>
            <w:noProof/>
            <w:webHidden/>
          </w:rPr>
          <w:tab/>
        </w:r>
        <w:r>
          <w:rPr>
            <w:noProof/>
            <w:webHidden/>
          </w:rPr>
          <w:fldChar w:fldCharType="begin"/>
        </w:r>
        <w:r>
          <w:rPr>
            <w:noProof/>
            <w:webHidden/>
          </w:rPr>
          <w:instrText xml:space="preserve"> PAGEREF _Toc152337694 \h </w:instrText>
        </w:r>
        <w:r>
          <w:rPr>
            <w:noProof/>
            <w:webHidden/>
          </w:rPr>
          <w:fldChar w:fldCharType="separate"/>
        </w:r>
        <w:r>
          <w:rPr>
            <w:noProof/>
            <w:webHidden/>
          </w:rPr>
          <w:t>3</w:t>
        </w:r>
        <w:r>
          <w:rPr>
            <w:noProof/>
            <w:webHidden/>
          </w:rPr>
          <w:fldChar w:fldCharType="end"/>
        </w:r>
      </w:hyperlink>
    </w:p>
    <w:p w:rsidR="005339B2" w14:paraId="0B5EE6CE" w14:textId="2C99615A">
      <w:pPr>
        <w:pStyle w:val="TOC2"/>
        <w:rPr>
          <w:rFonts w:asciiTheme="minorHAnsi" w:eastAsiaTheme="minorEastAsia" w:hAnsiTheme="minorHAnsi" w:cstheme="minorBidi"/>
          <w:noProof/>
          <w:kern w:val="2"/>
          <w:sz w:val="22"/>
          <w:szCs w:val="22"/>
          <w14:ligatures w14:val="standardContextual"/>
        </w:rPr>
      </w:pPr>
      <w:hyperlink w:anchor="_Toc152337695" w:history="1">
        <w:r w:rsidRPr="00EB223A">
          <w:rPr>
            <w:rStyle w:val="Hyperlink"/>
            <w:noProof/>
          </w:rPr>
          <w:t xml:space="preserve">ASSIGNMENT OF ERROR NO. 2: The PUCO erred in using accounting deferrals to change utility assets into expenses, and then treated the assets as expenses collected from consumers over a ten-year period. The PUCO’s Order unreasonably and unlawfully allows Duke to treat the propane facilities as a “cost” of “rendering the public utility service for the test period,” in violation </w:t>
        </w:r>
        <w:r w:rsidR="00CE57F6">
          <w:rPr>
            <w:rStyle w:val="Hyperlink"/>
            <w:noProof/>
          </w:rPr>
          <w:br/>
        </w:r>
        <w:r w:rsidRPr="00EB223A">
          <w:rPr>
            <w:rStyle w:val="Hyperlink"/>
            <w:noProof/>
          </w:rPr>
          <w:t>of R.C. 4909.15. The PUCO’s action circumvented Ohio ratemaking law.</w:t>
        </w:r>
        <w:r>
          <w:rPr>
            <w:noProof/>
            <w:webHidden/>
          </w:rPr>
          <w:tab/>
        </w:r>
        <w:r>
          <w:rPr>
            <w:noProof/>
            <w:webHidden/>
          </w:rPr>
          <w:fldChar w:fldCharType="begin"/>
        </w:r>
        <w:r>
          <w:rPr>
            <w:noProof/>
            <w:webHidden/>
          </w:rPr>
          <w:instrText xml:space="preserve"> PAGEREF _Toc152337695 \h </w:instrText>
        </w:r>
        <w:r>
          <w:rPr>
            <w:noProof/>
            <w:webHidden/>
          </w:rPr>
          <w:fldChar w:fldCharType="separate"/>
        </w:r>
        <w:r>
          <w:rPr>
            <w:noProof/>
            <w:webHidden/>
          </w:rPr>
          <w:t>6</w:t>
        </w:r>
        <w:r>
          <w:rPr>
            <w:noProof/>
            <w:webHidden/>
          </w:rPr>
          <w:fldChar w:fldCharType="end"/>
        </w:r>
      </w:hyperlink>
    </w:p>
    <w:p w:rsidR="005339B2" w14:paraId="52C93584" w14:textId="054FDA34">
      <w:pPr>
        <w:pStyle w:val="TOC2"/>
        <w:rPr>
          <w:rFonts w:asciiTheme="minorHAnsi" w:eastAsiaTheme="minorEastAsia" w:hAnsiTheme="minorHAnsi" w:cstheme="minorBidi"/>
          <w:noProof/>
          <w:kern w:val="2"/>
          <w:sz w:val="22"/>
          <w:szCs w:val="22"/>
          <w14:ligatures w14:val="standardContextual"/>
        </w:rPr>
      </w:pPr>
      <w:hyperlink w:anchor="_Toc152337696" w:history="1">
        <w:r w:rsidRPr="00EB223A">
          <w:rPr>
            <w:rStyle w:val="Hyperlink"/>
            <w:noProof/>
          </w:rPr>
          <w:t>ASSIGNMENT OF ERROR NO. 3: The PUCO erred by approving a Settlement that does not benefit consumers and the public interest and also violates PUCO precedent and the important regulatory principle of cost causation. The PUCO’s Order unreasonably and unlawfully allows Duke to charge consumers for costs related to</w:t>
        </w:r>
        <w:r w:rsidRPr="00EB223A">
          <w:rPr>
            <w:rStyle w:val="Hyperlink"/>
            <w:noProof/>
            <w:lang w:bidi="en-US"/>
          </w:rPr>
          <w:t xml:space="preserve"> financial performance incentives </w:t>
        </w:r>
        <w:r w:rsidRPr="00EB223A">
          <w:rPr>
            <w:rStyle w:val="Hyperlink"/>
            <w:noProof/>
          </w:rPr>
          <w:t>which do not benefit consumers and are not necessary in providing utility service to consumers.</w:t>
        </w:r>
        <w:r>
          <w:rPr>
            <w:noProof/>
            <w:webHidden/>
          </w:rPr>
          <w:tab/>
        </w:r>
        <w:r>
          <w:rPr>
            <w:noProof/>
            <w:webHidden/>
          </w:rPr>
          <w:fldChar w:fldCharType="begin"/>
        </w:r>
        <w:r>
          <w:rPr>
            <w:noProof/>
            <w:webHidden/>
          </w:rPr>
          <w:instrText xml:space="preserve"> PAGEREF _Toc152337696 \h </w:instrText>
        </w:r>
        <w:r>
          <w:rPr>
            <w:noProof/>
            <w:webHidden/>
          </w:rPr>
          <w:fldChar w:fldCharType="separate"/>
        </w:r>
        <w:r>
          <w:rPr>
            <w:noProof/>
            <w:webHidden/>
          </w:rPr>
          <w:t>8</w:t>
        </w:r>
        <w:r>
          <w:rPr>
            <w:noProof/>
            <w:webHidden/>
          </w:rPr>
          <w:fldChar w:fldCharType="end"/>
        </w:r>
      </w:hyperlink>
    </w:p>
    <w:p w:rsidR="005339B2" w14:paraId="0C16EA23" w14:textId="13388D51">
      <w:pPr>
        <w:pStyle w:val="TOC2"/>
        <w:rPr>
          <w:rFonts w:asciiTheme="minorHAnsi" w:eastAsiaTheme="minorEastAsia" w:hAnsiTheme="minorHAnsi" w:cstheme="minorBidi"/>
          <w:noProof/>
          <w:kern w:val="2"/>
          <w:sz w:val="22"/>
          <w:szCs w:val="22"/>
          <w14:ligatures w14:val="standardContextual"/>
        </w:rPr>
      </w:pPr>
      <w:hyperlink w:anchor="_Toc152337697" w:history="1">
        <w:r w:rsidRPr="00EB223A">
          <w:rPr>
            <w:rStyle w:val="Hyperlink"/>
            <w:noProof/>
          </w:rPr>
          <w:t xml:space="preserve">ASSIGNMENT OF ERROR NO. 4: </w:t>
        </w:r>
        <w:r w:rsidRPr="00EB223A">
          <w:rPr>
            <w:rStyle w:val="Hyperlink"/>
            <w:rFonts w:eastAsia="Calibri"/>
            <w:noProof/>
          </w:rPr>
          <w:t xml:space="preserve">The PUCO erred when it failed to make </w:t>
        </w:r>
        <w:r w:rsidR="00CE57F6">
          <w:rPr>
            <w:rStyle w:val="Hyperlink"/>
            <w:rFonts w:eastAsia="Calibri"/>
            <w:noProof/>
          </w:rPr>
          <w:br/>
        </w:r>
        <w:r w:rsidRPr="00EB223A">
          <w:rPr>
            <w:rStyle w:val="Hyperlink"/>
            <w:rFonts w:eastAsia="Calibri"/>
            <w:noProof/>
          </w:rPr>
          <w:t>the charges for the amortized propane facilities subject to refund.</w:t>
        </w:r>
        <w:r>
          <w:rPr>
            <w:noProof/>
            <w:webHidden/>
          </w:rPr>
          <w:tab/>
        </w:r>
        <w:r>
          <w:rPr>
            <w:noProof/>
            <w:webHidden/>
          </w:rPr>
          <w:fldChar w:fldCharType="begin"/>
        </w:r>
        <w:r>
          <w:rPr>
            <w:noProof/>
            <w:webHidden/>
          </w:rPr>
          <w:instrText xml:space="preserve"> PAGEREF _Toc152337697 \h </w:instrText>
        </w:r>
        <w:r>
          <w:rPr>
            <w:noProof/>
            <w:webHidden/>
          </w:rPr>
          <w:fldChar w:fldCharType="separate"/>
        </w:r>
        <w:r>
          <w:rPr>
            <w:noProof/>
            <w:webHidden/>
          </w:rPr>
          <w:t>10</w:t>
        </w:r>
        <w:r>
          <w:rPr>
            <w:noProof/>
            <w:webHidden/>
          </w:rPr>
          <w:fldChar w:fldCharType="end"/>
        </w:r>
      </w:hyperlink>
    </w:p>
    <w:p w:rsidR="005339B2" w14:paraId="66210ABE" w14:textId="63EC68CF">
      <w:pPr>
        <w:pStyle w:val="TOC1"/>
        <w:rPr>
          <w:rFonts w:asciiTheme="minorHAnsi" w:eastAsiaTheme="minorEastAsia" w:hAnsiTheme="minorHAnsi" w:cstheme="minorBidi"/>
          <w:noProof/>
          <w:kern w:val="2"/>
          <w:sz w:val="22"/>
          <w:szCs w:val="22"/>
          <w14:ligatures w14:val="standardContextual"/>
        </w:rPr>
      </w:pPr>
      <w:hyperlink w:anchor="_Toc152337698" w:history="1">
        <w:r w:rsidRPr="00EB223A">
          <w:rPr>
            <w:rStyle w:val="Hyperlink"/>
            <w:noProof/>
          </w:rPr>
          <w:t>III.</w:t>
        </w:r>
        <w:r>
          <w:rPr>
            <w:rFonts w:asciiTheme="minorHAnsi" w:eastAsiaTheme="minorEastAsia" w:hAnsiTheme="minorHAnsi" w:cstheme="minorBidi"/>
            <w:noProof/>
            <w:kern w:val="2"/>
            <w:sz w:val="22"/>
            <w:szCs w:val="22"/>
            <w14:ligatures w14:val="standardContextual"/>
          </w:rPr>
          <w:tab/>
        </w:r>
        <w:r w:rsidRPr="00EB223A">
          <w:rPr>
            <w:rStyle w:val="Hyperlink"/>
            <w:noProof/>
          </w:rPr>
          <w:t>CONCLUSION</w:t>
        </w:r>
        <w:r>
          <w:rPr>
            <w:noProof/>
            <w:webHidden/>
          </w:rPr>
          <w:tab/>
        </w:r>
        <w:r>
          <w:rPr>
            <w:noProof/>
            <w:webHidden/>
          </w:rPr>
          <w:fldChar w:fldCharType="begin"/>
        </w:r>
        <w:r>
          <w:rPr>
            <w:noProof/>
            <w:webHidden/>
          </w:rPr>
          <w:instrText xml:space="preserve"> PAGEREF _Toc152337698 \h </w:instrText>
        </w:r>
        <w:r>
          <w:rPr>
            <w:noProof/>
            <w:webHidden/>
          </w:rPr>
          <w:fldChar w:fldCharType="separate"/>
        </w:r>
        <w:r>
          <w:rPr>
            <w:noProof/>
            <w:webHidden/>
          </w:rPr>
          <w:t>14</w:t>
        </w:r>
        <w:r>
          <w:rPr>
            <w:noProof/>
            <w:webHidden/>
          </w:rPr>
          <w:fldChar w:fldCharType="end"/>
        </w:r>
      </w:hyperlink>
    </w:p>
    <w:p w:rsidR="00D76819" w:rsidRPr="00B012A9" w:rsidP="00D76819" w14:paraId="788E1BC2" w14:textId="1CA6068C">
      <w:pPr>
        <w:rPr>
          <w:szCs w:val="24"/>
        </w:rPr>
        <w:sectPr w:rsidSect="00453ABC">
          <w:pgSz w:w="12240" w:h="15840"/>
          <w:pgMar w:top="1440" w:right="1800" w:bottom="1440" w:left="1800" w:header="720" w:footer="720" w:gutter="0"/>
          <w:pgNumType w:fmt="lowerRoman" w:start="1"/>
          <w:cols w:space="720"/>
          <w:titlePg/>
          <w:docGrid w:linePitch="326"/>
        </w:sectPr>
      </w:pPr>
      <w:r>
        <w:rPr>
          <w:szCs w:val="24"/>
        </w:rPr>
        <w:fldChar w:fldCharType="end"/>
      </w:r>
    </w:p>
    <w:p w:rsidR="0042350A" w:rsidRPr="00B012A9" w:rsidP="0042350A" w14:paraId="3EB242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r w:rsidRPr="00B012A9">
        <w:rPr>
          <w:rFonts w:eastAsia="Calibri"/>
          <w:b/>
          <w:bCs/>
          <w:szCs w:val="24"/>
        </w:rPr>
        <w:t>BEFORE</w:t>
      </w:r>
    </w:p>
    <w:p w:rsidR="0042350A" w:rsidRPr="00B012A9" w:rsidP="0042350A" w14:paraId="57C0510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r w:rsidRPr="00B012A9">
        <w:rPr>
          <w:rFonts w:eastAsia="Calibri"/>
          <w:b/>
          <w:bCs/>
          <w:szCs w:val="24"/>
        </w:rPr>
        <w:t>THE PUBLIC UTILITIES COMMISSION OF OHIO</w:t>
      </w:r>
    </w:p>
    <w:p w:rsidR="0042350A" w:rsidRPr="00B012A9" w:rsidP="0042350A" w14:paraId="07F15C1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Cs w:val="24"/>
        </w:rPr>
      </w:pPr>
    </w:p>
    <w:tbl>
      <w:tblPr>
        <w:tblW w:w="8730" w:type="dxa"/>
        <w:tblLook w:val="01E0"/>
      </w:tblPr>
      <w:tblGrid>
        <w:gridCol w:w="4122"/>
        <w:gridCol w:w="720"/>
        <w:gridCol w:w="3888"/>
      </w:tblGrid>
      <w:tr w14:paraId="1615EF18" w14:textId="77777777" w:rsidTr="002F6874">
        <w:tblPrEx>
          <w:tblW w:w="8730" w:type="dxa"/>
          <w:tblLook w:val="01E0"/>
        </w:tblPrEx>
        <w:trPr>
          <w:trHeight w:val="807"/>
        </w:trPr>
        <w:tc>
          <w:tcPr>
            <w:tcW w:w="4122" w:type="dxa"/>
            <w:shd w:val="clear" w:color="auto" w:fill="auto"/>
          </w:tcPr>
          <w:p w:rsidR="00A37D54" w:rsidRPr="00F126CD" w:rsidP="00A37D54" w14:paraId="3720FABE" w14:textId="77777777">
            <w:pPr>
              <w:suppressLineNumbers/>
              <w:ind w:right="342"/>
            </w:pPr>
            <w:r w:rsidRPr="00F126CD">
              <w:t>I</w:t>
            </w:r>
            <w:r>
              <w:t>n</w:t>
            </w:r>
            <w:r w:rsidRPr="00F126CD">
              <w:t xml:space="preserve"> the Matter of the Application of Duke Energy Ohio, Inc., for an Increase in Natural Gas Rates.</w:t>
            </w:r>
          </w:p>
          <w:p w:rsidR="00A37D54" w:rsidRPr="00F126CD" w:rsidP="00A37D54" w14:paraId="0740223E" w14:textId="77777777">
            <w:pPr>
              <w:suppressLineNumbers/>
              <w:ind w:right="342"/>
            </w:pPr>
          </w:p>
          <w:p w:rsidR="00A37D54" w:rsidRPr="00F126CD" w:rsidP="00A37D54" w14:paraId="426E687C" w14:textId="77777777">
            <w:pPr>
              <w:suppressLineNumbers/>
              <w:ind w:right="342"/>
            </w:pPr>
            <w:r w:rsidRPr="00F126CD">
              <w:t>In the Matter of the Application of Duke Energy Ohio, Inc., for Approval of an Alternative Form of Regulation.</w:t>
            </w:r>
          </w:p>
          <w:p w:rsidR="00A37D54" w:rsidRPr="00F126CD" w:rsidP="00A37D54" w14:paraId="20AB2D39" w14:textId="77777777">
            <w:pPr>
              <w:suppressLineNumbers/>
              <w:ind w:right="342"/>
            </w:pPr>
          </w:p>
          <w:p w:rsidR="00A37D54" w:rsidRPr="00F126CD" w:rsidP="00A37D54" w14:paraId="61F2A4D1" w14:textId="77777777">
            <w:pPr>
              <w:suppressLineNumbers/>
              <w:ind w:right="342"/>
            </w:pPr>
            <w:r w:rsidRPr="00F126CD">
              <w:t>In the Matter of the Application of Duke Energy Ohio, Inc., for Tariff Approval.</w:t>
            </w:r>
          </w:p>
          <w:p w:rsidR="00A37D54" w:rsidRPr="00F126CD" w:rsidP="00A37D54" w14:paraId="34A9E036" w14:textId="77777777">
            <w:pPr>
              <w:suppressLineNumbers/>
              <w:ind w:right="342"/>
            </w:pPr>
          </w:p>
          <w:p w:rsidR="00A37D54" w:rsidRPr="00B012A9" w:rsidP="00A37D54" w14:paraId="0DD753A6" w14:textId="740B3BE0">
            <w:pPr>
              <w:autoSpaceDE w:val="0"/>
              <w:autoSpaceDN w:val="0"/>
              <w:adjustRightInd w:val="0"/>
              <w:ind w:left="-37" w:right="82"/>
              <w:rPr>
                <w:szCs w:val="24"/>
              </w:rPr>
            </w:pPr>
            <w:r w:rsidRPr="00F126CD">
              <w:t>In the Matter of the Application of Duke Energy Ohio, Inc., for Approval to Change Accounting Methods.</w:t>
            </w:r>
          </w:p>
        </w:tc>
        <w:tc>
          <w:tcPr>
            <w:tcW w:w="720" w:type="dxa"/>
            <w:shd w:val="clear" w:color="auto" w:fill="auto"/>
          </w:tcPr>
          <w:p w:rsidR="00A37D54" w:rsidRPr="00F126CD" w:rsidP="00A37D54" w14:paraId="4DEEC2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5BA3C04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34154B9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30020F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37D54" w:rsidRPr="00F126CD" w:rsidP="00A37D54" w14:paraId="5A1BDF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7A4BCA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489DF47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6EB7A40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37D54" w:rsidRPr="00F126CD" w:rsidP="00A37D54" w14:paraId="161CD95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6BC9CF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382CD10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2A5BF4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37D54" w:rsidRPr="00F126CD" w:rsidP="00A37D54" w14:paraId="24B9EF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F126CD" w:rsidP="00A37D54" w14:paraId="0C20DEB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A37D54" w:rsidRPr="00B012A9" w:rsidP="00A37D54" w14:paraId="0591C28C" w14:textId="640CC5BB">
            <w:pPr>
              <w:pStyle w:val="HTMLPreformatted"/>
              <w:rPr>
                <w:rFonts w:ascii="Times New Roman" w:hAnsi="Times New Roman" w:cs="Times New Roman"/>
                <w:sz w:val="24"/>
                <w:szCs w:val="24"/>
              </w:rPr>
            </w:pPr>
            <w:r w:rsidRPr="00F126CD">
              <w:t>)</w:t>
            </w:r>
          </w:p>
        </w:tc>
        <w:tc>
          <w:tcPr>
            <w:tcW w:w="3888" w:type="dxa"/>
            <w:shd w:val="clear" w:color="auto" w:fill="auto"/>
          </w:tcPr>
          <w:p w:rsidR="00A37D54" w:rsidRPr="00F126CD" w:rsidP="00A37D54" w14:paraId="590A7A10" w14:textId="77777777">
            <w:pPr>
              <w:autoSpaceDE w:val="0"/>
              <w:autoSpaceDN w:val="0"/>
              <w:adjustRightInd w:val="0"/>
            </w:pPr>
          </w:p>
          <w:p w:rsidR="00A37D54" w:rsidRPr="00F126CD" w:rsidP="00A37D54" w14:paraId="01F99D92" w14:textId="77777777">
            <w:pPr>
              <w:autoSpaceDE w:val="0"/>
              <w:autoSpaceDN w:val="0"/>
              <w:adjustRightInd w:val="0"/>
            </w:pPr>
            <w:r w:rsidRPr="00F126CD">
              <w:t>Case No. 22-507-GA-AIR</w:t>
            </w:r>
          </w:p>
          <w:p w:rsidR="00A37D54" w:rsidRPr="00F126CD" w:rsidP="00A37D54" w14:paraId="601E90C6" w14:textId="77777777">
            <w:pPr>
              <w:autoSpaceDE w:val="0"/>
              <w:autoSpaceDN w:val="0"/>
              <w:adjustRightInd w:val="0"/>
            </w:pPr>
          </w:p>
          <w:p w:rsidR="00A37D54" w:rsidRPr="00F126CD" w:rsidP="00A37D54" w14:paraId="0FA4F89E" w14:textId="77777777">
            <w:pPr>
              <w:autoSpaceDE w:val="0"/>
              <w:autoSpaceDN w:val="0"/>
              <w:adjustRightInd w:val="0"/>
            </w:pPr>
          </w:p>
          <w:p w:rsidR="00A37D54" w:rsidRPr="00F126CD" w:rsidP="00A37D54" w14:paraId="46E2731B" w14:textId="77777777">
            <w:pPr>
              <w:autoSpaceDE w:val="0"/>
              <w:autoSpaceDN w:val="0"/>
              <w:adjustRightInd w:val="0"/>
            </w:pPr>
          </w:p>
          <w:p w:rsidR="00A37D54" w:rsidRPr="00F126CD" w:rsidP="00A37D54" w14:paraId="7866A500" w14:textId="77777777">
            <w:pPr>
              <w:autoSpaceDE w:val="0"/>
              <w:autoSpaceDN w:val="0"/>
              <w:adjustRightInd w:val="0"/>
            </w:pPr>
            <w:r w:rsidRPr="00F126CD">
              <w:t>Case No. 22-508-GA-ALT</w:t>
            </w:r>
          </w:p>
          <w:p w:rsidR="00A37D54" w:rsidRPr="00F126CD" w:rsidP="00A37D54" w14:paraId="14D4FB2C" w14:textId="77777777">
            <w:pPr>
              <w:autoSpaceDE w:val="0"/>
              <w:autoSpaceDN w:val="0"/>
              <w:adjustRightInd w:val="0"/>
            </w:pPr>
          </w:p>
          <w:p w:rsidR="00A37D54" w:rsidRPr="00F126CD" w:rsidP="00A37D54" w14:paraId="49B4785D" w14:textId="77777777">
            <w:pPr>
              <w:autoSpaceDE w:val="0"/>
              <w:autoSpaceDN w:val="0"/>
              <w:adjustRightInd w:val="0"/>
            </w:pPr>
          </w:p>
          <w:p w:rsidR="00A37D54" w:rsidRPr="00F126CD" w:rsidP="00A37D54" w14:paraId="2B7A5629" w14:textId="77777777">
            <w:pPr>
              <w:autoSpaceDE w:val="0"/>
              <w:autoSpaceDN w:val="0"/>
              <w:adjustRightInd w:val="0"/>
            </w:pPr>
          </w:p>
          <w:p w:rsidR="00A37D54" w:rsidRPr="00F126CD" w:rsidP="00A37D54" w14:paraId="0F483C96" w14:textId="77777777">
            <w:pPr>
              <w:autoSpaceDE w:val="0"/>
              <w:autoSpaceDN w:val="0"/>
              <w:adjustRightInd w:val="0"/>
            </w:pPr>
            <w:r w:rsidRPr="00F126CD">
              <w:t>Case No. 22-509-GA-ATA</w:t>
            </w:r>
          </w:p>
          <w:p w:rsidR="00A37D54" w:rsidRPr="00F126CD" w:rsidP="00A37D54" w14:paraId="61490A3A" w14:textId="77777777">
            <w:pPr>
              <w:autoSpaceDE w:val="0"/>
              <w:autoSpaceDN w:val="0"/>
              <w:adjustRightInd w:val="0"/>
            </w:pPr>
          </w:p>
          <w:p w:rsidR="00A37D54" w:rsidRPr="00F126CD" w:rsidP="00A37D54" w14:paraId="4A1A34B4" w14:textId="77777777">
            <w:pPr>
              <w:autoSpaceDE w:val="0"/>
              <w:autoSpaceDN w:val="0"/>
              <w:adjustRightInd w:val="0"/>
            </w:pPr>
          </w:p>
          <w:p w:rsidR="00A37D54" w:rsidRPr="00F126CD" w:rsidP="00A37D54" w14:paraId="6A64AADD" w14:textId="77777777">
            <w:pPr>
              <w:autoSpaceDE w:val="0"/>
              <w:autoSpaceDN w:val="0"/>
              <w:adjustRightInd w:val="0"/>
            </w:pPr>
          </w:p>
          <w:p w:rsidR="00A37D54" w:rsidRPr="00F126CD" w:rsidP="00A37D54" w14:paraId="32FBD972" w14:textId="77777777">
            <w:pPr>
              <w:autoSpaceDE w:val="0"/>
              <w:autoSpaceDN w:val="0"/>
              <w:adjustRightInd w:val="0"/>
            </w:pPr>
            <w:r w:rsidRPr="00F126CD">
              <w:t>Case No. 22-510-GA-AAM</w:t>
            </w:r>
          </w:p>
          <w:p w:rsidR="00A37D54" w:rsidRPr="00B012A9" w:rsidP="00A37D54" w14:paraId="2FC43AF1" w14:textId="77777777">
            <w:pPr>
              <w:pStyle w:val="HTMLPreformatted"/>
              <w:rPr>
                <w:rFonts w:ascii="Times New Roman" w:hAnsi="Times New Roman" w:cs="Times New Roman"/>
                <w:sz w:val="24"/>
                <w:szCs w:val="24"/>
              </w:rPr>
            </w:pPr>
          </w:p>
        </w:tc>
      </w:tr>
    </w:tbl>
    <w:p w:rsidR="0042350A" w:rsidRPr="00B012A9" w:rsidP="0042350A" w14:paraId="06C50579" w14:textId="77777777">
      <w:pPr>
        <w:pBdr>
          <w:bottom w:val="single" w:sz="12" w:space="1" w:color="auto"/>
        </w:pBdr>
        <w:autoSpaceDE w:val="0"/>
        <w:autoSpaceDN w:val="0"/>
        <w:adjustRightInd w:val="0"/>
        <w:rPr>
          <w:rFonts w:eastAsia="Calibri"/>
          <w:szCs w:val="24"/>
        </w:rPr>
      </w:pPr>
    </w:p>
    <w:p w:rsidR="0042350A" w:rsidRPr="00B012A9" w:rsidP="0042350A" w14:paraId="4F6FB4D2" w14:textId="77777777">
      <w:pPr>
        <w:autoSpaceDE w:val="0"/>
        <w:autoSpaceDN w:val="0"/>
        <w:adjustRightInd w:val="0"/>
        <w:rPr>
          <w:rFonts w:eastAsia="Calibri"/>
          <w:szCs w:val="24"/>
        </w:rPr>
      </w:pPr>
    </w:p>
    <w:p w:rsidR="0042350A" w:rsidRPr="00B012A9" w:rsidP="0042350A" w14:paraId="0B78A92B" w14:textId="77777777">
      <w:pPr>
        <w:widowControl w:val="0"/>
        <w:jc w:val="center"/>
        <w:rPr>
          <w:b/>
          <w:szCs w:val="24"/>
        </w:rPr>
      </w:pPr>
      <w:r w:rsidRPr="00B012A9">
        <w:rPr>
          <w:b/>
          <w:szCs w:val="24"/>
        </w:rPr>
        <w:t xml:space="preserve">MEMORANDUM IN SUPPORT OF APPLICATION FOR REHEARING </w:t>
      </w:r>
    </w:p>
    <w:p w:rsidR="0042350A" w:rsidRPr="00B012A9" w:rsidP="0042350A" w14:paraId="2EFE9809" w14:textId="77777777">
      <w:pPr>
        <w:widowControl w:val="0"/>
        <w:jc w:val="center"/>
        <w:rPr>
          <w:b/>
          <w:szCs w:val="24"/>
        </w:rPr>
      </w:pPr>
      <w:r w:rsidRPr="00B012A9">
        <w:rPr>
          <w:b/>
          <w:szCs w:val="24"/>
        </w:rPr>
        <w:t>BY</w:t>
      </w:r>
    </w:p>
    <w:p w:rsidR="0042350A" w:rsidRPr="00B012A9" w:rsidP="0042350A" w14:paraId="781B5AB2" w14:textId="77777777">
      <w:pPr>
        <w:jc w:val="center"/>
        <w:rPr>
          <w:b/>
          <w:szCs w:val="24"/>
        </w:rPr>
      </w:pPr>
      <w:r w:rsidRPr="00B012A9">
        <w:rPr>
          <w:b/>
          <w:szCs w:val="24"/>
        </w:rPr>
        <w:t>OFFICE OF THE OHIO CONSUMERS’ COUNSEL</w:t>
      </w:r>
    </w:p>
    <w:p w:rsidR="0042350A" w:rsidRPr="00B012A9" w:rsidP="00145118" w14:paraId="4C735F2A" w14:textId="77777777">
      <w:pPr>
        <w:pBdr>
          <w:bottom w:val="single" w:sz="12" w:space="1" w:color="auto"/>
        </w:pBdr>
        <w:autoSpaceDE w:val="0"/>
        <w:autoSpaceDN w:val="0"/>
        <w:adjustRightInd w:val="0"/>
        <w:spacing w:after="240"/>
        <w:jc w:val="center"/>
        <w:rPr>
          <w:rFonts w:eastAsia="Calibri"/>
          <w:b/>
          <w:bCs/>
          <w:szCs w:val="24"/>
        </w:rPr>
      </w:pPr>
    </w:p>
    <w:p w:rsidR="00FA2895" w:rsidRPr="00FA2895" w:rsidP="00DA4698" w14:paraId="276A363C" w14:textId="77777777">
      <w:pPr>
        <w:pStyle w:val="Heading1"/>
        <w:numPr>
          <w:ilvl w:val="0"/>
          <w:numId w:val="0"/>
        </w:numPr>
        <w:rPr>
          <w:lang w:bidi="en-US"/>
        </w:rPr>
      </w:pPr>
      <w:bookmarkStart w:id="6" w:name="_Toc2936384"/>
      <w:bookmarkStart w:id="7" w:name="_Toc102143385"/>
      <w:bookmarkStart w:id="8" w:name="_Toc102143556"/>
      <w:bookmarkStart w:id="9" w:name="_Toc106717605"/>
      <w:bookmarkStart w:id="10" w:name="_Toc137825428"/>
      <w:bookmarkStart w:id="11" w:name="_Toc152337692"/>
      <w:r w:rsidRPr="00FA2895">
        <w:rPr>
          <w:lang w:bidi="en-US"/>
        </w:rPr>
        <w:t>I.</w:t>
      </w:r>
      <w:r w:rsidRPr="00FA2895">
        <w:rPr>
          <w:lang w:bidi="en-US"/>
        </w:rPr>
        <w:tab/>
        <w:t>INTRODUCTION</w:t>
      </w:r>
      <w:bookmarkEnd w:id="6"/>
      <w:bookmarkEnd w:id="7"/>
      <w:bookmarkEnd w:id="8"/>
      <w:bookmarkEnd w:id="9"/>
      <w:bookmarkEnd w:id="10"/>
      <w:bookmarkEnd w:id="11"/>
    </w:p>
    <w:p w:rsidR="00F4336E" w:rsidP="00FA2895" w14:paraId="551B6F0F" w14:textId="34ADCB0D">
      <w:pPr>
        <w:spacing w:line="480" w:lineRule="auto"/>
        <w:ind w:firstLine="720"/>
        <w:rPr>
          <w:szCs w:val="24"/>
        </w:rPr>
      </w:pPr>
      <w:bookmarkStart w:id="12" w:name="_Hlk151041021"/>
      <w:r>
        <w:rPr>
          <w:szCs w:val="24"/>
          <w:lang w:bidi="en-US"/>
        </w:rPr>
        <w:t xml:space="preserve">The PUCO </w:t>
      </w:r>
      <w:r w:rsidR="000D7847">
        <w:rPr>
          <w:szCs w:val="24"/>
          <w:lang w:bidi="en-US"/>
        </w:rPr>
        <w:t xml:space="preserve">issued an </w:t>
      </w:r>
      <w:r>
        <w:rPr>
          <w:szCs w:val="24"/>
          <w:lang w:bidi="en-US"/>
        </w:rPr>
        <w:t xml:space="preserve">Opinion and Order </w:t>
      </w:r>
      <w:r w:rsidR="000D7847">
        <w:rPr>
          <w:szCs w:val="24"/>
          <w:lang w:bidi="en-US"/>
        </w:rPr>
        <w:t xml:space="preserve">approving a settlement on November 1, 2023, that </w:t>
      </w:r>
      <w:r>
        <w:rPr>
          <w:szCs w:val="24"/>
          <w:lang w:bidi="en-US"/>
        </w:rPr>
        <w:t>allows</w:t>
      </w:r>
      <w:r w:rsidRPr="00FA2895" w:rsidR="00FA2895">
        <w:rPr>
          <w:szCs w:val="24"/>
          <w:lang w:bidi="en-US"/>
        </w:rPr>
        <w:t xml:space="preserve"> Duke to charge consumers </w:t>
      </w:r>
      <w:r>
        <w:rPr>
          <w:szCs w:val="24"/>
          <w:lang w:bidi="en-US"/>
        </w:rPr>
        <w:t xml:space="preserve">approximately </w:t>
      </w:r>
      <w:r w:rsidRPr="00FA2895" w:rsidR="00FA2895">
        <w:rPr>
          <w:szCs w:val="24"/>
          <w:lang w:bidi="en-US"/>
        </w:rPr>
        <w:t xml:space="preserve">$29 million for deferred </w:t>
      </w:r>
      <w:r w:rsidR="00DC37B8">
        <w:rPr>
          <w:szCs w:val="24"/>
          <w:lang w:bidi="en-US"/>
        </w:rPr>
        <w:t>“</w:t>
      </w:r>
      <w:r w:rsidRPr="00FA2895" w:rsidR="00FA2895">
        <w:rPr>
          <w:szCs w:val="24"/>
          <w:lang w:bidi="en-US"/>
        </w:rPr>
        <w:t>costs</w:t>
      </w:r>
      <w:r w:rsidR="00DC37B8">
        <w:rPr>
          <w:szCs w:val="24"/>
          <w:lang w:bidi="en-US"/>
        </w:rPr>
        <w:t>”</w:t>
      </w:r>
      <w:r w:rsidRPr="00FA2895" w:rsidR="00FA2895">
        <w:rPr>
          <w:szCs w:val="24"/>
          <w:lang w:bidi="en-US"/>
        </w:rPr>
        <w:t xml:space="preserve"> related to propane </w:t>
      </w:r>
      <w:r w:rsidR="008D2920">
        <w:rPr>
          <w:szCs w:val="24"/>
          <w:lang w:bidi="en-US"/>
        </w:rPr>
        <w:t>facilities</w:t>
      </w:r>
      <w:r w:rsidRPr="00FA2895" w:rsidR="00FA2895">
        <w:rPr>
          <w:szCs w:val="24"/>
          <w:lang w:bidi="en-US"/>
        </w:rPr>
        <w:t xml:space="preserve"> </w:t>
      </w:r>
      <w:r>
        <w:rPr>
          <w:szCs w:val="24"/>
          <w:lang w:bidi="en-US"/>
        </w:rPr>
        <w:t xml:space="preserve">(“propane facilities”) </w:t>
      </w:r>
      <w:r w:rsidRPr="00FA2895" w:rsidR="00FA2895">
        <w:rPr>
          <w:szCs w:val="24"/>
          <w:lang w:bidi="en-US"/>
        </w:rPr>
        <w:t xml:space="preserve">that were </w:t>
      </w:r>
      <w:r w:rsidR="00B01C2B">
        <w:rPr>
          <w:szCs w:val="24"/>
          <w:lang w:bidi="en-US"/>
        </w:rPr>
        <w:t>not used and useful on date certain.</w:t>
      </w:r>
      <w:r w:rsidR="00AC7F70">
        <w:rPr>
          <w:szCs w:val="24"/>
          <w:lang w:bidi="en-US"/>
        </w:rPr>
        <w:t xml:space="preserve"> </w:t>
      </w:r>
      <w:r w:rsidR="00B01C2B">
        <w:rPr>
          <w:szCs w:val="24"/>
          <w:lang w:bidi="en-US"/>
        </w:rPr>
        <w:t xml:space="preserve">The propane facilities were </w:t>
      </w:r>
      <w:r w:rsidRPr="00FA2895" w:rsidR="00FA2895">
        <w:rPr>
          <w:szCs w:val="24"/>
          <w:lang w:bidi="en-US"/>
        </w:rPr>
        <w:t>replaced by the Central Corridor Pipeline</w:t>
      </w:r>
      <w:r>
        <w:rPr>
          <w:szCs w:val="24"/>
          <w:lang w:bidi="en-US"/>
        </w:rPr>
        <w:t xml:space="preserve"> (“CCP”)</w:t>
      </w:r>
      <w:r w:rsidRPr="00FA2895" w:rsidR="00FA2895">
        <w:rPr>
          <w:szCs w:val="24"/>
          <w:lang w:bidi="en-US"/>
        </w:rPr>
        <w:t>, which began commercial operation on March 14, 2022.</w:t>
      </w:r>
      <w:r>
        <w:rPr>
          <w:szCs w:val="24"/>
          <w:vertAlign w:val="superscript"/>
          <w:lang w:bidi="en-US"/>
        </w:rPr>
        <w:footnoteReference w:id="3"/>
      </w:r>
      <w:bookmarkEnd w:id="12"/>
      <w:r w:rsidRPr="00FA2895" w:rsidR="00FA2895">
        <w:rPr>
          <w:szCs w:val="24"/>
          <w:lang w:bidi="en-US"/>
        </w:rPr>
        <w:t xml:space="preserve"> </w:t>
      </w:r>
      <w:r>
        <w:rPr>
          <w:szCs w:val="24"/>
          <w:lang w:bidi="en-US"/>
        </w:rPr>
        <w:t xml:space="preserve">These deferred </w:t>
      </w:r>
      <w:r w:rsidR="00DC37B8">
        <w:rPr>
          <w:szCs w:val="24"/>
          <w:lang w:bidi="en-US"/>
        </w:rPr>
        <w:t>“</w:t>
      </w:r>
      <w:r>
        <w:rPr>
          <w:szCs w:val="24"/>
          <w:lang w:bidi="en-US"/>
        </w:rPr>
        <w:t>costs</w:t>
      </w:r>
      <w:r w:rsidR="00DC37B8">
        <w:rPr>
          <w:szCs w:val="24"/>
          <w:lang w:bidi="en-US"/>
        </w:rPr>
        <w:t>”</w:t>
      </w:r>
      <w:r>
        <w:rPr>
          <w:szCs w:val="24"/>
          <w:lang w:bidi="en-US"/>
        </w:rPr>
        <w:t xml:space="preserve"> include </w:t>
      </w:r>
      <w:r w:rsidRPr="00F4336E">
        <w:rPr>
          <w:szCs w:val="24"/>
        </w:rPr>
        <w:t xml:space="preserve">approximately $17 million for the </w:t>
      </w:r>
      <w:r>
        <w:rPr>
          <w:szCs w:val="24"/>
        </w:rPr>
        <w:t xml:space="preserve">net book value of the retired </w:t>
      </w:r>
      <w:r w:rsidRPr="00F4336E">
        <w:rPr>
          <w:szCs w:val="24"/>
        </w:rPr>
        <w:t xml:space="preserve">propane facilities, </w:t>
      </w:r>
      <w:r w:rsidRPr="00F4336E" w:rsidR="007817EA">
        <w:rPr>
          <w:szCs w:val="24"/>
        </w:rPr>
        <w:t xml:space="preserve">$5 million for </w:t>
      </w:r>
      <w:r w:rsidR="007817EA">
        <w:rPr>
          <w:szCs w:val="24"/>
        </w:rPr>
        <w:t>propane inventory</w:t>
      </w:r>
      <w:r w:rsidR="009C6AC5">
        <w:rPr>
          <w:szCs w:val="24"/>
        </w:rPr>
        <w:t>,</w:t>
      </w:r>
      <w:r w:rsidR="007817EA">
        <w:rPr>
          <w:szCs w:val="24"/>
        </w:rPr>
        <w:t xml:space="preserve"> and </w:t>
      </w:r>
      <w:r w:rsidRPr="00F4336E">
        <w:rPr>
          <w:szCs w:val="24"/>
        </w:rPr>
        <w:t>$7 million in decommissioning costs</w:t>
      </w:r>
      <w:r w:rsidR="007817EA">
        <w:rPr>
          <w:szCs w:val="24"/>
        </w:rPr>
        <w:t>.</w:t>
      </w:r>
    </w:p>
    <w:p w:rsidR="00FA2895" w:rsidRPr="00FA2895" w:rsidP="00FA2895" w14:paraId="50AF0008" w14:textId="609AC4AE">
      <w:pPr>
        <w:spacing w:line="480" w:lineRule="auto"/>
        <w:ind w:firstLine="720"/>
        <w:rPr>
          <w:szCs w:val="24"/>
          <w:lang w:bidi="en-US"/>
        </w:rPr>
      </w:pPr>
      <w:r>
        <w:rPr>
          <w:szCs w:val="24"/>
          <w:lang w:bidi="en-US"/>
        </w:rPr>
        <w:t xml:space="preserve">Allowing Duke to </w:t>
      </w:r>
      <w:r w:rsidR="00B01C2B">
        <w:rPr>
          <w:szCs w:val="24"/>
          <w:lang w:bidi="en-US"/>
        </w:rPr>
        <w:t xml:space="preserve">collect money from consumers by changing </w:t>
      </w:r>
      <w:r w:rsidR="00DC37B8">
        <w:rPr>
          <w:szCs w:val="24"/>
          <w:lang w:bidi="en-US"/>
        </w:rPr>
        <w:t>plant assets into expenses</w:t>
      </w:r>
      <w:r w:rsidR="00ED4695">
        <w:rPr>
          <w:szCs w:val="24"/>
          <w:lang w:bidi="en-US"/>
        </w:rPr>
        <w:t xml:space="preserve"> </w:t>
      </w:r>
      <w:r w:rsidRPr="00FA2895">
        <w:rPr>
          <w:szCs w:val="24"/>
          <w:lang w:bidi="en-US"/>
        </w:rPr>
        <w:t xml:space="preserve">circumvents and violates </w:t>
      </w:r>
      <w:r w:rsidR="00B01C2B">
        <w:rPr>
          <w:szCs w:val="24"/>
          <w:lang w:bidi="en-US"/>
        </w:rPr>
        <w:t xml:space="preserve">Ohio law. </w:t>
      </w:r>
      <w:r w:rsidR="00DC37B8">
        <w:rPr>
          <w:szCs w:val="24"/>
          <w:lang w:bidi="en-US"/>
        </w:rPr>
        <w:t>Utility plant is supposed to be valued under section R.C. 4909.15</w:t>
      </w:r>
      <w:r w:rsidR="00271E6F">
        <w:rPr>
          <w:szCs w:val="24"/>
          <w:lang w:bidi="en-US"/>
        </w:rPr>
        <w:t>(A)(1)</w:t>
      </w:r>
      <w:r w:rsidR="00DC37B8">
        <w:rPr>
          <w:szCs w:val="24"/>
          <w:lang w:bidi="en-US"/>
        </w:rPr>
        <w:t>.</w:t>
      </w:r>
      <w:r w:rsidR="00DF6AA5">
        <w:rPr>
          <w:szCs w:val="24"/>
          <w:lang w:bidi="en-US"/>
        </w:rPr>
        <w:t xml:space="preserve"> </w:t>
      </w:r>
      <w:r w:rsidR="00B01C2B">
        <w:rPr>
          <w:szCs w:val="24"/>
          <w:lang w:bidi="en-US"/>
        </w:rPr>
        <w:t xml:space="preserve">Under Ohio law, </w:t>
      </w:r>
      <w:r w:rsidRPr="00FA2895">
        <w:rPr>
          <w:szCs w:val="24"/>
          <w:lang w:bidi="en-US"/>
        </w:rPr>
        <w:t>R.C. 4909.15</w:t>
      </w:r>
      <w:r w:rsidR="00B23C69">
        <w:rPr>
          <w:szCs w:val="24"/>
          <w:lang w:bidi="en-US"/>
        </w:rPr>
        <w:t>(A)(1)</w:t>
      </w:r>
      <w:r w:rsidRPr="00FA2895">
        <w:rPr>
          <w:szCs w:val="24"/>
          <w:lang w:bidi="en-US"/>
        </w:rPr>
        <w:t xml:space="preserve">, </w:t>
      </w:r>
      <w:r w:rsidR="00DC37B8">
        <w:rPr>
          <w:szCs w:val="24"/>
          <w:lang w:bidi="en-US"/>
        </w:rPr>
        <w:t xml:space="preserve">utility </w:t>
      </w:r>
      <w:r w:rsidRPr="00FA2895">
        <w:rPr>
          <w:szCs w:val="24"/>
          <w:lang w:bidi="en-US"/>
        </w:rPr>
        <w:t xml:space="preserve">property </w:t>
      </w:r>
      <w:r w:rsidR="00DC37B8">
        <w:rPr>
          <w:szCs w:val="24"/>
          <w:lang w:bidi="en-US"/>
        </w:rPr>
        <w:t xml:space="preserve">(plant) </w:t>
      </w:r>
      <w:r w:rsidRPr="00FA2895">
        <w:rPr>
          <w:szCs w:val="24"/>
          <w:lang w:bidi="en-US"/>
        </w:rPr>
        <w:t>may only be included in rate base if it is “used and useful” at date certain. The date certain in this case is March 31, 2022.</w:t>
      </w:r>
      <w:r>
        <w:rPr>
          <w:szCs w:val="24"/>
          <w:vertAlign w:val="superscript"/>
          <w:lang w:bidi="en-US"/>
        </w:rPr>
        <w:footnoteReference w:id="4"/>
      </w:r>
      <w:r w:rsidRPr="00FA2895">
        <w:rPr>
          <w:szCs w:val="24"/>
          <w:lang w:bidi="en-US"/>
        </w:rPr>
        <w:t xml:space="preserve"> </w:t>
      </w:r>
      <w:r w:rsidR="00654166">
        <w:rPr>
          <w:szCs w:val="24"/>
          <w:lang w:bidi="en-US"/>
        </w:rPr>
        <w:t xml:space="preserve">The propane </w:t>
      </w:r>
      <w:r w:rsidR="00C57235">
        <w:rPr>
          <w:szCs w:val="24"/>
          <w:lang w:bidi="en-US"/>
        </w:rPr>
        <w:t>facilities</w:t>
      </w:r>
      <w:r w:rsidR="00654166">
        <w:rPr>
          <w:szCs w:val="24"/>
          <w:lang w:bidi="en-US"/>
        </w:rPr>
        <w:t xml:space="preserve"> were </w:t>
      </w:r>
      <w:r w:rsidR="00C57235">
        <w:rPr>
          <w:szCs w:val="24"/>
          <w:lang w:bidi="en-US"/>
        </w:rPr>
        <w:t>not used and useful on the date certain.</w:t>
      </w:r>
      <w:r>
        <w:rPr>
          <w:rStyle w:val="FootnoteReference"/>
          <w:szCs w:val="24"/>
          <w:lang w:bidi="en-US"/>
        </w:rPr>
        <w:footnoteReference w:id="5"/>
      </w:r>
      <w:r w:rsidR="00C57235">
        <w:rPr>
          <w:szCs w:val="24"/>
          <w:lang w:bidi="en-US"/>
        </w:rPr>
        <w:t xml:space="preserve"> </w:t>
      </w:r>
      <w:r w:rsidRPr="00FA2895">
        <w:rPr>
          <w:szCs w:val="24"/>
          <w:lang w:bidi="en-US"/>
        </w:rPr>
        <w:t>The Ohio Supreme Court just recently affirmed the importance of the “used and useful” standard</w:t>
      </w:r>
      <w:r w:rsidR="00271E6F">
        <w:rPr>
          <w:szCs w:val="24"/>
          <w:lang w:bidi="en-US"/>
        </w:rPr>
        <w:t>.</w:t>
      </w:r>
      <w:r>
        <w:rPr>
          <w:szCs w:val="24"/>
          <w:vertAlign w:val="superscript"/>
          <w:lang w:bidi="en-US"/>
        </w:rPr>
        <w:footnoteReference w:id="6"/>
      </w:r>
      <w:r w:rsidRPr="00FA2895">
        <w:rPr>
          <w:szCs w:val="24"/>
          <w:lang w:bidi="en-US"/>
        </w:rPr>
        <w:t xml:space="preserve"> It </w:t>
      </w:r>
      <w:r w:rsidRPr="00FA2895">
        <w:rPr>
          <w:i/>
          <w:iCs/>
          <w:szCs w:val="24"/>
          <w:lang w:bidi="en-US"/>
        </w:rPr>
        <w:t xml:space="preserve">must </w:t>
      </w:r>
      <w:r w:rsidRPr="00FA2895">
        <w:rPr>
          <w:szCs w:val="24"/>
          <w:lang w:bidi="en-US"/>
        </w:rPr>
        <w:t xml:space="preserve">be followed. </w:t>
      </w:r>
    </w:p>
    <w:p w:rsidR="00A14AC7" w:rsidP="008F0025" w14:paraId="51DDDB1C" w14:textId="4BFCE065">
      <w:pPr>
        <w:kinsoku w:val="0"/>
        <w:overflowPunct w:val="0"/>
        <w:autoSpaceDE w:val="0"/>
        <w:autoSpaceDN w:val="0"/>
        <w:adjustRightInd w:val="0"/>
        <w:spacing w:line="480" w:lineRule="auto"/>
        <w:ind w:firstLine="720"/>
        <w:rPr>
          <w:szCs w:val="24"/>
        </w:rPr>
      </w:pPr>
      <w:r>
        <w:rPr>
          <w:szCs w:val="24"/>
        </w:rPr>
        <w:t xml:space="preserve">Further, the PUCO’s Opinion and Order approving the settlement authorizes Duke to charge </w:t>
      </w:r>
      <w:r w:rsidR="00271E6F">
        <w:rPr>
          <w:szCs w:val="24"/>
        </w:rPr>
        <w:t xml:space="preserve">consumers </w:t>
      </w:r>
      <w:r>
        <w:rPr>
          <w:szCs w:val="24"/>
        </w:rPr>
        <w:t xml:space="preserve">for employee financial performance incentives </w:t>
      </w:r>
      <w:r w:rsidR="00C403C8">
        <w:rPr>
          <w:szCs w:val="24"/>
        </w:rPr>
        <w:t xml:space="preserve">resulting in unjust and unreasonable </w:t>
      </w:r>
      <w:r w:rsidR="00271E6F">
        <w:rPr>
          <w:szCs w:val="24"/>
        </w:rPr>
        <w:t>rates</w:t>
      </w:r>
      <w:r w:rsidR="009C6AC5">
        <w:rPr>
          <w:szCs w:val="24"/>
        </w:rPr>
        <w:t xml:space="preserve"> </w:t>
      </w:r>
      <w:r w:rsidR="001B5166">
        <w:rPr>
          <w:szCs w:val="24"/>
        </w:rPr>
        <w:t xml:space="preserve">to </w:t>
      </w:r>
      <w:r w:rsidR="00C403C8">
        <w:rPr>
          <w:szCs w:val="24"/>
        </w:rPr>
        <w:t>consumers.</w:t>
      </w:r>
      <w:r w:rsidR="009C6AC5">
        <w:rPr>
          <w:szCs w:val="24"/>
        </w:rPr>
        <w:t xml:space="preserve"> </w:t>
      </w:r>
      <w:r w:rsidR="00FB4D63">
        <w:rPr>
          <w:szCs w:val="24"/>
        </w:rPr>
        <w:t>Under R.C. 4909.15(A)(4), when fixing and determining just and reasonable rates, the PUCO must determine “the costs to the utility of rendering the public utility service for the test period.”</w:t>
      </w:r>
      <w:r w:rsidR="00AC7F70">
        <w:rPr>
          <w:szCs w:val="24"/>
        </w:rPr>
        <w:t xml:space="preserve"> </w:t>
      </w:r>
      <w:r w:rsidR="00FB4D63">
        <w:rPr>
          <w:szCs w:val="24"/>
        </w:rPr>
        <w:t xml:space="preserve">The Supreme Court has construed that to mean the </w:t>
      </w:r>
      <w:r w:rsidR="007B132F">
        <w:rPr>
          <w:szCs w:val="24"/>
        </w:rPr>
        <w:t>expenses</w:t>
      </w:r>
      <w:r w:rsidR="00FB4D63">
        <w:rPr>
          <w:szCs w:val="24"/>
        </w:rPr>
        <w:t xml:space="preserve"> must be ordinary and necessary </w:t>
      </w:r>
      <w:r w:rsidR="00B01C2B">
        <w:rPr>
          <w:szCs w:val="24"/>
        </w:rPr>
        <w:t xml:space="preserve">to provide service to utility consumers. </w:t>
      </w:r>
      <w:r w:rsidR="00F947B6">
        <w:rPr>
          <w:szCs w:val="24"/>
        </w:rPr>
        <w:t>Employee financial performance incentives</w:t>
      </w:r>
      <w:r w:rsidR="00FB4D63">
        <w:rPr>
          <w:szCs w:val="24"/>
        </w:rPr>
        <w:t xml:space="preserve"> are not necessary to provide </w:t>
      </w:r>
      <w:r w:rsidR="00271E6F">
        <w:rPr>
          <w:szCs w:val="24"/>
        </w:rPr>
        <w:t xml:space="preserve">utility </w:t>
      </w:r>
      <w:r w:rsidR="00FB4D63">
        <w:rPr>
          <w:szCs w:val="24"/>
        </w:rPr>
        <w:t>service to consumers; nor do consumers benefit from those expenses.</w:t>
      </w:r>
      <w:r w:rsidR="00AC7F70">
        <w:rPr>
          <w:szCs w:val="24"/>
        </w:rPr>
        <w:t xml:space="preserve"> </w:t>
      </w:r>
    </w:p>
    <w:p w:rsidR="00A56EFB" w:rsidP="002E144B" w14:paraId="62DFDFFE" w14:textId="1564FF99">
      <w:pPr>
        <w:kinsoku w:val="0"/>
        <w:overflowPunct w:val="0"/>
        <w:autoSpaceDE w:val="0"/>
        <w:autoSpaceDN w:val="0"/>
        <w:adjustRightInd w:val="0"/>
        <w:spacing w:line="480" w:lineRule="auto"/>
        <w:ind w:firstLine="720"/>
        <w:rPr>
          <w:szCs w:val="24"/>
        </w:rPr>
      </w:pPr>
      <w:r>
        <w:rPr>
          <w:szCs w:val="24"/>
        </w:rPr>
        <w:t xml:space="preserve">The PUCO’s Opinion and Order </w:t>
      </w:r>
      <w:r w:rsidRPr="00B012A9" w:rsidR="008F0025">
        <w:rPr>
          <w:szCs w:val="24"/>
        </w:rPr>
        <w:t>is unreasonable and unlawful and contrary to the public interest</w:t>
      </w:r>
      <w:r w:rsidR="002E144B">
        <w:rPr>
          <w:szCs w:val="24"/>
        </w:rPr>
        <w:t xml:space="preserve">. </w:t>
      </w:r>
      <w:r w:rsidRPr="00B012A9" w:rsidR="008F0025">
        <w:rPr>
          <w:szCs w:val="24"/>
        </w:rPr>
        <w:t xml:space="preserve">The Settlement also violates </w:t>
      </w:r>
      <w:r w:rsidR="002E144B">
        <w:rPr>
          <w:szCs w:val="24"/>
        </w:rPr>
        <w:t xml:space="preserve">Ohio law and </w:t>
      </w:r>
      <w:r w:rsidRPr="00B012A9" w:rsidR="008F0025">
        <w:rPr>
          <w:szCs w:val="24"/>
        </w:rPr>
        <w:t>important regulatory principles</w:t>
      </w:r>
      <w:r w:rsidR="009C6AC5">
        <w:rPr>
          <w:szCs w:val="24"/>
        </w:rPr>
        <w:t xml:space="preserve">. </w:t>
      </w:r>
      <w:r w:rsidRPr="00B012A9" w:rsidR="008F0025">
        <w:rPr>
          <w:szCs w:val="24"/>
        </w:rPr>
        <w:t xml:space="preserve">Accordingly, under R.C. 4903.10, OCC applies for rehearing of the Order. </w:t>
      </w:r>
    </w:p>
    <w:p w:rsidR="00A56EFB" w14:paraId="3E3EA682" w14:textId="77777777">
      <w:pPr>
        <w:rPr>
          <w:szCs w:val="24"/>
        </w:rPr>
      </w:pPr>
      <w:r>
        <w:rPr>
          <w:szCs w:val="24"/>
        </w:rPr>
        <w:br w:type="page"/>
      </w:r>
    </w:p>
    <w:p w:rsidR="00BF0B0C" w:rsidRPr="00BF0B0C" w:rsidP="00BF0B0C" w14:paraId="52189E4C" w14:textId="61B0C783">
      <w:pPr>
        <w:pStyle w:val="Heading1"/>
        <w:numPr>
          <w:ilvl w:val="0"/>
          <w:numId w:val="0"/>
        </w:numPr>
      </w:pPr>
      <w:bookmarkStart w:id="15" w:name="_Toc152337693"/>
      <w:r>
        <w:t>II.</w:t>
      </w:r>
      <w:r>
        <w:tab/>
      </w:r>
      <w:r w:rsidRPr="00B012A9">
        <w:t>MATTERS FOR CONSIDERATION</w:t>
      </w:r>
      <w:bookmarkEnd w:id="15"/>
    </w:p>
    <w:p w:rsidR="00472B5B" w:rsidRPr="00472B5B" w:rsidP="004C5AFF" w14:paraId="39C9663F" w14:textId="202E2841">
      <w:pPr>
        <w:pStyle w:val="Heading2"/>
        <w:spacing w:after="0"/>
        <w:ind w:left="720"/>
        <w:rPr>
          <w:b w:val="0"/>
        </w:rPr>
      </w:pPr>
      <w:r w:rsidRPr="002F6874">
        <w:rPr>
          <w:rStyle w:val="Heading2Char"/>
        </w:rPr>
        <w:tab/>
      </w:r>
      <w:bookmarkStart w:id="16" w:name="_Hlk151992652"/>
      <w:bookmarkStart w:id="17" w:name="_Toc152337694"/>
      <w:r w:rsidRPr="00472B5B">
        <w:t>ASSIGNMENT OF ERROR NO. 1:</w:t>
      </w:r>
      <w:r w:rsidR="00DF6AA5">
        <w:t xml:space="preserve"> </w:t>
      </w:r>
      <w:r w:rsidRPr="00C26D22" w:rsidR="0094636C">
        <w:rPr>
          <w:szCs w:val="24"/>
        </w:rPr>
        <w:t>The PUCO erred by approving a Settlement that does not benefit consumers and the public interest and violates R.C. 4909.15</w:t>
      </w:r>
      <w:r w:rsidR="0094636C">
        <w:rPr>
          <w:szCs w:val="24"/>
        </w:rPr>
        <w:t>.</w:t>
      </w:r>
      <w:r w:rsidRPr="00C26D22" w:rsidR="0094636C">
        <w:rPr>
          <w:szCs w:val="24"/>
        </w:rPr>
        <w:t xml:space="preserve"> </w:t>
      </w:r>
      <w:r w:rsidR="0094636C">
        <w:rPr>
          <w:szCs w:val="24"/>
        </w:rPr>
        <w:t xml:space="preserve">The PUCO’s Order wrongfully found that Duke’s propane facilities were used and useful at date certain in providing service to Duke’s consumers when they were not and allowed Duke </w:t>
      </w:r>
      <w:r w:rsidRPr="00C26D22" w:rsidR="0094636C">
        <w:rPr>
          <w:szCs w:val="24"/>
        </w:rPr>
        <w:t xml:space="preserve">to charge consumers for </w:t>
      </w:r>
      <w:r w:rsidR="0094636C">
        <w:rPr>
          <w:szCs w:val="24"/>
        </w:rPr>
        <w:t xml:space="preserve">the plant. The PUCO’s decision was wrong and against the manifest weight of the evidence contrary to R.C. 4903.09 and Supreme Court precedent, </w:t>
      </w:r>
      <w:r w:rsidRPr="00AC7F70" w:rsidR="005E403A">
        <w:rPr>
          <w:i/>
          <w:iCs/>
          <w:szCs w:val="24"/>
        </w:rPr>
        <w:t>Consumers’ Counsel</w:t>
      </w:r>
      <w:r w:rsidR="005E403A">
        <w:rPr>
          <w:szCs w:val="24"/>
        </w:rPr>
        <w:t xml:space="preserve"> </w:t>
      </w:r>
      <w:r w:rsidR="00C375E6">
        <w:rPr>
          <w:szCs w:val="24"/>
        </w:rPr>
        <w:t xml:space="preserve">and </w:t>
      </w:r>
      <w:r w:rsidRPr="00AC7F70" w:rsidR="005E403A">
        <w:rPr>
          <w:i/>
          <w:iCs/>
          <w:szCs w:val="24"/>
        </w:rPr>
        <w:t>AK Steel</w:t>
      </w:r>
      <w:r w:rsidR="00C375E6">
        <w:rPr>
          <w:szCs w:val="24"/>
        </w:rPr>
        <w:t>.</w:t>
      </w:r>
      <w:r>
        <w:rPr>
          <w:rStyle w:val="FootnoteReference"/>
          <w:szCs w:val="24"/>
        </w:rPr>
        <w:footnoteReference w:id="7"/>
      </w:r>
      <w:bookmarkEnd w:id="16"/>
      <w:bookmarkEnd w:id="17"/>
    </w:p>
    <w:p w:rsidR="007441B3" w:rsidRPr="009F6E64" w:rsidP="007441B3" w14:paraId="34CB66EC" w14:textId="7E6444A4">
      <w:pPr>
        <w:widowControl w:val="0"/>
        <w:ind w:left="1440" w:hanging="720"/>
        <w:rPr>
          <w:b/>
          <w:bCs/>
          <w:szCs w:val="24"/>
        </w:rPr>
      </w:pPr>
    </w:p>
    <w:p w:rsidR="00C31ED6" w:rsidRPr="00C31ED6" w:rsidP="00C31ED6" w14:paraId="006E8168" w14:textId="32CD247B">
      <w:pPr>
        <w:tabs>
          <w:tab w:val="left" w:pos="720"/>
          <w:tab w:val="left" w:pos="1440"/>
          <w:tab w:val="left" w:leader="dot" w:pos="8640"/>
        </w:tabs>
        <w:spacing w:line="480" w:lineRule="auto"/>
        <w:rPr>
          <w:bCs/>
          <w:szCs w:val="24"/>
          <w:lang w:bidi="en-US"/>
        </w:rPr>
      </w:pPr>
      <w:r>
        <w:rPr>
          <w:bCs/>
          <w:iCs/>
          <w:szCs w:val="24"/>
          <w:lang w:bidi="en-US"/>
        </w:rPr>
        <w:tab/>
      </w:r>
      <w:r w:rsidRPr="00C31ED6">
        <w:rPr>
          <w:bCs/>
          <w:iCs/>
          <w:szCs w:val="24"/>
          <w:lang w:bidi="en-US"/>
        </w:rPr>
        <w:t>T</w:t>
      </w:r>
      <w:r w:rsidRPr="00C31ED6">
        <w:rPr>
          <w:bCs/>
          <w:szCs w:val="24"/>
          <w:lang w:bidi="en-US"/>
        </w:rPr>
        <w:t>he PUCO</w:t>
      </w:r>
      <w:r w:rsidR="00275D45">
        <w:rPr>
          <w:bCs/>
          <w:szCs w:val="24"/>
          <w:lang w:bidi="en-US"/>
        </w:rPr>
        <w:t>’s</w:t>
      </w:r>
      <w:r w:rsidRPr="00C31ED6">
        <w:rPr>
          <w:bCs/>
          <w:szCs w:val="24"/>
          <w:lang w:bidi="en-US"/>
        </w:rPr>
        <w:t xml:space="preserve"> </w:t>
      </w:r>
      <w:r w:rsidR="00275D45">
        <w:rPr>
          <w:bCs/>
          <w:szCs w:val="24"/>
          <w:lang w:bidi="en-US"/>
        </w:rPr>
        <w:t>decision</w:t>
      </w:r>
      <w:r w:rsidR="002E144B">
        <w:rPr>
          <w:bCs/>
          <w:szCs w:val="24"/>
          <w:lang w:bidi="en-US"/>
        </w:rPr>
        <w:t xml:space="preserve"> approving the</w:t>
      </w:r>
      <w:r w:rsidRPr="00C31ED6">
        <w:rPr>
          <w:bCs/>
          <w:szCs w:val="24"/>
          <w:lang w:bidi="en-US"/>
        </w:rPr>
        <w:t xml:space="preserve"> Settlement harms consumers and the public interest. That’s because it would require charges to consumers of approximately $</w:t>
      </w:r>
      <w:r w:rsidR="000738F0">
        <w:rPr>
          <w:bCs/>
          <w:szCs w:val="24"/>
          <w:lang w:bidi="en-US"/>
        </w:rPr>
        <w:t>2.</w:t>
      </w:r>
      <w:r w:rsidR="00A170F8">
        <w:rPr>
          <w:bCs/>
          <w:szCs w:val="24"/>
          <w:lang w:bidi="en-US"/>
        </w:rPr>
        <w:t xml:space="preserve">9 </w:t>
      </w:r>
      <w:r w:rsidRPr="00C31ED6">
        <w:rPr>
          <w:bCs/>
          <w:szCs w:val="24"/>
          <w:lang w:bidi="en-US"/>
        </w:rPr>
        <w:t xml:space="preserve">million per year for </w:t>
      </w:r>
      <w:r w:rsidR="001B5166">
        <w:rPr>
          <w:bCs/>
          <w:szCs w:val="24"/>
          <w:lang w:bidi="en-US"/>
        </w:rPr>
        <w:t>ten years. That means that consumers are being charged</w:t>
      </w:r>
      <w:r w:rsidR="00DF6AA5">
        <w:rPr>
          <w:bCs/>
          <w:szCs w:val="24"/>
          <w:lang w:bidi="en-US"/>
        </w:rPr>
        <w:t xml:space="preserve"> </w:t>
      </w:r>
      <w:r w:rsidRPr="00C31ED6">
        <w:rPr>
          <w:bCs/>
          <w:szCs w:val="24"/>
          <w:lang w:bidi="en-US"/>
        </w:rPr>
        <w:t xml:space="preserve">$29 million </w:t>
      </w:r>
      <w:r w:rsidR="001B5166">
        <w:rPr>
          <w:bCs/>
          <w:szCs w:val="24"/>
          <w:lang w:bidi="en-US"/>
        </w:rPr>
        <w:t>for plant assets</w:t>
      </w:r>
      <w:r w:rsidR="00AC0BAB">
        <w:rPr>
          <w:bCs/>
          <w:szCs w:val="24"/>
          <w:lang w:bidi="en-US"/>
        </w:rPr>
        <w:t xml:space="preserve"> (not costs)</w:t>
      </w:r>
      <w:r w:rsidR="00271E6F">
        <w:rPr>
          <w:bCs/>
          <w:szCs w:val="24"/>
          <w:lang w:bidi="en-US"/>
        </w:rPr>
        <w:t xml:space="preserve"> that are not used and useful as of date </w:t>
      </w:r>
      <w:r w:rsidR="00DF6AA5">
        <w:rPr>
          <w:bCs/>
          <w:szCs w:val="24"/>
          <w:lang w:bidi="en-US"/>
        </w:rPr>
        <w:t>certain.</w:t>
      </w:r>
      <w:r>
        <w:rPr>
          <w:bCs/>
          <w:szCs w:val="24"/>
          <w:vertAlign w:val="superscript"/>
          <w:lang w:bidi="en-US"/>
        </w:rPr>
        <w:footnoteReference w:id="8"/>
      </w:r>
      <w:r w:rsidR="00DF6AA5">
        <w:rPr>
          <w:bCs/>
          <w:szCs w:val="24"/>
          <w:lang w:bidi="en-US"/>
        </w:rPr>
        <w:t xml:space="preserve"> </w:t>
      </w:r>
      <w:r w:rsidR="00271E6F">
        <w:rPr>
          <w:bCs/>
          <w:szCs w:val="24"/>
          <w:lang w:bidi="en-US"/>
        </w:rPr>
        <w:t xml:space="preserve">That is contrary to Ohio law. </w:t>
      </w:r>
    </w:p>
    <w:p w:rsidR="000A0E47" w:rsidP="00C31ED6" w14:paraId="0397AA24" w14:textId="07B4CFEF">
      <w:pPr>
        <w:tabs>
          <w:tab w:val="left" w:pos="720"/>
          <w:tab w:val="left" w:pos="1440"/>
          <w:tab w:val="left" w:leader="dot" w:pos="8640"/>
        </w:tabs>
        <w:spacing w:line="480" w:lineRule="auto"/>
        <w:rPr>
          <w:bCs/>
          <w:szCs w:val="24"/>
          <w:lang w:bidi="en-US"/>
        </w:rPr>
      </w:pPr>
      <w:r w:rsidRPr="00C31ED6">
        <w:rPr>
          <w:bCs/>
          <w:szCs w:val="24"/>
          <w:lang w:bidi="en-US"/>
        </w:rPr>
        <w:tab/>
      </w:r>
      <w:r w:rsidR="00B2732D">
        <w:rPr>
          <w:bCs/>
          <w:szCs w:val="24"/>
          <w:lang w:bidi="en-US"/>
        </w:rPr>
        <w:t xml:space="preserve">In its decision, the PUCO stated, “Largely at issue is whether this deferral falls under R.C. </w:t>
      </w:r>
      <w:bookmarkStart w:id="18" w:name="_Hlk152040468"/>
      <w:r w:rsidR="00B2732D">
        <w:rPr>
          <w:bCs/>
          <w:szCs w:val="24"/>
          <w:lang w:bidi="en-US"/>
        </w:rPr>
        <w:t>4909.15(A)(1)</w:t>
      </w:r>
      <w:bookmarkEnd w:id="18"/>
      <w:r w:rsidR="00B2732D">
        <w:rPr>
          <w:bCs/>
          <w:szCs w:val="24"/>
          <w:lang w:bidi="en-US"/>
        </w:rPr>
        <w:t>, and is considered property that must be used and useful as of the date certain, or whether the deferral is considered a cost of rendering utility service under 4909.15(A)(4), and not subject to the used and useful standard.</w:t>
      </w:r>
      <w:r w:rsidR="00D17D92">
        <w:rPr>
          <w:bCs/>
          <w:szCs w:val="24"/>
          <w:lang w:bidi="en-US"/>
        </w:rPr>
        <w:t>”</w:t>
      </w:r>
      <w:r>
        <w:rPr>
          <w:rStyle w:val="FootnoteReference"/>
          <w:bCs/>
          <w:szCs w:val="24"/>
          <w:lang w:bidi="en-US"/>
        </w:rPr>
        <w:footnoteReference w:id="9"/>
      </w:r>
      <w:r w:rsidR="00D17D92">
        <w:rPr>
          <w:bCs/>
          <w:szCs w:val="24"/>
          <w:lang w:bidi="en-US"/>
        </w:rPr>
        <w:t xml:space="preserve"> The PUCO affirmed the Settlement’s consideration of the </w:t>
      </w:r>
      <w:r>
        <w:rPr>
          <w:bCs/>
          <w:szCs w:val="24"/>
          <w:lang w:bidi="en-US"/>
        </w:rPr>
        <w:t>propane facilities</w:t>
      </w:r>
      <w:r w:rsidR="00D17D92">
        <w:rPr>
          <w:bCs/>
          <w:szCs w:val="24"/>
          <w:lang w:bidi="en-US"/>
        </w:rPr>
        <w:t xml:space="preserve"> as a cost of service under R.C. 4909.15(A)(4).”</w:t>
      </w:r>
      <w:r>
        <w:rPr>
          <w:rStyle w:val="FootnoteReference"/>
          <w:bCs/>
          <w:szCs w:val="24"/>
          <w:lang w:bidi="en-US"/>
        </w:rPr>
        <w:footnoteReference w:id="10"/>
      </w:r>
      <w:r w:rsidR="00AC7F70">
        <w:rPr>
          <w:bCs/>
          <w:szCs w:val="24"/>
          <w:lang w:bidi="en-US"/>
        </w:rPr>
        <w:t xml:space="preserve"> </w:t>
      </w:r>
      <w:r w:rsidR="007B132F">
        <w:rPr>
          <w:bCs/>
          <w:szCs w:val="24"/>
          <w:lang w:bidi="en-US"/>
        </w:rPr>
        <w:t>The PUCO was wrong.</w:t>
      </w:r>
      <w:r w:rsidR="00AC7F70">
        <w:rPr>
          <w:bCs/>
          <w:szCs w:val="24"/>
          <w:lang w:bidi="en-US"/>
        </w:rPr>
        <w:t xml:space="preserve"> </w:t>
      </w:r>
    </w:p>
    <w:p w:rsidR="00C31ED6" w:rsidP="00C31ED6" w14:paraId="51534DBC" w14:textId="35E86E67">
      <w:pPr>
        <w:tabs>
          <w:tab w:val="left" w:pos="720"/>
          <w:tab w:val="left" w:pos="1440"/>
          <w:tab w:val="left" w:leader="dot" w:pos="8640"/>
        </w:tabs>
        <w:spacing w:line="480" w:lineRule="auto"/>
        <w:rPr>
          <w:bCs/>
          <w:szCs w:val="24"/>
          <w:lang w:bidi="en-US"/>
        </w:rPr>
      </w:pPr>
      <w:r>
        <w:rPr>
          <w:bCs/>
          <w:szCs w:val="24"/>
          <w:lang w:bidi="en-US"/>
        </w:rPr>
        <w:tab/>
      </w:r>
      <w:r w:rsidR="00D17D92">
        <w:rPr>
          <w:bCs/>
          <w:szCs w:val="24"/>
          <w:lang w:bidi="en-US"/>
        </w:rPr>
        <w:t>T</w:t>
      </w:r>
      <w:r w:rsidRPr="00C31ED6">
        <w:rPr>
          <w:bCs/>
          <w:szCs w:val="24"/>
          <w:lang w:bidi="en-US"/>
        </w:rPr>
        <w:t>he Supreme Court of Ohio has prohibited the PUCO from using</w:t>
      </w:r>
      <w:r w:rsidR="00DF6AA5">
        <w:rPr>
          <w:bCs/>
          <w:szCs w:val="24"/>
          <w:lang w:bidi="en-US"/>
        </w:rPr>
        <w:t xml:space="preserve"> </w:t>
      </w:r>
      <w:r w:rsidRPr="00C31ED6">
        <w:rPr>
          <w:bCs/>
          <w:szCs w:val="24"/>
          <w:lang w:bidi="en-US"/>
        </w:rPr>
        <w:t>accounting to circumvent the law’s “used and useful” standard for consumer protection. The Court ruled that an accounting mechanism (such</w:t>
      </w:r>
      <w:r w:rsidR="00182B2C">
        <w:rPr>
          <w:bCs/>
          <w:szCs w:val="24"/>
          <w:lang w:bidi="en-US"/>
        </w:rPr>
        <w:t xml:space="preserve"> </w:t>
      </w:r>
      <w:r w:rsidR="007B132F">
        <w:rPr>
          <w:bCs/>
          <w:szCs w:val="24"/>
          <w:lang w:bidi="en-US"/>
        </w:rPr>
        <w:t>as creating deferrals, normally associated with “expenses”</w:t>
      </w:r>
      <w:r w:rsidRPr="00C31ED6">
        <w:rPr>
          <w:bCs/>
          <w:szCs w:val="24"/>
          <w:lang w:bidi="en-US"/>
        </w:rPr>
        <w:t>) cannot be used “by commission fiat”</w:t>
      </w:r>
      <w:r w:rsidR="001B5166">
        <w:rPr>
          <w:bCs/>
          <w:szCs w:val="24"/>
          <w:lang w:bidi="en-US"/>
        </w:rPr>
        <w:t xml:space="preserve"> </w:t>
      </w:r>
      <w:r w:rsidRPr="00C31ED6">
        <w:rPr>
          <w:bCs/>
          <w:szCs w:val="24"/>
          <w:lang w:bidi="en-US"/>
        </w:rPr>
        <w:t xml:space="preserve">to avoid scrutiny of a utility asset </w:t>
      </w:r>
      <w:r w:rsidR="001B5166">
        <w:rPr>
          <w:bCs/>
          <w:szCs w:val="24"/>
          <w:lang w:bidi="en-US"/>
        </w:rPr>
        <w:t xml:space="preserve">that must be evaluated </w:t>
      </w:r>
      <w:r w:rsidRPr="00C31ED6">
        <w:rPr>
          <w:bCs/>
          <w:szCs w:val="24"/>
          <w:lang w:bidi="en-US"/>
        </w:rPr>
        <w:t>under the used and useful standard in R.C. 4909.15(A)(1).</w:t>
      </w:r>
      <w:r>
        <w:rPr>
          <w:bCs/>
          <w:szCs w:val="24"/>
          <w:vertAlign w:val="superscript"/>
          <w:lang w:bidi="en-US"/>
        </w:rPr>
        <w:footnoteReference w:id="11"/>
      </w:r>
      <w:r w:rsidRPr="00C31ED6">
        <w:rPr>
          <w:bCs/>
          <w:szCs w:val="24"/>
          <w:lang w:bidi="en-US"/>
        </w:rPr>
        <w:t xml:space="preserve"> </w:t>
      </w:r>
    </w:p>
    <w:p w:rsidR="00D75A37" w:rsidP="00D75A37" w14:paraId="0739EA29" w14:textId="3CEB1CEC">
      <w:pPr>
        <w:tabs>
          <w:tab w:val="left" w:pos="720"/>
          <w:tab w:val="left" w:pos="1440"/>
          <w:tab w:val="left" w:leader="dot" w:pos="8640"/>
        </w:tabs>
        <w:spacing w:line="480" w:lineRule="auto"/>
        <w:rPr>
          <w:bCs/>
          <w:szCs w:val="24"/>
          <w:lang w:bidi="en-US"/>
        </w:rPr>
      </w:pPr>
      <w:r>
        <w:rPr>
          <w:bCs/>
          <w:szCs w:val="24"/>
          <w:lang w:bidi="en-US"/>
        </w:rPr>
        <w:tab/>
      </w:r>
      <w:r w:rsidR="008B34AA">
        <w:rPr>
          <w:bCs/>
          <w:szCs w:val="24"/>
          <w:lang w:bidi="en-US"/>
        </w:rPr>
        <w:t xml:space="preserve">In </w:t>
      </w:r>
      <w:r w:rsidRPr="00AC7F70" w:rsidR="008B34AA">
        <w:rPr>
          <w:bCs/>
          <w:i/>
          <w:iCs/>
          <w:szCs w:val="24"/>
          <w:lang w:bidi="en-US"/>
        </w:rPr>
        <w:t>Consumers’ Counsel</w:t>
      </w:r>
      <w:r w:rsidR="008B34AA">
        <w:rPr>
          <w:bCs/>
          <w:szCs w:val="24"/>
          <w:lang w:bidi="en-US"/>
        </w:rPr>
        <w:t xml:space="preserve">, </w:t>
      </w:r>
      <w:r w:rsidR="00DE29B0">
        <w:rPr>
          <w:bCs/>
          <w:szCs w:val="24"/>
          <w:lang w:bidi="en-US"/>
        </w:rPr>
        <w:t xml:space="preserve">the PUCO allowed the Cleveland Electric Illuminating Co.’s (CEI) capital investment in terminated nuclear facilities </w:t>
      </w:r>
      <w:r w:rsidR="001B5166">
        <w:rPr>
          <w:bCs/>
          <w:szCs w:val="24"/>
          <w:lang w:bidi="en-US"/>
        </w:rPr>
        <w:t xml:space="preserve">to be charged to consumers </w:t>
      </w:r>
      <w:r w:rsidR="00DE29B0">
        <w:rPr>
          <w:bCs/>
          <w:szCs w:val="24"/>
          <w:lang w:bidi="en-US"/>
        </w:rPr>
        <w:t xml:space="preserve">as </w:t>
      </w:r>
      <w:r w:rsidR="001B5166">
        <w:rPr>
          <w:bCs/>
          <w:szCs w:val="24"/>
          <w:lang w:bidi="en-US"/>
        </w:rPr>
        <w:t xml:space="preserve">an </w:t>
      </w:r>
      <w:r w:rsidR="00DE29B0">
        <w:rPr>
          <w:bCs/>
          <w:szCs w:val="24"/>
          <w:lang w:bidi="en-US"/>
        </w:rPr>
        <w:t xml:space="preserve">amortizable cost of service under </w:t>
      </w:r>
      <w:bookmarkStart w:id="19" w:name="_Hlk152321769"/>
      <w:r w:rsidR="00DE29B0">
        <w:rPr>
          <w:bCs/>
          <w:szCs w:val="24"/>
          <w:lang w:bidi="en-US"/>
        </w:rPr>
        <w:t>R.C. 4909.15.(A)(4</w:t>
      </w:r>
      <w:bookmarkEnd w:id="19"/>
      <w:r w:rsidR="00DE29B0">
        <w:rPr>
          <w:bCs/>
          <w:szCs w:val="24"/>
          <w:lang w:bidi="en-US"/>
        </w:rPr>
        <w:t>).</w:t>
      </w:r>
      <w:r>
        <w:rPr>
          <w:rStyle w:val="FootnoteReference"/>
          <w:bCs/>
          <w:szCs w:val="24"/>
          <w:lang w:bidi="en-US"/>
        </w:rPr>
        <w:footnoteReference w:id="12"/>
      </w:r>
      <w:r w:rsidR="00DE29B0">
        <w:rPr>
          <w:bCs/>
          <w:szCs w:val="24"/>
          <w:lang w:bidi="en-US"/>
        </w:rPr>
        <w:t xml:space="preserve"> </w:t>
      </w:r>
      <w:r w:rsidR="00393E0A">
        <w:rPr>
          <w:bCs/>
          <w:szCs w:val="24"/>
          <w:lang w:bidi="en-US"/>
        </w:rPr>
        <w:t>In reversing the PUCO’s decision, t</w:t>
      </w:r>
      <w:r w:rsidR="00DE29B0">
        <w:rPr>
          <w:bCs/>
          <w:szCs w:val="24"/>
          <w:lang w:bidi="en-US"/>
        </w:rPr>
        <w:t xml:space="preserve">he Court emphasized that the types of costs properly </w:t>
      </w:r>
      <w:r w:rsidR="00393E0A">
        <w:rPr>
          <w:bCs/>
          <w:szCs w:val="24"/>
          <w:lang w:bidi="en-US"/>
        </w:rPr>
        <w:t>includ</w:t>
      </w:r>
      <w:r w:rsidR="00F947B6">
        <w:rPr>
          <w:bCs/>
          <w:szCs w:val="24"/>
          <w:lang w:bidi="en-US"/>
        </w:rPr>
        <w:t>ed</w:t>
      </w:r>
      <w:r w:rsidR="00DE29B0">
        <w:rPr>
          <w:bCs/>
          <w:szCs w:val="24"/>
          <w:lang w:bidi="en-US"/>
        </w:rPr>
        <w:t xml:space="preserve"> </w:t>
      </w:r>
      <w:r w:rsidR="00393E0A">
        <w:rPr>
          <w:bCs/>
          <w:szCs w:val="24"/>
          <w:lang w:bidi="en-US"/>
        </w:rPr>
        <w:t xml:space="preserve">under R.C. 4909.15.(A)(4) were the normal, recurring </w:t>
      </w:r>
      <w:r w:rsidRPr="00271E6F" w:rsidR="00393E0A">
        <w:rPr>
          <w:bCs/>
          <w:i/>
          <w:iCs/>
          <w:szCs w:val="24"/>
          <w:lang w:bidi="en-US"/>
        </w:rPr>
        <w:t>expenses</w:t>
      </w:r>
      <w:r w:rsidR="00393E0A">
        <w:rPr>
          <w:bCs/>
          <w:szCs w:val="24"/>
          <w:lang w:bidi="en-US"/>
        </w:rPr>
        <w:t xml:space="preserve"> incurred by utilities </w:t>
      </w:r>
      <w:r w:rsidR="00271E6F">
        <w:rPr>
          <w:bCs/>
          <w:szCs w:val="24"/>
          <w:lang w:bidi="en-US"/>
        </w:rPr>
        <w:t>to</w:t>
      </w:r>
      <w:r w:rsidR="00DF6AA5">
        <w:rPr>
          <w:bCs/>
          <w:szCs w:val="24"/>
          <w:lang w:bidi="en-US"/>
        </w:rPr>
        <w:t xml:space="preserve"> </w:t>
      </w:r>
      <w:r w:rsidR="00393E0A">
        <w:rPr>
          <w:bCs/>
          <w:szCs w:val="24"/>
          <w:lang w:bidi="en-US"/>
        </w:rPr>
        <w:t>render service to the public during the test period such as expenditures for repairs, maintenance, personnel-related costs, administrative expenses, and taxes.</w:t>
      </w:r>
      <w:r>
        <w:rPr>
          <w:rStyle w:val="FootnoteReference"/>
          <w:bCs/>
          <w:szCs w:val="24"/>
          <w:lang w:bidi="en-US"/>
        </w:rPr>
        <w:footnoteReference w:id="13"/>
      </w:r>
      <w:r w:rsidR="00271E6F">
        <w:rPr>
          <w:bCs/>
          <w:szCs w:val="24"/>
          <w:lang w:bidi="en-US"/>
        </w:rPr>
        <w:t xml:space="preserve"> </w:t>
      </w:r>
      <w:r w:rsidR="00393E0A">
        <w:rPr>
          <w:bCs/>
          <w:szCs w:val="24"/>
          <w:lang w:bidi="en-US"/>
        </w:rPr>
        <w:t>The Court ruled that CEI’s capital investment in terminated nuclear facilities were not the type of normal, recurring expenses allowable under R.C. 4909.15(A)(4).</w:t>
      </w:r>
      <w:r>
        <w:rPr>
          <w:rStyle w:val="FootnoteReference"/>
          <w:bCs/>
          <w:szCs w:val="24"/>
          <w:lang w:bidi="en-US"/>
        </w:rPr>
        <w:footnoteReference w:id="14"/>
      </w:r>
      <w:r w:rsidR="00DF6AA5">
        <w:rPr>
          <w:bCs/>
          <w:szCs w:val="24"/>
          <w:lang w:bidi="en-US"/>
        </w:rPr>
        <w:t xml:space="preserve"> </w:t>
      </w:r>
      <w:r w:rsidR="00271E6F">
        <w:rPr>
          <w:bCs/>
          <w:szCs w:val="24"/>
          <w:lang w:bidi="en-US"/>
        </w:rPr>
        <w:t xml:space="preserve"> </w:t>
      </w:r>
      <w:r w:rsidRPr="00271E6F" w:rsidR="00271E6F">
        <w:rPr>
          <w:bCs/>
          <w:i/>
          <w:iCs/>
          <w:szCs w:val="24"/>
          <w:lang w:bidi="en-US"/>
        </w:rPr>
        <w:t>Consumers Counsel</w:t>
      </w:r>
      <w:r w:rsidR="00271E6F">
        <w:rPr>
          <w:bCs/>
          <w:szCs w:val="24"/>
          <w:lang w:bidi="en-US"/>
        </w:rPr>
        <w:t xml:space="preserve"> is Ohio Supreme Court precedent that must be </w:t>
      </w:r>
      <w:r w:rsidR="00DF6AA5">
        <w:rPr>
          <w:bCs/>
          <w:szCs w:val="24"/>
          <w:lang w:bidi="en-US"/>
        </w:rPr>
        <w:t>followed</w:t>
      </w:r>
      <w:r w:rsidR="00271E6F">
        <w:rPr>
          <w:bCs/>
          <w:szCs w:val="24"/>
          <w:lang w:bidi="en-US"/>
        </w:rPr>
        <w:t xml:space="preserve"> </w:t>
      </w:r>
    </w:p>
    <w:p w:rsidR="00D75A37" w:rsidP="00D75A37" w14:paraId="761ACF12" w14:textId="1A6BBAE7">
      <w:pPr>
        <w:tabs>
          <w:tab w:val="left" w:pos="720"/>
          <w:tab w:val="left" w:pos="1440"/>
          <w:tab w:val="left" w:leader="dot" w:pos="8640"/>
        </w:tabs>
        <w:spacing w:line="480" w:lineRule="auto"/>
        <w:rPr>
          <w:bCs/>
          <w:szCs w:val="24"/>
          <w:lang w:bidi="en-US"/>
        </w:rPr>
      </w:pPr>
      <w:r>
        <w:rPr>
          <w:bCs/>
          <w:szCs w:val="24"/>
          <w:lang w:bidi="en-US"/>
        </w:rPr>
        <w:tab/>
      </w:r>
      <w:r w:rsidR="00D07BEE">
        <w:rPr>
          <w:bCs/>
          <w:szCs w:val="24"/>
          <w:lang w:bidi="en-US"/>
        </w:rPr>
        <w:t xml:space="preserve">Here, as in </w:t>
      </w:r>
      <w:r w:rsidRPr="00822015" w:rsidR="00D07BEE">
        <w:rPr>
          <w:bCs/>
          <w:i/>
          <w:iCs/>
          <w:szCs w:val="24"/>
          <w:lang w:bidi="en-US"/>
        </w:rPr>
        <w:t>Consumers</w:t>
      </w:r>
      <w:r w:rsidRPr="00AC7F70" w:rsidR="00D07BEE">
        <w:rPr>
          <w:bCs/>
          <w:i/>
          <w:iCs/>
          <w:szCs w:val="24"/>
          <w:lang w:bidi="en-US"/>
        </w:rPr>
        <w:t>’ Counsel</w:t>
      </w:r>
      <w:r w:rsidR="00D07BEE">
        <w:rPr>
          <w:bCs/>
          <w:szCs w:val="24"/>
          <w:lang w:bidi="en-US"/>
        </w:rPr>
        <w:t xml:space="preserve">, the PUCO allowed Duke to </w:t>
      </w:r>
      <w:r>
        <w:rPr>
          <w:bCs/>
          <w:szCs w:val="24"/>
          <w:lang w:bidi="en-US"/>
        </w:rPr>
        <w:t xml:space="preserve">treat </w:t>
      </w:r>
      <w:r w:rsidR="00D07BEE">
        <w:rPr>
          <w:bCs/>
          <w:szCs w:val="24"/>
          <w:lang w:bidi="en-US"/>
        </w:rPr>
        <w:t xml:space="preserve">its capital </w:t>
      </w:r>
      <w:r>
        <w:rPr>
          <w:bCs/>
          <w:szCs w:val="24"/>
          <w:lang w:bidi="en-US"/>
        </w:rPr>
        <w:t>investments associated with</w:t>
      </w:r>
      <w:r w:rsidR="00D07BEE">
        <w:rPr>
          <w:bCs/>
          <w:szCs w:val="24"/>
          <w:lang w:bidi="en-US"/>
        </w:rPr>
        <w:t xml:space="preserve"> the propane facilities as </w:t>
      </w:r>
      <w:r>
        <w:rPr>
          <w:bCs/>
          <w:szCs w:val="24"/>
          <w:lang w:bidi="en-US"/>
        </w:rPr>
        <w:t xml:space="preserve">amortizable </w:t>
      </w:r>
      <w:r w:rsidR="00D07BEE">
        <w:rPr>
          <w:bCs/>
          <w:szCs w:val="24"/>
          <w:lang w:bidi="en-US"/>
        </w:rPr>
        <w:t xml:space="preserve">costs under </w:t>
      </w:r>
      <w:bookmarkStart w:id="20" w:name="_Hlk152322673"/>
      <w:r w:rsidR="00D07BEE">
        <w:rPr>
          <w:bCs/>
          <w:szCs w:val="24"/>
          <w:lang w:bidi="en-US"/>
        </w:rPr>
        <w:t xml:space="preserve">R.C. 4909.15(A)(4). </w:t>
      </w:r>
      <w:bookmarkEnd w:id="20"/>
      <w:r>
        <w:rPr>
          <w:bCs/>
          <w:szCs w:val="24"/>
          <w:lang w:bidi="en-US"/>
        </w:rPr>
        <w:t xml:space="preserve">But </w:t>
      </w:r>
      <w:r w:rsidR="00D07BEE">
        <w:rPr>
          <w:bCs/>
          <w:szCs w:val="24"/>
          <w:lang w:bidi="en-US"/>
        </w:rPr>
        <w:t xml:space="preserve">Duke’s capitalized </w:t>
      </w:r>
      <w:r>
        <w:rPr>
          <w:bCs/>
          <w:szCs w:val="24"/>
          <w:lang w:bidi="en-US"/>
        </w:rPr>
        <w:t>investment associated with</w:t>
      </w:r>
      <w:r w:rsidR="005F4572">
        <w:rPr>
          <w:bCs/>
          <w:szCs w:val="24"/>
          <w:lang w:bidi="en-US"/>
        </w:rPr>
        <w:t xml:space="preserve"> </w:t>
      </w:r>
      <w:r w:rsidR="00D07BEE">
        <w:rPr>
          <w:bCs/>
          <w:szCs w:val="24"/>
          <w:lang w:bidi="en-US"/>
        </w:rPr>
        <w:t xml:space="preserve">the propane facilities are </w:t>
      </w:r>
      <w:r>
        <w:rPr>
          <w:bCs/>
          <w:szCs w:val="24"/>
          <w:lang w:bidi="en-US"/>
        </w:rPr>
        <w:t xml:space="preserve">not </w:t>
      </w:r>
      <w:r w:rsidR="00D07BEE">
        <w:rPr>
          <w:bCs/>
          <w:szCs w:val="24"/>
          <w:lang w:bidi="en-US"/>
        </w:rPr>
        <w:t xml:space="preserve">recurring, normal expenses under </w:t>
      </w:r>
      <w:r>
        <w:rPr>
          <w:bCs/>
          <w:szCs w:val="24"/>
          <w:lang w:bidi="en-US"/>
        </w:rPr>
        <w:t>R.C. 4909.15(A)(4). The PUCO’s ruling is contrary to</w:t>
      </w:r>
      <w:r w:rsidR="00DF6AA5">
        <w:rPr>
          <w:bCs/>
          <w:szCs w:val="24"/>
          <w:lang w:bidi="en-US"/>
        </w:rPr>
        <w:t xml:space="preserve"> </w:t>
      </w:r>
      <w:r w:rsidR="00D07BEE">
        <w:rPr>
          <w:bCs/>
          <w:szCs w:val="24"/>
          <w:lang w:bidi="en-US"/>
        </w:rPr>
        <w:t xml:space="preserve">the Court’s ruling in </w:t>
      </w:r>
      <w:r w:rsidRPr="00AC7F70" w:rsidR="00D07BEE">
        <w:rPr>
          <w:bCs/>
          <w:i/>
          <w:iCs/>
          <w:szCs w:val="24"/>
          <w:lang w:bidi="en-US"/>
        </w:rPr>
        <w:t>Consumers’ Counsel</w:t>
      </w:r>
      <w:r w:rsidR="00D07BEE">
        <w:rPr>
          <w:bCs/>
          <w:szCs w:val="24"/>
          <w:lang w:bidi="en-US"/>
        </w:rPr>
        <w:t>.</w:t>
      </w:r>
      <w:r w:rsidR="001203C5">
        <w:rPr>
          <w:bCs/>
          <w:szCs w:val="24"/>
          <w:lang w:bidi="en-US"/>
        </w:rPr>
        <w:t xml:space="preserve"> </w:t>
      </w:r>
    </w:p>
    <w:p w:rsidR="00D75A37" w:rsidP="00D75A37" w14:paraId="3EB04AEA" w14:textId="0FA0BB33">
      <w:pPr>
        <w:tabs>
          <w:tab w:val="left" w:pos="720"/>
          <w:tab w:val="left" w:pos="1440"/>
          <w:tab w:val="left" w:leader="dot" w:pos="8640"/>
        </w:tabs>
        <w:spacing w:line="480" w:lineRule="auto"/>
        <w:rPr>
          <w:bCs/>
          <w:szCs w:val="24"/>
          <w:lang w:bidi="en-US"/>
        </w:rPr>
      </w:pPr>
      <w:r>
        <w:rPr>
          <w:bCs/>
          <w:szCs w:val="24"/>
          <w:lang w:bidi="en-US"/>
        </w:rPr>
        <w:tab/>
      </w:r>
      <w:r w:rsidR="001203C5">
        <w:rPr>
          <w:bCs/>
          <w:szCs w:val="24"/>
          <w:lang w:bidi="en-US"/>
        </w:rPr>
        <w:t xml:space="preserve">Further, it was of no import to the Court </w:t>
      </w:r>
      <w:r>
        <w:rPr>
          <w:bCs/>
          <w:szCs w:val="24"/>
          <w:lang w:bidi="en-US"/>
        </w:rPr>
        <w:t xml:space="preserve">in </w:t>
      </w:r>
      <w:r w:rsidRPr="00AC7F70">
        <w:rPr>
          <w:bCs/>
          <w:i/>
          <w:iCs/>
          <w:szCs w:val="24"/>
          <w:lang w:bidi="en-US"/>
        </w:rPr>
        <w:t>Consumers’ Counsel</w:t>
      </w:r>
      <w:r>
        <w:rPr>
          <w:bCs/>
          <w:szCs w:val="24"/>
          <w:lang w:bidi="en-US"/>
        </w:rPr>
        <w:t xml:space="preserve"> </w:t>
      </w:r>
      <w:r w:rsidR="001203C5">
        <w:rPr>
          <w:bCs/>
          <w:szCs w:val="24"/>
          <w:lang w:bidi="en-US"/>
        </w:rPr>
        <w:t xml:space="preserve">that CEI’s capital </w:t>
      </w:r>
      <w:r>
        <w:rPr>
          <w:bCs/>
          <w:szCs w:val="24"/>
          <w:lang w:bidi="en-US"/>
        </w:rPr>
        <w:t xml:space="preserve">investment </w:t>
      </w:r>
      <w:r w:rsidR="001203C5">
        <w:rPr>
          <w:bCs/>
          <w:szCs w:val="24"/>
          <w:lang w:bidi="en-US"/>
        </w:rPr>
        <w:t xml:space="preserve">in the terminated nuclear facilities </w:t>
      </w:r>
      <w:r w:rsidR="001E6E2A">
        <w:rPr>
          <w:bCs/>
          <w:szCs w:val="24"/>
          <w:lang w:bidi="en-US"/>
        </w:rPr>
        <w:t>were never</w:t>
      </w:r>
      <w:r w:rsidR="001203C5">
        <w:rPr>
          <w:bCs/>
          <w:szCs w:val="24"/>
          <w:lang w:bidi="en-US"/>
        </w:rPr>
        <w:t xml:space="preserve"> used and useful </w:t>
      </w:r>
      <w:r w:rsidR="001E6E2A">
        <w:rPr>
          <w:bCs/>
          <w:szCs w:val="24"/>
          <w:lang w:bidi="en-US"/>
        </w:rPr>
        <w:t>rate base property</w:t>
      </w:r>
      <w:r w:rsidR="001203C5">
        <w:rPr>
          <w:bCs/>
          <w:szCs w:val="24"/>
          <w:lang w:bidi="en-US"/>
        </w:rPr>
        <w:t xml:space="preserve"> under R.C. 4909</w:t>
      </w:r>
      <w:r w:rsidR="001E6E2A">
        <w:rPr>
          <w:bCs/>
          <w:szCs w:val="24"/>
          <w:lang w:bidi="en-US"/>
        </w:rPr>
        <w:t xml:space="preserve">.15(A)(4). The salient point of the Court’s ruling was that </w:t>
      </w:r>
      <w:r>
        <w:rPr>
          <w:bCs/>
          <w:szCs w:val="24"/>
          <w:lang w:bidi="en-US"/>
        </w:rPr>
        <w:t>the utilities capital investment was</w:t>
      </w:r>
      <w:r w:rsidR="00DF6AA5">
        <w:rPr>
          <w:bCs/>
          <w:szCs w:val="24"/>
          <w:lang w:bidi="en-US"/>
        </w:rPr>
        <w:t xml:space="preserve"> </w:t>
      </w:r>
      <w:r w:rsidR="001E6E2A">
        <w:rPr>
          <w:bCs/>
          <w:szCs w:val="24"/>
          <w:lang w:bidi="en-US"/>
        </w:rPr>
        <w:t xml:space="preserve">not </w:t>
      </w:r>
      <w:r>
        <w:rPr>
          <w:bCs/>
          <w:szCs w:val="24"/>
          <w:lang w:bidi="en-US"/>
        </w:rPr>
        <w:t xml:space="preserve">a </w:t>
      </w:r>
      <w:r w:rsidR="001E6E2A">
        <w:rPr>
          <w:bCs/>
          <w:szCs w:val="24"/>
          <w:lang w:bidi="en-US"/>
        </w:rPr>
        <w:t>recurring, normal expense under R.C. 4909.15(A)(4).</w:t>
      </w:r>
      <w:r w:rsidR="00F947B6">
        <w:rPr>
          <w:bCs/>
          <w:szCs w:val="24"/>
          <w:lang w:bidi="en-US"/>
        </w:rPr>
        <w:t xml:space="preserve"> </w:t>
      </w:r>
    </w:p>
    <w:p w:rsidR="00C31ED6" w:rsidRPr="00C31ED6" w:rsidP="00D75A37" w14:paraId="03DA18BA" w14:textId="6DFBBDEB">
      <w:pPr>
        <w:tabs>
          <w:tab w:val="left" w:pos="720"/>
          <w:tab w:val="left" w:pos="1440"/>
          <w:tab w:val="left" w:leader="dot" w:pos="8640"/>
        </w:tabs>
        <w:spacing w:line="480" w:lineRule="auto"/>
        <w:rPr>
          <w:bCs/>
          <w:szCs w:val="24"/>
          <w:lang w:bidi="en-US"/>
        </w:rPr>
      </w:pPr>
      <w:r>
        <w:rPr>
          <w:bCs/>
          <w:szCs w:val="24"/>
          <w:lang w:bidi="en-US"/>
        </w:rPr>
        <w:tab/>
      </w:r>
      <w:r w:rsidR="00A170F8">
        <w:rPr>
          <w:bCs/>
          <w:szCs w:val="24"/>
          <w:lang w:bidi="en-US"/>
        </w:rPr>
        <w:t>The PUCO</w:t>
      </w:r>
      <w:r w:rsidR="001E6E2A">
        <w:rPr>
          <w:bCs/>
          <w:szCs w:val="24"/>
          <w:lang w:bidi="en-US"/>
        </w:rPr>
        <w:t>’s</w:t>
      </w:r>
      <w:r w:rsidR="00A170F8">
        <w:rPr>
          <w:bCs/>
          <w:szCs w:val="24"/>
          <w:lang w:bidi="en-US"/>
        </w:rPr>
        <w:t xml:space="preserve"> Opinion and Order </w:t>
      </w:r>
      <w:r w:rsidR="005F4572">
        <w:rPr>
          <w:bCs/>
          <w:szCs w:val="24"/>
          <w:lang w:bidi="en-US"/>
        </w:rPr>
        <w:t xml:space="preserve">is contrary to </w:t>
      </w:r>
      <w:r w:rsidRPr="005F4572" w:rsidR="005F4572">
        <w:rPr>
          <w:bCs/>
          <w:i/>
          <w:iCs/>
          <w:szCs w:val="24"/>
          <w:lang w:bidi="en-US"/>
        </w:rPr>
        <w:t>Consumers</w:t>
      </w:r>
      <w:r w:rsidR="005F4572">
        <w:rPr>
          <w:bCs/>
          <w:i/>
          <w:iCs/>
          <w:szCs w:val="24"/>
          <w:lang w:bidi="en-US"/>
        </w:rPr>
        <w:t>’</w:t>
      </w:r>
      <w:r w:rsidRPr="005F4572" w:rsidR="005F4572">
        <w:rPr>
          <w:bCs/>
          <w:i/>
          <w:iCs/>
          <w:szCs w:val="24"/>
          <w:lang w:bidi="en-US"/>
        </w:rPr>
        <w:t xml:space="preserve"> Counsel.</w:t>
      </w:r>
      <w:r w:rsidR="00DF6AA5">
        <w:rPr>
          <w:bCs/>
          <w:szCs w:val="24"/>
          <w:lang w:bidi="en-US"/>
        </w:rPr>
        <w:t xml:space="preserve"> </w:t>
      </w:r>
      <w:r w:rsidR="005F4572">
        <w:rPr>
          <w:bCs/>
          <w:szCs w:val="24"/>
          <w:lang w:bidi="en-US"/>
        </w:rPr>
        <w:t xml:space="preserve">The PUCO allows Duke to use </w:t>
      </w:r>
      <w:r w:rsidRPr="00C31ED6" w:rsidR="00D07BEE">
        <w:rPr>
          <w:bCs/>
          <w:szCs w:val="24"/>
          <w:lang w:bidi="en-US"/>
        </w:rPr>
        <w:t xml:space="preserve">a ratemaking </w:t>
      </w:r>
      <w:r w:rsidR="00751A89">
        <w:rPr>
          <w:bCs/>
          <w:szCs w:val="24"/>
          <w:lang w:bidi="en-US"/>
        </w:rPr>
        <w:t xml:space="preserve">mechanism </w:t>
      </w:r>
      <w:r w:rsidR="00AC0BAB">
        <w:rPr>
          <w:bCs/>
          <w:szCs w:val="24"/>
          <w:lang w:bidi="en-US"/>
        </w:rPr>
        <w:t xml:space="preserve">that changes utility assets, subject to a used and useful standard, into costs </w:t>
      </w:r>
      <w:r>
        <w:rPr>
          <w:bCs/>
          <w:szCs w:val="24"/>
          <w:lang w:bidi="en-US"/>
        </w:rPr>
        <w:t xml:space="preserve">subject to a different standard, </w:t>
      </w:r>
      <w:r w:rsidR="001E6E2A">
        <w:rPr>
          <w:bCs/>
          <w:szCs w:val="24"/>
          <w:lang w:bidi="en-US"/>
        </w:rPr>
        <w:t>under R.C. 490915.(A)(4)</w:t>
      </w:r>
      <w:r w:rsidR="00AC0BAB">
        <w:rPr>
          <w:bCs/>
          <w:szCs w:val="24"/>
          <w:lang w:bidi="en-US"/>
        </w:rPr>
        <w:t>.</w:t>
      </w:r>
      <w:r w:rsidR="00AC7F70">
        <w:rPr>
          <w:bCs/>
          <w:szCs w:val="24"/>
          <w:lang w:bidi="en-US"/>
        </w:rPr>
        <w:t xml:space="preserve"> </w:t>
      </w:r>
      <w:r w:rsidR="00AC0BAB">
        <w:rPr>
          <w:bCs/>
          <w:szCs w:val="24"/>
          <w:lang w:bidi="en-US"/>
        </w:rPr>
        <w:t xml:space="preserve">This </w:t>
      </w:r>
      <w:r w:rsidR="001E6E2A">
        <w:rPr>
          <w:bCs/>
          <w:szCs w:val="24"/>
          <w:lang w:bidi="en-US"/>
        </w:rPr>
        <w:t xml:space="preserve">is contrary to the Court’s ruling in </w:t>
      </w:r>
      <w:r w:rsidRPr="00AC7F70" w:rsidR="001E6E2A">
        <w:rPr>
          <w:bCs/>
          <w:i/>
          <w:iCs/>
          <w:szCs w:val="24"/>
          <w:lang w:bidi="en-US"/>
        </w:rPr>
        <w:t>Consumer’s Counsel</w:t>
      </w:r>
      <w:r w:rsidR="001E6E2A">
        <w:rPr>
          <w:bCs/>
          <w:szCs w:val="24"/>
          <w:lang w:bidi="en-US"/>
        </w:rPr>
        <w:t xml:space="preserve"> and </w:t>
      </w:r>
      <w:r w:rsidRPr="00C31ED6" w:rsidR="00D07BEE">
        <w:rPr>
          <w:bCs/>
          <w:szCs w:val="24"/>
          <w:lang w:bidi="en-US"/>
        </w:rPr>
        <w:t>circumvent</w:t>
      </w:r>
      <w:r w:rsidR="00AC0BAB">
        <w:rPr>
          <w:bCs/>
          <w:szCs w:val="24"/>
          <w:lang w:bidi="en-US"/>
        </w:rPr>
        <w:t>s</w:t>
      </w:r>
      <w:r w:rsidRPr="00C31ED6" w:rsidR="00D07BEE">
        <w:rPr>
          <w:bCs/>
          <w:szCs w:val="24"/>
          <w:lang w:bidi="en-US"/>
        </w:rPr>
        <w:t xml:space="preserve"> Ohio ratemaking law. </w:t>
      </w:r>
    </w:p>
    <w:p w:rsidR="00D75A37" w:rsidP="002A4F6E" w14:paraId="23486E88" w14:textId="00F89FEE">
      <w:pPr>
        <w:tabs>
          <w:tab w:val="left" w:pos="720"/>
          <w:tab w:val="left" w:pos="1440"/>
          <w:tab w:val="left" w:leader="dot" w:pos="8640"/>
        </w:tabs>
        <w:spacing w:line="480" w:lineRule="auto"/>
        <w:rPr>
          <w:szCs w:val="24"/>
          <w:lang w:bidi="en-US"/>
        </w:rPr>
      </w:pPr>
      <w:r w:rsidRPr="00C31ED6">
        <w:rPr>
          <w:bCs/>
          <w:szCs w:val="24"/>
          <w:lang w:bidi="en-US"/>
        </w:rPr>
        <w:tab/>
      </w:r>
      <w:r w:rsidRPr="006C4C30" w:rsidR="00FE7973">
        <w:rPr>
          <w:szCs w:val="24"/>
          <w:lang w:bidi="en-US"/>
        </w:rPr>
        <w:t>The Ohio Supreme Court has held that the</w:t>
      </w:r>
      <w:r w:rsidR="008B70CD">
        <w:rPr>
          <w:szCs w:val="24"/>
          <w:lang w:bidi="en-US"/>
        </w:rPr>
        <w:t xml:space="preserve"> PUCO’s decision will not be disturbed unless</w:t>
      </w:r>
      <w:r w:rsidRPr="006C4C30" w:rsidR="00FE7973">
        <w:rPr>
          <w:szCs w:val="24"/>
          <w:lang w:bidi="en-US"/>
        </w:rPr>
        <w:t xml:space="preserve"> </w:t>
      </w:r>
      <w:r w:rsidR="008B70CD">
        <w:rPr>
          <w:szCs w:val="24"/>
          <w:lang w:bidi="en-US"/>
        </w:rPr>
        <w:t>the</w:t>
      </w:r>
      <w:r w:rsidRPr="006C4C30" w:rsidR="00FE7973">
        <w:rPr>
          <w:szCs w:val="24"/>
          <w:lang w:bidi="en-US"/>
        </w:rPr>
        <w:t xml:space="preserve"> decision is </w:t>
      </w:r>
      <w:r w:rsidR="008B70CD">
        <w:rPr>
          <w:szCs w:val="24"/>
          <w:lang w:bidi="en-US"/>
        </w:rPr>
        <w:t>“</w:t>
      </w:r>
      <w:r w:rsidRPr="006C4C30" w:rsidR="00FE7973">
        <w:rPr>
          <w:szCs w:val="24"/>
          <w:lang w:bidi="en-US"/>
        </w:rPr>
        <w:t>against the manifest weight of the evidence or is clearly unsupported by the record.”</w:t>
      </w:r>
      <w:r>
        <w:rPr>
          <w:szCs w:val="24"/>
          <w:vertAlign w:val="superscript"/>
          <w:lang w:bidi="en-US"/>
        </w:rPr>
        <w:footnoteReference w:id="15"/>
      </w:r>
      <w:r w:rsidR="00FE7973">
        <w:rPr>
          <w:szCs w:val="24"/>
          <w:lang w:bidi="en-US"/>
        </w:rPr>
        <w:t xml:space="preserve"> </w:t>
      </w:r>
      <w:r>
        <w:rPr>
          <w:szCs w:val="24"/>
          <w:lang w:bidi="en-US"/>
        </w:rPr>
        <w:t>Here the PUCO’s ruling was wrong and against the manifest weight of the evidence.</w:t>
      </w:r>
    </w:p>
    <w:p w:rsidR="008E7C2B" w:rsidP="002A4F6E" w14:paraId="71AB6126" w14:textId="572A50D0">
      <w:pPr>
        <w:tabs>
          <w:tab w:val="left" w:pos="720"/>
          <w:tab w:val="left" w:pos="1440"/>
          <w:tab w:val="left" w:leader="dot" w:pos="8640"/>
        </w:tabs>
        <w:spacing w:line="480" w:lineRule="auto"/>
      </w:pPr>
      <w:r>
        <w:rPr>
          <w:szCs w:val="24"/>
          <w:lang w:bidi="en-US"/>
        </w:rPr>
        <w:tab/>
      </w:r>
      <w:r w:rsidR="00775E6F">
        <w:rPr>
          <w:szCs w:val="24"/>
          <w:lang w:bidi="en-US"/>
        </w:rPr>
        <w:t xml:space="preserve">The only evidence that the PUCO </w:t>
      </w:r>
      <w:r w:rsidR="00255837">
        <w:rPr>
          <w:szCs w:val="24"/>
          <w:lang w:bidi="en-US"/>
        </w:rPr>
        <w:t>relied upon to</w:t>
      </w:r>
      <w:r w:rsidR="00DF6AA5">
        <w:rPr>
          <w:szCs w:val="24"/>
          <w:lang w:bidi="en-US"/>
        </w:rPr>
        <w:t xml:space="preserve"> </w:t>
      </w:r>
      <w:r w:rsidR="00775E6F">
        <w:rPr>
          <w:szCs w:val="24"/>
          <w:lang w:bidi="en-US"/>
        </w:rPr>
        <w:t xml:space="preserve">support its finding the propane facilities were used and useful </w:t>
      </w:r>
      <w:r w:rsidR="002A4F6E">
        <w:rPr>
          <w:szCs w:val="24"/>
          <w:lang w:bidi="en-US"/>
        </w:rPr>
        <w:t xml:space="preserve">on the date certain </w:t>
      </w:r>
      <w:r w:rsidR="00775E6F">
        <w:rPr>
          <w:szCs w:val="24"/>
          <w:lang w:bidi="en-US"/>
        </w:rPr>
        <w:t>was the testimony of Duke’s regulatory strategist, Ms. Lawler.</w:t>
      </w:r>
      <w:r>
        <w:rPr>
          <w:rStyle w:val="FootnoteReference"/>
          <w:szCs w:val="24"/>
          <w:lang w:bidi="en-US"/>
        </w:rPr>
        <w:footnoteReference w:id="16"/>
      </w:r>
      <w:r w:rsidR="002A4F6E">
        <w:rPr>
          <w:szCs w:val="24"/>
          <w:lang w:bidi="en-US"/>
        </w:rPr>
        <w:t xml:space="preserve"> </w:t>
      </w:r>
      <w:r w:rsidR="00255837">
        <w:t>Ms. Lawler did not testify from first-hand knowledge as to whether the propane facilities were in fact physically used and useful on the date certain. Yet, the PUCO took Ms. Lawler’s word for it that the propane facilities were used and useful on the date certain and let Duke off the hook regarding its burden of proof on this issue.</w:t>
      </w:r>
      <w:r w:rsidR="00255837">
        <w:tab/>
      </w:r>
    </w:p>
    <w:p w:rsidR="00255837" w:rsidP="0094417A" w14:paraId="7EA35EBF" w14:textId="16E3B08D">
      <w:pPr>
        <w:tabs>
          <w:tab w:val="left" w:pos="720"/>
          <w:tab w:val="left" w:pos="1440"/>
          <w:tab w:val="left" w:leader="dot" w:pos="8640"/>
        </w:tabs>
        <w:spacing w:line="480" w:lineRule="auto"/>
      </w:pPr>
      <w:r>
        <w:tab/>
      </w:r>
      <w:r w:rsidR="0094417A">
        <w:t>The evidence of record</w:t>
      </w:r>
      <w:r>
        <w:t xml:space="preserve">, including </w:t>
      </w:r>
      <w:r w:rsidR="0094417A">
        <w:t xml:space="preserve">Duke’s Schedule B-3.3, </w:t>
      </w:r>
      <w:r>
        <w:t xml:space="preserve">OCC witness Kerry Adkins’ </w:t>
      </w:r>
      <w:r w:rsidR="0094417A">
        <w:t xml:space="preserve">testimony and Ohio Supreme Court precedent, establishes that the </w:t>
      </w:r>
      <w:r w:rsidR="00FE7973">
        <w:t xml:space="preserve">propane facilities were </w:t>
      </w:r>
      <w:r>
        <w:t>not used and useful on date certain.</w:t>
      </w:r>
      <w:r w:rsidR="00DF6AA5">
        <w:t xml:space="preserve"> </w:t>
      </w:r>
      <w:r>
        <w:t xml:space="preserve">One need only look to the most potent evidence in the record in this regard—the Company’s Schedule B 3.3. There the utility </w:t>
      </w:r>
      <w:r w:rsidRPr="00ED4695">
        <w:rPr>
          <w:i/>
          <w:iCs/>
        </w:rPr>
        <w:t xml:space="preserve">excluded </w:t>
      </w:r>
      <w:r>
        <w:t>the propane facilities from the plant schedule. Why?</w:t>
      </w:r>
      <w:r w:rsidR="00DF6AA5">
        <w:t xml:space="preserve"> </w:t>
      </w:r>
      <w:r>
        <w:t>Because the</w:t>
      </w:r>
      <w:r w:rsidR="004364D8">
        <w:t xml:space="preserve"> facilities</w:t>
      </w:r>
      <w:r w:rsidR="00DF6AA5">
        <w:t xml:space="preserve"> </w:t>
      </w:r>
      <w:r>
        <w:t>were not used and useful as of date certain.</w:t>
      </w:r>
      <w:r w:rsidR="00DF6AA5">
        <w:t xml:space="preserve"> </w:t>
      </w:r>
      <w:r>
        <w:t>Enough said.</w:t>
      </w:r>
    </w:p>
    <w:p w:rsidR="007441B3" w:rsidRPr="00B012A9" w:rsidP="008E7C2B" w14:paraId="29404DEF" w14:textId="538BFA90">
      <w:pPr>
        <w:tabs>
          <w:tab w:val="left" w:pos="720"/>
          <w:tab w:val="left" w:pos="1440"/>
          <w:tab w:val="left" w:leader="dot" w:pos="8640"/>
        </w:tabs>
        <w:spacing w:line="480" w:lineRule="auto"/>
        <w:rPr>
          <w:szCs w:val="24"/>
        </w:rPr>
      </w:pPr>
      <w:r>
        <w:tab/>
      </w:r>
      <w:r w:rsidR="00FE7973">
        <w:t xml:space="preserve">The </w:t>
      </w:r>
      <w:r w:rsidR="0094417A">
        <w:t xml:space="preserve">PUCO’s decision was </w:t>
      </w:r>
      <w:r w:rsidR="009A3088">
        <w:t xml:space="preserve">wrong </w:t>
      </w:r>
      <w:r w:rsidR="005F4572">
        <w:t xml:space="preserve">and </w:t>
      </w:r>
      <w:r w:rsidR="0094417A">
        <w:t xml:space="preserve">against the </w:t>
      </w:r>
      <w:r w:rsidR="005E403A">
        <w:t>manifest</w:t>
      </w:r>
      <w:r w:rsidR="0094417A">
        <w:t xml:space="preserve"> weight of the evidence.</w:t>
      </w:r>
      <w:r w:rsidR="00F947B6">
        <w:t xml:space="preserve"> </w:t>
      </w:r>
      <w:r w:rsidR="005F4572">
        <w:t xml:space="preserve">Accordingly, the Order violates R.C. 4903.09. </w:t>
      </w:r>
      <w:r w:rsidR="00F947B6">
        <w:rPr>
          <w:szCs w:val="24"/>
          <w:lang w:bidi="en-US"/>
        </w:rPr>
        <w:t>T</w:t>
      </w:r>
      <w:r w:rsidR="00FE2F7E">
        <w:rPr>
          <w:szCs w:val="24"/>
          <w:lang w:bidi="en-US"/>
        </w:rPr>
        <w:t xml:space="preserve">he PUCO’s </w:t>
      </w:r>
      <w:r w:rsidR="00414611">
        <w:rPr>
          <w:szCs w:val="24"/>
          <w:lang w:bidi="en-US"/>
        </w:rPr>
        <w:t>Opinion and Order</w:t>
      </w:r>
      <w:r w:rsidR="00FE2F7E">
        <w:rPr>
          <w:szCs w:val="24"/>
          <w:lang w:bidi="en-US"/>
        </w:rPr>
        <w:t xml:space="preserve"> approving the </w:t>
      </w:r>
      <w:r w:rsidR="000C78E6">
        <w:rPr>
          <w:szCs w:val="24"/>
          <w:lang w:bidi="en-US"/>
        </w:rPr>
        <w:t xml:space="preserve">Settlement </w:t>
      </w:r>
      <w:r w:rsidR="00FE2F7E">
        <w:rPr>
          <w:szCs w:val="24"/>
          <w:lang w:bidi="en-US"/>
        </w:rPr>
        <w:t xml:space="preserve">was </w:t>
      </w:r>
      <w:r w:rsidR="004137CE">
        <w:rPr>
          <w:szCs w:val="24"/>
          <w:lang w:bidi="en-US"/>
        </w:rPr>
        <w:t>contrary to Ohio Supreme Court precedent,</w:t>
      </w:r>
      <w:r w:rsidR="00FE2F7E">
        <w:rPr>
          <w:szCs w:val="24"/>
          <w:lang w:bidi="en-US"/>
        </w:rPr>
        <w:t xml:space="preserve"> </w:t>
      </w:r>
      <w:r w:rsidR="004364D8">
        <w:rPr>
          <w:szCs w:val="24"/>
          <w:lang w:bidi="en-US"/>
        </w:rPr>
        <w:t xml:space="preserve">and </w:t>
      </w:r>
      <w:r w:rsidR="00FE2F7E">
        <w:rPr>
          <w:szCs w:val="24"/>
          <w:lang w:bidi="en-US"/>
        </w:rPr>
        <w:t xml:space="preserve">against the </w:t>
      </w:r>
      <w:r w:rsidR="004137CE">
        <w:rPr>
          <w:szCs w:val="24"/>
          <w:lang w:bidi="en-US"/>
        </w:rPr>
        <w:t xml:space="preserve">manifest </w:t>
      </w:r>
      <w:r w:rsidR="00FE2F7E">
        <w:rPr>
          <w:szCs w:val="24"/>
          <w:lang w:bidi="en-US"/>
        </w:rPr>
        <w:t>weight of the evidence</w:t>
      </w:r>
      <w:r w:rsidR="004364D8">
        <w:rPr>
          <w:szCs w:val="24"/>
          <w:lang w:bidi="en-US"/>
        </w:rPr>
        <w:t>.</w:t>
      </w:r>
      <w:r w:rsidR="00DF6AA5">
        <w:rPr>
          <w:szCs w:val="24"/>
          <w:lang w:bidi="en-US"/>
        </w:rPr>
        <w:t xml:space="preserve"> </w:t>
      </w:r>
      <w:r w:rsidR="004364D8">
        <w:rPr>
          <w:szCs w:val="24"/>
          <w:lang w:bidi="en-US"/>
        </w:rPr>
        <w:t>The PUCO decision</w:t>
      </w:r>
      <w:r w:rsidR="00DF6AA5">
        <w:rPr>
          <w:szCs w:val="24"/>
          <w:lang w:bidi="en-US"/>
        </w:rPr>
        <w:t xml:space="preserve"> </w:t>
      </w:r>
      <w:r w:rsidR="00FE2F7E">
        <w:rPr>
          <w:szCs w:val="24"/>
          <w:lang w:bidi="en-US"/>
        </w:rPr>
        <w:t>violated R.C.</w:t>
      </w:r>
      <w:r w:rsidR="000C78E6">
        <w:rPr>
          <w:szCs w:val="24"/>
          <w:lang w:bidi="en-US"/>
        </w:rPr>
        <w:t xml:space="preserve"> </w:t>
      </w:r>
      <w:r w:rsidR="00FE2F7E">
        <w:rPr>
          <w:szCs w:val="24"/>
          <w:lang w:bidi="en-US"/>
        </w:rPr>
        <w:t>4909.15</w:t>
      </w:r>
      <w:r w:rsidR="005F4572">
        <w:rPr>
          <w:szCs w:val="24"/>
          <w:lang w:bidi="en-US"/>
        </w:rPr>
        <w:t>.</w:t>
      </w:r>
      <w:r w:rsidR="00FE2F7E">
        <w:rPr>
          <w:szCs w:val="24"/>
          <w:lang w:bidi="en-US"/>
        </w:rPr>
        <w:t xml:space="preserve"> </w:t>
      </w:r>
      <w:r w:rsidRPr="00B012A9" w:rsidR="00D07BEE">
        <w:rPr>
          <w:szCs w:val="24"/>
        </w:rPr>
        <w:t>The PUCO should grant rehearing.</w:t>
      </w:r>
    </w:p>
    <w:p w:rsidR="004364D8" w:rsidRPr="00472B5B" w:rsidP="004364D8" w14:paraId="3D113A31" w14:textId="08CF5070">
      <w:pPr>
        <w:pStyle w:val="Heading2"/>
        <w:ind w:left="720"/>
        <w:rPr>
          <w:b w:val="0"/>
        </w:rPr>
      </w:pPr>
      <w:r w:rsidRPr="002F6874">
        <w:rPr>
          <w:rStyle w:val="Heading2Char"/>
        </w:rPr>
        <w:tab/>
      </w:r>
      <w:bookmarkStart w:id="22" w:name="_Toc152337695"/>
      <w:r w:rsidRPr="001F0DD5">
        <w:t xml:space="preserve">ASSIGNMENT OF ERROR NO. </w:t>
      </w:r>
      <w:r>
        <w:t>2</w:t>
      </w:r>
      <w:r w:rsidRPr="001F0DD5">
        <w:t xml:space="preserve">: </w:t>
      </w:r>
      <w:r>
        <w:rPr>
          <w:szCs w:val="24"/>
        </w:rPr>
        <w:t>The PUCO erred in using accounting deferrals to change utility assets into expenses, and then treated the assets as expenses collected from consumers over a ten-year period. The PUCO’s Order unreasonably and unlawfully a</w:t>
      </w:r>
      <w:r w:rsidRPr="00C26D22">
        <w:rPr>
          <w:szCs w:val="24"/>
        </w:rPr>
        <w:t>llow</w:t>
      </w:r>
      <w:r>
        <w:rPr>
          <w:szCs w:val="24"/>
        </w:rPr>
        <w:t>s</w:t>
      </w:r>
      <w:r w:rsidRPr="00C26D22">
        <w:rPr>
          <w:szCs w:val="24"/>
        </w:rPr>
        <w:t xml:space="preserve"> Duke to treat the propane </w:t>
      </w:r>
      <w:r>
        <w:rPr>
          <w:szCs w:val="24"/>
        </w:rPr>
        <w:t xml:space="preserve">facilities </w:t>
      </w:r>
      <w:r w:rsidRPr="00C26D22">
        <w:rPr>
          <w:szCs w:val="24"/>
        </w:rPr>
        <w:t xml:space="preserve">as a “cost” of “rendering the public utility service for the test period,” </w:t>
      </w:r>
      <w:r>
        <w:rPr>
          <w:szCs w:val="24"/>
        </w:rPr>
        <w:t>in violation of</w:t>
      </w:r>
      <w:r w:rsidRPr="00C26D22">
        <w:rPr>
          <w:szCs w:val="24"/>
        </w:rPr>
        <w:t xml:space="preserve"> R.C. </w:t>
      </w:r>
      <w:r>
        <w:rPr>
          <w:szCs w:val="24"/>
        </w:rPr>
        <w:t>4</w:t>
      </w:r>
      <w:r w:rsidRPr="00C26D22">
        <w:rPr>
          <w:szCs w:val="24"/>
        </w:rPr>
        <w:t>909.15</w:t>
      </w:r>
      <w:r>
        <w:rPr>
          <w:szCs w:val="24"/>
        </w:rPr>
        <w:t>.</w:t>
      </w:r>
      <w:r w:rsidRPr="00C26D22">
        <w:rPr>
          <w:szCs w:val="24"/>
        </w:rPr>
        <w:t xml:space="preserve"> The PUCO</w:t>
      </w:r>
      <w:r>
        <w:rPr>
          <w:szCs w:val="24"/>
        </w:rPr>
        <w:t>’s action</w:t>
      </w:r>
      <w:r w:rsidR="00DF6AA5">
        <w:rPr>
          <w:szCs w:val="24"/>
        </w:rPr>
        <w:t xml:space="preserve"> </w:t>
      </w:r>
      <w:r w:rsidRPr="00C26D22">
        <w:rPr>
          <w:szCs w:val="24"/>
        </w:rPr>
        <w:t>circumvent</w:t>
      </w:r>
      <w:r>
        <w:rPr>
          <w:szCs w:val="24"/>
        </w:rPr>
        <w:t>ed</w:t>
      </w:r>
      <w:r w:rsidRPr="00C26D22">
        <w:rPr>
          <w:szCs w:val="24"/>
        </w:rPr>
        <w:t xml:space="preserve"> Ohio ratemaking law</w:t>
      </w:r>
      <w:r>
        <w:rPr>
          <w:szCs w:val="24"/>
        </w:rPr>
        <w:t>.</w:t>
      </w:r>
      <w:bookmarkEnd w:id="22"/>
    </w:p>
    <w:p w:rsidR="004364D8" w:rsidRPr="009344A4" w:rsidP="004364D8" w14:paraId="58F2381A" w14:textId="34C9E523">
      <w:pPr>
        <w:spacing w:line="480" w:lineRule="auto"/>
        <w:ind w:firstLine="720"/>
        <w:rPr>
          <w:szCs w:val="24"/>
          <w:lang w:bidi="en-US"/>
        </w:rPr>
      </w:pPr>
      <w:r w:rsidRPr="009344A4">
        <w:rPr>
          <w:szCs w:val="24"/>
          <w:lang w:bidi="en-US"/>
        </w:rPr>
        <w:t xml:space="preserve">At the outset, OCC incorporates the ratemaking law cited in its </w:t>
      </w:r>
      <w:r>
        <w:rPr>
          <w:szCs w:val="24"/>
          <w:lang w:bidi="en-US"/>
        </w:rPr>
        <w:t>Assignment of Error No. 1</w:t>
      </w:r>
      <w:r w:rsidRPr="009344A4">
        <w:rPr>
          <w:szCs w:val="24"/>
          <w:lang w:bidi="en-US"/>
        </w:rPr>
        <w:t xml:space="preserve"> Allowing Duke to collect deferred costs related to the propane </w:t>
      </w:r>
      <w:r>
        <w:rPr>
          <w:szCs w:val="24"/>
          <w:lang w:bidi="en-US"/>
        </w:rPr>
        <w:t>facilities</w:t>
      </w:r>
      <w:r w:rsidRPr="009344A4">
        <w:rPr>
          <w:szCs w:val="24"/>
          <w:lang w:bidi="en-US"/>
        </w:rPr>
        <w:t xml:space="preserve"> violates the </w:t>
      </w:r>
      <w:r w:rsidR="005F4572">
        <w:rPr>
          <w:szCs w:val="24"/>
          <w:lang w:bidi="en-US"/>
        </w:rPr>
        <w:t>law --</w:t>
      </w:r>
      <w:r w:rsidRPr="009344A4">
        <w:rPr>
          <w:szCs w:val="24"/>
          <w:lang w:bidi="en-US"/>
        </w:rPr>
        <w:t xml:space="preserve"> R.C. 4909.15(A)(1)</w:t>
      </w:r>
      <w:r w:rsidR="005F4572">
        <w:rPr>
          <w:szCs w:val="24"/>
          <w:lang w:bidi="en-US"/>
        </w:rPr>
        <w:t xml:space="preserve"> requires</w:t>
      </w:r>
      <w:r w:rsidR="00DF6AA5">
        <w:rPr>
          <w:szCs w:val="24"/>
          <w:lang w:bidi="en-US"/>
        </w:rPr>
        <w:t xml:space="preserve"> </w:t>
      </w:r>
      <w:r w:rsidRPr="009344A4">
        <w:rPr>
          <w:szCs w:val="24"/>
          <w:lang w:bidi="en-US"/>
        </w:rPr>
        <w:t>that “property of the public utility” must be “used and useful” at date certain.</w:t>
      </w:r>
      <w:r>
        <w:rPr>
          <w:szCs w:val="24"/>
          <w:vertAlign w:val="superscript"/>
          <w:lang w:bidi="en-US"/>
        </w:rPr>
        <w:footnoteReference w:id="17"/>
      </w:r>
      <w:r w:rsidRPr="009344A4">
        <w:rPr>
          <w:szCs w:val="24"/>
          <w:lang w:bidi="en-US"/>
        </w:rPr>
        <w:t xml:space="preserve"> As demonstrated above, Duke repeatedly represented publicly, over a period of years, before multiple regulatory bodies, that the purpose of the Central Corridor Pipeline was to retire the </w:t>
      </w:r>
      <w:r>
        <w:rPr>
          <w:bCs/>
          <w:szCs w:val="24"/>
          <w:lang w:bidi="en-US"/>
        </w:rPr>
        <w:t>propane facilities</w:t>
      </w:r>
      <w:r w:rsidRPr="009344A4">
        <w:rPr>
          <w:szCs w:val="24"/>
          <w:lang w:bidi="en-US"/>
        </w:rPr>
        <w:t>, rendering them no longer used and useful.</w:t>
      </w:r>
      <w:r w:rsidRPr="009344A4">
        <w:rPr>
          <w:bCs/>
          <w:szCs w:val="24"/>
          <w:lang w:bidi="en-US"/>
        </w:rPr>
        <w:t xml:space="preserve"> </w:t>
      </w:r>
      <w:r w:rsidRPr="009344A4">
        <w:rPr>
          <w:szCs w:val="24"/>
          <w:lang w:bidi="en-US"/>
        </w:rPr>
        <w:t xml:space="preserve">Duke’s public representations also demonstrate that the Central Corridor Pipeline began commercial operation – rendering the </w:t>
      </w:r>
      <w:r>
        <w:rPr>
          <w:bCs/>
          <w:szCs w:val="24"/>
          <w:lang w:bidi="en-US"/>
        </w:rPr>
        <w:t>propane facilities</w:t>
      </w:r>
      <w:r w:rsidRPr="009344A4">
        <w:rPr>
          <w:szCs w:val="24"/>
          <w:lang w:bidi="en-US"/>
        </w:rPr>
        <w:t xml:space="preserve"> not used and useful – </w:t>
      </w:r>
      <w:r>
        <w:rPr>
          <w:szCs w:val="24"/>
          <w:lang w:bidi="en-US"/>
        </w:rPr>
        <w:t>on the</w:t>
      </w:r>
      <w:r w:rsidRPr="009344A4">
        <w:rPr>
          <w:szCs w:val="24"/>
          <w:lang w:bidi="en-US"/>
        </w:rPr>
        <w:t xml:space="preserve"> date certain in this case. </w:t>
      </w:r>
    </w:p>
    <w:p w:rsidR="004364D8" w:rsidP="00786F37" w14:paraId="5CFC097A" w14:textId="7CA994F1">
      <w:pPr>
        <w:spacing w:line="480" w:lineRule="auto"/>
        <w:ind w:firstLine="720"/>
        <w:rPr>
          <w:szCs w:val="24"/>
          <w:lang w:bidi="en-US"/>
        </w:rPr>
      </w:pPr>
      <w:r w:rsidRPr="009344A4">
        <w:rPr>
          <w:szCs w:val="24"/>
          <w:lang w:bidi="en-US"/>
        </w:rPr>
        <w:t>The PUCO</w:t>
      </w:r>
      <w:r>
        <w:rPr>
          <w:szCs w:val="24"/>
          <w:lang w:bidi="en-US"/>
        </w:rPr>
        <w:t xml:space="preserve"> treatment of the</w:t>
      </w:r>
      <w:r w:rsidRPr="009344A4">
        <w:rPr>
          <w:szCs w:val="24"/>
          <w:lang w:bidi="en-US"/>
        </w:rPr>
        <w:t xml:space="preserve"> propane </w:t>
      </w:r>
      <w:r>
        <w:rPr>
          <w:szCs w:val="24"/>
          <w:lang w:bidi="en-US"/>
        </w:rPr>
        <w:t>facilities</w:t>
      </w:r>
      <w:r w:rsidRPr="009344A4">
        <w:rPr>
          <w:szCs w:val="24"/>
          <w:lang w:bidi="en-US"/>
        </w:rPr>
        <w:t xml:space="preserve"> as a “cost to the utility of rendering the public utility service for the test period…,” under R.C. 4909.15(A)(4)</w:t>
      </w:r>
      <w:r>
        <w:rPr>
          <w:szCs w:val="24"/>
          <w:lang w:bidi="en-US"/>
        </w:rPr>
        <w:t xml:space="preserve"> </w:t>
      </w:r>
      <w:r w:rsidRPr="009344A4">
        <w:rPr>
          <w:szCs w:val="24"/>
          <w:lang w:bidi="en-US"/>
        </w:rPr>
        <w:t xml:space="preserve">would allow Duke to charge consumers for the propane </w:t>
      </w:r>
      <w:r>
        <w:rPr>
          <w:szCs w:val="24"/>
          <w:lang w:bidi="en-US"/>
        </w:rPr>
        <w:t>facilities</w:t>
      </w:r>
      <w:r w:rsidRPr="009344A4">
        <w:rPr>
          <w:szCs w:val="24"/>
          <w:lang w:bidi="en-US"/>
        </w:rPr>
        <w:t xml:space="preserve"> even though they were no longer used and useful. </w:t>
      </w:r>
      <w:r w:rsidR="00786F37">
        <w:rPr>
          <w:szCs w:val="24"/>
          <w:lang w:bidi="en-US"/>
        </w:rPr>
        <w:t xml:space="preserve">But </w:t>
      </w:r>
      <w:r w:rsidRPr="009344A4">
        <w:rPr>
          <w:szCs w:val="24"/>
          <w:lang w:bidi="en-US"/>
        </w:rPr>
        <w:t xml:space="preserve">R.C. 4909.15(A)(1) requires utility property to be used and </w:t>
      </w:r>
      <w:r>
        <w:rPr>
          <w:szCs w:val="24"/>
          <w:lang w:bidi="en-US"/>
        </w:rPr>
        <w:t>useful.</w:t>
      </w:r>
      <w:r w:rsidR="00DF6AA5">
        <w:rPr>
          <w:szCs w:val="24"/>
          <w:lang w:bidi="en-US"/>
        </w:rPr>
        <w:t xml:space="preserve"> </w:t>
      </w:r>
      <w:r w:rsidRPr="009344A4">
        <w:rPr>
          <w:szCs w:val="24"/>
          <w:lang w:bidi="en-US"/>
        </w:rPr>
        <w:t xml:space="preserve">Treating the propane </w:t>
      </w:r>
      <w:r>
        <w:rPr>
          <w:szCs w:val="24"/>
          <w:lang w:bidi="en-US"/>
        </w:rPr>
        <w:t>facilities</w:t>
      </w:r>
      <w:r w:rsidRPr="009344A4">
        <w:rPr>
          <w:szCs w:val="24"/>
          <w:lang w:bidi="en-US"/>
        </w:rPr>
        <w:t xml:space="preserve"> as a cost of service under R.C. 4909.15(A)(4) would </w:t>
      </w:r>
      <w:r>
        <w:rPr>
          <w:szCs w:val="24"/>
          <w:lang w:bidi="en-US"/>
        </w:rPr>
        <w:t>circumvent the law and is contrary to Ohio Supreme Court precedent.</w:t>
      </w:r>
    </w:p>
    <w:p w:rsidR="004364D8" w:rsidP="004364D8" w14:paraId="4C046E94" w14:textId="5AEC0442">
      <w:pPr>
        <w:spacing w:line="480" w:lineRule="auto"/>
        <w:ind w:firstLine="720"/>
        <w:rPr>
          <w:color w:val="212121"/>
          <w:szCs w:val="24"/>
          <w:shd w:val="clear" w:color="auto" w:fill="FFFFFF"/>
          <w:lang w:bidi="en-US"/>
        </w:rPr>
      </w:pPr>
      <w:r w:rsidRPr="009344A4">
        <w:rPr>
          <w:szCs w:val="24"/>
          <w:lang w:bidi="en-US"/>
        </w:rPr>
        <w:t xml:space="preserve">The Ohio Supreme Court </w:t>
      </w:r>
      <w:r>
        <w:rPr>
          <w:szCs w:val="24"/>
          <w:lang w:bidi="en-US"/>
        </w:rPr>
        <w:t xml:space="preserve">in </w:t>
      </w:r>
      <w:r w:rsidRPr="00ED4695" w:rsidR="00DF6AA5">
        <w:rPr>
          <w:i/>
          <w:iCs/>
          <w:szCs w:val="24"/>
          <w:lang w:bidi="en-US"/>
        </w:rPr>
        <w:t>Consumers’</w:t>
      </w:r>
      <w:r w:rsidRPr="00ED4695">
        <w:rPr>
          <w:i/>
          <w:iCs/>
          <w:szCs w:val="24"/>
          <w:lang w:bidi="en-US"/>
        </w:rPr>
        <w:t xml:space="preserve"> Counsel</w:t>
      </w:r>
      <w:r>
        <w:rPr>
          <w:szCs w:val="24"/>
          <w:lang w:bidi="en-US"/>
        </w:rPr>
        <w:t xml:space="preserve"> </w:t>
      </w:r>
      <w:r w:rsidRPr="009344A4">
        <w:rPr>
          <w:szCs w:val="24"/>
          <w:lang w:bidi="en-US"/>
        </w:rPr>
        <w:t>“</w:t>
      </w:r>
      <w:r w:rsidRPr="009344A4">
        <w:rPr>
          <w:color w:val="212121"/>
          <w:szCs w:val="24"/>
          <w:shd w:val="clear" w:color="auto" w:fill="FFFFFF"/>
          <w:lang w:bidi="en-US"/>
        </w:rPr>
        <w:t>seriously question[ed] whether the General Assembly contemplated that the commission would treat the type of expenditures controverted herein [major capital investments] as costs under </w:t>
      </w:r>
      <w:r w:rsidRPr="009344A4">
        <w:rPr>
          <w:rFonts w:eastAsiaTheme="minorHAnsi"/>
          <w:szCs w:val="24"/>
          <w:bdr w:val="none" w:sz="0" w:space="0" w:color="auto" w:frame="1"/>
          <w:shd w:val="clear" w:color="auto" w:fill="FFFFFF"/>
          <w:lang w:bidi="en-US"/>
        </w:rPr>
        <w:t>R. C. 4909.15(A)(4)</w:t>
      </w:r>
      <w:r w:rsidRPr="009344A4">
        <w:rPr>
          <w:color w:val="212121"/>
          <w:szCs w:val="24"/>
          <w:shd w:val="clear" w:color="auto" w:fill="FFFFFF"/>
          <w:lang w:bidi="en-US"/>
        </w:rPr>
        <w:t>.”</w:t>
      </w:r>
      <w:r>
        <w:rPr>
          <w:color w:val="212121"/>
          <w:szCs w:val="24"/>
          <w:shd w:val="clear" w:color="auto" w:fill="FFFFFF"/>
          <w:vertAlign w:val="superscript"/>
          <w:lang w:bidi="en-US"/>
        </w:rPr>
        <w:footnoteReference w:id="18"/>
      </w:r>
      <w:r w:rsidRPr="009344A4">
        <w:rPr>
          <w:rFonts w:ascii="Lato" w:hAnsi="Lato"/>
          <w:color w:val="212121"/>
          <w:sz w:val="27"/>
          <w:szCs w:val="27"/>
          <w:shd w:val="clear" w:color="auto" w:fill="FFFFFF"/>
          <w:lang w:bidi="en-US"/>
        </w:rPr>
        <w:t> </w:t>
      </w:r>
      <w:r>
        <w:rPr>
          <w:color w:val="212121"/>
          <w:szCs w:val="24"/>
          <w:shd w:val="clear" w:color="auto" w:fill="FFFFFF"/>
          <w:lang w:bidi="en-US"/>
        </w:rPr>
        <w:t>The Court</w:t>
      </w:r>
      <w:r w:rsidRPr="009344A4">
        <w:rPr>
          <w:color w:val="212121"/>
          <w:szCs w:val="24"/>
          <w:shd w:val="clear" w:color="auto" w:fill="FFFFFF"/>
          <w:lang w:bidi="en-US"/>
        </w:rPr>
        <w:t xml:space="preserve"> explained that a major capital investment cannot be transformed into an operating expense by “commission fiat.”</w:t>
      </w:r>
      <w:r>
        <w:rPr>
          <w:color w:val="212121"/>
          <w:szCs w:val="24"/>
          <w:shd w:val="clear" w:color="auto" w:fill="FFFFFF"/>
          <w:vertAlign w:val="superscript"/>
          <w:lang w:bidi="en-US"/>
        </w:rPr>
        <w:footnoteReference w:id="19"/>
      </w:r>
      <w:r w:rsidRPr="009344A4">
        <w:rPr>
          <w:color w:val="212121"/>
          <w:szCs w:val="24"/>
          <w:shd w:val="clear" w:color="auto" w:fill="FFFFFF"/>
          <w:lang w:bidi="en-US"/>
        </w:rPr>
        <w:t xml:space="preserve"> </w:t>
      </w:r>
    </w:p>
    <w:p w:rsidR="004364D8" w:rsidRPr="009344A4" w:rsidP="004364D8" w14:paraId="6112F4C3" w14:textId="77777777">
      <w:pPr>
        <w:spacing w:line="480" w:lineRule="auto"/>
        <w:ind w:firstLine="720"/>
        <w:rPr>
          <w:szCs w:val="24"/>
          <w:lang w:bidi="en-US"/>
        </w:rPr>
      </w:pPr>
      <w:r>
        <w:rPr>
          <w:color w:val="212121"/>
          <w:szCs w:val="24"/>
          <w:shd w:val="clear" w:color="auto" w:fill="FFFFFF"/>
          <w:lang w:bidi="en-US"/>
        </w:rPr>
        <w:t xml:space="preserve">The Court’s decision in </w:t>
      </w:r>
      <w:r w:rsidRPr="00AC7F70">
        <w:rPr>
          <w:i/>
          <w:iCs/>
          <w:color w:val="212121"/>
          <w:szCs w:val="24"/>
          <w:shd w:val="clear" w:color="auto" w:fill="FFFFFF"/>
          <w:lang w:bidi="en-US"/>
        </w:rPr>
        <w:t>Consumers’ Counsel</w:t>
      </w:r>
      <w:r>
        <w:rPr>
          <w:color w:val="212121"/>
          <w:szCs w:val="24"/>
          <w:shd w:val="clear" w:color="auto" w:fill="FFFFFF"/>
          <w:lang w:bidi="en-US"/>
        </w:rPr>
        <w:t xml:space="preserve"> is Ohio law, to be followed, not disregarded. </w:t>
      </w:r>
      <w:r w:rsidRPr="009344A4">
        <w:rPr>
          <w:color w:val="212121"/>
          <w:szCs w:val="24"/>
          <w:shd w:val="clear" w:color="auto" w:fill="FFFFFF"/>
          <w:lang w:bidi="en-US"/>
        </w:rPr>
        <w:t xml:space="preserve">The </w:t>
      </w:r>
      <w:r>
        <w:rPr>
          <w:bCs/>
          <w:szCs w:val="24"/>
          <w:lang w:bidi="en-US"/>
        </w:rPr>
        <w:t>propane facilities</w:t>
      </w:r>
      <w:r w:rsidRPr="009344A4">
        <w:rPr>
          <w:color w:val="212121"/>
          <w:szCs w:val="24"/>
          <w:shd w:val="clear" w:color="auto" w:fill="FFFFFF"/>
          <w:lang w:bidi="en-US"/>
        </w:rPr>
        <w:t xml:space="preserve"> were major capital investments that must be analyzed under R.C. 4909.15(A)(1), not </w:t>
      </w:r>
      <w:r>
        <w:rPr>
          <w:color w:val="212121"/>
          <w:szCs w:val="24"/>
          <w:shd w:val="clear" w:color="auto" w:fill="FFFFFF"/>
          <w:lang w:bidi="en-US"/>
        </w:rPr>
        <w:t xml:space="preserve">as a </w:t>
      </w:r>
      <w:r w:rsidRPr="009344A4">
        <w:rPr>
          <w:color w:val="212121"/>
          <w:szCs w:val="24"/>
          <w:shd w:val="clear" w:color="auto" w:fill="FFFFFF"/>
          <w:lang w:bidi="en-US"/>
        </w:rPr>
        <w:t>costs under R.C. 4909.15(A)(4)</w:t>
      </w:r>
      <w:r>
        <w:rPr>
          <w:color w:val="212121"/>
          <w:szCs w:val="24"/>
          <w:shd w:val="clear" w:color="auto" w:fill="FFFFFF"/>
          <w:lang w:bidi="en-US"/>
        </w:rPr>
        <w:t xml:space="preserve"> just because the utility says so</w:t>
      </w:r>
      <w:r w:rsidRPr="009344A4">
        <w:rPr>
          <w:color w:val="212121"/>
          <w:szCs w:val="24"/>
          <w:shd w:val="clear" w:color="auto" w:fill="FFFFFF"/>
          <w:lang w:bidi="en-US"/>
        </w:rPr>
        <w:t>.</w:t>
      </w:r>
      <w:r>
        <w:rPr>
          <w:color w:val="212121"/>
          <w:szCs w:val="24"/>
          <w:shd w:val="clear" w:color="auto" w:fill="FFFFFF"/>
          <w:lang w:bidi="en-US"/>
        </w:rPr>
        <w:t xml:space="preserve"> </w:t>
      </w:r>
      <w:r w:rsidRPr="009344A4">
        <w:rPr>
          <w:szCs w:val="24"/>
          <w:lang w:bidi="en-US"/>
        </w:rPr>
        <w:t xml:space="preserve">As OCC expert Kerry Adkins concluded, “the propane facilities and the propane inventory were a utility asset,” not a cost of rendering service. </w:t>
      </w:r>
    </w:p>
    <w:p w:rsidR="004364D8" w:rsidRPr="009344A4" w:rsidP="004364D8" w14:paraId="2F44C43E" w14:textId="7FBAC9EC">
      <w:pPr>
        <w:spacing w:line="480" w:lineRule="auto"/>
        <w:ind w:firstLine="720"/>
        <w:rPr>
          <w:szCs w:val="24"/>
          <w:lang w:bidi="en-US"/>
        </w:rPr>
      </w:pPr>
      <w:r w:rsidRPr="009344A4">
        <w:rPr>
          <w:szCs w:val="24"/>
          <w:lang w:bidi="en-US"/>
        </w:rPr>
        <w:t xml:space="preserve">In fact, Duke has never treated the </w:t>
      </w:r>
      <w:r>
        <w:rPr>
          <w:bCs/>
          <w:szCs w:val="24"/>
          <w:lang w:bidi="en-US"/>
        </w:rPr>
        <w:t>propane facilities</w:t>
      </w:r>
      <w:r w:rsidRPr="009344A4">
        <w:rPr>
          <w:szCs w:val="24"/>
          <w:lang w:bidi="en-US"/>
        </w:rPr>
        <w:t xml:space="preserve"> as a cost of rendering utility service before. As Mr. Adkins testified, “[p]reviously, they have always been in rate base.” Only when the </w:t>
      </w:r>
      <w:r>
        <w:rPr>
          <w:bCs/>
          <w:szCs w:val="24"/>
          <w:lang w:bidi="en-US"/>
        </w:rPr>
        <w:t>propane facilities</w:t>
      </w:r>
      <w:r w:rsidRPr="009344A4">
        <w:rPr>
          <w:szCs w:val="24"/>
          <w:lang w:bidi="en-US"/>
        </w:rPr>
        <w:t xml:space="preserve"> ceased to be used and useful, did Duke attempt to treat the </w:t>
      </w:r>
      <w:r>
        <w:rPr>
          <w:bCs/>
          <w:szCs w:val="24"/>
          <w:lang w:bidi="en-US"/>
        </w:rPr>
        <w:t>propane facilities</w:t>
      </w:r>
      <w:r w:rsidRPr="009344A4">
        <w:rPr>
          <w:szCs w:val="24"/>
          <w:lang w:bidi="en-US"/>
        </w:rPr>
        <w:t xml:space="preserve"> as a cost of rendering utility service. </w:t>
      </w:r>
      <w:r>
        <w:rPr>
          <w:szCs w:val="24"/>
          <w:lang w:bidi="en-US"/>
        </w:rPr>
        <w:t>T</w:t>
      </w:r>
      <w:r w:rsidRPr="009344A4">
        <w:rPr>
          <w:szCs w:val="24"/>
          <w:lang w:bidi="en-US"/>
        </w:rPr>
        <w:t xml:space="preserve">his </w:t>
      </w:r>
      <w:r>
        <w:rPr>
          <w:szCs w:val="24"/>
          <w:lang w:bidi="en-US"/>
        </w:rPr>
        <w:t xml:space="preserve">is a classic </w:t>
      </w:r>
      <w:r w:rsidRPr="009344A4">
        <w:rPr>
          <w:szCs w:val="24"/>
          <w:lang w:bidi="en-US"/>
        </w:rPr>
        <w:t xml:space="preserve">bait and switch. The propane </w:t>
      </w:r>
      <w:r>
        <w:rPr>
          <w:szCs w:val="24"/>
          <w:lang w:bidi="en-US"/>
        </w:rPr>
        <w:t>facilities</w:t>
      </w:r>
      <w:r w:rsidRPr="009344A4">
        <w:rPr>
          <w:szCs w:val="24"/>
          <w:lang w:bidi="en-US"/>
        </w:rPr>
        <w:t xml:space="preserve"> are property, not costs of rendering service, meaning they must be used and useful at the date certain. </w:t>
      </w:r>
    </w:p>
    <w:p w:rsidR="004364D8" w:rsidP="004364D8" w14:paraId="57414FB3" w14:textId="472E2A0C">
      <w:pPr>
        <w:widowControl w:val="0"/>
        <w:spacing w:line="480" w:lineRule="auto"/>
        <w:ind w:firstLine="720"/>
        <w:rPr>
          <w:szCs w:val="24"/>
        </w:rPr>
      </w:pPr>
      <w:r w:rsidRPr="009344A4">
        <w:rPr>
          <w:szCs w:val="24"/>
          <w:lang w:bidi="en-US"/>
        </w:rPr>
        <w:t>The PUCO should and must apply the used and useful standard embodied in the statutory ratemaking formula in R.C. 4909.15. The propane facilities were not useful for providing utility service on the date certain, so charging consumers for them (as permitted under the Settlement) would violate</w:t>
      </w:r>
      <w:r>
        <w:rPr>
          <w:szCs w:val="24"/>
          <w:lang w:bidi="en-US"/>
        </w:rPr>
        <w:t xml:space="preserve"> Ohio law as well as</w:t>
      </w:r>
      <w:r w:rsidR="00DF6AA5">
        <w:rPr>
          <w:szCs w:val="24"/>
          <w:lang w:bidi="en-US"/>
        </w:rPr>
        <w:t xml:space="preserve"> </w:t>
      </w:r>
      <w:r w:rsidRPr="009344A4">
        <w:rPr>
          <w:szCs w:val="24"/>
          <w:lang w:bidi="en-US"/>
        </w:rPr>
        <w:t>important regulatory practices and principles.</w:t>
      </w:r>
      <w:r w:rsidR="00786F37">
        <w:rPr>
          <w:szCs w:val="24"/>
          <w:lang w:bidi="en-US"/>
        </w:rPr>
        <w:t xml:space="preserve"> </w:t>
      </w:r>
      <w:r w:rsidRPr="00B012A9">
        <w:rPr>
          <w:szCs w:val="24"/>
        </w:rPr>
        <w:t>The PUCO should grant rehearing</w:t>
      </w:r>
      <w:r w:rsidR="00786F37">
        <w:rPr>
          <w:szCs w:val="24"/>
        </w:rPr>
        <w:t>.</w:t>
      </w:r>
    </w:p>
    <w:p w:rsidR="00472B5B" w:rsidRPr="00472B5B" w:rsidP="00ED4695" w14:paraId="266B78C3" w14:textId="3B17724E">
      <w:pPr>
        <w:pStyle w:val="Heading2"/>
        <w:ind w:left="720" w:firstLine="0"/>
        <w:rPr>
          <w:b w:val="0"/>
        </w:rPr>
      </w:pPr>
      <w:bookmarkStart w:id="23" w:name="_Toc152337696"/>
      <w:r w:rsidRPr="00472B5B">
        <w:t xml:space="preserve">ASSIGNMENT OF ERROR NO. </w:t>
      </w:r>
      <w:r w:rsidR="00815DA0">
        <w:t>3</w:t>
      </w:r>
      <w:r w:rsidRPr="00472B5B">
        <w:t xml:space="preserve">: </w:t>
      </w:r>
      <w:r w:rsidRPr="00C26D22" w:rsidR="002E3C09">
        <w:rPr>
          <w:szCs w:val="24"/>
        </w:rPr>
        <w:t>The PUCO erred by approving a Settlement that does not benefit consumers and the public interest</w:t>
      </w:r>
      <w:r w:rsidR="002E3C09">
        <w:rPr>
          <w:szCs w:val="24"/>
        </w:rPr>
        <w:t xml:space="preserve"> and also violates PUCO precedent and the important regulatory principle of cost causation. The PUCO’s Order </w:t>
      </w:r>
      <w:r w:rsidRPr="00C26D22" w:rsidR="002E3C09">
        <w:rPr>
          <w:szCs w:val="24"/>
        </w:rPr>
        <w:t>unreasonabl</w:t>
      </w:r>
      <w:r w:rsidR="002E3C09">
        <w:rPr>
          <w:szCs w:val="24"/>
        </w:rPr>
        <w:t>y</w:t>
      </w:r>
      <w:r w:rsidRPr="00C26D22" w:rsidR="002E3C09">
        <w:rPr>
          <w:szCs w:val="24"/>
        </w:rPr>
        <w:t xml:space="preserve"> and unlawful</w:t>
      </w:r>
      <w:r w:rsidR="002E3C09">
        <w:rPr>
          <w:szCs w:val="24"/>
        </w:rPr>
        <w:t>ly</w:t>
      </w:r>
      <w:r w:rsidRPr="00C26D22" w:rsidR="002E3C09">
        <w:rPr>
          <w:szCs w:val="24"/>
        </w:rPr>
        <w:t xml:space="preserve"> allows Duke to charge consumers for costs related to</w:t>
      </w:r>
      <w:r w:rsidRPr="00C26D22" w:rsidR="002E3C09">
        <w:rPr>
          <w:szCs w:val="24"/>
          <w:lang w:bidi="en-US"/>
        </w:rPr>
        <w:t xml:space="preserve"> financial performance incentives </w:t>
      </w:r>
      <w:r w:rsidRPr="00C26D22" w:rsidR="002E3C09">
        <w:rPr>
          <w:szCs w:val="24"/>
        </w:rPr>
        <w:t>which do not benefit consumers</w:t>
      </w:r>
      <w:r w:rsidR="002E3C09">
        <w:rPr>
          <w:szCs w:val="24"/>
        </w:rPr>
        <w:t xml:space="preserve"> and are not necessary in providing utility service to consumers</w:t>
      </w:r>
      <w:r w:rsidRPr="00472B5B">
        <w:t>.</w:t>
      </w:r>
      <w:bookmarkEnd w:id="23"/>
    </w:p>
    <w:p w:rsidR="00564128" w:rsidP="00564128" w14:paraId="26BADBD7" w14:textId="6B79909E">
      <w:pPr>
        <w:pBdr>
          <w:top w:val="nil"/>
          <w:left w:val="nil"/>
          <w:bottom w:val="nil"/>
          <w:right w:val="nil"/>
          <w:between w:val="nil"/>
          <w:bar w:val="nil"/>
        </w:pBdr>
        <w:spacing w:line="480" w:lineRule="auto"/>
        <w:ind w:firstLine="720"/>
        <w:contextualSpacing/>
        <w:rPr>
          <w:rFonts w:eastAsia="Arial Unicode MS"/>
          <w:bCs/>
          <w:iCs/>
          <w:szCs w:val="24"/>
          <w:bdr w:val="nil"/>
        </w:rPr>
      </w:pPr>
      <w:r>
        <w:rPr>
          <w:rFonts w:eastAsia="Arial Unicode MS"/>
          <w:bCs/>
          <w:iCs/>
          <w:szCs w:val="24"/>
          <w:bdr w:val="nil"/>
        </w:rPr>
        <w:t>The PUCO’s Opinion and Order approving the Settlement</w:t>
      </w:r>
      <w:r w:rsidRPr="00D365FC">
        <w:rPr>
          <w:rFonts w:eastAsia="Arial Unicode MS"/>
          <w:bCs/>
          <w:iCs/>
          <w:szCs w:val="24"/>
          <w:bdr w:val="nil"/>
        </w:rPr>
        <w:t xml:space="preserve"> allows Duke to charge consumers for financial performance incentives</w:t>
      </w:r>
      <w:r w:rsidR="000C78E6">
        <w:rPr>
          <w:rFonts w:eastAsia="Arial Unicode MS"/>
          <w:bCs/>
          <w:iCs/>
          <w:szCs w:val="24"/>
          <w:bdr w:val="nil"/>
        </w:rPr>
        <w:t xml:space="preserve"> paid to Duke’s employees</w:t>
      </w:r>
      <w:r w:rsidRPr="00D365FC">
        <w:rPr>
          <w:rFonts w:eastAsia="Arial Unicode MS"/>
          <w:bCs/>
          <w:iCs/>
          <w:szCs w:val="24"/>
          <w:bdr w:val="nil"/>
        </w:rPr>
        <w:t>.</w:t>
      </w:r>
      <w:r>
        <w:rPr>
          <w:rStyle w:val="FootnoteReference"/>
          <w:rFonts w:eastAsia="Arial Unicode MS"/>
          <w:bCs/>
          <w:iCs/>
          <w:szCs w:val="24"/>
          <w:bdr w:val="nil"/>
        </w:rPr>
        <w:footnoteReference w:id="20"/>
      </w:r>
      <w:r w:rsidRPr="00D365FC">
        <w:rPr>
          <w:rFonts w:eastAsia="Arial Unicode MS"/>
          <w:bCs/>
          <w:iCs/>
          <w:szCs w:val="24"/>
          <w:bdr w:val="nil"/>
        </w:rPr>
        <w:t xml:space="preserve"> </w:t>
      </w:r>
      <w:r w:rsidR="0099746F">
        <w:rPr>
          <w:rFonts w:eastAsia="Arial Unicode MS"/>
          <w:bCs/>
          <w:iCs/>
          <w:szCs w:val="24"/>
          <w:bdr w:val="nil"/>
        </w:rPr>
        <w:t>The PUCO found that the Settlement’s terms providing for a credit in the CFP Rider to offset the rate effect of any</w:t>
      </w:r>
      <w:r w:rsidR="00CC3F9E">
        <w:rPr>
          <w:rFonts w:eastAsia="Arial Unicode MS"/>
          <w:bCs/>
          <w:iCs/>
          <w:szCs w:val="24"/>
          <w:bdr w:val="nil"/>
        </w:rPr>
        <w:t xml:space="preserve"> </w:t>
      </w:r>
      <w:r w:rsidR="0099746F">
        <w:rPr>
          <w:rFonts w:eastAsia="Arial Unicode MS"/>
          <w:bCs/>
          <w:iCs/>
          <w:szCs w:val="24"/>
          <w:bdr w:val="nil"/>
        </w:rPr>
        <w:t xml:space="preserve">capitalized financial incentive compensation for incremental investments placed in service after </w:t>
      </w:r>
      <w:r w:rsidR="00592388">
        <w:rPr>
          <w:rFonts w:eastAsia="Arial Unicode MS"/>
          <w:bCs/>
          <w:iCs/>
          <w:szCs w:val="24"/>
          <w:bdr w:val="nil"/>
        </w:rPr>
        <w:t xml:space="preserve">the </w:t>
      </w:r>
      <w:r w:rsidR="0099746F">
        <w:rPr>
          <w:rFonts w:eastAsia="Arial Unicode MS"/>
          <w:bCs/>
          <w:iCs/>
          <w:szCs w:val="24"/>
          <w:bdr w:val="nil"/>
        </w:rPr>
        <w:t>March 31, 2022 date certain represented a reasonable compromise of the issue.</w:t>
      </w:r>
      <w:r>
        <w:rPr>
          <w:rStyle w:val="FootnoteReference"/>
          <w:rFonts w:eastAsia="Arial Unicode MS"/>
          <w:bCs/>
          <w:iCs/>
          <w:szCs w:val="24"/>
          <w:bdr w:val="nil"/>
        </w:rPr>
        <w:footnoteReference w:id="21"/>
      </w:r>
      <w:r>
        <w:rPr>
          <w:rFonts w:eastAsia="Arial Unicode MS"/>
          <w:bCs/>
          <w:iCs/>
          <w:szCs w:val="24"/>
          <w:bdr w:val="nil"/>
        </w:rPr>
        <w:t xml:space="preserve"> The “negotiation” of this “compromise” started with the false premise that performance incentives are necessary to ensure safe and reliable customer service to its customer base.</w:t>
      </w:r>
      <w:r>
        <w:rPr>
          <w:rStyle w:val="FootnoteReference"/>
          <w:rFonts w:eastAsia="Arial Unicode MS"/>
          <w:bCs/>
          <w:iCs/>
          <w:szCs w:val="24"/>
          <w:bdr w:val="nil"/>
        </w:rPr>
        <w:footnoteReference w:id="22"/>
      </w:r>
      <w:r w:rsidR="00DF6AA5">
        <w:rPr>
          <w:rFonts w:eastAsia="Arial Unicode MS"/>
          <w:bCs/>
          <w:iCs/>
          <w:szCs w:val="24"/>
          <w:bdr w:val="nil"/>
        </w:rPr>
        <w:t xml:space="preserve"> </w:t>
      </w:r>
      <w:r>
        <w:rPr>
          <w:rFonts w:eastAsia="Arial Unicode MS"/>
          <w:bCs/>
          <w:iCs/>
          <w:szCs w:val="24"/>
          <w:bdr w:val="nil"/>
        </w:rPr>
        <w:t xml:space="preserve">They are not. </w:t>
      </w:r>
    </w:p>
    <w:p w:rsidR="00D365FC" w:rsidRPr="00D365FC" w:rsidP="00ED4695" w14:paraId="005CA6E0" w14:textId="446A8384">
      <w:pPr>
        <w:pBdr>
          <w:top w:val="nil"/>
          <w:left w:val="nil"/>
          <w:bottom w:val="nil"/>
          <w:right w:val="nil"/>
          <w:between w:val="nil"/>
          <w:bar w:val="nil"/>
        </w:pBdr>
        <w:spacing w:line="480" w:lineRule="auto"/>
        <w:ind w:firstLine="720"/>
        <w:contextualSpacing/>
        <w:rPr>
          <w:szCs w:val="24"/>
          <w:lang w:bidi="en-US"/>
        </w:rPr>
      </w:pPr>
      <w:r w:rsidRPr="00D365FC">
        <w:rPr>
          <w:rFonts w:eastAsia="Arial Unicode MS"/>
          <w:bCs/>
          <w:iCs/>
          <w:szCs w:val="24"/>
          <w:bdr w:val="nil"/>
        </w:rPr>
        <w:t>Financial performance incentives are compensation to utility employees for achieving performance goals set by the utility management.</w:t>
      </w:r>
      <w:r>
        <w:rPr>
          <w:rFonts w:eastAsia="Arial Unicode MS"/>
          <w:bCs/>
          <w:iCs/>
          <w:szCs w:val="24"/>
          <w:bdr w:val="nil"/>
          <w:vertAlign w:val="superscript"/>
        </w:rPr>
        <w:footnoteReference w:id="23"/>
      </w:r>
      <w:r w:rsidRPr="00D365FC">
        <w:rPr>
          <w:rFonts w:eastAsia="Arial Unicode MS"/>
          <w:bCs/>
          <w:iCs/>
          <w:szCs w:val="24"/>
          <w:bdr w:val="nil"/>
        </w:rPr>
        <w:t xml:space="preserve"> The financial performance incentives, which consumers fund under the Settlement, are unjust and unreasonable. OCC witness Kerry Adkins testified that “Duke’s performance incentive awards benefit only the utility and its shareholders and do not provide any benefit to consumers. They are not necessary for the provision of utility service.”</w:t>
      </w:r>
      <w:r>
        <w:rPr>
          <w:rFonts w:eastAsia="Arial Unicode MS"/>
          <w:bCs/>
          <w:iCs/>
          <w:szCs w:val="24"/>
          <w:bdr w:val="nil"/>
          <w:vertAlign w:val="superscript"/>
        </w:rPr>
        <w:footnoteReference w:id="24"/>
      </w:r>
      <w:r w:rsidRPr="00D365FC">
        <w:rPr>
          <w:rFonts w:eastAsia="Arial Unicode MS"/>
          <w:bCs/>
          <w:iCs/>
          <w:szCs w:val="24"/>
          <w:bdr w:val="nil"/>
        </w:rPr>
        <w:t xml:space="preserve"> </w:t>
      </w:r>
    </w:p>
    <w:p w:rsidR="007441B3" w:rsidP="00564128" w14:paraId="0365ADF2" w14:textId="6FD1D346">
      <w:pPr>
        <w:widowControl w:val="0"/>
        <w:spacing w:line="480" w:lineRule="auto"/>
        <w:ind w:firstLine="720"/>
        <w:rPr>
          <w:szCs w:val="24"/>
          <w:lang w:bidi="en-US"/>
        </w:rPr>
      </w:pPr>
      <w:r w:rsidRPr="00D365FC">
        <w:rPr>
          <w:szCs w:val="24"/>
          <w:lang w:bidi="en-US"/>
        </w:rPr>
        <w:t>Further, Mr. Adkins testified that including financial performance incentives in the rate base harms consumers because it causes them to pay more in rates than they would otherwise pay.</w:t>
      </w:r>
      <w:r>
        <w:rPr>
          <w:szCs w:val="24"/>
          <w:vertAlign w:val="superscript"/>
          <w:lang w:bidi="en-US"/>
        </w:rPr>
        <w:footnoteReference w:id="25"/>
      </w:r>
      <w:r w:rsidRPr="00D365FC">
        <w:rPr>
          <w:szCs w:val="24"/>
          <w:lang w:bidi="en-US"/>
        </w:rPr>
        <w:t xml:space="preserve"> Consequently, the financial performance incentives in the Settlement charge consumers unjust and unreasonable rates for a benefit they do not receive. For this reason, the PUCO </w:t>
      </w:r>
      <w:r w:rsidR="00564128">
        <w:rPr>
          <w:szCs w:val="24"/>
          <w:lang w:bidi="en-US"/>
        </w:rPr>
        <w:t>Opinion and Order approving the</w:t>
      </w:r>
      <w:r w:rsidRPr="00D365FC">
        <w:rPr>
          <w:szCs w:val="24"/>
          <w:lang w:bidi="en-US"/>
        </w:rPr>
        <w:t xml:space="preserve"> Settlement harms consumers and the public interest.</w:t>
      </w:r>
    </w:p>
    <w:p w:rsidR="006B0ADA" w:rsidP="006B0ADA" w14:paraId="02AD8F81" w14:textId="77777777">
      <w:pPr>
        <w:widowControl w:val="0"/>
        <w:spacing w:line="480" w:lineRule="auto"/>
        <w:ind w:firstLine="720"/>
        <w:rPr>
          <w:szCs w:val="24"/>
          <w:lang w:bidi="en-US"/>
        </w:rPr>
      </w:pPr>
      <w:r>
        <w:rPr>
          <w:szCs w:val="24"/>
          <w:lang w:bidi="en-US"/>
        </w:rPr>
        <w:t>The PUCO’s decision approving the Settlement’s f</w:t>
      </w:r>
      <w:r w:rsidRPr="00F45F08">
        <w:rPr>
          <w:szCs w:val="24"/>
          <w:lang w:bidi="en-US"/>
        </w:rPr>
        <w:t>inancial performance incentives also violate</w:t>
      </w:r>
      <w:r>
        <w:rPr>
          <w:szCs w:val="24"/>
          <w:lang w:bidi="en-US"/>
        </w:rPr>
        <w:t>s</w:t>
      </w:r>
      <w:r w:rsidRPr="00F45F08">
        <w:rPr>
          <w:szCs w:val="24"/>
          <w:lang w:bidi="en-US"/>
        </w:rPr>
        <w:t xml:space="preserve"> PUCO precedent and the important regulatory principle and practice of cost causation. The PUCO has </w:t>
      </w:r>
      <w:r>
        <w:rPr>
          <w:szCs w:val="24"/>
          <w:lang w:bidi="en-US"/>
        </w:rPr>
        <w:t xml:space="preserve">previously </w:t>
      </w:r>
      <w:r w:rsidRPr="00F45F08">
        <w:rPr>
          <w:szCs w:val="24"/>
          <w:lang w:bidi="en-US"/>
        </w:rPr>
        <w:t>disallowed Duke’s attempts to charge consumers for utility employee incentive pay.</w:t>
      </w:r>
      <w:r>
        <w:rPr>
          <w:szCs w:val="24"/>
          <w:vertAlign w:val="superscript"/>
          <w:lang w:bidi="en-US"/>
        </w:rPr>
        <w:footnoteReference w:id="26"/>
      </w:r>
      <w:r w:rsidRPr="00F45F08">
        <w:rPr>
          <w:szCs w:val="24"/>
          <w:lang w:bidi="en-US"/>
        </w:rPr>
        <w:t xml:space="preserve"> OCC witness Kerry Adkins described this principle as meaning “utility costs should be charged to those who benefit from the services that led to the utility costs.”</w:t>
      </w:r>
      <w:r>
        <w:rPr>
          <w:szCs w:val="24"/>
          <w:vertAlign w:val="superscript"/>
          <w:lang w:bidi="en-US"/>
        </w:rPr>
        <w:footnoteReference w:id="27"/>
      </w:r>
      <w:r w:rsidRPr="00F45F08">
        <w:rPr>
          <w:szCs w:val="24"/>
          <w:lang w:bidi="en-US"/>
        </w:rPr>
        <w:t xml:space="preserve"> Again, Duke and Duke’s shareholders, not consumers, are the beneficiar</w:t>
      </w:r>
      <w:r>
        <w:rPr>
          <w:szCs w:val="24"/>
          <w:lang w:bidi="en-US"/>
        </w:rPr>
        <w:t>ies</w:t>
      </w:r>
      <w:r w:rsidRPr="00F45F08">
        <w:rPr>
          <w:szCs w:val="24"/>
          <w:lang w:bidi="en-US"/>
        </w:rPr>
        <w:t xml:space="preserve"> if Duke achieves financial targets. Since consumers </w:t>
      </w:r>
    </w:p>
    <w:p w:rsidR="007441B3" w:rsidP="00B77FD0" w14:paraId="4EBEE97B" w14:textId="2963F493">
      <w:pPr>
        <w:spacing w:line="480" w:lineRule="auto"/>
        <w:rPr>
          <w:szCs w:val="24"/>
        </w:rPr>
      </w:pPr>
      <w:r w:rsidRPr="00F45F08">
        <w:rPr>
          <w:szCs w:val="24"/>
          <w:lang w:bidi="en-US"/>
        </w:rPr>
        <w:t>do not benefit from these incentives, charging consumers for them violates cost causation principles.</w:t>
      </w:r>
      <w:r>
        <w:rPr>
          <w:szCs w:val="24"/>
          <w:lang w:bidi="en-US"/>
        </w:rPr>
        <w:t xml:space="preserve"> </w:t>
      </w:r>
      <w:r w:rsidRPr="00B012A9">
        <w:rPr>
          <w:szCs w:val="24"/>
        </w:rPr>
        <w:t>The PUCO should grant rehearing</w:t>
      </w:r>
      <w:r w:rsidR="00786F37">
        <w:rPr>
          <w:szCs w:val="24"/>
        </w:rPr>
        <w:t>.</w:t>
      </w:r>
    </w:p>
    <w:p w:rsidR="00143104" w:rsidP="00143104" w14:paraId="596C0E41" w14:textId="77777777">
      <w:pPr>
        <w:widowControl w:val="0"/>
        <w:ind w:left="720"/>
        <w:rPr>
          <w:rFonts w:eastAsia="Calibri"/>
          <w:szCs w:val="22"/>
        </w:rPr>
      </w:pPr>
      <w:bookmarkStart w:id="24" w:name="_Toc152337697"/>
      <w:r w:rsidRPr="00815DA0">
        <w:rPr>
          <w:rStyle w:val="Heading2Char"/>
        </w:rPr>
        <w:t xml:space="preserve">ASSIGNMENT OF ERROR NO. 4: </w:t>
      </w:r>
      <w:r w:rsidRPr="00815DA0">
        <w:rPr>
          <w:rStyle w:val="Heading2Char"/>
          <w:rFonts w:eastAsia="Calibri"/>
        </w:rPr>
        <w:t>The PUCO erred when it failed to make the charges for the amortized propane facilities subject to refund.</w:t>
      </w:r>
      <w:bookmarkEnd w:id="24"/>
    </w:p>
    <w:p w:rsidR="00143104" w:rsidP="00815DA0" w14:paraId="2D6FDB85" w14:textId="77777777"/>
    <w:p w:rsidR="00143104" w:rsidRPr="00256222" w:rsidP="00815DA0" w14:paraId="299FC2A8" w14:textId="793A8209">
      <w:pPr>
        <w:spacing w:line="480" w:lineRule="auto"/>
        <w:ind w:firstLine="720"/>
        <w:rPr>
          <w:rFonts w:eastAsia="Calibri"/>
          <w:szCs w:val="22"/>
        </w:rPr>
      </w:pPr>
      <w:r>
        <w:rPr>
          <w:rFonts w:eastAsia="Calibri"/>
          <w:szCs w:val="22"/>
        </w:rPr>
        <w:t>T</w:t>
      </w:r>
      <w:r w:rsidRPr="00256222">
        <w:rPr>
          <w:rFonts w:eastAsia="Calibri"/>
          <w:szCs w:val="22"/>
        </w:rPr>
        <w:t xml:space="preserve">he PUCO failed to protect customers by ordering the </w:t>
      </w:r>
      <w:r>
        <w:rPr>
          <w:rFonts w:eastAsia="Calibri"/>
          <w:szCs w:val="22"/>
        </w:rPr>
        <w:t>amortized propane facilities rates</w:t>
      </w:r>
      <w:r w:rsidRPr="00256222">
        <w:rPr>
          <w:rFonts w:eastAsia="Calibri"/>
          <w:szCs w:val="22"/>
        </w:rPr>
        <w:t xml:space="preserve"> subject to refund.</w:t>
      </w:r>
      <w:r w:rsidR="00DF6AA5">
        <w:rPr>
          <w:rFonts w:eastAsia="Calibri"/>
          <w:szCs w:val="22"/>
        </w:rPr>
        <w:t xml:space="preserve"> </w:t>
      </w:r>
      <w:r w:rsidRPr="00256222">
        <w:rPr>
          <w:rFonts w:eastAsia="Calibri"/>
          <w:szCs w:val="22"/>
        </w:rPr>
        <w:t>The PUCO should have ordered the rates to be collected, subject to refund, pending the outcome of any final decision by it or the Ohio Supreme Court.</w:t>
      </w:r>
    </w:p>
    <w:p w:rsidR="00ED4695" w:rsidRPr="00EF18C5" w:rsidP="00815DA0" w14:paraId="0A3A325B" w14:textId="494B3871">
      <w:pPr>
        <w:spacing w:line="480" w:lineRule="auto"/>
        <w:ind w:firstLine="720"/>
      </w:pPr>
      <w:r>
        <w:t>The PUCO has the authority to make rates subject to refund.</w:t>
      </w:r>
      <w:r w:rsidR="00DF6AA5">
        <w:t xml:space="preserve"> </w:t>
      </w:r>
      <w:r>
        <w:t>It has done so in the past.</w:t>
      </w:r>
      <w:r w:rsidR="00DF6AA5">
        <w:t xml:space="preserve"> </w:t>
      </w:r>
      <w:r w:rsidRPr="00EF18C5">
        <w:t>The PUCO has acted to prevent harm from occurring by ordering utilities, on an ongoing basis, to collect an existing rate increase subject to refund and subject to appropriate interest charges.</w:t>
      </w:r>
      <w:r w:rsidR="00DF6AA5">
        <w:t xml:space="preserve"> </w:t>
      </w:r>
      <w:r w:rsidRPr="00EF18C5">
        <w:t>The PUCO has used this approach to permit it to explore the reasonableness of rates in light of events that occurred after the issuance of its orders.</w:t>
      </w:r>
      <w:r w:rsidR="00DF6AA5">
        <w:t xml:space="preserve"> </w:t>
      </w:r>
      <w:r w:rsidRPr="00EF18C5">
        <w:t xml:space="preserve">For instance, the </w:t>
      </w:r>
      <w:r>
        <w:t>PUCO</w:t>
      </w:r>
      <w:r w:rsidRPr="00EF18C5">
        <w:t xml:space="preserve"> granted rehearing and ordered rates to be collected subject to refund in a rate case filed by the Columbus &amp; Southern Ohio Electric Company.</w:t>
      </w:r>
      <w:r>
        <w:rPr>
          <w:vertAlign w:val="superscript"/>
        </w:rPr>
        <w:footnoteReference w:id="28"/>
      </w:r>
      <w:r w:rsidR="00DF6AA5">
        <w:t xml:space="preserve"> </w:t>
      </w:r>
      <w:r w:rsidRPr="00EF18C5">
        <w:t>In that rate case, one week after the issuance of the PUCO’s rate order, the Nuclear Regulatory Commission issued an Order that suspended construction at the Zimmer Nuclear Power Plant (“Zimmer”).</w:t>
      </w:r>
      <w:r w:rsidR="00DF6AA5">
        <w:t xml:space="preserve"> </w:t>
      </w:r>
      <w:r w:rsidRPr="00EF18C5">
        <w:t>The original Opinion and Order included a rate base allowance for construction work in progress (“CWIP”) for Zimmer.</w:t>
      </w:r>
      <w:r>
        <w:rPr>
          <w:vertAlign w:val="superscript"/>
        </w:rPr>
        <w:footnoteReference w:id="29"/>
      </w:r>
      <w:r w:rsidR="00DF6AA5">
        <w:t xml:space="preserve"> </w:t>
      </w:r>
    </w:p>
    <w:p w:rsidR="00ED4695" w:rsidRPr="00EF18C5" w:rsidP="00ED4695" w14:paraId="75AA9343" w14:textId="082519FB">
      <w:pPr>
        <w:spacing w:line="480" w:lineRule="auto"/>
        <w:ind w:firstLine="720"/>
      </w:pPr>
      <w:r w:rsidRPr="00EF18C5">
        <w:t>In its order setting the rehearing, the PUCO approved the utility’s filed tariffs but expressly found the portion of the increase granted attributable to Zimmer CWIP “should be made subject to refund, pending a rehearing on the CWIP issue.”</w:t>
      </w:r>
      <w:r>
        <w:rPr>
          <w:vertAlign w:val="superscript"/>
        </w:rPr>
        <w:footnoteReference w:id="30"/>
      </w:r>
      <w:r w:rsidR="00DF6AA5">
        <w:t xml:space="preserve"> </w:t>
      </w:r>
      <w:r w:rsidRPr="00EF18C5">
        <w:t>A rehearing was held and the PUCO ordered that all of the Zimmer costs should be excluded from CWIP.</w:t>
      </w:r>
      <w:r w:rsidR="00DF6AA5">
        <w:t xml:space="preserve"> </w:t>
      </w:r>
      <w:r w:rsidRPr="00EF18C5">
        <w:t>The PUCO ordered the utility to file tariffs reducing the total revenue requirements by approximately $13 million.</w:t>
      </w:r>
      <w:r>
        <w:rPr>
          <w:vertAlign w:val="superscript"/>
        </w:rPr>
        <w:footnoteReference w:id="31"/>
      </w:r>
      <w:r w:rsidR="00DF6AA5">
        <w:t xml:space="preserve"> </w:t>
      </w:r>
      <w:r w:rsidRPr="00EF18C5">
        <w:t>The utility appealed and sought a stay of the PUCO's Order on Rehearing from the Supreme Court of Ohio. The Court granted the stay but subsequently affirmed the PUCO's denial of a CWIP allowance.</w:t>
      </w:r>
      <w:r>
        <w:rPr>
          <w:vertAlign w:val="superscript"/>
        </w:rPr>
        <w:footnoteReference w:id="32"/>
      </w:r>
      <w:r w:rsidR="00DF6AA5">
        <w:t xml:space="preserve"> </w:t>
      </w:r>
      <w:r w:rsidRPr="00EF18C5">
        <w:t>After the PUCO’s action was upheld on appeal,</w:t>
      </w:r>
      <w:r>
        <w:rPr>
          <w:vertAlign w:val="superscript"/>
        </w:rPr>
        <w:footnoteReference w:id="33"/>
      </w:r>
      <w:r w:rsidRPr="00EF18C5">
        <w:t xml:space="preserve"> the PUCO ordered the utility to refund approximately $4.5 million to its customers.</w:t>
      </w:r>
      <w:r>
        <w:rPr>
          <w:vertAlign w:val="superscript"/>
        </w:rPr>
        <w:footnoteReference w:id="34"/>
      </w:r>
      <w:r w:rsidR="00DF6AA5">
        <w:t xml:space="preserve"> </w:t>
      </w:r>
      <w:r w:rsidRPr="00EF18C5">
        <w:t>The PUCO ordered the collection, subject to refund</w:t>
      </w:r>
      <w:r>
        <w:t xml:space="preserve">, </w:t>
      </w:r>
      <w:r w:rsidRPr="00EF18C5">
        <w:t xml:space="preserve">to protect customers in the event of a later decision that the utility was collecting more from customers than warranted by law, rule, or reason. </w:t>
      </w:r>
    </w:p>
    <w:p w:rsidR="00ED4695" w:rsidRPr="00EF18C5" w:rsidP="00ED4695" w14:paraId="2BE0791D" w14:textId="6C59AEF5">
      <w:pPr>
        <w:spacing w:line="480" w:lineRule="auto"/>
        <w:ind w:firstLine="720"/>
      </w:pPr>
      <w:r w:rsidRPr="00EF18C5">
        <w:t>Another example where the PUCO has collected rates subject to refund involved the Ohio Utilities Company.</w:t>
      </w:r>
      <w:r>
        <w:rPr>
          <w:vertAlign w:val="superscript"/>
        </w:rPr>
        <w:footnoteReference w:id="35"/>
      </w:r>
      <w:r w:rsidR="00DF6AA5">
        <w:t xml:space="preserve"> </w:t>
      </w:r>
      <w:r w:rsidRPr="00EF18C5">
        <w:t>After a rate order was issued,</w:t>
      </w:r>
      <w:r>
        <w:rPr>
          <w:vertAlign w:val="superscript"/>
        </w:rPr>
        <w:footnoteReference w:id="36"/>
      </w:r>
      <w:r w:rsidRPr="00EF18C5">
        <w:t xml:space="preserve"> legislation was enacted that changed Ohio’s ratemaking formula.</w:t>
      </w:r>
      <w:r w:rsidR="00DF6AA5">
        <w:t xml:space="preserve"> </w:t>
      </w:r>
      <w:r w:rsidRPr="00EF18C5">
        <w:t>The PUCO opened an investigation to determine if the previously-established rates were still reasonable in light of the new law.</w:t>
      </w:r>
      <w:r>
        <w:rPr>
          <w:vertAlign w:val="superscript"/>
        </w:rPr>
        <w:footnoteReference w:id="37"/>
      </w:r>
      <w:r w:rsidR="00DF6AA5">
        <w:t xml:space="preserve"> </w:t>
      </w:r>
      <w:r w:rsidRPr="00EF18C5">
        <w:t>The PUCO determined that the rates were excessive, taking into account the new law, and ordered the utility to withdraw its tariffs and file new lower rates consistent with the PUCO’s findings.</w:t>
      </w:r>
      <w:r>
        <w:rPr>
          <w:i/>
          <w:iCs/>
          <w:vertAlign w:val="superscript"/>
        </w:rPr>
        <w:footnoteReference w:id="38"/>
      </w:r>
      <w:r w:rsidR="00DF6AA5">
        <w:t xml:space="preserve"> </w:t>
      </w:r>
      <w:r w:rsidRPr="00EF18C5">
        <w:t>The utility sought a stay of the PUCO’s order, pending further review, which was granted with the condition that the utility was required to collect rates subject to refund.</w:t>
      </w:r>
      <w:r>
        <w:rPr>
          <w:vertAlign w:val="superscript"/>
        </w:rPr>
        <w:footnoteReference w:id="39"/>
      </w:r>
    </w:p>
    <w:p w:rsidR="00ED4695" w:rsidP="00ED4695" w14:paraId="5D93061B" w14:textId="6AA0E830">
      <w:pPr>
        <w:spacing w:line="480" w:lineRule="auto"/>
      </w:pPr>
      <w:r>
        <w:tab/>
      </w:r>
      <w:r w:rsidRPr="00EF18C5">
        <w:t>And in a case involving AEP’s Rate Stability Rider</w:t>
      </w:r>
      <w:r>
        <w:t xml:space="preserve"> (“RSR”)</w:t>
      </w:r>
      <w:r w:rsidRPr="00EF18C5">
        <w:t>, the PUCO ordered that the RSR be collected subject to refund after the case was remanded by the Court.</w:t>
      </w:r>
      <w:r>
        <w:rPr>
          <w:rStyle w:val="FootnoteReference"/>
        </w:rPr>
        <w:footnoteReference w:id="40"/>
      </w:r>
      <w:r w:rsidR="00DF6AA5">
        <w:t xml:space="preserve"> </w:t>
      </w:r>
      <w:r w:rsidRPr="00EF18C5">
        <w:t>The PUCO “direct[ed] AEP Ohio to file revised tariffs that provide that the RSR is being collected subject to refund” in order to protect consumers from irreparable harm – continuing to pay the RSR without the potential of getting a refund.</w:t>
      </w:r>
      <w:r>
        <w:rPr>
          <w:rStyle w:val="FootnoteReference"/>
        </w:rPr>
        <w:footnoteReference w:id="41"/>
      </w:r>
      <w:r w:rsidR="00DF6AA5">
        <w:t xml:space="preserve"> </w:t>
      </w:r>
      <w:r w:rsidRPr="00EF18C5">
        <w:t xml:space="preserve"> </w:t>
      </w:r>
    </w:p>
    <w:p w:rsidR="00ED4695" w:rsidP="00ED4695" w14:paraId="6C5E18F7" w14:textId="5AF1911F">
      <w:pPr>
        <w:spacing w:line="480" w:lineRule="auto"/>
      </w:pPr>
      <w:r>
        <w:tab/>
        <w:t>The PUCO has the discretion to order rates collected from customers to be refundable.</w:t>
      </w:r>
      <w:r w:rsidR="00DF6AA5">
        <w:t xml:space="preserve"> </w:t>
      </w:r>
      <w:r>
        <w:t>It should have acted within its discretion and required these replacement rates to be collected subject to refund.</w:t>
      </w:r>
      <w:r w:rsidR="00DF6AA5">
        <w:t xml:space="preserve"> </w:t>
      </w:r>
      <w:r>
        <w:t>It should have avoided the travesty of justice for consumers that has become all too familiar when utilities charges are overturned by the Court and yet no refunds are available to customers.</w:t>
      </w:r>
      <w:r w:rsidR="00DF6AA5">
        <w:t xml:space="preserve"> </w:t>
      </w:r>
    </w:p>
    <w:p w:rsidR="00ED4695" w:rsidRPr="00236DB8" w:rsidP="00ED4695" w14:paraId="70F0AFCB" w14:textId="7AA6F477">
      <w:pPr>
        <w:spacing w:line="480" w:lineRule="auto"/>
        <w:ind w:firstLine="720"/>
      </w:pPr>
      <w:r w:rsidRPr="00236DB8">
        <w:t xml:space="preserve">The Court most recently has </w:t>
      </w:r>
      <w:r>
        <w:t xml:space="preserve">opined on </w:t>
      </w:r>
      <w:r w:rsidRPr="00236DB8">
        <w:t xml:space="preserve">this travesty of justice </w:t>
      </w:r>
      <w:r>
        <w:t>which could be avoided if the PUCO makes rates refundable.</w:t>
      </w:r>
      <w:r w:rsidRPr="00236DB8">
        <w:t xml:space="preserve"> In a recent opinion, where it sided with FirstEnergy’s claim that the PUCO could not make FirstEnergy refund $43 million to consumers for renewable energy overcharges,</w:t>
      </w:r>
      <w:r>
        <w:rPr>
          <w:rStyle w:val="FootnoteReference"/>
        </w:rPr>
        <w:footnoteReference w:id="42"/>
      </w:r>
      <w:r w:rsidRPr="00236DB8">
        <w:t xml:space="preserve"> the Court found that the PUCO was barred from ordering refunds because </w:t>
      </w:r>
      <w:r>
        <w:t>it</w:t>
      </w:r>
      <w:r w:rsidRPr="00236DB8">
        <w:t xml:space="preserve"> had not made FirstEnergy’s tariffs subject to refund.</w:t>
      </w:r>
      <w:r>
        <w:rPr>
          <w:rStyle w:val="FootnoteReference"/>
        </w:rPr>
        <w:footnoteReference w:id="43"/>
      </w:r>
      <w:r w:rsidRPr="00236DB8">
        <w:t xml:space="preserve"> In another recent denial of refunds, the Court found unlawful the PUCO’s allowance of a so-called distribution</w:t>
      </w:r>
      <w:r>
        <w:t xml:space="preserve"> </w:t>
      </w:r>
      <w:r w:rsidRPr="00236DB8">
        <w:t>modernization rider (subsidy charge) for FirstEnergy. There, the Court denied half a billion dollars in refunds to two million consumers (where the PUCO had not protected consumers by making the charge subject to refund).</w:t>
      </w:r>
      <w:r>
        <w:rPr>
          <w:rStyle w:val="FootnoteReference"/>
        </w:rPr>
        <w:footnoteReference w:id="44"/>
      </w:r>
      <w:r w:rsidRPr="00236DB8">
        <w:t xml:space="preserve"> </w:t>
      </w:r>
      <w:r>
        <w:t>(</w:t>
      </w:r>
      <w:r w:rsidRPr="00236DB8">
        <w:t>In that case, the PUCO had rejected making the charge subject to refund).</w:t>
      </w:r>
      <w:r>
        <w:rPr>
          <w:rStyle w:val="FootnoteReference"/>
        </w:rPr>
        <w:footnoteReference w:id="45"/>
      </w:r>
      <w:r w:rsidRPr="00236DB8">
        <w:t xml:space="preserve"> </w:t>
      </w:r>
      <w:r>
        <w:t>T</w:t>
      </w:r>
      <w:r w:rsidRPr="00236DB8">
        <w:t>he PUCO had</w:t>
      </w:r>
      <w:r>
        <w:t xml:space="preserve"> </w:t>
      </w:r>
      <w:r w:rsidRPr="00236DB8">
        <w:t>rejected a motion by OCC and the Ohio Manufacturers’ Association, in 2016, to make FirstEnergy’s subsidy charge subject to refund.</w:t>
      </w:r>
      <w:r>
        <w:rPr>
          <w:rStyle w:val="FootnoteReference"/>
        </w:rPr>
        <w:footnoteReference w:id="46"/>
      </w:r>
      <w:r w:rsidR="00DF6AA5">
        <w:t xml:space="preserve"> </w:t>
      </w:r>
    </w:p>
    <w:p w:rsidR="00ED4695" w:rsidRPr="00236DB8" w:rsidP="00ED4695" w14:paraId="5C94E685" w14:textId="77777777">
      <w:pPr>
        <w:spacing w:line="480" w:lineRule="auto"/>
        <w:ind w:firstLine="720"/>
      </w:pPr>
      <w:r>
        <w:t xml:space="preserve">Ohio </w:t>
      </w:r>
      <w:r w:rsidRPr="00236DB8">
        <w:t>Supreme Court Justice Pfeifer highlighted the extreme injustice to Ohio consumers when they are denied refunds for charges later found to be unlawful:</w:t>
      </w:r>
    </w:p>
    <w:p w:rsidR="00ED4695" w:rsidRPr="00236DB8" w:rsidP="00ED4695" w14:paraId="575C6C2F" w14:textId="77777777">
      <w:pPr>
        <w:spacing w:after="240"/>
        <w:ind w:left="720" w:right="720"/>
        <w:jc w:val="both"/>
      </w:pPr>
      <w:r w:rsidRPr="00236DB8">
        <w:t xml:space="preserve">[T]he PUCO asserted that a refund under the circumstances would be tantamount to retroactive ratemaking, something it is not authorized to engage in. </w:t>
      </w:r>
    </w:p>
    <w:p w:rsidR="00ED4695" w:rsidRPr="00236DB8" w:rsidP="00ED4695" w14:paraId="0FAF282F" w14:textId="77777777">
      <w:pPr>
        <w:spacing w:after="240"/>
        <w:ind w:left="720" w:right="720"/>
        <w:jc w:val="both"/>
      </w:pPr>
      <w:r w:rsidRPr="00236DB8">
        <w:t xml:space="preserve">It is unconscionable that a public utility should be able to retain $368 million that it collected from customers based on assumptions that are unjustified. The problem stems from this court’s 1957 decision [in </w:t>
      </w:r>
      <w:r w:rsidRPr="00236DB8">
        <w:rPr>
          <w:i/>
          <w:iCs/>
        </w:rPr>
        <w:t>Keco Industries, Inc. v. Cincinnati &amp; Suburban Bell Tel. Co.</w:t>
      </w:r>
      <w:r w:rsidRPr="00236DB8">
        <w:t>] Clearly the time has come to overturn this case.</w:t>
      </w:r>
    </w:p>
    <w:p w:rsidR="00ED4695" w:rsidRPr="00236DB8" w:rsidP="00ED4695" w14:paraId="4DA55622" w14:textId="77777777">
      <w:pPr>
        <w:spacing w:after="240"/>
        <w:ind w:left="720" w:right="720"/>
        <w:jc w:val="both"/>
      </w:pPr>
      <w:r w:rsidRPr="00236DB8">
        <w:t>...</w:t>
      </w:r>
    </w:p>
    <w:p w:rsidR="00ED4695" w:rsidRPr="00236DB8" w:rsidP="00ED4695" w14:paraId="5AE645FE" w14:textId="77777777">
      <w:pPr>
        <w:spacing w:after="240"/>
        <w:ind w:left="720" w:right="720"/>
        <w:jc w:val="both"/>
      </w:pPr>
      <w:r w:rsidRPr="00236DB8">
        <w:t>[I]t boggles the mind that this court would ever countenance such a proposition: that a public utility should be allowed to fatten itself on the backs of Ohio residents by collecting unjustified charges.</w:t>
      </w:r>
    </w:p>
    <w:p w:rsidR="00ED4695" w:rsidRPr="00236DB8" w:rsidP="00ED4695" w14:paraId="4F1813D7" w14:textId="77777777">
      <w:pPr>
        <w:spacing w:after="240"/>
        <w:ind w:left="720" w:right="720"/>
        <w:jc w:val="both"/>
      </w:pPr>
      <w:r w:rsidRPr="00236DB8">
        <w:t>...</w:t>
      </w:r>
    </w:p>
    <w:p w:rsidR="00ED4695" w:rsidRPr="00236DB8" w:rsidP="00ED4695" w14:paraId="69BDEE87" w14:textId="77777777">
      <w:pPr>
        <w:spacing w:after="240"/>
        <w:ind w:left="720" w:right="720"/>
        <w:jc w:val="both"/>
      </w:pPr>
      <w:r w:rsidRPr="00236DB8">
        <w:t>Allowing AEP to retain the $368 million that it collected based on charges that were not justified is unconscionable. Doing so because of a 50-year-old case that is not supported by the statute on which it is based is ridiculous. The ratepayers of Ohio deserve better.</w:t>
      </w:r>
      <w:r w:rsidRPr="00236DB8">
        <w:rPr>
          <w:rStyle w:val="FootnoteReference"/>
        </w:rPr>
        <w:t xml:space="preserve"> </w:t>
      </w:r>
      <w:r>
        <w:rPr>
          <w:rStyle w:val="FootnoteReference"/>
        </w:rPr>
        <w:footnoteReference w:id="47"/>
      </w:r>
    </w:p>
    <w:p w:rsidR="00ED4695" w:rsidRPr="00236DB8" w:rsidP="00ED4695" w14:paraId="36749F90" w14:textId="77777777">
      <w:pPr>
        <w:spacing w:line="480" w:lineRule="auto"/>
      </w:pPr>
      <w:r w:rsidRPr="00236DB8">
        <w:t>Just since the advent of the 2008 energy law that favors electric utilities in ratemaking, Ohioans have lost $1.2 billion in denied refunds for electric charges after Supreme Court reversals of PUCO orders.</w:t>
      </w:r>
      <w:r>
        <w:rPr>
          <w:rStyle w:val="FootnoteReference"/>
        </w:rPr>
        <w:footnoteReference w:id="48"/>
      </w:r>
      <w:r w:rsidRPr="00236DB8">
        <w:t xml:space="preserve"> </w:t>
      </w:r>
    </w:p>
    <w:p w:rsidR="00ED4695" w:rsidP="00ED4695" w14:paraId="331A2E15" w14:textId="2FDEFDB4">
      <w:pPr>
        <w:spacing w:line="480" w:lineRule="auto"/>
      </w:pPr>
      <w:r w:rsidRPr="00236DB8">
        <w:tab/>
        <w:t>The PUCO should have acted</w:t>
      </w:r>
      <w:r w:rsidR="00DF6AA5">
        <w:t xml:space="preserve"> </w:t>
      </w:r>
      <w:r w:rsidRPr="00236DB8">
        <w:t>to protect</w:t>
      </w:r>
      <w:r>
        <w:t xml:space="preserve"> Duke </w:t>
      </w:r>
      <w:r w:rsidRPr="00236DB8">
        <w:t xml:space="preserve">consumers by ordering the </w:t>
      </w:r>
      <w:r>
        <w:t>amortized propane facilities rates</w:t>
      </w:r>
      <w:r w:rsidR="00DF6AA5">
        <w:t xml:space="preserve"> </w:t>
      </w:r>
      <w:r w:rsidRPr="00236DB8" w:rsidR="00DF6AA5">
        <w:t>to</w:t>
      </w:r>
      <w:r w:rsidRPr="00236DB8">
        <w:t xml:space="preserve"> be collected subject to refund.</w:t>
      </w:r>
      <w:r w:rsidR="00DF6AA5">
        <w:t xml:space="preserve"> </w:t>
      </w:r>
      <w:r w:rsidRPr="00236DB8">
        <w:t>There was no reason not to.</w:t>
      </w:r>
      <w:r w:rsidR="00DF6AA5">
        <w:t xml:space="preserve"> </w:t>
      </w:r>
      <w:r>
        <w:t>The PUCO erred. Rehearing should be granted.</w:t>
      </w:r>
      <w:r w:rsidR="00DF6AA5">
        <w:t xml:space="preserve"> </w:t>
      </w:r>
    </w:p>
    <w:p w:rsidR="00143104" w:rsidRPr="00143104" w:rsidP="00ED4695" w14:paraId="63B12537" w14:textId="77777777"/>
    <w:p w:rsidR="007441B3" w:rsidRPr="00B012A9" w:rsidP="007441B3" w14:paraId="7EF1882D" w14:textId="77777777">
      <w:pPr>
        <w:widowControl w:val="0"/>
        <w:ind w:firstLine="720"/>
        <w:rPr>
          <w:szCs w:val="24"/>
        </w:rPr>
      </w:pPr>
    </w:p>
    <w:p w:rsidR="007441B3" w:rsidRPr="00B012A9" w:rsidP="007441B3" w14:paraId="13021731" w14:textId="77777777">
      <w:pPr>
        <w:pStyle w:val="Heading1"/>
        <w:numPr>
          <w:ilvl w:val="0"/>
          <w:numId w:val="11"/>
        </w:numPr>
        <w:ind w:left="720"/>
      </w:pPr>
      <w:bookmarkStart w:id="25" w:name="_Toc152337698"/>
      <w:r w:rsidRPr="00B012A9">
        <w:t>CONCLUSION</w:t>
      </w:r>
      <w:bookmarkStart w:id="26" w:name="_Toc103939973"/>
      <w:bookmarkEnd w:id="25"/>
      <w:r w:rsidRPr="00B012A9">
        <w:t xml:space="preserve"> </w:t>
      </w:r>
    </w:p>
    <w:p w:rsidR="00815DA0" w:rsidP="007441B3" w14:paraId="52407B8E" w14:textId="33953C21">
      <w:pPr>
        <w:spacing w:line="480" w:lineRule="auto"/>
        <w:ind w:firstLine="720"/>
        <w:rPr>
          <w:szCs w:val="24"/>
        </w:rPr>
      </w:pPr>
      <w:r>
        <w:rPr>
          <w:szCs w:val="24"/>
        </w:rPr>
        <w:t>The PUCO must follow the law, not avoid it. Here the PUCO failed to follow the law.</w:t>
      </w:r>
      <w:r w:rsidR="00DF6AA5">
        <w:rPr>
          <w:szCs w:val="24"/>
        </w:rPr>
        <w:t xml:space="preserve"> </w:t>
      </w:r>
      <w:r>
        <w:rPr>
          <w:szCs w:val="24"/>
        </w:rPr>
        <w:t xml:space="preserve">Rehearing should be granted. </w:t>
      </w:r>
    </w:p>
    <w:p w:rsidR="00815DA0" w14:paraId="2805E5D0" w14:textId="77777777">
      <w:pPr>
        <w:rPr>
          <w:szCs w:val="24"/>
        </w:rPr>
      </w:pPr>
      <w:r>
        <w:rPr>
          <w:szCs w:val="24"/>
        </w:rPr>
        <w:br w:type="page"/>
      </w:r>
    </w:p>
    <w:p w:rsidR="00FA2895" w:rsidRPr="00FA2895" w:rsidP="00005245" w14:paraId="52157F77" w14:textId="4C0E5906">
      <w:pPr>
        <w:ind w:left="3600" w:firstLine="720"/>
        <w:rPr>
          <w:lang w:bidi="en-US"/>
        </w:rPr>
      </w:pPr>
      <w:bookmarkStart w:id="27" w:name="_Toc152081464"/>
      <w:bookmarkEnd w:id="26"/>
      <w:r w:rsidRPr="00FA2895">
        <w:rPr>
          <w:lang w:bidi="en-US"/>
        </w:rPr>
        <w:t>Respectfully submitted,</w:t>
      </w:r>
      <w:bookmarkEnd w:id="27"/>
    </w:p>
    <w:p w:rsidR="00FA2895" w:rsidP="00FA2895" w14:paraId="1DC7D4B2" w14:textId="77777777">
      <w:pPr>
        <w:tabs>
          <w:tab w:val="left" w:pos="4500"/>
        </w:tabs>
        <w:ind w:left="3600" w:firstLine="720"/>
        <w:rPr>
          <w:szCs w:val="24"/>
          <w:lang w:bidi="en-US"/>
        </w:rPr>
      </w:pPr>
    </w:p>
    <w:p w:rsidR="00FA2895" w:rsidRPr="00FA2895" w:rsidP="00FA2895" w14:paraId="163769B0" w14:textId="11183237">
      <w:pPr>
        <w:tabs>
          <w:tab w:val="right" w:pos="8640"/>
        </w:tabs>
        <w:ind w:left="4320"/>
        <w:rPr>
          <w:szCs w:val="24"/>
          <w:lang w:bidi="en-US"/>
        </w:rPr>
      </w:pPr>
      <w:r>
        <w:rPr>
          <w:szCs w:val="24"/>
          <w:lang w:bidi="en-US"/>
        </w:rPr>
        <w:t>Maureen R. Willis (</w:t>
      </w:r>
      <w:r w:rsidRPr="00B012A9" w:rsidR="005339B2">
        <w:rPr>
          <w:szCs w:val="24"/>
        </w:rPr>
        <w:t>00</w:t>
      </w:r>
      <w:r w:rsidR="005339B2">
        <w:rPr>
          <w:szCs w:val="24"/>
        </w:rPr>
        <w:t>20847)</w:t>
      </w:r>
    </w:p>
    <w:p w:rsidR="00FA2895" w:rsidRPr="00FA2895" w:rsidP="00FA2895" w14:paraId="66DE412E" w14:textId="77777777">
      <w:pPr>
        <w:ind w:left="4320"/>
        <w:contextualSpacing/>
        <w:rPr>
          <w:rFonts w:eastAsia="Calibri"/>
          <w:szCs w:val="24"/>
          <w:lang w:bidi="en-US"/>
        </w:rPr>
      </w:pPr>
      <w:r w:rsidRPr="00FA2895">
        <w:rPr>
          <w:rFonts w:eastAsia="Calibri"/>
          <w:szCs w:val="24"/>
          <w:lang w:bidi="en-US"/>
        </w:rPr>
        <w:t>Ohio Consumers’ Counsel</w:t>
      </w:r>
    </w:p>
    <w:p w:rsidR="00FA2895" w:rsidRPr="00FA2895" w:rsidP="00FA2895" w14:paraId="77775D0C" w14:textId="77777777">
      <w:pPr>
        <w:ind w:left="4320"/>
        <w:contextualSpacing/>
        <w:rPr>
          <w:rFonts w:eastAsia="Calibri"/>
          <w:szCs w:val="24"/>
          <w:lang w:bidi="en-US"/>
        </w:rPr>
      </w:pPr>
      <w:r w:rsidRPr="00FA2895">
        <w:rPr>
          <w:rFonts w:eastAsia="Calibri"/>
          <w:szCs w:val="24"/>
          <w:lang w:bidi="en-US"/>
        </w:rPr>
        <w:tab/>
      </w:r>
    </w:p>
    <w:p w:rsidR="00FA2895" w:rsidRPr="00FA2895" w:rsidP="00FA2895" w14:paraId="39397F4F" w14:textId="77777777">
      <w:pPr>
        <w:tabs>
          <w:tab w:val="left" w:pos="4320"/>
        </w:tabs>
        <w:ind w:left="4320"/>
        <w:rPr>
          <w:i/>
          <w:iCs/>
          <w:color w:val="000000"/>
          <w:szCs w:val="24"/>
          <w:u w:val="single"/>
          <w:lang w:bidi="en-US"/>
        </w:rPr>
      </w:pPr>
      <w:r w:rsidRPr="00FA2895">
        <w:rPr>
          <w:i/>
          <w:iCs/>
          <w:color w:val="000000"/>
          <w:szCs w:val="24"/>
          <w:u w:val="single"/>
          <w:lang w:bidi="en-US"/>
        </w:rPr>
        <w:t>/s/ William J. Michael</w:t>
      </w:r>
    </w:p>
    <w:p w:rsidR="00FA2895" w:rsidRPr="00FA2895" w:rsidP="00FA2895" w14:paraId="6DD5CD8B" w14:textId="77777777">
      <w:pPr>
        <w:tabs>
          <w:tab w:val="left" w:pos="4320"/>
        </w:tabs>
        <w:ind w:left="4320"/>
        <w:rPr>
          <w:color w:val="000000"/>
          <w:szCs w:val="24"/>
          <w:lang w:bidi="en-US"/>
        </w:rPr>
      </w:pPr>
      <w:r w:rsidRPr="00FA2895">
        <w:rPr>
          <w:color w:val="000000"/>
          <w:szCs w:val="24"/>
          <w:lang w:bidi="en-US"/>
        </w:rPr>
        <w:t>William J. Michael (0070921)</w:t>
      </w:r>
    </w:p>
    <w:p w:rsidR="00FA2895" w:rsidRPr="00FA2895" w:rsidP="00FA2895" w14:paraId="3E3B3127" w14:textId="77777777">
      <w:pPr>
        <w:ind w:left="4320"/>
        <w:rPr>
          <w:color w:val="000000"/>
          <w:szCs w:val="24"/>
          <w:lang w:bidi="en-US"/>
        </w:rPr>
      </w:pPr>
      <w:r w:rsidRPr="00FA2895">
        <w:rPr>
          <w:color w:val="000000"/>
          <w:szCs w:val="24"/>
          <w:lang w:bidi="en-US"/>
        </w:rPr>
        <w:t xml:space="preserve">Counsel of Record </w:t>
      </w:r>
    </w:p>
    <w:p w:rsidR="00FA2895" w:rsidRPr="00FA2895" w:rsidP="00FA2895" w14:paraId="7FD96F1E" w14:textId="77777777">
      <w:pPr>
        <w:ind w:left="4320"/>
        <w:rPr>
          <w:szCs w:val="24"/>
          <w:lang w:bidi="en-US"/>
        </w:rPr>
      </w:pPr>
      <w:r w:rsidRPr="00FA2895">
        <w:rPr>
          <w:szCs w:val="24"/>
          <w:lang w:bidi="en-US"/>
        </w:rPr>
        <w:t>John Finnigan (0018689)</w:t>
      </w:r>
    </w:p>
    <w:p w:rsidR="00FA2895" w:rsidRPr="00FA2895" w:rsidP="00FA2895" w14:paraId="448C0EC6" w14:textId="77777777">
      <w:pPr>
        <w:ind w:left="4320"/>
        <w:rPr>
          <w:color w:val="000000"/>
          <w:szCs w:val="24"/>
          <w:lang w:bidi="en-US"/>
        </w:rPr>
      </w:pPr>
      <w:r w:rsidRPr="00FA2895">
        <w:rPr>
          <w:color w:val="000000"/>
          <w:szCs w:val="24"/>
          <w:lang w:bidi="en-US"/>
        </w:rPr>
        <w:t>Assistant Consumers’ Counsel</w:t>
      </w:r>
    </w:p>
    <w:p w:rsidR="00FA2895" w:rsidRPr="00FA2895" w:rsidP="00FA2895" w14:paraId="4C1F9B65" w14:textId="77777777">
      <w:pPr>
        <w:ind w:left="4320"/>
        <w:rPr>
          <w:b/>
          <w:color w:val="000000"/>
          <w:szCs w:val="24"/>
          <w:lang w:bidi="en-US"/>
        </w:rPr>
      </w:pPr>
    </w:p>
    <w:p w:rsidR="00FA2895" w:rsidRPr="00FA2895" w:rsidP="00FA2895" w14:paraId="739946E2" w14:textId="77777777">
      <w:pPr>
        <w:ind w:left="4320"/>
        <w:rPr>
          <w:b/>
          <w:color w:val="000000"/>
          <w:szCs w:val="24"/>
          <w:lang w:bidi="en-US"/>
        </w:rPr>
      </w:pPr>
      <w:r w:rsidRPr="00FA2895">
        <w:rPr>
          <w:b/>
          <w:color w:val="000000"/>
          <w:szCs w:val="24"/>
          <w:lang w:bidi="en-US"/>
        </w:rPr>
        <w:t>Office of the Ohio Consumers’ Counsel</w:t>
      </w:r>
    </w:p>
    <w:p w:rsidR="00FA2895" w:rsidRPr="00FA2895" w:rsidP="00FA2895" w14:paraId="5A413A18" w14:textId="77777777">
      <w:pPr>
        <w:ind w:left="4320"/>
        <w:rPr>
          <w:color w:val="000000"/>
          <w:szCs w:val="24"/>
          <w:lang w:bidi="en-US"/>
        </w:rPr>
      </w:pPr>
      <w:r w:rsidRPr="00FA2895">
        <w:rPr>
          <w:color w:val="000000"/>
          <w:szCs w:val="24"/>
          <w:lang w:bidi="en-US"/>
        </w:rPr>
        <w:t>65 East State Street, Suite 700</w:t>
      </w:r>
    </w:p>
    <w:p w:rsidR="00FA2895" w:rsidRPr="00FA2895" w:rsidP="00FA2895" w14:paraId="135E9D70" w14:textId="77777777">
      <w:pPr>
        <w:ind w:left="4320"/>
        <w:rPr>
          <w:color w:val="000000"/>
          <w:szCs w:val="24"/>
          <w:lang w:bidi="en-US"/>
        </w:rPr>
      </w:pPr>
      <w:r w:rsidRPr="00FA2895">
        <w:rPr>
          <w:color w:val="000000"/>
          <w:szCs w:val="24"/>
          <w:lang w:bidi="en-US"/>
        </w:rPr>
        <w:t>Columbus, Ohio 43215</w:t>
      </w:r>
      <w:r w:rsidRPr="00FA2895">
        <w:rPr>
          <w:color w:val="000000"/>
          <w:szCs w:val="24"/>
          <w:lang w:bidi="en-US"/>
        </w:rPr>
        <w:tab/>
      </w:r>
    </w:p>
    <w:p w:rsidR="00FA2895" w:rsidRPr="00FA2895" w:rsidP="00FA2895" w14:paraId="2FCA88B0" w14:textId="77777777">
      <w:pPr>
        <w:ind w:left="4320"/>
        <w:rPr>
          <w:color w:val="000000"/>
          <w:szCs w:val="24"/>
          <w:lang w:bidi="en-US"/>
        </w:rPr>
      </w:pPr>
      <w:r w:rsidRPr="00FA2895">
        <w:rPr>
          <w:color w:val="000000"/>
          <w:szCs w:val="24"/>
          <w:lang w:bidi="en-US"/>
        </w:rPr>
        <w:t>Telephone [Michael]: (614) 466-1291</w:t>
      </w:r>
    </w:p>
    <w:p w:rsidR="00FA2895" w:rsidRPr="00FA2895" w:rsidP="00FA2895" w14:paraId="07EA87DB" w14:textId="77777777">
      <w:pPr>
        <w:ind w:left="3600" w:firstLine="720"/>
        <w:rPr>
          <w:szCs w:val="24"/>
          <w:lang w:bidi="en-US"/>
        </w:rPr>
      </w:pPr>
      <w:r w:rsidRPr="00FA2895">
        <w:rPr>
          <w:szCs w:val="24"/>
          <w:lang w:bidi="en-US"/>
        </w:rPr>
        <w:t>Telephone: [Finnigan]: (614) 466-9585</w:t>
      </w:r>
    </w:p>
    <w:p w:rsidR="00FA2895" w:rsidRPr="00FA2895" w:rsidP="00FA2895" w14:paraId="51CB5EF3" w14:textId="77777777">
      <w:pPr>
        <w:ind w:left="4320"/>
        <w:rPr>
          <w:rFonts w:eastAsia="Courier New"/>
          <w:color w:val="FF0000"/>
          <w:szCs w:val="24"/>
          <w:lang w:bidi="en-US"/>
        </w:rPr>
      </w:pPr>
      <w:hyperlink r:id="rId6" w:history="1">
        <w:r w:rsidRPr="00FA2895" w:rsidR="00D07BEE">
          <w:rPr>
            <w:rFonts w:eastAsia="Courier New"/>
            <w:color w:val="0000FF"/>
            <w:szCs w:val="24"/>
            <w:u w:val="single"/>
            <w:lang w:bidi="en-US"/>
          </w:rPr>
          <w:t>william.michael@occ.ohio.gov</w:t>
        </w:r>
      </w:hyperlink>
    </w:p>
    <w:p w:rsidR="00FA2895" w:rsidRPr="00FA2895" w:rsidP="00FA2895" w14:paraId="02067655" w14:textId="77777777">
      <w:pPr>
        <w:ind w:left="4320"/>
        <w:rPr>
          <w:rFonts w:eastAsia="Courier New"/>
          <w:color w:val="FF0000"/>
          <w:szCs w:val="24"/>
          <w:lang w:bidi="en-US"/>
        </w:rPr>
      </w:pPr>
      <w:hyperlink r:id="rId7" w:history="1">
        <w:r w:rsidRPr="00FA2895" w:rsidR="00D07BEE">
          <w:rPr>
            <w:rFonts w:eastAsia="Courier New"/>
            <w:color w:val="0000FF"/>
            <w:szCs w:val="24"/>
            <w:u w:val="single"/>
            <w:lang w:bidi="en-US"/>
          </w:rPr>
          <w:t>john.finnigan@occ.ohio.gov</w:t>
        </w:r>
      </w:hyperlink>
    </w:p>
    <w:p w:rsidR="00FA2895" w:rsidRPr="00FA2895" w:rsidP="00FA2895" w14:paraId="226D709C" w14:textId="77777777">
      <w:pPr>
        <w:ind w:left="4320"/>
        <w:rPr>
          <w:szCs w:val="24"/>
          <w:lang w:bidi="en-US"/>
        </w:rPr>
      </w:pPr>
      <w:r w:rsidRPr="00FA2895">
        <w:rPr>
          <w:szCs w:val="24"/>
          <w:lang w:bidi="en-US"/>
        </w:rPr>
        <w:t>(willing to accept service by e-mail)</w:t>
      </w:r>
    </w:p>
    <w:p w:rsidR="00FA2895" w:rsidRPr="00FA2895" w:rsidP="00FA2895" w14:paraId="5B85E63D" w14:textId="77777777">
      <w:pPr>
        <w:ind w:left="3780" w:hanging="3780"/>
        <w:rPr>
          <w:szCs w:val="24"/>
          <w:lang w:bidi="en-US"/>
        </w:rPr>
      </w:pPr>
    </w:p>
    <w:p w:rsidR="00FA2895" w:rsidRPr="00FA2895" w:rsidP="00FA2895" w14:paraId="3ADE9CA2" w14:textId="77777777">
      <w:pPr>
        <w:ind w:left="3780" w:hanging="3780"/>
        <w:rPr>
          <w:szCs w:val="24"/>
          <w:lang w:bidi="en-US"/>
        </w:rPr>
      </w:pPr>
    </w:p>
    <w:p w:rsidR="00FA2895" w:rsidRPr="00FA2895" w:rsidP="00FA2895" w14:paraId="092BD0F7" w14:textId="77777777">
      <w:pPr>
        <w:ind w:left="3780" w:hanging="3780"/>
        <w:rPr>
          <w:szCs w:val="24"/>
          <w:lang w:bidi="en-US"/>
        </w:rPr>
      </w:pPr>
    </w:p>
    <w:p w:rsidR="00FA2895" w:rsidRPr="00FA2895" w:rsidP="00FA2895" w14:paraId="70FC4C99" w14:textId="77777777">
      <w:pPr>
        <w:autoSpaceDE w:val="0"/>
        <w:autoSpaceDN w:val="0"/>
        <w:adjustRightInd w:val="0"/>
        <w:ind w:left="3780"/>
        <w:rPr>
          <w:rFonts w:eastAsiaTheme="minorHAnsi"/>
          <w:szCs w:val="24"/>
        </w:rPr>
      </w:pPr>
      <w:r w:rsidRPr="00FA2895">
        <w:rPr>
          <w:rFonts w:eastAsiaTheme="minorHAnsi"/>
          <w:szCs w:val="24"/>
        </w:rPr>
        <w:br w:type="page"/>
      </w:r>
    </w:p>
    <w:p w:rsidR="00FA2895" w:rsidRPr="00FA2895" w:rsidP="00FA2895" w14:paraId="1A13849E" w14:textId="77777777">
      <w:pPr>
        <w:autoSpaceDE w:val="0"/>
        <w:autoSpaceDN w:val="0"/>
        <w:adjustRightInd w:val="0"/>
        <w:jc w:val="center"/>
        <w:rPr>
          <w:b/>
          <w:szCs w:val="24"/>
          <w:u w:val="single"/>
          <w:lang w:bidi="en-US"/>
        </w:rPr>
      </w:pPr>
      <w:r w:rsidRPr="00FA2895">
        <w:rPr>
          <w:b/>
          <w:szCs w:val="24"/>
          <w:u w:val="single"/>
          <w:lang w:bidi="en-US"/>
        </w:rPr>
        <w:t>CERTIFICATE OF SERVICE</w:t>
      </w:r>
    </w:p>
    <w:p w:rsidR="00FA2895" w:rsidRPr="00FA2895" w:rsidP="00FA2895" w14:paraId="79D35EC3" w14:textId="77777777">
      <w:pPr>
        <w:jc w:val="center"/>
        <w:rPr>
          <w:szCs w:val="24"/>
          <w:lang w:bidi="en-US"/>
        </w:rPr>
      </w:pPr>
    </w:p>
    <w:p w:rsidR="00FA2895" w:rsidRPr="00FA2895" w:rsidP="00FA2895" w14:paraId="3CE755FA" w14:textId="0DCC3E4D">
      <w:pPr>
        <w:suppressAutoHyphens/>
        <w:spacing w:line="480" w:lineRule="auto"/>
        <w:ind w:firstLine="720"/>
        <w:rPr>
          <w:szCs w:val="24"/>
          <w:lang w:bidi="en-US"/>
        </w:rPr>
      </w:pPr>
      <w:r w:rsidRPr="00FA2895">
        <w:rPr>
          <w:szCs w:val="24"/>
          <w:lang w:bidi="en-US"/>
        </w:rPr>
        <w:t xml:space="preserve">It is hereby certified that a true copy of the foregoing </w:t>
      </w:r>
      <w:r w:rsidR="00595FE2">
        <w:rPr>
          <w:szCs w:val="24"/>
          <w:lang w:bidi="en-US"/>
        </w:rPr>
        <w:t>Application for Rehearing</w:t>
      </w:r>
      <w:r w:rsidRPr="00FA2895">
        <w:rPr>
          <w:iCs/>
          <w:szCs w:val="24"/>
          <w:lang w:bidi="en-US"/>
        </w:rPr>
        <w:t xml:space="preserve"> </w:t>
      </w:r>
      <w:r w:rsidRPr="00FA2895">
        <w:rPr>
          <w:szCs w:val="24"/>
          <w:lang w:bidi="en-US"/>
        </w:rPr>
        <w:t xml:space="preserve">was served by electronic transmission upon the parties below this </w:t>
      </w:r>
      <w:r w:rsidR="00846165">
        <w:rPr>
          <w:szCs w:val="24"/>
          <w:lang w:bidi="en-US"/>
        </w:rPr>
        <w:t>1st</w:t>
      </w:r>
      <w:r w:rsidRPr="00FA2895">
        <w:rPr>
          <w:szCs w:val="24"/>
          <w:lang w:bidi="en-US"/>
        </w:rPr>
        <w:t xml:space="preserve"> day of </w:t>
      </w:r>
      <w:r w:rsidR="00846165">
        <w:rPr>
          <w:szCs w:val="24"/>
          <w:lang w:bidi="en-US"/>
        </w:rPr>
        <w:t>December</w:t>
      </w:r>
      <w:r w:rsidRPr="00FA2895">
        <w:rPr>
          <w:szCs w:val="24"/>
          <w:lang w:bidi="en-US"/>
        </w:rPr>
        <w:t>, 2023.</w:t>
      </w:r>
    </w:p>
    <w:p w:rsidR="00FA2895" w:rsidRPr="00FA2895" w:rsidP="00FA2895" w14:paraId="11DA2A78" w14:textId="2A204E81">
      <w:pPr>
        <w:rPr>
          <w:szCs w:val="24"/>
        </w:rPr>
      </w:pPr>
      <w:r w:rsidRPr="00FA2895">
        <w:rPr>
          <w:szCs w:val="24"/>
        </w:rPr>
        <w:tab/>
      </w:r>
      <w:r w:rsidRPr="00FA2895">
        <w:rPr>
          <w:szCs w:val="24"/>
        </w:rPr>
        <w:tab/>
      </w:r>
      <w:r w:rsidRPr="00FA2895">
        <w:rPr>
          <w:szCs w:val="24"/>
        </w:rPr>
        <w:tab/>
      </w:r>
      <w:r w:rsidRPr="00FA2895">
        <w:rPr>
          <w:szCs w:val="24"/>
        </w:rPr>
        <w:tab/>
      </w:r>
      <w:r w:rsidRPr="00FA2895">
        <w:rPr>
          <w:szCs w:val="24"/>
        </w:rPr>
        <w:tab/>
      </w:r>
      <w:r w:rsidRPr="00FA2895">
        <w:rPr>
          <w:szCs w:val="24"/>
        </w:rPr>
        <w:tab/>
      </w:r>
      <w:r w:rsidRPr="00FA2895">
        <w:rPr>
          <w:szCs w:val="24"/>
        </w:rPr>
        <w:tab/>
      </w:r>
      <w:r w:rsidRPr="00FA2895">
        <w:rPr>
          <w:i/>
          <w:szCs w:val="24"/>
          <w:u w:val="single"/>
        </w:rPr>
        <w:t>/s/ William J. Michael</w:t>
      </w:r>
      <w:r w:rsidRPr="00FA2895">
        <w:rPr>
          <w:i/>
          <w:szCs w:val="24"/>
          <w:u w:val="single"/>
        </w:rPr>
        <w:tab/>
      </w:r>
      <w:r w:rsidRPr="00FA2895">
        <w:rPr>
          <w:i/>
          <w:szCs w:val="24"/>
          <w:u w:val="single"/>
        </w:rPr>
        <w:tab/>
      </w:r>
      <w:r w:rsidRPr="00FA2895">
        <w:rPr>
          <w:szCs w:val="24"/>
        </w:rPr>
        <w:tab/>
      </w:r>
      <w:r w:rsidRPr="00FA2895">
        <w:rPr>
          <w:szCs w:val="24"/>
        </w:rPr>
        <w:tab/>
      </w:r>
      <w:r w:rsidRPr="00FA2895">
        <w:rPr>
          <w:szCs w:val="24"/>
        </w:rPr>
        <w:tab/>
      </w:r>
      <w:r w:rsidRPr="00FA2895">
        <w:rPr>
          <w:szCs w:val="24"/>
        </w:rPr>
        <w:tab/>
      </w:r>
      <w:r w:rsidRPr="00FA2895">
        <w:rPr>
          <w:szCs w:val="24"/>
        </w:rPr>
        <w:tab/>
      </w:r>
      <w:r w:rsidRPr="00FA2895">
        <w:rPr>
          <w:szCs w:val="24"/>
        </w:rPr>
        <w:tab/>
      </w:r>
      <w:r w:rsidRPr="00FA2895">
        <w:rPr>
          <w:szCs w:val="24"/>
        </w:rPr>
        <w:tab/>
      </w:r>
      <w:r w:rsidRPr="00FA2895">
        <w:rPr>
          <w:szCs w:val="24"/>
        </w:rPr>
        <w:tab/>
        <w:t xml:space="preserve">William </w:t>
      </w:r>
      <w:r w:rsidR="00846165">
        <w:rPr>
          <w:szCs w:val="24"/>
        </w:rPr>
        <w:t xml:space="preserve">J. </w:t>
      </w:r>
      <w:r w:rsidRPr="00FA2895">
        <w:rPr>
          <w:szCs w:val="24"/>
        </w:rPr>
        <w:t>Michael</w:t>
      </w:r>
    </w:p>
    <w:p w:rsidR="00FA2895" w:rsidRPr="00FA2895" w:rsidP="00FA2895" w14:paraId="799BFE7A" w14:textId="77777777">
      <w:pPr>
        <w:suppressLineNumbers/>
        <w:ind w:left="5040"/>
        <w:rPr>
          <w:szCs w:val="24"/>
          <w:lang w:bidi="en-US"/>
        </w:rPr>
      </w:pPr>
      <w:r w:rsidRPr="00FA2895">
        <w:rPr>
          <w:szCs w:val="24"/>
          <w:lang w:bidi="en-US"/>
        </w:rPr>
        <w:t>Assistant Consumers’ Counsel</w:t>
      </w:r>
    </w:p>
    <w:p w:rsidR="00FA2895" w:rsidRPr="00FA2895" w:rsidP="00FA2895" w14:paraId="707E9A0F" w14:textId="77777777">
      <w:pPr>
        <w:rPr>
          <w:szCs w:val="24"/>
        </w:rPr>
      </w:pPr>
    </w:p>
    <w:p w:rsidR="00FA2895" w:rsidRPr="00FA2895" w:rsidP="00FA2895" w14:paraId="43E92883" w14:textId="77777777">
      <w:pPr>
        <w:rPr>
          <w:szCs w:val="24"/>
          <w:lang w:bidi="en-US"/>
        </w:rPr>
      </w:pPr>
      <w:r w:rsidRPr="00FA2895">
        <w:rPr>
          <w:szCs w:val="24"/>
          <w:lang w:bidi="en-US"/>
        </w:rPr>
        <w:t>The PUCO’s e-filing system will electronically serve notice of the filing of this document on the following parties:</w:t>
      </w:r>
    </w:p>
    <w:p w:rsidR="00FA2895" w:rsidRPr="00FA2895" w:rsidP="00FA2895" w14:paraId="62C3F531" w14:textId="77777777">
      <w:pPr>
        <w:rPr>
          <w:szCs w:val="24"/>
        </w:rPr>
      </w:pPr>
    </w:p>
    <w:p w:rsidR="00FA2895" w:rsidRPr="00FA2895" w:rsidP="00FA2895" w14:paraId="12A23D35" w14:textId="77777777">
      <w:pPr>
        <w:jc w:val="center"/>
        <w:rPr>
          <w:b/>
          <w:szCs w:val="24"/>
          <w:u w:val="single"/>
          <w:lang w:bidi="en-US"/>
        </w:rPr>
      </w:pPr>
      <w:r w:rsidRPr="00FA2895">
        <w:rPr>
          <w:b/>
          <w:szCs w:val="24"/>
          <w:u w:val="single"/>
          <w:lang w:bidi="en-US"/>
        </w:rPr>
        <w:t>SERVICE LIST</w:t>
      </w:r>
    </w:p>
    <w:p w:rsidR="00FA2895" w:rsidRPr="00FA2895" w:rsidP="00FA2895" w14:paraId="7512DD03" w14:textId="77777777">
      <w:pPr>
        <w:jc w:val="center"/>
        <w:rPr>
          <w:bCs/>
          <w:szCs w:val="24"/>
          <w:u w:val="single"/>
          <w:lang w:bidi="en-US"/>
        </w:rPr>
      </w:pPr>
    </w:p>
    <w:tbl>
      <w:tblPr>
        <w:tblW w:w="0" w:type="auto"/>
        <w:tblInd w:w="108" w:type="dxa"/>
        <w:tblLook w:val="01E0"/>
      </w:tblPr>
      <w:tblGrid>
        <w:gridCol w:w="4247"/>
        <w:gridCol w:w="4285"/>
      </w:tblGrid>
      <w:tr w14:paraId="0BB8FE91" w14:textId="77777777" w:rsidTr="00C038AA">
        <w:tblPrEx>
          <w:tblW w:w="0" w:type="auto"/>
          <w:tblInd w:w="108" w:type="dxa"/>
          <w:tblLook w:val="01E0"/>
        </w:tblPrEx>
        <w:tc>
          <w:tcPr>
            <w:tcW w:w="4307" w:type="dxa"/>
            <w:shd w:val="clear" w:color="auto" w:fill="auto"/>
          </w:tcPr>
          <w:p w:rsidR="00FA2895" w:rsidRPr="00FA2895" w:rsidP="00FA2895" w14:paraId="6FB5B638" w14:textId="77777777">
            <w:pPr>
              <w:autoSpaceDE w:val="0"/>
              <w:autoSpaceDN w:val="0"/>
              <w:adjustRightInd w:val="0"/>
              <w:rPr>
                <w:color w:val="0000FF"/>
                <w:szCs w:val="24"/>
                <w:u w:val="single"/>
                <w:lang w:bidi="en-US"/>
              </w:rPr>
            </w:pPr>
            <w:hyperlink r:id="rId15" w:history="1">
              <w:r w:rsidRPr="00FA2895" w:rsidR="00D07BEE">
                <w:rPr>
                  <w:color w:val="0000FF"/>
                  <w:szCs w:val="24"/>
                  <w:u w:val="single"/>
                  <w:lang w:bidi="en-US"/>
                </w:rPr>
                <w:t>thomas.lindgren@ohioago.gov</w:t>
              </w:r>
            </w:hyperlink>
          </w:p>
          <w:p w:rsidR="00FA2895" w:rsidRPr="00FA2895" w:rsidP="00FA2895" w14:paraId="463C016F" w14:textId="77777777">
            <w:pPr>
              <w:autoSpaceDE w:val="0"/>
              <w:autoSpaceDN w:val="0"/>
              <w:adjustRightInd w:val="0"/>
              <w:rPr>
                <w:szCs w:val="24"/>
                <w:lang w:bidi="en-US"/>
              </w:rPr>
            </w:pPr>
            <w:hyperlink r:id="rId16" w:history="1">
              <w:r w:rsidRPr="00FA2895" w:rsidR="00D07BEE">
                <w:rPr>
                  <w:color w:val="0000FF"/>
                  <w:szCs w:val="24"/>
                  <w:u w:val="single"/>
                  <w:lang w:bidi="en-US"/>
                </w:rPr>
                <w:t>Janet.Gregory@OhioAGO.gov</w:t>
              </w:r>
            </w:hyperlink>
          </w:p>
          <w:p w:rsidR="00FA2895" w:rsidRPr="00FA2895" w:rsidP="00FA2895" w14:paraId="070FD44C" w14:textId="77777777">
            <w:pPr>
              <w:autoSpaceDE w:val="0"/>
              <w:autoSpaceDN w:val="0"/>
              <w:adjustRightInd w:val="0"/>
              <w:rPr>
                <w:szCs w:val="24"/>
                <w:lang w:bidi="en-US"/>
              </w:rPr>
            </w:pPr>
            <w:hyperlink r:id="rId17" w:history="1">
              <w:r w:rsidRPr="00FA2895" w:rsidR="00D07BEE">
                <w:rPr>
                  <w:color w:val="0000FF"/>
                  <w:szCs w:val="24"/>
                  <w:u w:val="single"/>
                  <w:lang w:bidi="en-US"/>
                </w:rPr>
                <w:t>mkurtz@BKLlawfirm.com</w:t>
              </w:r>
            </w:hyperlink>
          </w:p>
          <w:p w:rsidR="00FA2895" w:rsidRPr="00FA2895" w:rsidP="00FA2895" w14:paraId="05501A57" w14:textId="77777777">
            <w:pPr>
              <w:autoSpaceDE w:val="0"/>
              <w:autoSpaceDN w:val="0"/>
              <w:adjustRightInd w:val="0"/>
              <w:rPr>
                <w:szCs w:val="24"/>
                <w:lang w:bidi="en-US"/>
              </w:rPr>
            </w:pPr>
            <w:hyperlink r:id="rId18" w:history="1">
              <w:r w:rsidRPr="00FA2895" w:rsidR="00D07BEE">
                <w:rPr>
                  <w:color w:val="0000FF"/>
                  <w:szCs w:val="24"/>
                  <w:u w:val="single"/>
                  <w:lang w:bidi="en-US"/>
                </w:rPr>
                <w:t>kboehm@BKLlawfirm.com</w:t>
              </w:r>
            </w:hyperlink>
          </w:p>
          <w:p w:rsidR="00FA2895" w:rsidRPr="00FA2895" w:rsidP="00FA2895" w14:paraId="6D0F2DF4" w14:textId="77777777">
            <w:pPr>
              <w:autoSpaceDE w:val="0"/>
              <w:autoSpaceDN w:val="0"/>
              <w:adjustRightInd w:val="0"/>
              <w:rPr>
                <w:szCs w:val="24"/>
                <w:lang w:bidi="en-US"/>
              </w:rPr>
            </w:pPr>
            <w:hyperlink r:id="rId19" w:history="1">
              <w:r w:rsidRPr="00FA2895" w:rsidR="00D07BEE">
                <w:rPr>
                  <w:color w:val="0000FF"/>
                  <w:szCs w:val="24"/>
                  <w:u w:val="single"/>
                  <w:lang w:bidi="en-US"/>
                </w:rPr>
                <w:t>jkylercohn@BKLlawfirm.com</w:t>
              </w:r>
            </w:hyperlink>
          </w:p>
          <w:p w:rsidR="00FA2895" w:rsidRPr="00FA2895" w:rsidP="00FA2895" w14:paraId="7A62EC3D" w14:textId="77777777">
            <w:pPr>
              <w:autoSpaceDE w:val="0"/>
              <w:autoSpaceDN w:val="0"/>
              <w:adjustRightInd w:val="0"/>
              <w:rPr>
                <w:bCs/>
                <w:szCs w:val="24"/>
                <w:lang w:bidi="en-US"/>
              </w:rPr>
            </w:pPr>
          </w:p>
          <w:p w:rsidR="00FA2895" w:rsidP="00FA2895" w14:paraId="400DD114" w14:textId="77777777">
            <w:pPr>
              <w:autoSpaceDE w:val="0"/>
              <w:autoSpaceDN w:val="0"/>
              <w:adjustRightInd w:val="0"/>
              <w:rPr>
                <w:bCs/>
                <w:szCs w:val="24"/>
                <w:lang w:bidi="en-US"/>
              </w:rPr>
            </w:pPr>
            <w:r w:rsidRPr="00FA2895">
              <w:rPr>
                <w:bCs/>
                <w:szCs w:val="24"/>
                <w:lang w:bidi="en-US"/>
              </w:rPr>
              <w:t>Attorney Examiners:</w:t>
            </w:r>
          </w:p>
          <w:p w:rsidR="00DE627A" w:rsidRPr="00FA2895" w:rsidP="00FA2895" w14:paraId="2018A03C" w14:textId="77777777">
            <w:pPr>
              <w:autoSpaceDE w:val="0"/>
              <w:autoSpaceDN w:val="0"/>
              <w:adjustRightInd w:val="0"/>
              <w:rPr>
                <w:bCs/>
                <w:szCs w:val="24"/>
                <w:lang w:bidi="en-US"/>
              </w:rPr>
            </w:pPr>
          </w:p>
          <w:p w:rsidR="00FA2895" w:rsidRPr="00FA2895" w:rsidP="00FA2895" w14:paraId="6D1ABBE9" w14:textId="77777777">
            <w:pPr>
              <w:rPr>
                <w:color w:val="0000FF"/>
                <w:szCs w:val="24"/>
                <w:u w:val="single"/>
                <w:lang w:bidi="en-US"/>
              </w:rPr>
            </w:pPr>
            <w:hyperlink r:id="rId20" w:history="1">
              <w:r w:rsidRPr="00FA2895" w:rsidR="00D07BEE">
                <w:rPr>
                  <w:color w:val="0000FF"/>
                  <w:szCs w:val="24"/>
                  <w:u w:val="single"/>
                  <w:lang w:bidi="en-US"/>
                </w:rPr>
                <w:t>Nicholas.Walstra@puco.ohio.gov</w:t>
              </w:r>
            </w:hyperlink>
          </w:p>
          <w:p w:rsidR="00FA2895" w:rsidRPr="00FA2895" w:rsidP="00FA2895" w14:paraId="35A7DD12" w14:textId="77777777">
            <w:pPr>
              <w:rPr>
                <w:color w:val="0000FF"/>
                <w:szCs w:val="24"/>
                <w:u w:val="single"/>
                <w:lang w:bidi="en-US"/>
              </w:rPr>
            </w:pPr>
            <w:hyperlink r:id="rId21" w:history="1">
              <w:r w:rsidRPr="00FA2895" w:rsidR="00D07BEE">
                <w:rPr>
                  <w:color w:val="0000FF"/>
                  <w:szCs w:val="24"/>
                  <w:u w:val="single"/>
                  <w:lang w:bidi="en-US"/>
                </w:rPr>
                <w:t>Matthew.sandor@puco.ohio.gov</w:t>
              </w:r>
            </w:hyperlink>
          </w:p>
          <w:p w:rsidR="00FA2895" w:rsidRPr="00FA2895" w:rsidP="00FA2895" w14:paraId="03D8C619" w14:textId="77777777">
            <w:pPr>
              <w:autoSpaceDE w:val="0"/>
              <w:autoSpaceDN w:val="0"/>
              <w:adjustRightInd w:val="0"/>
              <w:rPr>
                <w:bCs/>
                <w:szCs w:val="24"/>
                <w:lang w:bidi="en-US"/>
              </w:rPr>
            </w:pPr>
          </w:p>
          <w:p w:rsidR="00FA2895" w:rsidRPr="00FA2895" w:rsidP="00FA2895" w14:paraId="2E34564B" w14:textId="77777777">
            <w:pPr>
              <w:autoSpaceDE w:val="0"/>
              <w:autoSpaceDN w:val="0"/>
              <w:adjustRightInd w:val="0"/>
              <w:rPr>
                <w:bCs/>
                <w:szCs w:val="24"/>
                <w:lang w:bidi="en-US"/>
              </w:rPr>
            </w:pPr>
          </w:p>
        </w:tc>
        <w:tc>
          <w:tcPr>
            <w:tcW w:w="4333" w:type="dxa"/>
            <w:shd w:val="clear" w:color="auto" w:fill="auto"/>
          </w:tcPr>
          <w:p w:rsidR="00FA2895" w:rsidRPr="00FA2895" w:rsidP="00FA2895" w14:paraId="28DF5157" w14:textId="77777777">
            <w:pPr>
              <w:autoSpaceDE w:val="0"/>
              <w:autoSpaceDN w:val="0"/>
              <w:adjustRightInd w:val="0"/>
              <w:rPr>
                <w:color w:val="0000FF"/>
                <w:szCs w:val="24"/>
                <w:u w:val="single"/>
                <w:lang w:bidi="en-US"/>
              </w:rPr>
            </w:pPr>
            <w:hyperlink r:id="rId22" w:history="1">
              <w:r w:rsidRPr="00FA2895" w:rsidR="00D07BEE">
                <w:rPr>
                  <w:color w:val="0000FF"/>
                  <w:szCs w:val="24"/>
                  <w:u w:val="single"/>
                  <w:lang w:bidi="en-US"/>
                </w:rPr>
                <w:t>Rocco.dascenzo@duke-energy.com</w:t>
              </w:r>
            </w:hyperlink>
          </w:p>
          <w:p w:rsidR="00FA2895" w:rsidRPr="00FA2895" w:rsidP="00FA2895" w14:paraId="1A404522" w14:textId="77777777">
            <w:pPr>
              <w:autoSpaceDE w:val="0"/>
              <w:autoSpaceDN w:val="0"/>
              <w:adjustRightInd w:val="0"/>
              <w:rPr>
                <w:color w:val="0000FF"/>
                <w:szCs w:val="24"/>
                <w:u w:val="single"/>
                <w:lang w:bidi="en-US"/>
              </w:rPr>
            </w:pPr>
            <w:hyperlink r:id="rId23" w:history="1">
              <w:r w:rsidRPr="00FA2895" w:rsidR="00D07BEE">
                <w:rPr>
                  <w:color w:val="0000FF"/>
                  <w:szCs w:val="24"/>
                  <w:u w:val="single"/>
                  <w:lang w:bidi="en-US"/>
                </w:rPr>
                <w:t>Jeanne.kingery@duke-energy.com</w:t>
              </w:r>
            </w:hyperlink>
          </w:p>
          <w:p w:rsidR="00FA2895" w:rsidRPr="00FA2895" w:rsidP="00FA2895" w14:paraId="2EA8EA9E" w14:textId="77777777">
            <w:pPr>
              <w:rPr>
                <w:color w:val="0000FF"/>
                <w:szCs w:val="24"/>
                <w:u w:val="single"/>
                <w:lang w:bidi="en-US"/>
              </w:rPr>
            </w:pPr>
            <w:hyperlink r:id="rId24" w:history="1">
              <w:r w:rsidRPr="00FA2895" w:rsidR="00D07BEE">
                <w:rPr>
                  <w:color w:val="0000FF"/>
                  <w:szCs w:val="24"/>
                  <w:u w:val="single"/>
                  <w:lang w:bidi="en-US"/>
                </w:rPr>
                <w:t>Larisa.vaysman@duke-energy.com</w:t>
              </w:r>
            </w:hyperlink>
          </w:p>
          <w:p w:rsidR="00FA2895" w:rsidRPr="00FA2895" w:rsidP="00FA2895" w14:paraId="213D6AE5" w14:textId="77777777">
            <w:pPr>
              <w:rPr>
                <w:color w:val="0000FF"/>
                <w:szCs w:val="24"/>
                <w:u w:val="single"/>
                <w:lang w:bidi="en-US"/>
              </w:rPr>
            </w:pPr>
            <w:hyperlink r:id="rId25" w:history="1">
              <w:r w:rsidRPr="00FA2895" w:rsidR="00D07BEE">
                <w:rPr>
                  <w:color w:val="0000FF"/>
                  <w:szCs w:val="24"/>
                  <w:u w:val="single"/>
                  <w:lang w:bidi="en-US"/>
                </w:rPr>
                <w:t>Elyse.akhbari@duke-energy.com</w:t>
              </w:r>
            </w:hyperlink>
          </w:p>
          <w:p w:rsidR="00FA2895" w:rsidRPr="00FA2895" w:rsidP="00FA2895" w14:paraId="4C3A8F35" w14:textId="77777777">
            <w:pPr>
              <w:rPr>
                <w:color w:val="0000FF"/>
                <w:szCs w:val="24"/>
                <w:u w:val="single"/>
                <w:lang w:bidi="en-US"/>
              </w:rPr>
            </w:pPr>
            <w:hyperlink r:id="rId26" w:history="1">
              <w:r w:rsidRPr="00FA2895" w:rsidR="00D07BEE">
                <w:rPr>
                  <w:color w:val="0000FF"/>
                  <w:szCs w:val="24"/>
                  <w:u w:val="single"/>
                  <w:lang w:bidi="en-US"/>
                </w:rPr>
                <w:t>Ebrama@taftlaw.com</w:t>
              </w:r>
            </w:hyperlink>
          </w:p>
          <w:p w:rsidR="00FA2895" w:rsidRPr="00FA2895" w:rsidP="00FA2895" w14:paraId="7D94D10C" w14:textId="77777777">
            <w:pPr>
              <w:rPr>
                <w:color w:val="0000FF"/>
                <w:szCs w:val="24"/>
                <w:u w:val="single"/>
                <w:lang w:bidi="en-US"/>
              </w:rPr>
            </w:pPr>
            <w:r w:rsidRPr="00FA2895">
              <w:rPr>
                <w:color w:val="0000FF"/>
                <w:szCs w:val="24"/>
                <w:u w:val="single"/>
                <w:lang w:bidi="en-US"/>
              </w:rPr>
              <w:t>kverhalen@taftlaw.com</w:t>
            </w:r>
          </w:p>
          <w:p w:rsidR="00FA2895" w:rsidRPr="00FA2895" w:rsidP="00FA2895" w14:paraId="5124AFAC" w14:textId="77777777">
            <w:pPr>
              <w:rPr>
                <w:color w:val="0000FF"/>
                <w:szCs w:val="24"/>
                <w:u w:val="single"/>
                <w:lang w:bidi="en-US"/>
              </w:rPr>
            </w:pPr>
            <w:hyperlink r:id="rId27" w:history="1">
              <w:r w:rsidRPr="00FA2895" w:rsidR="00D07BEE">
                <w:rPr>
                  <w:color w:val="0000FF"/>
                  <w:szCs w:val="24"/>
                  <w:u w:val="single"/>
                  <w:lang w:bidi="en-US"/>
                </w:rPr>
                <w:t>michael.nugent@igs.com</w:t>
              </w:r>
            </w:hyperlink>
          </w:p>
          <w:p w:rsidR="00FA2895" w:rsidRPr="00FA2895" w:rsidP="00FA2895" w14:paraId="0ECDD53E" w14:textId="77777777">
            <w:pPr>
              <w:rPr>
                <w:color w:val="0000FF"/>
                <w:szCs w:val="24"/>
                <w:u w:val="single"/>
                <w:lang w:bidi="en-US"/>
              </w:rPr>
            </w:pPr>
            <w:hyperlink r:id="rId28" w:history="1">
              <w:r w:rsidRPr="00FA2895" w:rsidR="00D07BEE">
                <w:rPr>
                  <w:color w:val="0000FF"/>
                  <w:szCs w:val="24"/>
                  <w:u w:val="single"/>
                  <w:lang w:bidi="en-US"/>
                </w:rPr>
                <w:t>Stacie.cathcart@igs.com</w:t>
              </w:r>
            </w:hyperlink>
          </w:p>
          <w:p w:rsidR="00FA2895" w:rsidRPr="00FA2895" w:rsidP="00FA2895" w14:paraId="097A6A8B" w14:textId="77777777">
            <w:pPr>
              <w:rPr>
                <w:szCs w:val="24"/>
                <w:lang w:bidi="en-US"/>
              </w:rPr>
            </w:pPr>
            <w:hyperlink r:id="rId29" w:history="1">
              <w:r w:rsidRPr="00FA2895" w:rsidR="00D07BEE">
                <w:rPr>
                  <w:color w:val="0000FF"/>
                  <w:szCs w:val="24"/>
                  <w:u w:val="single"/>
                  <w:lang w:bidi="en-US"/>
                </w:rPr>
                <w:t>mjsettineri@vorys.com</w:t>
              </w:r>
            </w:hyperlink>
          </w:p>
          <w:p w:rsidR="00FA2895" w:rsidRPr="00FA2895" w:rsidP="00FA2895" w14:paraId="385600C2" w14:textId="77777777">
            <w:pPr>
              <w:rPr>
                <w:szCs w:val="24"/>
                <w:lang w:bidi="en-US"/>
              </w:rPr>
            </w:pPr>
            <w:hyperlink r:id="rId30" w:history="1">
              <w:r w:rsidRPr="00FA2895" w:rsidR="00D07BEE">
                <w:rPr>
                  <w:color w:val="0000FF"/>
                  <w:szCs w:val="24"/>
                  <w:u w:val="single"/>
                  <w:lang w:bidi="en-US"/>
                </w:rPr>
                <w:t>glpetrucci@vorys.com</w:t>
              </w:r>
            </w:hyperlink>
          </w:p>
          <w:p w:rsidR="00FA2895" w:rsidRPr="00FA2895" w:rsidP="00FA2895" w14:paraId="5667D709" w14:textId="77777777">
            <w:pPr>
              <w:rPr>
                <w:szCs w:val="24"/>
                <w:lang w:bidi="en-US"/>
              </w:rPr>
            </w:pPr>
            <w:hyperlink r:id="rId31" w:history="1">
              <w:r w:rsidRPr="00FA2895" w:rsidR="00D07BEE">
                <w:rPr>
                  <w:color w:val="0000FF"/>
                  <w:szCs w:val="24"/>
                  <w:u w:val="single"/>
                  <w:lang w:bidi="en-US"/>
                </w:rPr>
                <w:t>cpirik@dickinsonwright.com</w:t>
              </w:r>
            </w:hyperlink>
          </w:p>
          <w:p w:rsidR="00FA2895" w:rsidRPr="00FA2895" w:rsidP="00FA2895" w14:paraId="68B155D3" w14:textId="77777777">
            <w:pPr>
              <w:rPr>
                <w:szCs w:val="24"/>
                <w:lang w:bidi="en-US"/>
              </w:rPr>
            </w:pPr>
            <w:hyperlink r:id="rId32" w:history="1">
              <w:r w:rsidRPr="00FA2895" w:rsidR="00D07BEE">
                <w:rPr>
                  <w:color w:val="0000FF"/>
                  <w:szCs w:val="24"/>
                  <w:u w:val="single"/>
                  <w:lang w:bidi="en-US"/>
                </w:rPr>
                <w:t>todonnell@dickinsonwright.com</w:t>
              </w:r>
            </w:hyperlink>
          </w:p>
          <w:p w:rsidR="00FA2895" w:rsidRPr="00FA2895" w:rsidP="00FA2895" w14:paraId="76366C85" w14:textId="77777777">
            <w:pPr>
              <w:rPr>
                <w:szCs w:val="24"/>
                <w:lang w:bidi="en-US"/>
              </w:rPr>
            </w:pPr>
            <w:hyperlink r:id="rId33" w:history="1">
              <w:r w:rsidRPr="00FA2895" w:rsidR="00D07BEE">
                <w:rPr>
                  <w:color w:val="0000FF"/>
                  <w:szCs w:val="24"/>
                  <w:u w:val="single"/>
                  <w:lang w:bidi="en-US"/>
                </w:rPr>
                <w:t>mmcdonnell@dickinsonwright.com</w:t>
              </w:r>
            </w:hyperlink>
          </w:p>
          <w:p w:rsidR="00FA2895" w:rsidRPr="00FA2895" w:rsidP="00FA2895" w14:paraId="20EE2799" w14:textId="77777777">
            <w:pPr>
              <w:rPr>
                <w:color w:val="0000FF"/>
                <w:szCs w:val="24"/>
                <w:u w:val="single"/>
                <w:lang w:bidi="en-US"/>
              </w:rPr>
            </w:pPr>
          </w:p>
          <w:p w:rsidR="00FA2895" w:rsidRPr="00FA2895" w:rsidP="00FA2895" w14:paraId="6B71E708" w14:textId="77777777">
            <w:pPr>
              <w:rPr>
                <w:szCs w:val="24"/>
                <w:lang w:bidi="en-US"/>
              </w:rPr>
            </w:pPr>
          </w:p>
        </w:tc>
      </w:tr>
    </w:tbl>
    <w:p w:rsidR="00D4185C" w:rsidRPr="00B012A9" w:rsidP="006B5EC6" w14:paraId="72AC3DF8" w14:textId="77777777">
      <w:pPr>
        <w:rPr>
          <w:b/>
          <w:bCs/>
          <w:szCs w:val="24"/>
        </w:rPr>
      </w:pPr>
    </w:p>
    <w:sectPr w:rsidSect="00B012A9">
      <w:footerReference w:type="first" r:id="rId34"/>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E00" w14:paraId="513696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8502092"/>
      <w:docPartObj>
        <w:docPartGallery w:val="Page Numbers (Bottom of Page)"/>
        <w:docPartUnique/>
      </w:docPartObj>
    </w:sdtPr>
    <w:sdtEndPr>
      <w:rPr>
        <w:noProof/>
        <w:sz w:val="24"/>
        <w:szCs w:val="24"/>
      </w:rPr>
    </w:sdtEndPr>
    <w:sdtContent>
      <w:p w:rsidR="009A61A3" w:rsidRPr="00DF6AA5" w14:paraId="17C0DD10" w14:textId="29C507F6">
        <w:pPr>
          <w:pStyle w:val="Footer"/>
          <w:jc w:val="center"/>
          <w:rPr>
            <w:sz w:val="24"/>
            <w:szCs w:val="24"/>
          </w:rPr>
        </w:pPr>
        <w:r w:rsidRPr="00DF6AA5">
          <w:rPr>
            <w:sz w:val="24"/>
            <w:szCs w:val="24"/>
          </w:rPr>
          <w:fldChar w:fldCharType="begin"/>
        </w:r>
        <w:r w:rsidRPr="00DF6AA5">
          <w:rPr>
            <w:sz w:val="24"/>
            <w:szCs w:val="24"/>
          </w:rPr>
          <w:instrText xml:space="preserve"> PAGE   \* MERGEFORMAT </w:instrText>
        </w:r>
        <w:r w:rsidRPr="00DF6AA5">
          <w:rPr>
            <w:sz w:val="24"/>
            <w:szCs w:val="24"/>
          </w:rPr>
          <w:fldChar w:fldCharType="separate"/>
        </w:r>
        <w:r w:rsidRPr="00DF6AA5">
          <w:rPr>
            <w:noProof/>
            <w:sz w:val="24"/>
            <w:szCs w:val="24"/>
          </w:rPr>
          <w:t>2</w:t>
        </w:r>
        <w:r w:rsidRPr="00DF6AA5">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1A3" w:rsidRPr="009A61A3" w14:paraId="31F821F6" w14:textId="150D5694">
    <w:pPr>
      <w:pStyle w:val="Footer"/>
      <w:jc w:val="center"/>
      <w:rPr>
        <w:sz w:val="24"/>
        <w:szCs w:val="24"/>
      </w:rPr>
    </w:pPr>
  </w:p>
  <w:p w:rsidR="00453ABC" w:rsidRPr="00453ABC" w14:paraId="271DD0C2" w14:textId="1E525251">
    <w:pPr>
      <w:pStyle w:val="Foote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2172499"/>
      <w:docPartObj>
        <w:docPartGallery w:val="Page Numbers (Bottom of Page)"/>
        <w:docPartUnique/>
      </w:docPartObj>
    </w:sdtPr>
    <w:sdtEndPr>
      <w:rPr>
        <w:noProof/>
        <w:sz w:val="24"/>
        <w:szCs w:val="24"/>
      </w:rPr>
    </w:sdtEndPr>
    <w:sdtContent>
      <w:p w:rsidR="00DF6AA5" w:rsidRPr="00DF6AA5" w14:paraId="2A43E430" w14:textId="708E9A7E">
        <w:pPr>
          <w:pStyle w:val="Footer"/>
          <w:jc w:val="center"/>
          <w:rPr>
            <w:sz w:val="24"/>
            <w:szCs w:val="24"/>
          </w:rPr>
        </w:pPr>
        <w:r w:rsidRPr="00DF6AA5">
          <w:rPr>
            <w:sz w:val="24"/>
            <w:szCs w:val="24"/>
          </w:rPr>
          <w:fldChar w:fldCharType="begin"/>
        </w:r>
        <w:r w:rsidRPr="00DF6AA5">
          <w:rPr>
            <w:sz w:val="24"/>
            <w:szCs w:val="24"/>
          </w:rPr>
          <w:instrText xml:space="preserve"> PAGE   \* MERGEFORMAT </w:instrText>
        </w:r>
        <w:r w:rsidRPr="00DF6AA5">
          <w:rPr>
            <w:sz w:val="24"/>
            <w:szCs w:val="24"/>
          </w:rPr>
          <w:fldChar w:fldCharType="separate"/>
        </w:r>
        <w:r w:rsidRPr="00DF6AA5">
          <w:rPr>
            <w:noProof/>
            <w:sz w:val="24"/>
            <w:szCs w:val="24"/>
          </w:rPr>
          <w:t>2</w:t>
        </w:r>
        <w:r w:rsidRPr="00DF6AA5">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6250831"/>
      <w:docPartObj>
        <w:docPartGallery w:val="Page Numbers (Bottom of Page)"/>
        <w:docPartUnique/>
      </w:docPartObj>
    </w:sdtPr>
    <w:sdtEndPr>
      <w:rPr>
        <w:noProof/>
        <w:sz w:val="24"/>
        <w:szCs w:val="24"/>
      </w:rPr>
    </w:sdtEndPr>
    <w:sdtContent>
      <w:p w:rsidR="002665B0" w:rsidRPr="002644BF" w14:paraId="13E4B3CD" w14:textId="700680A5">
        <w:pPr>
          <w:pStyle w:val="Footer"/>
          <w:jc w:val="center"/>
          <w:rPr>
            <w:sz w:val="24"/>
            <w:szCs w:val="24"/>
          </w:rPr>
        </w:pPr>
        <w:r w:rsidRPr="002644BF">
          <w:rPr>
            <w:sz w:val="24"/>
            <w:szCs w:val="24"/>
          </w:rPr>
          <w:fldChar w:fldCharType="begin"/>
        </w:r>
        <w:r w:rsidRPr="002644BF">
          <w:rPr>
            <w:sz w:val="24"/>
            <w:szCs w:val="24"/>
          </w:rPr>
          <w:instrText xml:space="preserve"> PAGE   \* MERGEFORMAT </w:instrText>
        </w:r>
        <w:r w:rsidRPr="002644BF">
          <w:rPr>
            <w:sz w:val="24"/>
            <w:szCs w:val="24"/>
          </w:rPr>
          <w:fldChar w:fldCharType="separate"/>
        </w:r>
        <w:r w:rsidRPr="002644BF">
          <w:rPr>
            <w:noProof/>
            <w:sz w:val="24"/>
            <w:szCs w:val="24"/>
          </w:rPr>
          <w:t>2</w:t>
        </w:r>
        <w:r w:rsidRPr="002644B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3ED5" w14:paraId="1FB44415" w14:textId="77777777">
      <w:r>
        <w:separator/>
      </w:r>
    </w:p>
  </w:footnote>
  <w:footnote w:type="continuationSeparator" w:id="1">
    <w:p w:rsidR="00CC3ED5" w14:paraId="026123FE" w14:textId="77777777">
      <w:r>
        <w:continuationSeparator/>
      </w:r>
    </w:p>
  </w:footnote>
  <w:footnote w:id="2">
    <w:p w:rsidR="00F947B6" w:rsidRPr="004F40C2" w:rsidP="004F40C2" w14:paraId="425B8DC8" w14:textId="7A03B52E">
      <w:pPr>
        <w:pStyle w:val="FootnoteText"/>
        <w:spacing w:after="120"/>
      </w:pPr>
      <w:r w:rsidRPr="004F40C2">
        <w:rPr>
          <w:rStyle w:val="FootnoteReference"/>
        </w:rPr>
        <w:footnoteRef/>
      </w:r>
      <w:r w:rsidRPr="004F40C2">
        <w:t xml:space="preserve"> </w:t>
      </w:r>
      <w:r w:rsidRPr="004F40C2">
        <w:rPr>
          <w:i/>
          <w:iCs/>
        </w:rPr>
        <w:t>Office of Consumers’ Counsel v. Public Utilities Com.</w:t>
      </w:r>
      <w:r w:rsidRPr="004F40C2">
        <w:t xml:space="preserve">, (1981) </w:t>
      </w:r>
      <w:r w:rsidRPr="004F40C2">
        <w:rPr>
          <w:lang w:bidi="en-US"/>
        </w:rPr>
        <w:t>67 Ohio St.2d 153, 164 (</w:t>
      </w:r>
      <w:r w:rsidRPr="004F40C2">
        <w:rPr>
          <w:i/>
          <w:iCs/>
          <w:lang w:bidi="en-US"/>
        </w:rPr>
        <w:t>Consumers’ Counsel</w:t>
      </w:r>
      <w:r w:rsidRPr="004F40C2">
        <w:rPr>
          <w:lang w:bidi="en-US"/>
        </w:rPr>
        <w:t xml:space="preserve">), </w:t>
      </w:r>
      <w:r w:rsidRPr="004F40C2">
        <w:rPr>
          <w:i/>
          <w:iCs/>
          <w:lang w:bidi="en-US"/>
        </w:rPr>
        <w:t>AK Steel Corp. v. Pub. Util. Comm.</w:t>
      </w:r>
      <w:r w:rsidRPr="004F40C2">
        <w:rPr>
          <w:lang w:bidi="en-US"/>
        </w:rPr>
        <w:t xml:space="preserve"> (2002), 95 Ohio St.3d 81, 84, 765 N.E.2d 862. (</w:t>
      </w:r>
      <w:r w:rsidRPr="004F40C2">
        <w:rPr>
          <w:i/>
          <w:iCs/>
          <w:lang w:bidi="en-US"/>
        </w:rPr>
        <w:t>AK Steel</w:t>
      </w:r>
      <w:r w:rsidRPr="004F40C2">
        <w:rPr>
          <w:lang w:bidi="en-US"/>
        </w:rPr>
        <w:t>)</w:t>
      </w:r>
      <w:r w:rsidRPr="004F40C2" w:rsidR="00DF61D2">
        <w:rPr>
          <w:lang w:bidi="en-US"/>
        </w:rPr>
        <w:t>.</w:t>
      </w:r>
    </w:p>
  </w:footnote>
  <w:footnote w:id="3">
    <w:p w:rsidR="00FA2895" w:rsidRPr="004F40C2" w:rsidP="004F40C2" w14:paraId="4171A090" w14:textId="77777777">
      <w:pPr>
        <w:pStyle w:val="FootnoteText"/>
        <w:spacing w:after="120"/>
      </w:pPr>
      <w:r w:rsidRPr="004F40C2">
        <w:rPr>
          <w:rStyle w:val="FootnoteReference"/>
          <w:rFonts w:eastAsiaTheme="majorEastAsia"/>
          <w:color w:val="000000" w:themeColor="text1"/>
        </w:rPr>
        <w:footnoteRef/>
      </w:r>
      <w:r w:rsidRPr="004F40C2">
        <w:rPr>
          <w:color w:val="000000" w:themeColor="text1"/>
        </w:rPr>
        <w:t xml:space="preserve"> OCC Ex. 9 (Adkins) at 5.</w:t>
      </w:r>
    </w:p>
  </w:footnote>
  <w:footnote w:id="4">
    <w:p w:rsidR="00FA2895" w:rsidRPr="004F40C2" w:rsidP="004F40C2" w14:paraId="3F29999E" w14:textId="77777777">
      <w:pPr>
        <w:pStyle w:val="FootnoteText"/>
        <w:spacing w:after="120"/>
      </w:pPr>
      <w:r w:rsidRPr="004F40C2">
        <w:rPr>
          <w:rStyle w:val="FootnoteReference"/>
          <w:rFonts w:eastAsiaTheme="majorEastAsia"/>
        </w:rPr>
        <w:footnoteRef/>
      </w:r>
      <w:r w:rsidRPr="004F40C2">
        <w:t xml:space="preserve"> Entry (June 29, 2022) at 1.</w:t>
      </w:r>
    </w:p>
  </w:footnote>
  <w:footnote w:id="5">
    <w:p w:rsidR="00C57235" w:rsidRPr="004F40C2" w:rsidP="004F40C2" w14:paraId="5CD1370A" w14:textId="2020F299">
      <w:pPr>
        <w:pStyle w:val="FootnoteText"/>
        <w:spacing w:after="120"/>
      </w:pPr>
      <w:r w:rsidRPr="004F40C2">
        <w:rPr>
          <w:rStyle w:val="FootnoteReference"/>
        </w:rPr>
        <w:footnoteRef/>
      </w:r>
      <w:r w:rsidRPr="004F40C2">
        <w:t xml:space="preserve"> </w:t>
      </w:r>
      <w:bookmarkStart w:id="13" w:name="_Hlk152314754"/>
      <w:r w:rsidRPr="004F40C2">
        <w:rPr>
          <w:i/>
          <w:iCs/>
        </w:rPr>
        <w:t>See</w:t>
      </w:r>
      <w:r w:rsidRPr="004F40C2">
        <w:t xml:space="preserve"> Duke Application Vol. I, </w:t>
      </w:r>
      <w:bookmarkStart w:id="14" w:name="_Hlk152046054"/>
      <w:r w:rsidRPr="004F40C2">
        <w:t>Schedule B-3.3</w:t>
      </w:r>
      <w:bookmarkEnd w:id="14"/>
      <w:r w:rsidRPr="004F40C2">
        <w:t xml:space="preserve"> (June 30, 2022).</w:t>
      </w:r>
      <w:bookmarkEnd w:id="13"/>
    </w:p>
  </w:footnote>
  <w:footnote w:id="6">
    <w:p w:rsidR="00516FC4" w:rsidRPr="004F40C2" w:rsidP="004F40C2" w14:paraId="585D8CA0" w14:textId="77777777">
      <w:pPr>
        <w:pStyle w:val="FootnoteText"/>
        <w:spacing w:after="120"/>
      </w:pPr>
      <w:r w:rsidRPr="004F40C2">
        <w:rPr>
          <w:rStyle w:val="FootnoteReference"/>
          <w:rFonts w:eastAsiaTheme="majorEastAsia"/>
        </w:rPr>
        <w:footnoteRef/>
      </w:r>
      <w:r w:rsidRPr="004F40C2">
        <w:t xml:space="preserve"> </w:t>
      </w:r>
      <w:r w:rsidRPr="004F40C2">
        <w:rPr>
          <w:i/>
          <w:iCs/>
        </w:rPr>
        <w:t>In re Suburban Nat. Gas Co.</w:t>
      </w:r>
      <w:r w:rsidRPr="004F40C2">
        <w:t>, 166 Ohio St.3d 176 (2021).</w:t>
      </w:r>
    </w:p>
  </w:footnote>
  <w:footnote w:id="7">
    <w:p w:rsidR="00C375E6" w:rsidRPr="004F40C2" w:rsidP="004F40C2" w14:paraId="6CB0C7D8" w14:textId="774DB076">
      <w:pPr>
        <w:pStyle w:val="FootnoteText"/>
        <w:spacing w:after="120"/>
      </w:pPr>
      <w:r w:rsidRPr="004F40C2">
        <w:rPr>
          <w:rStyle w:val="FootnoteReference"/>
        </w:rPr>
        <w:footnoteRef/>
      </w:r>
      <w:r w:rsidRPr="004F40C2">
        <w:t xml:space="preserve"> </w:t>
      </w:r>
      <w:r w:rsidRPr="004F40C2" w:rsidR="005E403A">
        <w:rPr>
          <w:i/>
          <w:iCs/>
        </w:rPr>
        <w:t>Office of Consumers’ Counsel v. Public Utilities Com.</w:t>
      </w:r>
      <w:r w:rsidRPr="004F40C2" w:rsidR="005E403A">
        <w:t xml:space="preserve">, (1981) </w:t>
      </w:r>
      <w:r w:rsidRPr="004F40C2" w:rsidR="005E403A">
        <w:rPr>
          <w:lang w:bidi="en-US"/>
        </w:rPr>
        <w:t>67 Ohio St.2d 153, 164 (</w:t>
      </w:r>
      <w:r w:rsidRPr="004F40C2" w:rsidR="005E403A">
        <w:rPr>
          <w:i/>
          <w:iCs/>
          <w:lang w:bidi="en-US"/>
        </w:rPr>
        <w:t>Consumers’ Counsel</w:t>
      </w:r>
      <w:r w:rsidRPr="004F40C2" w:rsidR="005E403A">
        <w:rPr>
          <w:lang w:bidi="en-US"/>
        </w:rPr>
        <w:t xml:space="preserve">), </w:t>
      </w:r>
      <w:r w:rsidRPr="004F40C2" w:rsidR="005E403A">
        <w:rPr>
          <w:i/>
          <w:iCs/>
          <w:lang w:bidi="en-US"/>
        </w:rPr>
        <w:t>AK Steel Corp. v. Pub. Util. Comm.</w:t>
      </w:r>
      <w:r w:rsidRPr="004F40C2" w:rsidR="005E403A">
        <w:rPr>
          <w:lang w:bidi="en-US"/>
        </w:rPr>
        <w:t xml:space="preserve"> (2002), 95 Ohio St.3d 81, 84, 765 N.E.2d 862. (</w:t>
      </w:r>
      <w:r w:rsidRPr="004F40C2" w:rsidR="005E403A">
        <w:rPr>
          <w:i/>
          <w:iCs/>
          <w:lang w:bidi="en-US"/>
        </w:rPr>
        <w:t>AK Steel</w:t>
      </w:r>
      <w:r w:rsidRPr="004F40C2" w:rsidR="005E403A">
        <w:rPr>
          <w:lang w:bidi="en-US"/>
        </w:rPr>
        <w:t>)</w:t>
      </w:r>
      <w:r w:rsidRPr="004F40C2" w:rsidR="00DF61D2">
        <w:rPr>
          <w:lang w:bidi="en-US"/>
        </w:rPr>
        <w:t>.</w:t>
      </w:r>
    </w:p>
  </w:footnote>
  <w:footnote w:id="8">
    <w:p w:rsidR="00C31ED6" w:rsidRPr="004F40C2" w:rsidP="004F40C2" w14:paraId="3CD219C1" w14:textId="1336597D">
      <w:pPr>
        <w:pStyle w:val="FootnoteText"/>
        <w:spacing w:after="120"/>
      </w:pPr>
      <w:r w:rsidRPr="004F40C2">
        <w:rPr>
          <w:rStyle w:val="FootnoteReference"/>
          <w:rFonts w:eastAsiaTheme="majorEastAsia"/>
        </w:rPr>
        <w:footnoteRef/>
      </w:r>
      <w:r w:rsidRPr="004F40C2">
        <w:t xml:space="preserve"> OCC Ex. 9 at 5</w:t>
      </w:r>
      <w:r w:rsidRPr="004F40C2" w:rsidR="00A170F8">
        <w:t>.</w:t>
      </w:r>
    </w:p>
  </w:footnote>
  <w:footnote w:id="9">
    <w:p w:rsidR="00D17D92" w:rsidRPr="004F40C2" w:rsidP="004F40C2" w14:paraId="108F5E5E" w14:textId="5B4A9B97">
      <w:pPr>
        <w:pStyle w:val="FootnoteText"/>
        <w:spacing w:after="120"/>
      </w:pPr>
      <w:r w:rsidRPr="004F40C2">
        <w:rPr>
          <w:rStyle w:val="FootnoteReference"/>
        </w:rPr>
        <w:footnoteRef/>
      </w:r>
      <w:r w:rsidRPr="004F40C2">
        <w:t xml:space="preserve"> Opinion and Order at ¶ 44.</w:t>
      </w:r>
    </w:p>
  </w:footnote>
  <w:footnote w:id="10">
    <w:p w:rsidR="000A0E47" w:rsidRPr="004F40C2" w:rsidP="004F40C2" w14:paraId="7FF372B2" w14:textId="1C05680A">
      <w:pPr>
        <w:pStyle w:val="FootnoteText"/>
        <w:spacing w:after="120"/>
      </w:pPr>
      <w:r w:rsidRPr="004F40C2">
        <w:rPr>
          <w:rStyle w:val="FootnoteReference"/>
        </w:rPr>
        <w:footnoteRef/>
      </w:r>
      <w:r w:rsidRPr="004F40C2">
        <w:t xml:space="preserve"> </w:t>
      </w:r>
      <w:r w:rsidRPr="004F40C2">
        <w:rPr>
          <w:i/>
          <w:iCs/>
        </w:rPr>
        <w:t>Id.</w:t>
      </w:r>
    </w:p>
  </w:footnote>
  <w:footnote w:id="11">
    <w:p w:rsidR="00C31ED6" w:rsidRPr="004F40C2" w:rsidP="004F40C2" w14:paraId="32C14066" w14:textId="5A3B05FE">
      <w:pPr>
        <w:pStyle w:val="FootnoteText"/>
        <w:spacing w:after="120"/>
      </w:pPr>
      <w:r w:rsidRPr="004F40C2">
        <w:rPr>
          <w:rStyle w:val="FootnoteReference"/>
          <w:rFonts w:eastAsiaTheme="majorEastAsia"/>
        </w:rPr>
        <w:footnoteRef/>
      </w:r>
      <w:r w:rsidRPr="004F40C2">
        <w:t xml:space="preserve"> </w:t>
      </w:r>
      <w:r w:rsidRPr="004F40C2">
        <w:rPr>
          <w:i/>
          <w:iCs/>
        </w:rPr>
        <w:t>See Consumers’</w:t>
      </w:r>
      <w:r w:rsidRPr="004F40C2" w:rsidR="005E403A">
        <w:rPr>
          <w:i/>
          <w:iCs/>
        </w:rPr>
        <w:t xml:space="preserve"> Counsel</w:t>
      </w:r>
      <w:r w:rsidRPr="004F40C2">
        <w:rPr>
          <w:i/>
          <w:iCs/>
        </w:rPr>
        <w:t xml:space="preserve"> </w:t>
      </w:r>
      <w:r w:rsidRPr="004F40C2" w:rsidR="005E403A">
        <w:t>at</w:t>
      </w:r>
      <w:r w:rsidRPr="004F40C2">
        <w:rPr>
          <w:lang w:bidi="en-US"/>
        </w:rPr>
        <w:t xml:space="preserve"> 164.</w:t>
      </w:r>
    </w:p>
  </w:footnote>
  <w:footnote w:id="12">
    <w:p w:rsidR="00DE29B0" w:rsidRPr="004F40C2" w:rsidP="004F40C2" w14:paraId="0DA83ED0" w14:textId="455C6063">
      <w:pPr>
        <w:pStyle w:val="FootnoteText"/>
        <w:spacing w:after="120"/>
      </w:pPr>
      <w:r w:rsidRPr="004F40C2">
        <w:rPr>
          <w:rStyle w:val="FootnoteReference"/>
        </w:rPr>
        <w:footnoteRef/>
      </w:r>
      <w:r w:rsidRPr="004F40C2">
        <w:t xml:space="preserve"> </w:t>
      </w:r>
      <w:r w:rsidRPr="004F40C2">
        <w:rPr>
          <w:i/>
          <w:iCs/>
        </w:rPr>
        <w:t>Consumers’ Counsel</w:t>
      </w:r>
      <w:r w:rsidRPr="004F40C2">
        <w:t xml:space="preserve"> at 161.</w:t>
      </w:r>
    </w:p>
  </w:footnote>
  <w:footnote w:id="13">
    <w:p w:rsidR="00393E0A" w:rsidRPr="004F40C2" w:rsidP="004F40C2" w14:paraId="64B63F7B" w14:textId="1AEB5AD6">
      <w:pPr>
        <w:pStyle w:val="FootnoteText"/>
        <w:spacing w:after="120"/>
      </w:pPr>
      <w:r w:rsidRPr="004F40C2">
        <w:rPr>
          <w:rStyle w:val="FootnoteReference"/>
        </w:rPr>
        <w:footnoteRef/>
      </w:r>
      <w:r w:rsidRPr="004F40C2">
        <w:t xml:space="preserve"> </w:t>
      </w:r>
      <w:r w:rsidRPr="004F40C2">
        <w:rPr>
          <w:i/>
          <w:iCs/>
        </w:rPr>
        <w:t>Id.</w:t>
      </w:r>
      <w:r w:rsidRPr="004F40C2">
        <w:t xml:space="preserve"> at 164</w:t>
      </w:r>
    </w:p>
  </w:footnote>
  <w:footnote w:id="14">
    <w:p w:rsidR="00393E0A" w:rsidRPr="004F40C2" w:rsidP="004F40C2" w14:paraId="6940F570" w14:textId="1B8C51D5">
      <w:pPr>
        <w:pStyle w:val="FootnoteText"/>
        <w:spacing w:after="120"/>
      </w:pPr>
      <w:r w:rsidRPr="004F40C2">
        <w:rPr>
          <w:rStyle w:val="FootnoteReference"/>
        </w:rPr>
        <w:footnoteRef/>
      </w:r>
      <w:r w:rsidRPr="004F40C2">
        <w:t xml:space="preserve"> </w:t>
      </w:r>
      <w:r w:rsidRPr="004F40C2">
        <w:rPr>
          <w:i/>
          <w:iCs/>
        </w:rPr>
        <w:t>Id.</w:t>
      </w:r>
    </w:p>
  </w:footnote>
  <w:footnote w:id="15">
    <w:p w:rsidR="00FE7973" w:rsidRPr="004F40C2" w:rsidP="004F40C2" w14:paraId="65B05A80" w14:textId="1527A399">
      <w:pPr>
        <w:pStyle w:val="FootnoteText"/>
        <w:spacing w:after="120"/>
      </w:pPr>
      <w:r w:rsidRPr="004F40C2">
        <w:rPr>
          <w:rStyle w:val="FootnoteReference"/>
        </w:rPr>
        <w:footnoteRef/>
      </w:r>
      <w:r w:rsidRPr="004F40C2">
        <w:t xml:space="preserve"> </w:t>
      </w:r>
      <w:bookmarkStart w:id="21" w:name="_Hlk152317997"/>
      <w:r w:rsidRPr="004F40C2" w:rsidR="005E403A">
        <w:rPr>
          <w:i/>
          <w:iCs/>
        </w:rPr>
        <w:t>See</w:t>
      </w:r>
      <w:r w:rsidRPr="004F40C2" w:rsidR="005E403A">
        <w:t xml:space="preserve"> </w:t>
      </w:r>
      <w:r w:rsidRPr="004F40C2">
        <w:rPr>
          <w:i/>
          <w:iCs/>
          <w:lang w:bidi="en-US"/>
        </w:rPr>
        <w:t>AK Steel Corp</w:t>
      </w:r>
      <w:r w:rsidRPr="004F40C2" w:rsidR="005E403A">
        <w:rPr>
          <w:i/>
          <w:iCs/>
          <w:lang w:bidi="en-US"/>
        </w:rPr>
        <w:t xml:space="preserve"> </w:t>
      </w:r>
      <w:r w:rsidRPr="004F40C2" w:rsidR="005E403A">
        <w:rPr>
          <w:lang w:bidi="en-US"/>
        </w:rPr>
        <w:t>at 84</w:t>
      </w:r>
      <w:r w:rsidRPr="004F40C2" w:rsidR="005E403A">
        <w:rPr>
          <w:i/>
          <w:iCs/>
          <w:lang w:bidi="en-US"/>
        </w:rPr>
        <w:t>.</w:t>
      </w:r>
      <w:bookmarkEnd w:id="21"/>
    </w:p>
  </w:footnote>
  <w:footnote w:id="16">
    <w:p w:rsidR="00775E6F" w:rsidRPr="004F40C2" w:rsidP="004F40C2" w14:paraId="081AF544" w14:textId="2597D2F5">
      <w:pPr>
        <w:pStyle w:val="FootnoteText"/>
        <w:spacing w:after="120"/>
      </w:pPr>
      <w:r w:rsidRPr="004F40C2">
        <w:rPr>
          <w:rStyle w:val="FootnoteReference"/>
        </w:rPr>
        <w:footnoteRef/>
      </w:r>
      <w:r w:rsidRPr="004F40C2">
        <w:t xml:space="preserve"> </w:t>
      </w:r>
      <w:r w:rsidRPr="004F40C2" w:rsidR="002A4F6E">
        <w:t>Opinion and Order at ¶ 45</w:t>
      </w:r>
      <w:r w:rsidRPr="004F40C2" w:rsidR="005635A5">
        <w:t>.</w:t>
      </w:r>
    </w:p>
  </w:footnote>
  <w:footnote w:id="17">
    <w:p w:rsidR="004364D8" w:rsidRPr="004F40C2" w:rsidP="004F40C2" w14:paraId="096B7A49" w14:textId="77777777">
      <w:pPr>
        <w:pStyle w:val="FootnoteText"/>
        <w:spacing w:after="120"/>
      </w:pPr>
      <w:r w:rsidRPr="004F40C2">
        <w:rPr>
          <w:rStyle w:val="FootnoteReference"/>
          <w:rFonts w:eastAsiaTheme="majorEastAsia"/>
        </w:rPr>
        <w:footnoteRef/>
      </w:r>
      <w:r w:rsidRPr="004F40C2">
        <w:t xml:space="preserve"> R.C. 4909.15(A)(1). </w:t>
      </w:r>
    </w:p>
  </w:footnote>
  <w:footnote w:id="18">
    <w:p w:rsidR="004364D8" w:rsidRPr="004F40C2" w:rsidP="004F40C2" w14:paraId="7B3EFE16" w14:textId="77777777">
      <w:pPr>
        <w:pStyle w:val="FootnoteText"/>
        <w:spacing w:after="120"/>
      </w:pPr>
      <w:r w:rsidRPr="004F40C2">
        <w:rPr>
          <w:rStyle w:val="FootnoteReference"/>
          <w:rFonts w:eastAsiaTheme="majorEastAsia"/>
        </w:rPr>
        <w:footnoteRef/>
      </w:r>
      <w:r w:rsidRPr="004F40C2">
        <w:t xml:space="preserve"> </w:t>
      </w:r>
      <w:r w:rsidRPr="004F40C2">
        <w:rPr>
          <w:i/>
          <w:iCs/>
        </w:rPr>
        <w:t>Consumers’ Counsel</w:t>
      </w:r>
      <w:r w:rsidRPr="004F40C2">
        <w:t>, 67 Ohio St.2d at 164.</w:t>
      </w:r>
    </w:p>
  </w:footnote>
  <w:footnote w:id="19">
    <w:p w:rsidR="004364D8" w:rsidRPr="004F40C2" w:rsidP="004F40C2" w14:paraId="3AA67B58" w14:textId="77777777">
      <w:pPr>
        <w:pStyle w:val="FootnoteText"/>
        <w:spacing w:after="120"/>
        <w:rPr>
          <w:i/>
          <w:iCs/>
        </w:rPr>
      </w:pPr>
      <w:r w:rsidRPr="004F40C2">
        <w:rPr>
          <w:rStyle w:val="FootnoteReference"/>
          <w:rFonts w:eastAsiaTheme="majorEastAsia"/>
        </w:rPr>
        <w:footnoteRef/>
      </w:r>
      <w:r w:rsidRPr="004F40C2">
        <w:t xml:space="preserve"> </w:t>
      </w:r>
      <w:r w:rsidRPr="004F40C2">
        <w:rPr>
          <w:i/>
          <w:iCs/>
        </w:rPr>
        <w:t>See id.</w:t>
      </w:r>
    </w:p>
  </w:footnote>
  <w:footnote w:id="20">
    <w:p w:rsidR="0099746F" w:rsidRPr="004F40C2" w:rsidP="004F40C2" w14:paraId="6175E301" w14:textId="32BABCB1">
      <w:pPr>
        <w:pStyle w:val="FootnoteText"/>
        <w:spacing w:after="120"/>
      </w:pPr>
      <w:r w:rsidRPr="004F40C2">
        <w:rPr>
          <w:rStyle w:val="FootnoteReference"/>
        </w:rPr>
        <w:footnoteRef/>
      </w:r>
      <w:r w:rsidRPr="004F40C2">
        <w:t xml:space="preserve"> Opinion and Order at ¶ 64.</w:t>
      </w:r>
    </w:p>
  </w:footnote>
  <w:footnote w:id="21">
    <w:p w:rsidR="00564128" w:rsidRPr="004F40C2" w:rsidP="004F40C2" w14:paraId="4083CD1E" w14:textId="3A67855A">
      <w:pPr>
        <w:pStyle w:val="FootnoteText"/>
        <w:spacing w:after="120"/>
      </w:pPr>
      <w:r w:rsidRPr="004F40C2">
        <w:rPr>
          <w:rStyle w:val="FootnoteReference"/>
        </w:rPr>
        <w:footnoteRef/>
      </w:r>
      <w:r w:rsidRPr="004F40C2">
        <w:t xml:space="preserve"> </w:t>
      </w:r>
      <w:r w:rsidRPr="004F40C2">
        <w:rPr>
          <w:i/>
          <w:iCs/>
        </w:rPr>
        <w:t>Id.</w:t>
      </w:r>
    </w:p>
  </w:footnote>
  <w:footnote w:id="22">
    <w:p w:rsidR="00564128" w:rsidRPr="004F40C2" w:rsidP="004F40C2" w14:paraId="086550B6" w14:textId="0F2F5D04">
      <w:pPr>
        <w:pStyle w:val="FootnoteText"/>
        <w:spacing w:after="120"/>
      </w:pPr>
      <w:r w:rsidRPr="004F40C2">
        <w:rPr>
          <w:rStyle w:val="FootnoteReference"/>
        </w:rPr>
        <w:footnoteRef/>
      </w:r>
      <w:r w:rsidRPr="004F40C2">
        <w:t xml:space="preserve"> </w:t>
      </w:r>
      <w:r w:rsidRPr="004F40C2">
        <w:rPr>
          <w:i/>
          <w:iCs/>
        </w:rPr>
        <w:t>Id</w:t>
      </w:r>
      <w:r w:rsidRPr="004F40C2">
        <w:t>.</w:t>
      </w:r>
    </w:p>
  </w:footnote>
  <w:footnote w:id="23">
    <w:p w:rsidR="00D365FC" w:rsidRPr="004F40C2" w:rsidP="004F40C2" w14:paraId="12322287" w14:textId="77777777">
      <w:pPr>
        <w:pStyle w:val="FootnoteText"/>
        <w:spacing w:after="120"/>
      </w:pPr>
      <w:r w:rsidRPr="004F40C2">
        <w:rPr>
          <w:rStyle w:val="FootnoteReference"/>
          <w:rFonts w:eastAsiaTheme="majorEastAsia"/>
        </w:rPr>
        <w:footnoteRef/>
      </w:r>
      <w:r w:rsidRPr="004F40C2">
        <w:t xml:space="preserve"> OCC Ex. 9 at 52. </w:t>
      </w:r>
    </w:p>
  </w:footnote>
  <w:footnote w:id="24">
    <w:p w:rsidR="00D365FC" w:rsidRPr="004F40C2" w:rsidP="004F40C2" w14:paraId="27C9B8BB" w14:textId="77777777">
      <w:pPr>
        <w:pStyle w:val="FootnoteText"/>
        <w:spacing w:after="120"/>
      </w:pPr>
      <w:r w:rsidRPr="004F40C2">
        <w:rPr>
          <w:rStyle w:val="FootnoteReference"/>
          <w:rFonts w:eastAsiaTheme="majorEastAsia"/>
        </w:rPr>
        <w:footnoteRef/>
      </w:r>
      <w:r w:rsidRPr="004F40C2">
        <w:t xml:space="preserve"> OCC Ex. 9 at 53.</w:t>
      </w:r>
    </w:p>
  </w:footnote>
  <w:footnote w:id="25">
    <w:p w:rsidR="00D365FC" w:rsidRPr="004F40C2" w:rsidP="004F40C2" w14:paraId="79269D54" w14:textId="77777777">
      <w:pPr>
        <w:pStyle w:val="FootnoteText"/>
        <w:spacing w:after="120"/>
      </w:pPr>
      <w:r w:rsidRPr="004F40C2">
        <w:rPr>
          <w:rStyle w:val="FootnoteReference"/>
          <w:rFonts w:eastAsiaTheme="majorEastAsia"/>
        </w:rPr>
        <w:footnoteRef/>
      </w:r>
      <w:r w:rsidRPr="004F40C2">
        <w:t xml:space="preserve"> OCC Ex. 9 at 6.</w:t>
      </w:r>
    </w:p>
  </w:footnote>
  <w:footnote w:id="26">
    <w:p w:rsidR="006B0ADA" w:rsidRPr="004F40C2" w:rsidP="004F40C2" w14:paraId="6504BAC9" w14:textId="77777777">
      <w:pPr>
        <w:pStyle w:val="FootnoteText"/>
        <w:spacing w:after="120"/>
      </w:pPr>
      <w:r w:rsidRPr="004F40C2">
        <w:rPr>
          <w:rStyle w:val="FootnoteReference"/>
          <w:rFonts w:eastAsiaTheme="majorEastAsia"/>
        </w:rPr>
        <w:footnoteRef/>
      </w:r>
      <w:r w:rsidRPr="004F40C2">
        <w:t xml:space="preserve"> Case No. 17-781-EL-RDR, Finding &amp; Order (May 15, 2019) at </w:t>
      </w:r>
      <w:r w:rsidRPr="004F40C2">
        <w:rPr>
          <w:color w:val="202124"/>
          <w:shd w:val="clear" w:color="auto" w:fill="FFFFFF"/>
        </w:rPr>
        <w:t>¶</w:t>
      </w:r>
      <w:r w:rsidRPr="004F40C2">
        <w:t>13, 16-17.</w:t>
      </w:r>
    </w:p>
  </w:footnote>
  <w:footnote w:id="27">
    <w:p w:rsidR="006B0ADA" w:rsidRPr="004F40C2" w:rsidP="004F40C2" w14:paraId="017E9FFE" w14:textId="77777777">
      <w:pPr>
        <w:pStyle w:val="FootnoteText"/>
        <w:spacing w:after="120"/>
      </w:pPr>
      <w:r w:rsidRPr="004F40C2">
        <w:rPr>
          <w:rStyle w:val="FootnoteReference"/>
          <w:rFonts w:eastAsiaTheme="majorEastAsia"/>
          <w:color w:val="000000" w:themeColor="text1"/>
        </w:rPr>
        <w:footnoteRef/>
      </w:r>
      <w:r w:rsidRPr="004F40C2">
        <w:rPr>
          <w:color w:val="000000" w:themeColor="text1"/>
        </w:rPr>
        <w:t xml:space="preserve"> OCC Ex. 9 at 54.</w:t>
      </w:r>
    </w:p>
  </w:footnote>
  <w:footnote w:id="28">
    <w:p w:rsidR="00ED4695" w:rsidRPr="004F40C2" w:rsidP="004F40C2" w14:paraId="0E669C25" w14:textId="77777777">
      <w:pPr>
        <w:spacing w:after="120"/>
        <w:rPr>
          <w:sz w:val="20"/>
        </w:rPr>
      </w:pPr>
      <w:r w:rsidRPr="004F40C2">
        <w:rPr>
          <w:sz w:val="20"/>
          <w:vertAlign w:val="superscript"/>
        </w:rPr>
        <w:footnoteRef/>
      </w:r>
      <w:r w:rsidRPr="004F40C2">
        <w:rPr>
          <w:sz w:val="20"/>
        </w:rPr>
        <w:t xml:space="preserve"> </w:t>
      </w:r>
      <w:r w:rsidRPr="004F40C2">
        <w:rPr>
          <w:i/>
          <w:iCs/>
          <w:sz w:val="20"/>
        </w:rPr>
        <w:t>In re Columbus &amp; Southern Ohio Electric Co.</w:t>
      </w:r>
      <w:r w:rsidRPr="004F40C2">
        <w:rPr>
          <w:sz w:val="20"/>
        </w:rPr>
        <w:t>, Case No. 83-1058-EL-AIR, Entry (November 17, 1982).</w:t>
      </w:r>
    </w:p>
  </w:footnote>
  <w:footnote w:id="29">
    <w:p w:rsidR="00ED4695" w:rsidRPr="004F40C2" w:rsidP="004F40C2" w14:paraId="1180F9FB" w14:textId="03D36D7F">
      <w:pPr>
        <w:spacing w:after="120"/>
        <w:rPr>
          <w:sz w:val="20"/>
        </w:rPr>
      </w:pPr>
      <w:r w:rsidRPr="004F40C2">
        <w:rPr>
          <w:sz w:val="20"/>
          <w:vertAlign w:val="superscript"/>
        </w:rPr>
        <w:footnoteRef/>
      </w:r>
      <w:r w:rsidRPr="004F40C2">
        <w:rPr>
          <w:sz w:val="20"/>
        </w:rPr>
        <w:t xml:space="preserve"> </w:t>
      </w:r>
      <w:r w:rsidRPr="004F40C2">
        <w:rPr>
          <w:i/>
          <w:iCs/>
          <w:sz w:val="20"/>
        </w:rPr>
        <w:t xml:space="preserve">Id., </w:t>
      </w:r>
      <w:r w:rsidRPr="004F40C2">
        <w:rPr>
          <w:sz w:val="20"/>
        </w:rPr>
        <w:t>Opinion and Order at 8-14 (November 5, 1982).</w:t>
      </w:r>
      <w:r w:rsidR="00DF6AA5">
        <w:rPr>
          <w:sz w:val="20"/>
        </w:rPr>
        <w:t xml:space="preserve"> </w:t>
      </w:r>
    </w:p>
  </w:footnote>
  <w:footnote w:id="30">
    <w:p w:rsidR="00ED4695" w:rsidRPr="004F40C2" w:rsidP="004F40C2" w14:paraId="1C02D10D" w14:textId="77777777">
      <w:pPr>
        <w:spacing w:after="120"/>
        <w:rPr>
          <w:sz w:val="20"/>
        </w:rPr>
      </w:pPr>
      <w:r w:rsidRPr="004F40C2">
        <w:rPr>
          <w:sz w:val="20"/>
          <w:vertAlign w:val="superscript"/>
        </w:rPr>
        <w:footnoteRef/>
      </w:r>
      <w:r w:rsidRPr="004F40C2">
        <w:rPr>
          <w:sz w:val="20"/>
        </w:rPr>
        <w:t xml:space="preserve"> </w:t>
      </w:r>
      <w:r w:rsidRPr="004F40C2">
        <w:rPr>
          <w:i/>
          <w:iCs/>
          <w:sz w:val="20"/>
        </w:rPr>
        <w:t>Id.</w:t>
      </w:r>
      <w:r w:rsidRPr="004F40C2">
        <w:rPr>
          <w:sz w:val="20"/>
        </w:rPr>
        <w:t>, Entry at 1 (November 17, 1982).</w:t>
      </w:r>
    </w:p>
  </w:footnote>
  <w:footnote w:id="31">
    <w:p w:rsidR="00ED4695" w:rsidRPr="004F40C2" w:rsidP="004F40C2" w14:paraId="331AA269" w14:textId="77777777">
      <w:pPr>
        <w:spacing w:after="120"/>
        <w:rPr>
          <w:sz w:val="20"/>
        </w:rPr>
      </w:pPr>
      <w:r w:rsidRPr="004F40C2">
        <w:rPr>
          <w:sz w:val="20"/>
          <w:vertAlign w:val="superscript"/>
        </w:rPr>
        <w:footnoteRef/>
      </w:r>
      <w:r w:rsidRPr="004F40C2">
        <w:rPr>
          <w:sz w:val="20"/>
        </w:rPr>
        <w:t xml:space="preserve"> </w:t>
      </w:r>
      <w:r w:rsidRPr="004F40C2">
        <w:rPr>
          <w:i/>
          <w:iCs/>
          <w:sz w:val="20"/>
        </w:rPr>
        <w:t xml:space="preserve">Id., </w:t>
      </w:r>
      <w:r w:rsidRPr="004F40C2">
        <w:rPr>
          <w:sz w:val="20"/>
        </w:rPr>
        <w:t>Order on Rehearing (March 16, 1983).</w:t>
      </w:r>
    </w:p>
  </w:footnote>
  <w:footnote w:id="32">
    <w:p w:rsidR="00ED4695" w:rsidRPr="004F40C2" w:rsidP="004F40C2" w14:paraId="1FD562F3" w14:textId="17655705">
      <w:pPr>
        <w:spacing w:after="120"/>
        <w:rPr>
          <w:sz w:val="20"/>
        </w:rPr>
      </w:pPr>
      <w:r w:rsidRPr="004F40C2">
        <w:rPr>
          <w:sz w:val="20"/>
          <w:vertAlign w:val="superscript"/>
        </w:rPr>
        <w:footnoteRef/>
      </w:r>
      <w:r w:rsidRPr="004F40C2">
        <w:rPr>
          <w:sz w:val="20"/>
        </w:rPr>
        <w:t xml:space="preserve"> </w:t>
      </w:r>
      <w:r w:rsidRPr="004F40C2">
        <w:rPr>
          <w:i/>
          <w:iCs/>
          <w:sz w:val="20"/>
        </w:rPr>
        <w:t>Columbus &amp; Southern Ohio Electric Co. v. Pub. Util. Comm.</w:t>
      </w:r>
      <w:r w:rsidRPr="004F40C2">
        <w:rPr>
          <w:sz w:val="20"/>
        </w:rPr>
        <w:t>, (1984), 10 Ohio St.3d 12.</w:t>
      </w:r>
      <w:r w:rsidR="00DF6AA5">
        <w:rPr>
          <w:sz w:val="20"/>
        </w:rPr>
        <w:t xml:space="preserve"> </w:t>
      </w:r>
    </w:p>
  </w:footnote>
  <w:footnote w:id="33">
    <w:p w:rsidR="00ED4695" w:rsidRPr="004F40C2" w:rsidP="004F40C2" w14:paraId="5841BEB8" w14:textId="77777777">
      <w:pPr>
        <w:tabs>
          <w:tab w:val="left" w:pos="-720"/>
        </w:tabs>
        <w:suppressAutoHyphens/>
        <w:spacing w:after="120"/>
        <w:rPr>
          <w:sz w:val="20"/>
        </w:rPr>
      </w:pPr>
      <w:r w:rsidRPr="004F40C2">
        <w:rPr>
          <w:sz w:val="20"/>
          <w:vertAlign w:val="superscript"/>
        </w:rPr>
        <w:footnoteRef/>
      </w:r>
      <w:r w:rsidRPr="004F40C2">
        <w:rPr>
          <w:sz w:val="20"/>
        </w:rPr>
        <w:t xml:space="preserve"> </w:t>
      </w:r>
      <w:r w:rsidRPr="004F40C2">
        <w:rPr>
          <w:i/>
          <w:iCs/>
          <w:sz w:val="20"/>
        </w:rPr>
        <w:t>Id.</w:t>
      </w:r>
    </w:p>
  </w:footnote>
  <w:footnote w:id="34">
    <w:p w:rsidR="00ED4695" w:rsidRPr="004F40C2" w:rsidP="004F40C2" w14:paraId="6D3E8CC1" w14:textId="77777777">
      <w:pPr>
        <w:tabs>
          <w:tab w:val="left" w:pos="-720"/>
        </w:tabs>
        <w:suppressAutoHyphens/>
        <w:spacing w:after="120"/>
        <w:rPr>
          <w:sz w:val="20"/>
        </w:rPr>
      </w:pPr>
      <w:r w:rsidRPr="004F40C2">
        <w:rPr>
          <w:sz w:val="20"/>
          <w:vertAlign w:val="superscript"/>
        </w:rPr>
        <w:footnoteRef/>
      </w:r>
      <w:r w:rsidRPr="004F40C2">
        <w:rPr>
          <w:sz w:val="20"/>
        </w:rPr>
        <w:t xml:space="preserve"> </w:t>
      </w:r>
      <w:r w:rsidRPr="004F40C2">
        <w:rPr>
          <w:i/>
          <w:iCs/>
          <w:sz w:val="20"/>
        </w:rPr>
        <w:t>In re Columbus &amp; Southern Ohio Electric Co</w:t>
      </w:r>
      <w:r w:rsidRPr="004F40C2">
        <w:rPr>
          <w:sz w:val="20"/>
        </w:rPr>
        <w:t>., Case No. 81-1058-EL-AIR, Order on Rehearing (May 1, 1984).</w:t>
      </w:r>
    </w:p>
  </w:footnote>
  <w:footnote w:id="35">
    <w:p w:rsidR="00ED4695" w:rsidRPr="004F40C2" w:rsidP="004F40C2" w14:paraId="13AAC83E" w14:textId="77777777">
      <w:pPr>
        <w:spacing w:after="120"/>
        <w:rPr>
          <w:sz w:val="20"/>
        </w:rPr>
      </w:pPr>
      <w:r w:rsidRPr="004F40C2">
        <w:rPr>
          <w:sz w:val="20"/>
          <w:vertAlign w:val="superscript"/>
        </w:rPr>
        <w:footnoteRef/>
      </w:r>
      <w:r w:rsidRPr="004F40C2">
        <w:rPr>
          <w:sz w:val="20"/>
        </w:rPr>
        <w:t xml:space="preserve"> </w:t>
      </w:r>
      <w:r w:rsidRPr="004F40C2">
        <w:rPr>
          <w:i/>
          <w:iCs/>
          <w:sz w:val="20"/>
        </w:rPr>
        <w:t xml:space="preserve">In the Matter of the Commission’s Investigation of the Current Rates, Revenues, Rate Base, and Rate of Return of the Ohio Utilities Company, </w:t>
      </w:r>
      <w:r w:rsidRPr="004F40C2">
        <w:rPr>
          <w:sz w:val="20"/>
        </w:rPr>
        <w:t>Case No. 77-1073-WS-COI, Entry at 2 (June 7, 1978).</w:t>
      </w:r>
    </w:p>
  </w:footnote>
  <w:footnote w:id="36">
    <w:p w:rsidR="00ED4695" w:rsidRPr="004F40C2" w:rsidP="004F40C2" w14:paraId="19D0BD61" w14:textId="085A5398">
      <w:pPr>
        <w:spacing w:after="120"/>
        <w:rPr>
          <w:sz w:val="20"/>
        </w:rPr>
      </w:pPr>
      <w:r w:rsidRPr="004F40C2">
        <w:rPr>
          <w:sz w:val="20"/>
          <w:vertAlign w:val="superscript"/>
        </w:rPr>
        <w:footnoteRef/>
      </w:r>
      <w:r w:rsidRPr="004F40C2">
        <w:rPr>
          <w:sz w:val="20"/>
        </w:rPr>
        <w:t xml:space="preserve"> </w:t>
      </w:r>
      <w:r w:rsidRPr="004F40C2">
        <w:rPr>
          <w:i/>
          <w:iCs/>
          <w:sz w:val="20"/>
        </w:rPr>
        <w:t>In the Matter of the Ohio Utilities Co. Application for an Increase in Rates,</w:t>
      </w:r>
      <w:r w:rsidRPr="004F40C2">
        <w:rPr>
          <w:sz w:val="20"/>
        </w:rPr>
        <w:t xml:space="preserve"> Case No. 79-529-WS-AIR, Opinion and Order (January 18, 1977).</w:t>
      </w:r>
      <w:r w:rsidR="00DF6AA5">
        <w:rPr>
          <w:sz w:val="20"/>
        </w:rPr>
        <w:t xml:space="preserve"> </w:t>
      </w:r>
    </w:p>
  </w:footnote>
  <w:footnote w:id="37">
    <w:p w:rsidR="00ED4695" w:rsidRPr="004F40C2" w:rsidP="004F40C2" w14:paraId="77FDF752" w14:textId="6403163C">
      <w:pPr>
        <w:spacing w:after="120"/>
        <w:rPr>
          <w:sz w:val="20"/>
        </w:rPr>
      </w:pPr>
      <w:r w:rsidRPr="004F40C2">
        <w:rPr>
          <w:sz w:val="20"/>
          <w:vertAlign w:val="superscript"/>
        </w:rPr>
        <w:footnoteRef/>
      </w:r>
      <w:r w:rsidRPr="004F40C2">
        <w:rPr>
          <w:sz w:val="20"/>
        </w:rPr>
        <w:t xml:space="preserve"> </w:t>
      </w:r>
      <w:r w:rsidRPr="004F40C2">
        <w:rPr>
          <w:i/>
          <w:iCs/>
          <w:sz w:val="20"/>
        </w:rPr>
        <w:t xml:space="preserve">In the Matter of the Commission’s Investigation of the Current Rates, Revenues, Rate Base, and Rate of Return of the Ohio Utilities Company, </w:t>
      </w:r>
      <w:r w:rsidRPr="004F40C2">
        <w:rPr>
          <w:sz w:val="20"/>
        </w:rPr>
        <w:t>Case No. 77-1073-WS-COI, Entry (September 7, 1977).</w:t>
      </w:r>
      <w:r w:rsidR="00DF6AA5">
        <w:rPr>
          <w:sz w:val="20"/>
        </w:rPr>
        <w:t xml:space="preserve"> </w:t>
      </w:r>
    </w:p>
  </w:footnote>
  <w:footnote w:id="38">
    <w:p w:rsidR="00ED4695" w:rsidRPr="004F40C2" w:rsidP="004F40C2" w14:paraId="6505F0C2" w14:textId="699149E6">
      <w:pPr>
        <w:spacing w:after="120"/>
        <w:rPr>
          <w:sz w:val="20"/>
        </w:rPr>
      </w:pPr>
      <w:r w:rsidRPr="004F40C2">
        <w:rPr>
          <w:sz w:val="20"/>
          <w:vertAlign w:val="superscript"/>
        </w:rPr>
        <w:footnoteRef/>
      </w:r>
      <w:r w:rsidRPr="004F40C2">
        <w:rPr>
          <w:sz w:val="20"/>
        </w:rPr>
        <w:t xml:space="preserve"> </w:t>
      </w:r>
      <w:r w:rsidRPr="004F40C2">
        <w:rPr>
          <w:i/>
          <w:iCs/>
          <w:sz w:val="20"/>
        </w:rPr>
        <w:t xml:space="preserve">Id., </w:t>
      </w:r>
      <w:r w:rsidRPr="004F40C2">
        <w:rPr>
          <w:sz w:val="20"/>
        </w:rPr>
        <w:t>Opinion and Order (May 18, 1978).</w:t>
      </w:r>
      <w:r w:rsidR="00DF6AA5">
        <w:rPr>
          <w:i/>
          <w:iCs/>
          <w:sz w:val="20"/>
        </w:rPr>
        <w:t xml:space="preserve"> </w:t>
      </w:r>
    </w:p>
  </w:footnote>
  <w:footnote w:id="39">
    <w:p w:rsidR="00ED4695" w:rsidRPr="004F40C2" w:rsidP="004F40C2" w14:paraId="2FF238F1" w14:textId="36CFDF01">
      <w:pPr>
        <w:spacing w:after="120"/>
        <w:rPr>
          <w:sz w:val="20"/>
        </w:rPr>
      </w:pPr>
      <w:r w:rsidRPr="004F40C2">
        <w:rPr>
          <w:sz w:val="20"/>
          <w:vertAlign w:val="superscript"/>
        </w:rPr>
        <w:footnoteRef/>
      </w:r>
      <w:r w:rsidRPr="004F40C2">
        <w:rPr>
          <w:sz w:val="20"/>
        </w:rPr>
        <w:t xml:space="preserve"> </w:t>
      </w:r>
      <w:r w:rsidRPr="004F40C2">
        <w:rPr>
          <w:i/>
          <w:iCs/>
          <w:sz w:val="20"/>
        </w:rPr>
        <w:t xml:space="preserve">Id., </w:t>
      </w:r>
      <w:r w:rsidRPr="004F40C2">
        <w:rPr>
          <w:sz w:val="20"/>
        </w:rPr>
        <w:t>Entry (June 7, 1978). The utility was also required to file an “undertaking” consisting of a promise to refund any amount collected for service rendered after the date of the Entry by a method later determined by the Commission (either cash refund or as a credit to future bills).</w:t>
      </w:r>
      <w:r w:rsidR="00DF6AA5">
        <w:rPr>
          <w:sz w:val="20"/>
        </w:rPr>
        <w:t xml:space="preserve"> </w:t>
      </w:r>
      <w:r w:rsidRPr="004F40C2">
        <w:rPr>
          <w:sz w:val="20"/>
        </w:rPr>
        <w:t>The undertaking was required to be under oath by an officer of the company and was to include a promise to include interest.</w:t>
      </w:r>
      <w:r w:rsidR="00DF6AA5">
        <w:rPr>
          <w:sz w:val="20"/>
        </w:rPr>
        <w:t xml:space="preserve"> </w:t>
      </w:r>
      <w:r w:rsidRPr="004F40C2">
        <w:rPr>
          <w:sz w:val="20"/>
        </w:rPr>
        <w:t xml:space="preserve">The amount ordered for refund was the amount collected for service in excess of those rates ultimately determined to be lawful. </w:t>
      </w:r>
      <w:r w:rsidRPr="004F40C2">
        <w:rPr>
          <w:i/>
          <w:iCs/>
          <w:sz w:val="20"/>
        </w:rPr>
        <w:t>Id.</w:t>
      </w:r>
    </w:p>
  </w:footnote>
  <w:footnote w:id="40">
    <w:p w:rsidR="00ED4695" w:rsidRPr="004F40C2" w:rsidP="004F40C2" w14:paraId="7A7F2FB1" w14:textId="77777777">
      <w:pPr>
        <w:pStyle w:val="FootnoteText"/>
        <w:spacing w:after="120"/>
      </w:pPr>
      <w:r w:rsidRPr="004F40C2">
        <w:rPr>
          <w:rStyle w:val="FootnoteReference"/>
          <w:rFonts w:eastAsiaTheme="majorEastAsia"/>
        </w:rPr>
        <w:footnoteRef/>
      </w:r>
      <w:r w:rsidRPr="004F40C2">
        <w:t xml:space="preserve"> </w:t>
      </w:r>
      <w:r w:rsidRPr="004F40C2">
        <w:rPr>
          <w:i/>
        </w:rPr>
        <w:t>In the Matter of the Commission Review of the Capacity Charges of Ohio Power Company and</w:t>
      </w:r>
      <w:r w:rsidRPr="004F40C2">
        <w:t xml:space="preserve"> </w:t>
      </w:r>
      <w:r w:rsidRPr="004F40C2">
        <w:rPr>
          <w:i/>
        </w:rPr>
        <w:t>Columbus Southern Power Company</w:t>
      </w:r>
      <w:r w:rsidRPr="004F40C2">
        <w:t xml:space="preserve">, Case No. 10-2929-EL-UNC </w:t>
      </w:r>
      <w:r w:rsidRPr="004F40C2">
        <w:rPr>
          <w:i/>
          <w:iCs/>
        </w:rPr>
        <w:t>et. al</w:t>
      </w:r>
      <w:r w:rsidRPr="004F40C2">
        <w:t>. (May 18, 2016).</w:t>
      </w:r>
    </w:p>
  </w:footnote>
  <w:footnote w:id="41">
    <w:p w:rsidR="00ED4695" w:rsidRPr="004F40C2" w:rsidP="004F40C2" w14:paraId="7C5597B4" w14:textId="3BAFD5B5">
      <w:pPr>
        <w:pStyle w:val="FootnoteText"/>
        <w:spacing w:after="120"/>
      </w:pPr>
      <w:r w:rsidRPr="004F40C2">
        <w:rPr>
          <w:rStyle w:val="FootnoteReference"/>
          <w:rFonts w:eastAsiaTheme="majorEastAsia"/>
        </w:rPr>
        <w:footnoteRef/>
      </w:r>
      <w:r w:rsidRPr="004F40C2">
        <w:t xml:space="preserve"> </w:t>
      </w:r>
      <w:r w:rsidRPr="004F40C2">
        <w:rPr>
          <w:i/>
        </w:rPr>
        <w:t xml:space="preserve">Id. </w:t>
      </w:r>
      <w:r w:rsidRPr="004F40C2">
        <w:rPr>
          <w:iCs/>
        </w:rPr>
        <w:t xml:space="preserve">at </w:t>
      </w:r>
      <w:r w:rsidRPr="004F40C2">
        <w:t>4.</w:t>
      </w:r>
      <w:r w:rsidR="00DF6AA5">
        <w:t xml:space="preserve"> </w:t>
      </w:r>
    </w:p>
  </w:footnote>
  <w:footnote w:id="42">
    <w:p w:rsidR="00ED4695" w:rsidRPr="004F40C2" w:rsidP="004F40C2" w14:paraId="7AA9BEB6" w14:textId="77777777">
      <w:pPr>
        <w:pStyle w:val="FootnoteText"/>
        <w:spacing w:after="120"/>
        <w:rPr>
          <w:i/>
          <w:iCs/>
        </w:rPr>
      </w:pPr>
      <w:r w:rsidRPr="004F40C2">
        <w:rPr>
          <w:rStyle w:val="FootnoteReference"/>
          <w:rFonts w:eastAsiaTheme="majorEastAsia"/>
        </w:rPr>
        <w:footnoteRef/>
      </w:r>
      <w:r w:rsidRPr="004F40C2">
        <w:t xml:space="preserve"> </w:t>
      </w:r>
      <w:r w:rsidRPr="004F40C2">
        <w:rPr>
          <w:i/>
          <w:iCs/>
        </w:rPr>
        <w:t>In re Alternative Energy Rider Contained in the Tariffs of Ohio Edison Co.</w:t>
      </w:r>
      <w:r w:rsidRPr="004F40C2">
        <w:t>, 153 Ohio St.3d 289, 2018-Ohio-229, ¶¶ 15-20.</w:t>
      </w:r>
    </w:p>
  </w:footnote>
  <w:footnote w:id="43">
    <w:p w:rsidR="00ED4695" w:rsidRPr="004F40C2" w:rsidP="004F40C2" w14:paraId="5D0642BA" w14:textId="77777777">
      <w:pPr>
        <w:pStyle w:val="FootnoteText"/>
        <w:spacing w:after="120"/>
        <w:rPr>
          <w:i/>
          <w:iCs/>
        </w:rPr>
      </w:pPr>
      <w:r w:rsidRPr="004F40C2">
        <w:rPr>
          <w:rStyle w:val="FootnoteReference"/>
          <w:rFonts w:eastAsiaTheme="majorEastAsia"/>
        </w:rPr>
        <w:footnoteRef/>
      </w:r>
      <w:r w:rsidRPr="004F40C2">
        <w:t xml:space="preserve"> </w:t>
      </w:r>
      <w:r w:rsidRPr="004F40C2">
        <w:rPr>
          <w:i/>
          <w:iCs/>
        </w:rPr>
        <w:t>Id.</w:t>
      </w:r>
    </w:p>
  </w:footnote>
  <w:footnote w:id="44">
    <w:p w:rsidR="00ED4695" w:rsidRPr="004F40C2" w:rsidP="004F40C2" w14:paraId="543AC817" w14:textId="77777777">
      <w:pPr>
        <w:pStyle w:val="FootnoteText"/>
        <w:spacing w:after="120"/>
      </w:pPr>
      <w:r w:rsidRPr="004F40C2">
        <w:rPr>
          <w:rStyle w:val="FootnoteReference"/>
          <w:rFonts w:eastAsiaTheme="majorEastAsia"/>
        </w:rPr>
        <w:footnoteRef/>
      </w:r>
      <w:r w:rsidRPr="004F40C2">
        <w:rPr>
          <w:i/>
          <w:iCs/>
        </w:rPr>
        <w:t xml:space="preserve"> In re Application of Ohio Edison Co.,</w:t>
      </w:r>
      <w:r w:rsidRPr="004F40C2">
        <w:t xml:space="preserve"> 157 Ohio St.3d 73, 2019-Ohio-2401, ¶ 23 (“despite our finding that the DMR is unlawful, no refund is available to ratepayers for money already recovered under the rider”).</w:t>
      </w:r>
    </w:p>
  </w:footnote>
  <w:footnote w:id="45">
    <w:p w:rsidR="00ED4695" w:rsidRPr="004F40C2" w:rsidP="004F40C2" w14:paraId="6E1AF11F" w14:textId="77777777">
      <w:pPr>
        <w:pStyle w:val="FootnoteText"/>
        <w:spacing w:after="120"/>
      </w:pPr>
      <w:r w:rsidRPr="004F40C2">
        <w:rPr>
          <w:rStyle w:val="FootnoteReference"/>
          <w:rFonts w:eastAsiaTheme="majorEastAsia"/>
        </w:rPr>
        <w:footnoteRef/>
      </w:r>
      <w:r w:rsidRPr="004F40C2">
        <w:rPr>
          <w:i/>
          <w:iCs/>
        </w:rPr>
        <w:t xml:space="preserve"> Id. </w:t>
      </w:r>
    </w:p>
  </w:footnote>
  <w:footnote w:id="46">
    <w:p w:rsidR="00ED4695" w:rsidRPr="004F40C2" w:rsidP="004F40C2" w14:paraId="1AA11924" w14:textId="7C2E3615">
      <w:pPr>
        <w:pStyle w:val="FootnoteText"/>
        <w:spacing w:after="120"/>
      </w:pPr>
      <w:r w:rsidRPr="004F40C2">
        <w:rPr>
          <w:rStyle w:val="FootnoteReference"/>
          <w:rFonts w:eastAsiaTheme="majorEastAsia"/>
        </w:rPr>
        <w:footnoteRef/>
      </w:r>
      <w:r w:rsidRPr="004F40C2">
        <w:t xml:space="preserve"> </w:t>
      </w:r>
      <w:r w:rsidRPr="004F40C2">
        <w:rPr>
          <w:i/>
          <w:iCs/>
        </w:rPr>
        <w:t>In re Application of Ohio Edison Co., the Cleveland Electric Illuminating Co., &amp; the Toledo Edison Co.</w:t>
      </w:r>
      <w:r w:rsidRPr="004F40C2">
        <w:t>, Case No. 14-1297-EL-SSO, Finding &amp; Order ¶ 16 (Dec</w:t>
      </w:r>
      <w:r w:rsidR="004F40C2">
        <w:t>ember</w:t>
      </w:r>
      <w:r w:rsidRPr="004F40C2">
        <w:t xml:space="preserve"> 21, 2016).</w:t>
      </w:r>
      <w:r w:rsidR="00DF6AA5">
        <w:t xml:space="preserve"> </w:t>
      </w:r>
    </w:p>
  </w:footnote>
  <w:footnote w:id="47">
    <w:p w:rsidR="00ED4695" w:rsidRPr="004F40C2" w:rsidP="004F40C2" w14:paraId="314E3CB1" w14:textId="77777777">
      <w:pPr>
        <w:pStyle w:val="FootnoteText"/>
        <w:spacing w:after="120"/>
      </w:pPr>
      <w:r w:rsidRPr="004F40C2">
        <w:rPr>
          <w:rStyle w:val="FootnoteReference"/>
          <w:rFonts w:eastAsiaTheme="majorEastAsia"/>
        </w:rPr>
        <w:footnoteRef/>
      </w:r>
      <w:r w:rsidRPr="004F40C2">
        <w:t xml:space="preserve"> </w:t>
      </w:r>
      <w:r w:rsidRPr="004F40C2">
        <w:rPr>
          <w:i/>
          <w:iCs/>
        </w:rPr>
        <w:t>In re Columbus S. Power Co.</w:t>
      </w:r>
      <w:r w:rsidRPr="004F40C2">
        <w:t>, 138 Ohio St.3d 448, 2014-Ohio-462, ¶¶ 61-67.</w:t>
      </w:r>
    </w:p>
  </w:footnote>
  <w:footnote w:id="48">
    <w:p w:rsidR="00ED4695" w:rsidRPr="004F40C2" w:rsidP="004F40C2" w14:paraId="217B1823" w14:textId="77777777">
      <w:pPr>
        <w:pStyle w:val="FootnoteText"/>
        <w:spacing w:after="120"/>
      </w:pPr>
      <w:r w:rsidRPr="004F40C2">
        <w:rPr>
          <w:rStyle w:val="FootnoteReference"/>
          <w:rFonts w:eastAsiaTheme="majorEastAsia"/>
        </w:rPr>
        <w:footnoteRef/>
      </w:r>
      <w:r w:rsidRPr="004F40C2">
        <w:t xml:space="preserve"> </w:t>
      </w:r>
      <w:r w:rsidRPr="004F40C2">
        <w:rPr>
          <w:i/>
          <w:iCs/>
        </w:rPr>
        <w:t>See In re Columbus S. Power Co</w:t>
      </w:r>
      <w:r w:rsidRPr="004F40C2">
        <w:t xml:space="preserve">., 128 Ohio St.3d 512, ¶ 17-20 ($63 million); </w:t>
      </w:r>
      <w:r w:rsidRPr="004F40C2">
        <w:rPr>
          <w:i/>
          <w:iCs/>
        </w:rPr>
        <w:t>In re: Columbus S. Power Co.,</w:t>
      </w:r>
      <w:r w:rsidRPr="004F40C2">
        <w:t xml:space="preserve"> 138 Ohio St.3d 448, ¶ 56 ($368 million); </w:t>
      </w:r>
      <w:r w:rsidRPr="004F40C2">
        <w:rPr>
          <w:i/>
          <w:iCs/>
        </w:rPr>
        <w:t>In re Application of Dayton Power &amp; Light Co.,</w:t>
      </w:r>
      <w:r w:rsidRPr="004F40C2">
        <w:t xml:space="preserve"> 147 Ohio St.3d 166 ($330 million); </w:t>
      </w:r>
      <w:r w:rsidRPr="004F40C2">
        <w:rPr>
          <w:i/>
          <w:iCs/>
        </w:rPr>
        <w:t>In re Application of Ohio Edison Co</w:t>
      </w:r>
      <w:r w:rsidRPr="004F40C2">
        <w:t>., 2019-Ohio-2401, ¶ 23 ($456 million collected through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E00" w14:paraId="62B448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E00" w14:paraId="4BEBF8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E00" w14:paraId="55E226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75C4E"/>
    <w:multiLevelType w:val="hybridMultilevel"/>
    <w:tmpl w:val="9380FFDC"/>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800D8C"/>
    <w:multiLevelType w:val="hybridMultilevel"/>
    <w:tmpl w:val="1E38B998"/>
    <w:lvl w:ilvl="0">
      <w:start w:val="1"/>
      <w:numFmt w:val="upperLetter"/>
      <w:lvlText w:val="%1."/>
      <w:lvlJc w:val="left"/>
      <w:pPr>
        <w:ind w:left="720" w:hanging="360"/>
      </w:pPr>
      <w:rPr>
        <w:rFonts w:ascii="Times New Roman" w:eastAsia="Times New Roman" w:hAnsi="Times New Roman" w:cs="Times New Roman" w:hint="default"/>
        <w:color w:val="0000FF"/>
        <w:sz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9B385C"/>
    <w:multiLevelType w:val="hybridMultilevel"/>
    <w:tmpl w:val="9E8255B0"/>
    <w:lvl w:ilvl="0">
      <w:start w:val="3"/>
      <w:numFmt w:val="upperRoman"/>
      <w:lvlText w:val="%1."/>
      <w:lvlJc w:val="left"/>
      <w:pPr>
        <w:ind w:left="1350" w:hanging="720"/>
      </w:pPr>
      <w:rPr>
        <w:rFonts w:eastAsia="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EF72620"/>
    <w:multiLevelType w:val="hybridMultilevel"/>
    <w:tmpl w:val="1E1EC1B8"/>
    <w:lvl w:ilvl="0">
      <w:start w:val="1"/>
      <w:numFmt w:val="lowerLetter"/>
      <w:lvlText w:val="%1."/>
      <w:lvlJc w:val="left"/>
      <w:pPr>
        <w:ind w:left="3240" w:hanging="360"/>
      </w:pPr>
      <w:rPr>
        <w:rFonts w:ascii="Times New Roman Bold" w:hAnsi="Times New Roman Bold" w:hint="default"/>
        <w:b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
    <w:nsid w:val="2F867112"/>
    <w:multiLevelType w:val="hybridMultilevel"/>
    <w:tmpl w:val="1B5E6E3A"/>
    <w:lvl w:ilvl="0">
      <w:start w:val="1"/>
      <w:numFmt w:val="upperLetter"/>
      <w:lvlText w:val="%1."/>
      <w:lvlJc w:val="left"/>
      <w:pPr>
        <w:ind w:left="216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27A0855"/>
    <w:multiLevelType w:val="hybridMultilevel"/>
    <w:tmpl w:val="786AFD20"/>
    <w:lvl w:ilvl="0">
      <w:start w:val="1"/>
      <w:numFmt w:val="decimal"/>
      <w:lvlText w:val="%1."/>
      <w:lvlJc w:val="left"/>
      <w:pPr>
        <w:ind w:left="1800" w:hanging="360"/>
      </w:pPr>
      <w:rPr>
        <w:rFonts w:hint="default"/>
        <w:b/>
        <w:b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9DD7897"/>
    <w:multiLevelType w:val="hybridMultilevel"/>
    <w:tmpl w:val="FDC88D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E96037B"/>
    <w:multiLevelType w:val="hybridMultilevel"/>
    <w:tmpl w:val="8586C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95E3538"/>
    <w:multiLevelType w:val="multilevel"/>
    <w:tmpl w:val="314A5F60"/>
    <w:lvl w:ilvl="0">
      <w:start w:val="1"/>
      <w:numFmt w:val="upperRoman"/>
      <w:pStyle w:val="Heading1"/>
      <w:lvlText w:val="%1."/>
      <w:lvlJc w:val="left"/>
      <w:pPr>
        <w:ind w:left="0" w:firstLine="0"/>
      </w:pPr>
      <w:rPr>
        <w:rFonts w:hint="default"/>
      </w:rPr>
    </w:lvl>
    <w:lvl w:ilvl="1">
      <w:start w:val="1"/>
      <w:numFmt w:val="upperLetter"/>
      <w:lvlText w:val="%2."/>
      <w:lvlJc w:val="left"/>
      <w:pPr>
        <w:ind w:left="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67C37E5F"/>
    <w:multiLevelType w:val="hybridMultilevel"/>
    <w:tmpl w:val="16287014"/>
    <w:lvl w:ilvl="0">
      <w:start w:val="1"/>
      <w:numFmt w:val="lowerLetter"/>
      <w:lvlText w:val="%1."/>
      <w:lvlJc w:val="left"/>
      <w:pPr>
        <w:ind w:left="3240" w:hanging="360"/>
      </w:pPr>
      <w:rPr>
        <w:rFonts w:ascii="Times New Roman Bold" w:hAnsi="Times New Roman Bold" w:hint="default"/>
        <w:b w:val="0"/>
        <w:bCs/>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0">
    <w:nsid w:val="685C707F"/>
    <w:multiLevelType w:val="hybridMultilevel"/>
    <w:tmpl w:val="ED102B1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3846518"/>
    <w:multiLevelType w:val="hybridMultilevel"/>
    <w:tmpl w:val="27BA52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3"/>
  </w:num>
  <w:num w:numId="6">
    <w:abstractNumId w:val="11"/>
  </w:num>
  <w:num w:numId="7">
    <w:abstractNumId w:val="0"/>
  </w:num>
  <w:num w:numId="8">
    <w:abstractNumId w:val="6"/>
  </w:num>
  <w:num w:numId="9">
    <w:abstractNumId w:val="10"/>
  </w:num>
  <w:num w:numId="10">
    <w:abstractNumId w:val="4"/>
  </w:num>
  <w:num w:numId="11">
    <w:abstractNumId w:val="2"/>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4A9"/>
    <w:rsid w:val="00000655"/>
    <w:rsid w:val="00001258"/>
    <w:rsid w:val="00001D4B"/>
    <w:rsid w:val="000020B1"/>
    <w:rsid w:val="00003256"/>
    <w:rsid w:val="00003362"/>
    <w:rsid w:val="000037D4"/>
    <w:rsid w:val="0000400B"/>
    <w:rsid w:val="00004E6E"/>
    <w:rsid w:val="00005245"/>
    <w:rsid w:val="000052F7"/>
    <w:rsid w:val="00005B10"/>
    <w:rsid w:val="000069F5"/>
    <w:rsid w:val="00007BE4"/>
    <w:rsid w:val="0001049D"/>
    <w:rsid w:val="0001114A"/>
    <w:rsid w:val="0001155F"/>
    <w:rsid w:val="000124EC"/>
    <w:rsid w:val="000127D5"/>
    <w:rsid w:val="000130D3"/>
    <w:rsid w:val="00013757"/>
    <w:rsid w:val="000140A7"/>
    <w:rsid w:val="0001515B"/>
    <w:rsid w:val="000163F6"/>
    <w:rsid w:val="00017099"/>
    <w:rsid w:val="000170B1"/>
    <w:rsid w:val="00017DF3"/>
    <w:rsid w:val="000202A4"/>
    <w:rsid w:val="00022C03"/>
    <w:rsid w:val="00023779"/>
    <w:rsid w:val="00023E2B"/>
    <w:rsid w:val="000251B3"/>
    <w:rsid w:val="000256A7"/>
    <w:rsid w:val="0002599B"/>
    <w:rsid w:val="00025DD2"/>
    <w:rsid w:val="00025FC8"/>
    <w:rsid w:val="000265E4"/>
    <w:rsid w:val="00030C2F"/>
    <w:rsid w:val="0003106F"/>
    <w:rsid w:val="00033389"/>
    <w:rsid w:val="000348AC"/>
    <w:rsid w:val="00034AEC"/>
    <w:rsid w:val="00034BE7"/>
    <w:rsid w:val="000350C4"/>
    <w:rsid w:val="00035497"/>
    <w:rsid w:val="00041185"/>
    <w:rsid w:val="00041413"/>
    <w:rsid w:val="00041C64"/>
    <w:rsid w:val="00041E9D"/>
    <w:rsid w:val="000427E1"/>
    <w:rsid w:val="00042FA3"/>
    <w:rsid w:val="000432ED"/>
    <w:rsid w:val="00043DF6"/>
    <w:rsid w:val="00043E1A"/>
    <w:rsid w:val="00044903"/>
    <w:rsid w:val="000453B2"/>
    <w:rsid w:val="00045D0F"/>
    <w:rsid w:val="000470C7"/>
    <w:rsid w:val="00047396"/>
    <w:rsid w:val="000503C1"/>
    <w:rsid w:val="0005111E"/>
    <w:rsid w:val="0005145B"/>
    <w:rsid w:val="000520C5"/>
    <w:rsid w:val="00052217"/>
    <w:rsid w:val="000533CB"/>
    <w:rsid w:val="0005455D"/>
    <w:rsid w:val="000553C5"/>
    <w:rsid w:val="00055B47"/>
    <w:rsid w:val="00055C96"/>
    <w:rsid w:val="00055D38"/>
    <w:rsid w:val="00055DF9"/>
    <w:rsid w:val="00056A1A"/>
    <w:rsid w:val="000573DD"/>
    <w:rsid w:val="000575B2"/>
    <w:rsid w:val="0006002D"/>
    <w:rsid w:val="000607D9"/>
    <w:rsid w:val="000609D6"/>
    <w:rsid w:val="00060BD8"/>
    <w:rsid w:val="00061367"/>
    <w:rsid w:val="000614DD"/>
    <w:rsid w:val="00061BAD"/>
    <w:rsid w:val="000623A7"/>
    <w:rsid w:val="000626AC"/>
    <w:rsid w:val="0006279D"/>
    <w:rsid w:val="00062D1B"/>
    <w:rsid w:val="00062F9A"/>
    <w:rsid w:val="0006316B"/>
    <w:rsid w:val="000633B5"/>
    <w:rsid w:val="00064835"/>
    <w:rsid w:val="00064A0A"/>
    <w:rsid w:val="00064C81"/>
    <w:rsid w:val="00064C85"/>
    <w:rsid w:val="000651DF"/>
    <w:rsid w:val="00065D2D"/>
    <w:rsid w:val="000665F9"/>
    <w:rsid w:val="00070FF6"/>
    <w:rsid w:val="0007167D"/>
    <w:rsid w:val="000726E7"/>
    <w:rsid w:val="00072F26"/>
    <w:rsid w:val="000738F0"/>
    <w:rsid w:val="000745C8"/>
    <w:rsid w:val="00074B5E"/>
    <w:rsid w:val="00074C12"/>
    <w:rsid w:val="00074CC9"/>
    <w:rsid w:val="00075735"/>
    <w:rsid w:val="000768B2"/>
    <w:rsid w:val="00076C96"/>
    <w:rsid w:val="000810E1"/>
    <w:rsid w:val="000844F0"/>
    <w:rsid w:val="00084DD4"/>
    <w:rsid w:val="00085763"/>
    <w:rsid w:val="00087268"/>
    <w:rsid w:val="00090FDC"/>
    <w:rsid w:val="00091365"/>
    <w:rsid w:val="000932BF"/>
    <w:rsid w:val="00093A89"/>
    <w:rsid w:val="00093E59"/>
    <w:rsid w:val="000940D6"/>
    <w:rsid w:val="00096830"/>
    <w:rsid w:val="00096CAE"/>
    <w:rsid w:val="00097A3C"/>
    <w:rsid w:val="000A02FB"/>
    <w:rsid w:val="000A0658"/>
    <w:rsid w:val="000A0D04"/>
    <w:rsid w:val="000A0E47"/>
    <w:rsid w:val="000A1934"/>
    <w:rsid w:val="000A1CA9"/>
    <w:rsid w:val="000A2304"/>
    <w:rsid w:val="000A2386"/>
    <w:rsid w:val="000A3240"/>
    <w:rsid w:val="000A3649"/>
    <w:rsid w:val="000A4BD4"/>
    <w:rsid w:val="000A553D"/>
    <w:rsid w:val="000A5613"/>
    <w:rsid w:val="000A56B0"/>
    <w:rsid w:val="000A6315"/>
    <w:rsid w:val="000A651A"/>
    <w:rsid w:val="000A6C2F"/>
    <w:rsid w:val="000A7362"/>
    <w:rsid w:val="000A791D"/>
    <w:rsid w:val="000A7B2E"/>
    <w:rsid w:val="000A7EA6"/>
    <w:rsid w:val="000B0EF2"/>
    <w:rsid w:val="000B1CEE"/>
    <w:rsid w:val="000B2FC4"/>
    <w:rsid w:val="000B2FF8"/>
    <w:rsid w:val="000B3316"/>
    <w:rsid w:val="000B3907"/>
    <w:rsid w:val="000B3D25"/>
    <w:rsid w:val="000B4F7D"/>
    <w:rsid w:val="000B5600"/>
    <w:rsid w:val="000B591F"/>
    <w:rsid w:val="000B6682"/>
    <w:rsid w:val="000C02C1"/>
    <w:rsid w:val="000C16B2"/>
    <w:rsid w:val="000C1CF9"/>
    <w:rsid w:val="000C2218"/>
    <w:rsid w:val="000C257E"/>
    <w:rsid w:val="000C2B8B"/>
    <w:rsid w:val="000C4587"/>
    <w:rsid w:val="000C473D"/>
    <w:rsid w:val="000C5B5E"/>
    <w:rsid w:val="000C5DB7"/>
    <w:rsid w:val="000C60FE"/>
    <w:rsid w:val="000C6514"/>
    <w:rsid w:val="000C7798"/>
    <w:rsid w:val="000C78E6"/>
    <w:rsid w:val="000C7F39"/>
    <w:rsid w:val="000D1BA7"/>
    <w:rsid w:val="000D29BB"/>
    <w:rsid w:val="000D2DF7"/>
    <w:rsid w:val="000D3CB7"/>
    <w:rsid w:val="000D3FB6"/>
    <w:rsid w:val="000D48A4"/>
    <w:rsid w:val="000D4A0C"/>
    <w:rsid w:val="000D4DDC"/>
    <w:rsid w:val="000D5231"/>
    <w:rsid w:val="000D6056"/>
    <w:rsid w:val="000D7847"/>
    <w:rsid w:val="000E04DA"/>
    <w:rsid w:val="000E07C6"/>
    <w:rsid w:val="000E0D0D"/>
    <w:rsid w:val="000E0DA2"/>
    <w:rsid w:val="000E0E6E"/>
    <w:rsid w:val="000E11E3"/>
    <w:rsid w:val="000E2FCF"/>
    <w:rsid w:val="000E3362"/>
    <w:rsid w:val="000E3423"/>
    <w:rsid w:val="000E46C0"/>
    <w:rsid w:val="000E4954"/>
    <w:rsid w:val="000E4979"/>
    <w:rsid w:val="000E4A32"/>
    <w:rsid w:val="000E4ABF"/>
    <w:rsid w:val="000E51BB"/>
    <w:rsid w:val="000E56DB"/>
    <w:rsid w:val="000E62DA"/>
    <w:rsid w:val="000E6B41"/>
    <w:rsid w:val="000E72BD"/>
    <w:rsid w:val="000E7610"/>
    <w:rsid w:val="000E7D1A"/>
    <w:rsid w:val="000F0355"/>
    <w:rsid w:val="000F09A3"/>
    <w:rsid w:val="000F1144"/>
    <w:rsid w:val="000F3A80"/>
    <w:rsid w:val="000F3C7E"/>
    <w:rsid w:val="000F3D8D"/>
    <w:rsid w:val="000F55E4"/>
    <w:rsid w:val="000F566D"/>
    <w:rsid w:val="000F5768"/>
    <w:rsid w:val="000F57AF"/>
    <w:rsid w:val="000F6BF3"/>
    <w:rsid w:val="000F6E94"/>
    <w:rsid w:val="000F7B77"/>
    <w:rsid w:val="000F7E3A"/>
    <w:rsid w:val="00100295"/>
    <w:rsid w:val="001008CF"/>
    <w:rsid w:val="00100B5A"/>
    <w:rsid w:val="00101061"/>
    <w:rsid w:val="00101991"/>
    <w:rsid w:val="00101DC9"/>
    <w:rsid w:val="00102009"/>
    <w:rsid w:val="00102660"/>
    <w:rsid w:val="00102FCE"/>
    <w:rsid w:val="00103132"/>
    <w:rsid w:val="00103FB9"/>
    <w:rsid w:val="00104E6B"/>
    <w:rsid w:val="001051CC"/>
    <w:rsid w:val="001053B0"/>
    <w:rsid w:val="001068F6"/>
    <w:rsid w:val="00106ED6"/>
    <w:rsid w:val="00107E50"/>
    <w:rsid w:val="00110041"/>
    <w:rsid w:val="00110AAF"/>
    <w:rsid w:val="00111A9E"/>
    <w:rsid w:val="00111C81"/>
    <w:rsid w:val="00112B46"/>
    <w:rsid w:val="00112C55"/>
    <w:rsid w:val="001135F5"/>
    <w:rsid w:val="00113C2A"/>
    <w:rsid w:val="00115106"/>
    <w:rsid w:val="001151DA"/>
    <w:rsid w:val="001203C5"/>
    <w:rsid w:val="001219F1"/>
    <w:rsid w:val="001225ED"/>
    <w:rsid w:val="00122BA6"/>
    <w:rsid w:val="0012327B"/>
    <w:rsid w:val="00123FCE"/>
    <w:rsid w:val="001245A2"/>
    <w:rsid w:val="00124BC2"/>
    <w:rsid w:val="00126A6B"/>
    <w:rsid w:val="001277C8"/>
    <w:rsid w:val="00127F40"/>
    <w:rsid w:val="00131442"/>
    <w:rsid w:val="001316C1"/>
    <w:rsid w:val="001319E8"/>
    <w:rsid w:val="00131BC8"/>
    <w:rsid w:val="00131DB5"/>
    <w:rsid w:val="00131E2B"/>
    <w:rsid w:val="00132670"/>
    <w:rsid w:val="00132DD1"/>
    <w:rsid w:val="00134110"/>
    <w:rsid w:val="00134944"/>
    <w:rsid w:val="00134FB0"/>
    <w:rsid w:val="001352CC"/>
    <w:rsid w:val="0013572E"/>
    <w:rsid w:val="00136437"/>
    <w:rsid w:val="00136B47"/>
    <w:rsid w:val="00136CA4"/>
    <w:rsid w:val="00136D39"/>
    <w:rsid w:val="0013705B"/>
    <w:rsid w:val="001371C3"/>
    <w:rsid w:val="00137637"/>
    <w:rsid w:val="0014195E"/>
    <w:rsid w:val="001421A7"/>
    <w:rsid w:val="00142C05"/>
    <w:rsid w:val="00143104"/>
    <w:rsid w:val="00143B32"/>
    <w:rsid w:val="00144ED9"/>
    <w:rsid w:val="001450FB"/>
    <w:rsid w:val="00145118"/>
    <w:rsid w:val="00145C24"/>
    <w:rsid w:val="00145E28"/>
    <w:rsid w:val="00146B35"/>
    <w:rsid w:val="00146EBD"/>
    <w:rsid w:val="00147CF4"/>
    <w:rsid w:val="00150108"/>
    <w:rsid w:val="001506EB"/>
    <w:rsid w:val="00150D7F"/>
    <w:rsid w:val="001510DD"/>
    <w:rsid w:val="0015165F"/>
    <w:rsid w:val="00151D22"/>
    <w:rsid w:val="00152119"/>
    <w:rsid w:val="00152446"/>
    <w:rsid w:val="0015279D"/>
    <w:rsid w:val="0015340C"/>
    <w:rsid w:val="00154734"/>
    <w:rsid w:val="00154EC9"/>
    <w:rsid w:val="00155F6C"/>
    <w:rsid w:val="001565C4"/>
    <w:rsid w:val="00156EFB"/>
    <w:rsid w:val="00156FFC"/>
    <w:rsid w:val="001572D1"/>
    <w:rsid w:val="00157400"/>
    <w:rsid w:val="001576C9"/>
    <w:rsid w:val="001579E7"/>
    <w:rsid w:val="001605D3"/>
    <w:rsid w:val="00160662"/>
    <w:rsid w:val="00160958"/>
    <w:rsid w:val="00161F1B"/>
    <w:rsid w:val="00163725"/>
    <w:rsid w:val="00163DD0"/>
    <w:rsid w:val="001643AC"/>
    <w:rsid w:val="001645C7"/>
    <w:rsid w:val="00164C5C"/>
    <w:rsid w:val="0016508A"/>
    <w:rsid w:val="001654C2"/>
    <w:rsid w:val="00166062"/>
    <w:rsid w:val="00171323"/>
    <w:rsid w:val="0017233A"/>
    <w:rsid w:val="00175AE2"/>
    <w:rsid w:val="001762F6"/>
    <w:rsid w:val="001777EC"/>
    <w:rsid w:val="00177FC3"/>
    <w:rsid w:val="00181164"/>
    <w:rsid w:val="00181428"/>
    <w:rsid w:val="00181727"/>
    <w:rsid w:val="00181D2D"/>
    <w:rsid w:val="001826DE"/>
    <w:rsid w:val="0018279B"/>
    <w:rsid w:val="00182B2C"/>
    <w:rsid w:val="00182E06"/>
    <w:rsid w:val="0018413B"/>
    <w:rsid w:val="00184833"/>
    <w:rsid w:val="00186C0F"/>
    <w:rsid w:val="00186D39"/>
    <w:rsid w:val="00186DB1"/>
    <w:rsid w:val="00187C07"/>
    <w:rsid w:val="00190D5A"/>
    <w:rsid w:val="0019116F"/>
    <w:rsid w:val="001914FA"/>
    <w:rsid w:val="001917B4"/>
    <w:rsid w:val="00191CBE"/>
    <w:rsid w:val="00191D4F"/>
    <w:rsid w:val="00192878"/>
    <w:rsid w:val="001928AF"/>
    <w:rsid w:val="001948F0"/>
    <w:rsid w:val="00194E09"/>
    <w:rsid w:val="001951B4"/>
    <w:rsid w:val="001956FF"/>
    <w:rsid w:val="00195AB7"/>
    <w:rsid w:val="00196274"/>
    <w:rsid w:val="001965C5"/>
    <w:rsid w:val="001A0328"/>
    <w:rsid w:val="001A05E4"/>
    <w:rsid w:val="001A09CE"/>
    <w:rsid w:val="001A275E"/>
    <w:rsid w:val="001A3192"/>
    <w:rsid w:val="001A3F56"/>
    <w:rsid w:val="001A5BC6"/>
    <w:rsid w:val="001A5C4B"/>
    <w:rsid w:val="001A620E"/>
    <w:rsid w:val="001A6299"/>
    <w:rsid w:val="001A644E"/>
    <w:rsid w:val="001B0AD4"/>
    <w:rsid w:val="001B0AEC"/>
    <w:rsid w:val="001B0C84"/>
    <w:rsid w:val="001B17D4"/>
    <w:rsid w:val="001B2408"/>
    <w:rsid w:val="001B29DD"/>
    <w:rsid w:val="001B2F27"/>
    <w:rsid w:val="001B308F"/>
    <w:rsid w:val="001B3177"/>
    <w:rsid w:val="001B392D"/>
    <w:rsid w:val="001B5166"/>
    <w:rsid w:val="001C295D"/>
    <w:rsid w:val="001C3F54"/>
    <w:rsid w:val="001C635F"/>
    <w:rsid w:val="001C6545"/>
    <w:rsid w:val="001C6CF1"/>
    <w:rsid w:val="001C76BB"/>
    <w:rsid w:val="001C79E5"/>
    <w:rsid w:val="001C7A4A"/>
    <w:rsid w:val="001C7F5A"/>
    <w:rsid w:val="001D0559"/>
    <w:rsid w:val="001D058C"/>
    <w:rsid w:val="001D0B5B"/>
    <w:rsid w:val="001D10A0"/>
    <w:rsid w:val="001D215F"/>
    <w:rsid w:val="001D285F"/>
    <w:rsid w:val="001D36F7"/>
    <w:rsid w:val="001D3914"/>
    <w:rsid w:val="001D4E5F"/>
    <w:rsid w:val="001D52E1"/>
    <w:rsid w:val="001D5363"/>
    <w:rsid w:val="001D542B"/>
    <w:rsid w:val="001D563C"/>
    <w:rsid w:val="001D56C5"/>
    <w:rsid w:val="001D64DE"/>
    <w:rsid w:val="001D6D76"/>
    <w:rsid w:val="001D6E99"/>
    <w:rsid w:val="001D7B86"/>
    <w:rsid w:val="001E0885"/>
    <w:rsid w:val="001E1374"/>
    <w:rsid w:val="001E1A7B"/>
    <w:rsid w:val="001E1D70"/>
    <w:rsid w:val="001E3AC1"/>
    <w:rsid w:val="001E3B09"/>
    <w:rsid w:val="001E3FF9"/>
    <w:rsid w:val="001E4CD6"/>
    <w:rsid w:val="001E560A"/>
    <w:rsid w:val="001E570F"/>
    <w:rsid w:val="001E5CD8"/>
    <w:rsid w:val="001E62A2"/>
    <w:rsid w:val="001E640E"/>
    <w:rsid w:val="001E686E"/>
    <w:rsid w:val="001E69B8"/>
    <w:rsid w:val="001E6E2A"/>
    <w:rsid w:val="001E763C"/>
    <w:rsid w:val="001E76D2"/>
    <w:rsid w:val="001E7860"/>
    <w:rsid w:val="001E79F9"/>
    <w:rsid w:val="001E7EA9"/>
    <w:rsid w:val="001F0801"/>
    <w:rsid w:val="001F0BC8"/>
    <w:rsid w:val="001F0DD5"/>
    <w:rsid w:val="001F1302"/>
    <w:rsid w:val="001F1355"/>
    <w:rsid w:val="001F1826"/>
    <w:rsid w:val="001F1F96"/>
    <w:rsid w:val="001F2A7E"/>
    <w:rsid w:val="001F3527"/>
    <w:rsid w:val="001F53CA"/>
    <w:rsid w:val="001F59AA"/>
    <w:rsid w:val="001F6225"/>
    <w:rsid w:val="001F6786"/>
    <w:rsid w:val="001F7611"/>
    <w:rsid w:val="001F7949"/>
    <w:rsid w:val="001F7CBF"/>
    <w:rsid w:val="0020028C"/>
    <w:rsid w:val="00201CB9"/>
    <w:rsid w:val="0020276E"/>
    <w:rsid w:val="00202AA2"/>
    <w:rsid w:val="00203CA3"/>
    <w:rsid w:val="00203EE6"/>
    <w:rsid w:val="0020483F"/>
    <w:rsid w:val="00204FFC"/>
    <w:rsid w:val="00205248"/>
    <w:rsid w:val="002054C3"/>
    <w:rsid w:val="00205BBE"/>
    <w:rsid w:val="00206263"/>
    <w:rsid w:val="002062FF"/>
    <w:rsid w:val="0020664D"/>
    <w:rsid w:val="00210B64"/>
    <w:rsid w:val="00211B15"/>
    <w:rsid w:val="0021252C"/>
    <w:rsid w:val="00212563"/>
    <w:rsid w:val="00212930"/>
    <w:rsid w:val="00212B0D"/>
    <w:rsid w:val="00213C9B"/>
    <w:rsid w:val="00213E63"/>
    <w:rsid w:val="00214647"/>
    <w:rsid w:val="0021477D"/>
    <w:rsid w:val="00214A22"/>
    <w:rsid w:val="00215132"/>
    <w:rsid w:val="00215F8B"/>
    <w:rsid w:val="002178BD"/>
    <w:rsid w:val="00221266"/>
    <w:rsid w:val="00221324"/>
    <w:rsid w:val="002214E3"/>
    <w:rsid w:val="0022158C"/>
    <w:rsid w:val="00221B46"/>
    <w:rsid w:val="00222321"/>
    <w:rsid w:val="00222B29"/>
    <w:rsid w:val="00223013"/>
    <w:rsid w:val="00223A55"/>
    <w:rsid w:val="00223D08"/>
    <w:rsid w:val="002242D1"/>
    <w:rsid w:val="0022439D"/>
    <w:rsid w:val="00224A2D"/>
    <w:rsid w:val="002266F5"/>
    <w:rsid w:val="00226742"/>
    <w:rsid w:val="002272E3"/>
    <w:rsid w:val="00227542"/>
    <w:rsid w:val="00227B63"/>
    <w:rsid w:val="00227CC0"/>
    <w:rsid w:val="0023199D"/>
    <w:rsid w:val="00231CC7"/>
    <w:rsid w:val="00231EB6"/>
    <w:rsid w:val="00232F90"/>
    <w:rsid w:val="002333AD"/>
    <w:rsid w:val="00233766"/>
    <w:rsid w:val="002342AF"/>
    <w:rsid w:val="00236DB8"/>
    <w:rsid w:val="00237852"/>
    <w:rsid w:val="0024060D"/>
    <w:rsid w:val="00240DD1"/>
    <w:rsid w:val="0024290E"/>
    <w:rsid w:val="00242C8C"/>
    <w:rsid w:val="00243094"/>
    <w:rsid w:val="00243529"/>
    <w:rsid w:val="002435B6"/>
    <w:rsid w:val="00243D57"/>
    <w:rsid w:val="002450F8"/>
    <w:rsid w:val="00245F60"/>
    <w:rsid w:val="002463CC"/>
    <w:rsid w:val="002464CF"/>
    <w:rsid w:val="002465F2"/>
    <w:rsid w:val="002470E7"/>
    <w:rsid w:val="00247D22"/>
    <w:rsid w:val="0025017D"/>
    <w:rsid w:val="00250A22"/>
    <w:rsid w:val="00250ACB"/>
    <w:rsid w:val="00250DC6"/>
    <w:rsid w:val="00250DFB"/>
    <w:rsid w:val="00251079"/>
    <w:rsid w:val="00251CD7"/>
    <w:rsid w:val="00252385"/>
    <w:rsid w:val="00252FC2"/>
    <w:rsid w:val="00253A3B"/>
    <w:rsid w:val="002543E8"/>
    <w:rsid w:val="00254901"/>
    <w:rsid w:val="00255837"/>
    <w:rsid w:val="0025583B"/>
    <w:rsid w:val="002559C8"/>
    <w:rsid w:val="00255E9E"/>
    <w:rsid w:val="00256222"/>
    <w:rsid w:val="00257602"/>
    <w:rsid w:val="002602D6"/>
    <w:rsid w:val="00260AFF"/>
    <w:rsid w:val="00260E04"/>
    <w:rsid w:val="00262485"/>
    <w:rsid w:val="00263E6E"/>
    <w:rsid w:val="0026401B"/>
    <w:rsid w:val="002644BF"/>
    <w:rsid w:val="002645C5"/>
    <w:rsid w:val="00265856"/>
    <w:rsid w:val="00266528"/>
    <w:rsid w:val="0026658C"/>
    <w:rsid w:val="002665B0"/>
    <w:rsid w:val="002669E1"/>
    <w:rsid w:val="00267A5D"/>
    <w:rsid w:val="00267E67"/>
    <w:rsid w:val="00270636"/>
    <w:rsid w:val="00271E6F"/>
    <w:rsid w:val="00272DD3"/>
    <w:rsid w:val="00273193"/>
    <w:rsid w:val="00273C98"/>
    <w:rsid w:val="0027542A"/>
    <w:rsid w:val="0027555F"/>
    <w:rsid w:val="00275D45"/>
    <w:rsid w:val="00275F4A"/>
    <w:rsid w:val="00276019"/>
    <w:rsid w:val="00280058"/>
    <w:rsid w:val="0028035C"/>
    <w:rsid w:val="0028122D"/>
    <w:rsid w:val="00281258"/>
    <w:rsid w:val="002812E4"/>
    <w:rsid w:val="002813E0"/>
    <w:rsid w:val="002815B6"/>
    <w:rsid w:val="00282774"/>
    <w:rsid w:val="00283754"/>
    <w:rsid w:val="00284377"/>
    <w:rsid w:val="00285164"/>
    <w:rsid w:val="00286904"/>
    <w:rsid w:val="00286BA8"/>
    <w:rsid w:val="00286F58"/>
    <w:rsid w:val="002871BB"/>
    <w:rsid w:val="00290726"/>
    <w:rsid w:val="0029454B"/>
    <w:rsid w:val="002946CB"/>
    <w:rsid w:val="00295187"/>
    <w:rsid w:val="00296226"/>
    <w:rsid w:val="00296830"/>
    <w:rsid w:val="00296900"/>
    <w:rsid w:val="00296970"/>
    <w:rsid w:val="00297971"/>
    <w:rsid w:val="00297A82"/>
    <w:rsid w:val="00297DFB"/>
    <w:rsid w:val="002A081C"/>
    <w:rsid w:val="002A18E6"/>
    <w:rsid w:val="002A1E0A"/>
    <w:rsid w:val="002A2D5C"/>
    <w:rsid w:val="002A2D87"/>
    <w:rsid w:val="002A365A"/>
    <w:rsid w:val="002A3940"/>
    <w:rsid w:val="002A3BF0"/>
    <w:rsid w:val="002A3BF6"/>
    <w:rsid w:val="002A3CFA"/>
    <w:rsid w:val="002A4DB0"/>
    <w:rsid w:val="002A4F6E"/>
    <w:rsid w:val="002A505A"/>
    <w:rsid w:val="002A53E7"/>
    <w:rsid w:val="002A5621"/>
    <w:rsid w:val="002A5622"/>
    <w:rsid w:val="002A5DBB"/>
    <w:rsid w:val="002A663B"/>
    <w:rsid w:val="002A67D5"/>
    <w:rsid w:val="002A69AE"/>
    <w:rsid w:val="002A71F0"/>
    <w:rsid w:val="002B0E06"/>
    <w:rsid w:val="002B16DB"/>
    <w:rsid w:val="002B1B70"/>
    <w:rsid w:val="002B1BAB"/>
    <w:rsid w:val="002B1F0E"/>
    <w:rsid w:val="002B2801"/>
    <w:rsid w:val="002B34DA"/>
    <w:rsid w:val="002B4445"/>
    <w:rsid w:val="002B481E"/>
    <w:rsid w:val="002B4A35"/>
    <w:rsid w:val="002B5102"/>
    <w:rsid w:val="002B54B9"/>
    <w:rsid w:val="002B5BDD"/>
    <w:rsid w:val="002B6A29"/>
    <w:rsid w:val="002B6B40"/>
    <w:rsid w:val="002B7A27"/>
    <w:rsid w:val="002C099C"/>
    <w:rsid w:val="002C0C6E"/>
    <w:rsid w:val="002C243C"/>
    <w:rsid w:val="002C25A2"/>
    <w:rsid w:val="002C2D5A"/>
    <w:rsid w:val="002C41DA"/>
    <w:rsid w:val="002C4584"/>
    <w:rsid w:val="002C47A2"/>
    <w:rsid w:val="002C5855"/>
    <w:rsid w:val="002C5BF4"/>
    <w:rsid w:val="002C5CE9"/>
    <w:rsid w:val="002C5D6B"/>
    <w:rsid w:val="002C6022"/>
    <w:rsid w:val="002C61BA"/>
    <w:rsid w:val="002C64F5"/>
    <w:rsid w:val="002C65B4"/>
    <w:rsid w:val="002C6643"/>
    <w:rsid w:val="002C6AC1"/>
    <w:rsid w:val="002C7320"/>
    <w:rsid w:val="002C7B00"/>
    <w:rsid w:val="002C7EBA"/>
    <w:rsid w:val="002D1023"/>
    <w:rsid w:val="002D229E"/>
    <w:rsid w:val="002D35CB"/>
    <w:rsid w:val="002D36B6"/>
    <w:rsid w:val="002D3B14"/>
    <w:rsid w:val="002D4CFE"/>
    <w:rsid w:val="002D524A"/>
    <w:rsid w:val="002D697B"/>
    <w:rsid w:val="002D74B3"/>
    <w:rsid w:val="002D7CE6"/>
    <w:rsid w:val="002E02F0"/>
    <w:rsid w:val="002E0F2F"/>
    <w:rsid w:val="002E119C"/>
    <w:rsid w:val="002E144B"/>
    <w:rsid w:val="002E1520"/>
    <w:rsid w:val="002E1B39"/>
    <w:rsid w:val="002E1EE2"/>
    <w:rsid w:val="002E2195"/>
    <w:rsid w:val="002E2899"/>
    <w:rsid w:val="002E2C3F"/>
    <w:rsid w:val="002E379B"/>
    <w:rsid w:val="002E3C09"/>
    <w:rsid w:val="002E4D54"/>
    <w:rsid w:val="002E4DCF"/>
    <w:rsid w:val="002E508F"/>
    <w:rsid w:val="002E6DBD"/>
    <w:rsid w:val="002F0A48"/>
    <w:rsid w:val="002F0CDB"/>
    <w:rsid w:val="002F1E58"/>
    <w:rsid w:val="002F251E"/>
    <w:rsid w:val="002F2D3A"/>
    <w:rsid w:val="002F2E5C"/>
    <w:rsid w:val="002F3104"/>
    <w:rsid w:val="002F329A"/>
    <w:rsid w:val="002F42B8"/>
    <w:rsid w:val="002F487D"/>
    <w:rsid w:val="002F4C0B"/>
    <w:rsid w:val="002F67F3"/>
    <w:rsid w:val="002F67FB"/>
    <w:rsid w:val="002F6874"/>
    <w:rsid w:val="002F6C10"/>
    <w:rsid w:val="002F70E8"/>
    <w:rsid w:val="00300915"/>
    <w:rsid w:val="0030104A"/>
    <w:rsid w:val="00302394"/>
    <w:rsid w:val="003024FB"/>
    <w:rsid w:val="0030298B"/>
    <w:rsid w:val="0030330C"/>
    <w:rsid w:val="00303D8A"/>
    <w:rsid w:val="00303DD9"/>
    <w:rsid w:val="00304692"/>
    <w:rsid w:val="00304D9A"/>
    <w:rsid w:val="003066CF"/>
    <w:rsid w:val="00307D71"/>
    <w:rsid w:val="0031035E"/>
    <w:rsid w:val="00310E97"/>
    <w:rsid w:val="0031118E"/>
    <w:rsid w:val="003112F7"/>
    <w:rsid w:val="0031141D"/>
    <w:rsid w:val="003121E7"/>
    <w:rsid w:val="00312A55"/>
    <w:rsid w:val="00313037"/>
    <w:rsid w:val="00315455"/>
    <w:rsid w:val="00315EFD"/>
    <w:rsid w:val="0031601F"/>
    <w:rsid w:val="003167B0"/>
    <w:rsid w:val="00317014"/>
    <w:rsid w:val="00317113"/>
    <w:rsid w:val="00317534"/>
    <w:rsid w:val="00321D45"/>
    <w:rsid w:val="003224C9"/>
    <w:rsid w:val="003226A0"/>
    <w:rsid w:val="0032303E"/>
    <w:rsid w:val="003248FA"/>
    <w:rsid w:val="00325170"/>
    <w:rsid w:val="00325BF9"/>
    <w:rsid w:val="00326C1E"/>
    <w:rsid w:val="00326FA5"/>
    <w:rsid w:val="00327162"/>
    <w:rsid w:val="00327AD4"/>
    <w:rsid w:val="00330001"/>
    <w:rsid w:val="0033124E"/>
    <w:rsid w:val="0033131A"/>
    <w:rsid w:val="00332A57"/>
    <w:rsid w:val="00332BB9"/>
    <w:rsid w:val="003338A1"/>
    <w:rsid w:val="00334859"/>
    <w:rsid w:val="00334AE3"/>
    <w:rsid w:val="00334EAD"/>
    <w:rsid w:val="00335161"/>
    <w:rsid w:val="00335931"/>
    <w:rsid w:val="0033621F"/>
    <w:rsid w:val="00337218"/>
    <w:rsid w:val="0033793E"/>
    <w:rsid w:val="00337FDE"/>
    <w:rsid w:val="00340405"/>
    <w:rsid w:val="00342D8E"/>
    <w:rsid w:val="00342DC1"/>
    <w:rsid w:val="00343457"/>
    <w:rsid w:val="003434E1"/>
    <w:rsid w:val="00344C76"/>
    <w:rsid w:val="00345110"/>
    <w:rsid w:val="00345515"/>
    <w:rsid w:val="00345867"/>
    <w:rsid w:val="00345FED"/>
    <w:rsid w:val="003461EE"/>
    <w:rsid w:val="00346565"/>
    <w:rsid w:val="00347BCC"/>
    <w:rsid w:val="00351175"/>
    <w:rsid w:val="0035122A"/>
    <w:rsid w:val="00351ACC"/>
    <w:rsid w:val="00351B66"/>
    <w:rsid w:val="00351C71"/>
    <w:rsid w:val="00352592"/>
    <w:rsid w:val="00352A8B"/>
    <w:rsid w:val="0035322E"/>
    <w:rsid w:val="00353281"/>
    <w:rsid w:val="00353FE7"/>
    <w:rsid w:val="003602EA"/>
    <w:rsid w:val="00361E43"/>
    <w:rsid w:val="00362B28"/>
    <w:rsid w:val="00363674"/>
    <w:rsid w:val="00363E89"/>
    <w:rsid w:val="0036446E"/>
    <w:rsid w:val="003648A7"/>
    <w:rsid w:val="003666A6"/>
    <w:rsid w:val="00367390"/>
    <w:rsid w:val="003673B8"/>
    <w:rsid w:val="00367582"/>
    <w:rsid w:val="00367D12"/>
    <w:rsid w:val="00367E9C"/>
    <w:rsid w:val="00367EB9"/>
    <w:rsid w:val="00370912"/>
    <w:rsid w:val="00370DEF"/>
    <w:rsid w:val="003719B7"/>
    <w:rsid w:val="00372BC4"/>
    <w:rsid w:val="00372DFE"/>
    <w:rsid w:val="00372E01"/>
    <w:rsid w:val="0037300A"/>
    <w:rsid w:val="003734EF"/>
    <w:rsid w:val="0037360C"/>
    <w:rsid w:val="00373F1D"/>
    <w:rsid w:val="0037423F"/>
    <w:rsid w:val="003755CD"/>
    <w:rsid w:val="00375904"/>
    <w:rsid w:val="00375A86"/>
    <w:rsid w:val="003765E4"/>
    <w:rsid w:val="00376A33"/>
    <w:rsid w:val="00377818"/>
    <w:rsid w:val="00377EB4"/>
    <w:rsid w:val="00381396"/>
    <w:rsid w:val="00382058"/>
    <w:rsid w:val="003821EF"/>
    <w:rsid w:val="00383AE6"/>
    <w:rsid w:val="00384620"/>
    <w:rsid w:val="003847CB"/>
    <w:rsid w:val="00384C49"/>
    <w:rsid w:val="00385335"/>
    <w:rsid w:val="003858A3"/>
    <w:rsid w:val="003858B5"/>
    <w:rsid w:val="003860B1"/>
    <w:rsid w:val="00386194"/>
    <w:rsid w:val="0038687F"/>
    <w:rsid w:val="0038752E"/>
    <w:rsid w:val="0038786A"/>
    <w:rsid w:val="00387EAE"/>
    <w:rsid w:val="003901CC"/>
    <w:rsid w:val="003901E0"/>
    <w:rsid w:val="00390A39"/>
    <w:rsid w:val="003911C2"/>
    <w:rsid w:val="003916C0"/>
    <w:rsid w:val="003923D8"/>
    <w:rsid w:val="00392A8D"/>
    <w:rsid w:val="00392CDE"/>
    <w:rsid w:val="00393E0A"/>
    <w:rsid w:val="00395327"/>
    <w:rsid w:val="00395C3F"/>
    <w:rsid w:val="0039644B"/>
    <w:rsid w:val="00396717"/>
    <w:rsid w:val="00396A2A"/>
    <w:rsid w:val="00397098"/>
    <w:rsid w:val="00397330"/>
    <w:rsid w:val="003973D7"/>
    <w:rsid w:val="00397E7C"/>
    <w:rsid w:val="003A1A81"/>
    <w:rsid w:val="003A1B6D"/>
    <w:rsid w:val="003A26C9"/>
    <w:rsid w:val="003A31C5"/>
    <w:rsid w:val="003A44E2"/>
    <w:rsid w:val="003A54FA"/>
    <w:rsid w:val="003A5E1D"/>
    <w:rsid w:val="003A5FB6"/>
    <w:rsid w:val="003A6C5D"/>
    <w:rsid w:val="003A7323"/>
    <w:rsid w:val="003A79BC"/>
    <w:rsid w:val="003A7E8D"/>
    <w:rsid w:val="003B15C6"/>
    <w:rsid w:val="003B1F57"/>
    <w:rsid w:val="003B2503"/>
    <w:rsid w:val="003B31AB"/>
    <w:rsid w:val="003B3D29"/>
    <w:rsid w:val="003B3E36"/>
    <w:rsid w:val="003B4855"/>
    <w:rsid w:val="003B591D"/>
    <w:rsid w:val="003B5A48"/>
    <w:rsid w:val="003B6781"/>
    <w:rsid w:val="003B71B3"/>
    <w:rsid w:val="003B78B3"/>
    <w:rsid w:val="003B791E"/>
    <w:rsid w:val="003B7CB1"/>
    <w:rsid w:val="003C039D"/>
    <w:rsid w:val="003C040F"/>
    <w:rsid w:val="003C04D1"/>
    <w:rsid w:val="003C2F1E"/>
    <w:rsid w:val="003C4E5B"/>
    <w:rsid w:val="003C54B7"/>
    <w:rsid w:val="003C5E89"/>
    <w:rsid w:val="003C7D4D"/>
    <w:rsid w:val="003C7D83"/>
    <w:rsid w:val="003D0C51"/>
    <w:rsid w:val="003D0DDE"/>
    <w:rsid w:val="003D18CA"/>
    <w:rsid w:val="003D1CC3"/>
    <w:rsid w:val="003D2494"/>
    <w:rsid w:val="003D2DA9"/>
    <w:rsid w:val="003D30A5"/>
    <w:rsid w:val="003D3241"/>
    <w:rsid w:val="003D3A21"/>
    <w:rsid w:val="003D5071"/>
    <w:rsid w:val="003D54A3"/>
    <w:rsid w:val="003D5536"/>
    <w:rsid w:val="003D5FAA"/>
    <w:rsid w:val="003D6749"/>
    <w:rsid w:val="003D6EC8"/>
    <w:rsid w:val="003D767E"/>
    <w:rsid w:val="003E05BE"/>
    <w:rsid w:val="003E1203"/>
    <w:rsid w:val="003E1C21"/>
    <w:rsid w:val="003E1C3B"/>
    <w:rsid w:val="003E23B1"/>
    <w:rsid w:val="003E2833"/>
    <w:rsid w:val="003E2A67"/>
    <w:rsid w:val="003E3849"/>
    <w:rsid w:val="003E3BEE"/>
    <w:rsid w:val="003E42F4"/>
    <w:rsid w:val="003E4768"/>
    <w:rsid w:val="003E4BA4"/>
    <w:rsid w:val="003E4CDE"/>
    <w:rsid w:val="003E66CB"/>
    <w:rsid w:val="003E6D22"/>
    <w:rsid w:val="003E7E14"/>
    <w:rsid w:val="003F002C"/>
    <w:rsid w:val="003F0B1C"/>
    <w:rsid w:val="003F0B7B"/>
    <w:rsid w:val="003F1978"/>
    <w:rsid w:val="003F19D6"/>
    <w:rsid w:val="003F1B06"/>
    <w:rsid w:val="003F1D60"/>
    <w:rsid w:val="003F42DB"/>
    <w:rsid w:val="003F5E85"/>
    <w:rsid w:val="003F7472"/>
    <w:rsid w:val="003F74B7"/>
    <w:rsid w:val="004014B1"/>
    <w:rsid w:val="00402DE1"/>
    <w:rsid w:val="00403AA3"/>
    <w:rsid w:val="00403CEC"/>
    <w:rsid w:val="00404022"/>
    <w:rsid w:val="00404F5B"/>
    <w:rsid w:val="00406DDB"/>
    <w:rsid w:val="00406E47"/>
    <w:rsid w:val="004072E0"/>
    <w:rsid w:val="00407D98"/>
    <w:rsid w:val="00410201"/>
    <w:rsid w:val="00412148"/>
    <w:rsid w:val="00412806"/>
    <w:rsid w:val="00412DD1"/>
    <w:rsid w:val="00413010"/>
    <w:rsid w:val="004137CE"/>
    <w:rsid w:val="00413DD0"/>
    <w:rsid w:val="00413EE5"/>
    <w:rsid w:val="0041448D"/>
    <w:rsid w:val="0041458C"/>
    <w:rsid w:val="00414611"/>
    <w:rsid w:val="00414BDE"/>
    <w:rsid w:val="00420FB6"/>
    <w:rsid w:val="004217C6"/>
    <w:rsid w:val="00421A9E"/>
    <w:rsid w:val="00421C36"/>
    <w:rsid w:val="0042213C"/>
    <w:rsid w:val="0042326F"/>
    <w:rsid w:val="0042350A"/>
    <w:rsid w:val="00423968"/>
    <w:rsid w:val="00423B34"/>
    <w:rsid w:val="00423DF6"/>
    <w:rsid w:val="00424105"/>
    <w:rsid w:val="00425E9D"/>
    <w:rsid w:val="004267F5"/>
    <w:rsid w:val="00426F61"/>
    <w:rsid w:val="00427823"/>
    <w:rsid w:val="0043109A"/>
    <w:rsid w:val="00431A64"/>
    <w:rsid w:val="00431A82"/>
    <w:rsid w:val="00432A9F"/>
    <w:rsid w:val="00432D47"/>
    <w:rsid w:val="00433849"/>
    <w:rsid w:val="0043420E"/>
    <w:rsid w:val="00434347"/>
    <w:rsid w:val="00434AFC"/>
    <w:rsid w:val="004356B0"/>
    <w:rsid w:val="004364D8"/>
    <w:rsid w:val="004379A4"/>
    <w:rsid w:val="00437A1E"/>
    <w:rsid w:val="00437D55"/>
    <w:rsid w:val="00437ECC"/>
    <w:rsid w:val="00437FD8"/>
    <w:rsid w:val="004401DA"/>
    <w:rsid w:val="004406F3"/>
    <w:rsid w:val="00440F37"/>
    <w:rsid w:val="004410C5"/>
    <w:rsid w:val="00442CF1"/>
    <w:rsid w:val="00442E0A"/>
    <w:rsid w:val="00443261"/>
    <w:rsid w:val="0044502A"/>
    <w:rsid w:val="0044516D"/>
    <w:rsid w:val="00445594"/>
    <w:rsid w:val="00445959"/>
    <w:rsid w:val="00446079"/>
    <w:rsid w:val="00446123"/>
    <w:rsid w:val="00446A1F"/>
    <w:rsid w:val="0044715E"/>
    <w:rsid w:val="00450186"/>
    <w:rsid w:val="00450AE8"/>
    <w:rsid w:val="004515C4"/>
    <w:rsid w:val="004515F8"/>
    <w:rsid w:val="00451C9E"/>
    <w:rsid w:val="0045291B"/>
    <w:rsid w:val="00453ABC"/>
    <w:rsid w:val="00455BF1"/>
    <w:rsid w:val="004560C6"/>
    <w:rsid w:val="004567C8"/>
    <w:rsid w:val="00456C56"/>
    <w:rsid w:val="004570D7"/>
    <w:rsid w:val="0045757A"/>
    <w:rsid w:val="00457D38"/>
    <w:rsid w:val="00460648"/>
    <w:rsid w:val="00460D90"/>
    <w:rsid w:val="00460DC5"/>
    <w:rsid w:val="00461D53"/>
    <w:rsid w:val="004641C3"/>
    <w:rsid w:val="00464EFA"/>
    <w:rsid w:val="004650C2"/>
    <w:rsid w:val="004675D6"/>
    <w:rsid w:val="0047017D"/>
    <w:rsid w:val="00470E07"/>
    <w:rsid w:val="00471C8B"/>
    <w:rsid w:val="004722CF"/>
    <w:rsid w:val="00472A7B"/>
    <w:rsid w:val="00472B5B"/>
    <w:rsid w:val="00472C3F"/>
    <w:rsid w:val="00473C06"/>
    <w:rsid w:val="00474101"/>
    <w:rsid w:val="00474815"/>
    <w:rsid w:val="00474E0E"/>
    <w:rsid w:val="00475920"/>
    <w:rsid w:val="00475DBF"/>
    <w:rsid w:val="004772E5"/>
    <w:rsid w:val="0047730F"/>
    <w:rsid w:val="004778AF"/>
    <w:rsid w:val="00481650"/>
    <w:rsid w:val="00481F4B"/>
    <w:rsid w:val="00482004"/>
    <w:rsid w:val="00483CE7"/>
    <w:rsid w:val="004869EE"/>
    <w:rsid w:val="00486E96"/>
    <w:rsid w:val="004878AF"/>
    <w:rsid w:val="0049010B"/>
    <w:rsid w:val="00490564"/>
    <w:rsid w:val="004920F9"/>
    <w:rsid w:val="00492393"/>
    <w:rsid w:val="00492E44"/>
    <w:rsid w:val="00493C33"/>
    <w:rsid w:val="00493ECE"/>
    <w:rsid w:val="00494AF6"/>
    <w:rsid w:val="004952F1"/>
    <w:rsid w:val="00495512"/>
    <w:rsid w:val="00495AF3"/>
    <w:rsid w:val="00495C2F"/>
    <w:rsid w:val="0049615E"/>
    <w:rsid w:val="004965C0"/>
    <w:rsid w:val="00497238"/>
    <w:rsid w:val="004978C5"/>
    <w:rsid w:val="004A0253"/>
    <w:rsid w:val="004A2CB0"/>
    <w:rsid w:val="004A445B"/>
    <w:rsid w:val="004A44C0"/>
    <w:rsid w:val="004A4611"/>
    <w:rsid w:val="004A4814"/>
    <w:rsid w:val="004A66C2"/>
    <w:rsid w:val="004A6798"/>
    <w:rsid w:val="004A6D4E"/>
    <w:rsid w:val="004A6E22"/>
    <w:rsid w:val="004A7CBB"/>
    <w:rsid w:val="004B1C4C"/>
    <w:rsid w:val="004B1E3B"/>
    <w:rsid w:val="004B2A53"/>
    <w:rsid w:val="004B341B"/>
    <w:rsid w:val="004B37C2"/>
    <w:rsid w:val="004B3D59"/>
    <w:rsid w:val="004B41CD"/>
    <w:rsid w:val="004B4543"/>
    <w:rsid w:val="004B4DFA"/>
    <w:rsid w:val="004B522B"/>
    <w:rsid w:val="004B5404"/>
    <w:rsid w:val="004B6809"/>
    <w:rsid w:val="004C04FA"/>
    <w:rsid w:val="004C0E68"/>
    <w:rsid w:val="004C110F"/>
    <w:rsid w:val="004C1162"/>
    <w:rsid w:val="004C28EF"/>
    <w:rsid w:val="004C32A3"/>
    <w:rsid w:val="004C375D"/>
    <w:rsid w:val="004C3C36"/>
    <w:rsid w:val="004C444C"/>
    <w:rsid w:val="004C4A07"/>
    <w:rsid w:val="004C4F63"/>
    <w:rsid w:val="004C5AFF"/>
    <w:rsid w:val="004C765D"/>
    <w:rsid w:val="004C7C23"/>
    <w:rsid w:val="004D37ED"/>
    <w:rsid w:val="004D4AF0"/>
    <w:rsid w:val="004D4C6D"/>
    <w:rsid w:val="004D4EF6"/>
    <w:rsid w:val="004D5702"/>
    <w:rsid w:val="004D73B3"/>
    <w:rsid w:val="004E0A36"/>
    <w:rsid w:val="004E0B86"/>
    <w:rsid w:val="004E13A1"/>
    <w:rsid w:val="004E1BEF"/>
    <w:rsid w:val="004E1F68"/>
    <w:rsid w:val="004E2AE3"/>
    <w:rsid w:val="004E3259"/>
    <w:rsid w:val="004E349D"/>
    <w:rsid w:val="004E3A86"/>
    <w:rsid w:val="004E3E3C"/>
    <w:rsid w:val="004E45EA"/>
    <w:rsid w:val="004E5E89"/>
    <w:rsid w:val="004E5EA9"/>
    <w:rsid w:val="004E5EBB"/>
    <w:rsid w:val="004E6413"/>
    <w:rsid w:val="004E6ED2"/>
    <w:rsid w:val="004E7837"/>
    <w:rsid w:val="004E7BEA"/>
    <w:rsid w:val="004F049F"/>
    <w:rsid w:val="004F22BB"/>
    <w:rsid w:val="004F3292"/>
    <w:rsid w:val="004F3298"/>
    <w:rsid w:val="004F35FB"/>
    <w:rsid w:val="004F40C2"/>
    <w:rsid w:val="004F55D8"/>
    <w:rsid w:val="004F5BDC"/>
    <w:rsid w:val="004F5C33"/>
    <w:rsid w:val="004F6745"/>
    <w:rsid w:val="004F74AA"/>
    <w:rsid w:val="0050020B"/>
    <w:rsid w:val="00501E3D"/>
    <w:rsid w:val="005034C5"/>
    <w:rsid w:val="0050367E"/>
    <w:rsid w:val="00504649"/>
    <w:rsid w:val="0050504E"/>
    <w:rsid w:val="005057A9"/>
    <w:rsid w:val="00506DBE"/>
    <w:rsid w:val="00510B05"/>
    <w:rsid w:val="00510C8C"/>
    <w:rsid w:val="00510EBA"/>
    <w:rsid w:val="00512101"/>
    <w:rsid w:val="00513C9C"/>
    <w:rsid w:val="00516354"/>
    <w:rsid w:val="00516FC4"/>
    <w:rsid w:val="00517420"/>
    <w:rsid w:val="00517A4A"/>
    <w:rsid w:val="00517B27"/>
    <w:rsid w:val="00520E56"/>
    <w:rsid w:val="0052135C"/>
    <w:rsid w:val="005218A9"/>
    <w:rsid w:val="00521B8C"/>
    <w:rsid w:val="00523DDE"/>
    <w:rsid w:val="00523F4C"/>
    <w:rsid w:val="00524818"/>
    <w:rsid w:val="00524A1E"/>
    <w:rsid w:val="0052576D"/>
    <w:rsid w:val="005268C4"/>
    <w:rsid w:val="00526CA5"/>
    <w:rsid w:val="0052730A"/>
    <w:rsid w:val="00527663"/>
    <w:rsid w:val="005301C7"/>
    <w:rsid w:val="005311B2"/>
    <w:rsid w:val="00531C9B"/>
    <w:rsid w:val="00531F46"/>
    <w:rsid w:val="00532CCD"/>
    <w:rsid w:val="005335B7"/>
    <w:rsid w:val="005339B2"/>
    <w:rsid w:val="00533B43"/>
    <w:rsid w:val="0053471F"/>
    <w:rsid w:val="00535964"/>
    <w:rsid w:val="005363EA"/>
    <w:rsid w:val="005364D8"/>
    <w:rsid w:val="00536F7F"/>
    <w:rsid w:val="00541F08"/>
    <w:rsid w:val="005425A2"/>
    <w:rsid w:val="00543380"/>
    <w:rsid w:val="005437A7"/>
    <w:rsid w:val="00543826"/>
    <w:rsid w:val="00543D64"/>
    <w:rsid w:val="00543D9F"/>
    <w:rsid w:val="005442AD"/>
    <w:rsid w:val="00544580"/>
    <w:rsid w:val="00544A11"/>
    <w:rsid w:val="00544AC8"/>
    <w:rsid w:val="00545154"/>
    <w:rsid w:val="005454C5"/>
    <w:rsid w:val="00545D7B"/>
    <w:rsid w:val="00547630"/>
    <w:rsid w:val="00547A3B"/>
    <w:rsid w:val="00547C2F"/>
    <w:rsid w:val="00547E5C"/>
    <w:rsid w:val="005508B7"/>
    <w:rsid w:val="005529E1"/>
    <w:rsid w:val="005529E8"/>
    <w:rsid w:val="00554219"/>
    <w:rsid w:val="0055527A"/>
    <w:rsid w:val="00555314"/>
    <w:rsid w:val="00555CEC"/>
    <w:rsid w:val="00555ECC"/>
    <w:rsid w:val="00557F50"/>
    <w:rsid w:val="00561F8E"/>
    <w:rsid w:val="00562F25"/>
    <w:rsid w:val="005632C0"/>
    <w:rsid w:val="005635A5"/>
    <w:rsid w:val="00563C8D"/>
    <w:rsid w:val="00564128"/>
    <w:rsid w:val="00564463"/>
    <w:rsid w:val="00564611"/>
    <w:rsid w:val="00564F2C"/>
    <w:rsid w:val="00565FA7"/>
    <w:rsid w:val="005674E0"/>
    <w:rsid w:val="00567C7E"/>
    <w:rsid w:val="00567F30"/>
    <w:rsid w:val="0057057C"/>
    <w:rsid w:val="00570637"/>
    <w:rsid w:val="0057094C"/>
    <w:rsid w:val="00570C9E"/>
    <w:rsid w:val="00570E3C"/>
    <w:rsid w:val="00571257"/>
    <w:rsid w:val="0057149E"/>
    <w:rsid w:val="00571E39"/>
    <w:rsid w:val="005727F2"/>
    <w:rsid w:val="005775AC"/>
    <w:rsid w:val="00577A6E"/>
    <w:rsid w:val="00580FDC"/>
    <w:rsid w:val="00581D9B"/>
    <w:rsid w:val="00583506"/>
    <w:rsid w:val="00583891"/>
    <w:rsid w:val="00583C27"/>
    <w:rsid w:val="00584FD3"/>
    <w:rsid w:val="005858A0"/>
    <w:rsid w:val="00585C41"/>
    <w:rsid w:val="00586A6E"/>
    <w:rsid w:val="005900A9"/>
    <w:rsid w:val="00592388"/>
    <w:rsid w:val="005926F2"/>
    <w:rsid w:val="00592AE3"/>
    <w:rsid w:val="00592D12"/>
    <w:rsid w:val="00592F22"/>
    <w:rsid w:val="0059389D"/>
    <w:rsid w:val="00593901"/>
    <w:rsid w:val="005943BF"/>
    <w:rsid w:val="00594D4F"/>
    <w:rsid w:val="00595F01"/>
    <w:rsid w:val="00595FE2"/>
    <w:rsid w:val="005978AF"/>
    <w:rsid w:val="005A07F0"/>
    <w:rsid w:val="005A144F"/>
    <w:rsid w:val="005A2A37"/>
    <w:rsid w:val="005A30D0"/>
    <w:rsid w:val="005A5A4E"/>
    <w:rsid w:val="005A5C1C"/>
    <w:rsid w:val="005A644B"/>
    <w:rsid w:val="005A6DC0"/>
    <w:rsid w:val="005B07D1"/>
    <w:rsid w:val="005B1F42"/>
    <w:rsid w:val="005B2C7E"/>
    <w:rsid w:val="005B3677"/>
    <w:rsid w:val="005B38DA"/>
    <w:rsid w:val="005B599D"/>
    <w:rsid w:val="005B6625"/>
    <w:rsid w:val="005B67E8"/>
    <w:rsid w:val="005B6CE3"/>
    <w:rsid w:val="005B7AC0"/>
    <w:rsid w:val="005C039B"/>
    <w:rsid w:val="005C1A15"/>
    <w:rsid w:val="005C1EDE"/>
    <w:rsid w:val="005C2D46"/>
    <w:rsid w:val="005C2D8C"/>
    <w:rsid w:val="005C3E8C"/>
    <w:rsid w:val="005C43B9"/>
    <w:rsid w:val="005C47DC"/>
    <w:rsid w:val="005C50B1"/>
    <w:rsid w:val="005C5346"/>
    <w:rsid w:val="005C5690"/>
    <w:rsid w:val="005C73B4"/>
    <w:rsid w:val="005C740C"/>
    <w:rsid w:val="005C74FC"/>
    <w:rsid w:val="005D0E73"/>
    <w:rsid w:val="005D17DD"/>
    <w:rsid w:val="005D1C42"/>
    <w:rsid w:val="005D25EA"/>
    <w:rsid w:val="005D3E69"/>
    <w:rsid w:val="005D455D"/>
    <w:rsid w:val="005D5BD4"/>
    <w:rsid w:val="005D6B2F"/>
    <w:rsid w:val="005D76AF"/>
    <w:rsid w:val="005D7802"/>
    <w:rsid w:val="005D7B37"/>
    <w:rsid w:val="005D7E7C"/>
    <w:rsid w:val="005E07C4"/>
    <w:rsid w:val="005E0921"/>
    <w:rsid w:val="005E153C"/>
    <w:rsid w:val="005E1A52"/>
    <w:rsid w:val="005E23DC"/>
    <w:rsid w:val="005E2B5C"/>
    <w:rsid w:val="005E403A"/>
    <w:rsid w:val="005E5BD9"/>
    <w:rsid w:val="005E6471"/>
    <w:rsid w:val="005F08B4"/>
    <w:rsid w:val="005F146A"/>
    <w:rsid w:val="005F1D1F"/>
    <w:rsid w:val="005F2334"/>
    <w:rsid w:val="005F28B3"/>
    <w:rsid w:val="005F3148"/>
    <w:rsid w:val="005F34E0"/>
    <w:rsid w:val="005F4572"/>
    <w:rsid w:val="005F5405"/>
    <w:rsid w:val="005F68AF"/>
    <w:rsid w:val="005F6E34"/>
    <w:rsid w:val="005F7281"/>
    <w:rsid w:val="005F7BC5"/>
    <w:rsid w:val="0060150F"/>
    <w:rsid w:val="00601775"/>
    <w:rsid w:val="00601C0E"/>
    <w:rsid w:val="006026F9"/>
    <w:rsid w:val="00602CD0"/>
    <w:rsid w:val="0060363D"/>
    <w:rsid w:val="00604E6F"/>
    <w:rsid w:val="00605C87"/>
    <w:rsid w:val="0060622E"/>
    <w:rsid w:val="006062CE"/>
    <w:rsid w:val="00606E67"/>
    <w:rsid w:val="00607A42"/>
    <w:rsid w:val="00610314"/>
    <w:rsid w:val="00610512"/>
    <w:rsid w:val="00610B63"/>
    <w:rsid w:val="00611EFB"/>
    <w:rsid w:val="00612D62"/>
    <w:rsid w:val="0061365F"/>
    <w:rsid w:val="00613ED8"/>
    <w:rsid w:val="0061484A"/>
    <w:rsid w:val="00614B46"/>
    <w:rsid w:val="00614C5A"/>
    <w:rsid w:val="00615138"/>
    <w:rsid w:val="00616E9E"/>
    <w:rsid w:val="0061707C"/>
    <w:rsid w:val="006172C8"/>
    <w:rsid w:val="00617470"/>
    <w:rsid w:val="00620150"/>
    <w:rsid w:val="0062034B"/>
    <w:rsid w:val="0062042B"/>
    <w:rsid w:val="0062083B"/>
    <w:rsid w:val="00620F9B"/>
    <w:rsid w:val="006211CF"/>
    <w:rsid w:val="00621A3E"/>
    <w:rsid w:val="00622500"/>
    <w:rsid w:val="00622AAC"/>
    <w:rsid w:val="00623FDE"/>
    <w:rsid w:val="0062437C"/>
    <w:rsid w:val="0062634A"/>
    <w:rsid w:val="006278F1"/>
    <w:rsid w:val="00630779"/>
    <w:rsid w:val="00630969"/>
    <w:rsid w:val="0063143B"/>
    <w:rsid w:val="00631719"/>
    <w:rsid w:val="006319E7"/>
    <w:rsid w:val="00632A00"/>
    <w:rsid w:val="00632A3C"/>
    <w:rsid w:val="0063339D"/>
    <w:rsid w:val="00633BFE"/>
    <w:rsid w:val="00634080"/>
    <w:rsid w:val="006343E4"/>
    <w:rsid w:val="00636BE5"/>
    <w:rsid w:val="00637208"/>
    <w:rsid w:val="00637B9C"/>
    <w:rsid w:val="00640D0B"/>
    <w:rsid w:val="00641180"/>
    <w:rsid w:val="0064215B"/>
    <w:rsid w:val="00642606"/>
    <w:rsid w:val="0064281F"/>
    <w:rsid w:val="0064298C"/>
    <w:rsid w:val="006453ED"/>
    <w:rsid w:val="00645CEA"/>
    <w:rsid w:val="0065052C"/>
    <w:rsid w:val="00650B98"/>
    <w:rsid w:val="00650F07"/>
    <w:rsid w:val="0065139A"/>
    <w:rsid w:val="006516B6"/>
    <w:rsid w:val="00651A77"/>
    <w:rsid w:val="00651A7C"/>
    <w:rsid w:val="00651F0D"/>
    <w:rsid w:val="00652332"/>
    <w:rsid w:val="006524B8"/>
    <w:rsid w:val="00653E2F"/>
    <w:rsid w:val="00654166"/>
    <w:rsid w:val="00654E6C"/>
    <w:rsid w:val="00655016"/>
    <w:rsid w:val="006559E8"/>
    <w:rsid w:val="00656E9C"/>
    <w:rsid w:val="00657100"/>
    <w:rsid w:val="00657524"/>
    <w:rsid w:val="0065789C"/>
    <w:rsid w:val="00657982"/>
    <w:rsid w:val="006609E8"/>
    <w:rsid w:val="00661572"/>
    <w:rsid w:val="006615B0"/>
    <w:rsid w:val="0066284A"/>
    <w:rsid w:val="00662B08"/>
    <w:rsid w:val="00662EB4"/>
    <w:rsid w:val="00663196"/>
    <w:rsid w:val="0066370A"/>
    <w:rsid w:val="00664067"/>
    <w:rsid w:val="006647DC"/>
    <w:rsid w:val="00664C56"/>
    <w:rsid w:val="00664E57"/>
    <w:rsid w:val="00667078"/>
    <w:rsid w:val="00667D7D"/>
    <w:rsid w:val="00670488"/>
    <w:rsid w:val="00670963"/>
    <w:rsid w:val="00670F2F"/>
    <w:rsid w:val="0067226A"/>
    <w:rsid w:val="0067324A"/>
    <w:rsid w:val="00673450"/>
    <w:rsid w:val="006735B3"/>
    <w:rsid w:val="00673871"/>
    <w:rsid w:val="00673E71"/>
    <w:rsid w:val="00674668"/>
    <w:rsid w:val="00674AAA"/>
    <w:rsid w:val="00674D24"/>
    <w:rsid w:val="00676897"/>
    <w:rsid w:val="006777FB"/>
    <w:rsid w:val="00677C64"/>
    <w:rsid w:val="00677F9A"/>
    <w:rsid w:val="00680680"/>
    <w:rsid w:val="006818E0"/>
    <w:rsid w:val="00681A03"/>
    <w:rsid w:val="00681FBC"/>
    <w:rsid w:val="00682615"/>
    <w:rsid w:val="00682FF8"/>
    <w:rsid w:val="006840FA"/>
    <w:rsid w:val="006844AE"/>
    <w:rsid w:val="00684A53"/>
    <w:rsid w:val="00684C66"/>
    <w:rsid w:val="00685424"/>
    <w:rsid w:val="00685675"/>
    <w:rsid w:val="00685786"/>
    <w:rsid w:val="006861E2"/>
    <w:rsid w:val="00687244"/>
    <w:rsid w:val="006876E1"/>
    <w:rsid w:val="00687C99"/>
    <w:rsid w:val="00690203"/>
    <w:rsid w:val="00690416"/>
    <w:rsid w:val="00690567"/>
    <w:rsid w:val="00690BF3"/>
    <w:rsid w:val="00691CF4"/>
    <w:rsid w:val="006923D1"/>
    <w:rsid w:val="00692AFF"/>
    <w:rsid w:val="00692EB0"/>
    <w:rsid w:val="006935F8"/>
    <w:rsid w:val="0069402D"/>
    <w:rsid w:val="00694321"/>
    <w:rsid w:val="00694684"/>
    <w:rsid w:val="0069492D"/>
    <w:rsid w:val="006954C9"/>
    <w:rsid w:val="00695939"/>
    <w:rsid w:val="00695C41"/>
    <w:rsid w:val="006962C6"/>
    <w:rsid w:val="00696B64"/>
    <w:rsid w:val="00696F3B"/>
    <w:rsid w:val="00697023"/>
    <w:rsid w:val="006977D1"/>
    <w:rsid w:val="006A0077"/>
    <w:rsid w:val="006A0987"/>
    <w:rsid w:val="006A0E37"/>
    <w:rsid w:val="006A1ED0"/>
    <w:rsid w:val="006A2070"/>
    <w:rsid w:val="006A314F"/>
    <w:rsid w:val="006A4BFB"/>
    <w:rsid w:val="006A5587"/>
    <w:rsid w:val="006A6F7F"/>
    <w:rsid w:val="006A7C4D"/>
    <w:rsid w:val="006A7EE3"/>
    <w:rsid w:val="006B00BB"/>
    <w:rsid w:val="006B0315"/>
    <w:rsid w:val="006B031B"/>
    <w:rsid w:val="006B067F"/>
    <w:rsid w:val="006B0ADA"/>
    <w:rsid w:val="006B13A8"/>
    <w:rsid w:val="006B1AD4"/>
    <w:rsid w:val="006B1C30"/>
    <w:rsid w:val="006B1F37"/>
    <w:rsid w:val="006B1FC1"/>
    <w:rsid w:val="006B1FE5"/>
    <w:rsid w:val="006B2D4D"/>
    <w:rsid w:val="006B2F6B"/>
    <w:rsid w:val="006B321A"/>
    <w:rsid w:val="006B33D0"/>
    <w:rsid w:val="006B38A6"/>
    <w:rsid w:val="006B3FF6"/>
    <w:rsid w:val="006B3FFE"/>
    <w:rsid w:val="006B418E"/>
    <w:rsid w:val="006B45D4"/>
    <w:rsid w:val="006B4A74"/>
    <w:rsid w:val="006B4E1A"/>
    <w:rsid w:val="006B4F8D"/>
    <w:rsid w:val="006B5099"/>
    <w:rsid w:val="006B5EC6"/>
    <w:rsid w:val="006B6838"/>
    <w:rsid w:val="006B6E52"/>
    <w:rsid w:val="006C03EB"/>
    <w:rsid w:val="006C0BC7"/>
    <w:rsid w:val="006C0C23"/>
    <w:rsid w:val="006C13E9"/>
    <w:rsid w:val="006C187E"/>
    <w:rsid w:val="006C2064"/>
    <w:rsid w:val="006C2DAE"/>
    <w:rsid w:val="006C2EF7"/>
    <w:rsid w:val="006C3BC4"/>
    <w:rsid w:val="006C3C9D"/>
    <w:rsid w:val="006C45B3"/>
    <w:rsid w:val="006C4A36"/>
    <w:rsid w:val="006C4C30"/>
    <w:rsid w:val="006C528C"/>
    <w:rsid w:val="006C6311"/>
    <w:rsid w:val="006C76E9"/>
    <w:rsid w:val="006C7B70"/>
    <w:rsid w:val="006D00A9"/>
    <w:rsid w:val="006D0503"/>
    <w:rsid w:val="006D0BCE"/>
    <w:rsid w:val="006D17B3"/>
    <w:rsid w:val="006D235F"/>
    <w:rsid w:val="006D29B1"/>
    <w:rsid w:val="006D2C82"/>
    <w:rsid w:val="006D3966"/>
    <w:rsid w:val="006D3B58"/>
    <w:rsid w:val="006D3D5C"/>
    <w:rsid w:val="006D3EED"/>
    <w:rsid w:val="006D4898"/>
    <w:rsid w:val="006D5389"/>
    <w:rsid w:val="006D54B0"/>
    <w:rsid w:val="006D6624"/>
    <w:rsid w:val="006D6689"/>
    <w:rsid w:val="006D7383"/>
    <w:rsid w:val="006D7569"/>
    <w:rsid w:val="006E041C"/>
    <w:rsid w:val="006E08F4"/>
    <w:rsid w:val="006E2004"/>
    <w:rsid w:val="006E2831"/>
    <w:rsid w:val="006E3F2E"/>
    <w:rsid w:val="006E48BC"/>
    <w:rsid w:val="006E4CF0"/>
    <w:rsid w:val="006E5A3A"/>
    <w:rsid w:val="006E6809"/>
    <w:rsid w:val="006E69EB"/>
    <w:rsid w:val="006E6AF3"/>
    <w:rsid w:val="006E7113"/>
    <w:rsid w:val="006E75D3"/>
    <w:rsid w:val="006F0279"/>
    <w:rsid w:val="006F0ABA"/>
    <w:rsid w:val="006F11BF"/>
    <w:rsid w:val="006F15A8"/>
    <w:rsid w:val="006F1A6A"/>
    <w:rsid w:val="006F1E51"/>
    <w:rsid w:val="006F243B"/>
    <w:rsid w:val="006F2CC9"/>
    <w:rsid w:val="006F3F48"/>
    <w:rsid w:val="006F4218"/>
    <w:rsid w:val="006F4841"/>
    <w:rsid w:val="006F560A"/>
    <w:rsid w:val="006F57E5"/>
    <w:rsid w:val="006F6B22"/>
    <w:rsid w:val="006F7548"/>
    <w:rsid w:val="006F7E92"/>
    <w:rsid w:val="00702FFD"/>
    <w:rsid w:val="00703E38"/>
    <w:rsid w:val="00703E8B"/>
    <w:rsid w:val="0070442F"/>
    <w:rsid w:val="00705BB3"/>
    <w:rsid w:val="0070618D"/>
    <w:rsid w:val="00706B10"/>
    <w:rsid w:val="00707830"/>
    <w:rsid w:val="007102D6"/>
    <w:rsid w:val="00710E70"/>
    <w:rsid w:val="00710EA8"/>
    <w:rsid w:val="0071172D"/>
    <w:rsid w:val="00711BC4"/>
    <w:rsid w:val="00711C5C"/>
    <w:rsid w:val="00712669"/>
    <w:rsid w:val="007134B1"/>
    <w:rsid w:val="00713BCB"/>
    <w:rsid w:val="00714356"/>
    <w:rsid w:val="007143B9"/>
    <w:rsid w:val="00714911"/>
    <w:rsid w:val="00715205"/>
    <w:rsid w:val="00715ABF"/>
    <w:rsid w:val="007177F0"/>
    <w:rsid w:val="00717A2D"/>
    <w:rsid w:val="00717CA0"/>
    <w:rsid w:val="00720564"/>
    <w:rsid w:val="00720F7B"/>
    <w:rsid w:val="0072151A"/>
    <w:rsid w:val="00721C46"/>
    <w:rsid w:val="00722153"/>
    <w:rsid w:val="00722C99"/>
    <w:rsid w:val="00723872"/>
    <w:rsid w:val="0072615D"/>
    <w:rsid w:val="00726376"/>
    <w:rsid w:val="0072664D"/>
    <w:rsid w:val="007266FC"/>
    <w:rsid w:val="0072719D"/>
    <w:rsid w:val="00730061"/>
    <w:rsid w:val="00731821"/>
    <w:rsid w:val="0073238F"/>
    <w:rsid w:val="0073286C"/>
    <w:rsid w:val="00732917"/>
    <w:rsid w:val="00732F30"/>
    <w:rsid w:val="0073318A"/>
    <w:rsid w:val="00733348"/>
    <w:rsid w:val="00733B6F"/>
    <w:rsid w:val="00733C63"/>
    <w:rsid w:val="00734DB9"/>
    <w:rsid w:val="00735734"/>
    <w:rsid w:val="00735E7C"/>
    <w:rsid w:val="007360B0"/>
    <w:rsid w:val="00736299"/>
    <w:rsid w:val="00736C88"/>
    <w:rsid w:val="00737701"/>
    <w:rsid w:val="00737A00"/>
    <w:rsid w:val="00740659"/>
    <w:rsid w:val="007409F6"/>
    <w:rsid w:val="00740A76"/>
    <w:rsid w:val="00741212"/>
    <w:rsid w:val="0074186D"/>
    <w:rsid w:val="00741AB2"/>
    <w:rsid w:val="0074246A"/>
    <w:rsid w:val="00742532"/>
    <w:rsid w:val="00742DDD"/>
    <w:rsid w:val="00743354"/>
    <w:rsid w:val="007433F6"/>
    <w:rsid w:val="00743819"/>
    <w:rsid w:val="007441B3"/>
    <w:rsid w:val="00744EC8"/>
    <w:rsid w:val="0074512F"/>
    <w:rsid w:val="0074632E"/>
    <w:rsid w:val="0074679C"/>
    <w:rsid w:val="0074700C"/>
    <w:rsid w:val="00751596"/>
    <w:rsid w:val="00751A89"/>
    <w:rsid w:val="007524F6"/>
    <w:rsid w:val="00754C15"/>
    <w:rsid w:val="007552CC"/>
    <w:rsid w:val="007574D3"/>
    <w:rsid w:val="00760330"/>
    <w:rsid w:val="0076355D"/>
    <w:rsid w:val="00763852"/>
    <w:rsid w:val="00764425"/>
    <w:rsid w:val="007644B2"/>
    <w:rsid w:val="007644ED"/>
    <w:rsid w:val="00764D1A"/>
    <w:rsid w:val="007652C5"/>
    <w:rsid w:val="00765745"/>
    <w:rsid w:val="00766453"/>
    <w:rsid w:val="00767ADF"/>
    <w:rsid w:val="00770563"/>
    <w:rsid w:val="00770F28"/>
    <w:rsid w:val="00771135"/>
    <w:rsid w:val="00771605"/>
    <w:rsid w:val="007719A6"/>
    <w:rsid w:val="00773DDC"/>
    <w:rsid w:val="00774303"/>
    <w:rsid w:val="00775E6F"/>
    <w:rsid w:val="0077602F"/>
    <w:rsid w:val="00776962"/>
    <w:rsid w:val="007773DD"/>
    <w:rsid w:val="00777674"/>
    <w:rsid w:val="0078042E"/>
    <w:rsid w:val="007817EA"/>
    <w:rsid w:val="007826AF"/>
    <w:rsid w:val="007830C4"/>
    <w:rsid w:val="00783A68"/>
    <w:rsid w:val="00783BF7"/>
    <w:rsid w:val="007857D0"/>
    <w:rsid w:val="00785ABD"/>
    <w:rsid w:val="0078602A"/>
    <w:rsid w:val="0078620B"/>
    <w:rsid w:val="00786F37"/>
    <w:rsid w:val="00786F58"/>
    <w:rsid w:val="00787E80"/>
    <w:rsid w:val="00792C59"/>
    <w:rsid w:val="00793423"/>
    <w:rsid w:val="007938B2"/>
    <w:rsid w:val="00795DA5"/>
    <w:rsid w:val="007961EA"/>
    <w:rsid w:val="007976CC"/>
    <w:rsid w:val="007A0195"/>
    <w:rsid w:val="007A0AE3"/>
    <w:rsid w:val="007A0E68"/>
    <w:rsid w:val="007A1367"/>
    <w:rsid w:val="007A1910"/>
    <w:rsid w:val="007A28C4"/>
    <w:rsid w:val="007A2E0E"/>
    <w:rsid w:val="007A3797"/>
    <w:rsid w:val="007A42D8"/>
    <w:rsid w:val="007A45FF"/>
    <w:rsid w:val="007A4EAF"/>
    <w:rsid w:val="007A5CC1"/>
    <w:rsid w:val="007A6C83"/>
    <w:rsid w:val="007A7DA6"/>
    <w:rsid w:val="007A7FD4"/>
    <w:rsid w:val="007B0321"/>
    <w:rsid w:val="007B132F"/>
    <w:rsid w:val="007B1CE9"/>
    <w:rsid w:val="007B35B9"/>
    <w:rsid w:val="007B4E77"/>
    <w:rsid w:val="007B5AF9"/>
    <w:rsid w:val="007B631E"/>
    <w:rsid w:val="007B6376"/>
    <w:rsid w:val="007B6F2C"/>
    <w:rsid w:val="007B750D"/>
    <w:rsid w:val="007C182E"/>
    <w:rsid w:val="007C21FE"/>
    <w:rsid w:val="007C2350"/>
    <w:rsid w:val="007C2BC9"/>
    <w:rsid w:val="007C334B"/>
    <w:rsid w:val="007C368A"/>
    <w:rsid w:val="007C3C96"/>
    <w:rsid w:val="007C434F"/>
    <w:rsid w:val="007C4ADB"/>
    <w:rsid w:val="007C4C4A"/>
    <w:rsid w:val="007C51A4"/>
    <w:rsid w:val="007C5F01"/>
    <w:rsid w:val="007C6B73"/>
    <w:rsid w:val="007C7432"/>
    <w:rsid w:val="007C7FA7"/>
    <w:rsid w:val="007D0642"/>
    <w:rsid w:val="007D227B"/>
    <w:rsid w:val="007D2682"/>
    <w:rsid w:val="007D359D"/>
    <w:rsid w:val="007D3B17"/>
    <w:rsid w:val="007D4908"/>
    <w:rsid w:val="007D4CC0"/>
    <w:rsid w:val="007D5B5E"/>
    <w:rsid w:val="007D6758"/>
    <w:rsid w:val="007D7A79"/>
    <w:rsid w:val="007D7CBD"/>
    <w:rsid w:val="007D7DA6"/>
    <w:rsid w:val="007D7DB4"/>
    <w:rsid w:val="007E1820"/>
    <w:rsid w:val="007E183E"/>
    <w:rsid w:val="007E1AF0"/>
    <w:rsid w:val="007E202B"/>
    <w:rsid w:val="007E4746"/>
    <w:rsid w:val="007E4866"/>
    <w:rsid w:val="007E4EA0"/>
    <w:rsid w:val="007E53D2"/>
    <w:rsid w:val="007E5466"/>
    <w:rsid w:val="007E5FF2"/>
    <w:rsid w:val="007E6F62"/>
    <w:rsid w:val="007F0AC4"/>
    <w:rsid w:val="007F0B15"/>
    <w:rsid w:val="007F0CC7"/>
    <w:rsid w:val="007F1440"/>
    <w:rsid w:val="007F15F5"/>
    <w:rsid w:val="007F316D"/>
    <w:rsid w:val="007F3E81"/>
    <w:rsid w:val="007F40F4"/>
    <w:rsid w:val="007F4458"/>
    <w:rsid w:val="007F479E"/>
    <w:rsid w:val="007F4ACB"/>
    <w:rsid w:val="007F5926"/>
    <w:rsid w:val="007F5A95"/>
    <w:rsid w:val="007F5B3C"/>
    <w:rsid w:val="007F72D1"/>
    <w:rsid w:val="00800189"/>
    <w:rsid w:val="00800247"/>
    <w:rsid w:val="0080038A"/>
    <w:rsid w:val="008012BF"/>
    <w:rsid w:val="008023CA"/>
    <w:rsid w:val="00803667"/>
    <w:rsid w:val="00803E3A"/>
    <w:rsid w:val="00804C78"/>
    <w:rsid w:val="00805109"/>
    <w:rsid w:val="0080512C"/>
    <w:rsid w:val="00805843"/>
    <w:rsid w:val="00805B9D"/>
    <w:rsid w:val="00805D0A"/>
    <w:rsid w:val="00805E00"/>
    <w:rsid w:val="00805E8A"/>
    <w:rsid w:val="00806696"/>
    <w:rsid w:val="00806F6A"/>
    <w:rsid w:val="00807B53"/>
    <w:rsid w:val="0081102F"/>
    <w:rsid w:val="00811286"/>
    <w:rsid w:val="008113FD"/>
    <w:rsid w:val="00811476"/>
    <w:rsid w:val="00812D19"/>
    <w:rsid w:val="0081302A"/>
    <w:rsid w:val="00813401"/>
    <w:rsid w:val="00814B8B"/>
    <w:rsid w:val="00814BD8"/>
    <w:rsid w:val="00814FDE"/>
    <w:rsid w:val="008152A7"/>
    <w:rsid w:val="00815DA0"/>
    <w:rsid w:val="00815E09"/>
    <w:rsid w:val="00817F15"/>
    <w:rsid w:val="00820661"/>
    <w:rsid w:val="00820F85"/>
    <w:rsid w:val="008214B9"/>
    <w:rsid w:val="00821F0E"/>
    <w:rsid w:val="00822015"/>
    <w:rsid w:val="00822156"/>
    <w:rsid w:val="008221D8"/>
    <w:rsid w:val="00822B05"/>
    <w:rsid w:val="00822C26"/>
    <w:rsid w:val="00823318"/>
    <w:rsid w:val="00823B23"/>
    <w:rsid w:val="00824146"/>
    <w:rsid w:val="00824D53"/>
    <w:rsid w:val="00824E19"/>
    <w:rsid w:val="00825126"/>
    <w:rsid w:val="00827BAA"/>
    <w:rsid w:val="008300E2"/>
    <w:rsid w:val="008311D2"/>
    <w:rsid w:val="0083155B"/>
    <w:rsid w:val="00831560"/>
    <w:rsid w:val="00831D37"/>
    <w:rsid w:val="00832B2F"/>
    <w:rsid w:val="00834122"/>
    <w:rsid w:val="0083461E"/>
    <w:rsid w:val="008349D9"/>
    <w:rsid w:val="00834B0F"/>
    <w:rsid w:val="00834DA4"/>
    <w:rsid w:val="00835A69"/>
    <w:rsid w:val="008362F2"/>
    <w:rsid w:val="008368D0"/>
    <w:rsid w:val="008369CD"/>
    <w:rsid w:val="00836BDA"/>
    <w:rsid w:val="00837002"/>
    <w:rsid w:val="0083745E"/>
    <w:rsid w:val="008375BB"/>
    <w:rsid w:val="00837AD3"/>
    <w:rsid w:val="00837B4B"/>
    <w:rsid w:val="00837DC3"/>
    <w:rsid w:val="0084046B"/>
    <w:rsid w:val="00840538"/>
    <w:rsid w:val="00840E34"/>
    <w:rsid w:val="00841E5F"/>
    <w:rsid w:val="0084265D"/>
    <w:rsid w:val="008426DF"/>
    <w:rsid w:val="00842C20"/>
    <w:rsid w:val="00844F7B"/>
    <w:rsid w:val="0084528D"/>
    <w:rsid w:val="008452E7"/>
    <w:rsid w:val="008453B9"/>
    <w:rsid w:val="00845592"/>
    <w:rsid w:val="00846165"/>
    <w:rsid w:val="00846631"/>
    <w:rsid w:val="00846D9A"/>
    <w:rsid w:val="00847BD0"/>
    <w:rsid w:val="00847E6A"/>
    <w:rsid w:val="008512AB"/>
    <w:rsid w:val="008513BF"/>
    <w:rsid w:val="00852D28"/>
    <w:rsid w:val="00853134"/>
    <w:rsid w:val="008539FB"/>
    <w:rsid w:val="00853B6B"/>
    <w:rsid w:val="00854BEE"/>
    <w:rsid w:val="00855149"/>
    <w:rsid w:val="0085592C"/>
    <w:rsid w:val="00856168"/>
    <w:rsid w:val="008562DA"/>
    <w:rsid w:val="008564B9"/>
    <w:rsid w:val="008564FE"/>
    <w:rsid w:val="0085693F"/>
    <w:rsid w:val="00856AAB"/>
    <w:rsid w:val="00857402"/>
    <w:rsid w:val="008574C0"/>
    <w:rsid w:val="00857C61"/>
    <w:rsid w:val="00857EFF"/>
    <w:rsid w:val="008601F7"/>
    <w:rsid w:val="008612E3"/>
    <w:rsid w:val="008633E2"/>
    <w:rsid w:val="00863826"/>
    <w:rsid w:val="0086489F"/>
    <w:rsid w:val="008649E1"/>
    <w:rsid w:val="0086594D"/>
    <w:rsid w:val="0086689D"/>
    <w:rsid w:val="0086728E"/>
    <w:rsid w:val="00867768"/>
    <w:rsid w:val="00870F26"/>
    <w:rsid w:val="0087142E"/>
    <w:rsid w:val="008715CF"/>
    <w:rsid w:val="008729C4"/>
    <w:rsid w:val="00872BB3"/>
    <w:rsid w:val="00873123"/>
    <w:rsid w:val="00875757"/>
    <w:rsid w:val="008765DC"/>
    <w:rsid w:val="00876AA0"/>
    <w:rsid w:val="0087780D"/>
    <w:rsid w:val="0088064C"/>
    <w:rsid w:val="00880C10"/>
    <w:rsid w:val="00880F0C"/>
    <w:rsid w:val="0088121A"/>
    <w:rsid w:val="008816CB"/>
    <w:rsid w:val="00881872"/>
    <w:rsid w:val="008818D2"/>
    <w:rsid w:val="00881BD7"/>
    <w:rsid w:val="008820C5"/>
    <w:rsid w:val="00882304"/>
    <w:rsid w:val="00882E2D"/>
    <w:rsid w:val="008840DF"/>
    <w:rsid w:val="008842B5"/>
    <w:rsid w:val="00884BFB"/>
    <w:rsid w:val="0088606A"/>
    <w:rsid w:val="008860A3"/>
    <w:rsid w:val="00886172"/>
    <w:rsid w:val="00886911"/>
    <w:rsid w:val="00886EDD"/>
    <w:rsid w:val="00886F71"/>
    <w:rsid w:val="0088753C"/>
    <w:rsid w:val="00887561"/>
    <w:rsid w:val="00887AFA"/>
    <w:rsid w:val="00887D3B"/>
    <w:rsid w:val="00890AFE"/>
    <w:rsid w:val="00890BEE"/>
    <w:rsid w:val="0089133A"/>
    <w:rsid w:val="00891520"/>
    <w:rsid w:val="00893781"/>
    <w:rsid w:val="008947CD"/>
    <w:rsid w:val="0089483F"/>
    <w:rsid w:val="00894FB0"/>
    <w:rsid w:val="00895479"/>
    <w:rsid w:val="008959A6"/>
    <w:rsid w:val="008961FD"/>
    <w:rsid w:val="008976C9"/>
    <w:rsid w:val="008A21A4"/>
    <w:rsid w:val="008A45B6"/>
    <w:rsid w:val="008A49A5"/>
    <w:rsid w:val="008A539A"/>
    <w:rsid w:val="008A584B"/>
    <w:rsid w:val="008A5D66"/>
    <w:rsid w:val="008A7F5D"/>
    <w:rsid w:val="008B063C"/>
    <w:rsid w:val="008B07EA"/>
    <w:rsid w:val="008B1298"/>
    <w:rsid w:val="008B1429"/>
    <w:rsid w:val="008B15B7"/>
    <w:rsid w:val="008B182C"/>
    <w:rsid w:val="008B1916"/>
    <w:rsid w:val="008B34AA"/>
    <w:rsid w:val="008B3514"/>
    <w:rsid w:val="008B3A1E"/>
    <w:rsid w:val="008B3E53"/>
    <w:rsid w:val="008B3F4A"/>
    <w:rsid w:val="008B45EE"/>
    <w:rsid w:val="008B5229"/>
    <w:rsid w:val="008B54A7"/>
    <w:rsid w:val="008B689C"/>
    <w:rsid w:val="008B70CD"/>
    <w:rsid w:val="008B7286"/>
    <w:rsid w:val="008B7533"/>
    <w:rsid w:val="008B7B63"/>
    <w:rsid w:val="008C0311"/>
    <w:rsid w:val="008C1D8A"/>
    <w:rsid w:val="008C23B5"/>
    <w:rsid w:val="008C2556"/>
    <w:rsid w:val="008C27FD"/>
    <w:rsid w:val="008C3C8B"/>
    <w:rsid w:val="008C3E8C"/>
    <w:rsid w:val="008C3EAB"/>
    <w:rsid w:val="008C445B"/>
    <w:rsid w:val="008C4D86"/>
    <w:rsid w:val="008C52DC"/>
    <w:rsid w:val="008C5690"/>
    <w:rsid w:val="008C669D"/>
    <w:rsid w:val="008C6B4D"/>
    <w:rsid w:val="008C7159"/>
    <w:rsid w:val="008C7CBB"/>
    <w:rsid w:val="008C7E54"/>
    <w:rsid w:val="008D0A39"/>
    <w:rsid w:val="008D0C49"/>
    <w:rsid w:val="008D2876"/>
    <w:rsid w:val="008D2920"/>
    <w:rsid w:val="008D2D08"/>
    <w:rsid w:val="008D35BD"/>
    <w:rsid w:val="008D4207"/>
    <w:rsid w:val="008D4365"/>
    <w:rsid w:val="008D4FF4"/>
    <w:rsid w:val="008D64AB"/>
    <w:rsid w:val="008D66FB"/>
    <w:rsid w:val="008D6EBF"/>
    <w:rsid w:val="008E0E5E"/>
    <w:rsid w:val="008E0F6B"/>
    <w:rsid w:val="008E153E"/>
    <w:rsid w:val="008E177E"/>
    <w:rsid w:val="008E1F42"/>
    <w:rsid w:val="008E2499"/>
    <w:rsid w:val="008E26A5"/>
    <w:rsid w:val="008E3811"/>
    <w:rsid w:val="008E3B31"/>
    <w:rsid w:val="008E3D14"/>
    <w:rsid w:val="008E3EEE"/>
    <w:rsid w:val="008E4AD9"/>
    <w:rsid w:val="008E4E01"/>
    <w:rsid w:val="008E652D"/>
    <w:rsid w:val="008E7358"/>
    <w:rsid w:val="008E7B6F"/>
    <w:rsid w:val="008E7C2B"/>
    <w:rsid w:val="008F0025"/>
    <w:rsid w:val="008F06F7"/>
    <w:rsid w:val="008F0E2E"/>
    <w:rsid w:val="008F1B0B"/>
    <w:rsid w:val="008F1C4A"/>
    <w:rsid w:val="008F2EBE"/>
    <w:rsid w:val="008F3451"/>
    <w:rsid w:val="008F3F3D"/>
    <w:rsid w:val="008F4E47"/>
    <w:rsid w:val="008F74BD"/>
    <w:rsid w:val="00900FE9"/>
    <w:rsid w:val="00903BFC"/>
    <w:rsid w:val="009040D9"/>
    <w:rsid w:val="00904B1F"/>
    <w:rsid w:val="00905488"/>
    <w:rsid w:val="0090621B"/>
    <w:rsid w:val="00906B63"/>
    <w:rsid w:val="009100A4"/>
    <w:rsid w:val="0091023A"/>
    <w:rsid w:val="00911C11"/>
    <w:rsid w:val="00912D68"/>
    <w:rsid w:val="009133EA"/>
    <w:rsid w:val="009138DC"/>
    <w:rsid w:val="00913C29"/>
    <w:rsid w:val="009149A0"/>
    <w:rsid w:val="0091552F"/>
    <w:rsid w:val="00915F30"/>
    <w:rsid w:val="009165CF"/>
    <w:rsid w:val="009167C1"/>
    <w:rsid w:val="00916C0B"/>
    <w:rsid w:val="00916F91"/>
    <w:rsid w:val="009175D9"/>
    <w:rsid w:val="00920B1D"/>
    <w:rsid w:val="00922397"/>
    <w:rsid w:val="0092354C"/>
    <w:rsid w:val="00925273"/>
    <w:rsid w:val="009270DF"/>
    <w:rsid w:val="00927548"/>
    <w:rsid w:val="00931066"/>
    <w:rsid w:val="009322B8"/>
    <w:rsid w:val="00932457"/>
    <w:rsid w:val="00932D82"/>
    <w:rsid w:val="00932E58"/>
    <w:rsid w:val="00932FDA"/>
    <w:rsid w:val="00933AB8"/>
    <w:rsid w:val="0093407C"/>
    <w:rsid w:val="00934355"/>
    <w:rsid w:val="009344A4"/>
    <w:rsid w:val="00934AD6"/>
    <w:rsid w:val="009353F3"/>
    <w:rsid w:val="0093599C"/>
    <w:rsid w:val="00937325"/>
    <w:rsid w:val="009374DA"/>
    <w:rsid w:val="009406C4"/>
    <w:rsid w:val="00940CD2"/>
    <w:rsid w:val="009416D5"/>
    <w:rsid w:val="0094295E"/>
    <w:rsid w:val="00942BCA"/>
    <w:rsid w:val="00942E22"/>
    <w:rsid w:val="00943A01"/>
    <w:rsid w:val="0094417A"/>
    <w:rsid w:val="00945792"/>
    <w:rsid w:val="0094636C"/>
    <w:rsid w:val="009468BB"/>
    <w:rsid w:val="009479F4"/>
    <w:rsid w:val="00951282"/>
    <w:rsid w:val="009512B5"/>
    <w:rsid w:val="0095261D"/>
    <w:rsid w:val="00952669"/>
    <w:rsid w:val="009549C0"/>
    <w:rsid w:val="00955926"/>
    <w:rsid w:val="00955E87"/>
    <w:rsid w:val="00955F2A"/>
    <w:rsid w:val="00956052"/>
    <w:rsid w:val="00957261"/>
    <w:rsid w:val="0095742D"/>
    <w:rsid w:val="00960422"/>
    <w:rsid w:val="0096053B"/>
    <w:rsid w:val="00960F8A"/>
    <w:rsid w:val="0096114A"/>
    <w:rsid w:val="00961305"/>
    <w:rsid w:val="009617A4"/>
    <w:rsid w:val="00961B18"/>
    <w:rsid w:val="009624CE"/>
    <w:rsid w:val="0096330A"/>
    <w:rsid w:val="009634F8"/>
    <w:rsid w:val="009639FA"/>
    <w:rsid w:val="00963D90"/>
    <w:rsid w:val="009647B0"/>
    <w:rsid w:val="009649D5"/>
    <w:rsid w:val="00964C72"/>
    <w:rsid w:val="00964D8D"/>
    <w:rsid w:val="0096530F"/>
    <w:rsid w:val="009656A7"/>
    <w:rsid w:val="0096579B"/>
    <w:rsid w:val="009657BB"/>
    <w:rsid w:val="00965995"/>
    <w:rsid w:val="00965B3A"/>
    <w:rsid w:val="00965DD5"/>
    <w:rsid w:val="0096720E"/>
    <w:rsid w:val="00970348"/>
    <w:rsid w:val="00972944"/>
    <w:rsid w:val="00972B04"/>
    <w:rsid w:val="00974448"/>
    <w:rsid w:val="00975692"/>
    <w:rsid w:val="00975BB5"/>
    <w:rsid w:val="00976A5E"/>
    <w:rsid w:val="00977DF3"/>
    <w:rsid w:val="0098108F"/>
    <w:rsid w:val="0098140E"/>
    <w:rsid w:val="009827F5"/>
    <w:rsid w:val="00983B2E"/>
    <w:rsid w:val="009844AD"/>
    <w:rsid w:val="00984A8B"/>
    <w:rsid w:val="00985222"/>
    <w:rsid w:val="00985BEC"/>
    <w:rsid w:val="00985D50"/>
    <w:rsid w:val="009866AC"/>
    <w:rsid w:val="00986790"/>
    <w:rsid w:val="00987347"/>
    <w:rsid w:val="00987D45"/>
    <w:rsid w:val="009909FB"/>
    <w:rsid w:val="009910CC"/>
    <w:rsid w:val="009910F8"/>
    <w:rsid w:val="009913AB"/>
    <w:rsid w:val="00992A4D"/>
    <w:rsid w:val="00993225"/>
    <w:rsid w:val="009957CB"/>
    <w:rsid w:val="00996B1B"/>
    <w:rsid w:val="00997258"/>
    <w:rsid w:val="0099746F"/>
    <w:rsid w:val="00997E23"/>
    <w:rsid w:val="009A0366"/>
    <w:rsid w:val="009A0444"/>
    <w:rsid w:val="009A047F"/>
    <w:rsid w:val="009A1321"/>
    <w:rsid w:val="009A1985"/>
    <w:rsid w:val="009A1A62"/>
    <w:rsid w:val="009A27E5"/>
    <w:rsid w:val="009A2BD4"/>
    <w:rsid w:val="009A2C6B"/>
    <w:rsid w:val="009A3088"/>
    <w:rsid w:val="009A404C"/>
    <w:rsid w:val="009A43A8"/>
    <w:rsid w:val="009A48D9"/>
    <w:rsid w:val="009A50AF"/>
    <w:rsid w:val="009A61A3"/>
    <w:rsid w:val="009A79B6"/>
    <w:rsid w:val="009B17A3"/>
    <w:rsid w:val="009B1E0C"/>
    <w:rsid w:val="009B23BA"/>
    <w:rsid w:val="009B24DC"/>
    <w:rsid w:val="009B3EF7"/>
    <w:rsid w:val="009B41E7"/>
    <w:rsid w:val="009B4A76"/>
    <w:rsid w:val="009B513C"/>
    <w:rsid w:val="009B5D1B"/>
    <w:rsid w:val="009C22D1"/>
    <w:rsid w:val="009C3B2E"/>
    <w:rsid w:val="009C3DC7"/>
    <w:rsid w:val="009C49EA"/>
    <w:rsid w:val="009C5CE1"/>
    <w:rsid w:val="009C6524"/>
    <w:rsid w:val="009C6AC5"/>
    <w:rsid w:val="009C6B0D"/>
    <w:rsid w:val="009C7FA2"/>
    <w:rsid w:val="009D1D66"/>
    <w:rsid w:val="009D2252"/>
    <w:rsid w:val="009D2ED1"/>
    <w:rsid w:val="009D328C"/>
    <w:rsid w:val="009D3373"/>
    <w:rsid w:val="009D37EA"/>
    <w:rsid w:val="009D389E"/>
    <w:rsid w:val="009D391F"/>
    <w:rsid w:val="009D420C"/>
    <w:rsid w:val="009D5191"/>
    <w:rsid w:val="009D5C1F"/>
    <w:rsid w:val="009D5C6B"/>
    <w:rsid w:val="009D64D2"/>
    <w:rsid w:val="009D6844"/>
    <w:rsid w:val="009D6CA9"/>
    <w:rsid w:val="009E05F6"/>
    <w:rsid w:val="009E06A5"/>
    <w:rsid w:val="009E1326"/>
    <w:rsid w:val="009E296C"/>
    <w:rsid w:val="009E4336"/>
    <w:rsid w:val="009E59CD"/>
    <w:rsid w:val="009E5DC4"/>
    <w:rsid w:val="009E6190"/>
    <w:rsid w:val="009E6541"/>
    <w:rsid w:val="009E6D6B"/>
    <w:rsid w:val="009F0AD1"/>
    <w:rsid w:val="009F0E8C"/>
    <w:rsid w:val="009F2641"/>
    <w:rsid w:val="009F2F3E"/>
    <w:rsid w:val="009F3686"/>
    <w:rsid w:val="009F3910"/>
    <w:rsid w:val="009F61EE"/>
    <w:rsid w:val="009F66ED"/>
    <w:rsid w:val="009F6E64"/>
    <w:rsid w:val="00A00ECF"/>
    <w:rsid w:val="00A01CB3"/>
    <w:rsid w:val="00A021B5"/>
    <w:rsid w:val="00A02C71"/>
    <w:rsid w:val="00A0305C"/>
    <w:rsid w:val="00A037BF"/>
    <w:rsid w:val="00A03FD5"/>
    <w:rsid w:val="00A044B5"/>
    <w:rsid w:val="00A04873"/>
    <w:rsid w:val="00A04977"/>
    <w:rsid w:val="00A04C14"/>
    <w:rsid w:val="00A050BC"/>
    <w:rsid w:val="00A058DA"/>
    <w:rsid w:val="00A059C9"/>
    <w:rsid w:val="00A06281"/>
    <w:rsid w:val="00A06F57"/>
    <w:rsid w:val="00A07D9A"/>
    <w:rsid w:val="00A106FB"/>
    <w:rsid w:val="00A114C5"/>
    <w:rsid w:val="00A124DF"/>
    <w:rsid w:val="00A12CE6"/>
    <w:rsid w:val="00A134F7"/>
    <w:rsid w:val="00A13860"/>
    <w:rsid w:val="00A14554"/>
    <w:rsid w:val="00A14AC7"/>
    <w:rsid w:val="00A14D97"/>
    <w:rsid w:val="00A15242"/>
    <w:rsid w:val="00A162D5"/>
    <w:rsid w:val="00A169AB"/>
    <w:rsid w:val="00A170F8"/>
    <w:rsid w:val="00A179DF"/>
    <w:rsid w:val="00A21585"/>
    <w:rsid w:val="00A225E1"/>
    <w:rsid w:val="00A22C3C"/>
    <w:rsid w:val="00A2332D"/>
    <w:rsid w:val="00A24041"/>
    <w:rsid w:val="00A240CF"/>
    <w:rsid w:val="00A24253"/>
    <w:rsid w:val="00A256C9"/>
    <w:rsid w:val="00A25F4B"/>
    <w:rsid w:val="00A26106"/>
    <w:rsid w:val="00A26534"/>
    <w:rsid w:val="00A314DB"/>
    <w:rsid w:val="00A31534"/>
    <w:rsid w:val="00A31AC9"/>
    <w:rsid w:val="00A342E4"/>
    <w:rsid w:val="00A3485B"/>
    <w:rsid w:val="00A34C66"/>
    <w:rsid w:val="00A35DB7"/>
    <w:rsid w:val="00A36F0B"/>
    <w:rsid w:val="00A37783"/>
    <w:rsid w:val="00A37932"/>
    <w:rsid w:val="00A37A13"/>
    <w:rsid w:val="00A37D54"/>
    <w:rsid w:val="00A40046"/>
    <w:rsid w:val="00A41BE3"/>
    <w:rsid w:val="00A423E6"/>
    <w:rsid w:val="00A4271B"/>
    <w:rsid w:val="00A428C9"/>
    <w:rsid w:val="00A43EC4"/>
    <w:rsid w:val="00A448AB"/>
    <w:rsid w:val="00A44AF7"/>
    <w:rsid w:val="00A45537"/>
    <w:rsid w:val="00A456B7"/>
    <w:rsid w:val="00A457B3"/>
    <w:rsid w:val="00A45A0F"/>
    <w:rsid w:val="00A46FE0"/>
    <w:rsid w:val="00A4732D"/>
    <w:rsid w:val="00A47714"/>
    <w:rsid w:val="00A47754"/>
    <w:rsid w:val="00A4799C"/>
    <w:rsid w:val="00A47CF8"/>
    <w:rsid w:val="00A47D3E"/>
    <w:rsid w:val="00A5013B"/>
    <w:rsid w:val="00A50AAF"/>
    <w:rsid w:val="00A51FFC"/>
    <w:rsid w:val="00A525D2"/>
    <w:rsid w:val="00A53EDA"/>
    <w:rsid w:val="00A548D4"/>
    <w:rsid w:val="00A5512D"/>
    <w:rsid w:val="00A55581"/>
    <w:rsid w:val="00A556D5"/>
    <w:rsid w:val="00A56EFB"/>
    <w:rsid w:val="00A57578"/>
    <w:rsid w:val="00A575C5"/>
    <w:rsid w:val="00A578EC"/>
    <w:rsid w:val="00A578FB"/>
    <w:rsid w:val="00A57A0C"/>
    <w:rsid w:val="00A603F0"/>
    <w:rsid w:val="00A6087D"/>
    <w:rsid w:val="00A60F2C"/>
    <w:rsid w:val="00A613B9"/>
    <w:rsid w:val="00A61AFF"/>
    <w:rsid w:val="00A61ED4"/>
    <w:rsid w:val="00A646DF"/>
    <w:rsid w:val="00A655CE"/>
    <w:rsid w:val="00A65EF0"/>
    <w:rsid w:val="00A66D17"/>
    <w:rsid w:val="00A66E8D"/>
    <w:rsid w:val="00A66EDE"/>
    <w:rsid w:val="00A677C0"/>
    <w:rsid w:val="00A71D97"/>
    <w:rsid w:val="00A721DF"/>
    <w:rsid w:val="00A7221E"/>
    <w:rsid w:val="00A725CF"/>
    <w:rsid w:val="00A72F2D"/>
    <w:rsid w:val="00A736BE"/>
    <w:rsid w:val="00A742CC"/>
    <w:rsid w:val="00A75BB0"/>
    <w:rsid w:val="00A75FC5"/>
    <w:rsid w:val="00A766C1"/>
    <w:rsid w:val="00A76A6E"/>
    <w:rsid w:val="00A76BF2"/>
    <w:rsid w:val="00A76E36"/>
    <w:rsid w:val="00A77D5B"/>
    <w:rsid w:val="00A80EDB"/>
    <w:rsid w:val="00A810B7"/>
    <w:rsid w:val="00A81B1E"/>
    <w:rsid w:val="00A837AD"/>
    <w:rsid w:val="00A83EE0"/>
    <w:rsid w:val="00A847D5"/>
    <w:rsid w:val="00A85150"/>
    <w:rsid w:val="00A85520"/>
    <w:rsid w:val="00A865EC"/>
    <w:rsid w:val="00A87788"/>
    <w:rsid w:val="00A9040A"/>
    <w:rsid w:val="00A91671"/>
    <w:rsid w:val="00A92360"/>
    <w:rsid w:val="00A933D0"/>
    <w:rsid w:val="00A93439"/>
    <w:rsid w:val="00A937B2"/>
    <w:rsid w:val="00A93963"/>
    <w:rsid w:val="00A94103"/>
    <w:rsid w:val="00A94640"/>
    <w:rsid w:val="00A9505D"/>
    <w:rsid w:val="00A950B7"/>
    <w:rsid w:val="00A96867"/>
    <w:rsid w:val="00AA027A"/>
    <w:rsid w:val="00AA0FF1"/>
    <w:rsid w:val="00AA179F"/>
    <w:rsid w:val="00AA2466"/>
    <w:rsid w:val="00AA25C1"/>
    <w:rsid w:val="00AA34AA"/>
    <w:rsid w:val="00AA387C"/>
    <w:rsid w:val="00AA3CF7"/>
    <w:rsid w:val="00AA453B"/>
    <w:rsid w:val="00AA50AE"/>
    <w:rsid w:val="00AA6491"/>
    <w:rsid w:val="00AA684A"/>
    <w:rsid w:val="00AA6D5E"/>
    <w:rsid w:val="00AA727C"/>
    <w:rsid w:val="00AA7752"/>
    <w:rsid w:val="00AB04D3"/>
    <w:rsid w:val="00AB1D41"/>
    <w:rsid w:val="00AB22E0"/>
    <w:rsid w:val="00AB2F6B"/>
    <w:rsid w:val="00AB30A8"/>
    <w:rsid w:val="00AB3867"/>
    <w:rsid w:val="00AB3F64"/>
    <w:rsid w:val="00AB4685"/>
    <w:rsid w:val="00AB6985"/>
    <w:rsid w:val="00AB7B58"/>
    <w:rsid w:val="00AC0274"/>
    <w:rsid w:val="00AC03B0"/>
    <w:rsid w:val="00AC0983"/>
    <w:rsid w:val="00AC0BAB"/>
    <w:rsid w:val="00AC0C17"/>
    <w:rsid w:val="00AC1C05"/>
    <w:rsid w:val="00AC26A7"/>
    <w:rsid w:val="00AC2F9B"/>
    <w:rsid w:val="00AC37FB"/>
    <w:rsid w:val="00AC3882"/>
    <w:rsid w:val="00AC3BB4"/>
    <w:rsid w:val="00AC5402"/>
    <w:rsid w:val="00AC54A7"/>
    <w:rsid w:val="00AC5B41"/>
    <w:rsid w:val="00AC5D87"/>
    <w:rsid w:val="00AC5E1E"/>
    <w:rsid w:val="00AC75DE"/>
    <w:rsid w:val="00AC7F70"/>
    <w:rsid w:val="00AD05F8"/>
    <w:rsid w:val="00AD0B1F"/>
    <w:rsid w:val="00AD1B42"/>
    <w:rsid w:val="00AD27E3"/>
    <w:rsid w:val="00AD2AAF"/>
    <w:rsid w:val="00AD332C"/>
    <w:rsid w:val="00AD44CB"/>
    <w:rsid w:val="00AD47B2"/>
    <w:rsid w:val="00AD4B3C"/>
    <w:rsid w:val="00AD5761"/>
    <w:rsid w:val="00AD6EF7"/>
    <w:rsid w:val="00AD738C"/>
    <w:rsid w:val="00AD7499"/>
    <w:rsid w:val="00AD79D9"/>
    <w:rsid w:val="00AD7F74"/>
    <w:rsid w:val="00AE1A76"/>
    <w:rsid w:val="00AE219A"/>
    <w:rsid w:val="00AE2337"/>
    <w:rsid w:val="00AE25B3"/>
    <w:rsid w:val="00AE4390"/>
    <w:rsid w:val="00AE4F96"/>
    <w:rsid w:val="00AE5D19"/>
    <w:rsid w:val="00AE63DF"/>
    <w:rsid w:val="00AF1261"/>
    <w:rsid w:val="00AF1AFE"/>
    <w:rsid w:val="00AF200B"/>
    <w:rsid w:val="00AF2302"/>
    <w:rsid w:val="00AF2428"/>
    <w:rsid w:val="00AF2909"/>
    <w:rsid w:val="00AF2AE8"/>
    <w:rsid w:val="00AF2D91"/>
    <w:rsid w:val="00AF5B95"/>
    <w:rsid w:val="00AF6906"/>
    <w:rsid w:val="00AF6908"/>
    <w:rsid w:val="00AF6A22"/>
    <w:rsid w:val="00AF7F4B"/>
    <w:rsid w:val="00B00277"/>
    <w:rsid w:val="00B00D01"/>
    <w:rsid w:val="00B01249"/>
    <w:rsid w:val="00B012A9"/>
    <w:rsid w:val="00B01C2B"/>
    <w:rsid w:val="00B05C2E"/>
    <w:rsid w:val="00B05CB9"/>
    <w:rsid w:val="00B067CD"/>
    <w:rsid w:val="00B06DD2"/>
    <w:rsid w:val="00B07156"/>
    <w:rsid w:val="00B077BE"/>
    <w:rsid w:val="00B07AFA"/>
    <w:rsid w:val="00B07D5C"/>
    <w:rsid w:val="00B109F4"/>
    <w:rsid w:val="00B12E69"/>
    <w:rsid w:val="00B1357D"/>
    <w:rsid w:val="00B139CE"/>
    <w:rsid w:val="00B13A30"/>
    <w:rsid w:val="00B147C1"/>
    <w:rsid w:val="00B1551F"/>
    <w:rsid w:val="00B15EA0"/>
    <w:rsid w:val="00B16E5C"/>
    <w:rsid w:val="00B20BB6"/>
    <w:rsid w:val="00B20C87"/>
    <w:rsid w:val="00B21C39"/>
    <w:rsid w:val="00B21D29"/>
    <w:rsid w:val="00B21E64"/>
    <w:rsid w:val="00B226BA"/>
    <w:rsid w:val="00B227EE"/>
    <w:rsid w:val="00B239FE"/>
    <w:rsid w:val="00B23C69"/>
    <w:rsid w:val="00B2469B"/>
    <w:rsid w:val="00B2586C"/>
    <w:rsid w:val="00B259E1"/>
    <w:rsid w:val="00B25CBB"/>
    <w:rsid w:val="00B26200"/>
    <w:rsid w:val="00B26204"/>
    <w:rsid w:val="00B26520"/>
    <w:rsid w:val="00B26DC5"/>
    <w:rsid w:val="00B2732D"/>
    <w:rsid w:val="00B301F9"/>
    <w:rsid w:val="00B307CA"/>
    <w:rsid w:val="00B30AFF"/>
    <w:rsid w:val="00B30B83"/>
    <w:rsid w:val="00B31F0D"/>
    <w:rsid w:val="00B327DE"/>
    <w:rsid w:val="00B32AC9"/>
    <w:rsid w:val="00B32F23"/>
    <w:rsid w:val="00B34579"/>
    <w:rsid w:val="00B34685"/>
    <w:rsid w:val="00B348CE"/>
    <w:rsid w:val="00B35495"/>
    <w:rsid w:val="00B359CE"/>
    <w:rsid w:val="00B35E2A"/>
    <w:rsid w:val="00B36294"/>
    <w:rsid w:val="00B36B99"/>
    <w:rsid w:val="00B37AE7"/>
    <w:rsid w:val="00B37FA9"/>
    <w:rsid w:val="00B404DE"/>
    <w:rsid w:val="00B41227"/>
    <w:rsid w:val="00B41B6B"/>
    <w:rsid w:val="00B42519"/>
    <w:rsid w:val="00B4299E"/>
    <w:rsid w:val="00B44DD9"/>
    <w:rsid w:val="00B44DF2"/>
    <w:rsid w:val="00B5034C"/>
    <w:rsid w:val="00B50ED6"/>
    <w:rsid w:val="00B515B2"/>
    <w:rsid w:val="00B51FE2"/>
    <w:rsid w:val="00B538D6"/>
    <w:rsid w:val="00B53EE4"/>
    <w:rsid w:val="00B5427B"/>
    <w:rsid w:val="00B55114"/>
    <w:rsid w:val="00B56A7B"/>
    <w:rsid w:val="00B572BF"/>
    <w:rsid w:val="00B57609"/>
    <w:rsid w:val="00B57876"/>
    <w:rsid w:val="00B5798C"/>
    <w:rsid w:val="00B60AE0"/>
    <w:rsid w:val="00B60EFA"/>
    <w:rsid w:val="00B62269"/>
    <w:rsid w:val="00B63317"/>
    <w:rsid w:val="00B63422"/>
    <w:rsid w:val="00B638EB"/>
    <w:rsid w:val="00B63E6B"/>
    <w:rsid w:val="00B64C53"/>
    <w:rsid w:val="00B652E1"/>
    <w:rsid w:val="00B65836"/>
    <w:rsid w:val="00B65FA1"/>
    <w:rsid w:val="00B666CA"/>
    <w:rsid w:val="00B66C53"/>
    <w:rsid w:val="00B6757C"/>
    <w:rsid w:val="00B70182"/>
    <w:rsid w:val="00B70A07"/>
    <w:rsid w:val="00B70C33"/>
    <w:rsid w:val="00B70EEB"/>
    <w:rsid w:val="00B71464"/>
    <w:rsid w:val="00B71A59"/>
    <w:rsid w:val="00B72018"/>
    <w:rsid w:val="00B72F0C"/>
    <w:rsid w:val="00B72FFD"/>
    <w:rsid w:val="00B73CFE"/>
    <w:rsid w:val="00B7455E"/>
    <w:rsid w:val="00B74BBE"/>
    <w:rsid w:val="00B75F8C"/>
    <w:rsid w:val="00B765BE"/>
    <w:rsid w:val="00B76E7C"/>
    <w:rsid w:val="00B76EB1"/>
    <w:rsid w:val="00B76F7F"/>
    <w:rsid w:val="00B771EF"/>
    <w:rsid w:val="00B77FD0"/>
    <w:rsid w:val="00B80026"/>
    <w:rsid w:val="00B81FD7"/>
    <w:rsid w:val="00B82213"/>
    <w:rsid w:val="00B8301A"/>
    <w:rsid w:val="00B8331D"/>
    <w:rsid w:val="00B84303"/>
    <w:rsid w:val="00B847A0"/>
    <w:rsid w:val="00B84853"/>
    <w:rsid w:val="00B85170"/>
    <w:rsid w:val="00B85570"/>
    <w:rsid w:val="00B85C06"/>
    <w:rsid w:val="00B8645F"/>
    <w:rsid w:val="00B869B8"/>
    <w:rsid w:val="00B900F3"/>
    <w:rsid w:val="00B90230"/>
    <w:rsid w:val="00B9053E"/>
    <w:rsid w:val="00B90727"/>
    <w:rsid w:val="00B9184D"/>
    <w:rsid w:val="00B9194E"/>
    <w:rsid w:val="00B9204F"/>
    <w:rsid w:val="00B935DB"/>
    <w:rsid w:val="00B93A22"/>
    <w:rsid w:val="00B94479"/>
    <w:rsid w:val="00B94C76"/>
    <w:rsid w:val="00B94E6B"/>
    <w:rsid w:val="00B94FA0"/>
    <w:rsid w:val="00B956FA"/>
    <w:rsid w:val="00B95982"/>
    <w:rsid w:val="00B9648C"/>
    <w:rsid w:val="00B96BA1"/>
    <w:rsid w:val="00B972CB"/>
    <w:rsid w:val="00B97813"/>
    <w:rsid w:val="00B978F5"/>
    <w:rsid w:val="00B97DAF"/>
    <w:rsid w:val="00B97EE1"/>
    <w:rsid w:val="00BA01A4"/>
    <w:rsid w:val="00BA0756"/>
    <w:rsid w:val="00BA10C6"/>
    <w:rsid w:val="00BA15C2"/>
    <w:rsid w:val="00BA253E"/>
    <w:rsid w:val="00BA2B49"/>
    <w:rsid w:val="00BA3539"/>
    <w:rsid w:val="00BA4089"/>
    <w:rsid w:val="00BA4D9B"/>
    <w:rsid w:val="00BA53E8"/>
    <w:rsid w:val="00BA6157"/>
    <w:rsid w:val="00BA6957"/>
    <w:rsid w:val="00BA7F7E"/>
    <w:rsid w:val="00BB0516"/>
    <w:rsid w:val="00BB1719"/>
    <w:rsid w:val="00BB1C9C"/>
    <w:rsid w:val="00BB1E6C"/>
    <w:rsid w:val="00BB2B3D"/>
    <w:rsid w:val="00BB2EB1"/>
    <w:rsid w:val="00BB2FD1"/>
    <w:rsid w:val="00BB351E"/>
    <w:rsid w:val="00BB3D1A"/>
    <w:rsid w:val="00BB60CB"/>
    <w:rsid w:val="00BB6368"/>
    <w:rsid w:val="00BB6930"/>
    <w:rsid w:val="00BB7916"/>
    <w:rsid w:val="00BB7920"/>
    <w:rsid w:val="00BB796B"/>
    <w:rsid w:val="00BC05C0"/>
    <w:rsid w:val="00BC12E1"/>
    <w:rsid w:val="00BC14E5"/>
    <w:rsid w:val="00BC170B"/>
    <w:rsid w:val="00BC2120"/>
    <w:rsid w:val="00BC25A7"/>
    <w:rsid w:val="00BC27FD"/>
    <w:rsid w:val="00BC3614"/>
    <w:rsid w:val="00BC46F5"/>
    <w:rsid w:val="00BC4AB4"/>
    <w:rsid w:val="00BC54C6"/>
    <w:rsid w:val="00BC6563"/>
    <w:rsid w:val="00BC6DE4"/>
    <w:rsid w:val="00BC7A15"/>
    <w:rsid w:val="00BD0049"/>
    <w:rsid w:val="00BD1909"/>
    <w:rsid w:val="00BD2060"/>
    <w:rsid w:val="00BD207B"/>
    <w:rsid w:val="00BD3849"/>
    <w:rsid w:val="00BD4138"/>
    <w:rsid w:val="00BD45F8"/>
    <w:rsid w:val="00BD4B9A"/>
    <w:rsid w:val="00BD53A8"/>
    <w:rsid w:val="00BD6B9A"/>
    <w:rsid w:val="00BD710E"/>
    <w:rsid w:val="00BE027E"/>
    <w:rsid w:val="00BE0735"/>
    <w:rsid w:val="00BE1BB1"/>
    <w:rsid w:val="00BE2B5C"/>
    <w:rsid w:val="00BE3744"/>
    <w:rsid w:val="00BE37F0"/>
    <w:rsid w:val="00BE3AB8"/>
    <w:rsid w:val="00BE4729"/>
    <w:rsid w:val="00BE4974"/>
    <w:rsid w:val="00BE538D"/>
    <w:rsid w:val="00BE65B6"/>
    <w:rsid w:val="00BE6DEF"/>
    <w:rsid w:val="00BE765E"/>
    <w:rsid w:val="00BE7D0D"/>
    <w:rsid w:val="00BF0B0C"/>
    <w:rsid w:val="00BF1920"/>
    <w:rsid w:val="00BF2D35"/>
    <w:rsid w:val="00BF3890"/>
    <w:rsid w:val="00BF4934"/>
    <w:rsid w:val="00BF49A4"/>
    <w:rsid w:val="00BF5BF5"/>
    <w:rsid w:val="00BF6EBE"/>
    <w:rsid w:val="00BF6F01"/>
    <w:rsid w:val="00BF74B4"/>
    <w:rsid w:val="00C001CF"/>
    <w:rsid w:val="00C002F0"/>
    <w:rsid w:val="00C0060E"/>
    <w:rsid w:val="00C010DD"/>
    <w:rsid w:val="00C0125F"/>
    <w:rsid w:val="00C0147B"/>
    <w:rsid w:val="00C0161F"/>
    <w:rsid w:val="00C0186B"/>
    <w:rsid w:val="00C02AB0"/>
    <w:rsid w:val="00C02BE5"/>
    <w:rsid w:val="00C0313C"/>
    <w:rsid w:val="00C03DF6"/>
    <w:rsid w:val="00C04DEF"/>
    <w:rsid w:val="00C04EDF"/>
    <w:rsid w:val="00C054DB"/>
    <w:rsid w:val="00C05F88"/>
    <w:rsid w:val="00C06536"/>
    <w:rsid w:val="00C06685"/>
    <w:rsid w:val="00C06B6A"/>
    <w:rsid w:val="00C072B2"/>
    <w:rsid w:val="00C0739A"/>
    <w:rsid w:val="00C07D11"/>
    <w:rsid w:val="00C07D3C"/>
    <w:rsid w:val="00C100BF"/>
    <w:rsid w:val="00C10425"/>
    <w:rsid w:val="00C104B7"/>
    <w:rsid w:val="00C10A2A"/>
    <w:rsid w:val="00C10CC9"/>
    <w:rsid w:val="00C10E5D"/>
    <w:rsid w:val="00C118E9"/>
    <w:rsid w:val="00C1232C"/>
    <w:rsid w:val="00C12B05"/>
    <w:rsid w:val="00C12D4B"/>
    <w:rsid w:val="00C13015"/>
    <w:rsid w:val="00C13106"/>
    <w:rsid w:val="00C134EC"/>
    <w:rsid w:val="00C139A6"/>
    <w:rsid w:val="00C155A7"/>
    <w:rsid w:val="00C15CB8"/>
    <w:rsid w:val="00C16133"/>
    <w:rsid w:val="00C16E14"/>
    <w:rsid w:val="00C17233"/>
    <w:rsid w:val="00C17250"/>
    <w:rsid w:val="00C17BE6"/>
    <w:rsid w:val="00C20CEA"/>
    <w:rsid w:val="00C214D6"/>
    <w:rsid w:val="00C222D8"/>
    <w:rsid w:val="00C2290B"/>
    <w:rsid w:val="00C23559"/>
    <w:rsid w:val="00C243DD"/>
    <w:rsid w:val="00C25159"/>
    <w:rsid w:val="00C26AC4"/>
    <w:rsid w:val="00C26ADA"/>
    <w:rsid w:val="00C26D22"/>
    <w:rsid w:val="00C30218"/>
    <w:rsid w:val="00C30A30"/>
    <w:rsid w:val="00C3140D"/>
    <w:rsid w:val="00C31946"/>
    <w:rsid w:val="00C31E64"/>
    <w:rsid w:val="00C31ED6"/>
    <w:rsid w:val="00C3242C"/>
    <w:rsid w:val="00C3254F"/>
    <w:rsid w:val="00C32F0E"/>
    <w:rsid w:val="00C345F4"/>
    <w:rsid w:val="00C34AEA"/>
    <w:rsid w:val="00C35647"/>
    <w:rsid w:val="00C3634D"/>
    <w:rsid w:val="00C36354"/>
    <w:rsid w:val="00C36553"/>
    <w:rsid w:val="00C375E6"/>
    <w:rsid w:val="00C37C9F"/>
    <w:rsid w:val="00C403C8"/>
    <w:rsid w:val="00C405CE"/>
    <w:rsid w:val="00C408C8"/>
    <w:rsid w:val="00C410BE"/>
    <w:rsid w:val="00C413BD"/>
    <w:rsid w:val="00C418BD"/>
    <w:rsid w:val="00C423C2"/>
    <w:rsid w:val="00C43026"/>
    <w:rsid w:val="00C43E0C"/>
    <w:rsid w:val="00C44460"/>
    <w:rsid w:val="00C4447F"/>
    <w:rsid w:val="00C445C0"/>
    <w:rsid w:val="00C4476F"/>
    <w:rsid w:val="00C451E1"/>
    <w:rsid w:val="00C45233"/>
    <w:rsid w:val="00C45664"/>
    <w:rsid w:val="00C45B0E"/>
    <w:rsid w:val="00C45E25"/>
    <w:rsid w:val="00C4666B"/>
    <w:rsid w:val="00C51263"/>
    <w:rsid w:val="00C5173B"/>
    <w:rsid w:val="00C5213E"/>
    <w:rsid w:val="00C522BD"/>
    <w:rsid w:val="00C5337F"/>
    <w:rsid w:val="00C53762"/>
    <w:rsid w:val="00C53A92"/>
    <w:rsid w:val="00C540E2"/>
    <w:rsid w:val="00C54709"/>
    <w:rsid w:val="00C55625"/>
    <w:rsid w:val="00C56060"/>
    <w:rsid w:val="00C56932"/>
    <w:rsid w:val="00C56A32"/>
    <w:rsid w:val="00C57235"/>
    <w:rsid w:val="00C57E44"/>
    <w:rsid w:val="00C61770"/>
    <w:rsid w:val="00C61DFF"/>
    <w:rsid w:val="00C621CA"/>
    <w:rsid w:val="00C62C8E"/>
    <w:rsid w:val="00C6360D"/>
    <w:rsid w:val="00C63E38"/>
    <w:rsid w:val="00C659CB"/>
    <w:rsid w:val="00C65CC3"/>
    <w:rsid w:val="00C65E00"/>
    <w:rsid w:val="00C673F0"/>
    <w:rsid w:val="00C70B61"/>
    <w:rsid w:val="00C71785"/>
    <w:rsid w:val="00C7186C"/>
    <w:rsid w:val="00C71BB7"/>
    <w:rsid w:val="00C71E0F"/>
    <w:rsid w:val="00C7229D"/>
    <w:rsid w:val="00C7326E"/>
    <w:rsid w:val="00C73819"/>
    <w:rsid w:val="00C74046"/>
    <w:rsid w:val="00C74C60"/>
    <w:rsid w:val="00C74EAA"/>
    <w:rsid w:val="00C758CA"/>
    <w:rsid w:val="00C75C1F"/>
    <w:rsid w:val="00C76911"/>
    <w:rsid w:val="00C77355"/>
    <w:rsid w:val="00C77544"/>
    <w:rsid w:val="00C82A3B"/>
    <w:rsid w:val="00C8315A"/>
    <w:rsid w:val="00C83236"/>
    <w:rsid w:val="00C848C5"/>
    <w:rsid w:val="00C84E04"/>
    <w:rsid w:val="00C85200"/>
    <w:rsid w:val="00C8544C"/>
    <w:rsid w:val="00C85687"/>
    <w:rsid w:val="00C85D6F"/>
    <w:rsid w:val="00C90290"/>
    <w:rsid w:val="00C90C4D"/>
    <w:rsid w:val="00C923C6"/>
    <w:rsid w:val="00C92F61"/>
    <w:rsid w:val="00C93953"/>
    <w:rsid w:val="00C9675A"/>
    <w:rsid w:val="00C972B7"/>
    <w:rsid w:val="00C9731F"/>
    <w:rsid w:val="00CA04C2"/>
    <w:rsid w:val="00CA0E89"/>
    <w:rsid w:val="00CA120E"/>
    <w:rsid w:val="00CA138F"/>
    <w:rsid w:val="00CA2C73"/>
    <w:rsid w:val="00CA42B9"/>
    <w:rsid w:val="00CA47CF"/>
    <w:rsid w:val="00CA6EA1"/>
    <w:rsid w:val="00CA73E7"/>
    <w:rsid w:val="00CA74E0"/>
    <w:rsid w:val="00CA7AAC"/>
    <w:rsid w:val="00CB02D4"/>
    <w:rsid w:val="00CB085D"/>
    <w:rsid w:val="00CB0CC1"/>
    <w:rsid w:val="00CB1B2F"/>
    <w:rsid w:val="00CB2878"/>
    <w:rsid w:val="00CB3939"/>
    <w:rsid w:val="00CB4702"/>
    <w:rsid w:val="00CB48A3"/>
    <w:rsid w:val="00CB4F9A"/>
    <w:rsid w:val="00CB5D16"/>
    <w:rsid w:val="00CB6314"/>
    <w:rsid w:val="00CB772D"/>
    <w:rsid w:val="00CC0D74"/>
    <w:rsid w:val="00CC1693"/>
    <w:rsid w:val="00CC1B87"/>
    <w:rsid w:val="00CC22C3"/>
    <w:rsid w:val="00CC287A"/>
    <w:rsid w:val="00CC2AAE"/>
    <w:rsid w:val="00CC3ED5"/>
    <w:rsid w:val="00CC3F9E"/>
    <w:rsid w:val="00CC433D"/>
    <w:rsid w:val="00CC4E28"/>
    <w:rsid w:val="00CC4E4C"/>
    <w:rsid w:val="00CC5258"/>
    <w:rsid w:val="00CC574E"/>
    <w:rsid w:val="00CC5872"/>
    <w:rsid w:val="00CC5C4D"/>
    <w:rsid w:val="00CC79DD"/>
    <w:rsid w:val="00CC7CC4"/>
    <w:rsid w:val="00CD02CA"/>
    <w:rsid w:val="00CD063E"/>
    <w:rsid w:val="00CD0C46"/>
    <w:rsid w:val="00CD0D7A"/>
    <w:rsid w:val="00CD1194"/>
    <w:rsid w:val="00CD181A"/>
    <w:rsid w:val="00CD204E"/>
    <w:rsid w:val="00CD2460"/>
    <w:rsid w:val="00CD2819"/>
    <w:rsid w:val="00CD29E4"/>
    <w:rsid w:val="00CD2C14"/>
    <w:rsid w:val="00CD4B19"/>
    <w:rsid w:val="00CD543B"/>
    <w:rsid w:val="00CD55A0"/>
    <w:rsid w:val="00CD63B1"/>
    <w:rsid w:val="00CD6642"/>
    <w:rsid w:val="00CD6C25"/>
    <w:rsid w:val="00CD6F70"/>
    <w:rsid w:val="00CD7136"/>
    <w:rsid w:val="00CE0805"/>
    <w:rsid w:val="00CE15CA"/>
    <w:rsid w:val="00CE2506"/>
    <w:rsid w:val="00CE2F47"/>
    <w:rsid w:val="00CE2F7B"/>
    <w:rsid w:val="00CE33A2"/>
    <w:rsid w:val="00CE4E33"/>
    <w:rsid w:val="00CE576F"/>
    <w:rsid w:val="00CE57F6"/>
    <w:rsid w:val="00CE69A6"/>
    <w:rsid w:val="00CE6FD8"/>
    <w:rsid w:val="00CE726E"/>
    <w:rsid w:val="00CF0CC2"/>
    <w:rsid w:val="00CF1A9D"/>
    <w:rsid w:val="00CF1C2F"/>
    <w:rsid w:val="00CF1CE4"/>
    <w:rsid w:val="00CF2120"/>
    <w:rsid w:val="00CF2E85"/>
    <w:rsid w:val="00CF30AE"/>
    <w:rsid w:val="00CF3990"/>
    <w:rsid w:val="00CF4919"/>
    <w:rsid w:val="00CF5A7A"/>
    <w:rsid w:val="00CF5B38"/>
    <w:rsid w:val="00CF7C43"/>
    <w:rsid w:val="00D000C8"/>
    <w:rsid w:val="00D0082C"/>
    <w:rsid w:val="00D01562"/>
    <w:rsid w:val="00D01A0B"/>
    <w:rsid w:val="00D02794"/>
    <w:rsid w:val="00D02936"/>
    <w:rsid w:val="00D02B48"/>
    <w:rsid w:val="00D04A39"/>
    <w:rsid w:val="00D04A3A"/>
    <w:rsid w:val="00D050DB"/>
    <w:rsid w:val="00D05CA4"/>
    <w:rsid w:val="00D06195"/>
    <w:rsid w:val="00D069CE"/>
    <w:rsid w:val="00D06F02"/>
    <w:rsid w:val="00D070A6"/>
    <w:rsid w:val="00D07BEE"/>
    <w:rsid w:val="00D1227E"/>
    <w:rsid w:val="00D128D6"/>
    <w:rsid w:val="00D13FE4"/>
    <w:rsid w:val="00D14C3E"/>
    <w:rsid w:val="00D14D20"/>
    <w:rsid w:val="00D1502C"/>
    <w:rsid w:val="00D15527"/>
    <w:rsid w:val="00D1575B"/>
    <w:rsid w:val="00D1700D"/>
    <w:rsid w:val="00D17557"/>
    <w:rsid w:val="00D17D92"/>
    <w:rsid w:val="00D17EE1"/>
    <w:rsid w:val="00D20047"/>
    <w:rsid w:val="00D2022E"/>
    <w:rsid w:val="00D20841"/>
    <w:rsid w:val="00D20D20"/>
    <w:rsid w:val="00D245C3"/>
    <w:rsid w:val="00D24C19"/>
    <w:rsid w:val="00D25B00"/>
    <w:rsid w:val="00D26177"/>
    <w:rsid w:val="00D26578"/>
    <w:rsid w:val="00D26696"/>
    <w:rsid w:val="00D30114"/>
    <w:rsid w:val="00D30117"/>
    <w:rsid w:val="00D30E56"/>
    <w:rsid w:val="00D313C6"/>
    <w:rsid w:val="00D32B1D"/>
    <w:rsid w:val="00D33E54"/>
    <w:rsid w:val="00D33E96"/>
    <w:rsid w:val="00D33F62"/>
    <w:rsid w:val="00D3440C"/>
    <w:rsid w:val="00D34F1C"/>
    <w:rsid w:val="00D35738"/>
    <w:rsid w:val="00D35CF6"/>
    <w:rsid w:val="00D36269"/>
    <w:rsid w:val="00D365FC"/>
    <w:rsid w:val="00D37351"/>
    <w:rsid w:val="00D37F70"/>
    <w:rsid w:val="00D4029F"/>
    <w:rsid w:val="00D41371"/>
    <w:rsid w:val="00D4185C"/>
    <w:rsid w:val="00D4198E"/>
    <w:rsid w:val="00D41FCB"/>
    <w:rsid w:val="00D42255"/>
    <w:rsid w:val="00D426F3"/>
    <w:rsid w:val="00D46076"/>
    <w:rsid w:val="00D4630F"/>
    <w:rsid w:val="00D47ECF"/>
    <w:rsid w:val="00D50F10"/>
    <w:rsid w:val="00D512D9"/>
    <w:rsid w:val="00D51E89"/>
    <w:rsid w:val="00D52604"/>
    <w:rsid w:val="00D5353D"/>
    <w:rsid w:val="00D53DD8"/>
    <w:rsid w:val="00D53F0A"/>
    <w:rsid w:val="00D53FF2"/>
    <w:rsid w:val="00D54880"/>
    <w:rsid w:val="00D55226"/>
    <w:rsid w:val="00D55AC2"/>
    <w:rsid w:val="00D55BC8"/>
    <w:rsid w:val="00D55FA0"/>
    <w:rsid w:val="00D576D7"/>
    <w:rsid w:val="00D57A0A"/>
    <w:rsid w:val="00D60798"/>
    <w:rsid w:val="00D607D0"/>
    <w:rsid w:val="00D6115F"/>
    <w:rsid w:val="00D61261"/>
    <w:rsid w:val="00D614E0"/>
    <w:rsid w:val="00D620B8"/>
    <w:rsid w:val="00D623E3"/>
    <w:rsid w:val="00D643ED"/>
    <w:rsid w:val="00D646BB"/>
    <w:rsid w:val="00D66867"/>
    <w:rsid w:val="00D66A51"/>
    <w:rsid w:val="00D6741A"/>
    <w:rsid w:val="00D67734"/>
    <w:rsid w:val="00D679FA"/>
    <w:rsid w:val="00D70887"/>
    <w:rsid w:val="00D712DE"/>
    <w:rsid w:val="00D72AFE"/>
    <w:rsid w:val="00D72E87"/>
    <w:rsid w:val="00D73090"/>
    <w:rsid w:val="00D74073"/>
    <w:rsid w:val="00D74569"/>
    <w:rsid w:val="00D74612"/>
    <w:rsid w:val="00D75A37"/>
    <w:rsid w:val="00D75D84"/>
    <w:rsid w:val="00D76128"/>
    <w:rsid w:val="00D76819"/>
    <w:rsid w:val="00D7695E"/>
    <w:rsid w:val="00D7729E"/>
    <w:rsid w:val="00D772F7"/>
    <w:rsid w:val="00D77C4D"/>
    <w:rsid w:val="00D80965"/>
    <w:rsid w:val="00D80AB9"/>
    <w:rsid w:val="00D817C3"/>
    <w:rsid w:val="00D821DE"/>
    <w:rsid w:val="00D83403"/>
    <w:rsid w:val="00D8474B"/>
    <w:rsid w:val="00D84EC3"/>
    <w:rsid w:val="00D862C8"/>
    <w:rsid w:val="00D86317"/>
    <w:rsid w:val="00D867F3"/>
    <w:rsid w:val="00D86902"/>
    <w:rsid w:val="00D875C7"/>
    <w:rsid w:val="00D879B3"/>
    <w:rsid w:val="00D900C1"/>
    <w:rsid w:val="00D91905"/>
    <w:rsid w:val="00D91919"/>
    <w:rsid w:val="00D923E3"/>
    <w:rsid w:val="00D926EE"/>
    <w:rsid w:val="00D92E7D"/>
    <w:rsid w:val="00D937B0"/>
    <w:rsid w:val="00D94EA7"/>
    <w:rsid w:val="00D952DC"/>
    <w:rsid w:val="00D95ACF"/>
    <w:rsid w:val="00D961B0"/>
    <w:rsid w:val="00D96D4C"/>
    <w:rsid w:val="00DA1E67"/>
    <w:rsid w:val="00DA20DF"/>
    <w:rsid w:val="00DA2706"/>
    <w:rsid w:val="00DA3E0E"/>
    <w:rsid w:val="00DA3F83"/>
    <w:rsid w:val="00DA40E5"/>
    <w:rsid w:val="00DA4698"/>
    <w:rsid w:val="00DA48AE"/>
    <w:rsid w:val="00DA5782"/>
    <w:rsid w:val="00DA5A1F"/>
    <w:rsid w:val="00DB0BA1"/>
    <w:rsid w:val="00DB0EF7"/>
    <w:rsid w:val="00DB1367"/>
    <w:rsid w:val="00DB1C53"/>
    <w:rsid w:val="00DB273F"/>
    <w:rsid w:val="00DB2909"/>
    <w:rsid w:val="00DB3BBC"/>
    <w:rsid w:val="00DB49CA"/>
    <w:rsid w:val="00DB4B19"/>
    <w:rsid w:val="00DB5164"/>
    <w:rsid w:val="00DB58A9"/>
    <w:rsid w:val="00DB6AED"/>
    <w:rsid w:val="00DB6F1A"/>
    <w:rsid w:val="00DB7173"/>
    <w:rsid w:val="00DB723A"/>
    <w:rsid w:val="00DC055C"/>
    <w:rsid w:val="00DC0BD3"/>
    <w:rsid w:val="00DC37B8"/>
    <w:rsid w:val="00DC4AD5"/>
    <w:rsid w:val="00DC52DD"/>
    <w:rsid w:val="00DC5737"/>
    <w:rsid w:val="00DC5F76"/>
    <w:rsid w:val="00DC61DF"/>
    <w:rsid w:val="00DC6F51"/>
    <w:rsid w:val="00DC739C"/>
    <w:rsid w:val="00DC7AD6"/>
    <w:rsid w:val="00DD12A9"/>
    <w:rsid w:val="00DD2FAC"/>
    <w:rsid w:val="00DD2FF5"/>
    <w:rsid w:val="00DD3746"/>
    <w:rsid w:val="00DD4DEA"/>
    <w:rsid w:val="00DD50DC"/>
    <w:rsid w:val="00DD5DD9"/>
    <w:rsid w:val="00DD5EEB"/>
    <w:rsid w:val="00DD6950"/>
    <w:rsid w:val="00DD6AAD"/>
    <w:rsid w:val="00DD7A19"/>
    <w:rsid w:val="00DD7B9E"/>
    <w:rsid w:val="00DD7C23"/>
    <w:rsid w:val="00DE0FE3"/>
    <w:rsid w:val="00DE26BF"/>
    <w:rsid w:val="00DE2867"/>
    <w:rsid w:val="00DE29B0"/>
    <w:rsid w:val="00DE5658"/>
    <w:rsid w:val="00DE5B18"/>
    <w:rsid w:val="00DE627A"/>
    <w:rsid w:val="00DE7C69"/>
    <w:rsid w:val="00DF1CD4"/>
    <w:rsid w:val="00DF5A63"/>
    <w:rsid w:val="00DF61D2"/>
    <w:rsid w:val="00DF6691"/>
    <w:rsid w:val="00DF6AA5"/>
    <w:rsid w:val="00DF6B06"/>
    <w:rsid w:val="00DF7945"/>
    <w:rsid w:val="00DF7EAF"/>
    <w:rsid w:val="00E02B84"/>
    <w:rsid w:val="00E02F99"/>
    <w:rsid w:val="00E035B2"/>
    <w:rsid w:val="00E03B4E"/>
    <w:rsid w:val="00E04D51"/>
    <w:rsid w:val="00E05201"/>
    <w:rsid w:val="00E06006"/>
    <w:rsid w:val="00E074E5"/>
    <w:rsid w:val="00E11A68"/>
    <w:rsid w:val="00E12194"/>
    <w:rsid w:val="00E123F6"/>
    <w:rsid w:val="00E12912"/>
    <w:rsid w:val="00E13371"/>
    <w:rsid w:val="00E14456"/>
    <w:rsid w:val="00E16030"/>
    <w:rsid w:val="00E16356"/>
    <w:rsid w:val="00E16A3A"/>
    <w:rsid w:val="00E17331"/>
    <w:rsid w:val="00E1759B"/>
    <w:rsid w:val="00E177B3"/>
    <w:rsid w:val="00E20CA2"/>
    <w:rsid w:val="00E20EB4"/>
    <w:rsid w:val="00E21DA9"/>
    <w:rsid w:val="00E223CC"/>
    <w:rsid w:val="00E23B77"/>
    <w:rsid w:val="00E240BB"/>
    <w:rsid w:val="00E241B3"/>
    <w:rsid w:val="00E24E4B"/>
    <w:rsid w:val="00E2531C"/>
    <w:rsid w:val="00E25786"/>
    <w:rsid w:val="00E26F24"/>
    <w:rsid w:val="00E2799C"/>
    <w:rsid w:val="00E30DD7"/>
    <w:rsid w:val="00E3108C"/>
    <w:rsid w:val="00E316BB"/>
    <w:rsid w:val="00E32609"/>
    <w:rsid w:val="00E332B2"/>
    <w:rsid w:val="00E34A1D"/>
    <w:rsid w:val="00E351CB"/>
    <w:rsid w:val="00E35963"/>
    <w:rsid w:val="00E36221"/>
    <w:rsid w:val="00E36F69"/>
    <w:rsid w:val="00E3733A"/>
    <w:rsid w:val="00E376F7"/>
    <w:rsid w:val="00E37AEE"/>
    <w:rsid w:val="00E37BDC"/>
    <w:rsid w:val="00E4022F"/>
    <w:rsid w:val="00E41939"/>
    <w:rsid w:val="00E41D87"/>
    <w:rsid w:val="00E41E2A"/>
    <w:rsid w:val="00E41E4C"/>
    <w:rsid w:val="00E429B2"/>
    <w:rsid w:val="00E43FC4"/>
    <w:rsid w:val="00E44386"/>
    <w:rsid w:val="00E448FD"/>
    <w:rsid w:val="00E449B4"/>
    <w:rsid w:val="00E45027"/>
    <w:rsid w:val="00E455FE"/>
    <w:rsid w:val="00E46133"/>
    <w:rsid w:val="00E46471"/>
    <w:rsid w:val="00E46BBD"/>
    <w:rsid w:val="00E47298"/>
    <w:rsid w:val="00E473A7"/>
    <w:rsid w:val="00E47744"/>
    <w:rsid w:val="00E5046B"/>
    <w:rsid w:val="00E50749"/>
    <w:rsid w:val="00E516CB"/>
    <w:rsid w:val="00E52145"/>
    <w:rsid w:val="00E522A9"/>
    <w:rsid w:val="00E53B79"/>
    <w:rsid w:val="00E54D41"/>
    <w:rsid w:val="00E550B3"/>
    <w:rsid w:val="00E550CC"/>
    <w:rsid w:val="00E55D3E"/>
    <w:rsid w:val="00E560CD"/>
    <w:rsid w:val="00E56451"/>
    <w:rsid w:val="00E56CC8"/>
    <w:rsid w:val="00E56E79"/>
    <w:rsid w:val="00E57B6F"/>
    <w:rsid w:val="00E601D7"/>
    <w:rsid w:val="00E604BC"/>
    <w:rsid w:val="00E60B0D"/>
    <w:rsid w:val="00E60B7E"/>
    <w:rsid w:val="00E60B89"/>
    <w:rsid w:val="00E60C8F"/>
    <w:rsid w:val="00E61238"/>
    <w:rsid w:val="00E61FA9"/>
    <w:rsid w:val="00E620E9"/>
    <w:rsid w:val="00E62F22"/>
    <w:rsid w:val="00E631C5"/>
    <w:rsid w:val="00E632A2"/>
    <w:rsid w:val="00E6336B"/>
    <w:rsid w:val="00E635EE"/>
    <w:rsid w:val="00E63943"/>
    <w:rsid w:val="00E641BA"/>
    <w:rsid w:val="00E64E45"/>
    <w:rsid w:val="00E64E9D"/>
    <w:rsid w:val="00E6534B"/>
    <w:rsid w:val="00E658AA"/>
    <w:rsid w:val="00E6621C"/>
    <w:rsid w:val="00E6672D"/>
    <w:rsid w:val="00E6681B"/>
    <w:rsid w:val="00E67914"/>
    <w:rsid w:val="00E67ACD"/>
    <w:rsid w:val="00E70248"/>
    <w:rsid w:val="00E705C3"/>
    <w:rsid w:val="00E71D03"/>
    <w:rsid w:val="00E7255E"/>
    <w:rsid w:val="00E729CA"/>
    <w:rsid w:val="00E73C9E"/>
    <w:rsid w:val="00E745A7"/>
    <w:rsid w:val="00E74630"/>
    <w:rsid w:val="00E758EC"/>
    <w:rsid w:val="00E77B89"/>
    <w:rsid w:val="00E77BC9"/>
    <w:rsid w:val="00E81522"/>
    <w:rsid w:val="00E825EA"/>
    <w:rsid w:val="00E82907"/>
    <w:rsid w:val="00E835D5"/>
    <w:rsid w:val="00E8403F"/>
    <w:rsid w:val="00E84146"/>
    <w:rsid w:val="00E84625"/>
    <w:rsid w:val="00E857DC"/>
    <w:rsid w:val="00E8588A"/>
    <w:rsid w:val="00E86590"/>
    <w:rsid w:val="00E90A07"/>
    <w:rsid w:val="00E9119A"/>
    <w:rsid w:val="00E91397"/>
    <w:rsid w:val="00E919F3"/>
    <w:rsid w:val="00E91FB8"/>
    <w:rsid w:val="00E91FED"/>
    <w:rsid w:val="00E928E1"/>
    <w:rsid w:val="00E934E6"/>
    <w:rsid w:val="00E93580"/>
    <w:rsid w:val="00E94638"/>
    <w:rsid w:val="00E94B6C"/>
    <w:rsid w:val="00E951E7"/>
    <w:rsid w:val="00E951E8"/>
    <w:rsid w:val="00E95278"/>
    <w:rsid w:val="00E956C3"/>
    <w:rsid w:val="00EA0AD7"/>
    <w:rsid w:val="00EA0DE9"/>
    <w:rsid w:val="00EA19F1"/>
    <w:rsid w:val="00EA27D2"/>
    <w:rsid w:val="00EA2B92"/>
    <w:rsid w:val="00EA2F7C"/>
    <w:rsid w:val="00EA3704"/>
    <w:rsid w:val="00EA4384"/>
    <w:rsid w:val="00EA4AF1"/>
    <w:rsid w:val="00EA4EE7"/>
    <w:rsid w:val="00EA628C"/>
    <w:rsid w:val="00EA6C58"/>
    <w:rsid w:val="00EA6F81"/>
    <w:rsid w:val="00EA7B0A"/>
    <w:rsid w:val="00EB03BA"/>
    <w:rsid w:val="00EB0C76"/>
    <w:rsid w:val="00EB0E52"/>
    <w:rsid w:val="00EB1544"/>
    <w:rsid w:val="00EB177B"/>
    <w:rsid w:val="00EB1DCB"/>
    <w:rsid w:val="00EB223A"/>
    <w:rsid w:val="00EB3603"/>
    <w:rsid w:val="00EB4020"/>
    <w:rsid w:val="00EB46A3"/>
    <w:rsid w:val="00EB58AF"/>
    <w:rsid w:val="00EB664A"/>
    <w:rsid w:val="00EB6BCA"/>
    <w:rsid w:val="00EC0CF1"/>
    <w:rsid w:val="00EC1F50"/>
    <w:rsid w:val="00EC221F"/>
    <w:rsid w:val="00EC2700"/>
    <w:rsid w:val="00EC28A7"/>
    <w:rsid w:val="00EC2BB9"/>
    <w:rsid w:val="00EC41C6"/>
    <w:rsid w:val="00EC4689"/>
    <w:rsid w:val="00EC4AD4"/>
    <w:rsid w:val="00EC5573"/>
    <w:rsid w:val="00EC5869"/>
    <w:rsid w:val="00EC5D44"/>
    <w:rsid w:val="00EC6753"/>
    <w:rsid w:val="00EC69C0"/>
    <w:rsid w:val="00EC7183"/>
    <w:rsid w:val="00EC7E9F"/>
    <w:rsid w:val="00ED056B"/>
    <w:rsid w:val="00ED0783"/>
    <w:rsid w:val="00ED1AA0"/>
    <w:rsid w:val="00ED1BDE"/>
    <w:rsid w:val="00ED43DD"/>
    <w:rsid w:val="00ED4695"/>
    <w:rsid w:val="00ED53FC"/>
    <w:rsid w:val="00ED72CC"/>
    <w:rsid w:val="00ED7BE9"/>
    <w:rsid w:val="00EE21A6"/>
    <w:rsid w:val="00EE2710"/>
    <w:rsid w:val="00EE3BDC"/>
    <w:rsid w:val="00EE3D9E"/>
    <w:rsid w:val="00EE3E8A"/>
    <w:rsid w:val="00EE48DB"/>
    <w:rsid w:val="00EE48E2"/>
    <w:rsid w:val="00EE5600"/>
    <w:rsid w:val="00EE56A5"/>
    <w:rsid w:val="00EE5973"/>
    <w:rsid w:val="00EE5A33"/>
    <w:rsid w:val="00EE6015"/>
    <w:rsid w:val="00EE6532"/>
    <w:rsid w:val="00EE715F"/>
    <w:rsid w:val="00EE75BA"/>
    <w:rsid w:val="00EE783B"/>
    <w:rsid w:val="00EF069B"/>
    <w:rsid w:val="00EF154E"/>
    <w:rsid w:val="00EF18C5"/>
    <w:rsid w:val="00EF2697"/>
    <w:rsid w:val="00EF39FE"/>
    <w:rsid w:val="00EF4251"/>
    <w:rsid w:val="00EF49E1"/>
    <w:rsid w:val="00EF6F20"/>
    <w:rsid w:val="00EF7252"/>
    <w:rsid w:val="00EF7525"/>
    <w:rsid w:val="00F00347"/>
    <w:rsid w:val="00F00B90"/>
    <w:rsid w:val="00F02048"/>
    <w:rsid w:val="00F0270A"/>
    <w:rsid w:val="00F027EB"/>
    <w:rsid w:val="00F02C27"/>
    <w:rsid w:val="00F0300B"/>
    <w:rsid w:val="00F03F20"/>
    <w:rsid w:val="00F04C5F"/>
    <w:rsid w:val="00F04C90"/>
    <w:rsid w:val="00F05736"/>
    <w:rsid w:val="00F0608D"/>
    <w:rsid w:val="00F0630F"/>
    <w:rsid w:val="00F071E5"/>
    <w:rsid w:val="00F07DCC"/>
    <w:rsid w:val="00F07E93"/>
    <w:rsid w:val="00F10005"/>
    <w:rsid w:val="00F1088E"/>
    <w:rsid w:val="00F10A9F"/>
    <w:rsid w:val="00F10C1E"/>
    <w:rsid w:val="00F1253A"/>
    <w:rsid w:val="00F126CD"/>
    <w:rsid w:val="00F12D31"/>
    <w:rsid w:val="00F131C7"/>
    <w:rsid w:val="00F13341"/>
    <w:rsid w:val="00F134FB"/>
    <w:rsid w:val="00F13C28"/>
    <w:rsid w:val="00F1443A"/>
    <w:rsid w:val="00F14CF6"/>
    <w:rsid w:val="00F156B5"/>
    <w:rsid w:val="00F157D8"/>
    <w:rsid w:val="00F175A7"/>
    <w:rsid w:val="00F177C5"/>
    <w:rsid w:val="00F17A39"/>
    <w:rsid w:val="00F17B52"/>
    <w:rsid w:val="00F21029"/>
    <w:rsid w:val="00F210FF"/>
    <w:rsid w:val="00F21FEE"/>
    <w:rsid w:val="00F22829"/>
    <w:rsid w:val="00F236C1"/>
    <w:rsid w:val="00F23947"/>
    <w:rsid w:val="00F23C8D"/>
    <w:rsid w:val="00F24554"/>
    <w:rsid w:val="00F24CC2"/>
    <w:rsid w:val="00F251BD"/>
    <w:rsid w:val="00F25383"/>
    <w:rsid w:val="00F25AAE"/>
    <w:rsid w:val="00F26A1A"/>
    <w:rsid w:val="00F26D51"/>
    <w:rsid w:val="00F30024"/>
    <w:rsid w:val="00F30438"/>
    <w:rsid w:val="00F30672"/>
    <w:rsid w:val="00F306DC"/>
    <w:rsid w:val="00F306EA"/>
    <w:rsid w:val="00F313D4"/>
    <w:rsid w:val="00F31F80"/>
    <w:rsid w:val="00F3255E"/>
    <w:rsid w:val="00F334AB"/>
    <w:rsid w:val="00F341E7"/>
    <w:rsid w:val="00F34FF6"/>
    <w:rsid w:val="00F35742"/>
    <w:rsid w:val="00F35848"/>
    <w:rsid w:val="00F35D54"/>
    <w:rsid w:val="00F36645"/>
    <w:rsid w:val="00F37869"/>
    <w:rsid w:val="00F37F33"/>
    <w:rsid w:val="00F40096"/>
    <w:rsid w:val="00F400DE"/>
    <w:rsid w:val="00F40885"/>
    <w:rsid w:val="00F40954"/>
    <w:rsid w:val="00F41175"/>
    <w:rsid w:val="00F41590"/>
    <w:rsid w:val="00F43078"/>
    <w:rsid w:val="00F4336E"/>
    <w:rsid w:val="00F433CE"/>
    <w:rsid w:val="00F436A0"/>
    <w:rsid w:val="00F45F08"/>
    <w:rsid w:val="00F45FD4"/>
    <w:rsid w:val="00F46555"/>
    <w:rsid w:val="00F46887"/>
    <w:rsid w:val="00F473B5"/>
    <w:rsid w:val="00F4752D"/>
    <w:rsid w:val="00F5057F"/>
    <w:rsid w:val="00F51703"/>
    <w:rsid w:val="00F51883"/>
    <w:rsid w:val="00F51E5C"/>
    <w:rsid w:val="00F51F30"/>
    <w:rsid w:val="00F52054"/>
    <w:rsid w:val="00F5256A"/>
    <w:rsid w:val="00F527F7"/>
    <w:rsid w:val="00F52A20"/>
    <w:rsid w:val="00F53F07"/>
    <w:rsid w:val="00F54794"/>
    <w:rsid w:val="00F54BD2"/>
    <w:rsid w:val="00F54E67"/>
    <w:rsid w:val="00F54EFA"/>
    <w:rsid w:val="00F555CD"/>
    <w:rsid w:val="00F55FD2"/>
    <w:rsid w:val="00F5628F"/>
    <w:rsid w:val="00F564E5"/>
    <w:rsid w:val="00F56D0C"/>
    <w:rsid w:val="00F57CF6"/>
    <w:rsid w:val="00F618CC"/>
    <w:rsid w:val="00F61E20"/>
    <w:rsid w:val="00F62A9F"/>
    <w:rsid w:val="00F63189"/>
    <w:rsid w:val="00F642D6"/>
    <w:rsid w:val="00F6453A"/>
    <w:rsid w:val="00F645A6"/>
    <w:rsid w:val="00F64BC1"/>
    <w:rsid w:val="00F64F14"/>
    <w:rsid w:val="00F64F30"/>
    <w:rsid w:val="00F659CF"/>
    <w:rsid w:val="00F65EB4"/>
    <w:rsid w:val="00F662A1"/>
    <w:rsid w:val="00F66CC4"/>
    <w:rsid w:val="00F6776F"/>
    <w:rsid w:val="00F67B0F"/>
    <w:rsid w:val="00F707F3"/>
    <w:rsid w:val="00F71141"/>
    <w:rsid w:val="00F71929"/>
    <w:rsid w:val="00F72206"/>
    <w:rsid w:val="00F73341"/>
    <w:rsid w:val="00F73A49"/>
    <w:rsid w:val="00F74D0C"/>
    <w:rsid w:val="00F75171"/>
    <w:rsid w:val="00F752BF"/>
    <w:rsid w:val="00F75F1B"/>
    <w:rsid w:val="00F76269"/>
    <w:rsid w:val="00F77F63"/>
    <w:rsid w:val="00F800B1"/>
    <w:rsid w:val="00F807C0"/>
    <w:rsid w:val="00F80D9B"/>
    <w:rsid w:val="00F80FED"/>
    <w:rsid w:val="00F810DC"/>
    <w:rsid w:val="00F82A07"/>
    <w:rsid w:val="00F82E26"/>
    <w:rsid w:val="00F83D32"/>
    <w:rsid w:val="00F84F2C"/>
    <w:rsid w:val="00F85625"/>
    <w:rsid w:val="00F85654"/>
    <w:rsid w:val="00F87C07"/>
    <w:rsid w:val="00F900EB"/>
    <w:rsid w:val="00F9036D"/>
    <w:rsid w:val="00F906CF"/>
    <w:rsid w:val="00F908B5"/>
    <w:rsid w:val="00F9131B"/>
    <w:rsid w:val="00F92B8E"/>
    <w:rsid w:val="00F92C18"/>
    <w:rsid w:val="00F92DDA"/>
    <w:rsid w:val="00F93681"/>
    <w:rsid w:val="00F947B6"/>
    <w:rsid w:val="00F94BA0"/>
    <w:rsid w:val="00F94DA2"/>
    <w:rsid w:val="00F95410"/>
    <w:rsid w:val="00F95D1F"/>
    <w:rsid w:val="00F95FDE"/>
    <w:rsid w:val="00F96D42"/>
    <w:rsid w:val="00F96DFF"/>
    <w:rsid w:val="00F97963"/>
    <w:rsid w:val="00F97F62"/>
    <w:rsid w:val="00FA0FEB"/>
    <w:rsid w:val="00FA1483"/>
    <w:rsid w:val="00FA280C"/>
    <w:rsid w:val="00FA2895"/>
    <w:rsid w:val="00FA2B9C"/>
    <w:rsid w:val="00FA37FA"/>
    <w:rsid w:val="00FA44E5"/>
    <w:rsid w:val="00FA5FDA"/>
    <w:rsid w:val="00FA6E62"/>
    <w:rsid w:val="00FA7472"/>
    <w:rsid w:val="00FB00E6"/>
    <w:rsid w:val="00FB145D"/>
    <w:rsid w:val="00FB1A9E"/>
    <w:rsid w:val="00FB1CEF"/>
    <w:rsid w:val="00FB30BF"/>
    <w:rsid w:val="00FB34D5"/>
    <w:rsid w:val="00FB3734"/>
    <w:rsid w:val="00FB4771"/>
    <w:rsid w:val="00FB48D3"/>
    <w:rsid w:val="00FB4D63"/>
    <w:rsid w:val="00FB4EC9"/>
    <w:rsid w:val="00FB4F67"/>
    <w:rsid w:val="00FB4F80"/>
    <w:rsid w:val="00FB59E0"/>
    <w:rsid w:val="00FB5BDD"/>
    <w:rsid w:val="00FB5F34"/>
    <w:rsid w:val="00FB69E4"/>
    <w:rsid w:val="00FB711E"/>
    <w:rsid w:val="00FB754E"/>
    <w:rsid w:val="00FC0B73"/>
    <w:rsid w:val="00FC0F0B"/>
    <w:rsid w:val="00FC0F87"/>
    <w:rsid w:val="00FC102F"/>
    <w:rsid w:val="00FC1470"/>
    <w:rsid w:val="00FC166C"/>
    <w:rsid w:val="00FC2355"/>
    <w:rsid w:val="00FC3827"/>
    <w:rsid w:val="00FC4183"/>
    <w:rsid w:val="00FC4287"/>
    <w:rsid w:val="00FC44A5"/>
    <w:rsid w:val="00FC456D"/>
    <w:rsid w:val="00FC622B"/>
    <w:rsid w:val="00FC7EEF"/>
    <w:rsid w:val="00FD0673"/>
    <w:rsid w:val="00FD1401"/>
    <w:rsid w:val="00FD1530"/>
    <w:rsid w:val="00FD1686"/>
    <w:rsid w:val="00FD2A77"/>
    <w:rsid w:val="00FD3794"/>
    <w:rsid w:val="00FD387E"/>
    <w:rsid w:val="00FD4715"/>
    <w:rsid w:val="00FD48A5"/>
    <w:rsid w:val="00FD4D53"/>
    <w:rsid w:val="00FD4F6E"/>
    <w:rsid w:val="00FD5500"/>
    <w:rsid w:val="00FD58D5"/>
    <w:rsid w:val="00FD7258"/>
    <w:rsid w:val="00FD7C06"/>
    <w:rsid w:val="00FE09DD"/>
    <w:rsid w:val="00FE0BA6"/>
    <w:rsid w:val="00FE131B"/>
    <w:rsid w:val="00FE1F02"/>
    <w:rsid w:val="00FE29CB"/>
    <w:rsid w:val="00FE29FC"/>
    <w:rsid w:val="00FE2F7E"/>
    <w:rsid w:val="00FE5246"/>
    <w:rsid w:val="00FE5380"/>
    <w:rsid w:val="00FE6095"/>
    <w:rsid w:val="00FE6132"/>
    <w:rsid w:val="00FE6D4E"/>
    <w:rsid w:val="00FE6F4B"/>
    <w:rsid w:val="00FE7727"/>
    <w:rsid w:val="00FE7830"/>
    <w:rsid w:val="00FE7973"/>
    <w:rsid w:val="00FE7C4E"/>
    <w:rsid w:val="00FE7F0A"/>
    <w:rsid w:val="00FF1261"/>
    <w:rsid w:val="00FF12B4"/>
    <w:rsid w:val="00FF18D3"/>
    <w:rsid w:val="00FF1F28"/>
    <w:rsid w:val="00FF246B"/>
    <w:rsid w:val="00FF25BF"/>
    <w:rsid w:val="00FF34D8"/>
    <w:rsid w:val="00FF47C1"/>
    <w:rsid w:val="00FF5356"/>
    <w:rsid w:val="00FF5A99"/>
    <w:rsid w:val="00FF7706"/>
    <w:rsid w:val="00FF7868"/>
    <w:rsid w:val="00FF7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B5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695"/>
    <w:rPr>
      <w:sz w:val="24"/>
    </w:rPr>
  </w:style>
  <w:style w:type="paragraph" w:styleId="Heading1">
    <w:name w:val="heading 1"/>
    <w:basedOn w:val="Normal"/>
    <w:next w:val="Normal"/>
    <w:link w:val="Heading1Char"/>
    <w:qFormat/>
    <w:rsid w:val="008B1429"/>
    <w:pPr>
      <w:keepNext/>
      <w:numPr>
        <w:numId w:val="1"/>
      </w:numPr>
      <w:spacing w:after="240"/>
      <w:ind w:left="720" w:hanging="720"/>
      <w:outlineLvl w:val="0"/>
    </w:pPr>
    <w:rPr>
      <w:b/>
      <w:szCs w:val="24"/>
    </w:rPr>
  </w:style>
  <w:style w:type="paragraph" w:styleId="Heading2">
    <w:name w:val="heading 2"/>
    <w:basedOn w:val="Normal"/>
    <w:next w:val="Normal"/>
    <w:link w:val="Heading2Char"/>
    <w:qFormat/>
    <w:rsid w:val="00592D12"/>
    <w:pPr>
      <w:keepNext/>
      <w:spacing w:after="240"/>
      <w:ind w:left="1440" w:hanging="720"/>
      <w:outlineLvl w:val="1"/>
    </w:pPr>
    <w:rPr>
      <w:b/>
    </w:rPr>
  </w:style>
  <w:style w:type="paragraph" w:styleId="Heading3">
    <w:name w:val="heading 3"/>
    <w:basedOn w:val="Normal"/>
    <w:next w:val="Normal"/>
    <w:link w:val="Heading3Char"/>
    <w:autoRedefine/>
    <w:qFormat/>
    <w:rsid w:val="002644BF"/>
    <w:pPr>
      <w:keepNext/>
      <w:keepLines/>
      <w:numPr>
        <w:ilvl w:val="2"/>
        <w:numId w:val="1"/>
      </w:numPr>
      <w:ind w:left="2160" w:hanging="720"/>
      <w:outlineLvl w:val="2"/>
    </w:pPr>
    <w:rPr>
      <w:b/>
      <w:bCs/>
      <w:iCs/>
    </w:rPr>
  </w:style>
  <w:style w:type="paragraph" w:styleId="Heading4">
    <w:name w:val="heading 4"/>
    <w:basedOn w:val="Normal"/>
    <w:next w:val="Normal"/>
    <w:link w:val="Heading4Char"/>
    <w:unhideWhenUsed/>
    <w:qFormat/>
    <w:rsid w:val="00547A3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47A3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47A3B"/>
    <w:pPr>
      <w:keepNext/>
      <w:keepLines/>
      <w:numPr>
        <w:ilvl w:val="5"/>
        <w:numId w:val="1"/>
      </w:numPr>
      <w:tabs>
        <w:tab w:val="num" w:pos="360"/>
      </w:tabs>
      <w:spacing w:before="40"/>
      <w:ind w:left="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547A3B"/>
    <w:pPr>
      <w:keepNext/>
      <w:keepLines/>
      <w:numPr>
        <w:ilvl w:val="6"/>
        <w:numId w:val="1"/>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547A3B"/>
    <w:pPr>
      <w:keepNext/>
      <w:keepLines/>
      <w:numPr>
        <w:ilvl w:val="7"/>
        <w:numId w:val="1"/>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47A3B"/>
    <w:pPr>
      <w:keepNext/>
      <w:keepLines/>
      <w:numPr>
        <w:ilvl w:val="8"/>
        <w:numId w:val="1"/>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Char1"/>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link w:val="BodyTextIndent2Char"/>
    <w:uiPriority w:val="99"/>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uiPriority w:val="1"/>
    <w:qFormat/>
    <w:rsid w:val="009138DC"/>
    <w:pPr>
      <w:jc w:val="both"/>
    </w:pPr>
  </w:style>
  <w:style w:type="paragraph" w:styleId="BlockText">
    <w:name w:val="Block Text"/>
    <w:basedOn w:val="Normal"/>
    <w:rsid w:val="009138DC"/>
    <w:pPr>
      <w:ind w:left="1440" w:right="720"/>
    </w:pPr>
  </w:style>
  <w:style w:type="paragraph" w:styleId="EndnoteText">
    <w:name w:val="endnote text"/>
    <w:basedOn w:val="Normal"/>
    <w:link w:val="EndnoteTextChar"/>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link w:val="HeaderChar"/>
    <w:uiPriority w:val="99"/>
    <w:rsid w:val="009138DC"/>
    <w:pPr>
      <w:tabs>
        <w:tab w:val="center" w:pos="4320"/>
        <w:tab w:val="right" w:pos="8640"/>
      </w:tabs>
    </w:pPr>
  </w:style>
  <w:style w:type="paragraph" w:styleId="BalloonText">
    <w:name w:val="Balloon Text"/>
    <w:basedOn w:val="Normal"/>
    <w:link w:val="BalloonTextChar"/>
    <w:uiPriority w:val="99"/>
    <w:semiHidden/>
    <w:rsid w:val="009138DC"/>
    <w:rPr>
      <w:rFonts w:ascii="Lucida Grande" w:hAnsi="Lucida Grande"/>
      <w:sz w:val="18"/>
      <w:szCs w:val="18"/>
    </w:rPr>
  </w:style>
  <w:style w:type="character" w:styleId="CommentReference">
    <w:name w:val="annotation reference"/>
    <w:uiPriority w:val="99"/>
    <w:rsid w:val="009138DC"/>
    <w:rPr>
      <w:sz w:val="18"/>
    </w:rPr>
  </w:style>
  <w:style w:type="paragraph" w:styleId="CommentText">
    <w:name w:val="annotation text"/>
    <w:basedOn w:val="Normal"/>
    <w:link w:val="CommentTextChar"/>
    <w:uiPriority w:val="99"/>
    <w:rsid w:val="009138DC"/>
    <w:rPr>
      <w:szCs w:val="24"/>
    </w:rPr>
  </w:style>
  <w:style w:type="paragraph" w:styleId="CommentSubject">
    <w:name w:val="annotation subject"/>
    <w:basedOn w:val="CommentText"/>
    <w:next w:val="CommentText"/>
    <w:link w:val="CommentSubjectChar"/>
    <w:uiPriority w:val="99"/>
    <w:semiHidden/>
    <w:rsid w:val="009138DC"/>
    <w:rPr>
      <w:szCs w:val="20"/>
    </w:rPr>
  </w:style>
  <w:style w:type="character" w:styleId="FollowedHyperlink">
    <w:name w:val="FollowedHyperlink"/>
    <w:uiPriority w:val="99"/>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aliases w:val=" Char1 Char,Char1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unhideWhenUsed/>
    <w:rsid w:val="00D74569"/>
    <w:rPr>
      <w:color w:val="605E5C"/>
      <w:shd w:val="clear" w:color="auto" w:fill="E1DFDD"/>
    </w:rPr>
  </w:style>
  <w:style w:type="character" w:customStyle="1" w:styleId="HTMLPreformattedChar">
    <w:name w:val="HTML Preformatted Char"/>
    <w:aliases w:val=" Char Char,Char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8B1429"/>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qFormat/>
    <w:rsid w:val="00B60EFA"/>
    <w:pPr>
      <w:tabs>
        <w:tab w:val="left" w:pos="1440"/>
        <w:tab w:val="decimal" w:leader="dot" w:pos="9360"/>
      </w:tabs>
      <w:spacing w:after="240"/>
      <w:ind w:left="720"/>
    </w:pPr>
  </w:style>
  <w:style w:type="character" w:customStyle="1" w:styleId="CommentTextChar">
    <w:name w:val="Comment Text Char"/>
    <w:basedOn w:val="DefaultParagraphFont"/>
    <w:link w:val="CommentText"/>
    <w:uiPriority w:val="99"/>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A256C9"/>
    <w:pPr>
      <w:spacing w:after="240"/>
      <w:ind w:left="144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qFormat/>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paragraph" w:customStyle="1" w:styleId="DirectQuestion">
    <w:name w:val="Direct Question"/>
    <w:next w:val="Normal"/>
    <w:rsid w:val="00421C36"/>
    <w:pPr>
      <w:pBdr>
        <w:top w:val="nil"/>
        <w:left w:val="nil"/>
        <w:bottom w:val="nil"/>
        <w:right w:val="nil"/>
        <w:between w:val="nil"/>
        <w:bar w:val="nil"/>
      </w:pBdr>
      <w:tabs>
        <w:tab w:val="left" w:pos="1440"/>
      </w:tabs>
      <w:spacing w:line="480" w:lineRule="auto"/>
      <w:ind w:left="1440" w:hanging="1440"/>
    </w:pPr>
    <w:rPr>
      <w:rFonts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421C36"/>
    <w:pPr>
      <w:pBdr>
        <w:top w:val="nil"/>
        <w:left w:val="nil"/>
        <w:bottom w:val="nil"/>
        <w:right w:val="nil"/>
        <w:between w:val="nil"/>
        <w:bar w:val="nil"/>
      </w:pBdr>
      <w:spacing w:line="480" w:lineRule="auto"/>
      <w:ind w:left="720" w:hanging="720"/>
    </w:pPr>
    <w:rPr>
      <w:rFonts w:eastAsia="Arial Unicode MS" w:hAnsi="Arial Unicode MS" w:cs="Arial Unicode MS"/>
      <w:color w:val="000000"/>
      <w:sz w:val="24"/>
      <w:szCs w:val="24"/>
      <w:u w:color="000000"/>
      <w:bdr w:val="nil"/>
    </w:rPr>
  </w:style>
  <w:style w:type="paragraph" w:customStyle="1" w:styleId="DirectNext">
    <w:name w:val="Direct Next"/>
    <w:rsid w:val="00421C36"/>
    <w:pPr>
      <w:pBdr>
        <w:top w:val="nil"/>
        <w:left w:val="nil"/>
        <w:bottom w:val="nil"/>
        <w:right w:val="nil"/>
        <w:between w:val="nil"/>
        <w:bar w:val="nil"/>
      </w:pBdr>
      <w:spacing w:line="504" w:lineRule="exact"/>
      <w:ind w:left="720"/>
    </w:pPr>
    <w:rPr>
      <w:rFonts w:eastAsia="Arial Unicode MS" w:hAnsi="Arial Unicode MS" w:cs="Arial Unicode MS"/>
      <w:color w:val="000000"/>
      <w:sz w:val="24"/>
      <w:szCs w:val="24"/>
      <w:u w:color="000000"/>
      <w:bdr w:val="nil"/>
    </w:rPr>
  </w:style>
  <w:style w:type="paragraph" w:customStyle="1" w:styleId="BodyA">
    <w:name w:val="Body A"/>
    <w:rsid w:val="003D0C5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sssh">
    <w:name w:val="ss_sh"/>
    <w:basedOn w:val="DefaultParagraphFont"/>
    <w:rsid w:val="0070618D"/>
  </w:style>
  <w:style w:type="character" w:customStyle="1" w:styleId="Heading4Char">
    <w:name w:val="Heading 4 Char"/>
    <w:basedOn w:val="DefaultParagraphFont"/>
    <w:link w:val="Heading4"/>
    <w:uiPriority w:val="9"/>
    <w:rsid w:val="00547A3B"/>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547A3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547A3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547A3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547A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47A3B"/>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uiPriority w:val="1"/>
    <w:rsid w:val="006B5EC6"/>
    <w:rPr>
      <w:sz w:val="24"/>
    </w:rPr>
  </w:style>
  <w:style w:type="paragraph" w:styleId="TOCHeading">
    <w:name w:val="TOC Heading"/>
    <w:basedOn w:val="Heading1"/>
    <w:next w:val="Normal"/>
    <w:uiPriority w:val="39"/>
    <w:unhideWhenUsed/>
    <w:qFormat/>
    <w:rsid w:val="00A85520"/>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customStyle="1" w:styleId="UnresolvedMention4">
    <w:name w:val="Unresolved Mention4"/>
    <w:basedOn w:val="DefaultParagraphFont"/>
    <w:rsid w:val="0013572E"/>
    <w:rPr>
      <w:color w:val="605E5C"/>
      <w:shd w:val="clear" w:color="auto" w:fill="E1DFDD"/>
    </w:rPr>
  </w:style>
  <w:style w:type="character" w:customStyle="1" w:styleId="Heading3Char">
    <w:name w:val="Heading 3 Char"/>
    <w:basedOn w:val="DefaultParagraphFont"/>
    <w:link w:val="Heading3"/>
    <w:uiPriority w:val="9"/>
    <w:rsid w:val="005B6625"/>
    <w:rPr>
      <w:b/>
      <w:bCs/>
      <w:iCs/>
      <w:sz w:val="24"/>
    </w:rPr>
  </w:style>
  <w:style w:type="character" w:customStyle="1" w:styleId="UnresolvedMention5">
    <w:name w:val="Unresolved Mention5"/>
    <w:basedOn w:val="DefaultParagraphFont"/>
    <w:rsid w:val="00AA7752"/>
    <w:rPr>
      <w:color w:val="605E5C"/>
      <w:shd w:val="clear" w:color="auto" w:fill="E1DFDD"/>
    </w:rPr>
  </w:style>
  <w:style w:type="paragraph" w:styleId="Revision">
    <w:name w:val="Revision"/>
    <w:hidden/>
    <w:uiPriority w:val="99"/>
    <w:semiHidden/>
    <w:rsid w:val="00437FD8"/>
    <w:rPr>
      <w:sz w:val="24"/>
    </w:rPr>
  </w:style>
  <w:style w:type="character" w:customStyle="1" w:styleId="UnresolvedMention6">
    <w:name w:val="Unresolved Mention6"/>
    <w:basedOn w:val="DefaultParagraphFont"/>
    <w:rsid w:val="00D51E89"/>
    <w:rPr>
      <w:color w:val="605E5C"/>
      <w:shd w:val="clear" w:color="auto" w:fill="E1DFDD"/>
    </w:rPr>
  </w:style>
  <w:style w:type="character" w:customStyle="1" w:styleId="Heading2Char">
    <w:name w:val="Heading 2 Char"/>
    <w:basedOn w:val="DefaultParagraphFont"/>
    <w:link w:val="Heading2"/>
    <w:rsid w:val="00592D12"/>
    <w:rPr>
      <w:b/>
      <w:sz w:val="24"/>
    </w:rPr>
  </w:style>
  <w:style w:type="character" w:customStyle="1" w:styleId="UnresolvedMention7">
    <w:name w:val="Unresolved Mention7"/>
    <w:basedOn w:val="DefaultParagraphFont"/>
    <w:rsid w:val="00AD0B1F"/>
    <w:rPr>
      <w:color w:val="605E5C"/>
      <w:shd w:val="clear" w:color="auto" w:fill="E1DFDD"/>
    </w:rPr>
  </w:style>
  <w:style w:type="numbering" w:customStyle="1" w:styleId="NoList1">
    <w:name w:val="No List1"/>
    <w:next w:val="NoList"/>
    <w:uiPriority w:val="99"/>
    <w:semiHidden/>
    <w:unhideWhenUsed/>
    <w:rsid w:val="00FA2895"/>
  </w:style>
  <w:style w:type="paragraph" w:styleId="Title">
    <w:name w:val="Title"/>
    <w:basedOn w:val="Normal"/>
    <w:next w:val="Normal"/>
    <w:link w:val="TitleChar"/>
    <w:uiPriority w:val="10"/>
    <w:qFormat/>
    <w:rsid w:val="00FA2895"/>
    <w:pPr>
      <w:spacing w:before="240" w:after="60"/>
      <w:jc w:val="center"/>
      <w:outlineLvl w:val="0"/>
    </w:pPr>
    <w:rPr>
      <w:b/>
      <w:bCs/>
      <w:kern w:val="28"/>
      <w:sz w:val="32"/>
      <w:szCs w:val="32"/>
      <w:lang w:bidi="en-US"/>
    </w:rPr>
  </w:style>
  <w:style w:type="character" w:customStyle="1" w:styleId="TitleChar">
    <w:name w:val="Title Char"/>
    <w:basedOn w:val="DefaultParagraphFont"/>
    <w:link w:val="Title"/>
    <w:uiPriority w:val="10"/>
    <w:rsid w:val="00FA2895"/>
    <w:rPr>
      <w:b/>
      <w:bCs/>
      <w:kern w:val="28"/>
      <w:sz w:val="32"/>
      <w:szCs w:val="32"/>
      <w:lang w:bidi="en-US"/>
    </w:rPr>
  </w:style>
  <w:style w:type="paragraph" w:styleId="Subtitle">
    <w:name w:val="Subtitle"/>
    <w:basedOn w:val="Normal"/>
    <w:next w:val="Normal"/>
    <w:link w:val="SubtitleChar"/>
    <w:uiPriority w:val="11"/>
    <w:qFormat/>
    <w:rsid w:val="00FA2895"/>
    <w:pPr>
      <w:spacing w:after="60"/>
      <w:jc w:val="center"/>
      <w:outlineLvl w:val="1"/>
    </w:pPr>
    <w:rPr>
      <w:szCs w:val="24"/>
      <w:lang w:bidi="en-US"/>
    </w:rPr>
  </w:style>
  <w:style w:type="character" w:customStyle="1" w:styleId="SubtitleChar">
    <w:name w:val="Subtitle Char"/>
    <w:basedOn w:val="DefaultParagraphFont"/>
    <w:link w:val="Subtitle"/>
    <w:uiPriority w:val="11"/>
    <w:rsid w:val="00FA2895"/>
    <w:rPr>
      <w:sz w:val="24"/>
      <w:szCs w:val="24"/>
      <w:lang w:bidi="en-US"/>
    </w:rPr>
  </w:style>
  <w:style w:type="character" w:styleId="Emphasis">
    <w:name w:val="Emphasis"/>
    <w:uiPriority w:val="20"/>
    <w:qFormat/>
    <w:rsid w:val="00FA2895"/>
    <w:rPr>
      <w:rFonts w:ascii="Times New Roman" w:hAnsi="Times New Roman"/>
      <w:b/>
      <w:i/>
      <w:iCs/>
    </w:rPr>
  </w:style>
  <w:style w:type="paragraph" w:styleId="Quote">
    <w:name w:val="Quote"/>
    <w:basedOn w:val="Normal"/>
    <w:next w:val="Normal"/>
    <w:link w:val="QuoteChar"/>
    <w:uiPriority w:val="29"/>
    <w:qFormat/>
    <w:rsid w:val="00FA2895"/>
    <w:rPr>
      <w:i/>
      <w:szCs w:val="24"/>
      <w:lang w:bidi="en-US"/>
    </w:rPr>
  </w:style>
  <w:style w:type="character" w:customStyle="1" w:styleId="QuoteChar">
    <w:name w:val="Quote Char"/>
    <w:basedOn w:val="DefaultParagraphFont"/>
    <w:link w:val="Quote"/>
    <w:uiPriority w:val="29"/>
    <w:rsid w:val="00FA2895"/>
    <w:rPr>
      <w:i/>
      <w:sz w:val="24"/>
      <w:szCs w:val="24"/>
      <w:lang w:bidi="en-US"/>
    </w:rPr>
  </w:style>
  <w:style w:type="paragraph" w:styleId="IntenseQuote">
    <w:name w:val="Intense Quote"/>
    <w:basedOn w:val="Normal"/>
    <w:next w:val="Normal"/>
    <w:link w:val="IntenseQuoteChar"/>
    <w:uiPriority w:val="30"/>
    <w:qFormat/>
    <w:rsid w:val="00FA2895"/>
    <w:pPr>
      <w:ind w:left="720" w:right="720"/>
    </w:pPr>
    <w:rPr>
      <w:b/>
      <w:i/>
      <w:szCs w:val="24"/>
      <w:lang w:bidi="en-US"/>
    </w:rPr>
  </w:style>
  <w:style w:type="character" w:customStyle="1" w:styleId="IntenseQuoteChar">
    <w:name w:val="Intense Quote Char"/>
    <w:basedOn w:val="DefaultParagraphFont"/>
    <w:link w:val="IntenseQuote"/>
    <w:uiPriority w:val="30"/>
    <w:rsid w:val="00FA2895"/>
    <w:rPr>
      <w:b/>
      <w:i/>
      <w:sz w:val="24"/>
      <w:szCs w:val="24"/>
      <w:lang w:bidi="en-US"/>
    </w:rPr>
  </w:style>
  <w:style w:type="character" w:styleId="SubtleEmphasis">
    <w:name w:val="Subtle Emphasis"/>
    <w:uiPriority w:val="19"/>
    <w:qFormat/>
    <w:rsid w:val="00FA2895"/>
    <w:rPr>
      <w:i/>
      <w:color w:val="5A5A5A"/>
    </w:rPr>
  </w:style>
  <w:style w:type="character" w:styleId="IntenseEmphasis">
    <w:name w:val="Intense Emphasis"/>
    <w:uiPriority w:val="21"/>
    <w:qFormat/>
    <w:rsid w:val="00FA2895"/>
    <w:rPr>
      <w:b/>
      <w:i/>
      <w:sz w:val="24"/>
      <w:szCs w:val="24"/>
      <w:u w:val="single"/>
    </w:rPr>
  </w:style>
  <w:style w:type="character" w:styleId="SubtleReference">
    <w:name w:val="Subtle Reference"/>
    <w:uiPriority w:val="31"/>
    <w:qFormat/>
    <w:rsid w:val="00FA2895"/>
    <w:rPr>
      <w:sz w:val="24"/>
      <w:szCs w:val="24"/>
      <w:u w:val="single"/>
    </w:rPr>
  </w:style>
  <w:style w:type="character" w:styleId="IntenseReference">
    <w:name w:val="Intense Reference"/>
    <w:uiPriority w:val="32"/>
    <w:qFormat/>
    <w:rsid w:val="00FA2895"/>
    <w:rPr>
      <w:b/>
      <w:sz w:val="24"/>
      <w:u w:val="single"/>
    </w:rPr>
  </w:style>
  <w:style w:type="character" w:styleId="BookTitle">
    <w:name w:val="Book Title"/>
    <w:uiPriority w:val="33"/>
    <w:qFormat/>
    <w:rsid w:val="00FA2895"/>
    <w:rPr>
      <w:rFonts w:ascii="Times New Roman" w:eastAsia="Times New Roman" w:hAnsi="Times New Roman"/>
      <w:b/>
      <w:i/>
      <w:sz w:val="24"/>
      <w:szCs w:val="24"/>
    </w:rPr>
  </w:style>
  <w:style w:type="character" w:customStyle="1" w:styleId="HeaderChar">
    <w:name w:val="Header Char"/>
    <w:basedOn w:val="DefaultParagraphFont"/>
    <w:link w:val="Header"/>
    <w:uiPriority w:val="99"/>
    <w:rsid w:val="00FA2895"/>
    <w:rPr>
      <w:sz w:val="24"/>
    </w:rPr>
  </w:style>
  <w:style w:type="character" w:customStyle="1" w:styleId="LBFileStampAtCursor">
    <w:name w:val="*LBFileStampAtCursor"/>
    <w:aliases w:val="FSC"/>
    <w:rsid w:val="00FA2895"/>
    <w:rPr>
      <w:rFonts w:ascii="Arial" w:hAnsi="Arial" w:cs="Times New Roman"/>
      <w:sz w:val="12"/>
      <w:szCs w:val="32"/>
    </w:rPr>
  </w:style>
  <w:style w:type="paragraph" w:customStyle="1" w:styleId="LBFileStampAtEnd">
    <w:name w:val="*LBFileStampAtEnd"/>
    <w:aliases w:val="FSE"/>
    <w:basedOn w:val="Normal"/>
    <w:rsid w:val="00FA2895"/>
    <w:pPr>
      <w:spacing w:before="360"/>
    </w:pPr>
    <w:rPr>
      <w:rFonts w:ascii="Arial" w:hAnsi="Arial"/>
      <w:sz w:val="12"/>
      <w:szCs w:val="32"/>
    </w:rPr>
  </w:style>
  <w:style w:type="character" w:customStyle="1" w:styleId="CommentSubjectChar">
    <w:name w:val="Comment Subject Char"/>
    <w:basedOn w:val="CommentTextChar"/>
    <w:link w:val="CommentSubject"/>
    <w:uiPriority w:val="99"/>
    <w:semiHidden/>
    <w:rsid w:val="00FA2895"/>
    <w:rPr>
      <w:sz w:val="24"/>
      <w:szCs w:val="24"/>
    </w:rPr>
  </w:style>
  <w:style w:type="character" w:customStyle="1" w:styleId="BalloonTextChar">
    <w:name w:val="Balloon Text Char"/>
    <w:basedOn w:val="DefaultParagraphFont"/>
    <w:link w:val="BalloonText"/>
    <w:uiPriority w:val="99"/>
    <w:semiHidden/>
    <w:rsid w:val="00FA2895"/>
    <w:rPr>
      <w:rFonts w:ascii="Lucida Grande" w:hAnsi="Lucida Grande"/>
      <w:sz w:val="18"/>
      <w:szCs w:val="18"/>
    </w:rPr>
  </w:style>
  <w:style w:type="character" w:customStyle="1" w:styleId="EndnoteTextChar">
    <w:name w:val="Endnote Text Char"/>
    <w:basedOn w:val="DefaultParagraphFont"/>
    <w:link w:val="EndnoteText"/>
    <w:semiHidden/>
    <w:rsid w:val="00FA2895"/>
  </w:style>
  <w:style w:type="character" w:customStyle="1" w:styleId="Mention1">
    <w:name w:val="Mention1"/>
    <w:uiPriority w:val="99"/>
    <w:semiHidden/>
    <w:unhideWhenUsed/>
    <w:rsid w:val="00FA2895"/>
    <w:rPr>
      <w:color w:val="2B579A"/>
      <w:shd w:val="clear" w:color="auto" w:fill="E6E6E6"/>
    </w:rPr>
  </w:style>
  <w:style w:type="paragraph" w:customStyle="1" w:styleId="xmsolistparagraph">
    <w:name w:val="x_msolistparagraph"/>
    <w:basedOn w:val="Normal"/>
    <w:rsid w:val="00FA2895"/>
    <w:pPr>
      <w:ind w:left="720"/>
    </w:pPr>
    <w:rPr>
      <w:rFonts w:ascii="Calibri" w:eastAsia="Calibri" w:hAnsi="Calibri" w:cs="Calibri"/>
      <w:sz w:val="22"/>
      <w:szCs w:val="22"/>
    </w:rPr>
  </w:style>
  <w:style w:type="paragraph" w:styleId="List">
    <w:name w:val="List"/>
    <w:basedOn w:val="Normal"/>
    <w:rsid w:val="00FA2895"/>
    <w:pPr>
      <w:ind w:left="360" w:hanging="360"/>
    </w:pPr>
  </w:style>
  <w:style w:type="paragraph" w:styleId="TOC4">
    <w:name w:val="toc 4"/>
    <w:basedOn w:val="Normal"/>
    <w:next w:val="Normal"/>
    <w:autoRedefine/>
    <w:uiPriority w:val="39"/>
    <w:unhideWhenUsed/>
    <w:rsid w:val="00FA2895"/>
    <w:pPr>
      <w:tabs>
        <w:tab w:val="left" w:pos="720"/>
        <w:tab w:val="decimal" w:leader="dot" w:pos="8640"/>
      </w:tabs>
      <w:spacing w:after="240"/>
      <w:ind w:left="2880" w:hanging="720"/>
    </w:pPr>
    <w:rPr>
      <w:szCs w:val="24"/>
      <w:lang w:bidi="en-US"/>
    </w:rPr>
  </w:style>
  <w:style w:type="paragraph" w:styleId="NormalWeb">
    <w:name w:val="Normal (Web)"/>
    <w:basedOn w:val="Normal"/>
    <w:uiPriority w:val="99"/>
    <w:unhideWhenUsed/>
    <w:rsid w:val="00FA2895"/>
    <w:pPr>
      <w:spacing w:before="100" w:beforeAutospacing="1" w:after="100" w:afterAutospacing="1"/>
    </w:pPr>
    <w:rPr>
      <w:szCs w:val="24"/>
    </w:rPr>
  </w:style>
  <w:style w:type="paragraph" w:customStyle="1" w:styleId="answer0">
    <w:name w:val="answer"/>
    <w:basedOn w:val="Normal"/>
    <w:link w:val="answerChar"/>
    <w:rsid w:val="00FA2895"/>
    <w:pPr>
      <w:suppressAutoHyphens/>
      <w:spacing w:line="480" w:lineRule="auto"/>
      <w:ind w:left="720" w:hanging="720"/>
      <w:jc w:val="both"/>
    </w:pPr>
    <w:rPr>
      <w:snapToGrid w:val="0"/>
      <w:szCs w:val="24"/>
    </w:rPr>
  </w:style>
  <w:style w:type="character" w:customStyle="1" w:styleId="answerChar">
    <w:name w:val="answer Char"/>
    <w:link w:val="answer0"/>
    <w:rsid w:val="00FA2895"/>
    <w:rPr>
      <w:snapToGrid w:val="0"/>
      <w:sz w:val="24"/>
      <w:szCs w:val="24"/>
    </w:rPr>
  </w:style>
  <w:style w:type="paragraph" w:customStyle="1" w:styleId="Body">
    <w:name w:val="Body"/>
    <w:rsid w:val="00FA2895"/>
    <w:pPr>
      <w:pBdr>
        <w:top w:val="nil"/>
        <w:left w:val="nil"/>
        <w:bottom w:val="nil"/>
        <w:right w:val="nil"/>
        <w:between w:val="nil"/>
        <w:bar w:val="nil"/>
      </w:pBdr>
      <w:tabs>
        <w:tab w:val="left" w:pos="720"/>
      </w:tabs>
      <w:ind w:left="720" w:hanging="720"/>
    </w:pPr>
    <w:rPr>
      <w:rFonts w:eastAsia="PMingLiU" w:cs="Arial Unicode MS"/>
      <w:color w:val="000000"/>
      <w:sz w:val="24"/>
      <w:szCs w:val="24"/>
      <w:u w:color="000000"/>
      <w:bdr w:val="nil"/>
      <w:lang w:val="de-DE"/>
      <w14:textOutline w14:w="0">
        <w14:noFill/>
        <w14:prstDash w14:val="solid"/>
        <w14:bevel/>
      </w14:textOutline>
    </w:rPr>
  </w:style>
  <w:style w:type="paragraph" w:customStyle="1" w:styleId="answer2">
    <w:name w:val="answer2"/>
    <w:basedOn w:val="BodyTextIndent2"/>
    <w:rsid w:val="00FA2895"/>
    <w:pPr>
      <w:tabs>
        <w:tab w:val="clear" w:pos="720"/>
      </w:tabs>
      <w:spacing w:before="0" w:after="0" w:line="480" w:lineRule="auto"/>
      <w:ind w:left="720" w:firstLine="720"/>
      <w:jc w:val="both"/>
    </w:pPr>
    <w:rPr>
      <w:snapToGrid w:val="0"/>
      <w:szCs w:val="24"/>
    </w:rPr>
  </w:style>
  <w:style w:type="character" w:customStyle="1" w:styleId="BodyTextIndent2Char">
    <w:name w:val="Body Text Indent 2 Char"/>
    <w:basedOn w:val="DefaultParagraphFont"/>
    <w:link w:val="BodyTextIndent2"/>
    <w:uiPriority w:val="99"/>
    <w:rsid w:val="00FA2895"/>
    <w:rPr>
      <w:sz w:val="24"/>
    </w:rPr>
  </w:style>
  <w:style w:type="paragraph" w:customStyle="1" w:styleId="1Answer">
    <w:name w:val="1. Answer"/>
    <w:basedOn w:val="Normal"/>
    <w:next w:val="Normal"/>
    <w:link w:val="1AnswerChar"/>
    <w:qFormat/>
    <w:rsid w:val="00FA2895"/>
    <w:pPr>
      <w:tabs>
        <w:tab w:val="left" w:pos="720"/>
      </w:tabs>
      <w:spacing w:after="240" w:line="360" w:lineRule="auto"/>
      <w:ind w:left="720" w:hanging="720"/>
      <w:jc w:val="both"/>
    </w:pPr>
    <w:rPr>
      <w:szCs w:val="24"/>
    </w:rPr>
  </w:style>
  <w:style w:type="character" w:customStyle="1" w:styleId="1AnswerChar">
    <w:name w:val="1. Answer Char"/>
    <w:link w:val="1Answer"/>
    <w:rsid w:val="00FA2895"/>
    <w:rPr>
      <w:sz w:val="24"/>
      <w:szCs w:val="24"/>
    </w:rPr>
  </w:style>
  <w:style w:type="paragraph" w:customStyle="1" w:styleId="Answer1">
    <w:name w:val="Answer"/>
    <w:basedOn w:val="List2"/>
    <w:link w:val="AnswerChar0"/>
    <w:qFormat/>
    <w:rsid w:val="00FA2895"/>
    <w:pPr>
      <w:pBdr>
        <w:top w:val="nil"/>
        <w:left w:val="nil"/>
        <w:bottom w:val="nil"/>
        <w:right w:val="nil"/>
        <w:between w:val="nil"/>
        <w:bar w:val="nil"/>
      </w:pBdr>
      <w:spacing w:line="480" w:lineRule="auto"/>
    </w:pPr>
    <w:rPr>
      <w:rFonts w:eastAsia="Arial Unicode MS"/>
      <w:bCs/>
      <w:iCs/>
      <w:bdr w:val="nil"/>
      <w:lang w:bidi="ar-SA"/>
    </w:rPr>
  </w:style>
  <w:style w:type="character" w:customStyle="1" w:styleId="AnswerChar0">
    <w:name w:val="Answer Char"/>
    <w:basedOn w:val="DefaultParagraphFont"/>
    <w:link w:val="Answer1"/>
    <w:rsid w:val="00FA2895"/>
    <w:rPr>
      <w:rFonts w:eastAsia="Arial Unicode MS"/>
      <w:bCs/>
      <w:iCs/>
      <w:sz w:val="24"/>
      <w:szCs w:val="24"/>
      <w:bdr w:val="nil"/>
    </w:rPr>
  </w:style>
  <w:style w:type="character" w:customStyle="1" w:styleId="xcontentpasted0">
    <w:name w:val="x_contentpasted0"/>
    <w:basedOn w:val="DefaultParagraphFont"/>
    <w:rsid w:val="00FA2895"/>
  </w:style>
  <w:style w:type="paragraph" w:styleId="List2">
    <w:name w:val="List 2"/>
    <w:basedOn w:val="Normal"/>
    <w:uiPriority w:val="99"/>
    <w:semiHidden/>
    <w:unhideWhenUsed/>
    <w:rsid w:val="00FA2895"/>
    <w:pPr>
      <w:ind w:left="720" w:hanging="360"/>
      <w:contextualSpacing/>
    </w:pPr>
    <w:rPr>
      <w:szCs w:val="24"/>
      <w:lang w:bidi="en-US"/>
    </w:rPr>
  </w:style>
  <w:style w:type="character" w:customStyle="1" w:styleId="apple-converted-space">
    <w:name w:val="apple-converted-space"/>
    <w:basedOn w:val="DefaultParagraphFont"/>
    <w:rsid w:val="00FA2895"/>
  </w:style>
  <w:style w:type="character" w:customStyle="1" w:styleId="ssit">
    <w:name w:val="ss_it"/>
    <w:basedOn w:val="DefaultParagraphFont"/>
    <w:rsid w:val="00FA2895"/>
  </w:style>
  <w:style w:type="paragraph" w:styleId="TOC5">
    <w:name w:val="toc 5"/>
    <w:basedOn w:val="Normal"/>
    <w:next w:val="Normal"/>
    <w:autoRedefine/>
    <w:uiPriority w:val="39"/>
    <w:unhideWhenUsed/>
    <w:rsid w:val="00FA2895"/>
    <w:pPr>
      <w:tabs>
        <w:tab w:val="decimal" w:leader="dot" w:pos="9360"/>
      </w:tabs>
      <w:spacing w:after="240"/>
      <w:ind w:left="3600" w:hanging="720"/>
    </w:pPr>
    <w:rPr>
      <w:szCs w:val="24"/>
      <w:lang w:bidi="en-US"/>
    </w:rPr>
  </w:style>
  <w:style w:type="character" w:customStyle="1" w:styleId="UnresolvedMention8">
    <w:name w:val="Unresolved Mention8"/>
    <w:basedOn w:val="DefaultParagraphFont"/>
    <w:rsid w:val="00535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yperlink" Target="mailto:thomas.lindgren@ohioago.gov" TargetMode="External" /><Relationship Id="rId16" Type="http://schemas.openxmlformats.org/officeDocument/2006/relationships/hyperlink" Target="mailto:Janet.Gregory@OhioAGO.gov" TargetMode="External" /><Relationship Id="rId17" Type="http://schemas.openxmlformats.org/officeDocument/2006/relationships/hyperlink" Target="mailto:mkurtz@BKLlawfirm.com" TargetMode="External" /><Relationship Id="rId18" Type="http://schemas.openxmlformats.org/officeDocument/2006/relationships/hyperlink" Target="mailto:kboehm@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Nicholas.Walstra@puco.ohio.gov" TargetMode="External" /><Relationship Id="rId21" Type="http://schemas.openxmlformats.org/officeDocument/2006/relationships/hyperlink" Target="mailto:Matthew.sandor@puco.ohio.gov" TargetMode="External" /><Relationship Id="rId22" Type="http://schemas.openxmlformats.org/officeDocument/2006/relationships/hyperlink" Target="mailto:Rocco.dascenzo@duke-energy.com" TargetMode="External" /><Relationship Id="rId23" Type="http://schemas.openxmlformats.org/officeDocument/2006/relationships/hyperlink" Target="mailto:Jeanne.kingery@duke-energy.com" TargetMode="External" /><Relationship Id="rId24" Type="http://schemas.openxmlformats.org/officeDocument/2006/relationships/hyperlink" Target="mailto:Larisa.vaysman@duke-energy.com" TargetMode="External" /><Relationship Id="rId25" Type="http://schemas.openxmlformats.org/officeDocument/2006/relationships/hyperlink" Target="mailto:Elyse.akhbari@duke-energy.com" TargetMode="External" /><Relationship Id="rId26" Type="http://schemas.openxmlformats.org/officeDocument/2006/relationships/hyperlink" Target="mailto:Ebrama@taftlaw.com" TargetMode="External" /><Relationship Id="rId27" Type="http://schemas.openxmlformats.org/officeDocument/2006/relationships/hyperlink" Target="mailto:michael.nugent@igs.com" TargetMode="External" /><Relationship Id="rId28" Type="http://schemas.openxmlformats.org/officeDocument/2006/relationships/hyperlink" Target="mailto:Stacie.cathcart@igs.com" TargetMode="External" /><Relationship Id="rId29" Type="http://schemas.openxmlformats.org/officeDocument/2006/relationships/hyperlink" Target="mailto:mjsettineri@vorys.com" TargetMode="External" /><Relationship Id="rId3" Type="http://schemas.openxmlformats.org/officeDocument/2006/relationships/webSettings" Target="webSettings.xml" /><Relationship Id="rId30" Type="http://schemas.openxmlformats.org/officeDocument/2006/relationships/hyperlink" Target="mailto:glpetrucci@vorys.com" TargetMode="External" /><Relationship Id="rId31" Type="http://schemas.openxmlformats.org/officeDocument/2006/relationships/hyperlink" Target="mailto:cpirik@dickinsonwright.com" TargetMode="External" /><Relationship Id="rId32" Type="http://schemas.openxmlformats.org/officeDocument/2006/relationships/hyperlink" Target="mailto:todonnell@dickinsonwright.com" TargetMode="External" /><Relationship Id="rId33" Type="http://schemas.openxmlformats.org/officeDocument/2006/relationships/hyperlink" Target="mailto:mmcdonnell@dickinsonwright.com" TargetMode="External" /><Relationship Id="rId34" Type="http://schemas.openxmlformats.org/officeDocument/2006/relationships/footer" Target="footer5.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keith.layton@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2010-9BCA-479D-BF22-D55C2018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2023-12-01T20:51:01Z</dcterms:created>
  <dcterms:modified xsi:type="dcterms:W3CDTF">2023-12-01T20:51:01Z</dcterms:modified>
</cp:coreProperties>
</file>